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7F7916E">
      <w:pPr>
        <w:rPr>
          <w:rFonts w:ascii="仿宋_GB2312" w:hAnsi="仿宋_GB2312" w:eastAsia="仿宋_GB2312" w:cs="仿宋_GB2312"/>
          <w:color w:val="auto"/>
          <w:sz w:val="36"/>
          <w:szCs w:val="36"/>
        </w:rPr>
      </w:pPr>
      <w:bookmarkStart w:id="29" w:name="_GoBack"/>
      <w:bookmarkEnd w:id="29"/>
    </w:p>
    <w:p w14:paraId="5F609CC4">
      <w:pPr>
        <w:rPr>
          <w:rFonts w:ascii="仿宋_GB2312" w:hAnsi="仿宋_GB2312" w:eastAsia="仿宋_GB2312" w:cs="仿宋_GB2312"/>
          <w:color w:val="auto"/>
          <w:sz w:val="36"/>
          <w:szCs w:val="36"/>
        </w:rPr>
      </w:pPr>
    </w:p>
    <w:p w14:paraId="319D5BD9">
      <w:pPr>
        <w:rPr>
          <w:rFonts w:ascii="仿宋_GB2312" w:hAnsi="仿宋_GB2312" w:eastAsia="仿宋_GB2312" w:cs="仿宋_GB2312"/>
          <w:color w:val="auto"/>
          <w:sz w:val="36"/>
          <w:szCs w:val="36"/>
        </w:rPr>
      </w:pPr>
    </w:p>
    <w:p w14:paraId="3C81F5A8">
      <w:pPr>
        <w:rPr>
          <w:rFonts w:ascii="仿宋_GB2312" w:hAnsi="仿宋_GB2312" w:eastAsia="仿宋_GB2312" w:cs="仿宋_GB2312"/>
          <w:color w:val="auto"/>
          <w:sz w:val="36"/>
          <w:szCs w:val="36"/>
        </w:rPr>
      </w:pPr>
    </w:p>
    <w:p w14:paraId="4E2C9B68">
      <w:pPr>
        <w:rPr>
          <w:rFonts w:ascii="仿宋_GB2312" w:hAnsi="仿宋_GB2312" w:eastAsia="仿宋_GB2312" w:cs="仿宋_GB2312"/>
          <w:color w:val="auto"/>
          <w:sz w:val="36"/>
          <w:szCs w:val="36"/>
        </w:rPr>
      </w:pPr>
    </w:p>
    <w:p w14:paraId="1F78A6B0">
      <w:pPr>
        <w:adjustRightInd w:val="0"/>
        <w:snapToGrid w:val="0"/>
        <w:jc w:val="center"/>
        <w:outlineLvl w:val="0"/>
        <w:rPr>
          <w:rFonts w:ascii="方正小标宋_GBK" w:eastAsia="方正小标宋_GBK"/>
          <w:bCs/>
          <w:color w:val="auto"/>
          <w:sz w:val="72"/>
          <w:szCs w:val="72"/>
        </w:rPr>
      </w:pPr>
      <w:bookmarkStart w:id="0" w:name="_Toc26864"/>
      <w:r>
        <w:rPr>
          <w:rFonts w:hint="eastAsia" w:ascii="方正小标宋_GBK" w:eastAsia="方正小标宋_GBK"/>
          <w:bCs/>
          <w:color w:val="auto"/>
          <w:sz w:val="72"/>
          <w:szCs w:val="72"/>
        </w:rPr>
        <w:t>建设项目环境影响报告表</w:t>
      </w:r>
      <w:bookmarkEnd w:id="0"/>
    </w:p>
    <w:p w14:paraId="51B0D89C">
      <w:pPr>
        <w:adjustRightInd w:val="0"/>
        <w:snapToGrid w:val="0"/>
        <w:spacing w:before="192" w:beforeLines="80"/>
        <w:jc w:val="center"/>
        <w:rPr>
          <w:rFonts w:ascii="楷体_GB2312" w:eastAsia="楷体_GB2312"/>
          <w:bCs/>
          <w:color w:val="auto"/>
          <w:sz w:val="48"/>
          <w:szCs w:val="48"/>
        </w:rPr>
      </w:pPr>
      <w:r>
        <w:rPr>
          <w:rFonts w:hint="eastAsia" w:ascii="楷体_GB2312" w:eastAsia="楷体_GB2312"/>
          <w:bCs/>
          <w:color w:val="auto"/>
          <w:sz w:val="48"/>
          <w:szCs w:val="48"/>
        </w:rPr>
        <w:t>（污染影响类）</w:t>
      </w:r>
    </w:p>
    <w:p w14:paraId="29D215A3">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华文仿宋" w:hAnsi="华文仿宋" w:eastAsia="华文仿宋" w:cs="华文仿宋"/>
          <w:b/>
          <w:bCs/>
          <w:color w:val="auto"/>
          <w:kern w:val="44"/>
          <w:sz w:val="30"/>
          <w:szCs w:val="30"/>
          <w:lang w:eastAsia="zh-CN"/>
        </w:rPr>
      </w:pPr>
      <w:r>
        <w:rPr>
          <w:rFonts w:hint="eastAsia" w:ascii="华文仿宋" w:hAnsi="华文仿宋" w:eastAsia="华文仿宋" w:cs="华文仿宋"/>
          <w:b/>
          <w:bCs/>
          <w:color w:val="auto"/>
          <w:kern w:val="44"/>
          <w:sz w:val="30"/>
          <w:szCs w:val="30"/>
          <w:lang w:eastAsia="zh-CN"/>
        </w:rPr>
        <w:t>（</w:t>
      </w:r>
      <w:r>
        <w:rPr>
          <w:rFonts w:hint="eastAsia" w:ascii="华文仿宋" w:hAnsi="华文仿宋" w:eastAsia="华文仿宋" w:cs="华文仿宋"/>
          <w:b/>
          <w:bCs/>
          <w:color w:val="auto"/>
          <w:kern w:val="44"/>
          <w:sz w:val="30"/>
          <w:szCs w:val="30"/>
          <w:lang w:val="en-US" w:eastAsia="zh-CN"/>
        </w:rPr>
        <w:t>修改版</w:t>
      </w:r>
      <w:r>
        <w:rPr>
          <w:rFonts w:hint="eastAsia" w:ascii="华文仿宋" w:hAnsi="华文仿宋" w:eastAsia="华文仿宋" w:cs="华文仿宋"/>
          <w:b/>
          <w:bCs/>
          <w:color w:val="auto"/>
          <w:kern w:val="44"/>
          <w:sz w:val="30"/>
          <w:szCs w:val="30"/>
          <w:lang w:eastAsia="zh-CN"/>
        </w:rPr>
        <w:t>）</w:t>
      </w:r>
    </w:p>
    <w:p w14:paraId="507881DA">
      <w:pPr>
        <w:adjustRightInd w:val="0"/>
        <w:snapToGrid w:val="0"/>
        <w:spacing w:line="288" w:lineRule="auto"/>
        <w:jc w:val="center"/>
        <w:rPr>
          <w:rFonts w:ascii="华文仿宋" w:hAnsi="华文仿宋" w:eastAsia="华文仿宋" w:cs="华文仿宋"/>
          <w:color w:val="auto"/>
          <w:kern w:val="44"/>
          <w:sz w:val="44"/>
          <w:szCs w:val="44"/>
        </w:rPr>
      </w:pPr>
    </w:p>
    <w:p w14:paraId="394AD9B1">
      <w:pPr>
        <w:pStyle w:val="27"/>
        <w:ind w:firstLine="640"/>
        <w:rPr>
          <w:color w:val="auto"/>
        </w:rPr>
      </w:pPr>
    </w:p>
    <w:p w14:paraId="3788F4EE">
      <w:pPr>
        <w:ind w:firstLine="1040"/>
        <w:rPr>
          <w:rFonts w:eastAsia="仿宋"/>
          <w:color w:val="auto"/>
          <w:sz w:val="44"/>
          <w:szCs w:val="44"/>
        </w:rPr>
      </w:pPr>
    </w:p>
    <w:p w14:paraId="5DDC8673">
      <w:pPr>
        <w:ind w:firstLine="1040"/>
        <w:rPr>
          <w:rFonts w:eastAsia="仿宋"/>
          <w:color w:val="auto"/>
          <w:sz w:val="44"/>
          <w:szCs w:val="44"/>
        </w:rPr>
      </w:pPr>
    </w:p>
    <w:p w14:paraId="223E6C8F">
      <w:pPr>
        <w:ind w:firstLine="1040"/>
        <w:rPr>
          <w:rFonts w:eastAsia="仿宋"/>
          <w:color w:val="auto"/>
          <w:sz w:val="44"/>
          <w:szCs w:val="44"/>
        </w:rPr>
      </w:pPr>
    </w:p>
    <w:p w14:paraId="4A0E0406">
      <w:pPr>
        <w:adjustRightInd w:val="0"/>
        <w:snapToGrid w:val="0"/>
        <w:spacing w:line="288" w:lineRule="auto"/>
        <w:ind w:firstLine="1040"/>
        <w:rPr>
          <w:rFonts w:eastAsia="仿宋_GB2312"/>
          <w:b/>
          <w:color w:val="auto"/>
          <w:sz w:val="36"/>
          <w:szCs w:val="36"/>
          <w:u w:val="single"/>
        </w:rPr>
      </w:pPr>
      <w:r>
        <w:rPr>
          <w:rFonts w:eastAsia="仿宋_GB2312"/>
          <w:color w:val="auto"/>
          <w:sz w:val="36"/>
          <w:szCs w:val="36"/>
        </w:rPr>
        <w:t>项目名称：</w:t>
      </w:r>
      <w:r>
        <w:rPr>
          <w:rFonts w:hint="eastAsia" w:eastAsia="仿宋_GB2312"/>
          <w:b/>
          <w:color w:val="auto"/>
          <w:sz w:val="36"/>
          <w:szCs w:val="36"/>
          <w:u w:val="single"/>
          <w:lang w:val="en-US" w:eastAsia="zh-CN"/>
        </w:rPr>
        <w:t xml:space="preserve">  滦州市祯璟再生资源有限公司固体废弃物综合利用项目 </w:t>
      </w:r>
    </w:p>
    <w:p w14:paraId="5F34514E">
      <w:pPr>
        <w:adjustRightInd w:val="0"/>
        <w:snapToGrid w:val="0"/>
        <w:spacing w:line="288" w:lineRule="auto"/>
        <w:ind w:firstLine="1040"/>
        <w:rPr>
          <w:rFonts w:hint="eastAsia" w:eastAsia="仿宋_GB2312"/>
          <w:color w:val="auto"/>
          <w:spacing w:val="-11"/>
          <w:w w:val="90"/>
          <w:sz w:val="36"/>
          <w:szCs w:val="36"/>
          <w:u w:val="single"/>
          <w:lang w:eastAsia="zh-CN"/>
        </w:rPr>
      </w:pPr>
      <w:r>
        <w:rPr>
          <w:rFonts w:eastAsia="仿宋_GB2312"/>
          <w:color w:val="auto"/>
          <w:sz w:val="36"/>
          <w:szCs w:val="36"/>
        </w:rPr>
        <w:t>建设单位（盖章）：</w:t>
      </w:r>
      <w:r>
        <w:rPr>
          <w:rFonts w:hint="eastAsia" w:eastAsia="仿宋_GB2312"/>
          <w:b/>
          <w:color w:val="auto"/>
          <w:sz w:val="36"/>
          <w:szCs w:val="36"/>
          <w:u w:val="thick"/>
          <w:lang w:eastAsia="zh-CN"/>
        </w:rPr>
        <w:t>滦州市祯璟再生资源有限公司</w:t>
      </w:r>
    </w:p>
    <w:p w14:paraId="11FE3009">
      <w:pPr>
        <w:adjustRightInd w:val="0"/>
        <w:snapToGrid w:val="0"/>
        <w:spacing w:line="288" w:lineRule="auto"/>
        <w:ind w:firstLine="1040"/>
        <w:rPr>
          <w:rFonts w:eastAsia="仿宋_GB2312"/>
          <w:color w:val="auto"/>
          <w:sz w:val="36"/>
          <w:szCs w:val="36"/>
          <w:u w:val="single"/>
        </w:rPr>
      </w:pPr>
      <w:r>
        <w:rPr>
          <w:rFonts w:eastAsia="仿宋_GB2312"/>
          <w:color w:val="auto"/>
          <w:sz w:val="36"/>
          <w:szCs w:val="36"/>
        </w:rPr>
        <w:t>编制日期：</w:t>
      </w:r>
      <w:r>
        <w:rPr>
          <w:rFonts w:eastAsia="仿宋_GB2312"/>
          <w:color w:val="auto"/>
          <w:sz w:val="36"/>
          <w:szCs w:val="36"/>
          <w:u w:val="single"/>
        </w:rPr>
        <w:t xml:space="preserve">        </w:t>
      </w:r>
      <w:r>
        <w:rPr>
          <w:rFonts w:hint="eastAsia" w:eastAsia="仿宋_GB2312"/>
          <w:color w:val="auto"/>
          <w:sz w:val="36"/>
          <w:szCs w:val="36"/>
          <w:u w:val="single"/>
          <w:lang w:val="en-US" w:eastAsia="zh-CN"/>
        </w:rPr>
        <w:t xml:space="preserve"> </w:t>
      </w:r>
      <w:r>
        <w:rPr>
          <w:rFonts w:eastAsia="仿宋_GB2312"/>
          <w:color w:val="auto"/>
          <w:sz w:val="36"/>
          <w:szCs w:val="36"/>
          <w:u w:val="single"/>
        </w:rPr>
        <w:t xml:space="preserve"> </w:t>
      </w:r>
      <w:r>
        <w:rPr>
          <w:rFonts w:hint="eastAsia" w:eastAsia="仿宋_GB2312"/>
          <w:color w:val="auto"/>
          <w:sz w:val="36"/>
          <w:szCs w:val="36"/>
          <w:u w:val="single"/>
        </w:rPr>
        <w:t xml:space="preserve"> </w:t>
      </w:r>
      <w:r>
        <w:rPr>
          <w:rFonts w:eastAsia="仿宋_GB2312"/>
          <w:color w:val="auto"/>
          <w:sz w:val="36"/>
          <w:szCs w:val="36"/>
          <w:u w:val="single"/>
        </w:rPr>
        <w:t xml:space="preserve"> </w:t>
      </w:r>
      <w:r>
        <w:rPr>
          <w:rFonts w:eastAsia="仿宋_GB2312"/>
          <w:b/>
          <w:color w:val="auto"/>
          <w:sz w:val="36"/>
          <w:szCs w:val="36"/>
          <w:u w:val="single"/>
        </w:rPr>
        <w:t>202</w:t>
      </w:r>
      <w:r>
        <w:rPr>
          <w:rFonts w:hint="eastAsia" w:eastAsia="仿宋_GB2312"/>
          <w:b/>
          <w:color w:val="auto"/>
          <w:sz w:val="36"/>
          <w:szCs w:val="36"/>
          <w:u w:val="single"/>
          <w:lang w:val="en-US" w:eastAsia="zh-CN"/>
        </w:rPr>
        <w:t>5</w:t>
      </w:r>
      <w:r>
        <w:rPr>
          <w:rFonts w:eastAsia="仿宋_GB2312"/>
          <w:b/>
          <w:color w:val="auto"/>
          <w:sz w:val="36"/>
          <w:szCs w:val="36"/>
          <w:u w:val="single"/>
        </w:rPr>
        <w:t>年</w:t>
      </w:r>
      <w:r>
        <w:rPr>
          <w:rFonts w:hint="eastAsia" w:eastAsia="仿宋_GB2312"/>
          <w:b/>
          <w:color w:val="auto"/>
          <w:sz w:val="36"/>
          <w:szCs w:val="36"/>
          <w:u w:val="single"/>
          <w:lang w:val="en-US" w:eastAsia="zh-CN"/>
        </w:rPr>
        <w:t>10</w:t>
      </w:r>
      <w:r>
        <w:rPr>
          <w:rFonts w:eastAsia="仿宋_GB2312"/>
          <w:b/>
          <w:color w:val="auto"/>
          <w:sz w:val="36"/>
          <w:szCs w:val="36"/>
          <w:u w:val="single"/>
        </w:rPr>
        <w:t>月</w:t>
      </w:r>
      <w:r>
        <w:rPr>
          <w:rFonts w:eastAsia="仿宋_GB2312"/>
          <w:color w:val="auto"/>
          <w:sz w:val="36"/>
          <w:szCs w:val="36"/>
          <w:u w:val="single"/>
        </w:rPr>
        <w:t xml:space="preserve">   </w:t>
      </w:r>
      <w:r>
        <w:rPr>
          <w:rFonts w:hint="eastAsia" w:eastAsia="仿宋_GB2312"/>
          <w:color w:val="auto"/>
          <w:sz w:val="36"/>
          <w:szCs w:val="36"/>
          <w:u w:val="single"/>
          <w:lang w:val="en-US" w:eastAsia="zh-CN"/>
        </w:rPr>
        <w:t xml:space="preserve"> </w:t>
      </w:r>
      <w:r>
        <w:rPr>
          <w:rFonts w:eastAsia="仿宋_GB2312"/>
          <w:color w:val="auto"/>
          <w:sz w:val="36"/>
          <w:szCs w:val="36"/>
          <w:u w:val="single"/>
        </w:rPr>
        <w:t xml:space="preserve"> </w:t>
      </w:r>
      <w:r>
        <w:rPr>
          <w:rFonts w:hint="eastAsia" w:eastAsia="仿宋_GB2312"/>
          <w:color w:val="auto"/>
          <w:sz w:val="36"/>
          <w:szCs w:val="36"/>
          <w:u w:val="single"/>
          <w:lang w:val="en-US" w:eastAsia="zh-CN"/>
        </w:rPr>
        <w:t xml:space="preserve"> </w:t>
      </w:r>
      <w:r>
        <w:rPr>
          <w:rFonts w:eastAsia="仿宋_GB2312"/>
          <w:color w:val="auto"/>
          <w:sz w:val="36"/>
          <w:szCs w:val="36"/>
          <w:u w:val="single"/>
        </w:rPr>
        <w:t xml:space="preserve">     </w:t>
      </w:r>
    </w:p>
    <w:p w14:paraId="5B77F14D">
      <w:pPr>
        <w:adjustRightInd w:val="0"/>
        <w:snapToGrid w:val="0"/>
        <w:spacing w:line="288" w:lineRule="auto"/>
        <w:ind w:firstLine="1040"/>
        <w:rPr>
          <w:rFonts w:ascii="仿宋_GB2312" w:eastAsia="仿宋_GB2312"/>
          <w:color w:val="auto"/>
          <w:sz w:val="36"/>
          <w:szCs w:val="36"/>
          <w:u w:val="single"/>
        </w:rPr>
      </w:pPr>
      <w:bookmarkStart w:id="1" w:name="_Hlk57884087"/>
    </w:p>
    <w:p w14:paraId="01CC9328">
      <w:pPr>
        <w:adjustRightInd w:val="0"/>
        <w:snapToGrid w:val="0"/>
        <w:spacing w:line="288" w:lineRule="auto"/>
        <w:ind w:firstLine="1040"/>
        <w:rPr>
          <w:rFonts w:ascii="仿宋_GB2312" w:eastAsia="仿宋_GB2312"/>
          <w:color w:val="auto"/>
          <w:sz w:val="36"/>
          <w:szCs w:val="36"/>
        </w:rPr>
      </w:pPr>
    </w:p>
    <w:p w14:paraId="50820899">
      <w:pPr>
        <w:adjustRightInd w:val="0"/>
        <w:snapToGrid w:val="0"/>
        <w:spacing w:line="288" w:lineRule="auto"/>
        <w:ind w:firstLine="1040"/>
        <w:rPr>
          <w:rFonts w:ascii="仿宋_GB2312" w:eastAsia="仿宋_GB2312"/>
          <w:color w:val="auto"/>
          <w:sz w:val="36"/>
          <w:szCs w:val="36"/>
        </w:rPr>
      </w:pPr>
    </w:p>
    <w:p w14:paraId="59BD58A8">
      <w:pPr>
        <w:adjustRightInd w:val="0"/>
        <w:snapToGrid w:val="0"/>
        <w:spacing w:line="288" w:lineRule="auto"/>
        <w:ind w:firstLine="1040"/>
        <w:rPr>
          <w:rFonts w:ascii="仿宋_GB2312" w:eastAsia="仿宋_GB2312"/>
          <w:color w:val="auto"/>
          <w:sz w:val="36"/>
          <w:szCs w:val="36"/>
        </w:rPr>
      </w:pPr>
    </w:p>
    <w:p w14:paraId="1365FF86">
      <w:pPr>
        <w:pStyle w:val="27"/>
        <w:ind w:firstLine="640"/>
        <w:rPr>
          <w:color w:val="auto"/>
        </w:rPr>
      </w:pPr>
    </w:p>
    <w:bookmarkEnd w:id="1"/>
    <w:p w14:paraId="5A343AE7">
      <w:pPr>
        <w:adjustRightInd w:val="0"/>
        <w:snapToGrid w:val="0"/>
        <w:spacing w:line="288" w:lineRule="auto"/>
        <w:jc w:val="center"/>
        <w:rPr>
          <w:rFonts w:hint="eastAsia" w:ascii="楷体_GB2312" w:eastAsia="楷体_GB2312"/>
          <w:color w:val="auto"/>
          <w:sz w:val="36"/>
          <w:szCs w:val="36"/>
        </w:rPr>
      </w:pPr>
      <w:r>
        <w:rPr>
          <w:rFonts w:hint="eastAsia" w:ascii="楷体_GB2312" w:eastAsia="楷体_GB2312"/>
          <w:color w:val="auto"/>
          <w:sz w:val="36"/>
          <w:szCs w:val="36"/>
        </w:rPr>
        <w:t>中华人民共和国生态环境部制</w:t>
      </w:r>
    </w:p>
    <w:p w14:paraId="070C5250">
      <w:pPr>
        <w:pStyle w:val="6"/>
        <w:rPr>
          <w:rFonts w:hint="eastAsia" w:ascii="楷体_GB2312" w:eastAsia="楷体_GB2312"/>
          <w:color w:val="auto"/>
          <w:sz w:val="36"/>
          <w:szCs w:val="36"/>
        </w:rPr>
      </w:pPr>
    </w:p>
    <w:p w14:paraId="017C967B">
      <w:pPr>
        <w:rPr>
          <w:color w:val="auto"/>
        </w:rPr>
      </w:pPr>
    </w:p>
    <w:p w14:paraId="2CF3BF65">
      <w:pPr>
        <w:adjustRightInd w:val="0"/>
        <w:snapToGrid w:val="0"/>
        <w:spacing w:line="288" w:lineRule="auto"/>
        <w:ind w:firstLine="1040"/>
        <w:rPr>
          <w:rFonts w:ascii="仿宋_GB2312" w:eastAsia="仿宋_GB2312"/>
          <w:color w:val="auto"/>
          <w:sz w:val="36"/>
          <w:szCs w:val="36"/>
        </w:rPr>
      </w:pPr>
      <w:r>
        <w:rPr>
          <w:rFonts w:ascii="仿宋_GB2312" w:eastAsia="仿宋_GB2312"/>
          <w:color w:val="auto"/>
          <w:sz w:val="36"/>
          <w:szCs w:val="36"/>
        </w:rPr>
        <w:br w:type="page"/>
      </w:r>
    </w:p>
    <w:sdt>
      <w:sdtPr>
        <w:rPr>
          <w:rFonts w:ascii="Times New Roman" w:hAnsi="Times New Roman" w:eastAsia="宋体" w:cs="Times New Roman"/>
          <w:color w:val="auto"/>
          <w:sz w:val="36"/>
          <w:szCs w:val="36"/>
          <w:lang w:val="en-US" w:eastAsia="zh-CN"/>
        </w:rPr>
        <w:id w:val="147472760"/>
        <w15:color w:val="DBDBDB"/>
        <w:docPartObj>
          <w:docPartGallery w:val="Table of Contents"/>
          <w:docPartUnique/>
        </w:docPartObj>
      </w:sdtPr>
      <w:sdtEndPr>
        <w:rPr>
          <w:rFonts w:hint="eastAsia" w:ascii="楷体_GB2312" w:hAnsi="Times New Roman" w:eastAsia="楷体_GB2312" w:cs="Times New Roman"/>
          <w:b/>
          <w:color w:val="auto"/>
          <w:kern w:val="2"/>
          <w:sz w:val="21"/>
          <w:szCs w:val="36"/>
          <w:lang w:val="en-US" w:eastAsia="zh-CN" w:bidi="ar-SA"/>
        </w:rPr>
      </w:sdtEndPr>
      <w:sdtContent>
        <w:p w14:paraId="2DC6DE5E">
          <w:pPr>
            <w:spacing w:before="0" w:beforeLines="0" w:after="0" w:afterLines="0" w:line="240" w:lineRule="auto"/>
            <w:ind w:left="0" w:leftChars="0" w:right="0" w:rightChars="0" w:firstLine="0" w:firstLineChars="0"/>
            <w:jc w:val="center"/>
            <w:rPr>
              <w:rFonts w:ascii="Times New Roman" w:hAnsi="Times New Roman" w:eastAsia="宋体" w:cs="Times New Roman"/>
              <w:color w:val="auto"/>
              <w:sz w:val="36"/>
              <w:szCs w:val="36"/>
            </w:rPr>
          </w:pPr>
          <w:r>
            <w:rPr>
              <w:rFonts w:ascii="Times New Roman" w:hAnsi="Times New Roman" w:eastAsia="宋体" w:cs="Times New Roman"/>
              <w:color w:val="auto"/>
              <w:sz w:val="36"/>
              <w:szCs w:val="36"/>
            </w:rPr>
            <w:t>目</w:t>
          </w:r>
          <w:r>
            <w:rPr>
              <w:rFonts w:hint="eastAsia" w:ascii="Times New Roman" w:hAnsi="Times New Roman" w:eastAsia="宋体" w:cs="Times New Roman"/>
              <w:color w:val="auto"/>
              <w:sz w:val="36"/>
              <w:szCs w:val="36"/>
              <w:lang w:val="en-US" w:eastAsia="zh-CN"/>
            </w:rPr>
            <w:t xml:space="preserve">  </w:t>
          </w:r>
          <w:r>
            <w:rPr>
              <w:rFonts w:ascii="Times New Roman" w:hAnsi="Times New Roman" w:eastAsia="宋体" w:cs="Times New Roman"/>
              <w:color w:val="auto"/>
              <w:sz w:val="36"/>
              <w:szCs w:val="36"/>
            </w:rPr>
            <w:t>录</w:t>
          </w:r>
        </w:p>
        <w:p w14:paraId="749637ED">
          <w:pPr>
            <w:pStyle w:val="91"/>
            <w:keepNext w:val="0"/>
            <w:keepLines w:val="0"/>
            <w:pageBreakBefore w:val="0"/>
            <w:widowControl/>
            <w:tabs>
              <w:tab w:val="right" w:leader="dot" w:pos="8958"/>
            </w:tabs>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Cs/>
              <w:snapToGrid w:val="0"/>
              <w:color w:val="auto"/>
              <w:sz w:val="24"/>
              <w:szCs w:val="24"/>
            </w:rPr>
          </w:pPr>
          <w:r>
            <w:rPr>
              <w:rFonts w:hint="eastAsia" w:ascii="Times New Roman" w:hAnsi="Times New Roman" w:eastAsia="宋体" w:cs="Times New Roman"/>
              <w:bCs/>
              <w:snapToGrid w:val="0"/>
              <w:color w:val="auto"/>
              <w:sz w:val="24"/>
              <w:szCs w:val="24"/>
            </w:rPr>
            <w:fldChar w:fldCharType="begin"/>
          </w:r>
          <w:r>
            <w:rPr>
              <w:rFonts w:hint="eastAsia" w:ascii="Times New Roman" w:hAnsi="Times New Roman" w:eastAsia="宋体" w:cs="Times New Roman"/>
              <w:bCs/>
              <w:snapToGrid w:val="0"/>
              <w:color w:val="auto"/>
              <w:sz w:val="24"/>
              <w:szCs w:val="24"/>
            </w:rPr>
            <w:instrText xml:space="preserve">TOC \o "1-2" \h \u </w:instrText>
          </w:r>
          <w:r>
            <w:rPr>
              <w:rFonts w:hint="eastAsia" w:ascii="Times New Roman" w:hAnsi="Times New Roman" w:eastAsia="宋体" w:cs="Times New Roman"/>
              <w:bCs/>
              <w:snapToGrid w:val="0"/>
              <w:color w:val="auto"/>
              <w:sz w:val="24"/>
              <w:szCs w:val="24"/>
            </w:rPr>
            <w:fldChar w:fldCharType="separate"/>
          </w:r>
          <w:r>
            <w:rPr>
              <w:rFonts w:hint="eastAsia" w:ascii="Times New Roman" w:hAnsi="Times New Roman" w:eastAsia="宋体" w:cs="Times New Roman"/>
              <w:bCs/>
              <w:snapToGrid w:val="0"/>
              <w:color w:val="auto"/>
              <w:sz w:val="24"/>
              <w:szCs w:val="24"/>
            </w:rPr>
            <w:fldChar w:fldCharType="begin"/>
          </w:r>
          <w:r>
            <w:rPr>
              <w:rFonts w:hint="eastAsia" w:ascii="Times New Roman" w:hAnsi="Times New Roman" w:eastAsia="宋体" w:cs="Times New Roman"/>
              <w:bCs/>
              <w:snapToGrid w:val="0"/>
              <w:color w:val="auto"/>
              <w:sz w:val="24"/>
              <w:szCs w:val="24"/>
            </w:rPr>
            <w:instrText xml:space="preserve"> HYPERLINK \l _Toc8264 </w:instrText>
          </w:r>
          <w:r>
            <w:rPr>
              <w:rFonts w:hint="eastAsia" w:ascii="Times New Roman" w:hAnsi="Times New Roman" w:eastAsia="宋体" w:cs="Times New Roman"/>
              <w:bCs/>
              <w:snapToGrid w:val="0"/>
              <w:color w:val="auto"/>
              <w:sz w:val="24"/>
              <w:szCs w:val="24"/>
            </w:rPr>
            <w:fldChar w:fldCharType="separate"/>
          </w:r>
          <w:r>
            <w:rPr>
              <w:rFonts w:hint="eastAsia" w:ascii="Times New Roman" w:hAnsi="Times New Roman" w:eastAsia="宋体" w:cs="Times New Roman"/>
              <w:bCs/>
              <w:snapToGrid w:val="0"/>
              <w:color w:val="auto"/>
              <w:sz w:val="24"/>
              <w:szCs w:val="24"/>
            </w:rPr>
            <w:t>一、建设项目基本情况</w:t>
          </w:r>
          <w:r>
            <w:rPr>
              <w:rFonts w:hint="eastAsia" w:ascii="Times New Roman" w:hAnsi="Times New Roman" w:eastAsia="宋体" w:cs="Times New Roman"/>
              <w:bCs/>
              <w:snapToGrid w:val="0"/>
              <w:color w:val="auto"/>
              <w:sz w:val="24"/>
              <w:szCs w:val="24"/>
            </w:rPr>
            <w:tab/>
          </w:r>
          <w:r>
            <w:rPr>
              <w:rFonts w:hint="eastAsia" w:ascii="Times New Roman" w:hAnsi="Times New Roman" w:eastAsia="宋体" w:cs="Times New Roman"/>
              <w:bCs/>
              <w:snapToGrid w:val="0"/>
              <w:color w:val="auto"/>
              <w:sz w:val="24"/>
              <w:szCs w:val="24"/>
            </w:rPr>
            <w:fldChar w:fldCharType="begin"/>
          </w:r>
          <w:r>
            <w:rPr>
              <w:rFonts w:hint="eastAsia" w:ascii="Times New Roman" w:hAnsi="Times New Roman" w:eastAsia="宋体" w:cs="Times New Roman"/>
              <w:bCs/>
              <w:snapToGrid w:val="0"/>
              <w:color w:val="auto"/>
              <w:sz w:val="24"/>
              <w:szCs w:val="24"/>
            </w:rPr>
            <w:instrText xml:space="preserve"> PAGEREF _Toc8264 \h </w:instrText>
          </w:r>
          <w:r>
            <w:rPr>
              <w:rFonts w:hint="eastAsia" w:ascii="Times New Roman" w:hAnsi="Times New Roman" w:eastAsia="宋体" w:cs="Times New Roman"/>
              <w:bCs/>
              <w:snapToGrid w:val="0"/>
              <w:color w:val="auto"/>
              <w:sz w:val="24"/>
              <w:szCs w:val="24"/>
            </w:rPr>
            <w:fldChar w:fldCharType="separate"/>
          </w:r>
          <w:r>
            <w:rPr>
              <w:rFonts w:hint="eastAsia" w:ascii="Times New Roman" w:hAnsi="Times New Roman" w:eastAsia="宋体" w:cs="Times New Roman"/>
              <w:bCs/>
              <w:snapToGrid w:val="0"/>
              <w:color w:val="auto"/>
              <w:sz w:val="24"/>
              <w:szCs w:val="24"/>
            </w:rPr>
            <w:t>1</w:t>
          </w:r>
          <w:r>
            <w:rPr>
              <w:rFonts w:hint="eastAsia" w:ascii="Times New Roman" w:hAnsi="Times New Roman" w:eastAsia="宋体" w:cs="Times New Roman"/>
              <w:bCs/>
              <w:snapToGrid w:val="0"/>
              <w:color w:val="auto"/>
              <w:sz w:val="24"/>
              <w:szCs w:val="24"/>
            </w:rPr>
            <w:fldChar w:fldCharType="end"/>
          </w:r>
          <w:r>
            <w:rPr>
              <w:rFonts w:hint="eastAsia" w:ascii="Times New Roman" w:hAnsi="Times New Roman" w:eastAsia="宋体" w:cs="Times New Roman"/>
              <w:bCs/>
              <w:snapToGrid w:val="0"/>
              <w:color w:val="auto"/>
              <w:sz w:val="24"/>
              <w:szCs w:val="24"/>
            </w:rPr>
            <w:fldChar w:fldCharType="end"/>
          </w:r>
        </w:p>
        <w:p w14:paraId="3567F78F">
          <w:pPr>
            <w:pStyle w:val="91"/>
            <w:keepNext w:val="0"/>
            <w:keepLines w:val="0"/>
            <w:pageBreakBefore w:val="0"/>
            <w:widowControl/>
            <w:tabs>
              <w:tab w:val="right" w:leader="dot" w:pos="8958"/>
            </w:tabs>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Cs/>
              <w:snapToGrid w:val="0"/>
              <w:color w:val="auto"/>
              <w:sz w:val="24"/>
              <w:szCs w:val="24"/>
            </w:rPr>
          </w:pPr>
          <w:r>
            <w:rPr>
              <w:rFonts w:hint="eastAsia" w:ascii="Times New Roman" w:hAnsi="Times New Roman" w:eastAsia="宋体" w:cs="Times New Roman"/>
              <w:bCs/>
              <w:snapToGrid w:val="0"/>
              <w:color w:val="auto"/>
              <w:sz w:val="24"/>
              <w:szCs w:val="24"/>
            </w:rPr>
            <w:fldChar w:fldCharType="begin"/>
          </w:r>
          <w:r>
            <w:rPr>
              <w:rFonts w:hint="eastAsia" w:ascii="Times New Roman" w:hAnsi="Times New Roman" w:eastAsia="宋体" w:cs="Times New Roman"/>
              <w:bCs/>
              <w:snapToGrid w:val="0"/>
              <w:color w:val="auto"/>
              <w:sz w:val="24"/>
              <w:szCs w:val="24"/>
            </w:rPr>
            <w:instrText xml:space="preserve"> HYPERLINK \l _Toc18599 </w:instrText>
          </w:r>
          <w:r>
            <w:rPr>
              <w:rFonts w:hint="eastAsia" w:ascii="Times New Roman" w:hAnsi="Times New Roman" w:eastAsia="宋体" w:cs="Times New Roman"/>
              <w:bCs/>
              <w:snapToGrid w:val="0"/>
              <w:color w:val="auto"/>
              <w:sz w:val="24"/>
              <w:szCs w:val="24"/>
            </w:rPr>
            <w:fldChar w:fldCharType="separate"/>
          </w:r>
          <w:r>
            <w:rPr>
              <w:rFonts w:hint="eastAsia" w:ascii="Times New Roman" w:hAnsi="Times New Roman" w:eastAsia="宋体" w:cs="Times New Roman"/>
              <w:bCs/>
              <w:snapToGrid w:val="0"/>
              <w:color w:val="auto"/>
              <w:sz w:val="24"/>
              <w:szCs w:val="24"/>
            </w:rPr>
            <w:t>二、建设项目工程分析</w:t>
          </w:r>
          <w:r>
            <w:rPr>
              <w:rFonts w:hint="eastAsia" w:ascii="Times New Roman" w:hAnsi="Times New Roman" w:eastAsia="宋体" w:cs="Times New Roman"/>
              <w:bCs/>
              <w:snapToGrid w:val="0"/>
              <w:color w:val="auto"/>
              <w:sz w:val="24"/>
              <w:szCs w:val="24"/>
            </w:rPr>
            <w:tab/>
          </w:r>
          <w:r>
            <w:rPr>
              <w:rFonts w:hint="eastAsia" w:ascii="Times New Roman" w:hAnsi="Times New Roman" w:eastAsia="宋体" w:cs="Times New Roman"/>
              <w:bCs/>
              <w:snapToGrid w:val="0"/>
              <w:color w:val="auto"/>
              <w:sz w:val="24"/>
              <w:szCs w:val="24"/>
            </w:rPr>
            <w:fldChar w:fldCharType="begin"/>
          </w:r>
          <w:r>
            <w:rPr>
              <w:rFonts w:hint="eastAsia" w:ascii="Times New Roman" w:hAnsi="Times New Roman" w:eastAsia="宋体" w:cs="Times New Roman"/>
              <w:bCs/>
              <w:snapToGrid w:val="0"/>
              <w:color w:val="auto"/>
              <w:sz w:val="24"/>
              <w:szCs w:val="24"/>
            </w:rPr>
            <w:instrText xml:space="preserve"> PAGEREF _Toc18599 \h </w:instrText>
          </w:r>
          <w:r>
            <w:rPr>
              <w:rFonts w:hint="eastAsia" w:ascii="Times New Roman" w:hAnsi="Times New Roman" w:eastAsia="宋体" w:cs="Times New Roman"/>
              <w:bCs/>
              <w:snapToGrid w:val="0"/>
              <w:color w:val="auto"/>
              <w:sz w:val="24"/>
              <w:szCs w:val="24"/>
            </w:rPr>
            <w:fldChar w:fldCharType="separate"/>
          </w:r>
          <w:r>
            <w:rPr>
              <w:rFonts w:hint="eastAsia" w:ascii="Times New Roman" w:hAnsi="Times New Roman" w:eastAsia="宋体" w:cs="Times New Roman"/>
              <w:bCs/>
              <w:snapToGrid w:val="0"/>
              <w:color w:val="auto"/>
              <w:sz w:val="24"/>
              <w:szCs w:val="24"/>
            </w:rPr>
            <w:t>30</w:t>
          </w:r>
          <w:r>
            <w:rPr>
              <w:rFonts w:hint="eastAsia" w:ascii="Times New Roman" w:hAnsi="Times New Roman" w:eastAsia="宋体" w:cs="Times New Roman"/>
              <w:bCs/>
              <w:snapToGrid w:val="0"/>
              <w:color w:val="auto"/>
              <w:sz w:val="24"/>
              <w:szCs w:val="24"/>
            </w:rPr>
            <w:fldChar w:fldCharType="end"/>
          </w:r>
          <w:r>
            <w:rPr>
              <w:rFonts w:hint="eastAsia" w:ascii="Times New Roman" w:hAnsi="Times New Roman" w:eastAsia="宋体" w:cs="Times New Roman"/>
              <w:bCs/>
              <w:snapToGrid w:val="0"/>
              <w:color w:val="auto"/>
              <w:sz w:val="24"/>
              <w:szCs w:val="24"/>
            </w:rPr>
            <w:fldChar w:fldCharType="end"/>
          </w:r>
        </w:p>
        <w:p w14:paraId="22F9F5C4">
          <w:pPr>
            <w:pStyle w:val="91"/>
            <w:keepNext w:val="0"/>
            <w:keepLines w:val="0"/>
            <w:pageBreakBefore w:val="0"/>
            <w:widowControl/>
            <w:tabs>
              <w:tab w:val="right" w:leader="dot" w:pos="8958"/>
            </w:tabs>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Cs/>
              <w:snapToGrid w:val="0"/>
              <w:color w:val="auto"/>
              <w:sz w:val="24"/>
              <w:szCs w:val="24"/>
            </w:rPr>
          </w:pPr>
          <w:r>
            <w:rPr>
              <w:rFonts w:hint="eastAsia" w:ascii="Times New Roman" w:hAnsi="Times New Roman" w:eastAsia="宋体" w:cs="Times New Roman"/>
              <w:bCs/>
              <w:snapToGrid w:val="0"/>
              <w:color w:val="auto"/>
              <w:sz w:val="24"/>
              <w:szCs w:val="24"/>
            </w:rPr>
            <w:fldChar w:fldCharType="begin"/>
          </w:r>
          <w:r>
            <w:rPr>
              <w:rFonts w:hint="eastAsia" w:ascii="Times New Roman" w:hAnsi="Times New Roman" w:eastAsia="宋体" w:cs="Times New Roman"/>
              <w:bCs/>
              <w:snapToGrid w:val="0"/>
              <w:color w:val="auto"/>
              <w:sz w:val="24"/>
              <w:szCs w:val="24"/>
            </w:rPr>
            <w:instrText xml:space="preserve"> HYPERLINK \l _Toc24459 </w:instrText>
          </w:r>
          <w:r>
            <w:rPr>
              <w:rFonts w:hint="eastAsia" w:ascii="Times New Roman" w:hAnsi="Times New Roman" w:eastAsia="宋体" w:cs="Times New Roman"/>
              <w:bCs/>
              <w:snapToGrid w:val="0"/>
              <w:color w:val="auto"/>
              <w:sz w:val="24"/>
              <w:szCs w:val="24"/>
            </w:rPr>
            <w:fldChar w:fldCharType="separate"/>
          </w:r>
          <w:r>
            <w:rPr>
              <w:rFonts w:hint="eastAsia" w:ascii="Times New Roman" w:hAnsi="Times New Roman" w:eastAsia="宋体" w:cs="Times New Roman"/>
              <w:bCs/>
              <w:snapToGrid w:val="0"/>
              <w:color w:val="auto"/>
              <w:sz w:val="24"/>
              <w:szCs w:val="24"/>
            </w:rPr>
            <w:t>三、区域环境质量现状、环境保护目标及评价标准</w:t>
          </w:r>
          <w:r>
            <w:rPr>
              <w:rFonts w:hint="eastAsia" w:ascii="Times New Roman" w:hAnsi="Times New Roman" w:eastAsia="宋体" w:cs="Times New Roman"/>
              <w:bCs/>
              <w:snapToGrid w:val="0"/>
              <w:color w:val="auto"/>
              <w:sz w:val="24"/>
              <w:szCs w:val="24"/>
            </w:rPr>
            <w:tab/>
          </w:r>
          <w:r>
            <w:rPr>
              <w:rFonts w:hint="eastAsia" w:ascii="Times New Roman" w:hAnsi="Times New Roman" w:eastAsia="宋体" w:cs="Times New Roman"/>
              <w:bCs/>
              <w:snapToGrid w:val="0"/>
              <w:color w:val="auto"/>
              <w:sz w:val="24"/>
              <w:szCs w:val="24"/>
            </w:rPr>
            <w:fldChar w:fldCharType="begin"/>
          </w:r>
          <w:r>
            <w:rPr>
              <w:rFonts w:hint="eastAsia" w:ascii="Times New Roman" w:hAnsi="Times New Roman" w:eastAsia="宋体" w:cs="Times New Roman"/>
              <w:bCs/>
              <w:snapToGrid w:val="0"/>
              <w:color w:val="auto"/>
              <w:sz w:val="24"/>
              <w:szCs w:val="24"/>
            </w:rPr>
            <w:instrText xml:space="preserve"> PAGEREF _Toc24459 \h </w:instrText>
          </w:r>
          <w:r>
            <w:rPr>
              <w:rFonts w:hint="eastAsia" w:ascii="Times New Roman" w:hAnsi="Times New Roman" w:eastAsia="宋体" w:cs="Times New Roman"/>
              <w:bCs/>
              <w:snapToGrid w:val="0"/>
              <w:color w:val="auto"/>
              <w:sz w:val="24"/>
              <w:szCs w:val="24"/>
            </w:rPr>
            <w:fldChar w:fldCharType="separate"/>
          </w:r>
          <w:r>
            <w:rPr>
              <w:rFonts w:hint="eastAsia" w:ascii="Times New Roman" w:hAnsi="Times New Roman" w:eastAsia="宋体" w:cs="Times New Roman"/>
              <w:bCs/>
              <w:snapToGrid w:val="0"/>
              <w:color w:val="auto"/>
              <w:sz w:val="24"/>
              <w:szCs w:val="24"/>
            </w:rPr>
            <w:t>57</w:t>
          </w:r>
          <w:r>
            <w:rPr>
              <w:rFonts w:hint="eastAsia" w:ascii="Times New Roman" w:hAnsi="Times New Roman" w:eastAsia="宋体" w:cs="Times New Roman"/>
              <w:bCs/>
              <w:snapToGrid w:val="0"/>
              <w:color w:val="auto"/>
              <w:sz w:val="24"/>
              <w:szCs w:val="24"/>
            </w:rPr>
            <w:fldChar w:fldCharType="end"/>
          </w:r>
          <w:r>
            <w:rPr>
              <w:rFonts w:hint="eastAsia" w:ascii="Times New Roman" w:hAnsi="Times New Roman" w:eastAsia="宋体" w:cs="Times New Roman"/>
              <w:bCs/>
              <w:snapToGrid w:val="0"/>
              <w:color w:val="auto"/>
              <w:sz w:val="24"/>
              <w:szCs w:val="24"/>
            </w:rPr>
            <w:fldChar w:fldCharType="end"/>
          </w:r>
        </w:p>
        <w:p w14:paraId="73C2F8AA">
          <w:pPr>
            <w:pStyle w:val="91"/>
            <w:keepNext w:val="0"/>
            <w:keepLines w:val="0"/>
            <w:pageBreakBefore w:val="0"/>
            <w:widowControl/>
            <w:tabs>
              <w:tab w:val="right" w:leader="dot" w:pos="8958"/>
            </w:tabs>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Cs/>
              <w:snapToGrid w:val="0"/>
              <w:color w:val="auto"/>
              <w:sz w:val="24"/>
              <w:szCs w:val="24"/>
            </w:rPr>
          </w:pPr>
          <w:r>
            <w:rPr>
              <w:rFonts w:hint="eastAsia" w:ascii="Times New Roman" w:hAnsi="Times New Roman" w:eastAsia="宋体" w:cs="Times New Roman"/>
              <w:bCs/>
              <w:snapToGrid w:val="0"/>
              <w:color w:val="auto"/>
              <w:sz w:val="24"/>
              <w:szCs w:val="24"/>
            </w:rPr>
            <w:fldChar w:fldCharType="begin"/>
          </w:r>
          <w:r>
            <w:rPr>
              <w:rFonts w:hint="eastAsia" w:ascii="Times New Roman" w:hAnsi="Times New Roman" w:eastAsia="宋体" w:cs="Times New Roman"/>
              <w:bCs/>
              <w:snapToGrid w:val="0"/>
              <w:color w:val="auto"/>
              <w:sz w:val="24"/>
              <w:szCs w:val="24"/>
            </w:rPr>
            <w:instrText xml:space="preserve"> HYPERLINK \l _Toc14668 </w:instrText>
          </w:r>
          <w:r>
            <w:rPr>
              <w:rFonts w:hint="eastAsia" w:ascii="Times New Roman" w:hAnsi="Times New Roman" w:eastAsia="宋体" w:cs="Times New Roman"/>
              <w:bCs/>
              <w:snapToGrid w:val="0"/>
              <w:color w:val="auto"/>
              <w:sz w:val="24"/>
              <w:szCs w:val="24"/>
            </w:rPr>
            <w:fldChar w:fldCharType="separate"/>
          </w:r>
          <w:r>
            <w:rPr>
              <w:rFonts w:hint="eastAsia" w:ascii="Times New Roman" w:hAnsi="Times New Roman" w:eastAsia="宋体" w:cs="Times New Roman"/>
              <w:bCs/>
              <w:snapToGrid w:val="0"/>
              <w:color w:val="auto"/>
              <w:sz w:val="24"/>
              <w:szCs w:val="24"/>
            </w:rPr>
            <w:t>四、主要环境影响和保护措施</w:t>
          </w:r>
          <w:r>
            <w:rPr>
              <w:rFonts w:hint="eastAsia" w:ascii="Times New Roman" w:hAnsi="Times New Roman" w:eastAsia="宋体" w:cs="Times New Roman"/>
              <w:bCs/>
              <w:snapToGrid w:val="0"/>
              <w:color w:val="auto"/>
              <w:sz w:val="24"/>
              <w:szCs w:val="24"/>
            </w:rPr>
            <w:tab/>
          </w:r>
          <w:r>
            <w:rPr>
              <w:rFonts w:hint="eastAsia" w:ascii="Times New Roman" w:hAnsi="Times New Roman" w:eastAsia="宋体" w:cs="Times New Roman"/>
              <w:bCs/>
              <w:snapToGrid w:val="0"/>
              <w:color w:val="auto"/>
              <w:sz w:val="24"/>
              <w:szCs w:val="24"/>
            </w:rPr>
            <w:fldChar w:fldCharType="begin"/>
          </w:r>
          <w:r>
            <w:rPr>
              <w:rFonts w:hint="eastAsia" w:ascii="Times New Roman" w:hAnsi="Times New Roman" w:eastAsia="宋体" w:cs="Times New Roman"/>
              <w:bCs/>
              <w:snapToGrid w:val="0"/>
              <w:color w:val="auto"/>
              <w:sz w:val="24"/>
              <w:szCs w:val="24"/>
            </w:rPr>
            <w:instrText xml:space="preserve"> PAGEREF _Toc14668 \h </w:instrText>
          </w:r>
          <w:r>
            <w:rPr>
              <w:rFonts w:hint="eastAsia" w:ascii="Times New Roman" w:hAnsi="Times New Roman" w:eastAsia="宋体" w:cs="Times New Roman"/>
              <w:bCs/>
              <w:snapToGrid w:val="0"/>
              <w:color w:val="auto"/>
              <w:sz w:val="24"/>
              <w:szCs w:val="24"/>
            </w:rPr>
            <w:fldChar w:fldCharType="separate"/>
          </w:r>
          <w:r>
            <w:rPr>
              <w:rFonts w:hint="eastAsia" w:ascii="Times New Roman" w:hAnsi="Times New Roman" w:eastAsia="宋体" w:cs="Times New Roman"/>
              <w:bCs/>
              <w:snapToGrid w:val="0"/>
              <w:color w:val="auto"/>
              <w:sz w:val="24"/>
              <w:szCs w:val="24"/>
            </w:rPr>
            <w:t>62</w:t>
          </w:r>
          <w:r>
            <w:rPr>
              <w:rFonts w:hint="eastAsia" w:ascii="Times New Roman" w:hAnsi="Times New Roman" w:eastAsia="宋体" w:cs="Times New Roman"/>
              <w:bCs/>
              <w:snapToGrid w:val="0"/>
              <w:color w:val="auto"/>
              <w:sz w:val="24"/>
              <w:szCs w:val="24"/>
            </w:rPr>
            <w:fldChar w:fldCharType="end"/>
          </w:r>
          <w:r>
            <w:rPr>
              <w:rFonts w:hint="eastAsia" w:ascii="Times New Roman" w:hAnsi="Times New Roman" w:eastAsia="宋体" w:cs="Times New Roman"/>
              <w:bCs/>
              <w:snapToGrid w:val="0"/>
              <w:color w:val="auto"/>
              <w:sz w:val="24"/>
              <w:szCs w:val="24"/>
            </w:rPr>
            <w:fldChar w:fldCharType="end"/>
          </w:r>
        </w:p>
        <w:p w14:paraId="4217BC1E">
          <w:pPr>
            <w:pStyle w:val="91"/>
            <w:keepNext w:val="0"/>
            <w:keepLines w:val="0"/>
            <w:pageBreakBefore w:val="0"/>
            <w:widowControl/>
            <w:tabs>
              <w:tab w:val="right" w:leader="dot" w:pos="8958"/>
            </w:tabs>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Cs/>
              <w:snapToGrid w:val="0"/>
              <w:color w:val="auto"/>
              <w:sz w:val="24"/>
              <w:szCs w:val="24"/>
            </w:rPr>
          </w:pPr>
          <w:r>
            <w:rPr>
              <w:rFonts w:hint="eastAsia" w:ascii="Times New Roman" w:hAnsi="Times New Roman" w:eastAsia="宋体" w:cs="Times New Roman"/>
              <w:bCs/>
              <w:snapToGrid w:val="0"/>
              <w:color w:val="auto"/>
              <w:sz w:val="24"/>
              <w:szCs w:val="24"/>
            </w:rPr>
            <w:fldChar w:fldCharType="begin"/>
          </w:r>
          <w:r>
            <w:rPr>
              <w:rFonts w:hint="eastAsia" w:ascii="Times New Roman" w:hAnsi="Times New Roman" w:eastAsia="宋体" w:cs="Times New Roman"/>
              <w:bCs/>
              <w:snapToGrid w:val="0"/>
              <w:color w:val="auto"/>
              <w:sz w:val="24"/>
              <w:szCs w:val="24"/>
            </w:rPr>
            <w:instrText xml:space="preserve"> HYPERLINK \l _Toc9584 </w:instrText>
          </w:r>
          <w:r>
            <w:rPr>
              <w:rFonts w:hint="eastAsia" w:ascii="Times New Roman" w:hAnsi="Times New Roman" w:eastAsia="宋体" w:cs="Times New Roman"/>
              <w:bCs/>
              <w:snapToGrid w:val="0"/>
              <w:color w:val="auto"/>
              <w:sz w:val="24"/>
              <w:szCs w:val="24"/>
            </w:rPr>
            <w:fldChar w:fldCharType="separate"/>
          </w:r>
          <w:r>
            <w:rPr>
              <w:rFonts w:hint="eastAsia" w:ascii="Times New Roman" w:hAnsi="Times New Roman" w:eastAsia="宋体" w:cs="Times New Roman"/>
              <w:bCs/>
              <w:snapToGrid w:val="0"/>
              <w:color w:val="auto"/>
              <w:sz w:val="24"/>
              <w:szCs w:val="24"/>
            </w:rPr>
            <w:t>五、环境保护措施监督检查清单</w:t>
          </w:r>
          <w:r>
            <w:rPr>
              <w:rFonts w:hint="eastAsia" w:ascii="Times New Roman" w:hAnsi="Times New Roman" w:eastAsia="宋体" w:cs="Times New Roman"/>
              <w:bCs/>
              <w:snapToGrid w:val="0"/>
              <w:color w:val="auto"/>
              <w:sz w:val="24"/>
              <w:szCs w:val="24"/>
            </w:rPr>
            <w:tab/>
          </w:r>
          <w:r>
            <w:rPr>
              <w:rFonts w:hint="eastAsia" w:ascii="Times New Roman" w:hAnsi="Times New Roman" w:eastAsia="宋体" w:cs="Times New Roman"/>
              <w:bCs/>
              <w:snapToGrid w:val="0"/>
              <w:color w:val="auto"/>
              <w:sz w:val="24"/>
              <w:szCs w:val="24"/>
            </w:rPr>
            <w:fldChar w:fldCharType="begin"/>
          </w:r>
          <w:r>
            <w:rPr>
              <w:rFonts w:hint="eastAsia" w:ascii="Times New Roman" w:hAnsi="Times New Roman" w:eastAsia="宋体" w:cs="Times New Roman"/>
              <w:bCs/>
              <w:snapToGrid w:val="0"/>
              <w:color w:val="auto"/>
              <w:sz w:val="24"/>
              <w:szCs w:val="24"/>
            </w:rPr>
            <w:instrText xml:space="preserve"> PAGEREF _Toc9584 \h </w:instrText>
          </w:r>
          <w:r>
            <w:rPr>
              <w:rFonts w:hint="eastAsia" w:ascii="Times New Roman" w:hAnsi="Times New Roman" w:eastAsia="宋体" w:cs="Times New Roman"/>
              <w:bCs/>
              <w:snapToGrid w:val="0"/>
              <w:color w:val="auto"/>
              <w:sz w:val="24"/>
              <w:szCs w:val="24"/>
            </w:rPr>
            <w:fldChar w:fldCharType="separate"/>
          </w:r>
          <w:r>
            <w:rPr>
              <w:rFonts w:hint="eastAsia" w:ascii="Times New Roman" w:hAnsi="Times New Roman" w:eastAsia="宋体" w:cs="Times New Roman"/>
              <w:bCs/>
              <w:snapToGrid w:val="0"/>
              <w:color w:val="auto"/>
              <w:sz w:val="24"/>
              <w:szCs w:val="24"/>
            </w:rPr>
            <w:t>95</w:t>
          </w:r>
          <w:r>
            <w:rPr>
              <w:rFonts w:hint="eastAsia" w:ascii="Times New Roman" w:hAnsi="Times New Roman" w:eastAsia="宋体" w:cs="Times New Roman"/>
              <w:bCs/>
              <w:snapToGrid w:val="0"/>
              <w:color w:val="auto"/>
              <w:sz w:val="24"/>
              <w:szCs w:val="24"/>
            </w:rPr>
            <w:fldChar w:fldCharType="end"/>
          </w:r>
          <w:r>
            <w:rPr>
              <w:rFonts w:hint="eastAsia" w:ascii="Times New Roman" w:hAnsi="Times New Roman" w:eastAsia="宋体" w:cs="Times New Roman"/>
              <w:bCs/>
              <w:snapToGrid w:val="0"/>
              <w:color w:val="auto"/>
              <w:sz w:val="24"/>
              <w:szCs w:val="24"/>
            </w:rPr>
            <w:fldChar w:fldCharType="end"/>
          </w:r>
        </w:p>
        <w:p w14:paraId="2AC8F5B3">
          <w:pPr>
            <w:pStyle w:val="91"/>
            <w:keepNext w:val="0"/>
            <w:keepLines w:val="0"/>
            <w:pageBreakBefore w:val="0"/>
            <w:widowControl/>
            <w:tabs>
              <w:tab w:val="right" w:leader="dot" w:pos="8958"/>
            </w:tabs>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Cs/>
              <w:snapToGrid w:val="0"/>
              <w:color w:val="auto"/>
              <w:sz w:val="24"/>
              <w:szCs w:val="24"/>
            </w:rPr>
          </w:pPr>
          <w:r>
            <w:rPr>
              <w:rFonts w:hint="eastAsia" w:ascii="Times New Roman" w:hAnsi="Times New Roman" w:eastAsia="宋体" w:cs="Times New Roman"/>
              <w:bCs/>
              <w:snapToGrid w:val="0"/>
              <w:color w:val="auto"/>
              <w:sz w:val="24"/>
              <w:szCs w:val="24"/>
            </w:rPr>
            <w:fldChar w:fldCharType="begin"/>
          </w:r>
          <w:r>
            <w:rPr>
              <w:rFonts w:hint="eastAsia" w:ascii="Times New Roman" w:hAnsi="Times New Roman" w:eastAsia="宋体" w:cs="Times New Roman"/>
              <w:bCs/>
              <w:snapToGrid w:val="0"/>
              <w:color w:val="auto"/>
              <w:sz w:val="24"/>
              <w:szCs w:val="24"/>
            </w:rPr>
            <w:instrText xml:space="preserve"> HYPERLINK \l _Toc14014 </w:instrText>
          </w:r>
          <w:r>
            <w:rPr>
              <w:rFonts w:hint="eastAsia" w:ascii="Times New Roman" w:hAnsi="Times New Roman" w:eastAsia="宋体" w:cs="Times New Roman"/>
              <w:bCs/>
              <w:snapToGrid w:val="0"/>
              <w:color w:val="auto"/>
              <w:sz w:val="24"/>
              <w:szCs w:val="24"/>
            </w:rPr>
            <w:fldChar w:fldCharType="separate"/>
          </w:r>
          <w:r>
            <w:rPr>
              <w:rFonts w:hint="eastAsia" w:ascii="Times New Roman" w:hAnsi="Times New Roman" w:eastAsia="宋体" w:cs="Times New Roman"/>
              <w:bCs/>
              <w:snapToGrid w:val="0"/>
              <w:color w:val="auto"/>
              <w:sz w:val="24"/>
              <w:szCs w:val="24"/>
            </w:rPr>
            <w:t>六、结论</w:t>
          </w:r>
          <w:r>
            <w:rPr>
              <w:rFonts w:hint="eastAsia" w:ascii="Times New Roman" w:hAnsi="Times New Roman" w:eastAsia="宋体" w:cs="Times New Roman"/>
              <w:bCs/>
              <w:snapToGrid w:val="0"/>
              <w:color w:val="auto"/>
              <w:sz w:val="24"/>
              <w:szCs w:val="24"/>
            </w:rPr>
            <w:tab/>
          </w:r>
          <w:r>
            <w:rPr>
              <w:rFonts w:hint="eastAsia" w:ascii="Times New Roman" w:hAnsi="Times New Roman" w:eastAsia="宋体" w:cs="Times New Roman"/>
              <w:bCs/>
              <w:snapToGrid w:val="0"/>
              <w:color w:val="auto"/>
              <w:sz w:val="24"/>
              <w:szCs w:val="24"/>
            </w:rPr>
            <w:fldChar w:fldCharType="begin"/>
          </w:r>
          <w:r>
            <w:rPr>
              <w:rFonts w:hint="eastAsia" w:ascii="Times New Roman" w:hAnsi="Times New Roman" w:eastAsia="宋体" w:cs="Times New Roman"/>
              <w:bCs/>
              <w:snapToGrid w:val="0"/>
              <w:color w:val="auto"/>
              <w:sz w:val="24"/>
              <w:szCs w:val="24"/>
            </w:rPr>
            <w:instrText xml:space="preserve"> PAGEREF _Toc14014 \h </w:instrText>
          </w:r>
          <w:r>
            <w:rPr>
              <w:rFonts w:hint="eastAsia" w:ascii="Times New Roman" w:hAnsi="Times New Roman" w:eastAsia="宋体" w:cs="Times New Roman"/>
              <w:bCs/>
              <w:snapToGrid w:val="0"/>
              <w:color w:val="auto"/>
              <w:sz w:val="24"/>
              <w:szCs w:val="24"/>
            </w:rPr>
            <w:fldChar w:fldCharType="separate"/>
          </w:r>
          <w:r>
            <w:rPr>
              <w:rFonts w:hint="eastAsia" w:ascii="Times New Roman" w:hAnsi="Times New Roman" w:eastAsia="宋体" w:cs="Times New Roman"/>
              <w:bCs/>
              <w:snapToGrid w:val="0"/>
              <w:color w:val="auto"/>
              <w:sz w:val="24"/>
              <w:szCs w:val="24"/>
            </w:rPr>
            <w:t>100</w:t>
          </w:r>
          <w:r>
            <w:rPr>
              <w:rFonts w:hint="eastAsia" w:ascii="Times New Roman" w:hAnsi="Times New Roman" w:eastAsia="宋体" w:cs="Times New Roman"/>
              <w:bCs/>
              <w:snapToGrid w:val="0"/>
              <w:color w:val="auto"/>
              <w:sz w:val="24"/>
              <w:szCs w:val="24"/>
            </w:rPr>
            <w:fldChar w:fldCharType="end"/>
          </w:r>
          <w:r>
            <w:rPr>
              <w:rFonts w:hint="eastAsia" w:ascii="Times New Roman" w:hAnsi="Times New Roman" w:eastAsia="宋体" w:cs="Times New Roman"/>
              <w:bCs/>
              <w:snapToGrid w:val="0"/>
              <w:color w:val="auto"/>
              <w:sz w:val="24"/>
              <w:szCs w:val="24"/>
            </w:rPr>
            <w:fldChar w:fldCharType="end"/>
          </w:r>
        </w:p>
        <w:p w14:paraId="7540F17E">
          <w:pPr>
            <w:pStyle w:val="91"/>
            <w:keepNext w:val="0"/>
            <w:keepLines w:val="0"/>
            <w:pageBreakBefore w:val="0"/>
            <w:widowControl/>
            <w:tabs>
              <w:tab w:val="right" w:leader="dot" w:pos="8958"/>
            </w:tabs>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Cs/>
              <w:snapToGrid w:val="0"/>
              <w:color w:val="auto"/>
              <w:sz w:val="24"/>
              <w:szCs w:val="24"/>
            </w:rPr>
          </w:pPr>
          <w:r>
            <w:rPr>
              <w:rFonts w:hint="eastAsia" w:ascii="Times New Roman" w:hAnsi="Times New Roman" w:eastAsia="宋体" w:cs="Times New Roman"/>
              <w:bCs/>
              <w:snapToGrid w:val="0"/>
              <w:color w:val="auto"/>
              <w:sz w:val="24"/>
              <w:szCs w:val="24"/>
            </w:rPr>
            <w:fldChar w:fldCharType="begin"/>
          </w:r>
          <w:r>
            <w:rPr>
              <w:rFonts w:hint="eastAsia" w:ascii="Times New Roman" w:hAnsi="Times New Roman" w:eastAsia="宋体" w:cs="Times New Roman"/>
              <w:bCs/>
              <w:snapToGrid w:val="0"/>
              <w:color w:val="auto"/>
              <w:sz w:val="24"/>
              <w:szCs w:val="24"/>
            </w:rPr>
            <w:instrText xml:space="preserve"> HYPERLINK \l _Toc4837 </w:instrText>
          </w:r>
          <w:r>
            <w:rPr>
              <w:rFonts w:hint="eastAsia" w:ascii="Times New Roman" w:hAnsi="Times New Roman" w:eastAsia="宋体" w:cs="Times New Roman"/>
              <w:bCs/>
              <w:snapToGrid w:val="0"/>
              <w:color w:val="auto"/>
              <w:sz w:val="24"/>
              <w:szCs w:val="24"/>
            </w:rPr>
            <w:fldChar w:fldCharType="separate"/>
          </w:r>
          <w:r>
            <w:rPr>
              <w:rFonts w:hint="eastAsia" w:ascii="Times New Roman" w:hAnsi="Times New Roman" w:eastAsia="宋体" w:cs="Times New Roman"/>
              <w:bCs/>
              <w:snapToGrid w:val="0"/>
              <w:color w:val="auto"/>
              <w:sz w:val="24"/>
              <w:szCs w:val="24"/>
            </w:rPr>
            <w:t>建设项目污染物排放量汇总表</w:t>
          </w:r>
          <w:r>
            <w:rPr>
              <w:rFonts w:hint="eastAsia" w:ascii="Times New Roman" w:hAnsi="Times New Roman" w:eastAsia="宋体" w:cs="Times New Roman"/>
              <w:bCs/>
              <w:snapToGrid w:val="0"/>
              <w:color w:val="auto"/>
              <w:sz w:val="24"/>
              <w:szCs w:val="24"/>
            </w:rPr>
            <w:tab/>
          </w:r>
          <w:r>
            <w:rPr>
              <w:rFonts w:hint="eastAsia" w:ascii="Times New Roman" w:hAnsi="Times New Roman" w:eastAsia="宋体" w:cs="Times New Roman"/>
              <w:bCs/>
              <w:snapToGrid w:val="0"/>
              <w:color w:val="auto"/>
              <w:sz w:val="24"/>
              <w:szCs w:val="24"/>
            </w:rPr>
            <w:fldChar w:fldCharType="begin"/>
          </w:r>
          <w:r>
            <w:rPr>
              <w:rFonts w:hint="eastAsia" w:ascii="Times New Roman" w:hAnsi="Times New Roman" w:eastAsia="宋体" w:cs="Times New Roman"/>
              <w:bCs/>
              <w:snapToGrid w:val="0"/>
              <w:color w:val="auto"/>
              <w:sz w:val="24"/>
              <w:szCs w:val="24"/>
            </w:rPr>
            <w:instrText xml:space="preserve"> PAGEREF _Toc4837 \h </w:instrText>
          </w:r>
          <w:r>
            <w:rPr>
              <w:rFonts w:hint="eastAsia" w:ascii="Times New Roman" w:hAnsi="Times New Roman" w:eastAsia="宋体" w:cs="Times New Roman"/>
              <w:bCs/>
              <w:snapToGrid w:val="0"/>
              <w:color w:val="auto"/>
              <w:sz w:val="24"/>
              <w:szCs w:val="24"/>
            </w:rPr>
            <w:fldChar w:fldCharType="separate"/>
          </w:r>
          <w:r>
            <w:rPr>
              <w:rFonts w:hint="eastAsia" w:ascii="Times New Roman" w:hAnsi="Times New Roman" w:eastAsia="宋体" w:cs="Times New Roman"/>
              <w:bCs/>
              <w:snapToGrid w:val="0"/>
              <w:color w:val="auto"/>
              <w:sz w:val="24"/>
              <w:szCs w:val="24"/>
            </w:rPr>
            <w:t>101</w:t>
          </w:r>
          <w:r>
            <w:rPr>
              <w:rFonts w:hint="eastAsia" w:ascii="Times New Roman" w:hAnsi="Times New Roman" w:eastAsia="宋体" w:cs="Times New Roman"/>
              <w:bCs/>
              <w:snapToGrid w:val="0"/>
              <w:color w:val="auto"/>
              <w:sz w:val="24"/>
              <w:szCs w:val="24"/>
            </w:rPr>
            <w:fldChar w:fldCharType="end"/>
          </w:r>
          <w:r>
            <w:rPr>
              <w:rFonts w:hint="eastAsia" w:ascii="Times New Roman" w:hAnsi="Times New Roman" w:eastAsia="宋体" w:cs="Times New Roman"/>
              <w:bCs/>
              <w:snapToGrid w:val="0"/>
              <w:color w:val="auto"/>
              <w:sz w:val="24"/>
              <w:szCs w:val="24"/>
            </w:rPr>
            <w:fldChar w:fldCharType="end"/>
          </w:r>
        </w:p>
        <w:p w14:paraId="4F5CB6F1">
          <w:pPr>
            <w:pStyle w:val="91"/>
            <w:keepNext w:val="0"/>
            <w:keepLines w:val="0"/>
            <w:pageBreakBefore w:val="0"/>
            <w:widowControl/>
            <w:tabs>
              <w:tab w:val="right" w:leader="dot" w:pos="8958"/>
            </w:tabs>
            <w:kinsoku/>
            <w:wordWrap/>
            <w:overflowPunct/>
            <w:topLinePunct w:val="0"/>
            <w:autoSpaceDE/>
            <w:autoSpaceDN/>
            <w:bidi w:val="0"/>
            <w:adjustRightInd/>
            <w:snapToGrid/>
            <w:spacing w:line="480" w:lineRule="exact"/>
            <w:textAlignment w:val="auto"/>
            <w:rPr>
              <w:rFonts w:hint="eastAsia" w:ascii="楷体_GB2312" w:hAnsi="Times New Roman" w:eastAsia="楷体_GB2312" w:cs="Times New Roman"/>
              <w:b/>
              <w:color w:val="auto"/>
              <w:kern w:val="2"/>
              <w:sz w:val="21"/>
              <w:szCs w:val="36"/>
              <w:lang w:val="en-US" w:eastAsia="zh-CN" w:bidi="ar-SA"/>
            </w:rPr>
          </w:pPr>
          <w:r>
            <w:rPr>
              <w:rFonts w:hint="eastAsia" w:ascii="Times New Roman" w:hAnsi="Times New Roman" w:eastAsia="宋体" w:cs="Times New Roman"/>
              <w:bCs/>
              <w:snapToGrid w:val="0"/>
              <w:color w:val="auto"/>
              <w:sz w:val="24"/>
              <w:szCs w:val="24"/>
            </w:rPr>
            <w:fldChar w:fldCharType="end"/>
          </w:r>
        </w:p>
      </w:sdtContent>
    </w:sdt>
    <w:p w14:paraId="53BBCAA8">
      <w:pPr>
        <w:pStyle w:val="35"/>
        <w:rPr>
          <w:rFonts w:hint="eastAsia" w:ascii="楷体_GB2312" w:hAnsi="Times New Roman" w:eastAsia="楷体_GB2312" w:cs="Times New Roman"/>
          <w:b/>
          <w:color w:val="auto"/>
          <w:kern w:val="2"/>
          <w:sz w:val="21"/>
          <w:szCs w:val="36"/>
          <w:lang w:val="en-US" w:eastAsia="zh-CN" w:bidi="ar-SA"/>
        </w:rPr>
      </w:pPr>
    </w:p>
    <w:p w14:paraId="3ECBA2E9">
      <w:pPr>
        <w:pStyle w:val="35"/>
        <w:rPr>
          <w:rFonts w:ascii="仿宋_GB2312" w:eastAsia="仿宋_GB2312"/>
          <w:color w:val="auto"/>
          <w:sz w:val="36"/>
          <w:szCs w:val="36"/>
        </w:rPr>
      </w:pPr>
    </w:p>
    <w:p w14:paraId="42EB5F9E">
      <w:pPr>
        <w:pStyle w:val="35"/>
        <w:rPr>
          <w:rFonts w:ascii="仿宋_GB2312" w:eastAsia="仿宋_GB2312"/>
          <w:color w:val="auto"/>
          <w:sz w:val="36"/>
          <w:szCs w:val="36"/>
        </w:rPr>
      </w:pPr>
    </w:p>
    <w:p w14:paraId="33F433C6">
      <w:pPr>
        <w:pStyle w:val="35"/>
        <w:rPr>
          <w:rFonts w:ascii="仿宋_GB2312" w:eastAsia="仿宋_GB2312"/>
          <w:color w:val="auto"/>
          <w:sz w:val="36"/>
          <w:szCs w:val="36"/>
        </w:rPr>
      </w:pPr>
    </w:p>
    <w:p w14:paraId="52E8827E">
      <w:pPr>
        <w:pStyle w:val="35"/>
        <w:rPr>
          <w:rFonts w:ascii="仿宋_GB2312" w:eastAsia="仿宋_GB2312"/>
          <w:color w:val="auto"/>
          <w:sz w:val="36"/>
          <w:szCs w:val="36"/>
        </w:rPr>
      </w:pPr>
    </w:p>
    <w:p w14:paraId="7C5E5AD0">
      <w:pPr>
        <w:pStyle w:val="35"/>
        <w:rPr>
          <w:rFonts w:ascii="仿宋_GB2312" w:eastAsia="仿宋_GB2312"/>
          <w:color w:val="auto"/>
          <w:sz w:val="36"/>
          <w:szCs w:val="36"/>
        </w:rPr>
      </w:pPr>
    </w:p>
    <w:p w14:paraId="27662659">
      <w:pPr>
        <w:pStyle w:val="35"/>
        <w:rPr>
          <w:rFonts w:ascii="仿宋_GB2312" w:eastAsia="仿宋_GB2312"/>
          <w:color w:val="auto"/>
          <w:sz w:val="36"/>
          <w:szCs w:val="36"/>
        </w:rPr>
      </w:pPr>
    </w:p>
    <w:p w14:paraId="200D3461">
      <w:pPr>
        <w:pStyle w:val="35"/>
        <w:rPr>
          <w:rFonts w:ascii="仿宋_GB2312" w:eastAsia="仿宋_GB2312"/>
          <w:color w:val="auto"/>
          <w:sz w:val="36"/>
          <w:szCs w:val="36"/>
        </w:rPr>
      </w:pPr>
    </w:p>
    <w:p w14:paraId="4C7CCDC4">
      <w:pPr>
        <w:pStyle w:val="35"/>
        <w:rPr>
          <w:rFonts w:ascii="仿宋_GB2312" w:eastAsia="仿宋_GB2312"/>
          <w:color w:val="auto"/>
          <w:sz w:val="36"/>
          <w:szCs w:val="36"/>
        </w:rPr>
      </w:pPr>
    </w:p>
    <w:p w14:paraId="4093C9D7">
      <w:pPr>
        <w:pStyle w:val="35"/>
        <w:rPr>
          <w:rFonts w:ascii="仿宋_GB2312" w:eastAsia="仿宋_GB2312"/>
          <w:color w:val="auto"/>
          <w:sz w:val="36"/>
          <w:szCs w:val="36"/>
        </w:rPr>
      </w:pPr>
    </w:p>
    <w:p w14:paraId="621CB816">
      <w:pPr>
        <w:pStyle w:val="35"/>
        <w:rPr>
          <w:rFonts w:ascii="仿宋_GB2312" w:eastAsia="仿宋_GB2312"/>
          <w:color w:val="auto"/>
          <w:sz w:val="36"/>
          <w:szCs w:val="36"/>
        </w:rPr>
      </w:pPr>
    </w:p>
    <w:p w14:paraId="3FF00B7E">
      <w:pPr>
        <w:pStyle w:val="35"/>
        <w:rPr>
          <w:rFonts w:ascii="仿宋_GB2312" w:eastAsia="仿宋_GB2312"/>
          <w:color w:val="auto"/>
          <w:sz w:val="36"/>
          <w:szCs w:val="36"/>
        </w:rPr>
      </w:pPr>
    </w:p>
    <w:p w14:paraId="024A426F">
      <w:pPr>
        <w:pStyle w:val="35"/>
        <w:rPr>
          <w:rFonts w:ascii="仿宋_GB2312" w:eastAsia="仿宋_GB2312"/>
          <w:color w:val="auto"/>
          <w:sz w:val="36"/>
          <w:szCs w:val="36"/>
        </w:rPr>
      </w:pPr>
    </w:p>
    <w:p w14:paraId="176793F3">
      <w:pPr>
        <w:pStyle w:val="35"/>
        <w:rPr>
          <w:rFonts w:ascii="仿宋_GB2312" w:eastAsia="仿宋_GB2312"/>
          <w:color w:val="auto"/>
          <w:sz w:val="36"/>
          <w:szCs w:val="36"/>
        </w:rPr>
      </w:pPr>
    </w:p>
    <w:p w14:paraId="13F64BD0">
      <w:pPr>
        <w:pStyle w:val="35"/>
        <w:rPr>
          <w:rFonts w:ascii="仿宋_GB2312" w:eastAsia="仿宋_GB2312"/>
          <w:color w:val="auto"/>
          <w:sz w:val="36"/>
          <w:szCs w:val="36"/>
        </w:rPr>
      </w:pPr>
    </w:p>
    <w:p w14:paraId="2AF5915C">
      <w:pPr>
        <w:pStyle w:val="35"/>
        <w:rPr>
          <w:rFonts w:ascii="仿宋_GB2312" w:eastAsia="仿宋_GB2312"/>
          <w:color w:val="auto"/>
          <w:sz w:val="36"/>
          <w:szCs w:val="36"/>
        </w:rPr>
      </w:pPr>
    </w:p>
    <w:p w14:paraId="348C5A58">
      <w:pPr>
        <w:pStyle w:val="35"/>
        <w:rPr>
          <w:rFonts w:ascii="仿宋_GB2312" w:eastAsia="仿宋_GB2312"/>
          <w:color w:val="auto"/>
          <w:sz w:val="36"/>
          <w:szCs w:val="36"/>
        </w:rPr>
      </w:pPr>
    </w:p>
    <w:p w14:paraId="12025D23">
      <w:pPr>
        <w:pStyle w:val="35"/>
        <w:rPr>
          <w:rFonts w:ascii="仿宋_GB2312" w:eastAsia="仿宋_GB2312"/>
          <w:color w:val="auto"/>
          <w:sz w:val="36"/>
          <w:szCs w:val="36"/>
        </w:rPr>
      </w:pPr>
    </w:p>
    <w:p w14:paraId="5D151BD3">
      <w:pPr>
        <w:pStyle w:val="35"/>
        <w:rPr>
          <w:rFonts w:ascii="仿宋_GB2312" w:eastAsia="仿宋_GB2312"/>
          <w:color w:val="auto"/>
          <w:sz w:val="36"/>
          <w:szCs w:val="36"/>
        </w:rPr>
      </w:pPr>
    </w:p>
    <w:p w14:paraId="26B0C33A">
      <w:pPr>
        <w:pStyle w:val="35"/>
        <w:rPr>
          <w:rFonts w:ascii="仿宋_GB2312" w:eastAsia="仿宋_GB2312"/>
          <w:color w:val="auto"/>
          <w:sz w:val="36"/>
          <w:szCs w:val="36"/>
        </w:rPr>
      </w:pPr>
    </w:p>
    <w:p w14:paraId="4179CBA0">
      <w:pPr>
        <w:pStyle w:val="35"/>
        <w:rPr>
          <w:rFonts w:ascii="仿宋_GB2312" w:eastAsia="仿宋_GB2312"/>
          <w:color w:val="auto"/>
          <w:sz w:val="36"/>
          <w:szCs w:val="36"/>
        </w:rPr>
      </w:pPr>
    </w:p>
    <w:p w14:paraId="24742841">
      <w:pPr>
        <w:pStyle w:val="35"/>
        <w:rPr>
          <w:rFonts w:ascii="仿宋_GB2312" w:eastAsia="仿宋_GB2312"/>
          <w:color w:val="auto"/>
          <w:sz w:val="36"/>
          <w:szCs w:val="36"/>
        </w:rPr>
      </w:pPr>
    </w:p>
    <w:p w14:paraId="2814E0D7">
      <w:pPr>
        <w:pStyle w:val="35"/>
        <w:rPr>
          <w:rFonts w:ascii="仿宋_GB2312" w:eastAsia="仿宋_GB2312"/>
          <w:color w:val="auto"/>
          <w:sz w:val="36"/>
          <w:szCs w:val="36"/>
        </w:rPr>
      </w:pPr>
    </w:p>
    <w:p w14:paraId="6B507579">
      <w:pPr>
        <w:pStyle w:val="35"/>
        <w:rPr>
          <w:rFonts w:ascii="仿宋_GB2312" w:eastAsia="仿宋_GB2312"/>
          <w:color w:val="auto"/>
          <w:sz w:val="36"/>
          <w:szCs w:val="36"/>
        </w:rPr>
      </w:pPr>
    </w:p>
    <w:p w14:paraId="79985C90">
      <w:pPr>
        <w:pStyle w:val="35"/>
        <w:rPr>
          <w:rFonts w:ascii="仿宋_GB2312" w:eastAsia="仿宋_GB2312"/>
          <w:color w:val="auto"/>
          <w:sz w:val="36"/>
          <w:szCs w:val="36"/>
        </w:rPr>
      </w:pPr>
    </w:p>
    <w:p w14:paraId="46AA871C">
      <w:pPr>
        <w:pStyle w:val="35"/>
        <w:rPr>
          <w:rFonts w:ascii="仿宋_GB2312" w:eastAsia="仿宋_GB2312"/>
          <w:color w:val="auto"/>
          <w:sz w:val="36"/>
          <w:szCs w:val="36"/>
        </w:rPr>
      </w:pPr>
    </w:p>
    <w:p w14:paraId="13344ACF">
      <w:pPr>
        <w:pStyle w:val="35"/>
        <w:rPr>
          <w:rFonts w:ascii="仿宋_GB2312" w:eastAsia="仿宋_GB2312"/>
          <w:color w:val="auto"/>
          <w:sz w:val="36"/>
          <w:szCs w:val="36"/>
        </w:rPr>
      </w:pPr>
    </w:p>
    <w:p w14:paraId="3799DB4F">
      <w:pPr>
        <w:pStyle w:val="35"/>
        <w:rPr>
          <w:rFonts w:ascii="仿宋_GB2312" w:eastAsia="仿宋_GB2312"/>
          <w:color w:val="auto"/>
          <w:sz w:val="36"/>
          <w:szCs w:val="36"/>
        </w:rPr>
      </w:pPr>
    </w:p>
    <w:p w14:paraId="1DF725C3">
      <w:pPr>
        <w:pStyle w:val="35"/>
        <w:rPr>
          <w:rFonts w:ascii="仿宋_GB2312" w:eastAsia="仿宋_GB2312"/>
          <w:color w:val="auto"/>
          <w:sz w:val="36"/>
          <w:szCs w:val="36"/>
        </w:rPr>
      </w:pPr>
    </w:p>
    <w:p w14:paraId="7BC9D05C">
      <w:pPr>
        <w:pStyle w:val="35"/>
        <w:rPr>
          <w:rFonts w:ascii="仿宋_GB2312" w:eastAsia="仿宋_GB2312"/>
          <w:color w:val="auto"/>
          <w:sz w:val="36"/>
          <w:szCs w:val="36"/>
        </w:rPr>
      </w:pPr>
    </w:p>
    <w:p w14:paraId="2F4072AA">
      <w:pPr>
        <w:pStyle w:val="35"/>
        <w:rPr>
          <w:rFonts w:ascii="仿宋_GB2312" w:eastAsia="仿宋_GB2312"/>
          <w:color w:val="auto"/>
          <w:sz w:val="36"/>
          <w:szCs w:val="36"/>
        </w:rPr>
      </w:pPr>
    </w:p>
    <w:p w14:paraId="1A526A62">
      <w:pPr>
        <w:pStyle w:val="35"/>
        <w:rPr>
          <w:rFonts w:ascii="仿宋_GB2312" w:eastAsia="仿宋_GB2312"/>
          <w:color w:val="auto"/>
          <w:sz w:val="36"/>
          <w:szCs w:val="36"/>
        </w:rPr>
        <w:sectPr>
          <w:footerReference r:id="rId3" w:type="default"/>
          <w:footerReference r:id="rId4" w:type="even"/>
          <w:pgSz w:w="11906" w:h="16838"/>
          <w:pgMar w:top="1701" w:right="1531" w:bottom="1701" w:left="1531" w:header="851" w:footer="1077" w:gutter="0"/>
          <w:pgBorders>
            <w:top w:val="none" w:sz="0" w:space="0"/>
            <w:left w:val="none" w:sz="0" w:space="0"/>
            <w:bottom w:val="none" w:sz="0" w:space="0"/>
            <w:right w:val="none" w:sz="0" w:space="0"/>
          </w:pgBorders>
          <w:pgNumType w:start="3"/>
          <w:cols w:space="720" w:num="1"/>
          <w:docGrid w:linePitch="312" w:charSpace="0"/>
        </w:sectPr>
      </w:pPr>
    </w:p>
    <w:p w14:paraId="31D378E5">
      <w:pPr>
        <w:pStyle w:val="24"/>
        <w:keepNext w:val="0"/>
        <w:keepLines w:val="0"/>
        <w:pageBreakBefore w:val="0"/>
        <w:widowControl/>
        <w:kinsoku/>
        <w:wordWrap/>
        <w:overflowPunct/>
        <w:topLinePunct w:val="0"/>
        <w:autoSpaceDE/>
        <w:autoSpaceDN/>
        <w:bidi w:val="0"/>
        <w:adjustRightInd/>
        <w:snapToGrid/>
        <w:jc w:val="center"/>
        <w:textAlignment w:val="auto"/>
        <w:outlineLvl w:val="0"/>
        <w:rPr>
          <w:rFonts w:ascii="黑体" w:hAnsi="黑体" w:eastAsia="黑体"/>
          <w:snapToGrid w:val="0"/>
          <w:color w:val="auto"/>
          <w:sz w:val="30"/>
          <w:szCs w:val="30"/>
        </w:rPr>
      </w:pPr>
      <w:bookmarkStart w:id="2" w:name="_Toc8264"/>
      <w:r>
        <w:rPr>
          <w:rFonts w:hint="eastAsia" w:ascii="黑体" w:hAnsi="黑体" w:eastAsia="黑体"/>
          <w:snapToGrid w:val="0"/>
          <w:color w:val="auto"/>
          <w:sz w:val="30"/>
          <w:szCs w:val="30"/>
        </w:rPr>
        <w:t>一、建设项目基本情况</w:t>
      </w:r>
      <w:bookmarkEnd w:id="2"/>
    </w:p>
    <w:tbl>
      <w:tblPr>
        <w:tblStyle w:val="28"/>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
      <w:tblGrid>
        <w:gridCol w:w="1714"/>
        <w:gridCol w:w="1985"/>
        <w:gridCol w:w="2268"/>
        <w:gridCol w:w="2903"/>
      </w:tblGrid>
      <w:tr w14:paraId="017B394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39" w:hRule="atLeast"/>
          <w:jc w:val="center"/>
        </w:trPr>
        <w:tc>
          <w:tcPr>
            <w:tcW w:w="1714" w:type="dxa"/>
            <w:tcMar>
              <w:top w:w="16" w:type="dxa"/>
              <w:left w:w="16" w:type="dxa"/>
              <w:right w:w="16" w:type="dxa"/>
            </w:tcMar>
            <w:vAlign w:val="center"/>
          </w:tcPr>
          <w:p w14:paraId="61466300">
            <w:pPr>
              <w:adjustRightInd w:val="0"/>
              <w:snapToGrid w:val="0"/>
              <w:jc w:val="center"/>
              <w:rPr>
                <w:color w:val="auto"/>
                <w:szCs w:val="21"/>
              </w:rPr>
            </w:pPr>
            <w:r>
              <w:rPr>
                <w:color w:val="auto"/>
                <w:szCs w:val="21"/>
              </w:rPr>
              <w:t>建设项目名称</w:t>
            </w:r>
          </w:p>
        </w:tc>
        <w:tc>
          <w:tcPr>
            <w:tcW w:w="7156" w:type="dxa"/>
            <w:gridSpan w:val="3"/>
            <w:vAlign w:val="center"/>
          </w:tcPr>
          <w:p w14:paraId="767AA5D4">
            <w:pPr>
              <w:adjustRightInd w:val="0"/>
              <w:snapToGrid w:val="0"/>
              <w:jc w:val="center"/>
              <w:rPr>
                <w:rFonts w:hint="default" w:eastAsia="宋体"/>
                <w:color w:val="auto"/>
                <w:szCs w:val="21"/>
                <w:lang w:val="en-US" w:eastAsia="zh-CN"/>
              </w:rPr>
            </w:pPr>
            <w:r>
              <w:rPr>
                <w:rFonts w:hint="eastAsia"/>
                <w:color w:val="auto"/>
                <w:sz w:val="21"/>
                <w:szCs w:val="21"/>
                <w:highlight w:val="none"/>
                <w:lang w:eastAsia="zh-CN"/>
              </w:rPr>
              <w:t>滦州市祯璟再生资源有限公司固体废弃物综合利用项目</w:t>
            </w:r>
          </w:p>
        </w:tc>
      </w:tr>
      <w:tr w14:paraId="70C46BC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39" w:hRule="atLeast"/>
          <w:jc w:val="center"/>
        </w:trPr>
        <w:tc>
          <w:tcPr>
            <w:tcW w:w="1714" w:type="dxa"/>
            <w:tcMar>
              <w:top w:w="16" w:type="dxa"/>
              <w:left w:w="16" w:type="dxa"/>
              <w:right w:w="16" w:type="dxa"/>
            </w:tcMar>
            <w:vAlign w:val="center"/>
          </w:tcPr>
          <w:p w14:paraId="343B195B">
            <w:pPr>
              <w:adjustRightInd w:val="0"/>
              <w:snapToGrid w:val="0"/>
              <w:jc w:val="center"/>
              <w:rPr>
                <w:color w:val="auto"/>
                <w:szCs w:val="21"/>
              </w:rPr>
            </w:pPr>
            <w:r>
              <w:rPr>
                <w:color w:val="auto"/>
                <w:szCs w:val="21"/>
              </w:rPr>
              <w:t>项目代码</w:t>
            </w:r>
          </w:p>
        </w:tc>
        <w:tc>
          <w:tcPr>
            <w:tcW w:w="7156" w:type="dxa"/>
            <w:gridSpan w:val="3"/>
            <w:vAlign w:val="center"/>
          </w:tcPr>
          <w:p w14:paraId="0A42AF67">
            <w:pPr>
              <w:adjustRightInd w:val="0"/>
              <w:snapToGrid w:val="0"/>
              <w:jc w:val="center"/>
              <w:rPr>
                <w:rFonts w:hint="default" w:eastAsia="宋体"/>
                <w:color w:val="auto"/>
                <w:szCs w:val="21"/>
                <w:lang w:val="en-US" w:eastAsia="zh-CN"/>
              </w:rPr>
            </w:pPr>
            <w:r>
              <w:rPr>
                <w:rFonts w:hint="eastAsia"/>
                <w:color w:val="auto"/>
                <w:szCs w:val="21"/>
                <w:highlight w:val="none"/>
                <w:lang w:val="en-US" w:eastAsia="zh-CN"/>
              </w:rPr>
              <w:t>2508-130223-04-01-139770</w:t>
            </w:r>
          </w:p>
        </w:tc>
      </w:tr>
      <w:tr w14:paraId="4479F49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39" w:hRule="atLeast"/>
          <w:jc w:val="center"/>
        </w:trPr>
        <w:tc>
          <w:tcPr>
            <w:tcW w:w="1714" w:type="dxa"/>
            <w:tcMar>
              <w:top w:w="16" w:type="dxa"/>
              <w:left w:w="16" w:type="dxa"/>
              <w:right w:w="16" w:type="dxa"/>
            </w:tcMar>
            <w:vAlign w:val="center"/>
          </w:tcPr>
          <w:p w14:paraId="5C7FC305">
            <w:pPr>
              <w:adjustRightInd w:val="0"/>
              <w:snapToGrid w:val="0"/>
              <w:jc w:val="center"/>
              <w:rPr>
                <w:color w:val="auto"/>
                <w:szCs w:val="21"/>
              </w:rPr>
            </w:pPr>
            <w:r>
              <w:rPr>
                <w:color w:val="auto"/>
                <w:szCs w:val="21"/>
              </w:rPr>
              <w:t>建设单位联系人</w:t>
            </w:r>
          </w:p>
        </w:tc>
        <w:tc>
          <w:tcPr>
            <w:tcW w:w="1985" w:type="dxa"/>
            <w:vAlign w:val="center"/>
          </w:tcPr>
          <w:p w14:paraId="0F42691D">
            <w:pPr>
              <w:adjustRightInd w:val="0"/>
              <w:snapToGrid w:val="0"/>
              <w:jc w:val="center"/>
              <w:rPr>
                <w:rFonts w:hint="default" w:eastAsia="宋体"/>
                <w:color w:val="auto"/>
                <w:szCs w:val="21"/>
                <w:lang w:val="en-US" w:eastAsia="zh-CN"/>
              </w:rPr>
            </w:pPr>
            <w:bookmarkStart w:id="3" w:name="OLE_LINK4"/>
            <w:r>
              <w:rPr>
                <w:rFonts w:hint="eastAsia" w:eastAsia="宋体"/>
                <w:color w:val="auto"/>
                <w:sz w:val="21"/>
                <w:szCs w:val="21"/>
                <w:highlight w:val="none"/>
                <w:lang w:val="en-US" w:eastAsia="zh-CN"/>
              </w:rPr>
              <w:t>郑辑伟</w:t>
            </w:r>
            <w:bookmarkEnd w:id="3"/>
          </w:p>
        </w:tc>
        <w:tc>
          <w:tcPr>
            <w:tcW w:w="2268" w:type="dxa"/>
            <w:vAlign w:val="center"/>
          </w:tcPr>
          <w:p w14:paraId="5702754E">
            <w:pPr>
              <w:adjustRightInd w:val="0"/>
              <w:snapToGrid w:val="0"/>
              <w:jc w:val="center"/>
              <w:rPr>
                <w:color w:val="auto"/>
                <w:szCs w:val="21"/>
              </w:rPr>
            </w:pPr>
            <w:r>
              <w:rPr>
                <w:color w:val="auto"/>
                <w:szCs w:val="21"/>
              </w:rPr>
              <w:t>联系方式</w:t>
            </w:r>
          </w:p>
        </w:tc>
        <w:tc>
          <w:tcPr>
            <w:tcW w:w="2903" w:type="dxa"/>
            <w:vAlign w:val="center"/>
          </w:tcPr>
          <w:p w14:paraId="0B74A356">
            <w:pPr>
              <w:adjustRightInd w:val="0"/>
              <w:snapToGrid w:val="0"/>
              <w:jc w:val="center"/>
              <w:rPr>
                <w:rFonts w:hint="default" w:eastAsia="宋体"/>
                <w:color w:val="auto"/>
                <w:szCs w:val="21"/>
                <w:lang w:val="en-US" w:eastAsia="zh-CN"/>
              </w:rPr>
            </w:pPr>
            <w:r>
              <w:rPr>
                <w:rFonts w:hint="eastAsia" w:eastAsia="宋体"/>
                <w:color w:val="auto"/>
                <w:sz w:val="21"/>
                <w:szCs w:val="21"/>
                <w:highlight w:val="none"/>
                <w:lang w:val="en-US" w:eastAsia="zh-CN"/>
              </w:rPr>
              <w:t>13031526222</w:t>
            </w:r>
          </w:p>
        </w:tc>
      </w:tr>
      <w:tr w14:paraId="5C7DF4A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69" w:hRule="atLeast"/>
          <w:jc w:val="center"/>
        </w:trPr>
        <w:tc>
          <w:tcPr>
            <w:tcW w:w="1714" w:type="dxa"/>
            <w:tcMar>
              <w:top w:w="16" w:type="dxa"/>
              <w:left w:w="16" w:type="dxa"/>
              <w:right w:w="16" w:type="dxa"/>
            </w:tcMar>
            <w:vAlign w:val="center"/>
          </w:tcPr>
          <w:p w14:paraId="768D50ED">
            <w:pPr>
              <w:adjustRightInd w:val="0"/>
              <w:snapToGrid w:val="0"/>
              <w:jc w:val="center"/>
              <w:rPr>
                <w:color w:val="auto"/>
                <w:szCs w:val="21"/>
              </w:rPr>
            </w:pPr>
            <w:r>
              <w:rPr>
                <w:color w:val="auto"/>
                <w:szCs w:val="21"/>
              </w:rPr>
              <w:t>建设地点</w:t>
            </w:r>
          </w:p>
        </w:tc>
        <w:tc>
          <w:tcPr>
            <w:tcW w:w="7156" w:type="dxa"/>
            <w:gridSpan w:val="3"/>
            <w:vAlign w:val="center"/>
          </w:tcPr>
          <w:p w14:paraId="125A151A">
            <w:pPr>
              <w:adjustRightInd w:val="0"/>
              <w:snapToGrid w:val="0"/>
              <w:jc w:val="center"/>
              <w:rPr>
                <w:rFonts w:hint="default" w:eastAsia="宋体"/>
                <w:color w:val="auto"/>
                <w:sz w:val="21"/>
                <w:szCs w:val="21"/>
                <w:highlight w:val="none"/>
                <w:lang w:val="en-US" w:eastAsia="zh-CN"/>
              </w:rPr>
            </w:pPr>
            <w:r>
              <w:rPr>
                <w:rFonts w:hint="eastAsia" w:eastAsia="宋体"/>
                <w:color w:val="auto"/>
                <w:sz w:val="21"/>
                <w:szCs w:val="21"/>
                <w:highlight w:val="none"/>
                <w:lang w:val="en-US" w:eastAsia="zh-CN"/>
              </w:rPr>
              <w:t>河北省唐山市滦州市九百户镇宜安村西</w:t>
            </w:r>
          </w:p>
        </w:tc>
      </w:tr>
      <w:tr w14:paraId="4C807A5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39" w:hRule="atLeast"/>
          <w:jc w:val="center"/>
        </w:trPr>
        <w:tc>
          <w:tcPr>
            <w:tcW w:w="1714" w:type="dxa"/>
            <w:tcMar>
              <w:top w:w="16" w:type="dxa"/>
              <w:left w:w="16" w:type="dxa"/>
              <w:right w:w="16" w:type="dxa"/>
            </w:tcMar>
            <w:vAlign w:val="center"/>
          </w:tcPr>
          <w:p w14:paraId="1DF02CD2">
            <w:pPr>
              <w:adjustRightInd w:val="0"/>
              <w:snapToGrid w:val="0"/>
              <w:jc w:val="center"/>
              <w:rPr>
                <w:color w:val="auto"/>
                <w:szCs w:val="21"/>
                <w:highlight w:val="none"/>
              </w:rPr>
            </w:pPr>
            <w:r>
              <w:rPr>
                <w:color w:val="auto"/>
                <w:szCs w:val="21"/>
                <w:highlight w:val="none"/>
              </w:rPr>
              <w:t>地理坐标</w:t>
            </w:r>
          </w:p>
        </w:tc>
        <w:tc>
          <w:tcPr>
            <w:tcW w:w="7156" w:type="dxa"/>
            <w:gridSpan w:val="3"/>
            <w:vAlign w:val="center"/>
          </w:tcPr>
          <w:p w14:paraId="454CB646">
            <w:pPr>
              <w:adjustRightInd w:val="0"/>
              <w:snapToGrid w:val="0"/>
              <w:jc w:val="center"/>
              <w:rPr>
                <w:color w:val="auto"/>
                <w:szCs w:val="21"/>
                <w:highlight w:val="none"/>
              </w:rPr>
            </w:pPr>
            <w:r>
              <w:rPr>
                <w:color w:val="auto"/>
                <w:szCs w:val="21"/>
                <w:highlight w:val="none"/>
              </w:rPr>
              <w:t>（</w:t>
            </w:r>
            <w:r>
              <w:rPr>
                <w:rFonts w:hint="eastAsia"/>
                <w:color w:val="auto"/>
                <w:szCs w:val="21"/>
                <w:highlight w:val="none"/>
              </w:rPr>
              <w:t>118</w:t>
            </w:r>
            <w:r>
              <w:rPr>
                <w:color w:val="auto"/>
                <w:szCs w:val="21"/>
                <w:highlight w:val="none"/>
              </w:rPr>
              <w:t>度</w:t>
            </w:r>
            <w:r>
              <w:rPr>
                <w:rFonts w:hint="eastAsia"/>
                <w:color w:val="auto"/>
                <w:szCs w:val="21"/>
                <w:highlight w:val="none"/>
                <w:lang w:val="en-US" w:eastAsia="zh-CN"/>
              </w:rPr>
              <w:t>28</w:t>
            </w:r>
            <w:r>
              <w:rPr>
                <w:color w:val="auto"/>
                <w:szCs w:val="21"/>
                <w:highlight w:val="none"/>
              </w:rPr>
              <w:t>分</w:t>
            </w:r>
            <w:r>
              <w:rPr>
                <w:rFonts w:hint="eastAsia"/>
                <w:color w:val="auto"/>
                <w:szCs w:val="21"/>
                <w:highlight w:val="none"/>
                <w:lang w:val="en-US" w:eastAsia="zh-CN"/>
              </w:rPr>
              <w:t>45.818</w:t>
            </w:r>
            <w:r>
              <w:rPr>
                <w:color w:val="auto"/>
                <w:szCs w:val="21"/>
                <w:highlight w:val="none"/>
              </w:rPr>
              <w:t>秒，</w:t>
            </w:r>
            <w:r>
              <w:rPr>
                <w:rFonts w:hint="eastAsia"/>
                <w:color w:val="auto"/>
                <w:szCs w:val="21"/>
                <w:highlight w:val="none"/>
              </w:rPr>
              <w:t>39</w:t>
            </w:r>
            <w:r>
              <w:rPr>
                <w:color w:val="auto"/>
                <w:szCs w:val="21"/>
                <w:highlight w:val="none"/>
              </w:rPr>
              <w:t>度</w:t>
            </w:r>
            <w:r>
              <w:rPr>
                <w:rFonts w:hint="eastAsia"/>
                <w:color w:val="auto"/>
                <w:szCs w:val="21"/>
                <w:highlight w:val="none"/>
                <w:lang w:val="en-US" w:eastAsia="zh-CN"/>
              </w:rPr>
              <w:t>47</w:t>
            </w:r>
            <w:r>
              <w:rPr>
                <w:color w:val="auto"/>
                <w:szCs w:val="21"/>
                <w:highlight w:val="none"/>
              </w:rPr>
              <w:t>分</w:t>
            </w:r>
            <w:r>
              <w:rPr>
                <w:rFonts w:hint="eastAsia"/>
                <w:color w:val="auto"/>
                <w:szCs w:val="21"/>
                <w:highlight w:val="none"/>
                <w:lang w:val="en-US" w:eastAsia="zh-CN"/>
              </w:rPr>
              <w:t>6.784</w:t>
            </w:r>
            <w:r>
              <w:rPr>
                <w:color w:val="auto"/>
                <w:szCs w:val="21"/>
                <w:highlight w:val="none"/>
              </w:rPr>
              <w:t>秒）</w:t>
            </w:r>
          </w:p>
        </w:tc>
      </w:tr>
      <w:tr w14:paraId="123624E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39" w:hRule="atLeast"/>
          <w:jc w:val="center"/>
        </w:trPr>
        <w:tc>
          <w:tcPr>
            <w:tcW w:w="1714" w:type="dxa"/>
            <w:tcMar>
              <w:top w:w="16" w:type="dxa"/>
              <w:left w:w="16" w:type="dxa"/>
              <w:right w:w="16" w:type="dxa"/>
            </w:tcMar>
            <w:vAlign w:val="center"/>
          </w:tcPr>
          <w:p w14:paraId="406AD10C">
            <w:pPr>
              <w:adjustRightInd w:val="0"/>
              <w:snapToGrid w:val="0"/>
              <w:jc w:val="center"/>
              <w:rPr>
                <w:color w:val="auto"/>
                <w:szCs w:val="21"/>
              </w:rPr>
            </w:pPr>
            <w:r>
              <w:rPr>
                <w:color w:val="auto"/>
                <w:szCs w:val="21"/>
              </w:rPr>
              <w:t>国民经济</w:t>
            </w:r>
          </w:p>
          <w:p w14:paraId="080BCA85">
            <w:pPr>
              <w:adjustRightInd w:val="0"/>
              <w:snapToGrid w:val="0"/>
              <w:jc w:val="center"/>
              <w:rPr>
                <w:color w:val="auto"/>
                <w:szCs w:val="21"/>
              </w:rPr>
            </w:pPr>
            <w:r>
              <w:rPr>
                <w:color w:val="auto"/>
                <w:szCs w:val="21"/>
              </w:rPr>
              <w:t>行业类别</w:t>
            </w:r>
          </w:p>
        </w:tc>
        <w:tc>
          <w:tcPr>
            <w:tcW w:w="1985" w:type="dxa"/>
            <w:vAlign w:val="center"/>
          </w:tcPr>
          <w:p w14:paraId="7AA28062">
            <w:pPr>
              <w:widowControl/>
              <w:jc w:val="center"/>
              <w:rPr>
                <w:rFonts w:hint="eastAsia"/>
                <w:color w:val="auto"/>
              </w:rPr>
            </w:pPr>
            <w:r>
              <w:rPr>
                <w:color w:val="auto"/>
              </w:rPr>
              <w:t>C</w:t>
            </w:r>
            <w:r>
              <w:rPr>
                <w:rFonts w:hint="eastAsia"/>
                <w:color w:val="auto"/>
              </w:rPr>
              <w:t>4210金属废料和碎屑加工处理</w:t>
            </w:r>
          </w:p>
          <w:p w14:paraId="368D244E">
            <w:pPr>
              <w:widowControl/>
              <w:jc w:val="center"/>
              <w:rPr>
                <w:rFonts w:hint="default" w:eastAsia="宋体"/>
                <w:color w:val="auto"/>
                <w:szCs w:val="21"/>
                <w:lang w:val="en-US" w:eastAsia="zh-CN"/>
              </w:rPr>
            </w:pPr>
            <w:r>
              <w:rPr>
                <w:rFonts w:hint="eastAsia"/>
                <w:color w:val="auto"/>
                <w:lang w:val="en-US" w:eastAsia="zh-CN"/>
              </w:rPr>
              <w:t>C4220非</w:t>
            </w:r>
            <w:r>
              <w:rPr>
                <w:rFonts w:hint="eastAsia"/>
                <w:color w:val="auto"/>
              </w:rPr>
              <w:t>金属废料和碎屑加工处理</w:t>
            </w:r>
          </w:p>
        </w:tc>
        <w:tc>
          <w:tcPr>
            <w:tcW w:w="2268" w:type="dxa"/>
            <w:vAlign w:val="center"/>
          </w:tcPr>
          <w:p w14:paraId="3E9E60ED">
            <w:pPr>
              <w:adjustRightInd w:val="0"/>
              <w:snapToGrid w:val="0"/>
              <w:jc w:val="center"/>
              <w:rPr>
                <w:color w:val="auto"/>
                <w:szCs w:val="21"/>
              </w:rPr>
            </w:pPr>
            <w:bookmarkStart w:id="4" w:name="_Hlk49843745"/>
            <w:r>
              <w:rPr>
                <w:color w:val="auto"/>
                <w:szCs w:val="21"/>
              </w:rPr>
              <w:t>建设项目</w:t>
            </w:r>
          </w:p>
          <w:p w14:paraId="467F6493">
            <w:pPr>
              <w:adjustRightInd w:val="0"/>
              <w:snapToGrid w:val="0"/>
              <w:jc w:val="center"/>
              <w:rPr>
                <w:color w:val="auto"/>
                <w:szCs w:val="21"/>
              </w:rPr>
            </w:pPr>
            <w:r>
              <w:rPr>
                <w:color w:val="auto"/>
                <w:szCs w:val="21"/>
              </w:rPr>
              <w:t>行业类别</w:t>
            </w:r>
            <w:bookmarkEnd w:id="4"/>
          </w:p>
        </w:tc>
        <w:tc>
          <w:tcPr>
            <w:tcW w:w="2903" w:type="dxa"/>
            <w:vAlign w:val="center"/>
          </w:tcPr>
          <w:p w14:paraId="0931B856">
            <w:pPr>
              <w:keepNext w:val="0"/>
              <w:keepLines w:val="0"/>
              <w:widowControl/>
              <w:suppressLineNumbers w:val="0"/>
              <w:jc w:val="left"/>
              <w:rPr>
                <w:color w:val="auto"/>
                <w:szCs w:val="21"/>
              </w:rPr>
            </w:pPr>
            <w:r>
              <w:rPr>
                <w:rFonts w:hint="eastAsia" w:ascii="Times New Roman" w:hAnsi="Times New Roman" w:eastAsia="宋体" w:cs="Times New Roman"/>
                <w:color w:val="auto"/>
                <w:kern w:val="2"/>
                <w:sz w:val="21"/>
                <w:szCs w:val="21"/>
                <w:highlight w:val="none"/>
                <w:lang w:val="en-US" w:eastAsia="zh-CN"/>
              </w:rPr>
              <w:t>39--085金属废料和碎屑加工处理；非金属废料和碎屑加工处理</w:t>
            </w:r>
          </w:p>
        </w:tc>
      </w:tr>
      <w:tr w14:paraId="53BC197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39" w:hRule="atLeast"/>
          <w:jc w:val="center"/>
        </w:trPr>
        <w:tc>
          <w:tcPr>
            <w:tcW w:w="1714" w:type="dxa"/>
            <w:tcMar>
              <w:top w:w="16" w:type="dxa"/>
              <w:left w:w="16" w:type="dxa"/>
              <w:right w:w="16" w:type="dxa"/>
            </w:tcMar>
            <w:vAlign w:val="center"/>
          </w:tcPr>
          <w:p w14:paraId="55D38626">
            <w:pPr>
              <w:adjustRightInd w:val="0"/>
              <w:snapToGrid w:val="0"/>
              <w:jc w:val="center"/>
              <w:rPr>
                <w:color w:val="auto"/>
                <w:szCs w:val="21"/>
                <w:highlight w:val="none"/>
              </w:rPr>
            </w:pPr>
            <w:r>
              <w:rPr>
                <w:color w:val="auto"/>
                <w:szCs w:val="21"/>
                <w:highlight w:val="none"/>
              </w:rPr>
              <w:t>建设性质</w:t>
            </w:r>
          </w:p>
        </w:tc>
        <w:tc>
          <w:tcPr>
            <w:tcW w:w="1985" w:type="dxa"/>
            <w:vAlign w:val="center"/>
          </w:tcPr>
          <w:p w14:paraId="6474217A">
            <w:pPr>
              <w:jc w:val="left"/>
              <w:rPr>
                <w:color w:val="auto"/>
                <w:highlight w:val="none"/>
              </w:rPr>
            </w:pPr>
            <w:r>
              <w:rPr>
                <w:rFonts w:hint="eastAsia"/>
                <w:color w:val="auto"/>
                <w:highlight w:val="none"/>
                <w:lang w:eastAsia="zh-CN"/>
              </w:rPr>
              <w:t>☑</w:t>
            </w:r>
            <w:r>
              <w:rPr>
                <w:color w:val="auto"/>
                <w:highlight w:val="none"/>
              </w:rPr>
              <w:t>新建（迁建）</w:t>
            </w:r>
          </w:p>
          <w:p w14:paraId="4946D1BD">
            <w:pPr>
              <w:jc w:val="left"/>
              <w:rPr>
                <w:color w:val="auto"/>
                <w:highlight w:val="none"/>
              </w:rPr>
            </w:pPr>
            <w:r>
              <w:rPr>
                <w:rFonts w:hint="eastAsia"/>
                <w:color w:val="auto"/>
                <w:highlight w:val="none"/>
                <w:lang w:eastAsia="zh-CN"/>
              </w:rPr>
              <w:t>□</w:t>
            </w:r>
            <w:r>
              <w:rPr>
                <w:color w:val="auto"/>
                <w:highlight w:val="none"/>
              </w:rPr>
              <w:t>改建</w:t>
            </w:r>
          </w:p>
          <w:p w14:paraId="5C54A847">
            <w:pPr>
              <w:jc w:val="left"/>
              <w:rPr>
                <w:color w:val="auto"/>
                <w:highlight w:val="none"/>
              </w:rPr>
            </w:pPr>
            <w:r>
              <w:rPr>
                <w:rFonts w:hint="eastAsia"/>
                <w:color w:val="auto"/>
                <w:highlight w:val="none"/>
                <w:lang w:eastAsia="zh-CN"/>
              </w:rPr>
              <w:t>□</w:t>
            </w:r>
            <w:r>
              <w:rPr>
                <w:color w:val="auto"/>
                <w:highlight w:val="none"/>
              </w:rPr>
              <w:t>扩建</w:t>
            </w:r>
          </w:p>
          <w:p w14:paraId="59794AC6">
            <w:pPr>
              <w:jc w:val="left"/>
              <w:rPr>
                <w:color w:val="auto"/>
                <w:highlight w:val="none"/>
              </w:rPr>
            </w:pPr>
            <w:r>
              <w:rPr>
                <w:rFonts w:hint="eastAsia"/>
                <w:color w:val="auto"/>
                <w:highlight w:val="none"/>
                <w:lang w:eastAsia="zh-CN"/>
              </w:rPr>
              <w:t>□</w:t>
            </w:r>
            <w:r>
              <w:rPr>
                <w:color w:val="auto"/>
                <w:highlight w:val="none"/>
              </w:rPr>
              <w:t>技术改造</w:t>
            </w:r>
          </w:p>
        </w:tc>
        <w:tc>
          <w:tcPr>
            <w:tcW w:w="2268" w:type="dxa"/>
            <w:vAlign w:val="center"/>
          </w:tcPr>
          <w:p w14:paraId="6BCE263F">
            <w:pPr>
              <w:adjustRightInd w:val="0"/>
              <w:snapToGrid w:val="0"/>
              <w:jc w:val="center"/>
              <w:rPr>
                <w:color w:val="auto"/>
                <w:szCs w:val="21"/>
              </w:rPr>
            </w:pPr>
            <w:r>
              <w:rPr>
                <w:color w:val="auto"/>
                <w:szCs w:val="21"/>
              </w:rPr>
              <w:t>建设项目</w:t>
            </w:r>
          </w:p>
          <w:p w14:paraId="680E7EDC">
            <w:pPr>
              <w:adjustRightInd w:val="0"/>
              <w:snapToGrid w:val="0"/>
              <w:jc w:val="center"/>
              <w:rPr>
                <w:color w:val="auto"/>
                <w:szCs w:val="21"/>
              </w:rPr>
            </w:pPr>
            <w:r>
              <w:rPr>
                <w:color w:val="auto"/>
                <w:szCs w:val="21"/>
              </w:rPr>
              <w:t>申报情形</w:t>
            </w:r>
          </w:p>
        </w:tc>
        <w:tc>
          <w:tcPr>
            <w:tcW w:w="2903" w:type="dxa"/>
            <w:vAlign w:val="center"/>
          </w:tcPr>
          <w:p w14:paraId="5A3679E8">
            <w:pPr>
              <w:jc w:val="left"/>
              <w:rPr>
                <w:color w:val="auto"/>
                <w:szCs w:val="21"/>
              </w:rPr>
            </w:pPr>
            <w:r>
              <w:rPr>
                <w:color w:val="auto"/>
                <w:spacing w:val="-240"/>
              </w:rPr>
              <w:t>□√</w:t>
            </w:r>
            <w:r>
              <w:rPr>
                <w:color w:val="auto"/>
              </w:rPr>
              <w:t>□</w:t>
            </w:r>
            <w:r>
              <w:rPr>
                <w:color w:val="auto"/>
                <w:szCs w:val="21"/>
              </w:rPr>
              <w:t>首次申报项目</w:t>
            </w:r>
          </w:p>
          <w:p w14:paraId="7BAB7B58">
            <w:pPr>
              <w:jc w:val="left"/>
              <w:rPr>
                <w:color w:val="auto"/>
                <w:szCs w:val="21"/>
              </w:rPr>
            </w:pPr>
            <w:r>
              <w:rPr>
                <w:color w:val="auto"/>
                <w:szCs w:val="21"/>
              </w:rPr>
              <w:t>□不予批准后再次申报项目</w:t>
            </w:r>
          </w:p>
          <w:p w14:paraId="3E26B8BB">
            <w:pPr>
              <w:jc w:val="left"/>
              <w:rPr>
                <w:color w:val="auto"/>
                <w:szCs w:val="21"/>
              </w:rPr>
            </w:pPr>
            <w:r>
              <w:rPr>
                <w:color w:val="auto"/>
                <w:szCs w:val="21"/>
              </w:rPr>
              <w:t>□超五年重新审核项目</w:t>
            </w:r>
          </w:p>
          <w:p w14:paraId="007D39EB">
            <w:pPr>
              <w:jc w:val="left"/>
              <w:rPr>
                <w:color w:val="auto"/>
                <w:szCs w:val="21"/>
              </w:rPr>
            </w:pPr>
            <w:r>
              <w:rPr>
                <w:color w:val="auto"/>
                <w:szCs w:val="21"/>
              </w:rPr>
              <w:t>□重大变动重新报批项目</w:t>
            </w:r>
          </w:p>
        </w:tc>
      </w:tr>
      <w:tr w14:paraId="47844C3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39" w:hRule="atLeast"/>
          <w:jc w:val="center"/>
        </w:trPr>
        <w:tc>
          <w:tcPr>
            <w:tcW w:w="1714" w:type="dxa"/>
            <w:tcMar>
              <w:top w:w="16" w:type="dxa"/>
              <w:left w:w="16" w:type="dxa"/>
              <w:right w:w="16" w:type="dxa"/>
            </w:tcMar>
            <w:vAlign w:val="center"/>
          </w:tcPr>
          <w:p w14:paraId="21FEADC2">
            <w:pPr>
              <w:adjustRightInd w:val="0"/>
              <w:snapToGrid w:val="0"/>
              <w:jc w:val="center"/>
              <w:rPr>
                <w:color w:val="auto"/>
                <w:szCs w:val="21"/>
                <w:highlight w:val="none"/>
              </w:rPr>
            </w:pPr>
            <w:r>
              <w:rPr>
                <w:color w:val="auto"/>
                <w:szCs w:val="21"/>
                <w:highlight w:val="none"/>
              </w:rPr>
              <w:t>项目审批（核准/备案）部门（选填）</w:t>
            </w:r>
          </w:p>
        </w:tc>
        <w:tc>
          <w:tcPr>
            <w:tcW w:w="1985" w:type="dxa"/>
            <w:vAlign w:val="center"/>
          </w:tcPr>
          <w:p w14:paraId="02A15969">
            <w:pPr>
              <w:adjustRightInd w:val="0"/>
              <w:snapToGrid w:val="0"/>
              <w:jc w:val="center"/>
              <w:rPr>
                <w:rFonts w:hint="default" w:eastAsia="宋体"/>
                <w:color w:val="auto"/>
                <w:szCs w:val="21"/>
                <w:highlight w:val="none"/>
                <w:lang w:val="en-US" w:eastAsia="zh-CN"/>
              </w:rPr>
            </w:pPr>
            <w:r>
              <w:rPr>
                <w:rFonts w:hint="eastAsia"/>
                <w:color w:val="auto"/>
                <w:szCs w:val="21"/>
                <w:highlight w:val="none"/>
              </w:rPr>
              <w:t>滦州市</w:t>
            </w:r>
            <w:r>
              <w:rPr>
                <w:rFonts w:hint="eastAsia"/>
                <w:color w:val="auto"/>
                <w:szCs w:val="21"/>
                <w:highlight w:val="none"/>
                <w:lang w:val="en-US" w:eastAsia="zh-CN"/>
              </w:rPr>
              <w:t>发展和改革局</w:t>
            </w:r>
          </w:p>
        </w:tc>
        <w:tc>
          <w:tcPr>
            <w:tcW w:w="2268" w:type="dxa"/>
            <w:vAlign w:val="center"/>
          </w:tcPr>
          <w:p w14:paraId="7DB54A10">
            <w:pPr>
              <w:adjustRightInd w:val="0"/>
              <w:snapToGrid w:val="0"/>
              <w:jc w:val="center"/>
              <w:rPr>
                <w:color w:val="auto"/>
                <w:szCs w:val="21"/>
                <w:highlight w:val="none"/>
              </w:rPr>
            </w:pPr>
            <w:r>
              <w:rPr>
                <w:color w:val="auto"/>
                <w:szCs w:val="21"/>
                <w:highlight w:val="none"/>
              </w:rPr>
              <w:t>项目审批（核准/备案）文号（选填）</w:t>
            </w:r>
          </w:p>
        </w:tc>
        <w:tc>
          <w:tcPr>
            <w:tcW w:w="2903" w:type="dxa"/>
            <w:vAlign w:val="center"/>
          </w:tcPr>
          <w:p w14:paraId="72C3C5BE">
            <w:pPr>
              <w:adjustRightInd w:val="0"/>
              <w:snapToGrid w:val="0"/>
              <w:jc w:val="center"/>
              <w:rPr>
                <w:color w:val="auto"/>
                <w:szCs w:val="21"/>
                <w:highlight w:val="none"/>
              </w:rPr>
            </w:pPr>
            <w:r>
              <w:rPr>
                <w:rFonts w:hint="eastAsia"/>
                <w:color w:val="auto"/>
                <w:szCs w:val="21"/>
                <w:highlight w:val="none"/>
              </w:rPr>
              <w:t>滦</w:t>
            </w:r>
            <w:r>
              <w:rPr>
                <w:rFonts w:hint="eastAsia"/>
                <w:color w:val="auto"/>
                <w:szCs w:val="21"/>
                <w:highlight w:val="none"/>
                <w:lang w:val="en-US" w:eastAsia="zh-CN"/>
              </w:rPr>
              <w:t>发改备字</w:t>
            </w:r>
            <w:r>
              <w:rPr>
                <w:rFonts w:hint="eastAsia"/>
                <w:color w:val="auto"/>
                <w:szCs w:val="21"/>
                <w:highlight w:val="none"/>
              </w:rPr>
              <w:t>[202</w:t>
            </w:r>
            <w:r>
              <w:rPr>
                <w:rFonts w:hint="eastAsia"/>
                <w:color w:val="auto"/>
                <w:szCs w:val="21"/>
                <w:highlight w:val="none"/>
                <w:lang w:val="en-US" w:eastAsia="zh-CN"/>
              </w:rPr>
              <w:t>5</w:t>
            </w:r>
            <w:r>
              <w:rPr>
                <w:rFonts w:hint="eastAsia"/>
                <w:color w:val="auto"/>
                <w:szCs w:val="21"/>
                <w:highlight w:val="none"/>
              </w:rPr>
              <w:t>]</w:t>
            </w:r>
            <w:r>
              <w:rPr>
                <w:rFonts w:hint="eastAsia"/>
                <w:color w:val="auto"/>
                <w:szCs w:val="21"/>
                <w:highlight w:val="none"/>
                <w:lang w:val="en-US" w:eastAsia="zh-CN"/>
              </w:rPr>
              <w:t>98</w:t>
            </w:r>
            <w:r>
              <w:rPr>
                <w:rFonts w:hint="eastAsia"/>
                <w:color w:val="auto"/>
                <w:szCs w:val="21"/>
                <w:highlight w:val="none"/>
              </w:rPr>
              <w:t>号</w:t>
            </w:r>
          </w:p>
        </w:tc>
      </w:tr>
      <w:tr w14:paraId="3E2831F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39" w:hRule="atLeast"/>
          <w:jc w:val="center"/>
        </w:trPr>
        <w:tc>
          <w:tcPr>
            <w:tcW w:w="1714" w:type="dxa"/>
            <w:tcMar>
              <w:top w:w="16" w:type="dxa"/>
              <w:left w:w="16" w:type="dxa"/>
              <w:right w:w="16" w:type="dxa"/>
            </w:tcMar>
            <w:vAlign w:val="center"/>
          </w:tcPr>
          <w:p w14:paraId="4B1AD2CC">
            <w:pPr>
              <w:adjustRightInd w:val="0"/>
              <w:snapToGrid w:val="0"/>
              <w:jc w:val="center"/>
              <w:rPr>
                <w:color w:val="auto"/>
                <w:szCs w:val="21"/>
              </w:rPr>
            </w:pPr>
            <w:r>
              <w:rPr>
                <w:color w:val="auto"/>
                <w:szCs w:val="21"/>
              </w:rPr>
              <w:t>总投资（万元）</w:t>
            </w:r>
          </w:p>
        </w:tc>
        <w:tc>
          <w:tcPr>
            <w:tcW w:w="1985" w:type="dxa"/>
            <w:vAlign w:val="center"/>
          </w:tcPr>
          <w:p w14:paraId="0518BF6E">
            <w:pPr>
              <w:adjustRightInd w:val="0"/>
              <w:snapToGrid w:val="0"/>
              <w:jc w:val="center"/>
              <w:rPr>
                <w:rFonts w:hint="default"/>
                <w:color w:val="auto"/>
                <w:szCs w:val="21"/>
                <w:highlight w:val="none"/>
                <w:lang w:val="en-US"/>
              </w:rPr>
            </w:pPr>
            <w:r>
              <w:rPr>
                <w:rFonts w:hint="eastAsia"/>
                <w:color w:val="auto"/>
                <w:szCs w:val="21"/>
                <w:highlight w:val="none"/>
                <w:lang w:val="en-US" w:eastAsia="zh-CN"/>
              </w:rPr>
              <w:t>300</w:t>
            </w:r>
          </w:p>
        </w:tc>
        <w:tc>
          <w:tcPr>
            <w:tcW w:w="2268" w:type="dxa"/>
            <w:tcMar>
              <w:top w:w="16" w:type="dxa"/>
              <w:left w:w="16" w:type="dxa"/>
              <w:right w:w="16" w:type="dxa"/>
            </w:tcMar>
            <w:vAlign w:val="center"/>
          </w:tcPr>
          <w:p w14:paraId="4FA8CB3D">
            <w:pPr>
              <w:adjustRightInd w:val="0"/>
              <w:snapToGrid w:val="0"/>
              <w:jc w:val="center"/>
              <w:rPr>
                <w:color w:val="auto"/>
                <w:szCs w:val="21"/>
                <w:highlight w:val="none"/>
              </w:rPr>
            </w:pPr>
            <w:r>
              <w:rPr>
                <w:color w:val="auto"/>
                <w:szCs w:val="21"/>
                <w:highlight w:val="none"/>
              </w:rPr>
              <w:t>环保投资（万元）</w:t>
            </w:r>
          </w:p>
        </w:tc>
        <w:tc>
          <w:tcPr>
            <w:tcW w:w="2903" w:type="dxa"/>
            <w:vAlign w:val="center"/>
          </w:tcPr>
          <w:p w14:paraId="506E073E">
            <w:pPr>
              <w:adjustRightInd w:val="0"/>
              <w:snapToGrid w:val="0"/>
              <w:jc w:val="center"/>
              <w:rPr>
                <w:rFonts w:hint="default" w:eastAsia="宋体"/>
                <w:color w:val="auto"/>
                <w:szCs w:val="21"/>
                <w:highlight w:val="none"/>
                <w:lang w:val="en-US" w:eastAsia="zh-CN"/>
              </w:rPr>
            </w:pPr>
            <w:r>
              <w:rPr>
                <w:rFonts w:hint="eastAsia"/>
                <w:color w:val="auto"/>
                <w:szCs w:val="21"/>
                <w:highlight w:val="none"/>
                <w:lang w:val="en-US" w:eastAsia="zh-CN"/>
              </w:rPr>
              <w:t>30</w:t>
            </w:r>
          </w:p>
        </w:tc>
      </w:tr>
      <w:tr w14:paraId="4A7B52C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39" w:hRule="atLeast"/>
          <w:jc w:val="center"/>
        </w:trPr>
        <w:tc>
          <w:tcPr>
            <w:tcW w:w="1714" w:type="dxa"/>
            <w:tcMar>
              <w:top w:w="16" w:type="dxa"/>
              <w:left w:w="16" w:type="dxa"/>
              <w:right w:w="16" w:type="dxa"/>
            </w:tcMar>
            <w:vAlign w:val="center"/>
          </w:tcPr>
          <w:p w14:paraId="3D39C4C3">
            <w:pPr>
              <w:adjustRightInd w:val="0"/>
              <w:snapToGrid w:val="0"/>
              <w:jc w:val="center"/>
              <w:rPr>
                <w:color w:val="auto"/>
                <w:szCs w:val="21"/>
              </w:rPr>
            </w:pPr>
            <w:r>
              <w:rPr>
                <w:color w:val="auto"/>
                <w:szCs w:val="21"/>
              </w:rPr>
              <w:t>环保投资占比（%）</w:t>
            </w:r>
          </w:p>
        </w:tc>
        <w:tc>
          <w:tcPr>
            <w:tcW w:w="1985" w:type="dxa"/>
            <w:vAlign w:val="center"/>
          </w:tcPr>
          <w:p w14:paraId="1317D208">
            <w:pPr>
              <w:adjustRightInd w:val="0"/>
              <w:snapToGrid w:val="0"/>
              <w:jc w:val="center"/>
              <w:rPr>
                <w:rFonts w:hint="default" w:eastAsia="宋体"/>
                <w:color w:val="auto"/>
                <w:szCs w:val="21"/>
                <w:highlight w:val="none"/>
                <w:lang w:val="en-US" w:eastAsia="zh-CN"/>
              </w:rPr>
            </w:pPr>
            <w:r>
              <w:rPr>
                <w:rFonts w:hint="eastAsia"/>
                <w:color w:val="auto"/>
                <w:szCs w:val="21"/>
                <w:highlight w:val="none"/>
                <w:lang w:val="en-US" w:eastAsia="zh-CN"/>
              </w:rPr>
              <w:t>10</w:t>
            </w:r>
          </w:p>
        </w:tc>
        <w:tc>
          <w:tcPr>
            <w:tcW w:w="2268" w:type="dxa"/>
            <w:tcMar>
              <w:top w:w="16" w:type="dxa"/>
              <w:left w:w="16" w:type="dxa"/>
              <w:right w:w="16" w:type="dxa"/>
            </w:tcMar>
            <w:vAlign w:val="center"/>
          </w:tcPr>
          <w:p w14:paraId="245DA636">
            <w:pPr>
              <w:adjustRightInd w:val="0"/>
              <w:snapToGrid w:val="0"/>
              <w:jc w:val="center"/>
              <w:rPr>
                <w:color w:val="auto"/>
                <w:szCs w:val="21"/>
                <w:highlight w:val="none"/>
              </w:rPr>
            </w:pPr>
            <w:r>
              <w:rPr>
                <w:color w:val="auto"/>
                <w:szCs w:val="21"/>
                <w:highlight w:val="none"/>
              </w:rPr>
              <w:t>施工工期</w:t>
            </w:r>
          </w:p>
        </w:tc>
        <w:tc>
          <w:tcPr>
            <w:tcW w:w="2903" w:type="dxa"/>
            <w:vAlign w:val="center"/>
          </w:tcPr>
          <w:p w14:paraId="2AB4A03A">
            <w:pPr>
              <w:adjustRightInd w:val="0"/>
              <w:snapToGrid w:val="0"/>
              <w:jc w:val="center"/>
              <w:rPr>
                <w:color w:val="auto"/>
                <w:szCs w:val="21"/>
                <w:highlight w:val="none"/>
              </w:rPr>
            </w:pPr>
            <w:r>
              <w:rPr>
                <w:rFonts w:hint="eastAsia"/>
                <w:color w:val="auto"/>
                <w:szCs w:val="21"/>
                <w:highlight w:val="none"/>
                <w:lang w:val="en-US" w:eastAsia="zh-CN"/>
              </w:rPr>
              <w:t>6</w:t>
            </w:r>
            <w:r>
              <w:rPr>
                <w:rFonts w:hint="eastAsia"/>
                <w:color w:val="auto"/>
                <w:szCs w:val="21"/>
                <w:highlight w:val="none"/>
              </w:rPr>
              <w:t>个月</w:t>
            </w:r>
          </w:p>
        </w:tc>
      </w:tr>
      <w:tr w14:paraId="2747E84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39" w:hRule="atLeast"/>
          <w:jc w:val="center"/>
        </w:trPr>
        <w:tc>
          <w:tcPr>
            <w:tcW w:w="1714" w:type="dxa"/>
            <w:tcMar>
              <w:top w:w="16" w:type="dxa"/>
              <w:left w:w="16" w:type="dxa"/>
              <w:right w:w="16" w:type="dxa"/>
            </w:tcMar>
            <w:vAlign w:val="center"/>
          </w:tcPr>
          <w:p w14:paraId="077257F4">
            <w:pPr>
              <w:adjustRightInd w:val="0"/>
              <w:snapToGrid w:val="0"/>
              <w:jc w:val="center"/>
              <w:rPr>
                <w:color w:val="auto"/>
                <w:szCs w:val="21"/>
              </w:rPr>
            </w:pPr>
            <w:r>
              <w:rPr>
                <w:color w:val="auto"/>
                <w:szCs w:val="21"/>
              </w:rPr>
              <w:t>是否开工建设</w:t>
            </w:r>
          </w:p>
        </w:tc>
        <w:tc>
          <w:tcPr>
            <w:tcW w:w="1985" w:type="dxa"/>
            <w:vAlign w:val="center"/>
          </w:tcPr>
          <w:p w14:paraId="0BAC8C50">
            <w:pPr>
              <w:adjustRightInd w:val="0"/>
              <w:snapToGrid w:val="0"/>
              <w:jc w:val="center"/>
              <w:rPr>
                <w:color w:val="auto"/>
                <w:szCs w:val="21"/>
              </w:rPr>
            </w:pPr>
            <w:r>
              <w:rPr>
                <w:color w:val="auto"/>
                <w:spacing w:val="-240"/>
              </w:rPr>
              <w:t>□√</w:t>
            </w:r>
            <w:r>
              <w:rPr>
                <w:color w:val="auto"/>
              </w:rPr>
              <w:t>□</w:t>
            </w:r>
            <w:r>
              <w:rPr>
                <w:color w:val="auto"/>
                <w:szCs w:val="21"/>
              </w:rPr>
              <w:t>否</w:t>
            </w:r>
          </w:p>
          <w:p w14:paraId="2854669B">
            <w:pPr>
              <w:adjustRightInd w:val="0"/>
              <w:snapToGrid w:val="0"/>
              <w:jc w:val="center"/>
              <w:rPr>
                <w:color w:val="auto"/>
                <w:szCs w:val="21"/>
              </w:rPr>
            </w:pPr>
            <w:r>
              <w:rPr>
                <w:color w:val="auto"/>
                <w:szCs w:val="21"/>
              </w:rPr>
              <w:t>□是</w:t>
            </w:r>
          </w:p>
        </w:tc>
        <w:tc>
          <w:tcPr>
            <w:tcW w:w="2268" w:type="dxa"/>
            <w:tcMar>
              <w:top w:w="16" w:type="dxa"/>
              <w:left w:w="16" w:type="dxa"/>
              <w:right w:w="16" w:type="dxa"/>
            </w:tcMar>
            <w:vAlign w:val="center"/>
          </w:tcPr>
          <w:p w14:paraId="4CC92BD4">
            <w:pPr>
              <w:adjustRightInd w:val="0"/>
              <w:snapToGrid w:val="0"/>
              <w:jc w:val="center"/>
              <w:rPr>
                <w:color w:val="auto"/>
                <w:spacing w:val="-6"/>
                <w:szCs w:val="21"/>
              </w:rPr>
            </w:pPr>
            <w:r>
              <w:rPr>
                <w:color w:val="auto"/>
                <w:spacing w:val="-6"/>
                <w:szCs w:val="21"/>
              </w:rPr>
              <w:t>用地（用海）</w:t>
            </w:r>
          </w:p>
          <w:p w14:paraId="7AB1BC99">
            <w:pPr>
              <w:adjustRightInd w:val="0"/>
              <w:snapToGrid w:val="0"/>
              <w:jc w:val="center"/>
              <w:rPr>
                <w:color w:val="auto"/>
                <w:szCs w:val="21"/>
              </w:rPr>
            </w:pPr>
            <w:r>
              <w:rPr>
                <w:color w:val="auto"/>
                <w:spacing w:val="-6"/>
                <w:szCs w:val="21"/>
              </w:rPr>
              <w:t>面积（m</w:t>
            </w:r>
            <w:r>
              <w:rPr>
                <w:color w:val="auto"/>
                <w:spacing w:val="-6"/>
                <w:szCs w:val="21"/>
                <w:vertAlign w:val="superscript"/>
              </w:rPr>
              <w:t>2</w:t>
            </w:r>
            <w:r>
              <w:rPr>
                <w:color w:val="auto"/>
                <w:spacing w:val="-6"/>
                <w:szCs w:val="21"/>
              </w:rPr>
              <w:t>）</w:t>
            </w:r>
          </w:p>
        </w:tc>
        <w:tc>
          <w:tcPr>
            <w:tcW w:w="2903" w:type="dxa"/>
            <w:vAlign w:val="center"/>
          </w:tcPr>
          <w:p w14:paraId="5057BA8B">
            <w:pPr>
              <w:adjustRightInd w:val="0"/>
              <w:snapToGrid w:val="0"/>
              <w:jc w:val="center"/>
              <w:rPr>
                <w:rFonts w:hint="default" w:eastAsia="宋体"/>
                <w:color w:val="auto"/>
                <w:szCs w:val="21"/>
                <w:lang w:val="en-US" w:eastAsia="zh-CN"/>
              </w:rPr>
            </w:pPr>
            <w:r>
              <w:rPr>
                <w:rFonts w:hint="eastAsia"/>
                <w:color w:val="auto"/>
                <w:szCs w:val="21"/>
                <w:highlight w:val="none"/>
                <w:lang w:val="en-US" w:eastAsia="zh-CN"/>
              </w:rPr>
              <w:t>5662.53</w:t>
            </w:r>
          </w:p>
        </w:tc>
      </w:tr>
      <w:tr w14:paraId="4CC7A0B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1714" w:type="dxa"/>
            <w:vAlign w:val="center"/>
          </w:tcPr>
          <w:p w14:paraId="6424FEF6">
            <w:pPr>
              <w:autoSpaceDE w:val="0"/>
              <w:autoSpaceDN w:val="0"/>
              <w:adjustRightInd w:val="0"/>
              <w:snapToGrid w:val="0"/>
              <w:jc w:val="center"/>
              <w:rPr>
                <w:color w:val="auto"/>
                <w:kern w:val="0"/>
                <w:szCs w:val="21"/>
              </w:rPr>
            </w:pPr>
            <w:r>
              <w:rPr>
                <w:color w:val="auto"/>
                <w:kern w:val="0"/>
                <w:szCs w:val="21"/>
              </w:rPr>
              <w:t>专项评价设置情况</w:t>
            </w:r>
          </w:p>
        </w:tc>
        <w:tc>
          <w:tcPr>
            <w:tcW w:w="7156" w:type="dxa"/>
            <w:gridSpan w:val="3"/>
            <w:vAlign w:val="center"/>
          </w:tcPr>
          <w:p w14:paraId="6C5F6F6E">
            <w:pPr>
              <w:autoSpaceDE w:val="0"/>
              <w:autoSpaceDN w:val="0"/>
              <w:adjustRightInd w:val="0"/>
              <w:snapToGrid w:val="0"/>
              <w:jc w:val="center"/>
              <w:rPr>
                <w:color w:val="auto"/>
                <w:kern w:val="0"/>
                <w:szCs w:val="21"/>
              </w:rPr>
            </w:pPr>
            <w:r>
              <w:rPr>
                <w:rFonts w:hint="eastAsia"/>
                <w:color w:val="auto"/>
                <w:kern w:val="0"/>
                <w:szCs w:val="21"/>
              </w:rPr>
              <w:t>无</w:t>
            </w:r>
          </w:p>
        </w:tc>
      </w:tr>
      <w:tr w14:paraId="126E23E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1714" w:type="dxa"/>
            <w:vAlign w:val="center"/>
          </w:tcPr>
          <w:p w14:paraId="34FF73E2">
            <w:pPr>
              <w:autoSpaceDE w:val="0"/>
              <w:autoSpaceDN w:val="0"/>
              <w:adjustRightInd w:val="0"/>
              <w:snapToGrid w:val="0"/>
              <w:jc w:val="center"/>
              <w:rPr>
                <w:color w:val="auto"/>
                <w:kern w:val="0"/>
                <w:szCs w:val="21"/>
              </w:rPr>
            </w:pPr>
            <w:r>
              <w:rPr>
                <w:color w:val="auto"/>
                <w:szCs w:val="21"/>
              </w:rPr>
              <w:t>规划情况</w:t>
            </w:r>
          </w:p>
        </w:tc>
        <w:tc>
          <w:tcPr>
            <w:tcW w:w="7156" w:type="dxa"/>
            <w:gridSpan w:val="3"/>
            <w:vAlign w:val="center"/>
          </w:tcPr>
          <w:p w14:paraId="51C6AAAC">
            <w:pPr>
              <w:autoSpaceDE w:val="0"/>
              <w:autoSpaceDN w:val="0"/>
              <w:adjustRightInd w:val="0"/>
              <w:snapToGrid w:val="0"/>
              <w:jc w:val="center"/>
              <w:rPr>
                <w:color w:val="auto"/>
                <w:kern w:val="0"/>
                <w:szCs w:val="21"/>
              </w:rPr>
            </w:pPr>
            <w:r>
              <w:rPr>
                <w:rFonts w:hint="eastAsia"/>
                <w:color w:val="auto"/>
                <w:kern w:val="0"/>
                <w:szCs w:val="21"/>
              </w:rPr>
              <w:t>无</w:t>
            </w:r>
          </w:p>
        </w:tc>
      </w:tr>
      <w:tr w14:paraId="4D58424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1714" w:type="dxa"/>
            <w:vAlign w:val="center"/>
          </w:tcPr>
          <w:p w14:paraId="20555D87">
            <w:pPr>
              <w:adjustRightInd w:val="0"/>
              <w:snapToGrid w:val="0"/>
              <w:jc w:val="center"/>
              <w:rPr>
                <w:color w:val="auto"/>
                <w:szCs w:val="21"/>
              </w:rPr>
            </w:pPr>
            <w:r>
              <w:rPr>
                <w:color w:val="auto"/>
                <w:szCs w:val="21"/>
              </w:rPr>
              <w:t>规划环境影响</w:t>
            </w:r>
          </w:p>
          <w:p w14:paraId="52D2C174">
            <w:pPr>
              <w:adjustRightInd w:val="0"/>
              <w:snapToGrid w:val="0"/>
              <w:jc w:val="center"/>
              <w:rPr>
                <w:color w:val="auto"/>
                <w:kern w:val="0"/>
                <w:szCs w:val="21"/>
              </w:rPr>
            </w:pPr>
            <w:r>
              <w:rPr>
                <w:color w:val="auto"/>
                <w:szCs w:val="21"/>
              </w:rPr>
              <w:t>评价情况</w:t>
            </w:r>
          </w:p>
        </w:tc>
        <w:tc>
          <w:tcPr>
            <w:tcW w:w="7156" w:type="dxa"/>
            <w:gridSpan w:val="3"/>
            <w:vAlign w:val="center"/>
          </w:tcPr>
          <w:p w14:paraId="3B61F8B5">
            <w:pPr>
              <w:autoSpaceDE w:val="0"/>
              <w:autoSpaceDN w:val="0"/>
              <w:adjustRightInd w:val="0"/>
              <w:snapToGrid w:val="0"/>
              <w:jc w:val="center"/>
              <w:rPr>
                <w:color w:val="auto"/>
                <w:kern w:val="0"/>
                <w:szCs w:val="21"/>
              </w:rPr>
            </w:pPr>
            <w:r>
              <w:rPr>
                <w:rFonts w:hint="eastAsia"/>
                <w:color w:val="auto"/>
                <w:kern w:val="0"/>
                <w:szCs w:val="21"/>
              </w:rPr>
              <w:t>无</w:t>
            </w:r>
          </w:p>
        </w:tc>
      </w:tr>
      <w:tr w14:paraId="4426D80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714" w:type="dxa"/>
            <w:vAlign w:val="center"/>
          </w:tcPr>
          <w:p w14:paraId="1A9232CF">
            <w:pPr>
              <w:autoSpaceDE w:val="0"/>
              <w:autoSpaceDN w:val="0"/>
              <w:adjustRightInd w:val="0"/>
              <w:snapToGrid w:val="0"/>
              <w:jc w:val="center"/>
              <w:rPr>
                <w:color w:val="auto"/>
                <w:kern w:val="0"/>
                <w:szCs w:val="21"/>
              </w:rPr>
            </w:pPr>
            <w:r>
              <w:rPr>
                <w:color w:val="auto"/>
                <w:kern w:val="0"/>
                <w:szCs w:val="21"/>
              </w:rPr>
              <w:t>规划及规划环境</w:t>
            </w:r>
          </w:p>
          <w:p w14:paraId="2AD79DFD">
            <w:pPr>
              <w:autoSpaceDE w:val="0"/>
              <w:autoSpaceDN w:val="0"/>
              <w:adjustRightInd w:val="0"/>
              <w:snapToGrid w:val="0"/>
              <w:jc w:val="center"/>
              <w:rPr>
                <w:color w:val="auto"/>
                <w:kern w:val="0"/>
                <w:szCs w:val="21"/>
              </w:rPr>
            </w:pPr>
            <w:r>
              <w:rPr>
                <w:color w:val="auto"/>
                <w:kern w:val="0"/>
                <w:szCs w:val="21"/>
              </w:rPr>
              <w:t>影响评价符合性分析</w:t>
            </w:r>
          </w:p>
        </w:tc>
        <w:tc>
          <w:tcPr>
            <w:tcW w:w="7156" w:type="dxa"/>
            <w:gridSpan w:val="3"/>
            <w:vAlign w:val="center"/>
          </w:tcPr>
          <w:p w14:paraId="7590475A">
            <w:pPr>
              <w:autoSpaceDE w:val="0"/>
              <w:autoSpaceDN w:val="0"/>
              <w:adjustRightInd w:val="0"/>
              <w:snapToGrid w:val="0"/>
              <w:jc w:val="center"/>
              <w:rPr>
                <w:color w:val="auto"/>
                <w:kern w:val="0"/>
                <w:szCs w:val="21"/>
              </w:rPr>
            </w:pPr>
            <w:r>
              <w:rPr>
                <w:rFonts w:hint="eastAsia"/>
                <w:color w:val="auto"/>
                <w:szCs w:val="21"/>
              </w:rPr>
              <w:t>无</w:t>
            </w:r>
          </w:p>
        </w:tc>
      </w:tr>
      <w:tr w14:paraId="433479E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1714" w:type="dxa"/>
            <w:vAlign w:val="center"/>
          </w:tcPr>
          <w:p w14:paraId="331B80CC">
            <w:pPr>
              <w:autoSpaceDE w:val="0"/>
              <w:autoSpaceDN w:val="0"/>
              <w:adjustRightInd w:val="0"/>
              <w:snapToGrid w:val="0"/>
              <w:jc w:val="center"/>
              <w:rPr>
                <w:color w:val="auto"/>
                <w:kern w:val="0"/>
                <w:szCs w:val="21"/>
              </w:rPr>
            </w:pPr>
            <w:r>
              <w:rPr>
                <w:color w:val="auto"/>
                <w:kern w:val="0"/>
                <w:szCs w:val="21"/>
              </w:rPr>
              <w:t>其他符合性分析</w:t>
            </w:r>
          </w:p>
        </w:tc>
        <w:tc>
          <w:tcPr>
            <w:tcW w:w="7156" w:type="dxa"/>
            <w:gridSpan w:val="3"/>
            <w:vAlign w:val="center"/>
          </w:tcPr>
          <w:p w14:paraId="5B223669">
            <w:pPr>
              <w:pStyle w:val="24"/>
              <w:keepNext w:val="0"/>
              <w:keepLines w:val="0"/>
              <w:pageBreakBefore w:val="0"/>
              <w:kinsoku/>
              <w:wordWrap/>
              <w:overflowPunct/>
              <w:topLinePunct w:val="0"/>
              <w:autoSpaceDE/>
              <w:autoSpaceDN/>
              <w:bidi w:val="0"/>
              <w:adjustRightInd w:val="0"/>
              <w:snapToGrid w:val="0"/>
              <w:spacing w:before="0" w:beforeAutospacing="0" w:after="0" w:afterAutospacing="0" w:line="420" w:lineRule="exact"/>
              <w:ind w:firstLine="422" w:firstLineChars="200"/>
              <w:textAlignment w:val="auto"/>
              <w:rPr>
                <w:rFonts w:hint="eastAsia" w:ascii="Times New Roman" w:hAnsi="Times New Roman" w:eastAsia="宋体" w:cs="Times New Roman"/>
                <w:b/>
                <w:color w:val="auto"/>
                <w:sz w:val="21"/>
                <w:szCs w:val="21"/>
              </w:rPr>
            </w:pPr>
            <w:r>
              <w:rPr>
                <w:rFonts w:hint="eastAsia" w:ascii="Times New Roman" w:hAnsi="Times New Roman" w:eastAsia="宋体" w:cs="Times New Roman"/>
                <w:b/>
                <w:color w:val="auto"/>
                <w:sz w:val="21"/>
                <w:szCs w:val="21"/>
              </w:rPr>
              <w:t>1.政策符合性分析</w:t>
            </w:r>
          </w:p>
          <w:p w14:paraId="4496CDB8">
            <w:pPr>
              <w:pStyle w:val="24"/>
              <w:adjustRightInd w:val="0"/>
              <w:snapToGrid w:val="0"/>
              <w:spacing w:before="0" w:beforeAutospacing="0" w:after="0" w:afterAutospacing="0" w:line="440" w:lineRule="exact"/>
              <w:ind w:firstLine="420" w:firstLineChars="200"/>
              <w:rPr>
                <w:rFonts w:ascii="Times New Roman" w:hAnsi="Times New Roman"/>
                <w:color w:val="auto"/>
                <w:sz w:val="21"/>
                <w:szCs w:val="21"/>
              </w:rPr>
            </w:pPr>
            <w:r>
              <w:rPr>
                <w:rFonts w:hint="eastAsia" w:ascii="Times New Roman" w:hAnsi="Times New Roman"/>
                <w:color w:val="auto"/>
                <w:sz w:val="21"/>
                <w:szCs w:val="21"/>
              </w:rPr>
              <w:t>（1）</w:t>
            </w:r>
            <w:r>
              <w:rPr>
                <w:rFonts w:hint="eastAsia" w:ascii="Times New Roman" w:hAnsi="Times New Roman" w:eastAsia="宋体" w:cs="Times New Roman"/>
                <w:color w:val="auto"/>
                <w:sz w:val="21"/>
                <w:szCs w:val="21"/>
                <w:highlight w:val="none"/>
                <w:lang w:val="en-US" w:eastAsia="zh-CN"/>
              </w:rPr>
              <w:t>根据《产业结构调整指导目录（2024年本）》，本项目属于</w:t>
            </w:r>
            <w:r>
              <w:rPr>
                <w:rFonts w:hint="eastAsia" w:ascii="Times New Roman" w:hAnsi="Times New Roman"/>
                <w:color w:val="auto"/>
                <w:sz w:val="21"/>
                <w:szCs w:val="21"/>
              </w:rPr>
              <w:t>第一类“鼓励类”第四十</w:t>
            </w:r>
            <w:r>
              <w:rPr>
                <w:rFonts w:hint="eastAsia" w:ascii="Times New Roman" w:hAnsi="Times New Roman"/>
                <w:color w:val="auto"/>
                <w:sz w:val="21"/>
                <w:szCs w:val="21"/>
                <w:lang w:val="en-US" w:eastAsia="zh-CN"/>
              </w:rPr>
              <w:t>二</w:t>
            </w:r>
            <w:r>
              <w:rPr>
                <w:rFonts w:hint="eastAsia" w:ascii="Times New Roman" w:hAnsi="Times New Roman"/>
                <w:color w:val="auto"/>
                <w:sz w:val="21"/>
                <w:szCs w:val="21"/>
              </w:rPr>
              <w:t>款“环境保护与资源节约综合利用”第</w:t>
            </w:r>
            <w:r>
              <w:rPr>
                <w:rFonts w:hint="eastAsia" w:ascii="Times New Roman" w:hAnsi="Times New Roman"/>
                <w:color w:val="auto"/>
                <w:sz w:val="21"/>
                <w:szCs w:val="21"/>
                <w:lang w:val="en-US" w:eastAsia="zh-CN"/>
              </w:rPr>
              <w:t>8</w:t>
            </w:r>
            <w:r>
              <w:rPr>
                <w:rFonts w:hint="eastAsia" w:ascii="Times New Roman" w:hAnsi="Times New Roman" w:eastAsia="宋体" w:cs="Times New Roman"/>
                <w:color w:val="auto"/>
                <w:sz w:val="21"/>
                <w:szCs w:val="21"/>
                <w:highlight w:val="none"/>
                <w:lang w:val="en-US" w:eastAsia="zh-CN"/>
              </w:rPr>
              <w:t>小项</w:t>
            </w:r>
            <w:r>
              <w:rPr>
                <w:rFonts w:hint="eastAsia" w:ascii="Times New Roman" w:hAnsi="Times New Roman"/>
                <w:color w:val="auto"/>
                <w:sz w:val="21"/>
                <w:szCs w:val="21"/>
              </w:rPr>
              <w:t>“</w:t>
            </w:r>
            <w:r>
              <w:rPr>
                <w:rFonts w:hint="eastAsia" w:ascii="Times New Roman" w:hAnsi="Times New Roman" w:eastAsia="宋体" w:cs="Times New Roman"/>
                <w:color w:val="auto"/>
                <w:sz w:val="21"/>
                <w:szCs w:val="21"/>
                <w:highlight w:val="none"/>
                <w:lang w:val="en-US" w:eastAsia="zh-CN"/>
              </w:rPr>
              <w:t>废弃物循环利用：废钢铁、废有色金属、废纸、废橡胶、废玻璃、废塑料、废旧木材以及报废汽车、废弃电器电子产品、废旧船舶、废旧电池、废轮胎、废弃木质材料、废旧农具、废旧纺织品及纺织废料和边角料、废旧光伏组件、废旧风机叶片、废弃油脂等城市典型废弃物循环利用、技术设备开发及应用，废旧动力电池自动化拆解、自动化快速分选成组、电池剩余寿命及一致性评估、有价组分综合回收、梯次利用、再生利用技术装备开发及应用，低值可回收物回收利用，“城市矿产”基地和资源循环利用基地建设，煤矸石、粉煤灰、尾矿（共伴生矿）、冶炼渣、工业副产石膏、赤泥、建筑垃圾等工业废弃物循环利用，农作物秸秆、畜禽粪污、农药包装等农林废弃物循环利用，生物质能技术装备（发电、供热、制油、沼气）”条款</w:t>
            </w:r>
            <w:r>
              <w:rPr>
                <w:rFonts w:hint="eastAsia" w:ascii="Times New Roman" w:hAnsi="Times New Roman"/>
                <w:color w:val="auto"/>
                <w:sz w:val="21"/>
                <w:szCs w:val="21"/>
              </w:rPr>
              <w:t>，因此本项目为鼓励类，符合国家产业政策。</w:t>
            </w:r>
          </w:p>
          <w:p w14:paraId="209CB14E">
            <w:pPr>
              <w:pStyle w:val="24"/>
              <w:adjustRightInd w:val="0"/>
              <w:snapToGrid w:val="0"/>
              <w:spacing w:before="0" w:beforeAutospacing="0" w:after="0" w:afterAutospacing="0" w:line="440" w:lineRule="exact"/>
              <w:ind w:firstLine="420" w:firstLineChars="200"/>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（2）</w:t>
            </w:r>
            <w:r>
              <w:rPr>
                <w:rFonts w:hint="eastAsia" w:ascii="Times New Roman" w:hAnsi="Times New Roman" w:eastAsia="宋体" w:cs="Times New Roman"/>
                <w:color w:val="auto"/>
                <w:sz w:val="21"/>
                <w:szCs w:val="21"/>
                <w:lang w:val="en-US" w:eastAsia="zh-CN"/>
              </w:rPr>
              <w:t>项目不属于</w:t>
            </w:r>
            <w:r>
              <w:rPr>
                <w:rFonts w:hint="eastAsia" w:ascii="Times New Roman" w:hAnsi="Times New Roman" w:eastAsia="宋体" w:cs="Times New Roman"/>
                <w:color w:val="auto"/>
                <w:sz w:val="21"/>
                <w:szCs w:val="21"/>
              </w:rPr>
              <w:t>《河北省禁止投资的产业目录（2014 年版）》</w:t>
            </w:r>
            <w:r>
              <w:rPr>
                <w:rFonts w:hint="eastAsia" w:ascii="Times New Roman" w:hAnsi="Times New Roman" w:eastAsia="宋体" w:cs="Times New Roman"/>
                <w:color w:val="auto"/>
                <w:sz w:val="21"/>
                <w:szCs w:val="21"/>
                <w:lang w:val="en-US" w:eastAsia="zh-CN"/>
              </w:rPr>
              <w:t>中禁止投资项目</w:t>
            </w:r>
            <w:r>
              <w:rPr>
                <w:rFonts w:hint="eastAsia" w:ascii="Times New Roman" w:hAnsi="Times New Roman" w:eastAsia="宋体" w:cs="Times New Roman"/>
                <w:color w:val="auto"/>
                <w:sz w:val="21"/>
                <w:szCs w:val="21"/>
              </w:rPr>
              <w:t>。</w:t>
            </w:r>
            <w:r>
              <w:rPr>
                <w:rFonts w:hint="eastAsia" w:ascii="Times New Roman" w:hAnsi="Times New Roman" w:eastAsia="宋体" w:cs="Times New Roman"/>
                <w:color w:val="auto"/>
                <w:sz w:val="21"/>
                <w:szCs w:val="21"/>
                <w:lang w:val="en-US" w:eastAsia="zh-CN"/>
              </w:rPr>
              <w:t>不属于《市场准入负面清单</w:t>
            </w:r>
            <w:r>
              <w:rPr>
                <w:rFonts w:hint="eastAsia" w:ascii="Times New Roman" w:hAnsi="Times New Roman" w:eastAsia="宋体" w:cs="Times New Roman"/>
                <w:color w:val="auto"/>
                <w:sz w:val="21"/>
                <w:szCs w:val="21"/>
                <w:highlight w:val="none"/>
                <w:lang w:val="en-US" w:eastAsia="zh-CN"/>
              </w:rPr>
              <w:t>（202</w:t>
            </w:r>
            <w:r>
              <w:rPr>
                <w:rFonts w:hint="eastAsia" w:ascii="Times New Roman" w:hAnsi="Times New Roman" w:cs="Times New Roman"/>
                <w:color w:val="auto"/>
                <w:sz w:val="21"/>
                <w:szCs w:val="21"/>
                <w:highlight w:val="none"/>
                <w:lang w:val="en-US" w:eastAsia="zh-CN"/>
              </w:rPr>
              <w:t>5年版</w:t>
            </w:r>
            <w:r>
              <w:rPr>
                <w:rFonts w:hint="eastAsia" w:ascii="Times New Roman" w:hAnsi="Times New Roman" w:eastAsia="宋体" w:cs="Times New Roman"/>
                <w:color w:val="auto"/>
                <w:sz w:val="21"/>
                <w:szCs w:val="21"/>
                <w:highlight w:val="none"/>
                <w:lang w:val="en-US" w:eastAsia="zh-CN"/>
              </w:rPr>
              <w:t>）</w:t>
            </w:r>
            <w:r>
              <w:rPr>
                <w:rFonts w:hint="eastAsia" w:ascii="Times New Roman" w:hAnsi="Times New Roman" w:eastAsia="宋体" w:cs="Times New Roman"/>
                <w:color w:val="auto"/>
                <w:sz w:val="21"/>
                <w:szCs w:val="21"/>
                <w:lang w:val="en-US" w:eastAsia="zh-CN"/>
              </w:rPr>
              <w:t>》中的禁止准入类建设项目</w:t>
            </w:r>
            <w:r>
              <w:rPr>
                <w:rFonts w:hint="eastAsia" w:ascii="Times New Roman" w:hAnsi="Times New Roman" w:eastAsia="宋体" w:cs="Times New Roman"/>
                <w:color w:val="auto"/>
                <w:sz w:val="21"/>
                <w:szCs w:val="21"/>
                <w:highlight w:val="none"/>
                <w:lang w:val="en-US" w:eastAsia="zh-CN"/>
              </w:rPr>
              <w:t>，属于市场准入负面清单以外的行业、领域、业务等，市场主体可依法平等进入</w:t>
            </w:r>
            <w:r>
              <w:rPr>
                <w:rFonts w:hint="eastAsia" w:ascii="Times New Roman" w:hAnsi="Times New Roman" w:eastAsia="宋体" w:cs="Times New Roman"/>
                <w:color w:val="auto"/>
                <w:sz w:val="21"/>
                <w:szCs w:val="21"/>
                <w:lang w:val="en-US" w:eastAsia="zh-CN"/>
              </w:rPr>
              <w:t>。</w:t>
            </w:r>
          </w:p>
          <w:p w14:paraId="01A1F3E6">
            <w:pPr>
              <w:pStyle w:val="24"/>
              <w:adjustRightInd w:val="0"/>
              <w:snapToGrid w:val="0"/>
              <w:spacing w:before="0" w:beforeAutospacing="0" w:after="0" w:afterAutospacing="0" w:line="440" w:lineRule="exact"/>
              <w:ind w:firstLine="420" w:firstLineChars="200"/>
              <w:rPr>
                <w:rFonts w:ascii="Times New Roman" w:hAnsi="Times New Roman"/>
                <w:color w:val="auto"/>
                <w:sz w:val="21"/>
                <w:szCs w:val="21"/>
                <w:highlight w:val="none"/>
              </w:rPr>
            </w:pPr>
            <w:r>
              <w:rPr>
                <w:rFonts w:hint="eastAsia" w:ascii="Times New Roman" w:hAnsi="Times New Roman"/>
                <w:color w:val="auto"/>
                <w:sz w:val="21"/>
                <w:szCs w:val="21"/>
                <w:highlight w:val="none"/>
                <w:lang w:eastAsia="zh-CN"/>
              </w:rPr>
              <w:t>（</w:t>
            </w:r>
            <w:r>
              <w:rPr>
                <w:rFonts w:hint="eastAsia" w:ascii="Times New Roman" w:hAnsi="Times New Roman"/>
                <w:color w:val="auto"/>
                <w:sz w:val="21"/>
                <w:szCs w:val="21"/>
                <w:highlight w:val="none"/>
                <w:lang w:val="en-US" w:eastAsia="zh-CN"/>
              </w:rPr>
              <w:t>3</w:t>
            </w:r>
            <w:r>
              <w:rPr>
                <w:rFonts w:hint="eastAsia" w:ascii="Times New Roman" w:hAnsi="Times New Roman"/>
                <w:color w:val="auto"/>
                <w:sz w:val="21"/>
                <w:szCs w:val="21"/>
                <w:highlight w:val="none"/>
                <w:lang w:eastAsia="zh-CN"/>
              </w:rPr>
              <w:t>）</w:t>
            </w:r>
            <w:r>
              <w:rPr>
                <w:rFonts w:hint="eastAsia" w:ascii="Times New Roman" w:hAnsi="Times New Roman"/>
                <w:color w:val="auto"/>
                <w:sz w:val="21"/>
                <w:szCs w:val="21"/>
                <w:highlight w:val="none"/>
              </w:rPr>
              <w:t>另外本项目已在滦州市发展和改革局备案，备案文号为：</w:t>
            </w:r>
            <w:r>
              <w:rPr>
                <w:rFonts w:hint="eastAsia" w:ascii="Times New Roman" w:hAnsi="Times New Roman" w:eastAsia="宋体" w:cs="Times New Roman"/>
                <w:color w:val="auto"/>
                <w:sz w:val="21"/>
                <w:szCs w:val="21"/>
                <w:highlight w:val="none"/>
                <w:lang w:val="en-US" w:eastAsia="zh-CN"/>
              </w:rPr>
              <w:t>滦发改备字[202</w:t>
            </w:r>
            <w:r>
              <w:rPr>
                <w:rFonts w:hint="eastAsia" w:ascii="Times New Roman" w:hAnsi="Times New Roman" w:cs="Times New Roman"/>
                <w:color w:val="auto"/>
                <w:sz w:val="21"/>
                <w:szCs w:val="21"/>
                <w:highlight w:val="none"/>
                <w:lang w:val="en-US" w:eastAsia="zh-CN"/>
              </w:rPr>
              <w:t>5</w:t>
            </w:r>
            <w:r>
              <w:rPr>
                <w:rFonts w:hint="eastAsia" w:ascii="Times New Roman" w:hAnsi="Times New Roman" w:eastAsia="宋体" w:cs="Times New Roman"/>
                <w:color w:val="auto"/>
                <w:sz w:val="21"/>
                <w:szCs w:val="21"/>
                <w:highlight w:val="none"/>
                <w:lang w:val="en-US" w:eastAsia="zh-CN"/>
              </w:rPr>
              <w:t>]</w:t>
            </w:r>
            <w:r>
              <w:rPr>
                <w:rFonts w:hint="eastAsia" w:ascii="Times New Roman" w:hAnsi="Times New Roman" w:cs="Times New Roman"/>
                <w:color w:val="auto"/>
                <w:sz w:val="21"/>
                <w:szCs w:val="21"/>
                <w:highlight w:val="none"/>
                <w:lang w:val="en-US" w:eastAsia="zh-CN"/>
              </w:rPr>
              <w:t>98</w:t>
            </w:r>
            <w:r>
              <w:rPr>
                <w:rFonts w:hint="eastAsia" w:ascii="Times New Roman" w:hAnsi="Times New Roman" w:eastAsia="宋体" w:cs="Times New Roman"/>
                <w:color w:val="auto"/>
                <w:sz w:val="21"/>
                <w:szCs w:val="21"/>
                <w:highlight w:val="none"/>
                <w:lang w:val="en-US" w:eastAsia="zh-CN"/>
              </w:rPr>
              <w:t>号</w:t>
            </w:r>
            <w:r>
              <w:rPr>
                <w:rFonts w:hint="eastAsia" w:ascii="Times New Roman" w:hAnsi="Times New Roman"/>
                <w:color w:val="auto"/>
                <w:sz w:val="21"/>
                <w:szCs w:val="21"/>
                <w:highlight w:val="none"/>
              </w:rPr>
              <w:t>。因此，本项目的建设符合当前国家产业政策要求。</w:t>
            </w:r>
          </w:p>
          <w:p w14:paraId="7B2FD3E0">
            <w:pPr>
              <w:pStyle w:val="24"/>
              <w:keepNext w:val="0"/>
              <w:keepLines w:val="0"/>
              <w:pageBreakBefore w:val="0"/>
              <w:kinsoku/>
              <w:wordWrap/>
              <w:overflowPunct/>
              <w:topLinePunct w:val="0"/>
              <w:autoSpaceDE/>
              <w:autoSpaceDN/>
              <w:bidi w:val="0"/>
              <w:adjustRightInd w:val="0"/>
              <w:snapToGrid w:val="0"/>
              <w:spacing w:before="0" w:beforeAutospacing="0" w:after="0" w:afterAutospacing="0" w:line="420" w:lineRule="exact"/>
              <w:ind w:firstLine="422" w:firstLineChars="200"/>
              <w:textAlignment w:val="auto"/>
              <w:rPr>
                <w:rFonts w:ascii="Times New Roman" w:hAnsi="Times New Roman"/>
                <w:b/>
                <w:color w:val="auto"/>
                <w:sz w:val="21"/>
                <w:szCs w:val="21"/>
                <w:highlight w:val="none"/>
              </w:rPr>
            </w:pPr>
            <w:r>
              <w:rPr>
                <w:rFonts w:hint="eastAsia" w:ascii="Times New Roman" w:hAnsi="Times New Roman"/>
                <w:b/>
                <w:color w:val="auto"/>
                <w:sz w:val="21"/>
                <w:szCs w:val="21"/>
                <w:highlight w:val="none"/>
              </w:rPr>
              <w:t>2.土地利用及选址合理性</w:t>
            </w:r>
          </w:p>
          <w:p w14:paraId="77B136D3">
            <w:pPr>
              <w:pStyle w:val="24"/>
              <w:keepNext w:val="0"/>
              <w:keepLines w:val="0"/>
              <w:pageBreakBefore w:val="0"/>
              <w:kinsoku/>
              <w:wordWrap/>
              <w:overflowPunct/>
              <w:topLinePunct w:val="0"/>
              <w:autoSpaceDE/>
              <w:autoSpaceDN/>
              <w:bidi w:val="0"/>
              <w:adjustRightInd w:val="0"/>
              <w:snapToGrid w:val="0"/>
              <w:spacing w:before="0" w:beforeAutospacing="0" w:after="0" w:afterAutospacing="0" w:line="420" w:lineRule="exact"/>
              <w:ind w:firstLine="420" w:firstLineChars="200"/>
              <w:textAlignment w:val="auto"/>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（1）与用地及规划符合性分析</w:t>
            </w:r>
          </w:p>
          <w:p w14:paraId="2D73C5A3">
            <w:pPr>
              <w:pStyle w:val="24"/>
              <w:keepNext w:val="0"/>
              <w:keepLines w:val="0"/>
              <w:pageBreakBefore w:val="0"/>
              <w:kinsoku/>
              <w:wordWrap/>
              <w:overflowPunct/>
              <w:topLinePunct w:val="0"/>
              <w:autoSpaceDE/>
              <w:autoSpaceDN/>
              <w:bidi w:val="0"/>
              <w:adjustRightInd w:val="0"/>
              <w:snapToGrid w:val="0"/>
              <w:spacing w:before="0" w:beforeAutospacing="0" w:after="0" w:afterAutospacing="0" w:line="420" w:lineRule="exact"/>
              <w:ind w:firstLine="396" w:firstLineChars="200"/>
              <w:textAlignment w:val="auto"/>
              <w:rPr>
                <w:rFonts w:hint="eastAsia" w:ascii="Times New Roman" w:hAnsi="Times New Roman" w:eastAsia="宋体" w:cs="Times New Roman"/>
                <w:color w:val="auto"/>
                <w:spacing w:val="-6"/>
                <w:sz w:val="21"/>
                <w:szCs w:val="21"/>
                <w:highlight w:val="none"/>
                <w:lang w:val="en-US" w:eastAsia="zh-CN"/>
              </w:rPr>
            </w:pPr>
            <w:r>
              <w:rPr>
                <w:rFonts w:hint="eastAsia" w:ascii="Times New Roman" w:hAnsi="Times New Roman" w:eastAsia="宋体" w:cs="Times New Roman"/>
                <w:color w:val="auto"/>
                <w:spacing w:val="-6"/>
                <w:sz w:val="21"/>
                <w:szCs w:val="21"/>
                <w:highlight w:val="none"/>
                <w:lang w:val="en-US" w:eastAsia="zh-CN"/>
              </w:rPr>
              <w:t>本项目位于</w:t>
            </w:r>
            <w:r>
              <w:rPr>
                <w:rFonts w:hint="default" w:ascii="Times New Roman" w:hAnsi="Times New Roman" w:eastAsia="宋体" w:cs="Times New Roman"/>
                <w:color w:val="auto"/>
                <w:spacing w:val="-6"/>
                <w:sz w:val="21"/>
                <w:szCs w:val="21"/>
                <w:highlight w:val="none"/>
                <w:lang w:val="en-US" w:eastAsia="zh-CN"/>
              </w:rPr>
              <w:t>滦州市</w:t>
            </w:r>
            <w:r>
              <w:rPr>
                <w:rFonts w:hint="eastAsia" w:ascii="Times New Roman" w:hAnsi="Times New Roman" w:eastAsia="宋体" w:cs="Times New Roman"/>
                <w:color w:val="auto"/>
                <w:spacing w:val="-6"/>
                <w:sz w:val="21"/>
                <w:szCs w:val="21"/>
                <w:highlight w:val="none"/>
                <w:lang w:val="en-US" w:eastAsia="zh-CN"/>
              </w:rPr>
              <w:t>九百户镇</w:t>
            </w:r>
            <w:r>
              <w:rPr>
                <w:rFonts w:hint="default" w:ascii="Times New Roman" w:hAnsi="Times New Roman" w:eastAsia="宋体" w:cs="Times New Roman"/>
                <w:color w:val="auto"/>
                <w:spacing w:val="-6"/>
                <w:sz w:val="21"/>
                <w:szCs w:val="21"/>
                <w:highlight w:val="none"/>
                <w:lang w:val="en-US" w:eastAsia="zh-CN"/>
              </w:rPr>
              <w:t>镇</w:t>
            </w:r>
            <w:r>
              <w:rPr>
                <w:rFonts w:hint="eastAsia" w:ascii="Times New Roman" w:hAnsi="Times New Roman" w:eastAsia="宋体" w:cs="Times New Roman"/>
                <w:color w:val="auto"/>
                <w:spacing w:val="-6"/>
                <w:sz w:val="21"/>
                <w:szCs w:val="21"/>
                <w:highlight w:val="none"/>
                <w:lang w:val="en-US" w:eastAsia="zh-CN"/>
              </w:rPr>
              <w:t>宜安村西，根据《</w:t>
            </w:r>
            <w:r>
              <w:rPr>
                <w:rFonts w:hint="default" w:ascii="Times New Roman" w:hAnsi="Times New Roman" w:eastAsia="宋体" w:cs="Times New Roman"/>
                <w:color w:val="auto"/>
                <w:spacing w:val="-6"/>
                <w:sz w:val="21"/>
                <w:szCs w:val="21"/>
                <w:highlight w:val="none"/>
                <w:lang w:val="en-US" w:eastAsia="zh-CN"/>
              </w:rPr>
              <w:t>滦州市</w:t>
            </w:r>
            <w:r>
              <w:rPr>
                <w:rFonts w:hint="eastAsia" w:ascii="Times New Roman" w:hAnsi="Times New Roman" w:eastAsia="宋体" w:cs="Times New Roman"/>
                <w:color w:val="auto"/>
                <w:spacing w:val="-6"/>
                <w:sz w:val="21"/>
                <w:szCs w:val="21"/>
                <w:highlight w:val="none"/>
                <w:lang w:val="en-US" w:eastAsia="zh-CN"/>
              </w:rPr>
              <w:t>九百户镇</w:t>
            </w:r>
            <w:r>
              <w:rPr>
                <w:rFonts w:hint="default" w:ascii="Times New Roman" w:hAnsi="Times New Roman" w:eastAsia="宋体" w:cs="Times New Roman"/>
                <w:color w:val="auto"/>
                <w:spacing w:val="-6"/>
                <w:sz w:val="21"/>
                <w:szCs w:val="21"/>
                <w:highlight w:val="none"/>
                <w:lang w:val="en-US" w:eastAsia="zh-CN"/>
              </w:rPr>
              <w:t>关于</w:t>
            </w:r>
            <w:r>
              <w:rPr>
                <w:rFonts w:hint="eastAsia" w:ascii="Times New Roman" w:hAnsi="Times New Roman" w:eastAsia="宋体" w:cs="Times New Roman"/>
                <w:color w:val="auto"/>
                <w:spacing w:val="-6"/>
                <w:sz w:val="21"/>
                <w:szCs w:val="21"/>
                <w:highlight w:val="none"/>
                <w:lang w:val="en-US" w:eastAsia="zh-CN"/>
              </w:rPr>
              <w:t>滦州市祯璟再生资源有限公司固体废弃物综合利用项目</w:t>
            </w:r>
            <w:r>
              <w:rPr>
                <w:rFonts w:hint="default" w:ascii="Times New Roman" w:hAnsi="Times New Roman" w:eastAsia="宋体" w:cs="Times New Roman"/>
                <w:color w:val="auto"/>
                <w:spacing w:val="-6"/>
                <w:sz w:val="21"/>
                <w:szCs w:val="21"/>
                <w:highlight w:val="none"/>
                <w:lang w:val="en-US" w:eastAsia="zh-CN"/>
              </w:rPr>
              <w:t>用地情况说明</w:t>
            </w:r>
            <w:r>
              <w:rPr>
                <w:rFonts w:hint="eastAsia" w:ascii="Times New Roman" w:hAnsi="Times New Roman" w:eastAsia="宋体" w:cs="Times New Roman"/>
                <w:color w:val="auto"/>
                <w:spacing w:val="-6"/>
                <w:sz w:val="21"/>
                <w:szCs w:val="21"/>
                <w:highlight w:val="none"/>
                <w:lang w:val="en-US" w:eastAsia="zh-CN"/>
              </w:rPr>
              <w:t>》，项目占地性质为</w:t>
            </w:r>
            <w:r>
              <w:rPr>
                <w:rFonts w:hint="eastAsia" w:ascii="Times New Roman" w:hAnsi="Times New Roman" w:cs="Times New Roman"/>
                <w:color w:val="auto"/>
                <w:spacing w:val="-6"/>
                <w:sz w:val="21"/>
                <w:szCs w:val="21"/>
                <w:highlight w:val="none"/>
                <w:lang w:val="en-US" w:eastAsia="zh-CN"/>
              </w:rPr>
              <w:t>工业</w:t>
            </w:r>
            <w:r>
              <w:rPr>
                <w:rFonts w:hint="eastAsia" w:ascii="Times New Roman" w:hAnsi="Times New Roman" w:eastAsia="宋体" w:cs="Times New Roman"/>
                <w:color w:val="auto"/>
                <w:spacing w:val="-6"/>
                <w:sz w:val="21"/>
                <w:szCs w:val="21"/>
                <w:highlight w:val="none"/>
                <w:lang w:val="en-US" w:eastAsia="zh-CN"/>
              </w:rPr>
              <w:t>建设用地，符合九百户镇</w:t>
            </w:r>
            <w:r>
              <w:rPr>
                <w:rFonts w:hint="eastAsia" w:ascii="Times New Roman" w:hAnsi="Times New Roman" w:cs="Times New Roman"/>
                <w:color w:val="auto"/>
                <w:spacing w:val="-6"/>
                <w:sz w:val="21"/>
                <w:szCs w:val="21"/>
                <w:highlight w:val="none"/>
                <w:lang w:val="en-US" w:eastAsia="zh-CN"/>
              </w:rPr>
              <w:t>镇域发展规划</w:t>
            </w:r>
            <w:r>
              <w:rPr>
                <w:rFonts w:hint="eastAsia" w:ascii="Times New Roman" w:hAnsi="Times New Roman" w:eastAsia="宋体" w:cs="Times New Roman"/>
                <w:color w:val="auto"/>
                <w:spacing w:val="-6"/>
                <w:sz w:val="21"/>
                <w:szCs w:val="21"/>
                <w:highlight w:val="none"/>
                <w:lang w:val="en-US" w:eastAsia="zh-CN"/>
              </w:rPr>
              <w:t>。</w:t>
            </w:r>
          </w:p>
          <w:p w14:paraId="60A01ABF">
            <w:pPr>
              <w:pStyle w:val="24"/>
              <w:keepNext w:val="0"/>
              <w:keepLines w:val="0"/>
              <w:pageBreakBefore w:val="0"/>
              <w:kinsoku/>
              <w:wordWrap/>
              <w:overflowPunct/>
              <w:topLinePunct w:val="0"/>
              <w:autoSpaceDE/>
              <w:autoSpaceDN/>
              <w:bidi w:val="0"/>
              <w:adjustRightInd w:val="0"/>
              <w:snapToGrid w:val="0"/>
              <w:spacing w:before="0" w:beforeAutospacing="0" w:after="0" w:afterAutospacing="0" w:line="420" w:lineRule="exact"/>
              <w:ind w:firstLine="420" w:firstLineChars="200"/>
              <w:textAlignment w:val="auto"/>
              <w:rPr>
                <w:rFonts w:hint="eastAsia" w:ascii="Times New Roman" w:hAnsi="Times New Roman" w:eastAsia="宋体" w:cs="Times New Roman"/>
                <w:color w:val="auto"/>
                <w:sz w:val="21"/>
                <w:szCs w:val="21"/>
                <w:highlight w:val="none"/>
                <w:lang w:val="en-US" w:eastAsia="zh-CN"/>
              </w:rPr>
            </w:pPr>
            <w:bookmarkStart w:id="5" w:name="_Toc517345739"/>
            <w:r>
              <w:rPr>
                <w:rFonts w:hint="eastAsia" w:ascii="Times New Roman" w:hAnsi="Times New Roman" w:cs="Times New Roman"/>
                <w:color w:val="auto"/>
                <w:sz w:val="21"/>
                <w:szCs w:val="21"/>
                <w:highlight w:val="none"/>
                <w:lang w:val="en-US" w:eastAsia="zh-CN"/>
              </w:rPr>
              <w:t>（2）</w:t>
            </w:r>
            <w:r>
              <w:rPr>
                <w:rFonts w:hint="eastAsia" w:ascii="Times New Roman" w:hAnsi="Times New Roman" w:eastAsia="宋体" w:cs="Times New Roman"/>
                <w:color w:val="auto"/>
                <w:sz w:val="21"/>
                <w:szCs w:val="21"/>
                <w:highlight w:val="none"/>
                <w:lang w:val="en-US" w:eastAsia="zh-CN"/>
              </w:rPr>
              <w:t>项目周边环境敏感性</w:t>
            </w:r>
            <w:bookmarkEnd w:id="5"/>
            <w:r>
              <w:rPr>
                <w:rFonts w:hint="eastAsia" w:ascii="Times New Roman" w:hAnsi="Times New Roman" w:eastAsia="宋体" w:cs="Times New Roman"/>
                <w:color w:val="auto"/>
                <w:sz w:val="21"/>
                <w:szCs w:val="21"/>
                <w:highlight w:val="none"/>
                <w:lang w:val="en-US" w:eastAsia="zh-CN"/>
              </w:rPr>
              <w:t>分析</w:t>
            </w:r>
          </w:p>
          <w:p w14:paraId="1E6EB788">
            <w:pPr>
              <w:pStyle w:val="24"/>
              <w:keepNext w:val="0"/>
              <w:keepLines w:val="0"/>
              <w:pageBreakBefore w:val="0"/>
              <w:kinsoku/>
              <w:wordWrap/>
              <w:overflowPunct/>
              <w:topLinePunct w:val="0"/>
              <w:autoSpaceDE/>
              <w:autoSpaceDN/>
              <w:bidi w:val="0"/>
              <w:adjustRightInd w:val="0"/>
              <w:snapToGrid w:val="0"/>
              <w:spacing w:before="0" w:beforeAutospacing="0" w:after="0" w:afterAutospacing="0" w:line="420" w:lineRule="exact"/>
              <w:ind w:firstLine="420" w:firstLineChars="200"/>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①唐山市陡河水库集中式饮用水水源地</w:t>
            </w:r>
          </w:p>
          <w:p w14:paraId="16D946D6">
            <w:pPr>
              <w:pStyle w:val="24"/>
              <w:keepNext w:val="0"/>
              <w:keepLines w:val="0"/>
              <w:pageBreakBefore w:val="0"/>
              <w:kinsoku/>
              <w:wordWrap/>
              <w:overflowPunct/>
              <w:topLinePunct w:val="0"/>
              <w:autoSpaceDE/>
              <w:autoSpaceDN/>
              <w:bidi w:val="0"/>
              <w:adjustRightInd w:val="0"/>
              <w:snapToGrid w:val="0"/>
              <w:spacing w:before="0" w:beforeAutospacing="0" w:after="0" w:afterAutospacing="0" w:line="420" w:lineRule="exact"/>
              <w:ind w:firstLine="420" w:firstLineChars="200"/>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陡河水库饮用水水源地是大型地表水水源地，该水源地主要供应唐山市区居民生活用水，依据唐山市实际情况确定划分一级、二级及准保护区。本项目</w:t>
            </w:r>
            <w:r>
              <w:rPr>
                <w:rFonts w:hint="eastAsia" w:ascii="Times New Roman" w:hAnsi="Times New Roman" w:cs="Times New Roman"/>
                <w:color w:val="auto"/>
                <w:sz w:val="21"/>
                <w:szCs w:val="21"/>
                <w:highlight w:val="none"/>
                <w:lang w:val="en-US" w:eastAsia="zh-CN"/>
              </w:rPr>
              <w:t>位于</w:t>
            </w:r>
            <w:r>
              <w:rPr>
                <w:rFonts w:hint="default" w:ascii="Times New Roman" w:hAnsi="Times New Roman" w:eastAsia="宋体" w:cs="Times New Roman"/>
                <w:color w:val="auto"/>
                <w:sz w:val="21"/>
                <w:szCs w:val="21"/>
                <w:highlight w:val="none"/>
                <w:lang w:val="en-US" w:eastAsia="zh-CN"/>
              </w:rPr>
              <w:t>唐山市陡河水库集中式饮用水水源地</w:t>
            </w:r>
            <w:r>
              <w:rPr>
                <w:rFonts w:hint="eastAsia" w:ascii="Times New Roman" w:hAnsi="Times New Roman" w:eastAsia="宋体" w:cs="Times New Roman"/>
                <w:color w:val="auto"/>
                <w:sz w:val="21"/>
                <w:szCs w:val="21"/>
                <w:highlight w:val="none"/>
                <w:lang w:val="en-US" w:eastAsia="zh-CN"/>
              </w:rPr>
              <w:t>东侧，项目厂界</w:t>
            </w:r>
            <w:r>
              <w:rPr>
                <w:rFonts w:hint="default" w:ascii="Times New Roman" w:hAnsi="Times New Roman" w:eastAsia="宋体" w:cs="Times New Roman"/>
                <w:color w:val="auto"/>
                <w:sz w:val="21"/>
                <w:szCs w:val="21"/>
                <w:highlight w:val="none"/>
                <w:lang w:val="en-US" w:eastAsia="zh-CN"/>
              </w:rPr>
              <w:t>距陡河水库集中式饮用水水源地准保护区为</w:t>
            </w:r>
            <w:r>
              <w:rPr>
                <w:rFonts w:hint="eastAsia" w:ascii="Times New Roman" w:hAnsi="Times New Roman" w:cs="Times New Roman"/>
                <w:color w:val="auto"/>
                <w:sz w:val="21"/>
                <w:szCs w:val="21"/>
                <w:highlight w:val="none"/>
                <w:lang w:val="en-US" w:eastAsia="zh-CN"/>
              </w:rPr>
              <w:t>8.5k</w:t>
            </w:r>
            <w:r>
              <w:rPr>
                <w:rFonts w:hint="default" w:ascii="Times New Roman" w:hAnsi="Times New Roman" w:eastAsia="宋体" w:cs="Times New Roman"/>
                <w:color w:val="auto"/>
                <w:sz w:val="21"/>
                <w:szCs w:val="21"/>
                <w:highlight w:val="none"/>
                <w:lang w:val="en-US" w:eastAsia="zh-CN"/>
              </w:rPr>
              <w:t>m。</w:t>
            </w:r>
          </w:p>
          <w:p w14:paraId="39972226">
            <w:pPr>
              <w:pStyle w:val="24"/>
              <w:keepNext w:val="0"/>
              <w:keepLines w:val="0"/>
              <w:pageBreakBefore w:val="0"/>
              <w:kinsoku/>
              <w:wordWrap/>
              <w:overflowPunct/>
              <w:topLinePunct w:val="0"/>
              <w:autoSpaceDE/>
              <w:autoSpaceDN/>
              <w:bidi w:val="0"/>
              <w:adjustRightInd w:val="0"/>
              <w:snapToGrid w:val="0"/>
              <w:spacing w:before="0" w:beforeAutospacing="0" w:after="0" w:afterAutospacing="0" w:line="420" w:lineRule="exact"/>
              <w:ind w:firstLine="420" w:firstLineChars="200"/>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②</w:t>
            </w:r>
            <w:r>
              <w:rPr>
                <w:rFonts w:hint="eastAsia" w:ascii="Times New Roman" w:hAnsi="Times New Roman" w:cs="Times New Roman"/>
                <w:color w:val="auto"/>
                <w:sz w:val="21"/>
                <w:szCs w:val="21"/>
                <w:highlight w:val="none"/>
                <w:lang w:val="en-US" w:eastAsia="zh-CN"/>
              </w:rPr>
              <w:t>巍峰山</w:t>
            </w:r>
            <w:r>
              <w:rPr>
                <w:rFonts w:hint="eastAsia" w:ascii="Times New Roman" w:hAnsi="Times New Roman" w:eastAsia="宋体" w:cs="Times New Roman"/>
                <w:color w:val="auto"/>
                <w:sz w:val="21"/>
                <w:szCs w:val="21"/>
                <w:highlight w:val="none"/>
                <w:lang w:val="en-US" w:eastAsia="zh-CN"/>
              </w:rPr>
              <w:t>饮用水水源地</w:t>
            </w:r>
          </w:p>
          <w:p w14:paraId="0205C57D">
            <w:pPr>
              <w:pStyle w:val="24"/>
              <w:keepNext w:val="0"/>
              <w:keepLines w:val="0"/>
              <w:pageBreakBefore w:val="0"/>
              <w:kinsoku/>
              <w:wordWrap/>
              <w:overflowPunct/>
              <w:topLinePunct w:val="0"/>
              <w:autoSpaceDE/>
              <w:autoSpaceDN/>
              <w:bidi w:val="0"/>
              <w:adjustRightInd w:val="0"/>
              <w:snapToGrid w:val="0"/>
              <w:spacing w:before="0" w:beforeAutospacing="0" w:after="0" w:afterAutospacing="0" w:line="420" w:lineRule="exact"/>
              <w:ind w:firstLine="420" w:firstLineChars="200"/>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巍峰山饮用水水源地是小型地下水水源地</w:t>
            </w:r>
            <w:r>
              <w:rPr>
                <w:rFonts w:hint="default" w:ascii="Times New Roman" w:hAnsi="Times New Roman" w:eastAsia="宋体" w:cs="Times New Roman"/>
                <w:color w:val="auto"/>
                <w:sz w:val="21"/>
                <w:szCs w:val="21"/>
                <w:highlight w:val="none"/>
                <w:lang w:val="en-US" w:eastAsia="zh-CN"/>
              </w:rPr>
              <w:t>，该水源地</w:t>
            </w:r>
            <w:r>
              <w:rPr>
                <w:rFonts w:hint="eastAsia" w:ascii="Times New Roman" w:hAnsi="Times New Roman" w:cs="Times New Roman"/>
                <w:color w:val="auto"/>
                <w:sz w:val="21"/>
                <w:szCs w:val="21"/>
                <w:highlight w:val="none"/>
                <w:lang w:val="en-US" w:eastAsia="zh-CN"/>
              </w:rPr>
              <w:t>主要供应唐山市古冶区的居民生活用水，</w:t>
            </w:r>
            <w:r>
              <w:rPr>
                <w:rFonts w:hint="default" w:ascii="Times New Roman" w:hAnsi="Times New Roman" w:eastAsia="宋体" w:cs="Times New Roman"/>
                <w:color w:val="auto"/>
                <w:sz w:val="21"/>
                <w:szCs w:val="21"/>
                <w:highlight w:val="none"/>
                <w:lang w:val="en-US" w:eastAsia="zh-CN"/>
              </w:rPr>
              <w:t>依据实际情况确定划分一级、二级及准保护区</w:t>
            </w:r>
            <w:r>
              <w:rPr>
                <w:rFonts w:hint="eastAsia" w:ascii="Times New Roman" w:hAnsi="Times New Roman" w:cs="Times New Roman"/>
                <w:color w:val="auto"/>
                <w:sz w:val="21"/>
                <w:szCs w:val="21"/>
                <w:highlight w:val="none"/>
                <w:lang w:val="en-US" w:eastAsia="zh-CN"/>
              </w:rPr>
              <w:t>。</w:t>
            </w:r>
            <w:r>
              <w:rPr>
                <w:rFonts w:hint="default" w:ascii="Times New Roman" w:hAnsi="Times New Roman" w:eastAsia="宋体" w:cs="Times New Roman"/>
                <w:color w:val="auto"/>
                <w:sz w:val="21"/>
                <w:szCs w:val="21"/>
                <w:highlight w:val="none"/>
                <w:lang w:val="en-US" w:eastAsia="zh-CN"/>
              </w:rPr>
              <w:t>本项目位于</w:t>
            </w:r>
            <w:r>
              <w:rPr>
                <w:rFonts w:hint="eastAsia" w:ascii="Times New Roman" w:hAnsi="Times New Roman" w:cs="Times New Roman"/>
                <w:color w:val="auto"/>
                <w:sz w:val="21"/>
                <w:szCs w:val="21"/>
                <w:highlight w:val="none"/>
                <w:lang w:val="en-US" w:eastAsia="zh-CN"/>
              </w:rPr>
              <w:t>巍峰山饮用水水源地西侧</w:t>
            </w:r>
            <w:r>
              <w:rPr>
                <w:rFonts w:hint="eastAsia" w:ascii="Times New Roman" w:hAnsi="Times New Roman" w:eastAsia="宋体" w:cs="Times New Roman"/>
                <w:color w:val="auto"/>
                <w:sz w:val="21"/>
                <w:szCs w:val="21"/>
                <w:highlight w:val="none"/>
                <w:lang w:val="en-US" w:eastAsia="zh-CN"/>
              </w:rPr>
              <w:t>，项目厂界</w:t>
            </w:r>
            <w:r>
              <w:rPr>
                <w:rFonts w:hint="default" w:ascii="Times New Roman" w:hAnsi="Times New Roman" w:eastAsia="宋体" w:cs="Times New Roman"/>
                <w:color w:val="auto"/>
                <w:sz w:val="21"/>
                <w:szCs w:val="21"/>
                <w:highlight w:val="none"/>
                <w:lang w:val="en-US" w:eastAsia="zh-CN"/>
              </w:rPr>
              <w:t>距</w:t>
            </w:r>
            <w:r>
              <w:rPr>
                <w:rFonts w:hint="eastAsia" w:ascii="Times New Roman" w:hAnsi="Times New Roman" w:cs="Times New Roman"/>
                <w:color w:val="auto"/>
                <w:sz w:val="21"/>
                <w:szCs w:val="21"/>
                <w:highlight w:val="none"/>
                <w:lang w:val="en-US" w:eastAsia="zh-CN"/>
              </w:rPr>
              <w:t>巍峰山</w:t>
            </w:r>
            <w:r>
              <w:rPr>
                <w:rFonts w:hint="eastAsia" w:ascii="Times New Roman" w:hAnsi="Times New Roman" w:eastAsia="宋体" w:cs="Times New Roman"/>
                <w:color w:val="auto"/>
                <w:sz w:val="21"/>
                <w:szCs w:val="21"/>
                <w:highlight w:val="none"/>
                <w:lang w:val="en-US" w:eastAsia="zh-CN"/>
              </w:rPr>
              <w:t>饮用水水源地</w:t>
            </w:r>
            <w:r>
              <w:rPr>
                <w:rFonts w:hint="default" w:ascii="Times New Roman" w:hAnsi="Times New Roman" w:eastAsia="宋体" w:cs="Times New Roman"/>
                <w:color w:val="auto"/>
                <w:sz w:val="21"/>
                <w:szCs w:val="21"/>
                <w:highlight w:val="none"/>
                <w:lang w:val="en-US" w:eastAsia="zh-CN"/>
              </w:rPr>
              <w:t>准保护区为</w:t>
            </w:r>
            <w:r>
              <w:rPr>
                <w:rFonts w:hint="eastAsia" w:ascii="Times New Roman" w:hAnsi="Times New Roman" w:cs="Times New Roman"/>
                <w:color w:val="auto"/>
                <w:sz w:val="21"/>
                <w:szCs w:val="21"/>
                <w:highlight w:val="none"/>
                <w:lang w:val="en-US" w:eastAsia="zh-CN"/>
              </w:rPr>
              <w:t>3.6k</w:t>
            </w:r>
            <w:r>
              <w:rPr>
                <w:rFonts w:hint="default" w:ascii="Times New Roman" w:hAnsi="Times New Roman" w:eastAsia="宋体" w:cs="Times New Roman"/>
                <w:color w:val="auto"/>
                <w:sz w:val="21"/>
                <w:szCs w:val="21"/>
                <w:highlight w:val="none"/>
                <w:lang w:val="en-US" w:eastAsia="zh-CN"/>
              </w:rPr>
              <w:t>m。</w:t>
            </w:r>
          </w:p>
          <w:p w14:paraId="0672B33D">
            <w:pPr>
              <w:pStyle w:val="24"/>
              <w:keepNext w:val="0"/>
              <w:keepLines w:val="0"/>
              <w:pageBreakBefore w:val="0"/>
              <w:kinsoku/>
              <w:wordWrap/>
              <w:overflowPunct/>
              <w:topLinePunct w:val="0"/>
              <w:autoSpaceDE/>
              <w:autoSpaceDN/>
              <w:bidi w:val="0"/>
              <w:adjustRightInd w:val="0"/>
              <w:snapToGrid w:val="0"/>
              <w:spacing w:before="0" w:beforeAutospacing="0" w:after="0" w:afterAutospacing="0" w:line="420" w:lineRule="exact"/>
              <w:ind w:firstLine="420" w:firstLineChars="200"/>
              <w:textAlignment w:val="auto"/>
              <w:rPr>
                <w:rFonts w:hint="eastAsia" w:ascii="Times New Roman" w:hAnsi="Times New Roman"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本项目位于河北省唐山市滦州市</w:t>
            </w:r>
            <w:r>
              <w:rPr>
                <w:rFonts w:hint="eastAsia" w:ascii="Times New Roman" w:hAnsi="Times New Roman" w:eastAsia="宋体" w:cs="Times New Roman"/>
                <w:color w:val="auto"/>
                <w:spacing w:val="-6"/>
                <w:sz w:val="21"/>
                <w:szCs w:val="21"/>
                <w:highlight w:val="none"/>
                <w:lang w:val="en-US" w:eastAsia="zh-CN"/>
              </w:rPr>
              <w:t>九百户镇</w:t>
            </w:r>
            <w:r>
              <w:rPr>
                <w:rFonts w:hint="default" w:ascii="Times New Roman" w:hAnsi="Times New Roman" w:eastAsia="宋体" w:cs="Times New Roman"/>
                <w:color w:val="auto"/>
                <w:spacing w:val="-6"/>
                <w:sz w:val="21"/>
                <w:szCs w:val="21"/>
                <w:highlight w:val="none"/>
                <w:lang w:val="en-US" w:eastAsia="zh-CN"/>
              </w:rPr>
              <w:t>镇</w:t>
            </w:r>
            <w:r>
              <w:rPr>
                <w:rFonts w:hint="eastAsia" w:ascii="Times New Roman" w:hAnsi="Times New Roman" w:eastAsia="宋体" w:cs="Times New Roman"/>
                <w:color w:val="auto"/>
                <w:spacing w:val="-6"/>
                <w:sz w:val="21"/>
                <w:szCs w:val="21"/>
                <w:highlight w:val="none"/>
                <w:lang w:val="en-US" w:eastAsia="zh-CN"/>
              </w:rPr>
              <w:t>宜安村西</w:t>
            </w:r>
            <w:r>
              <w:rPr>
                <w:rFonts w:hint="default" w:ascii="Times New Roman" w:hAnsi="Times New Roman" w:eastAsia="宋体" w:cs="Times New Roman"/>
                <w:color w:val="auto"/>
                <w:sz w:val="21"/>
                <w:szCs w:val="21"/>
                <w:highlight w:val="none"/>
                <w:lang w:val="en-US" w:eastAsia="zh-CN"/>
              </w:rPr>
              <w:t>，</w:t>
            </w:r>
            <w:r>
              <w:rPr>
                <w:rFonts w:hint="eastAsia" w:ascii="Times New Roman" w:hAnsi="Times New Roman" w:eastAsia="宋体" w:cs="Times New Roman"/>
                <w:color w:val="auto"/>
                <w:sz w:val="21"/>
                <w:szCs w:val="21"/>
                <w:highlight w:val="none"/>
                <w:lang w:val="en-US" w:eastAsia="zh-CN"/>
              </w:rPr>
              <w:t>项目厂址中心地理坐标为东经</w:t>
            </w:r>
            <w:r>
              <w:rPr>
                <w:rFonts w:hint="default" w:ascii="Times New Roman" w:hAnsi="Times New Roman" w:eastAsia="宋体" w:cs="Times New Roman"/>
                <w:color w:val="auto"/>
                <w:sz w:val="21"/>
                <w:szCs w:val="21"/>
                <w:highlight w:val="none"/>
                <w:lang w:val="en-US" w:eastAsia="zh-CN"/>
              </w:rPr>
              <w:t>118°2</w:t>
            </w:r>
            <w:r>
              <w:rPr>
                <w:rFonts w:hint="eastAsia" w:ascii="Times New Roman" w:hAnsi="Times New Roman" w:eastAsia="宋体" w:cs="Times New Roman"/>
                <w:color w:val="auto"/>
                <w:sz w:val="21"/>
                <w:szCs w:val="21"/>
                <w:highlight w:val="none"/>
                <w:lang w:val="en-US" w:eastAsia="zh-CN"/>
              </w:rPr>
              <w:t>8</w:t>
            </w:r>
            <w:r>
              <w:rPr>
                <w:rFonts w:hint="default" w:ascii="Times New Roman" w:hAnsi="Times New Roman" w:eastAsia="宋体" w:cs="Times New Roman"/>
                <w:color w:val="auto"/>
                <w:sz w:val="21"/>
                <w:szCs w:val="21"/>
                <w:highlight w:val="none"/>
                <w:lang w:val="en-US" w:eastAsia="zh-CN"/>
              </w:rPr>
              <w:t>′</w:t>
            </w:r>
            <w:r>
              <w:rPr>
                <w:rFonts w:hint="eastAsia" w:ascii="Times New Roman" w:hAnsi="Times New Roman" w:eastAsia="宋体" w:cs="Times New Roman"/>
                <w:color w:val="auto"/>
                <w:sz w:val="21"/>
                <w:szCs w:val="21"/>
                <w:highlight w:val="none"/>
                <w:lang w:val="en-US" w:eastAsia="zh-CN"/>
              </w:rPr>
              <w:t>45.818</w:t>
            </w:r>
            <w:r>
              <w:rPr>
                <w:rFonts w:hint="default" w:ascii="Times New Roman" w:hAnsi="Times New Roman" w:eastAsia="宋体" w:cs="Times New Roman"/>
                <w:color w:val="auto"/>
                <w:sz w:val="21"/>
                <w:szCs w:val="21"/>
                <w:highlight w:val="none"/>
                <w:lang w:val="en-US" w:eastAsia="zh-CN"/>
              </w:rPr>
              <w:t>″</w:t>
            </w:r>
            <w:r>
              <w:rPr>
                <w:rFonts w:hint="eastAsia" w:ascii="Times New Roman" w:hAnsi="Times New Roman" w:eastAsia="宋体" w:cs="Times New Roman"/>
                <w:color w:val="auto"/>
                <w:sz w:val="21"/>
                <w:szCs w:val="21"/>
                <w:highlight w:val="none"/>
                <w:lang w:val="en-US" w:eastAsia="zh-CN"/>
              </w:rPr>
              <w:t>，北纬</w:t>
            </w:r>
            <w:r>
              <w:rPr>
                <w:rFonts w:hint="default" w:ascii="Times New Roman" w:hAnsi="Times New Roman" w:eastAsia="宋体" w:cs="Times New Roman"/>
                <w:color w:val="auto"/>
                <w:sz w:val="21"/>
                <w:szCs w:val="21"/>
                <w:highlight w:val="none"/>
                <w:lang w:val="en-US" w:eastAsia="zh-CN"/>
              </w:rPr>
              <w:t>39°</w:t>
            </w:r>
            <w:r>
              <w:rPr>
                <w:rFonts w:hint="eastAsia" w:ascii="Times New Roman" w:hAnsi="Times New Roman" w:eastAsia="宋体" w:cs="Times New Roman"/>
                <w:color w:val="auto"/>
                <w:sz w:val="21"/>
                <w:szCs w:val="21"/>
                <w:highlight w:val="none"/>
                <w:lang w:val="en-US" w:eastAsia="zh-CN"/>
              </w:rPr>
              <w:t>47</w:t>
            </w:r>
            <w:r>
              <w:rPr>
                <w:rFonts w:hint="default" w:ascii="Times New Roman" w:hAnsi="Times New Roman" w:eastAsia="宋体" w:cs="Times New Roman"/>
                <w:color w:val="auto"/>
                <w:sz w:val="21"/>
                <w:szCs w:val="21"/>
                <w:highlight w:val="none"/>
                <w:lang w:val="en-US" w:eastAsia="zh-CN"/>
              </w:rPr>
              <w:t>′</w:t>
            </w:r>
            <w:r>
              <w:rPr>
                <w:rFonts w:hint="eastAsia" w:ascii="Times New Roman" w:hAnsi="Times New Roman" w:eastAsia="宋体" w:cs="Times New Roman"/>
                <w:color w:val="auto"/>
                <w:sz w:val="21"/>
                <w:szCs w:val="21"/>
                <w:highlight w:val="none"/>
                <w:lang w:val="en-US" w:eastAsia="zh-CN"/>
              </w:rPr>
              <w:t>6.784</w:t>
            </w:r>
            <w:r>
              <w:rPr>
                <w:rFonts w:hint="default" w:ascii="Times New Roman" w:hAnsi="Times New Roman" w:eastAsia="宋体" w:cs="Times New Roman"/>
                <w:color w:val="auto"/>
                <w:sz w:val="21"/>
                <w:szCs w:val="21"/>
                <w:highlight w:val="none"/>
                <w:lang w:val="en-US" w:eastAsia="zh-CN"/>
              </w:rPr>
              <w:t>″</w:t>
            </w:r>
            <w:r>
              <w:rPr>
                <w:rFonts w:hint="eastAsia" w:ascii="Times New Roman" w:hAnsi="Times New Roman" w:eastAsia="宋体" w:cs="Times New Roman"/>
                <w:color w:val="auto"/>
                <w:sz w:val="21"/>
                <w:szCs w:val="21"/>
                <w:highlight w:val="none"/>
                <w:lang w:val="en-US" w:eastAsia="zh-CN"/>
              </w:rPr>
              <w:t>。项目用地四至为</w:t>
            </w:r>
            <w:r>
              <w:rPr>
                <w:rFonts w:hint="default" w:ascii="Times New Roman" w:hAnsi="Times New Roman" w:eastAsia="宋体" w:cs="Times New Roman"/>
                <w:color w:val="auto"/>
                <w:sz w:val="21"/>
                <w:szCs w:val="21"/>
                <w:highlight w:val="none"/>
                <w:lang w:val="en-US" w:eastAsia="zh-CN"/>
              </w:rPr>
              <w:t>：东至大井峪排水沟</w:t>
            </w:r>
            <w:r>
              <w:rPr>
                <w:rFonts w:hint="eastAsia" w:ascii="Times New Roman" w:hAnsi="Times New Roman" w:cs="Times New Roman"/>
                <w:color w:val="auto"/>
                <w:sz w:val="21"/>
                <w:szCs w:val="21"/>
                <w:highlight w:val="none"/>
                <w:lang w:val="en-US" w:eastAsia="zh-CN"/>
              </w:rPr>
              <w:t>、隔排水沟为耕地，</w:t>
            </w:r>
            <w:r>
              <w:rPr>
                <w:rFonts w:hint="default" w:ascii="Times New Roman" w:hAnsi="Times New Roman" w:eastAsia="宋体" w:cs="Times New Roman"/>
                <w:color w:val="auto"/>
                <w:sz w:val="21"/>
                <w:szCs w:val="21"/>
                <w:highlight w:val="none"/>
                <w:lang w:val="en-US" w:eastAsia="zh-CN"/>
              </w:rPr>
              <w:t>西至道路</w:t>
            </w:r>
            <w:r>
              <w:rPr>
                <w:rFonts w:hint="eastAsia" w:ascii="Times New Roman" w:hAnsi="Times New Roman" w:cs="Times New Roman"/>
                <w:color w:val="auto"/>
                <w:sz w:val="21"/>
                <w:szCs w:val="21"/>
                <w:highlight w:val="none"/>
                <w:lang w:val="en-US" w:eastAsia="zh-CN"/>
              </w:rPr>
              <w:t>、隔路为耕地，</w:t>
            </w:r>
            <w:r>
              <w:rPr>
                <w:rFonts w:hint="default" w:ascii="Times New Roman" w:hAnsi="Times New Roman" w:eastAsia="宋体" w:cs="Times New Roman"/>
                <w:color w:val="auto"/>
                <w:sz w:val="21"/>
                <w:szCs w:val="21"/>
                <w:highlight w:val="none"/>
                <w:lang w:val="en-US" w:eastAsia="zh-CN"/>
              </w:rPr>
              <w:t>南至大井峪排水沟</w:t>
            </w:r>
            <w:r>
              <w:rPr>
                <w:rFonts w:hint="eastAsia" w:ascii="Times New Roman" w:hAnsi="Times New Roman" w:cs="Times New Roman"/>
                <w:color w:val="auto"/>
                <w:sz w:val="21"/>
                <w:szCs w:val="21"/>
                <w:highlight w:val="none"/>
                <w:lang w:val="en-US" w:eastAsia="zh-CN"/>
              </w:rPr>
              <w:t>、隔排水沟为耕地，</w:t>
            </w:r>
            <w:r>
              <w:rPr>
                <w:rFonts w:hint="default" w:ascii="Times New Roman" w:hAnsi="Times New Roman" w:eastAsia="宋体" w:cs="Times New Roman"/>
                <w:color w:val="auto"/>
                <w:sz w:val="21"/>
                <w:szCs w:val="21"/>
                <w:highlight w:val="none"/>
                <w:lang w:val="en-US" w:eastAsia="zh-CN"/>
              </w:rPr>
              <w:t>北至宜安荒山</w:t>
            </w:r>
            <w:r>
              <w:rPr>
                <w:rFonts w:hint="eastAsia" w:ascii="Times New Roman" w:hAnsi="Times New Roman" w:cs="Times New Roman"/>
                <w:color w:val="auto"/>
                <w:sz w:val="21"/>
                <w:szCs w:val="21"/>
                <w:highlight w:val="none"/>
                <w:lang w:val="en-US" w:eastAsia="zh-CN"/>
              </w:rPr>
              <w:t>、隔</w:t>
            </w:r>
            <w:r>
              <w:rPr>
                <w:rFonts w:hint="default" w:ascii="Times New Roman" w:hAnsi="Times New Roman" w:eastAsia="宋体" w:cs="Times New Roman"/>
                <w:color w:val="auto"/>
                <w:sz w:val="21"/>
                <w:szCs w:val="21"/>
                <w:highlight w:val="none"/>
                <w:lang w:val="en-US" w:eastAsia="zh-CN"/>
              </w:rPr>
              <w:t>荒山</w:t>
            </w:r>
            <w:r>
              <w:rPr>
                <w:rFonts w:hint="eastAsia" w:ascii="Times New Roman" w:hAnsi="Times New Roman" w:cs="Times New Roman"/>
                <w:color w:val="auto"/>
                <w:sz w:val="21"/>
                <w:szCs w:val="21"/>
                <w:highlight w:val="none"/>
                <w:lang w:val="en-US" w:eastAsia="zh-CN"/>
              </w:rPr>
              <w:t>为耕地</w:t>
            </w:r>
            <w:r>
              <w:rPr>
                <w:rFonts w:hint="eastAsia" w:ascii="Times New Roman" w:hAnsi="Times New Roman" w:eastAsia="宋体" w:cs="Times New Roman"/>
                <w:color w:val="auto"/>
                <w:sz w:val="21"/>
                <w:szCs w:val="21"/>
                <w:highlight w:val="none"/>
                <w:lang w:val="en-US" w:eastAsia="zh-CN"/>
              </w:rPr>
              <w:t>。</w:t>
            </w:r>
            <w:r>
              <w:rPr>
                <w:rFonts w:hint="default" w:ascii="Times New Roman" w:hAnsi="Times New Roman" w:eastAsia="宋体" w:cs="Times New Roman"/>
                <w:color w:val="auto"/>
                <w:sz w:val="21"/>
                <w:szCs w:val="21"/>
                <w:highlight w:val="none"/>
                <w:lang w:val="en-US" w:eastAsia="zh-CN"/>
              </w:rPr>
              <w:t>距离项目最近的敏感点位于项目</w:t>
            </w:r>
            <w:r>
              <w:rPr>
                <w:rFonts w:hint="eastAsia" w:ascii="Times New Roman" w:hAnsi="Times New Roman" w:cs="Times New Roman"/>
                <w:color w:val="auto"/>
                <w:sz w:val="21"/>
                <w:szCs w:val="21"/>
                <w:highlight w:val="none"/>
                <w:lang w:val="en-US" w:eastAsia="zh-CN"/>
              </w:rPr>
              <w:t>北</w:t>
            </w:r>
            <w:r>
              <w:rPr>
                <w:rFonts w:hint="default" w:ascii="Times New Roman" w:hAnsi="Times New Roman" w:eastAsia="宋体" w:cs="Times New Roman"/>
                <w:color w:val="auto"/>
                <w:sz w:val="21"/>
                <w:szCs w:val="21"/>
                <w:highlight w:val="none"/>
                <w:lang w:val="en-US" w:eastAsia="zh-CN"/>
              </w:rPr>
              <w:t>侧</w:t>
            </w:r>
            <w:r>
              <w:rPr>
                <w:rFonts w:hint="eastAsia" w:ascii="Times New Roman" w:hAnsi="Times New Roman" w:cs="Times New Roman"/>
                <w:color w:val="auto"/>
                <w:sz w:val="21"/>
                <w:szCs w:val="21"/>
                <w:highlight w:val="none"/>
                <w:lang w:val="en-US" w:eastAsia="zh-CN"/>
              </w:rPr>
              <w:t>71</w:t>
            </w:r>
            <w:r>
              <w:rPr>
                <w:rFonts w:hint="eastAsia" w:ascii="Times New Roman" w:hAnsi="Times New Roman" w:eastAsia="宋体" w:cs="Times New Roman"/>
                <w:color w:val="auto"/>
                <w:sz w:val="21"/>
                <w:szCs w:val="21"/>
                <w:highlight w:val="none"/>
                <w:lang w:val="en-US" w:eastAsia="zh-CN"/>
              </w:rPr>
              <w:t>0</w:t>
            </w:r>
            <w:r>
              <w:rPr>
                <w:rFonts w:hint="default" w:ascii="Times New Roman" w:hAnsi="Times New Roman" w:eastAsia="宋体" w:cs="Times New Roman"/>
                <w:color w:val="auto"/>
                <w:sz w:val="21"/>
                <w:szCs w:val="21"/>
                <w:highlight w:val="none"/>
                <w:lang w:val="en-US" w:eastAsia="zh-CN"/>
              </w:rPr>
              <w:t>m处的</w:t>
            </w:r>
            <w:r>
              <w:rPr>
                <w:rFonts w:hint="eastAsia" w:ascii="Times New Roman" w:hAnsi="Times New Roman" w:cs="Times New Roman"/>
                <w:color w:val="auto"/>
                <w:sz w:val="21"/>
                <w:szCs w:val="21"/>
                <w:highlight w:val="none"/>
                <w:lang w:val="en-US" w:eastAsia="zh-CN"/>
              </w:rPr>
              <w:t>大井峪村</w:t>
            </w:r>
            <w:r>
              <w:rPr>
                <w:rFonts w:hint="eastAsia" w:ascii="Times New Roman" w:hAnsi="Times New Roman" w:eastAsia="宋体" w:cs="Times New Roman"/>
                <w:color w:val="auto"/>
                <w:sz w:val="21"/>
                <w:szCs w:val="21"/>
                <w:highlight w:val="none"/>
                <w:lang w:val="en-US" w:eastAsia="zh-CN"/>
              </w:rPr>
              <w:t>。拟建项目占地及周边500m范围内无饮用水水源地保护区、自然保护区、风景名胜区、生态功能保护区、文物保护地等法律、法规规定的环境敏感区。建设区内电力、通讯等基础设施配套状况良好，交通便利，为项目的建设提供了良好的环境</w:t>
            </w:r>
            <w:r>
              <w:rPr>
                <w:rFonts w:hint="eastAsia" w:ascii="Times New Roman" w:hAnsi="Times New Roman" w:cs="Times New Roman"/>
                <w:color w:val="auto"/>
                <w:sz w:val="21"/>
                <w:szCs w:val="21"/>
                <w:highlight w:val="none"/>
                <w:lang w:val="en-US" w:eastAsia="zh-CN"/>
              </w:rPr>
              <w:t>。</w:t>
            </w:r>
          </w:p>
          <w:p w14:paraId="3BF58DF0">
            <w:pPr>
              <w:pStyle w:val="24"/>
              <w:keepNext w:val="0"/>
              <w:keepLines w:val="0"/>
              <w:pageBreakBefore w:val="0"/>
              <w:kinsoku/>
              <w:wordWrap/>
              <w:overflowPunct/>
              <w:topLinePunct w:val="0"/>
              <w:autoSpaceDE/>
              <w:autoSpaceDN/>
              <w:bidi w:val="0"/>
              <w:adjustRightInd w:val="0"/>
              <w:snapToGrid w:val="0"/>
              <w:spacing w:before="0" w:beforeAutospacing="0" w:after="0" w:afterAutospacing="0" w:line="420" w:lineRule="exact"/>
              <w:ind w:firstLine="420" w:firstLineChars="200"/>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w:t>
            </w:r>
            <w:r>
              <w:rPr>
                <w:rFonts w:hint="eastAsia" w:ascii="Times New Roman" w:hAnsi="Times New Roman" w:cs="Times New Roman"/>
                <w:color w:val="auto"/>
                <w:sz w:val="21"/>
                <w:szCs w:val="21"/>
                <w:highlight w:val="none"/>
                <w:lang w:val="en-US" w:eastAsia="zh-CN"/>
              </w:rPr>
              <w:t>3</w:t>
            </w:r>
            <w:r>
              <w:rPr>
                <w:rFonts w:hint="eastAsia" w:ascii="Times New Roman" w:hAnsi="Times New Roman" w:eastAsia="宋体" w:cs="Times New Roman"/>
                <w:color w:val="auto"/>
                <w:sz w:val="21"/>
                <w:szCs w:val="21"/>
                <w:highlight w:val="none"/>
                <w:lang w:val="en-US" w:eastAsia="zh-CN"/>
              </w:rPr>
              <w:t>）项目厂址环境可行性分析</w:t>
            </w:r>
          </w:p>
          <w:p w14:paraId="6E12EF32">
            <w:pPr>
              <w:pStyle w:val="24"/>
              <w:keepNext w:val="0"/>
              <w:keepLines w:val="0"/>
              <w:pageBreakBefore w:val="0"/>
              <w:kinsoku/>
              <w:wordWrap/>
              <w:overflowPunct/>
              <w:topLinePunct w:val="0"/>
              <w:autoSpaceDE/>
              <w:autoSpaceDN/>
              <w:bidi w:val="0"/>
              <w:adjustRightInd w:val="0"/>
              <w:snapToGrid w:val="0"/>
              <w:spacing w:before="0" w:beforeAutospacing="0" w:after="0" w:afterAutospacing="0" w:line="420" w:lineRule="exact"/>
              <w:ind w:firstLine="420" w:firstLineChars="200"/>
              <w:textAlignment w:val="auto"/>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本项目废气污染物主要为颗粒物，工程采取完善的废气治理措施，可实现废气达标排放，</w:t>
            </w:r>
            <w:r>
              <w:rPr>
                <w:rFonts w:hint="eastAsia" w:ascii="Times New Roman" w:hAnsi="Times New Roman" w:cs="Times New Roman"/>
                <w:color w:val="auto"/>
                <w:sz w:val="21"/>
                <w:szCs w:val="21"/>
                <w:highlight w:val="none"/>
                <w:lang w:val="en-US" w:eastAsia="zh-CN"/>
              </w:rPr>
              <w:t>对周围环境影响较小</w:t>
            </w:r>
            <w:r>
              <w:rPr>
                <w:rFonts w:hint="eastAsia" w:ascii="Times New Roman" w:hAnsi="Times New Roman" w:eastAsia="宋体" w:cs="Times New Roman"/>
                <w:color w:val="auto"/>
                <w:sz w:val="21"/>
                <w:szCs w:val="21"/>
                <w:highlight w:val="none"/>
                <w:lang w:val="en-US" w:eastAsia="zh-CN"/>
              </w:rPr>
              <w:t>。</w:t>
            </w:r>
          </w:p>
          <w:p w14:paraId="10170C07">
            <w:pPr>
              <w:pStyle w:val="24"/>
              <w:keepNext w:val="0"/>
              <w:keepLines w:val="0"/>
              <w:pageBreakBefore w:val="0"/>
              <w:kinsoku/>
              <w:wordWrap/>
              <w:overflowPunct/>
              <w:topLinePunct w:val="0"/>
              <w:autoSpaceDE/>
              <w:autoSpaceDN/>
              <w:bidi w:val="0"/>
              <w:adjustRightInd w:val="0"/>
              <w:snapToGrid w:val="0"/>
              <w:spacing w:before="0" w:beforeAutospacing="0" w:after="0" w:afterAutospacing="0" w:line="420" w:lineRule="exact"/>
              <w:ind w:firstLine="420" w:firstLineChars="200"/>
              <w:textAlignment w:val="auto"/>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本项目废水污染物源主要为生活污水、洗车废水</w:t>
            </w:r>
            <w:r>
              <w:rPr>
                <w:rFonts w:hint="eastAsia" w:ascii="Times New Roman" w:hAnsi="Times New Roman" w:cs="Times New Roman"/>
                <w:color w:val="auto"/>
                <w:sz w:val="21"/>
                <w:szCs w:val="21"/>
                <w:highlight w:val="none"/>
                <w:lang w:val="en-US" w:eastAsia="zh-CN"/>
              </w:rPr>
              <w:t>及生产废水</w:t>
            </w:r>
            <w:r>
              <w:rPr>
                <w:rFonts w:hint="eastAsia" w:ascii="Times New Roman" w:hAnsi="Times New Roman" w:eastAsia="宋体" w:cs="Times New Roman"/>
                <w:color w:val="auto"/>
                <w:sz w:val="21"/>
                <w:szCs w:val="21"/>
                <w:highlight w:val="none"/>
                <w:lang w:val="en-US" w:eastAsia="zh-CN"/>
              </w:rPr>
              <w:t>。项目职工生活污水主要为盥洗废水，水质简单，产生量小，全部用于厂区内泼洒抑尘，不外排。车辆冲洗废水经沉淀池沉淀后循环利用，不外排</w:t>
            </w:r>
            <w:r>
              <w:rPr>
                <w:rFonts w:hint="eastAsia" w:ascii="Times New Roman" w:hAnsi="Times New Roman" w:cs="Times New Roman"/>
                <w:color w:val="auto"/>
                <w:sz w:val="21"/>
                <w:szCs w:val="21"/>
                <w:highlight w:val="none"/>
                <w:lang w:val="en-US" w:eastAsia="zh-CN"/>
              </w:rPr>
              <w:t>；</w:t>
            </w:r>
            <w:r>
              <w:rPr>
                <w:rFonts w:hint="eastAsia" w:ascii="Times New Roman" w:hAnsi="Times New Roman" w:eastAsia="宋体" w:cs="Times New Roman"/>
                <w:color w:val="auto"/>
                <w:sz w:val="21"/>
                <w:szCs w:val="21"/>
                <w:highlight w:val="none"/>
                <w:lang w:val="en-US" w:eastAsia="zh-CN"/>
              </w:rPr>
              <w:t>生产废水经相应的污水池、</w:t>
            </w:r>
            <w:r>
              <w:rPr>
                <w:rFonts w:hint="eastAsia" w:ascii="Times New Roman" w:hAnsi="Times New Roman" w:cs="Times New Roman"/>
                <w:color w:val="auto"/>
                <w:sz w:val="21"/>
                <w:szCs w:val="21"/>
                <w:highlight w:val="none"/>
                <w:lang w:val="en-US" w:eastAsia="zh-CN"/>
              </w:rPr>
              <w:t>污水沉淀池、浓缩罐、</w:t>
            </w:r>
            <w:r>
              <w:rPr>
                <w:rFonts w:hint="eastAsia" w:ascii="Times New Roman" w:hAnsi="Times New Roman" w:eastAsia="宋体" w:cs="Times New Roman"/>
                <w:color w:val="auto"/>
                <w:sz w:val="21"/>
                <w:szCs w:val="21"/>
                <w:highlight w:val="none"/>
                <w:lang w:val="en-US" w:eastAsia="zh-CN"/>
              </w:rPr>
              <w:t>板框压滤机处理后循环使用，不外排。项目无废水外排环境，不会对区域地表水体产生污染影响。</w:t>
            </w:r>
          </w:p>
          <w:p w14:paraId="63B719E0">
            <w:pPr>
              <w:pStyle w:val="24"/>
              <w:keepNext w:val="0"/>
              <w:keepLines w:val="0"/>
              <w:pageBreakBefore w:val="0"/>
              <w:kinsoku/>
              <w:wordWrap/>
              <w:overflowPunct/>
              <w:topLinePunct w:val="0"/>
              <w:autoSpaceDE/>
              <w:autoSpaceDN/>
              <w:bidi w:val="0"/>
              <w:adjustRightInd w:val="0"/>
              <w:snapToGrid w:val="0"/>
              <w:spacing w:before="0" w:beforeAutospacing="0" w:after="0" w:afterAutospacing="0" w:line="420" w:lineRule="exact"/>
              <w:ind w:firstLine="420" w:firstLineChars="200"/>
              <w:textAlignment w:val="auto"/>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本项目采取源头控制、分区防渗措施，且项目不属于对水体造成严重污染的项目，不会对土壤和地下水环境造成明显影响。</w:t>
            </w:r>
          </w:p>
          <w:p w14:paraId="5BBA988E">
            <w:pPr>
              <w:pStyle w:val="24"/>
              <w:keepNext w:val="0"/>
              <w:keepLines w:val="0"/>
              <w:pageBreakBefore w:val="0"/>
              <w:kinsoku/>
              <w:wordWrap/>
              <w:overflowPunct/>
              <w:topLinePunct w:val="0"/>
              <w:autoSpaceDE/>
              <w:autoSpaceDN/>
              <w:bidi w:val="0"/>
              <w:adjustRightInd w:val="0"/>
              <w:snapToGrid w:val="0"/>
              <w:spacing w:before="0" w:beforeAutospacing="0" w:after="0" w:afterAutospacing="0" w:line="420" w:lineRule="exact"/>
              <w:ind w:firstLine="420" w:firstLineChars="200"/>
              <w:textAlignment w:val="auto"/>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本项目采取低噪声设备、厂房隔声等降噪措施，厂界噪声满足相应排放标准要求，且周边</w:t>
            </w:r>
            <w:r>
              <w:rPr>
                <w:rFonts w:hint="eastAsia" w:ascii="Times New Roman" w:hAnsi="Times New Roman" w:cs="Times New Roman"/>
                <w:color w:val="auto"/>
                <w:sz w:val="21"/>
                <w:szCs w:val="21"/>
                <w:highlight w:val="none"/>
                <w:lang w:val="en-US" w:eastAsia="zh-CN"/>
              </w:rPr>
              <w:t>5</w:t>
            </w:r>
            <w:r>
              <w:rPr>
                <w:rFonts w:hint="eastAsia" w:ascii="Times New Roman" w:hAnsi="Times New Roman" w:eastAsia="宋体" w:cs="Times New Roman"/>
                <w:color w:val="auto"/>
                <w:sz w:val="21"/>
                <w:szCs w:val="21"/>
                <w:highlight w:val="none"/>
                <w:lang w:val="en-US" w:eastAsia="zh-CN"/>
              </w:rPr>
              <w:t>0m范围无声环境保护目标。</w:t>
            </w:r>
          </w:p>
          <w:p w14:paraId="1C2A715C">
            <w:pPr>
              <w:pStyle w:val="24"/>
              <w:keepNext w:val="0"/>
              <w:keepLines w:val="0"/>
              <w:pageBreakBefore w:val="0"/>
              <w:kinsoku/>
              <w:wordWrap/>
              <w:overflowPunct/>
              <w:topLinePunct w:val="0"/>
              <w:autoSpaceDE/>
              <w:autoSpaceDN/>
              <w:bidi w:val="0"/>
              <w:adjustRightInd w:val="0"/>
              <w:snapToGrid w:val="0"/>
              <w:spacing w:before="0" w:beforeAutospacing="0" w:after="0" w:afterAutospacing="0" w:line="420" w:lineRule="exact"/>
              <w:ind w:firstLine="420" w:firstLineChars="200"/>
              <w:textAlignment w:val="auto"/>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w:t>
            </w:r>
            <w:r>
              <w:rPr>
                <w:rFonts w:hint="eastAsia" w:ascii="Times New Roman" w:hAnsi="Times New Roman" w:cs="Times New Roman"/>
                <w:color w:val="auto"/>
                <w:sz w:val="21"/>
                <w:szCs w:val="21"/>
                <w:highlight w:val="none"/>
                <w:lang w:val="en-US" w:eastAsia="zh-CN"/>
              </w:rPr>
              <w:t>4</w:t>
            </w:r>
            <w:r>
              <w:rPr>
                <w:rFonts w:hint="eastAsia" w:ascii="Times New Roman" w:hAnsi="Times New Roman" w:eastAsia="宋体" w:cs="Times New Roman"/>
                <w:color w:val="auto"/>
                <w:sz w:val="21"/>
                <w:szCs w:val="21"/>
                <w:highlight w:val="none"/>
                <w:lang w:val="en-US" w:eastAsia="zh-CN"/>
              </w:rPr>
              <w:t>）与《唐山市涉水工业企业入园整治实施方案》符合性分析</w:t>
            </w:r>
          </w:p>
          <w:p w14:paraId="694683BB">
            <w:pPr>
              <w:pStyle w:val="24"/>
              <w:keepNext w:val="0"/>
              <w:keepLines w:val="0"/>
              <w:pageBreakBefore w:val="0"/>
              <w:kinsoku/>
              <w:wordWrap/>
              <w:overflowPunct/>
              <w:topLinePunct w:val="0"/>
              <w:autoSpaceDE/>
              <w:autoSpaceDN/>
              <w:bidi w:val="0"/>
              <w:adjustRightInd w:val="0"/>
              <w:snapToGrid w:val="0"/>
              <w:spacing w:before="0" w:beforeAutospacing="0" w:after="0" w:afterAutospacing="0" w:line="420" w:lineRule="exact"/>
              <w:ind w:firstLine="420" w:firstLineChars="200"/>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根据《唐山市涉水工业企业入园整治实施方案》园区外涉水企业保留条件：属于以下情况的，可以不入园进区。（一）屠宰场、垃圾填埋场等具有明显服务范围的民生类企业；（二）矿山、纯净水等受生产资料限制，搬迁后无法正常生产的企业；（三）污水可以通过管网进入污水处理厂进行集中收集处理并达到污水处理厂进水水质要求的企业；（四）受园区接收条件限制，亩投资强度、亩税收等达不到进入园区要求的企业；（五）通过企业生产、废水处理工艺提升改造，废水全部循环利用，实现废水零排放的企业；（六）其它确定不具备入园进区条件的企业。</w:t>
            </w:r>
          </w:p>
          <w:p w14:paraId="0E7BABBE">
            <w:pPr>
              <w:pStyle w:val="24"/>
              <w:keepNext w:val="0"/>
              <w:keepLines w:val="0"/>
              <w:pageBreakBefore w:val="0"/>
              <w:kinsoku/>
              <w:wordWrap/>
              <w:overflowPunct/>
              <w:topLinePunct w:val="0"/>
              <w:autoSpaceDE/>
              <w:autoSpaceDN/>
              <w:bidi w:val="0"/>
              <w:adjustRightInd w:val="0"/>
              <w:snapToGrid w:val="0"/>
              <w:spacing w:before="0" w:beforeAutospacing="0" w:after="0" w:afterAutospacing="0" w:line="420" w:lineRule="exact"/>
              <w:ind w:firstLine="420" w:firstLineChars="200"/>
              <w:textAlignment w:val="auto"/>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项目职工生活污水主要为盥洗废水，水质简单，产生量小，全部用于厂区内泼洒抑尘，不外排。车辆冲洗废水经沉淀池沉淀后循环利用，不外排</w:t>
            </w:r>
            <w:r>
              <w:rPr>
                <w:rFonts w:hint="eastAsia" w:ascii="Times New Roman" w:hAnsi="Times New Roman" w:cs="Times New Roman"/>
                <w:color w:val="auto"/>
                <w:sz w:val="21"/>
                <w:szCs w:val="21"/>
                <w:highlight w:val="none"/>
                <w:lang w:val="en-US" w:eastAsia="zh-CN"/>
              </w:rPr>
              <w:t>；</w:t>
            </w:r>
            <w:r>
              <w:rPr>
                <w:rFonts w:hint="eastAsia" w:ascii="Times New Roman" w:hAnsi="Times New Roman" w:eastAsia="宋体" w:cs="Times New Roman"/>
                <w:color w:val="auto"/>
                <w:sz w:val="21"/>
                <w:szCs w:val="21"/>
                <w:highlight w:val="none"/>
                <w:lang w:val="en-US" w:eastAsia="zh-CN"/>
              </w:rPr>
              <w:t>生产废水经相应的污水池、</w:t>
            </w:r>
            <w:r>
              <w:rPr>
                <w:rFonts w:hint="eastAsia" w:ascii="Times New Roman" w:hAnsi="Times New Roman" w:cs="Times New Roman"/>
                <w:color w:val="auto"/>
                <w:sz w:val="21"/>
                <w:szCs w:val="21"/>
                <w:highlight w:val="none"/>
                <w:lang w:val="en-US" w:eastAsia="zh-CN"/>
              </w:rPr>
              <w:t>污水沉淀池、浓缩罐、</w:t>
            </w:r>
            <w:r>
              <w:rPr>
                <w:rFonts w:hint="eastAsia" w:ascii="Times New Roman" w:hAnsi="Times New Roman" w:eastAsia="宋体" w:cs="Times New Roman"/>
                <w:color w:val="auto"/>
                <w:sz w:val="21"/>
                <w:szCs w:val="21"/>
                <w:highlight w:val="none"/>
                <w:lang w:val="en-US" w:eastAsia="zh-CN"/>
              </w:rPr>
              <w:t>板框压滤机处理后循环使用，不外排。项目无废水外排环境，满足第（五）条要求，符合不入园进区的要求。</w:t>
            </w:r>
          </w:p>
          <w:p w14:paraId="51D6EE8F">
            <w:pPr>
              <w:pStyle w:val="24"/>
              <w:keepNext w:val="0"/>
              <w:keepLines w:val="0"/>
              <w:pageBreakBefore w:val="0"/>
              <w:kinsoku/>
              <w:wordWrap/>
              <w:overflowPunct/>
              <w:topLinePunct w:val="0"/>
              <w:autoSpaceDE/>
              <w:autoSpaceDN/>
              <w:bidi w:val="0"/>
              <w:adjustRightInd w:val="0"/>
              <w:snapToGrid w:val="0"/>
              <w:spacing w:before="0" w:beforeAutospacing="0" w:after="0" w:afterAutospacing="0" w:line="420" w:lineRule="exact"/>
              <w:ind w:firstLine="420" w:firstLineChars="200"/>
              <w:textAlignment w:val="auto"/>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综合以上分析，从环保角度分析，本项目选址可行。</w:t>
            </w:r>
          </w:p>
          <w:p w14:paraId="3D17AD14">
            <w:pPr>
              <w:pStyle w:val="24"/>
              <w:adjustRightInd w:val="0"/>
              <w:snapToGrid w:val="0"/>
              <w:spacing w:before="0" w:beforeAutospacing="0" w:after="0" w:afterAutospacing="0" w:line="440" w:lineRule="exact"/>
              <w:ind w:firstLine="422" w:firstLineChars="200"/>
              <w:rPr>
                <w:rFonts w:hint="eastAsia" w:ascii="Times New Roman" w:hAnsi="Times New Roman" w:eastAsia="宋体" w:cs="Times New Roman"/>
                <w:b/>
                <w:color w:val="auto"/>
                <w:sz w:val="21"/>
                <w:szCs w:val="21"/>
                <w:lang w:val="en-US" w:eastAsia="zh-CN"/>
              </w:rPr>
            </w:pPr>
            <w:r>
              <w:rPr>
                <w:rFonts w:hint="eastAsia" w:ascii="Times New Roman" w:hAnsi="Times New Roman" w:eastAsia="宋体" w:cs="Times New Roman"/>
                <w:b/>
                <w:color w:val="auto"/>
                <w:sz w:val="21"/>
                <w:szCs w:val="21"/>
                <w:lang w:val="en-US" w:eastAsia="zh-CN"/>
              </w:rPr>
              <w:t>3.本项目与主体功能规划符合性分析</w:t>
            </w:r>
          </w:p>
          <w:p w14:paraId="212B083C">
            <w:pPr>
              <w:pStyle w:val="24"/>
              <w:adjustRightInd w:val="0"/>
              <w:snapToGrid w:val="0"/>
              <w:spacing w:before="0" w:beforeAutospacing="0" w:after="0" w:afterAutospacing="0" w:line="440" w:lineRule="exact"/>
              <w:ind w:firstLine="420" w:firstLineChars="200"/>
              <w:rPr>
                <w:rFonts w:hint="default" w:ascii="Times New Roman" w:hAnsi="Times New Roman" w:eastAsia="宋体" w:cs="Times New Roman"/>
                <w:color w:val="auto"/>
                <w:sz w:val="21"/>
                <w:szCs w:val="21"/>
                <w:highlight w:val="none"/>
              </w:rPr>
            </w:pPr>
            <w:r>
              <w:rPr>
                <w:rFonts w:hint="eastAsia" w:ascii="Times New Roman" w:hAnsi="Times New Roman" w:eastAsia="宋体" w:cs="Times New Roman"/>
                <w:color w:val="auto"/>
                <w:sz w:val="21"/>
                <w:szCs w:val="21"/>
                <w:highlight w:val="none"/>
                <w:lang w:val="en-US" w:eastAsia="zh-CN"/>
              </w:rPr>
              <w:t>（1）</w:t>
            </w:r>
            <w:r>
              <w:rPr>
                <w:rFonts w:hint="default" w:ascii="Times New Roman" w:hAnsi="Times New Roman" w:eastAsia="宋体" w:cs="Times New Roman"/>
                <w:color w:val="auto"/>
                <w:sz w:val="21"/>
                <w:szCs w:val="21"/>
                <w:highlight w:val="none"/>
                <w:lang w:val="en-US" w:eastAsia="zh-CN"/>
              </w:rPr>
              <w:t>全国主体</w:t>
            </w:r>
            <w:r>
              <w:rPr>
                <w:rFonts w:hint="default" w:ascii="Times New Roman" w:hAnsi="Times New Roman" w:eastAsia="宋体" w:cs="Times New Roman"/>
                <w:color w:val="auto"/>
                <w:sz w:val="21"/>
                <w:szCs w:val="21"/>
                <w:highlight w:val="none"/>
              </w:rPr>
              <w:t>功能区划</w:t>
            </w:r>
          </w:p>
          <w:p w14:paraId="6CB0B482">
            <w:pPr>
              <w:pStyle w:val="24"/>
              <w:adjustRightInd w:val="0"/>
              <w:snapToGrid w:val="0"/>
              <w:spacing w:before="0" w:beforeAutospacing="0" w:after="0" w:afterAutospacing="0" w:line="440" w:lineRule="exact"/>
              <w:ind w:firstLine="420" w:firstLineChars="200"/>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根据《全国主体功能区划》，环渤海地区中京津冀地区被确定为优化开发区域，该区域功能定位为：三北地区重要的枢纽和出海通道，全国科技创新与技术研发基地，全国服务业、先进制造业、高新技术产业和战略性新兴产业基地，我国北方的经济中心。</w:t>
            </w:r>
          </w:p>
          <w:p w14:paraId="684C4482">
            <w:pPr>
              <w:pStyle w:val="24"/>
              <w:adjustRightInd w:val="0"/>
              <w:snapToGrid w:val="0"/>
              <w:spacing w:before="0" w:beforeAutospacing="0" w:after="0" w:afterAutospacing="0" w:line="440" w:lineRule="exact"/>
              <w:ind w:firstLine="420" w:firstLineChars="200"/>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eastAsia="zh-CN"/>
              </w:rPr>
              <w:t>（</w:t>
            </w:r>
            <w:r>
              <w:rPr>
                <w:rFonts w:hint="default" w:ascii="Times New Roman" w:hAnsi="Times New Roman" w:eastAsia="宋体" w:cs="Times New Roman"/>
                <w:color w:val="auto"/>
                <w:sz w:val="21"/>
                <w:szCs w:val="21"/>
                <w:highlight w:val="none"/>
                <w:lang w:val="en-US" w:eastAsia="zh-CN"/>
              </w:rPr>
              <w:t>2</w:t>
            </w:r>
            <w:r>
              <w:rPr>
                <w:rFonts w:hint="default" w:ascii="Times New Roman" w:hAnsi="Times New Roman" w:eastAsia="宋体" w:cs="Times New Roman"/>
                <w:color w:val="auto"/>
                <w:sz w:val="21"/>
                <w:szCs w:val="21"/>
                <w:highlight w:val="none"/>
                <w:lang w:eastAsia="zh-CN"/>
              </w:rPr>
              <w:t>）</w:t>
            </w:r>
            <w:r>
              <w:rPr>
                <w:rFonts w:hint="default" w:ascii="Times New Roman" w:hAnsi="Times New Roman" w:eastAsia="宋体" w:cs="Times New Roman"/>
                <w:color w:val="auto"/>
                <w:sz w:val="21"/>
                <w:szCs w:val="21"/>
                <w:highlight w:val="none"/>
              </w:rPr>
              <w:t>河北省主体功能区规划</w:t>
            </w:r>
          </w:p>
          <w:p w14:paraId="37761F0A">
            <w:pPr>
              <w:pStyle w:val="24"/>
              <w:adjustRightInd w:val="0"/>
              <w:snapToGrid w:val="0"/>
              <w:spacing w:before="0" w:beforeAutospacing="0" w:after="0" w:afterAutospacing="0" w:line="440" w:lineRule="exact"/>
              <w:ind w:firstLine="420" w:firstLineChars="200"/>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根据《河北省主体功能区规划》，燕山山前平原地区为优化开发区域，该区功能定位为中国北方经济中心区的重要组成部分，我国开放合作的新高地，京津冀区域现代工业密集区、高新技术成果转化和先进装备制造业基地、河北省新型工业化基地。该区产业结构：促进与京津产业分工合作，增强唐山高新技术产业集聚和区域创新功能。以高端化、品牌化为方向，积极发展高加工度、高技术含量、高附加值产品，培育壮大战略性新兴产业，优化提升传统产业，大力发展先进装备制造业，做优做强钢铁产业、建材产业。</w:t>
            </w:r>
          </w:p>
          <w:p w14:paraId="22B60C47">
            <w:pPr>
              <w:pStyle w:val="24"/>
              <w:adjustRightInd w:val="0"/>
              <w:snapToGrid w:val="0"/>
              <w:spacing w:before="0" w:beforeAutospacing="0" w:after="0" w:afterAutospacing="0" w:line="440" w:lineRule="exact"/>
              <w:ind w:firstLine="422" w:firstLineChars="200"/>
              <w:rPr>
                <w:rFonts w:hint="default" w:ascii="Times New Roman" w:hAnsi="Times New Roman" w:eastAsia="宋体" w:cs="Times New Roman"/>
                <w:b/>
                <w:bCs/>
                <w:color w:val="auto"/>
                <w:sz w:val="21"/>
                <w:szCs w:val="21"/>
                <w:highlight w:val="none"/>
              </w:rPr>
            </w:pPr>
            <w:bookmarkStart w:id="6" w:name="_Toc22794"/>
            <w:r>
              <w:rPr>
                <w:rFonts w:hint="default" w:ascii="Times New Roman" w:hAnsi="Times New Roman" w:eastAsia="宋体" w:cs="Times New Roman"/>
                <w:b/>
                <w:bCs/>
                <w:color w:val="auto"/>
                <w:sz w:val="21"/>
                <w:szCs w:val="21"/>
                <w:highlight w:val="none"/>
              </w:rPr>
              <w:t>本项目</w:t>
            </w:r>
            <w:r>
              <w:rPr>
                <w:rFonts w:hint="default" w:ascii="Times New Roman" w:hAnsi="Times New Roman" w:eastAsia="宋体" w:cs="Times New Roman"/>
                <w:b/>
                <w:bCs/>
                <w:color w:val="auto"/>
                <w:sz w:val="21"/>
                <w:szCs w:val="21"/>
                <w:highlight w:val="none"/>
                <w:lang w:val="zh-CN"/>
              </w:rPr>
              <w:t>位于唐山市</w:t>
            </w:r>
            <w:r>
              <w:rPr>
                <w:rFonts w:hint="eastAsia" w:ascii="Times New Roman" w:hAnsi="Times New Roman" w:eastAsia="宋体" w:cs="Times New Roman"/>
                <w:b/>
                <w:bCs/>
                <w:color w:val="auto"/>
                <w:sz w:val="21"/>
                <w:szCs w:val="21"/>
                <w:highlight w:val="none"/>
                <w:lang w:val="en-US" w:eastAsia="zh-CN"/>
              </w:rPr>
              <w:t>滦州</w:t>
            </w:r>
            <w:r>
              <w:rPr>
                <w:rFonts w:hint="default" w:ascii="Times New Roman" w:hAnsi="Times New Roman" w:eastAsia="宋体" w:cs="Times New Roman"/>
                <w:b/>
                <w:bCs/>
                <w:color w:val="auto"/>
                <w:sz w:val="21"/>
                <w:szCs w:val="21"/>
                <w:highlight w:val="none"/>
                <w:lang w:val="zh-CN"/>
              </w:rPr>
              <w:t>市，属于全国主体功能区划和河北省主体</w:t>
            </w:r>
            <w:bookmarkEnd w:id="6"/>
            <w:bookmarkStart w:id="7" w:name="_Toc23393"/>
            <w:r>
              <w:rPr>
                <w:rFonts w:hint="default" w:ascii="Times New Roman" w:hAnsi="Times New Roman" w:eastAsia="宋体" w:cs="Times New Roman"/>
                <w:b/>
                <w:bCs/>
                <w:color w:val="auto"/>
                <w:sz w:val="21"/>
                <w:szCs w:val="21"/>
                <w:highlight w:val="none"/>
                <w:lang w:val="zh-CN"/>
              </w:rPr>
              <w:t>功能区划中的优化开发区域，符合</w:t>
            </w:r>
            <w:r>
              <w:rPr>
                <w:rFonts w:hint="default" w:ascii="Times New Roman" w:hAnsi="Times New Roman" w:eastAsia="宋体" w:cs="Times New Roman"/>
                <w:b/>
                <w:bCs/>
                <w:color w:val="auto"/>
                <w:sz w:val="21"/>
                <w:szCs w:val="21"/>
                <w:highlight w:val="none"/>
              </w:rPr>
              <w:t>全国及河北省主体功能区规划的功能定位。</w:t>
            </w:r>
            <w:bookmarkEnd w:id="7"/>
          </w:p>
          <w:p w14:paraId="146BCC5E">
            <w:pPr>
              <w:pStyle w:val="24"/>
              <w:adjustRightInd w:val="0"/>
              <w:snapToGrid w:val="0"/>
              <w:spacing w:before="0" w:beforeAutospacing="0" w:after="0" w:afterAutospacing="0" w:line="440" w:lineRule="exact"/>
              <w:ind w:firstLine="422" w:firstLineChars="200"/>
              <w:rPr>
                <w:rFonts w:hint="eastAsia" w:ascii="Times New Roman" w:hAnsi="Times New Roman" w:eastAsia="宋体" w:cs="Times New Roman"/>
                <w:b/>
                <w:color w:val="auto"/>
                <w:sz w:val="21"/>
                <w:szCs w:val="21"/>
                <w:lang w:val="en-US" w:eastAsia="zh-CN"/>
              </w:rPr>
            </w:pPr>
            <w:bookmarkStart w:id="8" w:name="_Toc20952"/>
            <w:r>
              <w:rPr>
                <w:rFonts w:hint="eastAsia" w:ascii="Times New Roman" w:hAnsi="Times New Roman" w:eastAsia="宋体" w:cs="Times New Roman"/>
                <w:b/>
                <w:color w:val="auto"/>
                <w:sz w:val="21"/>
                <w:szCs w:val="21"/>
                <w:lang w:val="en-US" w:eastAsia="zh-CN"/>
              </w:rPr>
              <w:t>4.本项目与生态环境保护规划符合性分析</w:t>
            </w:r>
            <w:bookmarkEnd w:id="8"/>
          </w:p>
          <w:p w14:paraId="5C21605F">
            <w:pPr>
              <w:pStyle w:val="24"/>
              <w:adjustRightInd w:val="0"/>
              <w:snapToGrid w:val="0"/>
              <w:spacing w:before="0" w:beforeAutospacing="0" w:after="0" w:afterAutospacing="0" w:line="440" w:lineRule="exact"/>
              <w:ind w:firstLine="420" w:firstLineChars="200"/>
              <w:rPr>
                <w:rFonts w:hint="eastAsia" w:ascii="Times New Roman" w:hAnsi="Times New Roman" w:eastAsia="宋体" w:cs="Times New Roman"/>
                <w:color w:val="auto"/>
                <w:sz w:val="21"/>
                <w:szCs w:val="21"/>
                <w:highlight w:val="none"/>
              </w:rPr>
            </w:pPr>
            <w:bookmarkStart w:id="9" w:name="_Toc31484"/>
            <w:r>
              <w:rPr>
                <w:rFonts w:hint="eastAsia" w:ascii="Times New Roman" w:hAnsi="Times New Roman" w:eastAsia="宋体" w:cs="Times New Roman"/>
                <w:color w:val="auto"/>
                <w:sz w:val="21"/>
                <w:szCs w:val="21"/>
                <w:highlight w:val="none"/>
              </w:rPr>
              <w:t>本项目与国家及地方生态环境保护规划分析结果见下表。</w:t>
            </w:r>
            <w:bookmarkEnd w:id="9"/>
          </w:p>
          <w:p w14:paraId="69E6D305">
            <w:pPr>
              <w:pStyle w:val="24"/>
              <w:adjustRightInd w:val="0"/>
              <w:snapToGrid w:val="0"/>
              <w:spacing w:before="0" w:beforeAutospacing="0" w:after="0" w:afterAutospacing="0" w:line="440" w:lineRule="exact"/>
              <w:jc w:val="center"/>
              <w:rPr>
                <w:rFonts w:hint="eastAsia" w:ascii="Times New Roman" w:hAnsi="Times New Roman" w:eastAsia="宋体" w:cs="Times New Roman"/>
                <w:b/>
                <w:color w:val="auto"/>
                <w:sz w:val="21"/>
                <w:szCs w:val="21"/>
                <w:highlight w:val="none"/>
                <w:lang w:val="en-US" w:eastAsia="zh-CN"/>
              </w:rPr>
            </w:pPr>
            <w:r>
              <w:rPr>
                <w:rFonts w:hint="eastAsia" w:ascii="Times New Roman" w:hAnsi="Times New Roman" w:eastAsia="宋体" w:cs="Times New Roman"/>
                <w:b/>
                <w:color w:val="auto"/>
                <w:sz w:val="21"/>
                <w:szCs w:val="21"/>
                <w:highlight w:val="none"/>
                <w:lang w:val="en-US" w:eastAsia="zh-CN"/>
              </w:rPr>
              <w:t>表1 本项目与各生态环境保护规划分析结果汇总一览表</w:t>
            </w:r>
          </w:p>
          <w:tbl>
            <w:tblPr>
              <w:tblStyle w:val="28"/>
              <w:tblW w:w="7105"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28" w:type="dxa"/>
                <w:bottom w:w="0" w:type="dxa"/>
                <w:right w:w="28" w:type="dxa"/>
              </w:tblCellMar>
            </w:tblPr>
            <w:tblGrid>
              <w:gridCol w:w="427"/>
              <w:gridCol w:w="785"/>
              <w:gridCol w:w="3062"/>
              <w:gridCol w:w="2252"/>
              <w:gridCol w:w="579"/>
            </w:tblGrid>
            <w:tr w14:paraId="2C9B0E6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27" w:hRule="atLeast"/>
                <w:jc w:val="center"/>
              </w:trPr>
              <w:tc>
                <w:tcPr>
                  <w:tcW w:w="427" w:type="dxa"/>
                  <w:noWrap w:val="0"/>
                  <w:vAlign w:val="center"/>
                </w:tcPr>
                <w:p w14:paraId="5B2E6D6F">
                  <w:pPr>
                    <w:autoSpaceDE w:val="0"/>
                    <w:autoSpaceDN w:val="0"/>
                    <w:adjustRightInd w:val="0"/>
                    <w:snapToGrid w:val="0"/>
                    <w:spacing w:line="280" w:lineRule="exact"/>
                    <w:jc w:val="center"/>
                    <w:rPr>
                      <w:rFonts w:hint="eastAsia" w:ascii="Times New Roman" w:hAnsi="Times New Roman" w:eastAsia="宋体" w:cs="Times New Roman"/>
                      <w:bCs/>
                      <w:color w:val="auto"/>
                      <w:spacing w:val="-11"/>
                      <w:kern w:val="0"/>
                      <w:sz w:val="18"/>
                      <w:szCs w:val="18"/>
                    </w:rPr>
                  </w:pPr>
                  <w:r>
                    <w:rPr>
                      <w:rFonts w:hint="eastAsia" w:ascii="Times New Roman" w:hAnsi="Times New Roman" w:eastAsia="宋体" w:cs="Times New Roman"/>
                      <w:bCs/>
                      <w:color w:val="auto"/>
                      <w:spacing w:val="-11"/>
                      <w:kern w:val="0"/>
                      <w:sz w:val="18"/>
                      <w:szCs w:val="18"/>
                    </w:rPr>
                    <w:t>序号</w:t>
                  </w:r>
                </w:p>
              </w:tc>
              <w:tc>
                <w:tcPr>
                  <w:tcW w:w="785" w:type="dxa"/>
                  <w:noWrap w:val="0"/>
                  <w:vAlign w:val="center"/>
                </w:tcPr>
                <w:p w14:paraId="051AAE71">
                  <w:pPr>
                    <w:autoSpaceDE w:val="0"/>
                    <w:autoSpaceDN w:val="0"/>
                    <w:adjustRightInd w:val="0"/>
                    <w:snapToGrid w:val="0"/>
                    <w:spacing w:line="280" w:lineRule="exact"/>
                    <w:jc w:val="center"/>
                    <w:rPr>
                      <w:rFonts w:hint="eastAsia" w:ascii="Times New Roman" w:hAnsi="Times New Roman" w:eastAsia="宋体" w:cs="Times New Roman"/>
                      <w:bCs/>
                      <w:color w:val="auto"/>
                      <w:spacing w:val="-11"/>
                      <w:kern w:val="0"/>
                      <w:sz w:val="18"/>
                      <w:szCs w:val="18"/>
                    </w:rPr>
                  </w:pPr>
                  <w:r>
                    <w:rPr>
                      <w:rFonts w:hint="eastAsia" w:ascii="Times New Roman" w:hAnsi="Times New Roman" w:eastAsia="宋体" w:cs="Times New Roman"/>
                      <w:bCs/>
                      <w:color w:val="auto"/>
                      <w:spacing w:val="-11"/>
                      <w:kern w:val="0"/>
                      <w:sz w:val="18"/>
                      <w:szCs w:val="18"/>
                    </w:rPr>
                    <w:t>规划名称</w:t>
                  </w:r>
                </w:p>
              </w:tc>
              <w:tc>
                <w:tcPr>
                  <w:tcW w:w="3062" w:type="dxa"/>
                  <w:noWrap w:val="0"/>
                  <w:vAlign w:val="center"/>
                </w:tcPr>
                <w:p w14:paraId="1639A740">
                  <w:pPr>
                    <w:autoSpaceDE w:val="0"/>
                    <w:autoSpaceDN w:val="0"/>
                    <w:adjustRightInd w:val="0"/>
                    <w:snapToGrid w:val="0"/>
                    <w:spacing w:line="280" w:lineRule="exact"/>
                    <w:jc w:val="center"/>
                    <w:rPr>
                      <w:rFonts w:hint="eastAsia" w:ascii="Times New Roman" w:hAnsi="Times New Roman" w:eastAsia="宋体" w:cs="Times New Roman"/>
                      <w:bCs/>
                      <w:color w:val="auto"/>
                      <w:spacing w:val="-11"/>
                      <w:kern w:val="0"/>
                      <w:sz w:val="18"/>
                      <w:szCs w:val="18"/>
                    </w:rPr>
                  </w:pPr>
                  <w:r>
                    <w:rPr>
                      <w:rFonts w:hint="eastAsia" w:ascii="Times New Roman" w:hAnsi="Times New Roman" w:eastAsia="宋体" w:cs="Times New Roman"/>
                      <w:bCs/>
                      <w:color w:val="auto"/>
                      <w:spacing w:val="-11"/>
                      <w:kern w:val="0"/>
                      <w:sz w:val="18"/>
                      <w:szCs w:val="18"/>
                    </w:rPr>
                    <w:t>内容</w:t>
                  </w:r>
                </w:p>
              </w:tc>
              <w:tc>
                <w:tcPr>
                  <w:tcW w:w="2252" w:type="dxa"/>
                  <w:noWrap w:val="0"/>
                  <w:vAlign w:val="center"/>
                </w:tcPr>
                <w:p w14:paraId="6F374F88">
                  <w:pPr>
                    <w:autoSpaceDE w:val="0"/>
                    <w:autoSpaceDN w:val="0"/>
                    <w:adjustRightInd w:val="0"/>
                    <w:snapToGrid w:val="0"/>
                    <w:spacing w:line="280" w:lineRule="exact"/>
                    <w:jc w:val="center"/>
                    <w:rPr>
                      <w:rFonts w:hint="eastAsia" w:ascii="Times New Roman" w:hAnsi="Times New Roman" w:eastAsia="宋体" w:cs="Times New Roman"/>
                      <w:bCs/>
                      <w:color w:val="auto"/>
                      <w:spacing w:val="-11"/>
                      <w:kern w:val="0"/>
                      <w:sz w:val="18"/>
                      <w:szCs w:val="18"/>
                    </w:rPr>
                  </w:pPr>
                  <w:r>
                    <w:rPr>
                      <w:rFonts w:hint="eastAsia" w:ascii="Times New Roman" w:hAnsi="Times New Roman" w:eastAsia="宋体" w:cs="Times New Roman"/>
                      <w:bCs/>
                      <w:color w:val="auto"/>
                      <w:spacing w:val="-11"/>
                      <w:kern w:val="0"/>
                      <w:sz w:val="18"/>
                      <w:szCs w:val="18"/>
                    </w:rPr>
                    <w:t>本项目内容</w:t>
                  </w:r>
                </w:p>
              </w:tc>
              <w:tc>
                <w:tcPr>
                  <w:tcW w:w="579" w:type="dxa"/>
                  <w:noWrap w:val="0"/>
                  <w:vAlign w:val="center"/>
                </w:tcPr>
                <w:p w14:paraId="13AB0FCC">
                  <w:pPr>
                    <w:autoSpaceDE w:val="0"/>
                    <w:autoSpaceDN w:val="0"/>
                    <w:adjustRightInd w:val="0"/>
                    <w:snapToGrid w:val="0"/>
                    <w:spacing w:line="280" w:lineRule="exact"/>
                    <w:jc w:val="center"/>
                    <w:rPr>
                      <w:rFonts w:hint="eastAsia" w:ascii="Times New Roman" w:hAnsi="Times New Roman" w:eastAsia="宋体" w:cs="Times New Roman"/>
                      <w:bCs/>
                      <w:color w:val="auto"/>
                      <w:spacing w:val="-11"/>
                      <w:kern w:val="0"/>
                      <w:sz w:val="18"/>
                      <w:szCs w:val="18"/>
                    </w:rPr>
                  </w:pPr>
                  <w:r>
                    <w:rPr>
                      <w:rFonts w:hint="eastAsia" w:ascii="Times New Roman" w:hAnsi="Times New Roman" w:eastAsia="宋体" w:cs="Times New Roman"/>
                      <w:bCs/>
                      <w:color w:val="auto"/>
                      <w:spacing w:val="-11"/>
                      <w:kern w:val="0"/>
                      <w:sz w:val="18"/>
                      <w:szCs w:val="18"/>
                    </w:rPr>
                    <w:t>符合性</w:t>
                  </w:r>
                </w:p>
              </w:tc>
            </w:tr>
            <w:tr w14:paraId="314DA7B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27" w:hRule="atLeast"/>
                <w:jc w:val="center"/>
              </w:trPr>
              <w:tc>
                <w:tcPr>
                  <w:tcW w:w="427" w:type="dxa"/>
                  <w:noWrap w:val="0"/>
                  <w:vAlign w:val="center"/>
                </w:tcPr>
                <w:p w14:paraId="76F6442F">
                  <w:pPr>
                    <w:autoSpaceDE w:val="0"/>
                    <w:autoSpaceDN w:val="0"/>
                    <w:adjustRightInd w:val="0"/>
                    <w:snapToGrid w:val="0"/>
                    <w:spacing w:line="280" w:lineRule="exact"/>
                    <w:jc w:val="center"/>
                    <w:rPr>
                      <w:rFonts w:hint="eastAsia" w:ascii="Times New Roman" w:hAnsi="Times New Roman" w:eastAsia="宋体" w:cs="Times New Roman"/>
                      <w:bCs/>
                      <w:color w:val="auto"/>
                      <w:spacing w:val="-11"/>
                      <w:kern w:val="0"/>
                      <w:sz w:val="18"/>
                      <w:szCs w:val="18"/>
                    </w:rPr>
                  </w:pPr>
                  <w:r>
                    <w:rPr>
                      <w:rFonts w:hint="eastAsia" w:ascii="Times New Roman" w:hAnsi="Times New Roman" w:eastAsia="宋体" w:cs="Times New Roman"/>
                      <w:bCs/>
                      <w:color w:val="auto"/>
                      <w:spacing w:val="-11"/>
                      <w:kern w:val="0"/>
                      <w:sz w:val="18"/>
                      <w:szCs w:val="18"/>
                    </w:rPr>
                    <w:t>1</w:t>
                  </w:r>
                </w:p>
              </w:tc>
              <w:tc>
                <w:tcPr>
                  <w:tcW w:w="785" w:type="dxa"/>
                  <w:noWrap w:val="0"/>
                  <w:vAlign w:val="center"/>
                </w:tcPr>
                <w:p w14:paraId="3CB6E980">
                  <w:pPr>
                    <w:autoSpaceDE w:val="0"/>
                    <w:autoSpaceDN w:val="0"/>
                    <w:adjustRightInd w:val="0"/>
                    <w:snapToGrid w:val="0"/>
                    <w:spacing w:line="280" w:lineRule="exact"/>
                    <w:jc w:val="center"/>
                    <w:rPr>
                      <w:rFonts w:hint="eastAsia" w:ascii="Times New Roman" w:hAnsi="Times New Roman" w:eastAsia="宋体" w:cs="Times New Roman"/>
                      <w:bCs/>
                      <w:color w:val="auto"/>
                      <w:spacing w:val="-11"/>
                      <w:kern w:val="0"/>
                      <w:sz w:val="18"/>
                      <w:szCs w:val="18"/>
                    </w:rPr>
                  </w:pPr>
                  <w:r>
                    <w:rPr>
                      <w:rFonts w:hint="default" w:ascii="Times New Roman" w:hAnsi="Times New Roman" w:eastAsia="宋体" w:cs="Times New Roman"/>
                      <w:bCs/>
                      <w:color w:val="auto"/>
                      <w:spacing w:val="-11"/>
                      <w:kern w:val="0"/>
                      <w:sz w:val="18"/>
                      <w:szCs w:val="18"/>
                    </w:rPr>
                    <w:t>《“十</w:t>
                  </w:r>
                  <w:r>
                    <w:rPr>
                      <w:rFonts w:hint="eastAsia" w:ascii="Times New Roman" w:hAnsi="Times New Roman" w:eastAsia="宋体" w:cs="Times New Roman"/>
                      <w:bCs/>
                      <w:color w:val="auto"/>
                      <w:spacing w:val="-11"/>
                      <w:kern w:val="0"/>
                      <w:sz w:val="18"/>
                      <w:szCs w:val="18"/>
                      <w:lang w:val="en-US" w:eastAsia="zh-CN"/>
                    </w:rPr>
                    <w:t>四</w:t>
                  </w:r>
                  <w:r>
                    <w:rPr>
                      <w:rFonts w:hint="default" w:ascii="Times New Roman" w:hAnsi="Times New Roman" w:eastAsia="宋体" w:cs="Times New Roman"/>
                      <w:bCs/>
                      <w:color w:val="auto"/>
                      <w:spacing w:val="-11"/>
                      <w:kern w:val="0"/>
                      <w:sz w:val="18"/>
                      <w:szCs w:val="18"/>
                    </w:rPr>
                    <w:t>五”生态环境保护规划》</w:t>
                  </w:r>
                </w:p>
              </w:tc>
              <w:tc>
                <w:tcPr>
                  <w:tcW w:w="3062" w:type="dxa"/>
                  <w:noWrap w:val="0"/>
                  <w:vAlign w:val="center"/>
                </w:tcPr>
                <w:p w14:paraId="69CB1AD6">
                  <w:pPr>
                    <w:autoSpaceDE w:val="0"/>
                    <w:autoSpaceDN w:val="0"/>
                    <w:adjustRightInd w:val="0"/>
                    <w:snapToGrid w:val="0"/>
                    <w:spacing w:line="280" w:lineRule="exact"/>
                    <w:jc w:val="center"/>
                    <w:rPr>
                      <w:rFonts w:hint="eastAsia" w:ascii="Times New Roman" w:hAnsi="Times New Roman" w:eastAsia="宋体" w:cs="Times New Roman"/>
                      <w:bCs/>
                      <w:color w:val="auto"/>
                      <w:spacing w:val="-11"/>
                      <w:kern w:val="0"/>
                      <w:sz w:val="18"/>
                      <w:szCs w:val="18"/>
                    </w:rPr>
                  </w:pPr>
                  <w:r>
                    <w:rPr>
                      <w:rFonts w:hint="default" w:ascii="Times New Roman" w:hAnsi="Times New Roman" w:eastAsia="宋体" w:cs="Times New Roman"/>
                      <w:bCs/>
                      <w:color w:val="auto"/>
                      <w:spacing w:val="-11"/>
                      <w:kern w:val="0"/>
                      <w:sz w:val="18"/>
                      <w:szCs w:val="18"/>
                    </w:rPr>
                    <w:t>建立生态环境分区引导机制。立足资源环境承载能力，落实“三线一单”，建立动态更新和调整机制，完善“三线一单”生态环境分区管控体系。</w:t>
                  </w:r>
                </w:p>
              </w:tc>
              <w:tc>
                <w:tcPr>
                  <w:tcW w:w="2252" w:type="dxa"/>
                  <w:noWrap w:val="0"/>
                  <w:vAlign w:val="center"/>
                </w:tcPr>
                <w:p w14:paraId="10DD49C4">
                  <w:pPr>
                    <w:autoSpaceDE w:val="0"/>
                    <w:autoSpaceDN w:val="0"/>
                    <w:adjustRightInd w:val="0"/>
                    <w:snapToGrid w:val="0"/>
                    <w:spacing w:line="280" w:lineRule="exact"/>
                    <w:jc w:val="center"/>
                    <w:rPr>
                      <w:rFonts w:hint="default" w:ascii="Times New Roman" w:hAnsi="Times New Roman" w:eastAsia="宋体" w:cs="Times New Roman"/>
                      <w:bCs/>
                      <w:color w:val="auto"/>
                      <w:spacing w:val="-11"/>
                      <w:kern w:val="0"/>
                      <w:sz w:val="18"/>
                      <w:szCs w:val="18"/>
                      <w:highlight w:val="none"/>
                    </w:rPr>
                  </w:pPr>
                  <w:r>
                    <w:rPr>
                      <w:rFonts w:hint="eastAsia" w:ascii="Times New Roman" w:hAnsi="Times New Roman" w:eastAsia="宋体" w:cs="Times New Roman"/>
                      <w:bCs/>
                      <w:color w:val="auto"/>
                      <w:spacing w:val="-11"/>
                      <w:kern w:val="0"/>
                      <w:sz w:val="18"/>
                      <w:szCs w:val="18"/>
                      <w:highlight w:val="none"/>
                      <w:lang w:val="en-US" w:eastAsia="zh-CN"/>
                    </w:rPr>
                    <w:t>本项目</w:t>
                  </w:r>
                  <w:r>
                    <w:rPr>
                      <w:rFonts w:hint="default" w:ascii="Times New Roman" w:hAnsi="Times New Roman" w:eastAsia="宋体" w:cs="Times New Roman"/>
                      <w:bCs/>
                      <w:color w:val="auto"/>
                      <w:spacing w:val="-11"/>
                      <w:kern w:val="0"/>
                      <w:sz w:val="18"/>
                      <w:szCs w:val="18"/>
                      <w:highlight w:val="none"/>
                    </w:rPr>
                    <w:t>与《关于加快实施“三线一单”生态环境分区管控的意见》（冀政字[2020]71号）、《关于实施“三线一单”生态环境分区管控的意见》（唐政字[2021]48号）</w:t>
                  </w:r>
                  <w:r>
                    <w:rPr>
                      <w:rFonts w:hint="eastAsia" w:ascii="Times New Roman" w:hAnsi="Times New Roman" w:eastAsia="宋体" w:cs="Times New Roman"/>
                      <w:bCs/>
                      <w:color w:val="auto"/>
                      <w:spacing w:val="-11"/>
                      <w:kern w:val="0"/>
                      <w:sz w:val="18"/>
                      <w:szCs w:val="18"/>
                      <w:highlight w:val="none"/>
                      <w:lang w:val="en-US" w:eastAsia="zh-CN"/>
                    </w:rPr>
                    <w:t>及</w:t>
                  </w:r>
                  <w:r>
                    <w:rPr>
                      <w:rFonts w:hint="eastAsia" w:ascii="Times New Roman" w:hAnsi="Times New Roman" w:eastAsia="宋体" w:cs="Times New Roman"/>
                      <w:bCs/>
                      <w:color w:val="auto"/>
                      <w:spacing w:val="-11"/>
                      <w:kern w:val="0"/>
                      <w:sz w:val="18"/>
                      <w:szCs w:val="18"/>
                      <w:highlight w:val="none"/>
                      <w:lang w:eastAsia="zh-CN"/>
                    </w:rPr>
                    <w:t>《唐山市生态环境准入清单动态更新成果》（</w:t>
                  </w:r>
                  <w:r>
                    <w:rPr>
                      <w:rFonts w:hint="eastAsia" w:ascii="Times New Roman" w:hAnsi="Times New Roman" w:eastAsia="宋体" w:cs="Times New Roman"/>
                      <w:bCs/>
                      <w:color w:val="auto"/>
                      <w:spacing w:val="-11"/>
                      <w:kern w:val="0"/>
                      <w:sz w:val="18"/>
                      <w:szCs w:val="18"/>
                      <w:highlight w:val="none"/>
                      <w:lang w:val="en-US" w:eastAsia="zh-CN"/>
                    </w:rPr>
                    <w:t>2023年7月</w:t>
                  </w:r>
                  <w:r>
                    <w:rPr>
                      <w:rFonts w:hint="eastAsia" w:ascii="Times New Roman" w:hAnsi="Times New Roman" w:eastAsia="宋体" w:cs="Times New Roman"/>
                      <w:bCs/>
                      <w:color w:val="auto"/>
                      <w:spacing w:val="-11"/>
                      <w:kern w:val="0"/>
                      <w:sz w:val="18"/>
                      <w:szCs w:val="18"/>
                      <w:highlight w:val="none"/>
                      <w:lang w:eastAsia="zh-CN"/>
                    </w:rPr>
                    <w:t>）</w:t>
                  </w:r>
                  <w:r>
                    <w:rPr>
                      <w:rFonts w:hint="eastAsia" w:ascii="Times New Roman" w:hAnsi="Times New Roman" w:eastAsia="宋体" w:cs="Times New Roman"/>
                      <w:bCs/>
                      <w:color w:val="auto"/>
                      <w:spacing w:val="-11"/>
                      <w:kern w:val="0"/>
                      <w:sz w:val="18"/>
                      <w:szCs w:val="18"/>
                      <w:highlight w:val="none"/>
                      <w:lang w:val="en-US" w:eastAsia="zh-CN"/>
                    </w:rPr>
                    <w:t>等</w:t>
                  </w:r>
                  <w:r>
                    <w:rPr>
                      <w:rFonts w:hint="default" w:ascii="Times New Roman" w:hAnsi="Times New Roman" w:eastAsia="宋体" w:cs="Times New Roman"/>
                      <w:bCs/>
                      <w:color w:val="auto"/>
                      <w:spacing w:val="-11"/>
                      <w:kern w:val="0"/>
                      <w:sz w:val="18"/>
                      <w:szCs w:val="18"/>
                      <w:highlight w:val="none"/>
                    </w:rPr>
                    <w:t>进行</w:t>
                  </w:r>
                  <w:r>
                    <w:rPr>
                      <w:rFonts w:hint="eastAsia" w:ascii="Times New Roman" w:hAnsi="Times New Roman" w:eastAsia="宋体" w:cs="Times New Roman"/>
                      <w:bCs/>
                      <w:color w:val="auto"/>
                      <w:spacing w:val="-11"/>
                      <w:kern w:val="0"/>
                      <w:sz w:val="18"/>
                      <w:szCs w:val="18"/>
                      <w:highlight w:val="none"/>
                      <w:lang w:eastAsia="zh-CN"/>
                    </w:rPr>
                    <w:t>了</w:t>
                  </w:r>
                  <w:r>
                    <w:rPr>
                      <w:rFonts w:hint="default" w:ascii="Times New Roman" w:hAnsi="Times New Roman" w:eastAsia="宋体" w:cs="Times New Roman"/>
                      <w:bCs/>
                      <w:color w:val="auto"/>
                      <w:spacing w:val="-11"/>
                      <w:kern w:val="0"/>
                      <w:sz w:val="18"/>
                      <w:szCs w:val="18"/>
                      <w:highlight w:val="none"/>
                    </w:rPr>
                    <w:t>对比，符合相关“三线一单”要求</w:t>
                  </w:r>
                  <w:r>
                    <w:rPr>
                      <w:rFonts w:hint="eastAsia" w:ascii="Times New Roman" w:hAnsi="Times New Roman" w:eastAsia="宋体" w:cs="Times New Roman"/>
                      <w:bCs/>
                      <w:color w:val="auto"/>
                      <w:spacing w:val="-11"/>
                      <w:kern w:val="0"/>
                      <w:sz w:val="18"/>
                      <w:szCs w:val="18"/>
                      <w:highlight w:val="none"/>
                      <w:lang w:eastAsia="zh-CN"/>
                    </w:rPr>
                    <w:t>。</w:t>
                  </w:r>
                </w:p>
              </w:tc>
              <w:tc>
                <w:tcPr>
                  <w:tcW w:w="579" w:type="dxa"/>
                  <w:noWrap w:val="0"/>
                  <w:vAlign w:val="center"/>
                </w:tcPr>
                <w:p w14:paraId="5BE9055F">
                  <w:pPr>
                    <w:autoSpaceDE w:val="0"/>
                    <w:autoSpaceDN w:val="0"/>
                    <w:adjustRightInd w:val="0"/>
                    <w:snapToGrid w:val="0"/>
                    <w:spacing w:line="280" w:lineRule="exact"/>
                    <w:jc w:val="center"/>
                    <w:rPr>
                      <w:rFonts w:hint="default" w:ascii="Times New Roman" w:hAnsi="Times New Roman" w:eastAsia="宋体" w:cs="Times New Roman"/>
                      <w:bCs/>
                      <w:color w:val="auto"/>
                      <w:spacing w:val="-11"/>
                      <w:kern w:val="0"/>
                      <w:sz w:val="18"/>
                      <w:szCs w:val="18"/>
                    </w:rPr>
                  </w:pPr>
                  <w:r>
                    <w:rPr>
                      <w:rFonts w:hint="default" w:ascii="Times New Roman" w:hAnsi="Times New Roman" w:eastAsia="宋体" w:cs="Times New Roman"/>
                      <w:bCs/>
                      <w:color w:val="auto"/>
                      <w:spacing w:val="-11"/>
                      <w:kern w:val="0"/>
                      <w:sz w:val="18"/>
                      <w:szCs w:val="18"/>
                    </w:rPr>
                    <w:t>符合</w:t>
                  </w:r>
                </w:p>
              </w:tc>
            </w:tr>
          </w:tbl>
          <w:p w14:paraId="339343E4">
            <w:pPr>
              <w:pStyle w:val="24"/>
              <w:adjustRightInd w:val="0"/>
              <w:snapToGrid w:val="0"/>
              <w:spacing w:before="0" w:beforeAutospacing="0" w:after="0" w:afterAutospacing="0" w:line="440" w:lineRule="exact"/>
              <w:jc w:val="center"/>
              <w:rPr>
                <w:rFonts w:hint="eastAsia" w:ascii="Times New Roman" w:hAnsi="Times New Roman" w:cs="Times New Roman"/>
                <w:b/>
                <w:color w:val="auto"/>
                <w:sz w:val="21"/>
                <w:szCs w:val="21"/>
                <w:highlight w:val="none"/>
                <w:lang w:val="en-US" w:eastAsia="zh-CN"/>
              </w:rPr>
            </w:pPr>
          </w:p>
          <w:p w14:paraId="1BF8C597">
            <w:pPr>
              <w:pStyle w:val="24"/>
              <w:adjustRightInd w:val="0"/>
              <w:snapToGrid w:val="0"/>
              <w:spacing w:before="0" w:beforeAutospacing="0" w:after="0" w:afterAutospacing="0" w:line="440" w:lineRule="exact"/>
              <w:jc w:val="center"/>
              <w:rPr>
                <w:rFonts w:hint="eastAsia" w:ascii="Times New Roman" w:hAnsi="Times New Roman" w:eastAsia="宋体" w:cs="Times New Roman"/>
                <w:b/>
                <w:color w:val="auto"/>
                <w:sz w:val="21"/>
                <w:szCs w:val="21"/>
                <w:highlight w:val="none"/>
                <w:lang w:val="en-US" w:eastAsia="zh-CN"/>
              </w:rPr>
            </w:pPr>
            <w:r>
              <w:rPr>
                <w:rFonts w:hint="eastAsia" w:ascii="Times New Roman" w:hAnsi="Times New Roman" w:cs="Times New Roman"/>
                <w:b/>
                <w:color w:val="auto"/>
                <w:sz w:val="21"/>
                <w:szCs w:val="21"/>
                <w:highlight w:val="none"/>
                <w:lang w:val="en-US" w:eastAsia="zh-CN"/>
              </w:rPr>
              <w:t>续</w:t>
            </w:r>
            <w:r>
              <w:rPr>
                <w:rFonts w:hint="eastAsia" w:ascii="Times New Roman" w:hAnsi="Times New Roman" w:eastAsia="宋体" w:cs="Times New Roman"/>
                <w:b/>
                <w:color w:val="auto"/>
                <w:sz w:val="21"/>
                <w:szCs w:val="21"/>
                <w:highlight w:val="none"/>
                <w:lang w:val="en-US" w:eastAsia="zh-CN"/>
              </w:rPr>
              <w:t>表1 本项目与各生态环境保护规划分析结果汇总一览表</w:t>
            </w:r>
          </w:p>
          <w:tbl>
            <w:tblPr>
              <w:tblStyle w:val="28"/>
              <w:tblW w:w="7105"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28" w:type="dxa"/>
                <w:bottom w:w="0" w:type="dxa"/>
                <w:right w:w="28" w:type="dxa"/>
              </w:tblCellMar>
            </w:tblPr>
            <w:tblGrid>
              <w:gridCol w:w="427"/>
              <w:gridCol w:w="785"/>
              <w:gridCol w:w="3062"/>
              <w:gridCol w:w="2252"/>
              <w:gridCol w:w="579"/>
            </w:tblGrid>
            <w:tr w14:paraId="7D1C99F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27" w:hRule="atLeast"/>
                <w:jc w:val="center"/>
              </w:trPr>
              <w:tc>
                <w:tcPr>
                  <w:tcW w:w="427" w:type="dxa"/>
                  <w:noWrap w:val="0"/>
                  <w:vAlign w:val="center"/>
                </w:tcPr>
                <w:p w14:paraId="7063AB67">
                  <w:pPr>
                    <w:autoSpaceDE w:val="0"/>
                    <w:autoSpaceDN w:val="0"/>
                    <w:adjustRightInd w:val="0"/>
                    <w:snapToGrid w:val="0"/>
                    <w:spacing w:line="280" w:lineRule="exact"/>
                    <w:jc w:val="center"/>
                    <w:rPr>
                      <w:rFonts w:hint="eastAsia" w:ascii="Times New Roman" w:hAnsi="Times New Roman" w:eastAsia="宋体" w:cs="Times New Roman"/>
                      <w:bCs/>
                      <w:color w:val="auto"/>
                      <w:spacing w:val="-11"/>
                      <w:kern w:val="0"/>
                      <w:sz w:val="18"/>
                      <w:szCs w:val="18"/>
                    </w:rPr>
                  </w:pPr>
                  <w:r>
                    <w:rPr>
                      <w:rFonts w:hint="eastAsia" w:ascii="Times New Roman" w:hAnsi="Times New Roman" w:eastAsia="宋体" w:cs="Times New Roman"/>
                      <w:bCs/>
                      <w:color w:val="auto"/>
                      <w:spacing w:val="-11"/>
                      <w:kern w:val="0"/>
                      <w:sz w:val="18"/>
                      <w:szCs w:val="18"/>
                    </w:rPr>
                    <w:t>序号</w:t>
                  </w:r>
                </w:p>
              </w:tc>
              <w:tc>
                <w:tcPr>
                  <w:tcW w:w="785" w:type="dxa"/>
                  <w:noWrap w:val="0"/>
                  <w:vAlign w:val="center"/>
                </w:tcPr>
                <w:p w14:paraId="5AD9DB1A">
                  <w:pPr>
                    <w:autoSpaceDE w:val="0"/>
                    <w:autoSpaceDN w:val="0"/>
                    <w:adjustRightInd w:val="0"/>
                    <w:snapToGrid w:val="0"/>
                    <w:spacing w:line="280" w:lineRule="exact"/>
                    <w:jc w:val="center"/>
                    <w:rPr>
                      <w:rFonts w:hint="eastAsia" w:ascii="Times New Roman" w:hAnsi="Times New Roman" w:eastAsia="宋体" w:cs="Times New Roman"/>
                      <w:bCs/>
                      <w:color w:val="auto"/>
                      <w:spacing w:val="-11"/>
                      <w:kern w:val="0"/>
                      <w:sz w:val="18"/>
                      <w:szCs w:val="18"/>
                    </w:rPr>
                  </w:pPr>
                  <w:r>
                    <w:rPr>
                      <w:rFonts w:hint="eastAsia" w:ascii="Times New Roman" w:hAnsi="Times New Roman" w:eastAsia="宋体" w:cs="Times New Roman"/>
                      <w:bCs/>
                      <w:color w:val="auto"/>
                      <w:spacing w:val="-11"/>
                      <w:kern w:val="0"/>
                      <w:sz w:val="18"/>
                      <w:szCs w:val="18"/>
                    </w:rPr>
                    <w:t>规划名称</w:t>
                  </w:r>
                </w:p>
              </w:tc>
              <w:tc>
                <w:tcPr>
                  <w:tcW w:w="3062" w:type="dxa"/>
                  <w:noWrap w:val="0"/>
                  <w:vAlign w:val="center"/>
                </w:tcPr>
                <w:p w14:paraId="34C5B9E4">
                  <w:pPr>
                    <w:autoSpaceDE w:val="0"/>
                    <w:autoSpaceDN w:val="0"/>
                    <w:adjustRightInd w:val="0"/>
                    <w:snapToGrid w:val="0"/>
                    <w:spacing w:line="280" w:lineRule="exact"/>
                    <w:jc w:val="center"/>
                    <w:rPr>
                      <w:rFonts w:hint="eastAsia" w:ascii="Times New Roman" w:hAnsi="Times New Roman" w:eastAsia="宋体" w:cs="Times New Roman"/>
                      <w:bCs/>
                      <w:color w:val="auto"/>
                      <w:spacing w:val="-11"/>
                      <w:kern w:val="0"/>
                      <w:sz w:val="18"/>
                      <w:szCs w:val="18"/>
                    </w:rPr>
                  </w:pPr>
                  <w:r>
                    <w:rPr>
                      <w:rFonts w:hint="eastAsia" w:ascii="Times New Roman" w:hAnsi="Times New Roman" w:eastAsia="宋体" w:cs="Times New Roman"/>
                      <w:bCs/>
                      <w:color w:val="auto"/>
                      <w:spacing w:val="-11"/>
                      <w:kern w:val="0"/>
                      <w:sz w:val="18"/>
                      <w:szCs w:val="18"/>
                    </w:rPr>
                    <w:t>内容</w:t>
                  </w:r>
                </w:p>
              </w:tc>
              <w:tc>
                <w:tcPr>
                  <w:tcW w:w="2252" w:type="dxa"/>
                  <w:noWrap w:val="0"/>
                  <w:vAlign w:val="center"/>
                </w:tcPr>
                <w:p w14:paraId="0349ED81">
                  <w:pPr>
                    <w:autoSpaceDE w:val="0"/>
                    <w:autoSpaceDN w:val="0"/>
                    <w:adjustRightInd w:val="0"/>
                    <w:snapToGrid w:val="0"/>
                    <w:spacing w:line="280" w:lineRule="exact"/>
                    <w:jc w:val="center"/>
                    <w:rPr>
                      <w:rFonts w:hint="eastAsia" w:ascii="Times New Roman" w:hAnsi="Times New Roman" w:eastAsia="宋体" w:cs="Times New Roman"/>
                      <w:bCs/>
                      <w:color w:val="auto"/>
                      <w:spacing w:val="-11"/>
                      <w:kern w:val="0"/>
                      <w:sz w:val="18"/>
                      <w:szCs w:val="18"/>
                    </w:rPr>
                  </w:pPr>
                  <w:r>
                    <w:rPr>
                      <w:rFonts w:hint="eastAsia" w:ascii="Times New Roman" w:hAnsi="Times New Roman" w:eastAsia="宋体" w:cs="Times New Roman"/>
                      <w:bCs/>
                      <w:color w:val="auto"/>
                      <w:spacing w:val="-11"/>
                      <w:kern w:val="0"/>
                      <w:sz w:val="18"/>
                      <w:szCs w:val="18"/>
                    </w:rPr>
                    <w:t>本项目内容</w:t>
                  </w:r>
                </w:p>
              </w:tc>
              <w:tc>
                <w:tcPr>
                  <w:tcW w:w="579" w:type="dxa"/>
                  <w:noWrap w:val="0"/>
                  <w:vAlign w:val="center"/>
                </w:tcPr>
                <w:p w14:paraId="644D7518">
                  <w:pPr>
                    <w:autoSpaceDE w:val="0"/>
                    <w:autoSpaceDN w:val="0"/>
                    <w:adjustRightInd w:val="0"/>
                    <w:snapToGrid w:val="0"/>
                    <w:spacing w:line="280" w:lineRule="exact"/>
                    <w:jc w:val="center"/>
                    <w:rPr>
                      <w:rFonts w:hint="eastAsia" w:ascii="Times New Roman" w:hAnsi="Times New Roman" w:eastAsia="宋体" w:cs="Times New Roman"/>
                      <w:bCs/>
                      <w:color w:val="auto"/>
                      <w:spacing w:val="-11"/>
                      <w:kern w:val="0"/>
                      <w:sz w:val="18"/>
                      <w:szCs w:val="18"/>
                    </w:rPr>
                  </w:pPr>
                  <w:r>
                    <w:rPr>
                      <w:rFonts w:hint="eastAsia" w:ascii="Times New Roman" w:hAnsi="Times New Roman" w:eastAsia="宋体" w:cs="Times New Roman"/>
                      <w:bCs/>
                      <w:color w:val="auto"/>
                      <w:spacing w:val="-11"/>
                      <w:kern w:val="0"/>
                      <w:sz w:val="18"/>
                      <w:szCs w:val="18"/>
                    </w:rPr>
                    <w:t>符合性</w:t>
                  </w:r>
                </w:p>
              </w:tc>
            </w:tr>
            <w:tr w14:paraId="589D251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27" w:hRule="atLeast"/>
                <w:jc w:val="center"/>
              </w:trPr>
              <w:tc>
                <w:tcPr>
                  <w:tcW w:w="427" w:type="dxa"/>
                  <w:vMerge w:val="restart"/>
                  <w:shd w:val="clear" w:color="auto" w:fill="auto"/>
                  <w:noWrap w:val="0"/>
                  <w:vAlign w:val="center"/>
                </w:tcPr>
                <w:p w14:paraId="43CD24BD">
                  <w:pPr>
                    <w:autoSpaceDE w:val="0"/>
                    <w:autoSpaceDN w:val="0"/>
                    <w:adjustRightInd w:val="0"/>
                    <w:snapToGrid w:val="0"/>
                    <w:spacing w:line="280" w:lineRule="exact"/>
                    <w:jc w:val="center"/>
                    <w:rPr>
                      <w:rFonts w:hint="eastAsia" w:ascii="Times New Roman" w:hAnsi="Times New Roman" w:eastAsia="宋体" w:cs="Times New Roman"/>
                      <w:bCs/>
                      <w:color w:val="auto"/>
                      <w:spacing w:val="-11"/>
                      <w:kern w:val="0"/>
                      <w:sz w:val="18"/>
                      <w:szCs w:val="18"/>
                      <w:lang w:val="en-US" w:eastAsia="zh-CN" w:bidi="ar-SA"/>
                    </w:rPr>
                  </w:pPr>
                  <w:r>
                    <w:rPr>
                      <w:rFonts w:hint="eastAsia" w:cs="Times New Roman"/>
                      <w:bCs/>
                      <w:color w:val="auto"/>
                      <w:spacing w:val="-11"/>
                      <w:kern w:val="0"/>
                      <w:sz w:val="18"/>
                      <w:szCs w:val="18"/>
                      <w:lang w:val="en-US" w:eastAsia="zh-CN"/>
                    </w:rPr>
                    <w:t>2</w:t>
                  </w:r>
                </w:p>
              </w:tc>
              <w:tc>
                <w:tcPr>
                  <w:tcW w:w="785" w:type="dxa"/>
                  <w:vMerge w:val="restart"/>
                  <w:shd w:val="clear" w:color="auto" w:fill="auto"/>
                  <w:noWrap w:val="0"/>
                  <w:vAlign w:val="center"/>
                </w:tcPr>
                <w:p w14:paraId="26334771">
                  <w:pPr>
                    <w:autoSpaceDE w:val="0"/>
                    <w:autoSpaceDN w:val="0"/>
                    <w:adjustRightInd w:val="0"/>
                    <w:snapToGrid w:val="0"/>
                    <w:spacing w:line="280" w:lineRule="exact"/>
                    <w:jc w:val="center"/>
                    <w:rPr>
                      <w:rFonts w:hint="default" w:ascii="Times New Roman" w:hAnsi="Times New Roman" w:eastAsia="宋体" w:cs="Times New Roman"/>
                      <w:bCs/>
                      <w:color w:val="auto"/>
                      <w:spacing w:val="-11"/>
                      <w:kern w:val="0"/>
                      <w:sz w:val="18"/>
                      <w:szCs w:val="18"/>
                      <w:lang w:val="en-US" w:eastAsia="zh-CN" w:bidi="ar-SA"/>
                    </w:rPr>
                  </w:pPr>
                  <w:r>
                    <w:rPr>
                      <w:rFonts w:hint="default" w:ascii="Times New Roman" w:hAnsi="Times New Roman" w:eastAsia="宋体" w:cs="Times New Roman"/>
                      <w:bCs/>
                      <w:color w:val="auto"/>
                      <w:spacing w:val="-11"/>
                      <w:kern w:val="0"/>
                      <w:sz w:val="18"/>
                      <w:szCs w:val="18"/>
                    </w:rPr>
                    <w:t>《</w:t>
                  </w:r>
                  <w:r>
                    <w:rPr>
                      <w:rFonts w:hint="eastAsia" w:ascii="Times New Roman" w:hAnsi="Times New Roman" w:eastAsia="宋体" w:cs="Times New Roman"/>
                      <w:bCs/>
                      <w:color w:val="auto"/>
                      <w:spacing w:val="-11"/>
                      <w:kern w:val="0"/>
                      <w:sz w:val="18"/>
                      <w:szCs w:val="18"/>
                      <w:lang w:val="en-US" w:eastAsia="zh-CN"/>
                    </w:rPr>
                    <w:t>“十四五”土壤、地下水和农村生态环境保护规划</w:t>
                  </w:r>
                  <w:r>
                    <w:rPr>
                      <w:rFonts w:hint="default" w:ascii="Times New Roman" w:hAnsi="Times New Roman" w:eastAsia="宋体" w:cs="Times New Roman"/>
                      <w:bCs/>
                      <w:color w:val="auto"/>
                      <w:spacing w:val="-11"/>
                      <w:kern w:val="0"/>
                      <w:sz w:val="18"/>
                      <w:szCs w:val="18"/>
                    </w:rPr>
                    <w:t>》</w:t>
                  </w:r>
                </w:p>
              </w:tc>
              <w:tc>
                <w:tcPr>
                  <w:tcW w:w="3062" w:type="dxa"/>
                  <w:shd w:val="clear" w:color="auto" w:fill="auto"/>
                  <w:noWrap w:val="0"/>
                  <w:vAlign w:val="center"/>
                </w:tcPr>
                <w:p w14:paraId="7A673F17">
                  <w:pPr>
                    <w:autoSpaceDE w:val="0"/>
                    <w:autoSpaceDN w:val="0"/>
                    <w:adjustRightInd w:val="0"/>
                    <w:snapToGrid w:val="0"/>
                    <w:spacing w:line="280" w:lineRule="exact"/>
                    <w:jc w:val="center"/>
                    <w:rPr>
                      <w:rFonts w:hint="default" w:ascii="Times New Roman" w:hAnsi="Times New Roman" w:eastAsia="宋体" w:cs="Times New Roman"/>
                      <w:bCs/>
                      <w:color w:val="auto"/>
                      <w:spacing w:val="-11"/>
                      <w:kern w:val="0"/>
                      <w:sz w:val="18"/>
                      <w:szCs w:val="18"/>
                      <w:lang w:val="en-US" w:eastAsia="zh-CN" w:bidi="ar-SA"/>
                    </w:rPr>
                  </w:pPr>
                  <w:r>
                    <w:rPr>
                      <w:rFonts w:hint="eastAsia" w:ascii="Times New Roman" w:hAnsi="Times New Roman" w:eastAsia="宋体" w:cs="Times New Roman"/>
                      <w:bCs/>
                      <w:color w:val="auto"/>
                      <w:spacing w:val="-11"/>
                      <w:kern w:val="0"/>
                      <w:sz w:val="18"/>
                      <w:szCs w:val="18"/>
                      <w:lang w:val="en-US" w:eastAsia="zh-CN"/>
                    </w:rPr>
                    <w:t>到</w:t>
                  </w:r>
                  <w:r>
                    <w:rPr>
                      <w:rFonts w:hint="default" w:ascii="Times New Roman" w:hAnsi="Times New Roman" w:eastAsia="宋体" w:cs="Times New Roman"/>
                      <w:bCs/>
                      <w:color w:val="auto"/>
                      <w:spacing w:val="-11"/>
                      <w:kern w:val="0"/>
                      <w:sz w:val="18"/>
                      <w:szCs w:val="18"/>
                      <w:lang w:val="en-US" w:eastAsia="zh-CN"/>
                    </w:rPr>
                    <w:t>2025</w:t>
                  </w:r>
                  <w:r>
                    <w:rPr>
                      <w:rFonts w:hint="eastAsia" w:ascii="Times New Roman" w:hAnsi="Times New Roman" w:eastAsia="宋体" w:cs="Times New Roman"/>
                      <w:bCs/>
                      <w:color w:val="auto"/>
                      <w:spacing w:val="-11"/>
                      <w:kern w:val="0"/>
                      <w:sz w:val="18"/>
                      <w:szCs w:val="18"/>
                      <w:lang w:val="en-US" w:eastAsia="zh-CN"/>
                    </w:rPr>
                    <w:t>年，全国土壤和地下水环境质量总体保持稳定，受污染耕地和重点建设用地安全利用得到巩固提升；农业面源污染得到初步管控，农村环境基础设施建设稳步推进，农村生态环境持续改善。到</w:t>
                  </w:r>
                  <w:r>
                    <w:rPr>
                      <w:rFonts w:hint="default" w:ascii="Times New Roman" w:hAnsi="Times New Roman" w:eastAsia="宋体" w:cs="Times New Roman"/>
                      <w:bCs/>
                      <w:color w:val="auto"/>
                      <w:spacing w:val="-11"/>
                      <w:kern w:val="0"/>
                      <w:sz w:val="18"/>
                      <w:szCs w:val="18"/>
                      <w:lang w:val="en-US" w:eastAsia="zh-CN"/>
                    </w:rPr>
                    <w:t xml:space="preserve">2035 </w:t>
                  </w:r>
                  <w:r>
                    <w:rPr>
                      <w:rFonts w:hint="eastAsia" w:ascii="Times New Roman" w:hAnsi="Times New Roman" w:eastAsia="宋体" w:cs="Times New Roman"/>
                      <w:bCs/>
                      <w:color w:val="auto"/>
                      <w:spacing w:val="-11"/>
                      <w:kern w:val="0"/>
                      <w:sz w:val="18"/>
                      <w:szCs w:val="18"/>
                      <w:lang w:val="en-US" w:eastAsia="zh-CN"/>
                    </w:rPr>
                    <w:t>年，全国土壤和地下水环境质量稳中向好，农用地和重点建设用地土壤环境安全得到有效保障，土壤环境风险得到全面管控；农业面源污染得到遏制，农村环境基础设施得到完善，农村生态环境根本好转。</w:t>
                  </w:r>
                </w:p>
              </w:tc>
              <w:tc>
                <w:tcPr>
                  <w:tcW w:w="2252" w:type="dxa"/>
                  <w:shd w:val="clear" w:color="auto" w:fill="auto"/>
                  <w:noWrap w:val="0"/>
                  <w:vAlign w:val="center"/>
                </w:tcPr>
                <w:p w14:paraId="5E9B3413">
                  <w:pPr>
                    <w:autoSpaceDE w:val="0"/>
                    <w:autoSpaceDN w:val="0"/>
                    <w:adjustRightInd w:val="0"/>
                    <w:snapToGrid w:val="0"/>
                    <w:spacing w:line="280" w:lineRule="exact"/>
                    <w:jc w:val="center"/>
                    <w:rPr>
                      <w:rFonts w:hint="eastAsia" w:ascii="Times New Roman" w:hAnsi="Times New Roman" w:eastAsia="宋体" w:cs="Times New Roman"/>
                      <w:color w:val="auto"/>
                      <w:spacing w:val="-10"/>
                      <w:kern w:val="2"/>
                      <w:sz w:val="18"/>
                      <w:szCs w:val="18"/>
                      <w:highlight w:val="none"/>
                      <w:lang w:val="en-US" w:eastAsia="zh-CN" w:bidi="ar-SA"/>
                    </w:rPr>
                  </w:pPr>
                  <w:r>
                    <w:rPr>
                      <w:rFonts w:hint="eastAsia" w:ascii="Times New Roman" w:hAnsi="Times New Roman" w:eastAsia="宋体" w:cs="Times New Roman"/>
                      <w:bCs/>
                      <w:color w:val="auto"/>
                      <w:spacing w:val="-11"/>
                      <w:kern w:val="0"/>
                      <w:sz w:val="18"/>
                      <w:szCs w:val="18"/>
                      <w:lang w:val="en-US" w:eastAsia="zh-CN"/>
                    </w:rPr>
                    <w:t>本项目位于</w:t>
                  </w:r>
                  <w:r>
                    <w:rPr>
                      <w:rFonts w:hint="default" w:ascii="Times New Roman" w:hAnsi="Times New Roman" w:eastAsia="宋体" w:cs="Times New Roman"/>
                      <w:bCs/>
                      <w:color w:val="auto"/>
                      <w:spacing w:val="-11"/>
                      <w:kern w:val="0"/>
                      <w:sz w:val="18"/>
                      <w:szCs w:val="18"/>
                      <w:lang w:val="en-US" w:eastAsia="zh-CN"/>
                    </w:rPr>
                    <w:t>滦州市</w:t>
                  </w:r>
                  <w:r>
                    <w:rPr>
                      <w:rFonts w:hint="eastAsia" w:ascii="Times New Roman" w:hAnsi="Times New Roman" w:eastAsia="宋体" w:cs="Times New Roman"/>
                      <w:bCs/>
                      <w:color w:val="auto"/>
                      <w:spacing w:val="-11"/>
                      <w:kern w:val="0"/>
                      <w:sz w:val="18"/>
                      <w:szCs w:val="18"/>
                      <w:lang w:val="en-US" w:eastAsia="zh-CN"/>
                    </w:rPr>
                    <w:t>九百户镇</w:t>
                  </w:r>
                  <w:r>
                    <w:rPr>
                      <w:rFonts w:hint="default" w:ascii="Times New Roman" w:hAnsi="Times New Roman" w:eastAsia="宋体" w:cs="Times New Roman"/>
                      <w:bCs/>
                      <w:color w:val="auto"/>
                      <w:spacing w:val="-11"/>
                      <w:kern w:val="0"/>
                      <w:sz w:val="18"/>
                      <w:szCs w:val="18"/>
                      <w:lang w:val="en-US" w:eastAsia="zh-CN"/>
                    </w:rPr>
                    <w:t>镇</w:t>
                  </w:r>
                  <w:r>
                    <w:rPr>
                      <w:rFonts w:hint="eastAsia" w:ascii="Times New Roman" w:hAnsi="Times New Roman" w:eastAsia="宋体" w:cs="Times New Roman"/>
                      <w:bCs/>
                      <w:color w:val="auto"/>
                      <w:spacing w:val="-11"/>
                      <w:kern w:val="0"/>
                      <w:sz w:val="18"/>
                      <w:szCs w:val="18"/>
                      <w:lang w:val="en-US" w:eastAsia="zh-CN"/>
                    </w:rPr>
                    <w:t>宜安村西，项目占地性质为建设用地，项目不新增违法占地，不涉及占用耕地，项目厂区内全部绿化或硬化，对土壤环境风险可做到全面管控</w:t>
                  </w:r>
                </w:p>
              </w:tc>
              <w:tc>
                <w:tcPr>
                  <w:tcW w:w="579" w:type="dxa"/>
                  <w:shd w:val="clear" w:color="auto" w:fill="auto"/>
                  <w:noWrap w:val="0"/>
                  <w:vAlign w:val="center"/>
                </w:tcPr>
                <w:p w14:paraId="36C7CED5">
                  <w:pPr>
                    <w:autoSpaceDE w:val="0"/>
                    <w:autoSpaceDN w:val="0"/>
                    <w:adjustRightInd w:val="0"/>
                    <w:snapToGrid w:val="0"/>
                    <w:spacing w:line="280" w:lineRule="exact"/>
                    <w:jc w:val="center"/>
                    <w:rPr>
                      <w:rFonts w:hint="default" w:ascii="Times New Roman" w:hAnsi="Times New Roman" w:eastAsia="宋体" w:cs="Times New Roman"/>
                      <w:bCs/>
                      <w:color w:val="auto"/>
                      <w:spacing w:val="-11"/>
                      <w:kern w:val="0"/>
                      <w:sz w:val="18"/>
                      <w:szCs w:val="18"/>
                      <w:lang w:val="en-US" w:eastAsia="zh-CN" w:bidi="ar-SA"/>
                    </w:rPr>
                  </w:pPr>
                  <w:r>
                    <w:rPr>
                      <w:rFonts w:hint="eastAsia" w:ascii="Times New Roman" w:hAnsi="Times New Roman" w:eastAsia="宋体" w:cs="Times New Roman"/>
                      <w:bCs/>
                      <w:color w:val="auto"/>
                      <w:spacing w:val="-11"/>
                      <w:kern w:val="0"/>
                      <w:sz w:val="18"/>
                      <w:szCs w:val="18"/>
                      <w:lang w:val="en-US" w:eastAsia="zh-CN"/>
                    </w:rPr>
                    <w:t>符合</w:t>
                  </w:r>
                </w:p>
              </w:tc>
            </w:tr>
            <w:tr w14:paraId="3BB0EB0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27" w:hRule="atLeast"/>
                <w:jc w:val="center"/>
              </w:trPr>
              <w:tc>
                <w:tcPr>
                  <w:tcW w:w="427" w:type="dxa"/>
                  <w:vMerge w:val="continue"/>
                  <w:shd w:val="clear" w:color="auto" w:fill="auto"/>
                  <w:noWrap w:val="0"/>
                  <w:vAlign w:val="center"/>
                </w:tcPr>
                <w:p w14:paraId="5FA21EFA">
                  <w:pPr>
                    <w:autoSpaceDE w:val="0"/>
                    <w:autoSpaceDN w:val="0"/>
                    <w:adjustRightInd w:val="0"/>
                    <w:snapToGrid w:val="0"/>
                    <w:spacing w:line="280" w:lineRule="exact"/>
                    <w:jc w:val="center"/>
                    <w:rPr>
                      <w:rFonts w:hint="eastAsia" w:cs="Times New Roman"/>
                      <w:bCs/>
                      <w:color w:val="auto"/>
                      <w:spacing w:val="-11"/>
                      <w:kern w:val="0"/>
                      <w:sz w:val="18"/>
                      <w:szCs w:val="18"/>
                      <w:lang w:val="en-US" w:eastAsia="zh-CN"/>
                    </w:rPr>
                  </w:pPr>
                </w:p>
              </w:tc>
              <w:tc>
                <w:tcPr>
                  <w:tcW w:w="785" w:type="dxa"/>
                  <w:vMerge w:val="continue"/>
                  <w:shd w:val="clear" w:color="auto" w:fill="auto"/>
                  <w:noWrap w:val="0"/>
                  <w:vAlign w:val="center"/>
                </w:tcPr>
                <w:p w14:paraId="41931682">
                  <w:pPr>
                    <w:autoSpaceDE w:val="0"/>
                    <w:autoSpaceDN w:val="0"/>
                    <w:adjustRightInd w:val="0"/>
                    <w:snapToGrid w:val="0"/>
                    <w:spacing w:line="280" w:lineRule="exact"/>
                    <w:jc w:val="center"/>
                    <w:rPr>
                      <w:rFonts w:hint="default" w:ascii="Times New Roman" w:hAnsi="Times New Roman" w:eastAsia="宋体" w:cs="Times New Roman"/>
                      <w:bCs/>
                      <w:color w:val="auto"/>
                      <w:spacing w:val="-11"/>
                      <w:kern w:val="0"/>
                      <w:sz w:val="18"/>
                      <w:szCs w:val="18"/>
                    </w:rPr>
                  </w:pPr>
                </w:p>
              </w:tc>
              <w:tc>
                <w:tcPr>
                  <w:tcW w:w="3062" w:type="dxa"/>
                  <w:shd w:val="clear" w:color="auto" w:fill="auto"/>
                  <w:noWrap w:val="0"/>
                  <w:vAlign w:val="center"/>
                </w:tcPr>
                <w:p w14:paraId="096E8BF5">
                  <w:pPr>
                    <w:autoSpaceDE w:val="0"/>
                    <w:autoSpaceDN w:val="0"/>
                    <w:adjustRightInd w:val="0"/>
                    <w:snapToGrid w:val="0"/>
                    <w:spacing w:line="280" w:lineRule="exact"/>
                    <w:jc w:val="center"/>
                    <w:rPr>
                      <w:rFonts w:hint="default" w:ascii="Times New Roman" w:hAnsi="Times New Roman" w:eastAsia="宋体" w:cs="Times New Roman"/>
                      <w:bCs/>
                      <w:color w:val="auto"/>
                      <w:spacing w:val="-11"/>
                      <w:kern w:val="0"/>
                      <w:sz w:val="18"/>
                      <w:szCs w:val="18"/>
                      <w:lang w:val="en-US" w:eastAsia="zh-CN" w:bidi="ar-SA"/>
                    </w:rPr>
                  </w:pPr>
                  <w:r>
                    <w:rPr>
                      <w:rFonts w:hint="default" w:ascii="Times New Roman" w:hAnsi="Times New Roman" w:eastAsia="宋体" w:cs="Times New Roman"/>
                      <w:bCs/>
                      <w:color w:val="auto"/>
                      <w:spacing w:val="-11"/>
                      <w:kern w:val="0"/>
                      <w:sz w:val="18"/>
                      <w:szCs w:val="18"/>
                      <w:lang w:val="en-US" w:eastAsia="zh-CN"/>
                    </w:rPr>
                    <w:t>防范工矿企业新增土壤污染。严格建设项目土壤环境影响评价制度。对涉及有毒有害物质可能造成土壤污染的新</w:t>
                  </w:r>
                  <w:r>
                    <w:rPr>
                      <w:rFonts w:hint="eastAsia" w:ascii="Times New Roman" w:hAnsi="Times New Roman" w:eastAsia="宋体" w:cs="Times New Roman"/>
                      <w:bCs/>
                      <w:color w:val="auto"/>
                      <w:spacing w:val="-11"/>
                      <w:kern w:val="0"/>
                      <w:sz w:val="18"/>
                      <w:szCs w:val="18"/>
                      <w:lang w:val="en-US" w:eastAsia="zh-CN"/>
                    </w:rPr>
                    <w:t>（</w:t>
                  </w:r>
                  <w:r>
                    <w:rPr>
                      <w:rFonts w:hint="default" w:ascii="Times New Roman" w:hAnsi="Times New Roman" w:eastAsia="宋体" w:cs="Times New Roman"/>
                      <w:bCs/>
                      <w:color w:val="auto"/>
                      <w:spacing w:val="-11"/>
                      <w:kern w:val="0"/>
                      <w:sz w:val="18"/>
                      <w:szCs w:val="18"/>
                      <w:lang w:val="en-US" w:eastAsia="zh-CN"/>
                    </w:rPr>
                    <w:t>改扩</w:t>
                  </w:r>
                  <w:r>
                    <w:rPr>
                      <w:rFonts w:hint="eastAsia" w:ascii="Times New Roman" w:hAnsi="Times New Roman" w:eastAsia="宋体" w:cs="Times New Roman"/>
                      <w:bCs/>
                      <w:color w:val="auto"/>
                      <w:spacing w:val="-11"/>
                      <w:kern w:val="0"/>
                      <w:sz w:val="18"/>
                      <w:szCs w:val="18"/>
                      <w:lang w:val="en-US" w:eastAsia="zh-CN"/>
                    </w:rPr>
                    <w:t>）</w:t>
                  </w:r>
                  <w:r>
                    <w:rPr>
                      <w:rFonts w:hint="default" w:ascii="Times New Roman" w:hAnsi="Times New Roman" w:eastAsia="宋体" w:cs="Times New Roman"/>
                      <w:bCs/>
                      <w:color w:val="auto"/>
                      <w:spacing w:val="-11"/>
                      <w:kern w:val="0"/>
                      <w:sz w:val="18"/>
                      <w:szCs w:val="18"/>
                      <w:lang w:val="en-US" w:eastAsia="zh-CN"/>
                    </w:rPr>
                    <w:t>建项目</w:t>
                  </w:r>
                  <w:r>
                    <w:rPr>
                      <w:rFonts w:hint="eastAsia" w:ascii="Times New Roman" w:hAnsi="Times New Roman" w:eastAsia="宋体" w:cs="Times New Roman"/>
                      <w:bCs/>
                      <w:color w:val="auto"/>
                      <w:spacing w:val="-11"/>
                      <w:kern w:val="0"/>
                      <w:sz w:val="18"/>
                      <w:szCs w:val="18"/>
                      <w:lang w:val="en-US" w:eastAsia="zh-CN"/>
                    </w:rPr>
                    <w:t>，</w:t>
                  </w:r>
                  <w:r>
                    <w:rPr>
                      <w:rFonts w:hint="default" w:ascii="Times New Roman" w:hAnsi="Times New Roman" w:eastAsia="宋体" w:cs="Times New Roman"/>
                      <w:bCs/>
                      <w:color w:val="auto"/>
                      <w:spacing w:val="-11"/>
                      <w:kern w:val="0"/>
                      <w:sz w:val="18"/>
                      <w:szCs w:val="18"/>
                      <w:lang w:val="en-US" w:eastAsia="zh-CN"/>
                    </w:rPr>
                    <w:t>依法进行环境影响评价</w:t>
                  </w:r>
                  <w:r>
                    <w:rPr>
                      <w:rFonts w:hint="eastAsia" w:ascii="Times New Roman" w:hAnsi="Times New Roman" w:eastAsia="宋体" w:cs="Times New Roman"/>
                      <w:bCs/>
                      <w:color w:val="auto"/>
                      <w:spacing w:val="-11"/>
                      <w:kern w:val="0"/>
                      <w:sz w:val="18"/>
                      <w:szCs w:val="18"/>
                      <w:lang w:val="en-US" w:eastAsia="zh-CN"/>
                    </w:rPr>
                    <w:t>，</w:t>
                  </w:r>
                  <w:r>
                    <w:rPr>
                      <w:rFonts w:hint="default" w:ascii="Times New Roman" w:hAnsi="Times New Roman" w:eastAsia="宋体" w:cs="Times New Roman"/>
                      <w:bCs/>
                      <w:color w:val="auto"/>
                      <w:spacing w:val="-11"/>
                      <w:kern w:val="0"/>
                      <w:sz w:val="18"/>
                      <w:szCs w:val="18"/>
                      <w:lang w:val="en-US" w:eastAsia="zh-CN"/>
                    </w:rPr>
                    <w:t>提出并落实防腐蚀、</w:t>
                  </w:r>
                  <w:r>
                    <w:rPr>
                      <w:rFonts w:hint="eastAsia" w:ascii="Times New Roman" w:hAnsi="Times New Roman" w:eastAsia="宋体" w:cs="Times New Roman"/>
                      <w:bCs/>
                      <w:color w:val="auto"/>
                      <w:spacing w:val="-11"/>
                      <w:kern w:val="0"/>
                      <w:sz w:val="18"/>
                      <w:szCs w:val="18"/>
                      <w:lang w:val="en-US" w:eastAsia="zh-CN"/>
                    </w:rPr>
                    <w:t>防渗漏</w:t>
                  </w:r>
                  <w:r>
                    <w:rPr>
                      <w:rFonts w:hint="default" w:ascii="Times New Roman" w:hAnsi="Times New Roman" w:eastAsia="宋体" w:cs="Times New Roman"/>
                      <w:bCs/>
                      <w:color w:val="auto"/>
                      <w:spacing w:val="-11"/>
                      <w:kern w:val="0"/>
                      <w:sz w:val="18"/>
                      <w:szCs w:val="18"/>
                      <w:lang w:val="en-US" w:eastAsia="zh-CN"/>
                    </w:rPr>
                    <w:t>、防遗撒等土壤污染防治具体措施。</w:t>
                  </w:r>
                </w:p>
              </w:tc>
              <w:tc>
                <w:tcPr>
                  <w:tcW w:w="2252" w:type="dxa"/>
                  <w:shd w:val="clear" w:color="auto" w:fill="auto"/>
                  <w:noWrap w:val="0"/>
                  <w:vAlign w:val="center"/>
                </w:tcPr>
                <w:p w14:paraId="76637038">
                  <w:pPr>
                    <w:autoSpaceDE w:val="0"/>
                    <w:autoSpaceDN w:val="0"/>
                    <w:adjustRightInd w:val="0"/>
                    <w:snapToGrid w:val="0"/>
                    <w:spacing w:line="280" w:lineRule="exact"/>
                    <w:jc w:val="center"/>
                    <w:rPr>
                      <w:rFonts w:hint="default" w:ascii="Times New Roman" w:hAnsi="Times New Roman" w:eastAsia="宋体" w:cs="Times New Roman"/>
                      <w:bCs/>
                      <w:color w:val="auto"/>
                      <w:spacing w:val="-11"/>
                      <w:kern w:val="0"/>
                      <w:sz w:val="18"/>
                      <w:szCs w:val="18"/>
                      <w:lang w:val="en-US" w:eastAsia="zh-CN" w:bidi="ar-SA"/>
                    </w:rPr>
                  </w:pPr>
                  <w:r>
                    <w:rPr>
                      <w:rFonts w:hint="default" w:ascii="Times New Roman" w:hAnsi="Times New Roman" w:eastAsia="宋体" w:cs="Times New Roman"/>
                      <w:bCs/>
                      <w:color w:val="auto"/>
                      <w:spacing w:val="-11"/>
                      <w:kern w:val="0"/>
                      <w:sz w:val="18"/>
                      <w:szCs w:val="18"/>
                      <w:lang w:val="en-US" w:eastAsia="zh-CN"/>
                    </w:rPr>
                    <w:t>项目</w:t>
                  </w:r>
                  <w:r>
                    <w:rPr>
                      <w:rFonts w:hint="eastAsia" w:ascii="Times New Roman" w:hAnsi="Times New Roman" w:eastAsia="宋体" w:cs="Times New Roman"/>
                      <w:bCs/>
                      <w:color w:val="auto"/>
                      <w:spacing w:val="-11"/>
                      <w:kern w:val="0"/>
                      <w:sz w:val="18"/>
                      <w:szCs w:val="18"/>
                      <w:lang w:val="en-US" w:eastAsia="zh-CN"/>
                    </w:rPr>
                    <w:t>采取了严格的分区防渗措施，防渗效果符合《环境影响评价技术导则 地下水环境》（HJ610-2016）地下水污染防渗分区防渗技术要求，污染源与天然土壤隔离，正常工况下，不会对土壤环境产生影响</w:t>
                  </w:r>
                </w:p>
              </w:tc>
              <w:tc>
                <w:tcPr>
                  <w:tcW w:w="579" w:type="dxa"/>
                  <w:shd w:val="clear" w:color="auto" w:fill="auto"/>
                  <w:noWrap w:val="0"/>
                  <w:vAlign w:val="center"/>
                </w:tcPr>
                <w:p w14:paraId="560DC974">
                  <w:pPr>
                    <w:autoSpaceDE w:val="0"/>
                    <w:autoSpaceDN w:val="0"/>
                    <w:adjustRightInd w:val="0"/>
                    <w:snapToGrid w:val="0"/>
                    <w:spacing w:line="280" w:lineRule="exact"/>
                    <w:jc w:val="center"/>
                    <w:rPr>
                      <w:rFonts w:hint="eastAsia" w:ascii="Times New Roman" w:hAnsi="Times New Roman" w:eastAsia="宋体" w:cs="Times New Roman"/>
                      <w:bCs/>
                      <w:color w:val="auto"/>
                      <w:spacing w:val="-11"/>
                      <w:kern w:val="0"/>
                      <w:sz w:val="18"/>
                      <w:szCs w:val="18"/>
                      <w:lang w:val="en-US" w:eastAsia="zh-CN" w:bidi="ar-SA"/>
                    </w:rPr>
                  </w:pPr>
                  <w:r>
                    <w:rPr>
                      <w:rFonts w:hint="eastAsia" w:ascii="Times New Roman" w:hAnsi="Times New Roman" w:eastAsia="宋体" w:cs="Times New Roman"/>
                      <w:bCs/>
                      <w:color w:val="auto"/>
                      <w:spacing w:val="-11"/>
                      <w:kern w:val="0"/>
                      <w:sz w:val="18"/>
                      <w:szCs w:val="18"/>
                      <w:lang w:val="en-US" w:eastAsia="zh-CN"/>
                    </w:rPr>
                    <w:t>符合</w:t>
                  </w:r>
                </w:p>
              </w:tc>
            </w:tr>
            <w:tr w14:paraId="4BBB93B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27" w:hRule="atLeast"/>
                <w:jc w:val="center"/>
              </w:trPr>
              <w:tc>
                <w:tcPr>
                  <w:tcW w:w="427" w:type="dxa"/>
                  <w:vMerge w:val="restart"/>
                  <w:noWrap w:val="0"/>
                  <w:vAlign w:val="center"/>
                </w:tcPr>
                <w:p w14:paraId="0EF18B34">
                  <w:pPr>
                    <w:autoSpaceDE w:val="0"/>
                    <w:autoSpaceDN w:val="0"/>
                    <w:adjustRightInd w:val="0"/>
                    <w:snapToGrid w:val="0"/>
                    <w:spacing w:line="280" w:lineRule="exact"/>
                    <w:jc w:val="center"/>
                    <w:rPr>
                      <w:rFonts w:hint="eastAsia" w:ascii="Times New Roman" w:hAnsi="Times New Roman" w:eastAsia="宋体" w:cs="Times New Roman"/>
                      <w:bCs/>
                      <w:color w:val="auto"/>
                      <w:spacing w:val="-11"/>
                      <w:kern w:val="0"/>
                      <w:sz w:val="18"/>
                      <w:szCs w:val="18"/>
                      <w:lang w:eastAsia="zh-CN"/>
                    </w:rPr>
                  </w:pPr>
                  <w:r>
                    <w:rPr>
                      <w:rFonts w:hint="eastAsia" w:cs="Times New Roman"/>
                      <w:bCs/>
                      <w:color w:val="auto"/>
                      <w:spacing w:val="-11"/>
                      <w:kern w:val="0"/>
                      <w:sz w:val="18"/>
                      <w:szCs w:val="18"/>
                      <w:lang w:val="en-US" w:eastAsia="zh-CN"/>
                    </w:rPr>
                    <w:t>3</w:t>
                  </w:r>
                </w:p>
              </w:tc>
              <w:tc>
                <w:tcPr>
                  <w:tcW w:w="785" w:type="dxa"/>
                  <w:vMerge w:val="restart"/>
                  <w:noWrap w:val="0"/>
                  <w:vAlign w:val="center"/>
                </w:tcPr>
                <w:p w14:paraId="0AF2259A">
                  <w:pPr>
                    <w:autoSpaceDE w:val="0"/>
                    <w:autoSpaceDN w:val="0"/>
                    <w:adjustRightInd w:val="0"/>
                    <w:snapToGrid w:val="0"/>
                    <w:spacing w:line="280" w:lineRule="exact"/>
                    <w:jc w:val="center"/>
                    <w:rPr>
                      <w:rFonts w:hint="eastAsia" w:ascii="Times New Roman" w:hAnsi="Times New Roman" w:eastAsia="宋体" w:cs="Times New Roman"/>
                      <w:bCs/>
                      <w:color w:val="auto"/>
                      <w:spacing w:val="-11"/>
                      <w:kern w:val="0"/>
                      <w:sz w:val="18"/>
                      <w:szCs w:val="18"/>
                    </w:rPr>
                  </w:pPr>
                  <w:r>
                    <w:rPr>
                      <w:rFonts w:hint="eastAsia" w:ascii="Times New Roman" w:hAnsi="Times New Roman" w:eastAsia="宋体" w:cs="Times New Roman"/>
                      <w:bCs/>
                      <w:color w:val="auto"/>
                      <w:spacing w:val="-11"/>
                      <w:kern w:val="0"/>
                      <w:sz w:val="18"/>
                      <w:szCs w:val="18"/>
                    </w:rPr>
                    <w:t>《河北省生态环境保护“十</w:t>
                  </w:r>
                  <w:r>
                    <w:rPr>
                      <w:rFonts w:hint="eastAsia" w:ascii="Times New Roman" w:hAnsi="Times New Roman" w:eastAsia="宋体" w:cs="Times New Roman"/>
                      <w:bCs/>
                      <w:color w:val="auto"/>
                      <w:spacing w:val="-11"/>
                      <w:kern w:val="0"/>
                      <w:sz w:val="18"/>
                      <w:szCs w:val="18"/>
                      <w:lang w:val="en-US" w:eastAsia="zh-CN"/>
                    </w:rPr>
                    <w:t>四</w:t>
                  </w:r>
                  <w:r>
                    <w:rPr>
                      <w:rFonts w:hint="eastAsia" w:ascii="Times New Roman" w:hAnsi="Times New Roman" w:eastAsia="宋体" w:cs="Times New Roman"/>
                      <w:bCs/>
                      <w:color w:val="auto"/>
                      <w:spacing w:val="-11"/>
                      <w:kern w:val="0"/>
                      <w:sz w:val="18"/>
                      <w:szCs w:val="18"/>
                    </w:rPr>
                    <w:t>五”规划》</w:t>
                  </w:r>
                </w:p>
              </w:tc>
              <w:tc>
                <w:tcPr>
                  <w:tcW w:w="3062" w:type="dxa"/>
                  <w:shd w:val="clear" w:color="auto" w:fill="auto"/>
                  <w:noWrap w:val="0"/>
                  <w:vAlign w:val="center"/>
                </w:tcPr>
                <w:p w14:paraId="0742E7F0">
                  <w:pPr>
                    <w:autoSpaceDE w:val="0"/>
                    <w:autoSpaceDN w:val="0"/>
                    <w:adjustRightInd w:val="0"/>
                    <w:snapToGrid w:val="0"/>
                    <w:spacing w:line="280" w:lineRule="exact"/>
                    <w:jc w:val="center"/>
                    <w:rPr>
                      <w:rFonts w:hint="eastAsia" w:ascii="Times New Roman" w:hAnsi="Times New Roman" w:eastAsia="宋体" w:cs="Times New Roman"/>
                      <w:bCs/>
                      <w:color w:val="auto"/>
                      <w:spacing w:val="-11"/>
                      <w:kern w:val="0"/>
                      <w:sz w:val="18"/>
                      <w:szCs w:val="18"/>
                      <w:lang w:val="en-US" w:eastAsia="zh-CN"/>
                    </w:rPr>
                  </w:pPr>
                  <w:r>
                    <w:rPr>
                      <w:rFonts w:hint="eastAsia" w:ascii="Times New Roman" w:hAnsi="Times New Roman" w:eastAsia="宋体" w:cs="Times New Roman"/>
                      <w:bCs/>
                      <w:color w:val="auto"/>
                      <w:spacing w:val="-11"/>
                      <w:kern w:val="0"/>
                      <w:sz w:val="18"/>
                      <w:szCs w:val="18"/>
                      <w:lang w:val="en-US" w:eastAsia="zh-CN"/>
                    </w:rPr>
                    <w:t>基本原则：坚持底线思维。严格落实“三线一单”生态环境分区管控，健全环境风险防控机制，有效应对各类突发环境事件，全力保障生态环境安全，当好首都政治“护城河”。</w:t>
                  </w:r>
                </w:p>
              </w:tc>
              <w:tc>
                <w:tcPr>
                  <w:tcW w:w="2252" w:type="dxa"/>
                  <w:shd w:val="clear" w:color="auto" w:fill="auto"/>
                  <w:noWrap w:val="0"/>
                  <w:vAlign w:val="center"/>
                </w:tcPr>
                <w:p w14:paraId="19833CBE">
                  <w:pPr>
                    <w:autoSpaceDE w:val="0"/>
                    <w:autoSpaceDN w:val="0"/>
                    <w:adjustRightInd w:val="0"/>
                    <w:snapToGrid w:val="0"/>
                    <w:spacing w:line="280" w:lineRule="exact"/>
                    <w:jc w:val="center"/>
                    <w:rPr>
                      <w:rFonts w:hint="eastAsia" w:ascii="Times New Roman" w:hAnsi="Times New Roman" w:eastAsia="宋体" w:cs="Times New Roman"/>
                      <w:bCs/>
                      <w:color w:val="auto"/>
                      <w:spacing w:val="-11"/>
                      <w:kern w:val="0"/>
                      <w:sz w:val="18"/>
                      <w:szCs w:val="18"/>
                      <w:lang w:val="en-US" w:eastAsia="zh-CN"/>
                    </w:rPr>
                  </w:pPr>
                  <w:r>
                    <w:rPr>
                      <w:rFonts w:hint="eastAsia" w:ascii="Times New Roman" w:hAnsi="Times New Roman" w:eastAsia="宋体" w:cs="Times New Roman"/>
                      <w:bCs/>
                      <w:color w:val="auto"/>
                      <w:spacing w:val="-11"/>
                      <w:kern w:val="0"/>
                      <w:sz w:val="18"/>
                      <w:szCs w:val="18"/>
                      <w:lang w:val="en-US" w:eastAsia="zh-CN"/>
                    </w:rPr>
                    <w:t>本项目的建设符合《河北省人民政府关于加快实施“三线一单”生态环境分区管控的意见》（冀政字</w:t>
                  </w:r>
                  <w:r>
                    <w:rPr>
                      <w:rFonts w:hint="default" w:ascii="Times New Roman" w:hAnsi="Times New Roman" w:eastAsia="宋体" w:cs="Times New Roman"/>
                      <w:bCs/>
                      <w:color w:val="auto"/>
                      <w:spacing w:val="-11"/>
                      <w:kern w:val="0"/>
                      <w:sz w:val="18"/>
                      <w:szCs w:val="18"/>
                      <w:lang w:val="en-US" w:eastAsia="zh-CN"/>
                    </w:rPr>
                    <w:t xml:space="preserve">[2020]71 </w:t>
                  </w:r>
                  <w:r>
                    <w:rPr>
                      <w:rFonts w:hint="eastAsia" w:ascii="Times New Roman" w:hAnsi="Times New Roman" w:eastAsia="宋体" w:cs="Times New Roman"/>
                      <w:bCs/>
                      <w:color w:val="auto"/>
                      <w:spacing w:val="-11"/>
                      <w:kern w:val="0"/>
                      <w:sz w:val="18"/>
                      <w:szCs w:val="18"/>
                      <w:lang w:val="en-US" w:eastAsia="zh-CN"/>
                    </w:rPr>
                    <w:t>号）、《关于实施“三线一单”生态环境分区管控的意见》 （唐政字</w:t>
                  </w:r>
                  <w:r>
                    <w:rPr>
                      <w:rFonts w:hint="default" w:ascii="Times New Roman" w:hAnsi="Times New Roman" w:eastAsia="宋体" w:cs="Times New Roman"/>
                      <w:bCs/>
                      <w:color w:val="auto"/>
                      <w:spacing w:val="-11"/>
                      <w:kern w:val="0"/>
                      <w:sz w:val="18"/>
                      <w:szCs w:val="18"/>
                      <w:lang w:val="en-US" w:eastAsia="zh-CN"/>
                    </w:rPr>
                    <w:t xml:space="preserve">[2021]48 </w:t>
                  </w:r>
                  <w:r>
                    <w:rPr>
                      <w:rFonts w:hint="eastAsia" w:ascii="Times New Roman" w:hAnsi="Times New Roman" w:eastAsia="宋体" w:cs="Times New Roman"/>
                      <w:bCs/>
                      <w:color w:val="auto"/>
                      <w:spacing w:val="-11"/>
                      <w:kern w:val="0"/>
                      <w:sz w:val="18"/>
                      <w:szCs w:val="18"/>
                      <w:lang w:val="en-US" w:eastAsia="zh-CN"/>
                    </w:rPr>
                    <w:t>号）、《唐山市生态环境准入清单（</w:t>
                  </w:r>
                  <w:r>
                    <w:rPr>
                      <w:rFonts w:hint="default" w:ascii="Times New Roman" w:hAnsi="Times New Roman" w:eastAsia="宋体" w:cs="Times New Roman"/>
                      <w:bCs/>
                      <w:color w:val="auto"/>
                      <w:spacing w:val="-11"/>
                      <w:kern w:val="0"/>
                      <w:sz w:val="18"/>
                      <w:szCs w:val="18"/>
                      <w:lang w:val="en-US" w:eastAsia="zh-CN"/>
                    </w:rPr>
                    <w:t xml:space="preserve">2023 </w:t>
                  </w:r>
                  <w:r>
                    <w:rPr>
                      <w:rFonts w:hint="eastAsia" w:ascii="Times New Roman" w:hAnsi="Times New Roman" w:eastAsia="宋体" w:cs="Times New Roman"/>
                      <w:bCs/>
                      <w:color w:val="auto"/>
                      <w:spacing w:val="-11"/>
                      <w:kern w:val="0"/>
                      <w:sz w:val="18"/>
                      <w:szCs w:val="18"/>
                      <w:lang w:val="en-US" w:eastAsia="zh-CN"/>
                    </w:rPr>
                    <w:t>年版）》 管控要求。项目建成后针对可能出现的突发环境事件制定完善的风险防范措施，环境风险可防控；本评价要求企业尽快完成应急预案编制并备案</w:t>
                  </w:r>
                </w:p>
              </w:tc>
              <w:tc>
                <w:tcPr>
                  <w:tcW w:w="579" w:type="dxa"/>
                  <w:shd w:val="clear" w:color="auto" w:fill="auto"/>
                  <w:noWrap w:val="0"/>
                  <w:vAlign w:val="center"/>
                </w:tcPr>
                <w:p w14:paraId="7D77B205">
                  <w:pPr>
                    <w:autoSpaceDE w:val="0"/>
                    <w:autoSpaceDN w:val="0"/>
                    <w:adjustRightInd w:val="0"/>
                    <w:snapToGrid w:val="0"/>
                    <w:spacing w:line="280" w:lineRule="exact"/>
                    <w:jc w:val="center"/>
                    <w:rPr>
                      <w:rFonts w:hint="eastAsia" w:ascii="Times New Roman" w:hAnsi="Times New Roman" w:eastAsia="宋体" w:cs="Times New Roman"/>
                      <w:bCs/>
                      <w:color w:val="auto"/>
                      <w:spacing w:val="-11"/>
                      <w:kern w:val="0"/>
                      <w:sz w:val="18"/>
                      <w:szCs w:val="18"/>
                      <w:lang w:val="en-US" w:eastAsia="zh-CN" w:bidi="ar-SA"/>
                    </w:rPr>
                  </w:pPr>
                  <w:r>
                    <w:rPr>
                      <w:rFonts w:hint="eastAsia" w:ascii="Times New Roman" w:hAnsi="Times New Roman" w:eastAsia="宋体" w:cs="Times New Roman"/>
                      <w:bCs/>
                      <w:color w:val="auto"/>
                      <w:spacing w:val="-11"/>
                      <w:kern w:val="0"/>
                      <w:sz w:val="18"/>
                      <w:szCs w:val="18"/>
                      <w:lang w:val="en-US" w:eastAsia="zh-CN"/>
                    </w:rPr>
                    <w:t>符合</w:t>
                  </w:r>
                </w:p>
              </w:tc>
            </w:tr>
            <w:tr w14:paraId="335B8B1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27" w:hRule="atLeast"/>
                <w:jc w:val="center"/>
              </w:trPr>
              <w:tc>
                <w:tcPr>
                  <w:tcW w:w="427" w:type="dxa"/>
                  <w:vMerge w:val="continue"/>
                  <w:noWrap w:val="0"/>
                  <w:vAlign w:val="center"/>
                </w:tcPr>
                <w:p w14:paraId="0EB52754">
                  <w:pPr>
                    <w:autoSpaceDE w:val="0"/>
                    <w:autoSpaceDN w:val="0"/>
                    <w:adjustRightInd w:val="0"/>
                    <w:snapToGrid w:val="0"/>
                    <w:spacing w:line="280" w:lineRule="exact"/>
                    <w:jc w:val="center"/>
                    <w:rPr>
                      <w:rFonts w:hint="eastAsia" w:ascii="Times New Roman" w:hAnsi="Times New Roman" w:eastAsia="宋体" w:cs="Times New Roman"/>
                      <w:bCs/>
                      <w:color w:val="auto"/>
                      <w:spacing w:val="-11"/>
                      <w:kern w:val="0"/>
                      <w:sz w:val="18"/>
                      <w:szCs w:val="18"/>
                    </w:rPr>
                  </w:pPr>
                </w:p>
              </w:tc>
              <w:tc>
                <w:tcPr>
                  <w:tcW w:w="785" w:type="dxa"/>
                  <w:vMerge w:val="continue"/>
                  <w:noWrap w:val="0"/>
                  <w:vAlign w:val="center"/>
                </w:tcPr>
                <w:p w14:paraId="37F6F6CD">
                  <w:pPr>
                    <w:autoSpaceDE w:val="0"/>
                    <w:autoSpaceDN w:val="0"/>
                    <w:adjustRightInd w:val="0"/>
                    <w:snapToGrid w:val="0"/>
                    <w:spacing w:line="280" w:lineRule="exact"/>
                    <w:jc w:val="center"/>
                    <w:rPr>
                      <w:rFonts w:hint="eastAsia" w:ascii="Times New Roman" w:hAnsi="Times New Roman" w:eastAsia="宋体" w:cs="Times New Roman"/>
                      <w:bCs/>
                      <w:color w:val="auto"/>
                      <w:spacing w:val="-11"/>
                      <w:kern w:val="0"/>
                      <w:sz w:val="18"/>
                      <w:szCs w:val="18"/>
                    </w:rPr>
                  </w:pPr>
                </w:p>
              </w:tc>
              <w:tc>
                <w:tcPr>
                  <w:tcW w:w="3062" w:type="dxa"/>
                  <w:shd w:val="clear" w:color="auto" w:fill="auto"/>
                  <w:noWrap w:val="0"/>
                  <w:vAlign w:val="center"/>
                </w:tcPr>
                <w:p w14:paraId="76C09867">
                  <w:pPr>
                    <w:keepNext w:val="0"/>
                    <w:keepLines w:val="0"/>
                    <w:widowControl/>
                    <w:numPr>
                      <w:ilvl w:val="0"/>
                      <w:numId w:val="0"/>
                    </w:numPr>
                    <w:suppressLineNumbers w:val="0"/>
                    <w:ind w:left="0" w:leftChars="0" w:firstLine="0" w:firstLineChars="0"/>
                    <w:jc w:val="left"/>
                    <w:rPr>
                      <w:rFonts w:hint="eastAsia" w:ascii="Times New Roman" w:hAnsi="Times New Roman" w:eastAsia="宋体" w:cs="Times New Roman"/>
                      <w:color w:val="auto"/>
                      <w:spacing w:val="-10"/>
                      <w:kern w:val="2"/>
                      <w:sz w:val="18"/>
                      <w:szCs w:val="18"/>
                      <w:highlight w:val="none"/>
                      <w:lang w:val="en-US" w:eastAsia="zh-CN" w:bidi="ar-SA"/>
                    </w:rPr>
                  </w:pPr>
                  <w:r>
                    <w:rPr>
                      <w:rFonts w:hint="eastAsia" w:ascii="Times New Roman" w:hAnsi="Times New Roman" w:eastAsia="宋体" w:cs="Times New Roman"/>
                      <w:color w:val="auto"/>
                      <w:spacing w:val="-10"/>
                      <w:sz w:val="18"/>
                      <w:szCs w:val="18"/>
                      <w:highlight w:val="none"/>
                      <w:lang w:val="en-US" w:eastAsia="zh-CN"/>
                    </w:rPr>
                    <w:t>主要目标：生态环境质量持续改善。主要污染物排放持续减少，环境空气质量全面改善，优良天数比率持续提高，基本消除重污染天气。</w:t>
                  </w:r>
                </w:p>
              </w:tc>
              <w:tc>
                <w:tcPr>
                  <w:tcW w:w="2252" w:type="dxa"/>
                  <w:shd w:val="clear" w:color="auto" w:fill="auto"/>
                  <w:noWrap w:val="0"/>
                  <w:vAlign w:val="center"/>
                </w:tcPr>
                <w:p w14:paraId="11188974">
                  <w:pPr>
                    <w:keepNext w:val="0"/>
                    <w:keepLines w:val="0"/>
                    <w:widowControl/>
                    <w:numPr>
                      <w:ilvl w:val="0"/>
                      <w:numId w:val="0"/>
                    </w:numPr>
                    <w:suppressLineNumbers w:val="0"/>
                    <w:ind w:left="0" w:leftChars="0" w:firstLine="0" w:firstLineChars="0"/>
                    <w:jc w:val="left"/>
                    <w:rPr>
                      <w:rFonts w:hint="eastAsia" w:ascii="Times New Roman" w:hAnsi="Times New Roman" w:eastAsia="宋体" w:cs="Times New Roman"/>
                      <w:color w:val="auto"/>
                      <w:kern w:val="2"/>
                      <w:sz w:val="21"/>
                      <w:szCs w:val="24"/>
                      <w:highlight w:val="none"/>
                      <w:lang w:val="en-US" w:eastAsia="zh-CN" w:bidi="ar-SA"/>
                    </w:rPr>
                  </w:pPr>
                  <w:r>
                    <w:rPr>
                      <w:rFonts w:hint="eastAsia" w:ascii="Times New Roman" w:hAnsi="Times New Roman" w:eastAsia="宋体" w:cs="Times New Roman"/>
                      <w:color w:val="auto"/>
                      <w:spacing w:val="-10"/>
                      <w:sz w:val="18"/>
                      <w:szCs w:val="18"/>
                      <w:highlight w:val="none"/>
                      <w:lang w:val="en-US" w:eastAsia="zh-CN"/>
                    </w:rPr>
                    <w:t>本项目</w:t>
                  </w:r>
                  <w:r>
                    <w:rPr>
                      <w:rFonts w:hint="eastAsia"/>
                      <w:color w:val="auto"/>
                      <w:spacing w:val="-10"/>
                      <w:sz w:val="18"/>
                      <w:szCs w:val="18"/>
                      <w:highlight w:val="none"/>
                      <w:lang w:val="en-US" w:eastAsia="zh-CN"/>
                    </w:rPr>
                    <w:t>各产污环节均采取了完善的污染防治措施，废气各产污环节严格控制污染物排放，可以稳定实现达标排放，对环境空气影响较小</w:t>
                  </w:r>
                  <w:r>
                    <w:rPr>
                      <w:rFonts w:hint="eastAsia" w:ascii="Times New Roman" w:hAnsi="Times New Roman" w:eastAsia="宋体" w:cs="Times New Roman"/>
                      <w:color w:val="auto"/>
                      <w:spacing w:val="-10"/>
                      <w:sz w:val="18"/>
                      <w:szCs w:val="18"/>
                      <w:highlight w:val="none"/>
                      <w:lang w:val="en-US" w:eastAsia="zh-CN"/>
                    </w:rPr>
                    <w:t>，不会对区域大气环境产生明显</w:t>
                  </w:r>
                  <w:r>
                    <w:rPr>
                      <w:rFonts w:hint="eastAsia" w:cs="Times New Roman"/>
                      <w:color w:val="auto"/>
                      <w:spacing w:val="-10"/>
                      <w:sz w:val="18"/>
                      <w:szCs w:val="18"/>
                      <w:highlight w:val="none"/>
                      <w:lang w:val="en-US" w:eastAsia="zh-CN"/>
                    </w:rPr>
                    <w:t>影响</w:t>
                  </w:r>
                  <w:r>
                    <w:rPr>
                      <w:rFonts w:hint="eastAsia"/>
                      <w:color w:val="auto"/>
                      <w:spacing w:val="-10"/>
                      <w:sz w:val="18"/>
                      <w:szCs w:val="18"/>
                      <w:highlight w:val="none"/>
                      <w:lang w:val="en-US" w:eastAsia="zh-CN"/>
                    </w:rPr>
                    <w:t>。</w:t>
                  </w:r>
                </w:p>
              </w:tc>
              <w:tc>
                <w:tcPr>
                  <w:tcW w:w="579" w:type="dxa"/>
                  <w:shd w:val="clear" w:color="auto" w:fill="auto"/>
                  <w:noWrap w:val="0"/>
                  <w:vAlign w:val="center"/>
                </w:tcPr>
                <w:p w14:paraId="62AC187D">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Times New Roman" w:hAnsi="Times New Roman" w:eastAsia="宋体" w:cs="Times New Roman"/>
                      <w:color w:val="auto"/>
                      <w:spacing w:val="-10"/>
                      <w:kern w:val="2"/>
                      <w:sz w:val="18"/>
                      <w:szCs w:val="18"/>
                      <w:highlight w:val="none"/>
                      <w:lang w:val="en-US" w:eastAsia="zh-CN" w:bidi="ar-SA"/>
                    </w:rPr>
                  </w:pPr>
                  <w:r>
                    <w:rPr>
                      <w:rFonts w:hint="eastAsia" w:cs="Times New Roman"/>
                      <w:color w:val="auto"/>
                      <w:spacing w:val="-10"/>
                      <w:sz w:val="18"/>
                      <w:szCs w:val="18"/>
                      <w:highlight w:val="none"/>
                      <w:lang w:val="en-US" w:eastAsia="zh-CN"/>
                    </w:rPr>
                    <w:t>符合</w:t>
                  </w:r>
                </w:p>
              </w:tc>
            </w:tr>
            <w:tr w14:paraId="04B0C3B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27" w:hRule="atLeast"/>
                <w:jc w:val="center"/>
              </w:trPr>
              <w:tc>
                <w:tcPr>
                  <w:tcW w:w="427" w:type="dxa"/>
                  <w:vMerge w:val="continue"/>
                  <w:noWrap w:val="0"/>
                  <w:vAlign w:val="center"/>
                </w:tcPr>
                <w:p w14:paraId="0048E7EB">
                  <w:pPr>
                    <w:autoSpaceDE w:val="0"/>
                    <w:autoSpaceDN w:val="0"/>
                    <w:adjustRightInd w:val="0"/>
                    <w:snapToGrid w:val="0"/>
                    <w:spacing w:line="280" w:lineRule="exact"/>
                    <w:jc w:val="center"/>
                    <w:rPr>
                      <w:rFonts w:hint="eastAsia" w:ascii="Times New Roman" w:hAnsi="Times New Roman" w:eastAsia="宋体" w:cs="Times New Roman"/>
                      <w:bCs/>
                      <w:color w:val="auto"/>
                      <w:spacing w:val="-11"/>
                      <w:kern w:val="0"/>
                      <w:sz w:val="18"/>
                      <w:szCs w:val="18"/>
                    </w:rPr>
                  </w:pPr>
                </w:p>
              </w:tc>
              <w:tc>
                <w:tcPr>
                  <w:tcW w:w="785" w:type="dxa"/>
                  <w:vMerge w:val="continue"/>
                  <w:noWrap w:val="0"/>
                  <w:vAlign w:val="center"/>
                </w:tcPr>
                <w:p w14:paraId="3BA46CFF">
                  <w:pPr>
                    <w:autoSpaceDE w:val="0"/>
                    <w:autoSpaceDN w:val="0"/>
                    <w:adjustRightInd w:val="0"/>
                    <w:snapToGrid w:val="0"/>
                    <w:spacing w:line="280" w:lineRule="exact"/>
                    <w:jc w:val="center"/>
                    <w:rPr>
                      <w:rFonts w:hint="eastAsia" w:ascii="Times New Roman" w:hAnsi="Times New Roman" w:eastAsia="宋体" w:cs="Times New Roman"/>
                      <w:bCs/>
                      <w:color w:val="auto"/>
                      <w:spacing w:val="-11"/>
                      <w:kern w:val="0"/>
                      <w:sz w:val="18"/>
                      <w:szCs w:val="18"/>
                    </w:rPr>
                  </w:pPr>
                </w:p>
              </w:tc>
              <w:tc>
                <w:tcPr>
                  <w:tcW w:w="3062" w:type="dxa"/>
                  <w:shd w:val="clear" w:color="auto" w:fill="auto"/>
                  <w:noWrap w:val="0"/>
                  <w:vAlign w:val="center"/>
                </w:tcPr>
                <w:p w14:paraId="48D367AB">
                  <w:pPr>
                    <w:autoSpaceDE w:val="0"/>
                    <w:autoSpaceDN w:val="0"/>
                    <w:adjustRightInd w:val="0"/>
                    <w:snapToGrid w:val="0"/>
                    <w:spacing w:line="280" w:lineRule="exact"/>
                    <w:jc w:val="left"/>
                    <w:rPr>
                      <w:rFonts w:hint="eastAsia" w:ascii="Times New Roman" w:hAnsi="Times New Roman" w:eastAsia="宋体" w:cs="Times New Roman"/>
                      <w:bCs/>
                      <w:color w:val="auto"/>
                      <w:spacing w:val="-11"/>
                      <w:kern w:val="0"/>
                      <w:sz w:val="18"/>
                      <w:szCs w:val="18"/>
                      <w:lang w:val="en-US" w:eastAsia="zh-CN" w:bidi="ar-SA"/>
                    </w:rPr>
                  </w:pPr>
                  <w:r>
                    <w:rPr>
                      <w:rFonts w:hint="eastAsia" w:ascii="Times New Roman" w:hAnsi="Times New Roman" w:eastAsia="宋体" w:cs="Times New Roman"/>
                      <w:bCs/>
                      <w:color w:val="auto"/>
                      <w:spacing w:val="-11"/>
                      <w:kern w:val="0"/>
                      <w:sz w:val="18"/>
                      <w:szCs w:val="18"/>
                    </w:rPr>
                    <w:t>建立生态环境分区管控体系。衔接国土空间规划分区和用途管制要求，将生态保护红线、环境质量底线、资源利用上线的硬约束落实到环境管控单元，建立差别化的生态环境准入清单，加强“三线一单”成果在政策制定、环境准入、园区管理、执法监管等方面的应用。</w:t>
                  </w:r>
                </w:p>
              </w:tc>
              <w:tc>
                <w:tcPr>
                  <w:tcW w:w="2252" w:type="dxa"/>
                  <w:shd w:val="clear" w:color="auto" w:fill="auto"/>
                  <w:noWrap w:val="0"/>
                  <w:vAlign w:val="center"/>
                </w:tcPr>
                <w:p w14:paraId="69CE868B">
                  <w:pPr>
                    <w:autoSpaceDE w:val="0"/>
                    <w:autoSpaceDN w:val="0"/>
                    <w:adjustRightInd w:val="0"/>
                    <w:snapToGrid w:val="0"/>
                    <w:spacing w:line="280" w:lineRule="exact"/>
                    <w:jc w:val="left"/>
                    <w:rPr>
                      <w:rFonts w:hint="eastAsia" w:ascii="Times New Roman" w:hAnsi="Times New Roman" w:eastAsia="宋体" w:cs="Times New Roman"/>
                      <w:bCs/>
                      <w:color w:val="auto"/>
                      <w:spacing w:val="-11"/>
                      <w:kern w:val="0"/>
                      <w:sz w:val="18"/>
                      <w:szCs w:val="18"/>
                      <w:highlight w:val="none"/>
                      <w:lang w:val="en-US" w:eastAsia="zh-CN" w:bidi="ar-SA"/>
                    </w:rPr>
                  </w:pPr>
                  <w:r>
                    <w:rPr>
                      <w:rFonts w:hint="eastAsia" w:ascii="Times New Roman" w:hAnsi="Times New Roman" w:eastAsia="宋体" w:cs="Times New Roman"/>
                      <w:bCs/>
                      <w:color w:val="auto"/>
                      <w:spacing w:val="-11"/>
                      <w:kern w:val="0"/>
                      <w:sz w:val="18"/>
                      <w:szCs w:val="18"/>
                      <w:highlight w:val="none"/>
                      <w:lang w:val="en-US" w:eastAsia="zh-CN"/>
                    </w:rPr>
                    <w:t>本项目位于</w:t>
                  </w:r>
                  <w:r>
                    <w:rPr>
                      <w:rFonts w:hint="default" w:ascii="Times New Roman" w:hAnsi="Times New Roman" w:eastAsia="宋体" w:cs="Times New Roman"/>
                      <w:bCs/>
                      <w:color w:val="auto"/>
                      <w:spacing w:val="-11"/>
                      <w:kern w:val="0"/>
                      <w:sz w:val="18"/>
                      <w:szCs w:val="18"/>
                      <w:lang w:val="en-US" w:eastAsia="zh-CN"/>
                    </w:rPr>
                    <w:t>滦州市</w:t>
                  </w:r>
                  <w:r>
                    <w:rPr>
                      <w:rFonts w:hint="eastAsia" w:ascii="Times New Roman" w:hAnsi="Times New Roman" w:eastAsia="宋体" w:cs="Times New Roman"/>
                      <w:bCs/>
                      <w:color w:val="auto"/>
                      <w:spacing w:val="-11"/>
                      <w:kern w:val="0"/>
                      <w:sz w:val="18"/>
                      <w:szCs w:val="18"/>
                      <w:lang w:val="en-US" w:eastAsia="zh-CN"/>
                    </w:rPr>
                    <w:t>九百户镇</w:t>
                  </w:r>
                  <w:r>
                    <w:rPr>
                      <w:rFonts w:hint="default" w:ascii="Times New Roman" w:hAnsi="Times New Roman" w:eastAsia="宋体" w:cs="Times New Roman"/>
                      <w:bCs/>
                      <w:color w:val="auto"/>
                      <w:spacing w:val="-11"/>
                      <w:kern w:val="0"/>
                      <w:sz w:val="18"/>
                      <w:szCs w:val="18"/>
                      <w:lang w:val="en-US" w:eastAsia="zh-CN"/>
                    </w:rPr>
                    <w:t>镇</w:t>
                  </w:r>
                  <w:r>
                    <w:rPr>
                      <w:rFonts w:hint="eastAsia" w:ascii="Times New Roman" w:hAnsi="Times New Roman" w:eastAsia="宋体" w:cs="Times New Roman"/>
                      <w:bCs/>
                      <w:color w:val="auto"/>
                      <w:spacing w:val="-11"/>
                      <w:kern w:val="0"/>
                      <w:sz w:val="18"/>
                      <w:szCs w:val="18"/>
                      <w:lang w:val="en-US" w:eastAsia="zh-CN"/>
                    </w:rPr>
                    <w:t>宜安村西</w:t>
                  </w:r>
                  <w:r>
                    <w:rPr>
                      <w:rFonts w:hint="eastAsia" w:ascii="Times New Roman" w:hAnsi="Times New Roman" w:eastAsia="宋体" w:cs="Times New Roman"/>
                      <w:bCs/>
                      <w:color w:val="auto"/>
                      <w:spacing w:val="-11"/>
                      <w:kern w:val="0"/>
                      <w:sz w:val="18"/>
                      <w:szCs w:val="18"/>
                      <w:highlight w:val="none"/>
                      <w:lang w:val="en-US" w:eastAsia="zh-CN"/>
                    </w:rPr>
                    <w:t>，本项目</w:t>
                  </w:r>
                  <w:r>
                    <w:rPr>
                      <w:rFonts w:hint="eastAsia" w:ascii="Times New Roman" w:hAnsi="Times New Roman" w:eastAsia="宋体" w:cs="Times New Roman"/>
                      <w:bCs/>
                      <w:color w:val="auto"/>
                      <w:spacing w:val="-11"/>
                      <w:kern w:val="0"/>
                      <w:sz w:val="18"/>
                      <w:szCs w:val="18"/>
                      <w:highlight w:val="none"/>
                    </w:rPr>
                    <w:t>符合</w:t>
                  </w:r>
                  <w:r>
                    <w:rPr>
                      <w:rFonts w:hint="default" w:ascii="Times New Roman" w:hAnsi="Times New Roman" w:eastAsia="宋体" w:cs="Times New Roman"/>
                      <w:bCs/>
                      <w:color w:val="auto"/>
                      <w:spacing w:val="-11"/>
                      <w:kern w:val="0"/>
                      <w:sz w:val="18"/>
                      <w:szCs w:val="18"/>
                      <w:highlight w:val="none"/>
                    </w:rPr>
                    <w:t>《关于实施“三线一单”生态环境分区管控的意见》（唐政字[2021]48号）</w:t>
                  </w:r>
                  <w:r>
                    <w:rPr>
                      <w:rFonts w:hint="eastAsia" w:ascii="Times New Roman" w:hAnsi="Times New Roman" w:eastAsia="宋体" w:cs="Times New Roman"/>
                      <w:bCs/>
                      <w:color w:val="auto"/>
                      <w:spacing w:val="-11"/>
                      <w:kern w:val="0"/>
                      <w:sz w:val="18"/>
                      <w:szCs w:val="18"/>
                      <w:highlight w:val="none"/>
                      <w:lang w:val="en-US" w:eastAsia="zh-CN"/>
                    </w:rPr>
                    <w:t>及</w:t>
                  </w:r>
                  <w:r>
                    <w:rPr>
                      <w:rFonts w:hint="eastAsia" w:ascii="Times New Roman" w:hAnsi="Times New Roman" w:eastAsia="宋体" w:cs="Times New Roman"/>
                      <w:bCs/>
                      <w:color w:val="auto"/>
                      <w:spacing w:val="-11"/>
                      <w:kern w:val="0"/>
                      <w:sz w:val="18"/>
                      <w:szCs w:val="18"/>
                      <w:highlight w:val="none"/>
                      <w:lang w:eastAsia="zh-CN"/>
                    </w:rPr>
                    <w:t>《唐山市生态环境准入清单动态更新成果》（</w:t>
                  </w:r>
                  <w:r>
                    <w:rPr>
                      <w:rFonts w:hint="eastAsia" w:ascii="Times New Roman" w:hAnsi="Times New Roman" w:eastAsia="宋体" w:cs="Times New Roman"/>
                      <w:bCs/>
                      <w:color w:val="auto"/>
                      <w:spacing w:val="-11"/>
                      <w:kern w:val="0"/>
                      <w:sz w:val="18"/>
                      <w:szCs w:val="18"/>
                      <w:highlight w:val="none"/>
                      <w:lang w:val="en-US" w:eastAsia="zh-CN"/>
                    </w:rPr>
                    <w:t>2023年7月</w:t>
                  </w:r>
                  <w:r>
                    <w:rPr>
                      <w:rFonts w:hint="eastAsia" w:ascii="Times New Roman" w:hAnsi="Times New Roman" w:eastAsia="宋体" w:cs="Times New Roman"/>
                      <w:bCs/>
                      <w:color w:val="auto"/>
                      <w:spacing w:val="-11"/>
                      <w:kern w:val="0"/>
                      <w:sz w:val="18"/>
                      <w:szCs w:val="18"/>
                      <w:highlight w:val="none"/>
                      <w:lang w:eastAsia="zh-CN"/>
                    </w:rPr>
                    <w:t>）</w:t>
                  </w:r>
                  <w:r>
                    <w:rPr>
                      <w:rFonts w:hint="eastAsia" w:ascii="Times New Roman" w:hAnsi="Times New Roman" w:eastAsia="宋体" w:cs="Times New Roman"/>
                      <w:bCs/>
                      <w:color w:val="auto"/>
                      <w:spacing w:val="-11"/>
                      <w:kern w:val="0"/>
                      <w:sz w:val="18"/>
                      <w:szCs w:val="18"/>
                      <w:highlight w:val="none"/>
                    </w:rPr>
                    <w:t>相关要求</w:t>
                  </w:r>
                  <w:r>
                    <w:rPr>
                      <w:rFonts w:hint="eastAsia" w:ascii="Times New Roman" w:hAnsi="Times New Roman" w:eastAsia="宋体" w:cs="Times New Roman"/>
                      <w:bCs/>
                      <w:color w:val="auto"/>
                      <w:spacing w:val="-11"/>
                      <w:kern w:val="0"/>
                      <w:sz w:val="18"/>
                      <w:szCs w:val="18"/>
                      <w:highlight w:val="none"/>
                      <w:lang w:eastAsia="zh-CN"/>
                    </w:rPr>
                    <w:t>。</w:t>
                  </w:r>
                </w:p>
              </w:tc>
              <w:tc>
                <w:tcPr>
                  <w:tcW w:w="579" w:type="dxa"/>
                  <w:shd w:val="clear" w:color="auto" w:fill="auto"/>
                  <w:noWrap w:val="0"/>
                  <w:vAlign w:val="center"/>
                </w:tcPr>
                <w:p w14:paraId="72DE97BB">
                  <w:pPr>
                    <w:autoSpaceDE w:val="0"/>
                    <w:autoSpaceDN w:val="0"/>
                    <w:adjustRightInd w:val="0"/>
                    <w:snapToGrid w:val="0"/>
                    <w:spacing w:line="280" w:lineRule="exact"/>
                    <w:jc w:val="center"/>
                    <w:rPr>
                      <w:rFonts w:hint="eastAsia" w:ascii="Times New Roman" w:hAnsi="Times New Roman" w:eastAsia="宋体" w:cs="Times New Roman"/>
                      <w:bCs/>
                      <w:color w:val="auto"/>
                      <w:spacing w:val="-11"/>
                      <w:kern w:val="0"/>
                      <w:sz w:val="18"/>
                      <w:szCs w:val="18"/>
                      <w:lang w:val="en-US" w:eastAsia="zh-CN" w:bidi="ar-SA"/>
                    </w:rPr>
                  </w:pPr>
                  <w:r>
                    <w:rPr>
                      <w:rFonts w:hint="eastAsia" w:ascii="Times New Roman" w:hAnsi="Times New Roman" w:eastAsia="宋体" w:cs="Times New Roman"/>
                      <w:bCs/>
                      <w:color w:val="auto"/>
                      <w:spacing w:val="-11"/>
                      <w:kern w:val="0"/>
                      <w:sz w:val="18"/>
                      <w:szCs w:val="18"/>
                    </w:rPr>
                    <w:t>符合</w:t>
                  </w:r>
                </w:p>
              </w:tc>
            </w:tr>
          </w:tbl>
          <w:p w14:paraId="4ED21133">
            <w:pPr>
              <w:rPr>
                <w:color w:val="auto"/>
              </w:rPr>
            </w:pPr>
          </w:p>
          <w:p w14:paraId="4436597A">
            <w:pPr>
              <w:pStyle w:val="35"/>
              <w:rPr>
                <w:color w:val="auto"/>
              </w:rPr>
            </w:pPr>
          </w:p>
          <w:p w14:paraId="09774132">
            <w:pPr>
              <w:pStyle w:val="24"/>
              <w:adjustRightInd w:val="0"/>
              <w:snapToGrid w:val="0"/>
              <w:spacing w:before="0" w:beforeAutospacing="0" w:after="0" w:afterAutospacing="0" w:line="440" w:lineRule="exact"/>
              <w:jc w:val="center"/>
              <w:rPr>
                <w:rFonts w:hint="eastAsia" w:ascii="Times New Roman" w:hAnsi="Times New Roman" w:eastAsia="宋体" w:cs="Times New Roman"/>
                <w:b/>
                <w:color w:val="auto"/>
                <w:sz w:val="21"/>
                <w:szCs w:val="21"/>
                <w:highlight w:val="none"/>
                <w:lang w:val="en-US" w:eastAsia="zh-CN"/>
              </w:rPr>
            </w:pPr>
            <w:r>
              <w:rPr>
                <w:rFonts w:hint="eastAsia" w:ascii="Times New Roman" w:hAnsi="Times New Roman" w:cs="Times New Roman"/>
                <w:b/>
                <w:color w:val="auto"/>
                <w:sz w:val="21"/>
                <w:szCs w:val="21"/>
                <w:highlight w:val="none"/>
                <w:lang w:val="en-US" w:eastAsia="zh-CN"/>
              </w:rPr>
              <w:t>续</w:t>
            </w:r>
            <w:r>
              <w:rPr>
                <w:rFonts w:hint="eastAsia" w:ascii="Times New Roman" w:hAnsi="Times New Roman" w:eastAsia="宋体" w:cs="Times New Roman"/>
                <w:b/>
                <w:color w:val="auto"/>
                <w:sz w:val="21"/>
                <w:szCs w:val="21"/>
                <w:highlight w:val="none"/>
                <w:lang w:val="en-US" w:eastAsia="zh-CN"/>
              </w:rPr>
              <w:t>表1 本项目与各生态环境保护规划分析结果汇总一览表</w:t>
            </w:r>
          </w:p>
          <w:tbl>
            <w:tblPr>
              <w:tblStyle w:val="28"/>
              <w:tblW w:w="7105"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28" w:type="dxa"/>
                <w:bottom w:w="0" w:type="dxa"/>
                <w:right w:w="28" w:type="dxa"/>
              </w:tblCellMar>
            </w:tblPr>
            <w:tblGrid>
              <w:gridCol w:w="427"/>
              <w:gridCol w:w="785"/>
              <w:gridCol w:w="3062"/>
              <w:gridCol w:w="2252"/>
              <w:gridCol w:w="579"/>
            </w:tblGrid>
            <w:tr w14:paraId="352B75D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27" w:hRule="atLeast"/>
                <w:jc w:val="center"/>
              </w:trPr>
              <w:tc>
                <w:tcPr>
                  <w:tcW w:w="427" w:type="dxa"/>
                  <w:noWrap w:val="0"/>
                  <w:vAlign w:val="center"/>
                </w:tcPr>
                <w:p w14:paraId="0CF07073">
                  <w:pPr>
                    <w:autoSpaceDE w:val="0"/>
                    <w:autoSpaceDN w:val="0"/>
                    <w:adjustRightInd w:val="0"/>
                    <w:snapToGrid w:val="0"/>
                    <w:spacing w:line="280" w:lineRule="exact"/>
                    <w:jc w:val="center"/>
                    <w:rPr>
                      <w:rFonts w:hint="eastAsia" w:ascii="Times New Roman" w:hAnsi="Times New Roman" w:eastAsia="宋体" w:cs="Times New Roman"/>
                      <w:bCs/>
                      <w:color w:val="auto"/>
                      <w:spacing w:val="-11"/>
                      <w:kern w:val="0"/>
                      <w:sz w:val="18"/>
                      <w:szCs w:val="18"/>
                    </w:rPr>
                  </w:pPr>
                  <w:r>
                    <w:rPr>
                      <w:rFonts w:hint="eastAsia" w:ascii="Times New Roman" w:hAnsi="Times New Roman" w:eastAsia="宋体" w:cs="Times New Roman"/>
                      <w:bCs/>
                      <w:color w:val="auto"/>
                      <w:spacing w:val="-11"/>
                      <w:kern w:val="0"/>
                      <w:sz w:val="18"/>
                      <w:szCs w:val="18"/>
                    </w:rPr>
                    <w:t>序号</w:t>
                  </w:r>
                </w:p>
              </w:tc>
              <w:tc>
                <w:tcPr>
                  <w:tcW w:w="785" w:type="dxa"/>
                  <w:noWrap w:val="0"/>
                  <w:vAlign w:val="center"/>
                </w:tcPr>
                <w:p w14:paraId="0206BBF1">
                  <w:pPr>
                    <w:autoSpaceDE w:val="0"/>
                    <w:autoSpaceDN w:val="0"/>
                    <w:adjustRightInd w:val="0"/>
                    <w:snapToGrid w:val="0"/>
                    <w:spacing w:line="280" w:lineRule="exact"/>
                    <w:jc w:val="center"/>
                    <w:rPr>
                      <w:rFonts w:hint="eastAsia" w:ascii="Times New Roman" w:hAnsi="Times New Roman" w:eastAsia="宋体" w:cs="Times New Roman"/>
                      <w:bCs/>
                      <w:color w:val="auto"/>
                      <w:spacing w:val="-11"/>
                      <w:kern w:val="0"/>
                      <w:sz w:val="18"/>
                      <w:szCs w:val="18"/>
                    </w:rPr>
                  </w:pPr>
                  <w:r>
                    <w:rPr>
                      <w:rFonts w:hint="eastAsia" w:ascii="Times New Roman" w:hAnsi="Times New Roman" w:eastAsia="宋体" w:cs="Times New Roman"/>
                      <w:bCs/>
                      <w:color w:val="auto"/>
                      <w:spacing w:val="-11"/>
                      <w:kern w:val="0"/>
                      <w:sz w:val="18"/>
                      <w:szCs w:val="18"/>
                    </w:rPr>
                    <w:t>规划名称</w:t>
                  </w:r>
                </w:p>
              </w:tc>
              <w:tc>
                <w:tcPr>
                  <w:tcW w:w="3062" w:type="dxa"/>
                  <w:noWrap w:val="0"/>
                  <w:vAlign w:val="center"/>
                </w:tcPr>
                <w:p w14:paraId="3C2E040F">
                  <w:pPr>
                    <w:autoSpaceDE w:val="0"/>
                    <w:autoSpaceDN w:val="0"/>
                    <w:adjustRightInd w:val="0"/>
                    <w:snapToGrid w:val="0"/>
                    <w:spacing w:line="280" w:lineRule="exact"/>
                    <w:jc w:val="center"/>
                    <w:rPr>
                      <w:rFonts w:hint="eastAsia" w:ascii="Times New Roman" w:hAnsi="Times New Roman" w:eastAsia="宋体" w:cs="Times New Roman"/>
                      <w:bCs/>
                      <w:color w:val="auto"/>
                      <w:spacing w:val="-11"/>
                      <w:kern w:val="0"/>
                      <w:sz w:val="18"/>
                      <w:szCs w:val="18"/>
                    </w:rPr>
                  </w:pPr>
                  <w:r>
                    <w:rPr>
                      <w:rFonts w:hint="eastAsia" w:ascii="Times New Roman" w:hAnsi="Times New Roman" w:eastAsia="宋体" w:cs="Times New Roman"/>
                      <w:bCs/>
                      <w:color w:val="auto"/>
                      <w:spacing w:val="-11"/>
                      <w:kern w:val="0"/>
                      <w:sz w:val="18"/>
                      <w:szCs w:val="18"/>
                    </w:rPr>
                    <w:t>内容</w:t>
                  </w:r>
                </w:p>
              </w:tc>
              <w:tc>
                <w:tcPr>
                  <w:tcW w:w="2252" w:type="dxa"/>
                  <w:noWrap w:val="0"/>
                  <w:vAlign w:val="center"/>
                </w:tcPr>
                <w:p w14:paraId="1AD0A416">
                  <w:pPr>
                    <w:autoSpaceDE w:val="0"/>
                    <w:autoSpaceDN w:val="0"/>
                    <w:adjustRightInd w:val="0"/>
                    <w:snapToGrid w:val="0"/>
                    <w:spacing w:line="280" w:lineRule="exact"/>
                    <w:jc w:val="center"/>
                    <w:rPr>
                      <w:rFonts w:hint="eastAsia" w:ascii="Times New Roman" w:hAnsi="Times New Roman" w:eastAsia="宋体" w:cs="Times New Roman"/>
                      <w:bCs/>
                      <w:color w:val="auto"/>
                      <w:spacing w:val="-11"/>
                      <w:kern w:val="0"/>
                      <w:sz w:val="18"/>
                      <w:szCs w:val="18"/>
                    </w:rPr>
                  </w:pPr>
                  <w:r>
                    <w:rPr>
                      <w:rFonts w:hint="eastAsia" w:ascii="Times New Roman" w:hAnsi="Times New Roman" w:eastAsia="宋体" w:cs="Times New Roman"/>
                      <w:bCs/>
                      <w:color w:val="auto"/>
                      <w:spacing w:val="-11"/>
                      <w:kern w:val="0"/>
                      <w:sz w:val="18"/>
                      <w:szCs w:val="18"/>
                    </w:rPr>
                    <w:t>本项目内容</w:t>
                  </w:r>
                </w:p>
              </w:tc>
              <w:tc>
                <w:tcPr>
                  <w:tcW w:w="579" w:type="dxa"/>
                  <w:noWrap w:val="0"/>
                  <w:vAlign w:val="center"/>
                </w:tcPr>
                <w:p w14:paraId="332706BE">
                  <w:pPr>
                    <w:autoSpaceDE w:val="0"/>
                    <w:autoSpaceDN w:val="0"/>
                    <w:adjustRightInd w:val="0"/>
                    <w:snapToGrid w:val="0"/>
                    <w:spacing w:line="280" w:lineRule="exact"/>
                    <w:jc w:val="center"/>
                    <w:rPr>
                      <w:rFonts w:hint="eastAsia" w:ascii="Times New Roman" w:hAnsi="Times New Roman" w:eastAsia="宋体" w:cs="Times New Roman"/>
                      <w:bCs/>
                      <w:color w:val="auto"/>
                      <w:spacing w:val="-11"/>
                      <w:kern w:val="0"/>
                      <w:sz w:val="18"/>
                      <w:szCs w:val="18"/>
                    </w:rPr>
                  </w:pPr>
                  <w:r>
                    <w:rPr>
                      <w:rFonts w:hint="eastAsia" w:ascii="Times New Roman" w:hAnsi="Times New Roman" w:eastAsia="宋体" w:cs="Times New Roman"/>
                      <w:bCs/>
                      <w:color w:val="auto"/>
                      <w:spacing w:val="-11"/>
                      <w:kern w:val="0"/>
                      <w:sz w:val="18"/>
                      <w:szCs w:val="18"/>
                    </w:rPr>
                    <w:t>符合性</w:t>
                  </w:r>
                </w:p>
              </w:tc>
            </w:tr>
            <w:tr w14:paraId="054AD9C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27" w:hRule="atLeast"/>
                <w:jc w:val="center"/>
              </w:trPr>
              <w:tc>
                <w:tcPr>
                  <w:tcW w:w="427" w:type="dxa"/>
                  <w:shd w:val="clear" w:color="auto" w:fill="auto"/>
                  <w:noWrap w:val="0"/>
                  <w:vAlign w:val="center"/>
                </w:tcPr>
                <w:p w14:paraId="21C393E3">
                  <w:pPr>
                    <w:autoSpaceDE w:val="0"/>
                    <w:autoSpaceDN w:val="0"/>
                    <w:adjustRightInd w:val="0"/>
                    <w:snapToGrid w:val="0"/>
                    <w:spacing w:line="280" w:lineRule="exact"/>
                    <w:jc w:val="center"/>
                    <w:rPr>
                      <w:rFonts w:hint="eastAsia" w:ascii="Times New Roman" w:hAnsi="Times New Roman" w:eastAsia="宋体" w:cs="Times New Roman"/>
                      <w:bCs/>
                      <w:color w:val="auto"/>
                      <w:spacing w:val="-11"/>
                      <w:kern w:val="0"/>
                      <w:sz w:val="18"/>
                      <w:szCs w:val="18"/>
                      <w:lang w:val="en-US" w:eastAsia="zh-CN" w:bidi="ar-SA"/>
                    </w:rPr>
                  </w:pPr>
                  <w:r>
                    <w:rPr>
                      <w:rFonts w:hint="eastAsia" w:cs="Times New Roman"/>
                      <w:bCs/>
                      <w:color w:val="auto"/>
                      <w:spacing w:val="-11"/>
                      <w:kern w:val="0"/>
                      <w:sz w:val="18"/>
                      <w:szCs w:val="18"/>
                      <w:lang w:val="en-US" w:eastAsia="zh-CN"/>
                    </w:rPr>
                    <w:t>3</w:t>
                  </w:r>
                </w:p>
              </w:tc>
              <w:tc>
                <w:tcPr>
                  <w:tcW w:w="785" w:type="dxa"/>
                  <w:shd w:val="clear" w:color="auto" w:fill="auto"/>
                  <w:noWrap w:val="0"/>
                  <w:vAlign w:val="center"/>
                </w:tcPr>
                <w:p w14:paraId="3C1FBA60">
                  <w:pPr>
                    <w:autoSpaceDE w:val="0"/>
                    <w:autoSpaceDN w:val="0"/>
                    <w:adjustRightInd w:val="0"/>
                    <w:snapToGrid w:val="0"/>
                    <w:spacing w:line="280" w:lineRule="exact"/>
                    <w:jc w:val="center"/>
                    <w:rPr>
                      <w:rFonts w:hint="eastAsia" w:ascii="Times New Roman" w:hAnsi="Times New Roman" w:eastAsia="宋体" w:cs="Times New Roman"/>
                      <w:bCs/>
                      <w:color w:val="auto"/>
                      <w:spacing w:val="-11"/>
                      <w:kern w:val="0"/>
                      <w:sz w:val="18"/>
                      <w:szCs w:val="18"/>
                      <w:lang w:val="en-US" w:eastAsia="zh-CN" w:bidi="ar-SA"/>
                    </w:rPr>
                  </w:pPr>
                  <w:r>
                    <w:rPr>
                      <w:rFonts w:hint="eastAsia" w:ascii="Times New Roman" w:hAnsi="Times New Roman" w:eastAsia="宋体" w:cs="Times New Roman"/>
                      <w:bCs/>
                      <w:color w:val="auto"/>
                      <w:spacing w:val="-11"/>
                      <w:kern w:val="0"/>
                      <w:sz w:val="18"/>
                      <w:szCs w:val="18"/>
                    </w:rPr>
                    <w:t>《河北省生态环境保护“十</w:t>
                  </w:r>
                  <w:r>
                    <w:rPr>
                      <w:rFonts w:hint="eastAsia" w:ascii="Times New Roman" w:hAnsi="Times New Roman" w:eastAsia="宋体" w:cs="Times New Roman"/>
                      <w:bCs/>
                      <w:color w:val="auto"/>
                      <w:spacing w:val="-11"/>
                      <w:kern w:val="0"/>
                      <w:sz w:val="18"/>
                      <w:szCs w:val="18"/>
                      <w:lang w:val="en-US" w:eastAsia="zh-CN"/>
                    </w:rPr>
                    <w:t>四</w:t>
                  </w:r>
                  <w:r>
                    <w:rPr>
                      <w:rFonts w:hint="eastAsia" w:ascii="Times New Roman" w:hAnsi="Times New Roman" w:eastAsia="宋体" w:cs="Times New Roman"/>
                      <w:bCs/>
                      <w:color w:val="auto"/>
                      <w:spacing w:val="-11"/>
                      <w:kern w:val="0"/>
                      <w:sz w:val="18"/>
                      <w:szCs w:val="18"/>
                    </w:rPr>
                    <w:t>五”规划》</w:t>
                  </w:r>
                </w:p>
              </w:tc>
              <w:tc>
                <w:tcPr>
                  <w:tcW w:w="3062" w:type="dxa"/>
                  <w:shd w:val="clear" w:color="auto" w:fill="auto"/>
                  <w:noWrap w:val="0"/>
                  <w:vAlign w:val="center"/>
                </w:tcPr>
                <w:p w14:paraId="11BD26A3">
                  <w:pPr>
                    <w:keepNext w:val="0"/>
                    <w:keepLines w:val="0"/>
                    <w:widowControl/>
                    <w:numPr>
                      <w:ilvl w:val="0"/>
                      <w:numId w:val="0"/>
                    </w:numPr>
                    <w:suppressLineNumbers w:val="0"/>
                    <w:ind w:left="0" w:leftChars="0" w:firstLine="0" w:firstLineChars="0"/>
                    <w:jc w:val="left"/>
                    <w:rPr>
                      <w:rFonts w:hint="eastAsia" w:ascii="Times New Roman" w:hAnsi="Times New Roman" w:eastAsia="宋体" w:cs="Times New Roman"/>
                      <w:color w:val="auto"/>
                      <w:spacing w:val="-10"/>
                      <w:kern w:val="2"/>
                      <w:sz w:val="18"/>
                      <w:szCs w:val="18"/>
                      <w:highlight w:val="none"/>
                      <w:lang w:val="en-US" w:eastAsia="zh-CN" w:bidi="ar-SA"/>
                    </w:rPr>
                  </w:pPr>
                  <w:r>
                    <w:rPr>
                      <w:rFonts w:hint="eastAsia" w:ascii="Times New Roman" w:hAnsi="Times New Roman" w:eastAsia="宋体" w:cs="Times New Roman"/>
                      <w:color w:val="auto"/>
                      <w:spacing w:val="-10"/>
                      <w:sz w:val="18"/>
                      <w:szCs w:val="18"/>
                      <w:highlight w:val="none"/>
                      <w:lang w:val="en-US" w:eastAsia="zh-CN"/>
                    </w:rPr>
                    <w:t>做大做强环保产业。做精做专资源综合利用业，加强秸秆、尾矿、煤矸石、冶炼渣、工业副产石膏等综合利用，规范废旧物资回收利用，构建协同高效的资源综合利用产业发展新格局。</w:t>
                  </w:r>
                </w:p>
              </w:tc>
              <w:tc>
                <w:tcPr>
                  <w:tcW w:w="2252" w:type="dxa"/>
                  <w:shd w:val="clear" w:color="auto" w:fill="auto"/>
                  <w:noWrap w:val="0"/>
                  <w:vAlign w:val="center"/>
                </w:tcPr>
                <w:p w14:paraId="17BDA889">
                  <w:pPr>
                    <w:autoSpaceDE w:val="0"/>
                    <w:autoSpaceDN w:val="0"/>
                    <w:adjustRightInd w:val="0"/>
                    <w:snapToGrid w:val="0"/>
                    <w:spacing w:line="280" w:lineRule="exact"/>
                    <w:jc w:val="left"/>
                    <w:rPr>
                      <w:rFonts w:hint="eastAsia" w:ascii="Times New Roman" w:hAnsi="Times New Roman" w:eastAsia="宋体" w:cs="Times New Roman"/>
                      <w:bCs/>
                      <w:color w:val="auto"/>
                      <w:spacing w:val="-11"/>
                      <w:kern w:val="0"/>
                      <w:sz w:val="18"/>
                      <w:szCs w:val="18"/>
                      <w:highlight w:val="none"/>
                      <w:lang w:val="en-US" w:eastAsia="zh-CN" w:bidi="ar-SA"/>
                    </w:rPr>
                  </w:pPr>
                  <w:r>
                    <w:rPr>
                      <w:rFonts w:hint="eastAsia" w:ascii="Times New Roman" w:hAnsi="Times New Roman" w:eastAsia="宋体" w:cs="Times New Roman"/>
                      <w:bCs/>
                      <w:color w:val="auto"/>
                      <w:spacing w:val="-11"/>
                      <w:kern w:val="0"/>
                      <w:sz w:val="18"/>
                      <w:szCs w:val="18"/>
                      <w:highlight w:val="none"/>
                      <w:lang w:val="en-US" w:eastAsia="zh-CN"/>
                    </w:rPr>
                    <w:t>项目为C4210金属废料和碎屑加工处理及C4220非金属废料和碎屑加工处理，主要处理转炉钢渣、废钢破碎尾料，属于资源综合利用项目。</w:t>
                  </w:r>
                </w:p>
              </w:tc>
              <w:tc>
                <w:tcPr>
                  <w:tcW w:w="579" w:type="dxa"/>
                  <w:shd w:val="clear" w:color="auto" w:fill="auto"/>
                  <w:noWrap w:val="0"/>
                  <w:vAlign w:val="center"/>
                </w:tcPr>
                <w:p w14:paraId="275DBC05">
                  <w:pPr>
                    <w:autoSpaceDE w:val="0"/>
                    <w:autoSpaceDN w:val="0"/>
                    <w:adjustRightInd w:val="0"/>
                    <w:snapToGrid w:val="0"/>
                    <w:spacing w:line="280" w:lineRule="exact"/>
                    <w:jc w:val="center"/>
                    <w:rPr>
                      <w:rFonts w:hint="eastAsia" w:ascii="Times New Roman" w:hAnsi="Times New Roman" w:eastAsia="宋体" w:cs="Times New Roman"/>
                      <w:bCs/>
                      <w:color w:val="auto"/>
                      <w:spacing w:val="-11"/>
                      <w:kern w:val="0"/>
                      <w:sz w:val="18"/>
                      <w:szCs w:val="18"/>
                      <w:lang w:val="en-US" w:eastAsia="zh-CN" w:bidi="ar-SA"/>
                    </w:rPr>
                  </w:pPr>
                  <w:r>
                    <w:rPr>
                      <w:rFonts w:hint="eastAsia" w:ascii="Times New Roman" w:hAnsi="Times New Roman" w:eastAsia="宋体" w:cs="Times New Roman"/>
                      <w:bCs/>
                      <w:color w:val="auto"/>
                      <w:spacing w:val="-11"/>
                      <w:kern w:val="0"/>
                      <w:sz w:val="18"/>
                      <w:szCs w:val="18"/>
                    </w:rPr>
                    <w:t>符合</w:t>
                  </w:r>
                </w:p>
              </w:tc>
            </w:tr>
            <w:tr w14:paraId="3089FEC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27" w:hRule="atLeast"/>
                <w:jc w:val="center"/>
              </w:trPr>
              <w:tc>
                <w:tcPr>
                  <w:tcW w:w="427" w:type="dxa"/>
                  <w:vMerge w:val="restart"/>
                  <w:noWrap w:val="0"/>
                  <w:vAlign w:val="center"/>
                </w:tcPr>
                <w:p w14:paraId="24B3C075">
                  <w:pPr>
                    <w:autoSpaceDE w:val="0"/>
                    <w:autoSpaceDN w:val="0"/>
                    <w:adjustRightInd w:val="0"/>
                    <w:snapToGrid w:val="0"/>
                    <w:spacing w:line="280" w:lineRule="exact"/>
                    <w:jc w:val="center"/>
                    <w:rPr>
                      <w:rFonts w:hint="eastAsia" w:ascii="Times New Roman" w:hAnsi="Times New Roman" w:eastAsia="宋体" w:cs="Times New Roman"/>
                      <w:bCs/>
                      <w:color w:val="auto"/>
                      <w:spacing w:val="-11"/>
                      <w:kern w:val="0"/>
                      <w:sz w:val="18"/>
                      <w:szCs w:val="18"/>
                      <w:lang w:val="en-US" w:eastAsia="zh-CN" w:bidi="ar-SA"/>
                    </w:rPr>
                  </w:pPr>
                  <w:bookmarkStart w:id="10" w:name="_Toc18986"/>
                  <w:r>
                    <w:rPr>
                      <w:rFonts w:hint="eastAsia" w:ascii="Times New Roman" w:hAnsi="Times New Roman" w:eastAsia="宋体" w:cs="Times New Roman"/>
                      <w:bCs/>
                      <w:color w:val="auto"/>
                      <w:spacing w:val="-11"/>
                      <w:kern w:val="0"/>
                      <w:sz w:val="18"/>
                      <w:szCs w:val="18"/>
                      <w:lang w:val="en-US" w:eastAsia="zh-CN"/>
                    </w:rPr>
                    <w:t>4</w:t>
                  </w:r>
                </w:p>
              </w:tc>
              <w:tc>
                <w:tcPr>
                  <w:tcW w:w="785" w:type="dxa"/>
                  <w:vMerge w:val="restart"/>
                  <w:noWrap w:val="0"/>
                  <w:vAlign w:val="center"/>
                </w:tcPr>
                <w:p w14:paraId="0C27D29B">
                  <w:pPr>
                    <w:autoSpaceDE w:val="0"/>
                    <w:autoSpaceDN w:val="0"/>
                    <w:adjustRightInd w:val="0"/>
                    <w:snapToGrid w:val="0"/>
                    <w:spacing w:line="280" w:lineRule="exact"/>
                    <w:jc w:val="center"/>
                    <w:rPr>
                      <w:rFonts w:hint="default" w:ascii="Times New Roman" w:hAnsi="Times New Roman" w:eastAsia="宋体" w:cs="Times New Roman"/>
                      <w:bCs/>
                      <w:color w:val="auto"/>
                      <w:spacing w:val="-11"/>
                      <w:kern w:val="0"/>
                      <w:sz w:val="18"/>
                      <w:szCs w:val="18"/>
                      <w:lang w:val="en-US" w:eastAsia="zh-CN" w:bidi="ar-SA"/>
                    </w:rPr>
                  </w:pPr>
                  <w:r>
                    <w:rPr>
                      <w:rFonts w:hint="default" w:ascii="Times New Roman" w:hAnsi="Times New Roman" w:eastAsia="宋体" w:cs="Times New Roman"/>
                      <w:bCs/>
                      <w:color w:val="auto"/>
                      <w:spacing w:val="-11"/>
                      <w:kern w:val="0"/>
                      <w:sz w:val="18"/>
                      <w:szCs w:val="18"/>
                    </w:rPr>
                    <w:t>《</w:t>
                  </w:r>
                  <w:r>
                    <w:rPr>
                      <w:rFonts w:hint="eastAsia" w:ascii="Times New Roman" w:hAnsi="Times New Roman" w:eastAsia="宋体" w:cs="Times New Roman"/>
                      <w:color w:val="auto"/>
                      <w:spacing w:val="-10"/>
                      <w:sz w:val="18"/>
                      <w:szCs w:val="18"/>
                      <w:highlight w:val="none"/>
                      <w:lang w:val="en-US" w:eastAsia="zh-CN"/>
                    </w:rPr>
                    <w:t>河北省土壤与地下水污染防治“十四五”规划》</w:t>
                  </w:r>
                </w:p>
              </w:tc>
              <w:tc>
                <w:tcPr>
                  <w:tcW w:w="3062" w:type="dxa"/>
                  <w:shd w:val="clear" w:color="auto" w:fill="auto"/>
                  <w:noWrap w:val="0"/>
                  <w:vAlign w:val="center"/>
                </w:tcPr>
                <w:p w14:paraId="6283EE1C">
                  <w:pPr>
                    <w:keepNext w:val="0"/>
                    <w:keepLines w:val="0"/>
                    <w:widowControl/>
                    <w:numPr>
                      <w:ilvl w:val="0"/>
                      <w:numId w:val="0"/>
                    </w:numPr>
                    <w:suppressLineNumbers w:val="0"/>
                    <w:ind w:left="0" w:leftChars="0" w:firstLine="0" w:firstLineChars="0"/>
                    <w:jc w:val="left"/>
                    <w:rPr>
                      <w:rFonts w:hint="eastAsia" w:ascii="Times New Roman" w:hAnsi="Times New Roman" w:eastAsia="宋体" w:cs="Times New Roman"/>
                      <w:color w:val="auto"/>
                      <w:spacing w:val="-10"/>
                      <w:kern w:val="2"/>
                      <w:sz w:val="18"/>
                      <w:szCs w:val="18"/>
                      <w:highlight w:val="none"/>
                      <w:lang w:val="en-US" w:eastAsia="zh-CN" w:bidi="ar-SA"/>
                    </w:rPr>
                  </w:pPr>
                  <w:r>
                    <w:rPr>
                      <w:rFonts w:hint="eastAsia" w:ascii="Times New Roman" w:hAnsi="Times New Roman" w:eastAsia="宋体" w:cs="Times New Roman"/>
                      <w:color w:val="auto"/>
                      <w:spacing w:val="-10"/>
                      <w:sz w:val="18"/>
                      <w:szCs w:val="18"/>
                      <w:highlight w:val="none"/>
                      <w:lang w:val="en-US" w:eastAsia="zh-CN"/>
                    </w:rPr>
                    <w:t>加强空间布局管控，严格环境准入管理，强化源头防控。理顺源头预防压力传导机制，落实溯源、断源、减排措施，切断污染物进入土壤、地下水环境的途径。</w:t>
                  </w:r>
                </w:p>
              </w:tc>
              <w:tc>
                <w:tcPr>
                  <w:tcW w:w="2252" w:type="dxa"/>
                  <w:shd w:val="clear" w:color="auto" w:fill="auto"/>
                  <w:noWrap w:val="0"/>
                  <w:vAlign w:val="center"/>
                </w:tcPr>
                <w:p w14:paraId="3C6857A7">
                  <w:pPr>
                    <w:keepNext w:val="0"/>
                    <w:keepLines w:val="0"/>
                    <w:widowControl/>
                    <w:numPr>
                      <w:ilvl w:val="0"/>
                      <w:numId w:val="0"/>
                    </w:numPr>
                    <w:suppressLineNumbers w:val="0"/>
                    <w:ind w:left="0" w:leftChars="0" w:firstLine="0" w:firstLineChars="0"/>
                    <w:jc w:val="left"/>
                    <w:rPr>
                      <w:rFonts w:hint="eastAsia" w:ascii="Times New Roman" w:hAnsi="Times New Roman" w:eastAsia="宋体" w:cs="Times New Roman"/>
                      <w:color w:val="auto"/>
                      <w:spacing w:val="-10"/>
                      <w:kern w:val="2"/>
                      <w:sz w:val="18"/>
                      <w:szCs w:val="18"/>
                      <w:highlight w:val="none"/>
                      <w:lang w:val="en-US" w:eastAsia="zh-CN" w:bidi="ar-SA"/>
                    </w:rPr>
                  </w:pPr>
                  <w:r>
                    <w:rPr>
                      <w:rFonts w:hint="eastAsia" w:ascii="Times New Roman" w:hAnsi="Times New Roman" w:eastAsia="宋体" w:cs="Times New Roman"/>
                      <w:color w:val="auto"/>
                      <w:spacing w:val="-10"/>
                      <w:sz w:val="18"/>
                      <w:szCs w:val="18"/>
                      <w:highlight w:val="none"/>
                      <w:lang w:val="en-US" w:eastAsia="zh-CN"/>
                    </w:rPr>
                    <w:t>项目位于</w:t>
                  </w:r>
                  <w:r>
                    <w:rPr>
                      <w:rFonts w:hint="default" w:ascii="Times New Roman" w:hAnsi="Times New Roman" w:eastAsia="宋体" w:cs="Times New Roman"/>
                      <w:bCs/>
                      <w:color w:val="auto"/>
                      <w:spacing w:val="-11"/>
                      <w:kern w:val="0"/>
                      <w:sz w:val="18"/>
                      <w:szCs w:val="18"/>
                      <w:lang w:val="en-US" w:eastAsia="zh-CN"/>
                    </w:rPr>
                    <w:t>滦州市</w:t>
                  </w:r>
                  <w:r>
                    <w:rPr>
                      <w:rFonts w:hint="eastAsia" w:ascii="Times New Roman" w:hAnsi="Times New Roman" w:eastAsia="宋体" w:cs="Times New Roman"/>
                      <w:bCs/>
                      <w:color w:val="auto"/>
                      <w:spacing w:val="-11"/>
                      <w:kern w:val="0"/>
                      <w:sz w:val="18"/>
                      <w:szCs w:val="18"/>
                      <w:lang w:val="en-US" w:eastAsia="zh-CN"/>
                    </w:rPr>
                    <w:t>九百户镇</w:t>
                  </w:r>
                  <w:r>
                    <w:rPr>
                      <w:rFonts w:hint="default" w:ascii="Times New Roman" w:hAnsi="Times New Roman" w:eastAsia="宋体" w:cs="Times New Roman"/>
                      <w:bCs/>
                      <w:color w:val="auto"/>
                      <w:spacing w:val="-11"/>
                      <w:kern w:val="0"/>
                      <w:sz w:val="18"/>
                      <w:szCs w:val="18"/>
                      <w:lang w:val="en-US" w:eastAsia="zh-CN"/>
                    </w:rPr>
                    <w:t>镇</w:t>
                  </w:r>
                  <w:r>
                    <w:rPr>
                      <w:rFonts w:hint="eastAsia" w:ascii="Times New Roman" w:hAnsi="Times New Roman" w:eastAsia="宋体" w:cs="Times New Roman"/>
                      <w:bCs/>
                      <w:color w:val="auto"/>
                      <w:spacing w:val="-11"/>
                      <w:kern w:val="0"/>
                      <w:sz w:val="18"/>
                      <w:szCs w:val="18"/>
                      <w:lang w:val="en-US" w:eastAsia="zh-CN"/>
                    </w:rPr>
                    <w:t>宜安村西</w:t>
                  </w:r>
                  <w:r>
                    <w:rPr>
                      <w:rFonts w:hint="eastAsia" w:ascii="Times New Roman" w:hAnsi="Times New Roman" w:eastAsia="宋体" w:cs="Times New Roman"/>
                      <w:color w:val="auto"/>
                      <w:spacing w:val="-10"/>
                      <w:sz w:val="18"/>
                      <w:szCs w:val="18"/>
                      <w:highlight w:val="none"/>
                      <w:lang w:val="en-US" w:eastAsia="zh-CN"/>
                    </w:rPr>
                    <w:t>；项目针对土壤污染源采取了完善的防治措施，正常工况下，项目对土壤环境影响可接受</w:t>
                  </w:r>
                </w:p>
              </w:tc>
              <w:tc>
                <w:tcPr>
                  <w:tcW w:w="579" w:type="dxa"/>
                  <w:shd w:val="clear" w:color="auto" w:fill="auto"/>
                  <w:noWrap w:val="0"/>
                  <w:vAlign w:val="center"/>
                </w:tcPr>
                <w:p w14:paraId="328DB5D3">
                  <w:pPr>
                    <w:autoSpaceDE w:val="0"/>
                    <w:autoSpaceDN w:val="0"/>
                    <w:adjustRightInd w:val="0"/>
                    <w:snapToGrid w:val="0"/>
                    <w:spacing w:line="280" w:lineRule="exact"/>
                    <w:jc w:val="center"/>
                    <w:rPr>
                      <w:rFonts w:hint="eastAsia" w:ascii="Times New Roman" w:hAnsi="Times New Roman" w:eastAsia="宋体" w:cs="Times New Roman"/>
                      <w:bCs/>
                      <w:color w:val="auto"/>
                      <w:spacing w:val="-11"/>
                      <w:kern w:val="0"/>
                      <w:sz w:val="18"/>
                      <w:szCs w:val="18"/>
                      <w:lang w:val="en-US" w:eastAsia="zh-CN" w:bidi="ar-SA"/>
                    </w:rPr>
                  </w:pPr>
                  <w:r>
                    <w:rPr>
                      <w:rFonts w:hint="eastAsia" w:ascii="Times New Roman" w:hAnsi="Times New Roman" w:eastAsia="宋体" w:cs="Times New Roman"/>
                      <w:bCs/>
                      <w:color w:val="auto"/>
                      <w:spacing w:val="-11"/>
                      <w:kern w:val="0"/>
                      <w:sz w:val="18"/>
                      <w:szCs w:val="18"/>
                      <w:lang w:val="en-US" w:eastAsia="zh-CN"/>
                    </w:rPr>
                    <w:t>符合</w:t>
                  </w:r>
                </w:p>
              </w:tc>
            </w:tr>
            <w:tr w14:paraId="2FA38FE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27" w:hRule="atLeast"/>
                <w:jc w:val="center"/>
              </w:trPr>
              <w:tc>
                <w:tcPr>
                  <w:tcW w:w="427" w:type="dxa"/>
                  <w:vMerge w:val="continue"/>
                  <w:shd w:val="clear" w:color="auto" w:fill="auto"/>
                  <w:noWrap w:val="0"/>
                  <w:vAlign w:val="center"/>
                </w:tcPr>
                <w:p w14:paraId="6398E8F8">
                  <w:pPr>
                    <w:autoSpaceDE w:val="0"/>
                    <w:autoSpaceDN w:val="0"/>
                    <w:adjustRightInd w:val="0"/>
                    <w:snapToGrid w:val="0"/>
                    <w:spacing w:line="280" w:lineRule="exact"/>
                    <w:jc w:val="center"/>
                    <w:rPr>
                      <w:rFonts w:hint="eastAsia" w:ascii="Times New Roman" w:hAnsi="Times New Roman" w:eastAsia="宋体" w:cs="Times New Roman"/>
                      <w:bCs/>
                      <w:color w:val="auto"/>
                      <w:spacing w:val="-11"/>
                      <w:kern w:val="0"/>
                      <w:sz w:val="18"/>
                      <w:szCs w:val="18"/>
                      <w:lang w:val="en-US" w:eastAsia="zh-CN" w:bidi="ar-SA"/>
                    </w:rPr>
                  </w:pPr>
                </w:p>
              </w:tc>
              <w:tc>
                <w:tcPr>
                  <w:tcW w:w="785" w:type="dxa"/>
                  <w:vMerge w:val="continue"/>
                  <w:shd w:val="clear" w:color="auto" w:fill="auto"/>
                  <w:noWrap w:val="0"/>
                  <w:vAlign w:val="center"/>
                </w:tcPr>
                <w:p w14:paraId="4A3481F7">
                  <w:pPr>
                    <w:autoSpaceDE w:val="0"/>
                    <w:autoSpaceDN w:val="0"/>
                    <w:adjustRightInd w:val="0"/>
                    <w:snapToGrid w:val="0"/>
                    <w:spacing w:line="280" w:lineRule="exact"/>
                    <w:jc w:val="center"/>
                    <w:rPr>
                      <w:rFonts w:hint="default" w:ascii="Times New Roman" w:hAnsi="Times New Roman" w:eastAsia="宋体" w:cs="Times New Roman"/>
                      <w:bCs/>
                      <w:color w:val="auto"/>
                      <w:spacing w:val="-11"/>
                      <w:kern w:val="0"/>
                      <w:sz w:val="18"/>
                      <w:szCs w:val="18"/>
                      <w:lang w:val="en-US" w:eastAsia="zh-CN" w:bidi="ar-SA"/>
                    </w:rPr>
                  </w:pPr>
                </w:p>
              </w:tc>
              <w:tc>
                <w:tcPr>
                  <w:tcW w:w="3062" w:type="dxa"/>
                  <w:shd w:val="clear" w:color="auto" w:fill="auto"/>
                  <w:noWrap w:val="0"/>
                  <w:vAlign w:val="center"/>
                </w:tcPr>
                <w:p w14:paraId="4549645A">
                  <w:pPr>
                    <w:keepNext w:val="0"/>
                    <w:keepLines w:val="0"/>
                    <w:widowControl/>
                    <w:numPr>
                      <w:ilvl w:val="0"/>
                      <w:numId w:val="0"/>
                    </w:numPr>
                    <w:suppressLineNumbers w:val="0"/>
                    <w:ind w:left="0" w:leftChars="0" w:firstLine="0" w:firstLineChars="0"/>
                    <w:jc w:val="left"/>
                    <w:rPr>
                      <w:rFonts w:hint="eastAsia" w:ascii="Times New Roman" w:hAnsi="Times New Roman" w:eastAsia="宋体" w:cs="Times New Roman"/>
                      <w:color w:val="auto"/>
                      <w:spacing w:val="-10"/>
                      <w:kern w:val="2"/>
                      <w:sz w:val="18"/>
                      <w:szCs w:val="18"/>
                      <w:highlight w:val="none"/>
                      <w:lang w:val="en-US" w:eastAsia="zh-CN" w:bidi="ar-SA"/>
                    </w:rPr>
                  </w:pPr>
                  <w:r>
                    <w:rPr>
                      <w:rFonts w:hint="eastAsia" w:ascii="Times New Roman" w:hAnsi="Times New Roman" w:eastAsia="宋体" w:cs="Times New Roman"/>
                      <w:color w:val="auto"/>
                      <w:spacing w:val="-10"/>
                      <w:sz w:val="18"/>
                      <w:szCs w:val="18"/>
                      <w:highlight w:val="none"/>
                      <w:lang w:val="en-US" w:eastAsia="zh-CN"/>
                    </w:rPr>
                    <w:t>持续推进重金属减排，动态更新涉重金属重点行业企业全口径清单，按照国家部署明确重点区域执行颗粒物和重点重金属特别排放限值。</w:t>
                  </w:r>
                  <w:r>
                    <w:rPr>
                      <w:rFonts w:hint="default" w:ascii="Times New Roman" w:hAnsi="Times New Roman" w:eastAsia="宋体" w:cs="Times New Roman"/>
                      <w:color w:val="auto"/>
                      <w:spacing w:val="-10"/>
                      <w:sz w:val="18"/>
                      <w:szCs w:val="18"/>
                      <w:highlight w:val="none"/>
                      <w:lang w:val="en-US" w:eastAsia="zh-CN"/>
                    </w:rPr>
                    <w:t>2022</w:t>
                  </w:r>
                  <w:r>
                    <w:rPr>
                      <w:rFonts w:hint="eastAsia" w:ascii="Times New Roman" w:hAnsi="Times New Roman" w:eastAsia="宋体" w:cs="Times New Roman"/>
                      <w:color w:val="auto"/>
                      <w:spacing w:val="-10"/>
                      <w:sz w:val="18"/>
                      <w:szCs w:val="18"/>
                      <w:highlight w:val="none"/>
                      <w:lang w:val="en-US" w:eastAsia="zh-CN"/>
                    </w:rPr>
                    <w:t>年</w:t>
                  </w:r>
                  <w:r>
                    <w:rPr>
                      <w:rFonts w:hint="default" w:ascii="Times New Roman" w:hAnsi="Times New Roman" w:eastAsia="宋体" w:cs="Times New Roman"/>
                      <w:color w:val="auto"/>
                      <w:spacing w:val="-10"/>
                      <w:sz w:val="18"/>
                      <w:szCs w:val="18"/>
                      <w:highlight w:val="none"/>
                      <w:lang w:val="en-US" w:eastAsia="zh-CN"/>
                    </w:rPr>
                    <w:t>3</w:t>
                  </w:r>
                  <w:r>
                    <w:rPr>
                      <w:rFonts w:hint="eastAsia" w:ascii="Times New Roman" w:hAnsi="Times New Roman" w:eastAsia="宋体" w:cs="Times New Roman"/>
                      <w:color w:val="auto"/>
                      <w:spacing w:val="-10"/>
                      <w:sz w:val="18"/>
                      <w:szCs w:val="18"/>
                      <w:highlight w:val="none"/>
                      <w:lang w:val="en-US" w:eastAsia="zh-CN"/>
                    </w:rPr>
                    <w:t>月底前，依法依规将符合条件的排放镉、汞、砷、铅、铬等有毒有害大气、水污染物的企业纳入重点排污单位名录进行管理。</w:t>
                  </w:r>
                  <w:r>
                    <w:rPr>
                      <w:rFonts w:hint="default" w:ascii="Times New Roman" w:hAnsi="Times New Roman" w:eastAsia="宋体" w:cs="Times New Roman"/>
                      <w:color w:val="auto"/>
                      <w:spacing w:val="-10"/>
                      <w:sz w:val="18"/>
                      <w:szCs w:val="18"/>
                      <w:highlight w:val="none"/>
                      <w:lang w:val="en-US" w:eastAsia="zh-CN"/>
                    </w:rPr>
                    <w:t>2023</w:t>
                  </w:r>
                  <w:r>
                    <w:rPr>
                      <w:rFonts w:hint="eastAsia" w:ascii="Times New Roman" w:hAnsi="Times New Roman" w:eastAsia="宋体" w:cs="Times New Roman"/>
                      <w:color w:val="auto"/>
                      <w:spacing w:val="-10"/>
                      <w:sz w:val="18"/>
                      <w:szCs w:val="18"/>
                      <w:highlight w:val="none"/>
                      <w:lang w:val="en-US" w:eastAsia="zh-CN"/>
                    </w:rPr>
                    <w:t>年底前，涉重点重金属排放的大气重点排污单位对大气污染物中的颗粒物按排污许可证规定实现自动监测，并核算颗粒物等排放量</w:t>
                  </w:r>
                </w:p>
              </w:tc>
              <w:tc>
                <w:tcPr>
                  <w:tcW w:w="2252" w:type="dxa"/>
                  <w:shd w:val="clear" w:color="auto" w:fill="auto"/>
                  <w:noWrap w:val="0"/>
                  <w:vAlign w:val="center"/>
                </w:tcPr>
                <w:p w14:paraId="561F1B4D">
                  <w:pPr>
                    <w:keepNext w:val="0"/>
                    <w:keepLines w:val="0"/>
                    <w:widowControl/>
                    <w:numPr>
                      <w:ilvl w:val="0"/>
                      <w:numId w:val="0"/>
                    </w:numPr>
                    <w:suppressLineNumbers w:val="0"/>
                    <w:ind w:left="0" w:leftChars="0" w:firstLine="0" w:firstLineChars="0"/>
                    <w:jc w:val="left"/>
                    <w:rPr>
                      <w:rFonts w:hint="eastAsia" w:ascii="Times New Roman" w:hAnsi="Times New Roman" w:eastAsia="宋体" w:cs="Times New Roman"/>
                      <w:color w:val="auto"/>
                      <w:spacing w:val="-10"/>
                      <w:kern w:val="2"/>
                      <w:sz w:val="18"/>
                      <w:szCs w:val="18"/>
                      <w:highlight w:val="none"/>
                      <w:lang w:val="en-US" w:eastAsia="zh-CN" w:bidi="ar-SA"/>
                    </w:rPr>
                  </w:pPr>
                  <w:r>
                    <w:rPr>
                      <w:rFonts w:hint="eastAsia" w:ascii="Times New Roman" w:hAnsi="Times New Roman" w:eastAsia="宋体" w:cs="Times New Roman"/>
                      <w:color w:val="auto"/>
                      <w:spacing w:val="-10"/>
                      <w:sz w:val="18"/>
                      <w:szCs w:val="18"/>
                      <w:highlight w:val="none"/>
                      <w:lang w:val="en-US" w:eastAsia="zh-CN"/>
                    </w:rPr>
                    <w:t>项目不涉及重金属排放</w:t>
                  </w:r>
                </w:p>
              </w:tc>
              <w:tc>
                <w:tcPr>
                  <w:tcW w:w="579" w:type="dxa"/>
                  <w:shd w:val="clear" w:color="auto" w:fill="auto"/>
                  <w:noWrap w:val="0"/>
                  <w:vAlign w:val="center"/>
                </w:tcPr>
                <w:p w14:paraId="20B3A48B">
                  <w:pPr>
                    <w:autoSpaceDE w:val="0"/>
                    <w:autoSpaceDN w:val="0"/>
                    <w:adjustRightInd w:val="0"/>
                    <w:snapToGrid w:val="0"/>
                    <w:spacing w:line="280" w:lineRule="exact"/>
                    <w:jc w:val="center"/>
                    <w:rPr>
                      <w:rFonts w:hint="eastAsia" w:ascii="Times New Roman" w:hAnsi="Times New Roman" w:eastAsia="宋体" w:cs="Times New Roman"/>
                      <w:bCs/>
                      <w:color w:val="auto"/>
                      <w:spacing w:val="-11"/>
                      <w:kern w:val="0"/>
                      <w:sz w:val="18"/>
                      <w:szCs w:val="18"/>
                      <w:lang w:val="en-US" w:eastAsia="zh-CN" w:bidi="ar-SA"/>
                    </w:rPr>
                  </w:pPr>
                  <w:r>
                    <w:rPr>
                      <w:rFonts w:hint="eastAsia" w:ascii="Times New Roman" w:hAnsi="Times New Roman" w:eastAsia="宋体" w:cs="Times New Roman"/>
                      <w:bCs/>
                      <w:color w:val="auto"/>
                      <w:spacing w:val="-11"/>
                      <w:kern w:val="0"/>
                      <w:sz w:val="18"/>
                      <w:szCs w:val="18"/>
                      <w:lang w:val="en-US" w:eastAsia="zh-CN"/>
                    </w:rPr>
                    <w:t>符合</w:t>
                  </w:r>
                </w:p>
              </w:tc>
            </w:tr>
            <w:tr w14:paraId="648E0A8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27" w:hRule="atLeast"/>
                <w:jc w:val="center"/>
              </w:trPr>
              <w:tc>
                <w:tcPr>
                  <w:tcW w:w="427" w:type="dxa"/>
                  <w:vMerge w:val="continue"/>
                  <w:noWrap w:val="0"/>
                  <w:vAlign w:val="center"/>
                </w:tcPr>
                <w:p w14:paraId="2A51E040">
                  <w:pPr>
                    <w:autoSpaceDE w:val="0"/>
                    <w:autoSpaceDN w:val="0"/>
                    <w:adjustRightInd w:val="0"/>
                    <w:snapToGrid w:val="0"/>
                    <w:spacing w:line="280" w:lineRule="exact"/>
                    <w:jc w:val="center"/>
                    <w:rPr>
                      <w:rFonts w:hint="eastAsia" w:ascii="Times New Roman" w:hAnsi="Times New Roman" w:eastAsia="宋体" w:cs="Times New Roman"/>
                      <w:bCs/>
                      <w:color w:val="auto"/>
                      <w:spacing w:val="-11"/>
                      <w:kern w:val="0"/>
                      <w:sz w:val="18"/>
                      <w:szCs w:val="18"/>
                      <w:lang w:val="en-US" w:eastAsia="zh-CN"/>
                    </w:rPr>
                  </w:pPr>
                </w:p>
              </w:tc>
              <w:tc>
                <w:tcPr>
                  <w:tcW w:w="785" w:type="dxa"/>
                  <w:vMerge w:val="continue"/>
                  <w:noWrap w:val="0"/>
                  <w:vAlign w:val="center"/>
                </w:tcPr>
                <w:p w14:paraId="429132F1">
                  <w:pPr>
                    <w:autoSpaceDE w:val="0"/>
                    <w:autoSpaceDN w:val="0"/>
                    <w:adjustRightInd w:val="0"/>
                    <w:snapToGrid w:val="0"/>
                    <w:spacing w:line="280" w:lineRule="exact"/>
                    <w:jc w:val="center"/>
                    <w:rPr>
                      <w:rFonts w:hint="default" w:ascii="Times New Roman" w:hAnsi="Times New Roman" w:eastAsia="宋体" w:cs="Times New Roman"/>
                      <w:bCs/>
                      <w:color w:val="auto"/>
                      <w:spacing w:val="-11"/>
                      <w:kern w:val="0"/>
                      <w:sz w:val="18"/>
                      <w:szCs w:val="18"/>
                    </w:rPr>
                  </w:pPr>
                </w:p>
              </w:tc>
              <w:tc>
                <w:tcPr>
                  <w:tcW w:w="3062" w:type="dxa"/>
                  <w:shd w:val="clear" w:color="auto" w:fill="auto"/>
                  <w:noWrap w:val="0"/>
                  <w:vAlign w:val="center"/>
                </w:tcPr>
                <w:p w14:paraId="0C2337E3">
                  <w:pPr>
                    <w:keepNext w:val="0"/>
                    <w:keepLines w:val="0"/>
                    <w:widowControl/>
                    <w:numPr>
                      <w:ilvl w:val="0"/>
                      <w:numId w:val="0"/>
                    </w:numPr>
                    <w:suppressLineNumbers w:val="0"/>
                    <w:ind w:left="0" w:leftChars="0" w:firstLine="0" w:firstLineChars="0"/>
                    <w:jc w:val="left"/>
                    <w:rPr>
                      <w:rFonts w:hint="eastAsia" w:ascii="Times New Roman" w:hAnsi="Times New Roman" w:eastAsia="宋体" w:cs="Times New Roman"/>
                      <w:color w:val="auto"/>
                      <w:spacing w:val="-10"/>
                      <w:kern w:val="2"/>
                      <w:sz w:val="18"/>
                      <w:szCs w:val="18"/>
                      <w:highlight w:val="none"/>
                      <w:lang w:val="en-US" w:eastAsia="zh-CN" w:bidi="ar-SA"/>
                    </w:rPr>
                  </w:pPr>
                  <w:r>
                    <w:rPr>
                      <w:rFonts w:hint="eastAsia" w:ascii="Times New Roman" w:hAnsi="Times New Roman" w:eastAsia="宋体" w:cs="Times New Roman"/>
                      <w:color w:val="auto"/>
                      <w:spacing w:val="-10"/>
                      <w:sz w:val="18"/>
                      <w:szCs w:val="18"/>
                      <w:highlight w:val="none"/>
                      <w:lang w:val="en-US" w:eastAsia="zh-CN"/>
                    </w:rPr>
                    <w:t>强化空间布局优化与管理。强化国土空间规划和用途管控，推进重点行业统一规划、集聚发展，引导重点产业向环境容量充足地区布局。严格落实环境影响评价制度，涉及排放有毒有害物质可能造成土壤污染的新</w:t>
                  </w:r>
                  <w:r>
                    <w:rPr>
                      <w:rFonts w:hint="default" w:ascii="Times New Roman" w:hAnsi="Times New Roman" w:eastAsia="宋体" w:cs="Times New Roman"/>
                      <w:color w:val="auto"/>
                      <w:spacing w:val="-10"/>
                      <w:sz w:val="18"/>
                      <w:szCs w:val="18"/>
                      <w:highlight w:val="none"/>
                      <w:lang w:val="en-US" w:eastAsia="zh-CN"/>
                    </w:rPr>
                    <w:t>(</w:t>
                  </w:r>
                  <w:r>
                    <w:rPr>
                      <w:rFonts w:hint="eastAsia" w:ascii="Times New Roman" w:hAnsi="Times New Roman" w:eastAsia="宋体" w:cs="Times New Roman"/>
                      <w:color w:val="auto"/>
                      <w:spacing w:val="-10"/>
                      <w:sz w:val="18"/>
                      <w:szCs w:val="18"/>
                      <w:highlight w:val="none"/>
                      <w:lang w:val="en-US" w:eastAsia="zh-CN"/>
                    </w:rPr>
                    <w:t>改、扩</w:t>
                  </w:r>
                  <w:r>
                    <w:rPr>
                      <w:rFonts w:hint="default" w:ascii="Times New Roman" w:hAnsi="Times New Roman" w:eastAsia="宋体" w:cs="Times New Roman"/>
                      <w:color w:val="auto"/>
                      <w:spacing w:val="-10"/>
                      <w:sz w:val="18"/>
                      <w:szCs w:val="18"/>
                      <w:highlight w:val="none"/>
                      <w:lang w:val="en-US" w:eastAsia="zh-CN"/>
                    </w:rPr>
                    <w:t>)</w:t>
                  </w:r>
                  <w:r>
                    <w:rPr>
                      <w:rFonts w:hint="eastAsia" w:ascii="Times New Roman" w:hAnsi="Times New Roman" w:eastAsia="宋体" w:cs="Times New Roman"/>
                      <w:color w:val="auto"/>
                      <w:spacing w:val="-10"/>
                      <w:sz w:val="18"/>
                      <w:szCs w:val="18"/>
                      <w:highlight w:val="none"/>
                      <w:lang w:val="en-US" w:eastAsia="zh-CN"/>
                    </w:rPr>
                    <w:t>建项目，依法进行环境影响评价，提出并落实防腐蚀、防渗漏、防遗撒等土壤污染防治具体措施。</w:t>
                  </w:r>
                </w:p>
              </w:tc>
              <w:tc>
                <w:tcPr>
                  <w:tcW w:w="2252" w:type="dxa"/>
                  <w:shd w:val="clear" w:color="auto" w:fill="auto"/>
                  <w:noWrap w:val="0"/>
                  <w:vAlign w:val="center"/>
                </w:tcPr>
                <w:p w14:paraId="40352F5E">
                  <w:pPr>
                    <w:keepNext w:val="0"/>
                    <w:keepLines w:val="0"/>
                    <w:widowControl/>
                    <w:numPr>
                      <w:ilvl w:val="0"/>
                      <w:numId w:val="0"/>
                    </w:numPr>
                    <w:suppressLineNumbers w:val="0"/>
                    <w:ind w:left="0" w:leftChars="0" w:firstLine="0" w:firstLineChars="0"/>
                    <w:jc w:val="left"/>
                    <w:rPr>
                      <w:rFonts w:hint="eastAsia" w:ascii="Times New Roman" w:hAnsi="Times New Roman" w:eastAsia="宋体" w:cs="Times New Roman"/>
                      <w:color w:val="auto"/>
                      <w:spacing w:val="-10"/>
                      <w:kern w:val="2"/>
                      <w:sz w:val="18"/>
                      <w:szCs w:val="18"/>
                      <w:highlight w:val="yellow"/>
                      <w:lang w:val="en-US" w:eastAsia="zh-CN" w:bidi="ar-SA"/>
                    </w:rPr>
                  </w:pPr>
                  <w:r>
                    <w:rPr>
                      <w:rFonts w:hint="eastAsia" w:ascii="Times New Roman" w:hAnsi="Times New Roman" w:eastAsia="宋体" w:cs="Times New Roman"/>
                      <w:color w:val="auto"/>
                      <w:spacing w:val="-10"/>
                      <w:kern w:val="2"/>
                      <w:sz w:val="18"/>
                      <w:szCs w:val="18"/>
                      <w:highlight w:val="none"/>
                      <w:lang w:val="en-US" w:eastAsia="zh-CN" w:bidi="ar-SA"/>
                    </w:rPr>
                    <w:t>本项目依法开展环评手续，项目采取分区防渗措施，可以有效防止污染物下渗对土壤的影响，项目对土壤环境影响可接受</w:t>
                  </w:r>
                </w:p>
              </w:tc>
              <w:tc>
                <w:tcPr>
                  <w:tcW w:w="579" w:type="dxa"/>
                  <w:shd w:val="clear" w:color="auto" w:fill="auto"/>
                  <w:noWrap w:val="0"/>
                  <w:vAlign w:val="center"/>
                </w:tcPr>
                <w:p w14:paraId="5D5AF203">
                  <w:pPr>
                    <w:autoSpaceDE w:val="0"/>
                    <w:autoSpaceDN w:val="0"/>
                    <w:adjustRightInd w:val="0"/>
                    <w:snapToGrid w:val="0"/>
                    <w:spacing w:line="280" w:lineRule="exact"/>
                    <w:jc w:val="center"/>
                    <w:rPr>
                      <w:rFonts w:hint="eastAsia" w:ascii="Times New Roman" w:hAnsi="Times New Roman" w:eastAsia="宋体" w:cs="Times New Roman"/>
                      <w:bCs/>
                      <w:color w:val="auto"/>
                      <w:spacing w:val="-11"/>
                      <w:kern w:val="0"/>
                      <w:sz w:val="18"/>
                      <w:szCs w:val="18"/>
                      <w:lang w:val="en-US" w:eastAsia="zh-CN" w:bidi="ar-SA"/>
                    </w:rPr>
                  </w:pPr>
                  <w:r>
                    <w:rPr>
                      <w:rFonts w:hint="eastAsia" w:ascii="Times New Roman" w:hAnsi="Times New Roman" w:eastAsia="宋体" w:cs="Times New Roman"/>
                      <w:bCs/>
                      <w:color w:val="auto"/>
                      <w:spacing w:val="-11"/>
                      <w:kern w:val="0"/>
                      <w:sz w:val="18"/>
                      <w:szCs w:val="18"/>
                      <w:lang w:val="en-US" w:eastAsia="zh-CN"/>
                    </w:rPr>
                    <w:t>符合</w:t>
                  </w:r>
                </w:p>
              </w:tc>
            </w:tr>
            <w:tr w14:paraId="072B0DC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27" w:hRule="atLeast"/>
                <w:jc w:val="center"/>
              </w:trPr>
              <w:tc>
                <w:tcPr>
                  <w:tcW w:w="427" w:type="dxa"/>
                  <w:noWrap w:val="0"/>
                  <w:vAlign w:val="center"/>
                </w:tcPr>
                <w:p w14:paraId="5C0DFC13">
                  <w:pPr>
                    <w:autoSpaceDE w:val="0"/>
                    <w:autoSpaceDN w:val="0"/>
                    <w:adjustRightInd w:val="0"/>
                    <w:snapToGrid w:val="0"/>
                    <w:spacing w:line="280" w:lineRule="exact"/>
                    <w:jc w:val="center"/>
                    <w:rPr>
                      <w:rFonts w:hint="eastAsia" w:ascii="Times New Roman" w:hAnsi="Times New Roman" w:eastAsia="宋体" w:cs="Times New Roman"/>
                      <w:bCs/>
                      <w:color w:val="auto"/>
                      <w:spacing w:val="-11"/>
                      <w:kern w:val="0"/>
                      <w:sz w:val="18"/>
                      <w:szCs w:val="18"/>
                      <w:lang w:eastAsia="zh-CN"/>
                    </w:rPr>
                  </w:pPr>
                  <w:r>
                    <w:rPr>
                      <w:rFonts w:hint="eastAsia" w:ascii="Times New Roman" w:hAnsi="Times New Roman" w:eastAsia="宋体" w:cs="Times New Roman"/>
                      <w:bCs/>
                      <w:color w:val="auto"/>
                      <w:spacing w:val="-11"/>
                      <w:kern w:val="0"/>
                      <w:sz w:val="18"/>
                      <w:szCs w:val="18"/>
                      <w:lang w:val="en-US" w:eastAsia="zh-CN"/>
                    </w:rPr>
                    <w:t>5</w:t>
                  </w:r>
                </w:p>
              </w:tc>
              <w:tc>
                <w:tcPr>
                  <w:tcW w:w="785" w:type="dxa"/>
                  <w:noWrap w:val="0"/>
                  <w:vAlign w:val="center"/>
                </w:tcPr>
                <w:p w14:paraId="2E5CD08E">
                  <w:pPr>
                    <w:autoSpaceDE w:val="0"/>
                    <w:autoSpaceDN w:val="0"/>
                    <w:adjustRightInd w:val="0"/>
                    <w:snapToGrid w:val="0"/>
                    <w:spacing w:line="280" w:lineRule="exact"/>
                    <w:jc w:val="center"/>
                    <w:rPr>
                      <w:rFonts w:hint="eastAsia" w:ascii="Times New Roman" w:hAnsi="Times New Roman" w:eastAsia="宋体" w:cs="Times New Roman"/>
                      <w:bCs/>
                      <w:color w:val="auto"/>
                      <w:spacing w:val="-11"/>
                      <w:kern w:val="0"/>
                      <w:sz w:val="18"/>
                      <w:szCs w:val="18"/>
                    </w:rPr>
                  </w:pPr>
                  <w:r>
                    <w:rPr>
                      <w:rFonts w:hint="default" w:ascii="Times New Roman" w:hAnsi="Times New Roman" w:eastAsia="宋体" w:cs="Times New Roman"/>
                      <w:bCs/>
                      <w:color w:val="auto"/>
                      <w:spacing w:val="-11"/>
                      <w:kern w:val="0"/>
                      <w:sz w:val="18"/>
                      <w:szCs w:val="18"/>
                    </w:rPr>
                    <w:t>《河北省建设京津冀生态环境支撑区“十四五”规划》</w:t>
                  </w:r>
                </w:p>
              </w:tc>
              <w:tc>
                <w:tcPr>
                  <w:tcW w:w="3062" w:type="dxa"/>
                  <w:noWrap w:val="0"/>
                  <w:vAlign w:val="center"/>
                </w:tcPr>
                <w:p w14:paraId="0644D050">
                  <w:pPr>
                    <w:autoSpaceDE w:val="0"/>
                    <w:autoSpaceDN w:val="0"/>
                    <w:adjustRightInd w:val="0"/>
                    <w:snapToGrid w:val="0"/>
                    <w:spacing w:line="280" w:lineRule="exact"/>
                    <w:jc w:val="left"/>
                    <w:rPr>
                      <w:rFonts w:hint="eastAsia" w:ascii="Times New Roman" w:hAnsi="Times New Roman" w:eastAsia="宋体" w:cs="Times New Roman"/>
                      <w:bCs/>
                      <w:color w:val="auto"/>
                      <w:spacing w:val="-11"/>
                      <w:kern w:val="0"/>
                      <w:sz w:val="18"/>
                      <w:szCs w:val="18"/>
                    </w:rPr>
                  </w:pPr>
                  <w:r>
                    <w:rPr>
                      <w:rFonts w:hint="default" w:ascii="Times New Roman" w:hAnsi="Times New Roman" w:eastAsia="宋体" w:cs="Times New Roman"/>
                      <w:bCs/>
                      <w:color w:val="auto"/>
                      <w:spacing w:val="-11"/>
                      <w:kern w:val="0"/>
                      <w:sz w:val="18"/>
                      <w:szCs w:val="18"/>
                    </w:rPr>
                    <w:t>完善生态环境分区管控体系。立足资源环境承载能力，落实并完善“三线一单”生态环境分区管控体系，建立动态更新和调整机制，完善环境管控单元环境准入清单，严格执行高耗能、高排放项目环境准入及管控要求。加强“三线一单”成果与国土空间规划协调联动，强化在政策制定、环境准入、园区管理、执法监管等方面的应用，推动污染物排放和生态环境质量目标联动管理。</w:t>
                  </w:r>
                </w:p>
              </w:tc>
              <w:tc>
                <w:tcPr>
                  <w:tcW w:w="2252" w:type="dxa"/>
                  <w:noWrap w:val="0"/>
                  <w:vAlign w:val="center"/>
                </w:tcPr>
                <w:p w14:paraId="3C14362C">
                  <w:pPr>
                    <w:autoSpaceDE w:val="0"/>
                    <w:autoSpaceDN w:val="0"/>
                    <w:adjustRightInd w:val="0"/>
                    <w:snapToGrid w:val="0"/>
                    <w:spacing w:line="280" w:lineRule="exact"/>
                    <w:jc w:val="left"/>
                    <w:rPr>
                      <w:rFonts w:hint="eastAsia" w:ascii="Times New Roman" w:hAnsi="Times New Roman" w:eastAsia="宋体" w:cs="Times New Roman"/>
                      <w:bCs/>
                      <w:color w:val="auto"/>
                      <w:spacing w:val="-11"/>
                      <w:kern w:val="0"/>
                      <w:sz w:val="18"/>
                      <w:szCs w:val="18"/>
                      <w:highlight w:val="none"/>
                    </w:rPr>
                  </w:pPr>
                  <w:r>
                    <w:rPr>
                      <w:rFonts w:hint="eastAsia" w:ascii="Times New Roman" w:hAnsi="Times New Roman" w:eastAsia="宋体" w:cs="Times New Roman"/>
                      <w:bCs/>
                      <w:color w:val="auto"/>
                      <w:spacing w:val="-11"/>
                      <w:kern w:val="0"/>
                      <w:sz w:val="18"/>
                      <w:szCs w:val="18"/>
                      <w:highlight w:val="none"/>
                      <w:lang w:val="en-US" w:eastAsia="zh-CN"/>
                    </w:rPr>
                    <w:t>本项目</w:t>
                  </w:r>
                  <w:r>
                    <w:rPr>
                      <w:rFonts w:hint="default" w:ascii="Times New Roman" w:hAnsi="Times New Roman" w:eastAsia="宋体" w:cs="Times New Roman"/>
                      <w:bCs/>
                      <w:color w:val="auto"/>
                      <w:spacing w:val="-11"/>
                      <w:kern w:val="0"/>
                      <w:sz w:val="18"/>
                      <w:szCs w:val="18"/>
                      <w:highlight w:val="none"/>
                    </w:rPr>
                    <w:t>与《关于加快实施“三线一单”生态环境分区管控的意见》（冀政字[2020]71号）、《关于实施“三线一单”生态环境分区管控的意见》（唐政字[2021]48号）</w:t>
                  </w:r>
                  <w:r>
                    <w:rPr>
                      <w:rFonts w:hint="eastAsia" w:ascii="Times New Roman" w:hAnsi="Times New Roman" w:eastAsia="宋体" w:cs="Times New Roman"/>
                      <w:bCs/>
                      <w:color w:val="auto"/>
                      <w:spacing w:val="-11"/>
                      <w:kern w:val="0"/>
                      <w:sz w:val="18"/>
                      <w:szCs w:val="18"/>
                      <w:highlight w:val="none"/>
                      <w:lang w:val="en-US" w:eastAsia="zh-CN"/>
                    </w:rPr>
                    <w:t>及</w:t>
                  </w:r>
                  <w:r>
                    <w:rPr>
                      <w:rFonts w:hint="eastAsia" w:ascii="Times New Roman" w:hAnsi="Times New Roman" w:eastAsia="宋体" w:cs="Times New Roman"/>
                      <w:bCs/>
                      <w:color w:val="auto"/>
                      <w:spacing w:val="-11"/>
                      <w:kern w:val="0"/>
                      <w:sz w:val="18"/>
                      <w:szCs w:val="18"/>
                      <w:highlight w:val="none"/>
                      <w:lang w:eastAsia="zh-CN"/>
                    </w:rPr>
                    <w:t>《唐山市生态环境准入清单动态更新成果》（</w:t>
                  </w:r>
                  <w:r>
                    <w:rPr>
                      <w:rFonts w:hint="eastAsia" w:ascii="Times New Roman" w:hAnsi="Times New Roman" w:eastAsia="宋体" w:cs="Times New Roman"/>
                      <w:bCs/>
                      <w:color w:val="auto"/>
                      <w:spacing w:val="-11"/>
                      <w:kern w:val="0"/>
                      <w:sz w:val="18"/>
                      <w:szCs w:val="18"/>
                      <w:highlight w:val="none"/>
                      <w:lang w:val="en-US" w:eastAsia="zh-CN"/>
                    </w:rPr>
                    <w:t>2023年7月</w:t>
                  </w:r>
                  <w:r>
                    <w:rPr>
                      <w:rFonts w:hint="eastAsia" w:ascii="Times New Roman" w:hAnsi="Times New Roman" w:eastAsia="宋体" w:cs="Times New Roman"/>
                      <w:bCs/>
                      <w:color w:val="auto"/>
                      <w:spacing w:val="-11"/>
                      <w:kern w:val="0"/>
                      <w:sz w:val="18"/>
                      <w:szCs w:val="18"/>
                      <w:highlight w:val="none"/>
                      <w:lang w:eastAsia="zh-CN"/>
                    </w:rPr>
                    <w:t>）</w:t>
                  </w:r>
                  <w:r>
                    <w:rPr>
                      <w:rFonts w:hint="eastAsia" w:ascii="Times New Roman" w:hAnsi="Times New Roman" w:eastAsia="宋体" w:cs="Times New Roman"/>
                      <w:bCs/>
                      <w:color w:val="auto"/>
                      <w:spacing w:val="-11"/>
                      <w:kern w:val="0"/>
                      <w:sz w:val="18"/>
                      <w:szCs w:val="18"/>
                      <w:highlight w:val="none"/>
                      <w:lang w:val="en-US" w:eastAsia="zh-CN"/>
                    </w:rPr>
                    <w:t>等</w:t>
                  </w:r>
                  <w:r>
                    <w:rPr>
                      <w:rFonts w:hint="default" w:ascii="Times New Roman" w:hAnsi="Times New Roman" w:eastAsia="宋体" w:cs="Times New Roman"/>
                      <w:bCs/>
                      <w:color w:val="auto"/>
                      <w:spacing w:val="-11"/>
                      <w:kern w:val="0"/>
                      <w:sz w:val="18"/>
                      <w:szCs w:val="18"/>
                      <w:highlight w:val="none"/>
                    </w:rPr>
                    <w:t>进行</w:t>
                  </w:r>
                  <w:r>
                    <w:rPr>
                      <w:rFonts w:hint="eastAsia" w:ascii="Times New Roman" w:hAnsi="Times New Roman" w:eastAsia="宋体" w:cs="Times New Roman"/>
                      <w:bCs/>
                      <w:color w:val="auto"/>
                      <w:spacing w:val="-11"/>
                      <w:kern w:val="0"/>
                      <w:sz w:val="18"/>
                      <w:szCs w:val="18"/>
                      <w:highlight w:val="none"/>
                      <w:lang w:eastAsia="zh-CN"/>
                    </w:rPr>
                    <w:t>了</w:t>
                  </w:r>
                  <w:r>
                    <w:rPr>
                      <w:rFonts w:hint="default" w:ascii="Times New Roman" w:hAnsi="Times New Roman" w:eastAsia="宋体" w:cs="Times New Roman"/>
                      <w:bCs/>
                      <w:color w:val="auto"/>
                      <w:spacing w:val="-11"/>
                      <w:kern w:val="0"/>
                      <w:sz w:val="18"/>
                      <w:szCs w:val="18"/>
                      <w:highlight w:val="none"/>
                    </w:rPr>
                    <w:t>对比，符合相关“三线一单”要求</w:t>
                  </w:r>
                  <w:r>
                    <w:rPr>
                      <w:rFonts w:hint="eastAsia" w:ascii="Times New Roman" w:hAnsi="Times New Roman" w:eastAsia="宋体" w:cs="Times New Roman"/>
                      <w:bCs/>
                      <w:color w:val="auto"/>
                      <w:spacing w:val="-11"/>
                      <w:kern w:val="0"/>
                      <w:sz w:val="18"/>
                      <w:szCs w:val="18"/>
                      <w:highlight w:val="none"/>
                      <w:lang w:eastAsia="zh-CN"/>
                    </w:rPr>
                    <w:t>。</w:t>
                  </w:r>
                </w:p>
              </w:tc>
              <w:tc>
                <w:tcPr>
                  <w:tcW w:w="579" w:type="dxa"/>
                  <w:noWrap w:val="0"/>
                  <w:vAlign w:val="center"/>
                </w:tcPr>
                <w:p w14:paraId="28127F98">
                  <w:pPr>
                    <w:autoSpaceDE w:val="0"/>
                    <w:autoSpaceDN w:val="0"/>
                    <w:adjustRightInd w:val="0"/>
                    <w:snapToGrid w:val="0"/>
                    <w:spacing w:line="280" w:lineRule="exact"/>
                    <w:jc w:val="center"/>
                    <w:rPr>
                      <w:rFonts w:hint="eastAsia" w:ascii="Times New Roman" w:hAnsi="Times New Roman" w:eastAsia="宋体" w:cs="Times New Roman"/>
                      <w:bCs/>
                      <w:color w:val="auto"/>
                      <w:spacing w:val="-11"/>
                      <w:kern w:val="0"/>
                      <w:sz w:val="18"/>
                      <w:szCs w:val="18"/>
                    </w:rPr>
                  </w:pPr>
                  <w:r>
                    <w:rPr>
                      <w:rFonts w:hint="eastAsia" w:ascii="Times New Roman" w:hAnsi="Times New Roman" w:eastAsia="宋体" w:cs="Times New Roman"/>
                      <w:bCs/>
                      <w:color w:val="auto"/>
                      <w:spacing w:val="-11"/>
                      <w:kern w:val="0"/>
                      <w:sz w:val="18"/>
                      <w:szCs w:val="18"/>
                    </w:rPr>
                    <w:t>符合</w:t>
                  </w:r>
                </w:p>
              </w:tc>
            </w:tr>
            <w:tr w14:paraId="2006FDF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27" w:hRule="atLeast"/>
                <w:jc w:val="center"/>
              </w:trPr>
              <w:tc>
                <w:tcPr>
                  <w:tcW w:w="427" w:type="dxa"/>
                  <w:noWrap w:val="0"/>
                  <w:vAlign w:val="center"/>
                </w:tcPr>
                <w:p w14:paraId="31A633E0">
                  <w:pPr>
                    <w:autoSpaceDE w:val="0"/>
                    <w:autoSpaceDN w:val="0"/>
                    <w:adjustRightInd w:val="0"/>
                    <w:snapToGrid w:val="0"/>
                    <w:spacing w:line="280" w:lineRule="exact"/>
                    <w:jc w:val="center"/>
                    <w:rPr>
                      <w:rFonts w:hint="default" w:ascii="Times New Roman" w:hAnsi="Times New Roman" w:eastAsia="宋体" w:cs="Times New Roman"/>
                      <w:bCs/>
                      <w:color w:val="auto"/>
                      <w:spacing w:val="-11"/>
                      <w:kern w:val="0"/>
                      <w:sz w:val="18"/>
                      <w:szCs w:val="18"/>
                      <w:lang w:val="en-US" w:eastAsia="zh-CN"/>
                    </w:rPr>
                  </w:pPr>
                  <w:r>
                    <w:rPr>
                      <w:rFonts w:hint="eastAsia" w:ascii="Times New Roman" w:hAnsi="Times New Roman" w:eastAsia="宋体" w:cs="Times New Roman"/>
                      <w:bCs/>
                      <w:color w:val="auto"/>
                      <w:spacing w:val="-11"/>
                      <w:kern w:val="0"/>
                      <w:sz w:val="18"/>
                      <w:szCs w:val="18"/>
                      <w:lang w:val="en-US" w:eastAsia="zh-CN"/>
                    </w:rPr>
                    <w:t>6</w:t>
                  </w:r>
                </w:p>
              </w:tc>
              <w:tc>
                <w:tcPr>
                  <w:tcW w:w="785" w:type="dxa"/>
                  <w:noWrap w:val="0"/>
                  <w:vAlign w:val="center"/>
                </w:tcPr>
                <w:p w14:paraId="00EA1AD5">
                  <w:pPr>
                    <w:keepNext w:val="0"/>
                    <w:keepLines w:val="0"/>
                    <w:widowControl/>
                    <w:numPr>
                      <w:ilvl w:val="0"/>
                      <w:numId w:val="0"/>
                    </w:numPr>
                    <w:suppressLineNumbers w:val="0"/>
                    <w:jc w:val="center"/>
                    <w:rPr>
                      <w:rFonts w:hint="eastAsia" w:ascii="Times New Roman" w:hAnsi="Times New Roman" w:eastAsia="宋体" w:cs="Times New Roman"/>
                      <w:color w:val="auto"/>
                      <w:spacing w:val="-10"/>
                      <w:sz w:val="18"/>
                      <w:szCs w:val="18"/>
                      <w:highlight w:val="none"/>
                      <w:lang w:val="en-US" w:eastAsia="zh-CN"/>
                    </w:rPr>
                  </w:pPr>
                  <w:r>
                    <w:rPr>
                      <w:rFonts w:hint="default" w:ascii="Times New Roman" w:hAnsi="Times New Roman" w:eastAsia="宋体" w:cs="Times New Roman"/>
                      <w:bCs/>
                      <w:color w:val="auto"/>
                      <w:spacing w:val="-11"/>
                      <w:kern w:val="0"/>
                      <w:sz w:val="18"/>
                      <w:szCs w:val="18"/>
                    </w:rPr>
                    <w:t>《</w:t>
                  </w:r>
                  <w:r>
                    <w:rPr>
                      <w:rFonts w:hint="eastAsia" w:ascii="Times New Roman" w:hAnsi="Times New Roman" w:eastAsia="宋体" w:cs="Times New Roman"/>
                      <w:color w:val="auto"/>
                      <w:spacing w:val="-10"/>
                      <w:sz w:val="18"/>
                      <w:szCs w:val="18"/>
                      <w:highlight w:val="none"/>
                      <w:lang w:val="en-US" w:eastAsia="zh-CN"/>
                    </w:rPr>
                    <w:t xml:space="preserve">唐山市生态环境保护“十四 </w:t>
                  </w:r>
                </w:p>
                <w:p w14:paraId="14581BAB">
                  <w:pPr>
                    <w:autoSpaceDE w:val="0"/>
                    <w:autoSpaceDN w:val="0"/>
                    <w:adjustRightInd w:val="0"/>
                    <w:snapToGrid w:val="0"/>
                    <w:spacing w:line="280" w:lineRule="exact"/>
                    <w:jc w:val="center"/>
                    <w:rPr>
                      <w:rFonts w:hint="default" w:ascii="Times New Roman" w:hAnsi="Times New Roman" w:eastAsia="宋体" w:cs="Times New Roman"/>
                      <w:bCs/>
                      <w:color w:val="auto"/>
                      <w:spacing w:val="-11"/>
                      <w:kern w:val="0"/>
                      <w:sz w:val="18"/>
                      <w:szCs w:val="18"/>
                    </w:rPr>
                  </w:pPr>
                  <w:r>
                    <w:rPr>
                      <w:rFonts w:hint="eastAsia" w:ascii="Times New Roman" w:hAnsi="Times New Roman" w:eastAsia="宋体" w:cs="Times New Roman"/>
                      <w:color w:val="auto"/>
                      <w:spacing w:val="-10"/>
                      <w:sz w:val="18"/>
                      <w:szCs w:val="18"/>
                      <w:highlight w:val="none"/>
                      <w:lang w:val="en-US" w:eastAsia="zh-CN"/>
                    </w:rPr>
                    <w:t>五”规划</w:t>
                  </w:r>
                  <w:r>
                    <w:rPr>
                      <w:rFonts w:hint="default" w:ascii="Times New Roman" w:hAnsi="Times New Roman" w:eastAsia="宋体" w:cs="Times New Roman"/>
                      <w:bCs/>
                      <w:color w:val="auto"/>
                      <w:spacing w:val="-11"/>
                      <w:kern w:val="0"/>
                      <w:sz w:val="18"/>
                      <w:szCs w:val="18"/>
                    </w:rPr>
                    <w:t>》</w:t>
                  </w:r>
                </w:p>
              </w:tc>
              <w:tc>
                <w:tcPr>
                  <w:tcW w:w="3062" w:type="dxa"/>
                  <w:shd w:val="clear" w:color="auto" w:fill="auto"/>
                  <w:noWrap w:val="0"/>
                  <w:vAlign w:val="center"/>
                </w:tcPr>
                <w:p w14:paraId="26A5CD5A">
                  <w:pPr>
                    <w:keepNext w:val="0"/>
                    <w:keepLines w:val="0"/>
                    <w:widowControl/>
                    <w:numPr>
                      <w:ilvl w:val="0"/>
                      <w:numId w:val="0"/>
                    </w:numPr>
                    <w:suppressLineNumbers w:val="0"/>
                    <w:ind w:left="0" w:leftChars="0" w:firstLine="0" w:firstLineChars="0"/>
                    <w:jc w:val="left"/>
                    <w:rPr>
                      <w:rFonts w:hint="default" w:ascii="Times New Roman" w:hAnsi="Times New Roman" w:eastAsia="宋体" w:cs="Times New Roman"/>
                      <w:color w:val="auto"/>
                      <w:spacing w:val="-10"/>
                      <w:kern w:val="2"/>
                      <w:sz w:val="18"/>
                      <w:szCs w:val="18"/>
                      <w:highlight w:val="none"/>
                      <w:lang w:val="en-US" w:eastAsia="zh-CN" w:bidi="ar-SA"/>
                    </w:rPr>
                  </w:pPr>
                  <w:r>
                    <w:rPr>
                      <w:rFonts w:hint="eastAsia" w:ascii="Times New Roman" w:hAnsi="Times New Roman" w:eastAsia="宋体" w:cs="Times New Roman"/>
                      <w:color w:val="auto"/>
                      <w:spacing w:val="-10"/>
                      <w:sz w:val="18"/>
                      <w:szCs w:val="18"/>
                      <w:highlight w:val="none"/>
                      <w:lang w:val="en-US" w:eastAsia="zh-CN"/>
                    </w:rPr>
                    <w:t>发展理念：贯彻新发展理念，加快推动绿色低碳发展，以绿色发展和创新驱动为引领，以“减污降碳”为关键抓手，加快产业结构、能源结构、交通运输结构调整，推动绿色技术创新应用，提高资源利用效率，促进经济社会发展全面绿色低碳转型，推动全市高质量发展。</w:t>
                  </w:r>
                </w:p>
              </w:tc>
              <w:tc>
                <w:tcPr>
                  <w:tcW w:w="2252" w:type="dxa"/>
                  <w:shd w:val="clear" w:color="auto" w:fill="auto"/>
                  <w:noWrap w:val="0"/>
                  <w:vAlign w:val="center"/>
                </w:tcPr>
                <w:p w14:paraId="51E9B4CE">
                  <w:pPr>
                    <w:keepNext w:val="0"/>
                    <w:keepLines w:val="0"/>
                    <w:widowControl/>
                    <w:numPr>
                      <w:ilvl w:val="0"/>
                      <w:numId w:val="0"/>
                    </w:numPr>
                    <w:suppressLineNumbers w:val="0"/>
                    <w:ind w:left="0" w:leftChars="0" w:firstLine="0" w:firstLineChars="0"/>
                    <w:jc w:val="left"/>
                    <w:rPr>
                      <w:rFonts w:hint="eastAsia" w:ascii="Times New Roman" w:hAnsi="Times New Roman" w:eastAsia="宋体" w:cs="Times New Roman"/>
                      <w:color w:val="auto"/>
                      <w:spacing w:val="-10"/>
                      <w:kern w:val="2"/>
                      <w:sz w:val="18"/>
                      <w:szCs w:val="18"/>
                      <w:highlight w:val="none"/>
                      <w:lang w:val="en-US" w:eastAsia="zh-CN" w:bidi="ar-SA"/>
                    </w:rPr>
                  </w:pPr>
                  <w:r>
                    <w:rPr>
                      <w:rFonts w:hint="eastAsia" w:ascii="Times New Roman" w:hAnsi="Times New Roman" w:eastAsia="宋体" w:cs="Times New Roman"/>
                      <w:color w:val="auto"/>
                      <w:spacing w:val="-10"/>
                      <w:sz w:val="18"/>
                      <w:szCs w:val="18"/>
                      <w:highlight w:val="none"/>
                      <w:lang w:val="en-US" w:eastAsia="zh-CN"/>
                    </w:rPr>
                    <w:t>项目为</w:t>
                  </w:r>
                  <w:r>
                    <w:rPr>
                      <w:rFonts w:hint="eastAsia" w:ascii="Times New Roman" w:hAnsi="Times New Roman" w:eastAsia="宋体" w:cs="Times New Roman"/>
                      <w:bCs/>
                      <w:color w:val="auto"/>
                      <w:spacing w:val="-11"/>
                      <w:kern w:val="0"/>
                      <w:sz w:val="18"/>
                      <w:szCs w:val="18"/>
                      <w:highlight w:val="none"/>
                      <w:lang w:val="en-US" w:eastAsia="zh-CN"/>
                    </w:rPr>
                    <w:t>C4210金属废料和碎屑加工处理及C4220非金属废料和碎屑加工处理，为</w:t>
                  </w:r>
                  <w:r>
                    <w:rPr>
                      <w:rFonts w:hint="eastAsia" w:ascii="Times New Roman" w:hAnsi="Times New Roman" w:eastAsia="宋体" w:cs="Times New Roman"/>
                      <w:color w:val="auto"/>
                      <w:spacing w:val="-10"/>
                      <w:sz w:val="18"/>
                      <w:szCs w:val="18"/>
                      <w:highlight w:val="none"/>
                      <w:lang w:val="en-US" w:eastAsia="zh-CN"/>
                    </w:rPr>
                    <w:t>固体废物资源化利用项目，提高了资源利用效率；项目原料为</w:t>
                  </w:r>
                  <w:r>
                    <w:rPr>
                      <w:rFonts w:hint="eastAsia" w:ascii="Times New Roman" w:hAnsi="Times New Roman" w:eastAsia="宋体" w:cs="Times New Roman"/>
                      <w:bCs/>
                      <w:color w:val="auto"/>
                      <w:spacing w:val="-11"/>
                      <w:kern w:val="0"/>
                      <w:sz w:val="18"/>
                      <w:szCs w:val="18"/>
                      <w:highlight w:val="none"/>
                      <w:lang w:val="en-US" w:eastAsia="zh-CN"/>
                    </w:rPr>
                    <w:t>转炉钢渣</w:t>
                  </w:r>
                  <w:r>
                    <w:rPr>
                      <w:rFonts w:hint="eastAsia" w:cs="Times New Roman"/>
                      <w:bCs/>
                      <w:color w:val="auto"/>
                      <w:spacing w:val="-11"/>
                      <w:kern w:val="0"/>
                      <w:sz w:val="18"/>
                      <w:szCs w:val="18"/>
                      <w:highlight w:val="none"/>
                      <w:lang w:val="en-US" w:eastAsia="zh-CN"/>
                    </w:rPr>
                    <w:t>、</w:t>
                  </w:r>
                  <w:r>
                    <w:rPr>
                      <w:rFonts w:hint="eastAsia" w:ascii="Times New Roman" w:hAnsi="Times New Roman" w:eastAsia="宋体" w:cs="Times New Roman"/>
                      <w:bCs/>
                      <w:color w:val="auto"/>
                      <w:spacing w:val="-11"/>
                      <w:kern w:val="0"/>
                      <w:sz w:val="18"/>
                      <w:szCs w:val="18"/>
                      <w:highlight w:val="none"/>
                      <w:lang w:val="en-US" w:eastAsia="zh-CN"/>
                    </w:rPr>
                    <w:t>废钢破碎尾料</w:t>
                  </w:r>
                  <w:r>
                    <w:rPr>
                      <w:rFonts w:hint="eastAsia" w:ascii="Times New Roman" w:hAnsi="Times New Roman" w:eastAsia="宋体" w:cs="Times New Roman"/>
                      <w:color w:val="auto"/>
                      <w:spacing w:val="-10"/>
                      <w:sz w:val="18"/>
                      <w:szCs w:val="18"/>
                      <w:highlight w:val="none"/>
                      <w:lang w:val="en-US" w:eastAsia="zh-CN"/>
                    </w:rPr>
                    <w:t>，均来源于本地钢厂，全部采用新能源汽车或达到国六排放标准的汽车运输，项目采用节能节电设备</w:t>
                  </w:r>
                </w:p>
              </w:tc>
              <w:tc>
                <w:tcPr>
                  <w:tcW w:w="579" w:type="dxa"/>
                  <w:shd w:val="clear" w:color="auto" w:fill="auto"/>
                  <w:noWrap w:val="0"/>
                  <w:vAlign w:val="center"/>
                </w:tcPr>
                <w:p w14:paraId="44832197">
                  <w:pPr>
                    <w:autoSpaceDE w:val="0"/>
                    <w:autoSpaceDN w:val="0"/>
                    <w:adjustRightInd w:val="0"/>
                    <w:snapToGrid w:val="0"/>
                    <w:spacing w:line="280" w:lineRule="exact"/>
                    <w:jc w:val="center"/>
                    <w:rPr>
                      <w:rFonts w:hint="eastAsia" w:ascii="Times New Roman" w:hAnsi="Times New Roman" w:eastAsia="宋体" w:cs="Times New Roman"/>
                      <w:bCs/>
                      <w:color w:val="auto"/>
                      <w:spacing w:val="-11"/>
                      <w:kern w:val="0"/>
                      <w:sz w:val="18"/>
                      <w:szCs w:val="18"/>
                      <w:lang w:val="en-US" w:eastAsia="zh-CN" w:bidi="ar-SA"/>
                    </w:rPr>
                  </w:pPr>
                  <w:r>
                    <w:rPr>
                      <w:rFonts w:hint="eastAsia" w:ascii="Times New Roman" w:hAnsi="Times New Roman" w:eastAsia="宋体" w:cs="Times New Roman"/>
                      <w:bCs/>
                      <w:color w:val="auto"/>
                      <w:spacing w:val="-11"/>
                      <w:kern w:val="0"/>
                      <w:sz w:val="18"/>
                      <w:szCs w:val="18"/>
                      <w:lang w:val="en-US" w:eastAsia="zh-CN"/>
                    </w:rPr>
                    <w:t>符合</w:t>
                  </w:r>
                </w:p>
              </w:tc>
            </w:tr>
          </w:tbl>
          <w:p w14:paraId="3D66F948">
            <w:pPr>
              <w:pStyle w:val="24"/>
              <w:adjustRightInd w:val="0"/>
              <w:snapToGrid w:val="0"/>
              <w:spacing w:before="0" w:beforeAutospacing="0" w:after="0" w:afterAutospacing="0" w:line="440" w:lineRule="exact"/>
              <w:jc w:val="center"/>
              <w:rPr>
                <w:rFonts w:hint="eastAsia" w:ascii="Times New Roman" w:hAnsi="Times New Roman" w:cs="Times New Roman"/>
                <w:b/>
                <w:color w:val="auto"/>
                <w:sz w:val="21"/>
                <w:szCs w:val="21"/>
                <w:highlight w:val="none"/>
                <w:lang w:val="en-US" w:eastAsia="zh-CN"/>
              </w:rPr>
            </w:pPr>
          </w:p>
          <w:p w14:paraId="67E493F5">
            <w:pPr>
              <w:pStyle w:val="24"/>
              <w:adjustRightInd w:val="0"/>
              <w:snapToGrid w:val="0"/>
              <w:spacing w:before="0" w:beforeAutospacing="0" w:after="0" w:afterAutospacing="0" w:line="440" w:lineRule="exact"/>
              <w:jc w:val="center"/>
              <w:rPr>
                <w:rFonts w:hint="eastAsia" w:ascii="Times New Roman" w:hAnsi="Times New Roman" w:cs="Times New Roman"/>
                <w:b/>
                <w:color w:val="auto"/>
                <w:sz w:val="21"/>
                <w:szCs w:val="21"/>
                <w:highlight w:val="none"/>
                <w:lang w:val="en-US" w:eastAsia="zh-CN"/>
              </w:rPr>
            </w:pPr>
          </w:p>
          <w:p w14:paraId="577E1875">
            <w:pPr>
              <w:pStyle w:val="24"/>
              <w:adjustRightInd w:val="0"/>
              <w:snapToGrid w:val="0"/>
              <w:spacing w:before="0" w:beforeAutospacing="0" w:after="0" w:afterAutospacing="0" w:line="440" w:lineRule="exact"/>
              <w:jc w:val="center"/>
              <w:rPr>
                <w:rFonts w:hint="eastAsia" w:ascii="Times New Roman" w:hAnsi="Times New Roman" w:cs="Times New Roman"/>
                <w:b/>
                <w:color w:val="auto"/>
                <w:sz w:val="21"/>
                <w:szCs w:val="21"/>
                <w:highlight w:val="none"/>
                <w:lang w:val="en-US" w:eastAsia="zh-CN"/>
              </w:rPr>
            </w:pPr>
          </w:p>
          <w:p w14:paraId="5850E968">
            <w:pPr>
              <w:pStyle w:val="24"/>
              <w:adjustRightInd w:val="0"/>
              <w:snapToGrid w:val="0"/>
              <w:spacing w:before="0" w:beforeAutospacing="0" w:after="0" w:afterAutospacing="0" w:line="440" w:lineRule="exact"/>
              <w:jc w:val="center"/>
              <w:rPr>
                <w:rFonts w:hint="eastAsia" w:ascii="Times New Roman" w:hAnsi="Times New Roman" w:eastAsia="宋体" w:cs="Times New Roman"/>
                <w:b/>
                <w:color w:val="auto"/>
                <w:sz w:val="21"/>
                <w:szCs w:val="21"/>
                <w:highlight w:val="none"/>
                <w:lang w:val="en-US" w:eastAsia="zh-CN"/>
              </w:rPr>
            </w:pPr>
            <w:r>
              <w:rPr>
                <w:rFonts w:hint="eastAsia" w:ascii="Times New Roman" w:hAnsi="Times New Roman" w:cs="Times New Roman"/>
                <w:b/>
                <w:color w:val="auto"/>
                <w:sz w:val="21"/>
                <w:szCs w:val="21"/>
                <w:highlight w:val="none"/>
                <w:lang w:val="en-US" w:eastAsia="zh-CN"/>
              </w:rPr>
              <w:t>续</w:t>
            </w:r>
            <w:r>
              <w:rPr>
                <w:rFonts w:hint="eastAsia" w:ascii="Times New Roman" w:hAnsi="Times New Roman" w:eastAsia="宋体" w:cs="Times New Roman"/>
                <w:b/>
                <w:color w:val="auto"/>
                <w:sz w:val="21"/>
                <w:szCs w:val="21"/>
                <w:highlight w:val="none"/>
                <w:lang w:val="en-US" w:eastAsia="zh-CN"/>
              </w:rPr>
              <w:t>表1 本项目与各生态环境保护规划分析结果汇总一览表</w:t>
            </w:r>
          </w:p>
          <w:tbl>
            <w:tblPr>
              <w:tblStyle w:val="28"/>
              <w:tblW w:w="7105"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28" w:type="dxa"/>
                <w:bottom w:w="0" w:type="dxa"/>
                <w:right w:w="28" w:type="dxa"/>
              </w:tblCellMar>
            </w:tblPr>
            <w:tblGrid>
              <w:gridCol w:w="427"/>
              <w:gridCol w:w="785"/>
              <w:gridCol w:w="3062"/>
              <w:gridCol w:w="2252"/>
              <w:gridCol w:w="579"/>
            </w:tblGrid>
            <w:tr w14:paraId="562020E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27" w:hRule="atLeast"/>
                <w:jc w:val="center"/>
              </w:trPr>
              <w:tc>
                <w:tcPr>
                  <w:tcW w:w="427" w:type="dxa"/>
                  <w:noWrap w:val="0"/>
                  <w:vAlign w:val="center"/>
                </w:tcPr>
                <w:p w14:paraId="5FD9EB3E">
                  <w:pPr>
                    <w:autoSpaceDE w:val="0"/>
                    <w:autoSpaceDN w:val="0"/>
                    <w:adjustRightInd w:val="0"/>
                    <w:snapToGrid w:val="0"/>
                    <w:spacing w:line="280" w:lineRule="exact"/>
                    <w:jc w:val="center"/>
                    <w:rPr>
                      <w:rFonts w:hint="eastAsia" w:ascii="Times New Roman" w:hAnsi="Times New Roman" w:eastAsia="宋体" w:cs="Times New Roman"/>
                      <w:bCs/>
                      <w:color w:val="auto"/>
                      <w:spacing w:val="-11"/>
                      <w:kern w:val="0"/>
                      <w:sz w:val="18"/>
                      <w:szCs w:val="18"/>
                    </w:rPr>
                  </w:pPr>
                  <w:r>
                    <w:rPr>
                      <w:rFonts w:hint="eastAsia" w:ascii="Times New Roman" w:hAnsi="Times New Roman" w:eastAsia="宋体" w:cs="Times New Roman"/>
                      <w:bCs/>
                      <w:color w:val="auto"/>
                      <w:spacing w:val="-11"/>
                      <w:kern w:val="0"/>
                      <w:sz w:val="18"/>
                      <w:szCs w:val="18"/>
                    </w:rPr>
                    <w:t>序号</w:t>
                  </w:r>
                </w:p>
              </w:tc>
              <w:tc>
                <w:tcPr>
                  <w:tcW w:w="785" w:type="dxa"/>
                  <w:noWrap w:val="0"/>
                  <w:vAlign w:val="center"/>
                </w:tcPr>
                <w:p w14:paraId="659BEA0F">
                  <w:pPr>
                    <w:autoSpaceDE w:val="0"/>
                    <w:autoSpaceDN w:val="0"/>
                    <w:adjustRightInd w:val="0"/>
                    <w:snapToGrid w:val="0"/>
                    <w:spacing w:line="280" w:lineRule="exact"/>
                    <w:jc w:val="center"/>
                    <w:rPr>
                      <w:rFonts w:hint="eastAsia" w:ascii="Times New Roman" w:hAnsi="Times New Roman" w:eastAsia="宋体" w:cs="Times New Roman"/>
                      <w:bCs/>
                      <w:color w:val="auto"/>
                      <w:spacing w:val="-11"/>
                      <w:kern w:val="0"/>
                      <w:sz w:val="18"/>
                      <w:szCs w:val="18"/>
                    </w:rPr>
                  </w:pPr>
                  <w:r>
                    <w:rPr>
                      <w:rFonts w:hint="eastAsia" w:ascii="Times New Roman" w:hAnsi="Times New Roman" w:eastAsia="宋体" w:cs="Times New Roman"/>
                      <w:bCs/>
                      <w:color w:val="auto"/>
                      <w:spacing w:val="-11"/>
                      <w:kern w:val="0"/>
                      <w:sz w:val="18"/>
                      <w:szCs w:val="18"/>
                    </w:rPr>
                    <w:t>规划名称</w:t>
                  </w:r>
                </w:p>
              </w:tc>
              <w:tc>
                <w:tcPr>
                  <w:tcW w:w="3062" w:type="dxa"/>
                  <w:noWrap w:val="0"/>
                  <w:vAlign w:val="center"/>
                </w:tcPr>
                <w:p w14:paraId="02781962">
                  <w:pPr>
                    <w:autoSpaceDE w:val="0"/>
                    <w:autoSpaceDN w:val="0"/>
                    <w:adjustRightInd w:val="0"/>
                    <w:snapToGrid w:val="0"/>
                    <w:spacing w:line="280" w:lineRule="exact"/>
                    <w:jc w:val="center"/>
                    <w:rPr>
                      <w:rFonts w:hint="eastAsia" w:ascii="Times New Roman" w:hAnsi="Times New Roman" w:eastAsia="宋体" w:cs="Times New Roman"/>
                      <w:bCs/>
                      <w:color w:val="auto"/>
                      <w:spacing w:val="-11"/>
                      <w:kern w:val="0"/>
                      <w:sz w:val="18"/>
                      <w:szCs w:val="18"/>
                    </w:rPr>
                  </w:pPr>
                  <w:r>
                    <w:rPr>
                      <w:rFonts w:hint="eastAsia" w:ascii="Times New Roman" w:hAnsi="Times New Roman" w:eastAsia="宋体" w:cs="Times New Roman"/>
                      <w:bCs/>
                      <w:color w:val="auto"/>
                      <w:spacing w:val="-11"/>
                      <w:kern w:val="0"/>
                      <w:sz w:val="18"/>
                      <w:szCs w:val="18"/>
                    </w:rPr>
                    <w:t>内容</w:t>
                  </w:r>
                </w:p>
              </w:tc>
              <w:tc>
                <w:tcPr>
                  <w:tcW w:w="2252" w:type="dxa"/>
                  <w:noWrap w:val="0"/>
                  <w:vAlign w:val="center"/>
                </w:tcPr>
                <w:p w14:paraId="14FFAB91">
                  <w:pPr>
                    <w:autoSpaceDE w:val="0"/>
                    <w:autoSpaceDN w:val="0"/>
                    <w:adjustRightInd w:val="0"/>
                    <w:snapToGrid w:val="0"/>
                    <w:spacing w:line="280" w:lineRule="exact"/>
                    <w:jc w:val="center"/>
                    <w:rPr>
                      <w:rFonts w:hint="eastAsia" w:ascii="Times New Roman" w:hAnsi="Times New Roman" w:eastAsia="宋体" w:cs="Times New Roman"/>
                      <w:bCs/>
                      <w:color w:val="auto"/>
                      <w:spacing w:val="-11"/>
                      <w:kern w:val="0"/>
                      <w:sz w:val="18"/>
                      <w:szCs w:val="18"/>
                    </w:rPr>
                  </w:pPr>
                  <w:r>
                    <w:rPr>
                      <w:rFonts w:hint="eastAsia" w:ascii="Times New Roman" w:hAnsi="Times New Roman" w:eastAsia="宋体" w:cs="Times New Roman"/>
                      <w:bCs/>
                      <w:color w:val="auto"/>
                      <w:spacing w:val="-11"/>
                      <w:kern w:val="0"/>
                      <w:sz w:val="18"/>
                      <w:szCs w:val="18"/>
                    </w:rPr>
                    <w:t>本项目内容</w:t>
                  </w:r>
                </w:p>
              </w:tc>
              <w:tc>
                <w:tcPr>
                  <w:tcW w:w="579" w:type="dxa"/>
                  <w:noWrap w:val="0"/>
                  <w:vAlign w:val="center"/>
                </w:tcPr>
                <w:p w14:paraId="28A534E4">
                  <w:pPr>
                    <w:autoSpaceDE w:val="0"/>
                    <w:autoSpaceDN w:val="0"/>
                    <w:adjustRightInd w:val="0"/>
                    <w:snapToGrid w:val="0"/>
                    <w:spacing w:line="280" w:lineRule="exact"/>
                    <w:jc w:val="center"/>
                    <w:rPr>
                      <w:rFonts w:hint="eastAsia" w:ascii="Times New Roman" w:hAnsi="Times New Roman" w:eastAsia="宋体" w:cs="Times New Roman"/>
                      <w:bCs/>
                      <w:color w:val="auto"/>
                      <w:spacing w:val="-11"/>
                      <w:kern w:val="0"/>
                      <w:sz w:val="18"/>
                      <w:szCs w:val="18"/>
                    </w:rPr>
                  </w:pPr>
                  <w:r>
                    <w:rPr>
                      <w:rFonts w:hint="eastAsia" w:ascii="Times New Roman" w:hAnsi="Times New Roman" w:eastAsia="宋体" w:cs="Times New Roman"/>
                      <w:bCs/>
                      <w:color w:val="auto"/>
                      <w:spacing w:val="-11"/>
                      <w:kern w:val="0"/>
                      <w:sz w:val="18"/>
                      <w:szCs w:val="18"/>
                    </w:rPr>
                    <w:t>符合性</w:t>
                  </w:r>
                </w:p>
              </w:tc>
            </w:tr>
            <w:tr w14:paraId="5344189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27" w:hRule="atLeast"/>
                <w:jc w:val="center"/>
              </w:trPr>
              <w:tc>
                <w:tcPr>
                  <w:tcW w:w="427" w:type="dxa"/>
                  <w:vMerge w:val="restart"/>
                  <w:shd w:val="clear" w:color="auto" w:fill="auto"/>
                  <w:noWrap w:val="0"/>
                  <w:vAlign w:val="center"/>
                </w:tcPr>
                <w:p w14:paraId="61812D65">
                  <w:pPr>
                    <w:autoSpaceDE w:val="0"/>
                    <w:autoSpaceDN w:val="0"/>
                    <w:adjustRightInd w:val="0"/>
                    <w:snapToGrid w:val="0"/>
                    <w:spacing w:line="280" w:lineRule="exact"/>
                    <w:jc w:val="center"/>
                    <w:rPr>
                      <w:rFonts w:hint="eastAsia" w:ascii="Times New Roman" w:hAnsi="Times New Roman" w:eastAsia="宋体" w:cs="Times New Roman"/>
                      <w:bCs/>
                      <w:color w:val="auto"/>
                      <w:spacing w:val="-11"/>
                      <w:kern w:val="0"/>
                      <w:sz w:val="18"/>
                      <w:szCs w:val="18"/>
                      <w:lang w:val="en-US" w:eastAsia="zh-CN" w:bidi="ar-SA"/>
                    </w:rPr>
                  </w:pPr>
                  <w:r>
                    <w:rPr>
                      <w:rFonts w:hint="eastAsia" w:ascii="Times New Roman" w:hAnsi="Times New Roman" w:eastAsia="宋体" w:cs="Times New Roman"/>
                      <w:bCs/>
                      <w:color w:val="auto"/>
                      <w:spacing w:val="-11"/>
                      <w:kern w:val="0"/>
                      <w:sz w:val="18"/>
                      <w:szCs w:val="18"/>
                      <w:lang w:val="en-US" w:eastAsia="zh-CN"/>
                    </w:rPr>
                    <w:t>6</w:t>
                  </w:r>
                </w:p>
              </w:tc>
              <w:tc>
                <w:tcPr>
                  <w:tcW w:w="785" w:type="dxa"/>
                  <w:vMerge w:val="restart"/>
                  <w:shd w:val="clear" w:color="auto" w:fill="auto"/>
                  <w:noWrap w:val="0"/>
                  <w:vAlign w:val="center"/>
                </w:tcPr>
                <w:p w14:paraId="10F051A0">
                  <w:pPr>
                    <w:keepNext w:val="0"/>
                    <w:keepLines w:val="0"/>
                    <w:widowControl/>
                    <w:numPr>
                      <w:ilvl w:val="0"/>
                      <w:numId w:val="0"/>
                    </w:numPr>
                    <w:suppressLineNumbers w:val="0"/>
                    <w:jc w:val="center"/>
                    <w:rPr>
                      <w:rFonts w:hint="eastAsia" w:ascii="Times New Roman" w:hAnsi="Times New Roman" w:eastAsia="宋体" w:cs="Times New Roman"/>
                      <w:color w:val="auto"/>
                      <w:spacing w:val="-10"/>
                      <w:sz w:val="18"/>
                      <w:szCs w:val="18"/>
                      <w:highlight w:val="none"/>
                      <w:lang w:val="en-US" w:eastAsia="zh-CN"/>
                    </w:rPr>
                  </w:pPr>
                  <w:r>
                    <w:rPr>
                      <w:rFonts w:hint="default" w:ascii="Times New Roman" w:hAnsi="Times New Roman" w:eastAsia="宋体" w:cs="Times New Roman"/>
                      <w:bCs/>
                      <w:color w:val="auto"/>
                      <w:spacing w:val="-11"/>
                      <w:kern w:val="0"/>
                      <w:sz w:val="18"/>
                      <w:szCs w:val="18"/>
                    </w:rPr>
                    <w:t>《</w:t>
                  </w:r>
                  <w:r>
                    <w:rPr>
                      <w:rFonts w:hint="eastAsia" w:ascii="Times New Roman" w:hAnsi="Times New Roman" w:eastAsia="宋体" w:cs="Times New Roman"/>
                      <w:color w:val="auto"/>
                      <w:spacing w:val="-10"/>
                      <w:sz w:val="18"/>
                      <w:szCs w:val="18"/>
                      <w:highlight w:val="none"/>
                      <w:lang w:val="en-US" w:eastAsia="zh-CN"/>
                    </w:rPr>
                    <w:t xml:space="preserve">唐山市生态环境保护“十四 </w:t>
                  </w:r>
                </w:p>
                <w:p w14:paraId="7C512D10">
                  <w:pPr>
                    <w:autoSpaceDE w:val="0"/>
                    <w:autoSpaceDN w:val="0"/>
                    <w:adjustRightInd w:val="0"/>
                    <w:snapToGrid w:val="0"/>
                    <w:spacing w:line="280" w:lineRule="exact"/>
                    <w:jc w:val="center"/>
                    <w:rPr>
                      <w:rFonts w:hint="default" w:ascii="Times New Roman" w:hAnsi="Times New Roman" w:eastAsia="宋体" w:cs="Times New Roman"/>
                      <w:bCs/>
                      <w:color w:val="auto"/>
                      <w:spacing w:val="-11"/>
                      <w:kern w:val="0"/>
                      <w:sz w:val="18"/>
                      <w:szCs w:val="18"/>
                      <w:lang w:val="en-US" w:eastAsia="zh-CN" w:bidi="ar-SA"/>
                    </w:rPr>
                  </w:pPr>
                  <w:r>
                    <w:rPr>
                      <w:rFonts w:hint="eastAsia" w:ascii="Times New Roman" w:hAnsi="Times New Roman" w:eastAsia="宋体" w:cs="Times New Roman"/>
                      <w:color w:val="auto"/>
                      <w:spacing w:val="-10"/>
                      <w:sz w:val="18"/>
                      <w:szCs w:val="18"/>
                      <w:highlight w:val="none"/>
                      <w:lang w:val="en-US" w:eastAsia="zh-CN"/>
                    </w:rPr>
                    <w:t>五”规划</w:t>
                  </w:r>
                  <w:r>
                    <w:rPr>
                      <w:rFonts w:hint="default" w:ascii="Times New Roman" w:hAnsi="Times New Roman" w:eastAsia="宋体" w:cs="Times New Roman"/>
                      <w:bCs/>
                      <w:color w:val="auto"/>
                      <w:spacing w:val="-11"/>
                      <w:kern w:val="0"/>
                      <w:sz w:val="18"/>
                      <w:szCs w:val="18"/>
                    </w:rPr>
                    <w:t>》</w:t>
                  </w:r>
                </w:p>
              </w:tc>
              <w:tc>
                <w:tcPr>
                  <w:tcW w:w="3062" w:type="dxa"/>
                  <w:shd w:val="clear" w:color="auto" w:fill="auto"/>
                  <w:noWrap w:val="0"/>
                  <w:vAlign w:val="center"/>
                </w:tcPr>
                <w:p w14:paraId="36896244">
                  <w:pPr>
                    <w:keepNext w:val="0"/>
                    <w:keepLines w:val="0"/>
                    <w:widowControl/>
                    <w:numPr>
                      <w:ilvl w:val="0"/>
                      <w:numId w:val="0"/>
                    </w:numPr>
                    <w:suppressLineNumbers w:val="0"/>
                    <w:ind w:left="0" w:leftChars="0" w:firstLine="0" w:firstLineChars="0"/>
                    <w:jc w:val="left"/>
                    <w:rPr>
                      <w:rFonts w:hint="default" w:ascii="Times New Roman" w:hAnsi="Times New Roman" w:eastAsia="宋体" w:cs="Times New Roman"/>
                      <w:color w:val="auto"/>
                      <w:spacing w:val="-10"/>
                      <w:kern w:val="2"/>
                      <w:sz w:val="18"/>
                      <w:szCs w:val="18"/>
                      <w:highlight w:val="none"/>
                      <w:lang w:val="en-US" w:eastAsia="zh-CN" w:bidi="ar-SA"/>
                    </w:rPr>
                  </w:pPr>
                  <w:r>
                    <w:rPr>
                      <w:rFonts w:hint="eastAsia" w:ascii="Times New Roman" w:hAnsi="Times New Roman" w:eastAsia="宋体" w:cs="Times New Roman"/>
                      <w:color w:val="auto"/>
                      <w:spacing w:val="-10"/>
                      <w:sz w:val="18"/>
                      <w:szCs w:val="18"/>
                      <w:highlight w:val="none"/>
                      <w:lang w:val="en-US" w:eastAsia="zh-CN"/>
                    </w:rPr>
                    <w:t>严格项目准入及监管：加强能耗总量和强度双控、煤炭消费和污染物排放总量控制，强化市场准入约束，抑制高碳投资，严格控制高耗能高排放项目发展。严禁新增钢铁、焦化、水泥熟料、平板玻璃、煤化工产能。依法依规加强节能审查事中事后监管。深化生态环境“放管服”改革，推进环评审批、生态环境监管和监督执法“正面清单”制度化、规范化，持续优化营商环境。</w:t>
                  </w:r>
                </w:p>
              </w:tc>
              <w:tc>
                <w:tcPr>
                  <w:tcW w:w="2252" w:type="dxa"/>
                  <w:shd w:val="clear" w:color="auto" w:fill="auto"/>
                  <w:noWrap w:val="0"/>
                  <w:vAlign w:val="center"/>
                </w:tcPr>
                <w:p w14:paraId="5ACA4714">
                  <w:pPr>
                    <w:keepNext w:val="0"/>
                    <w:keepLines w:val="0"/>
                    <w:widowControl/>
                    <w:numPr>
                      <w:ilvl w:val="0"/>
                      <w:numId w:val="0"/>
                    </w:numPr>
                    <w:suppressLineNumbers w:val="0"/>
                    <w:ind w:left="0" w:leftChars="0" w:firstLine="0" w:firstLineChars="0"/>
                    <w:jc w:val="left"/>
                    <w:rPr>
                      <w:rFonts w:hint="eastAsia" w:ascii="Times New Roman" w:hAnsi="Times New Roman" w:eastAsia="宋体" w:cs="Times New Roman"/>
                      <w:color w:val="auto"/>
                      <w:spacing w:val="-10"/>
                      <w:kern w:val="2"/>
                      <w:sz w:val="18"/>
                      <w:szCs w:val="18"/>
                      <w:highlight w:val="none"/>
                      <w:lang w:val="en-US" w:eastAsia="zh-CN" w:bidi="ar-SA"/>
                    </w:rPr>
                  </w:pPr>
                  <w:r>
                    <w:rPr>
                      <w:rFonts w:hint="eastAsia" w:ascii="Times New Roman" w:hAnsi="Times New Roman" w:eastAsia="宋体" w:cs="Times New Roman"/>
                      <w:color w:val="auto"/>
                      <w:spacing w:val="-10"/>
                      <w:sz w:val="18"/>
                      <w:szCs w:val="18"/>
                      <w:highlight w:val="none"/>
                      <w:lang w:val="en-US" w:eastAsia="zh-CN"/>
                    </w:rPr>
                    <w:t>项目为</w:t>
                  </w:r>
                  <w:r>
                    <w:rPr>
                      <w:rFonts w:hint="eastAsia" w:ascii="Times New Roman" w:hAnsi="Times New Roman" w:eastAsia="宋体" w:cs="Times New Roman"/>
                      <w:bCs/>
                      <w:color w:val="auto"/>
                      <w:spacing w:val="-11"/>
                      <w:kern w:val="0"/>
                      <w:sz w:val="18"/>
                      <w:szCs w:val="18"/>
                      <w:highlight w:val="none"/>
                      <w:lang w:val="en-US" w:eastAsia="zh-CN"/>
                    </w:rPr>
                    <w:t>C4210金属废料和碎屑加工处理及C4220非金属废料和碎屑加工处理，为</w:t>
                  </w:r>
                  <w:r>
                    <w:rPr>
                      <w:rFonts w:hint="eastAsia" w:ascii="Times New Roman" w:hAnsi="Times New Roman" w:eastAsia="宋体" w:cs="Times New Roman"/>
                      <w:color w:val="auto"/>
                      <w:spacing w:val="-10"/>
                      <w:sz w:val="18"/>
                      <w:szCs w:val="18"/>
                      <w:highlight w:val="none"/>
                      <w:lang w:val="en-US" w:eastAsia="zh-CN"/>
                    </w:rPr>
                    <w:t>固废资源综合利用项目，不涉及煤炭</w:t>
                  </w:r>
                  <w:r>
                    <w:rPr>
                      <w:rFonts w:hint="eastAsia" w:cs="Times New Roman"/>
                      <w:color w:val="auto"/>
                      <w:spacing w:val="-10"/>
                      <w:sz w:val="18"/>
                      <w:szCs w:val="18"/>
                      <w:highlight w:val="none"/>
                      <w:lang w:val="en-US" w:eastAsia="zh-CN"/>
                    </w:rPr>
                    <w:t>消耗</w:t>
                  </w:r>
                  <w:r>
                    <w:rPr>
                      <w:rFonts w:hint="eastAsia" w:ascii="Times New Roman" w:hAnsi="Times New Roman" w:eastAsia="宋体" w:cs="Times New Roman"/>
                      <w:color w:val="auto"/>
                      <w:spacing w:val="-10"/>
                      <w:sz w:val="18"/>
                      <w:szCs w:val="18"/>
                      <w:highlight w:val="none"/>
                      <w:lang w:val="en-US" w:eastAsia="zh-CN"/>
                    </w:rPr>
                    <w:t>，不属于高耗能高排放项目</w:t>
                  </w:r>
                  <w:r>
                    <w:rPr>
                      <w:rFonts w:hint="eastAsia" w:cs="Times New Roman"/>
                      <w:color w:val="auto"/>
                      <w:spacing w:val="-10"/>
                      <w:sz w:val="18"/>
                      <w:szCs w:val="18"/>
                      <w:highlight w:val="none"/>
                      <w:lang w:val="en-US" w:eastAsia="zh-CN"/>
                    </w:rPr>
                    <w:t>。</w:t>
                  </w:r>
                </w:p>
              </w:tc>
              <w:tc>
                <w:tcPr>
                  <w:tcW w:w="579" w:type="dxa"/>
                  <w:shd w:val="clear" w:color="auto" w:fill="auto"/>
                  <w:noWrap w:val="0"/>
                  <w:vAlign w:val="center"/>
                </w:tcPr>
                <w:p w14:paraId="54B89224">
                  <w:pPr>
                    <w:autoSpaceDE w:val="0"/>
                    <w:autoSpaceDN w:val="0"/>
                    <w:adjustRightInd w:val="0"/>
                    <w:snapToGrid w:val="0"/>
                    <w:spacing w:line="280" w:lineRule="exact"/>
                    <w:jc w:val="center"/>
                    <w:rPr>
                      <w:rFonts w:hint="eastAsia" w:ascii="Times New Roman" w:hAnsi="Times New Roman" w:eastAsia="宋体" w:cs="Times New Roman"/>
                      <w:bCs/>
                      <w:color w:val="auto"/>
                      <w:spacing w:val="-11"/>
                      <w:kern w:val="0"/>
                      <w:sz w:val="18"/>
                      <w:szCs w:val="18"/>
                      <w:lang w:val="en-US" w:eastAsia="zh-CN" w:bidi="ar-SA"/>
                    </w:rPr>
                  </w:pPr>
                  <w:r>
                    <w:rPr>
                      <w:rFonts w:hint="eastAsia" w:ascii="Times New Roman" w:hAnsi="Times New Roman" w:eastAsia="宋体" w:cs="Times New Roman"/>
                      <w:bCs/>
                      <w:color w:val="auto"/>
                      <w:spacing w:val="-11"/>
                      <w:kern w:val="0"/>
                      <w:sz w:val="18"/>
                      <w:szCs w:val="18"/>
                      <w:lang w:val="en-US" w:eastAsia="zh-CN"/>
                    </w:rPr>
                    <w:t>符合</w:t>
                  </w:r>
                </w:p>
              </w:tc>
            </w:tr>
            <w:tr w14:paraId="65E82CE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27" w:hRule="atLeast"/>
                <w:jc w:val="center"/>
              </w:trPr>
              <w:tc>
                <w:tcPr>
                  <w:tcW w:w="427" w:type="dxa"/>
                  <w:vMerge w:val="continue"/>
                  <w:noWrap w:val="0"/>
                  <w:vAlign w:val="center"/>
                </w:tcPr>
                <w:p w14:paraId="6B70AC7A">
                  <w:pPr>
                    <w:autoSpaceDE w:val="0"/>
                    <w:autoSpaceDN w:val="0"/>
                    <w:adjustRightInd w:val="0"/>
                    <w:snapToGrid w:val="0"/>
                    <w:spacing w:line="280" w:lineRule="exact"/>
                    <w:jc w:val="center"/>
                    <w:rPr>
                      <w:rFonts w:hint="eastAsia" w:ascii="Times New Roman" w:hAnsi="Times New Roman" w:eastAsia="宋体" w:cs="Times New Roman"/>
                      <w:bCs/>
                      <w:color w:val="auto"/>
                      <w:spacing w:val="-11"/>
                      <w:kern w:val="0"/>
                      <w:sz w:val="18"/>
                      <w:szCs w:val="18"/>
                      <w:lang w:val="en-US" w:eastAsia="zh-CN"/>
                    </w:rPr>
                  </w:pPr>
                </w:p>
              </w:tc>
              <w:tc>
                <w:tcPr>
                  <w:tcW w:w="785" w:type="dxa"/>
                  <w:vMerge w:val="continue"/>
                  <w:noWrap w:val="0"/>
                  <w:vAlign w:val="center"/>
                </w:tcPr>
                <w:p w14:paraId="1D56E0A8">
                  <w:pPr>
                    <w:autoSpaceDE w:val="0"/>
                    <w:autoSpaceDN w:val="0"/>
                    <w:adjustRightInd w:val="0"/>
                    <w:snapToGrid w:val="0"/>
                    <w:spacing w:line="280" w:lineRule="exact"/>
                    <w:jc w:val="center"/>
                    <w:rPr>
                      <w:rFonts w:hint="default" w:ascii="Times New Roman" w:hAnsi="Times New Roman" w:eastAsia="宋体" w:cs="Times New Roman"/>
                      <w:bCs/>
                      <w:color w:val="auto"/>
                      <w:spacing w:val="-11"/>
                      <w:kern w:val="0"/>
                      <w:sz w:val="18"/>
                      <w:szCs w:val="18"/>
                    </w:rPr>
                  </w:pPr>
                </w:p>
              </w:tc>
              <w:tc>
                <w:tcPr>
                  <w:tcW w:w="3062" w:type="dxa"/>
                  <w:shd w:val="clear" w:color="auto" w:fill="auto"/>
                  <w:noWrap w:val="0"/>
                  <w:vAlign w:val="center"/>
                </w:tcPr>
                <w:p w14:paraId="16681B8E">
                  <w:pPr>
                    <w:keepNext w:val="0"/>
                    <w:keepLines w:val="0"/>
                    <w:widowControl/>
                    <w:numPr>
                      <w:ilvl w:val="0"/>
                      <w:numId w:val="0"/>
                    </w:numPr>
                    <w:suppressLineNumbers w:val="0"/>
                    <w:ind w:left="0" w:leftChars="0" w:firstLine="0" w:firstLineChars="0"/>
                    <w:jc w:val="left"/>
                    <w:rPr>
                      <w:rFonts w:hint="default" w:ascii="Times New Roman" w:hAnsi="Times New Roman" w:eastAsia="宋体" w:cs="Times New Roman"/>
                      <w:color w:val="auto"/>
                      <w:spacing w:val="-10"/>
                      <w:kern w:val="2"/>
                      <w:sz w:val="18"/>
                      <w:szCs w:val="18"/>
                      <w:highlight w:val="none"/>
                      <w:lang w:val="en-US" w:eastAsia="zh-CN" w:bidi="ar-SA"/>
                    </w:rPr>
                  </w:pPr>
                  <w:r>
                    <w:rPr>
                      <w:rFonts w:hint="eastAsia" w:ascii="Times New Roman" w:hAnsi="Times New Roman" w:eastAsia="宋体" w:cs="Times New Roman"/>
                      <w:color w:val="auto"/>
                      <w:spacing w:val="-10"/>
                      <w:sz w:val="18"/>
                      <w:szCs w:val="18"/>
                      <w:highlight w:val="none"/>
                      <w:lang w:val="en-US" w:eastAsia="zh-CN"/>
                    </w:rPr>
                    <w:t>大力发展低碳交通，不断提高营运车辆和船舶的新能源和清洁能源应用比例。加大交通领域节能低碳技术研发与应用，推广智能交通以及节能低碳型交通工具，持续降低新生产汽车的燃料消耗及二氧化碳排放量。</w:t>
                  </w:r>
                </w:p>
              </w:tc>
              <w:tc>
                <w:tcPr>
                  <w:tcW w:w="2252" w:type="dxa"/>
                  <w:shd w:val="clear" w:color="auto" w:fill="auto"/>
                  <w:noWrap w:val="0"/>
                  <w:vAlign w:val="center"/>
                </w:tcPr>
                <w:p w14:paraId="273DF958">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Times New Roman" w:hAnsi="Times New Roman" w:eastAsia="宋体" w:cs="Times New Roman"/>
                      <w:color w:val="auto"/>
                      <w:spacing w:val="-10"/>
                      <w:kern w:val="2"/>
                      <w:sz w:val="18"/>
                      <w:szCs w:val="18"/>
                      <w:lang w:val="en-US" w:eastAsia="zh-CN" w:bidi="ar-SA"/>
                    </w:rPr>
                  </w:pPr>
                  <w:r>
                    <w:rPr>
                      <w:rFonts w:hint="eastAsia" w:ascii="Times New Roman" w:hAnsi="Times New Roman" w:eastAsia="宋体" w:cs="Times New Roman"/>
                      <w:color w:val="auto"/>
                      <w:spacing w:val="-10"/>
                      <w:sz w:val="18"/>
                      <w:szCs w:val="18"/>
                      <w:lang w:val="en-US" w:eastAsia="zh-CN"/>
                    </w:rPr>
                    <w:t>本项目</w:t>
                  </w:r>
                  <w:r>
                    <w:rPr>
                      <w:rFonts w:hint="eastAsia" w:cs="Times New Roman"/>
                      <w:color w:val="auto"/>
                      <w:spacing w:val="-10"/>
                      <w:sz w:val="18"/>
                      <w:szCs w:val="18"/>
                      <w:lang w:val="en-US" w:eastAsia="zh-CN"/>
                    </w:rPr>
                    <w:t>运输车辆</w:t>
                  </w:r>
                  <w:r>
                    <w:rPr>
                      <w:rFonts w:hint="eastAsia" w:ascii="Times New Roman" w:hAnsi="Times New Roman" w:eastAsia="宋体" w:cs="Times New Roman"/>
                      <w:color w:val="auto"/>
                      <w:spacing w:val="-10"/>
                      <w:sz w:val="18"/>
                      <w:szCs w:val="18"/>
                      <w:lang w:val="en-US" w:eastAsia="zh-CN"/>
                    </w:rPr>
                    <w:t>全部采用新能源汽车或达到国六排放标准的汽车运输</w:t>
                  </w:r>
                  <w:r>
                    <w:rPr>
                      <w:rFonts w:hint="eastAsia" w:cs="Times New Roman"/>
                      <w:color w:val="auto"/>
                      <w:spacing w:val="-10"/>
                      <w:sz w:val="18"/>
                      <w:szCs w:val="18"/>
                      <w:lang w:val="en-US" w:eastAsia="zh-CN"/>
                    </w:rPr>
                    <w:t>。</w:t>
                  </w:r>
                </w:p>
              </w:tc>
              <w:tc>
                <w:tcPr>
                  <w:tcW w:w="579" w:type="dxa"/>
                  <w:shd w:val="clear" w:color="auto" w:fill="auto"/>
                  <w:noWrap w:val="0"/>
                  <w:vAlign w:val="center"/>
                </w:tcPr>
                <w:p w14:paraId="46D2A105">
                  <w:pPr>
                    <w:autoSpaceDE w:val="0"/>
                    <w:autoSpaceDN w:val="0"/>
                    <w:adjustRightInd w:val="0"/>
                    <w:snapToGrid w:val="0"/>
                    <w:spacing w:line="280" w:lineRule="exact"/>
                    <w:jc w:val="center"/>
                    <w:rPr>
                      <w:rFonts w:hint="eastAsia" w:ascii="Times New Roman" w:hAnsi="Times New Roman" w:eastAsia="宋体" w:cs="Times New Roman"/>
                      <w:bCs/>
                      <w:color w:val="auto"/>
                      <w:spacing w:val="-11"/>
                      <w:kern w:val="0"/>
                      <w:sz w:val="18"/>
                      <w:szCs w:val="18"/>
                      <w:lang w:val="en-US" w:eastAsia="zh-CN" w:bidi="ar-SA"/>
                    </w:rPr>
                  </w:pPr>
                  <w:r>
                    <w:rPr>
                      <w:rFonts w:hint="eastAsia" w:ascii="Times New Roman" w:hAnsi="Times New Roman" w:eastAsia="宋体" w:cs="Times New Roman"/>
                      <w:bCs/>
                      <w:color w:val="auto"/>
                      <w:spacing w:val="-11"/>
                      <w:kern w:val="0"/>
                      <w:sz w:val="18"/>
                      <w:szCs w:val="18"/>
                      <w:lang w:val="en-US" w:eastAsia="zh-CN"/>
                    </w:rPr>
                    <w:t>符合</w:t>
                  </w:r>
                </w:p>
              </w:tc>
            </w:tr>
            <w:tr w14:paraId="1EB0CF1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27" w:hRule="atLeast"/>
                <w:jc w:val="center"/>
              </w:trPr>
              <w:tc>
                <w:tcPr>
                  <w:tcW w:w="427" w:type="dxa"/>
                  <w:vMerge w:val="continue"/>
                  <w:shd w:val="clear" w:color="auto" w:fill="auto"/>
                  <w:vAlign w:val="center"/>
                </w:tcPr>
                <w:p w14:paraId="7ACF7D9D">
                  <w:pPr>
                    <w:autoSpaceDE w:val="0"/>
                    <w:autoSpaceDN w:val="0"/>
                    <w:adjustRightInd w:val="0"/>
                    <w:snapToGrid w:val="0"/>
                    <w:spacing w:line="280" w:lineRule="exact"/>
                    <w:jc w:val="center"/>
                    <w:rPr>
                      <w:rFonts w:hint="eastAsia" w:ascii="Times New Roman" w:hAnsi="Times New Roman" w:eastAsia="宋体" w:cs="Times New Roman"/>
                      <w:bCs/>
                      <w:color w:val="auto"/>
                      <w:spacing w:val="-11"/>
                      <w:kern w:val="0"/>
                      <w:sz w:val="18"/>
                      <w:szCs w:val="18"/>
                      <w:lang w:val="en-US" w:eastAsia="zh-CN" w:bidi="ar-SA"/>
                    </w:rPr>
                  </w:pPr>
                </w:p>
              </w:tc>
              <w:tc>
                <w:tcPr>
                  <w:tcW w:w="785" w:type="dxa"/>
                  <w:vMerge w:val="continue"/>
                  <w:shd w:val="clear" w:color="auto" w:fill="auto"/>
                  <w:vAlign w:val="center"/>
                </w:tcPr>
                <w:p w14:paraId="525247D9">
                  <w:pPr>
                    <w:autoSpaceDE w:val="0"/>
                    <w:autoSpaceDN w:val="0"/>
                    <w:adjustRightInd w:val="0"/>
                    <w:snapToGrid w:val="0"/>
                    <w:spacing w:line="280" w:lineRule="exact"/>
                    <w:jc w:val="center"/>
                    <w:rPr>
                      <w:rFonts w:hint="default" w:ascii="Times New Roman" w:hAnsi="Times New Roman" w:eastAsia="宋体" w:cs="Times New Roman"/>
                      <w:bCs/>
                      <w:color w:val="auto"/>
                      <w:spacing w:val="-11"/>
                      <w:kern w:val="0"/>
                      <w:sz w:val="18"/>
                      <w:szCs w:val="18"/>
                      <w:lang w:val="en-US" w:eastAsia="zh-CN" w:bidi="ar-SA"/>
                    </w:rPr>
                  </w:pPr>
                </w:p>
              </w:tc>
              <w:tc>
                <w:tcPr>
                  <w:tcW w:w="3062" w:type="dxa"/>
                  <w:shd w:val="clear" w:color="auto" w:fill="auto"/>
                  <w:vAlign w:val="center"/>
                </w:tcPr>
                <w:p w14:paraId="763E54B0">
                  <w:pPr>
                    <w:keepNext w:val="0"/>
                    <w:keepLines w:val="0"/>
                    <w:widowControl/>
                    <w:numPr>
                      <w:ilvl w:val="0"/>
                      <w:numId w:val="0"/>
                    </w:numPr>
                    <w:suppressLineNumbers w:val="0"/>
                    <w:ind w:left="0" w:leftChars="0" w:firstLine="0" w:firstLineChars="0"/>
                    <w:jc w:val="left"/>
                    <w:rPr>
                      <w:rFonts w:hint="default" w:ascii="Times New Roman" w:hAnsi="Times New Roman" w:eastAsia="宋体" w:cs="Times New Roman"/>
                      <w:color w:val="auto"/>
                      <w:spacing w:val="-10"/>
                      <w:kern w:val="2"/>
                      <w:sz w:val="18"/>
                      <w:szCs w:val="18"/>
                      <w:highlight w:val="none"/>
                      <w:lang w:val="en-US" w:eastAsia="zh-CN" w:bidi="ar-SA"/>
                    </w:rPr>
                  </w:pPr>
                  <w:r>
                    <w:rPr>
                      <w:rFonts w:hint="eastAsia" w:ascii="Times New Roman" w:hAnsi="Times New Roman" w:eastAsia="宋体" w:cs="Times New Roman"/>
                      <w:color w:val="auto"/>
                      <w:spacing w:val="-10"/>
                      <w:sz w:val="18"/>
                      <w:szCs w:val="18"/>
                      <w:highlight w:val="none"/>
                      <w:lang w:val="en-US" w:eastAsia="zh-CN"/>
                    </w:rPr>
                    <w:t>强化规划管控优化空间格局：永久基本农田集中区域禁止新建可能造成土壤污染的建设项目。</w:t>
                  </w:r>
                </w:p>
              </w:tc>
              <w:tc>
                <w:tcPr>
                  <w:tcW w:w="2252" w:type="dxa"/>
                  <w:shd w:val="clear" w:color="auto" w:fill="auto"/>
                  <w:vAlign w:val="center"/>
                </w:tcPr>
                <w:p w14:paraId="680FCB99">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Times New Roman" w:hAnsi="Times New Roman" w:eastAsia="宋体" w:cs="Times New Roman"/>
                      <w:color w:val="auto"/>
                      <w:spacing w:val="-10"/>
                      <w:kern w:val="2"/>
                      <w:sz w:val="18"/>
                      <w:szCs w:val="18"/>
                      <w:lang w:val="en-US" w:eastAsia="zh-CN" w:bidi="ar-SA"/>
                    </w:rPr>
                  </w:pPr>
                  <w:r>
                    <w:rPr>
                      <w:rFonts w:hint="eastAsia" w:ascii="Times New Roman" w:hAnsi="Times New Roman" w:eastAsia="宋体" w:cs="Times New Roman"/>
                      <w:color w:val="auto"/>
                      <w:spacing w:val="-10"/>
                      <w:sz w:val="18"/>
                      <w:szCs w:val="18"/>
                      <w:lang w:val="en-US" w:eastAsia="zh-CN"/>
                    </w:rPr>
                    <w:t>项目位于</w:t>
                  </w:r>
                  <w:r>
                    <w:rPr>
                      <w:rFonts w:hint="default" w:ascii="Times New Roman" w:hAnsi="Times New Roman" w:eastAsia="宋体" w:cs="Times New Roman"/>
                      <w:bCs/>
                      <w:color w:val="auto"/>
                      <w:spacing w:val="-11"/>
                      <w:kern w:val="0"/>
                      <w:sz w:val="18"/>
                      <w:szCs w:val="18"/>
                      <w:lang w:val="en-US" w:eastAsia="zh-CN"/>
                    </w:rPr>
                    <w:t>滦州市</w:t>
                  </w:r>
                  <w:r>
                    <w:rPr>
                      <w:rFonts w:hint="eastAsia" w:ascii="Times New Roman" w:hAnsi="Times New Roman" w:eastAsia="宋体" w:cs="Times New Roman"/>
                      <w:bCs/>
                      <w:color w:val="auto"/>
                      <w:spacing w:val="-11"/>
                      <w:kern w:val="0"/>
                      <w:sz w:val="18"/>
                      <w:szCs w:val="18"/>
                      <w:lang w:val="en-US" w:eastAsia="zh-CN"/>
                    </w:rPr>
                    <w:t>九百户镇</w:t>
                  </w:r>
                  <w:r>
                    <w:rPr>
                      <w:rFonts w:hint="default" w:ascii="Times New Roman" w:hAnsi="Times New Roman" w:eastAsia="宋体" w:cs="Times New Roman"/>
                      <w:bCs/>
                      <w:color w:val="auto"/>
                      <w:spacing w:val="-11"/>
                      <w:kern w:val="0"/>
                      <w:sz w:val="18"/>
                      <w:szCs w:val="18"/>
                      <w:lang w:val="en-US" w:eastAsia="zh-CN"/>
                    </w:rPr>
                    <w:t>镇</w:t>
                  </w:r>
                  <w:r>
                    <w:rPr>
                      <w:rFonts w:hint="eastAsia" w:ascii="Times New Roman" w:hAnsi="Times New Roman" w:eastAsia="宋体" w:cs="Times New Roman"/>
                      <w:bCs/>
                      <w:color w:val="auto"/>
                      <w:spacing w:val="-11"/>
                      <w:kern w:val="0"/>
                      <w:sz w:val="18"/>
                      <w:szCs w:val="18"/>
                      <w:lang w:val="en-US" w:eastAsia="zh-CN"/>
                    </w:rPr>
                    <w:t>宜安村西，项目占地性质为建设用地，项目不新增违法占地</w:t>
                  </w:r>
                  <w:r>
                    <w:rPr>
                      <w:rFonts w:hint="eastAsia" w:ascii="Times New Roman" w:hAnsi="Times New Roman" w:eastAsia="宋体" w:cs="Times New Roman"/>
                      <w:color w:val="auto"/>
                      <w:spacing w:val="-10"/>
                      <w:sz w:val="18"/>
                      <w:szCs w:val="18"/>
                      <w:lang w:val="en-US" w:eastAsia="zh-CN"/>
                    </w:rPr>
                    <w:t>，不涉及占用基本农田</w:t>
                  </w:r>
                  <w:r>
                    <w:rPr>
                      <w:rFonts w:hint="eastAsia" w:cs="Times New Roman"/>
                      <w:color w:val="auto"/>
                      <w:spacing w:val="-10"/>
                      <w:sz w:val="18"/>
                      <w:szCs w:val="18"/>
                      <w:lang w:val="en-US" w:eastAsia="zh-CN"/>
                    </w:rPr>
                    <w:t>。</w:t>
                  </w:r>
                </w:p>
              </w:tc>
              <w:tc>
                <w:tcPr>
                  <w:tcW w:w="579" w:type="dxa"/>
                  <w:shd w:val="clear" w:color="auto" w:fill="auto"/>
                  <w:vAlign w:val="center"/>
                </w:tcPr>
                <w:p w14:paraId="419FAAA6">
                  <w:pPr>
                    <w:autoSpaceDE w:val="0"/>
                    <w:autoSpaceDN w:val="0"/>
                    <w:adjustRightInd w:val="0"/>
                    <w:snapToGrid w:val="0"/>
                    <w:spacing w:line="280" w:lineRule="exact"/>
                    <w:jc w:val="center"/>
                    <w:rPr>
                      <w:rFonts w:hint="eastAsia" w:ascii="Times New Roman" w:hAnsi="Times New Roman" w:eastAsia="宋体" w:cs="Times New Roman"/>
                      <w:bCs/>
                      <w:color w:val="auto"/>
                      <w:spacing w:val="-11"/>
                      <w:kern w:val="0"/>
                      <w:sz w:val="18"/>
                      <w:szCs w:val="18"/>
                      <w:lang w:val="en-US" w:eastAsia="zh-CN" w:bidi="ar-SA"/>
                    </w:rPr>
                  </w:pPr>
                  <w:r>
                    <w:rPr>
                      <w:rFonts w:hint="eastAsia" w:ascii="Times New Roman" w:hAnsi="Times New Roman" w:eastAsia="宋体" w:cs="Times New Roman"/>
                      <w:bCs/>
                      <w:color w:val="auto"/>
                      <w:spacing w:val="-11"/>
                      <w:kern w:val="0"/>
                      <w:sz w:val="18"/>
                      <w:szCs w:val="18"/>
                      <w:lang w:val="en-US" w:eastAsia="zh-CN"/>
                    </w:rPr>
                    <w:t>符合</w:t>
                  </w:r>
                </w:p>
              </w:tc>
            </w:tr>
            <w:tr w14:paraId="59116E7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27" w:hRule="atLeast"/>
                <w:jc w:val="center"/>
              </w:trPr>
              <w:tc>
                <w:tcPr>
                  <w:tcW w:w="427" w:type="dxa"/>
                  <w:vMerge w:val="continue"/>
                </w:tcPr>
                <w:p w14:paraId="7AD00053">
                  <w:pPr>
                    <w:autoSpaceDE w:val="0"/>
                    <w:autoSpaceDN w:val="0"/>
                    <w:adjustRightInd w:val="0"/>
                    <w:snapToGrid w:val="0"/>
                    <w:spacing w:line="280" w:lineRule="exact"/>
                    <w:jc w:val="center"/>
                    <w:rPr>
                      <w:rFonts w:hint="eastAsia" w:ascii="Times New Roman" w:hAnsi="Times New Roman" w:eastAsia="宋体" w:cs="Times New Roman"/>
                      <w:bCs/>
                      <w:color w:val="auto"/>
                      <w:spacing w:val="-11"/>
                      <w:kern w:val="0"/>
                      <w:sz w:val="18"/>
                      <w:szCs w:val="18"/>
                      <w:lang w:val="en-US" w:eastAsia="zh-CN"/>
                    </w:rPr>
                  </w:pPr>
                </w:p>
              </w:tc>
              <w:tc>
                <w:tcPr>
                  <w:tcW w:w="785" w:type="dxa"/>
                  <w:vMerge w:val="continue"/>
                </w:tcPr>
                <w:p w14:paraId="6C93D564">
                  <w:pPr>
                    <w:autoSpaceDE w:val="0"/>
                    <w:autoSpaceDN w:val="0"/>
                    <w:adjustRightInd w:val="0"/>
                    <w:snapToGrid w:val="0"/>
                    <w:spacing w:line="280" w:lineRule="exact"/>
                    <w:jc w:val="center"/>
                    <w:rPr>
                      <w:rFonts w:hint="default" w:ascii="Times New Roman" w:hAnsi="Times New Roman" w:eastAsia="宋体" w:cs="Times New Roman"/>
                      <w:bCs/>
                      <w:color w:val="auto"/>
                      <w:spacing w:val="-11"/>
                      <w:kern w:val="0"/>
                      <w:sz w:val="18"/>
                      <w:szCs w:val="18"/>
                    </w:rPr>
                  </w:pPr>
                </w:p>
              </w:tc>
              <w:tc>
                <w:tcPr>
                  <w:tcW w:w="3062" w:type="dxa"/>
                  <w:shd w:val="clear" w:color="auto" w:fill="auto"/>
                  <w:vAlign w:val="center"/>
                </w:tcPr>
                <w:p w14:paraId="0977B13D">
                  <w:pPr>
                    <w:keepNext w:val="0"/>
                    <w:keepLines w:val="0"/>
                    <w:widowControl/>
                    <w:numPr>
                      <w:ilvl w:val="0"/>
                      <w:numId w:val="0"/>
                    </w:numPr>
                    <w:suppressLineNumbers w:val="0"/>
                    <w:ind w:left="0" w:leftChars="0" w:firstLine="0" w:firstLineChars="0"/>
                    <w:jc w:val="left"/>
                    <w:rPr>
                      <w:rFonts w:hint="default" w:ascii="Times New Roman" w:hAnsi="Times New Roman" w:eastAsia="宋体" w:cs="Times New Roman"/>
                      <w:color w:val="auto"/>
                      <w:spacing w:val="-10"/>
                      <w:kern w:val="2"/>
                      <w:sz w:val="18"/>
                      <w:szCs w:val="18"/>
                      <w:highlight w:val="none"/>
                      <w:lang w:val="en-US" w:eastAsia="zh-CN" w:bidi="ar-SA"/>
                    </w:rPr>
                  </w:pPr>
                  <w:r>
                    <w:rPr>
                      <w:rFonts w:hint="eastAsia" w:ascii="Times New Roman" w:hAnsi="Times New Roman" w:eastAsia="宋体" w:cs="Times New Roman"/>
                      <w:color w:val="auto"/>
                      <w:spacing w:val="-10"/>
                      <w:sz w:val="18"/>
                      <w:szCs w:val="18"/>
                      <w:highlight w:val="none"/>
                      <w:lang w:val="en-US" w:eastAsia="zh-CN"/>
                    </w:rPr>
                    <w:t>加强工业企业土壤污染防治与风险管控：严格落实环境影响评价制度，涉及有毒有害物质可能造成土壤污染的新</w:t>
                  </w:r>
                  <w:r>
                    <w:rPr>
                      <w:rFonts w:hint="default" w:ascii="Times New Roman" w:hAnsi="Times New Roman" w:eastAsia="宋体" w:cs="Times New Roman"/>
                      <w:color w:val="auto"/>
                      <w:spacing w:val="-10"/>
                      <w:sz w:val="18"/>
                      <w:szCs w:val="18"/>
                      <w:highlight w:val="none"/>
                      <w:lang w:val="en-US" w:eastAsia="zh-CN"/>
                    </w:rPr>
                    <w:t>(</w:t>
                  </w:r>
                  <w:r>
                    <w:rPr>
                      <w:rFonts w:hint="eastAsia" w:ascii="Times New Roman" w:hAnsi="Times New Roman" w:eastAsia="宋体" w:cs="Times New Roman"/>
                      <w:color w:val="auto"/>
                      <w:spacing w:val="-10"/>
                      <w:sz w:val="18"/>
                      <w:szCs w:val="18"/>
                      <w:highlight w:val="none"/>
                      <w:lang w:val="en-US" w:eastAsia="zh-CN"/>
                    </w:rPr>
                    <w:t>改、扩</w:t>
                  </w:r>
                  <w:r>
                    <w:rPr>
                      <w:rFonts w:hint="default" w:ascii="Times New Roman" w:hAnsi="Times New Roman" w:eastAsia="宋体" w:cs="Times New Roman"/>
                      <w:color w:val="auto"/>
                      <w:spacing w:val="-10"/>
                      <w:sz w:val="18"/>
                      <w:szCs w:val="18"/>
                      <w:highlight w:val="none"/>
                      <w:lang w:val="en-US" w:eastAsia="zh-CN"/>
                    </w:rPr>
                    <w:t>)</w:t>
                  </w:r>
                  <w:r>
                    <w:rPr>
                      <w:rFonts w:hint="eastAsia" w:ascii="Times New Roman" w:hAnsi="Times New Roman" w:eastAsia="宋体" w:cs="Times New Roman"/>
                      <w:color w:val="auto"/>
                      <w:spacing w:val="-10"/>
                      <w:sz w:val="18"/>
                      <w:szCs w:val="18"/>
                      <w:highlight w:val="none"/>
                      <w:lang w:val="en-US" w:eastAsia="zh-CN"/>
                    </w:rPr>
                    <w:t>建项目，依法进行环境影响评价，提出并落实防腐蚀、防渗漏、防遗撒等土壤污染防治具体措施。落实土壤和地下水污染防治要求。按照国家、省部署，开展典型行业企业用地及周边土壤污染状况调查。持续推进耕地周边污染源整治。动态更新土壤污染重点监管单位名录，监督全面落实土壤污染防治义务，依法纳入排污许可管理，严格落实土壤与地下水污染隐患排查、自行监测及有毒有害物质排放情况定期报告制度。加强企业拆除活动污染防治监管，落实拆除活动污染防治措施。</w:t>
                  </w:r>
                </w:p>
              </w:tc>
              <w:tc>
                <w:tcPr>
                  <w:tcW w:w="2252" w:type="dxa"/>
                  <w:shd w:val="clear" w:color="auto" w:fill="auto"/>
                  <w:vAlign w:val="center"/>
                </w:tcPr>
                <w:p w14:paraId="5DA39D9F">
                  <w:pPr>
                    <w:rPr>
                      <w:rFonts w:hint="eastAsia" w:ascii="Times New Roman" w:hAnsi="Times New Roman" w:eastAsia="宋体" w:cs="Times New Roman"/>
                      <w:color w:val="auto"/>
                      <w:spacing w:val="-10"/>
                      <w:kern w:val="2"/>
                      <w:sz w:val="18"/>
                      <w:szCs w:val="18"/>
                      <w:highlight w:val="none"/>
                      <w:lang w:val="en-US" w:eastAsia="zh-CN" w:bidi="ar-SA"/>
                    </w:rPr>
                  </w:pPr>
                  <w:r>
                    <w:rPr>
                      <w:rFonts w:hint="eastAsia" w:ascii="Times New Roman" w:hAnsi="Times New Roman" w:eastAsia="宋体" w:cs="Times New Roman"/>
                      <w:color w:val="auto"/>
                      <w:spacing w:val="-10"/>
                      <w:kern w:val="2"/>
                      <w:sz w:val="18"/>
                      <w:szCs w:val="18"/>
                      <w:highlight w:val="none"/>
                      <w:lang w:val="en-US" w:eastAsia="zh-CN" w:bidi="ar-SA"/>
                    </w:rPr>
                    <w:t>本项目依法开展环评手续，项目采取分区防渗措施，可以有效防止污染物下渗对土壤的影响，项目对土壤环境影响可接受</w:t>
                  </w:r>
                  <w:r>
                    <w:rPr>
                      <w:rFonts w:hint="eastAsia" w:cs="Times New Roman"/>
                      <w:color w:val="auto"/>
                      <w:spacing w:val="-10"/>
                      <w:kern w:val="2"/>
                      <w:sz w:val="18"/>
                      <w:szCs w:val="18"/>
                      <w:highlight w:val="none"/>
                      <w:lang w:val="en-US" w:eastAsia="zh-CN" w:bidi="ar-SA"/>
                    </w:rPr>
                    <w:t>。</w:t>
                  </w:r>
                </w:p>
              </w:tc>
              <w:tc>
                <w:tcPr>
                  <w:tcW w:w="579" w:type="dxa"/>
                  <w:shd w:val="clear" w:color="auto" w:fill="auto"/>
                  <w:vAlign w:val="center"/>
                </w:tcPr>
                <w:p w14:paraId="40F91B4A">
                  <w:pPr>
                    <w:autoSpaceDE w:val="0"/>
                    <w:autoSpaceDN w:val="0"/>
                    <w:adjustRightInd w:val="0"/>
                    <w:snapToGrid w:val="0"/>
                    <w:spacing w:line="280" w:lineRule="exact"/>
                    <w:jc w:val="center"/>
                    <w:rPr>
                      <w:rFonts w:hint="eastAsia" w:ascii="Times New Roman" w:hAnsi="Times New Roman" w:eastAsia="宋体" w:cs="Times New Roman"/>
                      <w:bCs/>
                      <w:color w:val="auto"/>
                      <w:spacing w:val="-11"/>
                      <w:kern w:val="0"/>
                      <w:sz w:val="18"/>
                      <w:szCs w:val="18"/>
                      <w:lang w:val="en-US" w:eastAsia="zh-CN" w:bidi="ar-SA"/>
                    </w:rPr>
                  </w:pPr>
                  <w:r>
                    <w:rPr>
                      <w:rFonts w:hint="eastAsia" w:ascii="Times New Roman" w:hAnsi="Times New Roman" w:eastAsia="宋体" w:cs="Times New Roman"/>
                      <w:bCs/>
                      <w:color w:val="auto"/>
                      <w:spacing w:val="-11"/>
                      <w:kern w:val="0"/>
                      <w:sz w:val="18"/>
                      <w:szCs w:val="18"/>
                      <w:lang w:val="en-US" w:eastAsia="zh-CN"/>
                    </w:rPr>
                    <w:t>符合</w:t>
                  </w:r>
                </w:p>
              </w:tc>
            </w:tr>
            <w:tr w14:paraId="3FDFE5F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27" w:hRule="atLeast"/>
                <w:jc w:val="center"/>
              </w:trPr>
              <w:tc>
                <w:tcPr>
                  <w:tcW w:w="427" w:type="dxa"/>
                  <w:vMerge w:val="continue"/>
                </w:tcPr>
                <w:p w14:paraId="575FF66D">
                  <w:pPr>
                    <w:autoSpaceDE w:val="0"/>
                    <w:autoSpaceDN w:val="0"/>
                    <w:adjustRightInd w:val="0"/>
                    <w:snapToGrid w:val="0"/>
                    <w:spacing w:line="280" w:lineRule="exact"/>
                    <w:jc w:val="center"/>
                    <w:rPr>
                      <w:rFonts w:hint="eastAsia" w:ascii="Times New Roman" w:hAnsi="Times New Roman" w:eastAsia="宋体" w:cs="Times New Roman"/>
                      <w:bCs/>
                      <w:color w:val="auto"/>
                      <w:spacing w:val="-11"/>
                      <w:kern w:val="0"/>
                      <w:sz w:val="18"/>
                      <w:szCs w:val="18"/>
                      <w:lang w:val="en-US" w:eastAsia="zh-CN"/>
                    </w:rPr>
                  </w:pPr>
                </w:p>
              </w:tc>
              <w:tc>
                <w:tcPr>
                  <w:tcW w:w="785" w:type="dxa"/>
                  <w:vMerge w:val="continue"/>
                </w:tcPr>
                <w:p w14:paraId="745B9661">
                  <w:pPr>
                    <w:autoSpaceDE w:val="0"/>
                    <w:autoSpaceDN w:val="0"/>
                    <w:adjustRightInd w:val="0"/>
                    <w:snapToGrid w:val="0"/>
                    <w:spacing w:line="280" w:lineRule="exact"/>
                    <w:jc w:val="center"/>
                    <w:rPr>
                      <w:rFonts w:hint="default" w:ascii="Times New Roman" w:hAnsi="Times New Roman" w:eastAsia="宋体" w:cs="Times New Roman"/>
                      <w:bCs/>
                      <w:color w:val="auto"/>
                      <w:spacing w:val="-11"/>
                      <w:kern w:val="0"/>
                      <w:sz w:val="18"/>
                      <w:szCs w:val="18"/>
                    </w:rPr>
                  </w:pPr>
                </w:p>
              </w:tc>
              <w:tc>
                <w:tcPr>
                  <w:tcW w:w="3062" w:type="dxa"/>
                  <w:shd w:val="clear" w:color="auto" w:fill="auto"/>
                  <w:vAlign w:val="center"/>
                </w:tcPr>
                <w:p w14:paraId="4C718FE3">
                  <w:pPr>
                    <w:keepNext w:val="0"/>
                    <w:keepLines w:val="0"/>
                    <w:widowControl/>
                    <w:numPr>
                      <w:ilvl w:val="0"/>
                      <w:numId w:val="0"/>
                    </w:numPr>
                    <w:suppressLineNumbers w:val="0"/>
                    <w:ind w:left="0" w:leftChars="0" w:firstLine="0" w:firstLineChars="0"/>
                    <w:jc w:val="left"/>
                    <w:rPr>
                      <w:rFonts w:hint="default" w:ascii="Times New Roman" w:hAnsi="Times New Roman" w:eastAsia="宋体" w:cs="Times New Roman"/>
                      <w:color w:val="auto"/>
                      <w:spacing w:val="-10"/>
                      <w:kern w:val="2"/>
                      <w:sz w:val="18"/>
                      <w:szCs w:val="18"/>
                      <w:highlight w:val="none"/>
                      <w:lang w:val="en-US" w:eastAsia="zh-CN" w:bidi="ar-SA"/>
                    </w:rPr>
                  </w:pPr>
                  <w:r>
                    <w:rPr>
                      <w:rFonts w:hint="eastAsia" w:ascii="Times New Roman" w:hAnsi="Times New Roman" w:eastAsia="宋体" w:cs="Times New Roman"/>
                      <w:color w:val="auto"/>
                      <w:spacing w:val="-10"/>
                      <w:sz w:val="18"/>
                      <w:szCs w:val="18"/>
                      <w:highlight w:val="none"/>
                      <w:lang w:val="en-US" w:eastAsia="zh-CN"/>
                    </w:rPr>
                    <w:t>严格落实重金属排放总量控制制度：新</w:t>
                  </w:r>
                  <w:r>
                    <w:rPr>
                      <w:rFonts w:hint="default" w:ascii="Times New Roman" w:hAnsi="Times New Roman" w:eastAsia="宋体" w:cs="Times New Roman"/>
                      <w:color w:val="auto"/>
                      <w:spacing w:val="-10"/>
                      <w:sz w:val="18"/>
                      <w:szCs w:val="18"/>
                      <w:highlight w:val="none"/>
                      <w:lang w:val="en-US" w:eastAsia="zh-CN"/>
                    </w:rPr>
                    <w:t>(</w:t>
                  </w:r>
                  <w:r>
                    <w:rPr>
                      <w:rFonts w:hint="eastAsia" w:ascii="Times New Roman" w:hAnsi="Times New Roman" w:eastAsia="宋体" w:cs="Times New Roman"/>
                      <w:color w:val="auto"/>
                      <w:spacing w:val="-10"/>
                      <w:sz w:val="18"/>
                      <w:szCs w:val="18"/>
                      <w:highlight w:val="none"/>
                      <w:lang w:val="en-US" w:eastAsia="zh-CN"/>
                    </w:rPr>
                    <w:t>改、扩</w:t>
                  </w:r>
                  <w:r>
                    <w:rPr>
                      <w:rFonts w:hint="default" w:ascii="Times New Roman" w:hAnsi="Times New Roman" w:eastAsia="宋体" w:cs="Times New Roman"/>
                      <w:color w:val="auto"/>
                      <w:spacing w:val="-10"/>
                      <w:sz w:val="18"/>
                      <w:szCs w:val="18"/>
                      <w:highlight w:val="none"/>
                      <w:lang w:val="en-US" w:eastAsia="zh-CN"/>
                    </w:rPr>
                    <w:t>)</w:t>
                  </w:r>
                  <w:r>
                    <w:rPr>
                      <w:rFonts w:hint="eastAsia" w:ascii="Times New Roman" w:hAnsi="Times New Roman" w:eastAsia="宋体" w:cs="Times New Roman"/>
                      <w:color w:val="auto"/>
                      <w:spacing w:val="-10"/>
                      <w:sz w:val="18"/>
                      <w:szCs w:val="18"/>
                      <w:highlight w:val="none"/>
                      <w:lang w:val="en-US" w:eastAsia="zh-CN"/>
                    </w:rPr>
                    <w:t>建涉重金属重点行业建设项目实施污染物排放减量替代。</w:t>
                  </w:r>
                </w:p>
              </w:tc>
              <w:tc>
                <w:tcPr>
                  <w:tcW w:w="2252" w:type="dxa"/>
                  <w:shd w:val="clear" w:color="auto" w:fill="auto"/>
                  <w:vAlign w:val="center"/>
                </w:tcPr>
                <w:p w14:paraId="7A3DD044">
                  <w:pPr>
                    <w:rPr>
                      <w:rFonts w:hint="eastAsia" w:ascii="Times New Roman" w:hAnsi="Times New Roman" w:eastAsia="宋体" w:cs="Times New Roman"/>
                      <w:color w:val="auto"/>
                      <w:spacing w:val="-10"/>
                      <w:kern w:val="2"/>
                      <w:sz w:val="18"/>
                      <w:szCs w:val="18"/>
                      <w:highlight w:val="none"/>
                      <w:lang w:val="en-US" w:eastAsia="zh-CN" w:bidi="ar-SA"/>
                    </w:rPr>
                  </w:pPr>
                  <w:r>
                    <w:rPr>
                      <w:rFonts w:hint="eastAsia" w:ascii="Times New Roman" w:hAnsi="Times New Roman" w:eastAsia="宋体" w:cs="Times New Roman"/>
                      <w:color w:val="auto"/>
                      <w:spacing w:val="-10"/>
                      <w:kern w:val="2"/>
                      <w:sz w:val="18"/>
                      <w:szCs w:val="18"/>
                      <w:highlight w:val="none"/>
                      <w:lang w:val="en-US" w:eastAsia="zh-CN" w:bidi="ar-SA"/>
                    </w:rPr>
                    <w:t>项目不属于涉及重金属重点行业，不涉及重金属排放</w:t>
                  </w:r>
                  <w:r>
                    <w:rPr>
                      <w:rFonts w:hint="eastAsia" w:cs="Times New Roman"/>
                      <w:color w:val="auto"/>
                      <w:spacing w:val="-10"/>
                      <w:kern w:val="2"/>
                      <w:sz w:val="18"/>
                      <w:szCs w:val="18"/>
                      <w:highlight w:val="none"/>
                      <w:lang w:val="en-US" w:eastAsia="zh-CN" w:bidi="ar-SA"/>
                    </w:rPr>
                    <w:t>。</w:t>
                  </w:r>
                </w:p>
              </w:tc>
              <w:tc>
                <w:tcPr>
                  <w:tcW w:w="579" w:type="dxa"/>
                  <w:shd w:val="clear" w:color="auto" w:fill="auto"/>
                  <w:vAlign w:val="center"/>
                </w:tcPr>
                <w:p w14:paraId="5F943CCE">
                  <w:pPr>
                    <w:autoSpaceDE w:val="0"/>
                    <w:autoSpaceDN w:val="0"/>
                    <w:adjustRightInd w:val="0"/>
                    <w:snapToGrid w:val="0"/>
                    <w:spacing w:line="280" w:lineRule="exact"/>
                    <w:jc w:val="center"/>
                    <w:rPr>
                      <w:rFonts w:hint="eastAsia" w:ascii="Times New Roman" w:hAnsi="Times New Roman" w:eastAsia="宋体" w:cs="Times New Roman"/>
                      <w:bCs/>
                      <w:color w:val="auto"/>
                      <w:spacing w:val="-11"/>
                      <w:kern w:val="0"/>
                      <w:sz w:val="18"/>
                      <w:szCs w:val="18"/>
                      <w:lang w:val="en-US" w:eastAsia="zh-CN" w:bidi="ar-SA"/>
                    </w:rPr>
                  </w:pPr>
                  <w:r>
                    <w:rPr>
                      <w:rFonts w:hint="eastAsia" w:ascii="Times New Roman" w:hAnsi="Times New Roman" w:eastAsia="宋体" w:cs="Times New Roman"/>
                      <w:bCs/>
                      <w:color w:val="auto"/>
                      <w:spacing w:val="-11"/>
                      <w:kern w:val="0"/>
                      <w:sz w:val="18"/>
                      <w:szCs w:val="18"/>
                    </w:rPr>
                    <w:t>符合</w:t>
                  </w:r>
                </w:p>
              </w:tc>
            </w:tr>
            <w:tr w14:paraId="3FC9C6B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27" w:hRule="atLeast"/>
                <w:jc w:val="center"/>
              </w:trPr>
              <w:tc>
                <w:tcPr>
                  <w:tcW w:w="427" w:type="dxa"/>
                  <w:vMerge w:val="continue"/>
                </w:tcPr>
                <w:p w14:paraId="4CC421C1">
                  <w:pPr>
                    <w:autoSpaceDE w:val="0"/>
                    <w:autoSpaceDN w:val="0"/>
                    <w:adjustRightInd w:val="0"/>
                    <w:snapToGrid w:val="0"/>
                    <w:spacing w:line="280" w:lineRule="exact"/>
                    <w:jc w:val="center"/>
                    <w:rPr>
                      <w:rFonts w:hint="eastAsia" w:ascii="Times New Roman" w:hAnsi="Times New Roman" w:eastAsia="宋体" w:cs="Times New Roman"/>
                      <w:bCs/>
                      <w:color w:val="auto"/>
                      <w:spacing w:val="-11"/>
                      <w:kern w:val="0"/>
                      <w:sz w:val="18"/>
                      <w:szCs w:val="18"/>
                      <w:lang w:val="en-US" w:eastAsia="zh-CN"/>
                    </w:rPr>
                  </w:pPr>
                </w:p>
              </w:tc>
              <w:tc>
                <w:tcPr>
                  <w:tcW w:w="785" w:type="dxa"/>
                  <w:vMerge w:val="continue"/>
                </w:tcPr>
                <w:p w14:paraId="181251CA">
                  <w:pPr>
                    <w:autoSpaceDE w:val="0"/>
                    <w:autoSpaceDN w:val="0"/>
                    <w:adjustRightInd w:val="0"/>
                    <w:snapToGrid w:val="0"/>
                    <w:spacing w:line="280" w:lineRule="exact"/>
                    <w:jc w:val="center"/>
                    <w:rPr>
                      <w:rFonts w:hint="default" w:ascii="Times New Roman" w:hAnsi="Times New Roman" w:eastAsia="宋体" w:cs="Times New Roman"/>
                      <w:bCs/>
                      <w:color w:val="auto"/>
                      <w:spacing w:val="-11"/>
                      <w:kern w:val="0"/>
                      <w:sz w:val="18"/>
                      <w:szCs w:val="18"/>
                    </w:rPr>
                  </w:pPr>
                </w:p>
              </w:tc>
              <w:tc>
                <w:tcPr>
                  <w:tcW w:w="3062" w:type="dxa"/>
                  <w:shd w:val="clear" w:color="auto" w:fill="auto"/>
                  <w:vAlign w:val="center"/>
                </w:tcPr>
                <w:p w14:paraId="064216FB">
                  <w:pPr>
                    <w:keepNext w:val="0"/>
                    <w:keepLines w:val="0"/>
                    <w:widowControl/>
                    <w:numPr>
                      <w:ilvl w:val="0"/>
                      <w:numId w:val="0"/>
                    </w:numPr>
                    <w:suppressLineNumbers w:val="0"/>
                    <w:ind w:left="0" w:leftChars="0" w:firstLine="0" w:firstLineChars="0"/>
                    <w:jc w:val="left"/>
                    <w:rPr>
                      <w:rFonts w:hint="default" w:ascii="Times New Roman" w:hAnsi="Times New Roman" w:eastAsia="宋体" w:cs="Times New Roman"/>
                      <w:color w:val="auto"/>
                      <w:spacing w:val="-10"/>
                      <w:kern w:val="2"/>
                      <w:sz w:val="18"/>
                      <w:szCs w:val="18"/>
                      <w:highlight w:val="none"/>
                      <w:lang w:val="en-US" w:eastAsia="zh-CN" w:bidi="ar-SA"/>
                    </w:rPr>
                  </w:pPr>
                  <w:r>
                    <w:rPr>
                      <w:rFonts w:hint="eastAsia" w:ascii="Times New Roman" w:hAnsi="Times New Roman" w:eastAsia="宋体" w:cs="Times New Roman"/>
                      <w:color w:val="auto"/>
                      <w:spacing w:val="-10"/>
                      <w:sz w:val="18"/>
                      <w:szCs w:val="18"/>
                      <w:highlight w:val="none"/>
                      <w:lang w:val="en-US" w:eastAsia="zh-CN"/>
                    </w:rPr>
                    <w:t>强化危险废物环境风险防控能力：强化对危险废物收集、贮存、处置单位的监管，严防危险废 物超期超量贮存。推进智能化视频监控体系建设。在环境风险可控的前提下，鼓励工业企业对产生的危险废物回收再利用处置，开展危险废物“点对点”定向利用的危险废物经营许可豁免管理试点。</w:t>
                  </w:r>
                </w:p>
              </w:tc>
              <w:tc>
                <w:tcPr>
                  <w:tcW w:w="2252" w:type="dxa"/>
                  <w:shd w:val="clear" w:color="auto" w:fill="auto"/>
                  <w:vAlign w:val="center"/>
                </w:tcPr>
                <w:p w14:paraId="5C2A91D7">
                  <w:pPr>
                    <w:rPr>
                      <w:rFonts w:hint="eastAsia" w:ascii="Times New Roman" w:hAnsi="Times New Roman" w:eastAsia="宋体" w:cs="Times New Roman"/>
                      <w:color w:val="auto"/>
                      <w:spacing w:val="-10"/>
                      <w:kern w:val="2"/>
                      <w:sz w:val="18"/>
                      <w:szCs w:val="18"/>
                      <w:highlight w:val="none"/>
                      <w:lang w:val="en-US" w:eastAsia="zh-CN" w:bidi="ar-SA"/>
                    </w:rPr>
                  </w:pPr>
                  <w:r>
                    <w:rPr>
                      <w:rFonts w:hint="eastAsia" w:ascii="Times New Roman" w:hAnsi="Times New Roman" w:eastAsia="宋体" w:cs="Times New Roman"/>
                      <w:color w:val="auto"/>
                      <w:spacing w:val="-10"/>
                      <w:kern w:val="2"/>
                      <w:sz w:val="18"/>
                      <w:szCs w:val="18"/>
                      <w:highlight w:val="none"/>
                      <w:lang w:val="en-US" w:eastAsia="zh-CN" w:bidi="ar-SA"/>
                    </w:rPr>
                    <w:t>项目危险废物危废间暂存，定期委托有资质单位处置，杜绝危险废物超期超量贮存。危废间将按照有关规定安装视频监控并与环保部门联网，符合规划要求。</w:t>
                  </w:r>
                </w:p>
              </w:tc>
              <w:tc>
                <w:tcPr>
                  <w:tcW w:w="579" w:type="dxa"/>
                  <w:shd w:val="clear" w:color="auto" w:fill="auto"/>
                  <w:vAlign w:val="center"/>
                </w:tcPr>
                <w:p w14:paraId="482321C1">
                  <w:pPr>
                    <w:autoSpaceDE w:val="0"/>
                    <w:autoSpaceDN w:val="0"/>
                    <w:adjustRightInd w:val="0"/>
                    <w:snapToGrid w:val="0"/>
                    <w:spacing w:line="280" w:lineRule="exact"/>
                    <w:jc w:val="center"/>
                    <w:rPr>
                      <w:rFonts w:hint="eastAsia" w:ascii="Times New Roman" w:hAnsi="Times New Roman" w:eastAsia="宋体" w:cs="Times New Roman"/>
                      <w:bCs/>
                      <w:color w:val="auto"/>
                      <w:spacing w:val="-11"/>
                      <w:kern w:val="0"/>
                      <w:sz w:val="18"/>
                      <w:szCs w:val="18"/>
                      <w:lang w:val="en-US" w:eastAsia="zh-CN" w:bidi="ar-SA"/>
                    </w:rPr>
                  </w:pPr>
                  <w:r>
                    <w:rPr>
                      <w:rFonts w:hint="eastAsia" w:ascii="Times New Roman" w:hAnsi="Times New Roman" w:eastAsia="宋体" w:cs="Times New Roman"/>
                      <w:bCs/>
                      <w:color w:val="auto"/>
                      <w:spacing w:val="-11"/>
                      <w:kern w:val="0"/>
                      <w:sz w:val="18"/>
                      <w:szCs w:val="18"/>
                    </w:rPr>
                    <w:t>符合</w:t>
                  </w:r>
                </w:p>
              </w:tc>
            </w:tr>
            <w:tr w14:paraId="0077625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27" w:hRule="atLeast"/>
                <w:jc w:val="center"/>
              </w:trPr>
              <w:tc>
                <w:tcPr>
                  <w:tcW w:w="427" w:type="dxa"/>
                  <w:vAlign w:val="center"/>
                </w:tcPr>
                <w:p w14:paraId="71E996C6">
                  <w:pPr>
                    <w:autoSpaceDE w:val="0"/>
                    <w:autoSpaceDN w:val="0"/>
                    <w:adjustRightInd w:val="0"/>
                    <w:snapToGrid w:val="0"/>
                    <w:spacing w:line="280" w:lineRule="exact"/>
                    <w:jc w:val="center"/>
                    <w:rPr>
                      <w:rFonts w:hint="default" w:ascii="Times New Roman" w:hAnsi="Times New Roman" w:eastAsia="宋体" w:cs="Times New Roman"/>
                      <w:bCs/>
                      <w:color w:val="auto"/>
                      <w:spacing w:val="-11"/>
                      <w:kern w:val="0"/>
                      <w:sz w:val="18"/>
                      <w:szCs w:val="18"/>
                      <w:lang w:val="en-US" w:eastAsia="zh-CN"/>
                    </w:rPr>
                  </w:pPr>
                  <w:r>
                    <w:rPr>
                      <w:rFonts w:hint="eastAsia" w:ascii="Times New Roman" w:hAnsi="Times New Roman" w:eastAsia="宋体" w:cs="Times New Roman"/>
                      <w:bCs/>
                      <w:color w:val="auto"/>
                      <w:spacing w:val="-11"/>
                      <w:kern w:val="0"/>
                      <w:sz w:val="18"/>
                      <w:szCs w:val="18"/>
                      <w:lang w:val="en-US" w:eastAsia="zh-CN"/>
                    </w:rPr>
                    <w:t>7</w:t>
                  </w:r>
                </w:p>
              </w:tc>
              <w:tc>
                <w:tcPr>
                  <w:tcW w:w="785" w:type="dxa"/>
                  <w:shd w:val="clear" w:color="auto" w:fill="auto"/>
                  <w:vAlign w:val="center"/>
                </w:tcPr>
                <w:p w14:paraId="5B055F73">
                  <w:pPr>
                    <w:keepNext w:val="0"/>
                    <w:keepLines w:val="0"/>
                    <w:widowControl/>
                    <w:numPr>
                      <w:ilvl w:val="0"/>
                      <w:numId w:val="0"/>
                    </w:numPr>
                    <w:suppressLineNumbers w:val="0"/>
                    <w:ind w:left="0" w:leftChars="0" w:firstLine="0" w:firstLineChars="0"/>
                    <w:jc w:val="center"/>
                    <w:rPr>
                      <w:rFonts w:hint="default" w:ascii="Times New Roman" w:hAnsi="Times New Roman" w:eastAsia="宋体" w:cs="Times New Roman"/>
                      <w:bCs/>
                      <w:color w:val="auto"/>
                      <w:spacing w:val="-11"/>
                      <w:kern w:val="0"/>
                      <w:sz w:val="18"/>
                      <w:szCs w:val="18"/>
                      <w:lang w:val="en-US" w:eastAsia="zh-CN" w:bidi="ar-SA"/>
                    </w:rPr>
                  </w:pPr>
                  <w:r>
                    <w:rPr>
                      <w:rFonts w:hint="default" w:ascii="Times New Roman" w:hAnsi="Times New Roman" w:eastAsia="宋体" w:cs="Times New Roman"/>
                      <w:bCs/>
                      <w:color w:val="auto"/>
                      <w:spacing w:val="-11"/>
                      <w:kern w:val="0"/>
                      <w:sz w:val="18"/>
                      <w:szCs w:val="18"/>
                    </w:rPr>
                    <w:t>《</w:t>
                  </w:r>
                  <w:r>
                    <w:rPr>
                      <w:rFonts w:hint="eastAsia" w:ascii="Times New Roman" w:hAnsi="Times New Roman" w:eastAsia="宋体" w:cs="Times New Roman"/>
                      <w:color w:val="auto"/>
                      <w:spacing w:val="-10"/>
                      <w:sz w:val="18"/>
                      <w:szCs w:val="18"/>
                      <w:highlight w:val="none"/>
                      <w:lang w:val="en-US" w:eastAsia="zh-CN"/>
                    </w:rPr>
                    <w:t>唐山市土壤与地下水污染防治“十四五”规划</w:t>
                  </w:r>
                  <w:r>
                    <w:rPr>
                      <w:rFonts w:hint="default" w:ascii="Times New Roman" w:hAnsi="Times New Roman" w:eastAsia="宋体" w:cs="Times New Roman"/>
                      <w:bCs/>
                      <w:color w:val="auto"/>
                      <w:spacing w:val="-11"/>
                      <w:kern w:val="0"/>
                      <w:sz w:val="18"/>
                      <w:szCs w:val="18"/>
                    </w:rPr>
                    <w:t>》</w:t>
                  </w:r>
                </w:p>
              </w:tc>
              <w:tc>
                <w:tcPr>
                  <w:tcW w:w="3062" w:type="dxa"/>
                  <w:shd w:val="clear" w:color="auto" w:fill="auto"/>
                  <w:vAlign w:val="center"/>
                </w:tcPr>
                <w:p w14:paraId="176C3AC5">
                  <w:pPr>
                    <w:keepNext w:val="0"/>
                    <w:keepLines w:val="0"/>
                    <w:widowControl/>
                    <w:numPr>
                      <w:ilvl w:val="0"/>
                      <w:numId w:val="0"/>
                    </w:numPr>
                    <w:suppressLineNumbers w:val="0"/>
                    <w:ind w:left="0" w:leftChars="0" w:firstLine="0" w:firstLineChars="0"/>
                    <w:jc w:val="left"/>
                    <w:rPr>
                      <w:rFonts w:hint="eastAsia" w:ascii="Times New Roman" w:hAnsi="Times New Roman" w:eastAsia="宋体" w:cs="Times New Roman"/>
                      <w:color w:val="auto"/>
                      <w:spacing w:val="-10"/>
                      <w:kern w:val="2"/>
                      <w:sz w:val="18"/>
                      <w:szCs w:val="18"/>
                      <w:highlight w:val="none"/>
                      <w:lang w:val="en-US" w:eastAsia="zh-CN" w:bidi="ar-SA"/>
                    </w:rPr>
                  </w:pPr>
                  <w:r>
                    <w:rPr>
                      <w:rFonts w:hint="eastAsia" w:ascii="Times New Roman" w:hAnsi="Times New Roman" w:eastAsia="宋体" w:cs="Times New Roman"/>
                      <w:color w:val="auto"/>
                      <w:spacing w:val="-10"/>
                      <w:sz w:val="18"/>
                      <w:szCs w:val="18"/>
                      <w:highlight w:val="none"/>
                      <w:lang w:val="en-US" w:eastAsia="zh-CN"/>
                    </w:rPr>
                    <w:t>强化空间布局优化与管理。衔接国土空间规划和用途管控，推进重点行业统一规划、集聚发展，推动重点行业企业退城搬迁，引导产业集群入园区。严格落实环境影响评价制度，涉及排放有毒有害物质可能造成土壤污染的新</w:t>
                  </w:r>
                  <w:r>
                    <w:rPr>
                      <w:rFonts w:hint="default" w:ascii="Times New Roman" w:hAnsi="Times New Roman" w:eastAsia="宋体" w:cs="Times New Roman"/>
                      <w:color w:val="auto"/>
                      <w:spacing w:val="-10"/>
                      <w:sz w:val="18"/>
                      <w:szCs w:val="18"/>
                      <w:highlight w:val="none"/>
                      <w:lang w:val="en-US" w:eastAsia="zh-CN"/>
                    </w:rPr>
                    <w:t>(</w:t>
                  </w:r>
                  <w:r>
                    <w:rPr>
                      <w:rFonts w:hint="eastAsia" w:ascii="Times New Roman" w:hAnsi="Times New Roman" w:eastAsia="宋体" w:cs="Times New Roman"/>
                      <w:color w:val="auto"/>
                      <w:spacing w:val="-10"/>
                      <w:sz w:val="18"/>
                      <w:szCs w:val="18"/>
                      <w:highlight w:val="none"/>
                      <w:lang w:val="en-US" w:eastAsia="zh-CN"/>
                    </w:rPr>
                    <w:t>改、扩</w:t>
                  </w:r>
                  <w:r>
                    <w:rPr>
                      <w:rFonts w:hint="default" w:ascii="Times New Roman" w:hAnsi="Times New Roman" w:eastAsia="宋体" w:cs="Times New Roman"/>
                      <w:color w:val="auto"/>
                      <w:spacing w:val="-10"/>
                      <w:sz w:val="18"/>
                      <w:szCs w:val="18"/>
                      <w:highlight w:val="none"/>
                      <w:lang w:val="en-US" w:eastAsia="zh-CN"/>
                    </w:rPr>
                    <w:t>)</w:t>
                  </w:r>
                  <w:r>
                    <w:rPr>
                      <w:rFonts w:hint="eastAsia" w:ascii="Times New Roman" w:hAnsi="Times New Roman" w:eastAsia="宋体" w:cs="Times New Roman"/>
                      <w:color w:val="auto"/>
                      <w:spacing w:val="-10"/>
                      <w:sz w:val="18"/>
                      <w:szCs w:val="18"/>
                      <w:highlight w:val="none"/>
                      <w:lang w:val="en-US" w:eastAsia="zh-CN"/>
                    </w:rPr>
                    <w:t>建项目，依法进行环境影响评价，提出并落实防腐蚀、防渗漏、防遗撒等土壤污染防治具体措施。</w:t>
                  </w:r>
                </w:p>
              </w:tc>
              <w:tc>
                <w:tcPr>
                  <w:tcW w:w="2252" w:type="dxa"/>
                  <w:shd w:val="clear" w:color="auto" w:fill="auto"/>
                  <w:vAlign w:val="center"/>
                </w:tcPr>
                <w:p w14:paraId="75B7411D">
                  <w:pPr>
                    <w:rPr>
                      <w:rFonts w:hint="eastAsia" w:ascii="Times New Roman" w:hAnsi="Times New Roman" w:eastAsia="宋体" w:cs="Times New Roman"/>
                      <w:color w:val="auto"/>
                      <w:spacing w:val="-10"/>
                      <w:kern w:val="2"/>
                      <w:sz w:val="18"/>
                      <w:szCs w:val="18"/>
                      <w:highlight w:val="none"/>
                      <w:lang w:val="en-US" w:eastAsia="zh-CN" w:bidi="ar-SA"/>
                    </w:rPr>
                  </w:pPr>
                  <w:r>
                    <w:rPr>
                      <w:rFonts w:hint="eastAsia" w:ascii="Times New Roman" w:hAnsi="Times New Roman" w:eastAsia="宋体" w:cs="Times New Roman"/>
                      <w:color w:val="auto"/>
                      <w:spacing w:val="-10"/>
                      <w:kern w:val="2"/>
                      <w:sz w:val="18"/>
                      <w:szCs w:val="18"/>
                      <w:highlight w:val="none"/>
                      <w:lang w:val="en-US" w:eastAsia="zh-CN" w:bidi="ar-SA"/>
                    </w:rPr>
                    <w:t>项目位于</w:t>
                  </w:r>
                  <w:r>
                    <w:rPr>
                      <w:rFonts w:hint="default" w:ascii="Times New Roman" w:hAnsi="Times New Roman" w:eastAsia="宋体" w:cs="Times New Roman"/>
                      <w:bCs/>
                      <w:color w:val="auto"/>
                      <w:spacing w:val="-11"/>
                      <w:kern w:val="0"/>
                      <w:sz w:val="18"/>
                      <w:szCs w:val="18"/>
                      <w:lang w:val="en-US" w:eastAsia="zh-CN"/>
                    </w:rPr>
                    <w:t>滦州市</w:t>
                  </w:r>
                  <w:r>
                    <w:rPr>
                      <w:rFonts w:hint="eastAsia" w:ascii="Times New Roman" w:hAnsi="Times New Roman" w:eastAsia="宋体" w:cs="Times New Roman"/>
                      <w:bCs/>
                      <w:color w:val="auto"/>
                      <w:spacing w:val="-11"/>
                      <w:kern w:val="0"/>
                      <w:sz w:val="18"/>
                      <w:szCs w:val="18"/>
                      <w:lang w:val="en-US" w:eastAsia="zh-CN"/>
                    </w:rPr>
                    <w:t>九百户镇</w:t>
                  </w:r>
                  <w:r>
                    <w:rPr>
                      <w:rFonts w:hint="default" w:ascii="Times New Roman" w:hAnsi="Times New Roman" w:eastAsia="宋体" w:cs="Times New Roman"/>
                      <w:bCs/>
                      <w:color w:val="auto"/>
                      <w:spacing w:val="-11"/>
                      <w:kern w:val="0"/>
                      <w:sz w:val="18"/>
                      <w:szCs w:val="18"/>
                      <w:lang w:val="en-US" w:eastAsia="zh-CN"/>
                    </w:rPr>
                    <w:t>镇</w:t>
                  </w:r>
                  <w:r>
                    <w:rPr>
                      <w:rFonts w:hint="eastAsia" w:ascii="Times New Roman" w:hAnsi="Times New Roman" w:eastAsia="宋体" w:cs="Times New Roman"/>
                      <w:bCs/>
                      <w:color w:val="auto"/>
                      <w:spacing w:val="-11"/>
                      <w:kern w:val="0"/>
                      <w:sz w:val="18"/>
                      <w:szCs w:val="18"/>
                      <w:lang w:val="en-US" w:eastAsia="zh-CN"/>
                    </w:rPr>
                    <w:t>宜安村西</w:t>
                  </w:r>
                  <w:r>
                    <w:rPr>
                      <w:rFonts w:hint="eastAsia" w:ascii="Times New Roman" w:hAnsi="Times New Roman" w:eastAsia="宋体" w:cs="Times New Roman"/>
                      <w:color w:val="auto"/>
                      <w:spacing w:val="-10"/>
                      <w:kern w:val="2"/>
                      <w:sz w:val="18"/>
                      <w:szCs w:val="18"/>
                      <w:highlight w:val="none"/>
                      <w:lang w:val="en-US" w:eastAsia="zh-CN" w:bidi="ar-SA"/>
                    </w:rPr>
                    <w:t>，本项目依法开展环评手续，项目采取分区防渗措施，可以有效防止污染物下渗对土壤的影响，项目对土壤环境影响可接受。</w:t>
                  </w:r>
                </w:p>
              </w:tc>
              <w:tc>
                <w:tcPr>
                  <w:tcW w:w="579" w:type="dxa"/>
                  <w:shd w:val="clear" w:color="auto" w:fill="auto"/>
                  <w:vAlign w:val="center"/>
                </w:tcPr>
                <w:p w14:paraId="41862B37">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Times New Roman" w:hAnsi="Times New Roman" w:eastAsia="宋体" w:cs="Times New Roman"/>
                      <w:color w:val="auto"/>
                      <w:spacing w:val="-10"/>
                      <w:kern w:val="2"/>
                      <w:sz w:val="18"/>
                      <w:szCs w:val="18"/>
                      <w:highlight w:val="none"/>
                      <w:lang w:val="en-US" w:eastAsia="zh-CN" w:bidi="ar-SA"/>
                    </w:rPr>
                  </w:pPr>
                  <w:r>
                    <w:rPr>
                      <w:rFonts w:hint="eastAsia" w:cs="Times New Roman"/>
                      <w:color w:val="auto"/>
                      <w:spacing w:val="-10"/>
                      <w:sz w:val="18"/>
                      <w:szCs w:val="18"/>
                      <w:highlight w:val="none"/>
                      <w:lang w:val="en-US" w:eastAsia="zh-CN"/>
                    </w:rPr>
                    <w:t>符合</w:t>
                  </w:r>
                </w:p>
              </w:tc>
            </w:tr>
          </w:tbl>
          <w:p w14:paraId="693F0C0F">
            <w:pPr>
              <w:rPr>
                <w:color w:val="auto"/>
              </w:rPr>
            </w:pPr>
          </w:p>
          <w:p w14:paraId="18E54A98">
            <w:pPr>
              <w:pStyle w:val="35"/>
              <w:rPr>
                <w:color w:val="auto"/>
              </w:rPr>
            </w:pPr>
          </w:p>
          <w:p w14:paraId="3F5D25A5">
            <w:pPr>
              <w:pStyle w:val="24"/>
              <w:adjustRightInd w:val="0"/>
              <w:snapToGrid w:val="0"/>
              <w:spacing w:before="0" w:beforeAutospacing="0" w:after="0" w:afterAutospacing="0" w:line="440" w:lineRule="exact"/>
              <w:jc w:val="center"/>
              <w:rPr>
                <w:rFonts w:hint="eastAsia" w:ascii="Times New Roman" w:hAnsi="Times New Roman" w:eastAsia="宋体" w:cs="Times New Roman"/>
                <w:b/>
                <w:color w:val="auto"/>
                <w:sz w:val="21"/>
                <w:szCs w:val="21"/>
                <w:highlight w:val="none"/>
                <w:lang w:val="en-US" w:eastAsia="zh-CN"/>
              </w:rPr>
            </w:pPr>
            <w:r>
              <w:rPr>
                <w:rFonts w:hint="eastAsia" w:ascii="Times New Roman" w:hAnsi="Times New Roman" w:cs="Times New Roman"/>
                <w:b/>
                <w:color w:val="auto"/>
                <w:sz w:val="21"/>
                <w:szCs w:val="21"/>
                <w:highlight w:val="none"/>
                <w:lang w:val="en-US" w:eastAsia="zh-CN"/>
              </w:rPr>
              <w:t>续</w:t>
            </w:r>
            <w:r>
              <w:rPr>
                <w:rFonts w:hint="eastAsia" w:ascii="Times New Roman" w:hAnsi="Times New Roman" w:eastAsia="宋体" w:cs="Times New Roman"/>
                <w:b/>
                <w:color w:val="auto"/>
                <w:sz w:val="21"/>
                <w:szCs w:val="21"/>
                <w:highlight w:val="none"/>
                <w:lang w:val="en-US" w:eastAsia="zh-CN"/>
              </w:rPr>
              <w:t>表1 本项目与各生态环境保护规划分析结果汇总一览表</w:t>
            </w:r>
          </w:p>
          <w:tbl>
            <w:tblPr>
              <w:tblStyle w:val="28"/>
              <w:tblW w:w="7105"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28" w:type="dxa"/>
                <w:bottom w:w="0" w:type="dxa"/>
                <w:right w:w="28" w:type="dxa"/>
              </w:tblCellMar>
            </w:tblPr>
            <w:tblGrid>
              <w:gridCol w:w="427"/>
              <w:gridCol w:w="785"/>
              <w:gridCol w:w="3062"/>
              <w:gridCol w:w="2252"/>
              <w:gridCol w:w="579"/>
            </w:tblGrid>
            <w:tr w14:paraId="009C5FC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27" w:hRule="atLeast"/>
                <w:jc w:val="center"/>
              </w:trPr>
              <w:tc>
                <w:tcPr>
                  <w:tcW w:w="427" w:type="dxa"/>
                  <w:noWrap w:val="0"/>
                  <w:vAlign w:val="center"/>
                </w:tcPr>
                <w:p w14:paraId="3D9F9ECE">
                  <w:pPr>
                    <w:autoSpaceDE w:val="0"/>
                    <w:autoSpaceDN w:val="0"/>
                    <w:adjustRightInd w:val="0"/>
                    <w:snapToGrid w:val="0"/>
                    <w:spacing w:line="280" w:lineRule="exact"/>
                    <w:jc w:val="center"/>
                    <w:rPr>
                      <w:rFonts w:hint="eastAsia" w:ascii="Times New Roman" w:hAnsi="Times New Roman" w:eastAsia="宋体" w:cs="Times New Roman"/>
                      <w:bCs/>
                      <w:color w:val="auto"/>
                      <w:spacing w:val="-11"/>
                      <w:kern w:val="0"/>
                      <w:sz w:val="18"/>
                      <w:szCs w:val="18"/>
                    </w:rPr>
                  </w:pPr>
                  <w:r>
                    <w:rPr>
                      <w:rFonts w:hint="eastAsia" w:ascii="Times New Roman" w:hAnsi="Times New Roman" w:eastAsia="宋体" w:cs="Times New Roman"/>
                      <w:bCs/>
                      <w:color w:val="auto"/>
                      <w:spacing w:val="-11"/>
                      <w:kern w:val="0"/>
                      <w:sz w:val="18"/>
                      <w:szCs w:val="18"/>
                    </w:rPr>
                    <w:t>序号</w:t>
                  </w:r>
                </w:p>
              </w:tc>
              <w:tc>
                <w:tcPr>
                  <w:tcW w:w="785" w:type="dxa"/>
                  <w:noWrap w:val="0"/>
                  <w:vAlign w:val="center"/>
                </w:tcPr>
                <w:p w14:paraId="704828ED">
                  <w:pPr>
                    <w:autoSpaceDE w:val="0"/>
                    <w:autoSpaceDN w:val="0"/>
                    <w:adjustRightInd w:val="0"/>
                    <w:snapToGrid w:val="0"/>
                    <w:spacing w:line="280" w:lineRule="exact"/>
                    <w:jc w:val="center"/>
                    <w:rPr>
                      <w:rFonts w:hint="eastAsia" w:ascii="Times New Roman" w:hAnsi="Times New Roman" w:eastAsia="宋体" w:cs="Times New Roman"/>
                      <w:bCs/>
                      <w:color w:val="auto"/>
                      <w:spacing w:val="-11"/>
                      <w:kern w:val="0"/>
                      <w:sz w:val="18"/>
                      <w:szCs w:val="18"/>
                    </w:rPr>
                  </w:pPr>
                  <w:r>
                    <w:rPr>
                      <w:rFonts w:hint="eastAsia" w:ascii="Times New Roman" w:hAnsi="Times New Roman" w:eastAsia="宋体" w:cs="Times New Roman"/>
                      <w:bCs/>
                      <w:color w:val="auto"/>
                      <w:spacing w:val="-11"/>
                      <w:kern w:val="0"/>
                      <w:sz w:val="18"/>
                      <w:szCs w:val="18"/>
                    </w:rPr>
                    <w:t>规划名称</w:t>
                  </w:r>
                </w:p>
              </w:tc>
              <w:tc>
                <w:tcPr>
                  <w:tcW w:w="3062" w:type="dxa"/>
                  <w:noWrap w:val="0"/>
                  <w:vAlign w:val="center"/>
                </w:tcPr>
                <w:p w14:paraId="212599A6">
                  <w:pPr>
                    <w:autoSpaceDE w:val="0"/>
                    <w:autoSpaceDN w:val="0"/>
                    <w:adjustRightInd w:val="0"/>
                    <w:snapToGrid w:val="0"/>
                    <w:spacing w:line="280" w:lineRule="exact"/>
                    <w:jc w:val="center"/>
                    <w:rPr>
                      <w:rFonts w:hint="eastAsia" w:ascii="Times New Roman" w:hAnsi="Times New Roman" w:eastAsia="宋体" w:cs="Times New Roman"/>
                      <w:bCs/>
                      <w:color w:val="auto"/>
                      <w:spacing w:val="-11"/>
                      <w:kern w:val="0"/>
                      <w:sz w:val="18"/>
                      <w:szCs w:val="18"/>
                    </w:rPr>
                  </w:pPr>
                  <w:r>
                    <w:rPr>
                      <w:rFonts w:hint="eastAsia" w:ascii="Times New Roman" w:hAnsi="Times New Roman" w:eastAsia="宋体" w:cs="Times New Roman"/>
                      <w:bCs/>
                      <w:color w:val="auto"/>
                      <w:spacing w:val="-11"/>
                      <w:kern w:val="0"/>
                      <w:sz w:val="18"/>
                      <w:szCs w:val="18"/>
                    </w:rPr>
                    <w:t>内容</w:t>
                  </w:r>
                </w:p>
              </w:tc>
              <w:tc>
                <w:tcPr>
                  <w:tcW w:w="2252" w:type="dxa"/>
                  <w:noWrap w:val="0"/>
                  <w:vAlign w:val="center"/>
                </w:tcPr>
                <w:p w14:paraId="44CD1B9A">
                  <w:pPr>
                    <w:autoSpaceDE w:val="0"/>
                    <w:autoSpaceDN w:val="0"/>
                    <w:adjustRightInd w:val="0"/>
                    <w:snapToGrid w:val="0"/>
                    <w:spacing w:line="280" w:lineRule="exact"/>
                    <w:jc w:val="center"/>
                    <w:rPr>
                      <w:rFonts w:hint="eastAsia" w:ascii="Times New Roman" w:hAnsi="Times New Roman" w:eastAsia="宋体" w:cs="Times New Roman"/>
                      <w:bCs/>
                      <w:color w:val="auto"/>
                      <w:spacing w:val="-11"/>
                      <w:kern w:val="0"/>
                      <w:sz w:val="18"/>
                      <w:szCs w:val="18"/>
                    </w:rPr>
                  </w:pPr>
                  <w:r>
                    <w:rPr>
                      <w:rFonts w:hint="eastAsia" w:ascii="Times New Roman" w:hAnsi="Times New Roman" w:eastAsia="宋体" w:cs="Times New Roman"/>
                      <w:bCs/>
                      <w:color w:val="auto"/>
                      <w:spacing w:val="-11"/>
                      <w:kern w:val="0"/>
                      <w:sz w:val="18"/>
                      <w:szCs w:val="18"/>
                    </w:rPr>
                    <w:t>本项目内容</w:t>
                  </w:r>
                </w:p>
              </w:tc>
              <w:tc>
                <w:tcPr>
                  <w:tcW w:w="579" w:type="dxa"/>
                  <w:noWrap w:val="0"/>
                  <w:vAlign w:val="center"/>
                </w:tcPr>
                <w:p w14:paraId="654BDB45">
                  <w:pPr>
                    <w:autoSpaceDE w:val="0"/>
                    <w:autoSpaceDN w:val="0"/>
                    <w:adjustRightInd w:val="0"/>
                    <w:snapToGrid w:val="0"/>
                    <w:spacing w:line="280" w:lineRule="exact"/>
                    <w:jc w:val="center"/>
                    <w:rPr>
                      <w:rFonts w:hint="eastAsia" w:ascii="Times New Roman" w:hAnsi="Times New Roman" w:eastAsia="宋体" w:cs="Times New Roman"/>
                      <w:bCs/>
                      <w:color w:val="auto"/>
                      <w:spacing w:val="-11"/>
                      <w:kern w:val="0"/>
                      <w:sz w:val="18"/>
                      <w:szCs w:val="18"/>
                    </w:rPr>
                  </w:pPr>
                  <w:r>
                    <w:rPr>
                      <w:rFonts w:hint="eastAsia" w:ascii="Times New Roman" w:hAnsi="Times New Roman" w:eastAsia="宋体" w:cs="Times New Roman"/>
                      <w:bCs/>
                      <w:color w:val="auto"/>
                      <w:spacing w:val="-11"/>
                      <w:kern w:val="0"/>
                      <w:sz w:val="18"/>
                      <w:szCs w:val="18"/>
                    </w:rPr>
                    <w:t>符合性</w:t>
                  </w:r>
                </w:p>
              </w:tc>
            </w:tr>
            <w:tr w14:paraId="4994FAE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27" w:hRule="atLeast"/>
                <w:jc w:val="center"/>
              </w:trPr>
              <w:tc>
                <w:tcPr>
                  <w:tcW w:w="427" w:type="dxa"/>
                  <w:shd w:val="clear" w:color="auto" w:fill="auto"/>
                  <w:vAlign w:val="center"/>
                </w:tcPr>
                <w:p w14:paraId="4CF557C6">
                  <w:pPr>
                    <w:autoSpaceDE w:val="0"/>
                    <w:autoSpaceDN w:val="0"/>
                    <w:adjustRightInd w:val="0"/>
                    <w:snapToGrid w:val="0"/>
                    <w:spacing w:line="280" w:lineRule="exact"/>
                    <w:jc w:val="center"/>
                    <w:rPr>
                      <w:rFonts w:hint="default" w:ascii="Times New Roman" w:hAnsi="Times New Roman" w:eastAsia="宋体" w:cs="Times New Roman"/>
                      <w:bCs/>
                      <w:color w:val="auto"/>
                      <w:spacing w:val="-11"/>
                      <w:kern w:val="0"/>
                      <w:sz w:val="18"/>
                      <w:szCs w:val="18"/>
                      <w:lang w:val="en-US" w:eastAsia="zh-CN" w:bidi="ar-SA"/>
                    </w:rPr>
                  </w:pPr>
                  <w:r>
                    <w:rPr>
                      <w:rFonts w:hint="eastAsia" w:ascii="Times New Roman" w:hAnsi="Times New Roman" w:eastAsia="宋体" w:cs="Times New Roman"/>
                      <w:bCs/>
                      <w:color w:val="auto"/>
                      <w:spacing w:val="-11"/>
                      <w:kern w:val="0"/>
                      <w:sz w:val="18"/>
                      <w:szCs w:val="18"/>
                      <w:lang w:val="en-US" w:eastAsia="zh-CN"/>
                    </w:rPr>
                    <w:t>7</w:t>
                  </w:r>
                </w:p>
              </w:tc>
              <w:tc>
                <w:tcPr>
                  <w:tcW w:w="785" w:type="dxa"/>
                  <w:shd w:val="clear" w:color="auto" w:fill="auto"/>
                  <w:vAlign w:val="center"/>
                </w:tcPr>
                <w:p w14:paraId="56C282EF">
                  <w:pPr>
                    <w:keepNext w:val="0"/>
                    <w:keepLines w:val="0"/>
                    <w:widowControl/>
                    <w:numPr>
                      <w:ilvl w:val="0"/>
                      <w:numId w:val="0"/>
                    </w:numPr>
                    <w:suppressLineNumbers w:val="0"/>
                    <w:ind w:left="0" w:leftChars="0" w:firstLine="0" w:firstLineChars="0"/>
                    <w:jc w:val="center"/>
                    <w:rPr>
                      <w:rFonts w:hint="default" w:ascii="Times New Roman" w:hAnsi="Times New Roman" w:eastAsia="宋体" w:cs="Times New Roman"/>
                      <w:bCs/>
                      <w:color w:val="auto"/>
                      <w:spacing w:val="-11"/>
                      <w:kern w:val="0"/>
                      <w:sz w:val="18"/>
                      <w:szCs w:val="18"/>
                      <w:lang w:val="en-US" w:eastAsia="zh-CN" w:bidi="ar-SA"/>
                    </w:rPr>
                  </w:pPr>
                  <w:r>
                    <w:rPr>
                      <w:rFonts w:hint="default" w:ascii="Times New Roman" w:hAnsi="Times New Roman" w:eastAsia="宋体" w:cs="Times New Roman"/>
                      <w:bCs/>
                      <w:color w:val="auto"/>
                      <w:spacing w:val="-11"/>
                      <w:kern w:val="0"/>
                      <w:sz w:val="18"/>
                      <w:szCs w:val="18"/>
                    </w:rPr>
                    <w:t>《</w:t>
                  </w:r>
                  <w:r>
                    <w:rPr>
                      <w:rFonts w:hint="eastAsia" w:ascii="Times New Roman" w:hAnsi="Times New Roman" w:eastAsia="宋体" w:cs="Times New Roman"/>
                      <w:color w:val="auto"/>
                      <w:spacing w:val="-10"/>
                      <w:sz w:val="18"/>
                      <w:szCs w:val="18"/>
                      <w:highlight w:val="none"/>
                      <w:lang w:val="en-US" w:eastAsia="zh-CN"/>
                    </w:rPr>
                    <w:t>唐山市土壤与地下水污染防治“十四五”规划</w:t>
                  </w:r>
                  <w:r>
                    <w:rPr>
                      <w:rFonts w:hint="default" w:ascii="Times New Roman" w:hAnsi="Times New Roman" w:eastAsia="宋体" w:cs="Times New Roman"/>
                      <w:bCs/>
                      <w:color w:val="auto"/>
                      <w:spacing w:val="-11"/>
                      <w:kern w:val="0"/>
                      <w:sz w:val="18"/>
                      <w:szCs w:val="18"/>
                    </w:rPr>
                    <w:t>》</w:t>
                  </w:r>
                </w:p>
              </w:tc>
              <w:tc>
                <w:tcPr>
                  <w:tcW w:w="3062" w:type="dxa"/>
                  <w:shd w:val="clear" w:color="auto" w:fill="auto"/>
                  <w:vAlign w:val="center"/>
                </w:tcPr>
                <w:p w14:paraId="4892896E">
                  <w:pPr>
                    <w:keepNext w:val="0"/>
                    <w:keepLines w:val="0"/>
                    <w:widowControl/>
                    <w:numPr>
                      <w:ilvl w:val="0"/>
                      <w:numId w:val="0"/>
                    </w:numPr>
                    <w:suppressLineNumbers w:val="0"/>
                    <w:ind w:left="0" w:leftChars="0" w:firstLine="0" w:firstLineChars="0"/>
                    <w:jc w:val="left"/>
                    <w:rPr>
                      <w:rFonts w:hint="eastAsia" w:ascii="Times New Roman" w:hAnsi="Times New Roman" w:eastAsia="宋体" w:cs="Times New Roman"/>
                      <w:color w:val="auto"/>
                      <w:spacing w:val="-10"/>
                      <w:kern w:val="2"/>
                      <w:sz w:val="18"/>
                      <w:szCs w:val="18"/>
                      <w:highlight w:val="none"/>
                      <w:lang w:val="en-US" w:eastAsia="zh-CN" w:bidi="ar-SA"/>
                    </w:rPr>
                  </w:pPr>
                  <w:r>
                    <w:rPr>
                      <w:rFonts w:hint="eastAsia" w:ascii="Times New Roman" w:hAnsi="Times New Roman" w:eastAsia="宋体" w:cs="Times New Roman"/>
                      <w:color w:val="auto"/>
                      <w:spacing w:val="-10"/>
                      <w:sz w:val="18"/>
                      <w:szCs w:val="18"/>
                      <w:highlight w:val="none"/>
                      <w:lang w:val="en-US" w:eastAsia="zh-CN"/>
                    </w:rPr>
                    <w:t>推动实施绿色改造：以重有色金属及黑色金属采选、冶炼等行业为重点，鼓励企业推进工艺技术设备清洁化改造，率先在电镀、制革行业实施清洁生产技术改造，进一步减少污染物排放。鼓励推动金属制品业、化学原料和化学制品制造业等行业企业实施管道化、密闭化改造，实施物料、污水、废气管线架空建设和重点区域防腐防渗改造。开展工业固体废物堆存和废旧资源再生利用活动场所及企业危废贮存场所的防扬散、防流失、防渗漏等环境风险排查整治</w:t>
                  </w:r>
                </w:p>
              </w:tc>
              <w:tc>
                <w:tcPr>
                  <w:tcW w:w="2252" w:type="dxa"/>
                  <w:shd w:val="clear" w:color="auto" w:fill="auto"/>
                  <w:vAlign w:val="center"/>
                </w:tcPr>
                <w:p w14:paraId="3BC058EC">
                  <w:pPr>
                    <w:rPr>
                      <w:rFonts w:hint="eastAsia" w:ascii="Times New Roman" w:hAnsi="Times New Roman" w:eastAsia="宋体" w:cs="Times New Roman"/>
                      <w:color w:val="auto"/>
                      <w:spacing w:val="-10"/>
                      <w:kern w:val="2"/>
                      <w:sz w:val="18"/>
                      <w:szCs w:val="18"/>
                      <w:highlight w:val="none"/>
                      <w:lang w:val="en-US" w:eastAsia="zh-CN" w:bidi="ar-SA"/>
                    </w:rPr>
                  </w:pPr>
                  <w:r>
                    <w:rPr>
                      <w:rFonts w:hint="eastAsia" w:cs="Times New Roman"/>
                      <w:color w:val="auto"/>
                      <w:spacing w:val="-10"/>
                      <w:kern w:val="2"/>
                      <w:sz w:val="18"/>
                      <w:szCs w:val="18"/>
                      <w:highlight w:val="none"/>
                      <w:lang w:val="en-US" w:eastAsia="zh-CN" w:bidi="ar-SA"/>
                    </w:rPr>
                    <w:t>项目针对各产污节点均采取治理措施后达标排放，减少污染物排放量；物料储存于封闭生产车间内；项目危险废物暂存于危险废物暂存间内，危废间进行重点防渗，防止危险废物贮存场所的防扬散、防流失、防渗漏</w:t>
                  </w:r>
                </w:p>
              </w:tc>
              <w:tc>
                <w:tcPr>
                  <w:tcW w:w="579" w:type="dxa"/>
                  <w:shd w:val="clear" w:color="auto" w:fill="auto"/>
                  <w:vAlign w:val="center"/>
                </w:tcPr>
                <w:p w14:paraId="6C2CE53C">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Times New Roman" w:hAnsi="Times New Roman" w:eastAsia="宋体" w:cs="Times New Roman"/>
                      <w:color w:val="auto"/>
                      <w:spacing w:val="-10"/>
                      <w:kern w:val="2"/>
                      <w:sz w:val="18"/>
                      <w:szCs w:val="18"/>
                      <w:highlight w:val="none"/>
                      <w:lang w:val="en-US" w:eastAsia="zh-CN" w:bidi="ar-SA"/>
                    </w:rPr>
                  </w:pPr>
                  <w:r>
                    <w:rPr>
                      <w:rFonts w:hint="eastAsia" w:cs="Times New Roman"/>
                      <w:color w:val="auto"/>
                      <w:spacing w:val="-10"/>
                      <w:sz w:val="18"/>
                      <w:szCs w:val="18"/>
                      <w:highlight w:val="none"/>
                      <w:lang w:val="en-US" w:eastAsia="zh-CN"/>
                    </w:rPr>
                    <w:t>符合</w:t>
                  </w:r>
                </w:p>
              </w:tc>
            </w:tr>
          </w:tbl>
          <w:p w14:paraId="1A6FF1C9">
            <w:pPr>
              <w:pStyle w:val="24"/>
              <w:adjustRightInd w:val="0"/>
              <w:snapToGrid w:val="0"/>
              <w:spacing w:before="0" w:beforeAutospacing="0" w:after="0" w:afterAutospacing="0" w:line="440" w:lineRule="exact"/>
              <w:ind w:firstLine="420" w:firstLineChars="200"/>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rPr>
              <w:t>根据上表分析可知，本项目符合国家生态环境保护规划相关原则性要求，同时符合地方生态环境保护规划中的具体要求。</w:t>
            </w:r>
            <w:bookmarkEnd w:id="10"/>
          </w:p>
          <w:p w14:paraId="0E5631BD">
            <w:pPr>
              <w:pStyle w:val="24"/>
              <w:adjustRightInd w:val="0"/>
              <w:snapToGrid w:val="0"/>
              <w:spacing w:before="0" w:beforeAutospacing="0" w:after="0" w:afterAutospacing="0" w:line="440" w:lineRule="exact"/>
              <w:ind w:firstLine="422" w:firstLineChars="200"/>
              <w:rPr>
                <w:rFonts w:ascii="Times New Roman" w:hAnsi="Times New Roman"/>
                <w:b/>
                <w:color w:val="auto"/>
                <w:sz w:val="21"/>
                <w:szCs w:val="21"/>
              </w:rPr>
            </w:pPr>
            <w:r>
              <w:rPr>
                <w:rFonts w:hint="eastAsia" w:ascii="Times New Roman" w:hAnsi="Times New Roman"/>
                <w:b/>
                <w:color w:val="auto"/>
                <w:sz w:val="21"/>
                <w:szCs w:val="21"/>
                <w:lang w:val="en-US" w:eastAsia="zh-CN"/>
              </w:rPr>
              <w:t>5</w:t>
            </w:r>
            <w:r>
              <w:rPr>
                <w:rFonts w:ascii="Times New Roman" w:hAnsi="Times New Roman"/>
                <w:b/>
                <w:color w:val="auto"/>
                <w:sz w:val="21"/>
                <w:szCs w:val="21"/>
              </w:rPr>
              <w:t>.</w:t>
            </w:r>
            <w:r>
              <w:rPr>
                <w:rFonts w:hint="eastAsia" w:ascii="Times New Roman" w:hAnsi="Times New Roman"/>
                <w:b/>
                <w:color w:val="auto"/>
                <w:sz w:val="21"/>
                <w:szCs w:val="21"/>
              </w:rPr>
              <w:t>“三线一单”符合性分析</w:t>
            </w:r>
          </w:p>
          <w:p w14:paraId="4D3A3F59">
            <w:pPr>
              <w:pStyle w:val="24"/>
              <w:adjustRightInd w:val="0"/>
              <w:snapToGrid w:val="0"/>
              <w:spacing w:before="0" w:beforeAutospacing="0" w:after="0" w:afterAutospacing="0" w:line="440" w:lineRule="exact"/>
              <w:ind w:firstLine="420" w:firstLineChars="200"/>
              <w:rPr>
                <w:rFonts w:ascii="Times New Roman" w:hAnsi="Times New Roman"/>
                <w:color w:val="auto"/>
                <w:sz w:val="21"/>
                <w:szCs w:val="21"/>
              </w:rPr>
            </w:pPr>
            <w:r>
              <w:rPr>
                <w:rFonts w:hint="eastAsia" w:ascii="Times New Roman" w:hAnsi="Times New Roman"/>
                <w:color w:val="auto"/>
                <w:sz w:val="21"/>
                <w:szCs w:val="21"/>
              </w:rPr>
              <w:t>（1）与《关于以改善环境质量为核心加强环境影响评价管理的通知》符合性分析</w:t>
            </w:r>
          </w:p>
          <w:p w14:paraId="0BBE46D8">
            <w:pPr>
              <w:pStyle w:val="24"/>
              <w:adjustRightInd w:val="0"/>
              <w:snapToGrid w:val="0"/>
              <w:spacing w:before="0" w:beforeAutospacing="0" w:after="0" w:afterAutospacing="0" w:line="440" w:lineRule="exact"/>
              <w:ind w:firstLine="420" w:firstLineChars="200"/>
              <w:rPr>
                <w:rFonts w:ascii="Times New Roman" w:hAnsi="Times New Roman"/>
                <w:color w:val="auto"/>
                <w:sz w:val="21"/>
                <w:szCs w:val="21"/>
              </w:rPr>
            </w:pPr>
            <w:r>
              <w:rPr>
                <w:rFonts w:hint="eastAsia" w:ascii="Times New Roman" w:hAnsi="Times New Roman"/>
                <w:color w:val="auto"/>
                <w:sz w:val="21"/>
                <w:szCs w:val="21"/>
              </w:rPr>
              <w:t>根据环境保护部环环评[2016]150号《关于以改善环境质量为核心加强环境影响评价管理的通知》要求：</w:t>
            </w:r>
          </w:p>
          <w:p w14:paraId="16298343">
            <w:pPr>
              <w:pStyle w:val="24"/>
              <w:adjustRightInd w:val="0"/>
              <w:snapToGrid w:val="0"/>
              <w:spacing w:before="0" w:beforeAutospacing="0" w:after="0" w:afterAutospacing="0" w:line="440" w:lineRule="exact"/>
              <w:ind w:firstLine="420" w:firstLineChars="200"/>
              <w:rPr>
                <w:rFonts w:ascii="Times New Roman" w:hAnsi="Times New Roman"/>
                <w:color w:val="auto"/>
                <w:sz w:val="21"/>
                <w:szCs w:val="21"/>
              </w:rPr>
            </w:pPr>
            <w:r>
              <w:rPr>
                <w:rFonts w:hint="eastAsia" w:ascii="Times New Roman" w:hAnsi="Times New Roman"/>
                <w:color w:val="auto"/>
                <w:sz w:val="21"/>
                <w:szCs w:val="21"/>
              </w:rPr>
              <w:t>为适应以改善环境质量为核心的环境管理要求，切实加强环境影响评价（以下简称环评）管理，落实“生态保护红线、环境质量底线、资源利用上线和环境准入负面清单”（以下简称“三线一单”）约束，建立项目环评审批与规划环评、现有项目环境管理、区域环境质量联动机制（以下简称“三挂钩”机制），更好地发挥环评制度从源头防范环境污染和生态破坏的作用，加快推进改善环境质量，现就有关事项通知如下：</w:t>
            </w:r>
          </w:p>
          <w:p w14:paraId="3628EF01">
            <w:pPr>
              <w:pStyle w:val="24"/>
              <w:adjustRightInd w:val="0"/>
              <w:snapToGrid w:val="0"/>
              <w:spacing w:before="0" w:beforeAutospacing="0" w:after="0" w:afterAutospacing="0" w:line="440" w:lineRule="exact"/>
              <w:ind w:firstLine="420" w:firstLineChars="200"/>
              <w:rPr>
                <w:rFonts w:ascii="Times New Roman" w:hAnsi="Times New Roman"/>
                <w:color w:val="auto"/>
                <w:sz w:val="21"/>
                <w:szCs w:val="21"/>
              </w:rPr>
            </w:pPr>
            <w:r>
              <w:rPr>
                <w:rFonts w:hint="eastAsia" w:ascii="Times New Roman" w:hAnsi="Times New Roman"/>
                <w:color w:val="auto"/>
                <w:sz w:val="21"/>
                <w:szCs w:val="21"/>
              </w:rPr>
              <w:t>①生态保护红线是生态空间范围内具有特殊重点生态功能必须实行强制性严格保护的区域。相关规划环评应将生态空间管控作为重点内容，规划区域涉及生态保护红线的，在规划环评结论和审查意见中应落实生态保护红线的管理要求，提出相对应对策措施。除受自然条件限制、确实无法避让的铁路、公路、航道、防洪、管道、干渠、通讯、输变电等重要基础设施项目外，在生态保护红线范围内，严控各类开发建设活动，依法不予审批新建工业项目和矿产开发项目的环评文件。</w:t>
            </w:r>
          </w:p>
          <w:p w14:paraId="7468745B">
            <w:pPr>
              <w:pStyle w:val="24"/>
              <w:adjustRightInd w:val="0"/>
              <w:snapToGrid w:val="0"/>
              <w:spacing w:before="0" w:beforeAutospacing="0" w:after="0" w:afterAutospacing="0" w:line="440" w:lineRule="exact"/>
              <w:ind w:firstLine="420" w:firstLineChars="200"/>
              <w:rPr>
                <w:rFonts w:ascii="Times New Roman" w:hAnsi="Times New Roman"/>
                <w:color w:val="auto"/>
                <w:sz w:val="21"/>
                <w:szCs w:val="21"/>
              </w:rPr>
            </w:pPr>
            <w:r>
              <w:rPr>
                <w:rFonts w:hint="eastAsia" w:ascii="Times New Roman" w:hAnsi="Times New Roman"/>
                <w:color w:val="auto"/>
                <w:sz w:val="21"/>
                <w:szCs w:val="21"/>
              </w:rPr>
              <w:t>根据《河北省生态保护红线》，唐山市生态保护红线总面积为 1383.02km</w:t>
            </w:r>
            <w:r>
              <w:rPr>
                <w:rFonts w:hint="eastAsia" w:ascii="Times New Roman" w:hAnsi="Times New Roman"/>
                <w:color w:val="auto"/>
                <w:sz w:val="21"/>
                <w:szCs w:val="21"/>
                <w:vertAlign w:val="superscript"/>
              </w:rPr>
              <w:t>2</w:t>
            </w:r>
            <w:r>
              <w:rPr>
                <w:rFonts w:hint="eastAsia" w:ascii="Times New Roman" w:hAnsi="Times New Roman"/>
                <w:color w:val="auto"/>
                <w:sz w:val="21"/>
                <w:szCs w:val="21"/>
              </w:rPr>
              <w:t>（剔除重叠面积）。红线区分布在开平区、古冶区、丰南区、丰润区、滦县、滦南县、乐亭县、玉田县、遵化市、迁西县、迁安市、曹妃甸区，包括重点生态功能区（主要为水源涵养、土壤保持、洪水调蓄和生物多样性保护区）、生态环境敏感脆弱区（主要为河湖滨岸带）、禁止开发区（自然保护区、饮用水水源保护区、森林公园、湿地公园、地质公园、水产种质资源保护区、风景名胜区）。</w:t>
            </w:r>
          </w:p>
          <w:p w14:paraId="2F257552">
            <w:pPr>
              <w:pStyle w:val="24"/>
              <w:adjustRightInd w:val="0"/>
              <w:snapToGrid w:val="0"/>
              <w:spacing w:before="0" w:beforeAutospacing="0" w:after="0" w:afterAutospacing="0" w:line="440" w:lineRule="exact"/>
              <w:ind w:firstLine="422" w:firstLineChars="200"/>
              <w:rPr>
                <w:rFonts w:ascii="Times New Roman" w:hAnsi="Times New Roman"/>
                <w:color w:val="auto"/>
                <w:sz w:val="21"/>
                <w:szCs w:val="21"/>
              </w:rPr>
            </w:pPr>
            <w:r>
              <w:rPr>
                <w:rFonts w:hint="eastAsia" w:ascii="Times New Roman" w:hAnsi="Times New Roman"/>
                <w:b/>
                <w:bCs/>
                <w:color w:val="auto"/>
                <w:sz w:val="21"/>
                <w:szCs w:val="21"/>
              </w:rPr>
              <w:t>本项</w:t>
            </w:r>
            <w:r>
              <w:rPr>
                <w:rFonts w:hint="eastAsia" w:ascii="Times New Roman" w:hAnsi="Times New Roman" w:eastAsia="宋体" w:cs="Times New Roman"/>
                <w:b/>
                <w:bCs/>
                <w:color w:val="auto"/>
                <w:sz w:val="21"/>
                <w:szCs w:val="21"/>
              </w:rPr>
              <w:t>目选址位于</w:t>
            </w:r>
            <w:r>
              <w:rPr>
                <w:rFonts w:hint="default" w:ascii="Times New Roman" w:hAnsi="Times New Roman" w:eastAsia="宋体" w:cs="Times New Roman"/>
                <w:b/>
                <w:bCs/>
                <w:color w:val="auto"/>
                <w:sz w:val="21"/>
                <w:szCs w:val="21"/>
                <w:lang w:val="en-US" w:eastAsia="zh-CN"/>
              </w:rPr>
              <w:t>滦州市</w:t>
            </w:r>
            <w:r>
              <w:rPr>
                <w:rFonts w:hint="eastAsia" w:ascii="Times New Roman" w:hAnsi="Times New Roman" w:eastAsia="宋体" w:cs="Times New Roman"/>
                <w:b/>
                <w:bCs/>
                <w:color w:val="auto"/>
                <w:sz w:val="21"/>
                <w:szCs w:val="21"/>
                <w:lang w:val="en-US" w:eastAsia="zh-CN"/>
              </w:rPr>
              <w:t>九百户镇</w:t>
            </w:r>
            <w:r>
              <w:rPr>
                <w:rFonts w:hint="default" w:ascii="Times New Roman" w:hAnsi="Times New Roman" w:eastAsia="宋体" w:cs="Times New Roman"/>
                <w:b/>
                <w:bCs/>
                <w:color w:val="auto"/>
                <w:sz w:val="21"/>
                <w:szCs w:val="21"/>
                <w:lang w:val="en-US" w:eastAsia="zh-CN"/>
              </w:rPr>
              <w:t>镇</w:t>
            </w:r>
            <w:r>
              <w:rPr>
                <w:rFonts w:hint="eastAsia" w:ascii="Times New Roman" w:hAnsi="Times New Roman" w:eastAsia="宋体" w:cs="Times New Roman"/>
                <w:b/>
                <w:bCs/>
                <w:color w:val="auto"/>
                <w:sz w:val="21"/>
                <w:szCs w:val="21"/>
                <w:lang w:val="en-US" w:eastAsia="zh-CN"/>
              </w:rPr>
              <w:t>宜安村西</w:t>
            </w:r>
            <w:r>
              <w:rPr>
                <w:rFonts w:hint="eastAsia" w:ascii="Times New Roman" w:hAnsi="Times New Roman"/>
                <w:b/>
                <w:bCs/>
                <w:color w:val="auto"/>
                <w:sz w:val="21"/>
                <w:szCs w:val="21"/>
              </w:rPr>
              <w:t>，不在滦州市生态保护红线区内（见附图），</w:t>
            </w:r>
            <w:r>
              <w:rPr>
                <w:rFonts w:hint="eastAsia" w:ascii="Times New Roman" w:hAnsi="Times New Roman" w:eastAsia="宋体" w:cs="Times New Roman"/>
                <w:b/>
                <w:bCs/>
                <w:color w:val="auto"/>
                <w:sz w:val="21"/>
                <w:szCs w:val="21"/>
                <w:lang w:val="en-US" w:eastAsia="zh-CN"/>
              </w:rPr>
              <w:t>项目厂区距离生态保护红线</w:t>
            </w:r>
            <w:r>
              <w:rPr>
                <w:rFonts w:hint="eastAsia" w:ascii="Times New Roman" w:hAnsi="Times New Roman" w:cs="Times New Roman"/>
                <w:b/>
                <w:bCs/>
                <w:color w:val="auto"/>
                <w:sz w:val="21"/>
                <w:szCs w:val="21"/>
                <w:highlight w:val="none"/>
                <w:lang w:val="en-US" w:eastAsia="zh-CN"/>
              </w:rPr>
              <w:t>189</w:t>
            </w:r>
            <w:r>
              <w:rPr>
                <w:rFonts w:hint="eastAsia" w:ascii="Times New Roman" w:hAnsi="Times New Roman" w:eastAsia="宋体" w:cs="Times New Roman"/>
                <w:b/>
                <w:bCs/>
                <w:color w:val="auto"/>
                <w:sz w:val="21"/>
                <w:szCs w:val="21"/>
                <w:highlight w:val="none"/>
                <w:lang w:val="en-US" w:eastAsia="zh-CN"/>
              </w:rPr>
              <w:t>0m</w:t>
            </w:r>
            <w:r>
              <w:rPr>
                <w:rFonts w:hint="eastAsia" w:ascii="Times New Roman" w:hAnsi="Times New Roman" w:eastAsia="宋体" w:cs="Times New Roman"/>
                <w:b/>
                <w:bCs/>
                <w:color w:val="auto"/>
                <w:sz w:val="21"/>
                <w:szCs w:val="21"/>
                <w:lang w:val="en-US" w:eastAsia="zh-CN"/>
              </w:rPr>
              <w:t>。项目符合生态保护红线要求。</w:t>
            </w:r>
          </w:p>
          <w:p w14:paraId="4768734F">
            <w:pPr>
              <w:pStyle w:val="24"/>
              <w:adjustRightInd w:val="0"/>
              <w:snapToGrid w:val="0"/>
              <w:spacing w:before="0" w:beforeAutospacing="0" w:after="0" w:afterAutospacing="0" w:line="440" w:lineRule="exact"/>
              <w:ind w:firstLine="420" w:firstLineChars="200"/>
              <w:rPr>
                <w:rFonts w:ascii="Times New Roman" w:hAnsi="Times New Roman"/>
                <w:color w:val="auto"/>
                <w:sz w:val="21"/>
                <w:szCs w:val="21"/>
              </w:rPr>
            </w:pPr>
            <w:r>
              <w:rPr>
                <w:rFonts w:hint="eastAsia" w:ascii="Times New Roman" w:hAnsi="Times New Roman"/>
                <w:color w:val="auto"/>
                <w:sz w:val="21"/>
                <w:szCs w:val="21"/>
              </w:rPr>
              <w:t>②环境质量底线是国家和地方设置的大气、水和土壤环境质量目标，也是改善环境质量的基准线。环境质量底线分别为：区域地下水环境质量目标为《地下水质量标准》（GB/T14848-2017）中Ⅲ类标准；区域大气环境质量目标为《环境空气质量标准》（GB3095-2012）中的二级标准；区域声环境质量目标为《声环境质量标准》（GB3096-2008）2类区标准。</w:t>
            </w:r>
          </w:p>
          <w:p w14:paraId="44EC0C94">
            <w:pPr>
              <w:pStyle w:val="24"/>
              <w:adjustRightInd w:val="0"/>
              <w:snapToGrid w:val="0"/>
              <w:spacing w:before="0" w:beforeAutospacing="0" w:after="0" w:afterAutospacing="0" w:line="440" w:lineRule="exact"/>
              <w:ind w:firstLine="420" w:firstLineChars="200"/>
              <w:rPr>
                <w:rFonts w:hint="eastAsia" w:ascii="Times New Roman" w:hAnsi="Times New Roman" w:eastAsia="宋体" w:cs="Times New Roman"/>
                <w:color w:val="auto"/>
                <w:sz w:val="21"/>
                <w:szCs w:val="21"/>
              </w:rPr>
            </w:pPr>
            <w:r>
              <w:rPr>
                <w:rFonts w:hint="eastAsia" w:ascii="Times New Roman" w:hAnsi="Times New Roman"/>
                <w:color w:val="auto"/>
                <w:sz w:val="21"/>
                <w:szCs w:val="21"/>
              </w:rPr>
              <w:t>a.环境</w:t>
            </w:r>
            <w:r>
              <w:rPr>
                <w:rFonts w:hint="eastAsia" w:ascii="Times New Roman" w:hAnsi="Times New Roman" w:eastAsia="宋体" w:cs="Times New Roman"/>
                <w:color w:val="auto"/>
                <w:sz w:val="21"/>
                <w:szCs w:val="21"/>
              </w:rPr>
              <w:t>空气：根据《</w:t>
            </w:r>
            <w:r>
              <w:rPr>
                <w:rFonts w:hint="eastAsia" w:ascii="Times New Roman" w:hAnsi="Times New Roman" w:eastAsia="宋体" w:cs="Times New Roman"/>
                <w:color w:val="auto"/>
                <w:sz w:val="21"/>
                <w:szCs w:val="21"/>
                <w:highlight w:val="none"/>
              </w:rPr>
              <w:t>202</w:t>
            </w:r>
            <w:r>
              <w:rPr>
                <w:rFonts w:hint="eastAsia" w:ascii="Times New Roman" w:hAnsi="Times New Roman" w:cs="Times New Roman"/>
                <w:color w:val="auto"/>
                <w:sz w:val="21"/>
                <w:szCs w:val="21"/>
                <w:highlight w:val="none"/>
                <w:lang w:val="en-US" w:eastAsia="zh-CN"/>
              </w:rPr>
              <w:t>4</w:t>
            </w:r>
            <w:r>
              <w:rPr>
                <w:rFonts w:hint="eastAsia" w:ascii="Times New Roman" w:hAnsi="Times New Roman" w:eastAsia="宋体" w:cs="Times New Roman"/>
                <w:color w:val="auto"/>
                <w:sz w:val="21"/>
                <w:szCs w:val="21"/>
                <w:highlight w:val="none"/>
              </w:rPr>
              <w:t>年</w:t>
            </w:r>
            <w:r>
              <w:rPr>
                <w:rFonts w:hint="eastAsia" w:ascii="Times New Roman" w:hAnsi="Times New Roman" w:eastAsia="宋体" w:cs="Times New Roman"/>
                <w:color w:val="auto"/>
                <w:sz w:val="21"/>
                <w:szCs w:val="21"/>
                <w:highlight w:val="none"/>
                <w:lang w:val="en-US" w:eastAsia="zh-CN"/>
              </w:rPr>
              <w:t>河北省生态</w:t>
            </w:r>
            <w:r>
              <w:rPr>
                <w:rFonts w:hint="eastAsia" w:ascii="Times New Roman" w:hAnsi="Times New Roman" w:eastAsia="宋体" w:cs="Times New Roman"/>
                <w:color w:val="auto"/>
                <w:sz w:val="21"/>
                <w:szCs w:val="21"/>
                <w:highlight w:val="none"/>
              </w:rPr>
              <w:t>环境状况公报</w:t>
            </w:r>
            <w:r>
              <w:rPr>
                <w:rFonts w:hint="eastAsia" w:ascii="Times New Roman" w:hAnsi="Times New Roman" w:eastAsia="宋体" w:cs="Times New Roman"/>
                <w:color w:val="auto"/>
                <w:sz w:val="21"/>
                <w:szCs w:val="21"/>
              </w:rPr>
              <w:t>》</w:t>
            </w:r>
            <w:r>
              <w:rPr>
                <w:rFonts w:hint="eastAsia" w:ascii="Times New Roman" w:hAnsi="Times New Roman" w:eastAsia="宋体" w:cs="Times New Roman"/>
                <w:color w:val="auto"/>
                <w:sz w:val="21"/>
                <w:szCs w:val="21"/>
                <w:highlight w:val="none"/>
              </w:rPr>
              <w:t>中</w:t>
            </w:r>
            <w:r>
              <w:rPr>
                <w:rFonts w:hint="eastAsia" w:ascii="Times New Roman" w:hAnsi="Times New Roman" w:eastAsia="宋体" w:cs="Times New Roman"/>
                <w:color w:val="auto"/>
                <w:sz w:val="21"/>
                <w:szCs w:val="21"/>
                <w:highlight w:val="none"/>
                <w:lang w:val="en-US" w:eastAsia="zh-CN"/>
              </w:rPr>
              <w:t>唐山市</w:t>
            </w:r>
            <w:r>
              <w:rPr>
                <w:rFonts w:hint="eastAsia" w:ascii="Times New Roman" w:hAnsi="Times New Roman" w:eastAsia="宋体" w:cs="Times New Roman"/>
                <w:color w:val="auto"/>
                <w:sz w:val="21"/>
                <w:szCs w:val="21"/>
                <w:highlight w:val="none"/>
              </w:rPr>
              <w:t>的监测数据</w:t>
            </w:r>
            <w:r>
              <w:rPr>
                <w:rFonts w:hint="eastAsia" w:ascii="Times New Roman" w:hAnsi="Times New Roman" w:eastAsia="宋体" w:cs="Times New Roman"/>
                <w:color w:val="auto"/>
                <w:sz w:val="21"/>
                <w:szCs w:val="21"/>
              </w:rPr>
              <w:t>显示，项目所在区域（唐山市）属于不达标区。由分析数据可知，项目所在区域大气中PM</w:t>
            </w:r>
            <w:r>
              <w:rPr>
                <w:rFonts w:hint="eastAsia" w:ascii="Times New Roman" w:hAnsi="Times New Roman" w:eastAsia="宋体" w:cs="Times New Roman"/>
                <w:color w:val="auto"/>
                <w:sz w:val="21"/>
                <w:szCs w:val="21"/>
                <w:vertAlign w:val="subscript"/>
              </w:rPr>
              <w:t>2.5</w:t>
            </w:r>
            <w:r>
              <w:rPr>
                <w:rFonts w:hint="eastAsia" w:ascii="Times New Roman" w:hAnsi="Times New Roman" w:eastAsia="宋体" w:cs="Times New Roman"/>
                <w:color w:val="auto"/>
                <w:sz w:val="21"/>
                <w:szCs w:val="21"/>
              </w:rPr>
              <w:t>、O</w:t>
            </w:r>
            <w:r>
              <w:rPr>
                <w:rFonts w:hint="eastAsia" w:ascii="Times New Roman" w:hAnsi="Times New Roman" w:eastAsia="宋体" w:cs="Times New Roman"/>
                <w:color w:val="auto"/>
                <w:sz w:val="21"/>
                <w:szCs w:val="21"/>
                <w:vertAlign w:val="subscript"/>
              </w:rPr>
              <w:t>3</w:t>
            </w:r>
            <w:r>
              <w:rPr>
                <w:rFonts w:hint="eastAsia" w:ascii="Times New Roman" w:hAnsi="Times New Roman" w:eastAsia="宋体" w:cs="Times New Roman"/>
                <w:color w:val="auto"/>
                <w:sz w:val="21"/>
                <w:szCs w:val="21"/>
              </w:rPr>
              <w:t>为超标因子，SO</w:t>
            </w:r>
            <w:r>
              <w:rPr>
                <w:rFonts w:hint="eastAsia" w:ascii="Times New Roman" w:hAnsi="Times New Roman" w:eastAsia="宋体" w:cs="Times New Roman"/>
                <w:color w:val="auto"/>
                <w:sz w:val="21"/>
                <w:szCs w:val="21"/>
                <w:vertAlign w:val="subscript"/>
              </w:rPr>
              <w:t>2</w:t>
            </w:r>
            <w:r>
              <w:rPr>
                <w:rFonts w:hint="eastAsia" w:ascii="Times New Roman" w:hAnsi="Times New Roman" w:eastAsia="宋体" w:cs="Times New Roman"/>
                <w:color w:val="auto"/>
                <w:sz w:val="21"/>
                <w:szCs w:val="21"/>
              </w:rPr>
              <w:t>、NO</w:t>
            </w:r>
            <w:r>
              <w:rPr>
                <w:rFonts w:hint="eastAsia" w:ascii="Times New Roman" w:hAnsi="Times New Roman" w:eastAsia="宋体" w:cs="Times New Roman"/>
                <w:color w:val="auto"/>
                <w:sz w:val="21"/>
                <w:szCs w:val="21"/>
                <w:vertAlign w:val="subscript"/>
              </w:rPr>
              <w:t>2</w:t>
            </w:r>
            <w:r>
              <w:rPr>
                <w:rFonts w:hint="eastAsia" w:eastAsiaTheme="minorEastAsia"/>
                <w:color w:val="auto"/>
                <w:szCs w:val="21"/>
                <w:highlight w:val="none"/>
                <w:vertAlign w:val="baseline"/>
                <w:lang w:eastAsia="zh-CN"/>
              </w:rPr>
              <w:t>、</w:t>
            </w:r>
            <w:r>
              <w:rPr>
                <w:rFonts w:hint="eastAsia" w:ascii="Times New Roman" w:hAnsi="Times New Roman" w:eastAsia="宋体" w:cs="Times New Roman"/>
                <w:color w:val="auto"/>
                <w:sz w:val="21"/>
                <w:szCs w:val="21"/>
              </w:rPr>
              <w:t>PM</w:t>
            </w:r>
            <w:r>
              <w:rPr>
                <w:rFonts w:hint="eastAsia" w:ascii="Times New Roman" w:hAnsi="Times New Roman" w:eastAsia="宋体" w:cs="Times New Roman"/>
                <w:color w:val="auto"/>
                <w:sz w:val="21"/>
                <w:szCs w:val="21"/>
                <w:vertAlign w:val="subscript"/>
              </w:rPr>
              <w:t>10</w:t>
            </w:r>
            <w:r>
              <w:rPr>
                <w:rFonts w:hint="eastAsia" w:ascii="Times New Roman" w:hAnsi="Times New Roman" w:eastAsia="宋体" w:cs="Times New Roman"/>
                <w:color w:val="auto"/>
                <w:sz w:val="21"/>
                <w:szCs w:val="21"/>
              </w:rPr>
              <w:t>的年平均质量浓度、CO的24小时平均第95百分位数质量浓度均满足《环境空气质量标准》（GB3095-2012）及其修改单中二级标准。</w:t>
            </w:r>
          </w:p>
          <w:p w14:paraId="2F8EE34B">
            <w:pPr>
              <w:pStyle w:val="24"/>
              <w:adjustRightInd w:val="0"/>
              <w:snapToGrid w:val="0"/>
              <w:spacing w:before="0" w:beforeAutospacing="0" w:after="0" w:afterAutospacing="0" w:line="440" w:lineRule="exact"/>
              <w:ind w:firstLine="422" w:firstLineChars="200"/>
              <w:rPr>
                <w:rFonts w:ascii="Times New Roman" w:hAnsi="Times New Roman"/>
                <w:b/>
                <w:bCs/>
                <w:color w:val="auto"/>
                <w:kern w:val="2"/>
                <w:sz w:val="21"/>
                <w:szCs w:val="24"/>
              </w:rPr>
            </w:pPr>
            <w:r>
              <w:rPr>
                <w:rFonts w:hint="eastAsia" w:ascii="Times New Roman" w:hAnsi="Times New Roman"/>
                <w:b/>
                <w:bCs/>
                <w:color w:val="auto"/>
                <w:kern w:val="2"/>
                <w:sz w:val="21"/>
                <w:szCs w:val="24"/>
              </w:rPr>
              <w:t>根</w:t>
            </w:r>
            <w:r>
              <w:rPr>
                <w:rFonts w:hint="eastAsia" w:ascii="Times New Roman" w:hAnsi="Times New Roman"/>
                <w:b/>
                <w:bCs/>
                <w:color w:val="auto"/>
                <w:kern w:val="2"/>
                <w:sz w:val="21"/>
                <w:szCs w:val="24"/>
                <w:lang w:val="en-US" w:eastAsia="zh-CN"/>
              </w:rPr>
              <w:t>据工程分析，拟建项目废气主要污染物为颗粒物，各产污环节均采取了完善的污染防治措施，废气各产污环节严格控制污染物排放，可以稳定实现达标排放，颗粒物排放量较小，对周围环境影响较小，不会对区域大气环境产生明显影。</w:t>
            </w:r>
          </w:p>
          <w:p w14:paraId="2CA0C064">
            <w:pPr>
              <w:spacing w:line="460" w:lineRule="exact"/>
              <w:ind w:firstLine="422" w:firstLineChars="200"/>
              <w:rPr>
                <w:b/>
                <w:bCs/>
                <w:color w:val="auto"/>
                <w:szCs w:val="21"/>
                <w:highlight w:val="none"/>
              </w:rPr>
            </w:pPr>
            <w:r>
              <w:rPr>
                <w:rFonts w:hint="eastAsia" w:hAnsi="宋体" w:cs="宋体"/>
                <w:b/>
                <w:bCs/>
                <w:color w:val="auto"/>
                <w:highlight w:val="none"/>
              </w:rPr>
              <w:t>b.地表</w:t>
            </w:r>
            <w:r>
              <w:rPr>
                <w:b/>
                <w:bCs/>
                <w:color w:val="auto"/>
                <w:highlight w:val="none"/>
              </w:rPr>
              <w:t>水环境：</w:t>
            </w:r>
            <w:r>
              <w:rPr>
                <w:rFonts w:hint="eastAsia"/>
                <w:b/>
                <w:bCs/>
                <w:color w:val="auto"/>
                <w:szCs w:val="21"/>
                <w:highlight w:val="none"/>
                <w:lang w:val="en-US" w:eastAsia="zh-CN"/>
              </w:rPr>
              <w:t>项目车辆冲洗废水经沉淀后循环利用；</w:t>
            </w:r>
            <w:r>
              <w:rPr>
                <w:rFonts w:hint="eastAsia" w:ascii="Times New Roman" w:hAnsi="Times New Roman" w:eastAsia="宋体" w:cs="Times New Roman"/>
                <w:b/>
                <w:bCs/>
                <w:color w:val="auto"/>
                <w:szCs w:val="21"/>
                <w:highlight w:val="none"/>
                <w:lang w:val="en-US" w:eastAsia="zh-CN"/>
              </w:rPr>
              <w:t>职工盥洗废水水质简单用于</w:t>
            </w:r>
            <w:r>
              <w:rPr>
                <w:rFonts w:hint="eastAsia"/>
                <w:b/>
                <w:bCs/>
                <w:color w:val="auto"/>
                <w:szCs w:val="21"/>
                <w:highlight w:val="none"/>
              </w:rPr>
              <w:t>厂区内泼</w:t>
            </w:r>
            <w:r>
              <w:rPr>
                <w:rFonts w:hint="eastAsia" w:ascii="Times New Roman" w:hAnsi="Times New Roman" w:eastAsia="宋体" w:cs="Times New Roman"/>
                <w:b/>
                <w:bCs/>
                <w:color w:val="auto"/>
                <w:szCs w:val="21"/>
                <w:highlight w:val="none"/>
                <w:lang w:val="en-US" w:eastAsia="zh-CN"/>
              </w:rPr>
              <w:t>洒抑尘；生产废水经相应的污水池、</w:t>
            </w:r>
            <w:r>
              <w:rPr>
                <w:rFonts w:hint="eastAsia" w:cs="Times New Roman"/>
                <w:b/>
                <w:bCs/>
                <w:color w:val="auto"/>
                <w:szCs w:val="21"/>
                <w:highlight w:val="none"/>
                <w:lang w:val="en-US" w:eastAsia="zh-CN"/>
              </w:rPr>
              <w:t>污水沉淀池、浓缩罐、</w:t>
            </w:r>
            <w:r>
              <w:rPr>
                <w:rFonts w:hint="eastAsia" w:ascii="Times New Roman" w:hAnsi="Times New Roman" w:eastAsia="宋体" w:cs="Times New Roman"/>
                <w:b/>
                <w:bCs/>
                <w:color w:val="auto"/>
                <w:szCs w:val="21"/>
                <w:highlight w:val="none"/>
                <w:lang w:val="en-US" w:eastAsia="zh-CN"/>
              </w:rPr>
              <w:t>板框压滤机处理后循环使用，不外排。拟建</w:t>
            </w:r>
            <w:r>
              <w:rPr>
                <w:rFonts w:hint="eastAsia"/>
                <w:b/>
                <w:bCs/>
                <w:color w:val="auto"/>
                <w:szCs w:val="21"/>
                <w:highlight w:val="none"/>
                <w:lang w:val="en-US" w:eastAsia="zh-CN"/>
              </w:rPr>
              <w:t>项目</w:t>
            </w:r>
            <w:r>
              <w:rPr>
                <w:rFonts w:hint="eastAsia"/>
                <w:b/>
                <w:bCs/>
                <w:color w:val="auto"/>
                <w:szCs w:val="21"/>
                <w:highlight w:val="none"/>
              </w:rPr>
              <w:t>无废水外排环境，因此，不会对地表水环境产生影响。</w:t>
            </w:r>
          </w:p>
          <w:p w14:paraId="53AEDB22">
            <w:pPr>
              <w:adjustRightInd w:val="0"/>
              <w:snapToGrid w:val="0"/>
              <w:spacing w:line="460" w:lineRule="exact"/>
              <w:ind w:firstLine="422" w:firstLineChars="200"/>
              <w:rPr>
                <w:color w:val="auto"/>
              </w:rPr>
            </w:pPr>
            <w:r>
              <w:rPr>
                <w:rFonts w:hint="eastAsia" w:hAnsi="宋体" w:cs="宋体"/>
                <w:b/>
                <w:bCs/>
                <w:color w:val="auto"/>
              </w:rPr>
              <w:t>c.</w:t>
            </w:r>
            <w:r>
              <w:rPr>
                <w:b/>
                <w:bCs/>
                <w:color w:val="auto"/>
              </w:rPr>
              <w:t>声环境：项目采用低噪音设备，并置于车间内，并对设备采取基础减振等措施，根据预测结果，厂界</w:t>
            </w:r>
            <w:r>
              <w:rPr>
                <w:rFonts w:hint="eastAsia"/>
                <w:b/>
                <w:bCs/>
                <w:color w:val="auto"/>
              </w:rPr>
              <w:t>噪声</w:t>
            </w:r>
            <w:r>
              <w:rPr>
                <w:b/>
                <w:bCs/>
                <w:color w:val="auto"/>
              </w:rPr>
              <w:t>可满足《工业企业厂界环境噪声排放标准》（GB12348-2008）</w:t>
            </w:r>
            <w:r>
              <w:rPr>
                <w:rFonts w:hint="eastAsia"/>
                <w:b/>
                <w:bCs/>
                <w:color w:val="auto"/>
              </w:rPr>
              <w:t>2类</w:t>
            </w:r>
            <w:r>
              <w:rPr>
                <w:b/>
                <w:bCs/>
                <w:color w:val="auto"/>
              </w:rPr>
              <w:t>标准要求，不会改变厂界现有功能要求</w:t>
            </w:r>
            <w:r>
              <w:rPr>
                <w:color w:val="auto"/>
              </w:rPr>
              <w:t>。</w:t>
            </w:r>
          </w:p>
          <w:p w14:paraId="091FA040">
            <w:pPr>
              <w:adjustRightInd w:val="0"/>
              <w:snapToGrid w:val="0"/>
              <w:spacing w:line="460" w:lineRule="exact"/>
              <w:ind w:firstLine="422" w:firstLineChars="200"/>
              <w:rPr>
                <w:b/>
                <w:bCs/>
                <w:color w:val="auto"/>
              </w:rPr>
            </w:pPr>
            <w:r>
              <w:rPr>
                <w:rFonts w:hint="eastAsia"/>
                <w:b/>
                <w:bCs/>
                <w:color w:val="auto"/>
              </w:rPr>
              <w:t>d.地下水环境：项目</w:t>
            </w:r>
            <w:r>
              <w:rPr>
                <w:rFonts w:hint="eastAsia"/>
                <w:b/>
                <w:bCs/>
                <w:color w:val="auto"/>
                <w:lang w:val="en-US" w:eastAsia="zh-CN"/>
              </w:rPr>
              <w:t>根据</w:t>
            </w:r>
            <w:r>
              <w:rPr>
                <w:rFonts w:hint="eastAsia" w:ascii="Times New Roman" w:hAnsi="Times New Roman" w:eastAsia="宋体" w:cs="Times New Roman"/>
                <w:b/>
                <w:bCs/>
                <w:color w:val="auto"/>
              </w:rPr>
              <w:t>《环境影响评价技术导则  地下水环境》</w:t>
            </w:r>
            <w:r>
              <w:rPr>
                <w:rFonts w:hint="eastAsia" w:ascii="Times New Roman" w:hAnsi="Times New Roman" w:eastAsia="宋体" w:cs="Times New Roman"/>
                <w:b/>
                <w:bCs/>
                <w:color w:val="auto"/>
                <w:lang w:eastAsia="zh-CN"/>
              </w:rPr>
              <w:t>（</w:t>
            </w:r>
            <w:r>
              <w:rPr>
                <w:rFonts w:hint="eastAsia" w:ascii="Times New Roman" w:hAnsi="Times New Roman" w:eastAsia="宋体" w:cs="Times New Roman"/>
                <w:b/>
                <w:bCs/>
                <w:color w:val="auto"/>
              </w:rPr>
              <w:t>HJ 610-2016</w:t>
            </w:r>
            <w:r>
              <w:rPr>
                <w:rFonts w:hint="eastAsia" w:ascii="Times New Roman" w:hAnsi="Times New Roman" w:eastAsia="宋体" w:cs="Times New Roman"/>
                <w:b/>
                <w:bCs/>
                <w:color w:val="auto"/>
                <w:lang w:eastAsia="zh-CN"/>
              </w:rPr>
              <w:t>）</w:t>
            </w:r>
            <w:r>
              <w:rPr>
                <w:rFonts w:hint="eastAsia" w:ascii="Times New Roman" w:hAnsi="Times New Roman" w:eastAsia="宋体" w:cs="Times New Roman"/>
                <w:b/>
                <w:bCs/>
                <w:color w:val="auto"/>
                <w:lang w:val="en-US" w:eastAsia="zh-CN"/>
              </w:rPr>
              <w:t>的防渗技术要求</w:t>
            </w:r>
            <w:r>
              <w:rPr>
                <w:rFonts w:hint="eastAsia"/>
                <w:b/>
                <w:bCs/>
                <w:color w:val="auto"/>
              </w:rPr>
              <w:t>，依据项目的工程建设特点，对</w:t>
            </w:r>
            <w:r>
              <w:rPr>
                <w:rFonts w:hint="eastAsia"/>
                <w:b/>
                <w:bCs/>
                <w:color w:val="auto"/>
                <w:highlight w:val="none"/>
              </w:rPr>
              <w:t>重点防渗区、一般防渗区、简单防渗区进行分区防渗措施，不会对地下水</w:t>
            </w:r>
            <w:r>
              <w:rPr>
                <w:rFonts w:hint="eastAsia"/>
                <w:b/>
                <w:bCs/>
                <w:color w:val="auto"/>
              </w:rPr>
              <w:t>产生冲击性影响。</w:t>
            </w:r>
          </w:p>
          <w:p w14:paraId="1CA2FEBA">
            <w:pPr>
              <w:adjustRightInd w:val="0"/>
              <w:snapToGrid w:val="0"/>
              <w:spacing w:line="460" w:lineRule="exact"/>
              <w:ind w:firstLine="422" w:firstLineChars="200"/>
              <w:rPr>
                <w:b/>
                <w:bCs/>
                <w:color w:val="auto"/>
              </w:rPr>
            </w:pPr>
            <w:r>
              <w:rPr>
                <w:rFonts w:hint="eastAsia"/>
                <w:b/>
                <w:bCs/>
                <w:color w:val="auto"/>
              </w:rPr>
              <w:t>e.土壤环境：土壤环境项目通过采取源头控制措施及过程控制措施等土壤污染防护措施，能够满足对土壤环境质量保护的要求，不会对土壤环境造成冲击性影响。</w:t>
            </w:r>
          </w:p>
          <w:p w14:paraId="537D0C0C">
            <w:pPr>
              <w:pStyle w:val="24"/>
              <w:adjustRightInd w:val="0"/>
              <w:snapToGrid w:val="0"/>
              <w:spacing w:before="0" w:beforeAutospacing="0" w:after="0" w:afterAutospacing="0" w:line="440" w:lineRule="exact"/>
              <w:ind w:firstLine="422" w:firstLineChars="200"/>
              <w:rPr>
                <w:rFonts w:ascii="Times New Roman" w:hAnsi="Times New Roman"/>
                <w:b/>
                <w:bCs/>
                <w:color w:val="auto"/>
                <w:sz w:val="21"/>
                <w:szCs w:val="21"/>
              </w:rPr>
            </w:pPr>
            <w:r>
              <w:rPr>
                <w:rFonts w:hint="eastAsia" w:ascii="Times New Roman" w:hAnsi="Times New Roman"/>
                <w:b/>
                <w:bCs/>
                <w:color w:val="auto"/>
                <w:sz w:val="21"/>
                <w:szCs w:val="21"/>
              </w:rPr>
              <w:t>因此，在严格落实废气、废水、噪声、固废等污染防治措施前提下，项目的实施不会对周围环境产生明显影响，不会改变区域的环境质量功能类别。</w:t>
            </w:r>
          </w:p>
          <w:p w14:paraId="78D21EE9">
            <w:pPr>
              <w:pStyle w:val="24"/>
              <w:adjustRightInd w:val="0"/>
              <w:snapToGrid w:val="0"/>
              <w:spacing w:before="0" w:beforeAutospacing="0" w:after="0" w:afterAutospacing="0" w:line="440" w:lineRule="exact"/>
              <w:ind w:firstLine="420" w:firstLineChars="200"/>
              <w:rPr>
                <w:rFonts w:ascii="Times New Roman" w:hAnsi="Times New Roman"/>
                <w:color w:val="auto"/>
                <w:sz w:val="21"/>
                <w:szCs w:val="21"/>
              </w:rPr>
            </w:pPr>
            <w:r>
              <w:rPr>
                <w:rFonts w:hint="eastAsia" w:ascii="Times New Roman" w:hAnsi="Times New Roman"/>
                <w:color w:val="auto"/>
                <w:sz w:val="21"/>
                <w:szCs w:val="21"/>
              </w:rPr>
              <w:t>③资源是环境的载体，资源利用上线是各地区能源、水、土地等资源消耗不得突破的“天花板”。</w:t>
            </w:r>
          </w:p>
          <w:p w14:paraId="6C2DF842">
            <w:pPr>
              <w:keepNext w:val="0"/>
              <w:keepLines w:val="0"/>
              <w:pageBreakBefore w:val="0"/>
              <w:widowControl w:val="0"/>
              <w:kinsoku/>
              <w:wordWrap/>
              <w:overflowPunct/>
              <w:topLinePunct w:val="0"/>
              <w:autoSpaceDE/>
              <w:autoSpaceDN/>
              <w:bidi w:val="0"/>
              <w:adjustRightInd w:val="0"/>
              <w:snapToGrid w:val="0"/>
              <w:spacing w:line="440" w:lineRule="exact"/>
              <w:ind w:firstLine="422" w:firstLineChars="200"/>
              <w:textAlignment w:val="auto"/>
              <w:rPr>
                <w:rFonts w:hint="eastAsia" w:ascii="Times New Roman" w:hAnsi="Times New Roman" w:eastAsia="宋体" w:cs="Times New Roman"/>
                <w:b/>
                <w:bCs/>
                <w:color w:val="auto"/>
                <w:highlight w:val="none"/>
              </w:rPr>
            </w:pPr>
            <w:r>
              <w:rPr>
                <w:rFonts w:hint="eastAsia" w:ascii="Times New Roman" w:hAnsi="Times New Roman" w:eastAsia="宋体" w:cs="Times New Roman"/>
                <w:b/>
                <w:bCs/>
                <w:color w:val="auto"/>
              </w:rPr>
              <w:t>拟建项目生产过程中，主要利用的资源是水、电等。</w:t>
            </w:r>
            <w:r>
              <w:rPr>
                <w:rFonts w:hint="eastAsia" w:ascii="Times New Roman" w:hAnsi="Times New Roman" w:eastAsia="宋体" w:cs="Times New Roman"/>
                <w:b/>
                <w:bCs/>
                <w:color w:val="auto"/>
                <w:lang w:val="en-US" w:eastAsia="zh-CN"/>
              </w:rPr>
              <w:t>本项目生活用水采用桶装水，生产用水采用中水，由唐山市古冶区宏源污水处理厂提供（协议见附件）</w:t>
            </w:r>
            <w:r>
              <w:rPr>
                <w:rFonts w:hint="eastAsia" w:ascii="Times New Roman" w:hAnsi="Times New Roman" w:eastAsia="宋体" w:cs="Times New Roman"/>
                <w:b/>
                <w:bCs/>
                <w:color w:val="auto"/>
                <w:highlight w:val="none"/>
                <w:lang w:val="en-US" w:eastAsia="zh-CN"/>
              </w:rPr>
              <w:t>，本项目</w:t>
            </w:r>
            <w:r>
              <w:rPr>
                <w:rFonts w:hint="eastAsia" w:cs="Times New Roman"/>
                <w:b/>
                <w:bCs/>
                <w:color w:val="auto"/>
                <w:highlight w:val="none"/>
                <w:lang w:val="en-US" w:eastAsia="zh-CN"/>
              </w:rPr>
              <w:t>用水有保障</w:t>
            </w:r>
            <w:r>
              <w:rPr>
                <w:rFonts w:hint="eastAsia" w:ascii="Times New Roman" w:hAnsi="Times New Roman" w:eastAsia="宋体" w:cs="Times New Roman"/>
                <w:b/>
                <w:bCs/>
                <w:color w:val="auto"/>
                <w:highlight w:val="none"/>
              </w:rPr>
              <w:t>。拟建项目年用电</w:t>
            </w:r>
            <w:r>
              <w:rPr>
                <w:rFonts w:hint="eastAsia" w:cs="Times New Roman"/>
                <w:b/>
                <w:bCs/>
                <w:color w:val="auto"/>
                <w:highlight w:val="none"/>
                <w:lang w:val="en-US" w:eastAsia="zh-CN"/>
              </w:rPr>
              <w:t>210</w:t>
            </w:r>
            <w:r>
              <w:rPr>
                <w:rFonts w:hint="eastAsia" w:ascii="Times New Roman" w:hAnsi="Times New Roman" w:eastAsia="宋体" w:cs="Times New Roman"/>
                <w:b/>
                <w:bCs/>
                <w:color w:val="auto"/>
                <w:highlight w:val="none"/>
              </w:rPr>
              <w:t>万kWh/a，引自本地电网，电力供应有保障；拟建项目位于</w:t>
            </w:r>
            <w:r>
              <w:rPr>
                <w:rFonts w:hint="default" w:ascii="Times New Roman" w:hAnsi="Times New Roman" w:eastAsia="宋体" w:cs="Times New Roman"/>
                <w:b/>
                <w:bCs/>
                <w:color w:val="auto"/>
                <w:sz w:val="21"/>
                <w:szCs w:val="21"/>
                <w:lang w:val="en-US" w:eastAsia="zh-CN"/>
              </w:rPr>
              <w:t>滦州市</w:t>
            </w:r>
            <w:r>
              <w:rPr>
                <w:rFonts w:hint="eastAsia" w:ascii="Times New Roman" w:hAnsi="Times New Roman" w:eastAsia="宋体" w:cs="Times New Roman"/>
                <w:b/>
                <w:bCs/>
                <w:color w:val="auto"/>
                <w:sz w:val="21"/>
                <w:szCs w:val="21"/>
                <w:lang w:val="en-US" w:eastAsia="zh-CN"/>
              </w:rPr>
              <w:t>九百户镇</w:t>
            </w:r>
            <w:r>
              <w:rPr>
                <w:rFonts w:hint="default" w:ascii="Times New Roman" w:hAnsi="Times New Roman" w:eastAsia="宋体" w:cs="Times New Roman"/>
                <w:b/>
                <w:bCs/>
                <w:color w:val="auto"/>
                <w:sz w:val="21"/>
                <w:szCs w:val="21"/>
                <w:lang w:val="en-US" w:eastAsia="zh-CN"/>
              </w:rPr>
              <w:t>镇</w:t>
            </w:r>
            <w:r>
              <w:rPr>
                <w:rFonts w:hint="eastAsia" w:ascii="Times New Roman" w:hAnsi="Times New Roman" w:eastAsia="宋体" w:cs="Times New Roman"/>
                <w:b/>
                <w:bCs/>
                <w:color w:val="auto"/>
                <w:sz w:val="21"/>
                <w:szCs w:val="21"/>
                <w:lang w:val="en-US" w:eastAsia="zh-CN"/>
              </w:rPr>
              <w:t>宜安村西</w:t>
            </w:r>
            <w:r>
              <w:rPr>
                <w:rFonts w:hint="eastAsia" w:ascii="Times New Roman" w:hAnsi="Times New Roman" w:eastAsia="宋体" w:cs="Times New Roman"/>
                <w:b/>
                <w:bCs/>
                <w:color w:val="auto"/>
                <w:highlight w:val="none"/>
                <w:lang w:eastAsia="zh-CN"/>
              </w:rPr>
              <w:t>，根据</w:t>
            </w:r>
            <w:r>
              <w:rPr>
                <w:rFonts w:hint="eastAsia" w:ascii="Times New Roman" w:hAnsi="Times New Roman" w:eastAsia="宋体" w:cs="Times New Roman"/>
                <w:b/>
                <w:bCs/>
                <w:color w:val="auto"/>
                <w:sz w:val="21"/>
                <w:szCs w:val="21"/>
                <w:lang w:val="en-US" w:eastAsia="zh-CN"/>
              </w:rPr>
              <w:t>《</w:t>
            </w:r>
            <w:r>
              <w:rPr>
                <w:rFonts w:hint="default" w:ascii="Times New Roman" w:hAnsi="Times New Roman" w:eastAsia="宋体" w:cs="Times New Roman"/>
                <w:b/>
                <w:bCs/>
                <w:color w:val="auto"/>
                <w:sz w:val="21"/>
                <w:szCs w:val="21"/>
                <w:lang w:val="en-US" w:eastAsia="zh-CN"/>
              </w:rPr>
              <w:t>滦州市</w:t>
            </w:r>
            <w:r>
              <w:rPr>
                <w:rFonts w:hint="eastAsia" w:ascii="Times New Roman" w:hAnsi="Times New Roman" w:eastAsia="宋体" w:cs="Times New Roman"/>
                <w:b/>
                <w:bCs/>
                <w:color w:val="auto"/>
                <w:sz w:val="21"/>
                <w:szCs w:val="21"/>
                <w:lang w:val="en-US" w:eastAsia="zh-CN"/>
              </w:rPr>
              <w:t>九百户镇</w:t>
            </w:r>
            <w:r>
              <w:rPr>
                <w:rFonts w:hint="default" w:ascii="Times New Roman" w:hAnsi="Times New Roman" w:eastAsia="宋体" w:cs="Times New Roman"/>
                <w:b/>
                <w:bCs/>
                <w:color w:val="auto"/>
                <w:sz w:val="21"/>
                <w:szCs w:val="21"/>
                <w:lang w:val="en-US" w:eastAsia="zh-CN"/>
              </w:rPr>
              <w:t>关于</w:t>
            </w:r>
            <w:r>
              <w:rPr>
                <w:rFonts w:hint="eastAsia" w:ascii="Times New Roman" w:hAnsi="Times New Roman" w:eastAsia="宋体" w:cs="Times New Roman"/>
                <w:b/>
                <w:bCs/>
                <w:color w:val="auto"/>
                <w:sz w:val="21"/>
                <w:szCs w:val="21"/>
                <w:lang w:val="en-US" w:eastAsia="zh-CN"/>
              </w:rPr>
              <w:t>滦州市祯璟再生资源有限公司固体废弃物综合利用项目</w:t>
            </w:r>
            <w:r>
              <w:rPr>
                <w:rFonts w:hint="default" w:ascii="Times New Roman" w:hAnsi="Times New Roman" w:eastAsia="宋体" w:cs="Times New Roman"/>
                <w:b/>
                <w:bCs/>
                <w:color w:val="auto"/>
                <w:sz w:val="21"/>
                <w:szCs w:val="21"/>
                <w:lang w:val="en-US" w:eastAsia="zh-CN"/>
              </w:rPr>
              <w:t>用地情况说明</w:t>
            </w:r>
            <w:r>
              <w:rPr>
                <w:rFonts w:hint="eastAsia" w:ascii="Times New Roman" w:hAnsi="Times New Roman" w:eastAsia="宋体" w:cs="Times New Roman"/>
                <w:b/>
                <w:bCs/>
                <w:color w:val="auto"/>
                <w:sz w:val="21"/>
                <w:szCs w:val="21"/>
                <w:lang w:val="en-US" w:eastAsia="zh-CN"/>
              </w:rPr>
              <w:t>》</w:t>
            </w:r>
            <w:r>
              <w:rPr>
                <w:rFonts w:hint="eastAsia" w:ascii="Times New Roman" w:hAnsi="Times New Roman" w:eastAsia="宋体" w:cs="Times New Roman"/>
                <w:b/>
                <w:bCs/>
                <w:color w:val="auto"/>
                <w:highlight w:val="none"/>
              </w:rPr>
              <w:t>可知，项目占地为</w:t>
            </w:r>
            <w:r>
              <w:rPr>
                <w:rFonts w:hint="eastAsia" w:eastAsia="宋体" w:cs="Times New Roman"/>
                <w:b/>
                <w:bCs/>
                <w:color w:val="auto"/>
                <w:highlight w:val="none"/>
                <w:lang w:val="en-US" w:eastAsia="zh-CN"/>
              </w:rPr>
              <w:t>工业</w:t>
            </w:r>
            <w:r>
              <w:rPr>
                <w:rFonts w:hint="eastAsia" w:ascii="Times New Roman" w:hAnsi="Times New Roman" w:eastAsia="宋体" w:cs="Times New Roman"/>
                <w:b/>
                <w:bCs/>
                <w:color w:val="auto"/>
                <w:highlight w:val="none"/>
                <w:lang w:val="en-US" w:eastAsia="zh-CN"/>
              </w:rPr>
              <w:t>建设</w:t>
            </w:r>
            <w:r>
              <w:rPr>
                <w:rFonts w:hint="eastAsia" w:ascii="Times New Roman" w:hAnsi="Times New Roman" w:eastAsia="宋体" w:cs="Times New Roman"/>
                <w:b/>
                <w:bCs/>
                <w:color w:val="auto"/>
                <w:highlight w:val="none"/>
              </w:rPr>
              <w:t>用地。总体来说，各项资源量在区域的可承受范围内，不逾越资源利用上线。</w:t>
            </w:r>
          </w:p>
          <w:p w14:paraId="6CDA5498">
            <w:pPr>
              <w:pStyle w:val="24"/>
              <w:adjustRightInd w:val="0"/>
              <w:snapToGrid w:val="0"/>
              <w:spacing w:before="0" w:beforeAutospacing="0" w:after="0" w:afterAutospacing="0" w:line="440" w:lineRule="exact"/>
              <w:ind w:firstLine="420" w:firstLineChars="200"/>
              <w:rPr>
                <w:rFonts w:ascii="Times New Roman" w:hAnsi="Times New Roman"/>
                <w:color w:val="auto"/>
                <w:sz w:val="21"/>
                <w:szCs w:val="21"/>
              </w:rPr>
            </w:pPr>
            <w:r>
              <w:rPr>
                <w:rFonts w:hint="eastAsia" w:ascii="Times New Roman" w:hAnsi="Times New Roman"/>
                <w:color w:val="auto"/>
                <w:sz w:val="21"/>
                <w:szCs w:val="21"/>
              </w:rPr>
              <w:t>④环境准入负面清单是基于生态保护红线、环境质量底线和资源利用上线，以清单方式列出的禁止、限制等差别化环境准入条件和要求。要在规划环评清单式管理试点的基础上，从布局选址、资源利用效率、资源配置方式等方面入手，制定环境准入负面清单，充分发挥负面清单对产业发展和项目准入的指导和约束作用。</w:t>
            </w:r>
          </w:p>
          <w:p w14:paraId="0552F64E">
            <w:pPr>
              <w:pStyle w:val="24"/>
              <w:adjustRightInd w:val="0"/>
              <w:snapToGrid w:val="0"/>
              <w:spacing w:before="0" w:beforeAutospacing="0" w:after="0" w:afterAutospacing="0" w:line="440" w:lineRule="exact"/>
              <w:ind w:firstLine="420" w:firstLineChars="200"/>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项目为C4210金属废料和碎屑加工处理及C4220非金属废料和碎屑加工处理，根据《产业结构调整指导目录（2024年本）》，项目属于第一类“鼓励类”第四十二款“环境保护与资源节约综合利用”第</w:t>
            </w:r>
            <w:r>
              <w:rPr>
                <w:rFonts w:hint="eastAsia" w:ascii="Times New Roman" w:hAnsi="Times New Roman"/>
                <w:color w:val="auto"/>
                <w:sz w:val="21"/>
                <w:szCs w:val="21"/>
                <w:lang w:val="en-US" w:eastAsia="zh-CN"/>
              </w:rPr>
              <w:t>8</w:t>
            </w:r>
            <w:r>
              <w:rPr>
                <w:rFonts w:hint="eastAsia" w:ascii="Times New Roman" w:hAnsi="Times New Roman" w:eastAsia="宋体" w:cs="Times New Roman"/>
                <w:color w:val="auto"/>
                <w:sz w:val="21"/>
                <w:szCs w:val="21"/>
                <w:highlight w:val="none"/>
                <w:lang w:val="en-US" w:eastAsia="zh-CN"/>
              </w:rPr>
              <w:t>小项</w:t>
            </w:r>
            <w:r>
              <w:rPr>
                <w:rFonts w:hint="eastAsia" w:ascii="Times New Roman" w:hAnsi="Times New Roman"/>
                <w:color w:val="auto"/>
                <w:sz w:val="21"/>
                <w:szCs w:val="21"/>
              </w:rPr>
              <w:t>“</w:t>
            </w:r>
            <w:r>
              <w:rPr>
                <w:rFonts w:hint="eastAsia" w:ascii="Times New Roman" w:hAnsi="Times New Roman" w:eastAsia="宋体" w:cs="Times New Roman"/>
                <w:color w:val="auto"/>
                <w:sz w:val="21"/>
                <w:szCs w:val="21"/>
                <w:highlight w:val="none"/>
                <w:lang w:val="en-US" w:eastAsia="zh-CN"/>
              </w:rPr>
              <w:t>废弃物循环利用：废钢铁、废有色金属、废纸、废橡胶、废玻璃、废塑料、废旧木材以及报废汽车、废弃电器电子产品、废旧船舶、废旧电池、废轮胎、废弃木质材料、废旧农具、废旧纺织品及纺织废料和边角料、废旧光伏组件、废旧风机叶片、废弃油脂等城市典型废弃物循环利用、技术设备开发及应用，废旧动力电池自动化拆解、自动化快速分选成组、电池剩余寿命及一致性评估、有价组分综合回收、梯次利用、再生利用技术装备开发及应用，低值可回收物回收利用，“城市矿产”基地和资源循环利用基地建设，煤矸石、粉煤灰、尾矿（共伴生矿）、冶炼渣、工业副产石膏、赤泥、建筑垃圾等工业废弃物循环利用，农作物秸秆、畜禽粪污、农药包装等农林废弃物循环利用，生物质能技术装备（发电、供热、制油、沼气）”条款</w:t>
            </w:r>
            <w:r>
              <w:rPr>
                <w:rFonts w:hint="eastAsia" w:ascii="Times New Roman" w:hAnsi="Times New Roman"/>
                <w:color w:val="auto"/>
                <w:sz w:val="21"/>
                <w:szCs w:val="21"/>
              </w:rPr>
              <w:t>，因此本项目为鼓励类</w:t>
            </w:r>
            <w:r>
              <w:rPr>
                <w:rFonts w:hint="eastAsia" w:ascii="Times New Roman" w:hAnsi="Times New Roman" w:eastAsia="宋体" w:cs="Times New Roman"/>
                <w:color w:val="auto"/>
                <w:sz w:val="21"/>
                <w:szCs w:val="21"/>
                <w:highlight w:val="none"/>
                <w:lang w:val="en-US" w:eastAsia="zh-CN"/>
              </w:rPr>
              <w:t>；项目不属于《市场准入负面清单（202</w:t>
            </w:r>
            <w:r>
              <w:rPr>
                <w:rFonts w:hint="eastAsia" w:ascii="Times New Roman" w:hAnsi="Times New Roman" w:cs="Times New Roman"/>
                <w:color w:val="auto"/>
                <w:sz w:val="21"/>
                <w:szCs w:val="21"/>
                <w:highlight w:val="none"/>
                <w:lang w:val="en-US" w:eastAsia="zh-CN"/>
              </w:rPr>
              <w:t>5年版</w:t>
            </w:r>
            <w:r>
              <w:rPr>
                <w:rFonts w:hint="eastAsia" w:ascii="Times New Roman" w:hAnsi="Times New Roman" w:eastAsia="宋体" w:cs="Times New Roman"/>
                <w:color w:val="auto"/>
                <w:sz w:val="21"/>
                <w:szCs w:val="21"/>
                <w:highlight w:val="none"/>
                <w:lang w:val="en-US" w:eastAsia="zh-CN"/>
              </w:rPr>
              <w:t>）》中的禁止准入类建设项目，属于市场准入负面清单以外的行业、领域、业务等，市场主体可依法平等进入；项目不属于《河北省禁止投资的产业目录（2014年版）》中明令禁止的建设项目；项目所用设备未列入工信部《高耗能落后机电设备（产品）淘汰目录》名录中。另外本项目已经由滦州市发展和改革局备案，备案编号为：滦发改备字[202</w:t>
            </w:r>
            <w:r>
              <w:rPr>
                <w:rFonts w:hint="eastAsia" w:ascii="Times New Roman" w:hAnsi="Times New Roman" w:cs="Times New Roman"/>
                <w:color w:val="auto"/>
                <w:sz w:val="21"/>
                <w:szCs w:val="21"/>
                <w:highlight w:val="none"/>
                <w:lang w:val="en-US" w:eastAsia="zh-CN"/>
              </w:rPr>
              <w:t>5</w:t>
            </w:r>
            <w:r>
              <w:rPr>
                <w:rFonts w:hint="eastAsia" w:ascii="Times New Roman" w:hAnsi="Times New Roman" w:eastAsia="宋体" w:cs="Times New Roman"/>
                <w:color w:val="auto"/>
                <w:sz w:val="21"/>
                <w:szCs w:val="21"/>
                <w:highlight w:val="none"/>
                <w:lang w:val="en-US" w:eastAsia="zh-CN"/>
              </w:rPr>
              <w:t>]</w:t>
            </w:r>
            <w:r>
              <w:rPr>
                <w:rFonts w:hint="eastAsia" w:ascii="Times New Roman" w:hAnsi="Times New Roman" w:cs="Times New Roman"/>
                <w:color w:val="auto"/>
                <w:sz w:val="21"/>
                <w:szCs w:val="21"/>
                <w:highlight w:val="none"/>
                <w:lang w:val="en-US" w:eastAsia="zh-CN"/>
              </w:rPr>
              <w:t>98</w:t>
            </w:r>
            <w:r>
              <w:rPr>
                <w:rFonts w:hint="eastAsia" w:ascii="Times New Roman" w:hAnsi="Times New Roman" w:eastAsia="宋体" w:cs="Times New Roman"/>
                <w:color w:val="auto"/>
                <w:sz w:val="21"/>
                <w:szCs w:val="21"/>
                <w:highlight w:val="none"/>
                <w:lang w:val="en-US" w:eastAsia="zh-CN"/>
              </w:rPr>
              <w:t>号。</w:t>
            </w:r>
          </w:p>
          <w:p w14:paraId="4564E262">
            <w:pPr>
              <w:pStyle w:val="24"/>
              <w:adjustRightInd w:val="0"/>
              <w:snapToGrid w:val="0"/>
              <w:spacing w:before="0" w:beforeAutospacing="0" w:after="0" w:afterAutospacing="0" w:line="440" w:lineRule="exact"/>
              <w:ind w:firstLine="420" w:firstLineChars="200"/>
              <w:rPr>
                <w:rFonts w:ascii="Times New Roman" w:hAnsi="Times New Roman"/>
                <w:color w:val="auto"/>
                <w:sz w:val="21"/>
                <w:szCs w:val="21"/>
              </w:rPr>
            </w:pPr>
            <w:r>
              <w:rPr>
                <w:rFonts w:ascii="Times New Roman" w:hAnsi="Times New Roman"/>
                <w:color w:val="auto"/>
                <w:sz w:val="21"/>
                <w:szCs w:val="21"/>
              </w:rPr>
              <w:t>（</w:t>
            </w:r>
            <w:r>
              <w:rPr>
                <w:rFonts w:hint="eastAsia" w:ascii="Times New Roman" w:hAnsi="Times New Roman"/>
                <w:color w:val="auto"/>
                <w:sz w:val="21"/>
                <w:szCs w:val="21"/>
              </w:rPr>
              <w:t>2</w:t>
            </w:r>
            <w:r>
              <w:rPr>
                <w:rFonts w:ascii="Times New Roman" w:hAnsi="Times New Roman"/>
                <w:color w:val="auto"/>
                <w:sz w:val="21"/>
                <w:szCs w:val="21"/>
              </w:rPr>
              <w:t>）与</w:t>
            </w:r>
            <w:r>
              <w:rPr>
                <w:rFonts w:hint="eastAsia" w:ascii="Times New Roman" w:hAnsi="Times New Roman"/>
                <w:color w:val="auto"/>
                <w:sz w:val="21"/>
                <w:szCs w:val="21"/>
              </w:rPr>
              <w:t>《唐山市人民政府关于实施“三线一单”生态环境分区管控的意见》</w:t>
            </w:r>
            <w:r>
              <w:rPr>
                <w:rFonts w:ascii="Times New Roman" w:hAnsi="Times New Roman"/>
                <w:color w:val="auto"/>
                <w:sz w:val="21"/>
                <w:szCs w:val="21"/>
              </w:rPr>
              <w:t>符合性分析</w:t>
            </w:r>
          </w:p>
          <w:p w14:paraId="38B62E93">
            <w:pPr>
              <w:pStyle w:val="24"/>
              <w:adjustRightInd w:val="0"/>
              <w:snapToGrid w:val="0"/>
              <w:spacing w:before="0" w:beforeAutospacing="0" w:after="0" w:afterAutospacing="0" w:line="440" w:lineRule="exact"/>
              <w:ind w:firstLine="420" w:firstLineChars="200"/>
              <w:rPr>
                <w:rFonts w:ascii="Times New Roman" w:hAnsi="Times New Roman"/>
                <w:color w:val="auto"/>
                <w:sz w:val="21"/>
                <w:szCs w:val="21"/>
                <w:highlight w:val="none"/>
              </w:rPr>
            </w:pPr>
            <w:r>
              <w:rPr>
                <w:rFonts w:ascii="Times New Roman" w:hAnsi="Times New Roman"/>
                <w:color w:val="auto"/>
                <w:sz w:val="21"/>
                <w:szCs w:val="21"/>
              </w:rPr>
              <w:t>根据</w:t>
            </w:r>
            <w:r>
              <w:rPr>
                <w:rFonts w:hint="eastAsia" w:ascii="Times New Roman" w:hAnsi="Times New Roman"/>
                <w:color w:val="auto"/>
                <w:sz w:val="21"/>
                <w:szCs w:val="21"/>
              </w:rPr>
              <w:t>《唐山市人民政府关于实施“三线一单”生态环境分区管控的意见》（唐政字</w:t>
            </w:r>
            <w:r>
              <w:rPr>
                <w:rFonts w:ascii="Times New Roman" w:hAnsi="Times New Roman"/>
                <w:color w:val="auto"/>
                <w:sz w:val="21"/>
                <w:szCs w:val="21"/>
              </w:rPr>
              <w:t>〔</w:t>
            </w:r>
            <w:r>
              <w:rPr>
                <w:rFonts w:hint="eastAsia" w:ascii="Times New Roman" w:hAnsi="Times New Roman"/>
                <w:color w:val="auto"/>
                <w:sz w:val="21"/>
                <w:szCs w:val="21"/>
              </w:rPr>
              <w:t>2021</w:t>
            </w:r>
            <w:r>
              <w:rPr>
                <w:rFonts w:ascii="Times New Roman" w:hAnsi="Times New Roman"/>
                <w:color w:val="auto"/>
                <w:sz w:val="21"/>
                <w:szCs w:val="21"/>
              </w:rPr>
              <w:t>〕</w:t>
            </w:r>
            <w:r>
              <w:rPr>
                <w:rFonts w:hint="eastAsia" w:ascii="Times New Roman" w:hAnsi="Times New Roman"/>
                <w:color w:val="auto"/>
                <w:sz w:val="21"/>
                <w:szCs w:val="21"/>
              </w:rPr>
              <w:t>48号）</w:t>
            </w:r>
            <w:r>
              <w:rPr>
                <w:rFonts w:ascii="Times New Roman" w:hAnsi="Times New Roman"/>
                <w:color w:val="auto"/>
                <w:sz w:val="21"/>
                <w:szCs w:val="21"/>
              </w:rPr>
              <w:t>，加快实施“生态保护红线、环境质量底线、资源利用上线和生态环境准入清单”（以下简称“三线一单”），构建生态环境分区管控体系，</w:t>
            </w:r>
            <w:r>
              <w:rPr>
                <w:rFonts w:hint="eastAsia" w:ascii="Times New Roman" w:hAnsi="Times New Roman"/>
                <w:color w:val="auto"/>
                <w:sz w:val="21"/>
                <w:szCs w:val="21"/>
              </w:rPr>
              <w:t>推</w:t>
            </w:r>
            <w:r>
              <w:rPr>
                <w:rFonts w:hint="eastAsia" w:ascii="Times New Roman" w:hAnsi="Times New Roman" w:eastAsia="宋体" w:cs="Times New Roman"/>
                <w:color w:val="auto"/>
                <w:sz w:val="21"/>
                <w:szCs w:val="21"/>
              </w:rPr>
              <w:t>动经济高质量发展和生态环境高水平保护协同并进。项目与《关于实施“三线一单”生态环境分区管控的意见》（唐政字[2021]48号）</w:t>
            </w:r>
            <w:r>
              <w:rPr>
                <w:rFonts w:hint="eastAsia" w:ascii="Times New Roman" w:hAnsi="Times New Roman" w:eastAsia="宋体" w:cs="Times New Roman"/>
                <w:color w:val="auto"/>
                <w:sz w:val="21"/>
                <w:szCs w:val="21"/>
                <w:lang w:eastAsia="zh-CN"/>
              </w:rPr>
              <w:t>、《唐山市生态环境准入清单》（</w:t>
            </w:r>
            <w:r>
              <w:rPr>
                <w:rFonts w:hint="eastAsia" w:ascii="Times New Roman" w:hAnsi="Times New Roman" w:eastAsia="宋体" w:cs="Times New Roman"/>
                <w:color w:val="auto"/>
                <w:sz w:val="21"/>
                <w:szCs w:val="21"/>
                <w:lang w:val="en-US" w:eastAsia="zh-CN"/>
              </w:rPr>
              <w:t>2023</w:t>
            </w:r>
            <w:r>
              <w:rPr>
                <w:rFonts w:hint="eastAsia" w:ascii="Times New Roman" w:hAnsi="Times New Roman" w:cs="Times New Roman"/>
                <w:color w:val="auto"/>
                <w:sz w:val="21"/>
                <w:szCs w:val="21"/>
                <w:lang w:val="en-US" w:eastAsia="zh-CN"/>
              </w:rPr>
              <w:t>年版</w:t>
            </w:r>
            <w:r>
              <w:rPr>
                <w:rFonts w:hint="eastAsia" w:ascii="Times New Roman" w:hAnsi="Times New Roman" w:eastAsia="宋体" w:cs="Times New Roman"/>
                <w:color w:val="auto"/>
                <w:sz w:val="21"/>
                <w:szCs w:val="21"/>
                <w:lang w:eastAsia="zh-CN"/>
              </w:rPr>
              <w:t>）</w:t>
            </w:r>
            <w:r>
              <w:rPr>
                <w:rFonts w:hint="eastAsia" w:ascii="Times New Roman" w:hAnsi="Times New Roman"/>
                <w:color w:val="auto"/>
                <w:sz w:val="21"/>
                <w:szCs w:val="21"/>
                <w:highlight w:val="none"/>
                <w:lang w:val="en-US" w:eastAsia="zh-CN"/>
              </w:rPr>
              <w:t>符合性分析</w:t>
            </w:r>
            <w:r>
              <w:rPr>
                <w:rFonts w:ascii="Times New Roman" w:hAnsi="Times New Roman"/>
                <w:color w:val="auto"/>
                <w:sz w:val="21"/>
                <w:szCs w:val="21"/>
                <w:highlight w:val="none"/>
              </w:rPr>
              <w:t>见表</w:t>
            </w:r>
            <w:r>
              <w:rPr>
                <w:rFonts w:hint="eastAsia" w:ascii="Times New Roman" w:hAnsi="Times New Roman"/>
                <w:color w:val="auto"/>
                <w:sz w:val="21"/>
                <w:szCs w:val="21"/>
                <w:highlight w:val="none"/>
                <w:lang w:val="en-US" w:eastAsia="zh-CN"/>
              </w:rPr>
              <w:t>2</w:t>
            </w:r>
            <w:r>
              <w:rPr>
                <w:rFonts w:ascii="Times New Roman" w:hAnsi="Times New Roman"/>
                <w:color w:val="auto"/>
                <w:sz w:val="21"/>
                <w:szCs w:val="21"/>
                <w:highlight w:val="none"/>
              </w:rPr>
              <w:t>。</w:t>
            </w:r>
          </w:p>
          <w:p w14:paraId="5B856BE2">
            <w:pPr>
              <w:pStyle w:val="24"/>
              <w:adjustRightInd w:val="0"/>
              <w:snapToGrid w:val="0"/>
              <w:spacing w:before="0" w:beforeAutospacing="0" w:after="0" w:afterAutospacing="0" w:line="440" w:lineRule="exact"/>
              <w:ind w:firstLine="420" w:firstLineChars="200"/>
              <w:rPr>
                <w:rFonts w:ascii="Times New Roman" w:hAnsi="Times New Roman"/>
                <w:color w:val="auto"/>
                <w:sz w:val="21"/>
                <w:szCs w:val="21"/>
                <w:highlight w:val="none"/>
              </w:rPr>
            </w:pPr>
          </w:p>
          <w:p w14:paraId="69DB9D01">
            <w:pPr>
              <w:pStyle w:val="24"/>
              <w:adjustRightInd w:val="0"/>
              <w:snapToGrid w:val="0"/>
              <w:spacing w:before="0" w:beforeAutospacing="0" w:after="0" w:afterAutospacing="0" w:line="440" w:lineRule="exact"/>
              <w:ind w:firstLine="420" w:firstLineChars="200"/>
              <w:rPr>
                <w:rFonts w:ascii="Times New Roman" w:hAnsi="Times New Roman"/>
                <w:color w:val="auto"/>
                <w:sz w:val="21"/>
                <w:szCs w:val="21"/>
                <w:highlight w:val="none"/>
              </w:rPr>
            </w:pPr>
          </w:p>
          <w:p w14:paraId="31141420">
            <w:pPr>
              <w:pStyle w:val="24"/>
              <w:adjustRightInd w:val="0"/>
              <w:snapToGrid w:val="0"/>
              <w:spacing w:before="0" w:beforeAutospacing="0" w:after="0" w:afterAutospacing="0" w:line="440" w:lineRule="exact"/>
              <w:ind w:firstLine="420" w:firstLineChars="200"/>
              <w:rPr>
                <w:rFonts w:ascii="Times New Roman" w:hAnsi="Times New Roman"/>
                <w:color w:val="auto"/>
                <w:sz w:val="21"/>
                <w:szCs w:val="21"/>
                <w:highlight w:val="none"/>
              </w:rPr>
            </w:pPr>
          </w:p>
          <w:p w14:paraId="77876AD7">
            <w:pPr>
              <w:pStyle w:val="24"/>
              <w:adjustRightInd w:val="0"/>
              <w:snapToGrid w:val="0"/>
              <w:spacing w:before="0" w:beforeAutospacing="0" w:after="0" w:afterAutospacing="0" w:line="440" w:lineRule="exact"/>
              <w:ind w:firstLine="420" w:firstLineChars="200"/>
              <w:rPr>
                <w:rFonts w:ascii="Times New Roman" w:hAnsi="Times New Roman"/>
                <w:color w:val="auto"/>
                <w:sz w:val="21"/>
                <w:szCs w:val="21"/>
                <w:highlight w:val="none"/>
              </w:rPr>
            </w:pPr>
          </w:p>
          <w:p w14:paraId="4FACE25B">
            <w:pPr>
              <w:pStyle w:val="24"/>
              <w:adjustRightInd w:val="0"/>
              <w:snapToGrid w:val="0"/>
              <w:spacing w:before="0" w:beforeAutospacing="0" w:after="0" w:afterAutospacing="0" w:line="440" w:lineRule="exact"/>
              <w:ind w:firstLine="420" w:firstLineChars="200"/>
              <w:rPr>
                <w:rFonts w:ascii="Times New Roman" w:hAnsi="Times New Roman"/>
                <w:color w:val="auto"/>
                <w:sz w:val="21"/>
                <w:szCs w:val="21"/>
                <w:highlight w:val="none"/>
              </w:rPr>
            </w:pPr>
          </w:p>
          <w:p w14:paraId="7538004B">
            <w:pPr>
              <w:pStyle w:val="24"/>
              <w:adjustRightInd w:val="0"/>
              <w:snapToGrid w:val="0"/>
              <w:spacing w:before="0" w:beforeAutospacing="0" w:after="0" w:afterAutospacing="0" w:line="440" w:lineRule="exact"/>
              <w:ind w:firstLine="420" w:firstLineChars="200"/>
              <w:rPr>
                <w:rFonts w:ascii="Times New Roman" w:hAnsi="Times New Roman"/>
                <w:color w:val="auto"/>
                <w:sz w:val="21"/>
                <w:szCs w:val="21"/>
                <w:highlight w:val="none"/>
              </w:rPr>
            </w:pPr>
          </w:p>
          <w:p w14:paraId="4287E190">
            <w:pPr>
              <w:pStyle w:val="24"/>
              <w:adjustRightInd w:val="0"/>
              <w:snapToGrid w:val="0"/>
              <w:spacing w:before="0" w:beforeAutospacing="0" w:after="0" w:afterAutospacing="0" w:line="440" w:lineRule="exact"/>
              <w:ind w:firstLine="420" w:firstLineChars="200"/>
              <w:rPr>
                <w:rFonts w:ascii="Times New Roman" w:hAnsi="Times New Roman"/>
                <w:color w:val="auto"/>
                <w:sz w:val="21"/>
                <w:szCs w:val="21"/>
                <w:highlight w:val="none"/>
              </w:rPr>
            </w:pPr>
          </w:p>
          <w:p w14:paraId="00CBFE65">
            <w:pPr>
              <w:pStyle w:val="24"/>
              <w:adjustRightInd w:val="0"/>
              <w:snapToGrid w:val="0"/>
              <w:spacing w:before="0" w:beforeAutospacing="0" w:after="0" w:afterAutospacing="0" w:line="440" w:lineRule="exact"/>
              <w:ind w:firstLine="420" w:firstLineChars="200"/>
              <w:rPr>
                <w:rFonts w:ascii="Times New Roman" w:hAnsi="Times New Roman"/>
                <w:color w:val="auto"/>
                <w:sz w:val="21"/>
                <w:szCs w:val="21"/>
                <w:highlight w:val="none"/>
              </w:rPr>
            </w:pPr>
          </w:p>
          <w:p w14:paraId="33EC479C">
            <w:pPr>
              <w:pStyle w:val="24"/>
              <w:adjustRightInd w:val="0"/>
              <w:snapToGrid w:val="0"/>
              <w:spacing w:before="0" w:beforeAutospacing="0" w:after="0" w:afterAutospacing="0" w:line="440" w:lineRule="exact"/>
              <w:ind w:firstLine="420" w:firstLineChars="200"/>
              <w:rPr>
                <w:rFonts w:ascii="Times New Roman" w:hAnsi="Times New Roman"/>
                <w:color w:val="auto"/>
                <w:sz w:val="21"/>
                <w:szCs w:val="21"/>
                <w:highlight w:val="none"/>
              </w:rPr>
            </w:pPr>
          </w:p>
        </w:tc>
      </w:tr>
    </w:tbl>
    <w:p w14:paraId="3E3C5F56">
      <w:pPr>
        <w:spacing w:line="360" w:lineRule="auto"/>
        <w:outlineLvl w:val="0"/>
        <w:rPr>
          <w:rFonts w:eastAsia="黑体"/>
          <w:color w:val="auto"/>
          <w:sz w:val="30"/>
        </w:rPr>
        <w:sectPr>
          <w:footerReference r:id="rId5" w:type="default"/>
          <w:pgSz w:w="11906" w:h="16838"/>
          <w:pgMar w:top="1701" w:right="1531" w:bottom="1701" w:left="1531" w:header="851" w:footer="1077" w:gutter="0"/>
          <w:pgBorders>
            <w:top w:val="none" w:sz="0" w:space="0"/>
            <w:left w:val="none" w:sz="0" w:space="0"/>
            <w:bottom w:val="none" w:sz="0" w:space="0"/>
            <w:right w:val="none" w:sz="0" w:space="0"/>
          </w:pgBorders>
          <w:pgNumType w:start="1"/>
          <w:cols w:space="720" w:num="1"/>
          <w:docGrid w:linePitch="312" w:charSpace="0"/>
        </w:sectPr>
      </w:pPr>
    </w:p>
    <w:tbl>
      <w:tblPr>
        <w:tblStyle w:val="2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07"/>
        <w:gridCol w:w="12145"/>
      </w:tblGrid>
      <w:tr w14:paraId="35DF8F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15" w:hRule="atLeast"/>
        </w:trPr>
        <w:tc>
          <w:tcPr>
            <w:tcW w:w="1507" w:type="dxa"/>
          </w:tcPr>
          <w:p w14:paraId="12C91407">
            <w:pPr>
              <w:pStyle w:val="24"/>
              <w:jc w:val="center"/>
              <w:outlineLvl w:val="0"/>
              <w:rPr>
                <w:rFonts w:hint="eastAsia" w:ascii="黑体" w:hAnsi="黑体" w:eastAsia="黑体"/>
                <w:snapToGrid w:val="0"/>
                <w:color w:val="auto"/>
                <w:sz w:val="30"/>
                <w:szCs w:val="30"/>
                <w:vertAlign w:val="baseline"/>
              </w:rPr>
            </w:pPr>
          </w:p>
        </w:tc>
        <w:tc>
          <w:tcPr>
            <w:tcW w:w="12145" w:type="dxa"/>
          </w:tcPr>
          <w:p w14:paraId="18307185">
            <w:pPr>
              <w:pStyle w:val="24"/>
              <w:adjustRightInd w:val="0"/>
              <w:snapToGrid w:val="0"/>
              <w:spacing w:before="0" w:beforeAutospacing="0" w:after="0" w:afterAutospacing="0" w:line="440" w:lineRule="exact"/>
              <w:jc w:val="center"/>
              <w:rPr>
                <w:rFonts w:ascii="Times New Roman" w:hAnsi="Times New Roman"/>
                <w:b/>
                <w:color w:val="auto"/>
                <w:sz w:val="21"/>
                <w:szCs w:val="21"/>
                <w:highlight w:val="none"/>
              </w:rPr>
            </w:pPr>
            <w:r>
              <w:rPr>
                <w:rFonts w:hint="eastAsia" w:ascii="Times New Roman" w:hAnsi="Times New Roman"/>
                <w:b/>
                <w:color w:val="auto"/>
                <w:sz w:val="21"/>
                <w:szCs w:val="21"/>
                <w:highlight w:val="none"/>
                <w:lang w:val="en-US" w:eastAsia="zh-CN"/>
              </w:rPr>
              <w:t>表2</w:t>
            </w:r>
            <w:r>
              <w:rPr>
                <w:rFonts w:hint="default" w:ascii="Times New Roman" w:hAnsi="Times New Roman"/>
                <w:b/>
                <w:color w:val="auto"/>
                <w:sz w:val="21"/>
                <w:szCs w:val="21"/>
                <w:highlight w:val="none"/>
                <w:lang w:val="en-US" w:eastAsia="zh-CN"/>
              </w:rPr>
              <w:t xml:space="preserve"> </w:t>
            </w:r>
            <w:r>
              <w:rPr>
                <w:rFonts w:hint="eastAsia" w:ascii="Times New Roman" w:hAnsi="Times New Roman"/>
                <w:b/>
                <w:color w:val="auto"/>
                <w:sz w:val="21"/>
                <w:szCs w:val="21"/>
                <w:highlight w:val="none"/>
                <w:lang w:val="en-US" w:eastAsia="zh-CN"/>
              </w:rPr>
              <w:t>项目与唐山市生态环境准入清单符合性分析</w:t>
            </w:r>
          </w:p>
          <w:tbl>
            <w:tblPr>
              <w:tblStyle w:val="29"/>
              <w:tblW w:w="11975" w:type="dxa"/>
              <w:tblInd w:w="5"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87"/>
              <w:gridCol w:w="1420"/>
              <w:gridCol w:w="5593"/>
              <w:gridCol w:w="3525"/>
              <w:gridCol w:w="750"/>
            </w:tblGrid>
            <w:tr w14:paraId="7AECF31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2107" w:type="dxa"/>
                  <w:gridSpan w:val="2"/>
                  <w:tcBorders>
                    <w:tl2br w:val="nil"/>
                    <w:tr2bl w:val="nil"/>
                  </w:tcBorders>
                  <w:vAlign w:val="center"/>
                </w:tcPr>
                <w:p w14:paraId="71A37211">
                  <w:pPr>
                    <w:spacing w:line="240" w:lineRule="exact"/>
                    <w:jc w:val="center"/>
                    <w:rPr>
                      <w:rFonts w:hint="default" w:ascii="Times New Roman" w:hAnsi="Times New Roman" w:cs="Times New Roman"/>
                      <w:color w:val="auto"/>
                      <w:spacing w:val="-10"/>
                      <w:sz w:val="18"/>
                      <w:szCs w:val="18"/>
                      <w:highlight w:val="none"/>
                      <w:lang w:val="en-US" w:eastAsia="zh-CN"/>
                    </w:rPr>
                  </w:pPr>
                  <w:r>
                    <w:rPr>
                      <w:rFonts w:hint="default" w:ascii="Times New Roman" w:hAnsi="Times New Roman" w:cs="Times New Roman"/>
                      <w:color w:val="auto"/>
                      <w:spacing w:val="-10"/>
                      <w:sz w:val="18"/>
                      <w:szCs w:val="18"/>
                      <w:highlight w:val="none"/>
                      <w:lang w:val="en-US" w:eastAsia="zh-CN"/>
                    </w:rPr>
                    <w:t>管控单元</w:t>
                  </w:r>
                </w:p>
              </w:tc>
              <w:tc>
                <w:tcPr>
                  <w:tcW w:w="5593" w:type="dxa"/>
                  <w:tcBorders>
                    <w:tl2br w:val="nil"/>
                    <w:tr2bl w:val="nil"/>
                  </w:tcBorders>
                  <w:vAlign w:val="center"/>
                </w:tcPr>
                <w:p w14:paraId="2E312122">
                  <w:pPr>
                    <w:spacing w:line="240" w:lineRule="exact"/>
                    <w:jc w:val="center"/>
                    <w:rPr>
                      <w:rFonts w:hint="default" w:ascii="Times New Roman" w:hAnsi="Times New Roman" w:cs="Times New Roman"/>
                      <w:color w:val="auto"/>
                      <w:spacing w:val="-10"/>
                      <w:sz w:val="18"/>
                      <w:szCs w:val="18"/>
                      <w:highlight w:val="none"/>
                      <w:lang w:val="en-US" w:eastAsia="zh-CN"/>
                    </w:rPr>
                  </w:pPr>
                  <w:r>
                    <w:rPr>
                      <w:rFonts w:hint="default" w:ascii="Times New Roman" w:hAnsi="Times New Roman" w:cs="Times New Roman"/>
                      <w:color w:val="auto"/>
                      <w:spacing w:val="-10"/>
                      <w:sz w:val="18"/>
                      <w:szCs w:val="18"/>
                      <w:highlight w:val="none"/>
                      <w:lang w:val="en-US" w:eastAsia="zh-CN"/>
                    </w:rPr>
                    <w:t>要求</w:t>
                  </w:r>
                </w:p>
              </w:tc>
              <w:tc>
                <w:tcPr>
                  <w:tcW w:w="3525" w:type="dxa"/>
                  <w:tcBorders>
                    <w:tl2br w:val="nil"/>
                    <w:tr2bl w:val="nil"/>
                  </w:tcBorders>
                  <w:vAlign w:val="center"/>
                </w:tcPr>
                <w:p w14:paraId="3A795494">
                  <w:pPr>
                    <w:spacing w:line="240" w:lineRule="exact"/>
                    <w:jc w:val="center"/>
                    <w:rPr>
                      <w:rFonts w:hint="default" w:ascii="Times New Roman" w:hAnsi="Times New Roman" w:cs="Times New Roman"/>
                      <w:color w:val="auto"/>
                      <w:spacing w:val="-10"/>
                      <w:sz w:val="18"/>
                      <w:szCs w:val="18"/>
                      <w:highlight w:val="none"/>
                      <w:lang w:val="en-US" w:eastAsia="zh-CN"/>
                    </w:rPr>
                  </w:pPr>
                  <w:r>
                    <w:rPr>
                      <w:rFonts w:hint="default" w:ascii="Times New Roman" w:hAnsi="Times New Roman" w:cs="Times New Roman"/>
                      <w:color w:val="auto"/>
                      <w:spacing w:val="-10"/>
                      <w:sz w:val="18"/>
                      <w:szCs w:val="18"/>
                      <w:highlight w:val="none"/>
                      <w:lang w:val="en-US" w:eastAsia="zh-CN"/>
                    </w:rPr>
                    <w:t>项目情况</w:t>
                  </w:r>
                </w:p>
              </w:tc>
              <w:tc>
                <w:tcPr>
                  <w:tcW w:w="750" w:type="dxa"/>
                  <w:tcBorders>
                    <w:tl2br w:val="nil"/>
                    <w:tr2bl w:val="nil"/>
                  </w:tcBorders>
                  <w:vAlign w:val="center"/>
                </w:tcPr>
                <w:p w14:paraId="293C22B3">
                  <w:pPr>
                    <w:spacing w:line="240" w:lineRule="exact"/>
                    <w:jc w:val="center"/>
                    <w:rPr>
                      <w:rFonts w:hint="default" w:ascii="Times New Roman" w:hAnsi="Times New Roman" w:cs="Times New Roman"/>
                      <w:color w:val="auto"/>
                      <w:spacing w:val="-10"/>
                      <w:sz w:val="18"/>
                      <w:szCs w:val="18"/>
                      <w:highlight w:val="none"/>
                      <w:lang w:val="en-US" w:eastAsia="zh-CN"/>
                    </w:rPr>
                  </w:pPr>
                  <w:r>
                    <w:rPr>
                      <w:rFonts w:hint="default" w:ascii="Times New Roman" w:hAnsi="Times New Roman" w:cs="Times New Roman"/>
                      <w:color w:val="auto"/>
                      <w:spacing w:val="-10"/>
                      <w:sz w:val="18"/>
                      <w:szCs w:val="18"/>
                      <w:highlight w:val="none"/>
                      <w:lang w:val="en-US" w:eastAsia="zh-CN"/>
                    </w:rPr>
                    <w:t>符合性</w:t>
                  </w:r>
                </w:p>
              </w:tc>
            </w:tr>
            <w:tr w14:paraId="20746F4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87" w:type="dxa"/>
                  <w:vMerge w:val="restart"/>
                  <w:tcBorders>
                    <w:tl2br w:val="nil"/>
                    <w:tr2bl w:val="nil"/>
                  </w:tcBorders>
                  <w:vAlign w:val="center"/>
                </w:tcPr>
                <w:p w14:paraId="69C3704A">
                  <w:pPr>
                    <w:spacing w:line="240" w:lineRule="exact"/>
                    <w:jc w:val="center"/>
                    <w:rPr>
                      <w:rFonts w:hint="default" w:ascii="Times New Roman" w:hAnsi="Times New Roman" w:cs="Times New Roman"/>
                      <w:color w:val="auto"/>
                      <w:spacing w:val="-10"/>
                      <w:sz w:val="18"/>
                      <w:szCs w:val="18"/>
                      <w:highlight w:val="none"/>
                      <w:lang w:val="en-US" w:eastAsia="zh-CN"/>
                    </w:rPr>
                  </w:pPr>
                  <w:r>
                    <w:rPr>
                      <w:rFonts w:hint="eastAsia" w:cs="Times New Roman"/>
                      <w:color w:val="auto"/>
                      <w:spacing w:val="-10"/>
                      <w:sz w:val="18"/>
                      <w:szCs w:val="18"/>
                      <w:highlight w:val="none"/>
                      <w:lang w:val="en-US" w:eastAsia="zh-CN"/>
                    </w:rPr>
                    <w:t>主要目标</w:t>
                  </w:r>
                </w:p>
              </w:tc>
              <w:tc>
                <w:tcPr>
                  <w:tcW w:w="1420" w:type="dxa"/>
                  <w:tcBorders>
                    <w:tl2br w:val="nil"/>
                    <w:tr2bl w:val="nil"/>
                  </w:tcBorders>
                  <w:vAlign w:val="center"/>
                </w:tcPr>
                <w:p w14:paraId="36C325F4">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pacing w:val="-10"/>
                      <w:sz w:val="18"/>
                      <w:szCs w:val="18"/>
                      <w:lang w:val="en-US" w:eastAsia="zh-CN"/>
                    </w:rPr>
                  </w:pPr>
                  <w:r>
                    <w:rPr>
                      <w:rFonts w:hint="default" w:ascii="Times New Roman" w:hAnsi="Times New Roman" w:eastAsia="宋体" w:cs="Times New Roman"/>
                      <w:color w:val="auto"/>
                      <w:spacing w:val="-10"/>
                      <w:sz w:val="18"/>
                      <w:szCs w:val="18"/>
                    </w:rPr>
                    <w:t>生态保护红线</w:t>
                  </w:r>
                </w:p>
              </w:tc>
              <w:tc>
                <w:tcPr>
                  <w:tcW w:w="5593" w:type="dxa"/>
                  <w:tcBorders>
                    <w:tl2br w:val="nil"/>
                    <w:tr2bl w:val="nil"/>
                  </w:tcBorders>
                  <w:vAlign w:val="center"/>
                </w:tcPr>
                <w:p w14:paraId="4D5A6E5B">
                  <w:pPr>
                    <w:keepNext w:val="0"/>
                    <w:keepLines w:val="0"/>
                    <w:pageBreakBefore w:val="0"/>
                    <w:widowControl w:val="0"/>
                    <w:kinsoku/>
                    <w:wordWrap/>
                    <w:overflowPunct/>
                    <w:topLinePunct w:val="0"/>
                    <w:autoSpaceDE/>
                    <w:autoSpaceDN/>
                    <w:bidi w:val="0"/>
                    <w:adjustRightInd/>
                    <w:snapToGrid/>
                    <w:spacing w:line="240" w:lineRule="exact"/>
                    <w:ind w:firstLine="320" w:firstLineChars="200"/>
                    <w:jc w:val="left"/>
                    <w:textAlignment w:val="auto"/>
                    <w:rPr>
                      <w:rFonts w:hint="default" w:ascii="Times New Roman" w:hAnsi="Times New Roman" w:eastAsia="宋体" w:cs="Times New Roman"/>
                      <w:color w:val="auto"/>
                      <w:spacing w:val="-10"/>
                      <w:sz w:val="18"/>
                      <w:szCs w:val="18"/>
                      <w:lang w:val="en-US" w:eastAsia="zh-CN"/>
                    </w:rPr>
                  </w:pPr>
                  <w:r>
                    <w:rPr>
                      <w:rFonts w:hint="default" w:ascii="Times New Roman" w:hAnsi="Times New Roman" w:eastAsia="宋体" w:cs="Times New Roman"/>
                      <w:color w:val="auto"/>
                      <w:spacing w:val="-10"/>
                      <w:sz w:val="18"/>
                      <w:szCs w:val="18"/>
                    </w:rPr>
                    <w:t>重要生态功能区域生态功能不降低、面积不减少、性质不改变</w:t>
                  </w:r>
                  <w:r>
                    <w:rPr>
                      <w:rFonts w:hint="eastAsia" w:ascii="Times New Roman" w:hAnsi="Times New Roman" w:eastAsia="宋体" w:cs="Times New Roman"/>
                      <w:color w:val="auto"/>
                      <w:spacing w:val="-10"/>
                      <w:sz w:val="18"/>
                      <w:szCs w:val="18"/>
                    </w:rPr>
                    <w:t>。</w:t>
                  </w:r>
                </w:p>
              </w:tc>
              <w:tc>
                <w:tcPr>
                  <w:tcW w:w="3525" w:type="dxa"/>
                  <w:tcBorders>
                    <w:tl2br w:val="nil"/>
                    <w:tr2bl w:val="nil"/>
                  </w:tcBorders>
                  <w:vAlign w:val="center"/>
                </w:tcPr>
                <w:p w14:paraId="4E0D614E">
                  <w:pPr>
                    <w:keepNext w:val="0"/>
                    <w:keepLines w:val="0"/>
                    <w:pageBreakBefore w:val="0"/>
                    <w:widowControl w:val="0"/>
                    <w:kinsoku/>
                    <w:wordWrap/>
                    <w:overflowPunct/>
                    <w:topLinePunct w:val="0"/>
                    <w:autoSpaceDE/>
                    <w:autoSpaceDN/>
                    <w:bidi w:val="0"/>
                    <w:adjustRightInd/>
                    <w:snapToGrid/>
                    <w:spacing w:line="240" w:lineRule="exact"/>
                    <w:ind w:firstLine="320" w:firstLineChars="200"/>
                    <w:jc w:val="left"/>
                    <w:textAlignment w:val="auto"/>
                    <w:rPr>
                      <w:rFonts w:hint="default" w:ascii="Times New Roman" w:hAnsi="Times New Roman" w:eastAsia="宋体" w:cs="Times New Roman"/>
                      <w:color w:val="auto"/>
                      <w:spacing w:val="-10"/>
                      <w:sz w:val="18"/>
                      <w:szCs w:val="18"/>
                      <w:lang w:val="en-US" w:eastAsia="zh-CN"/>
                    </w:rPr>
                  </w:pPr>
                  <w:r>
                    <w:rPr>
                      <w:rFonts w:hint="eastAsia" w:ascii="Times New Roman" w:hAnsi="Times New Roman" w:eastAsia="宋体" w:cs="Times New Roman"/>
                      <w:color w:val="auto"/>
                      <w:spacing w:val="-10"/>
                      <w:sz w:val="18"/>
                      <w:szCs w:val="18"/>
                    </w:rPr>
                    <w:t>本项目选址位于</w:t>
                  </w:r>
                  <w:r>
                    <w:rPr>
                      <w:rFonts w:hint="eastAsia" w:ascii="Times New Roman" w:hAnsi="Times New Roman" w:eastAsia="宋体" w:cs="Times New Roman"/>
                      <w:color w:val="auto"/>
                      <w:spacing w:val="-10"/>
                      <w:sz w:val="18"/>
                      <w:szCs w:val="18"/>
                      <w:lang w:val="en-US" w:eastAsia="zh-CN"/>
                    </w:rPr>
                    <w:t>河北省唐山市滦州市九百户镇宜安村西</w:t>
                  </w:r>
                  <w:r>
                    <w:rPr>
                      <w:rFonts w:hint="eastAsia" w:ascii="Times New Roman" w:hAnsi="Times New Roman" w:eastAsia="宋体" w:cs="Times New Roman"/>
                      <w:color w:val="auto"/>
                      <w:spacing w:val="-10"/>
                      <w:sz w:val="18"/>
                      <w:szCs w:val="18"/>
                    </w:rPr>
                    <w:t>，不在滦州市生态保护红线区内，</w:t>
                  </w:r>
                  <w:r>
                    <w:rPr>
                      <w:rFonts w:hint="eastAsia" w:ascii="Times New Roman" w:hAnsi="Times New Roman" w:eastAsia="宋体" w:cs="Times New Roman"/>
                      <w:color w:val="auto"/>
                      <w:spacing w:val="-10"/>
                      <w:sz w:val="18"/>
                      <w:szCs w:val="18"/>
                      <w:lang w:val="en-US" w:eastAsia="zh-CN"/>
                    </w:rPr>
                    <w:t>项目厂区</w:t>
                  </w:r>
                  <w:r>
                    <w:rPr>
                      <w:rFonts w:hint="eastAsia" w:ascii="Times New Roman" w:hAnsi="Times New Roman" w:eastAsia="宋体" w:cs="Times New Roman"/>
                      <w:color w:val="auto"/>
                      <w:spacing w:val="-10"/>
                      <w:sz w:val="18"/>
                      <w:szCs w:val="18"/>
                    </w:rPr>
                    <w:t>距离生态保护红线</w:t>
                  </w:r>
                  <w:r>
                    <w:rPr>
                      <w:rFonts w:hint="eastAsia" w:cs="Times New Roman"/>
                      <w:color w:val="auto"/>
                      <w:spacing w:val="-10"/>
                      <w:sz w:val="18"/>
                      <w:szCs w:val="18"/>
                      <w:highlight w:val="none"/>
                      <w:lang w:val="en-US" w:eastAsia="zh-CN"/>
                    </w:rPr>
                    <w:t>1890</w:t>
                  </w:r>
                  <w:r>
                    <w:rPr>
                      <w:rFonts w:hint="eastAsia" w:ascii="Times New Roman" w:hAnsi="Times New Roman" w:eastAsia="宋体" w:cs="Times New Roman"/>
                      <w:color w:val="auto"/>
                      <w:spacing w:val="-10"/>
                      <w:sz w:val="18"/>
                      <w:szCs w:val="18"/>
                      <w:highlight w:val="none"/>
                    </w:rPr>
                    <w:t>m</w:t>
                  </w:r>
                  <w:r>
                    <w:rPr>
                      <w:rFonts w:hint="eastAsia" w:ascii="Times New Roman" w:hAnsi="Times New Roman" w:eastAsia="宋体" w:cs="Times New Roman"/>
                      <w:color w:val="auto"/>
                      <w:spacing w:val="-10"/>
                      <w:sz w:val="18"/>
                      <w:szCs w:val="18"/>
                      <w:highlight w:val="none"/>
                      <w:lang w:eastAsia="zh-CN"/>
                    </w:rPr>
                    <w:t>，</w:t>
                  </w:r>
                  <w:r>
                    <w:rPr>
                      <w:rFonts w:hint="eastAsia" w:ascii="Times New Roman" w:hAnsi="Times New Roman" w:eastAsia="宋体" w:cs="Times New Roman"/>
                      <w:color w:val="auto"/>
                      <w:spacing w:val="-10"/>
                      <w:sz w:val="18"/>
                      <w:szCs w:val="18"/>
                      <w:highlight w:val="none"/>
                    </w:rPr>
                    <w:t>符</w:t>
                  </w:r>
                  <w:r>
                    <w:rPr>
                      <w:rFonts w:hint="eastAsia" w:ascii="Times New Roman" w:hAnsi="Times New Roman" w:eastAsia="宋体" w:cs="Times New Roman"/>
                      <w:color w:val="auto"/>
                      <w:spacing w:val="-10"/>
                      <w:sz w:val="18"/>
                      <w:szCs w:val="18"/>
                    </w:rPr>
                    <w:t>合生态保护红线要求</w:t>
                  </w:r>
                </w:p>
              </w:tc>
              <w:tc>
                <w:tcPr>
                  <w:tcW w:w="750" w:type="dxa"/>
                  <w:tcBorders>
                    <w:tl2br w:val="nil"/>
                    <w:tr2bl w:val="nil"/>
                  </w:tcBorders>
                  <w:vAlign w:val="center"/>
                </w:tcPr>
                <w:p w14:paraId="56997F7E">
                  <w:pPr>
                    <w:spacing w:line="240" w:lineRule="exact"/>
                    <w:jc w:val="center"/>
                    <w:rPr>
                      <w:rFonts w:hint="default" w:ascii="Times New Roman" w:hAnsi="Times New Roman" w:cs="Times New Roman"/>
                      <w:color w:val="auto"/>
                      <w:spacing w:val="-10"/>
                      <w:sz w:val="18"/>
                      <w:szCs w:val="18"/>
                      <w:highlight w:val="none"/>
                      <w:lang w:val="en-US" w:eastAsia="zh-CN"/>
                    </w:rPr>
                  </w:pPr>
                  <w:r>
                    <w:rPr>
                      <w:rFonts w:hint="default" w:ascii="Times New Roman" w:hAnsi="Times New Roman" w:cs="Times New Roman"/>
                      <w:color w:val="auto"/>
                      <w:spacing w:val="-10"/>
                      <w:sz w:val="18"/>
                      <w:szCs w:val="18"/>
                      <w:highlight w:val="none"/>
                    </w:rPr>
                    <w:t>符合</w:t>
                  </w:r>
                </w:p>
              </w:tc>
            </w:tr>
            <w:tr w14:paraId="7E7B65F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87" w:type="dxa"/>
                  <w:vMerge w:val="continue"/>
                  <w:tcBorders>
                    <w:tl2br w:val="nil"/>
                    <w:tr2bl w:val="nil"/>
                  </w:tcBorders>
                  <w:vAlign w:val="center"/>
                </w:tcPr>
                <w:p w14:paraId="45FF9086">
                  <w:pPr>
                    <w:spacing w:line="240" w:lineRule="exact"/>
                    <w:jc w:val="center"/>
                    <w:rPr>
                      <w:rFonts w:hint="default" w:ascii="Times New Roman" w:hAnsi="Times New Roman" w:cs="Times New Roman"/>
                      <w:color w:val="auto"/>
                      <w:spacing w:val="-10"/>
                      <w:sz w:val="18"/>
                      <w:szCs w:val="18"/>
                      <w:highlight w:val="none"/>
                      <w:lang w:val="en-US" w:eastAsia="zh-CN"/>
                    </w:rPr>
                  </w:pPr>
                </w:p>
              </w:tc>
              <w:tc>
                <w:tcPr>
                  <w:tcW w:w="1420" w:type="dxa"/>
                  <w:tcBorders>
                    <w:tl2br w:val="nil"/>
                    <w:tr2bl w:val="nil"/>
                  </w:tcBorders>
                  <w:vAlign w:val="center"/>
                </w:tcPr>
                <w:p w14:paraId="7870DDB9">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pacing w:val="-10"/>
                      <w:sz w:val="18"/>
                      <w:szCs w:val="18"/>
                      <w:lang w:val="en-US" w:eastAsia="zh-CN"/>
                    </w:rPr>
                  </w:pPr>
                  <w:r>
                    <w:rPr>
                      <w:rFonts w:hint="eastAsia" w:ascii="Times New Roman" w:hAnsi="Times New Roman" w:eastAsia="宋体" w:cs="Times New Roman"/>
                      <w:color w:val="auto"/>
                      <w:spacing w:val="-10"/>
                      <w:sz w:val="18"/>
                      <w:szCs w:val="18"/>
                    </w:rPr>
                    <w:t>环境质量底线</w:t>
                  </w:r>
                </w:p>
              </w:tc>
              <w:tc>
                <w:tcPr>
                  <w:tcW w:w="5593" w:type="dxa"/>
                  <w:tcBorders>
                    <w:tl2br w:val="nil"/>
                    <w:tr2bl w:val="nil"/>
                  </w:tcBorders>
                  <w:vAlign w:val="center"/>
                </w:tcPr>
                <w:p w14:paraId="5DF9629E">
                  <w:pPr>
                    <w:keepNext w:val="0"/>
                    <w:keepLines w:val="0"/>
                    <w:pageBreakBefore w:val="0"/>
                    <w:widowControl w:val="0"/>
                    <w:kinsoku/>
                    <w:wordWrap/>
                    <w:overflowPunct/>
                    <w:topLinePunct w:val="0"/>
                    <w:autoSpaceDE/>
                    <w:autoSpaceDN/>
                    <w:bidi w:val="0"/>
                    <w:adjustRightInd/>
                    <w:snapToGrid/>
                    <w:spacing w:line="240" w:lineRule="exact"/>
                    <w:ind w:firstLine="320" w:firstLineChars="200"/>
                    <w:jc w:val="left"/>
                    <w:textAlignment w:val="auto"/>
                    <w:rPr>
                      <w:rFonts w:hint="default" w:ascii="Times New Roman" w:hAnsi="Times New Roman" w:eastAsia="宋体" w:cs="Times New Roman"/>
                      <w:color w:val="auto"/>
                      <w:spacing w:val="-10"/>
                      <w:sz w:val="18"/>
                      <w:szCs w:val="18"/>
                      <w:lang w:val="en-US" w:eastAsia="zh-CN"/>
                    </w:rPr>
                  </w:pPr>
                  <w:r>
                    <w:rPr>
                      <w:rFonts w:hint="eastAsia" w:ascii="Times New Roman" w:hAnsi="Times New Roman" w:eastAsia="宋体" w:cs="Times New Roman"/>
                      <w:color w:val="auto"/>
                      <w:spacing w:val="-10"/>
                      <w:sz w:val="18"/>
                      <w:szCs w:val="18"/>
                    </w:rPr>
                    <w:t>到2025年，地表水国</w:t>
                  </w:r>
                  <w:r>
                    <w:rPr>
                      <w:rFonts w:hint="eastAsia" w:ascii="Times New Roman" w:hAnsi="Times New Roman" w:eastAsia="宋体" w:cs="Times New Roman"/>
                      <w:color w:val="auto"/>
                      <w:spacing w:val="-10"/>
                      <w:sz w:val="18"/>
                      <w:szCs w:val="18"/>
                      <w:lang w:val="en-US" w:eastAsia="zh-CN"/>
                    </w:rPr>
                    <w:t>省</w:t>
                  </w:r>
                  <w:r>
                    <w:rPr>
                      <w:rFonts w:hint="eastAsia" w:ascii="Times New Roman" w:hAnsi="Times New Roman" w:eastAsia="宋体" w:cs="Times New Roman"/>
                      <w:color w:val="auto"/>
                      <w:spacing w:val="-10"/>
                      <w:sz w:val="18"/>
                      <w:szCs w:val="18"/>
                    </w:rPr>
                    <w:t>考断面优良(Ⅲ类以上)比例、近岸海域优良海水比例</w:t>
                  </w:r>
                  <w:r>
                    <w:rPr>
                      <w:rFonts w:hint="eastAsia" w:ascii="Times New Roman" w:hAnsi="Times New Roman" w:eastAsia="宋体" w:cs="Times New Roman"/>
                      <w:color w:val="auto"/>
                      <w:spacing w:val="-10"/>
                      <w:sz w:val="18"/>
                      <w:szCs w:val="18"/>
                      <w:lang w:val="en-US" w:eastAsia="zh-CN"/>
                    </w:rPr>
                    <w:t>稳定达标</w:t>
                  </w:r>
                  <w:r>
                    <w:rPr>
                      <w:rFonts w:hint="eastAsia" w:ascii="Times New Roman" w:hAnsi="Times New Roman" w:eastAsia="宋体" w:cs="Times New Roman"/>
                      <w:color w:val="auto"/>
                      <w:spacing w:val="-10"/>
                      <w:sz w:val="18"/>
                      <w:szCs w:val="18"/>
                    </w:rPr>
                    <w:t>；PM</w:t>
                  </w:r>
                  <w:r>
                    <w:rPr>
                      <w:rFonts w:hint="eastAsia" w:ascii="Times New Roman" w:hAnsi="Times New Roman" w:eastAsia="宋体" w:cs="Times New Roman"/>
                      <w:color w:val="auto"/>
                      <w:spacing w:val="-10"/>
                      <w:sz w:val="18"/>
                      <w:szCs w:val="18"/>
                      <w:vertAlign w:val="subscript"/>
                    </w:rPr>
                    <w:t>2.5</w:t>
                  </w:r>
                  <w:r>
                    <w:rPr>
                      <w:rFonts w:hint="eastAsia" w:ascii="Times New Roman" w:hAnsi="Times New Roman" w:eastAsia="宋体" w:cs="Times New Roman"/>
                      <w:color w:val="auto"/>
                      <w:spacing w:val="-10"/>
                      <w:sz w:val="18"/>
                      <w:szCs w:val="18"/>
                    </w:rPr>
                    <w:t>年均浓度持续降低、优良天数比例稳步提升；</w:t>
                  </w:r>
                  <w:r>
                    <w:rPr>
                      <w:rFonts w:hint="eastAsia" w:ascii="Times New Roman" w:hAnsi="Times New Roman" w:eastAsia="宋体" w:cs="Times New Roman"/>
                      <w:color w:val="auto"/>
                      <w:spacing w:val="-10"/>
                      <w:sz w:val="18"/>
                      <w:szCs w:val="18"/>
                      <w:lang w:val="en-US" w:eastAsia="zh-CN"/>
                    </w:rPr>
                    <w:t>受污染耕地</w:t>
                  </w:r>
                  <w:r>
                    <w:rPr>
                      <w:rFonts w:hint="eastAsia" w:ascii="Times New Roman" w:hAnsi="Times New Roman" w:eastAsia="宋体" w:cs="Times New Roman"/>
                      <w:color w:val="auto"/>
                      <w:spacing w:val="-10"/>
                      <w:sz w:val="18"/>
                      <w:szCs w:val="18"/>
                    </w:rPr>
                    <w:t>安全利用率、污染地块安全利用率进一步提升。</w:t>
                  </w:r>
                </w:p>
              </w:tc>
              <w:tc>
                <w:tcPr>
                  <w:tcW w:w="3525" w:type="dxa"/>
                  <w:tcBorders>
                    <w:tl2br w:val="nil"/>
                    <w:tr2bl w:val="nil"/>
                  </w:tcBorders>
                  <w:vAlign w:val="center"/>
                </w:tcPr>
                <w:p w14:paraId="5E15A56C">
                  <w:pPr>
                    <w:keepNext w:val="0"/>
                    <w:keepLines w:val="0"/>
                    <w:pageBreakBefore w:val="0"/>
                    <w:widowControl w:val="0"/>
                    <w:kinsoku/>
                    <w:wordWrap/>
                    <w:overflowPunct/>
                    <w:topLinePunct w:val="0"/>
                    <w:autoSpaceDE/>
                    <w:autoSpaceDN/>
                    <w:bidi w:val="0"/>
                    <w:adjustRightInd/>
                    <w:snapToGrid/>
                    <w:spacing w:line="240" w:lineRule="exact"/>
                    <w:ind w:firstLine="320" w:firstLineChars="200"/>
                    <w:jc w:val="left"/>
                    <w:textAlignment w:val="auto"/>
                    <w:rPr>
                      <w:rFonts w:hint="default" w:ascii="Times New Roman" w:hAnsi="Times New Roman" w:eastAsia="宋体" w:cs="Times New Roman"/>
                      <w:color w:val="auto"/>
                      <w:spacing w:val="-10"/>
                      <w:sz w:val="18"/>
                      <w:szCs w:val="18"/>
                      <w:lang w:val="en-US" w:eastAsia="zh-CN"/>
                    </w:rPr>
                  </w:pPr>
                  <w:r>
                    <w:rPr>
                      <w:rFonts w:hint="eastAsia" w:ascii="Times New Roman" w:hAnsi="Times New Roman" w:eastAsia="宋体" w:cs="Times New Roman"/>
                      <w:color w:val="auto"/>
                      <w:spacing w:val="-10"/>
                      <w:sz w:val="18"/>
                      <w:szCs w:val="18"/>
                      <w:lang w:val="en-US" w:eastAsia="zh-CN"/>
                    </w:rPr>
                    <w:t>项目完成后，全厂无废水外排环境；</w:t>
                  </w:r>
                  <w:r>
                    <w:rPr>
                      <w:rFonts w:hint="eastAsia" w:ascii="Times New Roman" w:hAnsi="Times New Roman" w:eastAsia="宋体" w:cs="Times New Roman"/>
                      <w:color w:val="auto"/>
                      <w:spacing w:val="-10"/>
                      <w:sz w:val="18"/>
                      <w:szCs w:val="18"/>
                      <w:highlight w:val="none"/>
                      <w:lang w:val="en-US" w:eastAsia="zh-CN"/>
                    </w:rPr>
                    <w:t>项目废气主各产污环节均采取了完善的污染防治措施，</w:t>
                  </w:r>
                  <w:r>
                    <w:rPr>
                      <w:rFonts w:hint="eastAsia" w:cs="Times New Roman"/>
                      <w:color w:val="auto"/>
                      <w:spacing w:val="-10"/>
                      <w:sz w:val="18"/>
                      <w:szCs w:val="18"/>
                      <w:highlight w:val="none"/>
                      <w:lang w:val="en-US" w:eastAsia="zh-CN"/>
                    </w:rPr>
                    <w:t>污染物排放量较小，</w:t>
                  </w:r>
                  <w:r>
                    <w:rPr>
                      <w:rFonts w:hint="eastAsia" w:ascii="Times New Roman" w:hAnsi="Times New Roman" w:eastAsia="宋体" w:cs="Times New Roman"/>
                      <w:color w:val="auto"/>
                      <w:spacing w:val="-10"/>
                      <w:sz w:val="18"/>
                      <w:szCs w:val="18"/>
                      <w:highlight w:val="none"/>
                      <w:lang w:val="en-US" w:eastAsia="zh-CN"/>
                    </w:rPr>
                    <w:t>可以稳定实现达标排放，对周围环境影响较小，不会对区域大气环境产生明显</w:t>
                  </w:r>
                  <w:r>
                    <w:rPr>
                      <w:rFonts w:hint="eastAsia" w:cs="Times New Roman"/>
                      <w:color w:val="auto"/>
                      <w:spacing w:val="-10"/>
                      <w:sz w:val="18"/>
                      <w:szCs w:val="18"/>
                      <w:highlight w:val="none"/>
                      <w:lang w:val="en-US" w:eastAsia="zh-CN"/>
                    </w:rPr>
                    <w:t>影响</w:t>
                  </w:r>
                  <w:r>
                    <w:rPr>
                      <w:rFonts w:hint="default" w:ascii="Times New Roman" w:hAnsi="Times New Roman" w:eastAsia="宋体" w:cs="Times New Roman"/>
                      <w:color w:val="auto"/>
                      <w:spacing w:val="-10"/>
                      <w:sz w:val="18"/>
                      <w:szCs w:val="18"/>
                      <w:lang w:val="en-US" w:eastAsia="zh-CN"/>
                    </w:rPr>
                    <w:t>；</w:t>
                  </w:r>
                  <w:r>
                    <w:rPr>
                      <w:rFonts w:hint="eastAsia" w:ascii="Times New Roman" w:hAnsi="Times New Roman" w:eastAsia="宋体" w:cs="Times New Roman"/>
                      <w:color w:val="auto"/>
                      <w:spacing w:val="-10"/>
                      <w:sz w:val="18"/>
                      <w:szCs w:val="18"/>
                      <w:lang w:val="en-US" w:eastAsia="zh-CN"/>
                    </w:rPr>
                    <w:t>根据《</w:t>
                  </w:r>
                  <w:r>
                    <w:rPr>
                      <w:rFonts w:hint="default" w:ascii="Times New Roman" w:hAnsi="Times New Roman" w:eastAsia="宋体" w:cs="Times New Roman"/>
                      <w:color w:val="auto"/>
                      <w:spacing w:val="-10"/>
                      <w:sz w:val="18"/>
                      <w:szCs w:val="18"/>
                      <w:lang w:val="en-US" w:eastAsia="zh-CN"/>
                    </w:rPr>
                    <w:t>滦州市</w:t>
                  </w:r>
                  <w:r>
                    <w:rPr>
                      <w:rFonts w:hint="eastAsia" w:ascii="Times New Roman" w:hAnsi="Times New Roman" w:eastAsia="宋体" w:cs="Times New Roman"/>
                      <w:color w:val="auto"/>
                      <w:spacing w:val="-10"/>
                      <w:sz w:val="18"/>
                      <w:szCs w:val="18"/>
                      <w:lang w:val="en-US" w:eastAsia="zh-CN"/>
                    </w:rPr>
                    <w:t>九百户镇</w:t>
                  </w:r>
                  <w:r>
                    <w:rPr>
                      <w:rFonts w:hint="default" w:ascii="Times New Roman" w:hAnsi="Times New Roman" w:eastAsia="宋体" w:cs="Times New Roman"/>
                      <w:color w:val="auto"/>
                      <w:spacing w:val="-10"/>
                      <w:sz w:val="18"/>
                      <w:szCs w:val="18"/>
                      <w:lang w:val="en-US" w:eastAsia="zh-CN"/>
                    </w:rPr>
                    <w:t>关于</w:t>
                  </w:r>
                  <w:r>
                    <w:rPr>
                      <w:rFonts w:hint="eastAsia" w:ascii="Times New Roman" w:hAnsi="Times New Roman" w:eastAsia="宋体" w:cs="Times New Roman"/>
                      <w:color w:val="auto"/>
                      <w:spacing w:val="-10"/>
                      <w:sz w:val="18"/>
                      <w:szCs w:val="18"/>
                      <w:lang w:val="en-US" w:eastAsia="zh-CN"/>
                    </w:rPr>
                    <w:t>滦州市祯璟再生资源有限公司固体废弃物综合利用项目</w:t>
                  </w:r>
                  <w:r>
                    <w:rPr>
                      <w:rFonts w:hint="default" w:ascii="Times New Roman" w:hAnsi="Times New Roman" w:eastAsia="宋体" w:cs="Times New Roman"/>
                      <w:color w:val="auto"/>
                      <w:spacing w:val="-10"/>
                      <w:sz w:val="18"/>
                      <w:szCs w:val="18"/>
                      <w:lang w:val="en-US" w:eastAsia="zh-CN"/>
                    </w:rPr>
                    <w:t>用地情况说明</w:t>
                  </w:r>
                  <w:r>
                    <w:rPr>
                      <w:rFonts w:hint="eastAsia" w:ascii="Times New Roman" w:hAnsi="Times New Roman" w:eastAsia="宋体" w:cs="Times New Roman"/>
                      <w:color w:val="auto"/>
                      <w:spacing w:val="-10"/>
                      <w:sz w:val="18"/>
                      <w:szCs w:val="18"/>
                      <w:lang w:val="en-US" w:eastAsia="zh-CN"/>
                    </w:rPr>
                    <w:t>》可知，项目用地性质为</w:t>
                  </w:r>
                  <w:r>
                    <w:rPr>
                      <w:rFonts w:hint="eastAsia" w:ascii="Times New Roman" w:hAnsi="Times New Roman" w:cs="Times New Roman"/>
                      <w:color w:val="auto"/>
                      <w:spacing w:val="-10"/>
                      <w:sz w:val="18"/>
                      <w:szCs w:val="18"/>
                      <w:lang w:val="en-US" w:eastAsia="zh-CN"/>
                    </w:rPr>
                    <w:t>工业</w:t>
                  </w:r>
                  <w:r>
                    <w:rPr>
                      <w:rFonts w:hint="eastAsia" w:ascii="Times New Roman" w:hAnsi="Times New Roman" w:eastAsia="宋体" w:cs="Times New Roman"/>
                      <w:color w:val="auto"/>
                      <w:spacing w:val="-10"/>
                      <w:sz w:val="18"/>
                      <w:szCs w:val="18"/>
                      <w:lang w:val="en-US" w:eastAsia="zh-CN"/>
                    </w:rPr>
                    <w:t>建设用地，项目</w:t>
                  </w:r>
                  <w:r>
                    <w:rPr>
                      <w:rFonts w:hint="default" w:ascii="Times New Roman" w:hAnsi="Times New Roman" w:eastAsia="宋体" w:cs="Times New Roman"/>
                      <w:color w:val="auto"/>
                      <w:spacing w:val="-10"/>
                      <w:sz w:val="18"/>
                      <w:szCs w:val="18"/>
                      <w:lang w:val="en-US" w:eastAsia="zh-CN"/>
                    </w:rPr>
                    <w:t>采取了源头</w:t>
                  </w:r>
                  <w:r>
                    <w:rPr>
                      <w:rFonts w:hint="default" w:ascii="Times New Roman" w:hAnsi="Times New Roman" w:eastAsia="宋体" w:cs="Times New Roman"/>
                      <w:color w:val="auto"/>
                      <w:spacing w:val="-10"/>
                      <w:sz w:val="18"/>
                      <w:szCs w:val="18"/>
                      <w:lang w:val="zh-CN" w:eastAsia="zh-CN"/>
                    </w:rPr>
                    <w:t>控制</w:t>
                  </w:r>
                  <w:r>
                    <w:rPr>
                      <w:rFonts w:hint="default" w:ascii="Times New Roman" w:hAnsi="Times New Roman" w:eastAsia="宋体" w:cs="Times New Roman"/>
                      <w:color w:val="auto"/>
                      <w:spacing w:val="-10"/>
                      <w:sz w:val="18"/>
                      <w:szCs w:val="18"/>
                      <w:lang w:val="en-US" w:eastAsia="zh-CN"/>
                    </w:rPr>
                    <w:t>措施和过程防控措施，从源头上减少了污染物的排放量，同时通过采取严格的防渗措施，</w:t>
                  </w:r>
                  <w:r>
                    <w:rPr>
                      <w:rFonts w:hint="eastAsia" w:ascii="Times New Roman" w:hAnsi="Times New Roman" w:eastAsia="宋体" w:cs="Times New Roman"/>
                      <w:color w:val="auto"/>
                      <w:spacing w:val="-10"/>
                      <w:sz w:val="18"/>
                      <w:szCs w:val="18"/>
                      <w:lang w:val="en-US" w:eastAsia="zh-CN"/>
                    </w:rPr>
                    <w:t>不会对土壤造成明显影响。</w:t>
                  </w:r>
                </w:p>
              </w:tc>
              <w:tc>
                <w:tcPr>
                  <w:tcW w:w="750" w:type="dxa"/>
                  <w:tcBorders>
                    <w:tl2br w:val="nil"/>
                    <w:tr2bl w:val="nil"/>
                  </w:tcBorders>
                  <w:vAlign w:val="center"/>
                </w:tcPr>
                <w:p w14:paraId="0630C411">
                  <w:pPr>
                    <w:spacing w:line="240" w:lineRule="exact"/>
                    <w:jc w:val="center"/>
                    <w:rPr>
                      <w:rFonts w:hint="default" w:ascii="Times New Roman" w:hAnsi="Times New Roman" w:cs="Times New Roman"/>
                      <w:color w:val="auto"/>
                      <w:spacing w:val="-10"/>
                      <w:sz w:val="18"/>
                      <w:szCs w:val="18"/>
                      <w:highlight w:val="none"/>
                      <w:lang w:val="en-US" w:eastAsia="zh-CN"/>
                    </w:rPr>
                  </w:pPr>
                  <w:r>
                    <w:rPr>
                      <w:rFonts w:hint="default" w:ascii="Times New Roman" w:hAnsi="Times New Roman" w:cs="Times New Roman"/>
                      <w:color w:val="auto"/>
                      <w:spacing w:val="-10"/>
                      <w:sz w:val="18"/>
                      <w:szCs w:val="18"/>
                      <w:highlight w:val="none"/>
                    </w:rPr>
                    <w:t>符合</w:t>
                  </w:r>
                </w:p>
              </w:tc>
            </w:tr>
            <w:tr w14:paraId="707EE02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87" w:type="dxa"/>
                  <w:vMerge w:val="continue"/>
                  <w:tcBorders>
                    <w:tl2br w:val="nil"/>
                    <w:tr2bl w:val="nil"/>
                  </w:tcBorders>
                  <w:vAlign w:val="center"/>
                </w:tcPr>
                <w:p w14:paraId="531C29FB">
                  <w:pPr>
                    <w:spacing w:line="240" w:lineRule="exact"/>
                    <w:jc w:val="center"/>
                    <w:rPr>
                      <w:rFonts w:hint="default" w:ascii="Times New Roman" w:hAnsi="Times New Roman" w:cs="Times New Roman"/>
                      <w:color w:val="auto"/>
                      <w:spacing w:val="-10"/>
                      <w:sz w:val="18"/>
                      <w:szCs w:val="18"/>
                      <w:highlight w:val="none"/>
                      <w:lang w:val="en-US" w:eastAsia="zh-CN"/>
                    </w:rPr>
                  </w:pPr>
                </w:p>
              </w:tc>
              <w:tc>
                <w:tcPr>
                  <w:tcW w:w="1420" w:type="dxa"/>
                  <w:tcBorders>
                    <w:tl2br w:val="nil"/>
                    <w:tr2bl w:val="nil"/>
                  </w:tcBorders>
                  <w:vAlign w:val="center"/>
                </w:tcPr>
                <w:p w14:paraId="5F0C0792">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pacing w:val="-10"/>
                      <w:sz w:val="18"/>
                      <w:szCs w:val="18"/>
                      <w:lang w:val="en-US" w:eastAsia="zh-CN"/>
                    </w:rPr>
                  </w:pPr>
                  <w:r>
                    <w:rPr>
                      <w:rFonts w:hint="eastAsia" w:ascii="Times New Roman" w:hAnsi="Times New Roman" w:eastAsia="宋体" w:cs="Times New Roman"/>
                      <w:color w:val="auto"/>
                      <w:spacing w:val="-10"/>
                      <w:sz w:val="18"/>
                      <w:szCs w:val="18"/>
                    </w:rPr>
                    <w:t>资源利用上线</w:t>
                  </w:r>
                </w:p>
              </w:tc>
              <w:tc>
                <w:tcPr>
                  <w:tcW w:w="5593" w:type="dxa"/>
                  <w:tcBorders>
                    <w:tl2br w:val="nil"/>
                    <w:tr2bl w:val="nil"/>
                  </w:tcBorders>
                  <w:vAlign w:val="center"/>
                </w:tcPr>
                <w:p w14:paraId="5FBBC3E6">
                  <w:pPr>
                    <w:keepNext w:val="0"/>
                    <w:keepLines w:val="0"/>
                    <w:pageBreakBefore w:val="0"/>
                    <w:widowControl w:val="0"/>
                    <w:kinsoku/>
                    <w:wordWrap/>
                    <w:overflowPunct/>
                    <w:topLinePunct w:val="0"/>
                    <w:autoSpaceDE/>
                    <w:autoSpaceDN/>
                    <w:bidi w:val="0"/>
                    <w:adjustRightInd/>
                    <w:snapToGrid/>
                    <w:spacing w:line="240" w:lineRule="exact"/>
                    <w:ind w:firstLine="320" w:firstLineChars="200"/>
                    <w:jc w:val="left"/>
                    <w:textAlignment w:val="auto"/>
                    <w:rPr>
                      <w:rFonts w:hint="default" w:ascii="Times New Roman" w:hAnsi="Times New Roman" w:eastAsia="宋体" w:cs="Times New Roman"/>
                      <w:color w:val="auto"/>
                      <w:spacing w:val="-10"/>
                      <w:sz w:val="18"/>
                      <w:szCs w:val="18"/>
                      <w:lang w:val="en-US" w:eastAsia="zh-CN"/>
                    </w:rPr>
                  </w:pPr>
                  <w:r>
                    <w:rPr>
                      <w:rFonts w:hint="eastAsia" w:ascii="Times New Roman" w:hAnsi="Times New Roman" w:eastAsia="宋体" w:cs="Times New Roman"/>
                      <w:color w:val="auto"/>
                      <w:spacing w:val="-10"/>
                      <w:sz w:val="18"/>
                      <w:szCs w:val="18"/>
                    </w:rPr>
                    <w:t>以保障生态安全、改善环境质量为核心，合理确定全</w:t>
                  </w:r>
                  <w:r>
                    <w:rPr>
                      <w:rFonts w:hint="eastAsia" w:ascii="Times New Roman" w:hAnsi="Times New Roman" w:eastAsia="宋体" w:cs="Times New Roman"/>
                      <w:color w:val="auto"/>
                      <w:spacing w:val="-10"/>
                      <w:sz w:val="18"/>
                      <w:szCs w:val="18"/>
                      <w:lang w:val="en-US" w:eastAsia="zh-CN"/>
                    </w:rPr>
                    <w:t>市</w:t>
                  </w:r>
                  <w:r>
                    <w:rPr>
                      <w:rFonts w:hint="eastAsia" w:ascii="Times New Roman" w:hAnsi="Times New Roman" w:eastAsia="宋体" w:cs="Times New Roman"/>
                      <w:color w:val="auto"/>
                      <w:spacing w:val="-10"/>
                      <w:sz w:val="18"/>
                      <w:szCs w:val="18"/>
                    </w:rPr>
                    <w:t>资源利用上线目标，实现水资源与水环境、能源与大气环境、岸线与海洋环境的系统管控。</w:t>
                  </w:r>
                </w:p>
              </w:tc>
              <w:tc>
                <w:tcPr>
                  <w:tcW w:w="3525" w:type="dxa"/>
                  <w:tcBorders>
                    <w:tl2br w:val="nil"/>
                    <w:tr2bl w:val="nil"/>
                  </w:tcBorders>
                  <w:vAlign w:val="center"/>
                </w:tcPr>
                <w:p w14:paraId="41736D80">
                  <w:pPr>
                    <w:keepNext w:val="0"/>
                    <w:keepLines w:val="0"/>
                    <w:pageBreakBefore w:val="0"/>
                    <w:widowControl w:val="0"/>
                    <w:kinsoku/>
                    <w:wordWrap/>
                    <w:overflowPunct/>
                    <w:topLinePunct w:val="0"/>
                    <w:autoSpaceDE/>
                    <w:autoSpaceDN/>
                    <w:bidi w:val="0"/>
                    <w:adjustRightInd/>
                    <w:snapToGrid/>
                    <w:spacing w:line="240" w:lineRule="exact"/>
                    <w:ind w:firstLine="320" w:firstLineChars="200"/>
                    <w:jc w:val="left"/>
                    <w:textAlignment w:val="auto"/>
                    <w:rPr>
                      <w:rFonts w:hint="default" w:ascii="Times New Roman" w:hAnsi="Times New Roman" w:eastAsia="宋体" w:cs="Times New Roman"/>
                      <w:color w:val="auto"/>
                      <w:spacing w:val="-10"/>
                      <w:sz w:val="18"/>
                      <w:szCs w:val="18"/>
                      <w:lang w:val="en-US" w:eastAsia="zh-CN"/>
                    </w:rPr>
                  </w:pPr>
                  <w:r>
                    <w:rPr>
                      <w:rFonts w:hint="eastAsia" w:cs="Times New Roman"/>
                      <w:color w:val="auto"/>
                      <w:spacing w:val="-10"/>
                      <w:sz w:val="18"/>
                      <w:szCs w:val="18"/>
                      <w:highlight w:val="none"/>
                      <w:lang w:val="en-US" w:eastAsia="zh-CN"/>
                    </w:rPr>
                    <w:t>本项目生活用水采用桶装水，生产用水采用中水，由唐山市古冶区宏源污水处理厂提供（协议见附件）。</w:t>
                  </w:r>
                </w:p>
              </w:tc>
              <w:tc>
                <w:tcPr>
                  <w:tcW w:w="750" w:type="dxa"/>
                  <w:tcBorders>
                    <w:tl2br w:val="nil"/>
                    <w:tr2bl w:val="nil"/>
                  </w:tcBorders>
                  <w:vAlign w:val="center"/>
                </w:tcPr>
                <w:p w14:paraId="171BED3F">
                  <w:pPr>
                    <w:spacing w:line="240" w:lineRule="exact"/>
                    <w:jc w:val="center"/>
                    <w:rPr>
                      <w:rFonts w:hint="default" w:ascii="Times New Roman" w:hAnsi="Times New Roman" w:cs="Times New Roman"/>
                      <w:color w:val="auto"/>
                      <w:spacing w:val="-10"/>
                      <w:sz w:val="18"/>
                      <w:szCs w:val="18"/>
                      <w:highlight w:val="none"/>
                      <w:lang w:val="en-US" w:eastAsia="zh-CN"/>
                    </w:rPr>
                  </w:pPr>
                  <w:r>
                    <w:rPr>
                      <w:rFonts w:hint="default" w:ascii="Times New Roman" w:hAnsi="Times New Roman" w:cs="Times New Roman"/>
                      <w:color w:val="auto"/>
                      <w:spacing w:val="-10"/>
                      <w:sz w:val="18"/>
                      <w:szCs w:val="18"/>
                      <w:highlight w:val="none"/>
                    </w:rPr>
                    <w:t>符合</w:t>
                  </w:r>
                </w:p>
              </w:tc>
            </w:tr>
            <w:tr w14:paraId="1A57C42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87" w:type="dxa"/>
                  <w:tcBorders>
                    <w:tl2br w:val="nil"/>
                    <w:tr2bl w:val="nil"/>
                  </w:tcBorders>
                  <w:vAlign w:val="center"/>
                </w:tcPr>
                <w:p w14:paraId="374583DA">
                  <w:pPr>
                    <w:spacing w:line="240" w:lineRule="exact"/>
                    <w:jc w:val="center"/>
                    <w:rPr>
                      <w:rFonts w:hint="default" w:ascii="Times New Roman" w:hAnsi="Times New Roman" w:eastAsia="宋体" w:cs="Times New Roman"/>
                      <w:color w:val="auto"/>
                      <w:spacing w:val="-10"/>
                      <w:kern w:val="2"/>
                      <w:sz w:val="18"/>
                      <w:szCs w:val="18"/>
                      <w:highlight w:val="none"/>
                      <w:lang w:val="en-US" w:eastAsia="zh-CN" w:bidi="ar-SA"/>
                    </w:rPr>
                  </w:pPr>
                  <w:r>
                    <w:rPr>
                      <w:rFonts w:hint="default" w:ascii="Times New Roman" w:hAnsi="Times New Roman" w:cs="Times New Roman"/>
                      <w:color w:val="auto"/>
                      <w:spacing w:val="-10"/>
                      <w:sz w:val="18"/>
                      <w:szCs w:val="18"/>
                      <w:highlight w:val="none"/>
                      <w:lang w:val="en-US" w:eastAsia="zh-CN"/>
                    </w:rPr>
                    <w:t>分类管控要求</w:t>
                  </w:r>
                </w:p>
              </w:tc>
              <w:tc>
                <w:tcPr>
                  <w:tcW w:w="1420" w:type="dxa"/>
                  <w:tcBorders>
                    <w:tl2br w:val="nil"/>
                    <w:tr2bl w:val="nil"/>
                  </w:tcBorders>
                  <w:vAlign w:val="center"/>
                </w:tcPr>
                <w:p w14:paraId="15225A64">
                  <w:pPr>
                    <w:spacing w:line="240" w:lineRule="exact"/>
                    <w:jc w:val="center"/>
                    <w:rPr>
                      <w:rFonts w:hint="eastAsia" w:ascii="Times New Roman" w:hAnsi="Times New Roman" w:eastAsia="宋体" w:cs="Times New Roman"/>
                      <w:color w:val="auto"/>
                      <w:spacing w:val="-10"/>
                      <w:sz w:val="18"/>
                      <w:szCs w:val="18"/>
                      <w:lang w:val="en-US" w:eastAsia="zh-CN"/>
                    </w:rPr>
                  </w:pPr>
                  <w:r>
                    <w:rPr>
                      <w:rFonts w:hint="eastAsia" w:cs="Times New Roman"/>
                      <w:color w:val="auto"/>
                      <w:spacing w:val="-10"/>
                      <w:sz w:val="18"/>
                      <w:szCs w:val="18"/>
                      <w:highlight w:val="none"/>
                      <w:lang w:val="en-US" w:eastAsia="zh-CN"/>
                    </w:rPr>
                    <w:t>一般</w:t>
                  </w:r>
                  <w:r>
                    <w:rPr>
                      <w:rFonts w:hint="eastAsia" w:ascii="Times New Roman" w:hAnsi="Times New Roman" w:eastAsia="宋体" w:cs="Times New Roman"/>
                      <w:color w:val="auto"/>
                      <w:spacing w:val="-10"/>
                      <w:sz w:val="18"/>
                      <w:szCs w:val="18"/>
                      <w:highlight w:val="none"/>
                      <w:lang w:val="en-US" w:eastAsia="zh-CN"/>
                    </w:rPr>
                    <w:t>管</w:t>
                  </w:r>
                  <w:r>
                    <w:rPr>
                      <w:rFonts w:ascii="Times New Roman" w:hAnsi="Times New Roman" w:eastAsia="宋体" w:cs="Times New Roman"/>
                      <w:color w:val="auto"/>
                      <w:spacing w:val="-10"/>
                      <w:sz w:val="18"/>
                      <w:szCs w:val="18"/>
                      <w:highlight w:val="none"/>
                    </w:rPr>
                    <w:t>控单元</w:t>
                  </w:r>
                </w:p>
              </w:tc>
              <w:tc>
                <w:tcPr>
                  <w:tcW w:w="5593" w:type="dxa"/>
                  <w:tcBorders>
                    <w:tl2br w:val="nil"/>
                    <w:tr2bl w:val="nil"/>
                  </w:tcBorders>
                  <w:vAlign w:val="center"/>
                </w:tcPr>
                <w:p w14:paraId="17B7B560">
                  <w:pPr>
                    <w:keepNext w:val="0"/>
                    <w:keepLines w:val="0"/>
                    <w:pageBreakBefore w:val="0"/>
                    <w:widowControl w:val="0"/>
                    <w:kinsoku/>
                    <w:wordWrap/>
                    <w:overflowPunct/>
                    <w:topLinePunct w:val="0"/>
                    <w:autoSpaceDE/>
                    <w:autoSpaceDN/>
                    <w:bidi w:val="0"/>
                    <w:adjustRightInd/>
                    <w:snapToGrid/>
                    <w:spacing w:line="240" w:lineRule="exact"/>
                    <w:ind w:firstLine="320" w:firstLineChars="200"/>
                    <w:jc w:val="left"/>
                    <w:textAlignment w:val="auto"/>
                    <w:rPr>
                      <w:rFonts w:hint="default" w:ascii="Times New Roman" w:hAnsi="Times New Roman" w:eastAsia="宋体" w:cs="Times New Roman"/>
                      <w:color w:val="auto"/>
                      <w:spacing w:val="-10"/>
                      <w:sz w:val="18"/>
                      <w:szCs w:val="18"/>
                      <w:lang w:val="en-US" w:eastAsia="zh-CN"/>
                    </w:rPr>
                  </w:pPr>
                  <w:r>
                    <w:rPr>
                      <w:color w:val="auto"/>
                      <w:spacing w:val="-10"/>
                      <w:sz w:val="18"/>
                      <w:szCs w:val="18"/>
                    </w:rPr>
                    <w:t>严格执行国家和省关于产业准入、总量控制和污染物排放标准等管控要求</w:t>
                  </w:r>
                </w:p>
              </w:tc>
              <w:tc>
                <w:tcPr>
                  <w:tcW w:w="3525" w:type="dxa"/>
                  <w:tcBorders>
                    <w:tl2br w:val="nil"/>
                    <w:tr2bl w:val="nil"/>
                  </w:tcBorders>
                  <w:vAlign w:val="center"/>
                </w:tcPr>
                <w:p w14:paraId="363C8A71">
                  <w:pPr>
                    <w:keepNext w:val="0"/>
                    <w:keepLines w:val="0"/>
                    <w:pageBreakBefore w:val="0"/>
                    <w:widowControl w:val="0"/>
                    <w:kinsoku/>
                    <w:wordWrap/>
                    <w:overflowPunct/>
                    <w:topLinePunct w:val="0"/>
                    <w:autoSpaceDE/>
                    <w:autoSpaceDN/>
                    <w:bidi w:val="0"/>
                    <w:adjustRightInd/>
                    <w:snapToGrid/>
                    <w:spacing w:line="240" w:lineRule="exact"/>
                    <w:ind w:firstLine="320" w:firstLineChars="200"/>
                    <w:jc w:val="left"/>
                    <w:textAlignment w:val="auto"/>
                    <w:rPr>
                      <w:rFonts w:hint="default" w:ascii="Times New Roman" w:hAnsi="Times New Roman" w:eastAsia="宋体" w:cs="Times New Roman"/>
                      <w:color w:val="auto"/>
                      <w:spacing w:val="-10"/>
                      <w:sz w:val="18"/>
                      <w:szCs w:val="18"/>
                      <w:lang w:val="en-US" w:eastAsia="zh-CN"/>
                    </w:rPr>
                  </w:pPr>
                  <w:r>
                    <w:rPr>
                      <w:color w:val="auto"/>
                      <w:spacing w:val="-10"/>
                      <w:sz w:val="18"/>
                      <w:szCs w:val="18"/>
                      <w:highlight w:val="none"/>
                    </w:rPr>
                    <w:t>项目所属行业无产业准入条件，项目实施污染物总量控制，落实排污许可证制度，项目污染物排放满足相关排放标准要求</w:t>
                  </w:r>
                  <w:r>
                    <w:rPr>
                      <w:color w:val="auto"/>
                      <w:spacing w:val="-10"/>
                      <w:sz w:val="18"/>
                      <w:szCs w:val="18"/>
                    </w:rPr>
                    <w:t>。</w:t>
                  </w:r>
                </w:p>
              </w:tc>
              <w:tc>
                <w:tcPr>
                  <w:tcW w:w="750" w:type="dxa"/>
                  <w:tcBorders>
                    <w:tl2br w:val="nil"/>
                    <w:tr2bl w:val="nil"/>
                  </w:tcBorders>
                  <w:vAlign w:val="center"/>
                </w:tcPr>
                <w:p w14:paraId="4FCA7243">
                  <w:pPr>
                    <w:spacing w:line="240" w:lineRule="exact"/>
                    <w:jc w:val="center"/>
                    <w:rPr>
                      <w:rFonts w:hint="default" w:ascii="Times New Roman" w:hAnsi="Times New Roman" w:eastAsia="宋体" w:cs="Times New Roman"/>
                      <w:color w:val="auto"/>
                      <w:spacing w:val="-10"/>
                      <w:sz w:val="18"/>
                      <w:szCs w:val="18"/>
                      <w:highlight w:val="none"/>
                      <w:lang w:val="en-US" w:eastAsia="zh-CN"/>
                    </w:rPr>
                  </w:pPr>
                  <w:r>
                    <w:rPr>
                      <w:rFonts w:hint="default" w:ascii="Times New Roman" w:hAnsi="Times New Roman" w:eastAsia="宋体" w:cs="Times New Roman"/>
                      <w:color w:val="auto"/>
                      <w:spacing w:val="-10"/>
                      <w:sz w:val="18"/>
                      <w:szCs w:val="18"/>
                      <w:highlight w:val="none"/>
                    </w:rPr>
                    <w:t>符合</w:t>
                  </w:r>
                </w:p>
              </w:tc>
            </w:tr>
            <w:tr w14:paraId="0CEE2B4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87" w:type="dxa"/>
                  <w:tcBorders>
                    <w:tl2br w:val="nil"/>
                    <w:tr2bl w:val="nil"/>
                  </w:tcBorders>
                  <w:vAlign w:val="center"/>
                </w:tcPr>
                <w:p w14:paraId="2EBB2995">
                  <w:pPr>
                    <w:spacing w:line="240" w:lineRule="exact"/>
                    <w:jc w:val="center"/>
                    <w:rPr>
                      <w:rFonts w:hint="default" w:ascii="Times New Roman" w:hAnsi="Times New Roman" w:cs="Times New Roman"/>
                      <w:color w:val="auto"/>
                      <w:spacing w:val="-10"/>
                      <w:sz w:val="18"/>
                      <w:szCs w:val="18"/>
                      <w:highlight w:val="none"/>
                      <w:lang w:val="en-US" w:eastAsia="zh-CN"/>
                    </w:rPr>
                  </w:pPr>
                  <w:r>
                    <w:rPr>
                      <w:rFonts w:hint="eastAsia" w:ascii="Times New Roman" w:hAnsi="Times New Roman" w:cs="Times New Roman"/>
                      <w:color w:val="auto"/>
                      <w:spacing w:val="-10"/>
                      <w:sz w:val="18"/>
                      <w:szCs w:val="18"/>
                      <w:highlight w:val="none"/>
                      <w:lang w:val="en-US" w:eastAsia="zh-CN"/>
                    </w:rPr>
                    <w:t>实施要求</w:t>
                  </w:r>
                </w:p>
              </w:tc>
              <w:tc>
                <w:tcPr>
                  <w:tcW w:w="1420" w:type="dxa"/>
                  <w:tcBorders>
                    <w:tl2br w:val="nil"/>
                    <w:tr2bl w:val="nil"/>
                  </w:tcBorders>
                  <w:vAlign w:val="center"/>
                </w:tcPr>
                <w:p w14:paraId="7B70AC51">
                  <w:pPr>
                    <w:spacing w:line="240" w:lineRule="exact"/>
                    <w:jc w:val="center"/>
                    <w:rPr>
                      <w:rFonts w:hint="eastAsia" w:ascii="Times New Roman" w:hAnsi="Times New Roman" w:eastAsia="宋体" w:cs="Times New Roman"/>
                      <w:color w:val="auto"/>
                      <w:spacing w:val="-10"/>
                      <w:sz w:val="18"/>
                      <w:szCs w:val="18"/>
                      <w:lang w:val="en-US" w:eastAsia="zh-CN"/>
                    </w:rPr>
                  </w:pPr>
                  <w:r>
                    <w:rPr>
                      <w:rFonts w:hint="default" w:ascii="Times New Roman" w:hAnsi="Times New Roman" w:eastAsia="宋体" w:cs="Times New Roman"/>
                      <w:color w:val="auto"/>
                      <w:spacing w:val="-10"/>
                      <w:sz w:val="18"/>
                      <w:szCs w:val="18"/>
                    </w:rPr>
                    <w:t>做好产业准入环保支撑</w:t>
                  </w:r>
                </w:p>
              </w:tc>
              <w:tc>
                <w:tcPr>
                  <w:tcW w:w="5593" w:type="dxa"/>
                  <w:tcBorders>
                    <w:tl2br w:val="nil"/>
                    <w:tr2bl w:val="nil"/>
                  </w:tcBorders>
                  <w:vAlign w:val="center"/>
                </w:tcPr>
                <w:p w14:paraId="60233856">
                  <w:pPr>
                    <w:keepNext w:val="0"/>
                    <w:keepLines w:val="0"/>
                    <w:pageBreakBefore w:val="0"/>
                    <w:widowControl w:val="0"/>
                    <w:kinsoku/>
                    <w:wordWrap/>
                    <w:overflowPunct/>
                    <w:topLinePunct w:val="0"/>
                    <w:autoSpaceDE/>
                    <w:autoSpaceDN/>
                    <w:bidi w:val="0"/>
                    <w:adjustRightInd/>
                    <w:snapToGrid/>
                    <w:spacing w:line="240" w:lineRule="exact"/>
                    <w:ind w:firstLine="320" w:firstLineChars="200"/>
                    <w:jc w:val="left"/>
                    <w:textAlignment w:val="auto"/>
                    <w:rPr>
                      <w:rFonts w:hint="eastAsia" w:ascii="Times New Roman" w:hAnsi="Times New Roman" w:eastAsia="宋体" w:cs="Times New Roman"/>
                      <w:color w:val="auto"/>
                      <w:spacing w:val="-10"/>
                      <w:kern w:val="2"/>
                      <w:sz w:val="18"/>
                      <w:szCs w:val="18"/>
                      <w:lang w:val="en-US" w:eastAsia="zh-CN" w:bidi="ar-SA"/>
                    </w:rPr>
                  </w:pPr>
                  <w:r>
                    <w:rPr>
                      <w:rFonts w:hint="default" w:ascii="Times New Roman" w:hAnsi="Times New Roman" w:eastAsia="宋体" w:cs="Times New Roman"/>
                      <w:color w:val="auto"/>
                      <w:spacing w:val="-10"/>
                      <w:sz w:val="18"/>
                      <w:szCs w:val="18"/>
                      <w:lang w:val="en-US" w:eastAsia="zh-CN"/>
                    </w:rPr>
                    <w:t>各县（市）区、各部门要充分发挥生态环境准入清单编制及落实实施等方面的作用，将“三线一单”成果应用到规划环评审查和建设项目环评审批中，将“三线一单”生态环境分区管控要求作为具体区域、工业园区和单元项目准入的重要支撑</w:t>
                  </w:r>
                </w:p>
              </w:tc>
              <w:tc>
                <w:tcPr>
                  <w:tcW w:w="3525" w:type="dxa"/>
                  <w:tcBorders>
                    <w:tl2br w:val="nil"/>
                    <w:tr2bl w:val="nil"/>
                  </w:tcBorders>
                  <w:vAlign w:val="center"/>
                </w:tcPr>
                <w:p w14:paraId="52CFB691">
                  <w:pPr>
                    <w:keepNext w:val="0"/>
                    <w:keepLines w:val="0"/>
                    <w:pageBreakBefore w:val="0"/>
                    <w:widowControl w:val="0"/>
                    <w:kinsoku/>
                    <w:wordWrap/>
                    <w:overflowPunct/>
                    <w:topLinePunct w:val="0"/>
                    <w:autoSpaceDE/>
                    <w:autoSpaceDN/>
                    <w:bidi w:val="0"/>
                    <w:adjustRightInd/>
                    <w:snapToGrid/>
                    <w:spacing w:line="240" w:lineRule="exact"/>
                    <w:ind w:firstLine="320" w:firstLineChars="200"/>
                    <w:jc w:val="left"/>
                    <w:textAlignment w:val="auto"/>
                    <w:rPr>
                      <w:rFonts w:hint="eastAsia" w:ascii="Times New Roman" w:hAnsi="Times New Roman" w:eastAsia="宋体" w:cs="Times New Roman"/>
                      <w:color w:val="auto"/>
                      <w:spacing w:val="-10"/>
                      <w:kern w:val="2"/>
                      <w:sz w:val="18"/>
                      <w:szCs w:val="18"/>
                      <w:lang w:val="en-US" w:eastAsia="zh-CN" w:bidi="ar-SA"/>
                    </w:rPr>
                  </w:pPr>
                  <w:r>
                    <w:rPr>
                      <w:rFonts w:hint="eastAsia" w:ascii="Times New Roman" w:hAnsi="Times New Roman" w:eastAsia="宋体" w:cs="Times New Roman"/>
                      <w:color w:val="auto"/>
                      <w:spacing w:val="-10"/>
                      <w:sz w:val="18"/>
                      <w:szCs w:val="18"/>
                      <w:lang w:val="en-US" w:eastAsia="zh-CN"/>
                    </w:rPr>
                    <w:t>本</w:t>
                  </w:r>
                  <w:r>
                    <w:rPr>
                      <w:rFonts w:hint="default" w:ascii="Times New Roman" w:hAnsi="Times New Roman" w:eastAsia="宋体" w:cs="Times New Roman"/>
                      <w:color w:val="auto"/>
                      <w:spacing w:val="-10"/>
                      <w:sz w:val="18"/>
                      <w:szCs w:val="18"/>
                      <w:lang w:val="en-US" w:eastAsia="zh-CN"/>
                    </w:rPr>
                    <w:t>项目位于</w:t>
                  </w:r>
                  <w:r>
                    <w:rPr>
                      <w:rFonts w:hint="eastAsia" w:ascii="Times New Roman" w:hAnsi="Times New Roman" w:eastAsia="宋体" w:cs="Times New Roman"/>
                      <w:color w:val="auto"/>
                      <w:spacing w:val="-10"/>
                      <w:sz w:val="18"/>
                      <w:szCs w:val="18"/>
                      <w:lang w:val="en-US" w:eastAsia="zh-CN"/>
                    </w:rPr>
                    <w:t>河北省唐山市滦州市九百户镇宜安村西</w:t>
                  </w:r>
                  <w:r>
                    <w:rPr>
                      <w:rFonts w:hint="default" w:ascii="Times New Roman" w:hAnsi="Times New Roman" w:eastAsia="宋体" w:cs="Times New Roman"/>
                      <w:color w:val="auto"/>
                      <w:spacing w:val="-10"/>
                      <w:sz w:val="18"/>
                      <w:szCs w:val="18"/>
                      <w:lang w:val="en-US" w:eastAsia="zh-CN"/>
                    </w:rPr>
                    <w:t>，</w:t>
                  </w:r>
                  <w:r>
                    <w:rPr>
                      <w:rFonts w:hint="eastAsia" w:ascii="Times New Roman" w:hAnsi="Times New Roman" w:eastAsia="宋体" w:cs="Times New Roman"/>
                      <w:color w:val="auto"/>
                      <w:spacing w:val="-10"/>
                      <w:sz w:val="18"/>
                      <w:szCs w:val="18"/>
                      <w:lang w:val="en-US" w:eastAsia="zh-CN"/>
                    </w:rPr>
                    <w:t>属于</w:t>
                  </w:r>
                  <w:r>
                    <w:rPr>
                      <w:rFonts w:hint="eastAsia" w:cs="Times New Roman"/>
                      <w:color w:val="auto"/>
                      <w:spacing w:val="-10"/>
                      <w:sz w:val="18"/>
                      <w:szCs w:val="18"/>
                      <w:highlight w:val="none"/>
                      <w:lang w:val="en-US" w:eastAsia="zh-CN"/>
                    </w:rPr>
                    <w:t>一般</w:t>
                  </w:r>
                  <w:r>
                    <w:rPr>
                      <w:rFonts w:hint="eastAsia" w:ascii="Times New Roman" w:hAnsi="Times New Roman" w:eastAsia="宋体" w:cs="Times New Roman"/>
                      <w:color w:val="auto"/>
                      <w:spacing w:val="-10"/>
                      <w:sz w:val="18"/>
                      <w:szCs w:val="18"/>
                      <w:highlight w:val="none"/>
                      <w:lang w:val="en-US" w:eastAsia="zh-CN"/>
                    </w:rPr>
                    <w:t>管</w:t>
                  </w:r>
                  <w:r>
                    <w:rPr>
                      <w:rFonts w:ascii="Times New Roman" w:hAnsi="Times New Roman" w:eastAsia="宋体" w:cs="Times New Roman"/>
                      <w:color w:val="auto"/>
                      <w:spacing w:val="-10"/>
                      <w:sz w:val="18"/>
                      <w:szCs w:val="18"/>
                      <w:highlight w:val="none"/>
                    </w:rPr>
                    <w:t>控</w:t>
                  </w:r>
                  <w:r>
                    <w:rPr>
                      <w:rFonts w:hint="eastAsia" w:ascii="Times New Roman" w:hAnsi="Times New Roman" w:eastAsia="宋体" w:cs="Times New Roman"/>
                      <w:color w:val="auto"/>
                      <w:spacing w:val="-10"/>
                      <w:sz w:val="18"/>
                      <w:szCs w:val="18"/>
                      <w:lang w:val="en-US" w:eastAsia="zh-CN"/>
                    </w:rPr>
                    <w:t>单元，本</w:t>
                  </w:r>
                  <w:r>
                    <w:rPr>
                      <w:rFonts w:hint="default" w:ascii="Times New Roman" w:hAnsi="Times New Roman" w:eastAsia="宋体" w:cs="Times New Roman"/>
                      <w:color w:val="auto"/>
                      <w:spacing w:val="-10"/>
                      <w:sz w:val="18"/>
                      <w:szCs w:val="18"/>
                      <w:lang w:val="en-US" w:eastAsia="zh-CN"/>
                    </w:rPr>
                    <w:t>项目符合单元项目准入要求</w:t>
                  </w:r>
                  <w:r>
                    <w:rPr>
                      <w:rFonts w:hint="eastAsia" w:ascii="Times New Roman" w:hAnsi="Times New Roman" w:eastAsia="宋体" w:cs="Times New Roman"/>
                      <w:color w:val="auto"/>
                      <w:spacing w:val="-10"/>
                      <w:sz w:val="18"/>
                      <w:szCs w:val="18"/>
                      <w:lang w:val="en-US" w:eastAsia="zh-CN"/>
                    </w:rPr>
                    <w:t>。</w:t>
                  </w:r>
                </w:p>
              </w:tc>
              <w:tc>
                <w:tcPr>
                  <w:tcW w:w="750" w:type="dxa"/>
                  <w:tcBorders>
                    <w:tl2br w:val="nil"/>
                    <w:tr2bl w:val="nil"/>
                  </w:tcBorders>
                  <w:vAlign w:val="center"/>
                </w:tcPr>
                <w:p w14:paraId="265ACC18">
                  <w:pPr>
                    <w:spacing w:line="240" w:lineRule="exact"/>
                    <w:jc w:val="center"/>
                    <w:rPr>
                      <w:rFonts w:hint="default" w:ascii="Times New Roman" w:hAnsi="Times New Roman" w:eastAsia="宋体" w:cs="Times New Roman"/>
                      <w:color w:val="auto"/>
                      <w:spacing w:val="-10"/>
                      <w:sz w:val="18"/>
                      <w:szCs w:val="18"/>
                      <w:highlight w:val="none"/>
                      <w:lang w:val="en-US" w:eastAsia="zh-CN"/>
                    </w:rPr>
                  </w:pPr>
                  <w:r>
                    <w:rPr>
                      <w:rFonts w:hint="default" w:ascii="Times New Roman" w:hAnsi="Times New Roman" w:eastAsia="宋体" w:cs="Times New Roman"/>
                      <w:color w:val="auto"/>
                      <w:spacing w:val="-10"/>
                      <w:sz w:val="18"/>
                      <w:szCs w:val="18"/>
                      <w:highlight w:val="none"/>
                      <w:lang w:val="en-US" w:eastAsia="zh-CN"/>
                    </w:rPr>
                    <w:t>符合</w:t>
                  </w:r>
                </w:p>
              </w:tc>
            </w:tr>
          </w:tbl>
          <w:p w14:paraId="71A87B66">
            <w:pPr>
              <w:rPr>
                <w:color w:val="auto"/>
              </w:rPr>
            </w:pPr>
          </w:p>
          <w:p w14:paraId="21C63278">
            <w:pPr>
              <w:rPr>
                <w:color w:val="auto"/>
              </w:rPr>
            </w:pPr>
          </w:p>
          <w:p w14:paraId="378DB5A2">
            <w:pPr>
              <w:rPr>
                <w:color w:val="auto"/>
              </w:rPr>
            </w:pPr>
          </w:p>
          <w:p w14:paraId="4C93481B">
            <w:pPr>
              <w:rPr>
                <w:color w:val="auto"/>
              </w:rPr>
            </w:pPr>
          </w:p>
          <w:p w14:paraId="33171FBF">
            <w:pPr>
              <w:rPr>
                <w:color w:val="auto"/>
              </w:rPr>
            </w:pPr>
          </w:p>
          <w:p w14:paraId="527A8ED8">
            <w:pPr>
              <w:pStyle w:val="35"/>
              <w:rPr>
                <w:color w:val="auto"/>
              </w:rPr>
            </w:pPr>
          </w:p>
          <w:p w14:paraId="61BA3FE8">
            <w:pPr>
              <w:pStyle w:val="35"/>
              <w:rPr>
                <w:color w:val="auto"/>
              </w:rPr>
            </w:pPr>
          </w:p>
          <w:p w14:paraId="1FE07C1F">
            <w:pPr>
              <w:pStyle w:val="24"/>
              <w:adjustRightInd w:val="0"/>
              <w:snapToGrid w:val="0"/>
              <w:spacing w:before="0" w:beforeAutospacing="0" w:after="0" w:afterAutospacing="0" w:line="440" w:lineRule="exact"/>
              <w:jc w:val="center"/>
              <w:rPr>
                <w:rFonts w:ascii="Times New Roman" w:hAnsi="Times New Roman"/>
                <w:b/>
                <w:color w:val="auto"/>
                <w:sz w:val="21"/>
                <w:szCs w:val="21"/>
                <w:highlight w:val="none"/>
              </w:rPr>
            </w:pPr>
            <w:r>
              <w:rPr>
                <w:rFonts w:hint="eastAsia" w:ascii="Times New Roman" w:hAnsi="Times New Roman"/>
                <w:b/>
                <w:color w:val="auto"/>
                <w:sz w:val="21"/>
                <w:szCs w:val="21"/>
                <w:highlight w:val="none"/>
                <w:lang w:val="en-US" w:eastAsia="zh-CN"/>
              </w:rPr>
              <w:t>续表2</w:t>
            </w:r>
            <w:r>
              <w:rPr>
                <w:rFonts w:hint="default" w:ascii="Times New Roman" w:hAnsi="Times New Roman"/>
                <w:b/>
                <w:color w:val="auto"/>
                <w:sz w:val="21"/>
                <w:szCs w:val="21"/>
                <w:highlight w:val="none"/>
                <w:lang w:val="en-US" w:eastAsia="zh-CN"/>
              </w:rPr>
              <w:t xml:space="preserve"> </w:t>
            </w:r>
            <w:r>
              <w:rPr>
                <w:rFonts w:hint="eastAsia" w:ascii="Times New Roman" w:hAnsi="Times New Roman"/>
                <w:b/>
                <w:color w:val="auto"/>
                <w:sz w:val="21"/>
                <w:szCs w:val="21"/>
                <w:highlight w:val="none"/>
                <w:lang w:val="en-US" w:eastAsia="zh-CN"/>
              </w:rPr>
              <w:t>项目与唐山市生态环境准入清单符合性分析</w:t>
            </w:r>
          </w:p>
          <w:tbl>
            <w:tblPr>
              <w:tblStyle w:val="29"/>
              <w:tblW w:w="11975" w:type="dxa"/>
              <w:tblInd w:w="5"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87"/>
              <w:gridCol w:w="688"/>
              <w:gridCol w:w="732"/>
              <w:gridCol w:w="5593"/>
              <w:gridCol w:w="3525"/>
              <w:gridCol w:w="750"/>
            </w:tblGrid>
            <w:tr w14:paraId="51F29C5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2107" w:type="dxa"/>
                  <w:gridSpan w:val="3"/>
                  <w:tcBorders>
                    <w:tl2br w:val="nil"/>
                    <w:tr2bl w:val="nil"/>
                  </w:tcBorders>
                  <w:vAlign w:val="center"/>
                </w:tcPr>
                <w:p w14:paraId="0628DE12">
                  <w:pPr>
                    <w:spacing w:line="240" w:lineRule="exact"/>
                    <w:jc w:val="center"/>
                    <w:rPr>
                      <w:rFonts w:hint="default" w:ascii="Times New Roman" w:hAnsi="Times New Roman" w:cs="Times New Roman"/>
                      <w:color w:val="auto"/>
                      <w:spacing w:val="-10"/>
                      <w:sz w:val="18"/>
                      <w:szCs w:val="18"/>
                      <w:highlight w:val="none"/>
                      <w:lang w:val="en-US" w:eastAsia="zh-CN"/>
                    </w:rPr>
                  </w:pPr>
                  <w:r>
                    <w:rPr>
                      <w:rFonts w:hint="default" w:ascii="Times New Roman" w:hAnsi="Times New Roman" w:cs="Times New Roman"/>
                      <w:color w:val="auto"/>
                      <w:spacing w:val="-10"/>
                      <w:sz w:val="18"/>
                      <w:szCs w:val="18"/>
                      <w:highlight w:val="none"/>
                      <w:lang w:val="en-US" w:eastAsia="zh-CN"/>
                    </w:rPr>
                    <w:t>管控单元</w:t>
                  </w:r>
                </w:p>
              </w:tc>
              <w:tc>
                <w:tcPr>
                  <w:tcW w:w="5593" w:type="dxa"/>
                  <w:tcBorders>
                    <w:tl2br w:val="nil"/>
                    <w:tr2bl w:val="nil"/>
                  </w:tcBorders>
                  <w:vAlign w:val="center"/>
                </w:tcPr>
                <w:p w14:paraId="35E76425">
                  <w:pPr>
                    <w:spacing w:line="240" w:lineRule="exact"/>
                    <w:jc w:val="center"/>
                    <w:rPr>
                      <w:rFonts w:hint="default" w:ascii="Times New Roman" w:hAnsi="Times New Roman" w:cs="Times New Roman"/>
                      <w:color w:val="auto"/>
                      <w:spacing w:val="-10"/>
                      <w:sz w:val="18"/>
                      <w:szCs w:val="18"/>
                      <w:highlight w:val="none"/>
                      <w:lang w:val="en-US" w:eastAsia="zh-CN"/>
                    </w:rPr>
                  </w:pPr>
                  <w:r>
                    <w:rPr>
                      <w:rFonts w:hint="default" w:ascii="Times New Roman" w:hAnsi="Times New Roman" w:cs="Times New Roman"/>
                      <w:color w:val="auto"/>
                      <w:spacing w:val="-10"/>
                      <w:sz w:val="18"/>
                      <w:szCs w:val="18"/>
                      <w:highlight w:val="none"/>
                      <w:lang w:val="en-US" w:eastAsia="zh-CN"/>
                    </w:rPr>
                    <w:t>要求</w:t>
                  </w:r>
                </w:p>
              </w:tc>
              <w:tc>
                <w:tcPr>
                  <w:tcW w:w="3525" w:type="dxa"/>
                  <w:tcBorders>
                    <w:tl2br w:val="nil"/>
                    <w:tr2bl w:val="nil"/>
                  </w:tcBorders>
                  <w:vAlign w:val="center"/>
                </w:tcPr>
                <w:p w14:paraId="4EABD684">
                  <w:pPr>
                    <w:spacing w:line="240" w:lineRule="exact"/>
                    <w:jc w:val="center"/>
                    <w:rPr>
                      <w:rFonts w:hint="default" w:ascii="Times New Roman" w:hAnsi="Times New Roman" w:cs="Times New Roman"/>
                      <w:color w:val="auto"/>
                      <w:spacing w:val="-10"/>
                      <w:sz w:val="18"/>
                      <w:szCs w:val="18"/>
                      <w:highlight w:val="none"/>
                      <w:lang w:val="en-US" w:eastAsia="zh-CN"/>
                    </w:rPr>
                  </w:pPr>
                  <w:r>
                    <w:rPr>
                      <w:rFonts w:hint="default" w:ascii="Times New Roman" w:hAnsi="Times New Roman" w:cs="Times New Roman"/>
                      <w:color w:val="auto"/>
                      <w:spacing w:val="-10"/>
                      <w:sz w:val="18"/>
                      <w:szCs w:val="18"/>
                      <w:highlight w:val="none"/>
                      <w:lang w:val="en-US" w:eastAsia="zh-CN"/>
                    </w:rPr>
                    <w:t>项目情况</w:t>
                  </w:r>
                </w:p>
              </w:tc>
              <w:tc>
                <w:tcPr>
                  <w:tcW w:w="750" w:type="dxa"/>
                  <w:tcBorders>
                    <w:tl2br w:val="nil"/>
                    <w:tr2bl w:val="nil"/>
                  </w:tcBorders>
                  <w:vAlign w:val="center"/>
                </w:tcPr>
                <w:p w14:paraId="1E70F232">
                  <w:pPr>
                    <w:spacing w:line="240" w:lineRule="exact"/>
                    <w:jc w:val="center"/>
                    <w:rPr>
                      <w:rFonts w:hint="default" w:ascii="Times New Roman" w:hAnsi="Times New Roman" w:cs="Times New Roman"/>
                      <w:color w:val="auto"/>
                      <w:spacing w:val="-10"/>
                      <w:sz w:val="18"/>
                      <w:szCs w:val="18"/>
                      <w:highlight w:val="none"/>
                      <w:lang w:val="en-US" w:eastAsia="zh-CN"/>
                    </w:rPr>
                  </w:pPr>
                  <w:r>
                    <w:rPr>
                      <w:rFonts w:hint="default" w:ascii="Times New Roman" w:hAnsi="Times New Roman" w:cs="Times New Roman"/>
                      <w:color w:val="auto"/>
                      <w:spacing w:val="-10"/>
                      <w:sz w:val="18"/>
                      <w:szCs w:val="18"/>
                      <w:highlight w:val="none"/>
                      <w:lang w:val="en-US" w:eastAsia="zh-CN"/>
                    </w:rPr>
                    <w:t>符合性</w:t>
                  </w:r>
                </w:p>
              </w:tc>
            </w:tr>
            <w:tr w14:paraId="14E1D9F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170" w:hRule="atLeast"/>
              </w:trPr>
              <w:tc>
                <w:tcPr>
                  <w:tcW w:w="687" w:type="dxa"/>
                  <w:tcBorders>
                    <w:tl2br w:val="nil"/>
                    <w:tr2bl w:val="nil"/>
                  </w:tcBorders>
                  <w:vAlign w:val="center"/>
                </w:tcPr>
                <w:p w14:paraId="5089B3D0">
                  <w:pPr>
                    <w:spacing w:line="240" w:lineRule="exact"/>
                    <w:jc w:val="center"/>
                    <w:rPr>
                      <w:rFonts w:hint="default" w:ascii="Times New Roman" w:hAnsi="Times New Roman" w:cs="Times New Roman"/>
                      <w:color w:val="auto"/>
                      <w:spacing w:val="-10"/>
                      <w:sz w:val="18"/>
                      <w:szCs w:val="18"/>
                      <w:highlight w:val="none"/>
                      <w:lang w:val="en-US" w:eastAsia="zh-CN"/>
                    </w:rPr>
                  </w:pPr>
                  <w:r>
                    <w:rPr>
                      <w:rFonts w:hint="default" w:ascii="Times New Roman" w:hAnsi="Times New Roman" w:cs="Times New Roman"/>
                      <w:color w:val="auto"/>
                      <w:spacing w:val="-10"/>
                      <w:sz w:val="18"/>
                      <w:szCs w:val="18"/>
                      <w:highlight w:val="none"/>
                      <w:lang w:val="en-US" w:eastAsia="zh-CN"/>
                    </w:rPr>
                    <w:t>生态保护红线区</w:t>
                  </w:r>
                </w:p>
              </w:tc>
              <w:tc>
                <w:tcPr>
                  <w:tcW w:w="688" w:type="dxa"/>
                  <w:tcBorders>
                    <w:tl2br w:val="nil"/>
                    <w:tr2bl w:val="nil"/>
                  </w:tcBorders>
                  <w:vAlign w:val="center"/>
                </w:tcPr>
                <w:p w14:paraId="698B5485">
                  <w:pPr>
                    <w:spacing w:line="240" w:lineRule="exact"/>
                    <w:jc w:val="center"/>
                    <w:rPr>
                      <w:rFonts w:hint="default" w:ascii="Times New Roman" w:hAnsi="Times New Roman" w:cs="Times New Roman"/>
                      <w:color w:val="auto"/>
                      <w:spacing w:val="-10"/>
                      <w:sz w:val="18"/>
                      <w:szCs w:val="18"/>
                      <w:highlight w:val="none"/>
                    </w:rPr>
                  </w:pPr>
                  <w:r>
                    <w:rPr>
                      <w:rFonts w:hint="default" w:ascii="Times New Roman" w:hAnsi="Times New Roman" w:cs="Times New Roman"/>
                      <w:color w:val="auto"/>
                      <w:spacing w:val="-10"/>
                      <w:sz w:val="18"/>
                      <w:szCs w:val="18"/>
                      <w:highlight w:val="none"/>
                      <w:lang w:val="en-US" w:eastAsia="zh-CN"/>
                    </w:rPr>
                    <w:t>空间布局约束</w:t>
                  </w:r>
                </w:p>
                <w:p w14:paraId="3A8A95DE">
                  <w:pPr>
                    <w:spacing w:line="240" w:lineRule="exact"/>
                    <w:jc w:val="center"/>
                    <w:rPr>
                      <w:rFonts w:hint="default" w:ascii="Times New Roman" w:hAnsi="Times New Roman" w:cs="Times New Roman"/>
                      <w:color w:val="auto"/>
                      <w:spacing w:val="-10"/>
                      <w:sz w:val="18"/>
                      <w:szCs w:val="18"/>
                      <w:highlight w:val="none"/>
                      <w:lang w:val="en-US" w:eastAsia="zh-CN"/>
                    </w:rPr>
                  </w:pPr>
                </w:p>
              </w:tc>
              <w:tc>
                <w:tcPr>
                  <w:tcW w:w="732" w:type="dxa"/>
                  <w:tcBorders>
                    <w:tl2br w:val="nil"/>
                    <w:tr2bl w:val="nil"/>
                  </w:tcBorders>
                  <w:vAlign w:val="center"/>
                </w:tcPr>
                <w:p w14:paraId="0AB968EC">
                  <w:pPr>
                    <w:spacing w:line="240" w:lineRule="exact"/>
                    <w:jc w:val="center"/>
                    <w:rPr>
                      <w:rFonts w:hint="default" w:ascii="Times New Roman" w:hAnsi="Times New Roman" w:cs="Times New Roman"/>
                      <w:color w:val="auto"/>
                      <w:spacing w:val="-10"/>
                      <w:sz w:val="18"/>
                      <w:szCs w:val="18"/>
                      <w:highlight w:val="none"/>
                      <w:lang w:val="en-US" w:eastAsia="zh-CN"/>
                    </w:rPr>
                  </w:pPr>
                  <w:r>
                    <w:rPr>
                      <w:rFonts w:hint="default" w:ascii="Times New Roman" w:hAnsi="Times New Roman" w:cs="Times New Roman"/>
                      <w:color w:val="auto"/>
                      <w:spacing w:val="-10"/>
                      <w:sz w:val="18"/>
                      <w:szCs w:val="18"/>
                      <w:highlight w:val="none"/>
                      <w:lang w:val="en-US" w:eastAsia="zh-CN"/>
                    </w:rPr>
                    <w:t>禁止类管控要求</w:t>
                  </w:r>
                </w:p>
              </w:tc>
              <w:tc>
                <w:tcPr>
                  <w:tcW w:w="5593" w:type="dxa"/>
                  <w:tcBorders>
                    <w:tl2br w:val="nil"/>
                    <w:tr2bl w:val="nil"/>
                  </w:tcBorders>
                  <w:vAlign w:val="center"/>
                </w:tcPr>
                <w:p w14:paraId="6A2A94C6">
                  <w:pPr>
                    <w:keepNext w:val="0"/>
                    <w:keepLines w:val="0"/>
                    <w:pageBreakBefore w:val="0"/>
                    <w:widowControl w:val="0"/>
                    <w:kinsoku/>
                    <w:wordWrap/>
                    <w:overflowPunct/>
                    <w:topLinePunct w:val="0"/>
                    <w:autoSpaceDE/>
                    <w:autoSpaceDN/>
                    <w:bidi w:val="0"/>
                    <w:adjustRightInd/>
                    <w:snapToGrid/>
                    <w:spacing w:line="240" w:lineRule="exact"/>
                    <w:ind w:firstLine="320" w:firstLineChars="200"/>
                    <w:jc w:val="left"/>
                    <w:textAlignment w:val="auto"/>
                    <w:rPr>
                      <w:rFonts w:hint="default" w:ascii="Times New Roman" w:hAnsi="Times New Roman" w:cs="Times New Roman"/>
                      <w:color w:val="auto"/>
                      <w:spacing w:val="-10"/>
                      <w:sz w:val="18"/>
                      <w:szCs w:val="18"/>
                      <w:highlight w:val="none"/>
                      <w:lang w:val="en-US" w:eastAsia="zh-CN"/>
                    </w:rPr>
                  </w:pPr>
                  <w:r>
                    <w:rPr>
                      <w:rFonts w:hint="eastAsia" w:ascii="Times New Roman" w:hAnsi="Times New Roman" w:eastAsia="宋体" w:cs="Times New Roman"/>
                      <w:color w:val="auto"/>
                      <w:spacing w:val="-10"/>
                      <w:sz w:val="18"/>
                      <w:szCs w:val="18"/>
                      <w:lang w:val="en-US" w:eastAsia="zh-CN"/>
                    </w:rPr>
                    <w:t>生态保护红线原则上按禁止开发区域的要求进行管理。严禁不符合主体功能定位的各类开发活动，严禁任意改变用途。生态保护红线一经划定，未经批准，严禁擅自调整。根据资源环境承载能力监测、生态保护重要性评价和国土空间规划实施“五年一评估”情况，可由省级人民政府编制生态保护红线局部调整方案，纳入国土空间规划修改方案报国务院批准，并抄送生态环境部。</w:t>
                  </w:r>
                </w:p>
              </w:tc>
              <w:tc>
                <w:tcPr>
                  <w:tcW w:w="3525" w:type="dxa"/>
                  <w:tcBorders>
                    <w:tl2br w:val="nil"/>
                    <w:tr2bl w:val="nil"/>
                  </w:tcBorders>
                  <w:vAlign w:val="center"/>
                </w:tcPr>
                <w:p w14:paraId="6C83BDF3">
                  <w:pPr>
                    <w:keepNext w:val="0"/>
                    <w:keepLines w:val="0"/>
                    <w:pageBreakBefore w:val="0"/>
                    <w:widowControl w:val="0"/>
                    <w:kinsoku/>
                    <w:wordWrap/>
                    <w:overflowPunct/>
                    <w:topLinePunct w:val="0"/>
                    <w:autoSpaceDE/>
                    <w:autoSpaceDN/>
                    <w:bidi w:val="0"/>
                    <w:adjustRightInd/>
                    <w:snapToGrid/>
                    <w:spacing w:line="240" w:lineRule="exact"/>
                    <w:ind w:firstLine="320" w:firstLineChars="200"/>
                    <w:jc w:val="left"/>
                    <w:textAlignment w:val="auto"/>
                    <w:rPr>
                      <w:rFonts w:hint="default" w:ascii="Times New Roman" w:hAnsi="Times New Roman" w:eastAsia="宋体" w:cs="Times New Roman"/>
                      <w:color w:val="auto"/>
                      <w:spacing w:val="-10"/>
                      <w:sz w:val="18"/>
                      <w:szCs w:val="18"/>
                      <w:lang w:val="en-US" w:eastAsia="zh-CN"/>
                    </w:rPr>
                  </w:pPr>
                  <w:r>
                    <w:rPr>
                      <w:rFonts w:hint="default" w:ascii="Times New Roman" w:hAnsi="Times New Roman" w:eastAsia="宋体" w:cs="Times New Roman"/>
                      <w:color w:val="auto"/>
                      <w:spacing w:val="-10"/>
                      <w:sz w:val="18"/>
                      <w:szCs w:val="18"/>
                    </w:rPr>
                    <w:t>本项目位于</w:t>
                  </w:r>
                  <w:r>
                    <w:rPr>
                      <w:rFonts w:hint="eastAsia" w:ascii="Times New Roman" w:hAnsi="Times New Roman" w:eastAsia="宋体" w:cs="Times New Roman"/>
                      <w:color w:val="auto"/>
                      <w:spacing w:val="-10"/>
                      <w:sz w:val="18"/>
                      <w:szCs w:val="18"/>
                      <w:lang w:val="en-US" w:eastAsia="zh-CN"/>
                    </w:rPr>
                    <w:t>河北省唐山市滦州市九百户镇宜安村西</w:t>
                  </w:r>
                  <w:r>
                    <w:rPr>
                      <w:rFonts w:hint="default" w:ascii="Times New Roman" w:hAnsi="Times New Roman" w:eastAsia="宋体" w:cs="Times New Roman"/>
                      <w:color w:val="auto"/>
                      <w:spacing w:val="-10"/>
                      <w:sz w:val="18"/>
                      <w:szCs w:val="18"/>
                    </w:rPr>
                    <w:t>，</w:t>
                  </w:r>
                  <w:r>
                    <w:rPr>
                      <w:rFonts w:hint="eastAsia" w:ascii="Times New Roman" w:hAnsi="Times New Roman" w:eastAsia="宋体" w:cs="Times New Roman"/>
                      <w:color w:val="auto"/>
                      <w:spacing w:val="-10"/>
                      <w:sz w:val="18"/>
                      <w:szCs w:val="18"/>
                      <w:lang w:val="en-US" w:eastAsia="zh-CN"/>
                    </w:rPr>
                    <w:t>项目厂区</w:t>
                  </w:r>
                  <w:r>
                    <w:rPr>
                      <w:rFonts w:hint="eastAsia" w:ascii="Times New Roman" w:hAnsi="Times New Roman" w:eastAsia="宋体" w:cs="Times New Roman"/>
                      <w:color w:val="auto"/>
                      <w:spacing w:val="-10"/>
                      <w:sz w:val="18"/>
                      <w:szCs w:val="18"/>
                    </w:rPr>
                    <w:t>距离生态保护红</w:t>
                  </w:r>
                  <w:r>
                    <w:rPr>
                      <w:rFonts w:hint="eastAsia" w:ascii="Times New Roman" w:hAnsi="Times New Roman" w:eastAsia="宋体" w:cs="Times New Roman"/>
                      <w:color w:val="auto"/>
                      <w:spacing w:val="-10"/>
                      <w:sz w:val="18"/>
                      <w:szCs w:val="18"/>
                      <w:highlight w:val="none"/>
                    </w:rPr>
                    <w:t>线</w:t>
                  </w:r>
                  <w:r>
                    <w:rPr>
                      <w:rFonts w:hint="eastAsia" w:cs="Times New Roman"/>
                      <w:color w:val="auto"/>
                      <w:spacing w:val="-10"/>
                      <w:sz w:val="18"/>
                      <w:szCs w:val="18"/>
                      <w:highlight w:val="none"/>
                      <w:lang w:val="en-US" w:eastAsia="zh-CN"/>
                    </w:rPr>
                    <w:t>1890</w:t>
                  </w:r>
                  <w:r>
                    <w:rPr>
                      <w:rFonts w:hint="eastAsia" w:ascii="Times New Roman" w:hAnsi="Times New Roman" w:eastAsia="宋体" w:cs="Times New Roman"/>
                      <w:color w:val="auto"/>
                      <w:spacing w:val="-10"/>
                      <w:sz w:val="18"/>
                      <w:szCs w:val="18"/>
                      <w:highlight w:val="none"/>
                    </w:rPr>
                    <w:t>m，</w:t>
                  </w:r>
                  <w:r>
                    <w:rPr>
                      <w:rFonts w:hint="eastAsia" w:ascii="Times New Roman" w:hAnsi="Times New Roman" w:eastAsia="宋体" w:cs="Times New Roman"/>
                      <w:color w:val="auto"/>
                      <w:spacing w:val="-10"/>
                      <w:sz w:val="18"/>
                      <w:szCs w:val="18"/>
                      <w:highlight w:val="none"/>
                      <w:lang w:val="en-US" w:eastAsia="zh-CN"/>
                    </w:rPr>
                    <w:t>项目</w:t>
                  </w:r>
                  <w:r>
                    <w:rPr>
                      <w:rFonts w:hint="eastAsia" w:ascii="Times New Roman" w:hAnsi="Times New Roman" w:eastAsia="宋体" w:cs="Times New Roman"/>
                      <w:color w:val="auto"/>
                      <w:spacing w:val="-10"/>
                      <w:sz w:val="18"/>
                      <w:szCs w:val="18"/>
                      <w:highlight w:val="none"/>
                    </w:rPr>
                    <w:t>不在滦州市生态保护红线区内。项目符合生态保护红线要求。</w:t>
                  </w:r>
                </w:p>
              </w:tc>
              <w:tc>
                <w:tcPr>
                  <w:tcW w:w="750" w:type="dxa"/>
                  <w:tcBorders>
                    <w:tl2br w:val="nil"/>
                    <w:tr2bl w:val="nil"/>
                  </w:tcBorders>
                  <w:vAlign w:val="center"/>
                </w:tcPr>
                <w:p w14:paraId="77BC2FFB">
                  <w:pPr>
                    <w:spacing w:line="240" w:lineRule="exact"/>
                    <w:jc w:val="center"/>
                    <w:rPr>
                      <w:rFonts w:hint="default" w:ascii="Times New Roman" w:hAnsi="Times New Roman" w:cs="Times New Roman"/>
                      <w:color w:val="auto"/>
                      <w:spacing w:val="-10"/>
                      <w:sz w:val="18"/>
                      <w:szCs w:val="18"/>
                      <w:highlight w:val="none"/>
                      <w:lang w:val="en-US" w:eastAsia="zh-CN"/>
                    </w:rPr>
                  </w:pPr>
                  <w:r>
                    <w:rPr>
                      <w:rFonts w:hint="default" w:ascii="Times New Roman" w:hAnsi="Times New Roman" w:cs="Times New Roman"/>
                      <w:color w:val="auto"/>
                      <w:spacing w:val="-10"/>
                      <w:sz w:val="18"/>
                      <w:szCs w:val="18"/>
                      <w:highlight w:val="none"/>
                      <w:lang w:val="en-US" w:eastAsia="zh-CN"/>
                    </w:rPr>
                    <w:t>符合</w:t>
                  </w:r>
                </w:p>
              </w:tc>
            </w:tr>
            <w:tr w14:paraId="2115253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87" w:type="dxa"/>
                  <w:tcBorders>
                    <w:tl2br w:val="nil"/>
                    <w:tr2bl w:val="nil"/>
                  </w:tcBorders>
                  <w:vAlign w:val="center"/>
                </w:tcPr>
                <w:p w14:paraId="20CA15FA">
                  <w:pPr>
                    <w:spacing w:line="240" w:lineRule="exact"/>
                    <w:jc w:val="center"/>
                    <w:rPr>
                      <w:rFonts w:hint="default" w:ascii="Times New Roman" w:hAnsi="Times New Roman" w:eastAsia="宋体" w:cs="Times New Roman"/>
                      <w:color w:val="auto"/>
                      <w:spacing w:val="-10"/>
                      <w:kern w:val="2"/>
                      <w:sz w:val="18"/>
                      <w:szCs w:val="18"/>
                      <w:highlight w:val="none"/>
                      <w:lang w:val="en-US" w:eastAsia="zh-CN" w:bidi="ar-SA"/>
                    </w:rPr>
                  </w:pPr>
                  <w:r>
                    <w:rPr>
                      <w:rFonts w:hint="eastAsia" w:ascii="Times New Roman" w:hAnsi="Times New Roman" w:cs="Times New Roman"/>
                      <w:color w:val="auto"/>
                      <w:spacing w:val="-10"/>
                      <w:sz w:val="18"/>
                      <w:szCs w:val="18"/>
                      <w:highlight w:val="none"/>
                      <w:lang w:val="en-US" w:eastAsia="zh-CN"/>
                    </w:rPr>
                    <w:t>一般生态空间</w:t>
                  </w:r>
                </w:p>
              </w:tc>
              <w:tc>
                <w:tcPr>
                  <w:tcW w:w="688" w:type="dxa"/>
                  <w:tcBorders>
                    <w:tl2br w:val="nil"/>
                    <w:tr2bl w:val="nil"/>
                  </w:tcBorders>
                  <w:vAlign w:val="center"/>
                </w:tcPr>
                <w:p w14:paraId="13649E1D">
                  <w:pPr>
                    <w:spacing w:line="240" w:lineRule="exact"/>
                    <w:jc w:val="center"/>
                    <w:rPr>
                      <w:rFonts w:hint="default" w:ascii="Times New Roman" w:hAnsi="Times New Roman" w:eastAsia="宋体" w:cs="Times New Roman"/>
                      <w:color w:val="auto"/>
                      <w:spacing w:val="-10"/>
                      <w:kern w:val="2"/>
                      <w:sz w:val="18"/>
                      <w:szCs w:val="18"/>
                      <w:highlight w:val="none"/>
                      <w:lang w:val="en-US" w:eastAsia="zh-CN" w:bidi="ar-SA"/>
                    </w:rPr>
                  </w:pPr>
                  <w:r>
                    <w:rPr>
                      <w:rFonts w:hint="eastAsia" w:ascii="Times New Roman" w:hAnsi="Times New Roman" w:cs="Times New Roman"/>
                      <w:color w:val="auto"/>
                      <w:spacing w:val="-10"/>
                      <w:sz w:val="18"/>
                      <w:szCs w:val="18"/>
                      <w:highlight w:val="none"/>
                      <w:lang w:val="en-US" w:eastAsia="zh-CN"/>
                    </w:rPr>
                    <w:t>总体</w:t>
                  </w:r>
                  <w:r>
                    <w:rPr>
                      <w:rFonts w:hint="default" w:ascii="Times New Roman" w:hAnsi="Times New Roman" w:cs="Times New Roman"/>
                      <w:color w:val="auto"/>
                      <w:spacing w:val="-10"/>
                      <w:sz w:val="18"/>
                      <w:szCs w:val="18"/>
                      <w:highlight w:val="none"/>
                      <w:lang w:val="en-US" w:eastAsia="zh-CN"/>
                    </w:rPr>
                    <w:t>要求</w:t>
                  </w:r>
                </w:p>
              </w:tc>
              <w:tc>
                <w:tcPr>
                  <w:tcW w:w="732" w:type="dxa"/>
                  <w:tcBorders>
                    <w:tl2br w:val="nil"/>
                    <w:tr2bl w:val="nil"/>
                  </w:tcBorders>
                  <w:vAlign w:val="center"/>
                </w:tcPr>
                <w:p w14:paraId="30B58005">
                  <w:pPr>
                    <w:spacing w:line="240" w:lineRule="exact"/>
                    <w:jc w:val="center"/>
                    <w:rPr>
                      <w:rFonts w:hint="default" w:ascii="Times New Roman" w:hAnsi="Times New Roman" w:eastAsia="宋体" w:cs="Times New Roman"/>
                      <w:color w:val="auto"/>
                      <w:spacing w:val="-10"/>
                      <w:kern w:val="2"/>
                      <w:sz w:val="18"/>
                      <w:szCs w:val="18"/>
                      <w:highlight w:val="none"/>
                      <w:lang w:val="en-US" w:eastAsia="zh-CN" w:bidi="ar-SA"/>
                    </w:rPr>
                  </w:pPr>
                  <w:r>
                    <w:rPr>
                      <w:rFonts w:hint="eastAsia" w:ascii="Times New Roman" w:hAnsi="Times New Roman" w:cs="Times New Roman"/>
                      <w:color w:val="auto"/>
                      <w:spacing w:val="-10"/>
                      <w:sz w:val="18"/>
                      <w:szCs w:val="18"/>
                      <w:highlight w:val="none"/>
                      <w:lang w:val="en-US" w:eastAsia="zh-CN"/>
                    </w:rPr>
                    <w:t>空间布局约束</w:t>
                  </w:r>
                </w:p>
              </w:tc>
              <w:tc>
                <w:tcPr>
                  <w:tcW w:w="5593" w:type="dxa"/>
                  <w:tcBorders>
                    <w:tl2br w:val="nil"/>
                    <w:tr2bl w:val="nil"/>
                  </w:tcBorders>
                  <w:vAlign w:val="center"/>
                </w:tcPr>
                <w:p w14:paraId="693628F1">
                  <w:pPr>
                    <w:keepNext w:val="0"/>
                    <w:keepLines w:val="0"/>
                    <w:pageBreakBefore w:val="0"/>
                    <w:widowControl w:val="0"/>
                    <w:numPr>
                      <w:ilvl w:val="0"/>
                      <w:numId w:val="0"/>
                    </w:numPr>
                    <w:kinsoku/>
                    <w:wordWrap/>
                    <w:overflowPunct/>
                    <w:topLinePunct w:val="0"/>
                    <w:autoSpaceDE/>
                    <w:autoSpaceDN/>
                    <w:bidi w:val="0"/>
                    <w:adjustRightInd/>
                    <w:snapToGrid/>
                    <w:spacing w:line="240" w:lineRule="exact"/>
                    <w:ind w:firstLine="320" w:firstLineChars="200"/>
                    <w:jc w:val="left"/>
                    <w:textAlignment w:val="auto"/>
                    <w:rPr>
                      <w:rFonts w:hint="default" w:ascii="Times New Roman" w:hAnsi="Times New Roman" w:eastAsia="宋体" w:cs="Times New Roman"/>
                      <w:color w:val="auto"/>
                      <w:spacing w:val="-10"/>
                      <w:sz w:val="18"/>
                      <w:szCs w:val="18"/>
                      <w:highlight w:val="none"/>
                      <w:lang w:val="en-US" w:eastAsia="zh-CN"/>
                    </w:rPr>
                  </w:pPr>
                  <w:r>
                    <w:rPr>
                      <w:rFonts w:hint="default" w:ascii="Times New Roman" w:hAnsi="Times New Roman" w:eastAsia="宋体" w:cs="Times New Roman"/>
                      <w:color w:val="auto"/>
                      <w:spacing w:val="-10"/>
                      <w:sz w:val="18"/>
                      <w:szCs w:val="18"/>
                      <w:highlight w:val="none"/>
                      <w:lang w:val="en-US" w:eastAsia="zh-CN"/>
                    </w:rPr>
                    <w:t>1</w:t>
                  </w:r>
                  <w:r>
                    <w:rPr>
                      <w:rFonts w:hint="eastAsia" w:ascii="Times New Roman" w:hAnsi="Times New Roman" w:eastAsia="宋体" w:cs="Times New Roman"/>
                      <w:color w:val="auto"/>
                      <w:spacing w:val="-10"/>
                      <w:sz w:val="18"/>
                      <w:szCs w:val="18"/>
                      <w:highlight w:val="none"/>
                      <w:lang w:val="en-US" w:eastAsia="zh-CN"/>
                    </w:rPr>
                    <w:t>、根据生态功能保护区的资源禀赋、环境容量，合理确定区域产业发展方向，限制高污染、 高能耗、高物耗产业的发展。要依法淘汰严重污染环境、严重破坏区域生态、严重浪费资源能源的产业，要依法关闭破坏资源、污染环境和损害生态系统功能的企业</w:t>
                  </w:r>
                  <w:r>
                    <w:rPr>
                      <w:rFonts w:hint="eastAsia" w:cs="Times New Roman"/>
                      <w:color w:val="auto"/>
                      <w:spacing w:val="-10"/>
                      <w:sz w:val="18"/>
                      <w:szCs w:val="18"/>
                      <w:highlight w:val="none"/>
                      <w:lang w:val="en-US" w:eastAsia="zh-CN"/>
                    </w:rPr>
                    <w:t>。</w:t>
                  </w:r>
                </w:p>
                <w:p w14:paraId="0143F61C">
                  <w:pPr>
                    <w:keepNext w:val="0"/>
                    <w:keepLines w:val="0"/>
                    <w:pageBreakBefore w:val="0"/>
                    <w:widowControl w:val="0"/>
                    <w:numPr>
                      <w:ilvl w:val="0"/>
                      <w:numId w:val="0"/>
                    </w:numPr>
                    <w:kinsoku/>
                    <w:wordWrap/>
                    <w:overflowPunct/>
                    <w:topLinePunct w:val="0"/>
                    <w:autoSpaceDE/>
                    <w:autoSpaceDN/>
                    <w:bidi w:val="0"/>
                    <w:adjustRightInd/>
                    <w:snapToGrid/>
                    <w:spacing w:line="240" w:lineRule="exact"/>
                    <w:ind w:firstLine="320" w:firstLineChars="200"/>
                    <w:jc w:val="left"/>
                    <w:textAlignment w:val="auto"/>
                    <w:rPr>
                      <w:rFonts w:hint="default" w:ascii="Times New Roman" w:hAnsi="Times New Roman" w:eastAsia="宋体" w:cs="Times New Roman"/>
                      <w:color w:val="auto"/>
                      <w:spacing w:val="-10"/>
                      <w:sz w:val="18"/>
                      <w:szCs w:val="18"/>
                      <w:highlight w:val="none"/>
                      <w:lang w:val="en-US" w:eastAsia="zh-CN"/>
                    </w:rPr>
                  </w:pPr>
                  <w:r>
                    <w:rPr>
                      <w:rFonts w:hint="default" w:ascii="Times New Roman" w:hAnsi="Times New Roman" w:eastAsia="宋体" w:cs="Times New Roman"/>
                      <w:color w:val="auto"/>
                      <w:spacing w:val="-10"/>
                      <w:sz w:val="18"/>
                      <w:szCs w:val="18"/>
                      <w:highlight w:val="none"/>
                      <w:lang w:val="en-US" w:eastAsia="zh-CN"/>
                    </w:rPr>
                    <w:t>2</w:t>
                  </w:r>
                  <w:r>
                    <w:rPr>
                      <w:rFonts w:hint="eastAsia" w:ascii="Times New Roman" w:hAnsi="Times New Roman" w:eastAsia="宋体" w:cs="Times New Roman"/>
                      <w:color w:val="auto"/>
                      <w:spacing w:val="-10"/>
                      <w:sz w:val="18"/>
                      <w:szCs w:val="18"/>
                      <w:highlight w:val="none"/>
                      <w:lang w:val="en-US" w:eastAsia="zh-CN"/>
                    </w:rPr>
                    <w:t>、应当按照限制性开发区域管理，限制进行大规模高强度工业化城镇化开发，以保持并提高生态产品供给能力。形成点状开发、面上保护的空间结构。开发强度得到有效控制，保有大片开敞生态空间，水面、湿地、林地、草地等绿色生态空间扩大，人类活动水平的空间控制在目前水平。</w:t>
                  </w:r>
                </w:p>
                <w:p w14:paraId="328F7471">
                  <w:pPr>
                    <w:keepNext w:val="0"/>
                    <w:keepLines w:val="0"/>
                    <w:pageBreakBefore w:val="0"/>
                    <w:widowControl w:val="0"/>
                    <w:numPr>
                      <w:ilvl w:val="0"/>
                      <w:numId w:val="0"/>
                    </w:numPr>
                    <w:kinsoku/>
                    <w:wordWrap/>
                    <w:overflowPunct/>
                    <w:topLinePunct w:val="0"/>
                    <w:autoSpaceDE/>
                    <w:autoSpaceDN/>
                    <w:bidi w:val="0"/>
                    <w:adjustRightInd/>
                    <w:snapToGrid/>
                    <w:spacing w:line="240" w:lineRule="exact"/>
                    <w:ind w:firstLine="320" w:firstLineChars="200"/>
                    <w:jc w:val="left"/>
                    <w:textAlignment w:val="auto"/>
                    <w:rPr>
                      <w:rFonts w:hint="eastAsia" w:ascii="Times New Roman" w:hAnsi="Times New Roman" w:eastAsia="宋体" w:cs="Times New Roman"/>
                      <w:color w:val="auto"/>
                      <w:spacing w:val="-10"/>
                      <w:sz w:val="18"/>
                      <w:szCs w:val="18"/>
                      <w:highlight w:val="none"/>
                      <w:lang w:val="en-US" w:eastAsia="zh-CN"/>
                    </w:rPr>
                  </w:pPr>
                  <w:r>
                    <w:rPr>
                      <w:rFonts w:hint="default" w:ascii="Times New Roman" w:hAnsi="Times New Roman" w:eastAsia="宋体" w:cs="Times New Roman"/>
                      <w:color w:val="auto"/>
                      <w:spacing w:val="-10"/>
                      <w:sz w:val="18"/>
                      <w:szCs w:val="18"/>
                      <w:highlight w:val="none"/>
                      <w:lang w:val="en-US" w:eastAsia="zh-CN"/>
                    </w:rPr>
                    <w:t>3</w:t>
                  </w:r>
                  <w:r>
                    <w:rPr>
                      <w:rFonts w:hint="eastAsia" w:ascii="Times New Roman" w:hAnsi="Times New Roman" w:eastAsia="宋体" w:cs="Times New Roman"/>
                      <w:color w:val="auto"/>
                      <w:spacing w:val="-10"/>
                      <w:sz w:val="18"/>
                      <w:szCs w:val="18"/>
                      <w:highlight w:val="none"/>
                      <w:lang w:val="en-US" w:eastAsia="zh-CN"/>
                    </w:rPr>
                    <w:t>、区域内要严格开发区管理，原则上不再新建各类开发区和扩大现有工业开发区的面积，已有的工业开发区要逐步改造成低消耗、可循环、少排放、“零污染”的生态型工业区。</w:t>
                  </w:r>
                </w:p>
                <w:p w14:paraId="611823F0">
                  <w:pPr>
                    <w:keepNext w:val="0"/>
                    <w:keepLines w:val="0"/>
                    <w:pageBreakBefore w:val="0"/>
                    <w:widowControl w:val="0"/>
                    <w:numPr>
                      <w:ilvl w:val="0"/>
                      <w:numId w:val="0"/>
                    </w:numPr>
                    <w:kinsoku/>
                    <w:wordWrap/>
                    <w:overflowPunct/>
                    <w:topLinePunct w:val="0"/>
                    <w:autoSpaceDE/>
                    <w:autoSpaceDN/>
                    <w:bidi w:val="0"/>
                    <w:adjustRightInd/>
                    <w:snapToGrid/>
                    <w:spacing w:line="240" w:lineRule="exact"/>
                    <w:ind w:firstLine="320" w:firstLineChars="200"/>
                    <w:jc w:val="left"/>
                    <w:textAlignment w:val="auto"/>
                    <w:rPr>
                      <w:rFonts w:hint="default" w:ascii="Times New Roman" w:hAnsi="Times New Roman" w:eastAsia="宋体" w:cs="Times New Roman"/>
                      <w:color w:val="auto"/>
                      <w:spacing w:val="-10"/>
                      <w:sz w:val="18"/>
                      <w:szCs w:val="18"/>
                      <w:highlight w:val="none"/>
                      <w:lang w:val="en-US" w:eastAsia="zh-CN"/>
                    </w:rPr>
                  </w:pPr>
                  <w:r>
                    <w:rPr>
                      <w:rFonts w:hint="default" w:ascii="Times New Roman" w:hAnsi="Times New Roman" w:eastAsia="宋体" w:cs="Times New Roman"/>
                      <w:color w:val="auto"/>
                      <w:spacing w:val="-10"/>
                      <w:sz w:val="18"/>
                      <w:szCs w:val="18"/>
                      <w:highlight w:val="none"/>
                      <w:lang w:val="en-US" w:eastAsia="zh-CN"/>
                    </w:rPr>
                    <w:t>4</w:t>
                  </w:r>
                  <w:r>
                    <w:rPr>
                      <w:rFonts w:hint="eastAsia" w:ascii="Times New Roman" w:hAnsi="Times New Roman" w:eastAsia="宋体" w:cs="Times New Roman"/>
                      <w:color w:val="auto"/>
                      <w:spacing w:val="-10"/>
                      <w:sz w:val="18"/>
                      <w:szCs w:val="18"/>
                      <w:highlight w:val="none"/>
                      <w:lang w:val="en-US" w:eastAsia="zh-CN"/>
                    </w:rPr>
                    <w:t>、严格控制矿产资源开发。禁止在生态保护红线内、永久基本农田、城镇开发边界内、自然保护区、风景名胜区、饮用水水源保护区、地质遗迹保护区、文物保护单位的保护范围内和铁路高速公路国道两侧各</w:t>
                  </w:r>
                  <w:r>
                    <w:rPr>
                      <w:rFonts w:hint="default" w:ascii="Times New Roman" w:hAnsi="Times New Roman" w:eastAsia="宋体" w:cs="Times New Roman"/>
                      <w:color w:val="auto"/>
                      <w:spacing w:val="-10"/>
                      <w:sz w:val="18"/>
                      <w:szCs w:val="18"/>
                      <w:highlight w:val="none"/>
                      <w:lang w:val="en-US" w:eastAsia="zh-CN"/>
                    </w:rPr>
                    <w:t>1000</w:t>
                  </w:r>
                  <w:r>
                    <w:rPr>
                      <w:rFonts w:hint="eastAsia" w:ascii="Times New Roman" w:hAnsi="Times New Roman" w:eastAsia="宋体" w:cs="Times New Roman"/>
                      <w:color w:val="auto"/>
                      <w:spacing w:val="-10"/>
                      <w:sz w:val="18"/>
                      <w:szCs w:val="18"/>
                      <w:highlight w:val="none"/>
                      <w:lang w:val="en-US" w:eastAsia="zh-CN"/>
                    </w:rPr>
                    <w:t>米范围内新批固体矿产资源开发项目，严格控制新批液体、气体矿产资源开发项目。</w:t>
                  </w:r>
                </w:p>
                <w:p w14:paraId="1B3FF72C">
                  <w:pPr>
                    <w:keepNext w:val="0"/>
                    <w:keepLines w:val="0"/>
                    <w:pageBreakBefore w:val="0"/>
                    <w:widowControl w:val="0"/>
                    <w:numPr>
                      <w:ilvl w:val="0"/>
                      <w:numId w:val="0"/>
                    </w:numPr>
                    <w:kinsoku/>
                    <w:wordWrap/>
                    <w:overflowPunct/>
                    <w:topLinePunct w:val="0"/>
                    <w:autoSpaceDE/>
                    <w:autoSpaceDN/>
                    <w:bidi w:val="0"/>
                    <w:adjustRightInd/>
                    <w:snapToGrid/>
                    <w:spacing w:line="240" w:lineRule="exact"/>
                    <w:ind w:firstLine="320" w:firstLineChars="200"/>
                    <w:jc w:val="left"/>
                    <w:textAlignment w:val="auto"/>
                    <w:rPr>
                      <w:rFonts w:hint="default" w:ascii="Times New Roman" w:hAnsi="Times New Roman" w:eastAsia="宋体" w:cs="Times New Roman"/>
                      <w:color w:val="auto"/>
                      <w:spacing w:val="-10"/>
                      <w:sz w:val="18"/>
                      <w:szCs w:val="18"/>
                      <w:highlight w:val="none"/>
                      <w:lang w:val="en-US" w:eastAsia="zh-CN"/>
                    </w:rPr>
                  </w:pPr>
                  <w:r>
                    <w:rPr>
                      <w:rFonts w:hint="default" w:ascii="Times New Roman" w:hAnsi="Times New Roman" w:eastAsia="宋体" w:cs="Times New Roman"/>
                      <w:color w:val="auto"/>
                      <w:spacing w:val="-10"/>
                      <w:sz w:val="18"/>
                      <w:szCs w:val="18"/>
                      <w:highlight w:val="none"/>
                      <w:lang w:val="en-US" w:eastAsia="zh-CN"/>
                    </w:rPr>
                    <w:t>5</w:t>
                  </w:r>
                  <w:r>
                    <w:rPr>
                      <w:rFonts w:hint="eastAsia" w:ascii="Times New Roman" w:hAnsi="Times New Roman" w:eastAsia="宋体" w:cs="Times New Roman"/>
                      <w:color w:val="auto"/>
                      <w:spacing w:val="-10"/>
                      <w:sz w:val="18"/>
                      <w:szCs w:val="18"/>
                      <w:highlight w:val="none"/>
                      <w:lang w:val="en-US" w:eastAsia="zh-CN"/>
                    </w:rPr>
                    <w:t>、新建非煤矿山，应当按照绿色矿山建设规范建设。已有非煤矿山，应当按照绿色矿山建设规范升级改造，逐步达到绿色矿山建设标准。</w:t>
                  </w:r>
                </w:p>
                <w:p w14:paraId="213C75F6">
                  <w:pPr>
                    <w:keepNext w:val="0"/>
                    <w:keepLines w:val="0"/>
                    <w:pageBreakBefore w:val="0"/>
                    <w:widowControl w:val="0"/>
                    <w:numPr>
                      <w:ilvl w:val="0"/>
                      <w:numId w:val="0"/>
                    </w:numPr>
                    <w:kinsoku/>
                    <w:wordWrap/>
                    <w:overflowPunct/>
                    <w:topLinePunct w:val="0"/>
                    <w:autoSpaceDE/>
                    <w:autoSpaceDN/>
                    <w:bidi w:val="0"/>
                    <w:adjustRightInd/>
                    <w:snapToGrid/>
                    <w:spacing w:line="240" w:lineRule="exact"/>
                    <w:ind w:firstLine="320" w:firstLineChars="200"/>
                    <w:jc w:val="left"/>
                    <w:textAlignment w:val="auto"/>
                    <w:rPr>
                      <w:rFonts w:hint="default" w:ascii="Times New Roman" w:hAnsi="Times New Roman" w:eastAsia="宋体" w:cs="Times New Roman"/>
                      <w:color w:val="auto"/>
                      <w:spacing w:val="-10"/>
                      <w:sz w:val="18"/>
                      <w:szCs w:val="18"/>
                      <w:highlight w:val="none"/>
                      <w:lang w:val="en-US" w:eastAsia="zh-CN"/>
                    </w:rPr>
                  </w:pPr>
                  <w:r>
                    <w:rPr>
                      <w:rFonts w:hint="default" w:ascii="Times New Roman" w:hAnsi="Times New Roman" w:eastAsia="宋体" w:cs="Times New Roman"/>
                      <w:color w:val="auto"/>
                      <w:spacing w:val="-10"/>
                      <w:sz w:val="18"/>
                      <w:szCs w:val="18"/>
                      <w:highlight w:val="none"/>
                      <w:lang w:val="en-US" w:eastAsia="zh-CN"/>
                    </w:rPr>
                    <w:t>6</w:t>
                  </w:r>
                  <w:r>
                    <w:rPr>
                      <w:rFonts w:hint="eastAsia" w:ascii="Times New Roman" w:hAnsi="Times New Roman" w:eastAsia="宋体" w:cs="Times New Roman"/>
                      <w:color w:val="auto"/>
                      <w:spacing w:val="-10"/>
                      <w:sz w:val="18"/>
                      <w:szCs w:val="18"/>
                      <w:highlight w:val="none"/>
                      <w:lang w:val="en-US" w:eastAsia="zh-CN"/>
                    </w:rPr>
                    <w:t xml:space="preserve">、严格控制新增建设占用生态保护红线外的生态空间。符合区域准入条件的建设项目，涉及占用生态空间中的林地、草原等，按有关法律法规规定办理；涉及占用生态空间中其他未作明确规定的用地，应当加强论证和管理。 </w:t>
                  </w:r>
                </w:p>
                <w:p w14:paraId="2F1D0889">
                  <w:pPr>
                    <w:keepNext w:val="0"/>
                    <w:keepLines w:val="0"/>
                    <w:pageBreakBefore w:val="0"/>
                    <w:widowControl w:val="0"/>
                    <w:numPr>
                      <w:ilvl w:val="0"/>
                      <w:numId w:val="0"/>
                    </w:numPr>
                    <w:kinsoku/>
                    <w:wordWrap/>
                    <w:overflowPunct/>
                    <w:topLinePunct w:val="0"/>
                    <w:autoSpaceDE/>
                    <w:autoSpaceDN/>
                    <w:bidi w:val="0"/>
                    <w:adjustRightInd/>
                    <w:snapToGrid/>
                    <w:spacing w:line="240" w:lineRule="exact"/>
                    <w:ind w:firstLine="320" w:firstLineChars="200"/>
                    <w:jc w:val="left"/>
                    <w:textAlignment w:val="auto"/>
                    <w:rPr>
                      <w:rFonts w:hint="default" w:ascii="Times New Roman" w:hAnsi="Times New Roman" w:eastAsia="宋体" w:cs="Times New Roman"/>
                      <w:color w:val="auto"/>
                      <w:spacing w:val="-10"/>
                      <w:sz w:val="18"/>
                      <w:szCs w:val="18"/>
                      <w:highlight w:val="none"/>
                      <w:lang w:val="en-US" w:eastAsia="zh-CN"/>
                    </w:rPr>
                  </w:pPr>
                  <w:r>
                    <w:rPr>
                      <w:rFonts w:hint="default" w:ascii="Times New Roman" w:hAnsi="Times New Roman" w:eastAsia="宋体" w:cs="Times New Roman"/>
                      <w:color w:val="auto"/>
                      <w:spacing w:val="-10"/>
                      <w:sz w:val="18"/>
                      <w:szCs w:val="18"/>
                      <w:highlight w:val="none"/>
                      <w:lang w:val="en-US" w:eastAsia="zh-CN"/>
                    </w:rPr>
                    <w:t>7</w:t>
                  </w:r>
                  <w:r>
                    <w:rPr>
                      <w:rFonts w:hint="eastAsia" w:ascii="Times New Roman" w:hAnsi="Times New Roman" w:eastAsia="宋体" w:cs="Times New Roman"/>
                      <w:color w:val="auto"/>
                      <w:spacing w:val="-10"/>
                      <w:sz w:val="18"/>
                      <w:szCs w:val="18"/>
                      <w:highlight w:val="none"/>
                      <w:lang w:val="en-US" w:eastAsia="zh-CN"/>
                    </w:rPr>
                    <w:t>、严格限制农业开发占用生态保护红线外的生态空间，符合条件的农业开发项目，须依法由市县级及以上地方人民政府统筹安排。生态保护红线外的耕地，除符合国家生态退耕条件，并纳入国家生态退耕总体安排，或因国家重大生态工程建设需要外，不得随意转用。</w:t>
                  </w:r>
                </w:p>
              </w:tc>
              <w:tc>
                <w:tcPr>
                  <w:tcW w:w="3525" w:type="dxa"/>
                  <w:tcBorders>
                    <w:tl2br w:val="nil"/>
                    <w:tr2bl w:val="nil"/>
                  </w:tcBorders>
                  <w:vAlign w:val="center"/>
                </w:tcPr>
                <w:p w14:paraId="6EE06156">
                  <w:pPr>
                    <w:keepNext w:val="0"/>
                    <w:keepLines w:val="0"/>
                    <w:pageBreakBefore w:val="0"/>
                    <w:widowControl w:val="0"/>
                    <w:kinsoku/>
                    <w:wordWrap/>
                    <w:overflowPunct/>
                    <w:topLinePunct w:val="0"/>
                    <w:autoSpaceDE/>
                    <w:autoSpaceDN/>
                    <w:bidi w:val="0"/>
                    <w:adjustRightInd/>
                    <w:snapToGrid/>
                    <w:spacing w:line="240" w:lineRule="exact"/>
                    <w:ind w:firstLine="320" w:firstLineChars="200"/>
                    <w:jc w:val="left"/>
                    <w:textAlignment w:val="auto"/>
                    <w:rPr>
                      <w:rFonts w:hint="eastAsia" w:ascii="Times New Roman" w:hAnsi="Times New Roman" w:eastAsia="宋体" w:cs="Times New Roman"/>
                      <w:color w:val="auto"/>
                      <w:spacing w:val="-10"/>
                      <w:sz w:val="18"/>
                      <w:szCs w:val="18"/>
                      <w:highlight w:val="none"/>
                      <w:lang w:val="en-US" w:eastAsia="zh-CN"/>
                    </w:rPr>
                  </w:pPr>
                  <w:r>
                    <w:rPr>
                      <w:rFonts w:hint="eastAsia" w:ascii="Times New Roman" w:hAnsi="Times New Roman" w:eastAsia="宋体" w:cs="Times New Roman"/>
                      <w:color w:val="auto"/>
                      <w:spacing w:val="-10"/>
                      <w:sz w:val="18"/>
                      <w:szCs w:val="18"/>
                      <w:lang w:val="en-US" w:eastAsia="zh-CN"/>
                    </w:rPr>
                    <w:t>1.本项目位于河北省唐山市滦州市九百户镇宜安村西，根据</w:t>
                  </w:r>
                  <w:r>
                    <w:rPr>
                      <w:rFonts w:hint="default" w:ascii="Times New Roman" w:hAnsi="Times New Roman" w:eastAsia="宋体" w:cs="Times New Roman"/>
                      <w:color w:val="auto"/>
                      <w:spacing w:val="-10"/>
                      <w:sz w:val="18"/>
                      <w:szCs w:val="18"/>
                      <w:lang w:val="en-US" w:eastAsia="zh-CN"/>
                    </w:rPr>
                    <w:t>滦州市</w:t>
                  </w:r>
                  <w:r>
                    <w:rPr>
                      <w:rFonts w:hint="eastAsia" w:ascii="Times New Roman" w:hAnsi="Times New Roman" w:eastAsia="宋体" w:cs="Times New Roman"/>
                      <w:color w:val="auto"/>
                      <w:spacing w:val="-10"/>
                      <w:sz w:val="18"/>
                      <w:szCs w:val="18"/>
                      <w:lang w:val="en-US" w:eastAsia="zh-CN"/>
                    </w:rPr>
                    <w:t>九百户镇</w:t>
                  </w:r>
                  <w:r>
                    <w:rPr>
                      <w:rFonts w:hint="default" w:ascii="Times New Roman" w:hAnsi="Times New Roman" w:eastAsia="宋体" w:cs="Times New Roman"/>
                      <w:color w:val="auto"/>
                      <w:spacing w:val="-10"/>
                      <w:sz w:val="18"/>
                      <w:szCs w:val="18"/>
                      <w:lang w:val="en-US" w:eastAsia="zh-CN"/>
                    </w:rPr>
                    <w:t>关于</w:t>
                  </w:r>
                  <w:r>
                    <w:rPr>
                      <w:rFonts w:hint="eastAsia" w:ascii="Times New Roman" w:hAnsi="Times New Roman" w:eastAsia="宋体" w:cs="Times New Roman"/>
                      <w:color w:val="auto"/>
                      <w:spacing w:val="-10"/>
                      <w:sz w:val="18"/>
                      <w:szCs w:val="18"/>
                      <w:lang w:val="en-US" w:eastAsia="zh-CN"/>
                    </w:rPr>
                    <w:t>滦州市祯璟再生资源有限公司固体废弃物综合利用项目</w:t>
                  </w:r>
                  <w:r>
                    <w:rPr>
                      <w:rFonts w:hint="default" w:ascii="Times New Roman" w:hAnsi="Times New Roman" w:eastAsia="宋体" w:cs="Times New Roman"/>
                      <w:color w:val="auto"/>
                      <w:spacing w:val="-10"/>
                      <w:sz w:val="18"/>
                      <w:szCs w:val="18"/>
                      <w:lang w:val="en-US" w:eastAsia="zh-CN"/>
                    </w:rPr>
                    <w:t>用地情况说明</w:t>
                  </w:r>
                  <w:r>
                    <w:rPr>
                      <w:rFonts w:hint="eastAsia" w:ascii="Times New Roman" w:hAnsi="Times New Roman" w:eastAsia="宋体" w:cs="Times New Roman"/>
                      <w:color w:val="auto"/>
                      <w:spacing w:val="-10"/>
                      <w:sz w:val="18"/>
                      <w:szCs w:val="18"/>
                      <w:lang w:val="en-US" w:eastAsia="zh-CN"/>
                    </w:rPr>
                    <w:t>可知，项目用地性质为建设用地，九百户镇同意项目建设。</w:t>
                  </w:r>
                  <w:r>
                    <w:rPr>
                      <w:rFonts w:hint="default" w:ascii="Times New Roman" w:hAnsi="Times New Roman" w:eastAsia="宋体" w:cs="Times New Roman"/>
                      <w:color w:val="auto"/>
                      <w:spacing w:val="-10"/>
                      <w:sz w:val="18"/>
                      <w:szCs w:val="18"/>
                      <w:lang w:val="en-US" w:eastAsia="zh-CN"/>
                    </w:rPr>
                    <w:t>根据《河北省发展和改革委员会关于加强新建“两高”项目管理的通知》（冀发改环资[2022]691号）</w:t>
                  </w:r>
                  <w:r>
                    <w:rPr>
                      <w:rFonts w:hint="eastAsia" w:ascii="Times New Roman" w:hAnsi="Times New Roman" w:eastAsia="宋体" w:cs="Times New Roman"/>
                      <w:color w:val="auto"/>
                      <w:spacing w:val="-10"/>
                      <w:sz w:val="18"/>
                      <w:szCs w:val="18"/>
                      <w:lang w:val="en-US" w:eastAsia="zh-CN"/>
                    </w:rPr>
                    <w:t>，</w:t>
                  </w:r>
                  <w:r>
                    <w:rPr>
                      <w:rFonts w:hint="default" w:ascii="Times New Roman" w:hAnsi="Times New Roman" w:eastAsia="宋体" w:cs="Times New Roman"/>
                      <w:color w:val="auto"/>
                      <w:spacing w:val="-10"/>
                      <w:sz w:val="18"/>
                      <w:szCs w:val="18"/>
                      <w:lang w:val="en-US" w:eastAsia="zh-CN"/>
                    </w:rPr>
                    <w:t>本项目不属于“两高”项目</w:t>
                  </w:r>
                  <w:r>
                    <w:rPr>
                      <w:rFonts w:hint="eastAsia" w:ascii="Times New Roman" w:hAnsi="Times New Roman" w:eastAsia="宋体" w:cs="Times New Roman"/>
                      <w:color w:val="auto"/>
                      <w:spacing w:val="-10"/>
                      <w:sz w:val="18"/>
                      <w:szCs w:val="18"/>
                      <w:lang w:val="en-US" w:eastAsia="zh-CN"/>
                    </w:rPr>
                    <w:t>，不属于高污染、高能耗、高物耗产业，不属于严重污染环境、严重破坏区域生态、严重浪费资源能源的产业。</w:t>
                  </w:r>
                  <w:r>
                    <w:rPr>
                      <w:rFonts w:hint="eastAsia" w:cs="Times New Roman"/>
                      <w:color w:val="auto"/>
                      <w:spacing w:val="-10"/>
                      <w:sz w:val="18"/>
                      <w:szCs w:val="18"/>
                      <w:lang w:val="en-US" w:eastAsia="zh-CN"/>
                    </w:rPr>
                    <w:t>另外项目</w:t>
                  </w:r>
                  <w:r>
                    <w:rPr>
                      <w:rFonts w:hint="eastAsia" w:ascii="Times New Roman" w:hAnsi="Times New Roman" w:eastAsia="宋体" w:cs="Times New Roman"/>
                      <w:color w:val="auto"/>
                      <w:spacing w:val="-10"/>
                      <w:sz w:val="18"/>
                      <w:szCs w:val="18"/>
                      <w:highlight w:val="none"/>
                      <w:lang w:val="en-US" w:eastAsia="zh-CN"/>
                    </w:rPr>
                    <w:t>已在滦州市发展和改革局备案，备案文号为：滦发改备字[2025]98号。</w:t>
                  </w:r>
                </w:p>
                <w:p w14:paraId="27E0B769">
                  <w:pPr>
                    <w:keepNext w:val="0"/>
                    <w:keepLines w:val="0"/>
                    <w:pageBreakBefore w:val="0"/>
                    <w:widowControl w:val="0"/>
                    <w:kinsoku/>
                    <w:wordWrap/>
                    <w:overflowPunct/>
                    <w:topLinePunct w:val="0"/>
                    <w:autoSpaceDE/>
                    <w:autoSpaceDN/>
                    <w:bidi w:val="0"/>
                    <w:adjustRightInd/>
                    <w:snapToGrid/>
                    <w:spacing w:line="240" w:lineRule="exact"/>
                    <w:ind w:firstLine="320" w:firstLineChars="200"/>
                    <w:jc w:val="left"/>
                    <w:textAlignment w:val="auto"/>
                    <w:rPr>
                      <w:rFonts w:hint="eastAsia" w:ascii="Times New Roman" w:hAnsi="Times New Roman" w:eastAsia="宋体" w:cs="Times New Roman"/>
                      <w:color w:val="auto"/>
                      <w:spacing w:val="-10"/>
                      <w:sz w:val="18"/>
                      <w:szCs w:val="18"/>
                      <w:highlight w:val="none"/>
                      <w:lang w:val="en-US" w:eastAsia="zh-CN"/>
                    </w:rPr>
                  </w:pPr>
                  <w:r>
                    <w:rPr>
                      <w:rFonts w:hint="eastAsia" w:ascii="Times New Roman" w:hAnsi="Times New Roman" w:eastAsia="宋体" w:cs="Times New Roman"/>
                      <w:color w:val="auto"/>
                      <w:spacing w:val="-10"/>
                      <w:sz w:val="18"/>
                      <w:szCs w:val="18"/>
                      <w:highlight w:val="none"/>
                      <w:lang w:val="en-US" w:eastAsia="zh-CN"/>
                    </w:rPr>
                    <w:t>2.本项目</w:t>
                  </w:r>
                  <w:r>
                    <w:rPr>
                      <w:rFonts w:hint="eastAsia" w:cs="Times New Roman"/>
                      <w:color w:val="auto"/>
                      <w:spacing w:val="-10"/>
                      <w:sz w:val="18"/>
                      <w:szCs w:val="18"/>
                      <w:highlight w:val="none"/>
                      <w:lang w:val="en-US" w:eastAsia="zh-CN"/>
                    </w:rPr>
                    <w:t>不涉及</w:t>
                  </w:r>
                  <w:r>
                    <w:rPr>
                      <w:rFonts w:hint="eastAsia" w:ascii="Times New Roman" w:hAnsi="Times New Roman" w:eastAsia="宋体" w:cs="Times New Roman"/>
                      <w:color w:val="auto"/>
                      <w:spacing w:val="-10"/>
                      <w:sz w:val="18"/>
                      <w:szCs w:val="18"/>
                      <w:highlight w:val="none"/>
                      <w:lang w:val="en-US" w:eastAsia="zh-CN"/>
                    </w:rPr>
                    <w:t>大规模高强度工业化城镇化开发。</w:t>
                  </w:r>
                </w:p>
                <w:p w14:paraId="51D86AC7">
                  <w:pPr>
                    <w:keepNext w:val="0"/>
                    <w:keepLines w:val="0"/>
                    <w:pageBreakBefore w:val="0"/>
                    <w:widowControl w:val="0"/>
                    <w:kinsoku/>
                    <w:wordWrap/>
                    <w:overflowPunct/>
                    <w:topLinePunct w:val="0"/>
                    <w:autoSpaceDE/>
                    <w:autoSpaceDN/>
                    <w:bidi w:val="0"/>
                    <w:adjustRightInd/>
                    <w:snapToGrid/>
                    <w:spacing w:line="240" w:lineRule="exact"/>
                    <w:ind w:firstLine="320" w:firstLineChars="200"/>
                    <w:jc w:val="left"/>
                    <w:textAlignment w:val="auto"/>
                    <w:rPr>
                      <w:rFonts w:hint="eastAsia" w:ascii="Times New Roman" w:hAnsi="Times New Roman" w:eastAsia="宋体" w:cs="Times New Roman"/>
                      <w:color w:val="auto"/>
                      <w:spacing w:val="-10"/>
                      <w:sz w:val="18"/>
                      <w:szCs w:val="18"/>
                      <w:highlight w:val="none"/>
                      <w:lang w:val="en-US" w:eastAsia="zh-CN"/>
                    </w:rPr>
                  </w:pPr>
                  <w:r>
                    <w:rPr>
                      <w:rFonts w:hint="eastAsia" w:cs="Times New Roman"/>
                      <w:color w:val="auto"/>
                      <w:spacing w:val="-10"/>
                      <w:sz w:val="18"/>
                      <w:szCs w:val="18"/>
                      <w:highlight w:val="none"/>
                      <w:lang w:val="en-US" w:eastAsia="zh-CN"/>
                    </w:rPr>
                    <w:t>3</w:t>
                  </w:r>
                  <w:r>
                    <w:rPr>
                      <w:rFonts w:hint="eastAsia" w:ascii="Times New Roman" w:hAnsi="Times New Roman" w:eastAsia="宋体" w:cs="Times New Roman"/>
                      <w:color w:val="auto"/>
                      <w:spacing w:val="-10"/>
                      <w:sz w:val="18"/>
                      <w:szCs w:val="18"/>
                      <w:highlight w:val="none"/>
                      <w:lang w:val="en-US" w:eastAsia="zh-CN"/>
                    </w:rPr>
                    <w:t>.本项目</w:t>
                  </w:r>
                  <w:r>
                    <w:rPr>
                      <w:rFonts w:hint="eastAsia" w:cs="Times New Roman"/>
                      <w:color w:val="auto"/>
                      <w:spacing w:val="-10"/>
                      <w:sz w:val="18"/>
                      <w:szCs w:val="18"/>
                      <w:highlight w:val="none"/>
                      <w:lang w:val="en-US" w:eastAsia="zh-CN"/>
                    </w:rPr>
                    <w:t>不涉及</w:t>
                  </w:r>
                  <w:r>
                    <w:rPr>
                      <w:rFonts w:hint="eastAsia" w:ascii="Times New Roman" w:hAnsi="Times New Roman" w:eastAsia="宋体" w:cs="Times New Roman"/>
                      <w:color w:val="auto"/>
                      <w:spacing w:val="-10"/>
                      <w:sz w:val="18"/>
                      <w:szCs w:val="18"/>
                      <w:highlight w:val="none"/>
                      <w:lang w:val="en-US" w:eastAsia="zh-CN"/>
                    </w:rPr>
                    <w:t>。</w:t>
                  </w:r>
                </w:p>
                <w:p w14:paraId="4D24FECD">
                  <w:pPr>
                    <w:keepNext w:val="0"/>
                    <w:keepLines w:val="0"/>
                    <w:pageBreakBefore w:val="0"/>
                    <w:widowControl w:val="0"/>
                    <w:kinsoku/>
                    <w:wordWrap/>
                    <w:overflowPunct/>
                    <w:topLinePunct w:val="0"/>
                    <w:autoSpaceDE/>
                    <w:autoSpaceDN/>
                    <w:bidi w:val="0"/>
                    <w:adjustRightInd/>
                    <w:snapToGrid/>
                    <w:spacing w:line="240" w:lineRule="exact"/>
                    <w:ind w:firstLine="320" w:firstLineChars="200"/>
                    <w:jc w:val="left"/>
                    <w:textAlignment w:val="auto"/>
                    <w:rPr>
                      <w:rFonts w:hint="eastAsia" w:ascii="Times New Roman" w:hAnsi="Times New Roman" w:eastAsia="宋体" w:cs="Times New Roman"/>
                      <w:color w:val="auto"/>
                      <w:spacing w:val="-10"/>
                      <w:sz w:val="18"/>
                      <w:szCs w:val="18"/>
                      <w:highlight w:val="none"/>
                      <w:lang w:val="en-US" w:eastAsia="zh-CN"/>
                    </w:rPr>
                  </w:pPr>
                  <w:r>
                    <w:rPr>
                      <w:rFonts w:hint="eastAsia" w:cs="Times New Roman"/>
                      <w:color w:val="auto"/>
                      <w:spacing w:val="-10"/>
                      <w:sz w:val="18"/>
                      <w:szCs w:val="18"/>
                      <w:highlight w:val="none"/>
                      <w:lang w:val="en-US" w:eastAsia="zh-CN"/>
                    </w:rPr>
                    <w:t>4</w:t>
                  </w:r>
                  <w:r>
                    <w:rPr>
                      <w:rFonts w:hint="eastAsia" w:ascii="Times New Roman" w:hAnsi="Times New Roman" w:eastAsia="宋体" w:cs="Times New Roman"/>
                      <w:color w:val="auto"/>
                      <w:spacing w:val="-10"/>
                      <w:sz w:val="18"/>
                      <w:szCs w:val="18"/>
                      <w:highlight w:val="none"/>
                      <w:lang w:val="en-US" w:eastAsia="zh-CN"/>
                    </w:rPr>
                    <w:t>.本项目</w:t>
                  </w:r>
                  <w:r>
                    <w:rPr>
                      <w:rFonts w:hint="eastAsia" w:cs="Times New Roman"/>
                      <w:color w:val="auto"/>
                      <w:spacing w:val="-10"/>
                      <w:sz w:val="18"/>
                      <w:szCs w:val="18"/>
                      <w:highlight w:val="none"/>
                      <w:lang w:val="en-US" w:eastAsia="zh-CN"/>
                    </w:rPr>
                    <w:t>不涉及</w:t>
                  </w:r>
                  <w:r>
                    <w:rPr>
                      <w:rFonts w:hint="eastAsia" w:ascii="Times New Roman" w:hAnsi="Times New Roman" w:eastAsia="宋体" w:cs="Times New Roman"/>
                      <w:color w:val="auto"/>
                      <w:spacing w:val="-10"/>
                      <w:sz w:val="18"/>
                      <w:szCs w:val="18"/>
                      <w:highlight w:val="none"/>
                      <w:lang w:val="en-US" w:eastAsia="zh-CN"/>
                    </w:rPr>
                    <w:t>矿产资源开发。</w:t>
                  </w:r>
                </w:p>
                <w:p w14:paraId="5580B128">
                  <w:pPr>
                    <w:keepNext w:val="0"/>
                    <w:keepLines w:val="0"/>
                    <w:pageBreakBefore w:val="0"/>
                    <w:widowControl w:val="0"/>
                    <w:kinsoku/>
                    <w:wordWrap/>
                    <w:overflowPunct/>
                    <w:topLinePunct w:val="0"/>
                    <w:autoSpaceDE/>
                    <w:autoSpaceDN/>
                    <w:bidi w:val="0"/>
                    <w:adjustRightInd/>
                    <w:snapToGrid/>
                    <w:spacing w:line="240" w:lineRule="exact"/>
                    <w:ind w:firstLine="320" w:firstLineChars="200"/>
                    <w:jc w:val="left"/>
                    <w:textAlignment w:val="auto"/>
                    <w:rPr>
                      <w:rFonts w:hint="default" w:ascii="Times New Roman" w:hAnsi="Times New Roman" w:eastAsia="宋体" w:cs="Times New Roman"/>
                      <w:color w:val="auto"/>
                      <w:spacing w:val="-10"/>
                      <w:sz w:val="18"/>
                      <w:szCs w:val="18"/>
                      <w:highlight w:val="none"/>
                      <w:lang w:val="en-US" w:eastAsia="zh-CN"/>
                    </w:rPr>
                  </w:pPr>
                  <w:r>
                    <w:rPr>
                      <w:rFonts w:hint="eastAsia" w:cs="Times New Roman"/>
                      <w:color w:val="auto"/>
                      <w:spacing w:val="-10"/>
                      <w:sz w:val="18"/>
                      <w:szCs w:val="18"/>
                      <w:highlight w:val="none"/>
                      <w:lang w:val="en-US" w:eastAsia="zh-CN"/>
                    </w:rPr>
                    <w:t>5.</w:t>
                  </w:r>
                  <w:r>
                    <w:rPr>
                      <w:rFonts w:hint="eastAsia" w:ascii="Times New Roman" w:hAnsi="Times New Roman" w:eastAsia="宋体" w:cs="Times New Roman"/>
                      <w:color w:val="auto"/>
                      <w:spacing w:val="-10"/>
                      <w:sz w:val="18"/>
                      <w:szCs w:val="18"/>
                      <w:highlight w:val="none"/>
                      <w:lang w:val="en-US" w:eastAsia="zh-CN"/>
                    </w:rPr>
                    <w:t>本项目</w:t>
                  </w:r>
                  <w:r>
                    <w:rPr>
                      <w:rFonts w:hint="eastAsia" w:cs="Times New Roman"/>
                      <w:color w:val="auto"/>
                      <w:spacing w:val="-10"/>
                      <w:sz w:val="18"/>
                      <w:szCs w:val="18"/>
                      <w:highlight w:val="none"/>
                      <w:lang w:val="en-US" w:eastAsia="zh-CN"/>
                    </w:rPr>
                    <w:t>不涉及</w:t>
                  </w:r>
                  <w:r>
                    <w:rPr>
                      <w:rFonts w:hint="eastAsia" w:ascii="Times New Roman" w:hAnsi="Times New Roman" w:eastAsia="宋体" w:cs="Times New Roman"/>
                      <w:color w:val="auto"/>
                      <w:spacing w:val="-10"/>
                      <w:sz w:val="18"/>
                      <w:szCs w:val="18"/>
                      <w:highlight w:val="none"/>
                      <w:lang w:val="en-US" w:eastAsia="zh-CN"/>
                    </w:rPr>
                    <w:t>新建非煤矿山</w:t>
                  </w:r>
                  <w:r>
                    <w:rPr>
                      <w:rFonts w:hint="eastAsia" w:cs="Times New Roman"/>
                      <w:color w:val="auto"/>
                      <w:spacing w:val="-10"/>
                      <w:sz w:val="18"/>
                      <w:szCs w:val="18"/>
                      <w:highlight w:val="none"/>
                      <w:lang w:val="en-US" w:eastAsia="zh-CN"/>
                    </w:rPr>
                    <w:t>。</w:t>
                  </w:r>
                </w:p>
                <w:p w14:paraId="2F5DD2F3">
                  <w:pPr>
                    <w:keepNext w:val="0"/>
                    <w:keepLines w:val="0"/>
                    <w:pageBreakBefore w:val="0"/>
                    <w:widowControl w:val="0"/>
                    <w:kinsoku/>
                    <w:wordWrap/>
                    <w:overflowPunct/>
                    <w:topLinePunct w:val="0"/>
                    <w:autoSpaceDE/>
                    <w:autoSpaceDN/>
                    <w:bidi w:val="0"/>
                    <w:adjustRightInd/>
                    <w:snapToGrid/>
                    <w:spacing w:line="240" w:lineRule="exact"/>
                    <w:ind w:firstLine="320" w:firstLineChars="200"/>
                    <w:jc w:val="left"/>
                    <w:textAlignment w:val="auto"/>
                    <w:rPr>
                      <w:rFonts w:hint="eastAsia" w:ascii="Times New Roman" w:hAnsi="Times New Roman" w:eastAsia="宋体" w:cs="Times New Roman"/>
                      <w:color w:val="auto"/>
                      <w:spacing w:val="-10"/>
                      <w:sz w:val="18"/>
                      <w:szCs w:val="18"/>
                      <w:highlight w:val="none"/>
                      <w:lang w:val="en-US" w:eastAsia="zh-CN"/>
                    </w:rPr>
                  </w:pPr>
                  <w:r>
                    <w:rPr>
                      <w:rFonts w:hint="eastAsia" w:cs="Times New Roman"/>
                      <w:color w:val="auto"/>
                      <w:spacing w:val="-10"/>
                      <w:sz w:val="18"/>
                      <w:szCs w:val="18"/>
                      <w:highlight w:val="none"/>
                      <w:lang w:val="en-US" w:eastAsia="zh-CN"/>
                    </w:rPr>
                    <w:t>6</w:t>
                  </w:r>
                  <w:r>
                    <w:rPr>
                      <w:rFonts w:hint="eastAsia" w:ascii="Times New Roman" w:hAnsi="Times New Roman" w:eastAsia="宋体" w:cs="Times New Roman"/>
                      <w:color w:val="auto"/>
                      <w:spacing w:val="-10"/>
                      <w:sz w:val="18"/>
                      <w:szCs w:val="18"/>
                      <w:highlight w:val="none"/>
                      <w:lang w:val="en-US" w:eastAsia="zh-CN"/>
                    </w:rPr>
                    <w:t>.本项目位于</w:t>
                  </w:r>
                  <w:r>
                    <w:rPr>
                      <w:rFonts w:hint="eastAsia" w:ascii="Times New Roman" w:hAnsi="Times New Roman" w:eastAsia="宋体" w:cs="Times New Roman"/>
                      <w:color w:val="auto"/>
                      <w:spacing w:val="-10"/>
                      <w:sz w:val="18"/>
                      <w:szCs w:val="18"/>
                      <w:lang w:val="en-US" w:eastAsia="zh-CN"/>
                    </w:rPr>
                    <w:t>河北省唐山市滦州市九百户镇宜安村西</w:t>
                  </w:r>
                  <w:r>
                    <w:rPr>
                      <w:rFonts w:hint="eastAsia" w:ascii="Times New Roman" w:hAnsi="Times New Roman" w:eastAsia="宋体" w:cs="Times New Roman"/>
                      <w:color w:val="auto"/>
                      <w:spacing w:val="-10"/>
                      <w:sz w:val="18"/>
                      <w:szCs w:val="18"/>
                      <w:highlight w:val="none"/>
                      <w:lang w:val="en-US" w:eastAsia="zh-CN"/>
                    </w:rPr>
                    <w:t>，根据</w:t>
                  </w:r>
                  <w:r>
                    <w:rPr>
                      <w:rFonts w:hint="default" w:ascii="Times New Roman" w:hAnsi="Times New Roman" w:eastAsia="宋体" w:cs="Times New Roman"/>
                      <w:color w:val="auto"/>
                      <w:spacing w:val="-10"/>
                      <w:sz w:val="18"/>
                      <w:szCs w:val="18"/>
                      <w:lang w:val="en-US" w:eastAsia="zh-CN"/>
                    </w:rPr>
                    <w:t>滦州市</w:t>
                  </w:r>
                  <w:r>
                    <w:rPr>
                      <w:rFonts w:hint="eastAsia" w:ascii="Times New Roman" w:hAnsi="Times New Roman" w:eastAsia="宋体" w:cs="Times New Roman"/>
                      <w:color w:val="auto"/>
                      <w:spacing w:val="-10"/>
                      <w:sz w:val="18"/>
                      <w:szCs w:val="18"/>
                      <w:lang w:val="en-US" w:eastAsia="zh-CN"/>
                    </w:rPr>
                    <w:t>九百户镇</w:t>
                  </w:r>
                  <w:r>
                    <w:rPr>
                      <w:rFonts w:hint="default" w:ascii="Times New Roman" w:hAnsi="Times New Roman" w:eastAsia="宋体" w:cs="Times New Roman"/>
                      <w:color w:val="auto"/>
                      <w:spacing w:val="-10"/>
                      <w:sz w:val="18"/>
                      <w:szCs w:val="18"/>
                      <w:lang w:val="en-US" w:eastAsia="zh-CN"/>
                    </w:rPr>
                    <w:t>关于</w:t>
                  </w:r>
                  <w:r>
                    <w:rPr>
                      <w:rFonts w:hint="eastAsia" w:ascii="Times New Roman" w:hAnsi="Times New Roman" w:eastAsia="宋体" w:cs="Times New Roman"/>
                      <w:color w:val="auto"/>
                      <w:spacing w:val="-10"/>
                      <w:sz w:val="18"/>
                      <w:szCs w:val="18"/>
                      <w:lang w:val="en-US" w:eastAsia="zh-CN"/>
                    </w:rPr>
                    <w:t>滦州市祯璟再生资源有限公司固体废弃物综合利用项目</w:t>
                  </w:r>
                  <w:r>
                    <w:rPr>
                      <w:rFonts w:hint="default" w:ascii="Times New Roman" w:hAnsi="Times New Roman" w:eastAsia="宋体" w:cs="Times New Roman"/>
                      <w:color w:val="auto"/>
                      <w:spacing w:val="-10"/>
                      <w:sz w:val="18"/>
                      <w:szCs w:val="18"/>
                      <w:lang w:val="en-US" w:eastAsia="zh-CN"/>
                    </w:rPr>
                    <w:t>用地情况说明</w:t>
                  </w:r>
                  <w:r>
                    <w:rPr>
                      <w:rFonts w:hint="eastAsia" w:ascii="Times New Roman" w:hAnsi="Times New Roman" w:eastAsia="宋体" w:cs="Times New Roman"/>
                      <w:color w:val="auto"/>
                      <w:spacing w:val="-10"/>
                      <w:sz w:val="18"/>
                      <w:szCs w:val="18"/>
                      <w:highlight w:val="none"/>
                    </w:rPr>
                    <w:t>可知</w:t>
                  </w:r>
                  <w:r>
                    <w:rPr>
                      <w:rFonts w:hint="eastAsia" w:ascii="Times New Roman" w:hAnsi="Times New Roman" w:eastAsia="宋体" w:cs="Times New Roman"/>
                      <w:color w:val="auto"/>
                      <w:spacing w:val="-10"/>
                      <w:sz w:val="18"/>
                      <w:szCs w:val="18"/>
                      <w:highlight w:val="none"/>
                      <w:lang w:val="en-US" w:eastAsia="zh-CN"/>
                    </w:rPr>
                    <w:t>，项目用地性质为建设用地，不占用</w:t>
                  </w:r>
                  <w:r>
                    <w:rPr>
                      <w:rFonts w:hint="default" w:ascii="Times New Roman" w:hAnsi="Times New Roman" w:eastAsia="宋体" w:cs="Times New Roman"/>
                      <w:color w:val="auto"/>
                      <w:spacing w:val="-10"/>
                      <w:sz w:val="18"/>
                      <w:szCs w:val="18"/>
                      <w:highlight w:val="none"/>
                      <w:lang w:val="en-US" w:eastAsia="zh-CN"/>
                    </w:rPr>
                    <w:t>生态空间中的林地、草原等</w:t>
                  </w:r>
                  <w:r>
                    <w:rPr>
                      <w:rFonts w:hint="eastAsia" w:ascii="Times New Roman" w:hAnsi="Times New Roman" w:eastAsia="宋体" w:cs="Times New Roman"/>
                      <w:color w:val="auto"/>
                      <w:spacing w:val="-10"/>
                      <w:sz w:val="18"/>
                      <w:szCs w:val="18"/>
                      <w:highlight w:val="none"/>
                      <w:lang w:val="en-US" w:eastAsia="zh-CN"/>
                    </w:rPr>
                    <w:t>。</w:t>
                  </w:r>
                </w:p>
                <w:p w14:paraId="083E2F4B">
                  <w:pPr>
                    <w:keepNext w:val="0"/>
                    <w:keepLines w:val="0"/>
                    <w:pageBreakBefore w:val="0"/>
                    <w:widowControl w:val="0"/>
                    <w:kinsoku/>
                    <w:wordWrap/>
                    <w:overflowPunct/>
                    <w:topLinePunct w:val="0"/>
                    <w:autoSpaceDE/>
                    <w:autoSpaceDN/>
                    <w:bidi w:val="0"/>
                    <w:adjustRightInd/>
                    <w:snapToGrid/>
                    <w:spacing w:line="240" w:lineRule="exact"/>
                    <w:ind w:firstLine="320" w:firstLineChars="200"/>
                    <w:jc w:val="left"/>
                    <w:textAlignment w:val="auto"/>
                    <w:rPr>
                      <w:rFonts w:hint="default" w:ascii="Times New Roman" w:hAnsi="Times New Roman" w:eastAsia="宋体" w:cs="Times New Roman"/>
                      <w:color w:val="auto"/>
                      <w:spacing w:val="-10"/>
                      <w:sz w:val="18"/>
                      <w:szCs w:val="18"/>
                      <w:highlight w:val="none"/>
                      <w:lang w:val="en-US" w:eastAsia="zh-CN"/>
                    </w:rPr>
                  </w:pPr>
                  <w:r>
                    <w:rPr>
                      <w:rFonts w:hint="eastAsia" w:cs="Times New Roman"/>
                      <w:color w:val="auto"/>
                      <w:spacing w:val="-10"/>
                      <w:sz w:val="18"/>
                      <w:szCs w:val="18"/>
                      <w:highlight w:val="none"/>
                      <w:lang w:val="en-US" w:eastAsia="zh-CN"/>
                    </w:rPr>
                    <w:t>7.</w:t>
                  </w:r>
                  <w:r>
                    <w:rPr>
                      <w:rFonts w:hint="eastAsia" w:ascii="Times New Roman" w:hAnsi="Times New Roman" w:eastAsia="宋体" w:cs="Times New Roman"/>
                      <w:color w:val="auto"/>
                      <w:spacing w:val="-10"/>
                      <w:sz w:val="18"/>
                      <w:szCs w:val="18"/>
                      <w:highlight w:val="none"/>
                      <w:lang w:val="en-US" w:eastAsia="zh-CN"/>
                    </w:rPr>
                    <w:t>本项目</w:t>
                  </w:r>
                  <w:r>
                    <w:rPr>
                      <w:rFonts w:hint="eastAsia" w:cs="Times New Roman"/>
                      <w:color w:val="auto"/>
                      <w:spacing w:val="-10"/>
                      <w:sz w:val="18"/>
                      <w:szCs w:val="18"/>
                      <w:highlight w:val="none"/>
                      <w:lang w:val="en-US" w:eastAsia="zh-CN"/>
                    </w:rPr>
                    <w:t>不涉及农业开发。</w:t>
                  </w:r>
                </w:p>
              </w:tc>
              <w:tc>
                <w:tcPr>
                  <w:tcW w:w="750" w:type="dxa"/>
                  <w:tcBorders>
                    <w:tl2br w:val="nil"/>
                    <w:tr2bl w:val="nil"/>
                  </w:tcBorders>
                  <w:vAlign w:val="center"/>
                </w:tcPr>
                <w:p w14:paraId="65E5AFC2">
                  <w:pPr>
                    <w:spacing w:line="240" w:lineRule="exact"/>
                    <w:jc w:val="center"/>
                    <w:rPr>
                      <w:rFonts w:hint="default" w:ascii="Times New Roman" w:hAnsi="Times New Roman" w:cs="Times New Roman"/>
                      <w:color w:val="auto"/>
                      <w:spacing w:val="-10"/>
                      <w:sz w:val="18"/>
                      <w:szCs w:val="18"/>
                      <w:highlight w:val="none"/>
                      <w:lang w:val="en-US" w:eastAsia="zh-CN"/>
                    </w:rPr>
                  </w:pPr>
                  <w:r>
                    <w:rPr>
                      <w:rFonts w:hint="default" w:ascii="Times New Roman" w:hAnsi="Times New Roman" w:cs="Times New Roman"/>
                      <w:color w:val="auto"/>
                      <w:spacing w:val="-10"/>
                      <w:sz w:val="18"/>
                      <w:szCs w:val="18"/>
                      <w:highlight w:val="none"/>
                      <w:lang w:val="en-US" w:eastAsia="zh-CN"/>
                    </w:rPr>
                    <w:t>符合</w:t>
                  </w:r>
                </w:p>
              </w:tc>
            </w:tr>
            <w:tr w14:paraId="5D98866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87" w:type="dxa"/>
                  <w:tcBorders>
                    <w:tl2br w:val="nil"/>
                    <w:tr2bl w:val="nil"/>
                  </w:tcBorders>
                  <w:vAlign w:val="center"/>
                </w:tcPr>
                <w:p w14:paraId="006220D2">
                  <w:pPr>
                    <w:spacing w:line="240" w:lineRule="exact"/>
                    <w:jc w:val="center"/>
                    <w:rPr>
                      <w:rFonts w:hint="default" w:ascii="Times New Roman" w:hAnsi="Times New Roman" w:cs="Times New Roman"/>
                      <w:color w:val="auto"/>
                      <w:spacing w:val="-10"/>
                      <w:sz w:val="18"/>
                      <w:szCs w:val="18"/>
                      <w:highlight w:val="none"/>
                      <w:lang w:val="en-US" w:eastAsia="zh-CN"/>
                    </w:rPr>
                  </w:pPr>
                  <w:r>
                    <w:rPr>
                      <w:rFonts w:hint="default" w:ascii="Times New Roman" w:hAnsi="Times New Roman" w:cs="Times New Roman"/>
                      <w:color w:val="auto"/>
                      <w:spacing w:val="-10"/>
                      <w:sz w:val="18"/>
                      <w:szCs w:val="18"/>
                      <w:highlight w:val="none"/>
                      <w:lang w:val="en-US" w:eastAsia="zh-CN"/>
                    </w:rPr>
                    <w:t>大气环境</w:t>
                  </w:r>
                </w:p>
              </w:tc>
              <w:tc>
                <w:tcPr>
                  <w:tcW w:w="1420" w:type="dxa"/>
                  <w:gridSpan w:val="2"/>
                  <w:tcBorders>
                    <w:tl2br w:val="nil"/>
                    <w:tr2bl w:val="nil"/>
                  </w:tcBorders>
                  <w:vAlign w:val="center"/>
                </w:tcPr>
                <w:p w14:paraId="52C31C61">
                  <w:pPr>
                    <w:spacing w:line="240" w:lineRule="exact"/>
                    <w:jc w:val="center"/>
                    <w:rPr>
                      <w:rFonts w:hint="default" w:ascii="Times New Roman" w:hAnsi="Times New Roman" w:eastAsia="宋体" w:cs="Times New Roman"/>
                      <w:color w:val="auto"/>
                      <w:spacing w:val="-10"/>
                      <w:kern w:val="2"/>
                      <w:sz w:val="18"/>
                      <w:szCs w:val="18"/>
                      <w:highlight w:val="none"/>
                      <w:lang w:val="en-US" w:eastAsia="zh-CN" w:bidi="ar-SA"/>
                    </w:rPr>
                  </w:pPr>
                  <w:r>
                    <w:rPr>
                      <w:rFonts w:hint="eastAsia" w:ascii="Times New Roman" w:hAnsi="Times New Roman" w:eastAsia="宋体" w:cs="Times New Roman"/>
                      <w:color w:val="auto"/>
                      <w:spacing w:val="-10"/>
                      <w:sz w:val="18"/>
                      <w:szCs w:val="18"/>
                      <w:highlight w:val="none"/>
                      <w:lang w:val="en-US" w:eastAsia="zh-CN"/>
                    </w:rPr>
                    <w:t>污染防控目标</w:t>
                  </w:r>
                </w:p>
              </w:tc>
              <w:tc>
                <w:tcPr>
                  <w:tcW w:w="5593" w:type="dxa"/>
                  <w:tcBorders>
                    <w:tl2br w:val="nil"/>
                    <w:tr2bl w:val="nil"/>
                  </w:tcBorders>
                  <w:vAlign w:val="center"/>
                </w:tcPr>
                <w:p w14:paraId="7D19E225">
                  <w:pPr>
                    <w:keepNext w:val="0"/>
                    <w:keepLines w:val="0"/>
                    <w:pageBreakBefore w:val="0"/>
                    <w:widowControl w:val="0"/>
                    <w:numPr>
                      <w:ilvl w:val="0"/>
                      <w:numId w:val="0"/>
                    </w:numPr>
                    <w:kinsoku/>
                    <w:wordWrap/>
                    <w:overflowPunct/>
                    <w:topLinePunct w:val="0"/>
                    <w:autoSpaceDE/>
                    <w:autoSpaceDN/>
                    <w:bidi w:val="0"/>
                    <w:adjustRightInd/>
                    <w:snapToGrid/>
                    <w:spacing w:line="240" w:lineRule="exact"/>
                    <w:ind w:firstLine="316" w:firstLineChars="200"/>
                    <w:jc w:val="left"/>
                    <w:textAlignment w:val="auto"/>
                    <w:rPr>
                      <w:rFonts w:hint="default" w:ascii="Times New Roman" w:hAnsi="Times New Roman" w:eastAsia="宋体" w:cs="Times New Roman"/>
                      <w:color w:val="auto"/>
                      <w:spacing w:val="-10"/>
                      <w:sz w:val="18"/>
                      <w:szCs w:val="18"/>
                      <w:highlight w:val="none"/>
                      <w:lang w:val="en-US" w:eastAsia="zh-CN"/>
                    </w:rPr>
                  </w:pPr>
                  <w:r>
                    <w:rPr>
                      <w:rFonts w:hint="eastAsia" w:ascii="Times New Roman" w:hAnsi="Times New Roman" w:eastAsia="宋体" w:cs="Times New Roman"/>
                      <w:color w:val="auto"/>
                      <w:spacing w:val="-11"/>
                      <w:kern w:val="0"/>
                      <w:sz w:val="18"/>
                      <w:szCs w:val="18"/>
                      <w:highlight w:val="none"/>
                      <w:lang w:val="en-US" w:eastAsia="zh-CN"/>
                    </w:rPr>
                    <w:t>2025年，全市细颗粒物（PM</w:t>
                  </w:r>
                  <w:r>
                    <w:rPr>
                      <w:rFonts w:hint="eastAsia" w:ascii="Times New Roman" w:hAnsi="Times New Roman" w:eastAsia="宋体" w:cs="Times New Roman"/>
                      <w:color w:val="auto"/>
                      <w:spacing w:val="-11"/>
                      <w:kern w:val="0"/>
                      <w:sz w:val="18"/>
                      <w:szCs w:val="18"/>
                      <w:highlight w:val="none"/>
                      <w:vertAlign w:val="subscript"/>
                      <w:lang w:val="en-US" w:eastAsia="zh-CN"/>
                    </w:rPr>
                    <w:t>2.5</w:t>
                  </w:r>
                  <w:r>
                    <w:rPr>
                      <w:rFonts w:hint="eastAsia" w:ascii="Times New Roman" w:hAnsi="Times New Roman" w:eastAsia="宋体" w:cs="Times New Roman"/>
                      <w:color w:val="auto"/>
                      <w:spacing w:val="-11"/>
                      <w:kern w:val="0"/>
                      <w:sz w:val="18"/>
                      <w:szCs w:val="18"/>
                      <w:highlight w:val="none"/>
                      <w:lang w:val="en-US" w:eastAsia="zh-CN"/>
                    </w:rPr>
                    <w:t>）平均浓度达到40微克/立方米左右，空气质量优良天数比率达到70%以上，单位地位生产总值二氧化碳排放下降比例达到河北省要求</w:t>
                  </w:r>
                </w:p>
              </w:tc>
              <w:tc>
                <w:tcPr>
                  <w:tcW w:w="3525" w:type="dxa"/>
                  <w:tcBorders>
                    <w:tl2br w:val="nil"/>
                    <w:tr2bl w:val="nil"/>
                  </w:tcBorders>
                  <w:vAlign w:val="center"/>
                </w:tcPr>
                <w:p w14:paraId="019A29E1">
                  <w:pPr>
                    <w:keepNext w:val="0"/>
                    <w:keepLines w:val="0"/>
                    <w:pageBreakBefore w:val="0"/>
                    <w:widowControl w:val="0"/>
                    <w:kinsoku/>
                    <w:wordWrap/>
                    <w:overflowPunct/>
                    <w:topLinePunct w:val="0"/>
                    <w:autoSpaceDE/>
                    <w:autoSpaceDN/>
                    <w:bidi w:val="0"/>
                    <w:adjustRightInd/>
                    <w:snapToGrid/>
                    <w:spacing w:line="240" w:lineRule="exact"/>
                    <w:ind w:firstLine="320" w:firstLineChars="200"/>
                    <w:jc w:val="left"/>
                    <w:textAlignment w:val="auto"/>
                    <w:rPr>
                      <w:rFonts w:hint="default" w:ascii="Times New Roman" w:hAnsi="Times New Roman" w:cs="Times New Roman"/>
                      <w:color w:val="auto"/>
                      <w:spacing w:val="-10"/>
                      <w:sz w:val="18"/>
                      <w:szCs w:val="18"/>
                      <w:highlight w:val="none"/>
                      <w:lang w:val="en-US" w:eastAsia="zh-CN"/>
                    </w:rPr>
                  </w:pPr>
                  <w:r>
                    <w:rPr>
                      <w:rFonts w:hint="eastAsia" w:ascii="Times New Roman" w:hAnsi="Times New Roman" w:eastAsia="宋体" w:cs="Times New Roman"/>
                      <w:color w:val="auto"/>
                      <w:spacing w:val="-10"/>
                      <w:sz w:val="18"/>
                      <w:szCs w:val="18"/>
                      <w:highlight w:val="none"/>
                      <w:lang w:val="en-US" w:eastAsia="zh-CN"/>
                    </w:rPr>
                    <w:t>项目废气主各产污环节均采取了完善的污染防治措施，可以稳定实现达标排放，对周围环境影响较小，不会对区域大气环境产生明显</w:t>
                  </w:r>
                  <w:r>
                    <w:rPr>
                      <w:rFonts w:hint="eastAsia" w:cs="Times New Roman"/>
                      <w:color w:val="auto"/>
                      <w:spacing w:val="-10"/>
                      <w:sz w:val="18"/>
                      <w:szCs w:val="18"/>
                      <w:highlight w:val="none"/>
                      <w:lang w:val="en-US" w:eastAsia="zh-CN"/>
                    </w:rPr>
                    <w:t>影响</w:t>
                  </w:r>
                </w:p>
              </w:tc>
              <w:tc>
                <w:tcPr>
                  <w:tcW w:w="750" w:type="dxa"/>
                  <w:tcBorders>
                    <w:tl2br w:val="nil"/>
                    <w:tr2bl w:val="nil"/>
                  </w:tcBorders>
                  <w:vAlign w:val="center"/>
                </w:tcPr>
                <w:p w14:paraId="0F136769">
                  <w:pPr>
                    <w:spacing w:line="240" w:lineRule="exact"/>
                    <w:jc w:val="center"/>
                    <w:rPr>
                      <w:rFonts w:hint="default" w:ascii="Times New Roman" w:hAnsi="Times New Roman" w:cs="Times New Roman"/>
                      <w:color w:val="auto"/>
                      <w:spacing w:val="-10"/>
                      <w:sz w:val="18"/>
                      <w:szCs w:val="18"/>
                      <w:highlight w:val="none"/>
                      <w:lang w:val="en-US" w:eastAsia="zh-CN"/>
                    </w:rPr>
                  </w:pPr>
                  <w:r>
                    <w:rPr>
                      <w:rFonts w:hint="default" w:ascii="Times New Roman" w:hAnsi="Times New Roman" w:cs="Times New Roman"/>
                      <w:color w:val="auto"/>
                      <w:spacing w:val="-10"/>
                      <w:sz w:val="18"/>
                      <w:szCs w:val="18"/>
                      <w:highlight w:val="none"/>
                      <w:lang w:val="en-US" w:eastAsia="zh-CN"/>
                    </w:rPr>
                    <w:t>符合</w:t>
                  </w:r>
                </w:p>
              </w:tc>
            </w:tr>
          </w:tbl>
          <w:p w14:paraId="64E2937F">
            <w:pPr>
              <w:pStyle w:val="24"/>
              <w:adjustRightInd w:val="0"/>
              <w:snapToGrid w:val="0"/>
              <w:spacing w:before="0" w:beforeAutospacing="0" w:after="0" w:afterAutospacing="0" w:line="440" w:lineRule="exact"/>
              <w:jc w:val="center"/>
              <w:rPr>
                <w:rFonts w:ascii="Times New Roman" w:hAnsi="Times New Roman"/>
                <w:b/>
                <w:color w:val="auto"/>
                <w:sz w:val="21"/>
                <w:szCs w:val="21"/>
                <w:highlight w:val="none"/>
              </w:rPr>
            </w:pPr>
            <w:r>
              <w:rPr>
                <w:rFonts w:hint="eastAsia" w:ascii="Times New Roman" w:hAnsi="Times New Roman"/>
                <w:b/>
                <w:color w:val="auto"/>
                <w:sz w:val="21"/>
                <w:szCs w:val="21"/>
                <w:highlight w:val="none"/>
                <w:lang w:val="en-US" w:eastAsia="zh-CN"/>
              </w:rPr>
              <w:t>续表2</w:t>
            </w:r>
            <w:r>
              <w:rPr>
                <w:rFonts w:hint="default" w:ascii="Times New Roman" w:hAnsi="Times New Roman"/>
                <w:b/>
                <w:color w:val="auto"/>
                <w:sz w:val="21"/>
                <w:szCs w:val="21"/>
                <w:highlight w:val="none"/>
                <w:lang w:val="en-US" w:eastAsia="zh-CN"/>
              </w:rPr>
              <w:t xml:space="preserve"> </w:t>
            </w:r>
            <w:r>
              <w:rPr>
                <w:rFonts w:hint="eastAsia" w:ascii="Times New Roman" w:hAnsi="Times New Roman"/>
                <w:b/>
                <w:color w:val="auto"/>
                <w:sz w:val="21"/>
                <w:szCs w:val="21"/>
                <w:highlight w:val="none"/>
                <w:lang w:val="en-US" w:eastAsia="zh-CN"/>
              </w:rPr>
              <w:t>项目与唐山市生态环境准入清单符合性分析</w:t>
            </w:r>
          </w:p>
          <w:tbl>
            <w:tblPr>
              <w:tblStyle w:val="29"/>
              <w:tblW w:w="11975" w:type="dxa"/>
              <w:tblInd w:w="5"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87"/>
              <w:gridCol w:w="1420"/>
              <w:gridCol w:w="5593"/>
              <w:gridCol w:w="3525"/>
              <w:gridCol w:w="750"/>
            </w:tblGrid>
            <w:tr w14:paraId="3386C1B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2107" w:type="dxa"/>
                  <w:gridSpan w:val="2"/>
                  <w:tcBorders>
                    <w:tl2br w:val="nil"/>
                    <w:tr2bl w:val="nil"/>
                  </w:tcBorders>
                  <w:vAlign w:val="center"/>
                </w:tcPr>
                <w:p w14:paraId="5AB8A001">
                  <w:pPr>
                    <w:spacing w:line="240" w:lineRule="exact"/>
                    <w:jc w:val="center"/>
                    <w:rPr>
                      <w:rFonts w:hint="default" w:ascii="Times New Roman" w:hAnsi="Times New Roman" w:cs="Times New Roman"/>
                      <w:color w:val="auto"/>
                      <w:spacing w:val="-10"/>
                      <w:sz w:val="18"/>
                      <w:szCs w:val="18"/>
                      <w:highlight w:val="none"/>
                      <w:lang w:val="en-US" w:eastAsia="zh-CN"/>
                    </w:rPr>
                  </w:pPr>
                  <w:r>
                    <w:rPr>
                      <w:rFonts w:hint="default" w:ascii="Times New Roman" w:hAnsi="Times New Roman" w:cs="Times New Roman"/>
                      <w:color w:val="auto"/>
                      <w:spacing w:val="-10"/>
                      <w:sz w:val="18"/>
                      <w:szCs w:val="18"/>
                      <w:highlight w:val="none"/>
                      <w:lang w:val="en-US" w:eastAsia="zh-CN"/>
                    </w:rPr>
                    <w:t>管控单元</w:t>
                  </w:r>
                </w:p>
              </w:tc>
              <w:tc>
                <w:tcPr>
                  <w:tcW w:w="5593" w:type="dxa"/>
                  <w:tcBorders>
                    <w:tl2br w:val="nil"/>
                    <w:tr2bl w:val="nil"/>
                  </w:tcBorders>
                  <w:vAlign w:val="center"/>
                </w:tcPr>
                <w:p w14:paraId="00B99F29">
                  <w:pPr>
                    <w:spacing w:line="240" w:lineRule="exact"/>
                    <w:jc w:val="center"/>
                    <w:rPr>
                      <w:rFonts w:hint="default" w:ascii="Times New Roman" w:hAnsi="Times New Roman" w:cs="Times New Roman"/>
                      <w:color w:val="auto"/>
                      <w:spacing w:val="-10"/>
                      <w:sz w:val="18"/>
                      <w:szCs w:val="18"/>
                      <w:highlight w:val="none"/>
                      <w:lang w:val="en-US" w:eastAsia="zh-CN"/>
                    </w:rPr>
                  </w:pPr>
                  <w:r>
                    <w:rPr>
                      <w:rFonts w:hint="default" w:ascii="Times New Roman" w:hAnsi="Times New Roman" w:cs="Times New Roman"/>
                      <w:color w:val="auto"/>
                      <w:spacing w:val="-10"/>
                      <w:sz w:val="18"/>
                      <w:szCs w:val="18"/>
                      <w:highlight w:val="none"/>
                      <w:lang w:val="en-US" w:eastAsia="zh-CN"/>
                    </w:rPr>
                    <w:t>要求</w:t>
                  </w:r>
                </w:p>
              </w:tc>
              <w:tc>
                <w:tcPr>
                  <w:tcW w:w="3525" w:type="dxa"/>
                  <w:tcBorders>
                    <w:tl2br w:val="nil"/>
                    <w:tr2bl w:val="nil"/>
                  </w:tcBorders>
                  <w:vAlign w:val="center"/>
                </w:tcPr>
                <w:p w14:paraId="144F3A0B">
                  <w:pPr>
                    <w:spacing w:line="240" w:lineRule="exact"/>
                    <w:jc w:val="center"/>
                    <w:rPr>
                      <w:rFonts w:hint="default" w:ascii="Times New Roman" w:hAnsi="Times New Roman" w:cs="Times New Roman"/>
                      <w:color w:val="auto"/>
                      <w:spacing w:val="-10"/>
                      <w:sz w:val="18"/>
                      <w:szCs w:val="18"/>
                      <w:highlight w:val="none"/>
                      <w:lang w:val="en-US" w:eastAsia="zh-CN"/>
                    </w:rPr>
                  </w:pPr>
                  <w:r>
                    <w:rPr>
                      <w:rFonts w:hint="default" w:ascii="Times New Roman" w:hAnsi="Times New Roman" w:cs="Times New Roman"/>
                      <w:color w:val="auto"/>
                      <w:spacing w:val="-10"/>
                      <w:sz w:val="18"/>
                      <w:szCs w:val="18"/>
                      <w:highlight w:val="none"/>
                      <w:lang w:val="en-US" w:eastAsia="zh-CN"/>
                    </w:rPr>
                    <w:t>项目情况</w:t>
                  </w:r>
                </w:p>
              </w:tc>
              <w:tc>
                <w:tcPr>
                  <w:tcW w:w="750" w:type="dxa"/>
                  <w:tcBorders>
                    <w:tl2br w:val="nil"/>
                    <w:tr2bl w:val="nil"/>
                  </w:tcBorders>
                  <w:vAlign w:val="center"/>
                </w:tcPr>
                <w:p w14:paraId="0E36B6D7">
                  <w:pPr>
                    <w:spacing w:line="240" w:lineRule="exact"/>
                    <w:jc w:val="center"/>
                    <w:rPr>
                      <w:rFonts w:hint="default" w:ascii="Times New Roman" w:hAnsi="Times New Roman" w:cs="Times New Roman"/>
                      <w:color w:val="auto"/>
                      <w:spacing w:val="-10"/>
                      <w:sz w:val="18"/>
                      <w:szCs w:val="18"/>
                      <w:highlight w:val="none"/>
                      <w:lang w:val="en-US" w:eastAsia="zh-CN"/>
                    </w:rPr>
                  </w:pPr>
                  <w:r>
                    <w:rPr>
                      <w:rFonts w:hint="default" w:ascii="Times New Roman" w:hAnsi="Times New Roman" w:cs="Times New Roman"/>
                      <w:color w:val="auto"/>
                      <w:spacing w:val="-10"/>
                      <w:sz w:val="18"/>
                      <w:szCs w:val="18"/>
                      <w:highlight w:val="none"/>
                      <w:lang w:val="en-US" w:eastAsia="zh-CN"/>
                    </w:rPr>
                    <w:t>符合性</w:t>
                  </w:r>
                </w:p>
              </w:tc>
            </w:tr>
            <w:tr w14:paraId="06EA8A8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87" w:type="dxa"/>
                  <w:vMerge w:val="restart"/>
                  <w:tcBorders>
                    <w:tl2br w:val="nil"/>
                    <w:tr2bl w:val="nil"/>
                  </w:tcBorders>
                  <w:vAlign w:val="center"/>
                </w:tcPr>
                <w:p w14:paraId="3C4C006B">
                  <w:pPr>
                    <w:spacing w:line="240" w:lineRule="exact"/>
                    <w:jc w:val="center"/>
                    <w:rPr>
                      <w:rFonts w:hint="default" w:ascii="Times New Roman" w:hAnsi="Times New Roman" w:cs="Times New Roman"/>
                      <w:color w:val="auto"/>
                      <w:spacing w:val="-10"/>
                      <w:sz w:val="18"/>
                      <w:szCs w:val="18"/>
                      <w:highlight w:val="none"/>
                      <w:lang w:val="en-US" w:eastAsia="zh-CN"/>
                    </w:rPr>
                  </w:pPr>
                  <w:r>
                    <w:rPr>
                      <w:rFonts w:hint="default" w:ascii="Times New Roman" w:hAnsi="Times New Roman" w:cs="Times New Roman"/>
                      <w:color w:val="auto"/>
                      <w:spacing w:val="-10"/>
                      <w:sz w:val="18"/>
                      <w:szCs w:val="18"/>
                      <w:highlight w:val="none"/>
                      <w:lang w:val="en-US" w:eastAsia="zh-CN"/>
                    </w:rPr>
                    <w:t>大气环境</w:t>
                  </w:r>
                </w:p>
              </w:tc>
              <w:tc>
                <w:tcPr>
                  <w:tcW w:w="1420" w:type="dxa"/>
                  <w:tcBorders>
                    <w:tl2br w:val="nil"/>
                    <w:tr2bl w:val="nil"/>
                  </w:tcBorders>
                  <w:vAlign w:val="center"/>
                </w:tcPr>
                <w:p w14:paraId="364A5075">
                  <w:pPr>
                    <w:spacing w:line="240" w:lineRule="exact"/>
                    <w:jc w:val="center"/>
                    <w:rPr>
                      <w:rFonts w:hint="default" w:ascii="Times New Roman" w:hAnsi="Times New Roman" w:eastAsia="宋体" w:cs="Times New Roman"/>
                      <w:color w:val="auto"/>
                      <w:spacing w:val="-10"/>
                      <w:kern w:val="2"/>
                      <w:sz w:val="18"/>
                      <w:szCs w:val="18"/>
                      <w:highlight w:val="none"/>
                      <w:lang w:val="en-US" w:eastAsia="zh-CN" w:bidi="ar-SA"/>
                    </w:rPr>
                  </w:pPr>
                  <w:r>
                    <w:rPr>
                      <w:rFonts w:hint="default" w:ascii="Times New Roman" w:hAnsi="Times New Roman" w:cs="Times New Roman"/>
                      <w:color w:val="auto"/>
                      <w:spacing w:val="-10"/>
                      <w:sz w:val="18"/>
                      <w:szCs w:val="18"/>
                      <w:highlight w:val="none"/>
                      <w:lang w:val="en-US" w:eastAsia="zh-CN"/>
                    </w:rPr>
                    <w:t>空间布局约束</w:t>
                  </w:r>
                </w:p>
              </w:tc>
              <w:tc>
                <w:tcPr>
                  <w:tcW w:w="5593" w:type="dxa"/>
                  <w:tcBorders>
                    <w:tl2br w:val="nil"/>
                    <w:tr2bl w:val="nil"/>
                  </w:tcBorders>
                  <w:vAlign w:val="center"/>
                </w:tcPr>
                <w:p w14:paraId="237B736C">
                  <w:pPr>
                    <w:keepNext w:val="0"/>
                    <w:keepLines w:val="0"/>
                    <w:pageBreakBefore w:val="0"/>
                    <w:widowControl w:val="0"/>
                    <w:numPr>
                      <w:ilvl w:val="0"/>
                      <w:numId w:val="0"/>
                    </w:numPr>
                    <w:kinsoku/>
                    <w:wordWrap/>
                    <w:overflowPunct/>
                    <w:topLinePunct w:val="0"/>
                    <w:autoSpaceDE/>
                    <w:autoSpaceDN/>
                    <w:bidi w:val="0"/>
                    <w:adjustRightInd/>
                    <w:snapToGrid/>
                    <w:spacing w:line="240" w:lineRule="exact"/>
                    <w:ind w:left="0" w:leftChars="0" w:firstLine="320" w:firstLineChars="200"/>
                    <w:jc w:val="left"/>
                    <w:textAlignment w:val="auto"/>
                    <w:rPr>
                      <w:rFonts w:hint="eastAsia" w:ascii="Times New Roman" w:hAnsi="Times New Roman" w:eastAsia="宋体" w:cs="Times New Roman"/>
                      <w:color w:val="auto"/>
                      <w:spacing w:val="-10"/>
                      <w:sz w:val="18"/>
                      <w:szCs w:val="18"/>
                      <w:highlight w:val="none"/>
                      <w:lang w:val="en-US" w:eastAsia="zh-CN"/>
                    </w:rPr>
                  </w:pPr>
                  <w:r>
                    <w:rPr>
                      <w:rFonts w:hint="default" w:ascii="Times New Roman" w:hAnsi="Times New Roman" w:eastAsia="宋体" w:cs="Times New Roman"/>
                      <w:color w:val="auto"/>
                      <w:spacing w:val="-10"/>
                      <w:sz w:val="18"/>
                      <w:szCs w:val="18"/>
                      <w:highlight w:val="none"/>
                      <w:lang w:val="en-US" w:eastAsia="zh-CN"/>
                    </w:rPr>
                    <w:t>1</w:t>
                  </w:r>
                  <w:r>
                    <w:rPr>
                      <w:rFonts w:hint="eastAsia" w:ascii="Times New Roman" w:hAnsi="Times New Roman" w:eastAsia="宋体" w:cs="Times New Roman"/>
                      <w:color w:val="auto"/>
                      <w:spacing w:val="-10"/>
                      <w:sz w:val="18"/>
                      <w:szCs w:val="18"/>
                      <w:highlight w:val="none"/>
                      <w:lang w:val="en-US" w:eastAsia="zh-CN"/>
                    </w:rPr>
                    <w:t>、全面推进沿海、迁安、滦州、迁西（遵化）</w:t>
                  </w:r>
                  <w:r>
                    <w:rPr>
                      <w:rFonts w:hint="default" w:ascii="Times New Roman" w:hAnsi="Times New Roman" w:eastAsia="宋体" w:cs="Times New Roman"/>
                      <w:color w:val="auto"/>
                      <w:spacing w:val="-10"/>
                      <w:sz w:val="18"/>
                      <w:szCs w:val="18"/>
                      <w:highlight w:val="none"/>
                      <w:lang w:val="en-US" w:eastAsia="zh-CN"/>
                    </w:rPr>
                    <w:t xml:space="preserve">4 </w:t>
                  </w:r>
                  <w:r>
                    <w:rPr>
                      <w:rFonts w:hint="eastAsia" w:ascii="Times New Roman" w:hAnsi="Times New Roman" w:eastAsia="宋体" w:cs="Times New Roman"/>
                      <w:color w:val="auto"/>
                      <w:spacing w:val="-10"/>
                      <w:sz w:val="18"/>
                      <w:szCs w:val="18"/>
                      <w:highlight w:val="none"/>
                      <w:lang w:val="en-US" w:eastAsia="zh-CN"/>
                    </w:rPr>
                    <w:t>大片区规划建设，加快推进钢铁企业整合搬迁项目建设，推进“公转铁”、“公转水”和物料集中输送管廊项目建设，形成“沿海临港、铁路沿线”产业新布局</w:t>
                  </w:r>
                  <w:r>
                    <w:rPr>
                      <w:rFonts w:hint="eastAsia" w:cs="Times New Roman"/>
                      <w:color w:val="auto"/>
                      <w:spacing w:val="-10"/>
                      <w:sz w:val="18"/>
                      <w:szCs w:val="18"/>
                      <w:highlight w:val="none"/>
                      <w:lang w:val="en-US" w:eastAsia="zh-CN"/>
                    </w:rPr>
                    <w:t>。</w:t>
                  </w:r>
                </w:p>
                <w:p w14:paraId="5357FAE3">
                  <w:pPr>
                    <w:keepNext w:val="0"/>
                    <w:keepLines w:val="0"/>
                    <w:pageBreakBefore w:val="0"/>
                    <w:widowControl w:val="0"/>
                    <w:numPr>
                      <w:ilvl w:val="0"/>
                      <w:numId w:val="0"/>
                    </w:numPr>
                    <w:kinsoku/>
                    <w:wordWrap/>
                    <w:overflowPunct/>
                    <w:topLinePunct w:val="0"/>
                    <w:autoSpaceDE/>
                    <w:autoSpaceDN/>
                    <w:bidi w:val="0"/>
                    <w:adjustRightInd/>
                    <w:snapToGrid/>
                    <w:spacing w:line="240" w:lineRule="exact"/>
                    <w:ind w:left="0" w:leftChars="0" w:firstLine="320" w:firstLineChars="200"/>
                    <w:jc w:val="left"/>
                    <w:textAlignment w:val="auto"/>
                    <w:rPr>
                      <w:rFonts w:hint="eastAsia" w:ascii="Times New Roman" w:hAnsi="Times New Roman" w:eastAsia="宋体" w:cs="Times New Roman"/>
                      <w:color w:val="auto"/>
                      <w:spacing w:val="-10"/>
                      <w:sz w:val="18"/>
                      <w:szCs w:val="18"/>
                      <w:highlight w:val="none"/>
                      <w:lang w:val="en-US" w:eastAsia="zh-CN"/>
                    </w:rPr>
                  </w:pPr>
                  <w:r>
                    <w:rPr>
                      <w:rFonts w:hint="default" w:ascii="Times New Roman" w:hAnsi="Times New Roman" w:eastAsia="宋体" w:cs="Times New Roman"/>
                      <w:color w:val="auto"/>
                      <w:spacing w:val="-10"/>
                      <w:sz w:val="18"/>
                      <w:szCs w:val="18"/>
                      <w:highlight w:val="none"/>
                      <w:lang w:val="en-US" w:eastAsia="zh-CN"/>
                    </w:rPr>
                    <w:t>2</w:t>
                  </w:r>
                  <w:r>
                    <w:rPr>
                      <w:rFonts w:hint="eastAsia" w:ascii="Times New Roman" w:hAnsi="Times New Roman" w:eastAsia="宋体" w:cs="Times New Roman"/>
                      <w:color w:val="auto"/>
                      <w:spacing w:val="-10"/>
                      <w:sz w:val="18"/>
                      <w:szCs w:val="18"/>
                      <w:highlight w:val="none"/>
                      <w:lang w:val="en-US" w:eastAsia="zh-CN"/>
                    </w:rPr>
                    <w:t>、严禁违规新增钢铁、焦化、水泥、平板玻璃等产能，依法推动独立焦化、独立石灰、独立球团逐步退出。</w:t>
                  </w:r>
                </w:p>
                <w:p w14:paraId="16DEE5F9">
                  <w:pPr>
                    <w:keepNext w:val="0"/>
                    <w:keepLines w:val="0"/>
                    <w:pageBreakBefore w:val="0"/>
                    <w:widowControl w:val="0"/>
                    <w:numPr>
                      <w:ilvl w:val="0"/>
                      <w:numId w:val="0"/>
                    </w:numPr>
                    <w:kinsoku/>
                    <w:wordWrap/>
                    <w:overflowPunct/>
                    <w:topLinePunct w:val="0"/>
                    <w:autoSpaceDE/>
                    <w:autoSpaceDN/>
                    <w:bidi w:val="0"/>
                    <w:adjustRightInd/>
                    <w:snapToGrid/>
                    <w:spacing w:line="240" w:lineRule="exact"/>
                    <w:ind w:left="0" w:leftChars="0" w:firstLine="320" w:firstLineChars="200"/>
                    <w:jc w:val="left"/>
                    <w:textAlignment w:val="auto"/>
                    <w:rPr>
                      <w:rFonts w:hint="eastAsia" w:ascii="Times New Roman" w:hAnsi="Times New Roman" w:eastAsia="宋体" w:cs="Times New Roman"/>
                      <w:color w:val="auto"/>
                      <w:spacing w:val="-10"/>
                      <w:sz w:val="18"/>
                      <w:szCs w:val="18"/>
                      <w:highlight w:val="none"/>
                      <w:lang w:val="en-US" w:eastAsia="zh-CN"/>
                    </w:rPr>
                  </w:pPr>
                  <w:r>
                    <w:rPr>
                      <w:rFonts w:hint="default" w:ascii="Times New Roman" w:hAnsi="Times New Roman" w:eastAsia="宋体" w:cs="Times New Roman"/>
                      <w:color w:val="auto"/>
                      <w:spacing w:val="-10"/>
                      <w:sz w:val="18"/>
                      <w:szCs w:val="18"/>
                      <w:highlight w:val="none"/>
                      <w:lang w:val="en-US" w:eastAsia="zh-CN"/>
                    </w:rPr>
                    <w:t>3</w:t>
                  </w:r>
                  <w:r>
                    <w:rPr>
                      <w:rFonts w:hint="eastAsia" w:ascii="Times New Roman" w:hAnsi="Times New Roman" w:eastAsia="宋体" w:cs="Times New Roman"/>
                      <w:color w:val="auto"/>
                      <w:spacing w:val="-10"/>
                      <w:sz w:val="18"/>
                      <w:szCs w:val="18"/>
                      <w:highlight w:val="none"/>
                      <w:lang w:val="en-US" w:eastAsia="zh-CN"/>
                    </w:rPr>
                    <w:t xml:space="preserve">、新（改、扩）建项目严格执行产能置换、煤炭替代和污染物倍量削减替代制度，当地有相关园区规划的，原则上要进入园区并配套建设高效环保治理设施，符合园区规划环评、建设项目环评要求。 </w:t>
                  </w:r>
                </w:p>
                <w:p w14:paraId="490535DC">
                  <w:pPr>
                    <w:keepNext w:val="0"/>
                    <w:keepLines w:val="0"/>
                    <w:pageBreakBefore w:val="0"/>
                    <w:widowControl w:val="0"/>
                    <w:numPr>
                      <w:ilvl w:val="0"/>
                      <w:numId w:val="0"/>
                    </w:numPr>
                    <w:kinsoku/>
                    <w:wordWrap/>
                    <w:overflowPunct/>
                    <w:topLinePunct w:val="0"/>
                    <w:autoSpaceDE/>
                    <w:autoSpaceDN/>
                    <w:bidi w:val="0"/>
                    <w:adjustRightInd/>
                    <w:snapToGrid/>
                    <w:spacing w:line="240" w:lineRule="exact"/>
                    <w:ind w:left="0" w:leftChars="0" w:firstLine="320" w:firstLineChars="200"/>
                    <w:jc w:val="left"/>
                    <w:textAlignment w:val="auto"/>
                    <w:rPr>
                      <w:rFonts w:hint="eastAsia" w:ascii="Times New Roman" w:hAnsi="Times New Roman" w:eastAsia="宋体" w:cs="Times New Roman"/>
                      <w:color w:val="auto"/>
                      <w:spacing w:val="-10"/>
                      <w:sz w:val="18"/>
                      <w:szCs w:val="18"/>
                      <w:highlight w:val="none"/>
                      <w:lang w:val="en-US" w:eastAsia="zh-CN"/>
                    </w:rPr>
                  </w:pPr>
                  <w:r>
                    <w:rPr>
                      <w:rFonts w:hint="default" w:ascii="Times New Roman" w:hAnsi="Times New Roman" w:eastAsia="宋体" w:cs="Times New Roman"/>
                      <w:color w:val="auto"/>
                      <w:spacing w:val="-10"/>
                      <w:sz w:val="18"/>
                      <w:szCs w:val="18"/>
                      <w:highlight w:val="none"/>
                      <w:lang w:val="en-US" w:eastAsia="zh-CN"/>
                    </w:rPr>
                    <w:t>4</w:t>
                  </w:r>
                  <w:r>
                    <w:rPr>
                      <w:rFonts w:hint="eastAsia" w:ascii="Times New Roman" w:hAnsi="Times New Roman" w:eastAsia="宋体" w:cs="Times New Roman"/>
                      <w:color w:val="auto"/>
                      <w:spacing w:val="-10"/>
                      <w:sz w:val="18"/>
                      <w:szCs w:val="18"/>
                      <w:highlight w:val="none"/>
                      <w:lang w:val="en-US" w:eastAsia="zh-CN"/>
                    </w:rPr>
                    <w:t>、基本取缔燃煤热风炉和钢铁行业燃煤供热锅炉，基本淘汰热电联产供热管网覆盖范围内的燃煤加热、烘干炉（窑）。</w:t>
                  </w:r>
                </w:p>
                <w:p w14:paraId="49AA04D0">
                  <w:pPr>
                    <w:keepNext w:val="0"/>
                    <w:keepLines w:val="0"/>
                    <w:pageBreakBefore w:val="0"/>
                    <w:widowControl w:val="0"/>
                    <w:numPr>
                      <w:ilvl w:val="0"/>
                      <w:numId w:val="0"/>
                    </w:numPr>
                    <w:kinsoku/>
                    <w:wordWrap/>
                    <w:overflowPunct/>
                    <w:topLinePunct w:val="0"/>
                    <w:autoSpaceDE/>
                    <w:autoSpaceDN/>
                    <w:bidi w:val="0"/>
                    <w:adjustRightInd/>
                    <w:snapToGrid/>
                    <w:spacing w:line="240" w:lineRule="exact"/>
                    <w:ind w:left="0" w:leftChars="0" w:firstLine="320" w:firstLineChars="200"/>
                    <w:jc w:val="left"/>
                    <w:textAlignment w:val="auto"/>
                    <w:rPr>
                      <w:rFonts w:hint="eastAsia" w:ascii="Times New Roman" w:hAnsi="Times New Roman" w:eastAsia="宋体" w:cs="Times New Roman"/>
                      <w:color w:val="auto"/>
                      <w:spacing w:val="-10"/>
                      <w:sz w:val="18"/>
                      <w:szCs w:val="18"/>
                      <w:highlight w:val="none"/>
                      <w:lang w:val="en-US" w:eastAsia="zh-CN"/>
                    </w:rPr>
                  </w:pPr>
                  <w:r>
                    <w:rPr>
                      <w:rFonts w:hint="default" w:ascii="Times New Roman" w:hAnsi="Times New Roman" w:eastAsia="宋体" w:cs="Times New Roman"/>
                      <w:color w:val="auto"/>
                      <w:spacing w:val="-10"/>
                      <w:sz w:val="18"/>
                      <w:szCs w:val="18"/>
                      <w:highlight w:val="none"/>
                      <w:lang w:val="en-US" w:eastAsia="zh-CN"/>
                    </w:rPr>
                    <w:t>5</w:t>
                  </w:r>
                  <w:r>
                    <w:rPr>
                      <w:rFonts w:hint="eastAsia" w:ascii="Times New Roman" w:hAnsi="Times New Roman" w:eastAsia="宋体" w:cs="Times New Roman"/>
                      <w:color w:val="auto"/>
                      <w:spacing w:val="-10"/>
                      <w:sz w:val="18"/>
                      <w:szCs w:val="18"/>
                      <w:highlight w:val="none"/>
                      <w:lang w:val="en-US" w:eastAsia="zh-CN"/>
                    </w:rPr>
                    <w:t>、企业事业单位和其他生产经营者应当在规定期限内，淘汰列入河北省淘汰落后生产工艺、设备和产品名录的生产工艺、设备和产品。</w:t>
                  </w:r>
                </w:p>
                <w:p w14:paraId="0F79FAD3">
                  <w:pPr>
                    <w:keepNext w:val="0"/>
                    <w:keepLines w:val="0"/>
                    <w:pageBreakBefore w:val="0"/>
                    <w:widowControl w:val="0"/>
                    <w:numPr>
                      <w:ilvl w:val="0"/>
                      <w:numId w:val="0"/>
                    </w:numPr>
                    <w:kinsoku/>
                    <w:wordWrap/>
                    <w:overflowPunct/>
                    <w:topLinePunct w:val="0"/>
                    <w:autoSpaceDE/>
                    <w:autoSpaceDN/>
                    <w:bidi w:val="0"/>
                    <w:adjustRightInd/>
                    <w:snapToGrid/>
                    <w:spacing w:line="240" w:lineRule="exact"/>
                    <w:ind w:left="0" w:leftChars="0" w:firstLine="320" w:firstLineChars="200"/>
                    <w:jc w:val="left"/>
                    <w:textAlignment w:val="auto"/>
                    <w:rPr>
                      <w:rFonts w:hint="default" w:ascii="Times New Roman" w:hAnsi="Times New Roman" w:eastAsia="宋体" w:cs="Times New Roman"/>
                      <w:color w:val="auto"/>
                      <w:spacing w:val="-10"/>
                      <w:kern w:val="2"/>
                      <w:sz w:val="18"/>
                      <w:szCs w:val="18"/>
                      <w:highlight w:val="none"/>
                      <w:lang w:val="en-US" w:eastAsia="zh-CN" w:bidi="ar-SA"/>
                    </w:rPr>
                  </w:pPr>
                  <w:r>
                    <w:rPr>
                      <w:rFonts w:hint="default" w:ascii="Times New Roman" w:hAnsi="Times New Roman" w:eastAsia="宋体" w:cs="Times New Roman"/>
                      <w:color w:val="auto"/>
                      <w:spacing w:val="-10"/>
                      <w:sz w:val="18"/>
                      <w:szCs w:val="18"/>
                      <w:highlight w:val="none"/>
                      <w:lang w:val="en-US" w:eastAsia="zh-CN"/>
                    </w:rPr>
                    <w:t>6</w:t>
                  </w:r>
                  <w:r>
                    <w:rPr>
                      <w:rFonts w:hint="eastAsia" w:ascii="Times New Roman" w:hAnsi="Times New Roman" w:eastAsia="宋体" w:cs="Times New Roman"/>
                      <w:color w:val="auto"/>
                      <w:spacing w:val="-10"/>
                      <w:sz w:val="18"/>
                      <w:szCs w:val="18"/>
                      <w:highlight w:val="none"/>
                      <w:lang w:val="en-US" w:eastAsia="zh-CN"/>
                    </w:rPr>
                    <w:t xml:space="preserve">、全面取缔 </w:t>
                  </w:r>
                  <w:r>
                    <w:rPr>
                      <w:rFonts w:hint="default" w:ascii="Times New Roman" w:hAnsi="Times New Roman" w:eastAsia="宋体" w:cs="Times New Roman"/>
                      <w:color w:val="auto"/>
                      <w:spacing w:val="-10"/>
                      <w:sz w:val="18"/>
                      <w:szCs w:val="18"/>
                      <w:highlight w:val="none"/>
                      <w:lang w:val="en-US" w:eastAsia="zh-CN"/>
                    </w:rPr>
                    <w:t>35</w:t>
                  </w:r>
                  <w:r>
                    <w:rPr>
                      <w:rFonts w:hint="eastAsia" w:ascii="Times New Roman" w:hAnsi="Times New Roman" w:eastAsia="宋体" w:cs="Times New Roman"/>
                      <w:color w:val="auto"/>
                      <w:spacing w:val="-10"/>
                      <w:sz w:val="18"/>
                      <w:szCs w:val="18"/>
                      <w:highlight w:val="none"/>
                      <w:lang w:val="en-US" w:eastAsia="zh-CN"/>
                    </w:rPr>
                    <w:t>蒸吨及以下燃煤锅炉，发现一台，拆除一台，确保实现动态“清零”；严禁新增</w:t>
                  </w:r>
                  <w:r>
                    <w:rPr>
                      <w:rFonts w:hint="default" w:ascii="Times New Roman" w:hAnsi="Times New Roman" w:eastAsia="宋体" w:cs="Times New Roman"/>
                      <w:color w:val="auto"/>
                      <w:spacing w:val="-10"/>
                      <w:sz w:val="18"/>
                      <w:szCs w:val="18"/>
                      <w:highlight w:val="none"/>
                      <w:lang w:val="en-US" w:eastAsia="zh-CN"/>
                    </w:rPr>
                    <w:t>35</w:t>
                  </w:r>
                  <w:r>
                    <w:rPr>
                      <w:rFonts w:hint="eastAsia" w:ascii="Times New Roman" w:hAnsi="Times New Roman" w:eastAsia="宋体" w:cs="Times New Roman"/>
                      <w:color w:val="auto"/>
                      <w:spacing w:val="-10"/>
                      <w:sz w:val="18"/>
                      <w:szCs w:val="18"/>
                      <w:highlight w:val="none"/>
                      <w:lang w:val="en-US" w:eastAsia="zh-CN"/>
                    </w:rPr>
                    <w:t>蒸吨及以下燃煤锅炉。路南区、路北区、高新区、开平区、古冶区、丰润区、丰南区、曹妃甸区全面取缔燃生物质燃料、燃油（醇基燃料）锅炉，建成区范围内改为电锅炉，其他区域改为燃气锅炉或电锅炉。其他县（市）、开发区（管理区）全面取缔燃用生物质燃料非专用锅炉，改为燃气锅炉或电锅炉。</w:t>
                  </w:r>
                </w:p>
              </w:tc>
              <w:tc>
                <w:tcPr>
                  <w:tcW w:w="3525" w:type="dxa"/>
                  <w:tcBorders>
                    <w:tl2br w:val="nil"/>
                    <w:tr2bl w:val="nil"/>
                  </w:tcBorders>
                  <w:vAlign w:val="center"/>
                </w:tcPr>
                <w:p w14:paraId="63C14357">
                  <w:pPr>
                    <w:keepNext w:val="0"/>
                    <w:keepLines w:val="0"/>
                    <w:pageBreakBefore w:val="0"/>
                    <w:widowControl w:val="0"/>
                    <w:kinsoku/>
                    <w:wordWrap/>
                    <w:overflowPunct/>
                    <w:topLinePunct w:val="0"/>
                    <w:autoSpaceDE/>
                    <w:autoSpaceDN/>
                    <w:bidi w:val="0"/>
                    <w:adjustRightInd/>
                    <w:snapToGrid/>
                    <w:spacing w:line="240" w:lineRule="exact"/>
                    <w:ind w:firstLine="320" w:firstLineChars="200"/>
                    <w:jc w:val="left"/>
                    <w:textAlignment w:val="auto"/>
                    <w:rPr>
                      <w:rFonts w:hint="eastAsia" w:ascii="Times New Roman" w:hAnsi="Times New Roman" w:eastAsia="宋体" w:cs="Times New Roman"/>
                      <w:color w:val="auto"/>
                      <w:spacing w:val="-10"/>
                      <w:sz w:val="18"/>
                      <w:szCs w:val="18"/>
                      <w:highlight w:val="none"/>
                      <w:lang w:val="en-US" w:eastAsia="zh-CN"/>
                    </w:rPr>
                  </w:pPr>
                  <w:r>
                    <w:rPr>
                      <w:rFonts w:hint="eastAsia" w:cs="Times New Roman"/>
                      <w:color w:val="auto"/>
                      <w:spacing w:val="-10"/>
                      <w:sz w:val="18"/>
                      <w:szCs w:val="18"/>
                      <w:highlight w:val="none"/>
                      <w:lang w:val="en-US" w:eastAsia="zh-CN"/>
                    </w:rPr>
                    <w:t>1.本项目不涉及</w:t>
                  </w:r>
                  <w:r>
                    <w:rPr>
                      <w:rFonts w:hint="eastAsia" w:ascii="Times New Roman" w:hAnsi="Times New Roman" w:eastAsia="宋体" w:cs="Times New Roman"/>
                      <w:color w:val="auto"/>
                      <w:spacing w:val="-10"/>
                      <w:sz w:val="18"/>
                      <w:szCs w:val="18"/>
                      <w:highlight w:val="none"/>
                      <w:lang w:val="en-US" w:eastAsia="zh-CN"/>
                    </w:rPr>
                    <w:t>。</w:t>
                  </w:r>
                </w:p>
                <w:p w14:paraId="6A66AD86">
                  <w:pPr>
                    <w:keepNext w:val="0"/>
                    <w:keepLines w:val="0"/>
                    <w:pageBreakBefore w:val="0"/>
                    <w:widowControl w:val="0"/>
                    <w:kinsoku/>
                    <w:wordWrap/>
                    <w:overflowPunct/>
                    <w:topLinePunct w:val="0"/>
                    <w:autoSpaceDE/>
                    <w:autoSpaceDN/>
                    <w:bidi w:val="0"/>
                    <w:adjustRightInd/>
                    <w:snapToGrid/>
                    <w:spacing w:line="240" w:lineRule="exact"/>
                    <w:ind w:firstLine="320" w:firstLineChars="200"/>
                    <w:jc w:val="left"/>
                    <w:textAlignment w:val="auto"/>
                    <w:rPr>
                      <w:rFonts w:hint="eastAsia" w:ascii="Times New Roman" w:hAnsi="Times New Roman" w:eastAsia="宋体" w:cs="Times New Roman"/>
                      <w:color w:val="auto"/>
                      <w:spacing w:val="-10"/>
                      <w:sz w:val="18"/>
                      <w:szCs w:val="18"/>
                      <w:highlight w:val="none"/>
                      <w:lang w:val="en-US" w:eastAsia="zh-CN"/>
                    </w:rPr>
                  </w:pPr>
                  <w:r>
                    <w:rPr>
                      <w:rFonts w:hint="eastAsia" w:ascii="Times New Roman" w:hAnsi="Times New Roman" w:eastAsia="宋体" w:cs="Times New Roman"/>
                      <w:color w:val="auto"/>
                      <w:spacing w:val="-10"/>
                      <w:sz w:val="18"/>
                      <w:szCs w:val="18"/>
                      <w:highlight w:val="none"/>
                      <w:lang w:val="en-US" w:eastAsia="zh-CN"/>
                    </w:rPr>
                    <w:t>2.本项目不涉及钢铁、焦化、平板玻璃、水泥、陶瓷产能增加，</w:t>
                  </w:r>
                  <w:r>
                    <w:rPr>
                      <w:rFonts w:hint="eastAsia" w:cs="Times New Roman"/>
                      <w:color w:val="auto"/>
                      <w:spacing w:val="-10"/>
                      <w:sz w:val="18"/>
                      <w:szCs w:val="18"/>
                      <w:highlight w:val="none"/>
                      <w:lang w:val="en-US" w:eastAsia="zh-CN"/>
                    </w:rPr>
                    <w:t>不属于</w:t>
                  </w:r>
                  <w:r>
                    <w:rPr>
                      <w:rFonts w:hint="eastAsia" w:ascii="Times New Roman" w:hAnsi="Times New Roman" w:eastAsia="宋体" w:cs="Times New Roman"/>
                      <w:color w:val="auto"/>
                      <w:spacing w:val="-10"/>
                      <w:sz w:val="18"/>
                      <w:szCs w:val="18"/>
                      <w:highlight w:val="none"/>
                      <w:lang w:val="en-US" w:eastAsia="zh-CN"/>
                    </w:rPr>
                    <w:t>独立焦化、独立石灰、独立球团</w:t>
                  </w:r>
                  <w:r>
                    <w:rPr>
                      <w:rFonts w:hint="eastAsia" w:cs="Times New Roman"/>
                      <w:color w:val="auto"/>
                      <w:spacing w:val="-10"/>
                      <w:sz w:val="18"/>
                      <w:szCs w:val="18"/>
                      <w:highlight w:val="none"/>
                      <w:lang w:val="en-US" w:eastAsia="zh-CN"/>
                    </w:rPr>
                    <w:t>，</w:t>
                  </w:r>
                  <w:r>
                    <w:rPr>
                      <w:rFonts w:hint="eastAsia" w:ascii="Times New Roman" w:hAnsi="Times New Roman" w:eastAsia="宋体" w:cs="Times New Roman"/>
                      <w:color w:val="auto"/>
                      <w:spacing w:val="-10"/>
                      <w:sz w:val="18"/>
                      <w:szCs w:val="18"/>
                      <w:highlight w:val="none"/>
                      <w:lang w:val="en-US" w:eastAsia="zh-CN"/>
                    </w:rPr>
                    <w:t>根据《产业结构调整指导目录（2024年本）》，项目为</w:t>
                  </w:r>
                  <w:r>
                    <w:rPr>
                      <w:rFonts w:hint="eastAsia" w:cs="Times New Roman"/>
                      <w:color w:val="auto"/>
                      <w:spacing w:val="-10"/>
                      <w:sz w:val="18"/>
                      <w:szCs w:val="18"/>
                      <w:highlight w:val="none"/>
                      <w:lang w:val="en-US" w:eastAsia="zh-CN"/>
                    </w:rPr>
                    <w:t>鼓励类</w:t>
                  </w:r>
                  <w:r>
                    <w:rPr>
                      <w:rFonts w:hint="eastAsia" w:ascii="Times New Roman" w:hAnsi="Times New Roman" w:eastAsia="宋体" w:cs="Times New Roman"/>
                      <w:color w:val="auto"/>
                      <w:spacing w:val="-10"/>
                      <w:sz w:val="18"/>
                      <w:szCs w:val="18"/>
                      <w:highlight w:val="none"/>
                      <w:lang w:val="en-US" w:eastAsia="zh-CN"/>
                    </w:rPr>
                    <w:t>项目。</w:t>
                  </w:r>
                </w:p>
                <w:p w14:paraId="26AC040F">
                  <w:pPr>
                    <w:keepNext w:val="0"/>
                    <w:keepLines w:val="0"/>
                    <w:pageBreakBefore w:val="0"/>
                    <w:widowControl w:val="0"/>
                    <w:kinsoku/>
                    <w:wordWrap/>
                    <w:overflowPunct/>
                    <w:topLinePunct w:val="0"/>
                    <w:autoSpaceDE/>
                    <w:autoSpaceDN/>
                    <w:bidi w:val="0"/>
                    <w:adjustRightInd/>
                    <w:snapToGrid/>
                    <w:spacing w:line="240" w:lineRule="exact"/>
                    <w:ind w:firstLine="320" w:firstLineChars="200"/>
                    <w:jc w:val="left"/>
                    <w:textAlignment w:val="auto"/>
                    <w:rPr>
                      <w:rFonts w:hint="eastAsia" w:ascii="Times New Roman" w:hAnsi="Times New Roman" w:eastAsia="宋体" w:cs="Times New Roman"/>
                      <w:color w:val="auto"/>
                      <w:spacing w:val="-10"/>
                      <w:sz w:val="18"/>
                      <w:szCs w:val="18"/>
                      <w:highlight w:val="none"/>
                      <w:lang w:val="en-US" w:eastAsia="zh-CN"/>
                    </w:rPr>
                  </w:pPr>
                  <w:r>
                    <w:rPr>
                      <w:rFonts w:hint="eastAsia" w:cs="Times New Roman"/>
                      <w:color w:val="auto"/>
                      <w:spacing w:val="-10"/>
                      <w:sz w:val="18"/>
                      <w:szCs w:val="18"/>
                      <w:highlight w:val="none"/>
                      <w:lang w:val="en-US" w:eastAsia="zh-CN"/>
                    </w:rPr>
                    <w:t>3.</w:t>
                  </w:r>
                  <w:r>
                    <w:rPr>
                      <w:rFonts w:hint="eastAsia" w:ascii="Times New Roman" w:hAnsi="Times New Roman" w:eastAsia="宋体" w:cs="Times New Roman"/>
                      <w:color w:val="auto"/>
                      <w:spacing w:val="-10"/>
                      <w:sz w:val="18"/>
                      <w:szCs w:val="18"/>
                      <w:highlight w:val="none"/>
                      <w:lang w:val="en-US" w:eastAsia="zh-CN"/>
                    </w:rPr>
                    <w:t>本</w:t>
                  </w:r>
                  <w:r>
                    <w:rPr>
                      <w:rFonts w:hint="default" w:ascii="Times New Roman" w:hAnsi="Times New Roman" w:eastAsia="宋体" w:cs="Times New Roman"/>
                      <w:color w:val="auto"/>
                      <w:spacing w:val="-10"/>
                      <w:sz w:val="18"/>
                      <w:szCs w:val="18"/>
                      <w:highlight w:val="none"/>
                      <w:lang w:val="en-US" w:eastAsia="zh-CN"/>
                    </w:rPr>
                    <w:t>项目</w:t>
                  </w:r>
                  <w:r>
                    <w:rPr>
                      <w:rFonts w:hint="default" w:ascii="Times New Roman" w:hAnsi="Times New Roman" w:eastAsia="宋体" w:cs="Times New Roman"/>
                      <w:color w:val="auto"/>
                      <w:spacing w:val="-10"/>
                      <w:sz w:val="18"/>
                      <w:szCs w:val="18"/>
                      <w:highlight w:val="none"/>
                      <w:lang w:val="zh-CN" w:eastAsia="zh-CN"/>
                    </w:rPr>
                    <w:t>位于</w:t>
                  </w:r>
                  <w:r>
                    <w:rPr>
                      <w:rFonts w:hint="eastAsia" w:ascii="Times New Roman" w:hAnsi="Times New Roman" w:eastAsia="宋体" w:cs="Times New Roman"/>
                      <w:color w:val="auto"/>
                      <w:spacing w:val="-10"/>
                      <w:sz w:val="18"/>
                      <w:szCs w:val="18"/>
                      <w:lang w:val="en-US" w:eastAsia="zh-CN"/>
                    </w:rPr>
                    <w:t>河北省唐山市滦州市九百户镇宜安村西</w:t>
                  </w:r>
                  <w:r>
                    <w:rPr>
                      <w:rFonts w:hint="default" w:ascii="Times New Roman" w:hAnsi="Times New Roman" w:eastAsia="宋体" w:cs="Times New Roman"/>
                      <w:color w:val="auto"/>
                      <w:spacing w:val="-10"/>
                      <w:sz w:val="18"/>
                      <w:szCs w:val="18"/>
                      <w:highlight w:val="none"/>
                      <w:lang w:val="zh-CN" w:eastAsia="zh-CN"/>
                    </w:rPr>
                    <w:t>，</w:t>
                  </w:r>
                  <w:r>
                    <w:rPr>
                      <w:rFonts w:hint="eastAsia" w:ascii="Times New Roman" w:hAnsi="Times New Roman" w:eastAsia="宋体" w:cs="Times New Roman"/>
                      <w:color w:val="auto"/>
                      <w:spacing w:val="-10"/>
                      <w:sz w:val="18"/>
                      <w:szCs w:val="18"/>
                      <w:highlight w:val="none"/>
                      <w:lang w:val="en-US" w:eastAsia="zh-CN"/>
                    </w:rPr>
                    <w:t>项目配套建设高效环保治理设施，根据最新的环保要求，除六大行业外，均已不需要倍量削减，符合建设项目环评要求。</w:t>
                  </w:r>
                </w:p>
                <w:p w14:paraId="4BD22809">
                  <w:pPr>
                    <w:keepNext w:val="0"/>
                    <w:keepLines w:val="0"/>
                    <w:pageBreakBefore w:val="0"/>
                    <w:widowControl w:val="0"/>
                    <w:kinsoku/>
                    <w:wordWrap/>
                    <w:overflowPunct/>
                    <w:topLinePunct w:val="0"/>
                    <w:autoSpaceDE/>
                    <w:autoSpaceDN/>
                    <w:bidi w:val="0"/>
                    <w:adjustRightInd/>
                    <w:snapToGrid/>
                    <w:spacing w:line="240" w:lineRule="exact"/>
                    <w:ind w:firstLine="320" w:firstLineChars="200"/>
                    <w:jc w:val="left"/>
                    <w:textAlignment w:val="auto"/>
                    <w:rPr>
                      <w:rFonts w:hint="eastAsia" w:ascii="Times New Roman" w:hAnsi="Times New Roman" w:eastAsia="宋体" w:cs="Times New Roman"/>
                      <w:color w:val="auto"/>
                      <w:spacing w:val="-10"/>
                      <w:sz w:val="18"/>
                      <w:szCs w:val="18"/>
                      <w:highlight w:val="none"/>
                      <w:lang w:val="en-US" w:eastAsia="zh-CN"/>
                    </w:rPr>
                  </w:pPr>
                  <w:r>
                    <w:rPr>
                      <w:rFonts w:hint="eastAsia" w:cs="Times New Roman"/>
                      <w:color w:val="auto"/>
                      <w:spacing w:val="-10"/>
                      <w:sz w:val="18"/>
                      <w:szCs w:val="18"/>
                      <w:highlight w:val="none"/>
                      <w:lang w:val="en-US" w:eastAsia="zh-CN"/>
                    </w:rPr>
                    <w:t>4</w:t>
                  </w:r>
                  <w:r>
                    <w:rPr>
                      <w:rFonts w:hint="eastAsia" w:ascii="Times New Roman" w:hAnsi="Times New Roman" w:eastAsia="宋体" w:cs="Times New Roman"/>
                      <w:color w:val="auto"/>
                      <w:spacing w:val="-10"/>
                      <w:sz w:val="18"/>
                      <w:szCs w:val="18"/>
                      <w:highlight w:val="none"/>
                      <w:lang w:val="en-US" w:eastAsia="zh-CN"/>
                    </w:rPr>
                    <w:t>.本项目</w:t>
                  </w:r>
                  <w:r>
                    <w:rPr>
                      <w:rFonts w:hint="eastAsia" w:cs="Times New Roman"/>
                      <w:color w:val="auto"/>
                      <w:spacing w:val="-10"/>
                      <w:sz w:val="18"/>
                      <w:szCs w:val="18"/>
                      <w:highlight w:val="none"/>
                      <w:lang w:val="en-US" w:eastAsia="zh-CN"/>
                    </w:rPr>
                    <w:t>不涉及</w:t>
                  </w:r>
                  <w:r>
                    <w:rPr>
                      <w:rFonts w:hint="eastAsia" w:ascii="Times New Roman" w:hAnsi="Times New Roman" w:eastAsia="宋体" w:cs="Times New Roman"/>
                      <w:color w:val="auto"/>
                      <w:spacing w:val="-10"/>
                      <w:sz w:val="18"/>
                      <w:szCs w:val="18"/>
                      <w:highlight w:val="none"/>
                      <w:lang w:val="en-US" w:eastAsia="zh-CN"/>
                    </w:rPr>
                    <w:t>。</w:t>
                  </w:r>
                </w:p>
                <w:p w14:paraId="574E3F38">
                  <w:pPr>
                    <w:keepNext w:val="0"/>
                    <w:keepLines w:val="0"/>
                    <w:pageBreakBefore w:val="0"/>
                    <w:widowControl w:val="0"/>
                    <w:kinsoku/>
                    <w:wordWrap/>
                    <w:overflowPunct/>
                    <w:topLinePunct w:val="0"/>
                    <w:autoSpaceDE/>
                    <w:autoSpaceDN/>
                    <w:bidi w:val="0"/>
                    <w:adjustRightInd/>
                    <w:snapToGrid/>
                    <w:spacing w:line="240" w:lineRule="exact"/>
                    <w:ind w:firstLine="320" w:firstLineChars="200"/>
                    <w:jc w:val="left"/>
                    <w:textAlignment w:val="auto"/>
                    <w:rPr>
                      <w:rFonts w:hint="default" w:ascii="Times New Roman" w:hAnsi="Times New Roman" w:eastAsia="宋体" w:cs="Times New Roman"/>
                      <w:color w:val="auto"/>
                      <w:spacing w:val="-10"/>
                      <w:sz w:val="18"/>
                      <w:szCs w:val="18"/>
                      <w:highlight w:val="none"/>
                      <w:lang w:val="en-US" w:eastAsia="zh-CN"/>
                    </w:rPr>
                  </w:pPr>
                  <w:r>
                    <w:rPr>
                      <w:rFonts w:hint="eastAsia" w:cs="Times New Roman"/>
                      <w:color w:val="auto"/>
                      <w:spacing w:val="-10"/>
                      <w:sz w:val="18"/>
                      <w:szCs w:val="18"/>
                      <w:highlight w:val="none"/>
                      <w:lang w:val="en-US" w:eastAsia="zh-CN"/>
                    </w:rPr>
                    <w:t>5.</w:t>
                  </w:r>
                  <w:r>
                    <w:rPr>
                      <w:rFonts w:hint="eastAsia" w:ascii="Times New Roman" w:hAnsi="Times New Roman" w:eastAsia="宋体" w:cs="Times New Roman"/>
                      <w:color w:val="auto"/>
                      <w:spacing w:val="-10"/>
                      <w:sz w:val="18"/>
                      <w:szCs w:val="18"/>
                      <w:highlight w:val="none"/>
                      <w:lang w:val="en-US" w:eastAsia="zh-CN"/>
                    </w:rPr>
                    <w:t>本项目</w:t>
                  </w:r>
                  <w:r>
                    <w:rPr>
                      <w:rFonts w:hint="eastAsia" w:cs="Times New Roman"/>
                      <w:color w:val="auto"/>
                      <w:spacing w:val="-10"/>
                      <w:sz w:val="18"/>
                      <w:szCs w:val="18"/>
                      <w:highlight w:val="none"/>
                      <w:lang w:val="en-US" w:eastAsia="zh-CN"/>
                    </w:rPr>
                    <w:t>采用的工艺及设备无淘汰</w:t>
                  </w:r>
                  <w:r>
                    <w:rPr>
                      <w:rFonts w:hint="eastAsia" w:ascii="Times New Roman" w:hAnsi="Times New Roman" w:eastAsia="宋体" w:cs="Times New Roman"/>
                      <w:color w:val="auto"/>
                      <w:spacing w:val="-10"/>
                      <w:sz w:val="18"/>
                      <w:szCs w:val="18"/>
                      <w:highlight w:val="none"/>
                      <w:lang w:val="en-US" w:eastAsia="zh-CN"/>
                    </w:rPr>
                    <w:t>落后生产工艺、设备</w:t>
                  </w:r>
                  <w:r>
                    <w:rPr>
                      <w:rFonts w:hint="eastAsia" w:cs="Times New Roman"/>
                      <w:color w:val="auto"/>
                      <w:spacing w:val="-10"/>
                      <w:sz w:val="18"/>
                      <w:szCs w:val="18"/>
                      <w:highlight w:val="none"/>
                      <w:lang w:val="en-US" w:eastAsia="zh-CN"/>
                    </w:rPr>
                    <w:t>。</w:t>
                  </w:r>
                </w:p>
                <w:p w14:paraId="4EC1BE02">
                  <w:pPr>
                    <w:keepNext w:val="0"/>
                    <w:keepLines w:val="0"/>
                    <w:pageBreakBefore w:val="0"/>
                    <w:widowControl w:val="0"/>
                    <w:kinsoku/>
                    <w:wordWrap/>
                    <w:overflowPunct/>
                    <w:topLinePunct w:val="0"/>
                    <w:autoSpaceDE/>
                    <w:autoSpaceDN/>
                    <w:bidi w:val="0"/>
                    <w:adjustRightInd/>
                    <w:snapToGrid/>
                    <w:spacing w:line="240" w:lineRule="exact"/>
                    <w:ind w:firstLine="320" w:firstLineChars="200"/>
                    <w:jc w:val="left"/>
                    <w:textAlignment w:val="auto"/>
                    <w:rPr>
                      <w:rFonts w:hint="default" w:ascii="Times New Roman" w:hAnsi="Times New Roman" w:eastAsia="宋体" w:cs="Times New Roman"/>
                      <w:color w:val="auto"/>
                      <w:spacing w:val="-10"/>
                      <w:sz w:val="18"/>
                      <w:szCs w:val="18"/>
                      <w:highlight w:val="none"/>
                      <w:lang w:val="en-US" w:eastAsia="zh-CN"/>
                    </w:rPr>
                  </w:pPr>
                  <w:r>
                    <w:rPr>
                      <w:rFonts w:hint="eastAsia" w:cs="Times New Roman"/>
                      <w:color w:val="auto"/>
                      <w:spacing w:val="-10"/>
                      <w:sz w:val="18"/>
                      <w:szCs w:val="18"/>
                      <w:highlight w:val="none"/>
                      <w:lang w:val="en-US" w:eastAsia="zh-CN"/>
                    </w:rPr>
                    <w:t>6.</w:t>
                  </w:r>
                  <w:r>
                    <w:rPr>
                      <w:rFonts w:hint="eastAsia" w:ascii="Times New Roman" w:hAnsi="Times New Roman" w:eastAsia="宋体" w:cs="Times New Roman"/>
                      <w:color w:val="auto"/>
                      <w:spacing w:val="-10"/>
                      <w:sz w:val="18"/>
                      <w:szCs w:val="18"/>
                      <w:highlight w:val="none"/>
                      <w:lang w:val="en-US" w:eastAsia="zh-CN"/>
                    </w:rPr>
                    <w:t>本项目</w:t>
                  </w:r>
                  <w:r>
                    <w:rPr>
                      <w:rFonts w:hint="eastAsia" w:cs="Times New Roman"/>
                      <w:color w:val="auto"/>
                      <w:spacing w:val="-10"/>
                      <w:sz w:val="18"/>
                      <w:szCs w:val="18"/>
                      <w:highlight w:val="none"/>
                      <w:lang w:val="en-US" w:eastAsia="zh-CN"/>
                    </w:rPr>
                    <w:t>不涉及。</w:t>
                  </w:r>
                </w:p>
              </w:tc>
              <w:tc>
                <w:tcPr>
                  <w:tcW w:w="750" w:type="dxa"/>
                  <w:tcBorders>
                    <w:tl2br w:val="nil"/>
                    <w:tr2bl w:val="nil"/>
                  </w:tcBorders>
                  <w:vAlign w:val="center"/>
                </w:tcPr>
                <w:p w14:paraId="14A286D7">
                  <w:pPr>
                    <w:spacing w:line="240" w:lineRule="exact"/>
                    <w:jc w:val="center"/>
                    <w:rPr>
                      <w:rFonts w:hint="default" w:ascii="Times New Roman" w:hAnsi="Times New Roman" w:eastAsia="宋体" w:cs="Times New Roman"/>
                      <w:color w:val="auto"/>
                      <w:spacing w:val="-10"/>
                      <w:kern w:val="2"/>
                      <w:sz w:val="18"/>
                      <w:szCs w:val="18"/>
                      <w:highlight w:val="none"/>
                      <w:lang w:val="en-US" w:eastAsia="zh-CN" w:bidi="ar-SA"/>
                    </w:rPr>
                  </w:pPr>
                  <w:r>
                    <w:rPr>
                      <w:rFonts w:hint="default" w:ascii="Times New Roman" w:hAnsi="Times New Roman" w:eastAsia="宋体" w:cs="Times New Roman"/>
                      <w:color w:val="auto"/>
                      <w:spacing w:val="-10"/>
                      <w:sz w:val="18"/>
                      <w:szCs w:val="18"/>
                      <w:highlight w:val="none"/>
                      <w:lang w:val="en-US" w:eastAsia="zh-CN"/>
                    </w:rPr>
                    <w:t>符合</w:t>
                  </w:r>
                </w:p>
              </w:tc>
            </w:tr>
            <w:tr w14:paraId="1D90F81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87" w:type="dxa"/>
                  <w:vMerge w:val="continue"/>
                  <w:tcBorders>
                    <w:tl2br w:val="nil"/>
                    <w:tr2bl w:val="nil"/>
                  </w:tcBorders>
                  <w:vAlign w:val="center"/>
                </w:tcPr>
                <w:p w14:paraId="73838B57">
                  <w:pPr>
                    <w:spacing w:line="240" w:lineRule="exact"/>
                    <w:jc w:val="center"/>
                    <w:rPr>
                      <w:rFonts w:hint="default" w:ascii="Times New Roman" w:hAnsi="Times New Roman" w:cs="Times New Roman"/>
                      <w:color w:val="auto"/>
                      <w:spacing w:val="-10"/>
                      <w:sz w:val="18"/>
                      <w:szCs w:val="18"/>
                      <w:highlight w:val="none"/>
                      <w:lang w:val="en-US" w:eastAsia="zh-CN"/>
                    </w:rPr>
                  </w:pPr>
                </w:p>
              </w:tc>
              <w:tc>
                <w:tcPr>
                  <w:tcW w:w="1420" w:type="dxa"/>
                  <w:tcBorders>
                    <w:tl2br w:val="nil"/>
                    <w:tr2bl w:val="nil"/>
                  </w:tcBorders>
                  <w:vAlign w:val="center"/>
                </w:tcPr>
                <w:p w14:paraId="159C7162">
                  <w:pPr>
                    <w:spacing w:line="240" w:lineRule="exact"/>
                    <w:jc w:val="center"/>
                    <w:rPr>
                      <w:rFonts w:hint="default" w:ascii="Times New Roman" w:hAnsi="Times New Roman" w:eastAsia="宋体" w:cs="Times New Roman"/>
                      <w:color w:val="auto"/>
                      <w:spacing w:val="-10"/>
                      <w:kern w:val="2"/>
                      <w:sz w:val="18"/>
                      <w:szCs w:val="18"/>
                      <w:highlight w:val="none"/>
                      <w:lang w:val="en-US" w:eastAsia="zh-CN" w:bidi="ar-SA"/>
                    </w:rPr>
                  </w:pPr>
                  <w:r>
                    <w:rPr>
                      <w:rFonts w:hint="default" w:ascii="Times New Roman" w:hAnsi="Times New Roman" w:eastAsia="宋体" w:cs="Times New Roman"/>
                      <w:color w:val="auto"/>
                      <w:spacing w:val="-10"/>
                      <w:sz w:val="18"/>
                      <w:szCs w:val="18"/>
                      <w:highlight w:val="none"/>
                      <w:lang w:val="en-US" w:eastAsia="zh-CN"/>
                    </w:rPr>
                    <w:t>污染物排放管控</w:t>
                  </w:r>
                </w:p>
              </w:tc>
              <w:tc>
                <w:tcPr>
                  <w:tcW w:w="5593" w:type="dxa"/>
                  <w:tcBorders>
                    <w:tl2br w:val="nil"/>
                    <w:tr2bl w:val="nil"/>
                  </w:tcBorders>
                  <w:vAlign w:val="center"/>
                </w:tcPr>
                <w:p w14:paraId="578B407E">
                  <w:pPr>
                    <w:keepNext w:val="0"/>
                    <w:keepLines w:val="0"/>
                    <w:pageBreakBefore w:val="0"/>
                    <w:widowControl w:val="0"/>
                    <w:numPr>
                      <w:ilvl w:val="0"/>
                      <w:numId w:val="2"/>
                    </w:numPr>
                    <w:kinsoku/>
                    <w:wordWrap/>
                    <w:overflowPunct/>
                    <w:topLinePunct w:val="0"/>
                    <w:autoSpaceDE/>
                    <w:autoSpaceDN/>
                    <w:bidi w:val="0"/>
                    <w:adjustRightInd/>
                    <w:snapToGrid/>
                    <w:spacing w:line="240" w:lineRule="exact"/>
                    <w:ind w:left="0" w:leftChars="0" w:firstLine="320" w:firstLineChars="200"/>
                    <w:jc w:val="left"/>
                    <w:textAlignment w:val="auto"/>
                    <w:rPr>
                      <w:rFonts w:hint="eastAsia" w:ascii="Times New Roman" w:hAnsi="Times New Roman" w:eastAsia="宋体" w:cs="Times New Roman"/>
                      <w:color w:val="auto"/>
                      <w:spacing w:val="-10"/>
                      <w:sz w:val="18"/>
                      <w:szCs w:val="18"/>
                      <w:highlight w:val="none"/>
                      <w:lang w:val="en-US" w:eastAsia="zh-CN"/>
                    </w:rPr>
                  </w:pPr>
                  <w:r>
                    <w:rPr>
                      <w:rFonts w:hint="eastAsia" w:ascii="Times New Roman" w:hAnsi="Times New Roman" w:eastAsia="宋体" w:cs="Times New Roman"/>
                      <w:color w:val="auto"/>
                      <w:spacing w:val="-10"/>
                      <w:sz w:val="18"/>
                      <w:szCs w:val="18"/>
                      <w:highlight w:val="none"/>
                      <w:lang w:val="en-US" w:eastAsia="zh-CN"/>
                    </w:rPr>
                    <w:t>细颗粒物（</w:t>
                  </w:r>
                  <w:r>
                    <w:rPr>
                      <w:rFonts w:hint="default" w:ascii="Times New Roman" w:hAnsi="Times New Roman" w:eastAsia="宋体" w:cs="Times New Roman"/>
                      <w:color w:val="auto"/>
                      <w:spacing w:val="-10"/>
                      <w:sz w:val="18"/>
                      <w:szCs w:val="18"/>
                      <w:highlight w:val="none"/>
                      <w:lang w:val="en-US" w:eastAsia="zh-CN"/>
                    </w:rPr>
                    <w:t>PM</w:t>
                  </w:r>
                  <w:r>
                    <w:rPr>
                      <w:rFonts w:hint="default" w:ascii="Times New Roman" w:hAnsi="Times New Roman" w:eastAsia="宋体" w:cs="Times New Roman"/>
                      <w:color w:val="auto"/>
                      <w:spacing w:val="-10"/>
                      <w:sz w:val="18"/>
                      <w:szCs w:val="18"/>
                      <w:highlight w:val="none"/>
                      <w:vertAlign w:val="subscript"/>
                      <w:lang w:val="en-US" w:eastAsia="zh-CN"/>
                    </w:rPr>
                    <w:t>2.5</w:t>
                  </w:r>
                  <w:r>
                    <w:rPr>
                      <w:rFonts w:hint="eastAsia" w:ascii="Times New Roman" w:hAnsi="Times New Roman" w:eastAsia="宋体" w:cs="Times New Roman"/>
                      <w:color w:val="auto"/>
                      <w:spacing w:val="-10"/>
                      <w:sz w:val="18"/>
                      <w:szCs w:val="18"/>
                      <w:highlight w:val="none"/>
                      <w:lang w:val="en-US" w:eastAsia="zh-CN"/>
                    </w:rPr>
                    <w:t>）年平均浓度不达标的城市，二氧化硫、氮氧化物、烟粉尘、挥发性有机物四项污染物均需进行</w:t>
                  </w:r>
                  <w:r>
                    <w:rPr>
                      <w:rFonts w:hint="default" w:ascii="Times New Roman" w:hAnsi="Times New Roman" w:eastAsia="宋体" w:cs="Times New Roman"/>
                      <w:color w:val="auto"/>
                      <w:spacing w:val="-10"/>
                      <w:sz w:val="18"/>
                      <w:szCs w:val="18"/>
                      <w:highlight w:val="none"/>
                      <w:lang w:val="en-US" w:eastAsia="zh-CN"/>
                    </w:rPr>
                    <w:t>2</w:t>
                  </w:r>
                  <w:r>
                    <w:rPr>
                      <w:rFonts w:hint="eastAsia" w:ascii="Times New Roman" w:hAnsi="Times New Roman" w:eastAsia="宋体" w:cs="Times New Roman"/>
                      <w:color w:val="auto"/>
                      <w:spacing w:val="-10"/>
                      <w:sz w:val="18"/>
                      <w:szCs w:val="18"/>
                      <w:highlight w:val="none"/>
                      <w:lang w:val="en-US" w:eastAsia="zh-CN"/>
                    </w:rPr>
                    <w:t>倍削减替代（燃煤发电机组大气污染物排放浓度基本达到燃气轮机组排放限值的除外）。</w:t>
                  </w:r>
                </w:p>
                <w:p w14:paraId="704A5D1E">
                  <w:pPr>
                    <w:keepNext w:val="0"/>
                    <w:keepLines w:val="0"/>
                    <w:pageBreakBefore w:val="0"/>
                    <w:widowControl w:val="0"/>
                    <w:numPr>
                      <w:ilvl w:val="0"/>
                      <w:numId w:val="0"/>
                    </w:numPr>
                    <w:kinsoku/>
                    <w:wordWrap/>
                    <w:overflowPunct/>
                    <w:topLinePunct w:val="0"/>
                    <w:autoSpaceDE/>
                    <w:autoSpaceDN/>
                    <w:bidi w:val="0"/>
                    <w:adjustRightInd/>
                    <w:snapToGrid/>
                    <w:spacing w:line="240" w:lineRule="exact"/>
                    <w:ind w:firstLine="320" w:firstLineChars="200"/>
                    <w:jc w:val="left"/>
                    <w:textAlignment w:val="auto"/>
                    <w:rPr>
                      <w:rFonts w:hint="eastAsia" w:ascii="Times New Roman" w:hAnsi="Times New Roman" w:eastAsia="宋体" w:cs="Times New Roman"/>
                      <w:color w:val="auto"/>
                      <w:spacing w:val="-10"/>
                      <w:sz w:val="18"/>
                      <w:szCs w:val="18"/>
                      <w:highlight w:val="none"/>
                      <w:lang w:val="en-US" w:eastAsia="zh-CN"/>
                    </w:rPr>
                  </w:pPr>
                  <w:r>
                    <w:rPr>
                      <w:rFonts w:hint="eastAsia" w:cs="Times New Roman"/>
                      <w:color w:val="auto"/>
                      <w:spacing w:val="-10"/>
                      <w:sz w:val="18"/>
                      <w:szCs w:val="18"/>
                      <w:highlight w:val="none"/>
                      <w:lang w:val="en-US" w:eastAsia="zh-CN"/>
                    </w:rPr>
                    <w:t>2、</w:t>
                  </w:r>
                  <w:r>
                    <w:rPr>
                      <w:rFonts w:hint="default" w:ascii="Times New Roman" w:hAnsi="Times New Roman" w:eastAsia="宋体" w:cs="Times New Roman"/>
                      <w:color w:val="auto"/>
                      <w:spacing w:val="-10"/>
                      <w:sz w:val="18"/>
                      <w:szCs w:val="18"/>
                      <w:highlight w:val="none"/>
                      <w:lang w:val="en-US" w:eastAsia="zh-CN"/>
                    </w:rPr>
                    <w:t xml:space="preserve">35 </w:t>
                  </w:r>
                  <w:r>
                    <w:rPr>
                      <w:rFonts w:hint="eastAsia" w:ascii="Times New Roman" w:hAnsi="Times New Roman" w:eastAsia="宋体" w:cs="Times New Roman"/>
                      <w:color w:val="auto"/>
                      <w:spacing w:val="-10"/>
                      <w:sz w:val="18"/>
                      <w:szCs w:val="18"/>
                      <w:highlight w:val="none"/>
                      <w:lang w:val="en-US" w:eastAsia="zh-CN"/>
                    </w:rPr>
                    <w:t>蒸吨以上燃煤锅炉、燃油（醇基燃料）锅炉、燃用生物质专用锅炉各污染物排放浓度达 到《河北省锅炉大气污染物排放标准（</w:t>
                  </w:r>
                  <w:r>
                    <w:rPr>
                      <w:rFonts w:hint="default" w:ascii="Times New Roman" w:hAnsi="Times New Roman" w:eastAsia="宋体" w:cs="Times New Roman"/>
                      <w:color w:val="auto"/>
                      <w:spacing w:val="-10"/>
                      <w:sz w:val="18"/>
                      <w:szCs w:val="18"/>
                      <w:highlight w:val="none"/>
                      <w:lang w:val="en-US" w:eastAsia="zh-CN"/>
                    </w:rPr>
                    <w:t>DB13/5161</w:t>
                  </w:r>
                  <w:r>
                    <w:rPr>
                      <w:rFonts w:hint="eastAsia" w:ascii="Times New Roman" w:hAnsi="Times New Roman" w:eastAsia="宋体" w:cs="Times New Roman"/>
                      <w:color w:val="auto"/>
                      <w:spacing w:val="-10"/>
                      <w:sz w:val="18"/>
                      <w:szCs w:val="18"/>
                      <w:highlight w:val="none"/>
                      <w:lang w:val="en-US" w:eastAsia="zh-CN"/>
                    </w:rPr>
                    <w:t>）》要求；燃煤气、天然气锅炉各污染物排放浓度达到《唐山市锅炉治理专项实施方案》（唐气领办〔</w:t>
                  </w:r>
                  <w:r>
                    <w:rPr>
                      <w:rFonts w:hint="default" w:ascii="Times New Roman" w:hAnsi="Times New Roman" w:eastAsia="宋体" w:cs="Times New Roman"/>
                      <w:color w:val="auto"/>
                      <w:spacing w:val="-10"/>
                      <w:sz w:val="18"/>
                      <w:szCs w:val="18"/>
                      <w:highlight w:val="none"/>
                      <w:lang w:val="en-US" w:eastAsia="zh-CN"/>
                    </w:rPr>
                    <w:t>2019</w:t>
                  </w:r>
                  <w:r>
                    <w:rPr>
                      <w:rFonts w:hint="eastAsia" w:ascii="Times New Roman" w:hAnsi="Times New Roman" w:eastAsia="宋体" w:cs="Times New Roman"/>
                      <w:color w:val="auto"/>
                      <w:spacing w:val="-10"/>
                      <w:sz w:val="18"/>
                      <w:szCs w:val="18"/>
                      <w:highlight w:val="none"/>
                      <w:lang w:val="en-US" w:eastAsia="zh-CN"/>
                    </w:rPr>
                    <w:t>〕</w:t>
                  </w:r>
                  <w:r>
                    <w:rPr>
                      <w:rFonts w:hint="default" w:ascii="Times New Roman" w:hAnsi="Times New Roman" w:eastAsia="宋体" w:cs="Times New Roman"/>
                      <w:color w:val="auto"/>
                      <w:spacing w:val="-10"/>
                      <w:sz w:val="18"/>
                      <w:szCs w:val="18"/>
                      <w:highlight w:val="none"/>
                      <w:lang w:val="en-US" w:eastAsia="zh-CN"/>
                    </w:rPr>
                    <w:t xml:space="preserve">10 </w:t>
                  </w:r>
                  <w:r>
                    <w:rPr>
                      <w:rFonts w:hint="eastAsia" w:ascii="Times New Roman" w:hAnsi="Times New Roman" w:eastAsia="宋体" w:cs="Times New Roman"/>
                      <w:color w:val="auto"/>
                      <w:spacing w:val="-10"/>
                      <w:sz w:val="18"/>
                      <w:szCs w:val="18"/>
                      <w:highlight w:val="none"/>
                      <w:lang w:val="en-US" w:eastAsia="zh-CN"/>
                    </w:rPr>
                    <w:t>号）要求。</w:t>
                  </w:r>
                </w:p>
                <w:p w14:paraId="69643027">
                  <w:pPr>
                    <w:keepNext w:val="0"/>
                    <w:keepLines w:val="0"/>
                    <w:pageBreakBefore w:val="0"/>
                    <w:widowControl w:val="0"/>
                    <w:numPr>
                      <w:ilvl w:val="0"/>
                      <w:numId w:val="0"/>
                    </w:numPr>
                    <w:kinsoku/>
                    <w:wordWrap/>
                    <w:overflowPunct/>
                    <w:topLinePunct w:val="0"/>
                    <w:autoSpaceDE/>
                    <w:autoSpaceDN/>
                    <w:bidi w:val="0"/>
                    <w:adjustRightInd/>
                    <w:snapToGrid/>
                    <w:spacing w:line="240" w:lineRule="exact"/>
                    <w:ind w:firstLine="320" w:firstLineChars="200"/>
                    <w:jc w:val="left"/>
                    <w:textAlignment w:val="auto"/>
                    <w:rPr>
                      <w:rFonts w:hint="default" w:ascii="Times New Roman" w:hAnsi="Times New Roman" w:eastAsia="宋体" w:cs="Times New Roman"/>
                      <w:color w:val="auto"/>
                      <w:spacing w:val="-10"/>
                      <w:sz w:val="18"/>
                      <w:szCs w:val="18"/>
                      <w:highlight w:val="none"/>
                      <w:lang w:val="en-US" w:eastAsia="zh-CN"/>
                    </w:rPr>
                  </w:pPr>
                  <w:r>
                    <w:rPr>
                      <w:rFonts w:hint="default" w:ascii="Times New Roman" w:hAnsi="Times New Roman" w:eastAsia="宋体" w:cs="Times New Roman"/>
                      <w:color w:val="auto"/>
                      <w:spacing w:val="-10"/>
                      <w:sz w:val="18"/>
                      <w:szCs w:val="18"/>
                      <w:highlight w:val="none"/>
                      <w:lang w:val="en-US" w:eastAsia="zh-CN"/>
                    </w:rPr>
                    <w:t>3</w:t>
                  </w:r>
                  <w:r>
                    <w:rPr>
                      <w:rFonts w:hint="eastAsia" w:ascii="Times New Roman" w:hAnsi="Times New Roman" w:eastAsia="宋体" w:cs="Times New Roman"/>
                      <w:color w:val="auto"/>
                      <w:spacing w:val="-10"/>
                      <w:sz w:val="18"/>
                      <w:szCs w:val="18"/>
                      <w:highlight w:val="none"/>
                      <w:lang w:val="en-US" w:eastAsia="zh-CN"/>
                    </w:rPr>
                    <w:t>、加强农村燃煤污染治理：（一）推广使用民用清洁燃烧炉具，加快淘汰低效直燃式高污染炉具，严禁生产、销售、使用不符合环保要求的炉具；（二）加强洁净型煤、优质煤炭的推广使用，实现农村地区洁净型煤配送网点建设全覆盖，严禁使用高硫分和劣质煤炭；（三）推广太阳能、电能、燃气、沼气、地热等使用，加强农作物秸秆能源化，推进农村清洁能源的替代和开发利用。</w:t>
                  </w:r>
                </w:p>
              </w:tc>
              <w:tc>
                <w:tcPr>
                  <w:tcW w:w="3525" w:type="dxa"/>
                  <w:tcBorders>
                    <w:tl2br w:val="nil"/>
                    <w:tr2bl w:val="nil"/>
                  </w:tcBorders>
                  <w:vAlign w:val="center"/>
                </w:tcPr>
                <w:p w14:paraId="1E1FD353">
                  <w:pPr>
                    <w:keepNext w:val="0"/>
                    <w:keepLines w:val="0"/>
                    <w:pageBreakBefore w:val="0"/>
                    <w:widowControl w:val="0"/>
                    <w:kinsoku/>
                    <w:wordWrap/>
                    <w:overflowPunct/>
                    <w:topLinePunct w:val="0"/>
                    <w:autoSpaceDE/>
                    <w:autoSpaceDN/>
                    <w:bidi w:val="0"/>
                    <w:adjustRightInd/>
                    <w:snapToGrid/>
                    <w:spacing w:line="240" w:lineRule="exact"/>
                    <w:ind w:firstLine="320" w:firstLineChars="200"/>
                    <w:jc w:val="left"/>
                    <w:textAlignment w:val="auto"/>
                    <w:rPr>
                      <w:rFonts w:hint="eastAsia" w:ascii="Times New Roman" w:hAnsi="Times New Roman" w:eastAsia="宋体" w:cs="Times New Roman"/>
                      <w:color w:val="auto"/>
                      <w:spacing w:val="-10"/>
                      <w:sz w:val="18"/>
                      <w:szCs w:val="18"/>
                      <w:highlight w:val="none"/>
                      <w:lang w:val="en-US" w:eastAsia="zh-CN"/>
                    </w:rPr>
                  </w:pPr>
                  <w:r>
                    <w:rPr>
                      <w:rFonts w:hint="eastAsia" w:ascii="Times New Roman" w:hAnsi="Times New Roman" w:eastAsia="宋体" w:cs="Times New Roman"/>
                      <w:color w:val="auto"/>
                      <w:spacing w:val="-10"/>
                      <w:sz w:val="18"/>
                      <w:szCs w:val="18"/>
                      <w:highlight w:val="none"/>
                      <w:lang w:val="en-US" w:eastAsia="zh-CN"/>
                    </w:rPr>
                    <w:t>1、根据最新的环保要求，除六大行业外，均已不需要倍量削减。</w:t>
                  </w:r>
                </w:p>
                <w:p w14:paraId="7C3014C9">
                  <w:pPr>
                    <w:keepNext w:val="0"/>
                    <w:keepLines w:val="0"/>
                    <w:pageBreakBefore w:val="0"/>
                    <w:widowControl w:val="0"/>
                    <w:kinsoku/>
                    <w:wordWrap/>
                    <w:overflowPunct/>
                    <w:topLinePunct w:val="0"/>
                    <w:autoSpaceDE/>
                    <w:autoSpaceDN/>
                    <w:bidi w:val="0"/>
                    <w:adjustRightInd/>
                    <w:snapToGrid/>
                    <w:spacing w:line="240" w:lineRule="exact"/>
                    <w:ind w:firstLine="320" w:firstLineChars="200"/>
                    <w:jc w:val="left"/>
                    <w:textAlignment w:val="auto"/>
                    <w:rPr>
                      <w:rFonts w:hint="eastAsia" w:eastAsia="宋体"/>
                      <w:color w:val="auto"/>
                      <w:spacing w:val="-10"/>
                      <w:sz w:val="18"/>
                      <w:szCs w:val="18"/>
                      <w:highlight w:val="none"/>
                      <w:lang w:eastAsia="zh-CN"/>
                    </w:rPr>
                  </w:pPr>
                  <w:r>
                    <w:rPr>
                      <w:rFonts w:hint="eastAsia" w:ascii="Times New Roman" w:hAnsi="Times New Roman" w:eastAsia="宋体" w:cs="Times New Roman"/>
                      <w:color w:val="auto"/>
                      <w:spacing w:val="-10"/>
                      <w:sz w:val="18"/>
                      <w:szCs w:val="18"/>
                      <w:highlight w:val="none"/>
                      <w:lang w:val="en-US" w:eastAsia="zh-CN"/>
                    </w:rPr>
                    <w:t>2、本项目</w:t>
                  </w:r>
                  <w:r>
                    <w:rPr>
                      <w:rFonts w:hint="eastAsia" w:cs="Times New Roman"/>
                      <w:color w:val="auto"/>
                      <w:spacing w:val="-10"/>
                      <w:sz w:val="18"/>
                      <w:szCs w:val="18"/>
                      <w:highlight w:val="none"/>
                      <w:lang w:val="en-US" w:eastAsia="zh-CN"/>
                    </w:rPr>
                    <w:t>不涉及</w:t>
                  </w:r>
                  <w:r>
                    <w:rPr>
                      <w:rFonts w:hint="eastAsia" w:ascii="Times New Roman" w:hAnsi="Times New Roman" w:eastAsia="宋体" w:cs="Times New Roman"/>
                      <w:color w:val="auto"/>
                      <w:spacing w:val="-10"/>
                      <w:sz w:val="18"/>
                      <w:szCs w:val="18"/>
                      <w:highlight w:val="none"/>
                      <w:lang w:val="en-US" w:eastAsia="zh-CN"/>
                    </w:rPr>
                    <w:t>。</w:t>
                  </w:r>
                </w:p>
                <w:p w14:paraId="220967A9">
                  <w:pPr>
                    <w:keepNext w:val="0"/>
                    <w:keepLines w:val="0"/>
                    <w:pageBreakBefore w:val="0"/>
                    <w:widowControl w:val="0"/>
                    <w:kinsoku/>
                    <w:wordWrap/>
                    <w:overflowPunct/>
                    <w:topLinePunct w:val="0"/>
                    <w:autoSpaceDE/>
                    <w:autoSpaceDN/>
                    <w:bidi w:val="0"/>
                    <w:adjustRightInd/>
                    <w:snapToGrid/>
                    <w:spacing w:line="240" w:lineRule="exact"/>
                    <w:ind w:firstLine="320" w:firstLineChars="200"/>
                    <w:jc w:val="left"/>
                    <w:textAlignment w:val="auto"/>
                    <w:rPr>
                      <w:rFonts w:hint="default" w:ascii="Times New Roman" w:hAnsi="Times New Roman" w:eastAsia="宋体" w:cs="Times New Roman"/>
                      <w:color w:val="auto"/>
                      <w:spacing w:val="-10"/>
                      <w:kern w:val="2"/>
                      <w:sz w:val="18"/>
                      <w:szCs w:val="18"/>
                      <w:highlight w:val="none"/>
                      <w:lang w:val="en-US" w:eastAsia="zh-CN" w:bidi="ar-SA"/>
                    </w:rPr>
                  </w:pPr>
                  <w:r>
                    <w:rPr>
                      <w:rFonts w:hint="eastAsia" w:cs="Times New Roman"/>
                      <w:color w:val="auto"/>
                      <w:spacing w:val="-10"/>
                      <w:sz w:val="18"/>
                      <w:szCs w:val="18"/>
                      <w:highlight w:val="none"/>
                      <w:lang w:val="en-US" w:eastAsia="zh-CN"/>
                    </w:rPr>
                    <w:t>3、本项目不涉及</w:t>
                  </w:r>
                  <w:r>
                    <w:rPr>
                      <w:rFonts w:hint="eastAsia" w:ascii="Times New Roman" w:hAnsi="Times New Roman" w:eastAsia="宋体" w:cs="Times New Roman"/>
                      <w:color w:val="auto"/>
                      <w:spacing w:val="-10"/>
                      <w:sz w:val="18"/>
                      <w:szCs w:val="18"/>
                      <w:highlight w:val="none"/>
                      <w:lang w:val="en-US" w:eastAsia="zh-CN"/>
                    </w:rPr>
                    <w:t>。</w:t>
                  </w:r>
                </w:p>
              </w:tc>
              <w:tc>
                <w:tcPr>
                  <w:tcW w:w="750" w:type="dxa"/>
                  <w:tcBorders>
                    <w:tl2br w:val="nil"/>
                    <w:tr2bl w:val="nil"/>
                  </w:tcBorders>
                  <w:vAlign w:val="center"/>
                </w:tcPr>
                <w:p w14:paraId="09694532">
                  <w:pPr>
                    <w:spacing w:line="240" w:lineRule="exact"/>
                    <w:jc w:val="center"/>
                    <w:rPr>
                      <w:rFonts w:hint="default" w:ascii="Times New Roman" w:hAnsi="Times New Roman" w:eastAsia="宋体" w:cs="Times New Roman"/>
                      <w:color w:val="auto"/>
                      <w:spacing w:val="-10"/>
                      <w:sz w:val="18"/>
                      <w:szCs w:val="18"/>
                      <w:highlight w:val="none"/>
                      <w:lang w:val="en-US" w:eastAsia="zh-CN"/>
                    </w:rPr>
                  </w:pPr>
                  <w:r>
                    <w:rPr>
                      <w:rFonts w:hint="default" w:ascii="Times New Roman" w:hAnsi="Times New Roman" w:eastAsia="宋体" w:cs="Times New Roman"/>
                      <w:color w:val="auto"/>
                      <w:spacing w:val="-10"/>
                      <w:sz w:val="18"/>
                      <w:szCs w:val="18"/>
                      <w:highlight w:val="none"/>
                      <w:lang w:val="en-US" w:eastAsia="zh-CN"/>
                    </w:rPr>
                    <w:t>符合</w:t>
                  </w:r>
                </w:p>
              </w:tc>
            </w:tr>
          </w:tbl>
          <w:p w14:paraId="3AEAD01B">
            <w:pPr>
              <w:pStyle w:val="24"/>
              <w:adjustRightInd w:val="0"/>
              <w:snapToGrid w:val="0"/>
              <w:spacing w:before="0" w:beforeAutospacing="0" w:after="0" w:afterAutospacing="0" w:line="440" w:lineRule="exact"/>
              <w:jc w:val="center"/>
              <w:rPr>
                <w:rFonts w:hint="eastAsia" w:ascii="Times New Roman" w:hAnsi="Times New Roman"/>
                <w:b/>
                <w:color w:val="auto"/>
                <w:sz w:val="21"/>
                <w:szCs w:val="21"/>
                <w:highlight w:val="none"/>
                <w:lang w:val="en-US" w:eastAsia="zh-CN"/>
              </w:rPr>
            </w:pPr>
          </w:p>
          <w:p w14:paraId="07CD711E">
            <w:pPr>
              <w:pStyle w:val="24"/>
              <w:adjustRightInd w:val="0"/>
              <w:snapToGrid w:val="0"/>
              <w:spacing w:before="0" w:beforeAutospacing="0" w:after="0" w:afterAutospacing="0" w:line="440" w:lineRule="exact"/>
              <w:jc w:val="center"/>
              <w:rPr>
                <w:rFonts w:ascii="Times New Roman" w:hAnsi="Times New Roman"/>
                <w:b/>
                <w:color w:val="auto"/>
                <w:sz w:val="21"/>
                <w:szCs w:val="21"/>
                <w:highlight w:val="none"/>
              </w:rPr>
            </w:pPr>
            <w:r>
              <w:rPr>
                <w:rFonts w:hint="eastAsia" w:ascii="Times New Roman" w:hAnsi="Times New Roman"/>
                <w:b/>
                <w:color w:val="auto"/>
                <w:sz w:val="21"/>
                <w:szCs w:val="21"/>
                <w:highlight w:val="none"/>
                <w:lang w:val="en-US" w:eastAsia="zh-CN"/>
              </w:rPr>
              <w:t>续表2</w:t>
            </w:r>
            <w:r>
              <w:rPr>
                <w:rFonts w:hint="default" w:ascii="Times New Roman" w:hAnsi="Times New Roman"/>
                <w:b/>
                <w:color w:val="auto"/>
                <w:sz w:val="21"/>
                <w:szCs w:val="21"/>
                <w:highlight w:val="none"/>
                <w:lang w:val="en-US" w:eastAsia="zh-CN"/>
              </w:rPr>
              <w:t xml:space="preserve"> </w:t>
            </w:r>
            <w:r>
              <w:rPr>
                <w:rFonts w:hint="eastAsia" w:ascii="Times New Roman" w:hAnsi="Times New Roman"/>
                <w:b/>
                <w:color w:val="auto"/>
                <w:sz w:val="21"/>
                <w:szCs w:val="21"/>
                <w:highlight w:val="none"/>
                <w:lang w:val="en-US" w:eastAsia="zh-CN"/>
              </w:rPr>
              <w:t>项目与唐山市生态环境准入清单符合性分析</w:t>
            </w:r>
          </w:p>
          <w:tbl>
            <w:tblPr>
              <w:tblStyle w:val="29"/>
              <w:tblW w:w="11975" w:type="dxa"/>
              <w:tblInd w:w="5"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87"/>
              <w:gridCol w:w="1420"/>
              <w:gridCol w:w="5593"/>
              <w:gridCol w:w="3525"/>
              <w:gridCol w:w="750"/>
            </w:tblGrid>
            <w:tr w14:paraId="3C34629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2107" w:type="dxa"/>
                  <w:gridSpan w:val="2"/>
                  <w:tcBorders>
                    <w:tl2br w:val="nil"/>
                    <w:tr2bl w:val="nil"/>
                  </w:tcBorders>
                  <w:vAlign w:val="center"/>
                </w:tcPr>
                <w:p w14:paraId="6CD17313">
                  <w:pPr>
                    <w:spacing w:line="240" w:lineRule="exact"/>
                    <w:jc w:val="center"/>
                    <w:rPr>
                      <w:rFonts w:hint="default" w:ascii="Times New Roman" w:hAnsi="Times New Roman" w:cs="Times New Roman"/>
                      <w:color w:val="auto"/>
                      <w:spacing w:val="-10"/>
                      <w:sz w:val="18"/>
                      <w:szCs w:val="18"/>
                      <w:highlight w:val="none"/>
                      <w:lang w:val="en-US" w:eastAsia="zh-CN"/>
                    </w:rPr>
                  </w:pPr>
                  <w:r>
                    <w:rPr>
                      <w:rFonts w:hint="default" w:ascii="Times New Roman" w:hAnsi="Times New Roman" w:cs="Times New Roman"/>
                      <w:color w:val="auto"/>
                      <w:spacing w:val="-10"/>
                      <w:sz w:val="18"/>
                      <w:szCs w:val="18"/>
                      <w:highlight w:val="none"/>
                      <w:lang w:val="en-US" w:eastAsia="zh-CN"/>
                    </w:rPr>
                    <w:t>管控单元</w:t>
                  </w:r>
                </w:p>
              </w:tc>
              <w:tc>
                <w:tcPr>
                  <w:tcW w:w="5593" w:type="dxa"/>
                  <w:tcBorders>
                    <w:tl2br w:val="nil"/>
                    <w:tr2bl w:val="nil"/>
                  </w:tcBorders>
                  <w:vAlign w:val="center"/>
                </w:tcPr>
                <w:p w14:paraId="10EE5045">
                  <w:pPr>
                    <w:spacing w:line="240" w:lineRule="exact"/>
                    <w:jc w:val="center"/>
                    <w:rPr>
                      <w:rFonts w:hint="default" w:ascii="Times New Roman" w:hAnsi="Times New Roman" w:cs="Times New Roman"/>
                      <w:color w:val="auto"/>
                      <w:spacing w:val="-10"/>
                      <w:sz w:val="18"/>
                      <w:szCs w:val="18"/>
                      <w:highlight w:val="none"/>
                      <w:lang w:val="en-US" w:eastAsia="zh-CN"/>
                    </w:rPr>
                  </w:pPr>
                  <w:r>
                    <w:rPr>
                      <w:rFonts w:hint="default" w:ascii="Times New Roman" w:hAnsi="Times New Roman" w:cs="Times New Roman"/>
                      <w:color w:val="auto"/>
                      <w:spacing w:val="-10"/>
                      <w:sz w:val="18"/>
                      <w:szCs w:val="18"/>
                      <w:highlight w:val="none"/>
                      <w:lang w:val="en-US" w:eastAsia="zh-CN"/>
                    </w:rPr>
                    <w:t>要求</w:t>
                  </w:r>
                </w:p>
              </w:tc>
              <w:tc>
                <w:tcPr>
                  <w:tcW w:w="3525" w:type="dxa"/>
                  <w:tcBorders>
                    <w:tl2br w:val="nil"/>
                    <w:tr2bl w:val="nil"/>
                  </w:tcBorders>
                  <w:vAlign w:val="center"/>
                </w:tcPr>
                <w:p w14:paraId="76A401F4">
                  <w:pPr>
                    <w:spacing w:line="240" w:lineRule="exact"/>
                    <w:jc w:val="center"/>
                    <w:rPr>
                      <w:rFonts w:hint="default" w:ascii="Times New Roman" w:hAnsi="Times New Roman" w:cs="Times New Roman"/>
                      <w:color w:val="auto"/>
                      <w:spacing w:val="-10"/>
                      <w:sz w:val="18"/>
                      <w:szCs w:val="18"/>
                      <w:highlight w:val="none"/>
                      <w:lang w:val="en-US" w:eastAsia="zh-CN"/>
                    </w:rPr>
                  </w:pPr>
                  <w:r>
                    <w:rPr>
                      <w:rFonts w:hint="default" w:ascii="Times New Roman" w:hAnsi="Times New Roman" w:cs="Times New Roman"/>
                      <w:color w:val="auto"/>
                      <w:spacing w:val="-10"/>
                      <w:sz w:val="18"/>
                      <w:szCs w:val="18"/>
                      <w:highlight w:val="none"/>
                      <w:lang w:val="en-US" w:eastAsia="zh-CN"/>
                    </w:rPr>
                    <w:t>项目情况</w:t>
                  </w:r>
                </w:p>
              </w:tc>
              <w:tc>
                <w:tcPr>
                  <w:tcW w:w="750" w:type="dxa"/>
                  <w:tcBorders>
                    <w:tl2br w:val="nil"/>
                    <w:tr2bl w:val="nil"/>
                  </w:tcBorders>
                  <w:vAlign w:val="center"/>
                </w:tcPr>
                <w:p w14:paraId="0A90A83E">
                  <w:pPr>
                    <w:spacing w:line="240" w:lineRule="exact"/>
                    <w:jc w:val="center"/>
                    <w:rPr>
                      <w:rFonts w:hint="default" w:ascii="Times New Roman" w:hAnsi="Times New Roman" w:cs="Times New Roman"/>
                      <w:color w:val="auto"/>
                      <w:spacing w:val="-10"/>
                      <w:sz w:val="18"/>
                      <w:szCs w:val="18"/>
                      <w:highlight w:val="none"/>
                      <w:lang w:val="en-US" w:eastAsia="zh-CN"/>
                    </w:rPr>
                  </w:pPr>
                  <w:r>
                    <w:rPr>
                      <w:rFonts w:hint="default" w:ascii="Times New Roman" w:hAnsi="Times New Roman" w:cs="Times New Roman"/>
                      <w:color w:val="auto"/>
                      <w:spacing w:val="-10"/>
                      <w:sz w:val="18"/>
                      <w:szCs w:val="18"/>
                      <w:highlight w:val="none"/>
                      <w:lang w:val="en-US" w:eastAsia="zh-CN"/>
                    </w:rPr>
                    <w:t>符合性</w:t>
                  </w:r>
                </w:p>
              </w:tc>
            </w:tr>
            <w:tr w14:paraId="415AB45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87" w:type="dxa"/>
                  <w:tcBorders>
                    <w:tl2br w:val="nil"/>
                    <w:tr2bl w:val="nil"/>
                  </w:tcBorders>
                  <w:vAlign w:val="center"/>
                </w:tcPr>
                <w:p w14:paraId="20718B86">
                  <w:pPr>
                    <w:spacing w:line="240" w:lineRule="exact"/>
                    <w:jc w:val="center"/>
                    <w:rPr>
                      <w:rFonts w:hint="default" w:ascii="Times New Roman" w:hAnsi="Times New Roman" w:cs="Times New Roman"/>
                      <w:color w:val="auto"/>
                      <w:spacing w:val="-10"/>
                      <w:sz w:val="18"/>
                      <w:szCs w:val="18"/>
                      <w:highlight w:val="none"/>
                      <w:lang w:val="en-US" w:eastAsia="zh-CN"/>
                    </w:rPr>
                  </w:pPr>
                  <w:r>
                    <w:rPr>
                      <w:rFonts w:hint="default" w:ascii="Times New Roman" w:hAnsi="Times New Roman" w:cs="Times New Roman"/>
                      <w:color w:val="auto"/>
                      <w:spacing w:val="-10"/>
                      <w:sz w:val="18"/>
                      <w:szCs w:val="18"/>
                      <w:highlight w:val="none"/>
                      <w:lang w:val="en-US" w:eastAsia="zh-CN"/>
                    </w:rPr>
                    <w:t>大气环境</w:t>
                  </w:r>
                </w:p>
              </w:tc>
              <w:tc>
                <w:tcPr>
                  <w:tcW w:w="1420" w:type="dxa"/>
                  <w:tcBorders>
                    <w:tl2br w:val="nil"/>
                    <w:tr2bl w:val="nil"/>
                  </w:tcBorders>
                  <w:vAlign w:val="center"/>
                </w:tcPr>
                <w:p w14:paraId="79BFD247">
                  <w:pPr>
                    <w:spacing w:line="240" w:lineRule="exact"/>
                    <w:jc w:val="center"/>
                    <w:rPr>
                      <w:rFonts w:hint="default" w:ascii="Times New Roman" w:hAnsi="Times New Roman" w:eastAsia="宋体" w:cs="Times New Roman"/>
                      <w:color w:val="auto"/>
                      <w:spacing w:val="-10"/>
                      <w:kern w:val="2"/>
                      <w:sz w:val="18"/>
                      <w:szCs w:val="18"/>
                      <w:highlight w:val="none"/>
                      <w:lang w:val="en-US" w:eastAsia="zh-CN" w:bidi="ar-SA"/>
                    </w:rPr>
                  </w:pPr>
                  <w:r>
                    <w:rPr>
                      <w:rFonts w:hint="default" w:ascii="Times New Roman" w:hAnsi="Times New Roman" w:eastAsia="宋体" w:cs="Times New Roman"/>
                      <w:color w:val="auto"/>
                      <w:spacing w:val="-10"/>
                      <w:sz w:val="18"/>
                      <w:szCs w:val="18"/>
                      <w:highlight w:val="none"/>
                      <w:lang w:val="en-US" w:eastAsia="zh-CN"/>
                    </w:rPr>
                    <w:t>污染物排放管控</w:t>
                  </w:r>
                </w:p>
              </w:tc>
              <w:tc>
                <w:tcPr>
                  <w:tcW w:w="5593" w:type="dxa"/>
                  <w:tcBorders>
                    <w:tl2br w:val="nil"/>
                    <w:tr2bl w:val="nil"/>
                  </w:tcBorders>
                  <w:vAlign w:val="center"/>
                </w:tcPr>
                <w:p w14:paraId="47669DAC">
                  <w:pPr>
                    <w:keepNext w:val="0"/>
                    <w:keepLines w:val="0"/>
                    <w:pageBreakBefore w:val="0"/>
                    <w:widowControl w:val="0"/>
                    <w:numPr>
                      <w:ilvl w:val="0"/>
                      <w:numId w:val="3"/>
                    </w:numPr>
                    <w:kinsoku/>
                    <w:wordWrap/>
                    <w:overflowPunct/>
                    <w:topLinePunct w:val="0"/>
                    <w:autoSpaceDE/>
                    <w:autoSpaceDN/>
                    <w:bidi w:val="0"/>
                    <w:adjustRightInd/>
                    <w:snapToGrid/>
                    <w:spacing w:line="240" w:lineRule="exact"/>
                    <w:ind w:firstLine="320" w:firstLineChars="200"/>
                    <w:jc w:val="left"/>
                    <w:textAlignment w:val="auto"/>
                    <w:rPr>
                      <w:rFonts w:hint="eastAsia" w:ascii="Times New Roman" w:hAnsi="Times New Roman" w:eastAsia="宋体" w:cs="Times New Roman"/>
                      <w:color w:val="auto"/>
                      <w:spacing w:val="-10"/>
                      <w:sz w:val="18"/>
                      <w:szCs w:val="18"/>
                      <w:highlight w:val="none"/>
                      <w:lang w:val="en-US" w:eastAsia="zh-CN"/>
                    </w:rPr>
                  </w:pPr>
                  <w:r>
                    <w:rPr>
                      <w:rFonts w:hint="eastAsia" w:ascii="Times New Roman" w:hAnsi="Times New Roman" w:eastAsia="宋体" w:cs="Times New Roman"/>
                      <w:color w:val="auto"/>
                      <w:spacing w:val="-10"/>
                      <w:sz w:val="18"/>
                      <w:szCs w:val="18"/>
                      <w:highlight w:val="none"/>
                      <w:lang w:val="en-US" w:eastAsia="zh-CN"/>
                    </w:rPr>
                    <w:t>对保留的工业炉窑开展环保提标改造，配套建设高效脱硫脱硝除尘设施，确保稳定达标排放。加快推进钢铁行业超低排放改造，积极推进平板玻璃行业和水泥行业污染治理升级改造。鼓励具备条件的陶瓷企业陶瓷窑、喷雾干燥塔开展超低排放改造。平板玻璃、建筑陶瓷企业逐步取消脱硫脱硝烟气旁路或设置备用脱硫脱硝等设施，鼓励水泥企业实施全流程污染深度治理。推进具备条件的焦化企业实施干熄焦改造。在保证生产安全前提下，钢铁烧结（球团）、高炉、转炉、轧钢工序实施车间封闭生产。对标行业先进，持续推动污染物排放总量降低。</w:t>
                  </w:r>
                </w:p>
                <w:p w14:paraId="0D881535">
                  <w:pPr>
                    <w:keepNext w:val="0"/>
                    <w:keepLines w:val="0"/>
                    <w:pageBreakBefore w:val="0"/>
                    <w:widowControl w:val="0"/>
                    <w:numPr>
                      <w:ilvl w:val="0"/>
                      <w:numId w:val="3"/>
                    </w:numPr>
                    <w:kinsoku/>
                    <w:wordWrap/>
                    <w:overflowPunct/>
                    <w:topLinePunct w:val="0"/>
                    <w:autoSpaceDE/>
                    <w:autoSpaceDN/>
                    <w:bidi w:val="0"/>
                    <w:adjustRightInd/>
                    <w:snapToGrid/>
                    <w:spacing w:line="240" w:lineRule="exact"/>
                    <w:ind w:firstLine="320" w:firstLineChars="200"/>
                    <w:jc w:val="left"/>
                    <w:textAlignment w:val="auto"/>
                    <w:rPr>
                      <w:rFonts w:hint="eastAsia" w:ascii="Times New Roman" w:hAnsi="Times New Roman" w:eastAsia="宋体" w:cs="Times New Roman"/>
                      <w:color w:val="auto"/>
                      <w:spacing w:val="-10"/>
                      <w:sz w:val="18"/>
                      <w:szCs w:val="18"/>
                      <w:highlight w:val="none"/>
                      <w:lang w:val="en-US" w:eastAsia="zh-CN"/>
                    </w:rPr>
                  </w:pPr>
                  <w:r>
                    <w:rPr>
                      <w:rFonts w:hint="eastAsia" w:ascii="Times New Roman" w:hAnsi="Times New Roman" w:eastAsia="宋体" w:cs="Times New Roman"/>
                      <w:color w:val="auto"/>
                      <w:spacing w:val="-10"/>
                      <w:sz w:val="18"/>
                      <w:szCs w:val="18"/>
                      <w:highlight w:val="none"/>
                      <w:lang w:val="en-US" w:eastAsia="zh-CN"/>
                    </w:rPr>
                    <w:t>推广新能源机动车，建设相应的充电站（桩）、加气站等基础设施，新建居民住宅小区停车位应当建设相应的充电设施；鼓励和支持公共交通、出租车、环境卫生、邮政、快递等行业用车和公务用车率先使用新能源机动车。加强城市步行和自行车交通系统建设，引导公众绿色、低碳出行。船舶靠港后应当优先使用岸电。新建码头应当规划、设计和建设岸基供电设施；已建成的码头应当逐步实施岸基供电设施改造。</w:t>
                  </w:r>
                </w:p>
                <w:p w14:paraId="5926012B">
                  <w:pPr>
                    <w:keepNext w:val="0"/>
                    <w:keepLines w:val="0"/>
                    <w:pageBreakBefore w:val="0"/>
                    <w:widowControl w:val="0"/>
                    <w:numPr>
                      <w:ilvl w:val="0"/>
                      <w:numId w:val="0"/>
                    </w:numPr>
                    <w:kinsoku/>
                    <w:wordWrap/>
                    <w:overflowPunct/>
                    <w:topLinePunct w:val="0"/>
                    <w:autoSpaceDE/>
                    <w:autoSpaceDN/>
                    <w:bidi w:val="0"/>
                    <w:adjustRightInd/>
                    <w:snapToGrid/>
                    <w:spacing w:line="240" w:lineRule="exact"/>
                    <w:ind w:firstLine="320" w:firstLineChars="200"/>
                    <w:jc w:val="left"/>
                    <w:textAlignment w:val="auto"/>
                    <w:rPr>
                      <w:rFonts w:hint="eastAsia" w:ascii="Times New Roman" w:hAnsi="Times New Roman" w:eastAsia="宋体" w:cs="Times New Roman"/>
                      <w:color w:val="auto"/>
                      <w:spacing w:val="-10"/>
                      <w:sz w:val="18"/>
                      <w:szCs w:val="18"/>
                      <w:highlight w:val="none"/>
                      <w:lang w:val="en-US" w:eastAsia="zh-CN"/>
                    </w:rPr>
                  </w:pPr>
                  <w:r>
                    <w:rPr>
                      <w:rFonts w:hint="default" w:ascii="Times New Roman" w:hAnsi="Times New Roman" w:eastAsia="宋体" w:cs="Times New Roman"/>
                      <w:color w:val="auto"/>
                      <w:spacing w:val="-10"/>
                      <w:sz w:val="18"/>
                      <w:szCs w:val="18"/>
                      <w:highlight w:val="none"/>
                      <w:lang w:val="en-US" w:eastAsia="zh-CN"/>
                    </w:rPr>
                    <w:t>6</w:t>
                  </w:r>
                  <w:r>
                    <w:rPr>
                      <w:rFonts w:hint="eastAsia" w:ascii="Times New Roman" w:hAnsi="Times New Roman" w:eastAsia="宋体" w:cs="Times New Roman"/>
                      <w:color w:val="auto"/>
                      <w:spacing w:val="-10"/>
                      <w:sz w:val="18"/>
                      <w:szCs w:val="18"/>
                      <w:highlight w:val="none"/>
                      <w:lang w:val="en-US" w:eastAsia="zh-CN"/>
                    </w:rPr>
                    <w:t>、加快油品质量升级。停止销售低于国</w:t>
                  </w:r>
                  <w:r>
                    <w:rPr>
                      <w:rFonts w:hint="default" w:ascii="Times New Roman" w:hAnsi="Times New Roman" w:eastAsia="宋体" w:cs="Times New Roman"/>
                      <w:color w:val="auto"/>
                      <w:spacing w:val="-10"/>
                      <w:sz w:val="18"/>
                      <w:szCs w:val="18"/>
                      <w:highlight w:val="none"/>
                      <w:lang w:val="en-US" w:eastAsia="zh-CN"/>
                    </w:rPr>
                    <w:t>Ⅵ</w:t>
                  </w:r>
                  <w:r>
                    <w:rPr>
                      <w:rFonts w:hint="eastAsia" w:ascii="Times New Roman" w:hAnsi="Times New Roman" w:eastAsia="宋体" w:cs="Times New Roman"/>
                      <w:color w:val="auto"/>
                      <w:spacing w:val="-10"/>
                      <w:sz w:val="18"/>
                      <w:szCs w:val="18"/>
                      <w:highlight w:val="none"/>
                      <w:lang w:val="en-US" w:eastAsia="zh-CN"/>
                    </w:rPr>
                    <w:t>标准的汽柴油，实现车用柴油、普通柴油、部分船舶用油“三油并轨”。</w:t>
                  </w:r>
                </w:p>
                <w:p w14:paraId="1116B464">
                  <w:pPr>
                    <w:keepNext w:val="0"/>
                    <w:keepLines w:val="0"/>
                    <w:pageBreakBefore w:val="0"/>
                    <w:widowControl w:val="0"/>
                    <w:numPr>
                      <w:ilvl w:val="0"/>
                      <w:numId w:val="0"/>
                    </w:numPr>
                    <w:kinsoku/>
                    <w:wordWrap/>
                    <w:overflowPunct/>
                    <w:topLinePunct w:val="0"/>
                    <w:autoSpaceDE/>
                    <w:autoSpaceDN/>
                    <w:bidi w:val="0"/>
                    <w:adjustRightInd/>
                    <w:snapToGrid/>
                    <w:spacing w:line="240" w:lineRule="exact"/>
                    <w:ind w:firstLine="320" w:firstLineChars="200"/>
                    <w:jc w:val="left"/>
                    <w:textAlignment w:val="auto"/>
                    <w:rPr>
                      <w:rFonts w:hint="eastAsia" w:ascii="Times New Roman" w:hAnsi="Times New Roman" w:eastAsia="宋体" w:cs="Times New Roman"/>
                      <w:color w:val="auto"/>
                      <w:spacing w:val="-10"/>
                      <w:sz w:val="18"/>
                      <w:szCs w:val="18"/>
                      <w:highlight w:val="none"/>
                      <w:lang w:val="en-US" w:eastAsia="zh-CN"/>
                    </w:rPr>
                  </w:pPr>
                  <w:r>
                    <w:rPr>
                      <w:rFonts w:hint="default" w:ascii="Times New Roman" w:hAnsi="Times New Roman" w:eastAsia="宋体" w:cs="Times New Roman"/>
                      <w:color w:val="auto"/>
                      <w:spacing w:val="-10"/>
                      <w:sz w:val="18"/>
                      <w:szCs w:val="18"/>
                      <w:highlight w:val="none"/>
                      <w:lang w:val="en-US" w:eastAsia="zh-CN"/>
                    </w:rPr>
                    <w:t>7</w:t>
                  </w:r>
                  <w:r>
                    <w:rPr>
                      <w:rFonts w:hint="eastAsia" w:ascii="Times New Roman" w:hAnsi="Times New Roman" w:eastAsia="宋体" w:cs="Times New Roman"/>
                      <w:color w:val="auto"/>
                      <w:spacing w:val="-10"/>
                      <w:sz w:val="18"/>
                      <w:szCs w:val="18"/>
                      <w:highlight w:val="none"/>
                      <w:lang w:val="en-US" w:eastAsia="zh-CN"/>
                    </w:rPr>
                    <w:t>、推进矿山综合整治。按照“能关则关、应合尽合、能转则转”的原则，对违反法律法规、列入关闭计划、整改不达标、乱采滥挖的矿山，依法依规坚决关闭取缔。</w:t>
                  </w:r>
                </w:p>
                <w:p w14:paraId="0F1F3758">
                  <w:pPr>
                    <w:keepNext w:val="0"/>
                    <w:keepLines w:val="0"/>
                    <w:pageBreakBefore w:val="0"/>
                    <w:widowControl w:val="0"/>
                    <w:numPr>
                      <w:ilvl w:val="0"/>
                      <w:numId w:val="0"/>
                    </w:numPr>
                    <w:kinsoku/>
                    <w:wordWrap/>
                    <w:overflowPunct/>
                    <w:topLinePunct w:val="0"/>
                    <w:autoSpaceDE/>
                    <w:autoSpaceDN/>
                    <w:bidi w:val="0"/>
                    <w:adjustRightInd/>
                    <w:snapToGrid/>
                    <w:spacing w:line="240" w:lineRule="exact"/>
                    <w:ind w:firstLine="320" w:firstLineChars="200"/>
                    <w:jc w:val="left"/>
                    <w:textAlignment w:val="auto"/>
                    <w:rPr>
                      <w:rFonts w:hint="eastAsia" w:ascii="Times New Roman" w:hAnsi="Times New Roman" w:eastAsia="宋体" w:cs="Times New Roman"/>
                      <w:color w:val="auto"/>
                      <w:spacing w:val="-10"/>
                      <w:sz w:val="18"/>
                      <w:szCs w:val="18"/>
                      <w:highlight w:val="none"/>
                      <w:lang w:val="en-US" w:eastAsia="zh-CN"/>
                    </w:rPr>
                  </w:pPr>
                  <w:r>
                    <w:rPr>
                      <w:rFonts w:hint="default" w:ascii="Times New Roman" w:hAnsi="Times New Roman" w:eastAsia="宋体" w:cs="Times New Roman"/>
                      <w:color w:val="auto"/>
                      <w:spacing w:val="-10"/>
                      <w:sz w:val="18"/>
                      <w:szCs w:val="18"/>
                      <w:highlight w:val="none"/>
                      <w:lang w:val="en-US" w:eastAsia="zh-CN"/>
                    </w:rPr>
                    <w:t>8</w:t>
                  </w:r>
                  <w:r>
                    <w:rPr>
                      <w:rFonts w:hint="eastAsia" w:ascii="Times New Roman" w:hAnsi="Times New Roman" w:eastAsia="宋体" w:cs="Times New Roman"/>
                      <w:color w:val="auto"/>
                      <w:spacing w:val="-10"/>
                      <w:sz w:val="18"/>
                      <w:szCs w:val="18"/>
                      <w:highlight w:val="none"/>
                      <w:lang w:val="en-US" w:eastAsia="zh-CN"/>
                    </w:rPr>
                    <w:t>、强化建筑施工扬尘污染防治，严格落实《河北省扬尘污染防治办法》，对城市建成区、县城建筑施工工地实施全面监管。强化道路扬尘综合治理，按照《河北省城市精细化管理标准》有关要求，全面巩固洁净城市创建成果。</w:t>
                  </w:r>
                </w:p>
                <w:p w14:paraId="2B654DB6">
                  <w:pPr>
                    <w:keepNext w:val="0"/>
                    <w:keepLines w:val="0"/>
                    <w:pageBreakBefore w:val="0"/>
                    <w:widowControl w:val="0"/>
                    <w:numPr>
                      <w:ilvl w:val="0"/>
                      <w:numId w:val="0"/>
                    </w:numPr>
                    <w:kinsoku/>
                    <w:wordWrap/>
                    <w:overflowPunct/>
                    <w:topLinePunct w:val="0"/>
                    <w:autoSpaceDE/>
                    <w:autoSpaceDN/>
                    <w:bidi w:val="0"/>
                    <w:adjustRightInd/>
                    <w:snapToGrid/>
                    <w:spacing w:line="240" w:lineRule="exact"/>
                    <w:ind w:firstLine="320" w:firstLineChars="200"/>
                    <w:jc w:val="left"/>
                    <w:textAlignment w:val="auto"/>
                    <w:rPr>
                      <w:rFonts w:hint="eastAsia" w:ascii="Times New Roman" w:hAnsi="Times New Roman" w:eastAsia="宋体" w:cs="Times New Roman"/>
                      <w:color w:val="auto"/>
                      <w:spacing w:val="-10"/>
                      <w:sz w:val="18"/>
                      <w:szCs w:val="18"/>
                      <w:highlight w:val="none"/>
                      <w:lang w:val="en-US" w:eastAsia="zh-CN"/>
                    </w:rPr>
                  </w:pPr>
                  <w:r>
                    <w:rPr>
                      <w:rFonts w:hint="default" w:ascii="Times New Roman" w:hAnsi="Times New Roman" w:eastAsia="宋体" w:cs="Times New Roman"/>
                      <w:color w:val="auto"/>
                      <w:spacing w:val="-10"/>
                      <w:sz w:val="18"/>
                      <w:szCs w:val="18"/>
                      <w:highlight w:val="none"/>
                      <w:lang w:val="en-US" w:eastAsia="zh-CN"/>
                    </w:rPr>
                    <w:t>9</w:t>
                  </w:r>
                  <w:r>
                    <w:rPr>
                      <w:rFonts w:hint="eastAsia" w:ascii="Times New Roman" w:hAnsi="Times New Roman" w:eastAsia="宋体" w:cs="Times New Roman"/>
                      <w:color w:val="auto"/>
                      <w:spacing w:val="-10"/>
                      <w:sz w:val="18"/>
                      <w:szCs w:val="18"/>
                      <w:highlight w:val="none"/>
                      <w:lang w:val="en-US" w:eastAsia="zh-CN"/>
                    </w:rPr>
                    <w:t>、深化重点行业深度治理。巩固钢铁、焦化、煤电、水泥、平板玻璃等重点行业超低排放改造成效，实施工艺全流程深度治理，推进全过程无组织排放管控。</w:t>
                  </w:r>
                </w:p>
                <w:p w14:paraId="618FCFB4">
                  <w:pPr>
                    <w:keepNext w:val="0"/>
                    <w:keepLines w:val="0"/>
                    <w:pageBreakBefore w:val="0"/>
                    <w:widowControl w:val="0"/>
                    <w:numPr>
                      <w:ilvl w:val="0"/>
                      <w:numId w:val="0"/>
                    </w:numPr>
                    <w:kinsoku/>
                    <w:wordWrap/>
                    <w:overflowPunct/>
                    <w:topLinePunct w:val="0"/>
                    <w:autoSpaceDE/>
                    <w:autoSpaceDN/>
                    <w:bidi w:val="0"/>
                    <w:adjustRightInd/>
                    <w:snapToGrid/>
                    <w:spacing w:line="240" w:lineRule="exact"/>
                    <w:ind w:firstLine="320" w:firstLineChars="200"/>
                    <w:jc w:val="left"/>
                    <w:textAlignment w:val="auto"/>
                    <w:rPr>
                      <w:rFonts w:hint="eastAsia" w:ascii="Times New Roman" w:hAnsi="Times New Roman" w:eastAsia="宋体" w:cs="Times New Roman"/>
                      <w:color w:val="auto"/>
                      <w:spacing w:val="-10"/>
                      <w:sz w:val="18"/>
                      <w:szCs w:val="18"/>
                      <w:highlight w:val="none"/>
                      <w:lang w:val="en-US" w:eastAsia="zh-CN"/>
                    </w:rPr>
                  </w:pPr>
                  <w:r>
                    <w:rPr>
                      <w:rFonts w:hint="default" w:ascii="Times New Roman" w:hAnsi="Times New Roman" w:eastAsia="宋体" w:cs="Times New Roman"/>
                      <w:color w:val="auto"/>
                      <w:spacing w:val="-10"/>
                      <w:sz w:val="18"/>
                      <w:szCs w:val="18"/>
                      <w:highlight w:val="none"/>
                      <w:lang w:val="en-US" w:eastAsia="zh-CN"/>
                    </w:rPr>
                    <w:t>10</w:t>
                  </w:r>
                  <w:r>
                    <w:rPr>
                      <w:rFonts w:hint="eastAsia" w:ascii="Times New Roman" w:hAnsi="Times New Roman" w:eastAsia="宋体" w:cs="Times New Roman"/>
                      <w:color w:val="auto"/>
                      <w:spacing w:val="-10"/>
                      <w:sz w:val="18"/>
                      <w:szCs w:val="18"/>
                      <w:highlight w:val="none"/>
                      <w:lang w:val="en-US" w:eastAsia="zh-CN"/>
                    </w:rPr>
                    <w:t>、加强重污染天气应急联动。加强污染气象条件和空气污染监测、预报预警和评估能力建设，建成全市区域传输监控预警系统，提高重污染天气预报预警的准确度。加大秋冬季工业企业生产调控力度，按照基本抵消新增污染物排放量的原则，对钢铁、建材、焦化、铸造、化工等高排放行业实行强化管控。</w:t>
                  </w:r>
                </w:p>
                <w:p w14:paraId="3B3A1330">
                  <w:pPr>
                    <w:keepNext w:val="0"/>
                    <w:keepLines w:val="0"/>
                    <w:pageBreakBefore w:val="0"/>
                    <w:widowControl w:val="0"/>
                    <w:numPr>
                      <w:ilvl w:val="0"/>
                      <w:numId w:val="0"/>
                    </w:numPr>
                    <w:kinsoku/>
                    <w:wordWrap/>
                    <w:overflowPunct/>
                    <w:topLinePunct w:val="0"/>
                    <w:autoSpaceDE/>
                    <w:autoSpaceDN/>
                    <w:bidi w:val="0"/>
                    <w:adjustRightInd/>
                    <w:snapToGrid/>
                    <w:spacing w:line="240" w:lineRule="exact"/>
                    <w:ind w:firstLine="320" w:firstLineChars="200"/>
                    <w:jc w:val="left"/>
                    <w:textAlignment w:val="auto"/>
                    <w:rPr>
                      <w:rFonts w:hint="eastAsia"/>
                      <w:color w:val="auto"/>
                      <w:highlight w:val="none"/>
                      <w:lang w:val="en-US" w:eastAsia="zh-CN"/>
                    </w:rPr>
                  </w:pPr>
                  <w:r>
                    <w:rPr>
                      <w:rFonts w:hint="default" w:ascii="Times New Roman" w:hAnsi="Times New Roman" w:eastAsia="宋体" w:cs="Times New Roman"/>
                      <w:color w:val="auto"/>
                      <w:spacing w:val="-10"/>
                      <w:sz w:val="18"/>
                      <w:szCs w:val="18"/>
                      <w:highlight w:val="none"/>
                      <w:lang w:val="en-US" w:eastAsia="zh-CN"/>
                    </w:rPr>
                    <w:t>11</w:t>
                  </w:r>
                  <w:r>
                    <w:rPr>
                      <w:rFonts w:hint="eastAsia" w:ascii="Times New Roman" w:hAnsi="Times New Roman" w:eastAsia="宋体" w:cs="Times New Roman"/>
                      <w:color w:val="auto"/>
                      <w:spacing w:val="-10"/>
                      <w:sz w:val="18"/>
                      <w:szCs w:val="18"/>
                      <w:highlight w:val="none"/>
                      <w:lang w:val="en-US" w:eastAsia="zh-CN"/>
                    </w:rPr>
                    <w:t>、强化柴油货车污染防治。加快柴油货车治理，推动货运经营整合升级、提质增效，加快规模化发展、连锁化经营。实施清洁柴油车、清洁运输和清洁油品行动，降低污染排放总量。</w:t>
                  </w:r>
                </w:p>
              </w:tc>
              <w:tc>
                <w:tcPr>
                  <w:tcW w:w="3525" w:type="dxa"/>
                  <w:tcBorders>
                    <w:tl2br w:val="nil"/>
                    <w:tr2bl w:val="nil"/>
                  </w:tcBorders>
                  <w:vAlign w:val="center"/>
                </w:tcPr>
                <w:p w14:paraId="7D3B0393">
                  <w:pPr>
                    <w:keepNext w:val="0"/>
                    <w:keepLines w:val="0"/>
                    <w:pageBreakBefore w:val="0"/>
                    <w:widowControl w:val="0"/>
                    <w:kinsoku/>
                    <w:wordWrap/>
                    <w:overflowPunct/>
                    <w:topLinePunct w:val="0"/>
                    <w:autoSpaceDE/>
                    <w:autoSpaceDN/>
                    <w:bidi w:val="0"/>
                    <w:adjustRightInd/>
                    <w:snapToGrid/>
                    <w:spacing w:line="240" w:lineRule="exact"/>
                    <w:ind w:firstLine="320" w:firstLineChars="200"/>
                    <w:jc w:val="left"/>
                    <w:textAlignment w:val="auto"/>
                    <w:rPr>
                      <w:rFonts w:hint="eastAsia" w:ascii="Times New Roman" w:hAnsi="Times New Roman" w:eastAsia="宋体" w:cs="Times New Roman"/>
                      <w:color w:val="auto"/>
                      <w:spacing w:val="-10"/>
                      <w:sz w:val="18"/>
                      <w:szCs w:val="18"/>
                      <w:highlight w:val="none"/>
                      <w:lang w:val="en-US" w:eastAsia="zh-CN"/>
                    </w:rPr>
                  </w:pPr>
                  <w:r>
                    <w:rPr>
                      <w:rFonts w:hint="eastAsia" w:cs="Times New Roman"/>
                      <w:color w:val="auto"/>
                      <w:spacing w:val="-10"/>
                      <w:sz w:val="18"/>
                      <w:szCs w:val="18"/>
                      <w:highlight w:val="none"/>
                      <w:lang w:val="en-US" w:eastAsia="zh-CN"/>
                    </w:rPr>
                    <w:t>4、本项目不涉及</w:t>
                  </w:r>
                  <w:r>
                    <w:rPr>
                      <w:rFonts w:hint="eastAsia" w:ascii="Times New Roman" w:hAnsi="Times New Roman" w:eastAsia="宋体" w:cs="Times New Roman"/>
                      <w:color w:val="auto"/>
                      <w:spacing w:val="-10"/>
                      <w:sz w:val="18"/>
                      <w:szCs w:val="18"/>
                      <w:highlight w:val="none"/>
                      <w:lang w:val="en-US" w:eastAsia="zh-CN"/>
                    </w:rPr>
                    <w:t>。</w:t>
                  </w:r>
                </w:p>
                <w:p w14:paraId="70EA46B3">
                  <w:pPr>
                    <w:keepNext w:val="0"/>
                    <w:keepLines w:val="0"/>
                    <w:pageBreakBefore w:val="0"/>
                    <w:widowControl w:val="0"/>
                    <w:kinsoku/>
                    <w:wordWrap/>
                    <w:overflowPunct/>
                    <w:topLinePunct w:val="0"/>
                    <w:autoSpaceDE/>
                    <w:autoSpaceDN/>
                    <w:bidi w:val="0"/>
                    <w:adjustRightInd/>
                    <w:snapToGrid/>
                    <w:spacing w:line="240" w:lineRule="exact"/>
                    <w:ind w:firstLine="320" w:firstLineChars="200"/>
                    <w:jc w:val="left"/>
                    <w:textAlignment w:val="auto"/>
                    <w:rPr>
                      <w:rFonts w:hint="eastAsia" w:ascii="Times New Roman" w:hAnsi="Times New Roman" w:eastAsia="宋体" w:cs="Times New Roman"/>
                      <w:color w:val="auto"/>
                      <w:spacing w:val="-10"/>
                      <w:sz w:val="18"/>
                      <w:szCs w:val="18"/>
                      <w:highlight w:val="none"/>
                      <w:lang w:val="en-US" w:eastAsia="zh-CN"/>
                    </w:rPr>
                  </w:pPr>
                  <w:r>
                    <w:rPr>
                      <w:rFonts w:hint="eastAsia" w:cs="Times New Roman"/>
                      <w:color w:val="auto"/>
                      <w:spacing w:val="-10"/>
                      <w:sz w:val="18"/>
                      <w:szCs w:val="18"/>
                      <w:highlight w:val="none"/>
                      <w:lang w:val="en-US" w:eastAsia="zh-CN"/>
                    </w:rPr>
                    <w:t>5、本项目不涉及</w:t>
                  </w:r>
                  <w:r>
                    <w:rPr>
                      <w:rFonts w:hint="eastAsia" w:ascii="Times New Roman" w:hAnsi="Times New Roman" w:eastAsia="宋体" w:cs="Times New Roman"/>
                      <w:color w:val="auto"/>
                      <w:spacing w:val="-10"/>
                      <w:sz w:val="18"/>
                      <w:szCs w:val="18"/>
                      <w:highlight w:val="none"/>
                      <w:lang w:val="en-US" w:eastAsia="zh-CN"/>
                    </w:rPr>
                    <w:t>。</w:t>
                  </w:r>
                </w:p>
                <w:p w14:paraId="08C36C72">
                  <w:pPr>
                    <w:keepNext w:val="0"/>
                    <w:keepLines w:val="0"/>
                    <w:pageBreakBefore w:val="0"/>
                    <w:widowControl w:val="0"/>
                    <w:kinsoku/>
                    <w:wordWrap/>
                    <w:overflowPunct/>
                    <w:topLinePunct w:val="0"/>
                    <w:autoSpaceDE/>
                    <w:autoSpaceDN/>
                    <w:bidi w:val="0"/>
                    <w:adjustRightInd/>
                    <w:snapToGrid/>
                    <w:spacing w:line="240" w:lineRule="exact"/>
                    <w:ind w:firstLine="320" w:firstLineChars="200"/>
                    <w:jc w:val="left"/>
                    <w:textAlignment w:val="auto"/>
                    <w:rPr>
                      <w:rFonts w:hint="eastAsia" w:ascii="Times New Roman" w:hAnsi="Times New Roman" w:eastAsia="宋体" w:cs="Times New Roman"/>
                      <w:color w:val="auto"/>
                      <w:spacing w:val="-10"/>
                      <w:sz w:val="18"/>
                      <w:szCs w:val="18"/>
                      <w:highlight w:val="none"/>
                      <w:lang w:val="en-US" w:eastAsia="zh-CN"/>
                    </w:rPr>
                  </w:pPr>
                  <w:r>
                    <w:rPr>
                      <w:rFonts w:hint="eastAsia" w:cs="Times New Roman"/>
                      <w:color w:val="auto"/>
                      <w:spacing w:val="-10"/>
                      <w:sz w:val="18"/>
                      <w:szCs w:val="18"/>
                      <w:highlight w:val="none"/>
                      <w:lang w:val="en-US" w:eastAsia="zh-CN"/>
                    </w:rPr>
                    <w:t>6、本项目不涉及</w:t>
                  </w:r>
                  <w:r>
                    <w:rPr>
                      <w:rFonts w:hint="eastAsia" w:ascii="Times New Roman" w:hAnsi="Times New Roman" w:eastAsia="宋体" w:cs="Times New Roman"/>
                      <w:color w:val="auto"/>
                      <w:spacing w:val="-10"/>
                      <w:sz w:val="18"/>
                      <w:szCs w:val="18"/>
                      <w:highlight w:val="none"/>
                      <w:lang w:val="en-US" w:eastAsia="zh-CN"/>
                    </w:rPr>
                    <w:t>。</w:t>
                  </w:r>
                </w:p>
                <w:p w14:paraId="17BF1A46">
                  <w:pPr>
                    <w:keepNext w:val="0"/>
                    <w:keepLines w:val="0"/>
                    <w:pageBreakBefore w:val="0"/>
                    <w:widowControl w:val="0"/>
                    <w:kinsoku/>
                    <w:wordWrap/>
                    <w:overflowPunct/>
                    <w:topLinePunct w:val="0"/>
                    <w:autoSpaceDE/>
                    <w:autoSpaceDN/>
                    <w:bidi w:val="0"/>
                    <w:adjustRightInd/>
                    <w:snapToGrid/>
                    <w:spacing w:line="240" w:lineRule="exact"/>
                    <w:ind w:firstLine="320" w:firstLineChars="200"/>
                    <w:jc w:val="left"/>
                    <w:textAlignment w:val="auto"/>
                    <w:rPr>
                      <w:rFonts w:hint="eastAsia" w:ascii="Times New Roman" w:hAnsi="Times New Roman" w:eastAsia="宋体" w:cs="Times New Roman"/>
                      <w:color w:val="auto"/>
                      <w:spacing w:val="-10"/>
                      <w:sz w:val="18"/>
                      <w:szCs w:val="18"/>
                      <w:highlight w:val="none"/>
                      <w:lang w:val="en-US" w:eastAsia="zh-CN"/>
                    </w:rPr>
                  </w:pPr>
                  <w:r>
                    <w:rPr>
                      <w:rFonts w:hint="eastAsia" w:cs="Times New Roman"/>
                      <w:color w:val="auto"/>
                      <w:spacing w:val="-10"/>
                      <w:sz w:val="18"/>
                      <w:szCs w:val="18"/>
                      <w:highlight w:val="none"/>
                      <w:lang w:val="en-US" w:eastAsia="zh-CN"/>
                    </w:rPr>
                    <w:t>7、本项目不涉及</w:t>
                  </w:r>
                  <w:r>
                    <w:rPr>
                      <w:rFonts w:hint="eastAsia" w:ascii="Times New Roman" w:hAnsi="Times New Roman" w:eastAsia="宋体" w:cs="Times New Roman"/>
                      <w:color w:val="auto"/>
                      <w:spacing w:val="-10"/>
                      <w:sz w:val="18"/>
                      <w:szCs w:val="18"/>
                      <w:highlight w:val="none"/>
                      <w:lang w:val="en-US" w:eastAsia="zh-CN"/>
                    </w:rPr>
                    <w:t>。</w:t>
                  </w:r>
                </w:p>
                <w:p w14:paraId="3A0FE048">
                  <w:pPr>
                    <w:keepNext w:val="0"/>
                    <w:keepLines w:val="0"/>
                    <w:pageBreakBefore w:val="0"/>
                    <w:widowControl w:val="0"/>
                    <w:kinsoku/>
                    <w:wordWrap/>
                    <w:overflowPunct/>
                    <w:topLinePunct w:val="0"/>
                    <w:autoSpaceDE/>
                    <w:autoSpaceDN/>
                    <w:bidi w:val="0"/>
                    <w:adjustRightInd/>
                    <w:snapToGrid/>
                    <w:spacing w:line="240" w:lineRule="exact"/>
                    <w:ind w:firstLine="320" w:firstLineChars="200"/>
                    <w:jc w:val="left"/>
                    <w:textAlignment w:val="auto"/>
                    <w:rPr>
                      <w:rFonts w:hint="eastAsia" w:ascii="Times New Roman" w:hAnsi="Times New Roman" w:eastAsia="宋体" w:cs="Times New Roman"/>
                      <w:color w:val="auto"/>
                      <w:spacing w:val="-10"/>
                      <w:sz w:val="18"/>
                      <w:szCs w:val="18"/>
                      <w:highlight w:val="none"/>
                      <w:lang w:val="en-US" w:eastAsia="zh-CN"/>
                    </w:rPr>
                  </w:pPr>
                  <w:r>
                    <w:rPr>
                      <w:rFonts w:hint="eastAsia" w:ascii="Times New Roman" w:hAnsi="Times New Roman" w:eastAsia="宋体" w:cs="Times New Roman"/>
                      <w:color w:val="auto"/>
                      <w:spacing w:val="-10"/>
                      <w:sz w:val="18"/>
                      <w:szCs w:val="18"/>
                      <w:highlight w:val="none"/>
                      <w:lang w:val="en-US" w:eastAsia="zh-CN"/>
                    </w:rPr>
                    <w:t>8、本项目施工期间</w:t>
                  </w:r>
                  <w:r>
                    <w:rPr>
                      <w:rFonts w:hint="default" w:ascii="Times New Roman" w:hAnsi="Times New Roman" w:eastAsia="宋体" w:cs="Times New Roman"/>
                      <w:color w:val="auto"/>
                      <w:spacing w:val="-10"/>
                      <w:sz w:val="18"/>
                      <w:szCs w:val="18"/>
                      <w:highlight w:val="none"/>
                      <w:lang w:val="en-US" w:eastAsia="zh-CN"/>
                    </w:rPr>
                    <w:t>严格执行</w:t>
                  </w:r>
                  <w:r>
                    <w:rPr>
                      <w:rFonts w:hint="eastAsia" w:ascii="Times New Roman" w:hAnsi="Times New Roman" w:eastAsia="宋体" w:cs="Times New Roman"/>
                      <w:color w:val="auto"/>
                      <w:spacing w:val="-10"/>
                      <w:sz w:val="18"/>
                      <w:szCs w:val="18"/>
                      <w:highlight w:val="none"/>
                      <w:lang w:val="en-US" w:eastAsia="zh-CN"/>
                    </w:rPr>
                    <w:t>《关于印发《2024年建筑施工扬尘污染防治工作方案》的通知》（冀建质安函〔2024〕115号）</w:t>
                  </w:r>
                  <w:r>
                    <w:rPr>
                      <w:rFonts w:hint="default" w:ascii="Times New Roman" w:hAnsi="Times New Roman" w:eastAsia="宋体" w:cs="Times New Roman"/>
                      <w:color w:val="auto"/>
                      <w:spacing w:val="-10"/>
                      <w:sz w:val="18"/>
                      <w:szCs w:val="18"/>
                      <w:highlight w:val="none"/>
                      <w:lang w:val="en-US" w:eastAsia="zh-CN"/>
                    </w:rPr>
                    <w:t>，按照文中要求开展施工工作</w:t>
                  </w:r>
                  <w:r>
                    <w:rPr>
                      <w:rFonts w:hint="eastAsia" w:ascii="Times New Roman" w:hAnsi="Times New Roman" w:eastAsia="宋体" w:cs="Times New Roman"/>
                      <w:color w:val="auto"/>
                      <w:spacing w:val="-10"/>
                      <w:sz w:val="18"/>
                      <w:szCs w:val="18"/>
                      <w:highlight w:val="none"/>
                      <w:lang w:val="en-US" w:eastAsia="zh-CN"/>
                    </w:rPr>
                    <w:t>。</w:t>
                  </w:r>
                </w:p>
                <w:p w14:paraId="0DC615E5">
                  <w:pPr>
                    <w:keepNext w:val="0"/>
                    <w:keepLines w:val="0"/>
                    <w:pageBreakBefore w:val="0"/>
                    <w:widowControl w:val="0"/>
                    <w:kinsoku/>
                    <w:wordWrap/>
                    <w:overflowPunct/>
                    <w:topLinePunct w:val="0"/>
                    <w:autoSpaceDE/>
                    <w:autoSpaceDN/>
                    <w:bidi w:val="0"/>
                    <w:adjustRightInd/>
                    <w:snapToGrid/>
                    <w:spacing w:line="240" w:lineRule="exact"/>
                    <w:ind w:firstLine="320" w:firstLineChars="200"/>
                    <w:jc w:val="left"/>
                    <w:textAlignment w:val="auto"/>
                    <w:rPr>
                      <w:rFonts w:hint="eastAsia" w:ascii="Times New Roman" w:hAnsi="Times New Roman" w:eastAsia="宋体" w:cs="Times New Roman"/>
                      <w:color w:val="auto"/>
                      <w:spacing w:val="-10"/>
                      <w:sz w:val="18"/>
                      <w:szCs w:val="18"/>
                      <w:highlight w:val="none"/>
                      <w:lang w:val="en-US" w:eastAsia="zh-CN"/>
                    </w:rPr>
                  </w:pPr>
                  <w:r>
                    <w:rPr>
                      <w:rFonts w:hint="eastAsia" w:cs="Times New Roman"/>
                      <w:color w:val="auto"/>
                      <w:spacing w:val="-10"/>
                      <w:sz w:val="18"/>
                      <w:szCs w:val="18"/>
                      <w:highlight w:val="none"/>
                      <w:lang w:val="en-US" w:eastAsia="zh-CN"/>
                    </w:rPr>
                    <w:t>9、本项目不涉及</w:t>
                  </w:r>
                  <w:r>
                    <w:rPr>
                      <w:rFonts w:hint="eastAsia" w:ascii="Times New Roman" w:hAnsi="Times New Roman" w:eastAsia="宋体" w:cs="Times New Roman"/>
                      <w:color w:val="auto"/>
                      <w:spacing w:val="-10"/>
                      <w:sz w:val="18"/>
                      <w:szCs w:val="18"/>
                      <w:highlight w:val="none"/>
                      <w:lang w:val="en-US" w:eastAsia="zh-CN"/>
                    </w:rPr>
                    <w:t>。</w:t>
                  </w:r>
                </w:p>
                <w:p w14:paraId="06DE8CCD">
                  <w:pPr>
                    <w:keepNext w:val="0"/>
                    <w:keepLines w:val="0"/>
                    <w:pageBreakBefore w:val="0"/>
                    <w:widowControl w:val="0"/>
                    <w:kinsoku/>
                    <w:wordWrap/>
                    <w:overflowPunct/>
                    <w:topLinePunct w:val="0"/>
                    <w:autoSpaceDE/>
                    <w:autoSpaceDN/>
                    <w:bidi w:val="0"/>
                    <w:adjustRightInd/>
                    <w:snapToGrid/>
                    <w:spacing w:line="240" w:lineRule="exact"/>
                    <w:ind w:firstLine="320" w:firstLineChars="200"/>
                    <w:jc w:val="left"/>
                    <w:textAlignment w:val="auto"/>
                    <w:rPr>
                      <w:rFonts w:hint="eastAsia" w:ascii="Times New Roman" w:hAnsi="Times New Roman" w:eastAsia="宋体" w:cs="Times New Roman"/>
                      <w:color w:val="auto"/>
                      <w:spacing w:val="-10"/>
                      <w:sz w:val="18"/>
                      <w:szCs w:val="18"/>
                      <w:highlight w:val="none"/>
                      <w:lang w:val="en-US" w:eastAsia="zh-CN"/>
                    </w:rPr>
                  </w:pPr>
                  <w:r>
                    <w:rPr>
                      <w:rFonts w:hint="eastAsia" w:ascii="Times New Roman" w:hAnsi="Times New Roman" w:eastAsia="宋体" w:cs="Times New Roman"/>
                      <w:color w:val="auto"/>
                      <w:spacing w:val="-10"/>
                      <w:sz w:val="18"/>
                      <w:szCs w:val="18"/>
                      <w:highlight w:val="none"/>
                      <w:lang w:val="en-US" w:eastAsia="zh-CN"/>
                    </w:rPr>
                    <w:t>10、重污染天气应急响应期间，项目按当地主管部门要求采取相应的减排措施。</w:t>
                  </w:r>
                </w:p>
                <w:p w14:paraId="0B6C154B">
                  <w:pPr>
                    <w:keepNext w:val="0"/>
                    <w:keepLines w:val="0"/>
                    <w:pageBreakBefore w:val="0"/>
                    <w:widowControl w:val="0"/>
                    <w:kinsoku/>
                    <w:wordWrap/>
                    <w:overflowPunct/>
                    <w:topLinePunct w:val="0"/>
                    <w:autoSpaceDE/>
                    <w:autoSpaceDN/>
                    <w:bidi w:val="0"/>
                    <w:adjustRightInd/>
                    <w:snapToGrid/>
                    <w:spacing w:line="240" w:lineRule="exact"/>
                    <w:ind w:firstLine="320" w:firstLineChars="200"/>
                    <w:jc w:val="left"/>
                    <w:textAlignment w:val="auto"/>
                    <w:rPr>
                      <w:rFonts w:hint="eastAsia" w:ascii="Times New Roman" w:hAnsi="Times New Roman" w:eastAsia="宋体" w:cs="Times New Roman"/>
                      <w:color w:val="auto"/>
                      <w:spacing w:val="-10"/>
                      <w:sz w:val="18"/>
                      <w:szCs w:val="18"/>
                      <w:highlight w:val="none"/>
                      <w:lang w:val="en-US" w:eastAsia="zh-CN"/>
                    </w:rPr>
                  </w:pPr>
                  <w:r>
                    <w:rPr>
                      <w:rFonts w:hint="eastAsia" w:ascii="Times New Roman" w:hAnsi="Times New Roman" w:eastAsia="宋体" w:cs="Times New Roman"/>
                      <w:color w:val="auto"/>
                      <w:spacing w:val="-10"/>
                      <w:sz w:val="18"/>
                      <w:szCs w:val="18"/>
                      <w:highlight w:val="none"/>
                      <w:lang w:val="en-US" w:eastAsia="zh-CN"/>
                    </w:rPr>
                    <w:t>11、运输车辆全部采用符合国家和地方要求的达标运输车辆。</w:t>
                  </w:r>
                </w:p>
                <w:p w14:paraId="6C1B0FC2">
                  <w:pPr>
                    <w:keepNext w:val="0"/>
                    <w:keepLines w:val="0"/>
                    <w:pageBreakBefore w:val="0"/>
                    <w:widowControl w:val="0"/>
                    <w:kinsoku/>
                    <w:wordWrap/>
                    <w:overflowPunct/>
                    <w:topLinePunct w:val="0"/>
                    <w:autoSpaceDE/>
                    <w:autoSpaceDN/>
                    <w:bidi w:val="0"/>
                    <w:adjustRightInd/>
                    <w:snapToGrid/>
                    <w:spacing w:line="240" w:lineRule="exact"/>
                    <w:ind w:firstLine="320" w:firstLineChars="200"/>
                    <w:jc w:val="left"/>
                    <w:textAlignment w:val="auto"/>
                    <w:rPr>
                      <w:rFonts w:hint="eastAsia" w:ascii="Times New Roman" w:hAnsi="Times New Roman" w:eastAsia="宋体" w:cs="Times New Roman"/>
                      <w:color w:val="auto"/>
                      <w:spacing w:val="-10"/>
                      <w:sz w:val="18"/>
                      <w:szCs w:val="18"/>
                      <w:highlight w:val="none"/>
                      <w:lang w:val="en-US" w:eastAsia="zh-CN"/>
                    </w:rPr>
                  </w:pPr>
                  <w:r>
                    <w:rPr>
                      <w:rFonts w:hint="eastAsia" w:ascii="Times New Roman" w:hAnsi="Times New Roman" w:eastAsia="宋体" w:cs="Times New Roman"/>
                      <w:color w:val="auto"/>
                      <w:spacing w:val="-10"/>
                      <w:sz w:val="18"/>
                      <w:szCs w:val="18"/>
                      <w:highlight w:val="none"/>
                      <w:lang w:val="en-US" w:eastAsia="zh-CN"/>
                    </w:rPr>
                    <w:t>12、本项目不涉及。</w:t>
                  </w:r>
                </w:p>
                <w:p w14:paraId="35F904F9">
                  <w:pPr>
                    <w:keepNext w:val="0"/>
                    <w:keepLines w:val="0"/>
                    <w:pageBreakBefore w:val="0"/>
                    <w:widowControl w:val="0"/>
                    <w:kinsoku/>
                    <w:wordWrap/>
                    <w:overflowPunct/>
                    <w:topLinePunct w:val="0"/>
                    <w:autoSpaceDE/>
                    <w:autoSpaceDN/>
                    <w:bidi w:val="0"/>
                    <w:adjustRightInd/>
                    <w:snapToGrid/>
                    <w:spacing w:line="240" w:lineRule="exact"/>
                    <w:ind w:firstLine="320" w:firstLineChars="200"/>
                    <w:jc w:val="left"/>
                    <w:textAlignment w:val="auto"/>
                    <w:rPr>
                      <w:rFonts w:hint="eastAsia" w:ascii="Times New Roman" w:hAnsi="Times New Roman" w:eastAsia="宋体" w:cs="Times New Roman"/>
                      <w:color w:val="auto"/>
                      <w:spacing w:val="-10"/>
                      <w:sz w:val="18"/>
                      <w:szCs w:val="18"/>
                      <w:highlight w:val="none"/>
                      <w:lang w:val="en-US" w:eastAsia="zh-CN"/>
                    </w:rPr>
                  </w:pPr>
                  <w:r>
                    <w:rPr>
                      <w:rFonts w:hint="eastAsia" w:ascii="Times New Roman" w:hAnsi="Times New Roman" w:eastAsia="宋体" w:cs="Times New Roman"/>
                      <w:color w:val="auto"/>
                      <w:spacing w:val="-10"/>
                      <w:sz w:val="18"/>
                      <w:szCs w:val="18"/>
                      <w:highlight w:val="none"/>
                      <w:lang w:val="en-US" w:eastAsia="zh-CN"/>
                    </w:rPr>
                    <w:t>13、本项目不涉及。</w:t>
                  </w:r>
                </w:p>
                <w:p w14:paraId="7EAF8E6D">
                  <w:pPr>
                    <w:keepNext w:val="0"/>
                    <w:keepLines w:val="0"/>
                    <w:pageBreakBefore w:val="0"/>
                    <w:widowControl w:val="0"/>
                    <w:kinsoku/>
                    <w:wordWrap/>
                    <w:overflowPunct/>
                    <w:topLinePunct w:val="0"/>
                    <w:autoSpaceDE/>
                    <w:autoSpaceDN/>
                    <w:bidi w:val="0"/>
                    <w:adjustRightInd/>
                    <w:snapToGrid/>
                    <w:spacing w:line="240" w:lineRule="exact"/>
                    <w:ind w:firstLine="320" w:firstLineChars="200"/>
                    <w:jc w:val="left"/>
                    <w:textAlignment w:val="auto"/>
                    <w:rPr>
                      <w:rFonts w:hint="eastAsia" w:ascii="Times New Roman" w:hAnsi="Times New Roman" w:eastAsia="宋体" w:cs="Times New Roman"/>
                      <w:color w:val="auto"/>
                      <w:spacing w:val="-10"/>
                      <w:sz w:val="18"/>
                      <w:szCs w:val="18"/>
                      <w:highlight w:val="none"/>
                      <w:lang w:val="en-US" w:eastAsia="zh-CN"/>
                    </w:rPr>
                  </w:pPr>
                  <w:r>
                    <w:rPr>
                      <w:rFonts w:hint="eastAsia" w:ascii="Times New Roman" w:hAnsi="Times New Roman" w:eastAsia="宋体" w:cs="Times New Roman"/>
                      <w:color w:val="auto"/>
                      <w:spacing w:val="-10"/>
                      <w:sz w:val="18"/>
                      <w:szCs w:val="18"/>
                      <w:highlight w:val="none"/>
                      <w:lang w:val="en-US" w:eastAsia="zh-CN"/>
                    </w:rPr>
                    <w:t>14、本项目不涉及。</w:t>
                  </w:r>
                </w:p>
                <w:p w14:paraId="1E06A2AF">
                  <w:pPr>
                    <w:keepNext w:val="0"/>
                    <w:keepLines w:val="0"/>
                    <w:pageBreakBefore w:val="0"/>
                    <w:widowControl w:val="0"/>
                    <w:kinsoku/>
                    <w:wordWrap/>
                    <w:overflowPunct/>
                    <w:topLinePunct w:val="0"/>
                    <w:autoSpaceDE/>
                    <w:autoSpaceDN/>
                    <w:bidi w:val="0"/>
                    <w:adjustRightInd/>
                    <w:snapToGrid/>
                    <w:spacing w:line="240" w:lineRule="exact"/>
                    <w:ind w:firstLine="320" w:firstLineChars="200"/>
                    <w:jc w:val="left"/>
                    <w:textAlignment w:val="auto"/>
                    <w:rPr>
                      <w:rFonts w:hint="default" w:ascii="Times New Roman" w:hAnsi="Times New Roman" w:eastAsia="宋体" w:cs="Times New Roman"/>
                      <w:color w:val="auto"/>
                      <w:spacing w:val="-10"/>
                      <w:sz w:val="18"/>
                      <w:szCs w:val="18"/>
                      <w:highlight w:val="none"/>
                      <w:lang w:val="en-US" w:eastAsia="zh-CN"/>
                    </w:rPr>
                  </w:pPr>
                  <w:r>
                    <w:rPr>
                      <w:rFonts w:hint="eastAsia" w:ascii="Times New Roman" w:hAnsi="Times New Roman" w:eastAsia="宋体" w:cs="Times New Roman"/>
                      <w:color w:val="auto"/>
                      <w:spacing w:val="-10"/>
                      <w:sz w:val="18"/>
                      <w:szCs w:val="18"/>
                      <w:highlight w:val="none"/>
                      <w:lang w:val="en-US" w:eastAsia="zh-CN"/>
                    </w:rPr>
                    <w:t>15、本项目不涉及。</w:t>
                  </w:r>
                </w:p>
              </w:tc>
              <w:tc>
                <w:tcPr>
                  <w:tcW w:w="750" w:type="dxa"/>
                  <w:tcBorders>
                    <w:tl2br w:val="nil"/>
                    <w:tr2bl w:val="nil"/>
                  </w:tcBorders>
                  <w:vAlign w:val="center"/>
                </w:tcPr>
                <w:p w14:paraId="0F817F48">
                  <w:pPr>
                    <w:spacing w:line="240" w:lineRule="exact"/>
                    <w:jc w:val="center"/>
                    <w:rPr>
                      <w:rFonts w:hint="default" w:ascii="Times New Roman" w:hAnsi="Times New Roman" w:eastAsia="宋体" w:cs="Times New Roman"/>
                      <w:color w:val="auto"/>
                      <w:spacing w:val="-10"/>
                      <w:sz w:val="18"/>
                      <w:szCs w:val="18"/>
                      <w:highlight w:val="none"/>
                      <w:lang w:val="en-US" w:eastAsia="zh-CN"/>
                    </w:rPr>
                  </w:pPr>
                  <w:r>
                    <w:rPr>
                      <w:rFonts w:hint="default" w:ascii="Times New Roman" w:hAnsi="Times New Roman" w:eastAsia="宋体" w:cs="Times New Roman"/>
                      <w:color w:val="auto"/>
                      <w:spacing w:val="-10"/>
                      <w:sz w:val="18"/>
                      <w:szCs w:val="18"/>
                      <w:highlight w:val="none"/>
                      <w:lang w:val="en-US" w:eastAsia="zh-CN"/>
                    </w:rPr>
                    <w:t>符合</w:t>
                  </w:r>
                </w:p>
              </w:tc>
            </w:tr>
          </w:tbl>
          <w:p w14:paraId="02081694">
            <w:pPr>
              <w:pStyle w:val="24"/>
              <w:adjustRightInd w:val="0"/>
              <w:snapToGrid w:val="0"/>
              <w:spacing w:before="0" w:beforeAutospacing="0" w:after="0" w:afterAutospacing="0" w:line="440" w:lineRule="exact"/>
              <w:jc w:val="center"/>
              <w:rPr>
                <w:rFonts w:ascii="Times New Roman" w:hAnsi="Times New Roman"/>
                <w:b/>
                <w:color w:val="auto"/>
                <w:sz w:val="21"/>
                <w:szCs w:val="21"/>
                <w:highlight w:val="none"/>
              </w:rPr>
            </w:pPr>
            <w:r>
              <w:rPr>
                <w:rFonts w:hint="eastAsia" w:ascii="Times New Roman" w:hAnsi="Times New Roman"/>
                <w:b/>
                <w:color w:val="auto"/>
                <w:sz w:val="21"/>
                <w:szCs w:val="21"/>
                <w:highlight w:val="none"/>
                <w:lang w:val="en-US" w:eastAsia="zh-CN"/>
              </w:rPr>
              <w:t>续表2</w:t>
            </w:r>
            <w:r>
              <w:rPr>
                <w:rFonts w:hint="default" w:ascii="Times New Roman" w:hAnsi="Times New Roman"/>
                <w:b/>
                <w:color w:val="auto"/>
                <w:sz w:val="21"/>
                <w:szCs w:val="21"/>
                <w:highlight w:val="none"/>
                <w:lang w:val="en-US" w:eastAsia="zh-CN"/>
              </w:rPr>
              <w:t xml:space="preserve"> </w:t>
            </w:r>
            <w:r>
              <w:rPr>
                <w:rFonts w:hint="eastAsia" w:ascii="Times New Roman" w:hAnsi="Times New Roman"/>
                <w:b/>
                <w:color w:val="auto"/>
                <w:sz w:val="21"/>
                <w:szCs w:val="21"/>
                <w:highlight w:val="none"/>
                <w:lang w:val="en-US" w:eastAsia="zh-CN"/>
              </w:rPr>
              <w:t>项目与唐山市生态环境准入清单符合性分析</w:t>
            </w:r>
          </w:p>
          <w:tbl>
            <w:tblPr>
              <w:tblStyle w:val="29"/>
              <w:tblW w:w="11975" w:type="dxa"/>
              <w:tblInd w:w="5"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87"/>
              <w:gridCol w:w="1264"/>
              <w:gridCol w:w="6361"/>
              <w:gridCol w:w="2913"/>
              <w:gridCol w:w="750"/>
            </w:tblGrid>
            <w:tr w14:paraId="1D59B40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951" w:type="dxa"/>
                  <w:gridSpan w:val="2"/>
                  <w:tcBorders>
                    <w:tl2br w:val="nil"/>
                    <w:tr2bl w:val="nil"/>
                  </w:tcBorders>
                  <w:vAlign w:val="center"/>
                </w:tcPr>
                <w:p w14:paraId="3D4A8209">
                  <w:pPr>
                    <w:spacing w:line="240" w:lineRule="exact"/>
                    <w:jc w:val="center"/>
                    <w:rPr>
                      <w:rFonts w:hint="default" w:ascii="Times New Roman" w:hAnsi="Times New Roman" w:cs="Times New Roman"/>
                      <w:color w:val="auto"/>
                      <w:spacing w:val="-10"/>
                      <w:sz w:val="18"/>
                      <w:szCs w:val="18"/>
                      <w:highlight w:val="none"/>
                      <w:lang w:val="en-US" w:eastAsia="zh-CN"/>
                    </w:rPr>
                  </w:pPr>
                  <w:r>
                    <w:rPr>
                      <w:rFonts w:hint="default" w:ascii="Times New Roman" w:hAnsi="Times New Roman" w:cs="Times New Roman"/>
                      <w:color w:val="auto"/>
                      <w:spacing w:val="-10"/>
                      <w:sz w:val="18"/>
                      <w:szCs w:val="18"/>
                      <w:highlight w:val="none"/>
                      <w:lang w:val="en-US" w:eastAsia="zh-CN"/>
                    </w:rPr>
                    <w:t>管控单元</w:t>
                  </w:r>
                </w:p>
              </w:tc>
              <w:tc>
                <w:tcPr>
                  <w:tcW w:w="6361" w:type="dxa"/>
                  <w:tcBorders>
                    <w:tl2br w:val="nil"/>
                    <w:tr2bl w:val="nil"/>
                  </w:tcBorders>
                  <w:vAlign w:val="center"/>
                </w:tcPr>
                <w:p w14:paraId="5DE35301">
                  <w:pPr>
                    <w:spacing w:line="240" w:lineRule="exact"/>
                    <w:jc w:val="center"/>
                    <w:rPr>
                      <w:rFonts w:hint="default" w:ascii="Times New Roman" w:hAnsi="Times New Roman" w:cs="Times New Roman"/>
                      <w:color w:val="auto"/>
                      <w:spacing w:val="-10"/>
                      <w:sz w:val="18"/>
                      <w:szCs w:val="18"/>
                      <w:highlight w:val="none"/>
                      <w:lang w:val="en-US" w:eastAsia="zh-CN"/>
                    </w:rPr>
                  </w:pPr>
                  <w:r>
                    <w:rPr>
                      <w:rFonts w:hint="default" w:ascii="Times New Roman" w:hAnsi="Times New Roman" w:cs="Times New Roman"/>
                      <w:color w:val="auto"/>
                      <w:spacing w:val="-10"/>
                      <w:sz w:val="18"/>
                      <w:szCs w:val="18"/>
                      <w:highlight w:val="none"/>
                      <w:lang w:val="en-US" w:eastAsia="zh-CN"/>
                    </w:rPr>
                    <w:t>要求</w:t>
                  </w:r>
                </w:p>
              </w:tc>
              <w:tc>
                <w:tcPr>
                  <w:tcW w:w="2913" w:type="dxa"/>
                  <w:tcBorders>
                    <w:tl2br w:val="nil"/>
                    <w:tr2bl w:val="nil"/>
                  </w:tcBorders>
                  <w:vAlign w:val="center"/>
                </w:tcPr>
                <w:p w14:paraId="0252B9C1">
                  <w:pPr>
                    <w:spacing w:line="240" w:lineRule="exact"/>
                    <w:jc w:val="center"/>
                    <w:rPr>
                      <w:rFonts w:hint="default" w:ascii="Times New Roman" w:hAnsi="Times New Roman" w:cs="Times New Roman"/>
                      <w:color w:val="auto"/>
                      <w:spacing w:val="-10"/>
                      <w:sz w:val="18"/>
                      <w:szCs w:val="18"/>
                      <w:highlight w:val="none"/>
                      <w:lang w:val="en-US" w:eastAsia="zh-CN"/>
                    </w:rPr>
                  </w:pPr>
                  <w:r>
                    <w:rPr>
                      <w:rFonts w:hint="default" w:ascii="Times New Roman" w:hAnsi="Times New Roman" w:cs="Times New Roman"/>
                      <w:color w:val="auto"/>
                      <w:spacing w:val="-10"/>
                      <w:sz w:val="18"/>
                      <w:szCs w:val="18"/>
                      <w:highlight w:val="none"/>
                      <w:lang w:val="en-US" w:eastAsia="zh-CN"/>
                    </w:rPr>
                    <w:t>项目情况</w:t>
                  </w:r>
                </w:p>
              </w:tc>
              <w:tc>
                <w:tcPr>
                  <w:tcW w:w="750" w:type="dxa"/>
                  <w:tcBorders>
                    <w:tl2br w:val="nil"/>
                    <w:tr2bl w:val="nil"/>
                  </w:tcBorders>
                  <w:vAlign w:val="center"/>
                </w:tcPr>
                <w:p w14:paraId="3AB881B6">
                  <w:pPr>
                    <w:spacing w:line="240" w:lineRule="exact"/>
                    <w:jc w:val="center"/>
                    <w:rPr>
                      <w:rFonts w:hint="default" w:ascii="Times New Roman" w:hAnsi="Times New Roman" w:cs="Times New Roman"/>
                      <w:color w:val="auto"/>
                      <w:spacing w:val="-10"/>
                      <w:sz w:val="18"/>
                      <w:szCs w:val="18"/>
                      <w:highlight w:val="none"/>
                      <w:lang w:val="en-US" w:eastAsia="zh-CN"/>
                    </w:rPr>
                  </w:pPr>
                  <w:r>
                    <w:rPr>
                      <w:rFonts w:hint="default" w:ascii="Times New Roman" w:hAnsi="Times New Roman" w:cs="Times New Roman"/>
                      <w:color w:val="auto"/>
                      <w:spacing w:val="-10"/>
                      <w:sz w:val="18"/>
                      <w:szCs w:val="18"/>
                      <w:highlight w:val="none"/>
                      <w:lang w:val="en-US" w:eastAsia="zh-CN"/>
                    </w:rPr>
                    <w:t>符合性</w:t>
                  </w:r>
                </w:p>
              </w:tc>
            </w:tr>
            <w:tr w14:paraId="28E7F57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87" w:type="dxa"/>
                  <w:vMerge w:val="restart"/>
                  <w:tcBorders>
                    <w:tl2br w:val="nil"/>
                    <w:tr2bl w:val="nil"/>
                  </w:tcBorders>
                  <w:vAlign w:val="center"/>
                </w:tcPr>
                <w:p w14:paraId="1B6B5943">
                  <w:pPr>
                    <w:spacing w:line="240" w:lineRule="exact"/>
                    <w:jc w:val="center"/>
                    <w:rPr>
                      <w:rFonts w:hint="default" w:ascii="Times New Roman" w:hAnsi="Times New Roman" w:cs="Times New Roman"/>
                      <w:color w:val="auto"/>
                      <w:spacing w:val="-10"/>
                      <w:sz w:val="18"/>
                      <w:szCs w:val="18"/>
                      <w:highlight w:val="none"/>
                      <w:lang w:val="en-US" w:eastAsia="zh-CN"/>
                    </w:rPr>
                  </w:pPr>
                  <w:r>
                    <w:rPr>
                      <w:rFonts w:hint="default" w:ascii="Times New Roman" w:hAnsi="Times New Roman" w:cs="Times New Roman"/>
                      <w:color w:val="auto"/>
                      <w:spacing w:val="-10"/>
                      <w:sz w:val="18"/>
                      <w:szCs w:val="18"/>
                      <w:highlight w:val="none"/>
                      <w:lang w:val="en-US" w:eastAsia="zh-CN"/>
                    </w:rPr>
                    <w:t>大气环境</w:t>
                  </w:r>
                </w:p>
              </w:tc>
              <w:tc>
                <w:tcPr>
                  <w:tcW w:w="1264" w:type="dxa"/>
                  <w:tcBorders>
                    <w:tl2br w:val="nil"/>
                    <w:tr2bl w:val="nil"/>
                  </w:tcBorders>
                  <w:vAlign w:val="center"/>
                </w:tcPr>
                <w:p w14:paraId="77512421">
                  <w:pPr>
                    <w:spacing w:line="240" w:lineRule="exact"/>
                    <w:jc w:val="center"/>
                    <w:rPr>
                      <w:rFonts w:hint="default" w:ascii="Times New Roman" w:hAnsi="Times New Roman" w:eastAsia="宋体" w:cs="Times New Roman"/>
                      <w:color w:val="auto"/>
                      <w:spacing w:val="-10"/>
                      <w:kern w:val="2"/>
                      <w:sz w:val="18"/>
                      <w:szCs w:val="18"/>
                      <w:highlight w:val="none"/>
                      <w:lang w:val="en-US" w:eastAsia="zh-CN" w:bidi="ar-SA"/>
                    </w:rPr>
                  </w:pPr>
                  <w:r>
                    <w:rPr>
                      <w:rFonts w:hint="default" w:ascii="Times New Roman" w:hAnsi="Times New Roman" w:eastAsia="宋体" w:cs="Times New Roman"/>
                      <w:color w:val="auto"/>
                      <w:spacing w:val="-10"/>
                      <w:sz w:val="18"/>
                      <w:szCs w:val="18"/>
                      <w:highlight w:val="none"/>
                      <w:lang w:val="en-US" w:eastAsia="zh-CN"/>
                    </w:rPr>
                    <w:t>污染物排放管控</w:t>
                  </w:r>
                </w:p>
              </w:tc>
              <w:tc>
                <w:tcPr>
                  <w:tcW w:w="6361" w:type="dxa"/>
                  <w:tcBorders>
                    <w:tl2br w:val="nil"/>
                    <w:tr2bl w:val="nil"/>
                  </w:tcBorders>
                  <w:vAlign w:val="center"/>
                </w:tcPr>
                <w:p w14:paraId="148D5D97">
                  <w:pPr>
                    <w:keepNext w:val="0"/>
                    <w:keepLines w:val="0"/>
                    <w:pageBreakBefore w:val="0"/>
                    <w:widowControl w:val="0"/>
                    <w:numPr>
                      <w:ilvl w:val="0"/>
                      <w:numId w:val="0"/>
                    </w:numPr>
                    <w:kinsoku/>
                    <w:wordWrap/>
                    <w:overflowPunct/>
                    <w:topLinePunct w:val="0"/>
                    <w:autoSpaceDE/>
                    <w:autoSpaceDN/>
                    <w:bidi w:val="0"/>
                    <w:adjustRightInd/>
                    <w:snapToGrid/>
                    <w:spacing w:line="240" w:lineRule="exact"/>
                    <w:ind w:firstLine="320" w:firstLineChars="200"/>
                    <w:jc w:val="left"/>
                    <w:textAlignment w:val="auto"/>
                    <w:rPr>
                      <w:rFonts w:hint="eastAsia" w:ascii="Times New Roman" w:hAnsi="Times New Roman" w:eastAsia="宋体" w:cs="Times New Roman"/>
                      <w:color w:val="auto"/>
                      <w:spacing w:val="-10"/>
                      <w:sz w:val="18"/>
                      <w:szCs w:val="18"/>
                      <w:highlight w:val="none"/>
                      <w:lang w:val="en-US" w:eastAsia="zh-CN"/>
                    </w:rPr>
                  </w:pPr>
                  <w:r>
                    <w:rPr>
                      <w:rFonts w:hint="default" w:ascii="Times New Roman" w:hAnsi="Times New Roman" w:eastAsia="宋体" w:cs="Times New Roman"/>
                      <w:color w:val="auto"/>
                      <w:spacing w:val="-10"/>
                      <w:sz w:val="18"/>
                      <w:szCs w:val="18"/>
                      <w:highlight w:val="none"/>
                      <w:lang w:val="en-US" w:eastAsia="zh-CN"/>
                    </w:rPr>
                    <w:t>12</w:t>
                  </w:r>
                  <w:r>
                    <w:rPr>
                      <w:rFonts w:hint="eastAsia" w:ascii="Times New Roman" w:hAnsi="Times New Roman" w:eastAsia="宋体" w:cs="Times New Roman"/>
                      <w:color w:val="auto"/>
                      <w:spacing w:val="-10"/>
                      <w:sz w:val="18"/>
                      <w:szCs w:val="18"/>
                      <w:highlight w:val="none"/>
                      <w:lang w:val="en-US" w:eastAsia="zh-CN"/>
                    </w:rPr>
                    <w:t>、禁止露天焚烧秸秆、落叶、枯草等产生烟尘污染的物质，以及电子废弃物、油毡、橡胶、塑料、皮革、沥青、垃圾等产生有毒有害、恶臭或者强烈异味气体的物质。</w:t>
                  </w:r>
                </w:p>
                <w:p w14:paraId="43A9A99F">
                  <w:pPr>
                    <w:keepNext w:val="0"/>
                    <w:keepLines w:val="0"/>
                    <w:pageBreakBefore w:val="0"/>
                    <w:widowControl w:val="0"/>
                    <w:numPr>
                      <w:ilvl w:val="0"/>
                      <w:numId w:val="0"/>
                    </w:numPr>
                    <w:kinsoku/>
                    <w:wordWrap/>
                    <w:overflowPunct/>
                    <w:topLinePunct w:val="0"/>
                    <w:autoSpaceDE/>
                    <w:autoSpaceDN/>
                    <w:bidi w:val="0"/>
                    <w:adjustRightInd/>
                    <w:snapToGrid/>
                    <w:spacing w:line="240" w:lineRule="exact"/>
                    <w:ind w:firstLine="320" w:firstLineChars="200"/>
                    <w:jc w:val="left"/>
                    <w:textAlignment w:val="auto"/>
                    <w:rPr>
                      <w:rFonts w:hint="eastAsia" w:ascii="Times New Roman" w:hAnsi="Times New Roman" w:eastAsia="宋体" w:cs="Times New Roman"/>
                      <w:color w:val="auto"/>
                      <w:spacing w:val="-10"/>
                      <w:sz w:val="18"/>
                      <w:szCs w:val="18"/>
                      <w:highlight w:val="none"/>
                      <w:lang w:val="en-US" w:eastAsia="zh-CN"/>
                    </w:rPr>
                  </w:pPr>
                  <w:r>
                    <w:rPr>
                      <w:rFonts w:hint="default" w:ascii="Times New Roman" w:hAnsi="Times New Roman" w:eastAsia="宋体" w:cs="Times New Roman"/>
                      <w:color w:val="auto"/>
                      <w:spacing w:val="-10"/>
                      <w:sz w:val="18"/>
                      <w:szCs w:val="18"/>
                      <w:highlight w:val="none"/>
                      <w:lang w:val="en-US" w:eastAsia="zh-CN"/>
                    </w:rPr>
                    <w:t>13</w:t>
                  </w:r>
                  <w:r>
                    <w:rPr>
                      <w:rFonts w:hint="eastAsia" w:ascii="Times New Roman" w:hAnsi="Times New Roman" w:eastAsia="宋体" w:cs="Times New Roman"/>
                      <w:color w:val="auto"/>
                      <w:spacing w:val="-10"/>
                      <w:sz w:val="18"/>
                      <w:szCs w:val="18"/>
                      <w:highlight w:val="none"/>
                      <w:lang w:val="en-US" w:eastAsia="zh-CN"/>
                    </w:rPr>
                    <w:t xml:space="preserve">、以化工、工业涂装、包装印刷、油品储运销等行业领域为重点，安全高效推进挥发性有机物综合治理，无组织排放和末端深度治理等提升改造工程。 </w:t>
                  </w:r>
                </w:p>
                <w:p w14:paraId="33A9BB51">
                  <w:pPr>
                    <w:keepNext w:val="0"/>
                    <w:keepLines w:val="0"/>
                    <w:pageBreakBefore w:val="0"/>
                    <w:widowControl w:val="0"/>
                    <w:numPr>
                      <w:ilvl w:val="0"/>
                      <w:numId w:val="0"/>
                    </w:numPr>
                    <w:kinsoku/>
                    <w:wordWrap/>
                    <w:overflowPunct/>
                    <w:topLinePunct w:val="0"/>
                    <w:autoSpaceDE/>
                    <w:autoSpaceDN/>
                    <w:bidi w:val="0"/>
                    <w:adjustRightInd/>
                    <w:snapToGrid/>
                    <w:spacing w:line="240" w:lineRule="exact"/>
                    <w:ind w:firstLine="320" w:firstLineChars="200"/>
                    <w:jc w:val="left"/>
                    <w:textAlignment w:val="auto"/>
                    <w:rPr>
                      <w:rFonts w:hint="eastAsia" w:ascii="Times New Roman" w:hAnsi="Times New Roman" w:eastAsia="宋体" w:cs="Times New Roman"/>
                      <w:color w:val="auto"/>
                      <w:spacing w:val="-10"/>
                      <w:sz w:val="18"/>
                      <w:szCs w:val="18"/>
                      <w:highlight w:val="none"/>
                      <w:lang w:val="en-US" w:eastAsia="zh-CN"/>
                    </w:rPr>
                  </w:pPr>
                  <w:r>
                    <w:rPr>
                      <w:rFonts w:hint="default" w:ascii="Times New Roman" w:hAnsi="Times New Roman" w:eastAsia="宋体" w:cs="Times New Roman"/>
                      <w:color w:val="auto"/>
                      <w:spacing w:val="-10"/>
                      <w:sz w:val="18"/>
                      <w:szCs w:val="18"/>
                      <w:highlight w:val="none"/>
                      <w:lang w:val="en-US" w:eastAsia="zh-CN"/>
                    </w:rPr>
                    <w:t>14</w:t>
                  </w:r>
                  <w:r>
                    <w:rPr>
                      <w:rFonts w:hint="eastAsia" w:ascii="Times New Roman" w:hAnsi="Times New Roman" w:eastAsia="宋体" w:cs="Times New Roman"/>
                      <w:color w:val="auto"/>
                      <w:spacing w:val="-10"/>
                      <w:sz w:val="18"/>
                      <w:szCs w:val="18"/>
                      <w:highlight w:val="none"/>
                      <w:lang w:val="en-US" w:eastAsia="zh-CN"/>
                    </w:rPr>
                    <w:t>、推动大气氨排放控制。加强烟气脱硝和氨法脱硫氨逃逸控制。推进种植业、养殖业大气氨减排，加强源头防控，优化肥料、饲料结构。</w:t>
                  </w:r>
                </w:p>
                <w:p w14:paraId="4368B529">
                  <w:pPr>
                    <w:keepNext w:val="0"/>
                    <w:keepLines w:val="0"/>
                    <w:pageBreakBefore w:val="0"/>
                    <w:widowControl w:val="0"/>
                    <w:numPr>
                      <w:ilvl w:val="0"/>
                      <w:numId w:val="0"/>
                    </w:numPr>
                    <w:kinsoku/>
                    <w:wordWrap/>
                    <w:overflowPunct/>
                    <w:topLinePunct w:val="0"/>
                    <w:autoSpaceDE/>
                    <w:autoSpaceDN/>
                    <w:bidi w:val="0"/>
                    <w:adjustRightInd/>
                    <w:snapToGrid/>
                    <w:spacing w:line="240" w:lineRule="exact"/>
                    <w:ind w:firstLine="320" w:firstLineChars="200"/>
                    <w:jc w:val="left"/>
                    <w:textAlignment w:val="auto"/>
                    <w:rPr>
                      <w:rFonts w:hint="eastAsia"/>
                      <w:color w:val="auto"/>
                      <w:highlight w:val="none"/>
                      <w:lang w:val="en-US" w:eastAsia="zh-CN"/>
                    </w:rPr>
                  </w:pPr>
                  <w:r>
                    <w:rPr>
                      <w:rFonts w:hint="default" w:ascii="Times New Roman" w:hAnsi="Times New Roman" w:eastAsia="宋体" w:cs="Times New Roman"/>
                      <w:color w:val="auto"/>
                      <w:spacing w:val="-10"/>
                      <w:sz w:val="18"/>
                      <w:szCs w:val="18"/>
                      <w:highlight w:val="none"/>
                      <w:lang w:val="en-US" w:eastAsia="zh-CN"/>
                    </w:rPr>
                    <w:t>15</w:t>
                  </w:r>
                  <w:r>
                    <w:rPr>
                      <w:rFonts w:hint="eastAsia" w:ascii="Times New Roman" w:hAnsi="Times New Roman" w:eastAsia="宋体" w:cs="Times New Roman"/>
                      <w:color w:val="auto"/>
                      <w:spacing w:val="-10"/>
                      <w:sz w:val="18"/>
                      <w:szCs w:val="18"/>
                      <w:highlight w:val="none"/>
                      <w:lang w:val="en-US" w:eastAsia="zh-CN"/>
                    </w:rPr>
                    <w:t>、严格控制二氧化碳排放强度。加强甲烷等非二氧化碳温室气体管控。</w:t>
                  </w:r>
                </w:p>
              </w:tc>
              <w:tc>
                <w:tcPr>
                  <w:tcW w:w="2913" w:type="dxa"/>
                  <w:tcBorders>
                    <w:tl2br w:val="nil"/>
                    <w:tr2bl w:val="nil"/>
                  </w:tcBorders>
                  <w:vAlign w:val="center"/>
                </w:tcPr>
                <w:p w14:paraId="3F6A96ED">
                  <w:pPr>
                    <w:keepNext w:val="0"/>
                    <w:keepLines w:val="0"/>
                    <w:pageBreakBefore w:val="0"/>
                    <w:widowControl w:val="0"/>
                    <w:kinsoku/>
                    <w:wordWrap/>
                    <w:overflowPunct/>
                    <w:topLinePunct w:val="0"/>
                    <w:autoSpaceDE/>
                    <w:autoSpaceDN/>
                    <w:bidi w:val="0"/>
                    <w:adjustRightInd/>
                    <w:snapToGrid/>
                    <w:spacing w:line="240" w:lineRule="exact"/>
                    <w:ind w:firstLine="320" w:firstLineChars="200"/>
                    <w:jc w:val="left"/>
                    <w:textAlignment w:val="auto"/>
                    <w:rPr>
                      <w:rFonts w:hint="eastAsia" w:ascii="Times New Roman" w:hAnsi="Times New Roman" w:eastAsia="宋体" w:cs="Times New Roman"/>
                      <w:color w:val="auto"/>
                      <w:spacing w:val="-10"/>
                      <w:sz w:val="18"/>
                      <w:szCs w:val="18"/>
                      <w:highlight w:val="none"/>
                      <w:lang w:val="en-US" w:eastAsia="zh-CN"/>
                    </w:rPr>
                  </w:pPr>
                  <w:r>
                    <w:rPr>
                      <w:rFonts w:hint="eastAsia" w:ascii="Times New Roman" w:hAnsi="Times New Roman" w:eastAsia="宋体" w:cs="Times New Roman"/>
                      <w:color w:val="auto"/>
                      <w:spacing w:val="-10"/>
                      <w:sz w:val="18"/>
                      <w:szCs w:val="18"/>
                      <w:highlight w:val="none"/>
                      <w:lang w:val="en-US" w:eastAsia="zh-CN"/>
                    </w:rPr>
                    <w:t>12、本项目不涉及。</w:t>
                  </w:r>
                </w:p>
                <w:p w14:paraId="13F10A2E">
                  <w:pPr>
                    <w:keepNext w:val="0"/>
                    <w:keepLines w:val="0"/>
                    <w:pageBreakBefore w:val="0"/>
                    <w:widowControl w:val="0"/>
                    <w:kinsoku/>
                    <w:wordWrap/>
                    <w:overflowPunct/>
                    <w:topLinePunct w:val="0"/>
                    <w:autoSpaceDE/>
                    <w:autoSpaceDN/>
                    <w:bidi w:val="0"/>
                    <w:adjustRightInd/>
                    <w:snapToGrid/>
                    <w:spacing w:line="240" w:lineRule="exact"/>
                    <w:ind w:firstLine="320" w:firstLineChars="200"/>
                    <w:jc w:val="left"/>
                    <w:textAlignment w:val="auto"/>
                    <w:rPr>
                      <w:rFonts w:hint="eastAsia" w:ascii="Times New Roman" w:hAnsi="Times New Roman" w:eastAsia="宋体" w:cs="Times New Roman"/>
                      <w:color w:val="auto"/>
                      <w:spacing w:val="-10"/>
                      <w:sz w:val="18"/>
                      <w:szCs w:val="18"/>
                      <w:highlight w:val="none"/>
                      <w:lang w:val="en-US" w:eastAsia="zh-CN"/>
                    </w:rPr>
                  </w:pPr>
                  <w:r>
                    <w:rPr>
                      <w:rFonts w:hint="eastAsia" w:ascii="Times New Roman" w:hAnsi="Times New Roman" w:eastAsia="宋体" w:cs="Times New Roman"/>
                      <w:color w:val="auto"/>
                      <w:spacing w:val="-10"/>
                      <w:sz w:val="18"/>
                      <w:szCs w:val="18"/>
                      <w:highlight w:val="none"/>
                      <w:lang w:val="en-US" w:eastAsia="zh-CN"/>
                    </w:rPr>
                    <w:t>13、本项目不涉及。</w:t>
                  </w:r>
                </w:p>
                <w:p w14:paraId="750FE315">
                  <w:pPr>
                    <w:keepNext w:val="0"/>
                    <w:keepLines w:val="0"/>
                    <w:pageBreakBefore w:val="0"/>
                    <w:widowControl w:val="0"/>
                    <w:kinsoku/>
                    <w:wordWrap/>
                    <w:overflowPunct/>
                    <w:topLinePunct w:val="0"/>
                    <w:autoSpaceDE/>
                    <w:autoSpaceDN/>
                    <w:bidi w:val="0"/>
                    <w:adjustRightInd/>
                    <w:snapToGrid/>
                    <w:spacing w:line="240" w:lineRule="exact"/>
                    <w:ind w:firstLine="320" w:firstLineChars="200"/>
                    <w:jc w:val="left"/>
                    <w:textAlignment w:val="auto"/>
                    <w:rPr>
                      <w:rFonts w:hint="eastAsia" w:ascii="Times New Roman" w:hAnsi="Times New Roman" w:eastAsia="宋体" w:cs="Times New Roman"/>
                      <w:color w:val="auto"/>
                      <w:spacing w:val="-10"/>
                      <w:sz w:val="18"/>
                      <w:szCs w:val="18"/>
                      <w:highlight w:val="none"/>
                      <w:lang w:val="en-US" w:eastAsia="zh-CN"/>
                    </w:rPr>
                  </w:pPr>
                  <w:r>
                    <w:rPr>
                      <w:rFonts w:hint="eastAsia" w:ascii="Times New Roman" w:hAnsi="Times New Roman" w:eastAsia="宋体" w:cs="Times New Roman"/>
                      <w:color w:val="auto"/>
                      <w:spacing w:val="-10"/>
                      <w:sz w:val="18"/>
                      <w:szCs w:val="18"/>
                      <w:highlight w:val="none"/>
                      <w:lang w:val="en-US" w:eastAsia="zh-CN"/>
                    </w:rPr>
                    <w:t>14、本项目不涉及。</w:t>
                  </w:r>
                </w:p>
                <w:p w14:paraId="1FE7C503">
                  <w:pPr>
                    <w:keepNext w:val="0"/>
                    <w:keepLines w:val="0"/>
                    <w:pageBreakBefore w:val="0"/>
                    <w:widowControl w:val="0"/>
                    <w:kinsoku/>
                    <w:wordWrap/>
                    <w:overflowPunct/>
                    <w:topLinePunct w:val="0"/>
                    <w:autoSpaceDE/>
                    <w:autoSpaceDN/>
                    <w:bidi w:val="0"/>
                    <w:adjustRightInd/>
                    <w:snapToGrid/>
                    <w:spacing w:line="240" w:lineRule="exact"/>
                    <w:ind w:firstLine="320" w:firstLineChars="200"/>
                    <w:jc w:val="left"/>
                    <w:textAlignment w:val="auto"/>
                    <w:rPr>
                      <w:rFonts w:hint="default" w:ascii="Times New Roman" w:hAnsi="Times New Roman" w:eastAsia="宋体" w:cs="Times New Roman"/>
                      <w:color w:val="auto"/>
                      <w:spacing w:val="-10"/>
                      <w:sz w:val="18"/>
                      <w:szCs w:val="18"/>
                      <w:highlight w:val="none"/>
                      <w:lang w:val="en-US" w:eastAsia="zh-CN"/>
                    </w:rPr>
                  </w:pPr>
                  <w:r>
                    <w:rPr>
                      <w:rFonts w:hint="eastAsia" w:ascii="Times New Roman" w:hAnsi="Times New Roman" w:eastAsia="宋体" w:cs="Times New Roman"/>
                      <w:color w:val="auto"/>
                      <w:spacing w:val="-10"/>
                      <w:sz w:val="18"/>
                      <w:szCs w:val="18"/>
                      <w:highlight w:val="none"/>
                      <w:lang w:val="en-US" w:eastAsia="zh-CN"/>
                    </w:rPr>
                    <w:t>15、本项目不涉及。</w:t>
                  </w:r>
                </w:p>
              </w:tc>
              <w:tc>
                <w:tcPr>
                  <w:tcW w:w="750" w:type="dxa"/>
                  <w:tcBorders>
                    <w:tl2br w:val="nil"/>
                    <w:tr2bl w:val="nil"/>
                  </w:tcBorders>
                  <w:vAlign w:val="center"/>
                </w:tcPr>
                <w:p w14:paraId="23BAFDD2">
                  <w:pPr>
                    <w:spacing w:line="240" w:lineRule="exact"/>
                    <w:jc w:val="center"/>
                    <w:rPr>
                      <w:rFonts w:hint="default" w:ascii="Times New Roman" w:hAnsi="Times New Roman" w:eastAsia="宋体" w:cs="Times New Roman"/>
                      <w:color w:val="auto"/>
                      <w:spacing w:val="-10"/>
                      <w:sz w:val="18"/>
                      <w:szCs w:val="18"/>
                      <w:highlight w:val="none"/>
                      <w:lang w:val="en-US" w:eastAsia="zh-CN"/>
                    </w:rPr>
                  </w:pPr>
                  <w:r>
                    <w:rPr>
                      <w:rFonts w:hint="default" w:ascii="Times New Roman" w:hAnsi="Times New Roman" w:eastAsia="宋体" w:cs="Times New Roman"/>
                      <w:color w:val="auto"/>
                      <w:spacing w:val="-10"/>
                      <w:sz w:val="18"/>
                      <w:szCs w:val="18"/>
                      <w:highlight w:val="none"/>
                      <w:lang w:val="en-US" w:eastAsia="zh-CN"/>
                    </w:rPr>
                    <w:t>符合</w:t>
                  </w:r>
                </w:p>
              </w:tc>
            </w:tr>
            <w:tr w14:paraId="1882A03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87" w:type="dxa"/>
                  <w:vMerge w:val="continue"/>
                  <w:tcBorders>
                    <w:tl2br w:val="nil"/>
                    <w:tr2bl w:val="nil"/>
                  </w:tcBorders>
                  <w:vAlign w:val="center"/>
                </w:tcPr>
                <w:p w14:paraId="7CEAF2D6">
                  <w:pPr>
                    <w:spacing w:line="240" w:lineRule="exact"/>
                    <w:jc w:val="center"/>
                    <w:rPr>
                      <w:rFonts w:hint="default" w:ascii="Times New Roman" w:hAnsi="Times New Roman" w:cs="Times New Roman"/>
                      <w:color w:val="auto"/>
                      <w:spacing w:val="-10"/>
                      <w:sz w:val="18"/>
                      <w:szCs w:val="18"/>
                      <w:highlight w:val="none"/>
                      <w:lang w:val="en-US" w:eastAsia="zh-CN"/>
                    </w:rPr>
                  </w:pPr>
                </w:p>
              </w:tc>
              <w:tc>
                <w:tcPr>
                  <w:tcW w:w="1264" w:type="dxa"/>
                  <w:tcBorders>
                    <w:tl2br w:val="nil"/>
                    <w:tr2bl w:val="nil"/>
                  </w:tcBorders>
                  <w:vAlign w:val="center"/>
                </w:tcPr>
                <w:p w14:paraId="7EED2AAF">
                  <w:pPr>
                    <w:spacing w:line="240" w:lineRule="exact"/>
                    <w:jc w:val="center"/>
                    <w:rPr>
                      <w:rFonts w:hint="default" w:ascii="Times New Roman" w:hAnsi="Times New Roman" w:eastAsia="宋体" w:cs="Times New Roman"/>
                      <w:color w:val="auto"/>
                      <w:spacing w:val="-10"/>
                      <w:sz w:val="18"/>
                      <w:szCs w:val="18"/>
                      <w:highlight w:val="none"/>
                      <w:lang w:val="en-US" w:eastAsia="zh-CN"/>
                    </w:rPr>
                  </w:pPr>
                  <w:r>
                    <w:rPr>
                      <w:rFonts w:hint="default" w:ascii="Times New Roman" w:hAnsi="Times New Roman" w:eastAsia="宋体" w:cs="Times New Roman"/>
                      <w:color w:val="auto"/>
                      <w:spacing w:val="-10"/>
                      <w:sz w:val="18"/>
                      <w:szCs w:val="18"/>
                      <w:highlight w:val="none"/>
                      <w:lang w:val="en-US" w:eastAsia="zh-CN"/>
                    </w:rPr>
                    <w:t>环境风险防控</w:t>
                  </w:r>
                </w:p>
              </w:tc>
              <w:tc>
                <w:tcPr>
                  <w:tcW w:w="6361" w:type="dxa"/>
                  <w:tcBorders>
                    <w:tl2br w:val="nil"/>
                    <w:tr2bl w:val="nil"/>
                  </w:tcBorders>
                  <w:shd w:val="clear" w:color="auto" w:fill="auto"/>
                  <w:vAlign w:val="center"/>
                </w:tcPr>
                <w:p w14:paraId="59CBC24B">
                  <w:pPr>
                    <w:keepNext w:val="0"/>
                    <w:keepLines w:val="0"/>
                    <w:pageBreakBefore w:val="0"/>
                    <w:widowControl w:val="0"/>
                    <w:numPr>
                      <w:ilvl w:val="0"/>
                      <w:numId w:val="0"/>
                    </w:numPr>
                    <w:kinsoku/>
                    <w:wordWrap/>
                    <w:overflowPunct/>
                    <w:topLinePunct w:val="0"/>
                    <w:autoSpaceDE/>
                    <w:autoSpaceDN/>
                    <w:bidi w:val="0"/>
                    <w:adjustRightInd/>
                    <w:snapToGrid/>
                    <w:spacing w:line="240" w:lineRule="exact"/>
                    <w:ind w:left="0" w:leftChars="0" w:firstLine="320" w:firstLineChars="200"/>
                    <w:jc w:val="left"/>
                    <w:textAlignment w:val="auto"/>
                    <w:rPr>
                      <w:rFonts w:hint="eastAsia" w:ascii="Times New Roman" w:hAnsi="Times New Roman" w:eastAsia="宋体" w:cs="Times New Roman"/>
                      <w:color w:val="auto"/>
                      <w:spacing w:val="-10"/>
                      <w:sz w:val="18"/>
                      <w:szCs w:val="18"/>
                      <w:highlight w:val="none"/>
                      <w:lang w:val="en-US" w:eastAsia="zh-CN"/>
                    </w:rPr>
                  </w:pPr>
                  <w:r>
                    <w:rPr>
                      <w:rFonts w:hint="eastAsia" w:ascii="Times New Roman" w:hAnsi="Times New Roman" w:eastAsia="宋体" w:cs="Times New Roman"/>
                      <w:color w:val="auto"/>
                      <w:spacing w:val="-10"/>
                      <w:sz w:val="18"/>
                      <w:szCs w:val="18"/>
                      <w:highlight w:val="none"/>
                      <w:lang w:val="en-US" w:eastAsia="zh-CN"/>
                    </w:rPr>
                    <w:t>完善市、县、乡、村网格化环境监管体系，建立信息全面、要素齐全、处置高效、决策科学的市级大气环境监管大数据平台，实现对各级网格和各类污染源的集中在线监测、全程监控和监管指挥。</w:t>
                  </w:r>
                </w:p>
              </w:tc>
              <w:tc>
                <w:tcPr>
                  <w:tcW w:w="2913" w:type="dxa"/>
                  <w:tcBorders>
                    <w:tl2br w:val="nil"/>
                    <w:tr2bl w:val="nil"/>
                  </w:tcBorders>
                  <w:shd w:val="clear" w:color="auto" w:fill="auto"/>
                  <w:vAlign w:val="center"/>
                </w:tcPr>
                <w:p w14:paraId="5407C5A2">
                  <w:pPr>
                    <w:spacing w:line="240" w:lineRule="exact"/>
                    <w:jc w:val="center"/>
                    <w:rPr>
                      <w:rFonts w:hint="default" w:ascii="Times New Roman" w:hAnsi="Times New Roman" w:eastAsia="宋体" w:cs="Times New Roman"/>
                      <w:color w:val="auto"/>
                      <w:spacing w:val="-10"/>
                      <w:sz w:val="18"/>
                      <w:szCs w:val="18"/>
                      <w:highlight w:val="none"/>
                      <w:lang w:val="en-US" w:eastAsia="zh-CN"/>
                    </w:rPr>
                  </w:pPr>
                  <w:r>
                    <w:rPr>
                      <w:rFonts w:hint="eastAsia" w:ascii="Times New Roman" w:hAnsi="Times New Roman" w:eastAsia="宋体" w:cs="Times New Roman"/>
                      <w:color w:val="auto"/>
                      <w:spacing w:val="-10"/>
                      <w:sz w:val="18"/>
                      <w:szCs w:val="18"/>
                      <w:highlight w:val="none"/>
                      <w:lang w:val="en-US" w:eastAsia="zh-CN"/>
                    </w:rPr>
                    <w:t>本</w:t>
                  </w:r>
                  <w:r>
                    <w:rPr>
                      <w:rFonts w:hint="default" w:ascii="Times New Roman" w:hAnsi="Times New Roman" w:eastAsia="宋体" w:cs="Times New Roman"/>
                      <w:color w:val="auto"/>
                      <w:spacing w:val="-10"/>
                      <w:sz w:val="18"/>
                      <w:szCs w:val="18"/>
                      <w:highlight w:val="none"/>
                      <w:lang w:val="en-US" w:eastAsia="zh-CN"/>
                    </w:rPr>
                    <w:t>项目不涉及</w:t>
                  </w:r>
                </w:p>
              </w:tc>
              <w:tc>
                <w:tcPr>
                  <w:tcW w:w="750" w:type="dxa"/>
                  <w:tcBorders>
                    <w:tl2br w:val="nil"/>
                    <w:tr2bl w:val="nil"/>
                  </w:tcBorders>
                  <w:shd w:val="clear" w:color="auto" w:fill="auto"/>
                  <w:vAlign w:val="center"/>
                </w:tcPr>
                <w:p w14:paraId="4482159A">
                  <w:pPr>
                    <w:spacing w:line="240" w:lineRule="exact"/>
                    <w:jc w:val="center"/>
                    <w:rPr>
                      <w:rFonts w:hint="default" w:ascii="Times New Roman" w:hAnsi="Times New Roman" w:eastAsia="宋体" w:cs="Times New Roman"/>
                      <w:color w:val="auto"/>
                      <w:spacing w:val="-10"/>
                      <w:sz w:val="18"/>
                      <w:szCs w:val="18"/>
                      <w:highlight w:val="none"/>
                      <w:lang w:val="en-US" w:eastAsia="zh-CN"/>
                    </w:rPr>
                  </w:pPr>
                  <w:r>
                    <w:rPr>
                      <w:rFonts w:hint="default" w:ascii="Times New Roman" w:hAnsi="Times New Roman" w:eastAsia="宋体" w:cs="Times New Roman"/>
                      <w:color w:val="auto"/>
                      <w:spacing w:val="-10"/>
                      <w:sz w:val="18"/>
                      <w:szCs w:val="18"/>
                      <w:highlight w:val="none"/>
                      <w:lang w:val="en-US" w:eastAsia="zh-CN"/>
                    </w:rPr>
                    <w:t>符合</w:t>
                  </w:r>
                </w:p>
              </w:tc>
            </w:tr>
            <w:tr w14:paraId="760B984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87" w:type="dxa"/>
                  <w:vMerge w:val="restart"/>
                  <w:tcBorders>
                    <w:tl2br w:val="nil"/>
                    <w:tr2bl w:val="nil"/>
                  </w:tcBorders>
                  <w:vAlign w:val="center"/>
                </w:tcPr>
                <w:p w14:paraId="1469283B">
                  <w:pPr>
                    <w:spacing w:line="240" w:lineRule="exact"/>
                    <w:jc w:val="center"/>
                    <w:rPr>
                      <w:rFonts w:hint="default" w:ascii="Times New Roman" w:hAnsi="Times New Roman" w:eastAsia="宋体" w:cs="Times New Roman"/>
                      <w:color w:val="auto"/>
                      <w:spacing w:val="-10"/>
                      <w:sz w:val="18"/>
                      <w:szCs w:val="18"/>
                      <w:highlight w:val="none"/>
                      <w:lang w:val="en-US" w:eastAsia="zh-CN"/>
                    </w:rPr>
                  </w:pPr>
                  <w:r>
                    <w:rPr>
                      <w:rFonts w:hint="default" w:ascii="Times New Roman" w:hAnsi="Times New Roman" w:eastAsia="宋体" w:cs="Times New Roman"/>
                      <w:color w:val="auto"/>
                      <w:spacing w:val="-10"/>
                      <w:sz w:val="18"/>
                      <w:szCs w:val="18"/>
                      <w:highlight w:val="none"/>
                      <w:lang w:val="en-US" w:eastAsia="zh-CN"/>
                    </w:rPr>
                    <w:t>地表水环境</w:t>
                  </w:r>
                </w:p>
              </w:tc>
              <w:tc>
                <w:tcPr>
                  <w:tcW w:w="1264" w:type="dxa"/>
                  <w:tcBorders>
                    <w:tl2br w:val="nil"/>
                    <w:tr2bl w:val="nil"/>
                  </w:tcBorders>
                  <w:vAlign w:val="center"/>
                </w:tcPr>
                <w:p w14:paraId="2A85CD6F">
                  <w:pPr>
                    <w:keepNext w:val="0"/>
                    <w:keepLines w:val="0"/>
                    <w:pageBreakBefore w:val="0"/>
                    <w:widowControl w:val="0"/>
                    <w:numPr>
                      <w:ilvl w:val="0"/>
                      <w:numId w:val="0"/>
                    </w:numPr>
                    <w:kinsoku/>
                    <w:wordWrap/>
                    <w:overflowPunct/>
                    <w:topLinePunct w:val="0"/>
                    <w:autoSpaceDE/>
                    <w:autoSpaceDN/>
                    <w:bidi w:val="0"/>
                    <w:adjustRightInd/>
                    <w:snapToGrid/>
                    <w:spacing w:line="240" w:lineRule="exact"/>
                    <w:ind w:left="0" w:leftChars="0" w:firstLine="0" w:firstLineChars="0"/>
                    <w:jc w:val="center"/>
                    <w:textAlignment w:val="auto"/>
                    <w:rPr>
                      <w:rFonts w:hint="default" w:ascii="Times New Roman" w:hAnsi="Times New Roman" w:eastAsia="宋体" w:cs="Times New Roman"/>
                      <w:color w:val="auto"/>
                      <w:spacing w:val="-10"/>
                      <w:kern w:val="2"/>
                      <w:sz w:val="18"/>
                      <w:szCs w:val="18"/>
                      <w:highlight w:val="none"/>
                      <w:lang w:val="en-US" w:eastAsia="zh-CN" w:bidi="ar-SA"/>
                    </w:rPr>
                  </w:pPr>
                  <w:r>
                    <w:rPr>
                      <w:rFonts w:hint="eastAsia" w:ascii="Times New Roman" w:hAnsi="Times New Roman" w:eastAsia="宋体" w:cs="Times New Roman"/>
                      <w:color w:val="auto"/>
                      <w:spacing w:val="-10"/>
                      <w:sz w:val="18"/>
                      <w:szCs w:val="18"/>
                      <w:highlight w:val="none"/>
                      <w:lang w:val="en-US" w:eastAsia="zh-CN"/>
                    </w:rPr>
                    <w:t>污染防控目标</w:t>
                  </w:r>
                </w:p>
              </w:tc>
              <w:tc>
                <w:tcPr>
                  <w:tcW w:w="6361" w:type="dxa"/>
                  <w:tcBorders>
                    <w:tl2br w:val="nil"/>
                    <w:tr2bl w:val="nil"/>
                  </w:tcBorders>
                  <w:vAlign w:val="center"/>
                </w:tcPr>
                <w:p w14:paraId="6A962F43">
                  <w:pPr>
                    <w:keepNext w:val="0"/>
                    <w:keepLines w:val="0"/>
                    <w:pageBreakBefore w:val="0"/>
                    <w:widowControl w:val="0"/>
                    <w:numPr>
                      <w:ilvl w:val="0"/>
                      <w:numId w:val="0"/>
                    </w:numPr>
                    <w:kinsoku/>
                    <w:wordWrap/>
                    <w:overflowPunct/>
                    <w:topLinePunct w:val="0"/>
                    <w:autoSpaceDE/>
                    <w:autoSpaceDN/>
                    <w:bidi w:val="0"/>
                    <w:adjustRightInd/>
                    <w:snapToGrid/>
                    <w:spacing w:line="240" w:lineRule="exact"/>
                    <w:ind w:left="0" w:leftChars="0" w:firstLine="320" w:firstLineChars="200"/>
                    <w:jc w:val="left"/>
                    <w:textAlignment w:val="auto"/>
                    <w:rPr>
                      <w:rFonts w:hint="default" w:ascii="Times New Roman" w:hAnsi="Times New Roman" w:eastAsia="宋体" w:cs="Times New Roman"/>
                      <w:color w:val="auto"/>
                      <w:spacing w:val="-10"/>
                      <w:sz w:val="18"/>
                      <w:szCs w:val="18"/>
                      <w:highlight w:val="none"/>
                      <w:lang w:val="en-US" w:eastAsia="zh-CN"/>
                    </w:rPr>
                  </w:pPr>
                  <w:r>
                    <w:rPr>
                      <w:rFonts w:hint="eastAsia" w:ascii="Times New Roman" w:hAnsi="Times New Roman" w:eastAsia="宋体" w:cs="Times New Roman"/>
                      <w:color w:val="auto"/>
                      <w:spacing w:val="-10"/>
                      <w:sz w:val="18"/>
                      <w:szCs w:val="18"/>
                      <w:highlight w:val="none"/>
                      <w:lang w:val="en-US" w:eastAsia="zh-CN"/>
                    </w:rPr>
                    <w:t>到</w:t>
                  </w:r>
                  <w:r>
                    <w:rPr>
                      <w:rFonts w:hint="default" w:ascii="Times New Roman" w:hAnsi="Times New Roman" w:eastAsia="宋体" w:cs="Times New Roman"/>
                      <w:color w:val="auto"/>
                      <w:spacing w:val="-10"/>
                      <w:sz w:val="18"/>
                      <w:szCs w:val="18"/>
                      <w:highlight w:val="none"/>
                      <w:lang w:val="en-US" w:eastAsia="zh-CN"/>
                    </w:rPr>
                    <w:t>2025</w:t>
                  </w:r>
                  <w:r>
                    <w:rPr>
                      <w:rFonts w:hint="eastAsia" w:ascii="Times New Roman" w:hAnsi="Times New Roman" w:eastAsia="宋体" w:cs="Times New Roman"/>
                      <w:color w:val="auto"/>
                      <w:spacing w:val="-10"/>
                      <w:sz w:val="18"/>
                      <w:szCs w:val="18"/>
                      <w:highlight w:val="none"/>
                      <w:lang w:val="en-US" w:eastAsia="zh-CN"/>
                    </w:rPr>
                    <w:t>年全市水生态环境质量持续改善，地表水国家和河北省考核断面，达到或优于</w:t>
                  </w:r>
                  <w:r>
                    <w:rPr>
                      <w:rFonts w:hint="default" w:ascii="Times New Roman" w:hAnsi="Times New Roman" w:eastAsia="宋体" w:cs="Times New Roman"/>
                      <w:color w:val="auto"/>
                      <w:spacing w:val="-10"/>
                      <w:sz w:val="18"/>
                      <w:szCs w:val="18"/>
                      <w:highlight w:val="none"/>
                      <w:lang w:val="en-US" w:eastAsia="zh-CN"/>
                    </w:rPr>
                    <w:t>Ⅲ</w:t>
                  </w:r>
                  <w:r>
                    <w:rPr>
                      <w:rFonts w:hint="eastAsia" w:ascii="Times New Roman" w:hAnsi="Times New Roman" w:eastAsia="宋体" w:cs="Times New Roman"/>
                      <w:color w:val="auto"/>
                      <w:spacing w:val="-10"/>
                      <w:sz w:val="18"/>
                      <w:szCs w:val="18"/>
                      <w:highlight w:val="none"/>
                      <w:lang w:val="en-US" w:eastAsia="zh-CN"/>
                    </w:rPr>
                    <w:t>类水体断面比例达到</w:t>
                  </w:r>
                  <w:r>
                    <w:rPr>
                      <w:rFonts w:hint="default" w:ascii="Times New Roman" w:hAnsi="Times New Roman" w:eastAsia="宋体" w:cs="Times New Roman"/>
                      <w:color w:val="auto"/>
                      <w:spacing w:val="-10"/>
                      <w:sz w:val="18"/>
                      <w:szCs w:val="18"/>
                      <w:highlight w:val="none"/>
                      <w:lang w:val="en-US" w:eastAsia="zh-CN"/>
                    </w:rPr>
                    <w:t>85.71%</w:t>
                  </w:r>
                  <w:r>
                    <w:rPr>
                      <w:rFonts w:hint="eastAsia" w:ascii="Times New Roman" w:hAnsi="Times New Roman" w:eastAsia="宋体" w:cs="Times New Roman"/>
                      <w:color w:val="auto"/>
                      <w:spacing w:val="-10"/>
                      <w:sz w:val="18"/>
                      <w:szCs w:val="18"/>
                      <w:highlight w:val="none"/>
                      <w:lang w:val="en-US" w:eastAsia="zh-CN"/>
                    </w:rPr>
                    <w:t>，劣</w:t>
                  </w:r>
                  <w:r>
                    <w:rPr>
                      <w:rFonts w:hint="default" w:ascii="Times New Roman" w:hAnsi="Times New Roman" w:eastAsia="宋体" w:cs="Times New Roman"/>
                      <w:color w:val="auto"/>
                      <w:spacing w:val="-10"/>
                      <w:sz w:val="18"/>
                      <w:szCs w:val="18"/>
                      <w:highlight w:val="none"/>
                      <w:lang w:val="en-US" w:eastAsia="zh-CN"/>
                    </w:rPr>
                    <w:t>Ⅴ</w:t>
                  </w:r>
                  <w:r>
                    <w:rPr>
                      <w:rFonts w:hint="eastAsia" w:ascii="Times New Roman" w:hAnsi="Times New Roman" w:eastAsia="宋体" w:cs="Times New Roman"/>
                      <w:color w:val="auto"/>
                      <w:spacing w:val="-10"/>
                      <w:sz w:val="18"/>
                      <w:szCs w:val="18"/>
                      <w:highlight w:val="none"/>
                      <w:lang w:val="en-US" w:eastAsia="zh-CN"/>
                    </w:rPr>
                    <w:t>类水体比例全部消除；城市集中式饮用水水源水质达到或优于</w:t>
                  </w:r>
                  <w:r>
                    <w:rPr>
                      <w:rFonts w:hint="default" w:ascii="Times New Roman" w:hAnsi="Times New Roman" w:eastAsia="宋体" w:cs="Times New Roman"/>
                      <w:color w:val="auto"/>
                      <w:spacing w:val="-10"/>
                      <w:sz w:val="18"/>
                      <w:szCs w:val="18"/>
                      <w:highlight w:val="none"/>
                      <w:lang w:val="en-US" w:eastAsia="zh-CN"/>
                    </w:rPr>
                    <w:t>Ⅲ</w:t>
                  </w:r>
                  <w:r>
                    <w:rPr>
                      <w:rFonts w:hint="eastAsia" w:ascii="Times New Roman" w:hAnsi="Times New Roman" w:eastAsia="宋体" w:cs="Times New Roman"/>
                      <w:color w:val="auto"/>
                      <w:spacing w:val="-10"/>
                      <w:sz w:val="18"/>
                      <w:szCs w:val="18"/>
                      <w:highlight w:val="none"/>
                      <w:lang w:val="en-US" w:eastAsia="zh-CN"/>
                    </w:rPr>
                    <w:t xml:space="preserve">类比例为 </w:t>
                  </w:r>
                  <w:r>
                    <w:rPr>
                      <w:rFonts w:hint="default" w:ascii="Times New Roman" w:hAnsi="Times New Roman" w:eastAsia="宋体" w:cs="Times New Roman"/>
                      <w:color w:val="auto"/>
                      <w:spacing w:val="-10"/>
                      <w:sz w:val="18"/>
                      <w:szCs w:val="18"/>
                      <w:highlight w:val="none"/>
                      <w:lang w:val="en-US" w:eastAsia="zh-CN"/>
                    </w:rPr>
                    <w:t>100%</w:t>
                  </w:r>
                  <w:r>
                    <w:rPr>
                      <w:rFonts w:hint="eastAsia" w:ascii="Times New Roman" w:hAnsi="Times New Roman" w:eastAsia="宋体" w:cs="Times New Roman"/>
                      <w:color w:val="auto"/>
                      <w:spacing w:val="-10"/>
                      <w:sz w:val="18"/>
                      <w:szCs w:val="18"/>
                      <w:highlight w:val="none"/>
                      <w:lang w:val="en-US" w:eastAsia="zh-CN"/>
                    </w:rPr>
                    <w:t>。</w:t>
                  </w:r>
                </w:p>
              </w:tc>
              <w:tc>
                <w:tcPr>
                  <w:tcW w:w="2913" w:type="dxa"/>
                  <w:tcBorders>
                    <w:tl2br w:val="nil"/>
                    <w:tr2bl w:val="nil"/>
                  </w:tcBorders>
                  <w:vAlign w:val="center"/>
                </w:tcPr>
                <w:p w14:paraId="0C997724">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pacing w:val="-10"/>
                      <w:kern w:val="2"/>
                      <w:sz w:val="18"/>
                      <w:szCs w:val="18"/>
                      <w:highlight w:val="none"/>
                      <w:lang w:val="en-US" w:eastAsia="zh-CN" w:bidi="ar-SA"/>
                    </w:rPr>
                  </w:pPr>
                  <w:r>
                    <w:rPr>
                      <w:rFonts w:hint="eastAsia" w:ascii="Times New Roman" w:hAnsi="Times New Roman" w:eastAsia="宋体" w:cs="Times New Roman"/>
                      <w:color w:val="auto"/>
                      <w:spacing w:val="-10"/>
                      <w:sz w:val="18"/>
                      <w:szCs w:val="18"/>
                      <w:highlight w:val="none"/>
                      <w:lang w:val="en-US" w:eastAsia="zh-CN"/>
                    </w:rPr>
                    <w:t>本</w:t>
                  </w:r>
                  <w:r>
                    <w:rPr>
                      <w:rFonts w:hint="default" w:ascii="Times New Roman" w:hAnsi="Times New Roman" w:eastAsia="宋体" w:cs="Times New Roman"/>
                      <w:color w:val="auto"/>
                      <w:spacing w:val="-10"/>
                      <w:sz w:val="18"/>
                      <w:szCs w:val="18"/>
                      <w:highlight w:val="none"/>
                      <w:lang w:val="en-US" w:eastAsia="zh-CN"/>
                    </w:rPr>
                    <w:t>项目无废水外排</w:t>
                  </w:r>
                </w:p>
              </w:tc>
              <w:tc>
                <w:tcPr>
                  <w:tcW w:w="750" w:type="dxa"/>
                  <w:tcBorders>
                    <w:tl2br w:val="nil"/>
                    <w:tr2bl w:val="nil"/>
                  </w:tcBorders>
                  <w:vAlign w:val="center"/>
                </w:tcPr>
                <w:p w14:paraId="0E83E3CA">
                  <w:pPr>
                    <w:spacing w:line="240" w:lineRule="exact"/>
                    <w:jc w:val="center"/>
                    <w:rPr>
                      <w:rFonts w:hint="default" w:ascii="Times New Roman" w:hAnsi="Times New Roman" w:eastAsia="宋体" w:cs="Times New Roman"/>
                      <w:color w:val="auto"/>
                      <w:spacing w:val="-10"/>
                      <w:sz w:val="18"/>
                      <w:szCs w:val="18"/>
                      <w:highlight w:val="none"/>
                      <w:lang w:val="en-US" w:eastAsia="zh-CN"/>
                    </w:rPr>
                  </w:pPr>
                  <w:r>
                    <w:rPr>
                      <w:rFonts w:hint="default" w:ascii="Times New Roman" w:hAnsi="Times New Roman" w:eastAsia="宋体" w:cs="Times New Roman"/>
                      <w:color w:val="auto"/>
                      <w:spacing w:val="-10"/>
                      <w:sz w:val="18"/>
                      <w:szCs w:val="18"/>
                      <w:highlight w:val="none"/>
                      <w:lang w:val="en-US" w:eastAsia="zh-CN"/>
                    </w:rPr>
                    <w:t>符合</w:t>
                  </w:r>
                </w:p>
              </w:tc>
            </w:tr>
            <w:tr w14:paraId="490095B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87" w:type="dxa"/>
                  <w:vMerge w:val="continue"/>
                  <w:tcBorders>
                    <w:tl2br w:val="nil"/>
                    <w:tr2bl w:val="nil"/>
                  </w:tcBorders>
                  <w:vAlign w:val="center"/>
                </w:tcPr>
                <w:p w14:paraId="51404EC8">
                  <w:pPr>
                    <w:spacing w:line="240" w:lineRule="exact"/>
                    <w:jc w:val="center"/>
                    <w:rPr>
                      <w:rFonts w:hint="default" w:ascii="Times New Roman" w:hAnsi="Times New Roman" w:eastAsia="宋体" w:cs="Times New Roman"/>
                      <w:color w:val="auto"/>
                      <w:spacing w:val="-10"/>
                      <w:sz w:val="18"/>
                      <w:szCs w:val="18"/>
                      <w:highlight w:val="none"/>
                      <w:lang w:val="en-US" w:eastAsia="zh-CN"/>
                    </w:rPr>
                  </w:pPr>
                </w:p>
              </w:tc>
              <w:tc>
                <w:tcPr>
                  <w:tcW w:w="1264" w:type="dxa"/>
                  <w:tcBorders>
                    <w:tl2br w:val="nil"/>
                    <w:tr2bl w:val="nil"/>
                  </w:tcBorders>
                  <w:vAlign w:val="center"/>
                </w:tcPr>
                <w:p w14:paraId="424887F6">
                  <w:pPr>
                    <w:spacing w:line="240" w:lineRule="exact"/>
                    <w:jc w:val="center"/>
                    <w:rPr>
                      <w:rFonts w:hint="default" w:ascii="Times New Roman" w:hAnsi="Times New Roman" w:eastAsia="宋体" w:cs="Times New Roman"/>
                      <w:color w:val="auto"/>
                      <w:spacing w:val="-10"/>
                      <w:kern w:val="2"/>
                      <w:sz w:val="18"/>
                      <w:szCs w:val="18"/>
                      <w:highlight w:val="none"/>
                      <w:lang w:val="en-US" w:eastAsia="zh-CN" w:bidi="ar-SA"/>
                    </w:rPr>
                  </w:pPr>
                  <w:r>
                    <w:rPr>
                      <w:rFonts w:hint="default" w:ascii="Times New Roman" w:hAnsi="Times New Roman" w:cs="Times New Roman"/>
                      <w:color w:val="auto"/>
                      <w:spacing w:val="-10"/>
                      <w:sz w:val="18"/>
                      <w:szCs w:val="18"/>
                      <w:highlight w:val="none"/>
                      <w:lang w:val="en-US" w:eastAsia="zh-CN"/>
                    </w:rPr>
                    <w:t>空间布局约束</w:t>
                  </w:r>
                </w:p>
              </w:tc>
              <w:tc>
                <w:tcPr>
                  <w:tcW w:w="6361" w:type="dxa"/>
                  <w:tcBorders>
                    <w:tl2br w:val="nil"/>
                    <w:tr2bl w:val="nil"/>
                  </w:tcBorders>
                  <w:vAlign w:val="center"/>
                </w:tcPr>
                <w:p w14:paraId="3D421B71">
                  <w:pPr>
                    <w:keepNext w:val="0"/>
                    <w:keepLines w:val="0"/>
                    <w:pageBreakBefore w:val="0"/>
                    <w:widowControl w:val="0"/>
                    <w:numPr>
                      <w:ilvl w:val="0"/>
                      <w:numId w:val="0"/>
                    </w:numPr>
                    <w:kinsoku/>
                    <w:wordWrap/>
                    <w:overflowPunct/>
                    <w:topLinePunct w:val="0"/>
                    <w:autoSpaceDE/>
                    <w:autoSpaceDN/>
                    <w:bidi w:val="0"/>
                    <w:adjustRightInd/>
                    <w:snapToGrid/>
                    <w:spacing w:line="240" w:lineRule="exact"/>
                    <w:ind w:left="0" w:leftChars="0" w:firstLine="320" w:firstLineChars="200"/>
                    <w:jc w:val="left"/>
                    <w:textAlignment w:val="auto"/>
                    <w:rPr>
                      <w:rFonts w:hint="eastAsia" w:ascii="Times New Roman" w:hAnsi="Times New Roman" w:eastAsia="宋体" w:cs="Times New Roman"/>
                      <w:color w:val="auto"/>
                      <w:spacing w:val="-10"/>
                      <w:sz w:val="18"/>
                      <w:szCs w:val="18"/>
                      <w:highlight w:val="none"/>
                      <w:lang w:val="en-US" w:eastAsia="zh-CN"/>
                    </w:rPr>
                  </w:pPr>
                  <w:r>
                    <w:rPr>
                      <w:rFonts w:hint="default" w:ascii="Times New Roman" w:hAnsi="Times New Roman" w:eastAsia="宋体" w:cs="Times New Roman"/>
                      <w:color w:val="auto"/>
                      <w:spacing w:val="-10"/>
                      <w:sz w:val="18"/>
                      <w:szCs w:val="18"/>
                      <w:highlight w:val="none"/>
                      <w:lang w:val="en-US" w:eastAsia="zh-CN"/>
                    </w:rPr>
                    <w:t>1</w:t>
                  </w:r>
                  <w:r>
                    <w:rPr>
                      <w:rFonts w:hint="eastAsia" w:ascii="Times New Roman" w:hAnsi="Times New Roman" w:eastAsia="宋体" w:cs="Times New Roman"/>
                      <w:color w:val="auto"/>
                      <w:spacing w:val="-10"/>
                      <w:sz w:val="18"/>
                      <w:szCs w:val="18"/>
                      <w:highlight w:val="none"/>
                      <w:lang w:val="en-US" w:eastAsia="zh-CN"/>
                    </w:rPr>
                    <w:t>、涉地表水自然保护区、湿地公园、饮用水水源保护区管控参照生态环境空间总体管控要求中各类保护地总体管控要求。</w:t>
                  </w:r>
                </w:p>
                <w:p w14:paraId="5C83D41A">
                  <w:pPr>
                    <w:keepNext w:val="0"/>
                    <w:keepLines w:val="0"/>
                    <w:pageBreakBefore w:val="0"/>
                    <w:widowControl w:val="0"/>
                    <w:numPr>
                      <w:ilvl w:val="0"/>
                      <w:numId w:val="0"/>
                    </w:numPr>
                    <w:kinsoku/>
                    <w:wordWrap/>
                    <w:overflowPunct/>
                    <w:topLinePunct w:val="0"/>
                    <w:autoSpaceDE/>
                    <w:autoSpaceDN/>
                    <w:bidi w:val="0"/>
                    <w:adjustRightInd/>
                    <w:snapToGrid/>
                    <w:spacing w:line="240" w:lineRule="exact"/>
                    <w:ind w:left="0" w:leftChars="0" w:firstLine="320" w:firstLineChars="200"/>
                    <w:jc w:val="left"/>
                    <w:textAlignment w:val="auto"/>
                    <w:rPr>
                      <w:rFonts w:hint="eastAsia" w:ascii="Times New Roman" w:hAnsi="Times New Roman" w:eastAsia="宋体" w:cs="Times New Roman"/>
                      <w:color w:val="auto"/>
                      <w:spacing w:val="-10"/>
                      <w:sz w:val="18"/>
                      <w:szCs w:val="18"/>
                      <w:highlight w:val="none"/>
                      <w:lang w:val="en-US" w:eastAsia="zh-CN"/>
                    </w:rPr>
                  </w:pPr>
                  <w:r>
                    <w:rPr>
                      <w:rFonts w:hint="default" w:ascii="Times New Roman" w:hAnsi="Times New Roman" w:eastAsia="宋体" w:cs="Times New Roman"/>
                      <w:color w:val="auto"/>
                      <w:spacing w:val="-10"/>
                      <w:sz w:val="18"/>
                      <w:szCs w:val="18"/>
                      <w:highlight w:val="none"/>
                      <w:lang w:val="en-US" w:eastAsia="zh-CN"/>
                    </w:rPr>
                    <w:t>2</w:t>
                  </w:r>
                  <w:r>
                    <w:rPr>
                      <w:rFonts w:hint="eastAsia" w:ascii="Times New Roman" w:hAnsi="Times New Roman" w:eastAsia="宋体" w:cs="Times New Roman"/>
                      <w:color w:val="auto"/>
                      <w:spacing w:val="-10"/>
                      <w:sz w:val="18"/>
                      <w:szCs w:val="18"/>
                      <w:highlight w:val="none"/>
                      <w:lang w:val="en-US" w:eastAsia="zh-CN"/>
                    </w:rPr>
                    <w:t>、鼓励发展节水高效现代农业、低耗水高新技术产业以及生态保护型旅游业，严格控制缺水地区、水污染严重地区和敏感区域高耗水、高污染行业发展。</w:t>
                  </w:r>
                </w:p>
                <w:p w14:paraId="1AFD4B4E">
                  <w:pPr>
                    <w:keepNext w:val="0"/>
                    <w:keepLines w:val="0"/>
                    <w:pageBreakBefore w:val="0"/>
                    <w:widowControl w:val="0"/>
                    <w:numPr>
                      <w:ilvl w:val="0"/>
                      <w:numId w:val="0"/>
                    </w:numPr>
                    <w:kinsoku/>
                    <w:wordWrap/>
                    <w:overflowPunct/>
                    <w:topLinePunct w:val="0"/>
                    <w:autoSpaceDE/>
                    <w:autoSpaceDN/>
                    <w:bidi w:val="0"/>
                    <w:adjustRightInd/>
                    <w:snapToGrid/>
                    <w:spacing w:line="240" w:lineRule="exact"/>
                    <w:ind w:left="0" w:leftChars="0" w:firstLine="320" w:firstLineChars="200"/>
                    <w:jc w:val="left"/>
                    <w:textAlignment w:val="auto"/>
                    <w:rPr>
                      <w:rFonts w:hint="eastAsia" w:ascii="Times New Roman" w:hAnsi="Times New Roman" w:eastAsia="宋体" w:cs="Times New Roman"/>
                      <w:color w:val="auto"/>
                      <w:spacing w:val="-10"/>
                      <w:sz w:val="18"/>
                      <w:szCs w:val="18"/>
                      <w:highlight w:val="none"/>
                      <w:lang w:val="en-US" w:eastAsia="zh-CN"/>
                    </w:rPr>
                  </w:pPr>
                  <w:r>
                    <w:rPr>
                      <w:rFonts w:hint="default" w:ascii="Times New Roman" w:hAnsi="Times New Roman" w:eastAsia="宋体" w:cs="Times New Roman"/>
                      <w:color w:val="auto"/>
                      <w:spacing w:val="-10"/>
                      <w:sz w:val="18"/>
                      <w:szCs w:val="18"/>
                      <w:highlight w:val="none"/>
                      <w:lang w:val="en-US" w:eastAsia="zh-CN"/>
                    </w:rPr>
                    <w:t>3</w:t>
                  </w:r>
                  <w:r>
                    <w:rPr>
                      <w:rFonts w:hint="eastAsia" w:ascii="Times New Roman" w:hAnsi="Times New Roman" w:eastAsia="宋体" w:cs="Times New Roman"/>
                      <w:color w:val="auto"/>
                      <w:spacing w:val="-10"/>
                      <w:sz w:val="18"/>
                      <w:szCs w:val="18"/>
                      <w:highlight w:val="none"/>
                      <w:lang w:val="en-US" w:eastAsia="zh-CN"/>
                    </w:rPr>
                    <w:t xml:space="preserve">、全市重点河流沿岸、重要饮用水水源地补给区，严格控制化学原料和化学制品制造、医药制造、制革、造纸、焦化、化学纤维制造、石油加工、纺织印染等项目环境风险，合理布局生产装置及危险化学品仓储等设施。重大项目原则上布局在优化开发区和重点开发区，并符合城乡规划和土地利用总体规划。 </w:t>
                  </w:r>
                </w:p>
                <w:p w14:paraId="3A4D5871">
                  <w:pPr>
                    <w:keepNext w:val="0"/>
                    <w:keepLines w:val="0"/>
                    <w:pageBreakBefore w:val="0"/>
                    <w:widowControl w:val="0"/>
                    <w:numPr>
                      <w:ilvl w:val="0"/>
                      <w:numId w:val="0"/>
                    </w:numPr>
                    <w:kinsoku/>
                    <w:wordWrap/>
                    <w:overflowPunct/>
                    <w:topLinePunct w:val="0"/>
                    <w:autoSpaceDE/>
                    <w:autoSpaceDN/>
                    <w:bidi w:val="0"/>
                    <w:adjustRightInd/>
                    <w:snapToGrid/>
                    <w:spacing w:line="240" w:lineRule="exact"/>
                    <w:ind w:left="0" w:leftChars="0" w:firstLine="320" w:firstLineChars="200"/>
                    <w:jc w:val="left"/>
                    <w:textAlignment w:val="auto"/>
                    <w:rPr>
                      <w:rFonts w:hint="eastAsia" w:ascii="Times New Roman" w:hAnsi="Times New Roman" w:eastAsia="宋体" w:cs="Times New Roman"/>
                      <w:color w:val="auto"/>
                      <w:spacing w:val="-10"/>
                      <w:sz w:val="18"/>
                      <w:szCs w:val="18"/>
                      <w:highlight w:val="none"/>
                      <w:lang w:val="en-US" w:eastAsia="zh-CN"/>
                    </w:rPr>
                  </w:pPr>
                  <w:r>
                    <w:rPr>
                      <w:rFonts w:hint="default" w:ascii="Times New Roman" w:hAnsi="Times New Roman" w:eastAsia="宋体" w:cs="Times New Roman"/>
                      <w:color w:val="auto"/>
                      <w:spacing w:val="-10"/>
                      <w:sz w:val="18"/>
                      <w:szCs w:val="18"/>
                      <w:highlight w:val="none"/>
                      <w:lang w:val="en-US" w:eastAsia="zh-CN"/>
                    </w:rPr>
                    <w:t>4</w:t>
                  </w:r>
                  <w:r>
                    <w:rPr>
                      <w:rFonts w:hint="eastAsia" w:ascii="Times New Roman" w:hAnsi="Times New Roman" w:eastAsia="宋体" w:cs="Times New Roman"/>
                      <w:color w:val="auto"/>
                      <w:spacing w:val="-10"/>
                      <w:sz w:val="18"/>
                      <w:szCs w:val="18"/>
                      <w:highlight w:val="none"/>
                      <w:lang w:val="en-US" w:eastAsia="zh-CN"/>
                    </w:rPr>
                    <w:t>、未按照规定完成污水集中处理设施以及管网建设的工业园区（工业集聚区），暂停审批和核准其增加水污染物排放的建设项目。向污水集中处理设施排放工业废水的，应当按照国家有关规定进行预处理，达到集中处理设施处理工艺要求后方可排放。</w:t>
                  </w:r>
                </w:p>
                <w:p w14:paraId="2BF80766">
                  <w:pPr>
                    <w:keepNext w:val="0"/>
                    <w:keepLines w:val="0"/>
                    <w:pageBreakBefore w:val="0"/>
                    <w:widowControl w:val="0"/>
                    <w:numPr>
                      <w:ilvl w:val="0"/>
                      <w:numId w:val="0"/>
                    </w:numPr>
                    <w:kinsoku/>
                    <w:wordWrap/>
                    <w:overflowPunct/>
                    <w:topLinePunct w:val="0"/>
                    <w:autoSpaceDE/>
                    <w:autoSpaceDN/>
                    <w:bidi w:val="0"/>
                    <w:adjustRightInd/>
                    <w:snapToGrid/>
                    <w:spacing w:line="240" w:lineRule="exact"/>
                    <w:ind w:left="0" w:leftChars="0" w:firstLine="320" w:firstLineChars="200"/>
                    <w:jc w:val="left"/>
                    <w:textAlignment w:val="auto"/>
                    <w:rPr>
                      <w:rFonts w:hint="default" w:ascii="Times New Roman" w:hAnsi="Times New Roman" w:eastAsia="宋体" w:cs="Times New Roman"/>
                      <w:color w:val="auto"/>
                      <w:spacing w:val="-10"/>
                      <w:kern w:val="2"/>
                      <w:sz w:val="18"/>
                      <w:szCs w:val="18"/>
                      <w:highlight w:val="none"/>
                      <w:lang w:val="en-US" w:eastAsia="zh-CN" w:bidi="ar-SA"/>
                    </w:rPr>
                  </w:pPr>
                  <w:r>
                    <w:rPr>
                      <w:rFonts w:hint="default" w:ascii="Times New Roman" w:hAnsi="Times New Roman" w:eastAsia="宋体" w:cs="Times New Roman"/>
                      <w:color w:val="auto"/>
                      <w:spacing w:val="-10"/>
                      <w:sz w:val="18"/>
                      <w:szCs w:val="18"/>
                      <w:highlight w:val="none"/>
                      <w:lang w:val="en-US" w:eastAsia="zh-CN"/>
                    </w:rPr>
                    <w:t>5</w:t>
                  </w:r>
                  <w:r>
                    <w:rPr>
                      <w:rFonts w:hint="eastAsia" w:ascii="Times New Roman" w:hAnsi="Times New Roman" w:eastAsia="宋体" w:cs="Times New Roman"/>
                      <w:color w:val="auto"/>
                      <w:spacing w:val="-10"/>
                      <w:sz w:val="18"/>
                      <w:szCs w:val="18"/>
                      <w:highlight w:val="none"/>
                      <w:lang w:val="en-US" w:eastAsia="zh-CN"/>
                    </w:rPr>
                    <w:t>、推进现有企业向依法合规设立、环保设施齐全、符合规划环评要求、满足水法律法规规定的工业集聚区集中，明确涉水工业企业入园时间表；确因不具备入园条件需原地保留的涉水工业企业，明确保留条件，其中直排环境企业应达到排入水体功能区标准。</w:t>
                  </w:r>
                </w:p>
              </w:tc>
              <w:tc>
                <w:tcPr>
                  <w:tcW w:w="2913" w:type="dxa"/>
                  <w:tcBorders>
                    <w:tl2br w:val="nil"/>
                    <w:tr2bl w:val="nil"/>
                  </w:tcBorders>
                  <w:vAlign w:val="center"/>
                </w:tcPr>
                <w:p w14:paraId="0DD64F1F">
                  <w:pPr>
                    <w:keepNext w:val="0"/>
                    <w:keepLines w:val="0"/>
                    <w:pageBreakBefore w:val="0"/>
                    <w:widowControl w:val="0"/>
                    <w:kinsoku/>
                    <w:wordWrap/>
                    <w:overflowPunct/>
                    <w:topLinePunct w:val="0"/>
                    <w:autoSpaceDE/>
                    <w:autoSpaceDN/>
                    <w:bidi w:val="0"/>
                    <w:adjustRightInd/>
                    <w:snapToGrid/>
                    <w:spacing w:line="240" w:lineRule="exact"/>
                    <w:ind w:firstLine="320" w:firstLineChars="200"/>
                    <w:jc w:val="left"/>
                    <w:textAlignment w:val="auto"/>
                    <w:rPr>
                      <w:rFonts w:hint="eastAsia" w:ascii="Times New Roman" w:hAnsi="Times New Roman" w:eastAsia="宋体" w:cs="Times New Roman"/>
                      <w:color w:val="auto"/>
                      <w:spacing w:val="-10"/>
                      <w:sz w:val="18"/>
                      <w:szCs w:val="18"/>
                      <w:highlight w:val="none"/>
                      <w:lang w:val="en-US" w:eastAsia="zh-CN"/>
                    </w:rPr>
                  </w:pPr>
                  <w:r>
                    <w:rPr>
                      <w:rFonts w:hint="eastAsia" w:cs="Times New Roman"/>
                      <w:color w:val="auto"/>
                      <w:spacing w:val="-10"/>
                      <w:sz w:val="18"/>
                      <w:szCs w:val="18"/>
                      <w:highlight w:val="none"/>
                      <w:lang w:val="en-US" w:eastAsia="zh-CN"/>
                    </w:rPr>
                    <w:t>1、本项目不涉及</w:t>
                  </w:r>
                  <w:r>
                    <w:rPr>
                      <w:rFonts w:hint="eastAsia" w:ascii="Times New Roman" w:hAnsi="Times New Roman" w:eastAsia="宋体" w:cs="Times New Roman"/>
                      <w:color w:val="auto"/>
                      <w:spacing w:val="-10"/>
                      <w:sz w:val="18"/>
                      <w:szCs w:val="18"/>
                      <w:highlight w:val="none"/>
                      <w:lang w:val="en-US" w:eastAsia="zh-CN"/>
                    </w:rPr>
                    <w:t>。</w:t>
                  </w:r>
                </w:p>
                <w:p w14:paraId="39E45FB0">
                  <w:pPr>
                    <w:keepNext w:val="0"/>
                    <w:keepLines w:val="0"/>
                    <w:pageBreakBefore w:val="0"/>
                    <w:widowControl w:val="0"/>
                    <w:kinsoku/>
                    <w:wordWrap/>
                    <w:overflowPunct/>
                    <w:topLinePunct w:val="0"/>
                    <w:autoSpaceDE/>
                    <w:autoSpaceDN/>
                    <w:bidi w:val="0"/>
                    <w:adjustRightInd/>
                    <w:snapToGrid/>
                    <w:spacing w:line="240" w:lineRule="exact"/>
                    <w:ind w:firstLine="320" w:firstLineChars="200"/>
                    <w:jc w:val="left"/>
                    <w:textAlignment w:val="auto"/>
                    <w:rPr>
                      <w:rFonts w:hint="eastAsia" w:ascii="Times New Roman" w:hAnsi="Times New Roman" w:eastAsia="宋体" w:cs="Times New Roman"/>
                      <w:color w:val="auto"/>
                      <w:spacing w:val="-10"/>
                      <w:sz w:val="18"/>
                      <w:szCs w:val="18"/>
                      <w:highlight w:val="none"/>
                      <w:lang w:val="en-US" w:eastAsia="zh-CN"/>
                    </w:rPr>
                  </w:pPr>
                  <w:r>
                    <w:rPr>
                      <w:rFonts w:hint="eastAsia" w:cs="Times New Roman"/>
                      <w:color w:val="auto"/>
                      <w:spacing w:val="-10"/>
                      <w:sz w:val="18"/>
                      <w:szCs w:val="18"/>
                      <w:highlight w:val="none"/>
                      <w:lang w:val="en-US" w:eastAsia="zh-CN"/>
                    </w:rPr>
                    <w:t>2、</w:t>
                  </w:r>
                  <w:r>
                    <w:rPr>
                      <w:rFonts w:hint="eastAsia" w:ascii="Times New Roman" w:hAnsi="Times New Roman" w:eastAsia="宋体" w:cs="Times New Roman"/>
                      <w:color w:val="auto"/>
                      <w:spacing w:val="-10"/>
                      <w:sz w:val="18"/>
                      <w:szCs w:val="18"/>
                      <w:highlight w:val="none"/>
                      <w:lang w:val="en-US" w:eastAsia="zh-CN"/>
                    </w:rPr>
                    <w:t>根据《节水型社会建设“十三五”规划》（发改环资〔2017〕128号），高耗水行业主要有钢铁、石油和化工、电力、煤炭、造纸、纺织、食品等行业</w:t>
                  </w:r>
                  <w:r>
                    <w:rPr>
                      <w:rFonts w:hint="eastAsia" w:cs="Times New Roman"/>
                      <w:color w:val="auto"/>
                      <w:spacing w:val="-10"/>
                      <w:sz w:val="18"/>
                      <w:szCs w:val="18"/>
                      <w:highlight w:val="none"/>
                      <w:lang w:val="en-US" w:eastAsia="zh-CN"/>
                    </w:rPr>
                    <w:t>，本项目不为高耗水行业</w:t>
                  </w:r>
                  <w:r>
                    <w:rPr>
                      <w:rFonts w:hint="eastAsia" w:ascii="Times New Roman" w:hAnsi="Times New Roman" w:eastAsia="宋体" w:cs="Times New Roman"/>
                      <w:color w:val="auto"/>
                      <w:spacing w:val="-10"/>
                      <w:sz w:val="18"/>
                      <w:szCs w:val="18"/>
                      <w:highlight w:val="none"/>
                      <w:lang w:val="en-US" w:eastAsia="zh-CN"/>
                    </w:rPr>
                    <w:t>。根据《环境保护综合名录</w:t>
                  </w:r>
                  <w:r>
                    <w:rPr>
                      <w:rFonts w:hint="default" w:ascii="Times New Roman" w:hAnsi="Times New Roman" w:eastAsia="宋体" w:cs="Times New Roman"/>
                      <w:color w:val="auto"/>
                      <w:spacing w:val="-10"/>
                      <w:sz w:val="18"/>
                      <w:szCs w:val="18"/>
                      <w:highlight w:val="none"/>
                      <w:lang w:val="en-US" w:eastAsia="zh-CN"/>
                    </w:rPr>
                    <w:t>（</w:t>
                  </w:r>
                  <w:r>
                    <w:rPr>
                      <w:rFonts w:hint="eastAsia" w:ascii="Times New Roman" w:hAnsi="Times New Roman" w:eastAsia="宋体" w:cs="Times New Roman"/>
                      <w:color w:val="auto"/>
                      <w:spacing w:val="-10"/>
                      <w:sz w:val="18"/>
                      <w:szCs w:val="18"/>
                      <w:highlight w:val="none"/>
                      <w:lang w:val="en-US" w:eastAsia="zh-CN"/>
                    </w:rPr>
                    <w:t xml:space="preserve">2021 </w:t>
                  </w:r>
                  <w:r>
                    <w:rPr>
                      <w:rFonts w:hint="default" w:ascii="Times New Roman" w:hAnsi="Times New Roman" w:eastAsia="宋体" w:cs="Times New Roman"/>
                      <w:color w:val="auto"/>
                      <w:spacing w:val="-10"/>
                      <w:sz w:val="18"/>
                      <w:szCs w:val="18"/>
                      <w:highlight w:val="none"/>
                      <w:lang w:val="en-US" w:eastAsia="zh-CN"/>
                    </w:rPr>
                    <w:t>年版）</w:t>
                  </w:r>
                  <w:r>
                    <w:rPr>
                      <w:rFonts w:hint="eastAsia" w:ascii="Times New Roman" w:hAnsi="Times New Roman" w:eastAsia="宋体" w:cs="Times New Roman"/>
                      <w:color w:val="auto"/>
                      <w:spacing w:val="-10"/>
                      <w:sz w:val="18"/>
                      <w:szCs w:val="18"/>
                      <w:highlight w:val="none"/>
                      <w:lang w:val="en-US" w:eastAsia="zh-CN"/>
                    </w:rPr>
                    <w:t>》</w:t>
                  </w:r>
                  <w:r>
                    <w:rPr>
                      <w:rFonts w:hint="eastAsia" w:cs="Times New Roman"/>
                      <w:color w:val="auto"/>
                      <w:spacing w:val="-10"/>
                      <w:sz w:val="18"/>
                      <w:szCs w:val="18"/>
                      <w:highlight w:val="none"/>
                      <w:lang w:val="en-US" w:eastAsia="zh-CN"/>
                    </w:rPr>
                    <w:t>，本项目不为高污染行业</w:t>
                  </w:r>
                  <w:r>
                    <w:rPr>
                      <w:rFonts w:hint="eastAsia" w:ascii="Times New Roman" w:hAnsi="Times New Roman" w:eastAsia="宋体" w:cs="Times New Roman"/>
                      <w:color w:val="auto"/>
                      <w:spacing w:val="-10"/>
                      <w:sz w:val="18"/>
                      <w:szCs w:val="18"/>
                      <w:highlight w:val="none"/>
                      <w:lang w:val="en-US" w:eastAsia="zh-CN"/>
                    </w:rPr>
                    <w:t>。</w:t>
                  </w:r>
                </w:p>
                <w:p w14:paraId="5D2A0BCF">
                  <w:pPr>
                    <w:keepNext w:val="0"/>
                    <w:keepLines w:val="0"/>
                    <w:pageBreakBefore w:val="0"/>
                    <w:widowControl w:val="0"/>
                    <w:kinsoku/>
                    <w:wordWrap/>
                    <w:overflowPunct/>
                    <w:topLinePunct w:val="0"/>
                    <w:autoSpaceDE/>
                    <w:autoSpaceDN/>
                    <w:bidi w:val="0"/>
                    <w:adjustRightInd/>
                    <w:snapToGrid/>
                    <w:spacing w:line="240" w:lineRule="exact"/>
                    <w:ind w:firstLine="320" w:firstLineChars="200"/>
                    <w:jc w:val="left"/>
                    <w:textAlignment w:val="auto"/>
                    <w:rPr>
                      <w:rFonts w:hint="eastAsia" w:ascii="Times New Roman" w:hAnsi="Times New Roman" w:eastAsia="宋体" w:cs="Times New Roman"/>
                      <w:color w:val="auto"/>
                      <w:spacing w:val="-10"/>
                      <w:sz w:val="18"/>
                      <w:szCs w:val="18"/>
                      <w:highlight w:val="yellow"/>
                      <w:lang w:val="en-US" w:eastAsia="zh-CN"/>
                    </w:rPr>
                  </w:pPr>
                  <w:r>
                    <w:rPr>
                      <w:rFonts w:hint="eastAsia" w:cs="Times New Roman"/>
                      <w:color w:val="auto"/>
                      <w:spacing w:val="-10"/>
                      <w:sz w:val="18"/>
                      <w:szCs w:val="18"/>
                      <w:highlight w:val="none"/>
                      <w:lang w:val="en-US" w:eastAsia="zh-CN"/>
                    </w:rPr>
                    <w:t>3、</w:t>
                  </w:r>
                  <w:r>
                    <w:rPr>
                      <w:rFonts w:hint="eastAsia" w:ascii="Times New Roman" w:hAnsi="Times New Roman" w:eastAsia="宋体" w:cs="Times New Roman"/>
                      <w:color w:val="auto"/>
                      <w:spacing w:val="-10"/>
                      <w:sz w:val="18"/>
                      <w:szCs w:val="18"/>
                      <w:highlight w:val="none"/>
                      <w:lang w:val="en-US" w:eastAsia="zh-CN"/>
                    </w:rPr>
                    <w:t>本项目不涉及重大地表水环境风险源，项目布局合理，项目占地为建设用地，符合</w:t>
                  </w:r>
                  <w:r>
                    <w:rPr>
                      <w:rFonts w:hint="eastAsia" w:cs="Times New Roman"/>
                      <w:color w:val="auto"/>
                      <w:spacing w:val="-10"/>
                      <w:sz w:val="18"/>
                      <w:szCs w:val="18"/>
                      <w:highlight w:val="none"/>
                      <w:lang w:val="en-US" w:eastAsia="zh-CN"/>
                    </w:rPr>
                    <w:t>九百户镇总体</w:t>
                  </w:r>
                  <w:r>
                    <w:rPr>
                      <w:rFonts w:hint="eastAsia" w:ascii="Times New Roman" w:hAnsi="Times New Roman" w:eastAsia="宋体" w:cs="Times New Roman"/>
                      <w:color w:val="auto"/>
                      <w:spacing w:val="-10"/>
                      <w:sz w:val="18"/>
                      <w:szCs w:val="18"/>
                      <w:highlight w:val="none"/>
                      <w:lang w:val="en-US" w:eastAsia="zh-CN"/>
                    </w:rPr>
                    <w:t>规划。</w:t>
                  </w:r>
                </w:p>
                <w:p w14:paraId="0893DE06">
                  <w:pPr>
                    <w:keepNext w:val="0"/>
                    <w:keepLines w:val="0"/>
                    <w:pageBreakBefore w:val="0"/>
                    <w:widowControl w:val="0"/>
                    <w:kinsoku/>
                    <w:wordWrap/>
                    <w:overflowPunct/>
                    <w:topLinePunct w:val="0"/>
                    <w:autoSpaceDE/>
                    <w:autoSpaceDN/>
                    <w:bidi w:val="0"/>
                    <w:adjustRightInd/>
                    <w:snapToGrid/>
                    <w:spacing w:line="240" w:lineRule="exact"/>
                    <w:ind w:firstLine="320" w:firstLineChars="200"/>
                    <w:jc w:val="left"/>
                    <w:textAlignment w:val="auto"/>
                    <w:rPr>
                      <w:rFonts w:hint="eastAsia" w:ascii="Times New Roman" w:hAnsi="Times New Roman" w:eastAsia="宋体" w:cs="Times New Roman"/>
                      <w:color w:val="auto"/>
                      <w:spacing w:val="-10"/>
                      <w:sz w:val="18"/>
                      <w:szCs w:val="18"/>
                      <w:highlight w:val="none"/>
                      <w:lang w:val="en-US" w:eastAsia="zh-CN"/>
                    </w:rPr>
                  </w:pPr>
                  <w:r>
                    <w:rPr>
                      <w:rFonts w:hint="eastAsia" w:cs="Times New Roman"/>
                      <w:color w:val="auto"/>
                      <w:spacing w:val="-10"/>
                      <w:sz w:val="18"/>
                      <w:szCs w:val="18"/>
                      <w:highlight w:val="none"/>
                      <w:lang w:val="en-US" w:eastAsia="zh-CN"/>
                    </w:rPr>
                    <w:t>4、本项目不涉及</w:t>
                  </w:r>
                  <w:r>
                    <w:rPr>
                      <w:rFonts w:hint="eastAsia" w:ascii="Times New Roman" w:hAnsi="Times New Roman" w:eastAsia="宋体" w:cs="Times New Roman"/>
                      <w:color w:val="auto"/>
                      <w:spacing w:val="-10"/>
                      <w:sz w:val="18"/>
                      <w:szCs w:val="18"/>
                      <w:highlight w:val="none"/>
                      <w:lang w:val="en-US" w:eastAsia="zh-CN"/>
                    </w:rPr>
                    <w:t>。</w:t>
                  </w:r>
                </w:p>
                <w:p w14:paraId="06AC4893">
                  <w:pPr>
                    <w:keepNext w:val="0"/>
                    <w:keepLines w:val="0"/>
                    <w:pageBreakBefore w:val="0"/>
                    <w:widowControl w:val="0"/>
                    <w:kinsoku/>
                    <w:wordWrap/>
                    <w:overflowPunct/>
                    <w:topLinePunct w:val="0"/>
                    <w:autoSpaceDE/>
                    <w:autoSpaceDN/>
                    <w:bidi w:val="0"/>
                    <w:adjustRightInd/>
                    <w:snapToGrid/>
                    <w:spacing w:line="240" w:lineRule="exact"/>
                    <w:ind w:firstLine="320" w:firstLineChars="200"/>
                    <w:jc w:val="left"/>
                    <w:textAlignment w:val="auto"/>
                    <w:rPr>
                      <w:rFonts w:hint="eastAsia" w:ascii="Times New Roman" w:hAnsi="Times New Roman" w:eastAsia="宋体" w:cs="Times New Roman"/>
                      <w:color w:val="auto"/>
                      <w:spacing w:val="-10"/>
                      <w:kern w:val="2"/>
                      <w:sz w:val="18"/>
                      <w:szCs w:val="18"/>
                      <w:highlight w:val="none"/>
                      <w:lang w:val="en-US" w:eastAsia="zh-CN" w:bidi="ar-SA"/>
                    </w:rPr>
                  </w:pPr>
                  <w:r>
                    <w:rPr>
                      <w:rFonts w:hint="eastAsia" w:cs="Times New Roman"/>
                      <w:color w:val="auto"/>
                      <w:spacing w:val="-10"/>
                      <w:sz w:val="18"/>
                      <w:szCs w:val="18"/>
                      <w:highlight w:val="none"/>
                      <w:lang w:val="en-US" w:eastAsia="zh-CN"/>
                    </w:rPr>
                    <w:t>5、本项目无废水外排</w:t>
                  </w:r>
                  <w:r>
                    <w:rPr>
                      <w:rFonts w:hint="eastAsia" w:ascii="Times New Roman" w:hAnsi="Times New Roman" w:eastAsia="宋体" w:cs="Times New Roman"/>
                      <w:color w:val="auto"/>
                      <w:spacing w:val="-10"/>
                      <w:sz w:val="18"/>
                      <w:szCs w:val="18"/>
                      <w:highlight w:val="none"/>
                      <w:lang w:val="en-US" w:eastAsia="zh-CN"/>
                    </w:rPr>
                    <w:t>。</w:t>
                  </w:r>
                </w:p>
              </w:tc>
              <w:tc>
                <w:tcPr>
                  <w:tcW w:w="750" w:type="dxa"/>
                  <w:tcBorders>
                    <w:tl2br w:val="nil"/>
                    <w:tr2bl w:val="nil"/>
                  </w:tcBorders>
                  <w:vAlign w:val="center"/>
                </w:tcPr>
                <w:p w14:paraId="1E060933">
                  <w:pPr>
                    <w:spacing w:line="240" w:lineRule="exact"/>
                    <w:jc w:val="center"/>
                    <w:rPr>
                      <w:rFonts w:hint="default" w:ascii="Times New Roman" w:hAnsi="Times New Roman" w:eastAsia="宋体" w:cs="Times New Roman"/>
                      <w:color w:val="auto"/>
                      <w:spacing w:val="-10"/>
                      <w:sz w:val="18"/>
                      <w:szCs w:val="18"/>
                      <w:highlight w:val="none"/>
                      <w:lang w:val="en-US" w:eastAsia="zh-CN"/>
                    </w:rPr>
                  </w:pPr>
                  <w:r>
                    <w:rPr>
                      <w:rFonts w:hint="default" w:ascii="Times New Roman" w:hAnsi="Times New Roman" w:eastAsia="宋体" w:cs="Times New Roman"/>
                      <w:color w:val="auto"/>
                      <w:spacing w:val="-10"/>
                      <w:sz w:val="18"/>
                      <w:szCs w:val="18"/>
                      <w:highlight w:val="none"/>
                      <w:lang w:val="en-US" w:eastAsia="zh-CN"/>
                    </w:rPr>
                    <w:t>符合</w:t>
                  </w:r>
                </w:p>
              </w:tc>
            </w:tr>
            <w:tr w14:paraId="75DF260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87" w:type="dxa"/>
                  <w:vMerge w:val="continue"/>
                  <w:tcBorders>
                    <w:tl2br w:val="nil"/>
                    <w:tr2bl w:val="nil"/>
                  </w:tcBorders>
                  <w:vAlign w:val="center"/>
                </w:tcPr>
                <w:p w14:paraId="69E1F316">
                  <w:pPr>
                    <w:spacing w:line="240" w:lineRule="exact"/>
                    <w:jc w:val="center"/>
                    <w:rPr>
                      <w:rFonts w:hint="default" w:ascii="Times New Roman" w:hAnsi="Times New Roman" w:eastAsia="宋体" w:cs="Times New Roman"/>
                      <w:color w:val="auto"/>
                      <w:spacing w:val="-10"/>
                      <w:sz w:val="18"/>
                      <w:szCs w:val="18"/>
                      <w:highlight w:val="none"/>
                      <w:lang w:val="en-US" w:eastAsia="zh-CN"/>
                    </w:rPr>
                  </w:pPr>
                </w:p>
              </w:tc>
              <w:tc>
                <w:tcPr>
                  <w:tcW w:w="1264" w:type="dxa"/>
                  <w:tcBorders>
                    <w:tl2br w:val="nil"/>
                    <w:tr2bl w:val="nil"/>
                  </w:tcBorders>
                  <w:vAlign w:val="center"/>
                </w:tcPr>
                <w:p w14:paraId="2CAEF79F">
                  <w:pPr>
                    <w:spacing w:line="240" w:lineRule="exact"/>
                    <w:jc w:val="center"/>
                    <w:rPr>
                      <w:rFonts w:hint="default" w:ascii="Times New Roman" w:hAnsi="Times New Roman" w:eastAsia="宋体" w:cs="Times New Roman"/>
                      <w:color w:val="auto"/>
                      <w:spacing w:val="-10"/>
                      <w:kern w:val="2"/>
                      <w:sz w:val="18"/>
                      <w:szCs w:val="18"/>
                      <w:highlight w:val="none"/>
                      <w:lang w:val="en-US" w:eastAsia="zh-CN" w:bidi="ar-SA"/>
                    </w:rPr>
                  </w:pPr>
                  <w:r>
                    <w:rPr>
                      <w:rFonts w:hint="default" w:ascii="Times New Roman" w:hAnsi="Times New Roman" w:cs="Times New Roman"/>
                      <w:color w:val="auto"/>
                      <w:spacing w:val="-10"/>
                      <w:sz w:val="18"/>
                      <w:szCs w:val="18"/>
                      <w:highlight w:val="none"/>
                      <w:lang w:val="en-US" w:eastAsia="zh-CN"/>
                    </w:rPr>
                    <w:t>污染物排放管控</w:t>
                  </w:r>
                </w:p>
              </w:tc>
              <w:tc>
                <w:tcPr>
                  <w:tcW w:w="6361" w:type="dxa"/>
                  <w:tcBorders>
                    <w:tl2br w:val="nil"/>
                    <w:tr2bl w:val="nil"/>
                  </w:tcBorders>
                  <w:vAlign w:val="center"/>
                </w:tcPr>
                <w:p w14:paraId="49E5D381">
                  <w:pPr>
                    <w:keepNext w:val="0"/>
                    <w:keepLines w:val="0"/>
                    <w:pageBreakBefore w:val="0"/>
                    <w:widowControl w:val="0"/>
                    <w:numPr>
                      <w:ilvl w:val="0"/>
                      <w:numId w:val="0"/>
                    </w:numPr>
                    <w:kinsoku/>
                    <w:wordWrap/>
                    <w:overflowPunct/>
                    <w:topLinePunct w:val="0"/>
                    <w:autoSpaceDE/>
                    <w:autoSpaceDN/>
                    <w:bidi w:val="0"/>
                    <w:adjustRightInd/>
                    <w:snapToGrid/>
                    <w:spacing w:line="240" w:lineRule="exact"/>
                    <w:ind w:left="0" w:leftChars="0" w:firstLine="320" w:firstLineChars="200"/>
                    <w:jc w:val="left"/>
                    <w:textAlignment w:val="auto"/>
                    <w:rPr>
                      <w:rFonts w:hint="default" w:ascii="Times New Roman" w:hAnsi="Times New Roman" w:eastAsia="宋体" w:cs="Times New Roman"/>
                      <w:color w:val="auto"/>
                      <w:spacing w:val="-10"/>
                      <w:kern w:val="2"/>
                      <w:sz w:val="18"/>
                      <w:szCs w:val="18"/>
                      <w:highlight w:val="none"/>
                      <w:lang w:val="en-US" w:eastAsia="zh-CN" w:bidi="ar-SA"/>
                    </w:rPr>
                  </w:pPr>
                  <w:r>
                    <w:rPr>
                      <w:rFonts w:hint="default" w:ascii="Times New Roman" w:hAnsi="Times New Roman" w:eastAsia="宋体" w:cs="Times New Roman"/>
                      <w:color w:val="auto"/>
                      <w:spacing w:val="-10"/>
                      <w:sz w:val="18"/>
                      <w:szCs w:val="18"/>
                      <w:highlight w:val="none"/>
                      <w:lang w:val="en-US" w:eastAsia="zh-CN"/>
                    </w:rPr>
                    <w:t>1</w:t>
                  </w:r>
                  <w:r>
                    <w:rPr>
                      <w:rFonts w:hint="eastAsia" w:ascii="Times New Roman" w:hAnsi="Times New Roman" w:eastAsia="宋体" w:cs="Times New Roman"/>
                      <w:color w:val="auto"/>
                      <w:spacing w:val="-10"/>
                      <w:sz w:val="18"/>
                      <w:szCs w:val="18"/>
                      <w:highlight w:val="none"/>
                      <w:lang w:val="en-US" w:eastAsia="zh-CN"/>
                    </w:rPr>
                    <w:t xml:space="preserve">、严格控制高污染、高耗水行业新增产能。产能过剩产业实行新增产能等量替代、涉水主要污染物排放同行业倍量替代。对造纸、焦化、氮肥、石油化工、印染、农副食品加工、原料药制造、制革、农药、电镀等“十大”重点行业，新建、改建、扩建项目实行新增主要污染物排放倍量替代。 </w:t>
                  </w:r>
                </w:p>
              </w:tc>
              <w:tc>
                <w:tcPr>
                  <w:tcW w:w="2913" w:type="dxa"/>
                  <w:tcBorders>
                    <w:tl2br w:val="nil"/>
                    <w:tr2bl w:val="nil"/>
                  </w:tcBorders>
                  <w:vAlign w:val="center"/>
                </w:tcPr>
                <w:p w14:paraId="376681C8">
                  <w:pPr>
                    <w:keepNext w:val="0"/>
                    <w:keepLines w:val="0"/>
                    <w:pageBreakBefore w:val="0"/>
                    <w:widowControl w:val="0"/>
                    <w:numPr>
                      <w:ilvl w:val="0"/>
                      <w:numId w:val="4"/>
                    </w:numPr>
                    <w:kinsoku/>
                    <w:wordWrap/>
                    <w:overflowPunct/>
                    <w:topLinePunct w:val="0"/>
                    <w:autoSpaceDE/>
                    <w:autoSpaceDN/>
                    <w:bidi w:val="0"/>
                    <w:adjustRightInd/>
                    <w:snapToGrid/>
                    <w:spacing w:line="240" w:lineRule="exact"/>
                    <w:ind w:firstLine="320" w:firstLineChars="200"/>
                    <w:jc w:val="left"/>
                    <w:textAlignment w:val="auto"/>
                    <w:rPr>
                      <w:rFonts w:hint="default" w:ascii="Times New Roman" w:hAnsi="Times New Roman" w:eastAsia="宋体" w:cs="Times New Roman"/>
                      <w:color w:val="auto"/>
                      <w:spacing w:val="-10"/>
                      <w:sz w:val="18"/>
                      <w:szCs w:val="18"/>
                      <w:highlight w:val="none"/>
                      <w:lang w:val="en-US" w:eastAsia="zh-CN"/>
                    </w:rPr>
                  </w:pPr>
                  <w:r>
                    <w:rPr>
                      <w:rFonts w:hint="eastAsia" w:ascii="Times New Roman" w:hAnsi="Times New Roman" w:eastAsia="宋体" w:cs="Times New Roman"/>
                      <w:color w:val="auto"/>
                      <w:spacing w:val="-10"/>
                      <w:sz w:val="18"/>
                      <w:szCs w:val="18"/>
                      <w:highlight w:val="none"/>
                      <w:lang w:val="en-US" w:eastAsia="zh-CN"/>
                    </w:rPr>
                    <w:t>项目完成后，全厂无废水外排环境，</w:t>
                  </w:r>
                  <w:r>
                    <w:rPr>
                      <w:rFonts w:hint="default" w:ascii="Times New Roman" w:hAnsi="Times New Roman" w:eastAsia="宋体" w:cs="Times New Roman"/>
                      <w:color w:val="auto"/>
                      <w:spacing w:val="-10"/>
                      <w:sz w:val="18"/>
                      <w:szCs w:val="18"/>
                      <w:highlight w:val="none"/>
                      <w:lang w:val="en-US" w:eastAsia="zh-CN"/>
                    </w:rPr>
                    <w:t>不排放水污染物，项目为</w:t>
                  </w:r>
                  <w:r>
                    <w:rPr>
                      <w:rFonts w:hint="eastAsia" w:ascii="Times New Roman" w:hAnsi="Times New Roman" w:eastAsia="宋体" w:cs="Times New Roman"/>
                      <w:color w:val="auto"/>
                      <w:spacing w:val="-10"/>
                      <w:sz w:val="18"/>
                      <w:szCs w:val="18"/>
                      <w:highlight w:val="none"/>
                      <w:lang w:val="en-US" w:eastAsia="zh-CN"/>
                    </w:rPr>
                    <w:t>C4210金属废料和碎屑加工处理</w:t>
                  </w:r>
                  <w:r>
                    <w:rPr>
                      <w:rFonts w:hint="eastAsia" w:ascii="Times New Roman" w:hAnsi="Times New Roman" w:eastAsia="宋体" w:cs="Times New Roman"/>
                      <w:bCs/>
                      <w:color w:val="auto"/>
                      <w:spacing w:val="-11"/>
                      <w:kern w:val="0"/>
                      <w:sz w:val="18"/>
                      <w:szCs w:val="18"/>
                      <w:highlight w:val="none"/>
                      <w:lang w:val="en-US" w:eastAsia="zh-CN"/>
                    </w:rPr>
                    <w:t>及C4220非金属废料和碎屑加工处理</w:t>
                  </w:r>
                  <w:r>
                    <w:rPr>
                      <w:rFonts w:hint="default" w:ascii="Times New Roman" w:hAnsi="Times New Roman" w:eastAsia="宋体" w:cs="Times New Roman"/>
                      <w:color w:val="auto"/>
                      <w:spacing w:val="-10"/>
                      <w:sz w:val="18"/>
                      <w:szCs w:val="18"/>
                      <w:highlight w:val="none"/>
                      <w:lang w:val="en-US" w:eastAsia="zh-CN"/>
                    </w:rPr>
                    <w:t>，不属于高污染、高耗水行业，不属于产能过剩产业</w:t>
                  </w:r>
                  <w:r>
                    <w:rPr>
                      <w:rFonts w:hint="eastAsia" w:cs="Times New Roman"/>
                      <w:color w:val="auto"/>
                      <w:spacing w:val="-10"/>
                      <w:sz w:val="18"/>
                      <w:szCs w:val="18"/>
                      <w:highlight w:val="none"/>
                      <w:lang w:val="en-US" w:eastAsia="zh-CN"/>
                    </w:rPr>
                    <w:t>，不属于</w:t>
                  </w:r>
                  <w:r>
                    <w:rPr>
                      <w:rFonts w:hint="eastAsia" w:ascii="Times New Roman" w:hAnsi="Times New Roman" w:eastAsia="宋体" w:cs="Times New Roman"/>
                      <w:color w:val="auto"/>
                      <w:spacing w:val="-10"/>
                      <w:sz w:val="18"/>
                      <w:szCs w:val="18"/>
                      <w:highlight w:val="none"/>
                      <w:lang w:val="en-US" w:eastAsia="zh-CN"/>
                    </w:rPr>
                    <w:t>“十大”重点行业</w:t>
                  </w:r>
                  <w:r>
                    <w:rPr>
                      <w:rFonts w:hint="default" w:ascii="Times New Roman" w:hAnsi="Times New Roman" w:eastAsia="宋体" w:cs="Times New Roman"/>
                      <w:color w:val="auto"/>
                      <w:spacing w:val="-10"/>
                      <w:sz w:val="18"/>
                      <w:szCs w:val="18"/>
                      <w:highlight w:val="none"/>
                      <w:lang w:val="en-US" w:eastAsia="zh-CN"/>
                    </w:rPr>
                    <w:t>。</w:t>
                  </w:r>
                </w:p>
              </w:tc>
              <w:tc>
                <w:tcPr>
                  <w:tcW w:w="750" w:type="dxa"/>
                  <w:tcBorders>
                    <w:tl2br w:val="nil"/>
                    <w:tr2bl w:val="nil"/>
                  </w:tcBorders>
                  <w:vAlign w:val="center"/>
                </w:tcPr>
                <w:p w14:paraId="4B8E0BFE">
                  <w:pPr>
                    <w:spacing w:line="240" w:lineRule="exact"/>
                    <w:jc w:val="center"/>
                    <w:rPr>
                      <w:rFonts w:hint="default" w:ascii="Times New Roman" w:hAnsi="Times New Roman" w:eastAsia="宋体" w:cs="Times New Roman"/>
                      <w:color w:val="auto"/>
                      <w:spacing w:val="-10"/>
                      <w:sz w:val="18"/>
                      <w:szCs w:val="18"/>
                      <w:highlight w:val="none"/>
                      <w:lang w:val="en-US" w:eastAsia="zh-CN"/>
                    </w:rPr>
                  </w:pPr>
                  <w:r>
                    <w:rPr>
                      <w:rFonts w:hint="default" w:ascii="Times New Roman" w:hAnsi="Times New Roman" w:eastAsia="宋体" w:cs="Times New Roman"/>
                      <w:color w:val="auto"/>
                      <w:spacing w:val="-10"/>
                      <w:sz w:val="18"/>
                      <w:szCs w:val="18"/>
                      <w:highlight w:val="none"/>
                      <w:lang w:val="en-US" w:eastAsia="zh-CN"/>
                    </w:rPr>
                    <w:t>符合</w:t>
                  </w:r>
                </w:p>
              </w:tc>
            </w:tr>
          </w:tbl>
          <w:p w14:paraId="573AA1EB">
            <w:pPr>
              <w:pStyle w:val="24"/>
              <w:adjustRightInd w:val="0"/>
              <w:snapToGrid w:val="0"/>
              <w:spacing w:before="0" w:beforeAutospacing="0" w:after="0" w:afterAutospacing="0" w:line="440" w:lineRule="exact"/>
              <w:jc w:val="center"/>
              <w:rPr>
                <w:rFonts w:ascii="Times New Roman" w:hAnsi="Times New Roman"/>
                <w:b/>
                <w:color w:val="auto"/>
                <w:sz w:val="21"/>
                <w:szCs w:val="21"/>
                <w:highlight w:val="none"/>
              </w:rPr>
            </w:pPr>
            <w:r>
              <w:rPr>
                <w:rFonts w:hint="eastAsia" w:ascii="Times New Roman" w:hAnsi="Times New Roman"/>
                <w:b/>
                <w:color w:val="auto"/>
                <w:sz w:val="21"/>
                <w:szCs w:val="21"/>
                <w:highlight w:val="none"/>
                <w:lang w:val="en-US" w:eastAsia="zh-CN"/>
              </w:rPr>
              <w:t>续表2</w:t>
            </w:r>
            <w:r>
              <w:rPr>
                <w:rFonts w:hint="default" w:ascii="Times New Roman" w:hAnsi="Times New Roman"/>
                <w:b/>
                <w:color w:val="auto"/>
                <w:sz w:val="21"/>
                <w:szCs w:val="21"/>
                <w:highlight w:val="none"/>
                <w:lang w:val="en-US" w:eastAsia="zh-CN"/>
              </w:rPr>
              <w:t xml:space="preserve"> </w:t>
            </w:r>
            <w:r>
              <w:rPr>
                <w:rFonts w:hint="eastAsia" w:ascii="Times New Roman" w:hAnsi="Times New Roman"/>
                <w:b/>
                <w:color w:val="auto"/>
                <w:sz w:val="21"/>
                <w:szCs w:val="21"/>
                <w:highlight w:val="none"/>
                <w:lang w:val="en-US" w:eastAsia="zh-CN"/>
              </w:rPr>
              <w:t>项目与唐山市生态环境准入清单符合性分析</w:t>
            </w:r>
          </w:p>
          <w:tbl>
            <w:tblPr>
              <w:tblStyle w:val="29"/>
              <w:tblW w:w="11975" w:type="dxa"/>
              <w:tblInd w:w="5"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87"/>
              <w:gridCol w:w="1320"/>
              <w:gridCol w:w="5634"/>
              <w:gridCol w:w="3584"/>
              <w:gridCol w:w="750"/>
            </w:tblGrid>
            <w:tr w14:paraId="110359C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c>
                <w:tcPr>
                  <w:tcW w:w="2007" w:type="dxa"/>
                  <w:gridSpan w:val="2"/>
                  <w:tcBorders>
                    <w:tl2br w:val="nil"/>
                    <w:tr2bl w:val="nil"/>
                  </w:tcBorders>
                  <w:vAlign w:val="center"/>
                </w:tcPr>
                <w:p w14:paraId="6AF65894">
                  <w:pPr>
                    <w:spacing w:line="240" w:lineRule="exact"/>
                    <w:jc w:val="center"/>
                    <w:rPr>
                      <w:rFonts w:hint="default" w:ascii="Times New Roman" w:hAnsi="Times New Roman" w:cs="Times New Roman"/>
                      <w:color w:val="auto"/>
                      <w:spacing w:val="-10"/>
                      <w:sz w:val="18"/>
                      <w:szCs w:val="18"/>
                      <w:highlight w:val="none"/>
                      <w:lang w:val="en-US" w:eastAsia="zh-CN"/>
                    </w:rPr>
                  </w:pPr>
                  <w:r>
                    <w:rPr>
                      <w:rFonts w:hint="default" w:ascii="Times New Roman" w:hAnsi="Times New Roman" w:cs="Times New Roman"/>
                      <w:color w:val="auto"/>
                      <w:spacing w:val="-10"/>
                      <w:sz w:val="18"/>
                      <w:szCs w:val="18"/>
                      <w:highlight w:val="none"/>
                      <w:lang w:val="en-US" w:eastAsia="zh-CN"/>
                    </w:rPr>
                    <w:t>管控单元</w:t>
                  </w:r>
                </w:p>
              </w:tc>
              <w:tc>
                <w:tcPr>
                  <w:tcW w:w="5634" w:type="dxa"/>
                  <w:tcBorders>
                    <w:tl2br w:val="nil"/>
                    <w:tr2bl w:val="nil"/>
                  </w:tcBorders>
                  <w:vAlign w:val="center"/>
                </w:tcPr>
                <w:p w14:paraId="11A7F651">
                  <w:pPr>
                    <w:spacing w:line="240" w:lineRule="exact"/>
                    <w:jc w:val="center"/>
                    <w:rPr>
                      <w:rFonts w:hint="default" w:ascii="Times New Roman" w:hAnsi="Times New Roman" w:cs="Times New Roman"/>
                      <w:color w:val="auto"/>
                      <w:spacing w:val="-10"/>
                      <w:sz w:val="18"/>
                      <w:szCs w:val="18"/>
                      <w:highlight w:val="none"/>
                      <w:lang w:val="en-US" w:eastAsia="zh-CN"/>
                    </w:rPr>
                  </w:pPr>
                  <w:r>
                    <w:rPr>
                      <w:rFonts w:hint="default" w:ascii="Times New Roman" w:hAnsi="Times New Roman" w:cs="Times New Roman"/>
                      <w:color w:val="auto"/>
                      <w:spacing w:val="-10"/>
                      <w:sz w:val="18"/>
                      <w:szCs w:val="18"/>
                      <w:highlight w:val="none"/>
                      <w:lang w:val="en-US" w:eastAsia="zh-CN"/>
                    </w:rPr>
                    <w:t>要求</w:t>
                  </w:r>
                </w:p>
              </w:tc>
              <w:tc>
                <w:tcPr>
                  <w:tcW w:w="3584" w:type="dxa"/>
                  <w:tcBorders>
                    <w:tl2br w:val="nil"/>
                    <w:tr2bl w:val="nil"/>
                  </w:tcBorders>
                  <w:vAlign w:val="center"/>
                </w:tcPr>
                <w:p w14:paraId="3DB0A1AA">
                  <w:pPr>
                    <w:spacing w:line="240" w:lineRule="exact"/>
                    <w:jc w:val="center"/>
                    <w:rPr>
                      <w:rFonts w:hint="default" w:ascii="Times New Roman" w:hAnsi="Times New Roman" w:cs="Times New Roman"/>
                      <w:color w:val="auto"/>
                      <w:spacing w:val="-10"/>
                      <w:sz w:val="18"/>
                      <w:szCs w:val="18"/>
                      <w:highlight w:val="none"/>
                      <w:lang w:val="en-US" w:eastAsia="zh-CN"/>
                    </w:rPr>
                  </w:pPr>
                  <w:r>
                    <w:rPr>
                      <w:rFonts w:hint="default" w:ascii="Times New Roman" w:hAnsi="Times New Roman" w:cs="Times New Roman"/>
                      <w:color w:val="auto"/>
                      <w:spacing w:val="-10"/>
                      <w:sz w:val="18"/>
                      <w:szCs w:val="18"/>
                      <w:highlight w:val="none"/>
                      <w:lang w:val="en-US" w:eastAsia="zh-CN"/>
                    </w:rPr>
                    <w:t>项目情况</w:t>
                  </w:r>
                </w:p>
              </w:tc>
              <w:tc>
                <w:tcPr>
                  <w:tcW w:w="750" w:type="dxa"/>
                  <w:tcBorders>
                    <w:tl2br w:val="nil"/>
                    <w:tr2bl w:val="nil"/>
                  </w:tcBorders>
                  <w:vAlign w:val="center"/>
                </w:tcPr>
                <w:p w14:paraId="76AD7260">
                  <w:pPr>
                    <w:spacing w:line="240" w:lineRule="exact"/>
                    <w:jc w:val="center"/>
                    <w:rPr>
                      <w:rFonts w:hint="default" w:ascii="Times New Roman" w:hAnsi="Times New Roman" w:cs="Times New Roman"/>
                      <w:color w:val="auto"/>
                      <w:spacing w:val="-10"/>
                      <w:sz w:val="18"/>
                      <w:szCs w:val="18"/>
                      <w:highlight w:val="none"/>
                      <w:lang w:val="en-US" w:eastAsia="zh-CN"/>
                    </w:rPr>
                  </w:pPr>
                  <w:r>
                    <w:rPr>
                      <w:rFonts w:hint="default" w:ascii="Times New Roman" w:hAnsi="Times New Roman" w:cs="Times New Roman"/>
                      <w:color w:val="auto"/>
                      <w:spacing w:val="-10"/>
                      <w:sz w:val="18"/>
                      <w:szCs w:val="18"/>
                      <w:highlight w:val="none"/>
                      <w:lang w:val="en-US" w:eastAsia="zh-CN"/>
                    </w:rPr>
                    <w:t>符合性</w:t>
                  </w:r>
                </w:p>
              </w:tc>
            </w:tr>
            <w:tr w14:paraId="59ED7A6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87" w:type="dxa"/>
                  <w:vMerge w:val="restart"/>
                  <w:tcBorders>
                    <w:tl2br w:val="nil"/>
                    <w:tr2bl w:val="nil"/>
                  </w:tcBorders>
                  <w:vAlign w:val="center"/>
                </w:tcPr>
                <w:p w14:paraId="7FC5DE40">
                  <w:pPr>
                    <w:spacing w:line="240" w:lineRule="exact"/>
                    <w:jc w:val="center"/>
                    <w:rPr>
                      <w:rFonts w:hint="default" w:ascii="Times New Roman" w:hAnsi="Times New Roman" w:eastAsia="宋体" w:cs="Times New Roman"/>
                      <w:color w:val="auto"/>
                      <w:spacing w:val="-10"/>
                      <w:sz w:val="18"/>
                      <w:szCs w:val="18"/>
                      <w:highlight w:val="none"/>
                      <w:lang w:val="en-US" w:eastAsia="zh-CN"/>
                    </w:rPr>
                  </w:pPr>
                  <w:r>
                    <w:rPr>
                      <w:rFonts w:hint="default" w:ascii="Times New Roman" w:hAnsi="Times New Roman" w:eastAsia="宋体" w:cs="Times New Roman"/>
                      <w:color w:val="auto"/>
                      <w:spacing w:val="-10"/>
                      <w:sz w:val="18"/>
                      <w:szCs w:val="18"/>
                      <w:highlight w:val="none"/>
                      <w:lang w:val="en-US" w:eastAsia="zh-CN"/>
                    </w:rPr>
                    <w:t>地表水环境</w:t>
                  </w:r>
                </w:p>
              </w:tc>
              <w:tc>
                <w:tcPr>
                  <w:tcW w:w="1320" w:type="dxa"/>
                  <w:tcBorders>
                    <w:tl2br w:val="nil"/>
                    <w:tr2bl w:val="nil"/>
                  </w:tcBorders>
                  <w:vAlign w:val="center"/>
                </w:tcPr>
                <w:p w14:paraId="31BF8DDD">
                  <w:pPr>
                    <w:spacing w:line="240" w:lineRule="exact"/>
                    <w:jc w:val="center"/>
                    <w:rPr>
                      <w:rFonts w:hint="default" w:ascii="Times New Roman" w:hAnsi="Times New Roman" w:eastAsia="宋体" w:cs="Times New Roman"/>
                      <w:color w:val="auto"/>
                      <w:spacing w:val="-10"/>
                      <w:sz w:val="18"/>
                      <w:szCs w:val="18"/>
                      <w:highlight w:val="none"/>
                      <w:lang w:val="en-US" w:eastAsia="zh-CN"/>
                    </w:rPr>
                  </w:pPr>
                  <w:r>
                    <w:rPr>
                      <w:rFonts w:hint="default" w:ascii="Times New Roman" w:hAnsi="Times New Roman" w:eastAsia="宋体" w:cs="Times New Roman"/>
                      <w:color w:val="auto"/>
                      <w:spacing w:val="-10"/>
                      <w:sz w:val="18"/>
                      <w:szCs w:val="18"/>
                      <w:highlight w:val="none"/>
                      <w:lang w:val="en-US" w:eastAsia="zh-CN"/>
                    </w:rPr>
                    <w:t>污染物排放管控</w:t>
                  </w:r>
                </w:p>
              </w:tc>
              <w:tc>
                <w:tcPr>
                  <w:tcW w:w="5634" w:type="dxa"/>
                  <w:tcBorders>
                    <w:tl2br w:val="nil"/>
                    <w:tr2bl w:val="nil"/>
                  </w:tcBorders>
                  <w:vAlign w:val="center"/>
                </w:tcPr>
                <w:p w14:paraId="6B715D53">
                  <w:pPr>
                    <w:keepNext w:val="0"/>
                    <w:keepLines w:val="0"/>
                    <w:pageBreakBefore w:val="0"/>
                    <w:widowControl w:val="0"/>
                    <w:numPr>
                      <w:ilvl w:val="0"/>
                      <w:numId w:val="0"/>
                    </w:numPr>
                    <w:kinsoku/>
                    <w:wordWrap/>
                    <w:overflowPunct/>
                    <w:topLinePunct w:val="0"/>
                    <w:autoSpaceDE/>
                    <w:autoSpaceDN/>
                    <w:bidi w:val="0"/>
                    <w:adjustRightInd/>
                    <w:snapToGrid/>
                    <w:spacing w:line="240" w:lineRule="exact"/>
                    <w:ind w:left="0" w:leftChars="0" w:firstLine="320" w:firstLineChars="200"/>
                    <w:jc w:val="left"/>
                    <w:textAlignment w:val="auto"/>
                    <w:rPr>
                      <w:rFonts w:hint="default" w:ascii="Times New Roman" w:hAnsi="Times New Roman" w:eastAsia="宋体" w:cs="Times New Roman"/>
                      <w:color w:val="auto"/>
                      <w:spacing w:val="-10"/>
                      <w:sz w:val="18"/>
                      <w:szCs w:val="18"/>
                      <w:highlight w:val="none"/>
                      <w:lang w:val="en-US" w:eastAsia="zh-CN"/>
                    </w:rPr>
                  </w:pPr>
                  <w:r>
                    <w:rPr>
                      <w:rFonts w:hint="default" w:ascii="Times New Roman" w:hAnsi="Times New Roman" w:eastAsia="宋体" w:cs="Times New Roman"/>
                      <w:color w:val="auto"/>
                      <w:spacing w:val="-10"/>
                      <w:sz w:val="18"/>
                      <w:szCs w:val="18"/>
                      <w:highlight w:val="none"/>
                      <w:lang w:val="en-US" w:eastAsia="zh-CN"/>
                    </w:rPr>
                    <w:t>2</w:t>
                  </w:r>
                  <w:r>
                    <w:rPr>
                      <w:rFonts w:hint="eastAsia" w:ascii="Times New Roman" w:hAnsi="Times New Roman" w:eastAsia="宋体" w:cs="Times New Roman"/>
                      <w:color w:val="auto"/>
                      <w:spacing w:val="-10"/>
                      <w:sz w:val="18"/>
                      <w:szCs w:val="18"/>
                      <w:highlight w:val="none"/>
                      <w:lang w:val="en-US" w:eastAsia="zh-CN"/>
                    </w:rPr>
                    <w:t>、全面加强城镇污水管网建设，提升污水收集能力。扩大城镇污水管网覆盖范围，推进新建城区、扩建新区以及城乡结合部等污水截留、收集纳管；进一步加强城区支管、毛细管等管网建设，提高污水收集率。推进城镇排水系统雨污分流建设，新建城区、扩建新区、新开发区建设排水管网一律实行雨污分流；强化各县（市、区）城区和重点城镇污水管网建设，新建污水处理设施应与配套管网同步设计、同步建设、同步投运。推进初期雨水收集、处理与资源化利用。</w:t>
                  </w:r>
                </w:p>
                <w:p w14:paraId="174150EC">
                  <w:pPr>
                    <w:keepNext w:val="0"/>
                    <w:keepLines w:val="0"/>
                    <w:pageBreakBefore w:val="0"/>
                    <w:widowControl w:val="0"/>
                    <w:numPr>
                      <w:ilvl w:val="0"/>
                      <w:numId w:val="0"/>
                    </w:numPr>
                    <w:kinsoku/>
                    <w:wordWrap/>
                    <w:overflowPunct/>
                    <w:topLinePunct w:val="0"/>
                    <w:autoSpaceDE/>
                    <w:autoSpaceDN/>
                    <w:bidi w:val="0"/>
                    <w:adjustRightInd/>
                    <w:snapToGrid/>
                    <w:spacing w:line="240" w:lineRule="exact"/>
                    <w:ind w:left="0" w:leftChars="0" w:firstLine="320" w:firstLineChars="200"/>
                    <w:jc w:val="left"/>
                    <w:textAlignment w:val="auto"/>
                    <w:rPr>
                      <w:rFonts w:hint="eastAsia" w:ascii="Times New Roman" w:hAnsi="Times New Roman" w:eastAsia="宋体" w:cs="Times New Roman"/>
                      <w:color w:val="auto"/>
                      <w:spacing w:val="-10"/>
                      <w:sz w:val="18"/>
                      <w:szCs w:val="18"/>
                      <w:highlight w:val="none"/>
                      <w:lang w:val="en-US" w:eastAsia="zh-CN"/>
                    </w:rPr>
                  </w:pPr>
                  <w:r>
                    <w:rPr>
                      <w:rFonts w:hint="default" w:ascii="Times New Roman" w:hAnsi="Times New Roman" w:eastAsia="宋体" w:cs="Times New Roman"/>
                      <w:color w:val="auto"/>
                      <w:spacing w:val="-10"/>
                      <w:sz w:val="18"/>
                      <w:szCs w:val="18"/>
                      <w:highlight w:val="none"/>
                      <w:lang w:val="en-US" w:eastAsia="zh-CN"/>
                    </w:rPr>
                    <w:t>3</w:t>
                  </w:r>
                  <w:r>
                    <w:rPr>
                      <w:rFonts w:hint="eastAsia" w:ascii="Times New Roman" w:hAnsi="Times New Roman" w:eastAsia="宋体" w:cs="Times New Roman"/>
                      <w:color w:val="auto"/>
                      <w:spacing w:val="-10"/>
                      <w:sz w:val="18"/>
                      <w:szCs w:val="18"/>
                      <w:highlight w:val="none"/>
                      <w:lang w:val="en-US" w:eastAsia="zh-CN"/>
                    </w:rPr>
                    <w:t xml:space="preserve">、强化工业污水限期达标整治。推进废水直排外环境的工业企业全面达标排放。强化入河排污口监督管理，推动入河排污口规范化建设，取缔非法入河排污口。加大超标排放整治力度，对超标和超总量的企业依法查处，对企业超标现象普遍、超标企业集中地区政府采取挂牌督办、公开约谈等措施。对整治仍不能达到要求且情节严重的企业，由所在地政府依法责令限期关闭。 </w:t>
                  </w:r>
                </w:p>
                <w:p w14:paraId="07A2BF83">
                  <w:pPr>
                    <w:keepNext w:val="0"/>
                    <w:keepLines w:val="0"/>
                    <w:pageBreakBefore w:val="0"/>
                    <w:widowControl w:val="0"/>
                    <w:numPr>
                      <w:ilvl w:val="0"/>
                      <w:numId w:val="0"/>
                    </w:numPr>
                    <w:kinsoku/>
                    <w:wordWrap/>
                    <w:overflowPunct/>
                    <w:topLinePunct w:val="0"/>
                    <w:autoSpaceDE/>
                    <w:autoSpaceDN/>
                    <w:bidi w:val="0"/>
                    <w:adjustRightInd/>
                    <w:snapToGrid/>
                    <w:spacing w:line="240" w:lineRule="exact"/>
                    <w:ind w:left="0" w:leftChars="0" w:firstLine="320" w:firstLineChars="200"/>
                    <w:jc w:val="left"/>
                    <w:textAlignment w:val="auto"/>
                    <w:rPr>
                      <w:rFonts w:hint="eastAsia" w:ascii="Times New Roman" w:hAnsi="Times New Roman" w:eastAsia="宋体" w:cs="Times New Roman"/>
                      <w:color w:val="auto"/>
                      <w:spacing w:val="-10"/>
                      <w:sz w:val="18"/>
                      <w:szCs w:val="18"/>
                      <w:highlight w:val="none"/>
                      <w:lang w:val="en-US" w:eastAsia="zh-CN"/>
                    </w:rPr>
                  </w:pPr>
                  <w:r>
                    <w:rPr>
                      <w:rFonts w:hint="default" w:ascii="Times New Roman" w:hAnsi="Times New Roman" w:eastAsia="宋体" w:cs="Times New Roman"/>
                      <w:color w:val="auto"/>
                      <w:spacing w:val="-10"/>
                      <w:sz w:val="18"/>
                      <w:szCs w:val="18"/>
                      <w:highlight w:val="none"/>
                      <w:lang w:val="en-US" w:eastAsia="zh-CN"/>
                    </w:rPr>
                    <w:t>4</w:t>
                  </w:r>
                  <w:r>
                    <w:rPr>
                      <w:rFonts w:hint="eastAsia" w:ascii="Times New Roman" w:hAnsi="Times New Roman" w:eastAsia="宋体" w:cs="Times New Roman"/>
                      <w:color w:val="auto"/>
                      <w:spacing w:val="-10"/>
                      <w:sz w:val="18"/>
                      <w:szCs w:val="18"/>
                      <w:highlight w:val="none"/>
                      <w:lang w:val="en-US" w:eastAsia="zh-CN"/>
                    </w:rPr>
                    <w:t xml:space="preserve">、推进农业面源污染治理。减少化肥农药使用量，严格控制高毒高风险农药使用，推进有机肥替代化肥、病虫害绿色防控替代化学防治，积极推进废旧农膜回收，完善废旧地膜和包装废弃物等回收处理制度。 </w:t>
                  </w:r>
                </w:p>
                <w:p w14:paraId="666A556D">
                  <w:pPr>
                    <w:keepNext w:val="0"/>
                    <w:keepLines w:val="0"/>
                    <w:pageBreakBefore w:val="0"/>
                    <w:widowControl w:val="0"/>
                    <w:numPr>
                      <w:ilvl w:val="0"/>
                      <w:numId w:val="0"/>
                    </w:numPr>
                    <w:kinsoku/>
                    <w:wordWrap/>
                    <w:overflowPunct/>
                    <w:topLinePunct w:val="0"/>
                    <w:autoSpaceDE/>
                    <w:autoSpaceDN/>
                    <w:bidi w:val="0"/>
                    <w:adjustRightInd/>
                    <w:snapToGrid/>
                    <w:spacing w:line="240" w:lineRule="exact"/>
                    <w:ind w:left="0" w:leftChars="0" w:firstLine="320" w:firstLineChars="200"/>
                    <w:jc w:val="left"/>
                    <w:textAlignment w:val="auto"/>
                    <w:rPr>
                      <w:rFonts w:hint="eastAsia" w:ascii="Times New Roman" w:hAnsi="Times New Roman" w:eastAsia="宋体" w:cs="Times New Roman"/>
                      <w:color w:val="auto"/>
                      <w:spacing w:val="-10"/>
                      <w:sz w:val="18"/>
                      <w:szCs w:val="18"/>
                      <w:highlight w:val="none"/>
                      <w:lang w:val="en-US" w:eastAsia="zh-CN"/>
                    </w:rPr>
                  </w:pPr>
                  <w:r>
                    <w:rPr>
                      <w:rFonts w:hint="default" w:ascii="Times New Roman" w:hAnsi="Times New Roman" w:eastAsia="宋体" w:cs="Times New Roman"/>
                      <w:color w:val="auto"/>
                      <w:spacing w:val="-10"/>
                      <w:sz w:val="18"/>
                      <w:szCs w:val="18"/>
                      <w:highlight w:val="none"/>
                      <w:lang w:val="en-US" w:eastAsia="zh-CN"/>
                    </w:rPr>
                    <w:t>5</w:t>
                  </w:r>
                  <w:r>
                    <w:rPr>
                      <w:rFonts w:hint="eastAsia" w:ascii="Times New Roman" w:hAnsi="Times New Roman" w:eastAsia="宋体" w:cs="Times New Roman"/>
                      <w:color w:val="auto"/>
                      <w:spacing w:val="-10"/>
                      <w:sz w:val="18"/>
                      <w:szCs w:val="18"/>
                      <w:highlight w:val="none"/>
                      <w:lang w:val="en-US" w:eastAsia="zh-CN"/>
                    </w:rPr>
                    <w:t xml:space="preserve">、推进养殖废弃物资源化利用。坚持种植和养殖相结合，就地就近消纳利用畜禽养殖废弃物。合理布局水产养殖空间，深入推进生态健康养殖，开展重点河流湖库及近岸海域破坏生态环境的养殖方式综合整治。 </w:t>
                  </w:r>
                </w:p>
                <w:p w14:paraId="1C315BD0">
                  <w:pPr>
                    <w:keepNext w:val="0"/>
                    <w:keepLines w:val="0"/>
                    <w:pageBreakBefore w:val="0"/>
                    <w:widowControl w:val="0"/>
                    <w:numPr>
                      <w:ilvl w:val="0"/>
                      <w:numId w:val="0"/>
                    </w:numPr>
                    <w:kinsoku/>
                    <w:wordWrap/>
                    <w:overflowPunct/>
                    <w:topLinePunct w:val="0"/>
                    <w:autoSpaceDE/>
                    <w:autoSpaceDN/>
                    <w:bidi w:val="0"/>
                    <w:adjustRightInd/>
                    <w:snapToGrid/>
                    <w:spacing w:line="240" w:lineRule="exact"/>
                    <w:ind w:left="0" w:leftChars="0" w:firstLine="320" w:firstLineChars="200"/>
                    <w:jc w:val="left"/>
                    <w:textAlignment w:val="auto"/>
                    <w:rPr>
                      <w:rFonts w:hint="default" w:ascii="Times New Roman" w:hAnsi="Times New Roman" w:eastAsia="宋体" w:cs="Times New Roman"/>
                      <w:color w:val="auto"/>
                      <w:spacing w:val="-10"/>
                      <w:kern w:val="2"/>
                      <w:sz w:val="18"/>
                      <w:szCs w:val="18"/>
                      <w:highlight w:val="none"/>
                      <w:lang w:val="en-US" w:eastAsia="zh-CN" w:bidi="ar-SA"/>
                    </w:rPr>
                  </w:pPr>
                  <w:r>
                    <w:rPr>
                      <w:rFonts w:hint="default" w:ascii="Times New Roman" w:hAnsi="Times New Roman" w:eastAsia="宋体" w:cs="Times New Roman"/>
                      <w:color w:val="auto"/>
                      <w:spacing w:val="-10"/>
                      <w:sz w:val="18"/>
                      <w:szCs w:val="18"/>
                      <w:highlight w:val="none"/>
                      <w:lang w:val="en-US" w:eastAsia="zh-CN"/>
                    </w:rPr>
                    <w:t>6</w:t>
                  </w:r>
                  <w:r>
                    <w:rPr>
                      <w:rFonts w:hint="eastAsia" w:ascii="Times New Roman" w:hAnsi="Times New Roman" w:eastAsia="宋体" w:cs="Times New Roman"/>
                      <w:color w:val="auto"/>
                      <w:spacing w:val="-10"/>
                      <w:sz w:val="18"/>
                      <w:szCs w:val="18"/>
                      <w:highlight w:val="none"/>
                      <w:lang w:val="en-US" w:eastAsia="zh-CN"/>
                    </w:rPr>
                    <w:t>、实施总氮排放总量控制，新建、改建、扩建涉及总氮排放的建设项目，实施总氮排放总量指标减量替代，并在相关单位排污许可证中予以明确、严格落实，严控新增总氮排放量。</w:t>
                  </w:r>
                </w:p>
              </w:tc>
              <w:tc>
                <w:tcPr>
                  <w:tcW w:w="3584" w:type="dxa"/>
                  <w:tcBorders>
                    <w:tl2br w:val="nil"/>
                    <w:tr2bl w:val="nil"/>
                  </w:tcBorders>
                  <w:vAlign w:val="center"/>
                </w:tcPr>
                <w:p w14:paraId="3E3B73DF">
                  <w:pPr>
                    <w:keepNext w:val="0"/>
                    <w:keepLines w:val="0"/>
                    <w:pageBreakBefore w:val="0"/>
                    <w:widowControl w:val="0"/>
                    <w:kinsoku/>
                    <w:wordWrap/>
                    <w:overflowPunct/>
                    <w:topLinePunct w:val="0"/>
                    <w:autoSpaceDE/>
                    <w:autoSpaceDN/>
                    <w:bidi w:val="0"/>
                    <w:adjustRightInd/>
                    <w:snapToGrid/>
                    <w:spacing w:line="240" w:lineRule="exact"/>
                    <w:ind w:firstLine="320" w:firstLineChars="200"/>
                    <w:jc w:val="left"/>
                    <w:textAlignment w:val="auto"/>
                    <w:rPr>
                      <w:rFonts w:hint="eastAsia" w:ascii="Times New Roman" w:hAnsi="Times New Roman" w:eastAsia="宋体" w:cs="Times New Roman"/>
                      <w:color w:val="auto"/>
                      <w:spacing w:val="-10"/>
                      <w:sz w:val="18"/>
                      <w:szCs w:val="18"/>
                      <w:highlight w:val="none"/>
                      <w:lang w:val="en-US" w:eastAsia="zh-CN"/>
                    </w:rPr>
                  </w:pPr>
                  <w:r>
                    <w:rPr>
                      <w:rFonts w:hint="eastAsia" w:cs="Times New Roman"/>
                      <w:color w:val="auto"/>
                      <w:spacing w:val="-10"/>
                      <w:sz w:val="18"/>
                      <w:szCs w:val="18"/>
                      <w:highlight w:val="none"/>
                      <w:lang w:val="en-US" w:eastAsia="zh-CN"/>
                    </w:rPr>
                    <w:t>2、本项目不涉及</w:t>
                  </w:r>
                  <w:r>
                    <w:rPr>
                      <w:rFonts w:hint="eastAsia" w:ascii="Times New Roman" w:hAnsi="Times New Roman" w:eastAsia="宋体" w:cs="Times New Roman"/>
                      <w:color w:val="auto"/>
                      <w:spacing w:val="-10"/>
                      <w:sz w:val="18"/>
                      <w:szCs w:val="18"/>
                      <w:highlight w:val="none"/>
                      <w:lang w:val="en-US" w:eastAsia="zh-CN"/>
                    </w:rPr>
                    <w:t>。</w:t>
                  </w:r>
                </w:p>
                <w:p w14:paraId="4407A2E1">
                  <w:pPr>
                    <w:keepNext w:val="0"/>
                    <w:keepLines w:val="0"/>
                    <w:pageBreakBefore w:val="0"/>
                    <w:widowControl w:val="0"/>
                    <w:kinsoku/>
                    <w:wordWrap/>
                    <w:overflowPunct/>
                    <w:topLinePunct w:val="0"/>
                    <w:autoSpaceDE/>
                    <w:autoSpaceDN/>
                    <w:bidi w:val="0"/>
                    <w:adjustRightInd/>
                    <w:snapToGrid/>
                    <w:spacing w:line="240" w:lineRule="exact"/>
                    <w:ind w:firstLine="320" w:firstLineChars="200"/>
                    <w:jc w:val="left"/>
                    <w:textAlignment w:val="auto"/>
                    <w:rPr>
                      <w:rFonts w:hint="eastAsia" w:cs="Times New Roman"/>
                      <w:color w:val="auto"/>
                      <w:spacing w:val="-10"/>
                      <w:sz w:val="18"/>
                      <w:szCs w:val="18"/>
                      <w:highlight w:val="none"/>
                      <w:lang w:val="en-US" w:eastAsia="zh-CN"/>
                    </w:rPr>
                  </w:pPr>
                  <w:r>
                    <w:rPr>
                      <w:rFonts w:hint="eastAsia" w:cs="Times New Roman"/>
                      <w:color w:val="auto"/>
                      <w:spacing w:val="-10"/>
                      <w:sz w:val="18"/>
                      <w:szCs w:val="18"/>
                      <w:highlight w:val="none"/>
                      <w:lang w:val="en-US" w:eastAsia="zh-CN"/>
                    </w:rPr>
                    <w:t>3、本项目无废水外排。</w:t>
                  </w:r>
                </w:p>
                <w:p w14:paraId="5D62329C">
                  <w:pPr>
                    <w:keepNext w:val="0"/>
                    <w:keepLines w:val="0"/>
                    <w:pageBreakBefore w:val="0"/>
                    <w:widowControl w:val="0"/>
                    <w:kinsoku/>
                    <w:wordWrap/>
                    <w:overflowPunct/>
                    <w:topLinePunct w:val="0"/>
                    <w:autoSpaceDE/>
                    <w:autoSpaceDN/>
                    <w:bidi w:val="0"/>
                    <w:adjustRightInd/>
                    <w:snapToGrid/>
                    <w:spacing w:line="240" w:lineRule="exact"/>
                    <w:ind w:firstLine="320" w:firstLineChars="200"/>
                    <w:jc w:val="left"/>
                    <w:textAlignment w:val="auto"/>
                    <w:rPr>
                      <w:rFonts w:hint="eastAsia" w:ascii="Times New Roman" w:hAnsi="Times New Roman" w:eastAsia="宋体" w:cs="Times New Roman"/>
                      <w:color w:val="auto"/>
                      <w:spacing w:val="-10"/>
                      <w:sz w:val="18"/>
                      <w:szCs w:val="18"/>
                      <w:highlight w:val="none"/>
                      <w:lang w:val="en-US" w:eastAsia="zh-CN"/>
                    </w:rPr>
                  </w:pPr>
                  <w:r>
                    <w:rPr>
                      <w:rFonts w:hint="eastAsia" w:cs="Times New Roman"/>
                      <w:color w:val="auto"/>
                      <w:spacing w:val="-10"/>
                      <w:sz w:val="18"/>
                      <w:szCs w:val="18"/>
                      <w:highlight w:val="none"/>
                      <w:lang w:val="en-US" w:eastAsia="zh-CN"/>
                    </w:rPr>
                    <w:t>4、本项目不涉及</w:t>
                  </w:r>
                  <w:r>
                    <w:rPr>
                      <w:rFonts w:hint="eastAsia" w:ascii="Times New Roman" w:hAnsi="Times New Roman" w:eastAsia="宋体" w:cs="Times New Roman"/>
                      <w:color w:val="auto"/>
                      <w:spacing w:val="-10"/>
                      <w:sz w:val="18"/>
                      <w:szCs w:val="18"/>
                      <w:highlight w:val="none"/>
                      <w:lang w:val="en-US" w:eastAsia="zh-CN"/>
                    </w:rPr>
                    <w:t>。</w:t>
                  </w:r>
                </w:p>
                <w:p w14:paraId="2075EC52">
                  <w:pPr>
                    <w:keepNext w:val="0"/>
                    <w:keepLines w:val="0"/>
                    <w:pageBreakBefore w:val="0"/>
                    <w:widowControl w:val="0"/>
                    <w:kinsoku/>
                    <w:wordWrap/>
                    <w:overflowPunct/>
                    <w:topLinePunct w:val="0"/>
                    <w:autoSpaceDE/>
                    <w:autoSpaceDN/>
                    <w:bidi w:val="0"/>
                    <w:adjustRightInd/>
                    <w:snapToGrid/>
                    <w:spacing w:line="240" w:lineRule="exact"/>
                    <w:ind w:firstLine="320" w:firstLineChars="200"/>
                    <w:jc w:val="left"/>
                    <w:textAlignment w:val="auto"/>
                    <w:rPr>
                      <w:rFonts w:hint="eastAsia" w:ascii="Times New Roman" w:hAnsi="Times New Roman" w:eastAsia="宋体" w:cs="Times New Roman"/>
                      <w:color w:val="auto"/>
                      <w:spacing w:val="-10"/>
                      <w:sz w:val="18"/>
                      <w:szCs w:val="18"/>
                      <w:highlight w:val="none"/>
                      <w:lang w:val="en-US" w:eastAsia="zh-CN"/>
                    </w:rPr>
                  </w:pPr>
                  <w:r>
                    <w:rPr>
                      <w:rFonts w:hint="eastAsia" w:cs="Times New Roman"/>
                      <w:color w:val="auto"/>
                      <w:spacing w:val="-10"/>
                      <w:sz w:val="18"/>
                      <w:szCs w:val="18"/>
                      <w:highlight w:val="none"/>
                      <w:lang w:val="en-US" w:eastAsia="zh-CN"/>
                    </w:rPr>
                    <w:t>5、本项目不涉及</w:t>
                  </w:r>
                  <w:r>
                    <w:rPr>
                      <w:rFonts w:hint="eastAsia" w:ascii="Times New Roman" w:hAnsi="Times New Roman" w:eastAsia="宋体" w:cs="Times New Roman"/>
                      <w:color w:val="auto"/>
                      <w:spacing w:val="-10"/>
                      <w:sz w:val="18"/>
                      <w:szCs w:val="18"/>
                      <w:highlight w:val="none"/>
                      <w:lang w:val="en-US" w:eastAsia="zh-CN"/>
                    </w:rPr>
                    <w:t>。</w:t>
                  </w:r>
                </w:p>
                <w:p w14:paraId="182F6FEA">
                  <w:pPr>
                    <w:keepNext w:val="0"/>
                    <w:keepLines w:val="0"/>
                    <w:pageBreakBefore w:val="0"/>
                    <w:widowControl w:val="0"/>
                    <w:kinsoku/>
                    <w:wordWrap/>
                    <w:overflowPunct/>
                    <w:topLinePunct w:val="0"/>
                    <w:autoSpaceDE/>
                    <w:autoSpaceDN/>
                    <w:bidi w:val="0"/>
                    <w:adjustRightInd/>
                    <w:snapToGrid/>
                    <w:spacing w:line="240" w:lineRule="exact"/>
                    <w:ind w:firstLine="320" w:firstLineChars="200"/>
                    <w:jc w:val="left"/>
                    <w:textAlignment w:val="auto"/>
                    <w:rPr>
                      <w:rFonts w:hint="default" w:ascii="Times New Roman" w:hAnsi="Times New Roman" w:eastAsia="宋体" w:cs="Times New Roman"/>
                      <w:color w:val="auto"/>
                      <w:spacing w:val="-10"/>
                      <w:sz w:val="18"/>
                      <w:szCs w:val="18"/>
                      <w:highlight w:val="none"/>
                      <w:lang w:val="en-US" w:eastAsia="zh-CN"/>
                    </w:rPr>
                  </w:pPr>
                  <w:r>
                    <w:rPr>
                      <w:rFonts w:hint="eastAsia" w:cs="Times New Roman"/>
                      <w:color w:val="auto"/>
                      <w:spacing w:val="-10"/>
                      <w:sz w:val="18"/>
                      <w:szCs w:val="18"/>
                      <w:highlight w:val="none"/>
                      <w:lang w:val="en-US" w:eastAsia="zh-CN"/>
                    </w:rPr>
                    <w:t>6、本项目无废水外排。</w:t>
                  </w:r>
                </w:p>
              </w:tc>
              <w:tc>
                <w:tcPr>
                  <w:tcW w:w="750" w:type="dxa"/>
                  <w:tcBorders>
                    <w:tl2br w:val="nil"/>
                    <w:tr2bl w:val="nil"/>
                  </w:tcBorders>
                  <w:vAlign w:val="center"/>
                </w:tcPr>
                <w:p w14:paraId="2DB5CFC7">
                  <w:pPr>
                    <w:spacing w:line="240" w:lineRule="exact"/>
                    <w:jc w:val="center"/>
                    <w:rPr>
                      <w:rFonts w:hint="default" w:ascii="Times New Roman" w:hAnsi="Times New Roman" w:eastAsia="宋体" w:cs="Times New Roman"/>
                      <w:color w:val="auto"/>
                      <w:spacing w:val="-10"/>
                      <w:sz w:val="18"/>
                      <w:szCs w:val="18"/>
                      <w:highlight w:val="none"/>
                      <w:lang w:val="en-US" w:eastAsia="zh-CN"/>
                    </w:rPr>
                  </w:pPr>
                  <w:r>
                    <w:rPr>
                      <w:rFonts w:hint="default" w:ascii="Times New Roman" w:hAnsi="Times New Roman" w:eastAsia="宋体" w:cs="Times New Roman"/>
                      <w:color w:val="auto"/>
                      <w:spacing w:val="-10"/>
                      <w:sz w:val="18"/>
                      <w:szCs w:val="18"/>
                      <w:highlight w:val="none"/>
                      <w:lang w:val="en-US" w:eastAsia="zh-CN"/>
                    </w:rPr>
                    <w:t>符合</w:t>
                  </w:r>
                </w:p>
              </w:tc>
            </w:tr>
            <w:tr w14:paraId="0BCED39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87" w:type="dxa"/>
                  <w:vMerge w:val="continue"/>
                  <w:tcBorders>
                    <w:tl2br w:val="nil"/>
                    <w:tr2bl w:val="nil"/>
                  </w:tcBorders>
                  <w:vAlign w:val="center"/>
                </w:tcPr>
                <w:p w14:paraId="1CD0FA17">
                  <w:pPr>
                    <w:spacing w:line="240" w:lineRule="exact"/>
                    <w:jc w:val="center"/>
                    <w:rPr>
                      <w:rFonts w:hint="default" w:ascii="Times New Roman" w:hAnsi="Times New Roman" w:eastAsia="宋体" w:cs="Times New Roman"/>
                      <w:color w:val="auto"/>
                      <w:spacing w:val="-10"/>
                      <w:sz w:val="18"/>
                      <w:szCs w:val="18"/>
                      <w:highlight w:val="none"/>
                      <w:lang w:val="en-US" w:eastAsia="zh-CN"/>
                    </w:rPr>
                  </w:pPr>
                </w:p>
              </w:tc>
              <w:tc>
                <w:tcPr>
                  <w:tcW w:w="1320" w:type="dxa"/>
                  <w:tcBorders>
                    <w:tl2br w:val="nil"/>
                    <w:tr2bl w:val="nil"/>
                  </w:tcBorders>
                  <w:shd w:val="clear" w:color="auto" w:fill="auto"/>
                  <w:vAlign w:val="center"/>
                </w:tcPr>
                <w:p w14:paraId="11F9B3A8">
                  <w:pPr>
                    <w:spacing w:line="240" w:lineRule="exact"/>
                    <w:jc w:val="center"/>
                    <w:rPr>
                      <w:rFonts w:hint="default" w:ascii="Times New Roman" w:hAnsi="Times New Roman" w:eastAsia="宋体" w:cs="Times New Roman"/>
                      <w:color w:val="auto"/>
                      <w:spacing w:val="-10"/>
                      <w:sz w:val="18"/>
                      <w:szCs w:val="18"/>
                      <w:highlight w:val="none"/>
                      <w:lang w:val="en-US" w:eastAsia="zh-CN"/>
                    </w:rPr>
                  </w:pPr>
                  <w:r>
                    <w:rPr>
                      <w:rFonts w:hint="default" w:ascii="Times New Roman" w:hAnsi="Times New Roman" w:eastAsia="宋体" w:cs="Times New Roman"/>
                      <w:color w:val="auto"/>
                      <w:spacing w:val="-10"/>
                      <w:sz w:val="18"/>
                      <w:szCs w:val="18"/>
                      <w:highlight w:val="none"/>
                      <w:lang w:val="en-US" w:eastAsia="zh-CN"/>
                    </w:rPr>
                    <w:t>环境风险防控</w:t>
                  </w:r>
                </w:p>
              </w:tc>
              <w:tc>
                <w:tcPr>
                  <w:tcW w:w="5634" w:type="dxa"/>
                  <w:tcBorders>
                    <w:tl2br w:val="nil"/>
                    <w:tr2bl w:val="nil"/>
                  </w:tcBorders>
                  <w:shd w:val="clear" w:color="auto" w:fill="auto"/>
                  <w:vAlign w:val="center"/>
                </w:tcPr>
                <w:p w14:paraId="1D9A8921">
                  <w:pPr>
                    <w:keepNext w:val="0"/>
                    <w:keepLines w:val="0"/>
                    <w:pageBreakBefore w:val="0"/>
                    <w:widowControl w:val="0"/>
                    <w:numPr>
                      <w:ilvl w:val="0"/>
                      <w:numId w:val="0"/>
                    </w:numPr>
                    <w:kinsoku/>
                    <w:wordWrap/>
                    <w:overflowPunct/>
                    <w:topLinePunct w:val="0"/>
                    <w:autoSpaceDE/>
                    <w:autoSpaceDN/>
                    <w:bidi w:val="0"/>
                    <w:adjustRightInd/>
                    <w:snapToGrid/>
                    <w:spacing w:line="240" w:lineRule="exact"/>
                    <w:ind w:left="0" w:leftChars="0" w:firstLine="320" w:firstLineChars="200"/>
                    <w:jc w:val="left"/>
                    <w:textAlignment w:val="auto"/>
                    <w:rPr>
                      <w:rFonts w:hint="default" w:ascii="Times New Roman" w:hAnsi="Times New Roman" w:eastAsia="仿宋" w:cs="Times New Roman"/>
                      <w:color w:val="auto"/>
                      <w:spacing w:val="-20"/>
                      <w:kern w:val="2"/>
                      <w:sz w:val="21"/>
                      <w:szCs w:val="21"/>
                      <w:highlight w:val="none"/>
                      <w:lang w:val="en-US" w:eastAsia="zh-CN" w:bidi="ar-SA"/>
                    </w:rPr>
                  </w:pPr>
                  <w:r>
                    <w:rPr>
                      <w:rFonts w:hint="eastAsia" w:ascii="Times New Roman" w:hAnsi="Times New Roman" w:eastAsia="宋体" w:cs="Times New Roman"/>
                      <w:color w:val="auto"/>
                      <w:spacing w:val="-10"/>
                      <w:sz w:val="18"/>
                      <w:szCs w:val="18"/>
                      <w:highlight w:val="none"/>
                      <w:lang w:val="en-US" w:eastAsia="zh-CN"/>
                    </w:rPr>
                    <w:t>有效防控水源地环境风险。每年对集中式饮用水水源保护区开展基础调查与评估，将可能影响水源水质安全的风险源全部列入档案，加强风险应急防控，建立联防联控应急机制。推广供水水厂应急净化技术，储备应急供水专项物资，配置移动式应急净水设备，加强应急抢险专业队伍建设，及时有效处置饮用水水源突发环境事件。</w:t>
                  </w:r>
                </w:p>
              </w:tc>
              <w:tc>
                <w:tcPr>
                  <w:tcW w:w="3584" w:type="dxa"/>
                  <w:tcBorders>
                    <w:tl2br w:val="nil"/>
                    <w:tr2bl w:val="nil"/>
                  </w:tcBorders>
                  <w:shd w:val="clear" w:color="auto" w:fill="auto"/>
                  <w:vAlign w:val="center"/>
                </w:tcPr>
                <w:p w14:paraId="757FBFE4">
                  <w:pPr>
                    <w:keepNext w:val="0"/>
                    <w:keepLines w:val="0"/>
                    <w:pageBreakBefore w:val="0"/>
                    <w:widowControl w:val="0"/>
                    <w:kinsoku/>
                    <w:wordWrap/>
                    <w:overflowPunct/>
                    <w:topLinePunct w:val="0"/>
                    <w:autoSpaceDE/>
                    <w:autoSpaceDN/>
                    <w:bidi w:val="0"/>
                    <w:adjustRightInd/>
                    <w:snapToGrid/>
                    <w:spacing w:line="240" w:lineRule="exact"/>
                    <w:ind w:firstLine="320" w:firstLineChars="200"/>
                    <w:jc w:val="left"/>
                    <w:textAlignment w:val="auto"/>
                    <w:rPr>
                      <w:rFonts w:hint="eastAsia" w:ascii="Times New Roman" w:hAnsi="Times New Roman" w:eastAsia="仿宋" w:cs="Times New Roman"/>
                      <w:color w:val="auto"/>
                      <w:spacing w:val="-20"/>
                      <w:kern w:val="2"/>
                      <w:sz w:val="21"/>
                      <w:szCs w:val="21"/>
                      <w:highlight w:val="none"/>
                      <w:lang w:val="en-US" w:eastAsia="zh-CN" w:bidi="ar-SA"/>
                    </w:rPr>
                  </w:pPr>
                  <w:r>
                    <w:rPr>
                      <w:rFonts w:hint="eastAsia" w:ascii="Times New Roman" w:hAnsi="Times New Roman" w:eastAsia="宋体" w:cs="Times New Roman"/>
                      <w:color w:val="auto"/>
                      <w:spacing w:val="-10"/>
                      <w:sz w:val="18"/>
                      <w:szCs w:val="18"/>
                      <w:highlight w:val="none"/>
                      <w:lang w:val="en-US" w:eastAsia="zh-CN"/>
                    </w:rPr>
                    <w:t>本项目不涉及</w:t>
                  </w:r>
                </w:p>
              </w:tc>
              <w:tc>
                <w:tcPr>
                  <w:tcW w:w="750" w:type="dxa"/>
                  <w:tcBorders>
                    <w:tl2br w:val="nil"/>
                    <w:tr2bl w:val="nil"/>
                  </w:tcBorders>
                  <w:shd w:val="clear" w:color="auto" w:fill="auto"/>
                  <w:vAlign w:val="center"/>
                </w:tcPr>
                <w:p w14:paraId="0FBC2575">
                  <w:pPr>
                    <w:spacing w:line="240" w:lineRule="exact"/>
                    <w:jc w:val="center"/>
                    <w:rPr>
                      <w:rFonts w:hint="default" w:ascii="Times New Roman" w:hAnsi="Times New Roman" w:eastAsia="宋体" w:cs="Times New Roman"/>
                      <w:color w:val="auto"/>
                      <w:spacing w:val="-10"/>
                      <w:sz w:val="18"/>
                      <w:szCs w:val="18"/>
                      <w:highlight w:val="none"/>
                      <w:lang w:val="en-US" w:eastAsia="zh-CN"/>
                    </w:rPr>
                  </w:pPr>
                  <w:r>
                    <w:rPr>
                      <w:rFonts w:hint="default" w:ascii="Times New Roman" w:hAnsi="Times New Roman" w:eastAsia="宋体" w:cs="Times New Roman"/>
                      <w:color w:val="auto"/>
                      <w:spacing w:val="-10"/>
                      <w:sz w:val="18"/>
                      <w:szCs w:val="18"/>
                      <w:highlight w:val="none"/>
                      <w:lang w:val="en-US" w:eastAsia="zh-CN"/>
                    </w:rPr>
                    <w:t>符合</w:t>
                  </w:r>
                </w:p>
              </w:tc>
            </w:tr>
            <w:tr w14:paraId="7144015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87" w:type="dxa"/>
                  <w:vMerge w:val="restart"/>
                  <w:tcBorders>
                    <w:tl2br w:val="nil"/>
                    <w:tr2bl w:val="nil"/>
                  </w:tcBorders>
                  <w:vAlign w:val="center"/>
                </w:tcPr>
                <w:p w14:paraId="3103E1A0">
                  <w:pPr>
                    <w:spacing w:line="240" w:lineRule="exact"/>
                    <w:jc w:val="center"/>
                    <w:rPr>
                      <w:rFonts w:hint="default" w:ascii="Times New Roman" w:hAnsi="Times New Roman" w:eastAsia="宋体" w:cs="Times New Roman"/>
                      <w:color w:val="auto"/>
                      <w:spacing w:val="-10"/>
                      <w:sz w:val="18"/>
                      <w:szCs w:val="18"/>
                      <w:highlight w:val="none"/>
                      <w:lang w:val="en-US" w:eastAsia="zh-CN"/>
                    </w:rPr>
                  </w:pPr>
                  <w:r>
                    <w:rPr>
                      <w:rFonts w:hint="default" w:ascii="Times New Roman" w:hAnsi="Times New Roman" w:eastAsia="宋体" w:cs="Times New Roman"/>
                      <w:color w:val="auto"/>
                      <w:spacing w:val="-10"/>
                      <w:sz w:val="18"/>
                      <w:szCs w:val="18"/>
                      <w:highlight w:val="none"/>
                      <w:lang w:val="en-US" w:eastAsia="zh-CN"/>
                    </w:rPr>
                    <w:t>土壤环境及地下水环境</w:t>
                  </w:r>
                </w:p>
              </w:tc>
              <w:tc>
                <w:tcPr>
                  <w:tcW w:w="1320" w:type="dxa"/>
                  <w:tcBorders>
                    <w:tl2br w:val="nil"/>
                    <w:tr2bl w:val="nil"/>
                  </w:tcBorders>
                  <w:vAlign w:val="center"/>
                </w:tcPr>
                <w:p w14:paraId="64B175A6">
                  <w:pPr>
                    <w:keepNext w:val="0"/>
                    <w:keepLines w:val="0"/>
                    <w:pageBreakBefore w:val="0"/>
                    <w:widowControl w:val="0"/>
                    <w:numPr>
                      <w:ilvl w:val="0"/>
                      <w:numId w:val="0"/>
                    </w:numPr>
                    <w:kinsoku/>
                    <w:wordWrap/>
                    <w:overflowPunct/>
                    <w:topLinePunct w:val="0"/>
                    <w:autoSpaceDE/>
                    <w:autoSpaceDN/>
                    <w:bidi w:val="0"/>
                    <w:adjustRightInd/>
                    <w:snapToGrid/>
                    <w:spacing w:line="240" w:lineRule="exact"/>
                    <w:ind w:left="0" w:leftChars="0" w:firstLine="0" w:firstLineChars="0"/>
                    <w:jc w:val="center"/>
                    <w:textAlignment w:val="auto"/>
                    <w:rPr>
                      <w:rFonts w:hint="default" w:ascii="Times New Roman" w:hAnsi="Times New Roman" w:eastAsia="宋体" w:cs="Times New Roman"/>
                      <w:color w:val="auto"/>
                      <w:spacing w:val="-10"/>
                      <w:kern w:val="2"/>
                      <w:sz w:val="18"/>
                      <w:szCs w:val="18"/>
                      <w:highlight w:val="none"/>
                      <w:lang w:val="en-US" w:eastAsia="zh-CN" w:bidi="ar-SA"/>
                    </w:rPr>
                  </w:pPr>
                  <w:r>
                    <w:rPr>
                      <w:rFonts w:hint="eastAsia" w:ascii="Times New Roman" w:hAnsi="Times New Roman" w:eastAsia="宋体" w:cs="Times New Roman"/>
                      <w:color w:val="auto"/>
                      <w:spacing w:val="-10"/>
                      <w:sz w:val="18"/>
                      <w:szCs w:val="18"/>
                      <w:highlight w:val="none"/>
                      <w:lang w:val="en-US" w:eastAsia="zh-CN"/>
                    </w:rPr>
                    <w:t>污染防控目标</w:t>
                  </w:r>
                </w:p>
              </w:tc>
              <w:tc>
                <w:tcPr>
                  <w:tcW w:w="5634" w:type="dxa"/>
                  <w:tcBorders>
                    <w:tl2br w:val="nil"/>
                    <w:tr2bl w:val="nil"/>
                  </w:tcBorders>
                  <w:vAlign w:val="center"/>
                </w:tcPr>
                <w:p w14:paraId="66EA40D0">
                  <w:pPr>
                    <w:keepNext w:val="0"/>
                    <w:keepLines w:val="0"/>
                    <w:pageBreakBefore w:val="0"/>
                    <w:widowControl w:val="0"/>
                    <w:numPr>
                      <w:ilvl w:val="0"/>
                      <w:numId w:val="0"/>
                    </w:numPr>
                    <w:kinsoku/>
                    <w:wordWrap/>
                    <w:overflowPunct/>
                    <w:topLinePunct w:val="0"/>
                    <w:autoSpaceDE/>
                    <w:autoSpaceDN/>
                    <w:bidi w:val="0"/>
                    <w:adjustRightInd/>
                    <w:snapToGrid/>
                    <w:spacing w:line="240" w:lineRule="exact"/>
                    <w:ind w:left="0" w:leftChars="0" w:firstLine="320" w:firstLineChars="200"/>
                    <w:jc w:val="left"/>
                    <w:textAlignment w:val="auto"/>
                    <w:rPr>
                      <w:rFonts w:hint="default" w:ascii="Times New Roman" w:hAnsi="Times New Roman" w:eastAsia="宋体" w:cs="Times New Roman"/>
                      <w:color w:val="auto"/>
                      <w:spacing w:val="-10"/>
                      <w:kern w:val="2"/>
                      <w:sz w:val="18"/>
                      <w:szCs w:val="18"/>
                      <w:highlight w:val="none"/>
                      <w:lang w:val="en-US" w:eastAsia="zh-CN" w:bidi="ar-SA"/>
                    </w:rPr>
                  </w:pPr>
                  <w:r>
                    <w:rPr>
                      <w:rFonts w:hint="eastAsia" w:ascii="Times New Roman" w:hAnsi="Times New Roman" w:eastAsia="宋体" w:cs="Times New Roman"/>
                      <w:color w:val="auto"/>
                      <w:spacing w:val="-10"/>
                      <w:sz w:val="18"/>
                      <w:szCs w:val="18"/>
                      <w:highlight w:val="none"/>
                      <w:lang w:val="en-US" w:eastAsia="zh-CN"/>
                    </w:rPr>
                    <w:t>2025年底前，受污染耕地安全利用率完成河北省下达任务，受污染耕地管控措施覆盖率100%；重点建设用地安全利用得到有效保障，拟开发利用污染地块治理修复或风险管控目标达标率100%，暂不开发利用污染地块管控措施覆盖率100%；国家地下水环境质量区域考核点位Ⅴ类水比例控制在20%以下，“双源”考核点位水质总体保持稳定</w:t>
                  </w:r>
                </w:p>
              </w:tc>
              <w:tc>
                <w:tcPr>
                  <w:tcW w:w="3584" w:type="dxa"/>
                  <w:tcBorders>
                    <w:tl2br w:val="nil"/>
                    <w:tr2bl w:val="nil"/>
                  </w:tcBorders>
                  <w:vAlign w:val="center"/>
                </w:tcPr>
                <w:p w14:paraId="21F2C940">
                  <w:pPr>
                    <w:keepNext w:val="0"/>
                    <w:keepLines w:val="0"/>
                    <w:pageBreakBefore w:val="0"/>
                    <w:widowControl w:val="0"/>
                    <w:numPr>
                      <w:ilvl w:val="0"/>
                      <w:numId w:val="0"/>
                    </w:numPr>
                    <w:kinsoku/>
                    <w:wordWrap/>
                    <w:overflowPunct/>
                    <w:topLinePunct w:val="0"/>
                    <w:autoSpaceDE/>
                    <w:autoSpaceDN/>
                    <w:bidi w:val="0"/>
                    <w:adjustRightInd/>
                    <w:snapToGrid/>
                    <w:spacing w:line="240" w:lineRule="exact"/>
                    <w:ind w:left="0" w:leftChars="0" w:firstLine="320" w:firstLineChars="200"/>
                    <w:jc w:val="left"/>
                    <w:textAlignment w:val="auto"/>
                    <w:rPr>
                      <w:rFonts w:hint="default" w:ascii="Times New Roman" w:hAnsi="Times New Roman" w:eastAsia="宋体" w:cs="Times New Roman"/>
                      <w:color w:val="auto"/>
                      <w:spacing w:val="-10"/>
                      <w:kern w:val="2"/>
                      <w:sz w:val="18"/>
                      <w:szCs w:val="18"/>
                      <w:highlight w:val="none"/>
                      <w:lang w:val="en-US" w:eastAsia="zh-CN" w:bidi="ar-SA"/>
                    </w:rPr>
                  </w:pPr>
                  <w:r>
                    <w:rPr>
                      <w:rFonts w:hint="eastAsia" w:ascii="Times New Roman" w:hAnsi="Times New Roman" w:eastAsia="宋体" w:cs="Times New Roman"/>
                      <w:color w:val="auto"/>
                      <w:spacing w:val="-10"/>
                      <w:sz w:val="18"/>
                      <w:szCs w:val="18"/>
                      <w:highlight w:val="none"/>
                      <w:lang w:val="en-US" w:eastAsia="zh-CN"/>
                    </w:rPr>
                    <w:t>本项目设置完善的防渗措施，并设置完善的巡检制度。</w:t>
                  </w:r>
                </w:p>
              </w:tc>
              <w:tc>
                <w:tcPr>
                  <w:tcW w:w="750" w:type="dxa"/>
                  <w:tcBorders>
                    <w:tl2br w:val="nil"/>
                    <w:tr2bl w:val="nil"/>
                  </w:tcBorders>
                  <w:vAlign w:val="center"/>
                </w:tcPr>
                <w:p w14:paraId="4FA1C107">
                  <w:pPr>
                    <w:spacing w:line="240" w:lineRule="exact"/>
                    <w:jc w:val="center"/>
                    <w:rPr>
                      <w:rFonts w:hint="default" w:ascii="Times New Roman" w:hAnsi="Times New Roman" w:cs="Times New Roman"/>
                      <w:color w:val="auto"/>
                      <w:spacing w:val="-10"/>
                      <w:sz w:val="18"/>
                      <w:szCs w:val="18"/>
                      <w:highlight w:val="none"/>
                      <w:lang w:val="en-US" w:eastAsia="zh-CN"/>
                    </w:rPr>
                  </w:pPr>
                  <w:r>
                    <w:rPr>
                      <w:rFonts w:hint="default" w:ascii="Times New Roman" w:hAnsi="Times New Roman" w:cs="Times New Roman"/>
                      <w:color w:val="auto"/>
                      <w:spacing w:val="-10"/>
                      <w:sz w:val="18"/>
                      <w:szCs w:val="18"/>
                      <w:highlight w:val="none"/>
                      <w:lang w:val="en-US" w:eastAsia="zh-CN"/>
                    </w:rPr>
                    <w:t>符合</w:t>
                  </w:r>
                </w:p>
              </w:tc>
            </w:tr>
            <w:tr w14:paraId="16AB9BD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87" w:type="dxa"/>
                  <w:vMerge w:val="continue"/>
                  <w:tcBorders>
                    <w:tl2br w:val="nil"/>
                    <w:tr2bl w:val="nil"/>
                  </w:tcBorders>
                  <w:vAlign w:val="center"/>
                </w:tcPr>
                <w:p w14:paraId="77AF0492">
                  <w:pPr>
                    <w:spacing w:line="240" w:lineRule="exact"/>
                    <w:jc w:val="center"/>
                    <w:rPr>
                      <w:rFonts w:hint="default" w:ascii="Times New Roman" w:hAnsi="Times New Roman" w:cs="Times New Roman"/>
                      <w:color w:val="auto"/>
                      <w:spacing w:val="-10"/>
                      <w:sz w:val="18"/>
                      <w:szCs w:val="18"/>
                      <w:highlight w:val="none"/>
                      <w:lang w:val="en-US" w:eastAsia="zh-CN"/>
                    </w:rPr>
                  </w:pPr>
                </w:p>
              </w:tc>
              <w:tc>
                <w:tcPr>
                  <w:tcW w:w="1320" w:type="dxa"/>
                  <w:tcBorders>
                    <w:tl2br w:val="nil"/>
                    <w:tr2bl w:val="nil"/>
                  </w:tcBorders>
                  <w:vAlign w:val="center"/>
                </w:tcPr>
                <w:p w14:paraId="73A480F2">
                  <w:pPr>
                    <w:spacing w:line="240" w:lineRule="exact"/>
                    <w:jc w:val="center"/>
                    <w:rPr>
                      <w:rFonts w:hint="default" w:ascii="Times New Roman" w:hAnsi="Times New Roman" w:eastAsia="宋体" w:cs="Times New Roman"/>
                      <w:color w:val="auto"/>
                      <w:spacing w:val="-10"/>
                      <w:kern w:val="2"/>
                      <w:sz w:val="18"/>
                      <w:szCs w:val="18"/>
                      <w:highlight w:val="none"/>
                      <w:lang w:val="en-US" w:eastAsia="zh-CN" w:bidi="ar-SA"/>
                    </w:rPr>
                  </w:pPr>
                  <w:r>
                    <w:rPr>
                      <w:rFonts w:hint="default" w:ascii="Times New Roman" w:hAnsi="Times New Roman" w:cs="Times New Roman"/>
                      <w:color w:val="auto"/>
                      <w:spacing w:val="-10"/>
                      <w:sz w:val="18"/>
                      <w:szCs w:val="18"/>
                      <w:highlight w:val="none"/>
                      <w:lang w:val="en-US" w:eastAsia="zh-CN"/>
                    </w:rPr>
                    <w:t>空间布局约束</w:t>
                  </w:r>
                </w:p>
              </w:tc>
              <w:tc>
                <w:tcPr>
                  <w:tcW w:w="5634" w:type="dxa"/>
                  <w:tcBorders>
                    <w:tl2br w:val="nil"/>
                    <w:tr2bl w:val="nil"/>
                  </w:tcBorders>
                  <w:vAlign w:val="center"/>
                </w:tcPr>
                <w:p w14:paraId="7BEC5BCC">
                  <w:pPr>
                    <w:keepNext w:val="0"/>
                    <w:keepLines w:val="0"/>
                    <w:pageBreakBefore w:val="0"/>
                    <w:widowControl w:val="0"/>
                    <w:numPr>
                      <w:ilvl w:val="0"/>
                      <w:numId w:val="0"/>
                    </w:numPr>
                    <w:kinsoku/>
                    <w:wordWrap/>
                    <w:overflowPunct/>
                    <w:topLinePunct w:val="0"/>
                    <w:autoSpaceDE/>
                    <w:autoSpaceDN/>
                    <w:bidi w:val="0"/>
                    <w:adjustRightInd/>
                    <w:snapToGrid/>
                    <w:spacing w:line="240" w:lineRule="exact"/>
                    <w:ind w:left="0" w:leftChars="0" w:firstLine="320" w:firstLineChars="200"/>
                    <w:jc w:val="left"/>
                    <w:textAlignment w:val="auto"/>
                    <w:rPr>
                      <w:rFonts w:hint="default" w:ascii="Times New Roman" w:hAnsi="Times New Roman" w:eastAsia="宋体" w:cs="Times New Roman"/>
                      <w:color w:val="auto"/>
                      <w:spacing w:val="-10"/>
                      <w:kern w:val="2"/>
                      <w:sz w:val="18"/>
                      <w:szCs w:val="18"/>
                      <w:highlight w:val="none"/>
                      <w:lang w:val="en-US" w:eastAsia="zh-CN" w:bidi="ar-SA"/>
                    </w:rPr>
                  </w:pPr>
                  <w:r>
                    <w:rPr>
                      <w:rFonts w:hint="default" w:ascii="Times New Roman" w:hAnsi="Times New Roman" w:eastAsia="宋体" w:cs="Times New Roman"/>
                      <w:color w:val="auto"/>
                      <w:spacing w:val="-10"/>
                      <w:sz w:val="18"/>
                      <w:szCs w:val="18"/>
                      <w:highlight w:val="none"/>
                      <w:lang w:val="en-US" w:eastAsia="zh-CN"/>
                    </w:rPr>
                    <w:t>1</w:t>
                  </w:r>
                  <w:r>
                    <w:rPr>
                      <w:rFonts w:hint="eastAsia" w:ascii="Times New Roman" w:hAnsi="Times New Roman" w:eastAsia="宋体" w:cs="Times New Roman"/>
                      <w:color w:val="auto"/>
                      <w:spacing w:val="-10"/>
                      <w:sz w:val="18"/>
                      <w:szCs w:val="18"/>
                      <w:highlight w:val="none"/>
                      <w:lang w:val="en-US" w:eastAsia="zh-CN"/>
                    </w:rPr>
                    <w:t>、严格执行相关行业企业布局选址要求，禁止在居民区和学校、医院、疗养院、养老院等单位周边新建、改建、扩建可能造成土壤污染的建设项目。</w:t>
                  </w:r>
                </w:p>
              </w:tc>
              <w:tc>
                <w:tcPr>
                  <w:tcW w:w="3584" w:type="dxa"/>
                  <w:tcBorders>
                    <w:tl2br w:val="nil"/>
                    <w:tr2bl w:val="nil"/>
                  </w:tcBorders>
                  <w:vAlign w:val="center"/>
                </w:tcPr>
                <w:p w14:paraId="2041B01D">
                  <w:pPr>
                    <w:keepNext w:val="0"/>
                    <w:keepLines w:val="0"/>
                    <w:pageBreakBefore w:val="0"/>
                    <w:widowControl w:val="0"/>
                    <w:kinsoku/>
                    <w:wordWrap/>
                    <w:overflowPunct/>
                    <w:topLinePunct w:val="0"/>
                    <w:autoSpaceDE/>
                    <w:autoSpaceDN/>
                    <w:bidi w:val="0"/>
                    <w:adjustRightInd/>
                    <w:snapToGrid/>
                    <w:spacing w:line="240" w:lineRule="exact"/>
                    <w:ind w:firstLine="320" w:firstLineChars="200"/>
                    <w:jc w:val="left"/>
                    <w:textAlignment w:val="auto"/>
                    <w:rPr>
                      <w:rFonts w:hint="default" w:cs="Times New Roman"/>
                      <w:color w:val="auto"/>
                      <w:spacing w:val="-10"/>
                      <w:sz w:val="18"/>
                      <w:szCs w:val="18"/>
                      <w:highlight w:val="none"/>
                      <w:lang w:val="en-US" w:eastAsia="zh-CN"/>
                    </w:rPr>
                  </w:pPr>
                  <w:r>
                    <w:rPr>
                      <w:rFonts w:hint="eastAsia" w:cs="Times New Roman"/>
                      <w:color w:val="auto"/>
                      <w:spacing w:val="-10"/>
                      <w:sz w:val="18"/>
                      <w:szCs w:val="18"/>
                      <w:highlight w:val="none"/>
                      <w:lang w:val="en-US" w:eastAsia="zh-CN"/>
                    </w:rPr>
                    <w:t>1、</w:t>
                  </w:r>
                  <w:r>
                    <w:rPr>
                      <w:rFonts w:hint="eastAsia" w:ascii="Times New Roman" w:hAnsi="Times New Roman" w:eastAsia="宋体" w:cs="Times New Roman"/>
                      <w:color w:val="auto"/>
                      <w:spacing w:val="-10"/>
                      <w:sz w:val="18"/>
                      <w:szCs w:val="18"/>
                      <w:highlight w:val="none"/>
                      <w:lang w:val="en-US" w:eastAsia="zh-CN"/>
                    </w:rPr>
                    <w:t>项目采取严格的源头控制、分区防渗措施，并设置完善的巡检制度，不会对土壤造成污染。</w:t>
                  </w:r>
                </w:p>
              </w:tc>
              <w:tc>
                <w:tcPr>
                  <w:tcW w:w="750" w:type="dxa"/>
                  <w:tcBorders>
                    <w:tl2br w:val="nil"/>
                    <w:tr2bl w:val="nil"/>
                  </w:tcBorders>
                  <w:vAlign w:val="center"/>
                </w:tcPr>
                <w:p w14:paraId="51EC6D58">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pacing w:val="-10"/>
                      <w:kern w:val="2"/>
                      <w:sz w:val="18"/>
                      <w:szCs w:val="18"/>
                      <w:highlight w:val="none"/>
                      <w:lang w:val="en-US" w:eastAsia="zh-CN" w:bidi="ar-SA"/>
                    </w:rPr>
                  </w:pPr>
                  <w:r>
                    <w:rPr>
                      <w:rFonts w:hint="default" w:ascii="Times New Roman" w:hAnsi="Times New Roman" w:cs="Times New Roman"/>
                      <w:color w:val="auto"/>
                      <w:spacing w:val="-10"/>
                      <w:sz w:val="18"/>
                      <w:szCs w:val="18"/>
                      <w:highlight w:val="none"/>
                      <w:lang w:val="en-US" w:eastAsia="zh-CN"/>
                    </w:rPr>
                    <w:t>符合</w:t>
                  </w:r>
                </w:p>
              </w:tc>
            </w:tr>
          </w:tbl>
          <w:p w14:paraId="34EB000D">
            <w:pPr>
              <w:pStyle w:val="24"/>
              <w:adjustRightInd w:val="0"/>
              <w:snapToGrid w:val="0"/>
              <w:spacing w:before="0" w:beforeAutospacing="0" w:after="0" w:afterAutospacing="0" w:line="440" w:lineRule="exact"/>
              <w:jc w:val="center"/>
              <w:rPr>
                <w:rFonts w:ascii="Times New Roman" w:hAnsi="Times New Roman"/>
                <w:b/>
                <w:color w:val="auto"/>
                <w:sz w:val="21"/>
                <w:szCs w:val="21"/>
                <w:highlight w:val="none"/>
              </w:rPr>
            </w:pPr>
            <w:r>
              <w:rPr>
                <w:rFonts w:hint="eastAsia" w:ascii="Times New Roman" w:hAnsi="Times New Roman"/>
                <w:b/>
                <w:color w:val="auto"/>
                <w:sz w:val="21"/>
                <w:szCs w:val="21"/>
                <w:highlight w:val="none"/>
                <w:lang w:val="en-US" w:eastAsia="zh-CN"/>
              </w:rPr>
              <w:t>续表2</w:t>
            </w:r>
            <w:r>
              <w:rPr>
                <w:rFonts w:hint="default" w:ascii="Times New Roman" w:hAnsi="Times New Roman"/>
                <w:b/>
                <w:color w:val="auto"/>
                <w:sz w:val="21"/>
                <w:szCs w:val="21"/>
                <w:highlight w:val="none"/>
                <w:lang w:val="en-US" w:eastAsia="zh-CN"/>
              </w:rPr>
              <w:t xml:space="preserve"> </w:t>
            </w:r>
            <w:r>
              <w:rPr>
                <w:rFonts w:hint="eastAsia" w:ascii="Times New Roman" w:hAnsi="Times New Roman"/>
                <w:b/>
                <w:color w:val="auto"/>
                <w:sz w:val="21"/>
                <w:szCs w:val="21"/>
                <w:highlight w:val="none"/>
                <w:lang w:val="en-US" w:eastAsia="zh-CN"/>
              </w:rPr>
              <w:t>项目与唐山市生态环境准入清单符合性分析</w:t>
            </w:r>
          </w:p>
          <w:tbl>
            <w:tblPr>
              <w:tblStyle w:val="29"/>
              <w:tblW w:w="11975" w:type="dxa"/>
              <w:tblInd w:w="5"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87"/>
              <w:gridCol w:w="1094"/>
              <w:gridCol w:w="5919"/>
              <w:gridCol w:w="5"/>
              <w:gridCol w:w="3520"/>
              <w:gridCol w:w="750"/>
            </w:tblGrid>
            <w:tr w14:paraId="207E696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781" w:type="dxa"/>
                  <w:gridSpan w:val="2"/>
                  <w:tcBorders>
                    <w:tl2br w:val="nil"/>
                    <w:tr2bl w:val="nil"/>
                  </w:tcBorders>
                  <w:vAlign w:val="center"/>
                </w:tcPr>
                <w:p w14:paraId="3A717A58">
                  <w:pPr>
                    <w:spacing w:line="240" w:lineRule="exact"/>
                    <w:jc w:val="center"/>
                    <w:rPr>
                      <w:rFonts w:hint="default" w:ascii="Times New Roman" w:hAnsi="Times New Roman" w:cs="Times New Roman"/>
                      <w:color w:val="auto"/>
                      <w:spacing w:val="-10"/>
                      <w:sz w:val="18"/>
                      <w:szCs w:val="18"/>
                      <w:highlight w:val="none"/>
                      <w:lang w:val="en-US" w:eastAsia="zh-CN"/>
                    </w:rPr>
                  </w:pPr>
                  <w:r>
                    <w:rPr>
                      <w:rFonts w:hint="default" w:ascii="Times New Roman" w:hAnsi="Times New Roman" w:cs="Times New Roman"/>
                      <w:color w:val="auto"/>
                      <w:spacing w:val="-10"/>
                      <w:sz w:val="18"/>
                      <w:szCs w:val="18"/>
                      <w:highlight w:val="none"/>
                      <w:lang w:val="en-US" w:eastAsia="zh-CN"/>
                    </w:rPr>
                    <w:t>管控单元</w:t>
                  </w:r>
                </w:p>
              </w:tc>
              <w:tc>
                <w:tcPr>
                  <w:tcW w:w="5919" w:type="dxa"/>
                  <w:tcBorders>
                    <w:tl2br w:val="nil"/>
                    <w:tr2bl w:val="nil"/>
                  </w:tcBorders>
                  <w:vAlign w:val="center"/>
                </w:tcPr>
                <w:p w14:paraId="6BF65AF7">
                  <w:pPr>
                    <w:spacing w:line="240" w:lineRule="exact"/>
                    <w:jc w:val="center"/>
                    <w:rPr>
                      <w:rFonts w:hint="default" w:ascii="Times New Roman" w:hAnsi="Times New Roman" w:cs="Times New Roman"/>
                      <w:color w:val="auto"/>
                      <w:spacing w:val="-10"/>
                      <w:sz w:val="18"/>
                      <w:szCs w:val="18"/>
                      <w:highlight w:val="none"/>
                      <w:lang w:val="en-US" w:eastAsia="zh-CN"/>
                    </w:rPr>
                  </w:pPr>
                  <w:r>
                    <w:rPr>
                      <w:rFonts w:hint="default" w:ascii="Times New Roman" w:hAnsi="Times New Roman" w:cs="Times New Roman"/>
                      <w:color w:val="auto"/>
                      <w:spacing w:val="-10"/>
                      <w:sz w:val="18"/>
                      <w:szCs w:val="18"/>
                      <w:highlight w:val="none"/>
                      <w:lang w:val="en-US" w:eastAsia="zh-CN"/>
                    </w:rPr>
                    <w:t>要求</w:t>
                  </w:r>
                </w:p>
              </w:tc>
              <w:tc>
                <w:tcPr>
                  <w:tcW w:w="3525" w:type="dxa"/>
                  <w:gridSpan w:val="2"/>
                  <w:tcBorders>
                    <w:tl2br w:val="nil"/>
                    <w:tr2bl w:val="nil"/>
                  </w:tcBorders>
                  <w:vAlign w:val="center"/>
                </w:tcPr>
                <w:p w14:paraId="1F5E3B0E">
                  <w:pPr>
                    <w:spacing w:line="240" w:lineRule="exact"/>
                    <w:jc w:val="center"/>
                    <w:rPr>
                      <w:rFonts w:hint="default" w:ascii="Times New Roman" w:hAnsi="Times New Roman" w:cs="Times New Roman"/>
                      <w:color w:val="auto"/>
                      <w:spacing w:val="-10"/>
                      <w:sz w:val="18"/>
                      <w:szCs w:val="18"/>
                      <w:highlight w:val="none"/>
                      <w:lang w:val="en-US" w:eastAsia="zh-CN"/>
                    </w:rPr>
                  </w:pPr>
                  <w:r>
                    <w:rPr>
                      <w:rFonts w:hint="default" w:ascii="Times New Roman" w:hAnsi="Times New Roman" w:cs="Times New Roman"/>
                      <w:color w:val="auto"/>
                      <w:spacing w:val="-10"/>
                      <w:sz w:val="18"/>
                      <w:szCs w:val="18"/>
                      <w:highlight w:val="none"/>
                      <w:lang w:val="en-US" w:eastAsia="zh-CN"/>
                    </w:rPr>
                    <w:t>项目情况</w:t>
                  </w:r>
                </w:p>
              </w:tc>
              <w:tc>
                <w:tcPr>
                  <w:tcW w:w="750" w:type="dxa"/>
                  <w:tcBorders>
                    <w:tl2br w:val="nil"/>
                    <w:tr2bl w:val="nil"/>
                  </w:tcBorders>
                  <w:vAlign w:val="center"/>
                </w:tcPr>
                <w:p w14:paraId="50442025">
                  <w:pPr>
                    <w:spacing w:line="240" w:lineRule="exact"/>
                    <w:jc w:val="center"/>
                    <w:rPr>
                      <w:rFonts w:hint="default" w:ascii="Times New Roman" w:hAnsi="Times New Roman" w:cs="Times New Roman"/>
                      <w:color w:val="auto"/>
                      <w:spacing w:val="-10"/>
                      <w:sz w:val="18"/>
                      <w:szCs w:val="18"/>
                      <w:highlight w:val="none"/>
                      <w:lang w:val="en-US" w:eastAsia="zh-CN"/>
                    </w:rPr>
                  </w:pPr>
                  <w:r>
                    <w:rPr>
                      <w:rFonts w:hint="default" w:ascii="Times New Roman" w:hAnsi="Times New Roman" w:cs="Times New Roman"/>
                      <w:color w:val="auto"/>
                      <w:spacing w:val="-10"/>
                      <w:sz w:val="18"/>
                      <w:szCs w:val="18"/>
                      <w:highlight w:val="none"/>
                      <w:lang w:val="en-US" w:eastAsia="zh-CN"/>
                    </w:rPr>
                    <w:t>符合性</w:t>
                  </w:r>
                </w:p>
              </w:tc>
            </w:tr>
            <w:tr w14:paraId="14E0566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87" w:type="dxa"/>
                  <w:vMerge w:val="restart"/>
                  <w:tcBorders>
                    <w:tl2br w:val="nil"/>
                    <w:tr2bl w:val="nil"/>
                  </w:tcBorders>
                  <w:vAlign w:val="center"/>
                </w:tcPr>
                <w:p w14:paraId="3BF6556B">
                  <w:pPr>
                    <w:spacing w:line="240" w:lineRule="exact"/>
                    <w:jc w:val="center"/>
                    <w:rPr>
                      <w:rFonts w:hint="default" w:ascii="Times New Roman" w:hAnsi="Times New Roman" w:cs="Times New Roman"/>
                      <w:color w:val="auto"/>
                      <w:spacing w:val="-10"/>
                      <w:sz w:val="18"/>
                      <w:szCs w:val="18"/>
                      <w:highlight w:val="none"/>
                      <w:lang w:val="en-US" w:eastAsia="zh-CN"/>
                    </w:rPr>
                  </w:pPr>
                  <w:r>
                    <w:rPr>
                      <w:rFonts w:hint="default" w:ascii="Times New Roman" w:hAnsi="Times New Roman" w:eastAsia="宋体" w:cs="Times New Roman"/>
                      <w:color w:val="auto"/>
                      <w:spacing w:val="-10"/>
                      <w:sz w:val="18"/>
                      <w:szCs w:val="18"/>
                      <w:highlight w:val="none"/>
                      <w:lang w:val="en-US" w:eastAsia="zh-CN"/>
                    </w:rPr>
                    <w:t>土壤环境及地下水环境</w:t>
                  </w:r>
                </w:p>
              </w:tc>
              <w:tc>
                <w:tcPr>
                  <w:tcW w:w="1094" w:type="dxa"/>
                  <w:tcBorders>
                    <w:tl2br w:val="nil"/>
                    <w:tr2bl w:val="nil"/>
                  </w:tcBorders>
                  <w:vAlign w:val="center"/>
                </w:tcPr>
                <w:p w14:paraId="705091F5">
                  <w:pPr>
                    <w:spacing w:line="240" w:lineRule="exact"/>
                    <w:jc w:val="center"/>
                    <w:rPr>
                      <w:rFonts w:hint="default" w:ascii="Times New Roman" w:hAnsi="Times New Roman" w:cs="Times New Roman"/>
                      <w:color w:val="auto"/>
                      <w:spacing w:val="-10"/>
                      <w:sz w:val="18"/>
                      <w:szCs w:val="18"/>
                      <w:highlight w:val="none"/>
                      <w:lang w:val="en-US" w:eastAsia="zh-CN"/>
                    </w:rPr>
                  </w:pPr>
                  <w:r>
                    <w:rPr>
                      <w:rFonts w:hint="default" w:ascii="Times New Roman" w:hAnsi="Times New Roman" w:cs="Times New Roman"/>
                      <w:color w:val="auto"/>
                      <w:spacing w:val="-10"/>
                      <w:sz w:val="18"/>
                      <w:szCs w:val="18"/>
                      <w:highlight w:val="none"/>
                      <w:lang w:val="en-US" w:eastAsia="zh-CN"/>
                    </w:rPr>
                    <w:t>空间布局约束</w:t>
                  </w:r>
                </w:p>
              </w:tc>
              <w:tc>
                <w:tcPr>
                  <w:tcW w:w="5919" w:type="dxa"/>
                  <w:tcBorders>
                    <w:tl2br w:val="nil"/>
                    <w:tr2bl w:val="nil"/>
                  </w:tcBorders>
                  <w:vAlign w:val="center"/>
                </w:tcPr>
                <w:p w14:paraId="69B8399C">
                  <w:pPr>
                    <w:keepNext w:val="0"/>
                    <w:keepLines w:val="0"/>
                    <w:pageBreakBefore w:val="0"/>
                    <w:widowControl w:val="0"/>
                    <w:numPr>
                      <w:ilvl w:val="0"/>
                      <w:numId w:val="0"/>
                    </w:numPr>
                    <w:kinsoku/>
                    <w:wordWrap/>
                    <w:overflowPunct/>
                    <w:topLinePunct w:val="0"/>
                    <w:autoSpaceDE/>
                    <w:autoSpaceDN/>
                    <w:bidi w:val="0"/>
                    <w:adjustRightInd/>
                    <w:snapToGrid/>
                    <w:spacing w:line="240" w:lineRule="exact"/>
                    <w:ind w:firstLine="320" w:firstLineChars="200"/>
                    <w:jc w:val="left"/>
                    <w:textAlignment w:val="auto"/>
                    <w:rPr>
                      <w:rFonts w:hint="eastAsia" w:ascii="Times New Roman" w:hAnsi="Times New Roman" w:eastAsia="宋体" w:cs="Times New Roman"/>
                      <w:color w:val="auto"/>
                      <w:spacing w:val="-10"/>
                      <w:sz w:val="18"/>
                      <w:szCs w:val="18"/>
                      <w:highlight w:val="none"/>
                      <w:lang w:val="en-US" w:eastAsia="zh-CN"/>
                    </w:rPr>
                  </w:pPr>
                  <w:r>
                    <w:rPr>
                      <w:rFonts w:hint="default" w:ascii="Times New Roman" w:hAnsi="Times New Roman" w:eastAsia="宋体" w:cs="Times New Roman"/>
                      <w:color w:val="auto"/>
                      <w:spacing w:val="-10"/>
                      <w:sz w:val="18"/>
                      <w:szCs w:val="18"/>
                      <w:highlight w:val="none"/>
                      <w:lang w:val="en-US" w:eastAsia="zh-CN"/>
                    </w:rPr>
                    <w:t>2</w:t>
                  </w:r>
                  <w:r>
                    <w:rPr>
                      <w:rFonts w:hint="eastAsia" w:ascii="Times New Roman" w:hAnsi="Times New Roman" w:eastAsia="宋体" w:cs="Times New Roman"/>
                      <w:color w:val="auto"/>
                      <w:spacing w:val="-10"/>
                      <w:sz w:val="18"/>
                      <w:szCs w:val="18"/>
                      <w:highlight w:val="none"/>
                      <w:lang w:val="en-US" w:eastAsia="zh-CN"/>
                    </w:rPr>
                    <w:t>、禁止在集中式地下水饮用水水源地建设需要取水的地热能开发利用项目。禁止抽取难以更新的地下水用于需要取水的地热能开发利用项目。</w:t>
                  </w:r>
                </w:p>
                <w:p w14:paraId="7DA92777">
                  <w:pPr>
                    <w:keepNext w:val="0"/>
                    <w:keepLines w:val="0"/>
                    <w:pageBreakBefore w:val="0"/>
                    <w:widowControl w:val="0"/>
                    <w:numPr>
                      <w:ilvl w:val="0"/>
                      <w:numId w:val="0"/>
                    </w:numPr>
                    <w:kinsoku/>
                    <w:wordWrap/>
                    <w:overflowPunct/>
                    <w:topLinePunct w:val="0"/>
                    <w:autoSpaceDE/>
                    <w:autoSpaceDN/>
                    <w:bidi w:val="0"/>
                    <w:adjustRightInd/>
                    <w:snapToGrid/>
                    <w:spacing w:line="240" w:lineRule="exact"/>
                    <w:ind w:firstLine="320" w:firstLineChars="200"/>
                    <w:jc w:val="left"/>
                    <w:textAlignment w:val="auto"/>
                    <w:rPr>
                      <w:rFonts w:hint="default" w:ascii="Times New Roman" w:hAnsi="Times New Roman" w:cs="Times New Roman"/>
                      <w:color w:val="auto"/>
                      <w:spacing w:val="-10"/>
                      <w:sz w:val="18"/>
                      <w:szCs w:val="18"/>
                      <w:highlight w:val="none"/>
                      <w:lang w:val="en-US" w:eastAsia="zh-CN"/>
                    </w:rPr>
                  </w:pPr>
                  <w:r>
                    <w:rPr>
                      <w:rFonts w:hint="default" w:ascii="Times New Roman" w:hAnsi="Times New Roman" w:eastAsia="宋体" w:cs="Times New Roman"/>
                      <w:color w:val="auto"/>
                      <w:spacing w:val="-10"/>
                      <w:sz w:val="18"/>
                      <w:szCs w:val="18"/>
                      <w:highlight w:val="none"/>
                      <w:lang w:val="en-US" w:eastAsia="zh-CN"/>
                    </w:rPr>
                    <w:t>3</w:t>
                  </w:r>
                  <w:r>
                    <w:rPr>
                      <w:rFonts w:hint="eastAsia" w:ascii="Times New Roman" w:hAnsi="Times New Roman" w:eastAsia="宋体" w:cs="Times New Roman"/>
                      <w:color w:val="auto"/>
                      <w:spacing w:val="-10"/>
                      <w:sz w:val="18"/>
                      <w:szCs w:val="18"/>
                      <w:highlight w:val="none"/>
                      <w:lang w:val="en-US" w:eastAsia="zh-CN"/>
                    </w:rPr>
                    <w:t>、地下水饮用水水源地优先保护区管控参照生态环境空间总体管控要求中地下水饮用水水源地保护区总体管控要求。</w:t>
                  </w:r>
                </w:p>
              </w:tc>
              <w:tc>
                <w:tcPr>
                  <w:tcW w:w="3525" w:type="dxa"/>
                  <w:gridSpan w:val="2"/>
                  <w:tcBorders>
                    <w:tl2br w:val="nil"/>
                    <w:tr2bl w:val="nil"/>
                  </w:tcBorders>
                  <w:vAlign w:val="center"/>
                </w:tcPr>
                <w:p w14:paraId="50CE315D">
                  <w:pPr>
                    <w:keepNext w:val="0"/>
                    <w:keepLines w:val="0"/>
                    <w:pageBreakBefore w:val="0"/>
                    <w:widowControl w:val="0"/>
                    <w:kinsoku/>
                    <w:wordWrap/>
                    <w:overflowPunct/>
                    <w:topLinePunct w:val="0"/>
                    <w:autoSpaceDE/>
                    <w:autoSpaceDN/>
                    <w:bidi w:val="0"/>
                    <w:adjustRightInd/>
                    <w:snapToGrid/>
                    <w:spacing w:line="240" w:lineRule="exact"/>
                    <w:ind w:firstLine="320" w:firstLineChars="200"/>
                    <w:jc w:val="left"/>
                    <w:textAlignment w:val="auto"/>
                    <w:rPr>
                      <w:rFonts w:hint="default" w:ascii="Times New Roman" w:hAnsi="Times New Roman" w:cs="Times New Roman"/>
                      <w:color w:val="auto"/>
                      <w:spacing w:val="-10"/>
                      <w:sz w:val="18"/>
                      <w:szCs w:val="18"/>
                      <w:highlight w:val="none"/>
                      <w:lang w:val="en-US" w:eastAsia="zh-CN"/>
                    </w:rPr>
                  </w:pPr>
                  <w:r>
                    <w:rPr>
                      <w:rFonts w:hint="eastAsia" w:ascii="Times New Roman" w:hAnsi="Times New Roman" w:cs="Times New Roman"/>
                      <w:color w:val="auto"/>
                      <w:spacing w:val="-10"/>
                      <w:sz w:val="18"/>
                      <w:szCs w:val="18"/>
                      <w:highlight w:val="none"/>
                      <w:lang w:val="en-US" w:eastAsia="zh-CN"/>
                    </w:rPr>
                    <w:t>2、3、本项目位于滦州市九百户镇宜安村西，不涉及地下水饮用水水源地建设项目。</w:t>
                  </w:r>
                </w:p>
              </w:tc>
              <w:tc>
                <w:tcPr>
                  <w:tcW w:w="750" w:type="dxa"/>
                  <w:tcBorders>
                    <w:tl2br w:val="nil"/>
                    <w:tr2bl w:val="nil"/>
                  </w:tcBorders>
                  <w:vAlign w:val="center"/>
                </w:tcPr>
                <w:p w14:paraId="2B62F1B4">
                  <w:pPr>
                    <w:spacing w:line="240" w:lineRule="exact"/>
                    <w:jc w:val="center"/>
                    <w:rPr>
                      <w:rFonts w:hint="default" w:ascii="Times New Roman" w:hAnsi="Times New Roman" w:cs="Times New Roman"/>
                      <w:color w:val="auto"/>
                      <w:spacing w:val="-10"/>
                      <w:sz w:val="18"/>
                      <w:szCs w:val="18"/>
                      <w:highlight w:val="none"/>
                      <w:lang w:val="en-US" w:eastAsia="zh-CN"/>
                    </w:rPr>
                  </w:pPr>
                  <w:r>
                    <w:rPr>
                      <w:rFonts w:hint="default" w:ascii="Times New Roman" w:hAnsi="Times New Roman" w:cs="Times New Roman"/>
                      <w:color w:val="auto"/>
                      <w:spacing w:val="-10"/>
                      <w:sz w:val="18"/>
                      <w:szCs w:val="18"/>
                      <w:highlight w:val="none"/>
                      <w:lang w:val="en-US" w:eastAsia="zh-CN"/>
                    </w:rPr>
                    <w:t>符合</w:t>
                  </w:r>
                </w:p>
              </w:tc>
            </w:tr>
            <w:tr w14:paraId="21D3300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87" w:type="dxa"/>
                  <w:vMerge w:val="continue"/>
                  <w:tcBorders>
                    <w:tl2br w:val="nil"/>
                    <w:tr2bl w:val="nil"/>
                  </w:tcBorders>
                  <w:vAlign w:val="center"/>
                </w:tcPr>
                <w:p w14:paraId="7E2BD9EF">
                  <w:pPr>
                    <w:spacing w:line="240" w:lineRule="exact"/>
                    <w:jc w:val="center"/>
                    <w:rPr>
                      <w:rFonts w:hint="default" w:ascii="Times New Roman" w:hAnsi="Times New Roman" w:cs="Times New Roman"/>
                      <w:color w:val="auto"/>
                      <w:spacing w:val="-10"/>
                      <w:sz w:val="18"/>
                      <w:szCs w:val="18"/>
                      <w:highlight w:val="none"/>
                      <w:lang w:val="en-US" w:eastAsia="zh-CN"/>
                    </w:rPr>
                  </w:pPr>
                </w:p>
              </w:tc>
              <w:tc>
                <w:tcPr>
                  <w:tcW w:w="1094" w:type="dxa"/>
                  <w:tcBorders>
                    <w:tl2br w:val="nil"/>
                    <w:tr2bl w:val="nil"/>
                  </w:tcBorders>
                  <w:vAlign w:val="center"/>
                </w:tcPr>
                <w:p w14:paraId="27931067">
                  <w:pPr>
                    <w:spacing w:line="240" w:lineRule="exact"/>
                    <w:jc w:val="center"/>
                    <w:rPr>
                      <w:rFonts w:hint="default" w:ascii="Times New Roman" w:hAnsi="Times New Roman" w:eastAsia="宋体" w:cs="Times New Roman"/>
                      <w:color w:val="auto"/>
                      <w:spacing w:val="-10"/>
                      <w:kern w:val="2"/>
                      <w:sz w:val="18"/>
                      <w:szCs w:val="18"/>
                      <w:highlight w:val="none"/>
                      <w:lang w:val="en-US" w:eastAsia="zh-CN" w:bidi="ar-SA"/>
                    </w:rPr>
                  </w:pPr>
                  <w:r>
                    <w:rPr>
                      <w:rFonts w:hint="default" w:ascii="Times New Roman" w:hAnsi="Times New Roman" w:cs="Times New Roman"/>
                      <w:color w:val="auto"/>
                      <w:spacing w:val="-10"/>
                      <w:sz w:val="18"/>
                      <w:szCs w:val="18"/>
                      <w:highlight w:val="none"/>
                      <w:lang w:val="en-US" w:eastAsia="zh-CN"/>
                    </w:rPr>
                    <w:t>污染物排放管控</w:t>
                  </w:r>
                </w:p>
              </w:tc>
              <w:tc>
                <w:tcPr>
                  <w:tcW w:w="5924" w:type="dxa"/>
                  <w:gridSpan w:val="2"/>
                  <w:tcBorders>
                    <w:tl2br w:val="nil"/>
                    <w:tr2bl w:val="nil"/>
                  </w:tcBorders>
                  <w:vAlign w:val="center"/>
                </w:tcPr>
                <w:p w14:paraId="7E6D729C">
                  <w:pPr>
                    <w:keepNext w:val="0"/>
                    <w:keepLines w:val="0"/>
                    <w:pageBreakBefore w:val="0"/>
                    <w:widowControl w:val="0"/>
                    <w:numPr>
                      <w:ilvl w:val="0"/>
                      <w:numId w:val="5"/>
                    </w:numPr>
                    <w:kinsoku/>
                    <w:wordWrap/>
                    <w:overflowPunct/>
                    <w:topLinePunct w:val="0"/>
                    <w:autoSpaceDE/>
                    <w:autoSpaceDN/>
                    <w:bidi w:val="0"/>
                    <w:adjustRightInd/>
                    <w:snapToGrid/>
                    <w:spacing w:line="240" w:lineRule="exact"/>
                    <w:ind w:firstLine="320" w:firstLineChars="200"/>
                    <w:jc w:val="left"/>
                    <w:textAlignment w:val="auto"/>
                    <w:rPr>
                      <w:rFonts w:hint="eastAsia" w:ascii="Times New Roman" w:hAnsi="Times New Roman" w:eastAsia="宋体" w:cs="Times New Roman"/>
                      <w:color w:val="auto"/>
                      <w:spacing w:val="-10"/>
                      <w:sz w:val="18"/>
                      <w:szCs w:val="18"/>
                      <w:highlight w:val="none"/>
                      <w:lang w:val="en-US" w:eastAsia="zh-CN"/>
                    </w:rPr>
                  </w:pPr>
                  <w:r>
                    <w:rPr>
                      <w:rFonts w:hint="eastAsia" w:ascii="Times New Roman" w:hAnsi="Times New Roman" w:eastAsia="宋体" w:cs="Times New Roman"/>
                      <w:color w:val="auto"/>
                      <w:spacing w:val="-10"/>
                      <w:sz w:val="18"/>
                      <w:szCs w:val="18"/>
                      <w:highlight w:val="none"/>
                      <w:lang w:val="en-US" w:eastAsia="zh-CN"/>
                    </w:rPr>
                    <w:t>严禁将污泥直接用作肥料，禁止不达标污泥就地堆放，结合污泥处理设施升级改造，逐步取消原生污泥简易填埋等不符合环保要求的处置方式。鼓励利用水泥厂等工业窑炉，开展污泥协同焚烧处置</w:t>
                  </w:r>
                  <w:r>
                    <w:rPr>
                      <w:rFonts w:hint="eastAsia" w:ascii="Times New Roman" w:hAnsi="Times New Roman" w:cs="Times New Roman"/>
                      <w:color w:val="auto"/>
                      <w:spacing w:val="-10"/>
                      <w:sz w:val="18"/>
                      <w:szCs w:val="18"/>
                      <w:highlight w:val="none"/>
                      <w:lang w:val="en-US" w:eastAsia="zh-CN"/>
                    </w:rPr>
                    <w:t>。</w:t>
                  </w:r>
                </w:p>
                <w:p w14:paraId="42095A37">
                  <w:pPr>
                    <w:keepNext w:val="0"/>
                    <w:keepLines w:val="0"/>
                    <w:pageBreakBefore w:val="0"/>
                    <w:widowControl w:val="0"/>
                    <w:numPr>
                      <w:ilvl w:val="0"/>
                      <w:numId w:val="5"/>
                    </w:numPr>
                    <w:kinsoku/>
                    <w:wordWrap/>
                    <w:overflowPunct/>
                    <w:topLinePunct w:val="0"/>
                    <w:autoSpaceDE/>
                    <w:autoSpaceDN/>
                    <w:bidi w:val="0"/>
                    <w:adjustRightInd/>
                    <w:snapToGrid/>
                    <w:spacing w:line="240" w:lineRule="exact"/>
                    <w:ind w:firstLine="320" w:firstLineChars="200"/>
                    <w:jc w:val="left"/>
                    <w:textAlignment w:val="auto"/>
                    <w:rPr>
                      <w:rFonts w:hint="eastAsia" w:ascii="Times New Roman" w:hAnsi="Times New Roman" w:eastAsia="宋体" w:cs="Times New Roman"/>
                      <w:color w:val="auto"/>
                      <w:spacing w:val="-10"/>
                      <w:sz w:val="18"/>
                      <w:szCs w:val="18"/>
                      <w:highlight w:val="none"/>
                      <w:lang w:val="en-US" w:eastAsia="zh-CN"/>
                    </w:rPr>
                  </w:pPr>
                  <w:r>
                    <w:rPr>
                      <w:rFonts w:hint="eastAsia" w:ascii="Times New Roman" w:hAnsi="Times New Roman" w:eastAsia="宋体" w:cs="Times New Roman"/>
                      <w:color w:val="auto"/>
                      <w:spacing w:val="-10"/>
                      <w:sz w:val="18"/>
                      <w:szCs w:val="18"/>
                      <w:highlight w:val="none"/>
                      <w:lang w:val="en-US" w:eastAsia="zh-CN"/>
                    </w:rPr>
                    <w:t>严格落实总量控制制度，减少重金属污染物排放。新、改、扩建涉重金属重点行业建设项目，污染物排放实施等量或倍量替换，对重金属排放量继续上升的地区，暂停审批新增重金属污染物排放的建设项目。加大减排项目督导力度，确保项目按期实施。</w:t>
                  </w:r>
                </w:p>
                <w:p w14:paraId="01EEB1B2">
                  <w:pPr>
                    <w:keepNext w:val="0"/>
                    <w:keepLines w:val="0"/>
                    <w:pageBreakBefore w:val="0"/>
                    <w:widowControl w:val="0"/>
                    <w:numPr>
                      <w:ilvl w:val="0"/>
                      <w:numId w:val="0"/>
                    </w:numPr>
                    <w:kinsoku/>
                    <w:wordWrap/>
                    <w:overflowPunct/>
                    <w:topLinePunct w:val="0"/>
                    <w:autoSpaceDE/>
                    <w:autoSpaceDN/>
                    <w:bidi w:val="0"/>
                    <w:adjustRightInd/>
                    <w:snapToGrid/>
                    <w:spacing w:line="240" w:lineRule="exact"/>
                    <w:ind w:firstLine="320" w:firstLineChars="200"/>
                    <w:jc w:val="left"/>
                    <w:textAlignment w:val="auto"/>
                    <w:rPr>
                      <w:rFonts w:hint="eastAsia" w:ascii="Times New Roman" w:hAnsi="Times New Roman" w:eastAsia="宋体" w:cs="Times New Roman"/>
                      <w:color w:val="auto"/>
                      <w:spacing w:val="-10"/>
                      <w:sz w:val="18"/>
                      <w:szCs w:val="18"/>
                      <w:highlight w:val="none"/>
                      <w:lang w:val="en-US" w:eastAsia="zh-CN"/>
                    </w:rPr>
                  </w:pPr>
                  <w:r>
                    <w:rPr>
                      <w:rFonts w:hint="default" w:ascii="Times New Roman" w:hAnsi="Times New Roman" w:eastAsia="宋体" w:cs="Times New Roman"/>
                      <w:color w:val="auto"/>
                      <w:spacing w:val="-10"/>
                      <w:sz w:val="18"/>
                      <w:szCs w:val="18"/>
                      <w:highlight w:val="none"/>
                      <w:lang w:val="en-US" w:eastAsia="zh-CN"/>
                    </w:rPr>
                    <w:t>3</w:t>
                  </w:r>
                  <w:r>
                    <w:rPr>
                      <w:rFonts w:hint="eastAsia" w:ascii="Times New Roman" w:hAnsi="Times New Roman" w:eastAsia="宋体" w:cs="Times New Roman"/>
                      <w:color w:val="auto"/>
                      <w:spacing w:val="-10"/>
                      <w:sz w:val="18"/>
                      <w:szCs w:val="18"/>
                      <w:highlight w:val="none"/>
                      <w:lang w:val="en-US" w:eastAsia="zh-CN"/>
                    </w:rPr>
                    <w:t>、严格危险废物经营许可审批，加强危险废物处置单位规范化管理核查。统筹推进危险废物利用处置能力建设，加快补齐利用处置设施短板。积极推进重点监管源智能监控体系建设，加大危险废物产生、贮存、转运、利用、处置全流程监管力度。规范和完善医疗废物分类收集处置体系。</w:t>
                  </w:r>
                </w:p>
                <w:p w14:paraId="305553F9">
                  <w:pPr>
                    <w:keepNext w:val="0"/>
                    <w:keepLines w:val="0"/>
                    <w:pageBreakBefore w:val="0"/>
                    <w:widowControl w:val="0"/>
                    <w:numPr>
                      <w:ilvl w:val="0"/>
                      <w:numId w:val="0"/>
                    </w:numPr>
                    <w:kinsoku/>
                    <w:wordWrap/>
                    <w:overflowPunct/>
                    <w:topLinePunct w:val="0"/>
                    <w:autoSpaceDE/>
                    <w:autoSpaceDN/>
                    <w:bidi w:val="0"/>
                    <w:adjustRightInd/>
                    <w:snapToGrid/>
                    <w:spacing w:line="240" w:lineRule="exact"/>
                    <w:ind w:firstLine="320" w:firstLineChars="200"/>
                    <w:jc w:val="left"/>
                    <w:textAlignment w:val="auto"/>
                    <w:rPr>
                      <w:rFonts w:hint="eastAsia" w:ascii="Times New Roman" w:hAnsi="Times New Roman" w:eastAsia="宋体" w:cs="Times New Roman"/>
                      <w:color w:val="auto"/>
                      <w:spacing w:val="-10"/>
                      <w:sz w:val="18"/>
                      <w:szCs w:val="18"/>
                      <w:highlight w:val="none"/>
                      <w:lang w:val="en-US" w:eastAsia="zh-CN"/>
                    </w:rPr>
                  </w:pPr>
                  <w:r>
                    <w:rPr>
                      <w:rFonts w:hint="default" w:ascii="Times New Roman" w:hAnsi="Times New Roman" w:eastAsia="宋体" w:cs="Times New Roman"/>
                      <w:color w:val="auto"/>
                      <w:spacing w:val="-10"/>
                      <w:sz w:val="18"/>
                      <w:szCs w:val="18"/>
                      <w:highlight w:val="none"/>
                      <w:lang w:val="en-US" w:eastAsia="zh-CN"/>
                    </w:rPr>
                    <w:t>4</w:t>
                  </w:r>
                  <w:r>
                    <w:rPr>
                      <w:rFonts w:hint="eastAsia" w:ascii="Times New Roman" w:hAnsi="Times New Roman" w:eastAsia="宋体" w:cs="Times New Roman"/>
                      <w:color w:val="auto"/>
                      <w:spacing w:val="-10"/>
                      <w:sz w:val="18"/>
                      <w:szCs w:val="18"/>
                      <w:highlight w:val="none"/>
                      <w:lang w:val="en-US" w:eastAsia="zh-CN"/>
                    </w:rPr>
                    <w:t xml:space="preserve">、建设和运行固体废物处置设施，应当采取防扬散、防流失、防渗漏等措施，依法贮存、利用、处置固体废物。处置生活垃圾，应当优先采用焚烧处理技术，有计划地实现垃圾零填埋，已有的垃圾填埋处置设施应当建设渗滤液收集和处理、处置设施，并采取相应措施防止土壤污染。 </w:t>
                  </w:r>
                </w:p>
                <w:p w14:paraId="02EB8AE9">
                  <w:pPr>
                    <w:keepNext w:val="0"/>
                    <w:keepLines w:val="0"/>
                    <w:pageBreakBefore w:val="0"/>
                    <w:widowControl w:val="0"/>
                    <w:numPr>
                      <w:ilvl w:val="0"/>
                      <w:numId w:val="0"/>
                    </w:numPr>
                    <w:kinsoku/>
                    <w:wordWrap/>
                    <w:overflowPunct/>
                    <w:topLinePunct w:val="0"/>
                    <w:autoSpaceDE/>
                    <w:autoSpaceDN/>
                    <w:bidi w:val="0"/>
                    <w:adjustRightInd/>
                    <w:snapToGrid/>
                    <w:spacing w:line="240" w:lineRule="exact"/>
                    <w:ind w:firstLine="320" w:firstLineChars="200"/>
                    <w:jc w:val="left"/>
                    <w:textAlignment w:val="auto"/>
                    <w:rPr>
                      <w:rFonts w:hint="default" w:ascii="Times New Roman" w:hAnsi="Times New Roman" w:eastAsia="仿宋_GB2312" w:cs="方正小标宋简体"/>
                      <w:color w:val="auto"/>
                      <w:kern w:val="0"/>
                      <w:sz w:val="32"/>
                      <w:szCs w:val="44"/>
                      <w:highlight w:val="none"/>
                      <w:lang w:val="en-US" w:eastAsia="zh-CN" w:bidi="ar-SA"/>
                    </w:rPr>
                  </w:pPr>
                  <w:r>
                    <w:rPr>
                      <w:rFonts w:hint="default" w:ascii="Times New Roman" w:hAnsi="Times New Roman" w:eastAsia="宋体" w:cs="Times New Roman"/>
                      <w:color w:val="auto"/>
                      <w:spacing w:val="-10"/>
                      <w:sz w:val="18"/>
                      <w:szCs w:val="18"/>
                      <w:highlight w:val="none"/>
                      <w:lang w:val="en-US" w:eastAsia="zh-CN"/>
                    </w:rPr>
                    <w:t>5</w:t>
                  </w:r>
                  <w:r>
                    <w:rPr>
                      <w:rFonts w:hint="eastAsia" w:ascii="Times New Roman" w:hAnsi="Times New Roman" w:eastAsia="宋体" w:cs="Times New Roman"/>
                      <w:color w:val="auto"/>
                      <w:spacing w:val="-10"/>
                      <w:sz w:val="18"/>
                      <w:szCs w:val="18"/>
                      <w:highlight w:val="none"/>
                      <w:lang w:val="en-US" w:eastAsia="zh-CN"/>
                    </w:rPr>
                    <w:t>、严格危险废物源头管控，优化利用处置结构布局，提高应急保障能力。发展生态循环农业，提升农业废弃物综合利用率。健全完善制度、技术、市场、监管四大政策体系，实现固体废物和危险废物全链条监管。</w:t>
                  </w:r>
                </w:p>
              </w:tc>
              <w:tc>
                <w:tcPr>
                  <w:tcW w:w="3520" w:type="dxa"/>
                  <w:tcBorders>
                    <w:tl2br w:val="nil"/>
                    <w:tr2bl w:val="nil"/>
                  </w:tcBorders>
                  <w:vAlign w:val="center"/>
                </w:tcPr>
                <w:p w14:paraId="269013EA">
                  <w:pPr>
                    <w:keepNext w:val="0"/>
                    <w:keepLines w:val="0"/>
                    <w:pageBreakBefore w:val="0"/>
                    <w:widowControl w:val="0"/>
                    <w:kinsoku/>
                    <w:wordWrap/>
                    <w:overflowPunct/>
                    <w:topLinePunct w:val="0"/>
                    <w:autoSpaceDE/>
                    <w:autoSpaceDN/>
                    <w:bidi w:val="0"/>
                    <w:adjustRightInd/>
                    <w:snapToGrid/>
                    <w:spacing w:line="240" w:lineRule="exact"/>
                    <w:ind w:firstLine="320" w:firstLineChars="200"/>
                    <w:jc w:val="left"/>
                    <w:textAlignment w:val="auto"/>
                    <w:rPr>
                      <w:rFonts w:hint="eastAsia" w:ascii="Times New Roman" w:hAnsi="Times New Roman" w:eastAsia="宋体" w:cs="Times New Roman"/>
                      <w:color w:val="auto"/>
                      <w:spacing w:val="-10"/>
                      <w:sz w:val="18"/>
                      <w:szCs w:val="18"/>
                      <w:highlight w:val="none"/>
                      <w:lang w:val="en-US" w:eastAsia="zh-CN"/>
                    </w:rPr>
                  </w:pPr>
                  <w:r>
                    <w:rPr>
                      <w:rFonts w:hint="eastAsia" w:cs="Times New Roman"/>
                      <w:color w:val="auto"/>
                      <w:spacing w:val="-10"/>
                      <w:sz w:val="18"/>
                      <w:szCs w:val="18"/>
                      <w:highlight w:val="none"/>
                      <w:lang w:val="en-US" w:eastAsia="zh-CN"/>
                    </w:rPr>
                    <w:t>1、本项目洗车平台沉淀池及污水沉淀池产生的污泥、板框压滤机产生的泥饼收集后</w:t>
                  </w:r>
                  <w:r>
                    <w:rPr>
                      <w:rFonts w:hint="eastAsia" w:ascii="Times New Roman" w:hAnsi="Times New Roman" w:eastAsia="宋体" w:cs="Times New Roman"/>
                      <w:color w:val="auto"/>
                      <w:spacing w:val="-10"/>
                      <w:sz w:val="18"/>
                      <w:szCs w:val="18"/>
                      <w:highlight w:val="none"/>
                      <w:lang w:val="en-US" w:eastAsia="zh-CN"/>
                    </w:rPr>
                    <w:t>外售制砖厂进行制砖。</w:t>
                  </w:r>
                </w:p>
                <w:p w14:paraId="65672B8B">
                  <w:pPr>
                    <w:keepNext w:val="0"/>
                    <w:keepLines w:val="0"/>
                    <w:pageBreakBefore w:val="0"/>
                    <w:widowControl w:val="0"/>
                    <w:kinsoku/>
                    <w:wordWrap/>
                    <w:overflowPunct/>
                    <w:topLinePunct w:val="0"/>
                    <w:autoSpaceDE/>
                    <w:autoSpaceDN/>
                    <w:bidi w:val="0"/>
                    <w:adjustRightInd/>
                    <w:snapToGrid/>
                    <w:spacing w:line="240" w:lineRule="exact"/>
                    <w:ind w:firstLine="320" w:firstLineChars="200"/>
                    <w:jc w:val="left"/>
                    <w:textAlignment w:val="auto"/>
                    <w:rPr>
                      <w:rFonts w:hint="eastAsia" w:cs="Times New Roman"/>
                      <w:color w:val="auto"/>
                      <w:spacing w:val="-10"/>
                      <w:sz w:val="18"/>
                      <w:szCs w:val="18"/>
                      <w:highlight w:val="none"/>
                      <w:lang w:val="en-US" w:eastAsia="zh-CN"/>
                    </w:rPr>
                  </w:pPr>
                  <w:r>
                    <w:rPr>
                      <w:rFonts w:hint="eastAsia" w:ascii="Times New Roman" w:hAnsi="Times New Roman" w:eastAsia="宋体" w:cs="Times New Roman"/>
                      <w:color w:val="auto"/>
                      <w:spacing w:val="-10"/>
                      <w:sz w:val="18"/>
                      <w:szCs w:val="18"/>
                      <w:highlight w:val="none"/>
                      <w:lang w:val="en-US" w:eastAsia="zh-CN"/>
                    </w:rPr>
                    <w:t>2、本项目不属于涉重金属重点行业建设项目。</w:t>
                  </w:r>
                </w:p>
                <w:p w14:paraId="2E0381EB">
                  <w:pPr>
                    <w:keepNext w:val="0"/>
                    <w:keepLines w:val="0"/>
                    <w:pageBreakBefore w:val="0"/>
                    <w:widowControl w:val="0"/>
                    <w:kinsoku/>
                    <w:wordWrap/>
                    <w:overflowPunct/>
                    <w:topLinePunct w:val="0"/>
                    <w:autoSpaceDE/>
                    <w:autoSpaceDN/>
                    <w:bidi w:val="0"/>
                    <w:adjustRightInd/>
                    <w:snapToGrid/>
                    <w:spacing w:line="240" w:lineRule="exact"/>
                    <w:ind w:firstLine="320" w:firstLineChars="200"/>
                    <w:jc w:val="left"/>
                    <w:textAlignment w:val="auto"/>
                    <w:rPr>
                      <w:rFonts w:hint="default" w:ascii="Times New Roman" w:hAnsi="Times New Roman" w:eastAsia="宋体" w:cs="Times New Roman"/>
                      <w:color w:val="auto"/>
                      <w:spacing w:val="-10"/>
                      <w:sz w:val="18"/>
                      <w:szCs w:val="18"/>
                      <w:highlight w:val="none"/>
                      <w:lang w:val="en-US" w:eastAsia="zh-CN"/>
                    </w:rPr>
                  </w:pPr>
                  <w:r>
                    <w:rPr>
                      <w:rFonts w:hint="eastAsia" w:cs="Times New Roman"/>
                      <w:color w:val="auto"/>
                      <w:spacing w:val="-10"/>
                      <w:sz w:val="18"/>
                      <w:szCs w:val="18"/>
                      <w:highlight w:val="none"/>
                      <w:lang w:val="en-US" w:eastAsia="zh-CN"/>
                    </w:rPr>
                    <w:t>3</w:t>
                  </w:r>
                  <w:r>
                    <w:rPr>
                      <w:rFonts w:hint="eastAsia" w:ascii="Times New Roman" w:hAnsi="Times New Roman" w:eastAsia="宋体" w:cs="Times New Roman"/>
                      <w:color w:val="auto"/>
                      <w:spacing w:val="-10"/>
                      <w:sz w:val="18"/>
                      <w:szCs w:val="18"/>
                      <w:highlight w:val="none"/>
                      <w:lang w:val="en-US" w:eastAsia="zh-CN"/>
                    </w:rPr>
                    <w:t>、</w:t>
                  </w:r>
                  <w:r>
                    <w:rPr>
                      <w:rFonts w:hint="default" w:ascii="Times New Roman" w:hAnsi="Times New Roman" w:eastAsia="宋体" w:cs="Times New Roman"/>
                      <w:color w:val="auto"/>
                      <w:spacing w:val="-10"/>
                      <w:sz w:val="18"/>
                      <w:szCs w:val="18"/>
                      <w:highlight w:val="none"/>
                      <w:lang w:val="en-US" w:eastAsia="zh-CN"/>
                    </w:rPr>
                    <w:t>项目</w:t>
                  </w:r>
                  <w:r>
                    <w:rPr>
                      <w:rFonts w:hint="eastAsia" w:ascii="Times New Roman" w:hAnsi="Times New Roman" w:eastAsia="宋体" w:cs="Times New Roman"/>
                      <w:color w:val="auto"/>
                      <w:spacing w:val="-10"/>
                      <w:sz w:val="18"/>
                      <w:szCs w:val="18"/>
                      <w:highlight w:val="none"/>
                      <w:lang w:val="en-US" w:eastAsia="zh-CN"/>
                    </w:rPr>
                    <w:t>产生的危险废物暂存于危险废物暂存间内，定期交有资质单位运输、处置</w:t>
                  </w:r>
                  <w:r>
                    <w:rPr>
                      <w:rFonts w:hint="eastAsia" w:cs="Times New Roman"/>
                      <w:color w:val="auto"/>
                      <w:spacing w:val="-10"/>
                      <w:sz w:val="18"/>
                      <w:szCs w:val="18"/>
                      <w:highlight w:val="none"/>
                      <w:lang w:val="en-US" w:eastAsia="zh-CN"/>
                    </w:rPr>
                    <w:t>。</w:t>
                  </w:r>
                </w:p>
                <w:p w14:paraId="43EA00D8">
                  <w:pPr>
                    <w:keepNext w:val="0"/>
                    <w:keepLines w:val="0"/>
                    <w:pageBreakBefore w:val="0"/>
                    <w:widowControl w:val="0"/>
                    <w:kinsoku/>
                    <w:wordWrap/>
                    <w:overflowPunct/>
                    <w:topLinePunct w:val="0"/>
                    <w:autoSpaceDE/>
                    <w:autoSpaceDN/>
                    <w:bidi w:val="0"/>
                    <w:adjustRightInd/>
                    <w:snapToGrid/>
                    <w:spacing w:line="240" w:lineRule="exact"/>
                    <w:ind w:firstLine="320" w:firstLineChars="200"/>
                    <w:jc w:val="left"/>
                    <w:textAlignment w:val="auto"/>
                    <w:rPr>
                      <w:rFonts w:hint="eastAsia" w:ascii="Times New Roman" w:hAnsi="Times New Roman" w:eastAsia="宋体" w:cs="Times New Roman"/>
                      <w:color w:val="auto"/>
                      <w:spacing w:val="-10"/>
                      <w:sz w:val="18"/>
                      <w:szCs w:val="18"/>
                      <w:highlight w:val="yellow"/>
                      <w:lang w:val="en-US" w:eastAsia="zh-CN"/>
                    </w:rPr>
                  </w:pPr>
                  <w:r>
                    <w:rPr>
                      <w:rFonts w:hint="eastAsia" w:cs="Times New Roman"/>
                      <w:color w:val="auto"/>
                      <w:spacing w:val="-10"/>
                      <w:sz w:val="18"/>
                      <w:szCs w:val="18"/>
                      <w:highlight w:val="none"/>
                      <w:lang w:val="en-US" w:eastAsia="zh-CN"/>
                    </w:rPr>
                    <w:t>4</w:t>
                  </w:r>
                  <w:r>
                    <w:rPr>
                      <w:rFonts w:hint="eastAsia" w:ascii="Times New Roman" w:hAnsi="Times New Roman" w:eastAsia="宋体" w:cs="Times New Roman"/>
                      <w:color w:val="auto"/>
                      <w:spacing w:val="-10"/>
                      <w:sz w:val="18"/>
                      <w:szCs w:val="18"/>
                      <w:highlight w:val="none"/>
                      <w:lang w:val="en-US" w:eastAsia="zh-CN"/>
                    </w:rPr>
                    <w:t>、</w:t>
                  </w:r>
                  <w:r>
                    <w:rPr>
                      <w:rFonts w:hint="default" w:ascii="Times New Roman" w:hAnsi="Times New Roman" w:eastAsia="宋体" w:cs="Times New Roman"/>
                      <w:color w:val="auto"/>
                      <w:spacing w:val="-10"/>
                      <w:sz w:val="18"/>
                      <w:szCs w:val="18"/>
                      <w:highlight w:val="none"/>
                      <w:lang w:val="en-US" w:eastAsia="zh-CN"/>
                    </w:rPr>
                    <w:t>本项目为</w:t>
                  </w:r>
                  <w:r>
                    <w:rPr>
                      <w:rFonts w:hint="eastAsia" w:ascii="Times New Roman" w:hAnsi="Times New Roman" w:eastAsia="宋体" w:cs="Times New Roman"/>
                      <w:color w:val="auto"/>
                      <w:spacing w:val="-10"/>
                      <w:sz w:val="18"/>
                      <w:szCs w:val="18"/>
                      <w:highlight w:val="none"/>
                      <w:lang w:val="en-US" w:eastAsia="zh-CN"/>
                    </w:rPr>
                    <w:t>C4210金属废料和碎屑加工处理</w:t>
                  </w:r>
                  <w:r>
                    <w:rPr>
                      <w:rFonts w:hint="eastAsia" w:ascii="Times New Roman" w:hAnsi="Times New Roman" w:eastAsia="宋体" w:cs="Times New Roman"/>
                      <w:bCs/>
                      <w:color w:val="auto"/>
                      <w:spacing w:val="-11"/>
                      <w:kern w:val="0"/>
                      <w:sz w:val="18"/>
                      <w:szCs w:val="18"/>
                      <w:highlight w:val="none"/>
                      <w:lang w:val="en-US" w:eastAsia="zh-CN"/>
                    </w:rPr>
                    <w:t>及C4220非金属废料和碎屑加工处理</w:t>
                  </w:r>
                  <w:r>
                    <w:rPr>
                      <w:rFonts w:hint="eastAsia" w:ascii="Times New Roman" w:hAnsi="Times New Roman" w:eastAsia="宋体" w:cs="Times New Roman"/>
                      <w:color w:val="auto"/>
                      <w:spacing w:val="-10"/>
                      <w:sz w:val="18"/>
                      <w:szCs w:val="18"/>
                      <w:highlight w:val="none"/>
                      <w:lang w:val="en-US" w:eastAsia="zh-CN"/>
                    </w:rPr>
                    <w:t>，主要原料为钢渣、废钢破碎尾料，项目的实施提升了滦州市大宗固体废物综合利用能力；项目一般固废</w:t>
                  </w:r>
                  <w:r>
                    <w:rPr>
                      <w:rFonts w:hint="eastAsia" w:cs="Times New Roman"/>
                      <w:color w:val="auto"/>
                      <w:spacing w:val="-10"/>
                      <w:sz w:val="18"/>
                      <w:szCs w:val="18"/>
                      <w:highlight w:val="none"/>
                      <w:lang w:val="en-US" w:eastAsia="zh-CN"/>
                    </w:rPr>
                    <w:t>污泥</w:t>
                  </w:r>
                  <w:r>
                    <w:rPr>
                      <w:rFonts w:hint="eastAsia" w:ascii="Times New Roman" w:hAnsi="Times New Roman" w:eastAsia="宋体" w:cs="Times New Roman"/>
                      <w:color w:val="auto"/>
                      <w:spacing w:val="-10"/>
                      <w:sz w:val="18"/>
                      <w:szCs w:val="18"/>
                      <w:highlight w:val="none"/>
                      <w:lang w:val="en-US" w:eastAsia="zh-CN"/>
                    </w:rPr>
                    <w:t>、废包装袋、废钢球、废滤布、废布袋、除尘灰、沉降灰暂存于生产车间内的一般固废暂存区，泥饼暂存于压滤机底部污泥存储料斗，棉絮、泡沫等废料</w:t>
                  </w:r>
                  <w:r>
                    <w:rPr>
                      <w:rFonts w:hint="eastAsia"/>
                      <w:color w:val="auto"/>
                      <w:spacing w:val="-10"/>
                      <w:sz w:val="18"/>
                      <w:szCs w:val="18"/>
                      <w:highlight w:val="none"/>
                      <w:lang w:val="en-US" w:eastAsia="zh-CN"/>
                    </w:rPr>
                    <w:t>暂存于</w:t>
                  </w:r>
                  <w:r>
                    <w:rPr>
                      <w:rFonts w:hint="eastAsia" w:ascii="Times New Roman" w:hAnsi="Times New Roman" w:eastAsia="宋体" w:cs="Times New Roman"/>
                      <w:color w:val="auto"/>
                      <w:spacing w:val="-10"/>
                      <w:sz w:val="18"/>
                      <w:szCs w:val="18"/>
                      <w:highlight w:val="none"/>
                      <w:lang w:val="en-US" w:eastAsia="zh-CN"/>
                    </w:rPr>
                    <w:t>棉絮、泡沫暂存区</w:t>
                  </w:r>
                  <w:r>
                    <w:rPr>
                      <w:rFonts w:hint="eastAsia" w:cs="Times New Roman"/>
                      <w:color w:val="auto"/>
                      <w:spacing w:val="-10"/>
                      <w:sz w:val="18"/>
                      <w:szCs w:val="18"/>
                      <w:highlight w:val="none"/>
                      <w:lang w:val="en-US" w:eastAsia="zh-CN"/>
                    </w:rPr>
                    <w:t>，</w:t>
                  </w:r>
                  <w:r>
                    <w:rPr>
                      <w:rFonts w:hint="eastAsia" w:ascii="Times New Roman" w:hAnsi="Times New Roman" w:eastAsia="宋体" w:cs="Times New Roman"/>
                      <w:color w:val="auto"/>
                      <w:spacing w:val="-10"/>
                      <w:sz w:val="18"/>
                      <w:szCs w:val="18"/>
                      <w:highlight w:val="none"/>
                      <w:lang w:val="en-US" w:eastAsia="zh-CN"/>
                    </w:rPr>
                    <w:t>海绵、木屑等废料</w:t>
                  </w:r>
                  <w:r>
                    <w:rPr>
                      <w:rFonts w:hint="eastAsia"/>
                      <w:color w:val="auto"/>
                      <w:spacing w:val="-10"/>
                      <w:sz w:val="18"/>
                      <w:szCs w:val="18"/>
                      <w:highlight w:val="none"/>
                      <w:lang w:val="en-US" w:eastAsia="zh-CN"/>
                    </w:rPr>
                    <w:t>暂存于3</w:t>
                  </w:r>
                  <w:r>
                    <w:rPr>
                      <w:rFonts w:hint="eastAsia"/>
                      <w:color w:val="auto"/>
                      <w:spacing w:val="-10"/>
                      <w:sz w:val="18"/>
                      <w:szCs w:val="18"/>
                      <w:highlight w:val="none"/>
                      <w:vertAlign w:val="superscript"/>
                      <w:lang w:val="en-US" w:eastAsia="zh-CN"/>
                    </w:rPr>
                    <w:t>#</w:t>
                  </w:r>
                  <w:r>
                    <w:rPr>
                      <w:rFonts w:hint="eastAsia"/>
                      <w:color w:val="auto"/>
                      <w:spacing w:val="-10"/>
                      <w:sz w:val="18"/>
                      <w:szCs w:val="18"/>
                      <w:highlight w:val="none"/>
                      <w:lang w:val="en-US" w:eastAsia="zh-CN"/>
                    </w:rPr>
                    <w:t>储料池内</w:t>
                  </w:r>
                  <w:r>
                    <w:rPr>
                      <w:rFonts w:hint="eastAsia" w:ascii="Times New Roman" w:hAnsi="Times New Roman" w:eastAsia="宋体" w:cs="Times New Roman"/>
                      <w:color w:val="auto"/>
                      <w:spacing w:val="-10"/>
                      <w:sz w:val="18"/>
                      <w:szCs w:val="18"/>
                      <w:highlight w:val="none"/>
                      <w:lang w:val="en-US" w:eastAsia="zh-CN"/>
                    </w:rPr>
                    <w:t>，</w:t>
                  </w:r>
                  <w:r>
                    <w:rPr>
                      <w:rFonts w:hint="eastAsia" w:cs="Times New Roman"/>
                      <w:color w:val="auto"/>
                      <w:spacing w:val="-10"/>
                      <w:sz w:val="18"/>
                      <w:szCs w:val="18"/>
                      <w:highlight w:val="none"/>
                      <w:lang w:val="en-US" w:eastAsia="zh-CN"/>
                    </w:rPr>
                    <w:t>废土暂存于废土暂存区，</w:t>
                  </w:r>
                  <w:r>
                    <w:rPr>
                      <w:rFonts w:hint="eastAsia" w:ascii="Times New Roman" w:hAnsi="Times New Roman" w:eastAsia="宋体" w:cs="Times New Roman"/>
                      <w:color w:val="auto"/>
                      <w:spacing w:val="-10"/>
                      <w:sz w:val="18"/>
                      <w:szCs w:val="18"/>
                      <w:highlight w:val="none"/>
                      <w:lang w:val="en-US" w:eastAsia="zh-CN"/>
                    </w:rPr>
                    <w:t>一般固废均综合利用；危险废物暂存于危险废物暂存间内，委托有资质单位运输、处置；生活垃圾暂存于垃圾桶内，由环卫部门统一处理；项目原料储存于生产车间内的原料暂存区。同时项目采取了严格的防扬散、防流失、防渗漏措施。</w:t>
                  </w:r>
                </w:p>
                <w:p w14:paraId="5F307BF1">
                  <w:pPr>
                    <w:keepNext w:val="0"/>
                    <w:keepLines w:val="0"/>
                    <w:pageBreakBefore w:val="0"/>
                    <w:widowControl w:val="0"/>
                    <w:kinsoku/>
                    <w:wordWrap/>
                    <w:overflowPunct/>
                    <w:topLinePunct w:val="0"/>
                    <w:autoSpaceDE/>
                    <w:autoSpaceDN/>
                    <w:bidi w:val="0"/>
                    <w:adjustRightInd/>
                    <w:snapToGrid/>
                    <w:spacing w:line="240" w:lineRule="exact"/>
                    <w:ind w:firstLine="320" w:firstLineChars="200"/>
                    <w:jc w:val="left"/>
                    <w:textAlignment w:val="auto"/>
                    <w:rPr>
                      <w:rFonts w:hint="default" w:ascii="Times New Roman" w:hAnsi="Times New Roman" w:eastAsia="宋体" w:cs="Times New Roman"/>
                      <w:color w:val="auto"/>
                      <w:kern w:val="2"/>
                      <w:sz w:val="21"/>
                      <w:szCs w:val="24"/>
                      <w:highlight w:val="none"/>
                      <w:lang w:val="en-US" w:eastAsia="zh-CN" w:bidi="ar-SA"/>
                    </w:rPr>
                  </w:pPr>
                  <w:r>
                    <w:rPr>
                      <w:rFonts w:hint="eastAsia" w:cs="Times New Roman"/>
                      <w:color w:val="auto"/>
                      <w:spacing w:val="-10"/>
                      <w:sz w:val="18"/>
                      <w:szCs w:val="18"/>
                      <w:highlight w:val="none"/>
                      <w:lang w:val="en-US" w:eastAsia="zh-CN"/>
                    </w:rPr>
                    <w:t>5、本项目不涉及</w:t>
                  </w:r>
                  <w:r>
                    <w:rPr>
                      <w:rFonts w:hint="eastAsia" w:ascii="Times New Roman" w:hAnsi="Times New Roman" w:eastAsia="宋体" w:cs="Times New Roman"/>
                      <w:color w:val="auto"/>
                      <w:spacing w:val="-10"/>
                      <w:sz w:val="18"/>
                      <w:szCs w:val="18"/>
                      <w:highlight w:val="none"/>
                      <w:lang w:val="en-US" w:eastAsia="zh-CN"/>
                    </w:rPr>
                    <w:t>。</w:t>
                  </w:r>
                </w:p>
              </w:tc>
              <w:tc>
                <w:tcPr>
                  <w:tcW w:w="750" w:type="dxa"/>
                  <w:tcBorders>
                    <w:tl2br w:val="nil"/>
                    <w:tr2bl w:val="nil"/>
                  </w:tcBorders>
                  <w:vAlign w:val="center"/>
                </w:tcPr>
                <w:p w14:paraId="368B7502">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pacing w:val="-10"/>
                      <w:kern w:val="2"/>
                      <w:sz w:val="18"/>
                      <w:szCs w:val="18"/>
                      <w:highlight w:val="none"/>
                      <w:lang w:val="en-US" w:eastAsia="zh-CN" w:bidi="ar-SA"/>
                    </w:rPr>
                  </w:pPr>
                  <w:r>
                    <w:rPr>
                      <w:rFonts w:hint="default" w:ascii="Times New Roman" w:hAnsi="Times New Roman" w:cs="Times New Roman"/>
                      <w:color w:val="auto"/>
                      <w:spacing w:val="-10"/>
                      <w:sz w:val="18"/>
                      <w:szCs w:val="18"/>
                      <w:highlight w:val="none"/>
                      <w:lang w:val="en-US" w:eastAsia="zh-CN"/>
                    </w:rPr>
                    <w:t>符合</w:t>
                  </w:r>
                </w:p>
              </w:tc>
            </w:tr>
            <w:tr w14:paraId="5B12678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87" w:type="dxa"/>
                  <w:vMerge w:val="continue"/>
                  <w:tcBorders>
                    <w:tl2br w:val="nil"/>
                    <w:tr2bl w:val="nil"/>
                  </w:tcBorders>
                  <w:vAlign w:val="center"/>
                </w:tcPr>
                <w:p w14:paraId="68F64ED7">
                  <w:pPr>
                    <w:spacing w:line="240" w:lineRule="exact"/>
                    <w:jc w:val="center"/>
                    <w:rPr>
                      <w:rFonts w:hint="default" w:ascii="Times New Roman" w:hAnsi="Times New Roman" w:cs="Times New Roman"/>
                      <w:color w:val="auto"/>
                      <w:spacing w:val="-10"/>
                      <w:sz w:val="18"/>
                      <w:szCs w:val="18"/>
                      <w:highlight w:val="none"/>
                      <w:lang w:val="en-US" w:eastAsia="zh-CN"/>
                    </w:rPr>
                  </w:pPr>
                </w:p>
              </w:tc>
              <w:tc>
                <w:tcPr>
                  <w:tcW w:w="1094" w:type="dxa"/>
                  <w:tcBorders>
                    <w:tl2br w:val="nil"/>
                    <w:tr2bl w:val="nil"/>
                  </w:tcBorders>
                  <w:vAlign w:val="center"/>
                </w:tcPr>
                <w:p w14:paraId="27D559F8">
                  <w:pPr>
                    <w:spacing w:line="240" w:lineRule="exact"/>
                    <w:jc w:val="center"/>
                    <w:rPr>
                      <w:rFonts w:hint="default" w:ascii="Times New Roman" w:hAnsi="Times New Roman" w:eastAsia="宋体" w:cs="Times New Roman"/>
                      <w:color w:val="auto"/>
                      <w:spacing w:val="-10"/>
                      <w:kern w:val="2"/>
                      <w:sz w:val="18"/>
                      <w:szCs w:val="18"/>
                      <w:highlight w:val="none"/>
                      <w:lang w:val="en-US" w:eastAsia="zh-CN" w:bidi="ar-SA"/>
                    </w:rPr>
                  </w:pPr>
                  <w:r>
                    <w:rPr>
                      <w:rFonts w:hint="default" w:ascii="Times New Roman" w:hAnsi="Times New Roman" w:cs="Times New Roman"/>
                      <w:color w:val="auto"/>
                      <w:spacing w:val="-10"/>
                      <w:sz w:val="18"/>
                      <w:szCs w:val="18"/>
                      <w:highlight w:val="none"/>
                      <w:lang w:val="en-US" w:eastAsia="zh-CN"/>
                    </w:rPr>
                    <w:t>环境风险防控</w:t>
                  </w:r>
                </w:p>
              </w:tc>
              <w:tc>
                <w:tcPr>
                  <w:tcW w:w="5924" w:type="dxa"/>
                  <w:gridSpan w:val="2"/>
                  <w:tcBorders>
                    <w:tl2br w:val="nil"/>
                    <w:tr2bl w:val="nil"/>
                  </w:tcBorders>
                  <w:vAlign w:val="center"/>
                </w:tcPr>
                <w:p w14:paraId="45FBA8C0">
                  <w:pPr>
                    <w:keepNext w:val="0"/>
                    <w:keepLines w:val="0"/>
                    <w:pageBreakBefore w:val="0"/>
                    <w:widowControl w:val="0"/>
                    <w:numPr>
                      <w:ilvl w:val="0"/>
                      <w:numId w:val="0"/>
                    </w:numPr>
                    <w:kinsoku/>
                    <w:wordWrap/>
                    <w:overflowPunct/>
                    <w:topLinePunct w:val="0"/>
                    <w:autoSpaceDE/>
                    <w:autoSpaceDN/>
                    <w:bidi w:val="0"/>
                    <w:adjustRightInd/>
                    <w:snapToGrid/>
                    <w:spacing w:line="240" w:lineRule="exact"/>
                    <w:ind w:firstLine="320" w:firstLineChars="200"/>
                    <w:jc w:val="left"/>
                    <w:textAlignment w:val="auto"/>
                    <w:rPr>
                      <w:rFonts w:hint="eastAsia" w:ascii="Times New Roman" w:hAnsi="Times New Roman" w:eastAsia="宋体" w:cs="Times New Roman"/>
                      <w:color w:val="auto"/>
                      <w:spacing w:val="-10"/>
                      <w:sz w:val="18"/>
                      <w:szCs w:val="18"/>
                      <w:highlight w:val="none"/>
                      <w:lang w:val="en-US" w:eastAsia="zh-CN"/>
                    </w:rPr>
                  </w:pPr>
                  <w:r>
                    <w:rPr>
                      <w:rFonts w:hint="eastAsia" w:ascii="Times New Roman" w:hAnsi="Times New Roman" w:eastAsia="宋体" w:cs="Times New Roman"/>
                      <w:color w:val="auto"/>
                      <w:spacing w:val="-10"/>
                      <w:sz w:val="18"/>
                      <w:szCs w:val="18"/>
                      <w:highlight w:val="none"/>
                      <w:lang w:val="en-US" w:eastAsia="zh-CN"/>
                    </w:rPr>
                    <w:t>1、每年对集中式饮用水水源保护区开展基础调查与评估，将可能影响水源水质安全的风险源全部列入档案，实行“一源一案”，对每个风险源开展隐患排查、整改，编制风险应急方案，建立联防联控应急机制。</w:t>
                  </w:r>
                </w:p>
                <w:p w14:paraId="3FD0A938">
                  <w:pPr>
                    <w:keepNext w:val="0"/>
                    <w:keepLines w:val="0"/>
                    <w:pageBreakBefore w:val="0"/>
                    <w:widowControl w:val="0"/>
                    <w:numPr>
                      <w:ilvl w:val="0"/>
                      <w:numId w:val="0"/>
                    </w:numPr>
                    <w:kinsoku/>
                    <w:wordWrap/>
                    <w:overflowPunct/>
                    <w:topLinePunct w:val="0"/>
                    <w:autoSpaceDE/>
                    <w:autoSpaceDN/>
                    <w:bidi w:val="0"/>
                    <w:adjustRightInd/>
                    <w:snapToGrid/>
                    <w:spacing w:line="240" w:lineRule="exact"/>
                    <w:ind w:firstLine="320" w:firstLineChars="200"/>
                    <w:jc w:val="left"/>
                    <w:textAlignment w:val="auto"/>
                    <w:rPr>
                      <w:rFonts w:hint="default" w:ascii="Times New Roman" w:hAnsi="Times New Roman" w:eastAsia="宋体" w:cs="Times New Roman"/>
                      <w:color w:val="auto"/>
                      <w:spacing w:val="-10"/>
                      <w:kern w:val="2"/>
                      <w:sz w:val="18"/>
                      <w:szCs w:val="18"/>
                      <w:highlight w:val="none"/>
                      <w:lang w:val="en-US" w:eastAsia="zh-CN" w:bidi="ar-SA"/>
                    </w:rPr>
                  </w:pPr>
                  <w:r>
                    <w:rPr>
                      <w:rFonts w:hint="eastAsia" w:ascii="Times New Roman" w:hAnsi="Times New Roman" w:eastAsia="宋体" w:cs="Times New Roman"/>
                      <w:color w:val="auto"/>
                      <w:spacing w:val="-10"/>
                      <w:sz w:val="18"/>
                      <w:szCs w:val="18"/>
                      <w:highlight w:val="none"/>
                      <w:lang w:val="en-US" w:eastAsia="zh-CN"/>
                    </w:rPr>
                    <w:t>2、尾矿库运营、管理单位应当按照规定加强尾矿库的安全管理，采取措施防止土壤污染。危库、险库、病库以及其他需要重点监管的尾矿库运营、管理单位应当按照规定进行土壤污染状况监测和定期评估。</w:t>
                  </w:r>
                </w:p>
              </w:tc>
              <w:tc>
                <w:tcPr>
                  <w:tcW w:w="3520" w:type="dxa"/>
                  <w:tcBorders>
                    <w:tl2br w:val="nil"/>
                    <w:tr2bl w:val="nil"/>
                  </w:tcBorders>
                  <w:vAlign w:val="center"/>
                </w:tcPr>
                <w:p w14:paraId="56BBBF2C">
                  <w:pPr>
                    <w:keepNext w:val="0"/>
                    <w:keepLines w:val="0"/>
                    <w:pageBreakBefore w:val="0"/>
                    <w:widowControl w:val="0"/>
                    <w:kinsoku/>
                    <w:wordWrap/>
                    <w:overflowPunct/>
                    <w:topLinePunct w:val="0"/>
                    <w:autoSpaceDE/>
                    <w:autoSpaceDN/>
                    <w:bidi w:val="0"/>
                    <w:adjustRightInd/>
                    <w:snapToGrid/>
                    <w:spacing w:line="240" w:lineRule="exact"/>
                    <w:ind w:firstLine="320" w:firstLineChars="200"/>
                    <w:jc w:val="left"/>
                    <w:textAlignment w:val="auto"/>
                    <w:rPr>
                      <w:rFonts w:hint="default" w:cs="Times New Roman"/>
                      <w:color w:val="auto"/>
                      <w:spacing w:val="-10"/>
                      <w:sz w:val="18"/>
                      <w:szCs w:val="18"/>
                      <w:highlight w:val="none"/>
                      <w:lang w:val="en-US" w:eastAsia="zh-CN"/>
                    </w:rPr>
                  </w:pPr>
                  <w:r>
                    <w:rPr>
                      <w:rFonts w:hint="eastAsia" w:cs="Times New Roman"/>
                      <w:color w:val="auto"/>
                      <w:spacing w:val="-10"/>
                      <w:sz w:val="18"/>
                      <w:szCs w:val="18"/>
                      <w:highlight w:val="none"/>
                      <w:lang w:val="en-US" w:eastAsia="zh-CN"/>
                    </w:rPr>
                    <w:t>1、本项目不涉及</w:t>
                  </w:r>
                  <w:r>
                    <w:rPr>
                      <w:rFonts w:hint="default" w:cs="Times New Roman"/>
                      <w:color w:val="auto"/>
                      <w:spacing w:val="-10"/>
                      <w:sz w:val="18"/>
                      <w:szCs w:val="18"/>
                      <w:highlight w:val="none"/>
                      <w:lang w:val="en-US" w:eastAsia="zh-CN"/>
                    </w:rPr>
                    <w:t>。</w:t>
                  </w:r>
                </w:p>
                <w:p w14:paraId="444EDA3C">
                  <w:pPr>
                    <w:keepNext w:val="0"/>
                    <w:keepLines w:val="0"/>
                    <w:pageBreakBefore w:val="0"/>
                    <w:widowControl w:val="0"/>
                    <w:kinsoku/>
                    <w:wordWrap/>
                    <w:overflowPunct/>
                    <w:topLinePunct w:val="0"/>
                    <w:autoSpaceDE/>
                    <w:autoSpaceDN/>
                    <w:bidi w:val="0"/>
                    <w:adjustRightInd/>
                    <w:snapToGrid/>
                    <w:spacing w:line="240" w:lineRule="exact"/>
                    <w:ind w:firstLine="320" w:firstLineChars="200"/>
                    <w:jc w:val="left"/>
                    <w:textAlignment w:val="auto"/>
                    <w:rPr>
                      <w:rFonts w:hint="default" w:ascii="Times New Roman" w:hAnsi="Times New Roman" w:eastAsia="宋体" w:cs="Times New Roman"/>
                      <w:color w:val="auto"/>
                      <w:kern w:val="2"/>
                      <w:sz w:val="21"/>
                      <w:szCs w:val="24"/>
                      <w:highlight w:val="none"/>
                      <w:lang w:val="en-US" w:eastAsia="zh-CN" w:bidi="ar-SA"/>
                    </w:rPr>
                  </w:pPr>
                  <w:r>
                    <w:rPr>
                      <w:rFonts w:hint="eastAsia" w:cs="Times New Roman"/>
                      <w:color w:val="auto"/>
                      <w:spacing w:val="-10"/>
                      <w:sz w:val="18"/>
                      <w:szCs w:val="18"/>
                      <w:highlight w:val="none"/>
                      <w:lang w:val="en-US" w:eastAsia="zh-CN"/>
                    </w:rPr>
                    <w:t>2、本项目不涉及。</w:t>
                  </w:r>
                </w:p>
              </w:tc>
              <w:tc>
                <w:tcPr>
                  <w:tcW w:w="750" w:type="dxa"/>
                  <w:tcBorders>
                    <w:tl2br w:val="nil"/>
                    <w:tr2bl w:val="nil"/>
                  </w:tcBorders>
                  <w:vAlign w:val="center"/>
                </w:tcPr>
                <w:p w14:paraId="45971CB4">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cs="Times New Roman"/>
                      <w:color w:val="auto"/>
                      <w:spacing w:val="-10"/>
                      <w:sz w:val="18"/>
                      <w:szCs w:val="18"/>
                      <w:highlight w:val="none"/>
                      <w:lang w:val="en-US" w:eastAsia="zh-CN"/>
                    </w:rPr>
                  </w:pPr>
                  <w:r>
                    <w:rPr>
                      <w:rFonts w:hint="default" w:ascii="Times New Roman" w:hAnsi="Times New Roman" w:cs="Times New Roman"/>
                      <w:color w:val="auto"/>
                      <w:spacing w:val="-10"/>
                      <w:sz w:val="18"/>
                      <w:szCs w:val="18"/>
                      <w:highlight w:val="none"/>
                      <w:lang w:val="en-US" w:eastAsia="zh-CN"/>
                    </w:rPr>
                    <w:t>符合</w:t>
                  </w:r>
                </w:p>
              </w:tc>
            </w:tr>
          </w:tbl>
          <w:p w14:paraId="2E4D4B83">
            <w:pPr>
              <w:pStyle w:val="24"/>
              <w:adjustRightInd w:val="0"/>
              <w:snapToGrid w:val="0"/>
              <w:spacing w:before="0" w:beforeAutospacing="0" w:after="0" w:afterAutospacing="0" w:line="440" w:lineRule="exact"/>
              <w:jc w:val="center"/>
              <w:rPr>
                <w:rFonts w:ascii="Times New Roman" w:hAnsi="Times New Roman"/>
                <w:b/>
                <w:color w:val="auto"/>
                <w:sz w:val="21"/>
                <w:szCs w:val="21"/>
                <w:highlight w:val="none"/>
              </w:rPr>
            </w:pPr>
            <w:r>
              <w:rPr>
                <w:rFonts w:hint="eastAsia" w:ascii="Times New Roman" w:hAnsi="Times New Roman"/>
                <w:b/>
                <w:color w:val="auto"/>
                <w:sz w:val="21"/>
                <w:szCs w:val="21"/>
                <w:highlight w:val="none"/>
                <w:lang w:val="en-US" w:eastAsia="zh-CN"/>
              </w:rPr>
              <w:t>续表2</w:t>
            </w:r>
            <w:r>
              <w:rPr>
                <w:rFonts w:hint="default" w:ascii="Times New Roman" w:hAnsi="Times New Roman"/>
                <w:b/>
                <w:color w:val="auto"/>
                <w:sz w:val="21"/>
                <w:szCs w:val="21"/>
                <w:highlight w:val="none"/>
                <w:lang w:val="en-US" w:eastAsia="zh-CN"/>
              </w:rPr>
              <w:t xml:space="preserve"> </w:t>
            </w:r>
            <w:r>
              <w:rPr>
                <w:rFonts w:hint="eastAsia" w:ascii="Times New Roman" w:hAnsi="Times New Roman"/>
                <w:b/>
                <w:color w:val="auto"/>
                <w:sz w:val="21"/>
                <w:szCs w:val="21"/>
                <w:highlight w:val="none"/>
                <w:lang w:val="en-US" w:eastAsia="zh-CN"/>
              </w:rPr>
              <w:t>项目与唐山市生态环境准入清单符合性分析</w:t>
            </w:r>
          </w:p>
          <w:tbl>
            <w:tblPr>
              <w:tblStyle w:val="29"/>
              <w:tblW w:w="11975" w:type="dxa"/>
              <w:tblInd w:w="5"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87"/>
              <w:gridCol w:w="1094"/>
              <w:gridCol w:w="5919"/>
              <w:gridCol w:w="5"/>
              <w:gridCol w:w="3520"/>
              <w:gridCol w:w="750"/>
            </w:tblGrid>
            <w:tr w14:paraId="66F0641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c>
                <w:tcPr>
                  <w:tcW w:w="1781" w:type="dxa"/>
                  <w:gridSpan w:val="2"/>
                  <w:tcBorders>
                    <w:tl2br w:val="nil"/>
                    <w:tr2bl w:val="nil"/>
                  </w:tcBorders>
                  <w:vAlign w:val="center"/>
                </w:tcPr>
                <w:p w14:paraId="2FE83B7F">
                  <w:pPr>
                    <w:spacing w:line="240" w:lineRule="exact"/>
                    <w:jc w:val="center"/>
                    <w:rPr>
                      <w:rFonts w:hint="default" w:ascii="Times New Roman" w:hAnsi="Times New Roman" w:cs="Times New Roman"/>
                      <w:color w:val="auto"/>
                      <w:spacing w:val="-10"/>
                      <w:sz w:val="18"/>
                      <w:szCs w:val="18"/>
                      <w:highlight w:val="none"/>
                      <w:lang w:val="en-US" w:eastAsia="zh-CN"/>
                    </w:rPr>
                  </w:pPr>
                  <w:r>
                    <w:rPr>
                      <w:rFonts w:hint="default" w:ascii="Times New Roman" w:hAnsi="Times New Roman" w:cs="Times New Roman"/>
                      <w:color w:val="auto"/>
                      <w:spacing w:val="-10"/>
                      <w:sz w:val="18"/>
                      <w:szCs w:val="18"/>
                      <w:highlight w:val="none"/>
                      <w:lang w:val="en-US" w:eastAsia="zh-CN"/>
                    </w:rPr>
                    <w:t>管控单元</w:t>
                  </w:r>
                </w:p>
              </w:tc>
              <w:tc>
                <w:tcPr>
                  <w:tcW w:w="5919" w:type="dxa"/>
                  <w:tcBorders>
                    <w:tl2br w:val="nil"/>
                    <w:tr2bl w:val="nil"/>
                  </w:tcBorders>
                  <w:vAlign w:val="center"/>
                </w:tcPr>
                <w:p w14:paraId="1D76E1AF">
                  <w:pPr>
                    <w:spacing w:line="240" w:lineRule="exact"/>
                    <w:jc w:val="center"/>
                    <w:rPr>
                      <w:rFonts w:hint="default" w:ascii="Times New Roman" w:hAnsi="Times New Roman" w:cs="Times New Roman"/>
                      <w:color w:val="auto"/>
                      <w:spacing w:val="-10"/>
                      <w:sz w:val="18"/>
                      <w:szCs w:val="18"/>
                      <w:highlight w:val="none"/>
                      <w:lang w:val="en-US" w:eastAsia="zh-CN"/>
                    </w:rPr>
                  </w:pPr>
                  <w:r>
                    <w:rPr>
                      <w:rFonts w:hint="default" w:ascii="Times New Roman" w:hAnsi="Times New Roman" w:cs="Times New Roman"/>
                      <w:color w:val="auto"/>
                      <w:spacing w:val="-10"/>
                      <w:sz w:val="18"/>
                      <w:szCs w:val="18"/>
                      <w:highlight w:val="none"/>
                      <w:lang w:val="en-US" w:eastAsia="zh-CN"/>
                    </w:rPr>
                    <w:t>要求</w:t>
                  </w:r>
                </w:p>
              </w:tc>
              <w:tc>
                <w:tcPr>
                  <w:tcW w:w="3525" w:type="dxa"/>
                  <w:gridSpan w:val="2"/>
                  <w:tcBorders>
                    <w:tl2br w:val="nil"/>
                    <w:tr2bl w:val="nil"/>
                  </w:tcBorders>
                  <w:vAlign w:val="center"/>
                </w:tcPr>
                <w:p w14:paraId="6E6FB6CF">
                  <w:pPr>
                    <w:spacing w:line="240" w:lineRule="exact"/>
                    <w:jc w:val="center"/>
                    <w:rPr>
                      <w:rFonts w:hint="default" w:ascii="Times New Roman" w:hAnsi="Times New Roman" w:cs="Times New Roman"/>
                      <w:color w:val="auto"/>
                      <w:spacing w:val="-10"/>
                      <w:sz w:val="18"/>
                      <w:szCs w:val="18"/>
                      <w:highlight w:val="none"/>
                      <w:lang w:val="en-US" w:eastAsia="zh-CN"/>
                    </w:rPr>
                  </w:pPr>
                  <w:r>
                    <w:rPr>
                      <w:rFonts w:hint="default" w:ascii="Times New Roman" w:hAnsi="Times New Roman" w:cs="Times New Roman"/>
                      <w:color w:val="auto"/>
                      <w:spacing w:val="-10"/>
                      <w:sz w:val="18"/>
                      <w:szCs w:val="18"/>
                      <w:highlight w:val="none"/>
                      <w:lang w:val="en-US" w:eastAsia="zh-CN"/>
                    </w:rPr>
                    <w:t>项目情况</w:t>
                  </w:r>
                </w:p>
              </w:tc>
              <w:tc>
                <w:tcPr>
                  <w:tcW w:w="750" w:type="dxa"/>
                  <w:tcBorders>
                    <w:tl2br w:val="nil"/>
                    <w:tr2bl w:val="nil"/>
                  </w:tcBorders>
                  <w:vAlign w:val="center"/>
                </w:tcPr>
                <w:p w14:paraId="145E78D8">
                  <w:pPr>
                    <w:spacing w:line="240" w:lineRule="exact"/>
                    <w:jc w:val="center"/>
                    <w:rPr>
                      <w:rFonts w:hint="default" w:ascii="Times New Roman" w:hAnsi="Times New Roman" w:cs="Times New Roman"/>
                      <w:color w:val="auto"/>
                      <w:spacing w:val="-10"/>
                      <w:sz w:val="18"/>
                      <w:szCs w:val="18"/>
                      <w:highlight w:val="none"/>
                      <w:lang w:val="en-US" w:eastAsia="zh-CN"/>
                    </w:rPr>
                  </w:pPr>
                  <w:r>
                    <w:rPr>
                      <w:rFonts w:hint="default" w:ascii="Times New Roman" w:hAnsi="Times New Roman" w:cs="Times New Roman"/>
                      <w:color w:val="auto"/>
                      <w:spacing w:val="-10"/>
                      <w:sz w:val="18"/>
                      <w:szCs w:val="18"/>
                      <w:highlight w:val="none"/>
                      <w:lang w:val="en-US" w:eastAsia="zh-CN"/>
                    </w:rPr>
                    <w:t>符合性</w:t>
                  </w:r>
                </w:p>
              </w:tc>
            </w:tr>
            <w:tr w14:paraId="6009E3D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947" w:hRule="atLeast"/>
              </w:trPr>
              <w:tc>
                <w:tcPr>
                  <w:tcW w:w="687" w:type="dxa"/>
                  <w:tcBorders>
                    <w:tl2br w:val="nil"/>
                    <w:tr2bl w:val="nil"/>
                  </w:tcBorders>
                  <w:vAlign w:val="center"/>
                </w:tcPr>
                <w:p w14:paraId="5472BD86">
                  <w:pPr>
                    <w:spacing w:line="240" w:lineRule="exact"/>
                    <w:jc w:val="center"/>
                    <w:rPr>
                      <w:rFonts w:hint="default" w:ascii="Times New Roman" w:hAnsi="Times New Roman" w:cs="Times New Roman"/>
                      <w:color w:val="auto"/>
                      <w:spacing w:val="-10"/>
                      <w:sz w:val="18"/>
                      <w:szCs w:val="18"/>
                      <w:highlight w:val="none"/>
                      <w:lang w:val="en-US" w:eastAsia="zh-CN"/>
                    </w:rPr>
                  </w:pPr>
                  <w:r>
                    <w:rPr>
                      <w:rFonts w:hint="default" w:ascii="Times New Roman" w:hAnsi="Times New Roman" w:eastAsia="宋体" w:cs="Times New Roman"/>
                      <w:color w:val="auto"/>
                      <w:spacing w:val="-10"/>
                      <w:sz w:val="18"/>
                      <w:szCs w:val="18"/>
                      <w:highlight w:val="none"/>
                      <w:lang w:val="en-US" w:eastAsia="zh-CN"/>
                    </w:rPr>
                    <w:t>土壤环境及地下水环境</w:t>
                  </w:r>
                </w:p>
              </w:tc>
              <w:tc>
                <w:tcPr>
                  <w:tcW w:w="1094" w:type="dxa"/>
                  <w:tcBorders>
                    <w:tl2br w:val="nil"/>
                    <w:tr2bl w:val="nil"/>
                  </w:tcBorders>
                  <w:vAlign w:val="center"/>
                </w:tcPr>
                <w:p w14:paraId="1DC52329">
                  <w:pPr>
                    <w:spacing w:line="240" w:lineRule="exact"/>
                    <w:jc w:val="center"/>
                    <w:rPr>
                      <w:rFonts w:hint="default" w:ascii="Times New Roman" w:hAnsi="Times New Roman" w:eastAsia="宋体" w:cs="Times New Roman"/>
                      <w:color w:val="auto"/>
                      <w:spacing w:val="-10"/>
                      <w:kern w:val="2"/>
                      <w:sz w:val="18"/>
                      <w:szCs w:val="18"/>
                      <w:highlight w:val="none"/>
                      <w:lang w:val="en-US" w:eastAsia="zh-CN" w:bidi="ar-SA"/>
                    </w:rPr>
                  </w:pPr>
                  <w:r>
                    <w:rPr>
                      <w:rFonts w:hint="default" w:ascii="Times New Roman" w:hAnsi="Times New Roman" w:cs="Times New Roman"/>
                      <w:color w:val="auto"/>
                      <w:spacing w:val="-10"/>
                      <w:sz w:val="18"/>
                      <w:szCs w:val="18"/>
                      <w:highlight w:val="none"/>
                      <w:lang w:val="en-US" w:eastAsia="zh-CN"/>
                    </w:rPr>
                    <w:t>环境风险防控</w:t>
                  </w:r>
                </w:p>
              </w:tc>
              <w:tc>
                <w:tcPr>
                  <w:tcW w:w="5924" w:type="dxa"/>
                  <w:gridSpan w:val="2"/>
                  <w:tcBorders>
                    <w:tl2br w:val="nil"/>
                    <w:tr2bl w:val="nil"/>
                  </w:tcBorders>
                  <w:vAlign w:val="center"/>
                </w:tcPr>
                <w:p w14:paraId="40CFE33D">
                  <w:pPr>
                    <w:keepNext w:val="0"/>
                    <w:keepLines w:val="0"/>
                    <w:pageBreakBefore w:val="0"/>
                    <w:widowControl w:val="0"/>
                    <w:numPr>
                      <w:ilvl w:val="0"/>
                      <w:numId w:val="0"/>
                    </w:numPr>
                    <w:kinsoku/>
                    <w:wordWrap/>
                    <w:overflowPunct/>
                    <w:topLinePunct w:val="0"/>
                    <w:autoSpaceDE/>
                    <w:autoSpaceDN/>
                    <w:bidi w:val="0"/>
                    <w:adjustRightInd/>
                    <w:snapToGrid/>
                    <w:spacing w:line="240" w:lineRule="exact"/>
                    <w:ind w:firstLine="320" w:firstLineChars="200"/>
                    <w:jc w:val="left"/>
                    <w:textAlignment w:val="auto"/>
                    <w:rPr>
                      <w:rFonts w:hint="default" w:ascii="Times New Roman" w:hAnsi="Times New Roman" w:eastAsia="宋体" w:cs="Times New Roman"/>
                      <w:color w:val="auto"/>
                      <w:spacing w:val="-10"/>
                      <w:sz w:val="18"/>
                      <w:szCs w:val="18"/>
                      <w:highlight w:val="none"/>
                      <w:lang w:val="en-US" w:eastAsia="zh-CN"/>
                    </w:rPr>
                  </w:pPr>
                  <w:r>
                    <w:rPr>
                      <w:rFonts w:hint="default" w:ascii="Times New Roman" w:hAnsi="Times New Roman" w:eastAsia="宋体" w:cs="Times New Roman"/>
                      <w:color w:val="auto"/>
                      <w:spacing w:val="-10"/>
                      <w:sz w:val="18"/>
                      <w:szCs w:val="18"/>
                      <w:highlight w:val="none"/>
                      <w:lang w:val="en-US" w:eastAsia="zh-CN"/>
                    </w:rPr>
                    <w:t>3</w:t>
                  </w:r>
                  <w:r>
                    <w:rPr>
                      <w:rFonts w:hint="eastAsia" w:ascii="Times New Roman" w:hAnsi="Times New Roman" w:eastAsia="宋体" w:cs="Times New Roman"/>
                      <w:color w:val="auto"/>
                      <w:spacing w:val="-10"/>
                      <w:sz w:val="18"/>
                      <w:szCs w:val="18"/>
                      <w:highlight w:val="none"/>
                      <w:lang w:val="en-US" w:eastAsia="zh-CN"/>
                    </w:rPr>
                    <w:t>、产生、收集、贮存、运输、利用、处置危险废物的单位，应当依法制定意外事故的防范措施和应急预案，并向所在地生态环境主管部门和其他负有固体废物污染环境防治监督管理职责的部门备案。</w:t>
                  </w:r>
                </w:p>
                <w:p w14:paraId="59671E5E">
                  <w:pPr>
                    <w:keepNext w:val="0"/>
                    <w:keepLines w:val="0"/>
                    <w:pageBreakBefore w:val="0"/>
                    <w:widowControl w:val="0"/>
                    <w:numPr>
                      <w:ilvl w:val="0"/>
                      <w:numId w:val="0"/>
                    </w:numPr>
                    <w:kinsoku/>
                    <w:wordWrap/>
                    <w:overflowPunct/>
                    <w:topLinePunct w:val="0"/>
                    <w:autoSpaceDE/>
                    <w:autoSpaceDN/>
                    <w:bidi w:val="0"/>
                    <w:adjustRightInd/>
                    <w:snapToGrid/>
                    <w:spacing w:line="240" w:lineRule="exact"/>
                    <w:ind w:firstLine="320" w:firstLineChars="200"/>
                    <w:jc w:val="left"/>
                    <w:textAlignment w:val="auto"/>
                    <w:rPr>
                      <w:rFonts w:hint="eastAsia" w:ascii="Times New Roman" w:hAnsi="Times New Roman" w:eastAsia="宋体" w:cs="Times New Roman"/>
                      <w:color w:val="auto"/>
                      <w:spacing w:val="-10"/>
                      <w:sz w:val="18"/>
                      <w:szCs w:val="18"/>
                      <w:highlight w:val="none"/>
                      <w:lang w:val="en-US" w:eastAsia="zh-CN"/>
                    </w:rPr>
                  </w:pPr>
                  <w:r>
                    <w:rPr>
                      <w:rFonts w:hint="default" w:ascii="Times New Roman" w:hAnsi="Times New Roman" w:eastAsia="宋体" w:cs="Times New Roman"/>
                      <w:color w:val="auto"/>
                      <w:spacing w:val="-10"/>
                      <w:sz w:val="18"/>
                      <w:szCs w:val="18"/>
                      <w:highlight w:val="none"/>
                      <w:lang w:val="en-US" w:eastAsia="zh-CN"/>
                    </w:rPr>
                    <w:t>4</w:t>
                  </w:r>
                  <w:r>
                    <w:rPr>
                      <w:rFonts w:hint="eastAsia" w:ascii="Times New Roman" w:hAnsi="Times New Roman" w:eastAsia="宋体" w:cs="Times New Roman"/>
                      <w:color w:val="auto"/>
                      <w:spacing w:val="-10"/>
                      <w:sz w:val="18"/>
                      <w:szCs w:val="18"/>
                      <w:highlight w:val="none"/>
                      <w:lang w:val="en-US" w:eastAsia="zh-CN"/>
                    </w:rPr>
                    <w:t>、严格落实耕地风险防范措施。对安全利用类耕地，应结合当地主要作物品种和种植习惯，采取农艺调控、低积累品种替代、轮作间作等措施，降低农产品超标风险；对严格管控类耕地，依法划定特定农产品禁止生产区域，鼓励采取调整种植结构、退耕还林还草、退耕还湿、轮作休耕等风险管控措施。</w:t>
                  </w:r>
                </w:p>
                <w:p w14:paraId="08D5C3D6">
                  <w:pPr>
                    <w:keepNext w:val="0"/>
                    <w:keepLines w:val="0"/>
                    <w:pageBreakBefore w:val="0"/>
                    <w:widowControl w:val="0"/>
                    <w:numPr>
                      <w:ilvl w:val="0"/>
                      <w:numId w:val="0"/>
                    </w:numPr>
                    <w:kinsoku/>
                    <w:wordWrap/>
                    <w:overflowPunct/>
                    <w:topLinePunct w:val="0"/>
                    <w:autoSpaceDE/>
                    <w:autoSpaceDN/>
                    <w:bidi w:val="0"/>
                    <w:adjustRightInd/>
                    <w:snapToGrid/>
                    <w:spacing w:line="240" w:lineRule="exact"/>
                    <w:ind w:firstLine="320" w:firstLineChars="200"/>
                    <w:jc w:val="left"/>
                    <w:textAlignment w:val="auto"/>
                    <w:rPr>
                      <w:rFonts w:hint="eastAsia" w:ascii="Times New Roman" w:hAnsi="Times New Roman" w:eastAsia="宋体" w:cs="Times New Roman"/>
                      <w:color w:val="auto"/>
                      <w:spacing w:val="-10"/>
                      <w:sz w:val="18"/>
                      <w:szCs w:val="18"/>
                      <w:highlight w:val="none"/>
                      <w:lang w:val="en-US" w:eastAsia="zh-CN"/>
                    </w:rPr>
                  </w:pPr>
                  <w:r>
                    <w:rPr>
                      <w:rFonts w:hint="default" w:ascii="Times New Roman" w:hAnsi="Times New Roman" w:eastAsia="宋体" w:cs="Times New Roman"/>
                      <w:color w:val="auto"/>
                      <w:spacing w:val="-10"/>
                      <w:sz w:val="18"/>
                      <w:szCs w:val="18"/>
                      <w:highlight w:val="none"/>
                      <w:lang w:val="en-US" w:eastAsia="zh-CN"/>
                    </w:rPr>
                    <w:t>5</w:t>
                  </w:r>
                  <w:r>
                    <w:rPr>
                      <w:rFonts w:hint="eastAsia" w:ascii="Times New Roman" w:hAnsi="Times New Roman" w:eastAsia="宋体" w:cs="Times New Roman"/>
                      <w:color w:val="auto"/>
                      <w:spacing w:val="-10"/>
                      <w:sz w:val="18"/>
                      <w:szCs w:val="18"/>
                      <w:highlight w:val="none"/>
                      <w:lang w:val="en-US" w:eastAsia="zh-CN"/>
                    </w:rPr>
                    <w:t>、强化污染地块土壤环境联动监管。抓好退城搬迁工业企业工矿用地土壤环境监督管理，土壤污染重点监管单位拆除设施、设备或者建筑物、构筑物，要制定土壤污染防治工作方案并按要求备案，防范拆除活动造成土壤和地下水污染，切实保障生态环境安全。</w:t>
                  </w:r>
                </w:p>
                <w:p w14:paraId="762A797D">
                  <w:pPr>
                    <w:keepNext w:val="0"/>
                    <w:keepLines w:val="0"/>
                    <w:pageBreakBefore w:val="0"/>
                    <w:widowControl w:val="0"/>
                    <w:numPr>
                      <w:ilvl w:val="0"/>
                      <w:numId w:val="0"/>
                    </w:numPr>
                    <w:kinsoku/>
                    <w:wordWrap/>
                    <w:overflowPunct/>
                    <w:topLinePunct w:val="0"/>
                    <w:autoSpaceDE/>
                    <w:autoSpaceDN/>
                    <w:bidi w:val="0"/>
                    <w:adjustRightInd/>
                    <w:snapToGrid/>
                    <w:spacing w:line="240" w:lineRule="exact"/>
                    <w:ind w:firstLine="320" w:firstLineChars="200"/>
                    <w:jc w:val="left"/>
                    <w:textAlignment w:val="auto"/>
                    <w:rPr>
                      <w:rFonts w:hint="eastAsia" w:ascii="Times New Roman" w:hAnsi="Times New Roman" w:eastAsia="宋体" w:cs="Times New Roman"/>
                      <w:color w:val="auto"/>
                      <w:spacing w:val="-10"/>
                      <w:sz w:val="18"/>
                      <w:szCs w:val="18"/>
                      <w:highlight w:val="none"/>
                      <w:lang w:val="en-US" w:eastAsia="zh-CN"/>
                    </w:rPr>
                  </w:pPr>
                  <w:r>
                    <w:rPr>
                      <w:rFonts w:hint="default" w:ascii="Times New Roman" w:hAnsi="Times New Roman" w:eastAsia="宋体" w:cs="Times New Roman"/>
                      <w:color w:val="auto"/>
                      <w:spacing w:val="-10"/>
                      <w:sz w:val="18"/>
                      <w:szCs w:val="18"/>
                      <w:highlight w:val="none"/>
                      <w:lang w:val="en-US" w:eastAsia="zh-CN"/>
                    </w:rPr>
                    <w:t>6</w:t>
                  </w:r>
                  <w:r>
                    <w:rPr>
                      <w:rFonts w:hint="eastAsia" w:ascii="Times New Roman" w:hAnsi="Times New Roman" w:eastAsia="宋体" w:cs="Times New Roman"/>
                      <w:color w:val="auto"/>
                      <w:spacing w:val="-10"/>
                      <w:sz w:val="18"/>
                      <w:szCs w:val="18"/>
                      <w:highlight w:val="none"/>
                      <w:lang w:val="en-US" w:eastAsia="zh-CN"/>
                    </w:rPr>
                    <w:t>、严格建设用地准入管理。加强对土地征收、收回、收购的监督管理，对应当开展土壤污染状况调查而未进行调查的地块，以及列入疑似污染地块名单、污染地块名录、建设用地土壤污染风险管控和修复名录且未达到规划用途土壤环境质量要求的地块，不得进入供地程序进行再开发利用，未达到土壤污染风险管控、修复目标的地块，禁止开工建设任何与风险管控、修复无关的项目，不得批准环境影响评价技术文件、建设工程规划许可证等事项。涉及成片污染地块分期分批开发或周边土地开发的，要科学设定开发时序，防止受污染土壤及其后续风险管控和修复措施对周边人群产生影响。</w:t>
                  </w:r>
                </w:p>
                <w:p w14:paraId="51D0EB54">
                  <w:pPr>
                    <w:keepNext w:val="0"/>
                    <w:keepLines w:val="0"/>
                    <w:pageBreakBefore w:val="0"/>
                    <w:widowControl w:val="0"/>
                    <w:numPr>
                      <w:ilvl w:val="0"/>
                      <w:numId w:val="0"/>
                    </w:numPr>
                    <w:kinsoku/>
                    <w:wordWrap/>
                    <w:overflowPunct/>
                    <w:topLinePunct w:val="0"/>
                    <w:autoSpaceDE/>
                    <w:autoSpaceDN/>
                    <w:bidi w:val="0"/>
                    <w:adjustRightInd/>
                    <w:snapToGrid/>
                    <w:spacing w:line="240" w:lineRule="exact"/>
                    <w:ind w:firstLine="320" w:firstLineChars="200"/>
                    <w:jc w:val="left"/>
                    <w:textAlignment w:val="auto"/>
                    <w:rPr>
                      <w:rFonts w:hint="eastAsia" w:ascii="Times New Roman" w:hAnsi="Times New Roman" w:eastAsia="宋体" w:cs="Times New Roman"/>
                      <w:color w:val="auto"/>
                      <w:spacing w:val="-10"/>
                      <w:sz w:val="18"/>
                      <w:szCs w:val="18"/>
                      <w:highlight w:val="none"/>
                      <w:lang w:val="en-US" w:eastAsia="zh-CN"/>
                    </w:rPr>
                  </w:pPr>
                  <w:r>
                    <w:rPr>
                      <w:rFonts w:hint="eastAsia" w:ascii="Times New Roman" w:hAnsi="Times New Roman" w:eastAsia="宋体" w:cs="Times New Roman"/>
                      <w:color w:val="auto"/>
                      <w:spacing w:val="-10"/>
                      <w:sz w:val="18"/>
                      <w:szCs w:val="18"/>
                      <w:highlight w:val="none"/>
                      <w:lang w:val="en-US" w:eastAsia="zh-CN"/>
                    </w:rPr>
                    <w:t>7、加强污染地块风险管控及修复。对暂不开发利用的污染地块，实施以防止污染扩散为目的的风险管控，设立标识、发布公告，并组织开展土壤、地表水、地下水、空气环境监测。对需要实施治理与修复的污染地块，应结合土地利用总体规划和城乡规划编制修复方案并组织实施。加强治理与修复施工的环境监理，并严防治理与修复过程中产生废水、废气和固体废物二次污染。</w:t>
                  </w:r>
                </w:p>
                <w:p w14:paraId="58A7A960">
                  <w:pPr>
                    <w:keepNext w:val="0"/>
                    <w:keepLines w:val="0"/>
                    <w:pageBreakBefore w:val="0"/>
                    <w:widowControl w:val="0"/>
                    <w:numPr>
                      <w:ilvl w:val="0"/>
                      <w:numId w:val="0"/>
                    </w:numPr>
                    <w:kinsoku/>
                    <w:wordWrap/>
                    <w:overflowPunct/>
                    <w:topLinePunct w:val="0"/>
                    <w:autoSpaceDE/>
                    <w:autoSpaceDN/>
                    <w:bidi w:val="0"/>
                    <w:adjustRightInd/>
                    <w:snapToGrid/>
                    <w:spacing w:line="240" w:lineRule="exact"/>
                    <w:ind w:firstLine="320" w:firstLineChars="200"/>
                    <w:jc w:val="left"/>
                    <w:textAlignment w:val="auto"/>
                    <w:rPr>
                      <w:rFonts w:hint="eastAsia" w:ascii="Times New Roman" w:hAnsi="Times New Roman" w:eastAsia="宋体" w:cs="Times New Roman"/>
                      <w:color w:val="auto"/>
                      <w:spacing w:val="-10"/>
                      <w:sz w:val="18"/>
                      <w:szCs w:val="18"/>
                      <w:highlight w:val="none"/>
                      <w:lang w:val="en-US" w:eastAsia="zh-CN"/>
                    </w:rPr>
                  </w:pPr>
                  <w:r>
                    <w:rPr>
                      <w:rFonts w:hint="default" w:ascii="Times New Roman" w:hAnsi="Times New Roman" w:eastAsia="宋体" w:cs="Times New Roman"/>
                      <w:color w:val="auto"/>
                      <w:spacing w:val="-10"/>
                      <w:sz w:val="18"/>
                      <w:szCs w:val="18"/>
                      <w:highlight w:val="none"/>
                      <w:lang w:val="en-US" w:eastAsia="zh-CN"/>
                    </w:rPr>
                    <w:t>8</w:t>
                  </w:r>
                  <w:r>
                    <w:rPr>
                      <w:rFonts w:hint="eastAsia" w:ascii="Times New Roman" w:hAnsi="Times New Roman" w:eastAsia="宋体" w:cs="Times New Roman"/>
                      <w:color w:val="auto"/>
                      <w:spacing w:val="-10"/>
                      <w:sz w:val="18"/>
                      <w:szCs w:val="18"/>
                      <w:highlight w:val="none"/>
                      <w:lang w:val="en-US" w:eastAsia="zh-CN"/>
                    </w:rPr>
                    <w:t>、县级以上地方人民政府应当根据地下水水源条件和需要，建设应急备用饮用水水源，制定应急预案，确保需要时正常使用。应急备用地下水水源结束应急使用后，应当立即停止取水。</w:t>
                  </w:r>
                </w:p>
                <w:p w14:paraId="6CE107D5">
                  <w:pPr>
                    <w:keepNext w:val="0"/>
                    <w:keepLines w:val="0"/>
                    <w:pageBreakBefore w:val="0"/>
                    <w:widowControl w:val="0"/>
                    <w:numPr>
                      <w:ilvl w:val="0"/>
                      <w:numId w:val="0"/>
                    </w:numPr>
                    <w:kinsoku/>
                    <w:wordWrap/>
                    <w:overflowPunct/>
                    <w:topLinePunct w:val="0"/>
                    <w:autoSpaceDE/>
                    <w:autoSpaceDN/>
                    <w:bidi w:val="0"/>
                    <w:adjustRightInd/>
                    <w:snapToGrid/>
                    <w:spacing w:line="240" w:lineRule="exact"/>
                    <w:ind w:firstLine="320" w:firstLineChars="200"/>
                    <w:jc w:val="left"/>
                    <w:textAlignment w:val="auto"/>
                    <w:rPr>
                      <w:rFonts w:hint="eastAsia" w:ascii="Times New Roman" w:hAnsi="Times New Roman" w:eastAsia="宋体" w:cs="Times New Roman"/>
                      <w:color w:val="auto"/>
                      <w:spacing w:val="-10"/>
                      <w:sz w:val="18"/>
                      <w:szCs w:val="18"/>
                      <w:highlight w:val="none"/>
                      <w:lang w:val="en-US" w:eastAsia="zh-CN"/>
                    </w:rPr>
                  </w:pPr>
                  <w:r>
                    <w:rPr>
                      <w:rFonts w:hint="eastAsia" w:ascii="Times New Roman" w:hAnsi="Times New Roman" w:eastAsia="宋体" w:cs="Times New Roman"/>
                      <w:color w:val="auto"/>
                      <w:spacing w:val="-10"/>
                      <w:sz w:val="18"/>
                      <w:szCs w:val="18"/>
                      <w:highlight w:val="none"/>
                      <w:lang w:val="en-US" w:eastAsia="zh-CN"/>
                    </w:rPr>
                    <w:t>9、针对存在地下水污染的化工园区、危险废物处置场和生活垃圾填埋场等，实施地下水污染风险管控，因地制宜选择阻隔、制度控制、渗透反应格栅等技术，阻止污染扩散，加强风险管控后期地下水环境监管。</w:t>
                  </w:r>
                </w:p>
                <w:p w14:paraId="736C88B6">
                  <w:pPr>
                    <w:keepNext w:val="0"/>
                    <w:keepLines w:val="0"/>
                    <w:pageBreakBefore w:val="0"/>
                    <w:widowControl w:val="0"/>
                    <w:numPr>
                      <w:ilvl w:val="0"/>
                      <w:numId w:val="0"/>
                    </w:numPr>
                    <w:kinsoku/>
                    <w:wordWrap/>
                    <w:overflowPunct/>
                    <w:topLinePunct w:val="0"/>
                    <w:autoSpaceDE/>
                    <w:autoSpaceDN/>
                    <w:bidi w:val="0"/>
                    <w:adjustRightInd/>
                    <w:snapToGrid/>
                    <w:spacing w:line="240" w:lineRule="exact"/>
                    <w:ind w:firstLine="320" w:firstLineChars="200"/>
                    <w:jc w:val="left"/>
                    <w:textAlignment w:val="auto"/>
                    <w:rPr>
                      <w:rFonts w:hint="default" w:ascii="Times New Roman" w:hAnsi="Times New Roman" w:eastAsia="宋体" w:cs="Times New Roman"/>
                      <w:color w:val="auto"/>
                      <w:spacing w:val="-10"/>
                      <w:kern w:val="2"/>
                      <w:sz w:val="18"/>
                      <w:szCs w:val="18"/>
                      <w:highlight w:val="none"/>
                      <w:lang w:val="en-US" w:eastAsia="zh-CN" w:bidi="ar-SA"/>
                    </w:rPr>
                  </w:pPr>
                  <w:r>
                    <w:rPr>
                      <w:rFonts w:hint="default" w:ascii="Times New Roman" w:hAnsi="Times New Roman" w:eastAsia="宋体" w:cs="Times New Roman"/>
                      <w:color w:val="auto"/>
                      <w:spacing w:val="-10"/>
                      <w:sz w:val="18"/>
                      <w:szCs w:val="18"/>
                      <w:highlight w:val="none"/>
                      <w:lang w:val="en-US" w:eastAsia="zh-CN"/>
                    </w:rPr>
                    <w:t>10</w:t>
                  </w:r>
                  <w:r>
                    <w:rPr>
                      <w:rFonts w:hint="eastAsia" w:ascii="Times New Roman" w:hAnsi="Times New Roman" w:eastAsia="宋体" w:cs="Times New Roman"/>
                      <w:color w:val="auto"/>
                      <w:spacing w:val="-10"/>
                      <w:sz w:val="18"/>
                      <w:szCs w:val="18"/>
                      <w:highlight w:val="none"/>
                      <w:lang w:val="en-US" w:eastAsia="zh-CN"/>
                    </w:rPr>
                    <w:t>、地下水污染风险重点管控区执行《唐山市地下水污染防治重点区划定方案（试行）》中管控类区域管理要求。</w:t>
                  </w:r>
                </w:p>
              </w:tc>
              <w:tc>
                <w:tcPr>
                  <w:tcW w:w="3520" w:type="dxa"/>
                  <w:tcBorders>
                    <w:tl2br w:val="nil"/>
                    <w:tr2bl w:val="nil"/>
                  </w:tcBorders>
                  <w:vAlign w:val="center"/>
                </w:tcPr>
                <w:p w14:paraId="477449AE">
                  <w:pPr>
                    <w:keepNext w:val="0"/>
                    <w:keepLines w:val="0"/>
                    <w:pageBreakBefore w:val="0"/>
                    <w:widowControl w:val="0"/>
                    <w:numPr>
                      <w:ilvl w:val="0"/>
                      <w:numId w:val="0"/>
                    </w:numPr>
                    <w:kinsoku/>
                    <w:wordWrap/>
                    <w:overflowPunct/>
                    <w:topLinePunct w:val="0"/>
                    <w:autoSpaceDE/>
                    <w:autoSpaceDN/>
                    <w:bidi w:val="0"/>
                    <w:adjustRightInd/>
                    <w:snapToGrid/>
                    <w:spacing w:line="240" w:lineRule="exact"/>
                    <w:ind w:firstLine="320" w:firstLineChars="200"/>
                    <w:jc w:val="left"/>
                    <w:textAlignment w:val="auto"/>
                    <w:rPr>
                      <w:rFonts w:hint="eastAsia" w:ascii="Times New Roman" w:hAnsi="Times New Roman" w:eastAsia="宋体" w:cs="Times New Roman"/>
                      <w:color w:val="auto"/>
                      <w:spacing w:val="-10"/>
                      <w:sz w:val="18"/>
                      <w:szCs w:val="18"/>
                      <w:highlight w:val="none"/>
                      <w:lang w:val="en-US" w:eastAsia="zh-CN"/>
                    </w:rPr>
                  </w:pPr>
                  <w:r>
                    <w:rPr>
                      <w:rFonts w:hint="eastAsia" w:cs="Times New Roman"/>
                      <w:color w:val="auto"/>
                      <w:spacing w:val="-10"/>
                      <w:sz w:val="18"/>
                      <w:szCs w:val="18"/>
                      <w:highlight w:val="none"/>
                      <w:lang w:val="en-US" w:eastAsia="zh-CN"/>
                    </w:rPr>
                    <w:t>3、</w:t>
                  </w:r>
                  <w:r>
                    <w:rPr>
                      <w:rFonts w:hint="eastAsia" w:ascii="Times New Roman" w:hAnsi="Times New Roman" w:eastAsia="宋体" w:cs="Times New Roman"/>
                      <w:color w:val="auto"/>
                      <w:spacing w:val="-10"/>
                      <w:sz w:val="18"/>
                      <w:szCs w:val="18"/>
                      <w:highlight w:val="none"/>
                      <w:lang w:val="en-US" w:eastAsia="zh-CN"/>
                    </w:rPr>
                    <w:t>项目建成后根据危险废物产生情况制定意外事故的防范措施，同时本环评要求企业编制突发环境事件应急预案，并向所在地生态环境主管部门备案。</w:t>
                  </w:r>
                </w:p>
                <w:p w14:paraId="79D11735">
                  <w:pPr>
                    <w:keepNext w:val="0"/>
                    <w:keepLines w:val="0"/>
                    <w:pageBreakBefore w:val="0"/>
                    <w:widowControl w:val="0"/>
                    <w:numPr>
                      <w:ilvl w:val="0"/>
                      <w:numId w:val="0"/>
                    </w:numPr>
                    <w:kinsoku/>
                    <w:wordWrap/>
                    <w:overflowPunct/>
                    <w:topLinePunct w:val="0"/>
                    <w:autoSpaceDE/>
                    <w:autoSpaceDN/>
                    <w:bidi w:val="0"/>
                    <w:adjustRightInd/>
                    <w:snapToGrid/>
                    <w:spacing w:line="240" w:lineRule="exact"/>
                    <w:ind w:firstLine="320" w:firstLineChars="200"/>
                    <w:jc w:val="left"/>
                    <w:textAlignment w:val="auto"/>
                    <w:rPr>
                      <w:rFonts w:hint="default" w:ascii="Times New Roman" w:hAnsi="Times New Roman" w:eastAsia="宋体" w:cs="Times New Roman"/>
                      <w:color w:val="auto"/>
                      <w:spacing w:val="-10"/>
                      <w:sz w:val="18"/>
                      <w:szCs w:val="18"/>
                      <w:highlight w:val="none"/>
                      <w:lang w:val="en-US" w:eastAsia="zh-CN"/>
                    </w:rPr>
                  </w:pPr>
                  <w:r>
                    <w:rPr>
                      <w:rFonts w:hint="eastAsia" w:ascii="Times New Roman" w:hAnsi="Times New Roman" w:eastAsia="宋体" w:cs="Times New Roman"/>
                      <w:color w:val="auto"/>
                      <w:spacing w:val="-10"/>
                      <w:sz w:val="18"/>
                      <w:szCs w:val="18"/>
                      <w:highlight w:val="none"/>
                      <w:lang w:val="en-US" w:eastAsia="zh-CN"/>
                    </w:rPr>
                    <w:t>4-9、本项目不涉及。</w:t>
                  </w:r>
                </w:p>
                <w:p w14:paraId="3668C663">
                  <w:pPr>
                    <w:keepNext w:val="0"/>
                    <w:keepLines w:val="0"/>
                    <w:pageBreakBefore w:val="0"/>
                    <w:widowControl w:val="0"/>
                    <w:numPr>
                      <w:ilvl w:val="0"/>
                      <w:numId w:val="0"/>
                    </w:numPr>
                    <w:kinsoku/>
                    <w:wordWrap/>
                    <w:overflowPunct/>
                    <w:topLinePunct w:val="0"/>
                    <w:autoSpaceDE/>
                    <w:autoSpaceDN/>
                    <w:bidi w:val="0"/>
                    <w:adjustRightInd/>
                    <w:snapToGrid/>
                    <w:spacing w:line="240" w:lineRule="exact"/>
                    <w:ind w:firstLine="320" w:firstLineChars="200"/>
                    <w:jc w:val="left"/>
                    <w:textAlignment w:val="auto"/>
                    <w:rPr>
                      <w:rFonts w:hint="default" w:ascii="Times New Roman" w:hAnsi="Times New Roman" w:eastAsia="宋体" w:cs="Times New Roman"/>
                      <w:color w:val="auto"/>
                      <w:kern w:val="2"/>
                      <w:sz w:val="21"/>
                      <w:szCs w:val="24"/>
                      <w:highlight w:val="none"/>
                      <w:lang w:val="en-US" w:eastAsia="zh-CN" w:bidi="ar-SA"/>
                    </w:rPr>
                  </w:pPr>
                  <w:r>
                    <w:rPr>
                      <w:rFonts w:hint="eastAsia" w:ascii="Times New Roman" w:hAnsi="Times New Roman" w:eastAsia="宋体" w:cs="Times New Roman"/>
                      <w:color w:val="auto"/>
                      <w:spacing w:val="-10"/>
                      <w:sz w:val="18"/>
                      <w:szCs w:val="18"/>
                      <w:highlight w:val="none"/>
                      <w:lang w:val="en-US" w:eastAsia="zh-CN"/>
                    </w:rPr>
                    <w:t>10、项目采取严格的源头控制、分区防渗措施，并设置完善的巡检制度，不会对土壤造成污染</w:t>
                  </w:r>
                </w:p>
              </w:tc>
              <w:tc>
                <w:tcPr>
                  <w:tcW w:w="750" w:type="dxa"/>
                  <w:tcBorders>
                    <w:tl2br w:val="nil"/>
                    <w:tr2bl w:val="nil"/>
                  </w:tcBorders>
                  <w:vAlign w:val="center"/>
                </w:tcPr>
                <w:p w14:paraId="2AE2F47E">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cs="Times New Roman"/>
                      <w:color w:val="auto"/>
                      <w:spacing w:val="-10"/>
                      <w:sz w:val="18"/>
                      <w:szCs w:val="18"/>
                      <w:highlight w:val="none"/>
                      <w:lang w:val="en-US" w:eastAsia="zh-CN"/>
                    </w:rPr>
                  </w:pPr>
                  <w:r>
                    <w:rPr>
                      <w:rFonts w:hint="default" w:ascii="Times New Roman" w:hAnsi="Times New Roman" w:cs="Times New Roman"/>
                      <w:color w:val="auto"/>
                      <w:spacing w:val="-10"/>
                      <w:sz w:val="18"/>
                      <w:szCs w:val="18"/>
                      <w:highlight w:val="none"/>
                      <w:lang w:val="en-US" w:eastAsia="zh-CN"/>
                    </w:rPr>
                    <w:t>符合</w:t>
                  </w:r>
                </w:p>
              </w:tc>
            </w:tr>
          </w:tbl>
          <w:p w14:paraId="35062A2B">
            <w:pPr>
              <w:pStyle w:val="24"/>
              <w:adjustRightInd w:val="0"/>
              <w:snapToGrid w:val="0"/>
              <w:spacing w:before="0" w:beforeAutospacing="0" w:after="0" w:afterAutospacing="0" w:line="440" w:lineRule="exact"/>
              <w:jc w:val="center"/>
              <w:rPr>
                <w:rFonts w:ascii="Times New Roman" w:hAnsi="Times New Roman"/>
                <w:b/>
                <w:color w:val="auto"/>
                <w:sz w:val="21"/>
                <w:szCs w:val="21"/>
                <w:highlight w:val="none"/>
              </w:rPr>
            </w:pPr>
            <w:r>
              <w:rPr>
                <w:rFonts w:hint="eastAsia" w:ascii="Times New Roman" w:hAnsi="Times New Roman"/>
                <w:b/>
                <w:color w:val="auto"/>
                <w:sz w:val="21"/>
                <w:szCs w:val="21"/>
                <w:highlight w:val="none"/>
                <w:lang w:val="en-US" w:eastAsia="zh-CN"/>
              </w:rPr>
              <w:t>续表2</w:t>
            </w:r>
            <w:r>
              <w:rPr>
                <w:rFonts w:hint="default" w:ascii="Times New Roman" w:hAnsi="Times New Roman"/>
                <w:b/>
                <w:color w:val="auto"/>
                <w:sz w:val="21"/>
                <w:szCs w:val="21"/>
                <w:highlight w:val="none"/>
                <w:lang w:val="en-US" w:eastAsia="zh-CN"/>
              </w:rPr>
              <w:t xml:space="preserve"> </w:t>
            </w:r>
            <w:r>
              <w:rPr>
                <w:rFonts w:hint="eastAsia" w:ascii="Times New Roman" w:hAnsi="Times New Roman"/>
                <w:b/>
                <w:color w:val="auto"/>
                <w:sz w:val="21"/>
                <w:szCs w:val="21"/>
                <w:highlight w:val="none"/>
                <w:lang w:val="en-US" w:eastAsia="zh-CN"/>
              </w:rPr>
              <w:t>项目与唐山市生态环境准入清单符合性分析</w:t>
            </w:r>
          </w:p>
          <w:tbl>
            <w:tblPr>
              <w:tblStyle w:val="29"/>
              <w:tblW w:w="11975" w:type="dxa"/>
              <w:tblInd w:w="5"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87"/>
              <w:gridCol w:w="419"/>
              <w:gridCol w:w="675"/>
              <w:gridCol w:w="6542"/>
              <w:gridCol w:w="2902"/>
              <w:gridCol w:w="750"/>
            </w:tblGrid>
            <w:tr w14:paraId="1BCE27B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781" w:type="dxa"/>
                  <w:gridSpan w:val="3"/>
                  <w:tcBorders>
                    <w:tl2br w:val="nil"/>
                    <w:tr2bl w:val="nil"/>
                  </w:tcBorders>
                  <w:vAlign w:val="center"/>
                </w:tcPr>
                <w:p w14:paraId="4D2A48D1">
                  <w:pPr>
                    <w:spacing w:line="240" w:lineRule="exact"/>
                    <w:jc w:val="center"/>
                    <w:rPr>
                      <w:rFonts w:hint="default" w:ascii="Times New Roman" w:hAnsi="Times New Roman" w:cs="Times New Roman"/>
                      <w:color w:val="auto"/>
                      <w:spacing w:val="-10"/>
                      <w:sz w:val="18"/>
                      <w:szCs w:val="18"/>
                      <w:highlight w:val="none"/>
                      <w:lang w:val="en-US" w:eastAsia="zh-CN"/>
                    </w:rPr>
                  </w:pPr>
                  <w:r>
                    <w:rPr>
                      <w:rFonts w:hint="default" w:ascii="Times New Roman" w:hAnsi="Times New Roman" w:cs="Times New Roman"/>
                      <w:color w:val="auto"/>
                      <w:spacing w:val="-10"/>
                      <w:sz w:val="18"/>
                      <w:szCs w:val="18"/>
                      <w:highlight w:val="none"/>
                      <w:lang w:val="en-US" w:eastAsia="zh-CN"/>
                    </w:rPr>
                    <w:t>管控单元</w:t>
                  </w:r>
                </w:p>
              </w:tc>
              <w:tc>
                <w:tcPr>
                  <w:tcW w:w="6542" w:type="dxa"/>
                  <w:tcBorders>
                    <w:tl2br w:val="nil"/>
                    <w:tr2bl w:val="nil"/>
                  </w:tcBorders>
                  <w:vAlign w:val="center"/>
                </w:tcPr>
                <w:p w14:paraId="5BF5A770">
                  <w:pPr>
                    <w:spacing w:line="240" w:lineRule="exact"/>
                    <w:jc w:val="center"/>
                    <w:rPr>
                      <w:rFonts w:hint="default" w:ascii="Times New Roman" w:hAnsi="Times New Roman" w:cs="Times New Roman"/>
                      <w:color w:val="auto"/>
                      <w:spacing w:val="-10"/>
                      <w:sz w:val="18"/>
                      <w:szCs w:val="18"/>
                      <w:highlight w:val="none"/>
                      <w:lang w:val="en-US" w:eastAsia="zh-CN"/>
                    </w:rPr>
                  </w:pPr>
                  <w:r>
                    <w:rPr>
                      <w:rFonts w:hint="default" w:ascii="Times New Roman" w:hAnsi="Times New Roman" w:cs="Times New Roman"/>
                      <w:color w:val="auto"/>
                      <w:spacing w:val="-10"/>
                      <w:sz w:val="18"/>
                      <w:szCs w:val="18"/>
                      <w:highlight w:val="none"/>
                      <w:lang w:val="en-US" w:eastAsia="zh-CN"/>
                    </w:rPr>
                    <w:t>要求</w:t>
                  </w:r>
                </w:p>
              </w:tc>
              <w:tc>
                <w:tcPr>
                  <w:tcW w:w="2902" w:type="dxa"/>
                  <w:tcBorders>
                    <w:tl2br w:val="nil"/>
                    <w:tr2bl w:val="nil"/>
                  </w:tcBorders>
                  <w:vAlign w:val="center"/>
                </w:tcPr>
                <w:p w14:paraId="36138803">
                  <w:pPr>
                    <w:spacing w:line="240" w:lineRule="exact"/>
                    <w:jc w:val="center"/>
                    <w:rPr>
                      <w:rFonts w:hint="default" w:ascii="Times New Roman" w:hAnsi="Times New Roman" w:cs="Times New Roman"/>
                      <w:color w:val="auto"/>
                      <w:spacing w:val="-10"/>
                      <w:sz w:val="18"/>
                      <w:szCs w:val="18"/>
                      <w:highlight w:val="none"/>
                      <w:lang w:val="en-US" w:eastAsia="zh-CN"/>
                    </w:rPr>
                  </w:pPr>
                  <w:r>
                    <w:rPr>
                      <w:rFonts w:hint="default" w:ascii="Times New Roman" w:hAnsi="Times New Roman" w:cs="Times New Roman"/>
                      <w:color w:val="auto"/>
                      <w:spacing w:val="-10"/>
                      <w:sz w:val="18"/>
                      <w:szCs w:val="18"/>
                      <w:highlight w:val="none"/>
                      <w:lang w:val="en-US" w:eastAsia="zh-CN"/>
                    </w:rPr>
                    <w:t>项目情况</w:t>
                  </w:r>
                </w:p>
              </w:tc>
              <w:tc>
                <w:tcPr>
                  <w:tcW w:w="750" w:type="dxa"/>
                  <w:tcBorders>
                    <w:tl2br w:val="nil"/>
                    <w:tr2bl w:val="nil"/>
                  </w:tcBorders>
                  <w:vAlign w:val="center"/>
                </w:tcPr>
                <w:p w14:paraId="242CDFA3">
                  <w:pPr>
                    <w:spacing w:line="240" w:lineRule="exact"/>
                    <w:jc w:val="center"/>
                    <w:rPr>
                      <w:rFonts w:hint="default" w:ascii="Times New Roman" w:hAnsi="Times New Roman" w:cs="Times New Roman"/>
                      <w:color w:val="auto"/>
                      <w:spacing w:val="-10"/>
                      <w:sz w:val="18"/>
                      <w:szCs w:val="18"/>
                      <w:highlight w:val="none"/>
                      <w:lang w:val="en-US" w:eastAsia="zh-CN"/>
                    </w:rPr>
                  </w:pPr>
                  <w:r>
                    <w:rPr>
                      <w:rFonts w:hint="default" w:ascii="Times New Roman" w:hAnsi="Times New Roman" w:cs="Times New Roman"/>
                      <w:color w:val="auto"/>
                      <w:spacing w:val="-10"/>
                      <w:sz w:val="18"/>
                      <w:szCs w:val="18"/>
                      <w:highlight w:val="none"/>
                      <w:lang w:val="en-US" w:eastAsia="zh-CN"/>
                    </w:rPr>
                    <w:t>符合性</w:t>
                  </w:r>
                </w:p>
              </w:tc>
            </w:tr>
            <w:tr w14:paraId="4C34667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87" w:type="dxa"/>
                  <w:vMerge w:val="restart"/>
                  <w:tcBorders>
                    <w:tl2br w:val="nil"/>
                    <w:tr2bl w:val="nil"/>
                  </w:tcBorders>
                  <w:vAlign w:val="center"/>
                </w:tcPr>
                <w:p w14:paraId="57160BFB">
                  <w:pPr>
                    <w:spacing w:line="240" w:lineRule="exact"/>
                    <w:jc w:val="center"/>
                    <w:rPr>
                      <w:rFonts w:hint="default" w:ascii="Times New Roman" w:hAnsi="Times New Roman" w:eastAsia="宋体" w:cs="Times New Roman"/>
                      <w:color w:val="auto"/>
                      <w:spacing w:val="-10"/>
                      <w:kern w:val="2"/>
                      <w:sz w:val="18"/>
                      <w:szCs w:val="18"/>
                      <w:highlight w:val="none"/>
                      <w:lang w:val="en-US" w:eastAsia="zh-CN" w:bidi="ar-SA"/>
                    </w:rPr>
                  </w:pPr>
                  <w:r>
                    <w:rPr>
                      <w:rFonts w:hint="default" w:ascii="Times New Roman" w:hAnsi="Times New Roman" w:cs="Times New Roman"/>
                      <w:color w:val="auto"/>
                      <w:spacing w:val="-10"/>
                      <w:sz w:val="18"/>
                      <w:szCs w:val="18"/>
                      <w:highlight w:val="none"/>
                      <w:lang w:val="en-US" w:eastAsia="zh-CN"/>
                    </w:rPr>
                    <w:t>资源</w:t>
                  </w:r>
                </w:p>
              </w:tc>
              <w:tc>
                <w:tcPr>
                  <w:tcW w:w="419" w:type="dxa"/>
                  <w:vMerge w:val="restart"/>
                  <w:tcBorders>
                    <w:tl2br w:val="nil"/>
                    <w:tr2bl w:val="nil"/>
                  </w:tcBorders>
                  <w:vAlign w:val="center"/>
                </w:tcPr>
                <w:p w14:paraId="42562034">
                  <w:pPr>
                    <w:keepNext w:val="0"/>
                    <w:keepLines w:val="0"/>
                    <w:widowControl/>
                    <w:suppressLineNumbers w:val="0"/>
                    <w:jc w:val="center"/>
                    <w:rPr>
                      <w:rFonts w:hint="default" w:ascii="Times New Roman" w:hAnsi="Times New Roman" w:eastAsia="宋体" w:cs="Times New Roman"/>
                      <w:color w:val="auto"/>
                      <w:kern w:val="0"/>
                      <w:sz w:val="18"/>
                      <w:szCs w:val="18"/>
                      <w:highlight w:val="none"/>
                      <w:lang w:val="en-US" w:eastAsia="zh-CN" w:bidi="ar"/>
                    </w:rPr>
                  </w:pPr>
                  <w:r>
                    <w:rPr>
                      <w:rFonts w:hint="default" w:ascii="Times New Roman" w:hAnsi="Times New Roman" w:eastAsia="宋体" w:cs="Times New Roman"/>
                      <w:color w:val="auto"/>
                      <w:kern w:val="0"/>
                      <w:sz w:val="18"/>
                      <w:szCs w:val="18"/>
                      <w:highlight w:val="none"/>
                      <w:lang w:val="en-US" w:eastAsia="zh-CN" w:bidi="ar"/>
                    </w:rPr>
                    <w:t>水资源</w:t>
                  </w:r>
                </w:p>
              </w:tc>
              <w:tc>
                <w:tcPr>
                  <w:tcW w:w="675" w:type="dxa"/>
                  <w:tcBorders>
                    <w:tl2br w:val="nil"/>
                    <w:tr2bl w:val="nil"/>
                  </w:tcBorders>
                  <w:shd w:val="clear" w:color="auto" w:fill="auto"/>
                  <w:vAlign w:val="center"/>
                </w:tcPr>
                <w:p w14:paraId="48040134">
                  <w:pPr>
                    <w:keepNext w:val="0"/>
                    <w:keepLines w:val="0"/>
                    <w:widowControl/>
                    <w:suppressLineNumbers w:val="0"/>
                    <w:jc w:val="center"/>
                    <w:rPr>
                      <w:rFonts w:hint="default" w:ascii="Times New Roman" w:hAnsi="Times New Roman" w:eastAsia="宋体" w:cs="Times New Roman"/>
                      <w:color w:val="auto"/>
                      <w:kern w:val="0"/>
                      <w:sz w:val="18"/>
                      <w:szCs w:val="18"/>
                      <w:highlight w:val="none"/>
                      <w:lang w:val="en-US" w:eastAsia="zh-CN" w:bidi="ar"/>
                    </w:rPr>
                  </w:pPr>
                  <w:r>
                    <w:rPr>
                      <w:rFonts w:hint="default" w:ascii="Times New Roman" w:hAnsi="Times New Roman" w:eastAsia="宋体" w:cs="Times New Roman"/>
                      <w:color w:val="auto"/>
                      <w:kern w:val="0"/>
                      <w:sz w:val="18"/>
                      <w:szCs w:val="18"/>
                      <w:highlight w:val="none"/>
                      <w:lang w:val="en-US" w:eastAsia="zh-CN" w:bidi="ar"/>
                    </w:rPr>
                    <w:t>总量和强度要求</w:t>
                  </w:r>
                </w:p>
              </w:tc>
              <w:tc>
                <w:tcPr>
                  <w:tcW w:w="6542" w:type="dxa"/>
                  <w:tcBorders>
                    <w:tl2br w:val="nil"/>
                    <w:tr2bl w:val="nil"/>
                  </w:tcBorders>
                  <w:shd w:val="clear" w:color="auto" w:fill="auto"/>
                  <w:vAlign w:val="center"/>
                </w:tcPr>
                <w:p w14:paraId="39F786B0">
                  <w:pPr>
                    <w:keepNext w:val="0"/>
                    <w:keepLines w:val="0"/>
                    <w:pageBreakBefore w:val="0"/>
                    <w:widowControl w:val="0"/>
                    <w:kinsoku/>
                    <w:wordWrap/>
                    <w:overflowPunct/>
                    <w:topLinePunct w:val="0"/>
                    <w:autoSpaceDE/>
                    <w:autoSpaceDN/>
                    <w:bidi w:val="0"/>
                    <w:adjustRightInd/>
                    <w:snapToGrid/>
                    <w:spacing w:line="240" w:lineRule="exact"/>
                    <w:ind w:firstLine="320" w:firstLineChars="200"/>
                    <w:jc w:val="left"/>
                    <w:textAlignment w:val="auto"/>
                    <w:rPr>
                      <w:rFonts w:hint="default" w:ascii="Times New Roman" w:hAnsi="Times New Roman" w:eastAsia="宋体" w:cs="Times New Roman"/>
                      <w:color w:val="auto"/>
                      <w:spacing w:val="-10"/>
                      <w:kern w:val="2"/>
                      <w:sz w:val="18"/>
                      <w:szCs w:val="18"/>
                      <w:highlight w:val="none"/>
                      <w:lang w:val="en-US" w:eastAsia="zh-CN" w:bidi="ar-SA"/>
                    </w:rPr>
                  </w:pPr>
                  <w:r>
                    <w:rPr>
                      <w:rFonts w:hint="eastAsia" w:ascii="Times New Roman" w:hAnsi="Times New Roman" w:eastAsia="宋体" w:cs="Times New Roman"/>
                      <w:color w:val="auto"/>
                      <w:spacing w:val="-10"/>
                      <w:sz w:val="18"/>
                      <w:szCs w:val="18"/>
                      <w:highlight w:val="none"/>
                      <w:lang w:val="en-US" w:eastAsia="zh-CN"/>
                    </w:rPr>
                    <w:t>到</w:t>
                  </w:r>
                  <w:r>
                    <w:rPr>
                      <w:rFonts w:hint="default" w:ascii="Times New Roman" w:hAnsi="Times New Roman" w:eastAsia="宋体" w:cs="Times New Roman"/>
                      <w:color w:val="auto"/>
                      <w:spacing w:val="-10"/>
                      <w:sz w:val="18"/>
                      <w:szCs w:val="18"/>
                      <w:highlight w:val="none"/>
                      <w:lang w:val="en-US" w:eastAsia="zh-CN"/>
                    </w:rPr>
                    <w:t>2025</w:t>
                  </w:r>
                  <w:r>
                    <w:rPr>
                      <w:rFonts w:hint="eastAsia" w:ascii="Times New Roman" w:hAnsi="Times New Roman" w:eastAsia="宋体" w:cs="Times New Roman"/>
                      <w:color w:val="auto"/>
                      <w:spacing w:val="-10"/>
                      <w:sz w:val="18"/>
                      <w:szCs w:val="18"/>
                      <w:highlight w:val="none"/>
                      <w:lang w:val="en-US" w:eastAsia="zh-CN"/>
                    </w:rPr>
                    <w:t>年，全市用水总量控制在</w:t>
                  </w:r>
                  <w:r>
                    <w:rPr>
                      <w:rFonts w:hint="default" w:ascii="Times New Roman" w:hAnsi="Times New Roman" w:eastAsia="宋体" w:cs="Times New Roman"/>
                      <w:color w:val="auto"/>
                      <w:spacing w:val="-10"/>
                      <w:sz w:val="18"/>
                      <w:szCs w:val="18"/>
                      <w:highlight w:val="none"/>
                      <w:lang w:val="en-US" w:eastAsia="zh-CN"/>
                    </w:rPr>
                    <w:t>28.48</w:t>
                  </w:r>
                  <w:r>
                    <w:rPr>
                      <w:rFonts w:hint="eastAsia" w:ascii="Times New Roman" w:hAnsi="Times New Roman" w:eastAsia="宋体" w:cs="Times New Roman"/>
                      <w:color w:val="auto"/>
                      <w:spacing w:val="-10"/>
                      <w:sz w:val="18"/>
                      <w:szCs w:val="18"/>
                      <w:highlight w:val="none"/>
                      <w:lang w:val="en-US" w:eastAsia="zh-CN"/>
                    </w:rPr>
                    <w:t>亿立方米以内；万元</w:t>
                  </w:r>
                  <w:r>
                    <w:rPr>
                      <w:rFonts w:hint="default" w:ascii="Times New Roman" w:hAnsi="Times New Roman" w:eastAsia="宋体" w:cs="Times New Roman"/>
                      <w:color w:val="auto"/>
                      <w:spacing w:val="-10"/>
                      <w:sz w:val="18"/>
                      <w:szCs w:val="18"/>
                      <w:highlight w:val="none"/>
                      <w:lang w:val="en-US" w:eastAsia="zh-CN"/>
                    </w:rPr>
                    <w:t>GDP</w:t>
                  </w:r>
                  <w:r>
                    <w:rPr>
                      <w:rFonts w:hint="eastAsia" w:ascii="Times New Roman" w:hAnsi="Times New Roman" w:eastAsia="宋体" w:cs="Times New Roman"/>
                      <w:color w:val="auto"/>
                      <w:spacing w:val="-10"/>
                      <w:sz w:val="18"/>
                      <w:szCs w:val="18"/>
                      <w:highlight w:val="none"/>
                      <w:lang w:val="en-US" w:eastAsia="zh-CN"/>
                    </w:rPr>
                    <w:t xml:space="preserve">用水量规划目标值 </w:t>
                  </w:r>
                  <w:r>
                    <w:rPr>
                      <w:rFonts w:hint="default" w:ascii="Times New Roman" w:hAnsi="Times New Roman" w:eastAsia="宋体" w:cs="Times New Roman"/>
                      <w:color w:val="auto"/>
                      <w:spacing w:val="-10"/>
                      <w:sz w:val="18"/>
                      <w:szCs w:val="18"/>
                      <w:highlight w:val="none"/>
                      <w:lang w:val="en-US" w:eastAsia="zh-CN"/>
                    </w:rPr>
                    <w:t>30.0m³</w:t>
                  </w:r>
                  <w:r>
                    <w:rPr>
                      <w:rFonts w:hint="eastAsia" w:ascii="Times New Roman" w:hAnsi="Times New Roman" w:eastAsia="宋体" w:cs="Times New Roman"/>
                      <w:color w:val="auto"/>
                      <w:spacing w:val="-10"/>
                      <w:sz w:val="18"/>
                      <w:szCs w:val="18"/>
                      <w:highlight w:val="none"/>
                      <w:lang w:val="en-US" w:eastAsia="zh-CN"/>
                    </w:rPr>
                    <w:t>，较</w:t>
                  </w:r>
                  <w:r>
                    <w:rPr>
                      <w:rFonts w:hint="default" w:ascii="Times New Roman" w:hAnsi="Times New Roman" w:eastAsia="宋体" w:cs="Times New Roman"/>
                      <w:color w:val="auto"/>
                      <w:spacing w:val="-10"/>
                      <w:sz w:val="18"/>
                      <w:szCs w:val="18"/>
                      <w:highlight w:val="none"/>
                      <w:lang w:val="en-US" w:eastAsia="zh-CN"/>
                    </w:rPr>
                    <w:t>2020</w:t>
                  </w:r>
                  <w:r>
                    <w:rPr>
                      <w:rFonts w:hint="eastAsia" w:ascii="Times New Roman" w:hAnsi="Times New Roman" w:eastAsia="宋体" w:cs="Times New Roman"/>
                      <w:color w:val="auto"/>
                      <w:spacing w:val="-10"/>
                      <w:sz w:val="18"/>
                      <w:szCs w:val="18"/>
                      <w:highlight w:val="none"/>
                      <w:lang w:val="en-US" w:eastAsia="zh-CN"/>
                    </w:rPr>
                    <w:t>年下降率为</w:t>
                  </w:r>
                  <w:r>
                    <w:rPr>
                      <w:rFonts w:hint="default" w:ascii="Times New Roman" w:hAnsi="Times New Roman" w:eastAsia="宋体" w:cs="Times New Roman"/>
                      <w:color w:val="auto"/>
                      <w:spacing w:val="-10"/>
                      <w:sz w:val="18"/>
                      <w:szCs w:val="18"/>
                      <w:highlight w:val="none"/>
                      <w:lang w:val="en-US" w:eastAsia="zh-CN"/>
                    </w:rPr>
                    <w:t>7.4%</w:t>
                  </w:r>
                  <w:r>
                    <w:rPr>
                      <w:rFonts w:hint="eastAsia" w:ascii="Times New Roman" w:hAnsi="Times New Roman" w:eastAsia="宋体" w:cs="Times New Roman"/>
                      <w:color w:val="auto"/>
                      <w:spacing w:val="-10"/>
                      <w:sz w:val="18"/>
                      <w:szCs w:val="18"/>
                      <w:highlight w:val="none"/>
                      <w:lang w:val="en-US" w:eastAsia="zh-CN"/>
                    </w:rPr>
                    <w:t>；万元工业增加值用水量较</w:t>
                  </w:r>
                  <w:r>
                    <w:rPr>
                      <w:rFonts w:hint="default" w:ascii="Times New Roman" w:hAnsi="Times New Roman" w:eastAsia="宋体" w:cs="Times New Roman"/>
                      <w:color w:val="auto"/>
                      <w:spacing w:val="-10"/>
                      <w:sz w:val="18"/>
                      <w:szCs w:val="18"/>
                      <w:highlight w:val="none"/>
                      <w:lang w:val="en-US" w:eastAsia="zh-CN"/>
                    </w:rPr>
                    <w:t>2020</w:t>
                  </w:r>
                  <w:r>
                    <w:rPr>
                      <w:rFonts w:hint="eastAsia" w:ascii="Times New Roman" w:hAnsi="Times New Roman" w:eastAsia="宋体" w:cs="Times New Roman"/>
                      <w:color w:val="auto"/>
                      <w:spacing w:val="-10"/>
                      <w:sz w:val="18"/>
                      <w:szCs w:val="18"/>
                      <w:highlight w:val="none"/>
                      <w:lang w:val="en-US" w:eastAsia="zh-CN"/>
                    </w:rPr>
                    <w:t>年下降</w:t>
                  </w:r>
                  <w:r>
                    <w:rPr>
                      <w:rFonts w:hint="default" w:ascii="Times New Roman" w:hAnsi="Times New Roman" w:eastAsia="宋体" w:cs="Times New Roman"/>
                      <w:color w:val="auto"/>
                      <w:spacing w:val="-10"/>
                      <w:sz w:val="18"/>
                      <w:szCs w:val="18"/>
                      <w:highlight w:val="none"/>
                      <w:lang w:val="en-US" w:eastAsia="zh-CN"/>
                    </w:rPr>
                    <w:t>14.4%</w:t>
                  </w:r>
                  <w:r>
                    <w:rPr>
                      <w:rFonts w:hint="eastAsia" w:ascii="Times New Roman" w:hAnsi="Times New Roman" w:eastAsia="宋体" w:cs="Times New Roman"/>
                      <w:color w:val="auto"/>
                      <w:spacing w:val="-10"/>
                      <w:sz w:val="18"/>
                      <w:szCs w:val="18"/>
                      <w:highlight w:val="none"/>
                      <w:lang w:val="en-US" w:eastAsia="zh-CN"/>
                    </w:rPr>
                    <w:t>；农田灌溉水有效利用系数提高到</w:t>
                  </w:r>
                  <w:r>
                    <w:rPr>
                      <w:rFonts w:hint="default" w:ascii="Times New Roman" w:hAnsi="Times New Roman" w:eastAsia="宋体" w:cs="Times New Roman"/>
                      <w:color w:val="auto"/>
                      <w:spacing w:val="-10"/>
                      <w:sz w:val="18"/>
                      <w:szCs w:val="18"/>
                      <w:highlight w:val="none"/>
                      <w:lang w:val="en-US" w:eastAsia="zh-CN"/>
                    </w:rPr>
                    <w:t>0.6766</w:t>
                  </w:r>
                  <w:r>
                    <w:rPr>
                      <w:rFonts w:hint="eastAsia" w:ascii="Times New Roman" w:hAnsi="Times New Roman" w:eastAsia="宋体" w:cs="Times New Roman"/>
                      <w:color w:val="auto"/>
                      <w:spacing w:val="-10"/>
                      <w:sz w:val="18"/>
                      <w:szCs w:val="18"/>
                      <w:highlight w:val="none"/>
                      <w:lang w:val="en-US" w:eastAsia="zh-CN"/>
                    </w:rPr>
                    <w:t>以上；城市公共供水管网漏损率控制在</w:t>
                  </w:r>
                  <w:r>
                    <w:rPr>
                      <w:rFonts w:hint="default" w:ascii="Times New Roman" w:hAnsi="Times New Roman" w:eastAsia="宋体" w:cs="Times New Roman"/>
                      <w:color w:val="auto"/>
                      <w:spacing w:val="-10"/>
                      <w:sz w:val="18"/>
                      <w:szCs w:val="18"/>
                      <w:highlight w:val="none"/>
                      <w:lang w:val="en-US" w:eastAsia="zh-CN"/>
                    </w:rPr>
                    <w:t>10%</w:t>
                  </w:r>
                  <w:r>
                    <w:rPr>
                      <w:rFonts w:hint="eastAsia" w:ascii="Times New Roman" w:hAnsi="Times New Roman" w:eastAsia="宋体" w:cs="Times New Roman"/>
                      <w:color w:val="auto"/>
                      <w:spacing w:val="-10"/>
                      <w:sz w:val="18"/>
                      <w:szCs w:val="18"/>
                      <w:highlight w:val="none"/>
                      <w:lang w:val="en-US" w:eastAsia="zh-CN"/>
                    </w:rPr>
                    <w:t>以内。</w:t>
                  </w:r>
                </w:p>
              </w:tc>
              <w:tc>
                <w:tcPr>
                  <w:tcW w:w="2902" w:type="dxa"/>
                  <w:tcBorders>
                    <w:tl2br w:val="nil"/>
                    <w:tr2bl w:val="nil"/>
                  </w:tcBorders>
                  <w:shd w:val="clear" w:color="auto" w:fill="auto"/>
                  <w:vAlign w:val="center"/>
                </w:tcPr>
                <w:p w14:paraId="49298AAE">
                  <w:pPr>
                    <w:keepNext w:val="0"/>
                    <w:keepLines w:val="0"/>
                    <w:pageBreakBefore w:val="0"/>
                    <w:widowControl w:val="0"/>
                    <w:kinsoku/>
                    <w:wordWrap/>
                    <w:overflowPunct/>
                    <w:topLinePunct w:val="0"/>
                    <w:autoSpaceDE/>
                    <w:autoSpaceDN/>
                    <w:bidi w:val="0"/>
                    <w:adjustRightInd/>
                    <w:snapToGrid/>
                    <w:spacing w:line="240" w:lineRule="exact"/>
                    <w:ind w:firstLine="320" w:firstLineChars="200"/>
                    <w:jc w:val="left"/>
                    <w:textAlignment w:val="auto"/>
                    <w:rPr>
                      <w:rFonts w:hint="eastAsia" w:ascii="Times New Roman" w:hAnsi="Times New Roman" w:eastAsia="宋体" w:cs="Times New Roman"/>
                      <w:color w:val="auto"/>
                      <w:spacing w:val="-10"/>
                      <w:kern w:val="2"/>
                      <w:sz w:val="18"/>
                      <w:szCs w:val="18"/>
                      <w:highlight w:val="none"/>
                      <w:lang w:val="en-US" w:eastAsia="zh-CN" w:bidi="ar-SA"/>
                    </w:rPr>
                  </w:pPr>
                  <w:r>
                    <w:rPr>
                      <w:rFonts w:hint="eastAsia" w:cs="Times New Roman"/>
                      <w:color w:val="auto"/>
                      <w:spacing w:val="-10"/>
                      <w:sz w:val="18"/>
                      <w:szCs w:val="18"/>
                      <w:highlight w:val="none"/>
                      <w:lang w:val="en-US" w:eastAsia="zh-CN"/>
                    </w:rPr>
                    <w:t>本项目生活用水采用桶装水，生产用水采用中水，由唐山市古冶区宏源污水处理厂提供（协议见附件）。</w:t>
                  </w:r>
                </w:p>
              </w:tc>
              <w:tc>
                <w:tcPr>
                  <w:tcW w:w="750" w:type="dxa"/>
                  <w:tcBorders>
                    <w:tl2br w:val="nil"/>
                    <w:tr2bl w:val="nil"/>
                  </w:tcBorders>
                  <w:shd w:val="clear" w:color="auto" w:fill="auto"/>
                  <w:vAlign w:val="center"/>
                </w:tcPr>
                <w:p w14:paraId="0AAB32C2">
                  <w:pPr>
                    <w:spacing w:line="240" w:lineRule="exact"/>
                    <w:jc w:val="center"/>
                    <w:rPr>
                      <w:rFonts w:hint="default" w:ascii="Times New Roman" w:hAnsi="Times New Roman" w:eastAsia="宋体" w:cs="Times New Roman"/>
                      <w:color w:val="auto"/>
                      <w:spacing w:val="-10"/>
                      <w:kern w:val="2"/>
                      <w:sz w:val="18"/>
                      <w:szCs w:val="18"/>
                      <w:highlight w:val="none"/>
                      <w:lang w:val="en-US" w:eastAsia="zh-CN" w:bidi="ar-SA"/>
                    </w:rPr>
                  </w:pPr>
                  <w:r>
                    <w:rPr>
                      <w:rFonts w:hint="default" w:ascii="Times New Roman" w:hAnsi="Times New Roman" w:eastAsia="宋体" w:cs="Times New Roman"/>
                      <w:color w:val="auto"/>
                      <w:spacing w:val="-10"/>
                      <w:sz w:val="18"/>
                      <w:szCs w:val="18"/>
                      <w:highlight w:val="none"/>
                      <w:lang w:val="en-US" w:eastAsia="zh-CN"/>
                    </w:rPr>
                    <w:t>符合</w:t>
                  </w:r>
                </w:p>
              </w:tc>
            </w:tr>
            <w:tr w14:paraId="170B9E1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87" w:type="dxa"/>
                  <w:vMerge w:val="continue"/>
                  <w:tcBorders>
                    <w:tl2br w:val="nil"/>
                    <w:tr2bl w:val="nil"/>
                  </w:tcBorders>
                  <w:vAlign w:val="center"/>
                </w:tcPr>
                <w:p w14:paraId="0227C6EB">
                  <w:pPr>
                    <w:spacing w:line="240" w:lineRule="exact"/>
                    <w:jc w:val="center"/>
                    <w:rPr>
                      <w:rFonts w:hint="default" w:ascii="Times New Roman" w:hAnsi="Times New Roman" w:cs="Times New Roman"/>
                      <w:color w:val="auto"/>
                      <w:spacing w:val="-10"/>
                      <w:sz w:val="18"/>
                      <w:szCs w:val="18"/>
                      <w:highlight w:val="none"/>
                      <w:lang w:val="en-US" w:eastAsia="zh-CN"/>
                    </w:rPr>
                  </w:pPr>
                </w:p>
              </w:tc>
              <w:tc>
                <w:tcPr>
                  <w:tcW w:w="419" w:type="dxa"/>
                  <w:vMerge w:val="continue"/>
                  <w:tcBorders>
                    <w:tl2br w:val="nil"/>
                    <w:tr2bl w:val="nil"/>
                  </w:tcBorders>
                  <w:shd w:val="clear" w:color="auto" w:fill="auto"/>
                  <w:vAlign w:val="center"/>
                </w:tcPr>
                <w:p w14:paraId="4051FD0E">
                  <w:pPr>
                    <w:keepNext w:val="0"/>
                    <w:keepLines w:val="0"/>
                    <w:widowControl/>
                    <w:suppressLineNumbers w:val="0"/>
                    <w:jc w:val="center"/>
                    <w:rPr>
                      <w:rFonts w:hint="default" w:ascii="Times New Roman" w:hAnsi="Times New Roman" w:eastAsia="宋体" w:cs="Times New Roman"/>
                      <w:color w:val="auto"/>
                      <w:kern w:val="0"/>
                      <w:sz w:val="18"/>
                      <w:szCs w:val="18"/>
                      <w:highlight w:val="none"/>
                      <w:lang w:val="en-US" w:eastAsia="zh-CN" w:bidi="ar"/>
                    </w:rPr>
                  </w:pPr>
                </w:p>
              </w:tc>
              <w:tc>
                <w:tcPr>
                  <w:tcW w:w="675" w:type="dxa"/>
                  <w:tcBorders>
                    <w:tl2br w:val="nil"/>
                    <w:tr2bl w:val="nil"/>
                  </w:tcBorders>
                  <w:shd w:val="clear" w:color="auto" w:fill="auto"/>
                  <w:vAlign w:val="center"/>
                </w:tcPr>
                <w:p w14:paraId="76CEC4CE">
                  <w:pPr>
                    <w:keepNext w:val="0"/>
                    <w:keepLines w:val="0"/>
                    <w:widowControl/>
                    <w:suppressLineNumbers w:val="0"/>
                    <w:jc w:val="center"/>
                    <w:rPr>
                      <w:rFonts w:hint="default" w:ascii="Times New Roman" w:hAnsi="Times New Roman" w:eastAsia="宋体" w:cs="Times New Roman"/>
                      <w:color w:val="auto"/>
                      <w:kern w:val="0"/>
                      <w:sz w:val="18"/>
                      <w:szCs w:val="18"/>
                      <w:highlight w:val="none"/>
                      <w:lang w:val="en-US" w:eastAsia="zh-CN" w:bidi="ar"/>
                    </w:rPr>
                  </w:pPr>
                  <w:r>
                    <w:rPr>
                      <w:rFonts w:hint="default" w:ascii="Times New Roman" w:hAnsi="Times New Roman" w:eastAsia="宋体" w:cs="Times New Roman"/>
                      <w:color w:val="auto"/>
                      <w:kern w:val="0"/>
                      <w:sz w:val="18"/>
                      <w:szCs w:val="18"/>
                      <w:highlight w:val="none"/>
                      <w:lang w:val="en-US" w:eastAsia="zh-CN" w:bidi="ar"/>
                    </w:rPr>
                    <w:t>资源利用效率 要求</w:t>
                  </w:r>
                </w:p>
              </w:tc>
              <w:tc>
                <w:tcPr>
                  <w:tcW w:w="6542" w:type="dxa"/>
                  <w:tcBorders>
                    <w:tl2br w:val="nil"/>
                    <w:tr2bl w:val="nil"/>
                  </w:tcBorders>
                  <w:shd w:val="clear" w:color="auto" w:fill="auto"/>
                  <w:vAlign w:val="center"/>
                </w:tcPr>
                <w:p w14:paraId="7A3076B6">
                  <w:pPr>
                    <w:keepNext w:val="0"/>
                    <w:keepLines w:val="0"/>
                    <w:pageBreakBefore w:val="0"/>
                    <w:widowControl w:val="0"/>
                    <w:numPr>
                      <w:ilvl w:val="0"/>
                      <w:numId w:val="6"/>
                    </w:numPr>
                    <w:kinsoku/>
                    <w:wordWrap/>
                    <w:overflowPunct/>
                    <w:topLinePunct w:val="0"/>
                    <w:autoSpaceDE/>
                    <w:autoSpaceDN/>
                    <w:bidi w:val="0"/>
                    <w:adjustRightInd/>
                    <w:snapToGrid/>
                    <w:spacing w:line="240" w:lineRule="exact"/>
                    <w:ind w:firstLine="320" w:firstLineChars="200"/>
                    <w:jc w:val="left"/>
                    <w:textAlignment w:val="auto"/>
                    <w:rPr>
                      <w:rFonts w:hint="eastAsia" w:ascii="Times New Roman" w:hAnsi="Times New Roman" w:eastAsia="宋体" w:cs="Times New Roman"/>
                      <w:color w:val="auto"/>
                      <w:spacing w:val="-10"/>
                      <w:sz w:val="18"/>
                      <w:szCs w:val="18"/>
                      <w:highlight w:val="none"/>
                      <w:lang w:val="en-US" w:eastAsia="zh-CN"/>
                    </w:rPr>
                  </w:pPr>
                  <w:r>
                    <w:rPr>
                      <w:rFonts w:hint="eastAsia" w:ascii="Times New Roman" w:hAnsi="Times New Roman" w:eastAsia="宋体" w:cs="Times New Roman"/>
                      <w:color w:val="auto"/>
                      <w:spacing w:val="-10"/>
                      <w:sz w:val="18"/>
                      <w:szCs w:val="18"/>
                      <w:highlight w:val="none"/>
                      <w:lang w:val="en-US" w:eastAsia="zh-CN"/>
                    </w:rPr>
                    <w:t>严格地下水管理。在地下水禁采区内，除为保障地下工程施工安全和生产安全必须进行临时应急取（排）水、为消除对公共安全或者公共利益的危害临时应急取水，以及为开展地下水监测、勘探、试验少量取水外，禁止取用地下水。在地下水限采区内，对当地社会发展和群众生活有重大影响的重点建设项目确需取用地下水的，应按照用</w:t>
                  </w:r>
                  <w:r>
                    <w:rPr>
                      <w:rFonts w:hint="default" w:ascii="Times New Roman" w:hAnsi="Times New Roman" w:eastAsia="宋体" w:cs="Times New Roman"/>
                      <w:color w:val="auto"/>
                      <w:spacing w:val="-10"/>
                      <w:sz w:val="18"/>
                      <w:szCs w:val="18"/>
                      <w:highlight w:val="none"/>
                      <w:lang w:val="en-US" w:eastAsia="zh-CN"/>
                    </w:rPr>
                    <w:t>1</w:t>
                  </w:r>
                  <w:r>
                    <w:rPr>
                      <w:rFonts w:hint="eastAsia" w:ascii="Times New Roman" w:hAnsi="Times New Roman" w:eastAsia="宋体" w:cs="Times New Roman"/>
                      <w:color w:val="auto"/>
                      <w:spacing w:val="-10"/>
                      <w:sz w:val="18"/>
                      <w:szCs w:val="18"/>
                      <w:highlight w:val="none"/>
                      <w:lang w:val="en-US" w:eastAsia="zh-CN"/>
                    </w:rPr>
                    <w:t>减</w:t>
                  </w:r>
                  <w:r>
                    <w:rPr>
                      <w:rFonts w:hint="default" w:ascii="Times New Roman" w:hAnsi="Times New Roman" w:eastAsia="宋体" w:cs="Times New Roman"/>
                      <w:color w:val="auto"/>
                      <w:spacing w:val="-10"/>
                      <w:sz w:val="18"/>
                      <w:szCs w:val="18"/>
                      <w:highlight w:val="none"/>
                      <w:lang w:val="en-US" w:eastAsia="zh-CN"/>
                    </w:rPr>
                    <w:t>2</w:t>
                  </w:r>
                  <w:r>
                    <w:rPr>
                      <w:rFonts w:hint="eastAsia" w:ascii="Times New Roman" w:hAnsi="Times New Roman" w:eastAsia="宋体" w:cs="Times New Roman"/>
                      <w:color w:val="auto"/>
                      <w:spacing w:val="-10"/>
                      <w:sz w:val="18"/>
                      <w:szCs w:val="18"/>
                      <w:highlight w:val="none"/>
                      <w:lang w:val="en-US" w:eastAsia="zh-CN"/>
                    </w:rPr>
                    <w:t>的比例以及先减后加的原则，同步削减其他取水单位的地下水开采量，且不得深层、浅层地下水相互替代。地下水开发利用应当以浅层地下水为主。深层地下水作为战略储备水源、应急供水水源、无替代水源地区的居民生活水源，应当严格限制开采。</w:t>
                  </w:r>
                </w:p>
                <w:p w14:paraId="59DB3658">
                  <w:pPr>
                    <w:keepNext w:val="0"/>
                    <w:keepLines w:val="0"/>
                    <w:pageBreakBefore w:val="0"/>
                    <w:widowControl w:val="0"/>
                    <w:numPr>
                      <w:ilvl w:val="0"/>
                      <w:numId w:val="6"/>
                    </w:numPr>
                    <w:kinsoku/>
                    <w:wordWrap/>
                    <w:overflowPunct/>
                    <w:topLinePunct w:val="0"/>
                    <w:autoSpaceDE/>
                    <w:autoSpaceDN/>
                    <w:bidi w:val="0"/>
                    <w:adjustRightInd/>
                    <w:snapToGrid/>
                    <w:spacing w:line="240" w:lineRule="exact"/>
                    <w:ind w:firstLine="320" w:firstLineChars="200"/>
                    <w:jc w:val="left"/>
                    <w:textAlignment w:val="auto"/>
                    <w:rPr>
                      <w:rFonts w:hint="default" w:ascii="Times New Roman" w:hAnsi="Times New Roman" w:eastAsia="宋体" w:cs="Times New Roman"/>
                      <w:color w:val="auto"/>
                      <w:spacing w:val="-10"/>
                      <w:sz w:val="18"/>
                      <w:szCs w:val="18"/>
                      <w:highlight w:val="none"/>
                      <w:lang w:val="en-US" w:eastAsia="zh-CN"/>
                    </w:rPr>
                  </w:pPr>
                  <w:r>
                    <w:rPr>
                      <w:rFonts w:hint="eastAsia" w:ascii="Times New Roman" w:hAnsi="Times New Roman" w:eastAsia="宋体" w:cs="Times New Roman"/>
                      <w:color w:val="auto"/>
                      <w:spacing w:val="-10"/>
                      <w:sz w:val="18"/>
                      <w:szCs w:val="18"/>
                      <w:highlight w:val="none"/>
                      <w:lang w:val="en-US" w:eastAsia="zh-CN"/>
                    </w:rPr>
                    <w:t>在地下水严重超采地区，实施轮作休耕、旱作雨养，适度退减灌溉面积。严格限制开采深层地下水用于农业灌溉。科学利用水库调蓄功能，用足用好外调水，合理利用当地地表水，鼓励利用非常规水，严格控制开采地下水，确需开采地下水的，由县级人民政府逐级报省人民政府批准。县级以上人民政府水行政主管部门应当加强大中型灌区续建配套和现代化改造，改善灌溉条件，提高灌溉用水效率，建设节水型灌区。</w:t>
                  </w:r>
                </w:p>
                <w:p w14:paraId="0BF89DB2">
                  <w:pPr>
                    <w:keepNext w:val="0"/>
                    <w:keepLines w:val="0"/>
                    <w:pageBreakBefore w:val="0"/>
                    <w:widowControl w:val="0"/>
                    <w:kinsoku/>
                    <w:wordWrap/>
                    <w:overflowPunct/>
                    <w:topLinePunct w:val="0"/>
                    <w:autoSpaceDE/>
                    <w:autoSpaceDN/>
                    <w:bidi w:val="0"/>
                    <w:adjustRightInd/>
                    <w:snapToGrid/>
                    <w:spacing w:line="240" w:lineRule="exact"/>
                    <w:ind w:firstLine="320" w:firstLineChars="200"/>
                    <w:jc w:val="left"/>
                    <w:textAlignment w:val="auto"/>
                    <w:rPr>
                      <w:rFonts w:hint="default" w:ascii="Times New Roman" w:hAnsi="Times New Roman" w:eastAsia="宋体" w:cs="Times New Roman"/>
                      <w:color w:val="auto"/>
                      <w:spacing w:val="-10"/>
                      <w:kern w:val="2"/>
                      <w:sz w:val="18"/>
                      <w:szCs w:val="18"/>
                      <w:highlight w:val="none"/>
                      <w:lang w:val="en-US" w:eastAsia="zh-CN" w:bidi="ar-SA"/>
                    </w:rPr>
                  </w:pPr>
                  <w:r>
                    <w:rPr>
                      <w:rFonts w:hint="default" w:ascii="Times New Roman" w:hAnsi="Times New Roman" w:eastAsia="宋体" w:cs="Times New Roman"/>
                      <w:color w:val="auto"/>
                      <w:spacing w:val="-10"/>
                      <w:sz w:val="18"/>
                      <w:szCs w:val="18"/>
                      <w:highlight w:val="none"/>
                      <w:lang w:val="en-US" w:eastAsia="zh-CN"/>
                    </w:rPr>
                    <w:t>3</w:t>
                  </w:r>
                  <w:r>
                    <w:rPr>
                      <w:rFonts w:hint="eastAsia" w:ascii="Times New Roman" w:hAnsi="Times New Roman" w:eastAsia="宋体" w:cs="Times New Roman"/>
                      <w:color w:val="auto"/>
                      <w:spacing w:val="-10"/>
                      <w:sz w:val="18"/>
                      <w:szCs w:val="18"/>
                      <w:highlight w:val="none"/>
                      <w:lang w:val="en-US" w:eastAsia="zh-CN"/>
                    </w:rPr>
                    <w:t>、把节水作为水资源开发、利用、保护、配置、调度的前提，加强水资源调度管理。开展城镇后备水源建设，大力开发利用非常规水源，提高水资源的利用效率和效益。</w:t>
                  </w:r>
                </w:p>
              </w:tc>
              <w:tc>
                <w:tcPr>
                  <w:tcW w:w="2902" w:type="dxa"/>
                  <w:tcBorders>
                    <w:tl2br w:val="nil"/>
                    <w:tr2bl w:val="nil"/>
                  </w:tcBorders>
                  <w:shd w:val="clear" w:color="auto" w:fill="auto"/>
                  <w:vAlign w:val="center"/>
                </w:tcPr>
                <w:p w14:paraId="42343AAC">
                  <w:pPr>
                    <w:keepNext w:val="0"/>
                    <w:keepLines w:val="0"/>
                    <w:pageBreakBefore w:val="0"/>
                    <w:widowControl w:val="0"/>
                    <w:kinsoku/>
                    <w:wordWrap/>
                    <w:overflowPunct/>
                    <w:topLinePunct w:val="0"/>
                    <w:autoSpaceDE/>
                    <w:autoSpaceDN/>
                    <w:bidi w:val="0"/>
                    <w:adjustRightInd/>
                    <w:snapToGrid/>
                    <w:spacing w:line="240" w:lineRule="exact"/>
                    <w:ind w:firstLine="320" w:firstLineChars="200"/>
                    <w:jc w:val="left"/>
                    <w:textAlignment w:val="auto"/>
                    <w:rPr>
                      <w:rFonts w:hint="eastAsia" w:cs="Times New Roman"/>
                      <w:color w:val="auto"/>
                      <w:spacing w:val="-10"/>
                      <w:sz w:val="18"/>
                      <w:szCs w:val="18"/>
                      <w:highlight w:val="none"/>
                      <w:lang w:val="en-US" w:eastAsia="zh-CN"/>
                    </w:rPr>
                  </w:pPr>
                  <w:r>
                    <w:rPr>
                      <w:rFonts w:hint="eastAsia" w:cs="Times New Roman"/>
                      <w:color w:val="auto"/>
                      <w:spacing w:val="-10"/>
                      <w:sz w:val="18"/>
                      <w:szCs w:val="18"/>
                      <w:highlight w:val="none"/>
                      <w:lang w:val="en-US" w:eastAsia="zh-CN"/>
                    </w:rPr>
                    <w:t>1、本项目生活用水采用桶装水，生产用水采用中水，由唐山市古冶区宏源污水处理厂提供（协议见附件）。</w:t>
                  </w:r>
                </w:p>
                <w:p w14:paraId="498824B3">
                  <w:pPr>
                    <w:keepNext w:val="0"/>
                    <w:keepLines w:val="0"/>
                    <w:pageBreakBefore w:val="0"/>
                    <w:widowControl w:val="0"/>
                    <w:kinsoku/>
                    <w:wordWrap/>
                    <w:overflowPunct/>
                    <w:topLinePunct w:val="0"/>
                    <w:autoSpaceDE/>
                    <w:autoSpaceDN/>
                    <w:bidi w:val="0"/>
                    <w:adjustRightInd/>
                    <w:snapToGrid/>
                    <w:spacing w:line="240" w:lineRule="exact"/>
                    <w:ind w:firstLine="320" w:firstLineChars="200"/>
                    <w:jc w:val="left"/>
                    <w:textAlignment w:val="auto"/>
                    <w:rPr>
                      <w:rFonts w:hint="eastAsia" w:cs="Times New Roman"/>
                      <w:color w:val="auto"/>
                      <w:spacing w:val="-10"/>
                      <w:sz w:val="18"/>
                      <w:szCs w:val="18"/>
                      <w:highlight w:val="none"/>
                      <w:lang w:val="en-US" w:eastAsia="zh-CN"/>
                    </w:rPr>
                  </w:pPr>
                  <w:r>
                    <w:rPr>
                      <w:rFonts w:hint="eastAsia" w:cs="Times New Roman"/>
                      <w:color w:val="auto"/>
                      <w:spacing w:val="-10"/>
                      <w:sz w:val="18"/>
                      <w:szCs w:val="18"/>
                      <w:highlight w:val="none"/>
                      <w:lang w:val="en-US" w:eastAsia="zh-CN"/>
                    </w:rPr>
                    <w:t>2、本项目不涉及。</w:t>
                  </w:r>
                </w:p>
                <w:p w14:paraId="4589B3B4">
                  <w:pPr>
                    <w:keepNext w:val="0"/>
                    <w:keepLines w:val="0"/>
                    <w:pageBreakBefore w:val="0"/>
                    <w:widowControl w:val="0"/>
                    <w:kinsoku/>
                    <w:wordWrap/>
                    <w:overflowPunct/>
                    <w:topLinePunct w:val="0"/>
                    <w:autoSpaceDE/>
                    <w:autoSpaceDN/>
                    <w:bidi w:val="0"/>
                    <w:adjustRightInd/>
                    <w:snapToGrid/>
                    <w:spacing w:line="240" w:lineRule="exact"/>
                    <w:ind w:firstLine="320" w:firstLineChars="200"/>
                    <w:jc w:val="left"/>
                    <w:textAlignment w:val="auto"/>
                    <w:rPr>
                      <w:rFonts w:hint="eastAsia" w:ascii="Times New Roman" w:hAnsi="Times New Roman" w:eastAsia="宋体" w:cs="Times New Roman"/>
                      <w:color w:val="auto"/>
                      <w:spacing w:val="-10"/>
                      <w:kern w:val="2"/>
                      <w:sz w:val="18"/>
                      <w:szCs w:val="18"/>
                      <w:highlight w:val="none"/>
                      <w:lang w:val="en-US" w:eastAsia="zh-CN" w:bidi="ar-SA"/>
                    </w:rPr>
                  </w:pPr>
                  <w:r>
                    <w:rPr>
                      <w:rFonts w:hint="eastAsia" w:cs="Times New Roman"/>
                      <w:color w:val="auto"/>
                      <w:spacing w:val="-10"/>
                      <w:sz w:val="18"/>
                      <w:szCs w:val="18"/>
                      <w:highlight w:val="none"/>
                      <w:lang w:val="en-US" w:eastAsia="zh-CN"/>
                    </w:rPr>
                    <w:t>3、</w:t>
                  </w:r>
                  <w:r>
                    <w:rPr>
                      <w:rFonts w:hint="default" w:ascii="Times New Roman" w:hAnsi="Times New Roman" w:eastAsia="宋体" w:cs="Times New Roman"/>
                      <w:color w:val="auto"/>
                      <w:spacing w:val="-10"/>
                      <w:sz w:val="18"/>
                      <w:szCs w:val="18"/>
                      <w:highlight w:val="none"/>
                      <w:lang w:val="en-US" w:eastAsia="zh-CN"/>
                    </w:rPr>
                    <w:t>项目</w:t>
                  </w:r>
                  <w:r>
                    <w:rPr>
                      <w:rFonts w:hint="eastAsia" w:cs="Times New Roman"/>
                      <w:color w:val="auto"/>
                      <w:spacing w:val="-10"/>
                      <w:sz w:val="18"/>
                      <w:szCs w:val="18"/>
                      <w:highlight w:val="none"/>
                      <w:lang w:val="en-US" w:eastAsia="zh-CN"/>
                    </w:rPr>
                    <w:t>生产废水、洗车</w:t>
                  </w:r>
                  <w:r>
                    <w:rPr>
                      <w:rFonts w:hint="default" w:ascii="Times New Roman" w:hAnsi="Times New Roman" w:eastAsia="宋体" w:cs="Times New Roman"/>
                      <w:color w:val="auto"/>
                      <w:spacing w:val="-10"/>
                      <w:sz w:val="18"/>
                      <w:szCs w:val="18"/>
                      <w:highlight w:val="none"/>
                      <w:lang w:val="en-US" w:eastAsia="zh-CN"/>
                    </w:rPr>
                    <w:t>废水</w:t>
                  </w:r>
                  <w:r>
                    <w:rPr>
                      <w:rFonts w:hint="eastAsia" w:cs="Times New Roman"/>
                      <w:color w:val="auto"/>
                      <w:spacing w:val="-10"/>
                      <w:sz w:val="18"/>
                      <w:szCs w:val="18"/>
                      <w:highlight w:val="none"/>
                      <w:lang w:val="en-US" w:eastAsia="zh-CN"/>
                    </w:rPr>
                    <w:t>均</w:t>
                  </w:r>
                  <w:r>
                    <w:rPr>
                      <w:rFonts w:hint="default" w:ascii="Times New Roman" w:hAnsi="Times New Roman" w:eastAsia="宋体" w:cs="Times New Roman"/>
                      <w:color w:val="auto"/>
                      <w:spacing w:val="-10"/>
                      <w:sz w:val="18"/>
                      <w:szCs w:val="18"/>
                      <w:highlight w:val="none"/>
                      <w:lang w:val="en-US" w:eastAsia="zh-CN"/>
                    </w:rPr>
                    <w:t>循环</w:t>
                  </w:r>
                  <w:r>
                    <w:rPr>
                      <w:rFonts w:hint="eastAsia" w:ascii="Times New Roman" w:hAnsi="Times New Roman" w:eastAsia="宋体" w:cs="Times New Roman"/>
                      <w:color w:val="auto"/>
                      <w:spacing w:val="-10"/>
                      <w:sz w:val="18"/>
                      <w:szCs w:val="18"/>
                      <w:highlight w:val="none"/>
                      <w:lang w:val="en-US" w:eastAsia="zh-CN"/>
                    </w:rPr>
                    <w:t>利用</w:t>
                  </w:r>
                  <w:r>
                    <w:rPr>
                      <w:rFonts w:hint="default" w:ascii="Times New Roman" w:hAnsi="Times New Roman" w:eastAsia="宋体" w:cs="Times New Roman"/>
                      <w:color w:val="auto"/>
                      <w:spacing w:val="-10"/>
                      <w:sz w:val="18"/>
                      <w:szCs w:val="18"/>
                      <w:highlight w:val="none"/>
                      <w:lang w:val="en-US" w:eastAsia="zh-CN"/>
                    </w:rPr>
                    <w:t>，节约用水</w:t>
                  </w:r>
                  <w:r>
                    <w:rPr>
                      <w:rFonts w:hint="eastAsia" w:ascii="Times New Roman" w:hAnsi="Times New Roman" w:eastAsia="宋体" w:cs="Times New Roman"/>
                      <w:color w:val="auto"/>
                      <w:spacing w:val="-10"/>
                      <w:sz w:val="18"/>
                      <w:szCs w:val="18"/>
                      <w:highlight w:val="none"/>
                      <w:lang w:val="en-US" w:eastAsia="zh-CN"/>
                    </w:rPr>
                    <w:t>。</w:t>
                  </w:r>
                </w:p>
              </w:tc>
              <w:tc>
                <w:tcPr>
                  <w:tcW w:w="750" w:type="dxa"/>
                  <w:tcBorders>
                    <w:tl2br w:val="nil"/>
                    <w:tr2bl w:val="nil"/>
                  </w:tcBorders>
                  <w:shd w:val="clear" w:color="auto" w:fill="auto"/>
                  <w:vAlign w:val="center"/>
                </w:tcPr>
                <w:p w14:paraId="33525E51">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pacing w:val="-10"/>
                      <w:kern w:val="2"/>
                      <w:sz w:val="18"/>
                      <w:szCs w:val="18"/>
                      <w:highlight w:val="none"/>
                      <w:lang w:val="en-US" w:eastAsia="zh-CN" w:bidi="ar-SA"/>
                    </w:rPr>
                  </w:pPr>
                  <w:r>
                    <w:rPr>
                      <w:rFonts w:hint="default" w:ascii="Times New Roman" w:hAnsi="Times New Roman" w:eastAsia="宋体" w:cs="Times New Roman"/>
                      <w:color w:val="auto"/>
                      <w:spacing w:val="-10"/>
                      <w:sz w:val="18"/>
                      <w:szCs w:val="18"/>
                      <w:highlight w:val="none"/>
                      <w:lang w:val="en-US" w:eastAsia="zh-CN"/>
                    </w:rPr>
                    <w:t>符合</w:t>
                  </w:r>
                </w:p>
              </w:tc>
            </w:tr>
            <w:tr w14:paraId="79D338D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87" w:type="dxa"/>
                  <w:vMerge w:val="continue"/>
                  <w:tcBorders>
                    <w:tl2br w:val="nil"/>
                    <w:tr2bl w:val="nil"/>
                  </w:tcBorders>
                  <w:vAlign w:val="center"/>
                </w:tcPr>
                <w:p w14:paraId="5D958365">
                  <w:pPr>
                    <w:spacing w:line="240" w:lineRule="exact"/>
                    <w:jc w:val="center"/>
                    <w:rPr>
                      <w:rFonts w:hint="default" w:ascii="Times New Roman" w:hAnsi="Times New Roman" w:cs="Times New Roman"/>
                      <w:color w:val="auto"/>
                      <w:spacing w:val="-10"/>
                      <w:sz w:val="18"/>
                      <w:szCs w:val="18"/>
                      <w:highlight w:val="none"/>
                      <w:lang w:val="en-US" w:eastAsia="zh-CN"/>
                    </w:rPr>
                  </w:pPr>
                </w:p>
              </w:tc>
              <w:tc>
                <w:tcPr>
                  <w:tcW w:w="419" w:type="dxa"/>
                  <w:tcBorders>
                    <w:tl2br w:val="nil"/>
                    <w:tr2bl w:val="nil"/>
                  </w:tcBorders>
                  <w:vAlign w:val="center"/>
                </w:tcPr>
                <w:p w14:paraId="0EA8CAB1">
                  <w:pPr>
                    <w:keepNext w:val="0"/>
                    <w:keepLines w:val="0"/>
                    <w:widowControl/>
                    <w:suppressLineNumbers w:val="0"/>
                    <w:jc w:val="center"/>
                    <w:rPr>
                      <w:rFonts w:hint="default" w:ascii="Times New Roman" w:hAnsi="Times New Roman" w:eastAsia="宋体" w:cs="Times New Roman"/>
                      <w:color w:val="auto"/>
                      <w:kern w:val="0"/>
                      <w:sz w:val="18"/>
                      <w:szCs w:val="18"/>
                      <w:highlight w:val="none"/>
                      <w:lang w:val="en-US" w:eastAsia="zh-CN" w:bidi="ar"/>
                    </w:rPr>
                  </w:pPr>
                  <w:r>
                    <w:rPr>
                      <w:rFonts w:hint="eastAsia" w:cs="Times New Roman"/>
                      <w:color w:val="auto"/>
                      <w:kern w:val="0"/>
                      <w:sz w:val="18"/>
                      <w:szCs w:val="18"/>
                      <w:highlight w:val="none"/>
                      <w:lang w:val="en-US" w:eastAsia="zh-CN" w:bidi="ar"/>
                    </w:rPr>
                    <w:t>能源</w:t>
                  </w:r>
                </w:p>
              </w:tc>
              <w:tc>
                <w:tcPr>
                  <w:tcW w:w="675" w:type="dxa"/>
                  <w:tcBorders>
                    <w:tl2br w:val="nil"/>
                    <w:tr2bl w:val="nil"/>
                  </w:tcBorders>
                  <w:vAlign w:val="center"/>
                </w:tcPr>
                <w:p w14:paraId="4C391BB1">
                  <w:pPr>
                    <w:keepNext w:val="0"/>
                    <w:keepLines w:val="0"/>
                    <w:widowControl/>
                    <w:suppressLineNumbers w:val="0"/>
                    <w:jc w:val="center"/>
                    <w:rPr>
                      <w:rFonts w:hint="default" w:ascii="Times New Roman" w:hAnsi="Times New Roman" w:eastAsia="宋体" w:cs="Times New Roman"/>
                      <w:color w:val="auto"/>
                      <w:kern w:val="0"/>
                      <w:sz w:val="18"/>
                      <w:szCs w:val="18"/>
                      <w:highlight w:val="none"/>
                      <w:lang w:val="en-US" w:eastAsia="zh-CN" w:bidi="ar"/>
                    </w:rPr>
                  </w:pPr>
                  <w:r>
                    <w:rPr>
                      <w:rFonts w:hint="eastAsia" w:cs="Times New Roman"/>
                      <w:color w:val="auto"/>
                      <w:kern w:val="0"/>
                      <w:sz w:val="18"/>
                      <w:szCs w:val="18"/>
                      <w:highlight w:val="none"/>
                      <w:lang w:val="en-US" w:eastAsia="zh-CN" w:bidi="ar"/>
                    </w:rPr>
                    <w:t>能源</w:t>
                  </w:r>
                  <w:r>
                    <w:rPr>
                      <w:rFonts w:hint="default" w:ascii="Times New Roman" w:hAnsi="Times New Roman" w:eastAsia="宋体" w:cs="Times New Roman"/>
                      <w:color w:val="auto"/>
                      <w:kern w:val="0"/>
                      <w:sz w:val="18"/>
                      <w:szCs w:val="18"/>
                      <w:highlight w:val="none"/>
                      <w:lang w:val="en-US" w:eastAsia="zh-CN" w:bidi="ar"/>
                    </w:rPr>
                    <w:t>利用效率 要求</w:t>
                  </w:r>
                </w:p>
              </w:tc>
              <w:tc>
                <w:tcPr>
                  <w:tcW w:w="6542" w:type="dxa"/>
                  <w:tcBorders>
                    <w:tl2br w:val="nil"/>
                    <w:tr2bl w:val="nil"/>
                  </w:tcBorders>
                  <w:vAlign w:val="center"/>
                </w:tcPr>
                <w:p w14:paraId="2345C743">
                  <w:pPr>
                    <w:keepNext w:val="0"/>
                    <w:keepLines w:val="0"/>
                    <w:pageBreakBefore w:val="0"/>
                    <w:widowControl w:val="0"/>
                    <w:kinsoku/>
                    <w:wordWrap/>
                    <w:overflowPunct/>
                    <w:topLinePunct w:val="0"/>
                    <w:autoSpaceDE/>
                    <w:autoSpaceDN/>
                    <w:bidi w:val="0"/>
                    <w:adjustRightInd/>
                    <w:snapToGrid/>
                    <w:spacing w:line="240" w:lineRule="exact"/>
                    <w:ind w:firstLine="320" w:firstLineChars="200"/>
                    <w:jc w:val="left"/>
                    <w:textAlignment w:val="auto"/>
                    <w:rPr>
                      <w:rFonts w:hint="eastAsia" w:ascii="Times New Roman" w:hAnsi="Times New Roman" w:eastAsia="宋体" w:cs="Times New Roman"/>
                      <w:color w:val="auto"/>
                      <w:spacing w:val="-10"/>
                      <w:sz w:val="18"/>
                      <w:szCs w:val="18"/>
                      <w:highlight w:val="none"/>
                      <w:lang w:val="en-US" w:eastAsia="zh-CN"/>
                    </w:rPr>
                  </w:pPr>
                  <w:r>
                    <w:rPr>
                      <w:rFonts w:hint="default" w:ascii="Times New Roman" w:hAnsi="Times New Roman" w:eastAsia="宋体" w:cs="Times New Roman"/>
                      <w:color w:val="auto"/>
                      <w:spacing w:val="-10"/>
                      <w:sz w:val="18"/>
                      <w:szCs w:val="18"/>
                      <w:highlight w:val="none"/>
                      <w:lang w:val="en-US" w:eastAsia="zh-CN"/>
                    </w:rPr>
                    <w:t>1</w:t>
                  </w:r>
                  <w:r>
                    <w:rPr>
                      <w:rFonts w:hint="eastAsia" w:ascii="Times New Roman" w:hAnsi="Times New Roman" w:eastAsia="宋体" w:cs="Times New Roman"/>
                      <w:color w:val="auto"/>
                      <w:spacing w:val="-10"/>
                      <w:sz w:val="18"/>
                      <w:szCs w:val="18"/>
                      <w:highlight w:val="none"/>
                      <w:lang w:val="en-US" w:eastAsia="zh-CN"/>
                    </w:rPr>
                    <w:t xml:space="preserve">、禁燃区内不得新建燃烧煤炭、重油、渣油等高污染燃料的设施；现有燃烧高污染燃料的设施，应当限期改用清洁能源；未改用清洁能源替代的高污染燃料设施，应当配套建设先进工艺的脱硫、脱硝、除尘装置或者采取其他措施，控制二氧化硫、氮氧化物和烟尘等排放；仍未达到大气污染物排放标准的，应当停止使用。禁燃区内禁止原煤散烧。 </w:t>
                  </w:r>
                </w:p>
                <w:p w14:paraId="410DB0BC">
                  <w:pPr>
                    <w:keepNext w:val="0"/>
                    <w:keepLines w:val="0"/>
                    <w:pageBreakBefore w:val="0"/>
                    <w:widowControl w:val="0"/>
                    <w:kinsoku/>
                    <w:wordWrap/>
                    <w:overflowPunct/>
                    <w:topLinePunct w:val="0"/>
                    <w:autoSpaceDE/>
                    <w:autoSpaceDN/>
                    <w:bidi w:val="0"/>
                    <w:adjustRightInd/>
                    <w:snapToGrid/>
                    <w:spacing w:line="240" w:lineRule="exact"/>
                    <w:ind w:firstLine="320" w:firstLineChars="200"/>
                    <w:jc w:val="left"/>
                    <w:textAlignment w:val="auto"/>
                    <w:rPr>
                      <w:rFonts w:hint="eastAsia" w:ascii="Times New Roman" w:hAnsi="Times New Roman" w:eastAsia="宋体" w:cs="Times New Roman"/>
                      <w:color w:val="auto"/>
                      <w:spacing w:val="-10"/>
                      <w:sz w:val="18"/>
                      <w:szCs w:val="18"/>
                      <w:highlight w:val="none"/>
                      <w:lang w:val="en-US" w:eastAsia="zh-CN"/>
                    </w:rPr>
                  </w:pPr>
                  <w:r>
                    <w:rPr>
                      <w:rFonts w:hint="default" w:ascii="Times New Roman" w:hAnsi="Times New Roman" w:eastAsia="宋体" w:cs="Times New Roman"/>
                      <w:color w:val="auto"/>
                      <w:spacing w:val="-10"/>
                      <w:sz w:val="18"/>
                      <w:szCs w:val="18"/>
                      <w:highlight w:val="none"/>
                      <w:lang w:val="en-US" w:eastAsia="zh-CN"/>
                    </w:rPr>
                    <w:t>2</w:t>
                  </w:r>
                  <w:r>
                    <w:rPr>
                      <w:rFonts w:hint="eastAsia" w:ascii="Times New Roman" w:hAnsi="Times New Roman" w:eastAsia="宋体" w:cs="Times New Roman"/>
                      <w:color w:val="auto"/>
                      <w:spacing w:val="-10"/>
                      <w:sz w:val="18"/>
                      <w:szCs w:val="18"/>
                      <w:highlight w:val="none"/>
                      <w:lang w:val="en-US" w:eastAsia="zh-CN"/>
                    </w:rPr>
                    <w:t>、禁燃区内禁止销售高污染燃料；禁止燃用煤炭及其制品（原料煤和发电、集中供热等具备高效污染治理设施企业用煤除外）；石油焦、油页岩、原油、重油、渣油、煤焦油；非专用锅炉或未配置高效除尘设施的专用锅炉燃用的生物质成型燃料等高污染燃料。</w:t>
                  </w:r>
                </w:p>
                <w:p w14:paraId="032C4CE3">
                  <w:pPr>
                    <w:keepNext w:val="0"/>
                    <w:keepLines w:val="0"/>
                    <w:pageBreakBefore w:val="0"/>
                    <w:widowControl w:val="0"/>
                    <w:kinsoku/>
                    <w:wordWrap/>
                    <w:overflowPunct/>
                    <w:topLinePunct w:val="0"/>
                    <w:autoSpaceDE/>
                    <w:autoSpaceDN/>
                    <w:bidi w:val="0"/>
                    <w:adjustRightInd/>
                    <w:snapToGrid/>
                    <w:spacing w:line="240" w:lineRule="exact"/>
                    <w:ind w:firstLine="320" w:firstLineChars="200"/>
                    <w:jc w:val="left"/>
                    <w:textAlignment w:val="auto"/>
                    <w:rPr>
                      <w:rFonts w:hint="eastAsia" w:ascii="Times New Roman" w:hAnsi="Times New Roman" w:eastAsia="宋体" w:cs="Times New Roman"/>
                      <w:color w:val="auto"/>
                      <w:spacing w:val="-10"/>
                      <w:sz w:val="18"/>
                      <w:szCs w:val="18"/>
                      <w:highlight w:val="none"/>
                      <w:lang w:val="en-US" w:eastAsia="zh-CN"/>
                    </w:rPr>
                  </w:pPr>
                  <w:r>
                    <w:rPr>
                      <w:rFonts w:hint="default" w:ascii="Times New Roman" w:hAnsi="Times New Roman" w:eastAsia="宋体" w:cs="Times New Roman"/>
                      <w:color w:val="auto"/>
                      <w:spacing w:val="-10"/>
                      <w:sz w:val="18"/>
                      <w:szCs w:val="18"/>
                      <w:highlight w:val="none"/>
                      <w:lang w:val="en-US" w:eastAsia="zh-CN"/>
                    </w:rPr>
                    <w:t>3</w:t>
                  </w:r>
                  <w:r>
                    <w:rPr>
                      <w:rFonts w:hint="eastAsia" w:ascii="Times New Roman" w:hAnsi="Times New Roman" w:eastAsia="宋体" w:cs="Times New Roman"/>
                      <w:color w:val="auto"/>
                      <w:spacing w:val="-10"/>
                      <w:sz w:val="18"/>
                      <w:szCs w:val="18"/>
                      <w:highlight w:val="none"/>
                      <w:lang w:val="en-US" w:eastAsia="zh-CN"/>
                    </w:rPr>
                    <w:t>、新建项目禁止配套建设自备燃煤电站。除热电联产外，禁止审批新建燃煤发电项目，现有多台燃煤机组装机容量合计达到国家规定要求的，可以按照煤炭等量替代的原则建设为大容量燃煤机组。</w:t>
                  </w:r>
                </w:p>
                <w:p w14:paraId="544D1734">
                  <w:pPr>
                    <w:keepNext w:val="0"/>
                    <w:keepLines w:val="0"/>
                    <w:pageBreakBefore w:val="0"/>
                    <w:widowControl w:val="0"/>
                    <w:kinsoku/>
                    <w:wordWrap/>
                    <w:overflowPunct/>
                    <w:topLinePunct w:val="0"/>
                    <w:autoSpaceDE/>
                    <w:autoSpaceDN/>
                    <w:bidi w:val="0"/>
                    <w:adjustRightInd/>
                    <w:snapToGrid/>
                    <w:spacing w:line="240" w:lineRule="exact"/>
                    <w:ind w:firstLine="320" w:firstLineChars="200"/>
                    <w:jc w:val="left"/>
                    <w:textAlignment w:val="auto"/>
                    <w:rPr>
                      <w:rFonts w:hint="default" w:ascii="Times New Roman" w:hAnsi="Times New Roman" w:eastAsia="宋体" w:cs="Times New Roman"/>
                      <w:color w:val="auto"/>
                      <w:spacing w:val="-10"/>
                      <w:sz w:val="18"/>
                      <w:szCs w:val="18"/>
                      <w:highlight w:val="none"/>
                      <w:lang w:val="en-US" w:eastAsia="zh-CN"/>
                    </w:rPr>
                  </w:pPr>
                  <w:r>
                    <w:rPr>
                      <w:rFonts w:hint="default" w:ascii="Times New Roman" w:hAnsi="Times New Roman" w:eastAsia="宋体" w:cs="Times New Roman"/>
                      <w:color w:val="auto"/>
                      <w:spacing w:val="-10"/>
                      <w:sz w:val="18"/>
                      <w:szCs w:val="18"/>
                      <w:highlight w:val="none"/>
                      <w:lang w:val="en-US" w:eastAsia="zh-CN"/>
                    </w:rPr>
                    <w:t>4</w:t>
                  </w:r>
                  <w:r>
                    <w:rPr>
                      <w:rFonts w:hint="eastAsia" w:ascii="Times New Roman" w:hAnsi="Times New Roman" w:eastAsia="宋体" w:cs="Times New Roman"/>
                      <w:color w:val="auto"/>
                      <w:spacing w:val="-10"/>
                      <w:sz w:val="18"/>
                      <w:szCs w:val="18"/>
                      <w:highlight w:val="none"/>
                      <w:lang w:val="en-US" w:eastAsia="zh-CN"/>
                    </w:rPr>
                    <w:t xml:space="preserve">、对以煤、石油焦、渣油、重油等为燃料的工业炉窑，加快使用清洁低碳能源以及利用工厂余热、电厂热力等进行替代，全市禁止掺烧高硫石油焦（硫含量大于 </w:t>
                  </w:r>
                  <w:r>
                    <w:rPr>
                      <w:rFonts w:hint="default" w:ascii="Times New Roman" w:hAnsi="Times New Roman" w:eastAsia="宋体" w:cs="Times New Roman"/>
                      <w:color w:val="auto"/>
                      <w:spacing w:val="-10"/>
                      <w:sz w:val="18"/>
                      <w:szCs w:val="18"/>
                      <w:highlight w:val="none"/>
                      <w:lang w:val="en-US" w:eastAsia="zh-CN"/>
                    </w:rPr>
                    <w:t>3%</w:t>
                  </w:r>
                  <w:r>
                    <w:rPr>
                      <w:rFonts w:hint="eastAsia" w:ascii="Times New Roman" w:hAnsi="Times New Roman" w:eastAsia="宋体" w:cs="Times New Roman"/>
                      <w:color w:val="auto"/>
                      <w:spacing w:val="-10"/>
                      <w:sz w:val="18"/>
                      <w:szCs w:val="18"/>
                      <w:highlight w:val="none"/>
                      <w:lang w:val="en-US" w:eastAsia="zh-CN"/>
                    </w:rPr>
                    <w:t>）。玻璃行业全面禁止掺烧高硫石油焦。</w:t>
                  </w:r>
                </w:p>
              </w:tc>
              <w:tc>
                <w:tcPr>
                  <w:tcW w:w="2902" w:type="dxa"/>
                  <w:tcBorders>
                    <w:tl2br w:val="nil"/>
                    <w:tr2bl w:val="nil"/>
                  </w:tcBorders>
                  <w:vAlign w:val="center"/>
                </w:tcPr>
                <w:p w14:paraId="200674B7">
                  <w:pPr>
                    <w:keepNext w:val="0"/>
                    <w:keepLines w:val="0"/>
                    <w:pageBreakBefore w:val="0"/>
                    <w:widowControl w:val="0"/>
                    <w:kinsoku/>
                    <w:wordWrap/>
                    <w:overflowPunct/>
                    <w:topLinePunct w:val="0"/>
                    <w:autoSpaceDE/>
                    <w:autoSpaceDN/>
                    <w:bidi w:val="0"/>
                    <w:adjustRightInd/>
                    <w:snapToGrid/>
                    <w:spacing w:line="240" w:lineRule="exact"/>
                    <w:ind w:firstLine="320" w:firstLineChars="200"/>
                    <w:jc w:val="left"/>
                    <w:textAlignment w:val="auto"/>
                    <w:rPr>
                      <w:rFonts w:hint="default" w:ascii="Times New Roman" w:hAnsi="Times New Roman" w:eastAsia="宋体" w:cs="Times New Roman"/>
                      <w:color w:val="auto"/>
                      <w:spacing w:val="-10"/>
                      <w:sz w:val="18"/>
                      <w:szCs w:val="18"/>
                      <w:highlight w:val="none"/>
                      <w:lang w:val="en-US" w:eastAsia="zh-CN"/>
                    </w:rPr>
                  </w:pPr>
                  <w:r>
                    <w:rPr>
                      <w:rFonts w:hint="eastAsia" w:cs="Times New Roman"/>
                      <w:color w:val="auto"/>
                      <w:spacing w:val="-10"/>
                      <w:sz w:val="18"/>
                      <w:szCs w:val="18"/>
                      <w:highlight w:val="none"/>
                      <w:lang w:val="en-US" w:eastAsia="zh-CN"/>
                    </w:rPr>
                    <w:t>1</w:t>
                  </w:r>
                  <w:r>
                    <w:rPr>
                      <w:rFonts w:hint="eastAsia" w:ascii="Times New Roman" w:hAnsi="Times New Roman" w:eastAsia="宋体" w:cs="Times New Roman"/>
                      <w:color w:val="auto"/>
                      <w:spacing w:val="-10"/>
                      <w:sz w:val="18"/>
                      <w:szCs w:val="18"/>
                      <w:highlight w:val="none"/>
                      <w:lang w:val="en-US" w:eastAsia="zh-CN"/>
                    </w:rPr>
                    <w:t>、</w:t>
                  </w:r>
                  <w:r>
                    <w:rPr>
                      <w:rFonts w:hint="default" w:ascii="Times New Roman" w:hAnsi="Times New Roman" w:eastAsia="宋体" w:cs="Times New Roman"/>
                      <w:color w:val="auto"/>
                      <w:spacing w:val="-10"/>
                      <w:sz w:val="18"/>
                      <w:szCs w:val="18"/>
                      <w:highlight w:val="none"/>
                      <w:lang w:val="en-US" w:eastAsia="zh-CN"/>
                    </w:rPr>
                    <w:t>项目不涉及燃料燃烧。</w:t>
                  </w:r>
                </w:p>
                <w:p w14:paraId="0CC62C19">
                  <w:pPr>
                    <w:keepNext w:val="0"/>
                    <w:keepLines w:val="0"/>
                    <w:pageBreakBefore w:val="0"/>
                    <w:widowControl w:val="0"/>
                    <w:kinsoku/>
                    <w:wordWrap/>
                    <w:overflowPunct/>
                    <w:topLinePunct w:val="0"/>
                    <w:autoSpaceDE/>
                    <w:autoSpaceDN/>
                    <w:bidi w:val="0"/>
                    <w:adjustRightInd/>
                    <w:snapToGrid/>
                    <w:spacing w:line="240" w:lineRule="exact"/>
                    <w:ind w:firstLine="320" w:firstLineChars="200"/>
                    <w:jc w:val="left"/>
                    <w:textAlignment w:val="auto"/>
                    <w:rPr>
                      <w:rFonts w:hint="eastAsia" w:ascii="Times New Roman" w:hAnsi="Times New Roman" w:eastAsia="宋体" w:cs="Times New Roman"/>
                      <w:color w:val="auto"/>
                      <w:spacing w:val="-10"/>
                      <w:sz w:val="18"/>
                      <w:szCs w:val="18"/>
                      <w:highlight w:val="none"/>
                      <w:lang w:val="en-US" w:eastAsia="zh-CN"/>
                    </w:rPr>
                  </w:pPr>
                  <w:r>
                    <w:rPr>
                      <w:rFonts w:hint="eastAsia" w:ascii="Times New Roman" w:hAnsi="Times New Roman" w:eastAsia="宋体" w:cs="Times New Roman"/>
                      <w:color w:val="auto"/>
                      <w:spacing w:val="-10"/>
                      <w:sz w:val="18"/>
                      <w:szCs w:val="18"/>
                      <w:highlight w:val="none"/>
                      <w:lang w:val="en-US" w:eastAsia="zh-CN"/>
                    </w:rPr>
                    <w:t>2、本项目不涉及。</w:t>
                  </w:r>
                </w:p>
                <w:p w14:paraId="471C245A">
                  <w:pPr>
                    <w:keepNext w:val="0"/>
                    <w:keepLines w:val="0"/>
                    <w:pageBreakBefore w:val="0"/>
                    <w:widowControl w:val="0"/>
                    <w:kinsoku/>
                    <w:wordWrap/>
                    <w:overflowPunct/>
                    <w:topLinePunct w:val="0"/>
                    <w:autoSpaceDE/>
                    <w:autoSpaceDN/>
                    <w:bidi w:val="0"/>
                    <w:adjustRightInd/>
                    <w:snapToGrid/>
                    <w:spacing w:line="240" w:lineRule="exact"/>
                    <w:ind w:firstLine="320" w:firstLineChars="200"/>
                    <w:jc w:val="left"/>
                    <w:textAlignment w:val="auto"/>
                    <w:rPr>
                      <w:rFonts w:hint="eastAsia" w:ascii="Times New Roman" w:hAnsi="Times New Roman" w:eastAsia="宋体" w:cs="Times New Roman"/>
                      <w:color w:val="auto"/>
                      <w:spacing w:val="-10"/>
                      <w:sz w:val="18"/>
                      <w:szCs w:val="18"/>
                      <w:highlight w:val="none"/>
                      <w:lang w:val="en-US" w:eastAsia="zh-CN"/>
                    </w:rPr>
                  </w:pPr>
                  <w:r>
                    <w:rPr>
                      <w:rFonts w:hint="eastAsia" w:ascii="Times New Roman" w:hAnsi="Times New Roman" w:eastAsia="宋体" w:cs="Times New Roman"/>
                      <w:color w:val="auto"/>
                      <w:spacing w:val="-10"/>
                      <w:sz w:val="18"/>
                      <w:szCs w:val="18"/>
                      <w:highlight w:val="none"/>
                      <w:lang w:val="en-US" w:eastAsia="zh-CN"/>
                    </w:rPr>
                    <w:t>3、本项目不涉及。</w:t>
                  </w:r>
                </w:p>
                <w:p w14:paraId="36901575">
                  <w:pPr>
                    <w:keepNext w:val="0"/>
                    <w:keepLines w:val="0"/>
                    <w:pageBreakBefore w:val="0"/>
                    <w:widowControl w:val="0"/>
                    <w:kinsoku/>
                    <w:wordWrap/>
                    <w:overflowPunct/>
                    <w:topLinePunct w:val="0"/>
                    <w:autoSpaceDE/>
                    <w:autoSpaceDN/>
                    <w:bidi w:val="0"/>
                    <w:adjustRightInd/>
                    <w:snapToGrid/>
                    <w:spacing w:line="240" w:lineRule="exact"/>
                    <w:ind w:firstLine="320" w:firstLineChars="200"/>
                    <w:jc w:val="left"/>
                    <w:textAlignment w:val="auto"/>
                    <w:rPr>
                      <w:rFonts w:hint="eastAsia" w:ascii="Times New Roman" w:hAnsi="Times New Roman" w:eastAsia="宋体" w:cs="Times New Roman"/>
                      <w:color w:val="auto"/>
                      <w:spacing w:val="-10"/>
                      <w:sz w:val="18"/>
                      <w:szCs w:val="18"/>
                      <w:highlight w:val="none"/>
                      <w:lang w:val="en-US" w:eastAsia="zh-CN"/>
                    </w:rPr>
                  </w:pPr>
                  <w:r>
                    <w:rPr>
                      <w:rFonts w:hint="eastAsia" w:ascii="Times New Roman" w:hAnsi="Times New Roman" w:eastAsia="宋体" w:cs="Times New Roman"/>
                      <w:color w:val="auto"/>
                      <w:spacing w:val="-10"/>
                      <w:sz w:val="18"/>
                      <w:szCs w:val="18"/>
                      <w:highlight w:val="none"/>
                      <w:lang w:val="en-US" w:eastAsia="zh-CN"/>
                    </w:rPr>
                    <w:t>4、本项目不涉及。</w:t>
                  </w:r>
                </w:p>
                <w:p w14:paraId="0FE707A9">
                  <w:pPr>
                    <w:keepNext w:val="0"/>
                    <w:keepLines w:val="0"/>
                    <w:pageBreakBefore w:val="0"/>
                    <w:widowControl w:val="0"/>
                    <w:kinsoku/>
                    <w:wordWrap/>
                    <w:overflowPunct/>
                    <w:topLinePunct w:val="0"/>
                    <w:autoSpaceDE/>
                    <w:autoSpaceDN/>
                    <w:bidi w:val="0"/>
                    <w:adjustRightInd/>
                    <w:snapToGrid/>
                    <w:spacing w:line="240" w:lineRule="exact"/>
                    <w:ind w:firstLine="320" w:firstLineChars="200"/>
                    <w:jc w:val="left"/>
                    <w:textAlignment w:val="auto"/>
                    <w:rPr>
                      <w:rFonts w:hint="default" w:ascii="Times New Roman" w:hAnsi="Times New Roman" w:eastAsia="宋体" w:cs="Times New Roman"/>
                      <w:color w:val="auto"/>
                      <w:spacing w:val="-10"/>
                      <w:sz w:val="18"/>
                      <w:szCs w:val="18"/>
                      <w:highlight w:val="none"/>
                      <w:lang w:val="en-US" w:eastAsia="zh-CN"/>
                    </w:rPr>
                  </w:pPr>
                  <w:r>
                    <w:rPr>
                      <w:rFonts w:hint="eastAsia" w:ascii="Times New Roman" w:hAnsi="Times New Roman" w:eastAsia="宋体" w:cs="Times New Roman"/>
                      <w:color w:val="auto"/>
                      <w:spacing w:val="-10"/>
                      <w:sz w:val="18"/>
                      <w:szCs w:val="18"/>
                      <w:highlight w:val="none"/>
                      <w:lang w:val="en-US" w:eastAsia="zh-CN"/>
                    </w:rPr>
                    <w:t>5、本项目不涉及。</w:t>
                  </w:r>
                </w:p>
              </w:tc>
              <w:tc>
                <w:tcPr>
                  <w:tcW w:w="750" w:type="dxa"/>
                  <w:tcBorders>
                    <w:tl2br w:val="nil"/>
                    <w:tr2bl w:val="nil"/>
                  </w:tcBorders>
                  <w:vAlign w:val="center"/>
                </w:tcPr>
                <w:p w14:paraId="3BF7EF8D">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cs="Times New Roman"/>
                      <w:color w:val="auto"/>
                      <w:spacing w:val="-10"/>
                      <w:sz w:val="18"/>
                      <w:szCs w:val="18"/>
                      <w:highlight w:val="none"/>
                      <w:lang w:val="en-US" w:eastAsia="zh-CN"/>
                    </w:rPr>
                  </w:pPr>
                  <w:r>
                    <w:rPr>
                      <w:rFonts w:hint="default" w:ascii="Times New Roman" w:hAnsi="Times New Roman" w:cs="Times New Roman"/>
                      <w:color w:val="auto"/>
                      <w:spacing w:val="-10"/>
                      <w:sz w:val="18"/>
                      <w:szCs w:val="18"/>
                      <w:highlight w:val="none"/>
                      <w:lang w:val="en-US" w:eastAsia="zh-CN"/>
                    </w:rPr>
                    <w:t>符合</w:t>
                  </w:r>
                </w:p>
              </w:tc>
            </w:tr>
          </w:tbl>
          <w:p w14:paraId="79D9976E">
            <w:pPr>
              <w:rPr>
                <w:color w:val="auto"/>
              </w:rPr>
            </w:pPr>
          </w:p>
          <w:p w14:paraId="757D24CF">
            <w:pPr>
              <w:pStyle w:val="24"/>
              <w:adjustRightInd w:val="0"/>
              <w:snapToGrid w:val="0"/>
              <w:spacing w:before="0" w:beforeAutospacing="0" w:after="0" w:afterAutospacing="0" w:line="440" w:lineRule="exact"/>
              <w:jc w:val="center"/>
              <w:rPr>
                <w:rFonts w:ascii="Times New Roman" w:hAnsi="Times New Roman"/>
                <w:b/>
                <w:color w:val="auto"/>
                <w:sz w:val="21"/>
                <w:szCs w:val="21"/>
                <w:highlight w:val="none"/>
              </w:rPr>
            </w:pPr>
            <w:r>
              <w:rPr>
                <w:rFonts w:hint="eastAsia" w:ascii="Times New Roman" w:hAnsi="Times New Roman"/>
                <w:b/>
                <w:color w:val="auto"/>
                <w:sz w:val="21"/>
                <w:szCs w:val="21"/>
                <w:highlight w:val="none"/>
                <w:lang w:val="en-US" w:eastAsia="zh-CN"/>
              </w:rPr>
              <w:t>续表2</w:t>
            </w:r>
            <w:r>
              <w:rPr>
                <w:rFonts w:hint="default" w:ascii="Times New Roman" w:hAnsi="Times New Roman"/>
                <w:b/>
                <w:color w:val="auto"/>
                <w:sz w:val="21"/>
                <w:szCs w:val="21"/>
                <w:highlight w:val="none"/>
                <w:lang w:val="en-US" w:eastAsia="zh-CN"/>
              </w:rPr>
              <w:t xml:space="preserve"> </w:t>
            </w:r>
            <w:r>
              <w:rPr>
                <w:rFonts w:hint="eastAsia" w:ascii="Times New Roman" w:hAnsi="Times New Roman"/>
                <w:b/>
                <w:color w:val="auto"/>
                <w:sz w:val="21"/>
                <w:szCs w:val="21"/>
                <w:highlight w:val="none"/>
                <w:lang w:val="en-US" w:eastAsia="zh-CN"/>
              </w:rPr>
              <w:t>项目与唐山市生态环境准入清单符合性分析</w:t>
            </w:r>
          </w:p>
          <w:tbl>
            <w:tblPr>
              <w:tblStyle w:val="29"/>
              <w:tblW w:w="11975" w:type="dxa"/>
              <w:tblInd w:w="5"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87"/>
              <w:gridCol w:w="419"/>
              <w:gridCol w:w="675"/>
              <w:gridCol w:w="6995"/>
              <w:gridCol w:w="2449"/>
              <w:gridCol w:w="750"/>
            </w:tblGrid>
            <w:tr w14:paraId="6B5CD45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781" w:type="dxa"/>
                  <w:gridSpan w:val="3"/>
                  <w:tcBorders>
                    <w:tl2br w:val="nil"/>
                    <w:tr2bl w:val="nil"/>
                  </w:tcBorders>
                  <w:vAlign w:val="center"/>
                </w:tcPr>
                <w:p w14:paraId="6151BBF8">
                  <w:pPr>
                    <w:spacing w:line="240" w:lineRule="exact"/>
                    <w:jc w:val="center"/>
                    <w:rPr>
                      <w:rFonts w:hint="default" w:ascii="Times New Roman" w:hAnsi="Times New Roman" w:cs="Times New Roman"/>
                      <w:color w:val="auto"/>
                      <w:spacing w:val="-10"/>
                      <w:sz w:val="18"/>
                      <w:szCs w:val="18"/>
                      <w:highlight w:val="none"/>
                      <w:lang w:val="en-US" w:eastAsia="zh-CN"/>
                    </w:rPr>
                  </w:pPr>
                  <w:r>
                    <w:rPr>
                      <w:rFonts w:hint="default" w:ascii="Times New Roman" w:hAnsi="Times New Roman" w:cs="Times New Roman"/>
                      <w:color w:val="auto"/>
                      <w:spacing w:val="-10"/>
                      <w:sz w:val="18"/>
                      <w:szCs w:val="18"/>
                      <w:highlight w:val="none"/>
                      <w:lang w:val="en-US" w:eastAsia="zh-CN"/>
                    </w:rPr>
                    <w:t>管控单元</w:t>
                  </w:r>
                </w:p>
              </w:tc>
              <w:tc>
                <w:tcPr>
                  <w:tcW w:w="6995" w:type="dxa"/>
                  <w:tcBorders>
                    <w:tl2br w:val="nil"/>
                    <w:tr2bl w:val="nil"/>
                  </w:tcBorders>
                  <w:vAlign w:val="center"/>
                </w:tcPr>
                <w:p w14:paraId="455C8A87">
                  <w:pPr>
                    <w:spacing w:line="240" w:lineRule="exact"/>
                    <w:jc w:val="center"/>
                    <w:rPr>
                      <w:rFonts w:hint="default" w:ascii="Times New Roman" w:hAnsi="Times New Roman" w:cs="Times New Roman"/>
                      <w:color w:val="auto"/>
                      <w:spacing w:val="-10"/>
                      <w:sz w:val="18"/>
                      <w:szCs w:val="18"/>
                      <w:highlight w:val="none"/>
                      <w:lang w:val="en-US" w:eastAsia="zh-CN"/>
                    </w:rPr>
                  </w:pPr>
                  <w:r>
                    <w:rPr>
                      <w:rFonts w:hint="default" w:ascii="Times New Roman" w:hAnsi="Times New Roman" w:cs="Times New Roman"/>
                      <w:color w:val="auto"/>
                      <w:spacing w:val="-10"/>
                      <w:sz w:val="18"/>
                      <w:szCs w:val="18"/>
                      <w:highlight w:val="none"/>
                      <w:lang w:val="en-US" w:eastAsia="zh-CN"/>
                    </w:rPr>
                    <w:t>要求</w:t>
                  </w:r>
                </w:p>
              </w:tc>
              <w:tc>
                <w:tcPr>
                  <w:tcW w:w="2449" w:type="dxa"/>
                  <w:tcBorders>
                    <w:tl2br w:val="nil"/>
                    <w:tr2bl w:val="nil"/>
                  </w:tcBorders>
                  <w:vAlign w:val="center"/>
                </w:tcPr>
                <w:p w14:paraId="562C03BA">
                  <w:pPr>
                    <w:spacing w:line="240" w:lineRule="exact"/>
                    <w:jc w:val="center"/>
                    <w:rPr>
                      <w:rFonts w:hint="default" w:ascii="Times New Roman" w:hAnsi="Times New Roman" w:cs="Times New Roman"/>
                      <w:color w:val="auto"/>
                      <w:spacing w:val="-10"/>
                      <w:sz w:val="18"/>
                      <w:szCs w:val="18"/>
                      <w:highlight w:val="none"/>
                      <w:lang w:val="en-US" w:eastAsia="zh-CN"/>
                    </w:rPr>
                  </w:pPr>
                  <w:r>
                    <w:rPr>
                      <w:rFonts w:hint="default" w:ascii="Times New Roman" w:hAnsi="Times New Roman" w:cs="Times New Roman"/>
                      <w:color w:val="auto"/>
                      <w:spacing w:val="-10"/>
                      <w:sz w:val="18"/>
                      <w:szCs w:val="18"/>
                      <w:highlight w:val="none"/>
                      <w:lang w:val="en-US" w:eastAsia="zh-CN"/>
                    </w:rPr>
                    <w:t>项目情况</w:t>
                  </w:r>
                </w:p>
              </w:tc>
              <w:tc>
                <w:tcPr>
                  <w:tcW w:w="750" w:type="dxa"/>
                  <w:tcBorders>
                    <w:tl2br w:val="nil"/>
                    <w:tr2bl w:val="nil"/>
                  </w:tcBorders>
                  <w:vAlign w:val="center"/>
                </w:tcPr>
                <w:p w14:paraId="5B56A9DD">
                  <w:pPr>
                    <w:spacing w:line="240" w:lineRule="exact"/>
                    <w:jc w:val="center"/>
                    <w:rPr>
                      <w:rFonts w:hint="default" w:ascii="Times New Roman" w:hAnsi="Times New Roman" w:cs="Times New Roman"/>
                      <w:color w:val="auto"/>
                      <w:spacing w:val="-10"/>
                      <w:sz w:val="18"/>
                      <w:szCs w:val="18"/>
                      <w:highlight w:val="none"/>
                      <w:lang w:val="en-US" w:eastAsia="zh-CN"/>
                    </w:rPr>
                  </w:pPr>
                  <w:r>
                    <w:rPr>
                      <w:rFonts w:hint="default" w:ascii="Times New Roman" w:hAnsi="Times New Roman" w:cs="Times New Roman"/>
                      <w:color w:val="auto"/>
                      <w:spacing w:val="-10"/>
                      <w:sz w:val="18"/>
                      <w:szCs w:val="18"/>
                      <w:highlight w:val="none"/>
                      <w:lang w:val="en-US" w:eastAsia="zh-CN"/>
                    </w:rPr>
                    <w:t>符合性</w:t>
                  </w:r>
                </w:p>
              </w:tc>
            </w:tr>
            <w:tr w14:paraId="7199417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87" w:type="dxa"/>
                  <w:vMerge w:val="restart"/>
                  <w:tcBorders>
                    <w:tl2br w:val="nil"/>
                    <w:tr2bl w:val="nil"/>
                  </w:tcBorders>
                  <w:vAlign w:val="center"/>
                </w:tcPr>
                <w:p w14:paraId="4F809B66">
                  <w:pPr>
                    <w:spacing w:line="240" w:lineRule="exact"/>
                    <w:jc w:val="center"/>
                    <w:rPr>
                      <w:rFonts w:hint="default" w:ascii="Times New Roman" w:hAnsi="Times New Roman" w:eastAsia="宋体" w:cs="Times New Roman"/>
                      <w:color w:val="auto"/>
                      <w:spacing w:val="-10"/>
                      <w:kern w:val="2"/>
                      <w:sz w:val="18"/>
                      <w:szCs w:val="18"/>
                      <w:highlight w:val="none"/>
                      <w:lang w:val="en-US" w:eastAsia="zh-CN" w:bidi="ar-SA"/>
                    </w:rPr>
                  </w:pPr>
                  <w:r>
                    <w:rPr>
                      <w:rFonts w:hint="default" w:ascii="Times New Roman" w:hAnsi="Times New Roman" w:cs="Times New Roman"/>
                      <w:color w:val="auto"/>
                      <w:spacing w:val="-10"/>
                      <w:sz w:val="18"/>
                      <w:szCs w:val="18"/>
                      <w:highlight w:val="none"/>
                      <w:lang w:val="en-US" w:eastAsia="zh-CN"/>
                    </w:rPr>
                    <w:t>资源</w:t>
                  </w:r>
                </w:p>
              </w:tc>
              <w:tc>
                <w:tcPr>
                  <w:tcW w:w="419" w:type="dxa"/>
                  <w:tcBorders>
                    <w:tl2br w:val="nil"/>
                    <w:tr2bl w:val="nil"/>
                  </w:tcBorders>
                  <w:shd w:val="clear" w:color="auto" w:fill="auto"/>
                  <w:vAlign w:val="center"/>
                </w:tcPr>
                <w:p w14:paraId="67B031AD">
                  <w:pPr>
                    <w:keepNext w:val="0"/>
                    <w:keepLines w:val="0"/>
                    <w:widowControl/>
                    <w:suppressLineNumbers w:val="0"/>
                    <w:jc w:val="center"/>
                    <w:rPr>
                      <w:rFonts w:hint="eastAsia" w:ascii="Times New Roman" w:hAnsi="Times New Roman" w:eastAsia="宋体" w:cs="Times New Roman"/>
                      <w:color w:val="auto"/>
                      <w:kern w:val="0"/>
                      <w:sz w:val="18"/>
                      <w:szCs w:val="18"/>
                      <w:highlight w:val="none"/>
                      <w:lang w:val="en-US" w:eastAsia="zh-CN" w:bidi="ar"/>
                    </w:rPr>
                  </w:pPr>
                  <w:r>
                    <w:rPr>
                      <w:rFonts w:hint="eastAsia" w:cs="Times New Roman"/>
                      <w:color w:val="auto"/>
                      <w:kern w:val="0"/>
                      <w:sz w:val="18"/>
                      <w:szCs w:val="18"/>
                      <w:highlight w:val="none"/>
                      <w:lang w:val="en-US" w:eastAsia="zh-CN" w:bidi="ar"/>
                    </w:rPr>
                    <w:t>能源</w:t>
                  </w:r>
                </w:p>
              </w:tc>
              <w:tc>
                <w:tcPr>
                  <w:tcW w:w="675" w:type="dxa"/>
                  <w:tcBorders>
                    <w:tl2br w:val="nil"/>
                    <w:tr2bl w:val="nil"/>
                  </w:tcBorders>
                  <w:shd w:val="clear" w:color="auto" w:fill="auto"/>
                  <w:vAlign w:val="center"/>
                </w:tcPr>
                <w:p w14:paraId="70C4BF72">
                  <w:pPr>
                    <w:keepNext w:val="0"/>
                    <w:keepLines w:val="0"/>
                    <w:widowControl/>
                    <w:suppressLineNumbers w:val="0"/>
                    <w:jc w:val="center"/>
                    <w:rPr>
                      <w:rFonts w:hint="eastAsia" w:ascii="Times New Roman" w:hAnsi="Times New Roman" w:eastAsia="宋体" w:cs="Times New Roman"/>
                      <w:color w:val="auto"/>
                      <w:kern w:val="0"/>
                      <w:sz w:val="18"/>
                      <w:szCs w:val="18"/>
                      <w:highlight w:val="none"/>
                      <w:lang w:val="en-US" w:eastAsia="zh-CN" w:bidi="ar"/>
                    </w:rPr>
                  </w:pPr>
                  <w:r>
                    <w:rPr>
                      <w:rFonts w:hint="eastAsia" w:cs="Times New Roman"/>
                      <w:color w:val="auto"/>
                      <w:kern w:val="0"/>
                      <w:sz w:val="18"/>
                      <w:szCs w:val="18"/>
                      <w:highlight w:val="none"/>
                      <w:lang w:val="en-US" w:eastAsia="zh-CN" w:bidi="ar"/>
                    </w:rPr>
                    <w:t>能源</w:t>
                  </w:r>
                  <w:r>
                    <w:rPr>
                      <w:rFonts w:hint="default" w:ascii="Times New Roman" w:hAnsi="Times New Roman" w:eastAsia="宋体" w:cs="Times New Roman"/>
                      <w:color w:val="auto"/>
                      <w:kern w:val="0"/>
                      <w:sz w:val="18"/>
                      <w:szCs w:val="18"/>
                      <w:highlight w:val="none"/>
                      <w:lang w:val="en-US" w:eastAsia="zh-CN" w:bidi="ar"/>
                    </w:rPr>
                    <w:t>利用效率 要求</w:t>
                  </w:r>
                </w:p>
              </w:tc>
              <w:tc>
                <w:tcPr>
                  <w:tcW w:w="6995" w:type="dxa"/>
                  <w:tcBorders>
                    <w:tl2br w:val="nil"/>
                    <w:tr2bl w:val="nil"/>
                  </w:tcBorders>
                  <w:vAlign w:val="center"/>
                </w:tcPr>
                <w:p w14:paraId="7935DED2">
                  <w:pPr>
                    <w:keepNext w:val="0"/>
                    <w:keepLines w:val="0"/>
                    <w:pageBreakBefore w:val="0"/>
                    <w:widowControl w:val="0"/>
                    <w:kinsoku/>
                    <w:wordWrap/>
                    <w:overflowPunct/>
                    <w:topLinePunct w:val="0"/>
                    <w:autoSpaceDE/>
                    <w:autoSpaceDN/>
                    <w:bidi w:val="0"/>
                    <w:adjustRightInd/>
                    <w:snapToGrid/>
                    <w:spacing w:line="240" w:lineRule="exact"/>
                    <w:ind w:firstLine="320" w:firstLineChars="200"/>
                    <w:jc w:val="left"/>
                    <w:textAlignment w:val="auto"/>
                    <w:rPr>
                      <w:rFonts w:hint="default" w:ascii="Times New Roman" w:hAnsi="Times New Roman" w:eastAsia="宋体" w:cs="Times New Roman"/>
                      <w:color w:val="auto"/>
                      <w:spacing w:val="-10"/>
                      <w:sz w:val="18"/>
                      <w:szCs w:val="18"/>
                      <w:highlight w:val="none"/>
                      <w:lang w:val="en-US" w:eastAsia="zh-CN"/>
                    </w:rPr>
                  </w:pPr>
                  <w:r>
                    <w:rPr>
                      <w:rFonts w:hint="default" w:ascii="Times New Roman" w:hAnsi="Times New Roman" w:eastAsia="宋体" w:cs="Times New Roman"/>
                      <w:color w:val="auto"/>
                      <w:spacing w:val="-10"/>
                      <w:sz w:val="18"/>
                      <w:szCs w:val="18"/>
                      <w:highlight w:val="none"/>
                      <w:lang w:val="en-US" w:eastAsia="zh-CN"/>
                    </w:rPr>
                    <w:t>5</w:t>
                  </w:r>
                  <w:r>
                    <w:rPr>
                      <w:rFonts w:hint="eastAsia" w:ascii="Times New Roman" w:hAnsi="Times New Roman" w:eastAsia="宋体" w:cs="Times New Roman"/>
                      <w:color w:val="auto"/>
                      <w:spacing w:val="-10"/>
                      <w:sz w:val="18"/>
                      <w:szCs w:val="18"/>
                      <w:highlight w:val="none"/>
                      <w:lang w:val="en-US" w:eastAsia="zh-CN"/>
                    </w:rPr>
                    <w:t>、钢铁行业按期完成</w:t>
                  </w:r>
                  <w:r>
                    <w:rPr>
                      <w:rFonts w:hint="default" w:ascii="Times New Roman" w:hAnsi="Times New Roman" w:eastAsia="宋体" w:cs="Times New Roman"/>
                      <w:color w:val="auto"/>
                      <w:spacing w:val="-10"/>
                      <w:sz w:val="18"/>
                      <w:szCs w:val="18"/>
                      <w:highlight w:val="none"/>
                      <w:lang w:val="en-US" w:eastAsia="zh-CN"/>
                    </w:rPr>
                    <w:t>1000</w:t>
                  </w:r>
                  <w:r>
                    <w:rPr>
                      <w:rFonts w:hint="eastAsia" w:ascii="Times New Roman" w:hAnsi="Times New Roman" w:eastAsia="宋体" w:cs="Times New Roman"/>
                      <w:color w:val="auto"/>
                      <w:spacing w:val="-10"/>
                      <w:sz w:val="18"/>
                      <w:szCs w:val="18"/>
                      <w:highlight w:val="none"/>
                      <w:lang w:val="en-US" w:eastAsia="zh-CN"/>
                    </w:rPr>
                    <w:t>立方米以下高炉、</w:t>
                  </w:r>
                  <w:r>
                    <w:rPr>
                      <w:rFonts w:hint="default" w:ascii="Times New Roman" w:hAnsi="Times New Roman" w:eastAsia="宋体" w:cs="Times New Roman"/>
                      <w:color w:val="auto"/>
                      <w:spacing w:val="-10"/>
                      <w:sz w:val="18"/>
                      <w:szCs w:val="18"/>
                      <w:highlight w:val="none"/>
                      <w:lang w:val="en-US" w:eastAsia="zh-CN"/>
                    </w:rPr>
                    <w:t>100</w:t>
                  </w:r>
                  <w:r>
                    <w:rPr>
                      <w:rFonts w:hint="eastAsia" w:ascii="Times New Roman" w:hAnsi="Times New Roman" w:eastAsia="宋体" w:cs="Times New Roman"/>
                      <w:color w:val="auto"/>
                      <w:spacing w:val="-10"/>
                      <w:sz w:val="18"/>
                      <w:szCs w:val="18"/>
                      <w:highlight w:val="none"/>
                      <w:lang w:val="en-US" w:eastAsia="zh-CN"/>
                    </w:rPr>
                    <w:t>吨以下转炉升级改造，大力推广高炉富氧 喷煤、大球团比等先进冶炼工艺技术，探索推进气基竖炉直接还原炼铁、熔融还原炼铁、富氢燃气炼铁积极推进全废钢电炉工艺，有序实施短流程炼钢改造。焦化行业加快高效精馏系统、高温高压干熄焦等节能技术推广应用。推动工业窑炉、油机、压缩机等重点用能设备进行系统节能改造。</w:t>
                  </w:r>
                </w:p>
              </w:tc>
              <w:tc>
                <w:tcPr>
                  <w:tcW w:w="2449" w:type="dxa"/>
                  <w:tcBorders>
                    <w:tl2br w:val="nil"/>
                    <w:tr2bl w:val="nil"/>
                  </w:tcBorders>
                  <w:shd w:val="clear" w:color="auto" w:fill="auto"/>
                  <w:vAlign w:val="center"/>
                </w:tcPr>
                <w:p w14:paraId="032D874E">
                  <w:pPr>
                    <w:keepNext w:val="0"/>
                    <w:keepLines w:val="0"/>
                    <w:pageBreakBefore w:val="0"/>
                    <w:widowControl w:val="0"/>
                    <w:kinsoku/>
                    <w:wordWrap/>
                    <w:overflowPunct/>
                    <w:topLinePunct w:val="0"/>
                    <w:autoSpaceDE/>
                    <w:autoSpaceDN/>
                    <w:bidi w:val="0"/>
                    <w:adjustRightInd/>
                    <w:snapToGrid/>
                    <w:spacing w:line="240" w:lineRule="exact"/>
                    <w:ind w:firstLine="320" w:firstLineChars="200"/>
                    <w:jc w:val="left"/>
                    <w:textAlignment w:val="auto"/>
                    <w:rPr>
                      <w:rFonts w:hint="default" w:ascii="Times New Roman" w:hAnsi="Times New Roman" w:eastAsia="宋体" w:cs="Times New Roman"/>
                      <w:color w:val="auto"/>
                      <w:spacing w:val="-10"/>
                      <w:kern w:val="2"/>
                      <w:sz w:val="18"/>
                      <w:szCs w:val="18"/>
                      <w:highlight w:val="none"/>
                      <w:lang w:val="en-US" w:eastAsia="zh-CN" w:bidi="ar-SA"/>
                    </w:rPr>
                  </w:pPr>
                  <w:r>
                    <w:rPr>
                      <w:rFonts w:hint="eastAsia" w:ascii="Times New Roman" w:hAnsi="Times New Roman" w:eastAsia="宋体" w:cs="Times New Roman"/>
                      <w:color w:val="auto"/>
                      <w:spacing w:val="-10"/>
                      <w:sz w:val="18"/>
                      <w:szCs w:val="18"/>
                      <w:highlight w:val="none"/>
                      <w:lang w:val="en-US" w:eastAsia="zh-CN"/>
                    </w:rPr>
                    <w:t>5、本项目不涉及。</w:t>
                  </w:r>
                </w:p>
              </w:tc>
              <w:tc>
                <w:tcPr>
                  <w:tcW w:w="750" w:type="dxa"/>
                  <w:tcBorders>
                    <w:tl2br w:val="nil"/>
                    <w:tr2bl w:val="nil"/>
                  </w:tcBorders>
                  <w:vAlign w:val="center"/>
                </w:tcPr>
                <w:p w14:paraId="1EC96616">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cs="Times New Roman"/>
                      <w:color w:val="auto"/>
                      <w:spacing w:val="-10"/>
                      <w:sz w:val="18"/>
                      <w:szCs w:val="18"/>
                      <w:highlight w:val="none"/>
                      <w:lang w:val="en-US" w:eastAsia="zh-CN"/>
                    </w:rPr>
                  </w:pPr>
                  <w:r>
                    <w:rPr>
                      <w:rFonts w:hint="default" w:ascii="Times New Roman" w:hAnsi="Times New Roman" w:cs="Times New Roman"/>
                      <w:color w:val="auto"/>
                      <w:spacing w:val="-10"/>
                      <w:sz w:val="18"/>
                      <w:szCs w:val="18"/>
                      <w:highlight w:val="none"/>
                      <w:lang w:val="en-US" w:eastAsia="zh-CN"/>
                    </w:rPr>
                    <w:t>符合</w:t>
                  </w:r>
                </w:p>
              </w:tc>
            </w:tr>
            <w:tr w14:paraId="5E37FFE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87" w:type="dxa"/>
                  <w:vMerge w:val="continue"/>
                  <w:tcBorders>
                    <w:tl2br w:val="nil"/>
                    <w:tr2bl w:val="nil"/>
                  </w:tcBorders>
                  <w:shd w:val="clear" w:color="auto" w:fill="auto"/>
                  <w:vAlign w:val="center"/>
                </w:tcPr>
                <w:p w14:paraId="1D502B2F">
                  <w:pPr>
                    <w:spacing w:line="240" w:lineRule="exact"/>
                    <w:jc w:val="center"/>
                    <w:rPr>
                      <w:rFonts w:hint="default" w:ascii="Times New Roman" w:hAnsi="Times New Roman" w:eastAsia="宋体" w:cs="Times New Roman"/>
                      <w:color w:val="auto"/>
                      <w:spacing w:val="-10"/>
                      <w:kern w:val="2"/>
                      <w:sz w:val="18"/>
                      <w:szCs w:val="18"/>
                      <w:highlight w:val="none"/>
                      <w:lang w:val="en-US" w:eastAsia="zh-CN" w:bidi="ar-SA"/>
                    </w:rPr>
                  </w:pPr>
                </w:p>
              </w:tc>
              <w:tc>
                <w:tcPr>
                  <w:tcW w:w="419" w:type="dxa"/>
                  <w:tcBorders>
                    <w:tl2br w:val="nil"/>
                    <w:tr2bl w:val="nil"/>
                  </w:tcBorders>
                  <w:shd w:val="clear" w:color="auto" w:fill="auto"/>
                  <w:vAlign w:val="center"/>
                </w:tcPr>
                <w:p w14:paraId="18D2EA3D">
                  <w:pPr>
                    <w:keepNext w:val="0"/>
                    <w:keepLines w:val="0"/>
                    <w:widowControl/>
                    <w:suppressLineNumbers w:val="0"/>
                    <w:jc w:val="center"/>
                    <w:rPr>
                      <w:rFonts w:hint="eastAsia" w:ascii="Times New Roman" w:hAnsi="Times New Roman" w:eastAsia="宋体" w:cs="Times New Roman"/>
                      <w:color w:val="auto"/>
                      <w:kern w:val="0"/>
                      <w:sz w:val="18"/>
                      <w:szCs w:val="18"/>
                      <w:highlight w:val="none"/>
                      <w:lang w:val="en-US" w:eastAsia="zh-CN" w:bidi="ar"/>
                    </w:rPr>
                  </w:pPr>
                  <w:r>
                    <w:rPr>
                      <w:rFonts w:hint="eastAsia" w:ascii="Times New Roman" w:hAnsi="Times New Roman" w:eastAsia="宋体" w:cs="Times New Roman"/>
                      <w:color w:val="auto"/>
                      <w:kern w:val="0"/>
                      <w:sz w:val="18"/>
                      <w:szCs w:val="18"/>
                      <w:highlight w:val="none"/>
                      <w:lang w:val="en-US" w:eastAsia="zh-CN" w:bidi="ar"/>
                    </w:rPr>
                    <w:t xml:space="preserve">土地 </w:t>
                  </w:r>
                </w:p>
                <w:p w14:paraId="42C6B893">
                  <w:pPr>
                    <w:keepNext w:val="0"/>
                    <w:keepLines w:val="0"/>
                    <w:widowControl/>
                    <w:suppressLineNumbers w:val="0"/>
                    <w:jc w:val="center"/>
                    <w:rPr>
                      <w:rFonts w:hint="eastAsia" w:ascii="Times New Roman" w:hAnsi="Times New Roman" w:eastAsia="宋体" w:cs="Times New Roman"/>
                      <w:color w:val="auto"/>
                      <w:kern w:val="0"/>
                      <w:sz w:val="18"/>
                      <w:szCs w:val="18"/>
                      <w:highlight w:val="none"/>
                      <w:lang w:val="en-US" w:eastAsia="zh-CN" w:bidi="ar"/>
                    </w:rPr>
                  </w:pPr>
                  <w:r>
                    <w:rPr>
                      <w:rFonts w:hint="eastAsia" w:ascii="Times New Roman" w:hAnsi="Times New Roman" w:eastAsia="宋体" w:cs="Times New Roman"/>
                      <w:color w:val="auto"/>
                      <w:kern w:val="0"/>
                      <w:sz w:val="18"/>
                      <w:szCs w:val="18"/>
                      <w:highlight w:val="none"/>
                      <w:lang w:val="en-US" w:eastAsia="zh-CN" w:bidi="ar"/>
                    </w:rPr>
                    <w:t>资源</w:t>
                  </w:r>
                </w:p>
              </w:tc>
              <w:tc>
                <w:tcPr>
                  <w:tcW w:w="675" w:type="dxa"/>
                  <w:tcBorders>
                    <w:tl2br w:val="nil"/>
                    <w:tr2bl w:val="nil"/>
                  </w:tcBorders>
                  <w:shd w:val="clear" w:color="auto" w:fill="auto"/>
                  <w:vAlign w:val="center"/>
                </w:tcPr>
                <w:p w14:paraId="4BDC7B41">
                  <w:pPr>
                    <w:keepNext w:val="0"/>
                    <w:keepLines w:val="0"/>
                    <w:widowControl/>
                    <w:suppressLineNumbers w:val="0"/>
                    <w:jc w:val="center"/>
                    <w:rPr>
                      <w:rFonts w:hint="eastAsia" w:ascii="Times New Roman" w:hAnsi="Times New Roman" w:eastAsia="宋体" w:cs="Times New Roman"/>
                      <w:color w:val="auto"/>
                      <w:kern w:val="0"/>
                      <w:sz w:val="18"/>
                      <w:szCs w:val="18"/>
                      <w:highlight w:val="none"/>
                      <w:lang w:val="en-US" w:eastAsia="zh-CN" w:bidi="ar"/>
                    </w:rPr>
                  </w:pPr>
                  <w:r>
                    <w:rPr>
                      <w:rFonts w:hint="eastAsia" w:ascii="Times New Roman" w:hAnsi="Times New Roman" w:eastAsia="宋体" w:cs="Times New Roman"/>
                      <w:color w:val="auto"/>
                      <w:kern w:val="0"/>
                      <w:sz w:val="18"/>
                      <w:szCs w:val="18"/>
                      <w:highlight w:val="none"/>
                      <w:lang w:val="en-US" w:eastAsia="zh-CN" w:bidi="ar"/>
                    </w:rPr>
                    <w:t>资源利用效率要求</w:t>
                  </w:r>
                </w:p>
              </w:tc>
              <w:tc>
                <w:tcPr>
                  <w:tcW w:w="6995" w:type="dxa"/>
                  <w:tcBorders>
                    <w:tl2br w:val="nil"/>
                    <w:tr2bl w:val="nil"/>
                  </w:tcBorders>
                  <w:shd w:val="clear" w:color="auto" w:fill="auto"/>
                  <w:vAlign w:val="center"/>
                </w:tcPr>
                <w:p w14:paraId="0910170E">
                  <w:pPr>
                    <w:keepNext w:val="0"/>
                    <w:keepLines w:val="0"/>
                    <w:pageBreakBefore w:val="0"/>
                    <w:widowControl w:val="0"/>
                    <w:kinsoku/>
                    <w:wordWrap/>
                    <w:overflowPunct/>
                    <w:topLinePunct w:val="0"/>
                    <w:autoSpaceDE/>
                    <w:autoSpaceDN/>
                    <w:bidi w:val="0"/>
                    <w:adjustRightInd/>
                    <w:snapToGrid/>
                    <w:spacing w:line="240" w:lineRule="exact"/>
                    <w:ind w:firstLine="320" w:firstLineChars="200"/>
                    <w:jc w:val="left"/>
                    <w:textAlignment w:val="auto"/>
                    <w:rPr>
                      <w:rFonts w:hint="eastAsia" w:ascii="Times New Roman" w:hAnsi="Times New Roman" w:eastAsia="宋体" w:cs="Times New Roman"/>
                      <w:color w:val="auto"/>
                      <w:spacing w:val="-10"/>
                      <w:sz w:val="18"/>
                      <w:szCs w:val="18"/>
                      <w:highlight w:val="none"/>
                      <w:lang w:val="en-US" w:eastAsia="zh-CN"/>
                    </w:rPr>
                  </w:pPr>
                  <w:r>
                    <w:rPr>
                      <w:rFonts w:hint="eastAsia" w:ascii="Times New Roman" w:hAnsi="Times New Roman" w:eastAsia="宋体" w:cs="Times New Roman"/>
                      <w:color w:val="auto"/>
                      <w:spacing w:val="-10"/>
                      <w:sz w:val="18"/>
                      <w:szCs w:val="18"/>
                      <w:highlight w:val="none"/>
                      <w:lang w:val="en-US" w:eastAsia="zh-CN"/>
                    </w:rPr>
                    <w:t>1、不得擅自突破城镇建设用地规模和城镇开发边界扩展倍数，严禁违反法律和规划开展用地用海审批。</w:t>
                  </w:r>
                </w:p>
                <w:p w14:paraId="152ECDD7">
                  <w:pPr>
                    <w:keepNext w:val="0"/>
                    <w:keepLines w:val="0"/>
                    <w:pageBreakBefore w:val="0"/>
                    <w:widowControl w:val="0"/>
                    <w:kinsoku/>
                    <w:wordWrap/>
                    <w:overflowPunct/>
                    <w:topLinePunct w:val="0"/>
                    <w:autoSpaceDE/>
                    <w:autoSpaceDN/>
                    <w:bidi w:val="0"/>
                    <w:adjustRightInd/>
                    <w:snapToGrid/>
                    <w:spacing w:line="240" w:lineRule="exact"/>
                    <w:ind w:firstLine="320" w:firstLineChars="200"/>
                    <w:jc w:val="left"/>
                    <w:textAlignment w:val="auto"/>
                    <w:rPr>
                      <w:rFonts w:hint="eastAsia" w:ascii="Times New Roman" w:hAnsi="Times New Roman" w:eastAsia="宋体" w:cs="Times New Roman"/>
                      <w:color w:val="auto"/>
                      <w:spacing w:val="-10"/>
                      <w:kern w:val="2"/>
                      <w:sz w:val="18"/>
                      <w:szCs w:val="18"/>
                      <w:highlight w:val="none"/>
                      <w:lang w:val="en-US" w:eastAsia="zh-CN" w:bidi="ar-SA"/>
                    </w:rPr>
                  </w:pPr>
                  <w:r>
                    <w:rPr>
                      <w:rFonts w:hint="eastAsia" w:ascii="Times New Roman" w:hAnsi="Times New Roman" w:eastAsia="宋体" w:cs="Times New Roman"/>
                      <w:color w:val="auto"/>
                      <w:spacing w:val="-10"/>
                      <w:sz w:val="18"/>
                      <w:szCs w:val="18"/>
                      <w:highlight w:val="none"/>
                      <w:lang w:val="en-US" w:eastAsia="zh-CN"/>
                    </w:rPr>
                    <w:t>2、城镇开发边界外不得进行城镇集中建设，不得规划建设各类开发区和产业园区，不得规划城镇居住用地。</w:t>
                  </w:r>
                </w:p>
              </w:tc>
              <w:tc>
                <w:tcPr>
                  <w:tcW w:w="2449" w:type="dxa"/>
                  <w:tcBorders>
                    <w:tl2br w:val="nil"/>
                    <w:tr2bl w:val="nil"/>
                  </w:tcBorders>
                  <w:shd w:val="clear" w:color="auto" w:fill="auto"/>
                  <w:vAlign w:val="center"/>
                </w:tcPr>
                <w:p w14:paraId="7BE139A3">
                  <w:pPr>
                    <w:keepNext w:val="0"/>
                    <w:keepLines w:val="0"/>
                    <w:pageBreakBefore w:val="0"/>
                    <w:widowControl w:val="0"/>
                    <w:kinsoku/>
                    <w:wordWrap/>
                    <w:overflowPunct/>
                    <w:topLinePunct w:val="0"/>
                    <w:autoSpaceDE/>
                    <w:autoSpaceDN/>
                    <w:bidi w:val="0"/>
                    <w:adjustRightInd/>
                    <w:snapToGrid/>
                    <w:spacing w:line="240" w:lineRule="exact"/>
                    <w:ind w:firstLine="320" w:firstLineChars="200"/>
                    <w:jc w:val="left"/>
                    <w:textAlignment w:val="auto"/>
                    <w:rPr>
                      <w:rFonts w:hint="eastAsia" w:ascii="Times New Roman" w:hAnsi="Times New Roman" w:eastAsia="宋体" w:cs="Times New Roman"/>
                      <w:color w:val="auto"/>
                      <w:spacing w:val="-10"/>
                      <w:sz w:val="18"/>
                      <w:szCs w:val="18"/>
                      <w:highlight w:val="none"/>
                      <w:lang w:val="en-US" w:eastAsia="zh-CN"/>
                    </w:rPr>
                  </w:pPr>
                  <w:r>
                    <w:rPr>
                      <w:rFonts w:hint="eastAsia" w:ascii="Times New Roman" w:hAnsi="Times New Roman" w:eastAsia="宋体" w:cs="Times New Roman"/>
                      <w:color w:val="auto"/>
                      <w:spacing w:val="-10"/>
                      <w:sz w:val="18"/>
                      <w:szCs w:val="18"/>
                      <w:highlight w:val="none"/>
                      <w:lang w:val="en-US" w:eastAsia="zh-CN"/>
                    </w:rPr>
                    <w:t>1、根据《</w:t>
                  </w:r>
                  <w:r>
                    <w:rPr>
                      <w:rFonts w:hint="default" w:ascii="Times New Roman" w:hAnsi="Times New Roman" w:eastAsia="宋体" w:cs="Times New Roman"/>
                      <w:color w:val="auto"/>
                      <w:spacing w:val="-10"/>
                      <w:sz w:val="18"/>
                      <w:szCs w:val="18"/>
                      <w:highlight w:val="none"/>
                      <w:lang w:val="en-US" w:eastAsia="zh-CN"/>
                    </w:rPr>
                    <w:t>滦州市</w:t>
                  </w:r>
                  <w:r>
                    <w:rPr>
                      <w:rFonts w:hint="eastAsia" w:ascii="Times New Roman" w:hAnsi="Times New Roman" w:eastAsia="宋体" w:cs="Times New Roman"/>
                      <w:color w:val="auto"/>
                      <w:spacing w:val="-10"/>
                      <w:sz w:val="18"/>
                      <w:szCs w:val="18"/>
                      <w:highlight w:val="none"/>
                      <w:lang w:val="en-US" w:eastAsia="zh-CN"/>
                    </w:rPr>
                    <w:t>九百户镇</w:t>
                  </w:r>
                  <w:r>
                    <w:rPr>
                      <w:rFonts w:hint="default" w:ascii="Times New Roman" w:hAnsi="Times New Roman" w:eastAsia="宋体" w:cs="Times New Roman"/>
                      <w:color w:val="auto"/>
                      <w:spacing w:val="-10"/>
                      <w:sz w:val="18"/>
                      <w:szCs w:val="18"/>
                      <w:highlight w:val="none"/>
                      <w:lang w:val="en-US" w:eastAsia="zh-CN"/>
                    </w:rPr>
                    <w:t>关于</w:t>
                  </w:r>
                  <w:r>
                    <w:rPr>
                      <w:rFonts w:hint="eastAsia" w:ascii="Times New Roman" w:hAnsi="Times New Roman" w:eastAsia="宋体" w:cs="Times New Roman"/>
                      <w:color w:val="auto"/>
                      <w:spacing w:val="-10"/>
                      <w:sz w:val="18"/>
                      <w:szCs w:val="18"/>
                      <w:highlight w:val="none"/>
                      <w:lang w:val="en-US" w:eastAsia="zh-CN"/>
                    </w:rPr>
                    <w:t>滦州市祯璟再生资源有限公司固体废弃物综合利用项目</w:t>
                  </w:r>
                  <w:r>
                    <w:rPr>
                      <w:rFonts w:hint="default" w:ascii="Times New Roman" w:hAnsi="Times New Roman" w:eastAsia="宋体" w:cs="Times New Roman"/>
                      <w:color w:val="auto"/>
                      <w:spacing w:val="-10"/>
                      <w:sz w:val="18"/>
                      <w:szCs w:val="18"/>
                      <w:highlight w:val="none"/>
                      <w:lang w:val="en-US" w:eastAsia="zh-CN"/>
                    </w:rPr>
                    <w:t>用地情况说明</w:t>
                  </w:r>
                  <w:r>
                    <w:rPr>
                      <w:rFonts w:hint="eastAsia" w:ascii="Times New Roman" w:hAnsi="Times New Roman" w:eastAsia="宋体" w:cs="Times New Roman"/>
                      <w:color w:val="auto"/>
                      <w:spacing w:val="-10"/>
                      <w:sz w:val="18"/>
                      <w:szCs w:val="18"/>
                      <w:highlight w:val="none"/>
                      <w:lang w:val="en-US" w:eastAsia="zh-CN"/>
                    </w:rPr>
                    <w:t>》，项目占地为工业建设用地，项目用地符合要求，不新增违法用地，不新增城镇建设用地规模</w:t>
                  </w:r>
                </w:p>
                <w:p w14:paraId="7387CF3C">
                  <w:pPr>
                    <w:keepNext w:val="0"/>
                    <w:keepLines w:val="0"/>
                    <w:pageBreakBefore w:val="0"/>
                    <w:widowControl w:val="0"/>
                    <w:kinsoku/>
                    <w:wordWrap/>
                    <w:overflowPunct/>
                    <w:topLinePunct w:val="0"/>
                    <w:autoSpaceDE/>
                    <w:autoSpaceDN/>
                    <w:bidi w:val="0"/>
                    <w:adjustRightInd/>
                    <w:snapToGrid/>
                    <w:spacing w:line="240" w:lineRule="exact"/>
                    <w:ind w:firstLine="320" w:firstLineChars="200"/>
                    <w:jc w:val="left"/>
                    <w:textAlignment w:val="auto"/>
                    <w:rPr>
                      <w:rFonts w:hint="eastAsia" w:ascii="Times New Roman" w:hAnsi="Times New Roman" w:eastAsia="宋体" w:cs="Times New Roman"/>
                      <w:color w:val="auto"/>
                      <w:spacing w:val="-10"/>
                      <w:kern w:val="2"/>
                      <w:sz w:val="18"/>
                      <w:szCs w:val="18"/>
                      <w:highlight w:val="none"/>
                      <w:lang w:val="en-US" w:eastAsia="zh-CN" w:bidi="ar-SA"/>
                    </w:rPr>
                  </w:pPr>
                  <w:r>
                    <w:rPr>
                      <w:rFonts w:hint="eastAsia" w:ascii="Times New Roman" w:hAnsi="Times New Roman" w:eastAsia="宋体" w:cs="Times New Roman"/>
                      <w:color w:val="auto"/>
                      <w:spacing w:val="-10"/>
                      <w:sz w:val="18"/>
                      <w:szCs w:val="18"/>
                      <w:highlight w:val="none"/>
                      <w:lang w:val="en-US" w:eastAsia="zh-CN"/>
                    </w:rPr>
                    <w:t>2、项目不涉及</w:t>
                  </w:r>
                </w:p>
              </w:tc>
              <w:tc>
                <w:tcPr>
                  <w:tcW w:w="750" w:type="dxa"/>
                  <w:tcBorders>
                    <w:tl2br w:val="nil"/>
                    <w:tr2bl w:val="nil"/>
                  </w:tcBorders>
                  <w:shd w:val="clear" w:color="auto" w:fill="auto"/>
                  <w:vAlign w:val="center"/>
                </w:tcPr>
                <w:p w14:paraId="3DEBA081">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pacing w:val="-10"/>
                      <w:kern w:val="2"/>
                      <w:sz w:val="18"/>
                      <w:szCs w:val="18"/>
                      <w:highlight w:val="none"/>
                      <w:lang w:val="en-US" w:eastAsia="zh-CN" w:bidi="ar-SA"/>
                    </w:rPr>
                  </w:pPr>
                  <w:r>
                    <w:rPr>
                      <w:rFonts w:hint="default" w:ascii="Times New Roman" w:hAnsi="Times New Roman" w:cs="Times New Roman"/>
                      <w:color w:val="auto"/>
                      <w:spacing w:val="-10"/>
                      <w:sz w:val="18"/>
                      <w:szCs w:val="18"/>
                      <w:highlight w:val="none"/>
                      <w:lang w:val="en-US" w:eastAsia="zh-CN"/>
                    </w:rPr>
                    <w:t>符合</w:t>
                  </w:r>
                </w:p>
              </w:tc>
            </w:tr>
            <w:tr w14:paraId="50050E9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87" w:type="dxa"/>
                  <w:tcBorders>
                    <w:tl2br w:val="nil"/>
                    <w:tr2bl w:val="nil"/>
                  </w:tcBorders>
                  <w:vAlign w:val="center"/>
                </w:tcPr>
                <w:p w14:paraId="17BCBF2B">
                  <w:pPr>
                    <w:keepNext w:val="0"/>
                    <w:keepLines w:val="0"/>
                    <w:widowControl/>
                    <w:suppressLineNumbers w:val="0"/>
                    <w:jc w:val="center"/>
                    <w:rPr>
                      <w:rFonts w:hint="default" w:ascii="Times New Roman" w:hAnsi="Times New Roman" w:cs="Times New Roman"/>
                      <w:color w:val="auto"/>
                    </w:rPr>
                  </w:pPr>
                  <w:r>
                    <w:rPr>
                      <w:rFonts w:hint="default" w:ascii="Times New Roman" w:hAnsi="Times New Roman" w:eastAsia="宋体" w:cs="Times New Roman"/>
                      <w:color w:val="auto"/>
                      <w:kern w:val="0"/>
                      <w:sz w:val="18"/>
                      <w:szCs w:val="18"/>
                      <w:lang w:val="en-US" w:eastAsia="zh-CN" w:bidi="ar"/>
                    </w:rPr>
                    <w:t>产业总体布局</w:t>
                  </w:r>
                </w:p>
                <w:p w14:paraId="5AC45E93">
                  <w:pPr>
                    <w:keepNext w:val="0"/>
                    <w:keepLines w:val="0"/>
                    <w:widowControl/>
                    <w:suppressLineNumbers w:val="0"/>
                    <w:jc w:val="center"/>
                    <w:rPr>
                      <w:rFonts w:hint="default" w:ascii="Times New Roman" w:hAnsi="Times New Roman" w:cs="Times New Roman"/>
                      <w:color w:val="auto"/>
                    </w:rPr>
                  </w:pPr>
                  <w:r>
                    <w:rPr>
                      <w:rFonts w:hint="default" w:ascii="Times New Roman" w:hAnsi="Times New Roman" w:eastAsia="宋体" w:cs="Times New Roman"/>
                      <w:color w:val="auto"/>
                      <w:kern w:val="0"/>
                      <w:sz w:val="18"/>
                      <w:szCs w:val="18"/>
                      <w:lang w:val="en-US" w:eastAsia="zh-CN" w:bidi="ar"/>
                    </w:rPr>
                    <w:t>要求</w:t>
                  </w:r>
                </w:p>
                <w:p w14:paraId="63B6D301">
                  <w:pPr>
                    <w:spacing w:line="240" w:lineRule="exact"/>
                    <w:jc w:val="center"/>
                    <w:rPr>
                      <w:rFonts w:hint="default" w:ascii="Times New Roman" w:hAnsi="Times New Roman" w:cs="Times New Roman"/>
                      <w:color w:val="auto"/>
                      <w:spacing w:val="-10"/>
                      <w:sz w:val="18"/>
                      <w:szCs w:val="18"/>
                      <w:highlight w:val="none"/>
                      <w:lang w:val="en-US" w:eastAsia="zh-CN"/>
                    </w:rPr>
                  </w:pPr>
                </w:p>
              </w:tc>
              <w:tc>
                <w:tcPr>
                  <w:tcW w:w="1094" w:type="dxa"/>
                  <w:gridSpan w:val="2"/>
                  <w:tcBorders>
                    <w:tl2br w:val="nil"/>
                    <w:tr2bl w:val="nil"/>
                  </w:tcBorders>
                  <w:vAlign w:val="center"/>
                </w:tcPr>
                <w:p w14:paraId="18FC7540">
                  <w:pPr>
                    <w:spacing w:line="240" w:lineRule="exact"/>
                    <w:jc w:val="center"/>
                    <w:rPr>
                      <w:rFonts w:hint="default" w:ascii="Times New Roman" w:hAnsi="Times New Roman" w:cs="Times New Roman"/>
                      <w:color w:val="auto"/>
                      <w:spacing w:val="-10"/>
                      <w:sz w:val="18"/>
                      <w:szCs w:val="18"/>
                      <w:highlight w:val="none"/>
                      <w:lang w:val="en-US" w:eastAsia="zh-CN"/>
                    </w:rPr>
                  </w:pPr>
                  <w:r>
                    <w:rPr>
                      <w:rFonts w:hint="default" w:ascii="Times New Roman" w:hAnsi="Times New Roman" w:cs="Times New Roman"/>
                      <w:color w:val="auto"/>
                      <w:spacing w:val="-10"/>
                      <w:sz w:val="18"/>
                      <w:szCs w:val="18"/>
                      <w:highlight w:val="none"/>
                      <w:lang w:val="en-US" w:eastAsia="zh-CN"/>
                    </w:rPr>
                    <w:t>空间布局约束</w:t>
                  </w:r>
                </w:p>
              </w:tc>
              <w:tc>
                <w:tcPr>
                  <w:tcW w:w="6995" w:type="dxa"/>
                  <w:tcBorders>
                    <w:tl2br w:val="nil"/>
                    <w:tr2bl w:val="nil"/>
                  </w:tcBorders>
                  <w:vAlign w:val="center"/>
                </w:tcPr>
                <w:p w14:paraId="55F0AAF3">
                  <w:pPr>
                    <w:keepNext w:val="0"/>
                    <w:keepLines w:val="0"/>
                    <w:pageBreakBefore w:val="0"/>
                    <w:widowControl w:val="0"/>
                    <w:kinsoku/>
                    <w:wordWrap/>
                    <w:overflowPunct/>
                    <w:topLinePunct w:val="0"/>
                    <w:autoSpaceDE/>
                    <w:autoSpaceDN/>
                    <w:bidi w:val="0"/>
                    <w:adjustRightInd/>
                    <w:snapToGrid/>
                    <w:spacing w:line="240" w:lineRule="exact"/>
                    <w:ind w:firstLine="320" w:firstLineChars="200"/>
                    <w:jc w:val="left"/>
                    <w:textAlignment w:val="auto"/>
                    <w:rPr>
                      <w:rFonts w:hint="default" w:ascii="Times New Roman" w:hAnsi="Times New Roman" w:eastAsia="宋体" w:cs="Times New Roman"/>
                      <w:color w:val="auto"/>
                      <w:spacing w:val="-10"/>
                      <w:sz w:val="18"/>
                      <w:szCs w:val="18"/>
                      <w:highlight w:val="none"/>
                      <w:lang w:val="en-US" w:eastAsia="zh-CN"/>
                    </w:rPr>
                  </w:pPr>
                  <w:r>
                    <w:rPr>
                      <w:rFonts w:hint="default" w:ascii="Times New Roman" w:hAnsi="Times New Roman" w:eastAsia="宋体" w:cs="Times New Roman"/>
                      <w:color w:val="auto"/>
                      <w:spacing w:val="-10"/>
                      <w:sz w:val="18"/>
                      <w:szCs w:val="18"/>
                      <w:highlight w:val="none"/>
                      <w:lang w:val="en-US" w:eastAsia="zh-CN"/>
                    </w:rPr>
                    <w:t>1</w:t>
                  </w:r>
                  <w:r>
                    <w:rPr>
                      <w:rFonts w:hint="eastAsia" w:ascii="Times New Roman" w:hAnsi="Times New Roman" w:eastAsia="宋体" w:cs="Times New Roman"/>
                      <w:color w:val="auto"/>
                      <w:spacing w:val="-10"/>
                      <w:sz w:val="18"/>
                      <w:szCs w:val="18"/>
                      <w:highlight w:val="none"/>
                      <w:lang w:val="en-US" w:eastAsia="zh-CN"/>
                    </w:rPr>
                    <w:t>、严格执行《产业结构调整指导目录》《市场准入负面清单》《河北省禁止投资的产业目录》 相关要求。</w:t>
                  </w:r>
                </w:p>
                <w:p w14:paraId="4EC80646">
                  <w:pPr>
                    <w:keepNext w:val="0"/>
                    <w:keepLines w:val="0"/>
                    <w:pageBreakBefore w:val="0"/>
                    <w:widowControl w:val="0"/>
                    <w:kinsoku/>
                    <w:wordWrap/>
                    <w:overflowPunct/>
                    <w:topLinePunct w:val="0"/>
                    <w:autoSpaceDE/>
                    <w:autoSpaceDN/>
                    <w:bidi w:val="0"/>
                    <w:adjustRightInd/>
                    <w:snapToGrid/>
                    <w:spacing w:line="240" w:lineRule="exact"/>
                    <w:ind w:firstLine="320" w:firstLineChars="200"/>
                    <w:jc w:val="left"/>
                    <w:textAlignment w:val="auto"/>
                    <w:rPr>
                      <w:rFonts w:hint="eastAsia" w:ascii="Times New Roman" w:hAnsi="Times New Roman" w:eastAsia="宋体" w:cs="Times New Roman"/>
                      <w:color w:val="auto"/>
                      <w:spacing w:val="-10"/>
                      <w:sz w:val="18"/>
                      <w:szCs w:val="18"/>
                      <w:highlight w:val="none"/>
                      <w:lang w:val="en-US" w:eastAsia="zh-CN"/>
                    </w:rPr>
                  </w:pPr>
                  <w:r>
                    <w:rPr>
                      <w:rFonts w:hint="default" w:ascii="Times New Roman" w:hAnsi="Times New Roman" w:eastAsia="宋体" w:cs="Times New Roman"/>
                      <w:color w:val="auto"/>
                      <w:spacing w:val="-10"/>
                      <w:sz w:val="18"/>
                      <w:szCs w:val="18"/>
                      <w:highlight w:val="none"/>
                      <w:lang w:val="en-US" w:eastAsia="zh-CN"/>
                    </w:rPr>
                    <w:t>2</w:t>
                  </w:r>
                  <w:r>
                    <w:rPr>
                      <w:rFonts w:hint="eastAsia" w:ascii="Times New Roman" w:hAnsi="Times New Roman" w:eastAsia="宋体" w:cs="Times New Roman"/>
                      <w:color w:val="auto"/>
                      <w:spacing w:val="-10"/>
                      <w:sz w:val="18"/>
                      <w:szCs w:val="18"/>
                      <w:highlight w:val="none"/>
                      <w:lang w:val="en-US" w:eastAsia="zh-CN"/>
                    </w:rPr>
                    <w:t>、严格执行国家产业政策和准入标准，实行生态环境准入清单制度，禁止新建、扩建高污染项目，严格控制高耗能、高排放项目准入。新建、改建和扩建项目按照相关规定实行减量置换或者等量置换。</w:t>
                  </w:r>
                </w:p>
                <w:p w14:paraId="224B6C01">
                  <w:pPr>
                    <w:keepNext w:val="0"/>
                    <w:keepLines w:val="0"/>
                    <w:pageBreakBefore w:val="0"/>
                    <w:widowControl w:val="0"/>
                    <w:kinsoku/>
                    <w:wordWrap/>
                    <w:overflowPunct/>
                    <w:topLinePunct w:val="0"/>
                    <w:autoSpaceDE/>
                    <w:autoSpaceDN/>
                    <w:bidi w:val="0"/>
                    <w:adjustRightInd/>
                    <w:snapToGrid/>
                    <w:spacing w:line="240" w:lineRule="exact"/>
                    <w:ind w:firstLine="320" w:firstLineChars="200"/>
                    <w:jc w:val="left"/>
                    <w:textAlignment w:val="auto"/>
                    <w:rPr>
                      <w:rFonts w:hint="eastAsia" w:ascii="Times New Roman" w:hAnsi="Times New Roman" w:eastAsia="宋体" w:cs="Times New Roman"/>
                      <w:color w:val="auto"/>
                      <w:spacing w:val="-10"/>
                      <w:sz w:val="18"/>
                      <w:szCs w:val="18"/>
                      <w:highlight w:val="none"/>
                      <w:lang w:val="en-US" w:eastAsia="zh-CN"/>
                    </w:rPr>
                  </w:pPr>
                  <w:r>
                    <w:rPr>
                      <w:rFonts w:hint="default" w:ascii="Times New Roman" w:hAnsi="Times New Roman" w:eastAsia="宋体" w:cs="Times New Roman"/>
                      <w:color w:val="auto"/>
                      <w:spacing w:val="-10"/>
                      <w:sz w:val="18"/>
                      <w:szCs w:val="18"/>
                      <w:highlight w:val="none"/>
                      <w:lang w:val="en-US" w:eastAsia="zh-CN"/>
                    </w:rPr>
                    <w:t>3</w:t>
                  </w:r>
                  <w:r>
                    <w:rPr>
                      <w:rFonts w:hint="eastAsia" w:ascii="Times New Roman" w:hAnsi="Times New Roman" w:eastAsia="宋体" w:cs="Times New Roman"/>
                      <w:color w:val="auto"/>
                      <w:spacing w:val="-10"/>
                      <w:sz w:val="18"/>
                      <w:szCs w:val="18"/>
                      <w:highlight w:val="none"/>
                      <w:lang w:val="en-US" w:eastAsia="zh-CN"/>
                    </w:rPr>
                    <w:t>、禁止投资钢铁冶炼、水泥、电解铝、平板玻璃等产能严重过剩行业和炼焦、有色、电石、铁合金等新增产能项目。</w:t>
                  </w:r>
                </w:p>
                <w:p w14:paraId="56D2C36B">
                  <w:pPr>
                    <w:keepNext w:val="0"/>
                    <w:keepLines w:val="0"/>
                    <w:pageBreakBefore w:val="0"/>
                    <w:widowControl w:val="0"/>
                    <w:kinsoku/>
                    <w:wordWrap/>
                    <w:overflowPunct/>
                    <w:topLinePunct w:val="0"/>
                    <w:autoSpaceDE/>
                    <w:autoSpaceDN/>
                    <w:bidi w:val="0"/>
                    <w:adjustRightInd/>
                    <w:snapToGrid/>
                    <w:spacing w:line="240" w:lineRule="exact"/>
                    <w:ind w:firstLine="320" w:firstLineChars="200"/>
                    <w:jc w:val="left"/>
                    <w:textAlignment w:val="auto"/>
                    <w:rPr>
                      <w:rFonts w:hint="eastAsia" w:ascii="Times New Roman" w:hAnsi="Times New Roman" w:eastAsia="宋体" w:cs="Times New Roman"/>
                      <w:color w:val="auto"/>
                      <w:spacing w:val="-10"/>
                      <w:sz w:val="18"/>
                      <w:szCs w:val="18"/>
                      <w:highlight w:val="none"/>
                      <w:lang w:val="en-US" w:eastAsia="zh-CN"/>
                    </w:rPr>
                  </w:pPr>
                  <w:r>
                    <w:rPr>
                      <w:rFonts w:hint="default" w:ascii="Times New Roman" w:hAnsi="Times New Roman" w:eastAsia="宋体" w:cs="Times New Roman"/>
                      <w:color w:val="auto"/>
                      <w:spacing w:val="-10"/>
                      <w:sz w:val="18"/>
                      <w:szCs w:val="18"/>
                      <w:highlight w:val="none"/>
                      <w:lang w:val="en-US" w:eastAsia="zh-CN"/>
                    </w:rPr>
                    <w:t>4</w:t>
                  </w:r>
                  <w:r>
                    <w:rPr>
                      <w:rFonts w:hint="eastAsia" w:ascii="Times New Roman" w:hAnsi="Times New Roman" w:eastAsia="宋体" w:cs="Times New Roman"/>
                      <w:color w:val="auto"/>
                      <w:spacing w:val="-10"/>
                      <w:sz w:val="18"/>
                      <w:szCs w:val="18"/>
                      <w:highlight w:val="none"/>
                      <w:lang w:val="en-US" w:eastAsia="zh-CN"/>
                    </w:rPr>
                    <w:t xml:space="preserve">、上一年度环境空气质量年平均浓度不达标的城市、水环境质量未达到要求的市县，相关污染物应按照建设项目所需替代的主要污染物排放总量指标的 </w:t>
                  </w:r>
                  <w:r>
                    <w:rPr>
                      <w:rFonts w:hint="default" w:ascii="Times New Roman" w:hAnsi="Times New Roman" w:eastAsia="宋体" w:cs="Times New Roman"/>
                      <w:color w:val="auto"/>
                      <w:spacing w:val="-10"/>
                      <w:sz w:val="18"/>
                      <w:szCs w:val="18"/>
                      <w:highlight w:val="none"/>
                      <w:lang w:val="en-US" w:eastAsia="zh-CN"/>
                    </w:rPr>
                    <w:t xml:space="preserve">2 </w:t>
                  </w:r>
                  <w:r>
                    <w:rPr>
                      <w:rFonts w:hint="eastAsia" w:ascii="Times New Roman" w:hAnsi="Times New Roman" w:eastAsia="宋体" w:cs="Times New Roman"/>
                      <w:color w:val="auto"/>
                      <w:spacing w:val="-10"/>
                      <w:sz w:val="18"/>
                      <w:szCs w:val="18"/>
                      <w:highlight w:val="none"/>
                      <w:lang w:val="en-US" w:eastAsia="zh-CN"/>
                    </w:rPr>
                    <w:t>倍进行削减替代（燃煤发电机组大气污染物排放浓度基本达到燃气轮机组排放限值的除外）</w:t>
                  </w:r>
                </w:p>
                <w:p w14:paraId="7A58C7DE">
                  <w:pPr>
                    <w:keepNext w:val="0"/>
                    <w:keepLines w:val="0"/>
                    <w:pageBreakBefore w:val="0"/>
                    <w:widowControl w:val="0"/>
                    <w:kinsoku/>
                    <w:wordWrap/>
                    <w:overflowPunct/>
                    <w:topLinePunct w:val="0"/>
                    <w:autoSpaceDE/>
                    <w:autoSpaceDN/>
                    <w:bidi w:val="0"/>
                    <w:adjustRightInd/>
                    <w:snapToGrid/>
                    <w:spacing w:line="240" w:lineRule="exact"/>
                    <w:ind w:firstLine="320" w:firstLineChars="200"/>
                    <w:jc w:val="left"/>
                    <w:textAlignment w:val="auto"/>
                    <w:rPr>
                      <w:rFonts w:hint="default" w:ascii="Times New Roman" w:hAnsi="Times New Roman" w:eastAsia="宋体" w:cs="Times New Roman"/>
                      <w:color w:val="auto"/>
                      <w:spacing w:val="-10"/>
                      <w:sz w:val="18"/>
                      <w:szCs w:val="18"/>
                      <w:highlight w:val="none"/>
                      <w:lang w:val="en-US" w:eastAsia="zh-CN"/>
                    </w:rPr>
                  </w:pPr>
                  <w:r>
                    <w:rPr>
                      <w:rFonts w:hint="default" w:ascii="Times New Roman" w:hAnsi="Times New Roman" w:eastAsia="宋体" w:cs="Times New Roman"/>
                      <w:color w:val="auto"/>
                      <w:spacing w:val="-10"/>
                      <w:sz w:val="18"/>
                      <w:szCs w:val="18"/>
                      <w:highlight w:val="none"/>
                      <w:lang w:val="en-US" w:eastAsia="zh-CN"/>
                    </w:rPr>
                    <w:t>5</w:t>
                  </w:r>
                  <w:r>
                    <w:rPr>
                      <w:rFonts w:hint="eastAsia" w:ascii="Times New Roman" w:hAnsi="Times New Roman" w:eastAsia="宋体" w:cs="Times New Roman"/>
                      <w:color w:val="auto"/>
                      <w:spacing w:val="-10"/>
                      <w:sz w:val="18"/>
                      <w:szCs w:val="18"/>
                      <w:highlight w:val="none"/>
                      <w:lang w:val="en-US" w:eastAsia="zh-CN"/>
                    </w:rPr>
                    <w:t>、以水泥、平板玻璃、焦化、化工、制药等行业为重点，加快城市建成区重污染企业搬迁改造或关闭退出，县城和主要城镇建成区的重污染企业逐步实施退城搬迁。对不符合国家产业政策、不符合当地产业布局规划的分散燃煤（燃重油等）炉窑，鼓励搬迁入园并进行集中治理，推进治理装备升级改造，建设规模化和集约化工业企业。</w:t>
                  </w:r>
                </w:p>
                <w:p w14:paraId="32750C1C">
                  <w:pPr>
                    <w:keepNext w:val="0"/>
                    <w:keepLines w:val="0"/>
                    <w:pageBreakBefore w:val="0"/>
                    <w:widowControl w:val="0"/>
                    <w:kinsoku/>
                    <w:wordWrap/>
                    <w:overflowPunct/>
                    <w:topLinePunct w:val="0"/>
                    <w:autoSpaceDE/>
                    <w:autoSpaceDN/>
                    <w:bidi w:val="0"/>
                    <w:adjustRightInd/>
                    <w:snapToGrid/>
                    <w:spacing w:line="240" w:lineRule="exact"/>
                    <w:ind w:firstLine="320" w:firstLineChars="200"/>
                    <w:jc w:val="left"/>
                    <w:textAlignment w:val="auto"/>
                    <w:rPr>
                      <w:rFonts w:hint="default" w:ascii="Times New Roman" w:hAnsi="Times New Roman" w:eastAsia="宋体" w:cs="Times New Roman"/>
                      <w:color w:val="auto"/>
                      <w:spacing w:val="-10"/>
                      <w:sz w:val="18"/>
                      <w:szCs w:val="18"/>
                      <w:highlight w:val="none"/>
                      <w:lang w:val="en-US" w:eastAsia="zh-CN"/>
                    </w:rPr>
                  </w:pPr>
                  <w:r>
                    <w:rPr>
                      <w:rFonts w:hint="default" w:ascii="Times New Roman" w:hAnsi="Times New Roman" w:eastAsia="宋体" w:cs="Times New Roman"/>
                      <w:color w:val="auto"/>
                      <w:spacing w:val="-10"/>
                      <w:sz w:val="18"/>
                      <w:szCs w:val="18"/>
                      <w:highlight w:val="none"/>
                      <w:lang w:val="en-US" w:eastAsia="zh-CN"/>
                    </w:rPr>
                    <w:t>6</w:t>
                  </w:r>
                  <w:r>
                    <w:rPr>
                      <w:rFonts w:hint="eastAsia" w:ascii="Times New Roman" w:hAnsi="Times New Roman" w:eastAsia="宋体" w:cs="Times New Roman"/>
                      <w:color w:val="auto"/>
                      <w:spacing w:val="-10"/>
                      <w:sz w:val="18"/>
                      <w:szCs w:val="18"/>
                      <w:highlight w:val="none"/>
                      <w:lang w:val="en-US" w:eastAsia="zh-CN"/>
                    </w:rPr>
                    <w:t>、在优先保护类耕地集中区域严格控制新建有色金属冶炼、石油加工、化工、焦化、电镀、 制革、铅蓄电池等行业企业，防止对耕地造成污染。</w:t>
                  </w:r>
                </w:p>
                <w:p w14:paraId="6977FF28">
                  <w:pPr>
                    <w:keepNext w:val="0"/>
                    <w:keepLines w:val="0"/>
                    <w:pageBreakBefore w:val="0"/>
                    <w:widowControl w:val="0"/>
                    <w:kinsoku/>
                    <w:wordWrap/>
                    <w:overflowPunct/>
                    <w:topLinePunct w:val="0"/>
                    <w:autoSpaceDE/>
                    <w:autoSpaceDN/>
                    <w:bidi w:val="0"/>
                    <w:adjustRightInd/>
                    <w:snapToGrid/>
                    <w:spacing w:line="240" w:lineRule="exact"/>
                    <w:ind w:firstLine="320" w:firstLineChars="200"/>
                    <w:jc w:val="left"/>
                    <w:textAlignment w:val="auto"/>
                    <w:rPr>
                      <w:rFonts w:hint="default"/>
                      <w:color w:val="auto"/>
                      <w:highlight w:val="none"/>
                      <w:lang w:val="en-US" w:eastAsia="zh-CN"/>
                    </w:rPr>
                  </w:pPr>
                  <w:r>
                    <w:rPr>
                      <w:rFonts w:hint="default" w:ascii="Times New Roman" w:hAnsi="Times New Roman" w:eastAsia="宋体" w:cs="Times New Roman"/>
                      <w:color w:val="auto"/>
                      <w:spacing w:val="-10"/>
                      <w:sz w:val="18"/>
                      <w:szCs w:val="18"/>
                      <w:highlight w:val="none"/>
                      <w:lang w:val="en-US" w:eastAsia="zh-CN"/>
                    </w:rPr>
                    <w:t>7</w:t>
                  </w:r>
                  <w:r>
                    <w:rPr>
                      <w:rFonts w:hint="eastAsia" w:ascii="Times New Roman" w:hAnsi="Times New Roman" w:eastAsia="宋体" w:cs="Times New Roman"/>
                      <w:color w:val="auto"/>
                      <w:spacing w:val="-10"/>
                      <w:sz w:val="18"/>
                      <w:szCs w:val="18"/>
                      <w:highlight w:val="none"/>
                      <w:lang w:val="en-US" w:eastAsia="zh-CN"/>
                    </w:rPr>
                    <w:t>、新建、改建、扩建“两高”项目须符合生态环境保护法律法规和相关法定规划，满足重点污染物排放总量控制、碳排放达峰目标、生态环境准入清单、相关规划环评和相应行业建设项目环境准入条件、环评文件审批原则要求。</w:t>
                  </w:r>
                </w:p>
              </w:tc>
              <w:tc>
                <w:tcPr>
                  <w:tcW w:w="2449" w:type="dxa"/>
                  <w:tcBorders>
                    <w:tl2br w:val="nil"/>
                    <w:tr2bl w:val="nil"/>
                  </w:tcBorders>
                  <w:vAlign w:val="center"/>
                </w:tcPr>
                <w:p w14:paraId="6EBAC971">
                  <w:pPr>
                    <w:keepNext w:val="0"/>
                    <w:keepLines w:val="0"/>
                    <w:pageBreakBefore w:val="0"/>
                    <w:widowControl w:val="0"/>
                    <w:kinsoku/>
                    <w:wordWrap/>
                    <w:overflowPunct/>
                    <w:topLinePunct w:val="0"/>
                    <w:autoSpaceDE/>
                    <w:autoSpaceDN/>
                    <w:bidi w:val="0"/>
                    <w:adjustRightInd/>
                    <w:snapToGrid/>
                    <w:spacing w:line="240" w:lineRule="exact"/>
                    <w:ind w:firstLine="320" w:firstLineChars="200"/>
                    <w:jc w:val="left"/>
                    <w:textAlignment w:val="auto"/>
                    <w:rPr>
                      <w:rFonts w:hint="eastAsia" w:cs="Times New Roman"/>
                      <w:color w:val="auto"/>
                      <w:spacing w:val="-10"/>
                      <w:sz w:val="18"/>
                      <w:szCs w:val="18"/>
                      <w:highlight w:val="none"/>
                      <w:lang w:val="en-US" w:eastAsia="zh-CN"/>
                    </w:rPr>
                  </w:pPr>
                  <w:r>
                    <w:rPr>
                      <w:rFonts w:hint="eastAsia" w:cs="Times New Roman"/>
                      <w:color w:val="auto"/>
                      <w:spacing w:val="-10"/>
                      <w:sz w:val="18"/>
                      <w:szCs w:val="18"/>
                      <w:highlight w:val="none"/>
                      <w:lang w:val="en-US" w:eastAsia="zh-CN"/>
                    </w:rPr>
                    <w:t>1、</w:t>
                  </w:r>
                  <w:r>
                    <w:rPr>
                      <w:rFonts w:hint="eastAsia" w:ascii="Times New Roman" w:hAnsi="Times New Roman" w:eastAsia="宋体" w:cs="Times New Roman"/>
                      <w:color w:val="auto"/>
                      <w:spacing w:val="-10"/>
                      <w:sz w:val="18"/>
                      <w:szCs w:val="18"/>
                      <w:highlight w:val="none"/>
                      <w:lang w:val="en-US" w:eastAsia="zh-CN"/>
                    </w:rPr>
                    <w:t>根据《产业结构调整指导目录（2024年本）》，本项目为</w:t>
                  </w:r>
                  <w:r>
                    <w:rPr>
                      <w:rFonts w:hint="eastAsia" w:cs="Times New Roman"/>
                      <w:color w:val="auto"/>
                      <w:spacing w:val="-10"/>
                      <w:sz w:val="18"/>
                      <w:szCs w:val="18"/>
                      <w:highlight w:val="none"/>
                      <w:lang w:val="en-US" w:eastAsia="zh-CN"/>
                    </w:rPr>
                    <w:t>鼓励</w:t>
                  </w:r>
                  <w:r>
                    <w:rPr>
                      <w:rFonts w:hint="eastAsia" w:ascii="Times New Roman" w:hAnsi="Times New Roman" w:eastAsia="宋体" w:cs="Times New Roman"/>
                      <w:color w:val="auto"/>
                      <w:spacing w:val="-10"/>
                      <w:sz w:val="18"/>
                      <w:szCs w:val="18"/>
                      <w:highlight w:val="none"/>
                      <w:lang w:val="en-US" w:eastAsia="zh-CN"/>
                    </w:rPr>
                    <w:t>类项目</w:t>
                  </w:r>
                  <w:r>
                    <w:rPr>
                      <w:rFonts w:hint="default" w:ascii="Times New Roman" w:hAnsi="Times New Roman" w:eastAsia="宋体" w:cs="Times New Roman"/>
                      <w:color w:val="auto"/>
                      <w:spacing w:val="-10"/>
                      <w:sz w:val="18"/>
                      <w:szCs w:val="18"/>
                      <w:highlight w:val="none"/>
                      <w:lang w:val="en-US" w:eastAsia="zh-CN"/>
                    </w:rPr>
                    <w:t>，</w:t>
                  </w:r>
                  <w:r>
                    <w:rPr>
                      <w:rFonts w:hint="eastAsia" w:ascii="Times New Roman" w:hAnsi="Times New Roman" w:eastAsia="宋体" w:cs="Times New Roman"/>
                      <w:color w:val="auto"/>
                      <w:spacing w:val="-10"/>
                      <w:sz w:val="18"/>
                      <w:szCs w:val="18"/>
                      <w:highlight w:val="none"/>
                      <w:lang w:val="en-US" w:eastAsia="zh-CN"/>
                    </w:rPr>
                    <w:t>项目</w:t>
                  </w:r>
                  <w:r>
                    <w:rPr>
                      <w:rFonts w:hint="default" w:ascii="Times New Roman" w:hAnsi="Times New Roman" w:eastAsia="宋体" w:cs="Times New Roman"/>
                      <w:color w:val="auto"/>
                      <w:spacing w:val="-10"/>
                      <w:sz w:val="18"/>
                      <w:szCs w:val="18"/>
                      <w:highlight w:val="none"/>
                      <w:lang w:val="en-US" w:eastAsia="zh-CN"/>
                    </w:rPr>
                    <w:t>不在《市场准入负面清单》《河北省禁止投资的产业目录》之列</w:t>
                  </w:r>
                  <w:r>
                    <w:rPr>
                      <w:rFonts w:hint="eastAsia" w:cs="Times New Roman"/>
                      <w:color w:val="auto"/>
                      <w:spacing w:val="-10"/>
                      <w:sz w:val="18"/>
                      <w:szCs w:val="18"/>
                      <w:highlight w:val="none"/>
                      <w:lang w:val="en-US" w:eastAsia="zh-CN"/>
                    </w:rPr>
                    <w:t>。</w:t>
                  </w:r>
                </w:p>
                <w:p w14:paraId="63C44267">
                  <w:pPr>
                    <w:keepNext w:val="0"/>
                    <w:keepLines w:val="0"/>
                    <w:pageBreakBefore w:val="0"/>
                    <w:widowControl w:val="0"/>
                    <w:kinsoku/>
                    <w:wordWrap/>
                    <w:overflowPunct/>
                    <w:topLinePunct w:val="0"/>
                    <w:autoSpaceDE/>
                    <w:autoSpaceDN/>
                    <w:bidi w:val="0"/>
                    <w:adjustRightInd/>
                    <w:snapToGrid/>
                    <w:spacing w:line="240" w:lineRule="exact"/>
                    <w:ind w:firstLine="320" w:firstLineChars="200"/>
                    <w:jc w:val="left"/>
                    <w:textAlignment w:val="auto"/>
                    <w:rPr>
                      <w:rFonts w:hint="eastAsia" w:cs="Times New Roman"/>
                      <w:color w:val="auto"/>
                      <w:spacing w:val="-10"/>
                      <w:sz w:val="18"/>
                      <w:szCs w:val="18"/>
                      <w:highlight w:val="none"/>
                      <w:lang w:val="en-US" w:eastAsia="zh-CN"/>
                    </w:rPr>
                  </w:pPr>
                  <w:r>
                    <w:rPr>
                      <w:rFonts w:hint="eastAsia" w:cs="Times New Roman"/>
                      <w:color w:val="auto"/>
                      <w:spacing w:val="-10"/>
                      <w:sz w:val="18"/>
                      <w:szCs w:val="18"/>
                      <w:highlight w:val="none"/>
                      <w:lang w:val="en-US" w:eastAsia="zh-CN"/>
                    </w:rPr>
                    <w:t>2、</w:t>
                  </w:r>
                  <w:r>
                    <w:rPr>
                      <w:rFonts w:hint="eastAsia" w:ascii="Times New Roman" w:hAnsi="Times New Roman" w:eastAsia="宋体" w:cs="Times New Roman"/>
                      <w:color w:val="auto"/>
                      <w:spacing w:val="-10"/>
                      <w:sz w:val="18"/>
                      <w:szCs w:val="18"/>
                      <w:highlight w:val="none"/>
                      <w:lang w:val="en-US" w:eastAsia="zh-CN"/>
                    </w:rPr>
                    <w:t>项目不属于高污染</w:t>
                  </w:r>
                  <w:r>
                    <w:rPr>
                      <w:rFonts w:hint="eastAsia" w:cs="Times New Roman"/>
                      <w:color w:val="auto"/>
                      <w:spacing w:val="-10"/>
                      <w:sz w:val="18"/>
                      <w:szCs w:val="18"/>
                      <w:highlight w:val="none"/>
                      <w:lang w:val="en-US" w:eastAsia="zh-CN"/>
                    </w:rPr>
                    <w:t>、</w:t>
                  </w:r>
                  <w:r>
                    <w:rPr>
                      <w:rFonts w:hint="eastAsia" w:ascii="Times New Roman" w:hAnsi="Times New Roman" w:eastAsia="宋体" w:cs="Times New Roman"/>
                      <w:color w:val="auto"/>
                      <w:spacing w:val="-10"/>
                      <w:sz w:val="18"/>
                      <w:szCs w:val="18"/>
                      <w:highlight w:val="none"/>
                      <w:lang w:val="en-US" w:eastAsia="zh-CN"/>
                    </w:rPr>
                    <w:t>高耗能、高排放</w:t>
                  </w:r>
                  <w:r>
                    <w:rPr>
                      <w:rFonts w:hint="default" w:ascii="Times New Roman" w:hAnsi="Times New Roman" w:eastAsia="宋体" w:cs="Times New Roman"/>
                      <w:color w:val="auto"/>
                      <w:spacing w:val="-10"/>
                      <w:sz w:val="18"/>
                      <w:szCs w:val="18"/>
                      <w:highlight w:val="none"/>
                      <w:lang w:val="en-US" w:eastAsia="zh-CN"/>
                    </w:rPr>
                    <w:t>项目</w:t>
                  </w:r>
                  <w:r>
                    <w:rPr>
                      <w:rFonts w:hint="eastAsia" w:cs="Times New Roman"/>
                      <w:color w:val="auto"/>
                      <w:spacing w:val="-10"/>
                      <w:sz w:val="18"/>
                      <w:szCs w:val="18"/>
                      <w:highlight w:val="none"/>
                      <w:lang w:val="en-US" w:eastAsia="zh-CN"/>
                    </w:rPr>
                    <w:t>。</w:t>
                  </w:r>
                </w:p>
                <w:p w14:paraId="4C521A29">
                  <w:pPr>
                    <w:keepNext w:val="0"/>
                    <w:keepLines w:val="0"/>
                    <w:pageBreakBefore w:val="0"/>
                    <w:widowControl w:val="0"/>
                    <w:kinsoku/>
                    <w:wordWrap/>
                    <w:overflowPunct/>
                    <w:topLinePunct w:val="0"/>
                    <w:autoSpaceDE/>
                    <w:autoSpaceDN/>
                    <w:bidi w:val="0"/>
                    <w:adjustRightInd/>
                    <w:snapToGrid/>
                    <w:spacing w:line="240" w:lineRule="exact"/>
                    <w:ind w:firstLine="320" w:firstLineChars="200"/>
                    <w:jc w:val="left"/>
                    <w:textAlignment w:val="auto"/>
                    <w:rPr>
                      <w:rFonts w:hint="eastAsia" w:cs="Times New Roman"/>
                      <w:color w:val="auto"/>
                      <w:spacing w:val="-10"/>
                      <w:sz w:val="18"/>
                      <w:szCs w:val="18"/>
                      <w:highlight w:val="none"/>
                      <w:lang w:val="en-US" w:eastAsia="zh-CN"/>
                    </w:rPr>
                  </w:pPr>
                  <w:r>
                    <w:rPr>
                      <w:rFonts w:hint="eastAsia" w:cs="Times New Roman"/>
                      <w:color w:val="auto"/>
                      <w:spacing w:val="-10"/>
                      <w:sz w:val="18"/>
                      <w:szCs w:val="18"/>
                      <w:highlight w:val="none"/>
                      <w:lang w:val="en-US" w:eastAsia="zh-CN"/>
                    </w:rPr>
                    <w:t>3、本项目不涉及。</w:t>
                  </w:r>
                </w:p>
                <w:p w14:paraId="4D1250DC">
                  <w:pPr>
                    <w:keepNext w:val="0"/>
                    <w:keepLines w:val="0"/>
                    <w:pageBreakBefore w:val="0"/>
                    <w:widowControl w:val="0"/>
                    <w:kinsoku/>
                    <w:wordWrap/>
                    <w:overflowPunct/>
                    <w:topLinePunct w:val="0"/>
                    <w:autoSpaceDE/>
                    <w:autoSpaceDN/>
                    <w:bidi w:val="0"/>
                    <w:adjustRightInd/>
                    <w:snapToGrid/>
                    <w:spacing w:line="240" w:lineRule="exact"/>
                    <w:ind w:firstLine="320" w:firstLineChars="200"/>
                    <w:jc w:val="left"/>
                    <w:textAlignment w:val="auto"/>
                    <w:rPr>
                      <w:rFonts w:hint="eastAsia" w:cs="Times New Roman"/>
                      <w:color w:val="auto"/>
                      <w:spacing w:val="-10"/>
                      <w:sz w:val="18"/>
                      <w:szCs w:val="18"/>
                      <w:highlight w:val="none"/>
                      <w:lang w:val="en-US" w:eastAsia="zh-CN"/>
                    </w:rPr>
                  </w:pPr>
                  <w:r>
                    <w:rPr>
                      <w:rFonts w:hint="eastAsia" w:cs="Times New Roman"/>
                      <w:color w:val="auto"/>
                      <w:spacing w:val="-10"/>
                      <w:sz w:val="18"/>
                      <w:szCs w:val="18"/>
                      <w:highlight w:val="none"/>
                      <w:lang w:val="en-US" w:eastAsia="zh-CN"/>
                    </w:rPr>
                    <w:t>4、根据最新的环保要求，除六大行业外，均已不需要倍量削减。</w:t>
                  </w:r>
                </w:p>
                <w:p w14:paraId="608A48C1">
                  <w:pPr>
                    <w:keepNext w:val="0"/>
                    <w:keepLines w:val="0"/>
                    <w:pageBreakBefore w:val="0"/>
                    <w:widowControl w:val="0"/>
                    <w:kinsoku/>
                    <w:wordWrap/>
                    <w:overflowPunct/>
                    <w:topLinePunct w:val="0"/>
                    <w:autoSpaceDE/>
                    <w:autoSpaceDN/>
                    <w:bidi w:val="0"/>
                    <w:adjustRightInd/>
                    <w:snapToGrid/>
                    <w:spacing w:line="240" w:lineRule="exact"/>
                    <w:ind w:firstLine="320" w:firstLineChars="200"/>
                    <w:jc w:val="left"/>
                    <w:textAlignment w:val="auto"/>
                    <w:rPr>
                      <w:rFonts w:hint="eastAsia" w:ascii="Times New Roman" w:hAnsi="Times New Roman" w:eastAsia="宋体" w:cs="Times New Roman"/>
                      <w:color w:val="auto"/>
                      <w:spacing w:val="-10"/>
                      <w:sz w:val="18"/>
                      <w:szCs w:val="18"/>
                      <w:highlight w:val="none"/>
                      <w:lang w:val="en-US" w:eastAsia="zh-CN"/>
                    </w:rPr>
                  </w:pPr>
                  <w:r>
                    <w:rPr>
                      <w:rFonts w:hint="eastAsia" w:ascii="Times New Roman" w:hAnsi="Times New Roman" w:eastAsia="宋体" w:cs="Times New Roman"/>
                      <w:color w:val="auto"/>
                      <w:spacing w:val="-10"/>
                      <w:sz w:val="18"/>
                      <w:szCs w:val="18"/>
                      <w:highlight w:val="none"/>
                      <w:lang w:val="en-US" w:eastAsia="zh-CN"/>
                    </w:rPr>
                    <w:t>5、本项目不涉及。</w:t>
                  </w:r>
                </w:p>
                <w:p w14:paraId="50517F85">
                  <w:pPr>
                    <w:keepNext w:val="0"/>
                    <w:keepLines w:val="0"/>
                    <w:pageBreakBefore w:val="0"/>
                    <w:widowControl w:val="0"/>
                    <w:kinsoku/>
                    <w:wordWrap/>
                    <w:overflowPunct/>
                    <w:topLinePunct w:val="0"/>
                    <w:autoSpaceDE/>
                    <w:autoSpaceDN/>
                    <w:bidi w:val="0"/>
                    <w:adjustRightInd/>
                    <w:snapToGrid/>
                    <w:spacing w:line="240" w:lineRule="exact"/>
                    <w:ind w:firstLine="320" w:firstLineChars="200"/>
                    <w:jc w:val="left"/>
                    <w:textAlignment w:val="auto"/>
                    <w:rPr>
                      <w:rFonts w:hint="eastAsia" w:ascii="Times New Roman" w:hAnsi="Times New Roman" w:eastAsia="宋体" w:cs="Times New Roman"/>
                      <w:color w:val="auto"/>
                      <w:spacing w:val="-10"/>
                      <w:sz w:val="18"/>
                      <w:szCs w:val="18"/>
                      <w:highlight w:val="none"/>
                      <w:lang w:val="en-US" w:eastAsia="zh-CN"/>
                    </w:rPr>
                  </w:pPr>
                  <w:r>
                    <w:rPr>
                      <w:rFonts w:hint="eastAsia" w:ascii="Times New Roman" w:hAnsi="Times New Roman" w:eastAsia="宋体" w:cs="Times New Roman"/>
                      <w:color w:val="auto"/>
                      <w:spacing w:val="-10"/>
                      <w:sz w:val="18"/>
                      <w:szCs w:val="18"/>
                      <w:highlight w:val="none"/>
                      <w:lang w:val="en-US" w:eastAsia="zh-CN"/>
                    </w:rPr>
                    <w:t>6、本项目不涉及。</w:t>
                  </w:r>
                </w:p>
                <w:p w14:paraId="72CD38F8">
                  <w:pPr>
                    <w:keepNext w:val="0"/>
                    <w:keepLines w:val="0"/>
                    <w:pageBreakBefore w:val="0"/>
                    <w:widowControl w:val="0"/>
                    <w:kinsoku/>
                    <w:wordWrap/>
                    <w:overflowPunct/>
                    <w:topLinePunct w:val="0"/>
                    <w:autoSpaceDE/>
                    <w:autoSpaceDN/>
                    <w:bidi w:val="0"/>
                    <w:adjustRightInd/>
                    <w:snapToGrid/>
                    <w:spacing w:line="240" w:lineRule="exact"/>
                    <w:ind w:firstLine="320" w:firstLineChars="200"/>
                    <w:jc w:val="left"/>
                    <w:textAlignment w:val="auto"/>
                    <w:rPr>
                      <w:rFonts w:hint="default" w:eastAsia="宋体"/>
                      <w:color w:val="auto"/>
                      <w:highlight w:val="none"/>
                      <w:lang w:val="en-US" w:eastAsia="zh-CN"/>
                    </w:rPr>
                  </w:pPr>
                  <w:r>
                    <w:rPr>
                      <w:rFonts w:hint="eastAsia" w:ascii="Times New Roman" w:hAnsi="Times New Roman" w:eastAsia="宋体" w:cs="Times New Roman"/>
                      <w:color w:val="auto"/>
                      <w:spacing w:val="-10"/>
                      <w:sz w:val="18"/>
                      <w:szCs w:val="18"/>
                      <w:highlight w:val="none"/>
                      <w:lang w:val="en-US" w:eastAsia="zh-CN"/>
                    </w:rPr>
                    <w:t>7、本项目不属于</w:t>
                  </w:r>
                  <w:r>
                    <w:rPr>
                      <w:rFonts w:hint="default" w:ascii="Times New Roman" w:hAnsi="Times New Roman" w:eastAsia="宋体" w:cs="Times New Roman"/>
                      <w:color w:val="auto"/>
                      <w:spacing w:val="-10"/>
                      <w:sz w:val="18"/>
                      <w:szCs w:val="18"/>
                      <w:highlight w:val="none"/>
                      <w:lang w:val="en-US" w:eastAsia="zh-CN"/>
                    </w:rPr>
                    <w:t>“两高”行业项目</w:t>
                  </w:r>
                  <w:r>
                    <w:rPr>
                      <w:rFonts w:hint="eastAsia" w:ascii="Times New Roman" w:hAnsi="Times New Roman" w:eastAsia="宋体" w:cs="Times New Roman"/>
                      <w:color w:val="auto"/>
                      <w:spacing w:val="-10"/>
                      <w:sz w:val="18"/>
                      <w:szCs w:val="18"/>
                      <w:highlight w:val="none"/>
                      <w:lang w:val="en-US" w:eastAsia="zh-CN"/>
                    </w:rPr>
                    <w:t>。</w:t>
                  </w:r>
                </w:p>
              </w:tc>
              <w:tc>
                <w:tcPr>
                  <w:tcW w:w="750" w:type="dxa"/>
                  <w:tcBorders>
                    <w:tl2br w:val="nil"/>
                    <w:tr2bl w:val="nil"/>
                  </w:tcBorders>
                  <w:vAlign w:val="center"/>
                </w:tcPr>
                <w:p w14:paraId="641E4C1F">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cs="Times New Roman"/>
                      <w:color w:val="auto"/>
                      <w:spacing w:val="-10"/>
                      <w:sz w:val="18"/>
                      <w:szCs w:val="18"/>
                      <w:highlight w:val="none"/>
                      <w:lang w:val="en-US" w:eastAsia="zh-CN"/>
                    </w:rPr>
                  </w:pPr>
                  <w:r>
                    <w:rPr>
                      <w:rFonts w:hint="default" w:ascii="Times New Roman" w:hAnsi="Times New Roman" w:cs="Times New Roman"/>
                      <w:color w:val="auto"/>
                      <w:spacing w:val="-10"/>
                      <w:sz w:val="18"/>
                      <w:szCs w:val="18"/>
                      <w:highlight w:val="none"/>
                      <w:lang w:val="en-US" w:eastAsia="zh-CN"/>
                    </w:rPr>
                    <w:t>符合</w:t>
                  </w:r>
                </w:p>
              </w:tc>
            </w:tr>
          </w:tbl>
          <w:p w14:paraId="7102890B">
            <w:pPr>
              <w:pStyle w:val="24"/>
              <w:adjustRightInd w:val="0"/>
              <w:snapToGrid w:val="0"/>
              <w:spacing w:before="0" w:beforeAutospacing="0" w:after="0" w:afterAutospacing="0" w:line="440" w:lineRule="exact"/>
              <w:jc w:val="center"/>
              <w:rPr>
                <w:rFonts w:hint="eastAsia" w:ascii="Times New Roman" w:hAnsi="Times New Roman"/>
                <w:b/>
                <w:color w:val="auto"/>
                <w:sz w:val="21"/>
                <w:szCs w:val="21"/>
                <w:highlight w:val="none"/>
                <w:lang w:val="en-US" w:eastAsia="zh-CN"/>
              </w:rPr>
            </w:pPr>
          </w:p>
          <w:p w14:paraId="7002FA8E">
            <w:pPr>
              <w:pStyle w:val="24"/>
              <w:adjustRightInd w:val="0"/>
              <w:snapToGrid w:val="0"/>
              <w:spacing w:before="0" w:beforeAutospacing="0" w:after="0" w:afterAutospacing="0" w:line="440" w:lineRule="exact"/>
              <w:jc w:val="center"/>
              <w:rPr>
                <w:rFonts w:ascii="Times New Roman" w:hAnsi="Times New Roman"/>
                <w:b/>
                <w:color w:val="auto"/>
                <w:sz w:val="21"/>
                <w:szCs w:val="21"/>
                <w:highlight w:val="none"/>
              </w:rPr>
            </w:pPr>
            <w:r>
              <w:rPr>
                <w:rFonts w:hint="eastAsia" w:ascii="Times New Roman" w:hAnsi="Times New Roman"/>
                <w:b/>
                <w:color w:val="auto"/>
                <w:sz w:val="21"/>
                <w:szCs w:val="21"/>
                <w:highlight w:val="none"/>
                <w:lang w:val="en-US" w:eastAsia="zh-CN"/>
              </w:rPr>
              <w:t>续表2</w:t>
            </w:r>
            <w:r>
              <w:rPr>
                <w:rFonts w:hint="default" w:ascii="Times New Roman" w:hAnsi="Times New Roman"/>
                <w:b/>
                <w:color w:val="auto"/>
                <w:sz w:val="21"/>
                <w:szCs w:val="21"/>
                <w:highlight w:val="none"/>
                <w:lang w:val="en-US" w:eastAsia="zh-CN"/>
              </w:rPr>
              <w:t xml:space="preserve"> </w:t>
            </w:r>
            <w:r>
              <w:rPr>
                <w:rFonts w:hint="eastAsia" w:ascii="Times New Roman" w:hAnsi="Times New Roman"/>
                <w:b/>
                <w:color w:val="auto"/>
                <w:sz w:val="21"/>
                <w:szCs w:val="21"/>
                <w:highlight w:val="none"/>
                <w:lang w:val="en-US" w:eastAsia="zh-CN"/>
              </w:rPr>
              <w:t>项目与唐山市生态环境准入清单符合性分析</w:t>
            </w:r>
          </w:p>
          <w:tbl>
            <w:tblPr>
              <w:tblStyle w:val="29"/>
              <w:tblW w:w="11975" w:type="dxa"/>
              <w:tblInd w:w="5"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87"/>
              <w:gridCol w:w="1094"/>
              <w:gridCol w:w="6995"/>
              <w:gridCol w:w="2449"/>
              <w:gridCol w:w="750"/>
            </w:tblGrid>
            <w:tr w14:paraId="68130C2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781" w:type="dxa"/>
                  <w:gridSpan w:val="2"/>
                  <w:tcBorders>
                    <w:tl2br w:val="nil"/>
                    <w:tr2bl w:val="nil"/>
                  </w:tcBorders>
                  <w:vAlign w:val="center"/>
                </w:tcPr>
                <w:p w14:paraId="5F068F28">
                  <w:pPr>
                    <w:spacing w:line="240" w:lineRule="exact"/>
                    <w:jc w:val="center"/>
                    <w:rPr>
                      <w:rFonts w:hint="default" w:ascii="Times New Roman" w:hAnsi="Times New Roman" w:cs="Times New Roman"/>
                      <w:color w:val="auto"/>
                      <w:spacing w:val="-10"/>
                      <w:sz w:val="18"/>
                      <w:szCs w:val="18"/>
                      <w:highlight w:val="none"/>
                      <w:lang w:val="en-US" w:eastAsia="zh-CN"/>
                    </w:rPr>
                  </w:pPr>
                  <w:r>
                    <w:rPr>
                      <w:rFonts w:hint="default" w:ascii="Times New Roman" w:hAnsi="Times New Roman" w:cs="Times New Roman"/>
                      <w:color w:val="auto"/>
                      <w:spacing w:val="-10"/>
                      <w:sz w:val="18"/>
                      <w:szCs w:val="18"/>
                      <w:highlight w:val="none"/>
                      <w:lang w:val="en-US" w:eastAsia="zh-CN"/>
                    </w:rPr>
                    <w:t>管控单元</w:t>
                  </w:r>
                </w:p>
              </w:tc>
              <w:tc>
                <w:tcPr>
                  <w:tcW w:w="6995" w:type="dxa"/>
                  <w:tcBorders>
                    <w:tl2br w:val="nil"/>
                    <w:tr2bl w:val="nil"/>
                  </w:tcBorders>
                  <w:vAlign w:val="center"/>
                </w:tcPr>
                <w:p w14:paraId="5808E9EF">
                  <w:pPr>
                    <w:spacing w:line="240" w:lineRule="exact"/>
                    <w:jc w:val="center"/>
                    <w:rPr>
                      <w:rFonts w:hint="default" w:ascii="Times New Roman" w:hAnsi="Times New Roman" w:cs="Times New Roman"/>
                      <w:color w:val="auto"/>
                      <w:spacing w:val="-10"/>
                      <w:sz w:val="18"/>
                      <w:szCs w:val="18"/>
                      <w:highlight w:val="none"/>
                      <w:lang w:val="en-US" w:eastAsia="zh-CN"/>
                    </w:rPr>
                  </w:pPr>
                  <w:r>
                    <w:rPr>
                      <w:rFonts w:hint="default" w:ascii="Times New Roman" w:hAnsi="Times New Roman" w:cs="Times New Roman"/>
                      <w:color w:val="auto"/>
                      <w:spacing w:val="-10"/>
                      <w:sz w:val="18"/>
                      <w:szCs w:val="18"/>
                      <w:highlight w:val="none"/>
                      <w:lang w:val="en-US" w:eastAsia="zh-CN"/>
                    </w:rPr>
                    <w:t>要求</w:t>
                  </w:r>
                </w:p>
              </w:tc>
              <w:tc>
                <w:tcPr>
                  <w:tcW w:w="2449" w:type="dxa"/>
                  <w:tcBorders>
                    <w:tl2br w:val="nil"/>
                    <w:tr2bl w:val="nil"/>
                  </w:tcBorders>
                  <w:vAlign w:val="center"/>
                </w:tcPr>
                <w:p w14:paraId="5260101D">
                  <w:pPr>
                    <w:spacing w:line="240" w:lineRule="exact"/>
                    <w:jc w:val="center"/>
                    <w:rPr>
                      <w:rFonts w:hint="default" w:ascii="Times New Roman" w:hAnsi="Times New Roman" w:cs="Times New Roman"/>
                      <w:color w:val="auto"/>
                      <w:spacing w:val="-10"/>
                      <w:sz w:val="18"/>
                      <w:szCs w:val="18"/>
                      <w:highlight w:val="none"/>
                      <w:lang w:val="en-US" w:eastAsia="zh-CN"/>
                    </w:rPr>
                  </w:pPr>
                  <w:r>
                    <w:rPr>
                      <w:rFonts w:hint="default" w:ascii="Times New Roman" w:hAnsi="Times New Roman" w:cs="Times New Roman"/>
                      <w:color w:val="auto"/>
                      <w:spacing w:val="-10"/>
                      <w:sz w:val="18"/>
                      <w:szCs w:val="18"/>
                      <w:highlight w:val="none"/>
                      <w:lang w:val="en-US" w:eastAsia="zh-CN"/>
                    </w:rPr>
                    <w:t>项目情况</w:t>
                  </w:r>
                </w:p>
              </w:tc>
              <w:tc>
                <w:tcPr>
                  <w:tcW w:w="750" w:type="dxa"/>
                  <w:tcBorders>
                    <w:tl2br w:val="nil"/>
                    <w:tr2bl w:val="nil"/>
                  </w:tcBorders>
                  <w:vAlign w:val="center"/>
                </w:tcPr>
                <w:p w14:paraId="5C2C1B67">
                  <w:pPr>
                    <w:spacing w:line="240" w:lineRule="exact"/>
                    <w:jc w:val="center"/>
                    <w:rPr>
                      <w:rFonts w:hint="default" w:ascii="Times New Roman" w:hAnsi="Times New Roman" w:cs="Times New Roman"/>
                      <w:color w:val="auto"/>
                      <w:spacing w:val="-10"/>
                      <w:sz w:val="18"/>
                      <w:szCs w:val="18"/>
                      <w:highlight w:val="none"/>
                      <w:lang w:val="en-US" w:eastAsia="zh-CN"/>
                    </w:rPr>
                  </w:pPr>
                  <w:r>
                    <w:rPr>
                      <w:rFonts w:hint="default" w:ascii="Times New Roman" w:hAnsi="Times New Roman" w:cs="Times New Roman"/>
                      <w:color w:val="auto"/>
                      <w:spacing w:val="-10"/>
                      <w:sz w:val="18"/>
                      <w:szCs w:val="18"/>
                      <w:highlight w:val="none"/>
                      <w:lang w:val="en-US" w:eastAsia="zh-CN"/>
                    </w:rPr>
                    <w:t>符合性</w:t>
                  </w:r>
                </w:p>
              </w:tc>
            </w:tr>
            <w:tr w14:paraId="7242AC9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687" w:type="dxa"/>
                  <w:tcBorders>
                    <w:tl2br w:val="nil"/>
                    <w:tr2bl w:val="nil"/>
                  </w:tcBorders>
                  <w:vAlign w:val="center"/>
                </w:tcPr>
                <w:p w14:paraId="465E20C6">
                  <w:pPr>
                    <w:keepNext w:val="0"/>
                    <w:keepLines w:val="0"/>
                    <w:widowControl/>
                    <w:suppressLineNumbers w:val="0"/>
                    <w:jc w:val="center"/>
                    <w:rPr>
                      <w:rFonts w:hint="default" w:ascii="Times New Roman" w:hAnsi="Times New Roman" w:cs="Times New Roman"/>
                      <w:color w:val="auto"/>
                    </w:rPr>
                  </w:pPr>
                  <w:r>
                    <w:rPr>
                      <w:rFonts w:hint="default" w:ascii="Times New Roman" w:hAnsi="Times New Roman" w:eastAsia="宋体" w:cs="Times New Roman"/>
                      <w:color w:val="auto"/>
                      <w:kern w:val="0"/>
                      <w:sz w:val="18"/>
                      <w:szCs w:val="18"/>
                      <w:lang w:val="en-US" w:eastAsia="zh-CN" w:bidi="ar"/>
                    </w:rPr>
                    <w:t>产业总体布局</w:t>
                  </w:r>
                </w:p>
                <w:p w14:paraId="25DBB4A3">
                  <w:pPr>
                    <w:keepNext w:val="0"/>
                    <w:keepLines w:val="0"/>
                    <w:widowControl/>
                    <w:suppressLineNumbers w:val="0"/>
                    <w:jc w:val="center"/>
                    <w:rPr>
                      <w:rFonts w:hint="default" w:ascii="Times New Roman" w:hAnsi="Times New Roman" w:cs="Times New Roman"/>
                      <w:color w:val="auto"/>
                    </w:rPr>
                  </w:pPr>
                  <w:r>
                    <w:rPr>
                      <w:rFonts w:hint="default" w:ascii="Times New Roman" w:hAnsi="Times New Roman" w:eastAsia="宋体" w:cs="Times New Roman"/>
                      <w:color w:val="auto"/>
                      <w:kern w:val="0"/>
                      <w:sz w:val="18"/>
                      <w:szCs w:val="18"/>
                      <w:lang w:val="en-US" w:eastAsia="zh-CN" w:bidi="ar"/>
                    </w:rPr>
                    <w:t>要求</w:t>
                  </w:r>
                </w:p>
                <w:p w14:paraId="2F3F940F">
                  <w:pPr>
                    <w:spacing w:line="240" w:lineRule="exact"/>
                    <w:jc w:val="center"/>
                    <w:rPr>
                      <w:rFonts w:hint="default" w:ascii="Times New Roman" w:hAnsi="Times New Roman" w:cs="Times New Roman"/>
                      <w:color w:val="auto"/>
                      <w:spacing w:val="-10"/>
                      <w:sz w:val="18"/>
                      <w:szCs w:val="18"/>
                      <w:highlight w:val="none"/>
                      <w:lang w:val="en-US" w:eastAsia="zh-CN"/>
                    </w:rPr>
                  </w:pPr>
                </w:p>
              </w:tc>
              <w:tc>
                <w:tcPr>
                  <w:tcW w:w="1094" w:type="dxa"/>
                  <w:tcBorders>
                    <w:tl2br w:val="nil"/>
                    <w:tr2bl w:val="nil"/>
                  </w:tcBorders>
                  <w:vAlign w:val="center"/>
                </w:tcPr>
                <w:p w14:paraId="49E4982B">
                  <w:pPr>
                    <w:spacing w:line="240" w:lineRule="exact"/>
                    <w:jc w:val="center"/>
                    <w:rPr>
                      <w:rFonts w:hint="default" w:ascii="Times New Roman" w:hAnsi="Times New Roman" w:cs="Times New Roman"/>
                      <w:color w:val="auto"/>
                      <w:spacing w:val="-10"/>
                      <w:sz w:val="18"/>
                      <w:szCs w:val="18"/>
                      <w:highlight w:val="none"/>
                      <w:lang w:val="en-US" w:eastAsia="zh-CN"/>
                    </w:rPr>
                  </w:pPr>
                  <w:r>
                    <w:rPr>
                      <w:rFonts w:hint="default" w:ascii="Times New Roman" w:hAnsi="Times New Roman" w:cs="Times New Roman"/>
                      <w:color w:val="auto"/>
                      <w:spacing w:val="-10"/>
                      <w:sz w:val="18"/>
                      <w:szCs w:val="18"/>
                      <w:highlight w:val="none"/>
                      <w:lang w:val="en-US" w:eastAsia="zh-CN"/>
                    </w:rPr>
                    <w:t>空间布局约束</w:t>
                  </w:r>
                </w:p>
              </w:tc>
              <w:tc>
                <w:tcPr>
                  <w:tcW w:w="6995" w:type="dxa"/>
                  <w:tcBorders>
                    <w:tl2br w:val="nil"/>
                    <w:tr2bl w:val="nil"/>
                  </w:tcBorders>
                  <w:vAlign w:val="center"/>
                </w:tcPr>
                <w:p w14:paraId="0E443985">
                  <w:pPr>
                    <w:keepNext w:val="0"/>
                    <w:keepLines w:val="0"/>
                    <w:pageBreakBefore w:val="0"/>
                    <w:widowControl w:val="0"/>
                    <w:numPr>
                      <w:ilvl w:val="0"/>
                      <w:numId w:val="7"/>
                    </w:numPr>
                    <w:kinsoku/>
                    <w:wordWrap/>
                    <w:overflowPunct/>
                    <w:topLinePunct w:val="0"/>
                    <w:autoSpaceDE/>
                    <w:autoSpaceDN/>
                    <w:bidi w:val="0"/>
                    <w:adjustRightInd/>
                    <w:snapToGrid/>
                    <w:spacing w:line="240" w:lineRule="exact"/>
                    <w:ind w:firstLine="320" w:firstLineChars="200"/>
                    <w:jc w:val="left"/>
                    <w:textAlignment w:val="auto"/>
                    <w:rPr>
                      <w:rFonts w:hint="eastAsia" w:ascii="Times New Roman" w:hAnsi="Times New Roman" w:eastAsia="宋体" w:cs="Times New Roman"/>
                      <w:color w:val="auto"/>
                      <w:spacing w:val="-10"/>
                      <w:sz w:val="18"/>
                      <w:szCs w:val="18"/>
                      <w:highlight w:val="none"/>
                      <w:lang w:val="en-US" w:eastAsia="zh-CN"/>
                    </w:rPr>
                  </w:pPr>
                  <w:r>
                    <w:rPr>
                      <w:rFonts w:hint="eastAsia" w:ascii="Times New Roman" w:hAnsi="Times New Roman" w:eastAsia="宋体" w:cs="Times New Roman"/>
                      <w:color w:val="auto"/>
                      <w:spacing w:val="-10"/>
                      <w:sz w:val="18"/>
                      <w:szCs w:val="18"/>
                      <w:highlight w:val="none"/>
                      <w:lang w:val="en-US" w:eastAsia="zh-CN"/>
                    </w:rPr>
                    <w:t>鼓励钢铁冶炼项目建设依托具备条件的现有钢铁冶炼生产厂区集聚发展，在现有厂区建设钢铁冶炼项目没有粗钢产能建设规模限制要求。对确有必要新选址（指不能与现有生产厂区共用公辅设施，下同）建设的钢铁冶炼项目粗钢产能规模要求如下：沿海地区（指拥有海岸线的设区市）不低于</w:t>
                  </w:r>
                  <w:r>
                    <w:rPr>
                      <w:rFonts w:hint="default" w:ascii="Times New Roman" w:hAnsi="Times New Roman" w:eastAsia="宋体" w:cs="Times New Roman"/>
                      <w:color w:val="auto"/>
                      <w:spacing w:val="-10"/>
                      <w:sz w:val="18"/>
                      <w:szCs w:val="18"/>
                      <w:highlight w:val="none"/>
                      <w:lang w:val="en-US" w:eastAsia="zh-CN"/>
                    </w:rPr>
                    <w:t>2000</w:t>
                  </w:r>
                  <w:r>
                    <w:rPr>
                      <w:rFonts w:hint="eastAsia" w:ascii="Times New Roman" w:hAnsi="Times New Roman" w:eastAsia="宋体" w:cs="Times New Roman"/>
                      <w:color w:val="auto"/>
                      <w:spacing w:val="-10"/>
                      <w:sz w:val="18"/>
                      <w:szCs w:val="18"/>
                      <w:highlight w:val="none"/>
                      <w:lang w:val="en-US" w:eastAsia="zh-CN"/>
                    </w:rPr>
                    <w:t>万吨</w:t>
                  </w:r>
                  <w:r>
                    <w:rPr>
                      <w:rFonts w:hint="default" w:ascii="Times New Roman" w:hAnsi="Times New Roman" w:eastAsia="宋体" w:cs="Times New Roman"/>
                      <w:color w:val="auto"/>
                      <w:spacing w:val="-10"/>
                      <w:sz w:val="18"/>
                      <w:szCs w:val="18"/>
                      <w:highlight w:val="none"/>
                      <w:lang w:val="en-US" w:eastAsia="zh-CN"/>
                    </w:rPr>
                    <w:t>/</w:t>
                  </w:r>
                  <w:r>
                    <w:rPr>
                      <w:rFonts w:hint="eastAsia" w:ascii="Times New Roman" w:hAnsi="Times New Roman" w:eastAsia="宋体" w:cs="Times New Roman"/>
                      <w:color w:val="auto"/>
                      <w:spacing w:val="-10"/>
                      <w:sz w:val="18"/>
                      <w:szCs w:val="18"/>
                      <w:highlight w:val="none"/>
                      <w:lang w:val="en-US" w:eastAsia="zh-CN"/>
                    </w:rPr>
                    <w:t>年（允许分两期建设，</w:t>
                  </w:r>
                  <w:r>
                    <w:rPr>
                      <w:rFonts w:hint="default" w:ascii="Times New Roman" w:hAnsi="Times New Roman" w:eastAsia="宋体" w:cs="Times New Roman"/>
                      <w:color w:val="auto"/>
                      <w:spacing w:val="-10"/>
                      <w:sz w:val="18"/>
                      <w:szCs w:val="18"/>
                      <w:highlight w:val="none"/>
                      <w:lang w:val="en-US" w:eastAsia="zh-CN"/>
                    </w:rPr>
                    <w:t>5</w:t>
                  </w:r>
                  <w:r>
                    <w:rPr>
                      <w:rFonts w:hint="eastAsia" w:ascii="Times New Roman" w:hAnsi="Times New Roman" w:eastAsia="宋体" w:cs="Times New Roman"/>
                      <w:color w:val="auto"/>
                      <w:spacing w:val="-10"/>
                      <w:sz w:val="18"/>
                      <w:szCs w:val="18"/>
                      <w:highlight w:val="none"/>
                      <w:lang w:val="en-US" w:eastAsia="zh-CN"/>
                    </w:rPr>
                    <w:t>年内全部建成，一期不低于</w:t>
                  </w:r>
                  <w:r>
                    <w:rPr>
                      <w:rFonts w:hint="default" w:ascii="Times New Roman" w:hAnsi="Times New Roman" w:eastAsia="宋体" w:cs="Times New Roman"/>
                      <w:color w:val="auto"/>
                      <w:spacing w:val="-10"/>
                      <w:sz w:val="18"/>
                      <w:szCs w:val="18"/>
                      <w:highlight w:val="none"/>
                      <w:lang w:val="en-US" w:eastAsia="zh-CN"/>
                    </w:rPr>
                    <w:t>1000</w:t>
                  </w:r>
                  <w:r>
                    <w:rPr>
                      <w:rFonts w:hint="eastAsia" w:ascii="Times New Roman" w:hAnsi="Times New Roman" w:eastAsia="宋体" w:cs="Times New Roman"/>
                      <w:color w:val="auto"/>
                      <w:spacing w:val="-10"/>
                      <w:sz w:val="18"/>
                      <w:szCs w:val="18"/>
                      <w:highlight w:val="none"/>
                      <w:lang w:val="en-US" w:eastAsia="zh-CN"/>
                    </w:rPr>
                    <w:t>万吨</w:t>
                  </w:r>
                  <w:r>
                    <w:rPr>
                      <w:rFonts w:hint="default" w:ascii="Times New Roman" w:hAnsi="Times New Roman" w:eastAsia="宋体" w:cs="Times New Roman"/>
                      <w:color w:val="auto"/>
                      <w:spacing w:val="-10"/>
                      <w:sz w:val="18"/>
                      <w:szCs w:val="18"/>
                      <w:highlight w:val="none"/>
                      <w:lang w:val="en-US" w:eastAsia="zh-CN"/>
                    </w:rPr>
                    <w:t>/</w:t>
                  </w:r>
                  <w:r>
                    <w:rPr>
                      <w:rFonts w:hint="eastAsia" w:ascii="Times New Roman" w:hAnsi="Times New Roman" w:eastAsia="宋体" w:cs="Times New Roman"/>
                      <w:color w:val="auto"/>
                      <w:spacing w:val="-10"/>
                      <w:sz w:val="18"/>
                      <w:szCs w:val="18"/>
                      <w:highlight w:val="none"/>
                      <w:lang w:val="en-US" w:eastAsia="zh-CN"/>
                    </w:rPr>
                    <w:t>年）。</w:t>
                  </w:r>
                </w:p>
                <w:p w14:paraId="39012B33">
                  <w:pPr>
                    <w:keepNext w:val="0"/>
                    <w:keepLines w:val="0"/>
                    <w:pageBreakBefore w:val="0"/>
                    <w:widowControl w:val="0"/>
                    <w:numPr>
                      <w:ilvl w:val="0"/>
                      <w:numId w:val="7"/>
                    </w:numPr>
                    <w:kinsoku/>
                    <w:wordWrap/>
                    <w:overflowPunct/>
                    <w:topLinePunct w:val="0"/>
                    <w:autoSpaceDE/>
                    <w:autoSpaceDN/>
                    <w:bidi w:val="0"/>
                    <w:adjustRightInd/>
                    <w:snapToGrid/>
                    <w:spacing w:line="240" w:lineRule="exact"/>
                    <w:ind w:firstLine="320" w:firstLineChars="200"/>
                    <w:jc w:val="left"/>
                    <w:textAlignment w:val="auto"/>
                    <w:rPr>
                      <w:rFonts w:hint="default" w:ascii="Times New Roman" w:hAnsi="Times New Roman" w:eastAsia="宋体" w:cs="Times New Roman"/>
                      <w:color w:val="auto"/>
                      <w:spacing w:val="-10"/>
                      <w:sz w:val="18"/>
                      <w:szCs w:val="18"/>
                      <w:highlight w:val="none"/>
                      <w:lang w:val="en-US" w:eastAsia="zh-CN"/>
                    </w:rPr>
                  </w:pPr>
                  <w:r>
                    <w:rPr>
                      <w:rFonts w:hint="eastAsia" w:ascii="Times New Roman" w:hAnsi="Times New Roman" w:eastAsia="宋体" w:cs="Times New Roman"/>
                      <w:color w:val="auto"/>
                      <w:spacing w:val="-10"/>
                      <w:sz w:val="18"/>
                      <w:szCs w:val="18"/>
                      <w:highlight w:val="none"/>
                      <w:lang w:val="en-US" w:eastAsia="zh-CN"/>
                    </w:rPr>
                    <w:t>严格规范危化品管理，逐步退出人口聚集区内危化品的生产、储存、加工机构，加快实施重污染企业搬迁；加强居住区生态环境防护，建设封闭式石化园区，严格控制危化品仓储基地、 运输路径等，减少对居民生活影响。</w:t>
                  </w:r>
                </w:p>
                <w:p w14:paraId="68BF9D7B">
                  <w:pPr>
                    <w:keepNext w:val="0"/>
                    <w:keepLines w:val="0"/>
                    <w:pageBreakBefore w:val="0"/>
                    <w:widowControl w:val="0"/>
                    <w:kinsoku/>
                    <w:wordWrap/>
                    <w:overflowPunct/>
                    <w:topLinePunct w:val="0"/>
                    <w:autoSpaceDE/>
                    <w:autoSpaceDN/>
                    <w:bidi w:val="0"/>
                    <w:adjustRightInd/>
                    <w:snapToGrid/>
                    <w:spacing w:line="240" w:lineRule="exact"/>
                    <w:ind w:firstLine="320" w:firstLineChars="200"/>
                    <w:jc w:val="left"/>
                    <w:textAlignment w:val="auto"/>
                    <w:rPr>
                      <w:rFonts w:hint="default" w:ascii="Times New Roman" w:hAnsi="Times New Roman" w:eastAsia="宋体" w:cs="Times New Roman"/>
                      <w:color w:val="auto"/>
                      <w:spacing w:val="-10"/>
                      <w:sz w:val="18"/>
                      <w:szCs w:val="18"/>
                      <w:highlight w:val="none"/>
                      <w:lang w:val="en-US" w:eastAsia="zh-CN"/>
                    </w:rPr>
                  </w:pPr>
                  <w:r>
                    <w:rPr>
                      <w:rFonts w:hint="default" w:ascii="Times New Roman" w:hAnsi="Times New Roman" w:eastAsia="宋体" w:cs="Times New Roman"/>
                      <w:color w:val="auto"/>
                      <w:spacing w:val="-10"/>
                      <w:sz w:val="18"/>
                      <w:szCs w:val="18"/>
                      <w:highlight w:val="none"/>
                      <w:lang w:val="en-US" w:eastAsia="zh-CN"/>
                    </w:rPr>
                    <w:t>10</w:t>
                  </w:r>
                  <w:r>
                    <w:rPr>
                      <w:rFonts w:hint="eastAsia" w:ascii="Times New Roman" w:hAnsi="Times New Roman" w:eastAsia="宋体" w:cs="Times New Roman"/>
                      <w:color w:val="auto"/>
                      <w:spacing w:val="-10"/>
                      <w:sz w:val="18"/>
                      <w:szCs w:val="18"/>
                      <w:highlight w:val="none"/>
                      <w:lang w:val="en-US" w:eastAsia="zh-CN"/>
                    </w:rPr>
                    <w:t>、严格控制尿素、磷铵、电石、烧碱、聚氯乙烯、纯碱、黄磷等过剩行业新增产能，相关部门和机构不得违规办理土地（海域）供应、能评、环评和新增授信等业务，对符合政策要求的先进工艺改造提升项目应实行等量或减量置换。有序推进曹妃甸石化产业基地建设。未纳入《石化产业规划布局方案》的新建炼化项目一律不得建设。强化安全卫生防护距离和规划环评约束，不符合要求的化工园区、化工品储存项目要关闭退出，危险化学品生产企业搬迁改造及新建化工项目必须进入规范化工园区。</w:t>
                  </w:r>
                </w:p>
                <w:p w14:paraId="2543EE92">
                  <w:pPr>
                    <w:keepNext w:val="0"/>
                    <w:keepLines w:val="0"/>
                    <w:pageBreakBefore w:val="0"/>
                    <w:widowControl w:val="0"/>
                    <w:numPr>
                      <w:ilvl w:val="0"/>
                      <w:numId w:val="8"/>
                    </w:numPr>
                    <w:kinsoku/>
                    <w:wordWrap/>
                    <w:overflowPunct/>
                    <w:topLinePunct w:val="0"/>
                    <w:autoSpaceDE/>
                    <w:autoSpaceDN/>
                    <w:bidi w:val="0"/>
                    <w:adjustRightInd/>
                    <w:snapToGrid/>
                    <w:spacing w:line="240" w:lineRule="exact"/>
                    <w:ind w:firstLine="320" w:firstLineChars="200"/>
                    <w:jc w:val="left"/>
                    <w:textAlignment w:val="auto"/>
                    <w:rPr>
                      <w:rFonts w:hint="eastAsia" w:ascii="Times New Roman" w:hAnsi="Times New Roman" w:eastAsia="宋体" w:cs="Times New Roman"/>
                      <w:color w:val="auto"/>
                      <w:spacing w:val="-10"/>
                      <w:sz w:val="18"/>
                      <w:szCs w:val="18"/>
                      <w:highlight w:val="none"/>
                      <w:lang w:val="en-US" w:eastAsia="zh-CN"/>
                    </w:rPr>
                  </w:pPr>
                  <w:r>
                    <w:rPr>
                      <w:rFonts w:hint="eastAsia" w:ascii="Times New Roman" w:hAnsi="Times New Roman" w:eastAsia="宋体" w:cs="Times New Roman"/>
                      <w:color w:val="auto"/>
                      <w:spacing w:val="-10"/>
                      <w:sz w:val="18"/>
                      <w:szCs w:val="18"/>
                      <w:highlight w:val="none"/>
                      <w:lang w:val="en-US" w:eastAsia="zh-CN"/>
                    </w:rPr>
                    <w:t>逐步淘汰</w:t>
                  </w:r>
                  <w:r>
                    <w:rPr>
                      <w:rFonts w:hint="default" w:ascii="Times New Roman" w:hAnsi="Times New Roman" w:eastAsia="宋体" w:cs="Times New Roman"/>
                      <w:color w:val="auto"/>
                      <w:spacing w:val="-10"/>
                      <w:sz w:val="18"/>
                      <w:szCs w:val="18"/>
                      <w:highlight w:val="none"/>
                      <w:lang w:val="en-US" w:eastAsia="zh-CN"/>
                    </w:rPr>
                    <w:t>180</w:t>
                  </w:r>
                  <w:r>
                    <w:rPr>
                      <w:rFonts w:hint="eastAsia" w:ascii="Times New Roman" w:hAnsi="Times New Roman" w:eastAsia="宋体" w:cs="Times New Roman"/>
                      <w:color w:val="auto"/>
                      <w:spacing w:val="-10"/>
                      <w:sz w:val="18"/>
                      <w:szCs w:val="18"/>
                      <w:highlight w:val="none"/>
                      <w:lang w:val="en-US" w:eastAsia="zh-CN"/>
                    </w:rPr>
                    <w:t>平方米以下烧结机，逐步淘汰平面步进式烧结机，按照有关规定改造升级为大型带式烧结机；禁止新建球团竖炉，现有球团竖炉炉役到期不得大修，加快推动以链篦机</w:t>
                  </w:r>
                  <w:r>
                    <w:rPr>
                      <w:rFonts w:hint="default" w:ascii="Times New Roman" w:hAnsi="Times New Roman" w:eastAsia="宋体" w:cs="Times New Roman"/>
                      <w:color w:val="auto"/>
                      <w:spacing w:val="-10"/>
                      <w:sz w:val="18"/>
                      <w:szCs w:val="18"/>
                      <w:highlight w:val="none"/>
                      <w:lang w:val="en-US" w:eastAsia="zh-CN"/>
                    </w:rPr>
                    <w:t>-</w:t>
                  </w:r>
                  <w:r>
                    <w:rPr>
                      <w:rFonts w:hint="eastAsia" w:ascii="Times New Roman" w:hAnsi="Times New Roman" w:eastAsia="宋体" w:cs="Times New Roman"/>
                      <w:color w:val="auto"/>
                      <w:spacing w:val="-10"/>
                      <w:sz w:val="18"/>
                      <w:szCs w:val="18"/>
                      <w:highlight w:val="none"/>
                      <w:lang w:val="en-US" w:eastAsia="zh-CN"/>
                    </w:rPr>
                    <w:t>回转窑或带式焙烧机工艺取代球团竖炉工艺，鼓励企业之间通过合资合作方式建设大型链篦机</w:t>
                  </w:r>
                  <w:r>
                    <w:rPr>
                      <w:rFonts w:hint="default" w:ascii="Times New Roman" w:hAnsi="Times New Roman" w:eastAsia="宋体" w:cs="Times New Roman"/>
                      <w:color w:val="auto"/>
                      <w:spacing w:val="-10"/>
                      <w:sz w:val="18"/>
                      <w:szCs w:val="18"/>
                      <w:highlight w:val="none"/>
                      <w:lang w:val="en-US" w:eastAsia="zh-CN"/>
                    </w:rPr>
                    <w:t>-</w:t>
                  </w:r>
                  <w:r>
                    <w:rPr>
                      <w:rFonts w:hint="eastAsia" w:ascii="Times New Roman" w:hAnsi="Times New Roman" w:eastAsia="宋体" w:cs="Times New Roman"/>
                      <w:color w:val="auto"/>
                      <w:spacing w:val="-10"/>
                      <w:sz w:val="18"/>
                      <w:szCs w:val="18"/>
                      <w:highlight w:val="none"/>
                      <w:lang w:val="en-US" w:eastAsia="zh-CN"/>
                    </w:rPr>
                    <w:t>回转窑、带式焙烧机；加快推动以密闭皮带机取代汽车转运厂内大宗物料。</w:t>
                  </w:r>
                </w:p>
                <w:p w14:paraId="1AD749C4">
                  <w:pPr>
                    <w:keepNext w:val="0"/>
                    <w:keepLines w:val="0"/>
                    <w:pageBreakBefore w:val="0"/>
                    <w:widowControl w:val="0"/>
                    <w:numPr>
                      <w:ilvl w:val="0"/>
                      <w:numId w:val="8"/>
                    </w:numPr>
                    <w:kinsoku/>
                    <w:wordWrap/>
                    <w:overflowPunct/>
                    <w:topLinePunct w:val="0"/>
                    <w:autoSpaceDE/>
                    <w:autoSpaceDN/>
                    <w:bidi w:val="0"/>
                    <w:adjustRightInd/>
                    <w:snapToGrid/>
                    <w:spacing w:line="240" w:lineRule="exact"/>
                    <w:ind w:firstLine="320" w:firstLineChars="200"/>
                    <w:jc w:val="left"/>
                    <w:textAlignment w:val="auto"/>
                    <w:rPr>
                      <w:rFonts w:hint="eastAsia" w:ascii="Times New Roman" w:hAnsi="Times New Roman" w:eastAsia="宋体" w:cs="Times New Roman"/>
                      <w:color w:val="auto"/>
                      <w:spacing w:val="-10"/>
                      <w:sz w:val="18"/>
                      <w:szCs w:val="18"/>
                      <w:highlight w:val="none"/>
                      <w:lang w:val="en-US" w:eastAsia="zh-CN"/>
                    </w:rPr>
                  </w:pPr>
                  <w:r>
                    <w:rPr>
                      <w:rFonts w:hint="eastAsia" w:ascii="Times New Roman" w:hAnsi="Times New Roman" w:eastAsia="宋体" w:cs="Times New Roman"/>
                      <w:color w:val="auto"/>
                      <w:spacing w:val="-10"/>
                      <w:sz w:val="18"/>
                      <w:szCs w:val="18"/>
                      <w:highlight w:val="none"/>
                      <w:lang w:val="en-US" w:eastAsia="zh-CN"/>
                    </w:rPr>
                    <w:t>技术装备全面升级，高炉逐步达到</w:t>
                  </w:r>
                  <w:r>
                    <w:rPr>
                      <w:rFonts w:hint="default" w:ascii="Times New Roman" w:hAnsi="Times New Roman" w:eastAsia="宋体" w:cs="Times New Roman"/>
                      <w:color w:val="auto"/>
                      <w:spacing w:val="-10"/>
                      <w:sz w:val="18"/>
                      <w:szCs w:val="18"/>
                      <w:highlight w:val="none"/>
                      <w:lang w:val="en-US" w:eastAsia="zh-CN"/>
                    </w:rPr>
                    <w:t>1000</w:t>
                  </w:r>
                  <w:r>
                    <w:rPr>
                      <w:rFonts w:hint="eastAsia" w:ascii="Times New Roman" w:hAnsi="Times New Roman" w:eastAsia="宋体" w:cs="Times New Roman"/>
                      <w:color w:val="auto"/>
                      <w:spacing w:val="-10"/>
                      <w:sz w:val="18"/>
                      <w:szCs w:val="18"/>
                      <w:highlight w:val="none"/>
                      <w:lang w:val="en-US" w:eastAsia="zh-CN"/>
                    </w:rPr>
                    <w:t>立方米及以上、转炉逐步达到</w:t>
                  </w:r>
                  <w:r>
                    <w:rPr>
                      <w:rFonts w:hint="default" w:ascii="Times New Roman" w:hAnsi="Times New Roman" w:eastAsia="宋体" w:cs="Times New Roman"/>
                      <w:color w:val="auto"/>
                      <w:spacing w:val="-10"/>
                      <w:sz w:val="18"/>
                      <w:szCs w:val="18"/>
                      <w:highlight w:val="none"/>
                      <w:lang w:val="en-US" w:eastAsia="zh-CN"/>
                    </w:rPr>
                    <w:t>100</w:t>
                  </w:r>
                  <w:r>
                    <w:rPr>
                      <w:rFonts w:hint="eastAsia" w:ascii="Times New Roman" w:hAnsi="Times New Roman" w:eastAsia="宋体" w:cs="Times New Roman"/>
                      <w:color w:val="auto"/>
                      <w:spacing w:val="-10"/>
                      <w:sz w:val="18"/>
                      <w:szCs w:val="18"/>
                      <w:highlight w:val="none"/>
                      <w:lang w:val="en-US" w:eastAsia="zh-CN"/>
                    </w:rPr>
                    <w:t>吨及以上、烧结机逐步达到</w:t>
                  </w:r>
                  <w:r>
                    <w:rPr>
                      <w:rFonts w:hint="default" w:ascii="Times New Roman" w:hAnsi="Times New Roman" w:eastAsia="宋体" w:cs="Times New Roman"/>
                      <w:color w:val="auto"/>
                      <w:spacing w:val="-10"/>
                      <w:sz w:val="18"/>
                      <w:szCs w:val="18"/>
                      <w:highlight w:val="none"/>
                      <w:lang w:val="en-US" w:eastAsia="zh-CN"/>
                    </w:rPr>
                    <w:t>180</w:t>
                  </w:r>
                  <w:r>
                    <w:rPr>
                      <w:rFonts w:hint="eastAsia" w:ascii="Times New Roman" w:hAnsi="Times New Roman" w:eastAsia="宋体" w:cs="Times New Roman"/>
                      <w:color w:val="auto"/>
                      <w:spacing w:val="-10"/>
                      <w:sz w:val="18"/>
                      <w:szCs w:val="18"/>
                      <w:highlight w:val="none"/>
                      <w:lang w:val="en-US" w:eastAsia="zh-CN"/>
                    </w:rPr>
                    <w:t>平方米烧结机及以上。严格按照国家规定的产能减量置换政策实施改造升级，坚决杜绝借改造升级之机变相扩大生产能力；推广“一罐到底”工艺或采用鱼雷罐车运输铁水。</w:t>
                  </w:r>
                </w:p>
                <w:p w14:paraId="5A8B72D2">
                  <w:pPr>
                    <w:keepNext w:val="0"/>
                    <w:keepLines w:val="0"/>
                    <w:pageBreakBefore w:val="0"/>
                    <w:widowControl w:val="0"/>
                    <w:kinsoku/>
                    <w:wordWrap/>
                    <w:overflowPunct/>
                    <w:topLinePunct w:val="0"/>
                    <w:autoSpaceDE/>
                    <w:autoSpaceDN/>
                    <w:bidi w:val="0"/>
                    <w:adjustRightInd/>
                    <w:snapToGrid/>
                    <w:spacing w:line="240" w:lineRule="exact"/>
                    <w:ind w:firstLine="320" w:firstLineChars="200"/>
                    <w:jc w:val="left"/>
                    <w:textAlignment w:val="auto"/>
                    <w:rPr>
                      <w:rFonts w:hint="default" w:ascii="Times New Roman" w:hAnsi="Times New Roman" w:eastAsia="宋体" w:cs="Times New Roman"/>
                      <w:color w:val="auto"/>
                      <w:spacing w:val="-10"/>
                      <w:sz w:val="18"/>
                      <w:szCs w:val="18"/>
                      <w:highlight w:val="none"/>
                      <w:lang w:val="en-US" w:eastAsia="zh-CN"/>
                    </w:rPr>
                  </w:pPr>
                  <w:r>
                    <w:rPr>
                      <w:rFonts w:hint="default" w:ascii="Times New Roman" w:hAnsi="Times New Roman" w:eastAsia="宋体" w:cs="Times New Roman"/>
                      <w:color w:val="auto"/>
                      <w:spacing w:val="-10"/>
                      <w:sz w:val="18"/>
                      <w:szCs w:val="18"/>
                      <w:highlight w:val="none"/>
                      <w:lang w:val="en-US" w:eastAsia="zh-CN"/>
                    </w:rPr>
                    <w:t>13</w:t>
                  </w:r>
                  <w:r>
                    <w:rPr>
                      <w:rFonts w:hint="eastAsia" w:ascii="Times New Roman" w:hAnsi="Times New Roman" w:eastAsia="宋体" w:cs="Times New Roman"/>
                      <w:color w:val="auto"/>
                      <w:spacing w:val="-10"/>
                      <w:sz w:val="18"/>
                      <w:szCs w:val="18"/>
                      <w:highlight w:val="none"/>
                      <w:lang w:val="en-US" w:eastAsia="zh-CN"/>
                    </w:rPr>
                    <w:t>、尚未配备脱硫装置的球团竖炉，立即停产淘汰，不再予以改造；烧结厂房实现全封闭。</w:t>
                  </w:r>
                </w:p>
                <w:p w14:paraId="4B2B6653">
                  <w:pPr>
                    <w:keepNext w:val="0"/>
                    <w:keepLines w:val="0"/>
                    <w:pageBreakBefore w:val="0"/>
                    <w:widowControl w:val="0"/>
                    <w:kinsoku/>
                    <w:wordWrap/>
                    <w:overflowPunct/>
                    <w:topLinePunct w:val="0"/>
                    <w:autoSpaceDE/>
                    <w:autoSpaceDN/>
                    <w:bidi w:val="0"/>
                    <w:adjustRightInd/>
                    <w:snapToGrid/>
                    <w:spacing w:line="240" w:lineRule="exact"/>
                    <w:ind w:firstLine="320" w:firstLineChars="200"/>
                    <w:jc w:val="left"/>
                    <w:textAlignment w:val="auto"/>
                    <w:rPr>
                      <w:rFonts w:hint="eastAsia" w:ascii="Times New Roman" w:hAnsi="Times New Roman" w:eastAsia="宋体" w:cs="Times New Roman"/>
                      <w:color w:val="auto"/>
                      <w:spacing w:val="-10"/>
                      <w:sz w:val="18"/>
                      <w:szCs w:val="18"/>
                      <w:highlight w:val="none"/>
                      <w:lang w:val="en-US" w:eastAsia="zh-CN"/>
                    </w:rPr>
                  </w:pPr>
                  <w:r>
                    <w:rPr>
                      <w:rFonts w:hint="default" w:ascii="Times New Roman" w:hAnsi="Times New Roman" w:eastAsia="宋体" w:cs="Times New Roman"/>
                      <w:color w:val="auto"/>
                      <w:spacing w:val="-10"/>
                      <w:sz w:val="18"/>
                      <w:szCs w:val="18"/>
                      <w:highlight w:val="none"/>
                      <w:lang w:val="en-US" w:eastAsia="zh-CN"/>
                    </w:rPr>
                    <w:t>14</w:t>
                  </w:r>
                  <w:r>
                    <w:rPr>
                      <w:rFonts w:hint="eastAsia" w:ascii="Times New Roman" w:hAnsi="Times New Roman" w:eastAsia="宋体" w:cs="Times New Roman"/>
                      <w:color w:val="auto"/>
                      <w:spacing w:val="-10"/>
                      <w:sz w:val="18"/>
                      <w:szCs w:val="18"/>
                      <w:highlight w:val="none"/>
                      <w:lang w:val="en-US" w:eastAsia="zh-CN"/>
                    </w:rPr>
                    <w:t>、严禁备案和新建扩大产能的水泥熟料、平板玻璃项目。确有必要新建的，必须制定产能置换方案，实施产能置换。用于产能置换的生产线，必须在建设项目投产前关停并完成拆除退出。</w:t>
                  </w:r>
                </w:p>
                <w:p w14:paraId="47C66122">
                  <w:pPr>
                    <w:keepNext w:val="0"/>
                    <w:keepLines w:val="0"/>
                    <w:pageBreakBefore w:val="0"/>
                    <w:widowControl w:val="0"/>
                    <w:kinsoku/>
                    <w:wordWrap/>
                    <w:overflowPunct/>
                    <w:topLinePunct w:val="0"/>
                    <w:autoSpaceDE/>
                    <w:autoSpaceDN/>
                    <w:bidi w:val="0"/>
                    <w:adjustRightInd/>
                    <w:snapToGrid/>
                    <w:spacing w:line="240" w:lineRule="exact"/>
                    <w:ind w:firstLine="320" w:firstLineChars="200"/>
                    <w:jc w:val="left"/>
                    <w:textAlignment w:val="auto"/>
                    <w:rPr>
                      <w:rFonts w:hint="eastAsia" w:ascii="Times New Roman" w:hAnsi="Times New Roman" w:eastAsia="宋体" w:cs="Times New Roman"/>
                      <w:color w:val="auto"/>
                      <w:spacing w:val="-10"/>
                      <w:sz w:val="18"/>
                      <w:szCs w:val="18"/>
                      <w:highlight w:val="none"/>
                      <w:lang w:val="en-US" w:eastAsia="zh-CN"/>
                    </w:rPr>
                  </w:pPr>
                  <w:r>
                    <w:rPr>
                      <w:rFonts w:hint="default" w:ascii="Times New Roman" w:hAnsi="Times New Roman" w:eastAsia="宋体" w:cs="Times New Roman"/>
                      <w:color w:val="auto"/>
                      <w:spacing w:val="-10"/>
                      <w:sz w:val="18"/>
                      <w:szCs w:val="18"/>
                      <w:highlight w:val="none"/>
                      <w:lang w:val="en-US" w:eastAsia="zh-CN"/>
                    </w:rPr>
                    <w:t>15</w:t>
                  </w:r>
                  <w:r>
                    <w:rPr>
                      <w:rFonts w:hint="eastAsia" w:ascii="Times New Roman" w:hAnsi="Times New Roman" w:eastAsia="宋体" w:cs="Times New Roman"/>
                      <w:color w:val="auto"/>
                      <w:spacing w:val="-10"/>
                      <w:sz w:val="18"/>
                      <w:szCs w:val="18"/>
                      <w:highlight w:val="none"/>
                      <w:lang w:val="en-US" w:eastAsia="zh-CN"/>
                    </w:rPr>
                    <w:t>、引导和支持优势水泥熟料企业开展对单独粉磨企业的整合。</w:t>
                  </w:r>
                </w:p>
                <w:p w14:paraId="54F4B892">
                  <w:pPr>
                    <w:keepNext w:val="0"/>
                    <w:keepLines w:val="0"/>
                    <w:pageBreakBefore w:val="0"/>
                    <w:widowControl w:val="0"/>
                    <w:kinsoku/>
                    <w:wordWrap/>
                    <w:overflowPunct/>
                    <w:topLinePunct w:val="0"/>
                    <w:autoSpaceDE/>
                    <w:autoSpaceDN/>
                    <w:bidi w:val="0"/>
                    <w:adjustRightInd/>
                    <w:snapToGrid/>
                    <w:spacing w:line="240" w:lineRule="exact"/>
                    <w:ind w:firstLine="320" w:firstLineChars="200"/>
                    <w:jc w:val="left"/>
                    <w:textAlignment w:val="auto"/>
                    <w:rPr>
                      <w:rFonts w:hint="eastAsia" w:ascii="Times New Roman" w:hAnsi="Times New Roman" w:eastAsia="宋体" w:cs="Times New Roman"/>
                      <w:color w:val="auto"/>
                      <w:spacing w:val="-10"/>
                      <w:sz w:val="18"/>
                      <w:szCs w:val="18"/>
                      <w:highlight w:val="none"/>
                      <w:lang w:val="en-US" w:eastAsia="zh-CN"/>
                    </w:rPr>
                  </w:pPr>
                  <w:r>
                    <w:rPr>
                      <w:rFonts w:hint="default" w:ascii="Times New Roman" w:hAnsi="Times New Roman" w:eastAsia="宋体" w:cs="Times New Roman"/>
                      <w:color w:val="auto"/>
                      <w:spacing w:val="-10"/>
                      <w:sz w:val="18"/>
                      <w:szCs w:val="18"/>
                      <w:highlight w:val="none"/>
                      <w:lang w:val="en-US" w:eastAsia="zh-CN"/>
                    </w:rPr>
                    <w:t>16</w:t>
                  </w:r>
                  <w:r>
                    <w:rPr>
                      <w:rFonts w:hint="eastAsia" w:ascii="Times New Roman" w:hAnsi="Times New Roman" w:eastAsia="宋体" w:cs="Times New Roman"/>
                      <w:color w:val="auto"/>
                      <w:spacing w:val="-10"/>
                      <w:sz w:val="18"/>
                      <w:szCs w:val="18"/>
                      <w:highlight w:val="none"/>
                      <w:lang w:val="en-US" w:eastAsia="zh-CN"/>
                    </w:rPr>
                    <w:t>、平板玻璃行业生产布局应满足《平板玻璃行业规范条件》要求。</w:t>
                  </w:r>
                </w:p>
                <w:p w14:paraId="785FC97D">
                  <w:pPr>
                    <w:keepNext w:val="0"/>
                    <w:keepLines w:val="0"/>
                    <w:pageBreakBefore w:val="0"/>
                    <w:widowControl w:val="0"/>
                    <w:kinsoku/>
                    <w:wordWrap/>
                    <w:overflowPunct/>
                    <w:topLinePunct w:val="0"/>
                    <w:autoSpaceDE/>
                    <w:autoSpaceDN/>
                    <w:bidi w:val="0"/>
                    <w:adjustRightInd/>
                    <w:snapToGrid/>
                    <w:spacing w:line="240" w:lineRule="exact"/>
                    <w:ind w:firstLine="320" w:firstLineChars="200"/>
                    <w:jc w:val="left"/>
                    <w:textAlignment w:val="auto"/>
                    <w:rPr>
                      <w:rFonts w:hint="default" w:ascii="Times New Roman" w:hAnsi="Times New Roman" w:eastAsia="宋体" w:cs="Times New Roman"/>
                      <w:color w:val="auto"/>
                      <w:spacing w:val="-10"/>
                      <w:sz w:val="18"/>
                      <w:szCs w:val="18"/>
                      <w:highlight w:val="none"/>
                      <w:lang w:val="en-US" w:eastAsia="zh-CN"/>
                    </w:rPr>
                  </w:pPr>
                  <w:r>
                    <w:rPr>
                      <w:rFonts w:hint="default" w:ascii="Times New Roman" w:hAnsi="Times New Roman" w:eastAsia="宋体" w:cs="Times New Roman"/>
                      <w:color w:val="auto"/>
                      <w:spacing w:val="-10"/>
                      <w:sz w:val="18"/>
                      <w:szCs w:val="18"/>
                      <w:highlight w:val="none"/>
                      <w:lang w:val="en-US" w:eastAsia="zh-CN"/>
                    </w:rPr>
                    <w:t>17</w:t>
                  </w:r>
                  <w:r>
                    <w:rPr>
                      <w:rFonts w:hint="eastAsia" w:ascii="Times New Roman" w:hAnsi="Times New Roman" w:eastAsia="宋体" w:cs="Times New Roman"/>
                      <w:color w:val="auto"/>
                      <w:spacing w:val="-10"/>
                      <w:sz w:val="18"/>
                      <w:szCs w:val="18"/>
                      <w:highlight w:val="none"/>
                      <w:lang w:val="en-US" w:eastAsia="zh-CN"/>
                    </w:rPr>
                    <w:t>、严格控制矿产资源开采总量，重点压减与煤炭、水泥、玻璃等过剩产能行业配套的矿产资源开采总量。停止新批石膏矿项目、平原区煤炭开发项目。暂停新增生产能力的产能过剩矿产开发项目审批，已有矿山暂停扩大矿区范围审批。暂停新上露天矿产开发项目审批，已有露天矿山暂停扩大矿区范围审批。暂停新上达不到工业品位的铁矿开发项目审批。做好矿区开发生态环境影响评估论证，论证不通过，一律禁止开发。</w:t>
                  </w:r>
                </w:p>
                <w:p w14:paraId="3CE72D8C">
                  <w:pPr>
                    <w:keepNext w:val="0"/>
                    <w:keepLines w:val="0"/>
                    <w:pageBreakBefore w:val="0"/>
                    <w:widowControl w:val="0"/>
                    <w:kinsoku/>
                    <w:wordWrap/>
                    <w:overflowPunct/>
                    <w:topLinePunct w:val="0"/>
                    <w:autoSpaceDE/>
                    <w:autoSpaceDN/>
                    <w:bidi w:val="0"/>
                    <w:adjustRightInd/>
                    <w:snapToGrid/>
                    <w:spacing w:line="240" w:lineRule="exact"/>
                    <w:ind w:firstLine="320" w:firstLineChars="200"/>
                    <w:jc w:val="left"/>
                    <w:textAlignment w:val="auto"/>
                    <w:rPr>
                      <w:rFonts w:hint="default"/>
                      <w:color w:val="auto"/>
                      <w:highlight w:val="none"/>
                      <w:lang w:val="en-US" w:eastAsia="zh-CN"/>
                    </w:rPr>
                  </w:pPr>
                  <w:r>
                    <w:rPr>
                      <w:rFonts w:hint="default" w:ascii="Times New Roman" w:hAnsi="Times New Roman" w:eastAsia="宋体" w:cs="Times New Roman"/>
                      <w:color w:val="auto"/>
                      <w:spacing w:val="-10"/>
                      <w:sz w:val="18"/>
                      <w:szCs w:val="18"/>
                      <w:highlight w:val="none"/>
                      <w:lang w:val="en-US" w:eastAsia="zh-CN"/>
                    </w:rPr>
                    <w:t>18</w:t>
                  </w:r>
                  <w:r>
                    <w:rPr>
                      <w:rFonts w:hint="eastAsia" w:ascii="Times New Roman" w:hAnsi="Times New Roman" w:eastAsia="宋体" w:cs="Times New Roman"/>
                      <w:color w:val="auto"/>
                      <w:spacing w:val="-10"/>
                      <w:sz w:val="18"/>
                      <w:szCs w:val="18"/>
                      <w:highlight w:val="none"/>
                      <w:lang w:val="en-US" w:eastAsia="zh-CN"/>
                    </w:rPr>
                    <w:t>、实施矿山关闭和停批。依法关闭严重破坏生态环境和严重浪费水资源的矿山；依法关闭列入煤炭去产能计划的煤矿；依法关闭限期整改仍达不到生态环境保护要求和环保、安全标准的矿山；依法关闭现有石膏矿和严重污染环境的石灰窑、小建材加工点。</w:t>
                  </w:r>
                </w:p>
              </w:tc>
              <w:tc>
                <w:tcPr>
                  <w:tcW w:w="2449" w:type="dxa"/>
                  <w:tcBorders>
                    <w:tl2br w:val="nil"/>
                    <w:tr2bl w:val="nil"/>
                  </w:tcBorders>
                  <w:vAlign w:val="center"/>
                </w:tcPr>
                <w:p w14:paraId="21BAB0CD">
                  <w:pPr>
                    <w:keepNext w:val="0"/>
                    <w:keepLines w:val="0"/>
                    <w:pageBreakBefore w:val="0"/>
                    <w:widowControl w:val="0"/>
                    <w:kinsoku/>
                    <w:wordWrap/>
                    <w:overflowPunct/>
                    <w:topLinePunct w:val="0"/>
                    <w:autoSpaceDE/>
                    <w:autoSpaceDN/>
                    <w:bidi w:val="0"/>
                    <w:adjustRightInd/>
                    <w:snapToGrid/>
                    <w:spacing w:line="240" w:lineRule="exact"/>
                    <w:ind w:firstLine="320" w:firstLineChars="200"/>
                    <w:jc w:val="left"/>
                    <w:textAlignment w:val="auto"/>
                    <w:rPr>
                      <w:rFonts w:hint="default" w:eastAsia="宋体"/>
                      <w:color w:val="auto"/>
                      <w:highlight w:val="none"/>
                      <w:lang w:val="en-US" w:eastAsia="zh-CN"/>
                    </w:rPr>
                  </w:pPr>
                  <w:r>
                    <w:rPr>
                      <w:rFonts w:hint="eastAsia" w:cs="Times New Roman"/>
                      <w:color w:val="auto"/>
                      <w:spacing w:val="-10"/>
                      <w:sz w:val="18"/>
                      <w:szCs w:val="18"/>
                      <w:highlight w:val="none"/>
                      <w:lang w:val="en-US" w:eastAsia="zh-CN"/>
                    </w:rPr>
                    <w:t>8-18、本项目不涉及。</w:t>
                  </w:r>
                </w:p>
              </w:tc>
              <w:tc>
                <w:tcPr>
                  <w:tcW w:w="750" w:type="dxa"/>
                  <w:tcBorders>
                    <w:tl2br w:val="nil"/>
                    <w:tr2bl w:val="nil"/>
                  </w:tcBorders>
                  <w:vAlign w:val="center"/>
                </w:tcPr>
                <w:p w14:paraId="4A478B0A">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cs="Times New Roman"/>
                      <w:color w:val="auto"/>
                      <w:spacing w:val="-10"/>
                      <w:sz w:val="18"/>
                      <w:szCs w:val="18"/>
                      <w:highlight w:val="none"/>
                      <w:lang w:val="en-US" w:eastAsia="zh-CN"/>
                    </w:rPr>
                  </w:pPr>
                  <w:r>
                    <w:rPr>
                      <w:rFonts w:hint="default" w:ascii="Times New Roman" w:hAnsi="Times New Roman" w:cs="Times New Roman"/>
                      <w:color w:val="auto"/>
                      <w:spacing w:val="-10"/>
                      <w:sz w:val="18"/>
                      <w:szCs w:val="18"/>
                      <w:highlight w:val="none"/>
                      <w:lang w:val="en-US" w:eastAsia="zh-CN"/>
                    </w:rPr>
                    <w:t>符合</w:t>
                  </w:r>
                </w:p>
              </w:tc>
            </w:tr>
          </w:tbl>
          <w:p w14:paraId="69EEAC6E">
            <w:pPr>
              <w:pStyle w:val="24"/>
              <w:jc w:val="center"/>
              <w:outlineLvl w:val="0"/>
              <w:rPr>
                <w:rFonts w:hint="eastAsia" w:ascii="黑体" w:hAnsi="黑体" w:eastAsia="黑体"/>
                <w:snapToGrid w:val="0"/>
                <w:color w:val="auto"/>
                <w:sz w:val="30"/>
                <w:szCs w:val="30"/>
                <w:vertAlign w:val="baseline"/>
              </w:rPr>
            </w:pPr>
          </w:p>
        </w:tc>
      </w:tr>
    </w:tbl>
    <w:p w14:paraId="684106AF">
      <w:pPr>
        <w:pStyle w:val="6"/>
        <w:rPr>
          <w:rFonts w:eastAsia="黑体"/>
          <w:color w:val="auto"/>
          <w:sz w:val="30"/>
        </w:rPr>
        <w:sectPr>
          <w:pgSz w:w="16838" w:h="11905" w:orient="landscape"/>
          <w:pgMar w:top="1531" w:right="1701" w:bottom="1531" w:left="1701" w:header="851" w:footer="1077" w:gutter="0"/>
          <w:pgBorders>
            <w:top w:val="none" w:sz="0" w:space="0"/>
            <w:left w:val="none" w:sz="0" w:space="0"/>
            <w:bottom w:val="none" w:sz="0" w:space="0"/>
            <w:right w:val="none" w:sz="0" w:space="0"/>
          </w:pgBorders>
          <w:cols w:space="0" w:num="1"/>
          <w:rtlGutter w:val="0"/>
          <w:docGrid w:linePitch="312" w:charSpace="0"/>
        </w:sectPr>
      </w:pPr>
    </w:p>
    <w:tbl>
      <w:tblPr>
        <w:tblStyle w:val="28"/>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14"/>
        <w:gridCol w:w="7156"/>
      </w:tblGrid>
      <w:tr w14:paraId="7D07D65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1714" w:type="dxa"/>
            <w:vAlign w:val="center"/>
          </w:tcPr>
          <w:p w14:paraId="1E4CA8DA">
            <w:pPr>
              <w:autoSpaceDE w:val="0"/>
              <w:autoSpaceDN w:val="0"/>
              <w:adjustRightInd w:val="0"/>
              <w:snapToGrid w:val="0"/>
              <w:jc w:val="center"/>
              <w:rPr>
                <w:color w:val="auto"/>
                <w:kern w:val="0"/>
                <w:szCs w:val="21"/>
              </w:rPr>
            </w:pPr>
          </w:p>
        </w:tc>
        <w:tc>
          <w:tcPr>
            <w:tcW w:w="7156" w:type="dxa"/>
            <w:vAlign w:val="center"/>
          </w:tcPr>
          <w:p w14:paraId="0B168B57">
            <w:pPr>
              <w:pStyle w:val="24"/>
              <w:keepNext w:val="0"/>
              <w:keepLines w:val="0"/>
              <w:pageBreakBefore w:val="0"/>
              <w:widowControl/>
              <w:kinsoku/>
              <w:wordWrap/>
              <w:overflowPunct/>
              <w:topLinePunct w:val="0"/>
              <w:autoSpaceDE/>
              <w:autoSpaceDN/>
              <w:bidi w:val="0"/>
              <w:adjustRightInd w:val="0"/>
              <w:snapToGrid w:val="0"/>
              <w:spacing w:before="0" w:beforeAutospacing="0" w:after="0" w:afterAutospacing="0" w:line="420" w:lineRule="exact"/>
              <w:ind w:firstLine="420" w:firstLineChars="200"/>
              <w:textAlignment w:val="auto"/>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color w:val="auto"/>
                <w:sz w:val="21"/>
                <w:szCs w:val="21"/>
                <w:highlight w:val="none"/>
                <w:lang w:val="en-US" w:eastAsia="zh-CN"/>
              </w:rPr>
              <w:t>根据《唐山市生态环境准入清单》，项</w:t>
            </w:r>
            <w:r>
              <w:rPr>
                <w:rFonts w:hint="eastAsia" w:ascii="Times New Roman" w:hAnsi="Times New Roman" w:eastAsia="宋体" w:cs="Times New Roman"/>
                <w:color w:val="auto"/>
                <w:sz w:val="21"/>
                <w:szCs w:val="21"/>
                <w:highlight w:val="none"/>
                <w:lang w:val="en-US" w:eastAsia="zh-CN"/>
              </w:rPr>
              <w:t>目位于ZH13028430001一般管控单元。该单元管控措施及符合性分析见表3。</w:t>
            </w:r>
          </w:p>
          <w:tbl>
            <w:tblPr>
              <w:tblStyle w:val="28"/>
              <w:tblpPr w:leftFromText="180" w:rightFromText="180" w:vertAnchor="text" w:horzAnchor="page" w:tblpX="29" w:tblpY="441"/>
              <w:tblOverlap w:val="never"/>
              <w:tblW w:w="7080" w:type="dxa"/>
              <w:tblInd w:w="0" w:type="dxa"/>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
            <w:tblGrid>
              <w:gridCol w:w="601"/>
              <w:gridCol w:w="902"/>
              <w:gridCol w:w="824"/>
              <w:gridCol w:w="1771"/>
              <w:gridCol w:w="2244"/>
              <w:gridCol w:w="738"/>
            </w:tblGrid>
            <w:tr w14:paraId="128625A1">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48" w:hRule="atLeast"/>
              </w:trPr>
              <w:tc>
                <w:tcPr>
                  <w:tcW w:w="1503" w:type="dxa"/>
                  <w:gridSpan w:val="2"/>
                  <w:vAlign w:val="center"/>
                </w:tcPr>
                <w:p w14:paraId="6CC8C4F1">
                  <w:pPr>
                    <w:spacing w:line="240" w:lineRule="exact"/>
                    <w:jc w:val="center"/>
                    <w:rPr>
                      <w:rFonts w:ascii="Times New Roman" w:hAnsi="Times New Roman" w:eastAsia="宋体" w:cs="Times New Roman"/>
                      <w:color w:val="auto"/>
                      <w:spacing w:val="-10"/>
                      <w:sz w:val="18"/>
                      <w:szCs w:val="18"/>
                    </w:rPr>
                  </w:pPr>
                  <w:r>
                    <w:rPr>
                      <w:rFonts w:hint="eastAsia" w:ascii="Times New Roman" w:hAnsi="Times New Roman" w:eastAsia="宋体" w:cs="Times New Roman"/>
                      <w:color w:val="auto"/>
                      <w:spacing w:val="-10"/>
                      <w:sz w:val="18"/>
                      <w:szCs w:val="18"/>
                    </w:rPr>
                    <w:t>编号</w:t>
                  </w:r>
                </w:p>
              </w:tc>
              <w:tc>
                <w:tcPr>
                  <w:tcW w:w="824" w:type="dxa"/>
                  <w:vAlign w:val="center"/>
                </w:tcPr>
                <w:p w14:paraId="72BA4D41">
                  <w:pPr>
                    <w:spacing w:line="240" w:lineRule="exact"/>
                    <w:jc w:val="center"/>
                    <w:rPr>
                      <w:color w:val="auto"/>
                      <w:spacing w:val="-10"/>
                      <w:sz w:val="18"/>
                      <w:szCs w:val="18"/>
                    </w:rPr>
                  </w:pPr>
                  <w:r>
                    <w:rPr>
                      <w:rFonts w:hint="eastAsia"/>
                      <w:color w:val="auto"/>
                      <w:spacing w:val="-10"/>
                      <w:sz w:val="18"/>
                      <w:szCs w:val="18"/>
                    </w:rPr>
                    <w:t>区县</w:t>
                  </w:r>
                </w:p>
              </w:tc>
              <w:tc>
                <w:tcPr>
                  <w:tcW w:w="4753" w:type="dxa"/>
                  <w:gridSpan w:val="3"/>
                  <w:vAlign w:val="center"/>
                </w:tcPr>
                <w:p w14:paraId="0D0BB760">
                  <w:pPr>
                    <w:spacing w:line="240" w:lineRule="exact"/>
                    <w:jc w:val="center"/>
                    <w:rPr>
                      <w:color w:val="auto"/>
                      <w:spacing w:val="-10"/>
                      <w:sz w:val="18"/>
                      <w:szCs w:val="18"/>
                    </w:rPr>
                  </w:pPr>
                  <w:r>
                    <w:rPr>
                      <w:rFonts w:hint="eastAsia"/>
                      <w:color w:val="auto"/>
                      <w:spacing w:val="-10"/>
                      <w:sz w:val="18"/>
                      <w:szCs w:val="18"/>
                    </w:rPr>
                    <w:t>乡镇</w:t>
                  </w:r>
                </w:p>
              </w:tc>
            </w:tr>
            <w:tr w14:paraId="275BDF9B">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144" w:hRule="atLeast"/>
              </w:trPr>
              <w:tc>
                <w:tcPr>
                  <w:tcW w:w="1503" w:type="dxa"/>
                  <w:gridSpan w:val="2"/>
                  <w:vAlign w:val="center"/>
                </w:tcPr>
                <w:p w14:paraId="1B10EAF1">
                  <w:pPr>
                    <w:spacing w:line="240" w:lineRule="exact"/>
                    <w:jc w:val="center"/>
                    <w:rPr>
                      <w:rFonts w:hint="eastAsia" w:ascii="Times New Roman" w:hAnsi="Times New Roman" w:eastAsia="宋体" w:cs="Times New Roman"/>
                      <w:color w:val="auto"/>
                      <w:spacing w:val="-10"/>
                      <w:sz w:val="18"/>
                      <w:szCs w:val="18"/>
                    </w:rPr>
                  </w:pPr>
                  <w:r>
                    <w:rPr>
                      <w:rFonts w:hint="eastAsia" w:ascii="Times New Roman" w:hAnsi="Times New Roman" w:eastAsia="宋体" w:cs="Times New Roman"/>
                      <w:color w:val="auto"/>
                      <w:spacing w:val="-10"/>
                      <w:sz w:val="18"/>
                      <w:szCs w:val="18"/>
                      <w:lang w:val="en-US" w:eastAsia="zh-CN"/>
                    </w:rPr>
                    <w:t>ZH13028430001</w:t>
                  </w:r>
                </w:p>
              </w:tc>
              <w:tc>
                <w:tcPr>
                  <w:tcW w:w="824" w:type="dxa"/>
                  <w:vAlign w:val="center"/>
                </w:tcPr>
                <w:p w14:paraId="091BA9A2">
                  <w:pPr>
                    <w:spacing w:line="240" w:lineRule="exact"/>
                    <w:jc w:val="center"/>
                    <w:rPr>
                      <w:rFonts w:hint="eastAsia" w:ascii="Times New Roman" w:hAnsi="Times New Roman" w:eastAsia="宋体" w:cs="Times New Roman"/>
                      <w:color w:val="auto"/>
                      <w:spacing w:val="-10"/>
                      <w:sz w:val="18"/>
                      <w:szCs w:val="18"/>
                    </w:rPr>
                  </w:pPr>
                  <w:r>
                    <w:rPr>
                      <w:rFonts w:hint="eastAsia" w:ascii="Times New Roman" w:hAnsi="Times New Roman" w:eastAsia="宋体" w:cs="Times New Roman"/>
                      <w:color w:val="auto"/>
                      <w:spacing w:val="-10"/>
                      <w:sz w:val="18"/>
                      <w:szCs w:val="18"/>
                    </w:rPr>
                    <w:t>滦州市</w:t>
                  </w:r>
                </w:p>
              </w:tc>
              <w:tc>
                <w:tcPr>
                  <w:tcW w:w="4753" w:type="dxa"/>
                  <w:gridSpan w:val="3"/>
                  <w:vAlign w:val="center"/>
                </w:tcPr>
                <w:p w14:paraId="5BF1DA23">
                  <w:pPr>
                    <w:spacing w:line="240" w:lineRule="exact"/>
                    <w:jc w:val="center"/>
                    <w:rPr>
                      <w:color w:val="auto"/>
                      <w:spacing w:val="-10"/>
                      <w:sz w:val="18"/>
                      <w:szCs w:val="18"/>
                    </w:rPr>
                  </w:pPr>
                  <w:r>
                    <w:rPr>
                      <w:rFonts w:hint="eastAsia" w:ascii="Times New Roman" w:hAnsi="Times New Roman" w:eastAsia="宋体" w:cs="Times New Roman"/>
                      <w:color w:val="auto"/>
                      <w:spacing w:val="-10"/>
                      <w:sz w:val="18"/>
                      <w:szCs w:val="18"/>
                      <w:lang w:val="en-US" w:eastAsia="zh-CN"/>
                    </w:rPr>
                    <w:t>茨榆坨镇、东安各庄镇、古城街道、古马镇、九百户镇、雷庄镇、滦城路街道、滦河街道、响嘡街道、小马庄镇、 油榨镇</w:t>
                  </w:r>
                </w:p>
              </w:tc>
            </w:tr>
            <w:tr w14:paraId="60CE6951">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144" w:hRule="atLeast"/>
              </w:trPr>
              <w:tc>
                <w:tcPr>
                  <w:tcW w:w="1503" w:type="dxa"/>
                  <w:gridSpan w:val="2"/>
                  <w:vAlign w:val="center"/>
                </w:tcPr>
                <w:p w14:paraId="5FD3E4AD">
                  <w:pPr>
                    <w:spacing w:line="240" w:lineRule="exact"/>
                    <w:jc w:val="center"/>
                    <w:rPr>
                      <w:rFonts w:hint="eastAsia" w:ascii="Times New Roman" w:hAnsi="Times New Roman" w:eastAsia="宋体" w:cs="Times New Roman"/>
                      <w:color w:val="auto"/>
                      <w:spacing w:val="-10"/>
                      <w:sz w:val="18"/>
                      <w:szCs w:val="18"/>
                      <w:lang w:val="zh-TW"/>
                    </w:rPr>
                  </w:pPr>
                  <w:r>
                    <w:rPr>
                      <w:rFonts w:hint="eastAsia"/>
                      <w:color w:val="auto"/>
                      <w:spacing w:val="-10"/>
                      <w:sz w:val="18"/>
                      <w:szCs w:val="18"/>
                    </w:rPr>
                    <w:t>单元类别</w:t>
                  </w:r>
                </w:p>
              </w:tc>
              <w:tc>
                <w:tcPr>
                  <w:tcW w:w="5577" w:type="dxa"/>
                  <w:gridSpan w:val="4"/>
                  <w:vAlign w:val="center"/>
                </w:tcPr>
                <w:p w14:paraId="21A2ADD8">
                  <w:pPr>
                    <w:spacing w:line="240" w:lineRule="exact"/>
                    <w:jc w:val="center"/>
                    <w:rPr>
                      <w:rFonts w:hint="eastAsia" w:ascii="Times New Roman" w:hAnsi="Times New Roman" w:eastAsia="宋体" w:cs="Times New Roman"/>
                      <w:color w:val="auto"/>
                      <w:spacing w:val="-10"/>
                      <w:sz w:val="18"/>
                      <w:szCs w:val="18"/>
                      <w:lang w:eastAsia="zh-CN"/>
                    </w:rPr>
                  </w:pPr>
                  <w:r>
                    <w:rPr>
                      <w:rFonts w:hint="eastAsia" w:cs="Times New Roman"/>
                      <w:color w:val="auto"/>
                      <w:spacing w:val="-10"/>
                      <w:sz w:val="18"/>
                      <w:szCs w:val="18"/>
                      <w:lang w:val="en-US" w:eastAsia="zh-CN"/>
                    </w:rPr>
                    <w:t>一般管控单元</w:t>
                  </w:r>
                </w:p>
              </w:tc>
            </w:tr>
            <w:tr w14:paraId="7DB9800E">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144" w:hRule="atLeast"/>
              </w:trPr>
              <w:tc>
                <w:tcPr>
                  <w:tcW w:w="1503" w:type="dxa"/>
                  <w:gridSpan w:val="2"/>
                  <w:vAlign w:val="center"/>
                </w:tcPr>
                <w:p w14:paraId="3FC32736">
                  <w:pPr>
                    <w:spacing w:line="240" w:lineRule="exact"/>
                    <w:jc w:val="center"/>
                    <w:rPr>
                      <w:rFonts w:hint="eastAsia" w:ascii="Times New Roman" w:hAnsi="Times New Roman" w:eastAsia="宋体" w:cs="Times New Roman"/>
                      <w:color w:val="auto"/>
                      <w:spacing w:val="-10"/>
                      <w:sz w:val="18"/>
                      <w:szCs w:val="18"/>
                      <w:lang w:val="zh-TW"/>
                    </w:rPr>
                  </w:pPr>
                  <w:r>
                    <w:rPr>
                      <w:rFonts w:hint="eastAsia"/>
                      <w:color w:val="auto"/>
                      <w:spacing w:val="-10"/>
                      <w:sz w:val="18"/>
                      <w:szCs w:val="18"/>
                    </w:rPr>
                    <w:t>环境要素类别</w:t>
                  </w:r>
                </w:p>
              </w:tc>
              <w:tc>
                <w:tcPr>
                  <w:tcW w:w="5577" w:type="dxa"/>
                  <w:gridSpan w:val="4"/>
                  <w:vAlign w:val="center"/>
                </w:tcPr>
                <w:p w14:paraId="7F505A84">
                  <w:pPr>
                    <w:spacing w:line="240" w:lineRule="exact"/>
                    <w:jc w:val="center"/>
                    <w:rPr>
                      <w:rFonts w:hint="eastAsia" w:ascii="Times New Roman" w:hAnsi="Times New Roman" w:eastAsia="宋体" w:cs="Times New Roman"/>
                      <w:color w:val="auto"/>
                      <w:spacing w:val="-10"/>
                      <w:sz w:val="18"/>
                      <w:szCs w:val="18"/>
                    </w:rPr>
                  </w:pPr>
                  <w:r>
                    <w:rPr>
                      <w:rFonts w:hint="eastAsia" w:cs="Times New Roman"/>
                      <w:color w:val="auto"/>
                      <w:spacing w:val="-10"/>
                      <w:sz w:val="18"/>
                      <w:szCs w:val="18"/>
                      <w:lang w:val="en-US" w:eastAsia="zh-CN"/>
                    </w:rPr>
                    <w:t>/</w:t>
                  </w:r>
                </w:p>
              </w:tc>
            </w:tr>
            <w:tr w14:paraId="630EC338">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144" w:hRule="atLeast"/>
              </w:trPr>
              <w:tc>
                <w:tcPr>
                  <w:tcW w:w="601" w:type="dxa"/>
                  <w:tcBorders>
                    <w:right w:val="single" w:color="auto" w:sz="4" w:space="0"/>
                  </w:tcBorders>
                  <w:vAlign w:val="center"/>
                </w:tcPr>
                <w:p w14:paraId="697E71F5">
                  <w:pPr>
                    <w:spacing w:line="240" w:lineRule="exact"/>
                    <w:jc w:val="center"/>
                    <w:rPr>
                      <w:rFonts w:hint="eastAsia"/>
                      <w:color w:val="auto"/>
                      <w:spacing w:val="-10"/>
                      <w:sz w:val="18"/>
                      <w:szCs w:val="18"/>
                    </w:rPr>
                  </w:pPr>
                  <w:r>
                    <w:rPr>
                      <w:rFonts w:hint="eastAsia"/>
                      <w:color w:val="auto"/>
                      <w:spacing w:val="-10"/>
                      <w:sz w:val="18"/>
                      <w:szCs w:val="18"/>
                    </w:rPr>
                    <w:t>维度</w:t>
                  </w:r>
                </w:p>
              </w:tc>
              <w:tc>
                <w:tcPr>
                  <w:tcW w:w="3497" w:type="dxa"/>
                  <w:gridSpan w:val="3"/>
                  <w:tcBorders>
                    <w:left w:val="single" w:color="auto" w:sz="4" w:space="0"/>
                  </w:tcBorders>
                  <w:vAlign w:val="center"/>
                </w:tcPr>
                <w:p w14:paraId="42BD8079">
                  <w:pPr>
                    <w:spacing w:line="240" w:lineRule="exact"/>
                    <w:jc w:val="center"/>
                    <w:rPr>
                      <w:color w:val="auto"/>
                      <w:spacing w:val="-10"/>
                      <w:sz w:val="18"/>
                      <w:szCs w:val="18"/>
                    </w:rPr>
                  </w:pPr>
                  <w:r>
                    <w:rPr>
                      <w:rFonts w:hint="eastAsia"/>
                      <w:color w:val="auto"/>
                      <w:spacing w:val="-10"/>
                      <w:sz w:val="18"/>
                      <w:szCs w:val="18"/>
                    </w:rPr>
                    <w:t>管控措施</w:t>
                  </w:r>
                </w:p>
              </w:tc>
              <w:tc>
                <w:tcPr>
                  <w:tcW w:w="2244" w:type="dxa"/>
                  <w:vAlign w:val="center"/>
                </w:tcPr>
                <w:p w14:paraId="3ABF2FBA">
                  <w:pPr>
                    <w:spacing w:line="240" w:lineRule="exact"/>
                    <w:jc w:val="center"/>
                    <w:rPr>
                      <w:color w:val="auto"/>
                      <w:spacing w:val="-10"/>
                      <w:sz w:val="18"/>
                      <w:szCs w:val="18"/>
                    </w:rPr>
                  </w:pPr>
                  <w:r>
                    <w:rPr>
                      <w:rFonts w:hint="eastAsia"/>
                      <w:color w:val="auto"/>
                      <w:spacing w:val="-10"/>
                      <w:sz w:val="18"/>
                      <w:szCs w:val="18"/>
                    </w:rPr>
                    <w:t>本项目实际</w:t>
                  </w:r>
                </w:p>
              </w:tc>
              <w:tc>
                <w:tcPr>
                  <w:tcW w:w="738" w:type="dxa"/>
                  <w:vAlign w:val="center"/>
                </w:tcPr>
                <w:p w14:paraId="3AF4F208">
                  <w:pPr>
                    <w:spacing w:line="240" w:lineRule="exact"/>
                    <w:jc w:val="center"/>
                    <w:rPr>
                      <w:color w:val="auto"/>
                      <w:spacing w:val="-10"/>
                      <w:sz w:val="18"/>
                      <w:szCs w:val="18"/>
                    </w:rPr>
                  </w:pPr>
                  <w:r>
                    <w:rPr>
                      <w:rFonts w:hint="eastAsia"/>
                      <w:color w:val="auto"/>
                      <w:spacing w:val="-10"/>
                      <w:sz w:val="18"/>
                      <w:szCs w:val="18"/>
                    </w:rPr>
                    <w:t>符合性</w:t>
                  </w:r>
                </w:p>
              </w:tc>
            </w:tr>
            <w:tr w14:paraId="42E883FD">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144" w:hRule="atLeast"/>
              </w:trPr>
              <w:tc>
                <w:tcPr>
                  <w:tcW w:w="601" w:type="dxa"/>
                  <w:tcBorders>
                    <w:right w:val="single" w:color="auto" w:sz="4" w:space="0"/>
                  </w:tcBorders>
                  <w:vAlign w:val="center"/>
                </w:tcPr>
                <w:p w14:paraId="5739E709">
                  <w:pPr>
                    <w:spacing w:line="240" w:lineRule="exact"/>
                    <w:jc w:val="center"/>
                    <w:rPr>
                      <w:rFonts w:hint="eastAsia"/>
                      <w:color w:val="auto"/>
                      <w:spacing w:val="-10"/>
                      <w:sz w:val="18"/>
                      <w:szCs w:val="18"/>
                    </w:rPr>
                  </w:pPr>
                  <w:r>
                    <w:rPr>
                      <w:rFonts w:hint="eastAsia"/>
                      <w:color w:val="auto"/>
                      <w:spacing w:val="-10"/>
                      <w:sz w:val="18"/>
                      <w:szCs w:val="18"/>
                    </w:rPr>
                    <w:t>空间布局约束</w:t>
                  </w:r>
                </w:p>
              </w:tc>
              <w:tc>
                <w:tcPr>
                  <w:tcW w:w="3497" w:type="dxa"/>
                  <w:gridSpan w:val="3"/>
                  <w:tcBorders>
                    <w:left w:val="single" w:color="auto" w:sz="4" w:space="0"/>
                  </w:tcBorders>
                  <w:vAlign w:val="center"/>
                </w:tcPr>
                <w:p w14:paraId="2BB77E93">
                  <w:pPr>
                    <w:spacing w:line="240" w:lineRule="exact"/>
                    <w:jc w:val="center"/>
                    <w:rPr>
                      <w:rFonts w:hint="eastAsia" w:ascii="Times New Roman" w:hAnsi="Times New Roman" w:eastAsia="宋体" w:cs="Times New Roman"/>
                      <w:color w:val="auto"/>
                      <w:spacing w:val="-10"/>
                      <w:sz w:val="18"/>
                      <w:szCs w:val="18"/>
                    </w:rPr>
                  </w:pPr>
                  <w:r>
                    <w:rPr>
                      <w:rFonts w:hint="eastAsia" w:ascii="Times New Roman" w:hAnsi="Times New Roman" w:eastAsia="宋体" w:cs="Times New Roman"/>
                      <w:color w:val="auto"/>
                      <w:spacing w:val="-10"/>
                      <w:sz w:val="18"/>
                      <w:szCs w:val="18"/>
                    </w:rPr>
                    <w:t>1、严格控制探矿权数量，严格审查与规划论证。在符合矿山准入条件前提下，可以优先设置采矿权。 2、严控“两高”行业新增产能。不再审批水泥等产能严重过剩行业。</w:t>
                  </w:r>
                </w:p>
              </w:tc>
              <w:tc>
                <w:tcPr>
                  <w:tcW w:w="2244" w:type="dxa"/>
                  <w:vAlign w:val="center"/>
                </w:tcPr>
                <w:p w14:paraId="293E2020">
                  <w:pPr>
                    <w:spacing w:line="240" w:lineRule="exact"/>
                    <w:jc w:val="left"/>
                    <w:rPr>
                      <w:rFonts w:hint="default" w:ascii="Times New Roman" w:hAnsi="Times New Roman" w:eastAsia="宋体" w:cs="Times New Roman"/>
                      <w:color w:val="auto"/>
                      <w:spacing w:val="-10"/>
                      <w:sz w:val="18"/>
                      <w:szCs w:val="18"/>
                      <w:highlight w:val="none"/>
                      <w:lang w:val="en-US" w:eastAsia="zh-CN"/>
                    </w:rPr>
                  </w:pPr>
                  <w:r>
                    <w:rPr>
                      <w:rFonts w:hint="eastAsia" w:ascii="Times New Roman" w:hAnsi="Times New Roman" w:eastAsia="宋体" w:cs="Times New Roman"/>
                      <w:color w:val="auto"/>
                      <w:spacing w:val="-10"/>
                      <w:sz w:val="18"/>
                      <w:szCs w:val="18"/>
                      <w:highlight w:val="none"/>
                      <w:lang w:val="en-US" w:eastAsia="zh-CN"/>
                    </w:rPr>
                    <w:t>本项目为C4210金属废料和碎屑加工处理</w:t>
                  </w:r>
                  <w:r>
                    <w:rPr>
                      <w:rFonts w:hint="eastAsia" w:ascii="Times New Roman" w:hAnsi="Times New Roman" w:eastAsia="宋体" w:cs="Times New Roman"/>
                      <w:bCs/>
                      <w:color w:val="auto"/>
                      <w:spacing w:val="-11"/>
                      <w:kern w:val="0"/>
                      <w:sz w:val="18"/>
                      <w:szCs w:val="18"/>
                      <w:highlight w:val="none"/>
                      <w:lang w:val="en-US" w:eastAsia="zh-CN"/>
                    </w:rPr>
                    <w:t>及C4220非金属废料和碎屑加工处理</w:t>
                  </w:r>
                  <w:r>
                    <w:rPr>
                      <w:rFonts w:hint="eastAsia" w:ascii="Times New Roman" w:hAnsi="Times New Roman" w:eastAsia="宋体" w:cs="Times New Roman"/>
                      <w:color w:val="auto"/>
                      <w:spacing w:val="-10"/>
                      <w:sz w:val="18"/>
                      <w:szCs w:val="18"/>
                      <w:highlight w:val="none"/>
                      <w:lang w:val="en-US" w:eastAsia="zh-CN"/>
                    </w:rPr>
                    <w:t>，不属于采矿项目、“两高”行业及产能过剩行业</w:t>
                  </w:r>
                </w:p>
              </w:tc>
              <w:tc>
                <w:tcPr>
                  <w:tcW w:w="738" w:type="dxa"/>
                  <w:vAlign w:val="center"/>
                </w:tcPr>
                <w:p w14:paraId="55605B76">
                  <w:pPr>
                    <w:spacing w:line="240" w:lineRule="exact"/>
                    <w:jc w:val="center"/>
                    <w:rPr>
                      <w:rFonts w:hint="eastAsia" w:ascii="Times New Roman" w:hAnsi="Times New Roman" w:eastAsia="宋体" w:cs="Times New Roman"/>
                      <w:color w:val="auto"/>
                      <w:spacing w:val="-10"/>
                      <w:sz w:val="18"/>
                      <w:szCs w:val="18"/>
                      <w:lang w:val="zh-TW"/>
                    </w:rPr>
                  </w:pPr>
                  <w:r>
                    <w:rPr>
                      <w:rFonts w:hint="eastAsia" w:ascii="Times New Roman" w:hAnsi="Times New Roman" w:eastAsia="宋体" w:cs="Times New Roman"/>
                      <w:color w:val="auto"/>
                      <w:spacing w:val="-10"/>
                      <w:sz w:val="18"/>
                      <w:szCs w:val="18"/>
                      <w:lang w:val="zh-TW"/>
                    </w:rPr>
                    <w:t>符合</w:t>
                  </w:r>
                </w:p>
              </w:tc>
            </w:tr>
            <w:tr w14:paraId="6FD0BEFB">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144" w:hRule="atLeast"/>
              </w:trPr>
              <w:tc>
                <w:tcPr>
                  <w:tcW w:w="601" w:type="dxa"/>
                  <w:tcBorders>
                    <w:right w:val="single" w:color="auto" w:sz="4" w:space="0"/>
                  </w:tcBorders>
                  <w:vAlign w:val="center"/>
                </w:tcPr>
                <w:p w14:paraId="40E4A5D1">
                  <w:pPr>
                    <w:spacing w:line="240" w:lineRule="exact"/>
                    <w:jc w:val="center"/>
                    <w:rPr>
                      <w:rFonts w:hint="eastAsia"/>
                      <w:color w:val="auto"/>
                      <w:spacing w:val="-10"/>
                      <w:sz w:val="18"/>
                      <w:szCs w:val="18"/>
                    </w:rPr>
                  </w:pPr>
                  <w:r>
                    <w:rPr>
                      <w:rFonts w:hint="eastAsia"/>
                      <w:color w:val="auto"/>
                      <w:spacing w:val="-10"/>
                      <w:sz w:val="18"/>
                      <w:szCs w:val="18"/>
                      <w:highlight w:val="none"/>
                      <w:lang w:val="en-US" w:eastAsia="zh-CN"/>
                    </w:rPr>
                    <w:t>污染物排放管控</w:t>
                  </w:r>
                </w:p>
              </w:tc>
              <w:tc>
                <w:tcPr>
                  <w:tcW w:w="3497" w:type="dxa"/>
                  <w:gridSpan w:val="3"/>
                  <w:tcBorders>
                    <w:left w:val="single" w:color="auto" w:sz="4" w:space="0"/>
                  </w:tcBorders>
                  <w:vAlign w:val="center"/>
                </w:tcPr>
                <w:p w14:paraId="68B062CE">
                  <w:pPr>
                    <w:spacing w:line="240" w:lineRule="exact"/>
                    <w:jc w:val="center"/>
                    <w:rPr>
                      <w:rFonts w:hint="eastAsia" w:ascii="Times New Roman" w:hAnsi="Times New Roman" w:eastAsia="宋体" w:cs="Times New Roman"/>
                      <w:color w:val="auto"/>
                      <w:spacing w:val="-10"/>
                      <w:sz w:val="18"/>
                      <w:szCs w:val="18"/>
                      <w:lang w:val="en-US" w:eastAsia="zh-CN"/>
                    </w:rPr>
                  </w:pPr>
                  <w:r>
                    <w:rPr>
                      <w:rFonts w:hint="eastAsia" w:ascii="Times New Roman" w:hAnsi="Times New Roman" w:eastAsia="宋体" w:cs="Times New Roman"/>
                      <w:color w:val="auto"/>
                      <w:spacing w:val="-10"/>
                      <w:sz w:val="18"/>
                      <w:szCs w:val="18"/>
                    </w:rPr>
                    <w:t>1、完成当地下达的重金属减排指标。 2、加快推进水泥重点行业污染深度治理，各工序（环节）排污点源全部完成治理设施升级改造，推进企业环境管理精细化，确保污染物稳定达标排放。</w:t>
                  </w:r>
                </w:p>
              </w:tc>
              <w:tc>
                <w:tcPr>
                  <w:tcW w:w="2244" w:type="dxa"/>
                  <w:vAlign w:val="center"/>
                </w:tcPr>
                <w:p w14:paraId="022C7B21">
                  <w:pPr>
                    <w:spacing w:line="240" w:lineRule="exact"/>
                    <w:jc w:val="left"/>
                    <w:rPr>
                      <w:rFonts w:hint="eastAsia" w:ascii="Times New Roman" w:hAnsi="Times New Roman" w:eastAsia="宋体" w:cs="Times New Roman"/>
                      <w:color w:val="auto"/>
                      <w:spacing w:val="-10"/>
                      <w:sz w:val="18"/>
                      <w:szCs w:val="18"/>
                      <w:highlight w:val="none"/>
                      <w:lang w:val="en-US" w:eastAsia="zh-CN"/>
                    </w:rPr>
                  </w:pPr>
                  <w:r>
                    <w:rPr>
                      <w:rFonts w:hint="eastAsia"/>
                      <w:color w:val="auto"/>
                      <w:spacing w:val="-10"/>
                      <w:sz w:val="18"/>
                      <w:szCs w:val="18"/>
                      <w:highlight w:val="none"/>
                      <w:lang w:val="en-US" w:eastAsia="zh-CN"/>
                    </w:rPr>
                    <w:t>本项目不涉及重金属排放，本项目各产污环节均采取了完善的污染防治措施，废气各产污环节严格控制污染物排放，可以稳定实现达标排放。</w:t>
                  </w:r>
                </w:p>
              </w:tc>
              <w:tc>
                <w:tcPr>
                  <w:tcW w:w="738" w:type="dxa"/>
                  <w:vAlign w:val="center"/>
                </w:tcPr>
                <w:p w14:paraId="24C78832">
                  <w:pPr>
                    <w:spacing w:line="240" w:lineRule="exact"/>
                    <w:jc w:val="center"/>
                    <w:rPr>
                      <w:rFonts w:hint="eastAsia" w:ascii="Times New Roman" w:hAnsi="Times New Roman" w:eastAsia="宋体" w:cs="Times New Roman"/>
                      <w:color w:val="auto"/>
                      <w:spacing w:val="-10"/>
                      <w:sz w:val="18"/>
                      <w:szCs w:val="18"/>
                      <w:lang w:val="zh-TW"/>
                    </w:rPr>
                  </w:pPr>
                  <w:r>
                    <w:rPr>
                      <w:rFonts w:hint="eastAsia" w:ascii="Times New Roman" w:hAnsi="Times New Roman" w:eastAsia="宋体" w:cs="Times New Roman"/>
                      <w:color w:val="auto"/>
                      <w:spacing w:val="-10"/>
                      <w:sz w:val="18"/>
                      <w:szCs w:val="18"/>
                      <w:lang w:val="zh-TW"/>
                    </w:rPr>
                    <w:t>符合</w:t>
                  </w:r>
                </w:p>
              </w:tc>
            </w:tr>
            <w:tr w14:paraId="203ED24B">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144" w:hRule="atLeast"/>
              </w:trPr>
              <w:tc>
                <w:tcPr>
                  <w:tcW w:w="601" w:type="dxa"/>
                  <w:tcBorders>
                    <w:right w:val="single" w:color="auto" w:sz="4" w:space="0"/>
                  </w:tcBorders>
                  <w:vAlign w:val="center"/>
                </w:tcPr>
                <w:p w14:paraId="75C23356">
                  <w:pPr>
                    <w:spacing w:line="240" w:lineRule="exact"/>
                    <w:jc w:val="center"/>
                    <w:rPr>
                      <w:rFonts w:hint="eastAsia"/>
                      <w:color w:val="auto"/>
                      <w:spacing w:val="-10"/>
                      <w:sz w:val="18"/>
                      <w:szCs w:val="18"/>
                      <w:highlight w:val="none"/>
                    </w:rPr>
                  </w:pPr>
                  <w:r>
                    <w:rPr>
                      <w:rFonts w:hint="eastAsia"/>
                      <w:color w:val="auto"/>
                      <w:spacing w:val="-10"/>
                      <w:sz w:val="18"/>
                      <w:szCs w:val="18"/>
                      <w:highlight w:val="none"/>
                      <w:lang w:val="en-US" w:eastAsia="zh-CN"/>
                    </w:rPr>
                    <w:t>环境风</w:t>
                  </w:r>
                </w:p>
                <w:p w14:paraId="269F7E00">
                  <w:pPr>
                    <w:spacing w:line="240" w:lineRule="exact"/>
                    <w:jc w:val="center"/>
                    <w:rPr>
                      <w:rFonts w:hint="eastAsia"/>
                      <w:color w:val="auto"/>
                      <w:spacing w:val="-10"/>
                      <w:sz w:val="18"/>
                      <w:szCs w:val="18"/>
                    </w:rPr>
                  </w:pPr>
                  <w:r>
                    <w:rPr>
                      <w:rFonts w:hint="eastAsia"/>
                      <w:color w:val="auto"/>
                      <w:spacing w:val="-10"/>
                      <w:sz w:val="18"/>
                      <w:szCs w:val="18"/>
                      <w:highlight w:val="none"/>
                      <w:lang w:val="en-US" w:eastAsia="zh-CN"/>
                    </w:rPr>
                    <w:t>险防控</w:t>
                  </w:r>
                </w:p>
              </w:tc>
              <w:tc>
                <w:tcPr>
                  <w:tcW w:w="3497" w:type="dxa"/>
                  <w:gridSpan w:val="3"/>
                  <w:tcBorders>
                    <w:left w:val="single" w:color="auto" w:sz="4" w:space="0"/>
                  </w:tcBorders>
                  <w:vAlign w:val="center"/>
                </w:tcPr>
                <w:p w14:paraId="7DB24C98">
                  <w:pPr>
                    <w:spacing w:line="240" w:lineRule="exact"/>
                    <w:jc w:val="center"/>
                    <w:rPr>
                      <w:rFonts w:hint="eastAsia" w:ascii="Times New Roman" w:hAnsi="Times New Roman" w:eastAsia="宋体" w:cs="Times New Roman"/>
                      <w:color w:val="auto"/>
                      <w:spacing w:val="-10"/>
                      <w:sz w:val="18"/>
                      <w:szCs w:val="18"/>
                      <w:lang w:val="en-US" w:eastAsia="zh-CN"/>
                    </w:rPr>
                  </w:pPr>
                  <w:r>
                    <w:rPr>
                      <w:rFonts w:hint="eastAsia" w:ascii="Times New Roman" w:hAnsi="Times New Roman" w:eastAsia="宋体" w:cs="Times New Roman"/>
                      <w:color w:val="auto"/>
                      <w:spacing w:val="-10"/>
                      <w:sz w:val="18"/>
                      <w:szCs w:val="18"/>
                    </w:rPr>
                    <w:t>加强对公共安全形势和风险的整体研判、动态监测，准确掌握本地区本领域本系统各类风险情况。建立健全重大公共安全隐患公告制度，完善应急救援体系和组织体系，及时消除安全隐患。</w:t>
                  </w:r>
                </w:p>
              </w:tc>
              <w:tc>
                <w:tcPr>
                  <w:tcW w:w="2244" w:type="dxa"/>
                  <w:vAlign w:val="center"/>
                </w:tcPr>
                <w:p w14:paraId="09DBA06F">
                  <w:pPr>
                    <w:spacing w:line="240" w:lineRule="exact"/>
                    <w:jc w:val="left"/>
                    <w:rPr>
                      <w:rFonts w:hint="eastAsia" w:ascii="Times New Roman" w:hAnsi="Times New Roman" w:eastAsia="宋体" w:cs="Times New Roman"/>
                      <w:color w:val="auto"/>
                      <w:spacing w:val="-10"/>
                      <w:sz w:val="18"/>
                      <w:szCs w:val="18"/>
                      <w:highlight w:val="none"/>
                      <w:lang w:val="en-US" w:eastAsia="zh-CN"/>
                    </w:rPr>
                  </w:pPr>
                  <w:r>
                    <w:rPr>
                      <w:rFonts w:hint="eastAsia" w:ascii="Times New Roman" w:hAnsi="Times New Roman" w:eastAsia="宋体" w:cs="Times New Roman"/>
                      <w:color w:val="auto"/>
                      <w:spacing w:val="-10"/>
                      <w:sz w:val="18"/>
                      <w:szCs w:val="18"/>
                      <w:highlight w:val="none"/>
                      <w:lang w:val="en-US" w:eastAsia="zh-CN"/>
                    </w:rPr>
                    <w:t>本项目已制定风险防范措施和应急处置措施</w:t>
                  </w:r>
                </w:p>
              </w:tc>
              <w:tc>
                <w:tcPr>
                  <w:tcW w:w="738" w:type="dxa"/>
                  <w:vAlign w:val="center"/>
                </w:tcPr>
                <w:p w14:paraId="15DE013D">
                  <w:pPr>
                    <w:spacing w:line="240" w:lineRule="exact"/>
                    <w:jc w:val="center"/>
                    <w:rPr>
                      <w:rFonts w:hint="eastAsia" w:ascii="Times New Roman" w:hAnsi="Times New Roman" w:eastAsia="宋体" w:cs="Times New Roman"/>
                      <w:color w:val="auto"/>
                      <w:spacing w:val="-10"/>
                      <w:sz w:val="18"/>
                      <w:szCs w:val="18"/>
                      <w:lang w:val="zh-TW"/>
                    </w:rPr>
                  </w:pPr>
                  <w:r>
                    <w:rPr>
                      <w:rFonts w:hint="eastAsia" w:ascii="Times New Roman" w:hAnsi="Times New Roman" w:eastAsia="宋体" w:cs="Times New Roman"/>
                      <w:color w:val="auto"/>
                      <w:spacing w:val="-10"/>
                      <w:sz w:val="18"/>
                      <w:szCs w:val="18"/>
                      <w:lang w:val="zh-TW"/>
                    </w:rPr>
                    <w:t>符合</w:t>
                  </w:r>
                </w:p>
              </w:tc>
            </w:tr>
            <w:tr w14:paraId="093A6D15">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144" w:hRule="atLeast"/>
              </w:trPr>
              <w:tc>
                <w:tcPr>
                  <w:tcW w:w="601" w:type="dxa"/>
                  <w:tcBorders>
                    <w:right w:val="single" w:color="auto" w:sz="4" w:space="0"/>
                  </w:tcBorders>
                  <w:vAlign w:val="center"/>
                </w:tcPr>
                <w:p w14:paraId="0E8A6574">
                  <w:pPr>
                    <w:spacing w:line="240" w:lineRule="exact"/>
                    <w:jc w:val="center"/>
                    <w:rPr>
                      <w:rFonts w:hint="eastAsia"/>
                      <w:color w:val="auto"/>
                      <w:spacing w:val="-10"/>
                      <w:sz w:val="18"/>
                      <w:szCs w:val="18"/>
                    </w:rPr>
                  </w:pPr>
                  <w:r>
                    <w:rPr>
                      <w:rFonts w:hint="eastAsia"/>
                      <w:color w:val="auto"/>
                      <w:spacing w:val="-10"/>
                      <w:sz w:val="18"/>
                      <w:szCs w:val="18"/>
                      <w:highlight w:val="none"/>
                      <w:lang w:val="en-US" w:eastAsia="zh-CN"/>
                    </w:rPr>
                    <w:t>资源利用效要求</w:t>
                  </w:r>
                </w:p>
              </w:tc>
              <w:tc>
                <w:tcPr>
                  <w:tcW w:w="3497" w:type="dxa"/>
                  <w:gridSpan w:val="3"/>
                  <w:tcBorders>
                    <w:left w:val="single" w:color="auto" w:sz="4" w:space="0"/>
                  </w:tcBorders>
                  <w:vAlign w:val="center"/>
                </w:tcPr>
                <w:p w14:paraId="3D9CFF0A">
                  <w:pPr>
                    <w:spacing w:line="240" w:lineRule="exact"/>
                    <w:jc w:val="center"/>
                    <w:rPr>
                      <w:rFonts w:hint="eastAsia" w:ascii="Times New Roman" w:hAnsi="Times New Roman" w:eastAsia="宋体" w:cs="Times New Roman"/>
                      <w:color w:val="auto"/>
                      <w:spacing w:val="-10"/>
                      <w:sz w:val="18"/>
                      <w:szCs w:val="18"/>
                      <w:lang w:val="en-US" w:eastAsia="zh-CN"/>
                    </w:rPr>
                  </w:pPr>
                  <w:r>
                    <w:rPr>
                      <w:rFonts w:hint="eastAsia" w:ascii="Times New Roman" w:hAnsi="Times New Roman" w:eastAsia="宋体" w:cs="Times New Roman"/>
                      <w:color w:val="auto"/>
                      <w:spacing w:val="-10"/>
                      <w:sz w:val="18"/>
                      <w:szCs w:val="18"/>
                    </w:rPr>
                    <w:t>围绕水泥传统产业，加大技术改造力度，提高节能减排水平和资源综合利用水平，实现向低投入、低消耗、低污染、高产出的“三低一高”转变，突出节能降耗减排治污，大力发展战略性新兴产业。</w:t>
                  </w:r>
                </w:p>
              </w:tc>
              <w:tc>
                <w:tcPr>
                  <w:tcW w:w="2244" w:type="dxa"/>
                  <w:vAlign w:val="center"/>
                </w:tcPr>
                <w:p w14:paraId="0CABE30A">
                  <w:pPr>
                    <w:spacing w:line="240" w:lineRule="exact"/>
                    <w:jc w:val="left"/>
                    <w:rPr>
                      <w:rFonts w:hint="eastAsia" w:ascii="Times New Roman" w:hAnsi="Times New Roman" w:eastAsia="宋体" w:cs="Times New Roman"/>
                      <w:color w:val="auto"/>
                      <w:spacing w:val="-10"/>
                      <w:sz w:val="18"/>
                      <w:szCs w:val="18"/>
                      <w:highlight w:val="none"/>
                      <w:lang w:val="en-US" w:eastAsia="zh-CN"/>
                    </w:rPr>
                  </w:pPr>
                  <w:r>
                    <w:rPr>
                      <w:rFonts w:hint="eastAsia" w:ascii="Times New Roman" w:hAnsi="Times New Roman" w:eastAsia="宋体" w:cs="Times New Roman"/>
                      <w:color w:val="auto"/>
                      <w:spacing w:val="-10"/>
                      <w:sz w:val="18"/>
                      <w:szCs w:val="18"/>
                      <w:highlight w:val="none"/>
                      <w:lang w:val="en-US" w:eastAsia="zh-CN"/>
                    </w:rPr>
                    <w:t>本项目为C4210金属废料和碎屑加工处理</w:t>
                  </w:r>
                  <w:r>
                    <w:rPr>
                      <w:rFonts w:hint="eastAsia" w:ascii="Times New Roman" w:hAnsi="Times New Roman" w:eastAsia="宋体" w:cs="Times New Roman"/>
                      <w:bCs/>
                      <w:color w:val="auto"/>
                      <w:spacing w:val="-11"/>
                      <w:kern w:val="0"/>
                      <w:sz w:val="18"/>
                      <w:szCs w:val="18"/>
                      <w:highlight w:val="none"/>
                      <w:lang w:val="en-US" w:eastAsia="zh-CN"/>
                    </w:rPr>
                    <w:t>及C4220非金属废料和碎屑加工处理</w:t>
                  </w:r>
                  <w:r>
                    <w:rPr>
                      <w:rFonts w:hint="eastAsia" w:ascii="Times New Roman" w:hAnsi="Times New Roman" w:eastAsia="宋体" w:cs="Times New Roman"/>
                      <w:color w:val="auto"/>
                      <w:spacing w:val="-10"/>
                      <w:sz w:val="18"/>
                      <w:szCs w:val="18"/>
                      <w:highlight w:val="none"/>
                      <w:lang w:val="en-US" w:eastAsia="zh-CN"/>
                    </w:rPr>
                    <w:t>，不属于水泥行业；本项目是对废钢破碎尾料、转炉钢渣固体废弃物综合利用项目，提高了资源综合利用水平。</w:t>
                  </w:r>
                </w:p>
              </w:tc>
              <w:tc>
                <w:tcPr>
                  <w:tcW w:w="738" w:type="dxa"/>
                  <w:vAlign w:val="center"/>
                </w:tcPr>
                <w:p w14:paraId="2AF2579E">
                  <w:pPr>
                    <w:spacing w:line="240" w:lineRule="exact"/>
                    <w:jc w:val="center"/>
                    <w:rPr>
                      <w:rFonts w:hint="eastAsia" w:ascii="Times New Roman" w:hAnsi="Times New Roman" w:eastAsia="宋体" w:cs="Times New Roman"/>
                      <w:color w:val="auto"/>
                      <w:spacing w:val="-10"/>
                      <w:sz w:val="18"/>
                      <w:szCs w:val="18"/>
                      <w:lang w:val="zh-TW"/>
                    </w:rPr>
                  </w:pPr>
                  <w:r>
                    <w:rPr>
                      <w:rFonts w:hint="eastAsia" w:ascii="Times New Roman" w:hAnsi="Times New Roman" w:eastAsia="宋体" w:cs="Times New Roman"/>
                      <w:color w:val="auto"/>
                      <w:spacing w:val="-10"/>
                      <w:sz w:val="18"/>
                      <w:szCs w:val="18"/>
                      <w:lang w:val="zh-TW"/>
                    </w:rPr>
                    <w:t>符合</w:t>
                  </w:r>
                </w:p>
              </w:tc>
            </w:tr>
          </w:tbl>
          <w:p w14:paraId="09CCDFA9">
            <w:pPr>
              <w:pStyle w:val="24"/>
              <w:adjustRightInd w:val="0"/>
              <w:snapToGrid w:val="0"/>
              <w:spacing w:before="0" w:beforeAutospacing="0" w:after="0" w:afterAutospacing="0" w:line="440" w:lineRule="exact"/>
              <w:jc w:val="center"/>
              <w:rPr>
                <w:rFonts w:ascii="Times New Roman" w:hAnsi="Times New Roman"/>
                <w:b/>
                <w:color w:val="auto"/>
                <w:sz w:val="21"/>
                <w:szCs w:val="21"/>
              </w:rPr>
            </w:pPr>
            <w:r>
              <w:rPr>
                <w:rFonts w:ascii="Times New Roman" w:hAnsi="Times New Roman"/>
                <w:b/>
                <w:color w:val="auto"/>
                <w:sz w:val="21"/>
                <w:szCs w:val="21"/>
              </w:rPr>
              <w:t>表</w:t>
            </w:r>
            <w:r>
              <w:rPr>
                <w:rFonts w:hint="eastAsia" w:ascii="Times New Roman" w:hAnsi="Times New Roman"/>
                <w:b/>
                <w:color w:val="auto"/>
                <w:sz w:val="21"/>
                <w:szCs w:val="21"/>
                <w:lang w:val="en-US" w:eastAsia="zh-CN"/>
              </w:rPr>
              <w:t>3</w:t>
            </w:r>
            <w:r>
              <w:rPr>
                <w:rFonts w:hint="eastAsia" w:ascii="Times New Roman" w:hAnsi="Times New Roman"/>
                <w:b/>
                <w:color w:val="auto"/>
                <w:sz w:val="21"/>
                <w:szCs w:val="21"/>
              </w:rPr>
              <w:t xml:space="preserve">  项目与唐山市生态环境准入清单</w:t>
            </w:r>
            <w:r>
              <w:rPr>
                <w:rFonts w:ascii="Times New Roman" w:hAnsi="Times New Roman"/>
                <w:b/>
                <w:color w:val="auto"/>
                <w:sz w:val="21"/>
                <w:szCs w:val="21"/>
              </w:rPr>
              <w:t>符合性</w:t>
            </w:r>
          </w:p>
          <w:p w14:paraId="61BFE552">
            <w:pPr>
              <w:pStyle w:val="24"/>
              <w:keepNext w:val="0"/>
              <w:keepLines w:val="0"/>
              <w:pageBreakBefore w:val="0"/>
              <w:widowControl/>
              <w:kinsoku/>
              <w:wordWrap/>
              <w:overflowPunct/>
              <w:topLinePunct w:val="0"/>
              <w:autoSpaceDE/>
              <w:autoSpaceDN/>
              <w:bidi w:val="0"/>
              <w:adjustRightInd w:val="0"/>
              <w:snapToGrid w:val="0"/>
              <w:spacing w:before="0" w:beforeAutospacing="0" w:after="0" w:afterAutospacing="0" w:line="420" w:lineRule="exact"/>
              <w:ind w:firstLine="420" w:firstLineChars="200"/>
              <w:textAlignment w:val="auto"/>
              <w:rPr>
                <w:rFonts w:ascii="Times New Roman" w:hAnsi="Times New Roman"/>
                <w:color w:val="auto"/>
                <w:sz w:val="21"/>
                <w:szCs w:val="21"/>
              </w:rPr>
            </w:pPr>
            <w:r>
              <w:rPr>
                <w:rFonts w:ascii="Times New Roman" w:hAnsi="Times New Roman"/>
                <w:color w:val="auto"/>
                <w:sz w:val="21"/>
                <w:szCs w:val="21"/>
              </w:rPr>
              <w:t>综上分析，本项目符合</w:t>
            </w:r>
            <w:r>
              <w:rPr>
                <w:rFonts w:hint="eastAsia" w:ascii="Times New Roman" w:hAnsi="Times New Roman"/>
                <w:color w:val="auto"/>
                <w:sz w:val="21"/>
                <w:szCs w:val="21"/>
              </w:rPr>
              <w:t>“三线一单”</w:t>
            </w:r>
            <w:r>
              <w:rPr>
                <w:rFonts w:ascii="Times New Roman" w:hAnsi="Times New Roman"/>
                <w:color w:val="auto"/>
                <w:sz w:val="21"/>
                <w:szCs w:val="21"/>
              </w:rPr>
              <w:t>要求。</w:t>
            </w:r>
          </w:p>
          <w:p w14:paraId="00FC5171">
            <w:pPr>
              <w:pStyle w:val="24"/>
              <w:keepNext w:val="0"/>
              <w:keepLines w:val="0"/>
              <w:pageBreakBefore w:val="0"/>
              <w:widowControl/>
              <w:kinsoku/>
              <w:wordWrap/>
              <w:overflowPunct/>
              <w:topLinePunct w:val="0"/>
              <w:autoSpaceDE/>
              <w:autoSpaceDN/>
              <w:bidi w:val="0"/>
              <w:adjustRightInd w:val="0"/>
              <w:snapToGrid w:val="0"/>
              <w:spacing w:before="0" w:beforeAutospacing="0" w:after="0" w:afterAutospacing="0" w:line="420" w:lineRule="exact"/>
              <w:ind w:firstLine="422" w:firstLineChars="200"/>
              <w:textAlignment w:val="auto"/>
              <w:rPr>
                <w:rFonts w:hint="eastAsia" w:ascii="Times New Roman" w:hAnsi="Times New Roman" w:eastAsia="宋体" w:cs="Times New Roman"/>
                <w:b/>
                <w:color w:val="auto"/>
                <w:sz w:val="21"/>
                <w:szCs w:val="21"/>
                <w:highlight w:val="none"/>
                <w:lang w:val="en-US" w:eastAsia="zh-CN"/>
              </w:rPr>
            </w:pPr>
            <w:r>
              <w:rPr>
                <w:rFonts w:hint="eastAsia" w:ascii="Times New Roman" w:hAnsi="Times New Roman" w:cs="Times New Roman"/>
                <w:b/>
                <w:color w:val="auto"/>
                <w:sz w:val="21"/>
                <w:szCs w:val="21"/>
                <w:highlight w:val="none"/>
                <w:lang w:val="en-US" w:eastAsia="zh-CN"/>
              </w:rPr>
              <w:t>6</w:t>
            </w:r>
            <w:r>
              <w:rPr>
                <w:rFonts w:hint="eastAsia" w:ascii="Times New Roman" w:hAnsi="Times New Roman" w:eastAsia="宋体" w:cs="Times New Roman"/>
                <w:b/>
                <w:color w:val="auto"/>
                <w:sz w:val="21"/>
                <w:szCs w:val="21"/>
                <w:highlight w:val="none"/>
              </w:rPr>
              <w:t>.</w:t>
            </w:r>
            <w:r>
              <w:rPr>
                <w:rFonts w:hint="eastAsia" w:ascii="Times New Roman" w:hAnsi="Times New Roman" w:eastAsia="宋体" w:cs="Times New Roman"/>
                <w:b/>
                <w:color w:val="auto"/>
                <w:sz w:val="21"/>
                <w:szCs w:val="21"/>
                <w:highlight w:val="none"/>
                <w:lang w:val="en-US" w:eastAsia="zh-CN"/>
              </w:rPr>
              <w:t>与绩效评级相关要求符合性分析</w:t>
            </w:r>
          </w:p>
          <w:p w14:paraId="35706097">
            <w:pPr>
              <w:pStyle w:val="24"/>
              <w:keepNext w:val="0"/>
              <w:keepLines w:val="0"/>
              <w:pageBreakBefore w:val="0"/>
              <w:widowControl/>
              <w:kinsoku/>
              <w:wordWrap/>
              <w:overflowPunct/>
              <w:topLinePunct w:val="0"/>
              <w:autoSpaceDE/>
              <w:autoSpaceDN/>
              <w:bidi w:val="0"/>
              <w:adjustRightInd w:val="0"/>
              <w:snapToGrid w:val="0"/>
              <w:spacing w:before="0" w:beforeAutospacing="0" w:after="0" w:afterAutospacing="0" w:line="420" w:lineRule="exact"/>
              <w:ind w:firstLine="420" w:firstLineChars="200"/>
              <w:textAlignment w:val="auto"/>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本项目为C4210金属废料和碎屑加工处理及C4220非金属废料和碎屑加工处理，对照《重污染天气重点行业应急减排措施制定技术指南（2021年修订版）》、《关于印发&lt;重污染天气重点行业绩效分级及减排措施&gt;补充说明的通知》、《河北省十一个行业重污染天气应急减排措施制定技术指南（试行）》，本项目无需进行绩效评级。</w:t>
            </w:r>
          </w:p>
          <w:p w14:paraId="7D191BCF">
            <w:pPr>
              <w:pStyle w:val="24"/>
              <w:keepNext w:val="0"/>
              <w:keepLines w:val="0"/>
              <w:pageBreakBefore w:val="0"/>
              <w:widowControl/>
              <w:kinsoku/>
              <w:wordWrap/>
              <w:overflowPunct/>
              <w:topLinePunct w:val="0"/>
              <w:autoSpaceDE/>
              <w:autoSpaceDN/>
              <w:bidi w:val="0"/>
              <w:adjustRightInd w:val="0"/>
              <w:snapToGrid w:val="0"/>
              <w:spacing w:before="0" w:beforeAutospacing="0" w:after="0" w:afterAutospacing="0" w:line="420" w:lineRule="exact"/>
              <w:ind w:firstLine="422" w:firstLineChars="200"/>
              <w:textAlignment w:val="auto"/>
              <w:rPr>
                <w:rFonts w:hint="eastAsia" w:ascii="Times New Roman" w:hAnsi="Times New Roman"/>
                <w:b/>
                <w:color w:val="auto"/>
                <w:sz w:val="21"/>
                <w:szCs w:val="21"/>
                <w:highlight w:val="none"/>
                <w:lang w:val="en-US" w:eastAsia="zh-CN"/>
              </w:rPr>
            </w:pPr>
            <w:r>
              <w:rPr>
                <w:rFonts w:hint="eastAsia" w:ascii="Times New Roman" w:hAnsi="Times New Roman"/>
                <w:b/>
                <w:color w:val="auto"/>
                <w:sz w:val="21"/>
                <w:szCs w:val="21"/>
                <w:highlight w:val="none"/>
                <w:lang w:val="en-US" w:eastAsia="zh-CN"/>
              </w:rPr>
              <w:t>7.与《环境保护综合名录（2021年版）》要求符合性分析</w:t>
            </w:r>
          </w:p>
          <w:p w14:paraId="73488B87">
            <w:pPr>
              <w:pStyle w:val="24"/>
              <w:keepNext w:val="0"/>
              <w:keepLines w:val="0"/>
              <w:pageBreakBefore w:val="0"/>
              <w:widowControl/>
              <w:kinsoku/>
              <w:wordWrap/>
              <w:overflowPunct/>
              <w:topLinePunct w:val="0"/>
              <w:autoSpaceDE/>
              <w:autoSpaceDN/>
              <w:bidi w:val="0"/>
              <w:adjustRightInd w:val="0"/>
              <w:snapToGrid w:val="0"/>
              <w:spacing w:before="0" w:beforeAutospacing="0" w:after="0" w:afterAutospacing="0" w:line="420" w:lineRule="exact"/>
              <w:ind w:firstLine="420" w:firstLineChars="200"/>
              <w:textAlignment w:val="auto"/>
              <w:rPr>
                <w:rFonts w:hint="eastAsia" w:ascii="Times New Roman" w:hAnsi="Times New Roman"/>
                <w:b/>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本项目产品不在《环境保护综合名录（2021 年版）》（环办综合函[2021]495号）中“高污染”、“高环境风险”、“高污染、高环境风险”产品名录之列。</w:t>
            </w:r>
          </w:p>
          <w:p w14:paraId="7EA474C4">
            <w:pPr>
              <w:pStyle w:val="24"/>
              <w:keepNext w:val="0"/>
              <w:keepLines w:val="0"/>
              <w:pageBreakBefore w:val="0"/>
              <w:widowControl/>
              <w:kinsoku/>
              <w:wordWrap/>
              <w:overflowPunct/>
              <w:topLinePunct w:val="0"/>
              <w:autoSpaceDE/>
              <w:autoSpaceDN/>
              <w:bidi w:val="0"/>
              <w:adjustRightInd w:val="0"/>
              <w:snapToGrid w:val="0"/>
              <w:spacing w:before="0" w:beforeAutospacing="0" w:after="0" w:afterAutospacing="0" w:line="420" w:lineRule="exact"/>
              <w:ind w:firstLine="422" w:firstLineChars="200"/>
              <w:textAlignment w:val="auto"/>
              <w:rPr>
                <w:rFonts w:hint="eastAsia" w:ascii="Times New Roman" w:hAnsi="Times New Roman" w:cs="Times New Roman"/>
                <w:b/>
                <w:color w:val="auto"/>
                <w:sz w:val="21"/>
                <w:szCs w:val="21"/>
                <w:highlight w:val="none"/>
                <w:lang w:val="en-US" w:eastAsia="zh-CN"/>
              </w:rPr>
            </w:pPr>
            <w:r>
              <w:rPr>
                <w:rFonts w:hint="eastAsia" w:ascii="Times New Roman" w:hAnsi="Times New Roman" w:cs="Times New Roman"/>
                <w:b/>
                <w:color w:val="auto"/>
                <w:sz w:val="21"/>
                <w:szCs w:val="21"/>
                <w:highlight w:val="none"/>
                <w:lang w:val="en-US" w:eastAsia="zh-CN"/>
              </w:rPr>
              <w:t>8.与相关环保政策符合性分析</w:t>
            </w:r>
          </w:p>
          <w:p w14:paraId="4F250CAB">
            <w:pPr>
              <w:pStyle w:val="24"/>
              <w:keepNext w:val="0"/>
              <w:keepLines w:val="0"/>
              <w:pageBreakBefore w:val="0"/>
              <w:widowControl/>
              <w:kinsoku/>
              <w:wordWrap/>
              <w:overflowPunct/>
              <w:topLinePunct w:val="0"/>
              <w:autoSpaceDE/>
              <w:autoSpaceDN/>
              <w:bidi w:val="0"/>
              <w:adjustRightInd w:val="0"/>
              <w:snapToGrid w:val="0"/>
              <w:spacing w:before="0" w:beforeAutospacing="0" w:after="0" w:afterAutospacing="0" w:line="420" w:lineRule="exact"/>
              <w:ind w:firstLine="420" w:firstLineChars="200"/>
              <w:textAlignment w:val="auto"/>
              <w:rPr>
                <w:rFonts w:hint="eastAsia"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本项目与相关</w:t>
            </w:r>
            <w:r>
              <w:rPr>
                <w:rFonts w:hint="eastAsia" w:ascii="Times New Roman" w:hAnsi="Times New Roman" w:eastAsia="宋体" w:cs="Times New Roman"/>
                <w:color w:val="auto"/>
                <w:sz w:val="21"/>
                <w:szCs w:val="21"/>
                <w:highlight w:val="none"/>
                <w:lang w:val="en-US" w:eastAsia="zh-CN"/>
              </w:rPr>
              <w:t>文件</w:t>
            </w:r>
            <w:r>
              <w:rPr>
                <w:rFonts w:hint="default" w:ascii="Times New Roman" w:hAnsi="Times New Roman" w:eastAsia="宋体" w:cs="Times New Roman"/>
                <w:color w:val="auto"/>
                <w:sz w:val="21"/>
                <w:szCs w:val="21"/>
                <w:highlight w:val="none"/>
                <w:lang w:val="en-US" w:eastAsia="zh-CN"/>
              </w:rPr>
              <w:t>的符合性分析见下表。</w:t>
            </w:r>
          </w:p>
        </w:tc>
      </w:tr>
    </w:tbl>
    <w:p w14:paraId="60CCD0E5">
      <w:pPr>
        <w:rPr>
          <w:color w:val="auto"/>
        </w:rPr>
        <w:sectPr>
          <w:pgSz w:w="11905" w:h="16838"/>
          <w:pgMar w:top="1701" w:right="1531" w:bottom="1701" w:left="1531" w:header="851" w:footer="1077" w:gutter="0"/>
          <w:pgBorders>
            <w:top w:val="none" w:sz="0" w:space="0"/>
            <w:left w:val="none" w:sz="0" w:space="0"/>
            <w:bottom w:val="none" w:sz="0" w:space="0"/>
            <w:right w:val="none" w:sz="0" w:space="0"/>
          </w:pgBorders>
          <w:cols w:space="0" w:num="1"/>
          <w:rtlGutter w:val="0"/>
          <w:docGrid w:linePitch="312" w:charSpace="0"/>
        </w:sectPr>
      </w:pPr>
    </w:p>
    <w:tbl>
      <w:tblPr>
        <w:tblStyle w:val="2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07"/>
        <w:gridCol w:w="12145"/>
      </w:tblGrid>
      <w:tr w14:paraId="477243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15" w:hRule="atLeast"/>
        </w:trPr>
        <w:tc>
          <w:tcPr>
            <w:tcW w:w="1507" w:type="dxa"/>
          </w:tcPr>
          <w:p w14:paraId="3AF13D70">
            <w:pPr>
              <w:pStyle w:val="24"/>
              <w:jc w:val="center"/>
              <w:outlineLvl w:val="0"/>
              <w:rPr>
                <w:rFonts w:hint="eastAsia" w:ascii="黑体" w:hAnsi="黑体" w:eastAsia="黑体"/>
                <w:snapToGrid w:val="0"/>
                <w:color w:val="auto"/>
                <w:sz w:val="30"/>
                <w:szCs w:val="30"/>
                <w:vertAlign w:val="baseline"/>
              </w:rPr>
            </w:pPr>
          </w:p>
        </w:tc>
        <w:tc>
          <w:tcPr>
            <w:tcW w:w="12145" w:type="dxa"/>
          </w:tcPr>
          <w:p w14:paraId="438B1C96">
            <w:pPr>
              <w:pStyle w:val="24"/>
              <w:adjustRightInd w:val="0"/>
              <w:snapToGrid w:val="0"/>
              <w:spacing w:before="0" w:beforeAutospacing="0" w:after="0" w:afterAutospacing="0" w:line="440" w:lineRule="exact"/>
              <w:jc w:val="center"/>
              <w:rPr>
                <w:rFonts w:hint="default" w:ascii="Times New Roman" w:hAnsi="Times New Roman" w:eastAsia="宋体"/>
                <w:b/>
                <w:color w:val="auto"/>
                <w:sz w:val="21"/>
                <w:szCs w:val="21"/>
                <w:highlight w:val="none"/>
                <w:lang w:val="en-US" w:eastAsia="zh-CN"/>
              </w:rPr>
            </w:pPr>
            <w:r>
              <w:rPr>
                <w:rFonts w:ascii="Times New Roman" w:hAnsi="Times New Roman"/>
                <w:b/>
                <w:color w:val="auto"/>
                <w:sz w:val="21"/>
                <w:szCs w:val="21"/>
                <w:highlight w:val="none"/>
              </w:rPr>
              <w:t>表</w:t>
            </w:r>
            <w:r>
              <w:rPr>
                <w:rFonts w:hint="eastAsia" w:ascii="Times New Roman" w:hAnsi="Times New Roman"/>
                <w:b/>
                <w:color w:val="auto"/>
                <w:sz w:val="21"/>
                <w:szCs w:val="21"/>
                <w:highlight w:val="none"/>
                <w:lang w:val="en-US" w:eastAsia="zh-CN"/>
              </w:rPr>
              <w:t>4</w:t>
            </w:r>
            <w:r>
              <w:rPr>
                <w:rFonts w:hint="eastAsia" w:ascii="Times New Roman" w:hAnsi="Times New Roman"/>
                <w:b/>
                <w:color w:val="auto"/>
                <w:sz w:val="21"/>
                <w:szCs w:val="21"/>
                <w:highlight w:val="none"/>
              </w:rPr>
              <w:t xml:space="preserve">  </w:t>
            </w:r>
            <w:r>
              <w:rPr>
                <w:rFonts w:hint="eastAsia" w:ascii="Times New Roman" w:hAnsi="Times New Roman"/>
                <w:b/>
                <w:color w:val="auto"/>
                <w:sz w:val="21"/>
                <w:szCs w:val="21"/>
                <w:highlight w:val="none"/>
                <w:lang w:val="en-US" w:eastAsia="zh-CN"/>
              </w:rPr>
              <w:t>本</w:t>
            </w:r>
            <w:r>
              <w:rPr>
                <w:rFonts w:hint="eastAsia" w:ascii="Times New Roman" w:hAnsi="Times New Roman"/>
                <w:b/>
                <w:color w:val="auto"/>
                <w:sz w:val="21"/>
                <w:szCs w:val="21"/>
                <w:highlight w:val="none"/>
              </w:rPr>
              <w:t>项目与</w:t>
            </w:r>
            <w:r>
              <w:rPr>
                <w:rFonts w:hint="eastAsia" w:ascii="Times New Roman" w:hAnsi="Times New Roman"/>
                <w:b/>
                <w:color w:val="auto"/>
                <w:sz w:val="21"/>
                <w:szCs w:val="21"/>
                <w:highlight w:val="none"/>
                <w:lang w:val="en-US" w:eastAsia="zh-CN"/>
              </w:rPr>
              <w:t>相关文件的</w:t>
            </w:r>
            <w:r>
              <w:rPr>
                <w:rFonts w:ascii="Times New Roman" w:hAnsi="Times New Roman"/>
                <w:b/>
                <w:color w:val="auto"/>
                <w:sz w:val="21"/>
                <w:szCs w:val="21"/>
                <w:highlight w:val="none"/>
              </w:rPr>
              <w:t>符合性</w:t>
            </w:r>
            <w:r>
              <w:rPr>
                <w:rFonts w:hint="eastAsia" w:ascii="Times New Roman" w:hAnsi="Times New Roman"/>
                <w:b/>
                <w:color w:val="auto"/>
                <w:sz w:val="21"/>
                <w:szCs w:val="21"/>
                <w:highlight w:val="none"/>
                <w:lang w:val="en-US" w:eastAsia="zh-CN"/>
              </w:rPr>
              <w:t>分析一览表</w:t>
            </w:r>
          </w:p>
          <w:tbl>
            <w:tblPr>
              <w:tblStyle w:val="28"/>
              <w:tblW w:w="11950" w:type="dxa"/>
              <w:tblInd w:w="0" w:type="dxa"/>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
            <w:tblGrid>
              <w:gridCol w:w="591"/>
              <w:gridCol w:w="1372"/>
              <w:gridCol w:w="785"/>
              <w:gridCol w:w="5163"/>
              <w:gridCol w:w="3335"/>
              <w:gridCol w:w="704"/>
            </w:tblGrid>
            <w:tr w14:paraId="06FD20EF">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exact"/>
              </w:trPr>
              <w:tc>
                <w:tcPr>
                  <w:tcW w:w="591" w:type="dxa"/>
                  <w:tcBorders>
                    <w:tl2br w:val="nil"/>
                    <w:tr2bl w:val="nil"/>
                  </w:tcBorders>
                  <w:vAlign w:val="center"/>
                </w:tcPr>
                <w:p w14:paraId="29D6A98A">
                  <w:pPr>
                    <w:spacing w:line="240" w:lineRule="exact"/>
                    <w:jc w:val="center"/>
                    <w:rPr>
                      <w:color w:val="auto"/>
                      <w:spacing w:val="-10"/>
                      <w:sz w:val="18"/>
                      <w:szCs w:val="18"/>
                      <w:highlight w:val="none"/>
                    </w:rPr>
                  </w:pPr>
                  <w:r>
                    <w:rPr>
                      <w:rFonts w:hint="eastAsia"/>
                      <w:color w:val="auto"/>
                      <w:spacing w:val="-10"/>
                      <w:sz w:val="18"/>
                      <w:szCs w:val="18"/>
                      <w:highlight w:val="none"/>
                    </w:rPr>
                    <w:t>序号</w:t>
                  </w:r>
                </w:p>
              </w:tc>
              <w:tc>
                <w:tcPr>
                  <w:tcW w:w="7320" w:type="dxa"/>
                  <w:gridSpan w:val="3"/>
                  <w:tcBorders>
                    <w:tl2br w:val="nil"/>
                    <w:tr2bl w:val="nil"/>
                  </w:tcBorders>
                  <w:vAlign w:val="center"/>
                </w:tcPr>
                <w:p w14:paraId="2CA41A4D">
                  <w:pPr>
                    <w:spacing w:line="240" w:lineRule="exact"/>
                    <w:jc w:val="center"/>
                    <w:rPr>
                      <w:color w:val="auto"/>
                      <w:spacing w:val="-10"/>
                      <w:sz w:val="18"/>
                      <w:szCs w:val="18"/>
                      <w:highlight w:val="none"/>
                    </w:rPr>
                  </w:pPr>
                  <w:r>
                    <w:rPr>
                      <w:rFonts w:hint="eastAsia"/>
                      <w:color w:val="auto"/>
                      <w:spacing w:val="-10"/>
                      <w:sz w:val="18"/>
                      <w:szCs w:val="18"/>
                      <w:highlight w:val="none"/>
                    </w:rPr>
                    <w:t>政策要求</w:t>
                  </w:r>
                </w:p>
              </w:tc>
              <w:tc>
                <w:tcPr>
                  <w:tcW w:w="3335" w:type="dxa"/>
                  <w:tcBorders>
                    <w:tl2br w:val="nil"/>
                    <w:tr2bl w:val="nil"/>
                  </w:tcBorders>
                  <w:vAlign w:val="center"/>
                </w:tcPr>
                <w:p w14:paraId="5DD96CAB">
                  <w:pPr>
                    <w:spacing w:line="240" w:lineRule="exact"/>
                    <w:jc w:val="center"/>
                    <w:rPr>
                      <w:color w:val="auto"/>
                      <w:spacing w:val="-10"/>
                      <w:sz w:val="18"/>
                      <w:szCs w:val="18"/>
                      <w:highlight w:val="none"/>
                    </w:rPr>
                  </w:pPr>
                  <w:r>
                    <w:rPr>
                      <w:rFonts w:hint="eastAsia"/>
                      <w:color w:val="auto"/>
                      <w:spacing w:val="-10"/>
                      <w:sz w:val="18"/>
                      <w:szCs w:val="18"/>
                      <w:highlight w:val="none"/>
                    </w:rPr>
                    <w:t>本项目实际</w:t>
                  </w:r>
                </w:p>
              </w:tc>
              <w:tc>
                <w:tcPr>
                  <w:tcW w:w="704" w:type="dxa"/>
                  <w:tcBorders>
                    <w:tl2br w:val="nil"/>
                    <w:tr2bl w:val="nil"/>
                  </w:tcBorders>
                  <w:vAlign w:val="center"/>
                </w:tcPr>
                <w:p w14:paraId="30BD4665">
                  <w:pPr>
                    <w:jc w:val="center"/>
                    <w:rPr>
                      <w:color w:val="auto"/>
                      <w:spacing w:val="-10"/>
                      <w:sz w:val="18"/>
                      <w:szCs w:val="18"/>
                      <w:highlight w:val="none"/>
                    </w:rPr>
                  </w:pPr>
                  <w:r>
                    <w:rPr>
                      <w:rFonts w:hint="eastAsia"/>
                      <w:color w:val="auto"/>
                      <w:spacing w:val="-10"/>
                      <w:sz w:val="18"/>
                      <w:szCs w:val="18"/>
                      <w:highlight w:val="none"/>
                    </w:rPr>
                    <w:t>符合性</w:t>
                  </w:r>
                </w:p>
              </w:tc>
            </w:tr>
            <w:tr w14:paraId="7EA44FBD">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78" w:hRule="atLeast"/>
              </w:trPr>
              <w:tc>
                <w:tcPr>
                  <w:tcW w:w="591" w:type="dxa"/>
                  <w:vMerge w:val="restart"/>
                  <w:tcBorders>
                    <w:tl2br w:val="nil"/>
                    <w:tr2bl w:val="nil"/>
                  </w:tcBorders>
                  <w:vAlign w:val="center"/>
                </w:tcPr>
                <w:p w14:paraId="3DC44FAB">
                  <w:pPr>
                    <w:spacing w:line="240" w:lineRule="exact"/>
                    <w:jc w:val="center"/>
                    <w:rPr>
                      <w:rFonts w:hint="default" w:ascii="Times New Roman" w:hAnsi="Times New Roman" w:eastAsia="宋体" w:cs="Times New Roman"/>
                      <w:color w:val="auto"/>
                      <w:spacing w:val="-10"/>
                      <w:sz w:val="18"/>
                      <w:szCs w:val="18"/>
                      <w:highlight w:val="none"/>
                      <w:lang w:val="en-US" w:eastAsia="zh-CN"/>
                    </w:rPr>
                  </w:pPr>
                  <w:r>
                    <w:rPr>
                      <w:rFonts w:hint="eastAsia" w:cs="Times New Roman"/>
                      <w:color w:val="auto"/>
                      <w:spacing w:val="-10"/>
                      <w:sz w:val="18"/>
                      <w:szCs w:val="18"/>
                      <w:highlight w:val="none"/>
                      <w:lang w:val="en-US" w:eastAsia="zh-CN"/>
                    </w:rPr>
                    <w:t>1</w:t>
                  </w:r>
                </w:p>
              </w:tc>
              <w:tc>
                <w:tcPr>
                  <w:tcW w:w="1372" w:type="dxa"/>
                  <w:vMerge w:val="restart"/>
                  <w:tcBorders>
                    <w:tl2br w:val="nil"/>
                    <w:tr2bl w:val="nil"/>
                  </w:tcBorders>
                  <w:vAlign w:val="center"/>
                </w:tcPr>
                <w:p w14:paraId="45C37D46">
                  <w:pPr>
                    <w:spacing w:line="240" w:lineRule="exact"/>
                    <w:jc w:val="center"/>
                    <w:rPr>
                      <w:rFonts w:hint="eastAsia" w:ascii="Times New Roman" w:hAnsi="Times New Roman" w:eastAsia="宋体" w:cs="Times New Roman"/>
                      <w:color w:val="auto"/>
                      <w:spacing w:val="-10"/>
                      <w:sz w:val="18"/>
                      <w:szCs w:val="18"/>
                      <w:highlight w:val="none"/>
                      <w:lang w:val="en-US" w:eastAsia="zh-CN"/>
                    </w:rPr>
                  </w:pPr>
                  <w:r>
                    <w:rPr>
                      <w:rFonts w:hint="eastAsia" w:ascii="Times New Roman" w:hAnsi="Times New Roman" w:eastAsia="宋体" w:cs="Times New Roman"/>
                      <w:color w:val="auto"/>
                      <w:spacing w:val="-10"/>
                      <w:sz w:val="18"/>
                      <w:szCs w:val="18"/>
                      <w:highlight w:val="none"/>
                      <w:lang w:val="en-US" w:eastAsia="zh-CN"/>
                    </w:rPr>
                    <w:t>《煤场、料场、渣场扬尘污染控制技术规范》（DB13/T2352-2016）</w:t>
                  </w:r>
                </w:p>
              </w:tc>
              <w:tc>
                <w:tcPr>
                  <w:tcW w:w="785" w:type="dxa"/>
                  <w:tcBorders>
                    <w:right w:val="single" w:color="auto" w:sz="4" w:space="0"/>
                    <w:tl2br w:val="nil"/>
                    <w:tr2bl w:val="nil"/>
                  </w:tcBorders>
                  <w:shd w:val="clear" w:color="auto" w:fill="auto"/>
                  <w:vAlign w:val="center"/>
                </w:tcPr>
                <w:p w14:paraId="30A77ED0">
                  <w:pPr>
                    <w:spacing w:line="240" w:lineRule="exact"/>
                    <w:jc w:val="center"/>
                    <w:rPr>
                      <w:rFonts w:hint="eastAsia" w:ascii="Times New Roman" w:hAnsi="Times New Roman" w:eastAsia="宋体" w:cs="Times New Roman"/>
                      <w:color w:val="auto"/>
                      <w:spacing w:val="-10"/>
                      <w:kern w:val="2"/>
                      <w:sz w:val="18"/>
                      <w:szCs w:val="18"/>
                      <w:highlight w:val="none"/>
                      <w:lang w:val="en-US" w:eastAsia="zh-CN" w:bidi="ar-SA"/>
                    </w:rPr>
                  </w:pPr>
                  <w:r>
                    <w:rPr>
                      <w:rFonts w:hint="eastAsia" w:ascii="Times New Roman" w:hAnsi="Times New Roman" w:cs="Times New Roman"/>
                      <w:color w:val="auto"/>
                      <w:spacing w:val="-10"/>
                      <w:sz w:val="18"/>
                      <w:szCs w:val="18"/>
                      <w:highlight w:val="none"/>
                      <w:lang w:val="en-US" w:eastAsia="zh-CN"/>
                    </w:rPr>
                    <w:t>物料运输、装卸</w:t>
                  </w:r>
                </w:p>
              </w:tc>
              <w:tc>
                <w:tcPr>
                  <w:tcW w:w="5163" w:type="dxa"/>
                  <w:tcBorders>
                    <w:left w:val="single" w:color="auto" w:sz="4" w:space="0"/>
                    <w:tl2br w:val="nil"/>
                    <w:tr2bl w:val="nil"/>
                  </w:tcBorders>
                  <w:shd w:val="clear" w:color="auto" w:fill="auto"/>
                  <w:vAlign w:val="center"/>
                </w:tcPr>
                <w:p w14:paraId="064B7A92">
                  <w:pPr>
                    <w:spacing w:line="240" w:lineRule="exact"/>
                    <w:jc w:val="left"/>
                    <w:rPr>
                      <w:rFonts w:hint="default" w:ascii="Times New Roman" w:hAnsi="Times New Roman" w:cs="Times New Roman"/>
                      <w:color w:val="auto"/>
                      <w:spacing w:val="-10"/>
                      <w:sz w:val="18"/>
                      <w:szCs w:val="18"/>
                      <w:highlight w:val="none"/>
                      <w:lang w:val="en-US" w:eastAsia="zh-CN"/>
                    </w:rPr>
                  </w:pPr>
                  <w:r>
                    <w:rPr>
                      <w:rFonts w:hint="eastAsia" w:cs="Times New Roman"/>
                      <w:color w:val="auto"/>
                      <w:spacing w:val="-10"/>
                      <w:sz w:val="18"/>
                      <w:szCs w:val="18"/>
                      <w:highlight w:val="none"/>
                      <w:lang w:val="en-US" w:eastAsia="zh-CN"/>
                    </w:rPr>
                    <w:t>1.</w:t>
                  </w:r>
                  <w:r>
                    <w:rPr>
                      <w:rFonts w:hint="eastAsia" w:ascii="Times New Roman" w:hAnsi="Times New Roman" w:cs="Times New Roman"/>
                      <w:color w:val="auto"/>
                      <w:spacing w:val="-10"/>
                      <w:sz w:val="18"/>
                      <w:szCs w:val="18"/>
                      <w:highlight w:val="none"/>
                      <w:lang w:val="en-US" w:eastAsia="zh-CN"/>
                    </w:rPr>
                    <w:t xml:space="preserve">粉状物料（如铁精粉、生石灰粉等干料）运输车辆应采用密闭车斗或罐车。 </w:t>
                  </w:r>
                </w:p>
                <w:p w14:paraId="5F34C962">
                  <w:pPr>
                    <w:spacing w:line="240" w:lineRule="exact"/>
                    <w:jc w:val="left"/>
                    <w:rPr>
                      <w:rFonts w:hint="eastAsia" w:ascii="Times New Roman" w:hAnsi="Times New Roman" w:cs="Times New Roman"/>
                      <w:color w:val="auto"/>
                      <w:spacing w:val="-10"/>
                      <w:sz w:val="18"/>
                      <w:szCs w:val="18"/>
                      <w:highlight w:val="none"/>
                      <w:lang w:val="en-US" w:eastAsia="zh-CN"/>
                    </w:rPr>
                  </w:pPr>
                  <w:r>
                    <w:rPr>
                      <w:rFonts w:hint="eastAsia" w:cs="Times New Roman"/>
                      <w:color w:val="auto"/>
                      <w:spacing w:val="-10"/>
                      <w:sz w:val="18"/>
                      <w:szCs w:val="18"/>
                      <w:highlight w:val="none"/>
                      <w:lang w:val="en-US" w:eastAsia="zh-CN"/>
                    </w:rPr>
                    <w:t>2.</w:t>
                  </w:r>
                  <w:r>
                    <w:rPr>
                      <w:rFonts w:hint="eastAsia" w:ascii="Times New Roman" w:hAnsi="Times New Roman" w:cs="Times New Roman"/>
                      <w:color w:val="auto"/>
                      <w:spacing w:val="-10"/>
                      <w:sz w:val="18"/>
                      <w:szCs w:val="18"/>
                      <w:highlight w:val="none"/>
                      <w:lang w:val="en-US" w:eastAsia="zh-CN"/>
                    </w:rPr>
                    <w:t>块状物料（如烧结矿、球团矿、焦炭等物料）运输车辆装载高度最高点不得超过车辆槽帮上沿40cm，两侧边缘应当低于槽帮上缘10cm。车斗应用苫布覆盖，苫布边缘至少要遮住槽帮上沿以下15cm。物料转运时转运设施应采取密闭措施，转运站和落料点配套抽风收尘装置。</w:t>
                  </w:r>
                </w:p>
                <w:p w14:paraId="7FAAF432">
                  <w:pPr>
                    <w:spacing w:line="240" w:lineRule="exact"/>
                    <w:jc w:val="left"/>
                    <w:rPr>
                      <w:rFonts w:hint="eastAsia" w:ascii="Times New Roman" w:hAnsi="Times New Roman" w:cs="Times New Roman"/>
                      <w:color w:val="auto"/>
                      <w:spacing w:val="-10"/>
                      <w:sz w:val="18"/>
                      <w:szCs w:val="18"/>
                      <w:highlight w:val="none"/>
                      <w:lang w:val="en-US" w:eastAsia="zh-CN"/>
                    </w:rPr>
                  </w:pPr>
                  <w:r>
                    <w:rPr>
                      <w:rFonts w:hint="eastAsia" w:cs="Times New Roman"/>
                      <w:color w:val="auto"/>
                      <w:spacing w:val="-10"/>
                      <w:sz w:val="18"/>
                      <w:szCs w:val="18"/>
                      <w:highlight w:val="none"/>
                      <w:lang w:val="en-US" w:eastAsia="zh-CN"/>
                    </w:rPr>
                    <w:t>3.</w:t>
                  </w:r>
                  <w:r>
                    <w:rPr>
                      <w:rFonts w:hint="eastAsia" w:ascii="Times New Roman" w:hAnsi="Times New Roman" w:cs="Times New Roman"/>
                      <w:color w:val="auto"/>
                      <w:spacing w:val="-10"/>
                      <w:sz w:val="18"/>
                      <w:szCs w:val="18"/>
                      <w:highlight w:val="none"/>
                      <w:lang w:val="en-US" w:eastAsia="zh-CN"/>
                    </w:rPr>
                    <w:t xml:space="preserve">应设置洗车平台，完善排水设施，防止泥土粘带。运输车辆在煤场、料场出口内侧设置洗车平台，车辆驶离煤场、料场前，应在洗车平台清洗轮胎及车身，不得带泥上路。洗车平台四周应设置防溢座、废水导流渠、废水收集池、沉砂池及其它防治设施，收集洗车以及降水过程中产生的废水和泥浆。 </w:t>
                  </w:r>
                  <w:r>
                    <w:rPr>
                      <w:rFonts w:hint="eastAsia" w:cs="Times New Roman"/>
                      <w:color w:val="auto"/>
                      <w:spacing w:val="-10"/>
                      <w:sz w:val="18"/>
                      <w:szCs w:val="18"/>
                      <w:highlight w:val="none"/>
                      <w:lang w:val="en-US" w:eastAsia="zh-CN"/>
                    </w:rPr>
                    <w:t>4.</w:t>
                  </w:r>
                  <w:r>
                    <w:rPr>
                      <w:rFonts w:hint="eastAsia" w:ascii="Times New Roman" w:hAnsi="Times New Roman" w:cs="Times New Roman"/>
                      <w:color w:val="auto"/>
                      <w:spacing w:val="-10"/>
                      <w:sz w:val="18"/>
                      <w:szCs w:val="18"/>
                      <w:highlight w:val="none"/>
                      <w:lang w:val="en-US" w:eastAsia="zh-CN"/>
                    </w:rPr>
                    <w:t>露天装卸物料应当采取洒水、喷淋等抑尘措施，密闭输送物料应在装卸处配备吸尘、喷淋等设施。</w:t>
                  </w:r>
                </w:p>
              </w:tc>
              <w:tc>
                <w:tcPr>
                  <w:tcW w:w="3335" w:type="dxa"/>
                  <w:tcBorders>
                    <w:tl2br w:val="nil"/>
                    <w:tr2bl w:val="nil"/>
                  </w:tcBorders>
                  <w:shd w:val="clear" w:color="auto" w:fill="auto"/>
                  <w:vAlign w:val="center"/>
                </w:tcPr>
                <w:p w14:paraId="4C6AD385">
                  <w:pPr>
                    <w:spacing w:line="240" w:lineRule="exact"/>
                    <w:jc w:val="left"/>
                    <w:rPr>
                      <w:rFonts w:hint="default" w:ascii="Times New Roman" w:hAnsi="Times New Roman" w:eastAsia="宋体" w:cs="Times New Roman"/>
                      <w:color w:val="auto"/>
                      <w:spacing w:val="-10"/>
                      <w:kern w:val="2"/>
                      <w:sz w:val="18"/>
                      <w:szCs w:val="18"/>
                      <w:highlight w:val="none"/>
                      <w:lang w:val="en-US" w:eastAsia="zh-CN" w:bidi="ar-SA"/>
                    </w:rPr>
                  </w:pPr>
                  <w:r>
                    <w:rPr>
                      <w:rFonts w:hint="eastAsia" w:ascii="Times New Roman" w:hAnsi="Times New Roman" w:eastAsia="宋体" w:cs="Times New Roman"/>
                      <w:color w:val="auto"/>
                      <w:spacing w:val="-10"/>
                      <w:sz w:val="18"/>
                      <w:szCs w:val="18"/>
                      <w:highlight w:val="none"/>
                      <w:lang w:val="en-US" w:eastAsia="zh-CN"/>
                    </w:rPr>
                    <w:t>本项目所有物料按</w:t>
                  </w:r>
                  <w:r>
                    <w:rPr>
                      <w:rFonts w:hint="default" w:ascii="Times New Roman" w:hAnsi="Times New Roman" w:eastAsia="宋体" w:cs="Times New Roman"/>
                      <w:color w:val="auto"/>
                      <w:spacing w:val="-10"/>
                      <w:sz w:val="18"/>
                      <w:szCs w:val="18"/>
                      <w:highlight w:val="none"/>
                      <w:lang w:val="en-US" w:eastAsia="zh-CN"/>
                    </w:rPr>
                    <w:t>要求进行运输；</w:t>
                  </w:r>
                  <w:r>
                    <w:rPr>
                      <w:rFonts w:hint="eastAsia" w:ascii="Times New Roman" w:hAnsi="Times New Roman" w:eastAsia="宋体" w:cs="Times New Roman"/>
                      <w:color w:val="auto"/>
                      <w:spacing w:val="-10"/>
                      <w:sz w:val="18"/>
                      <w:szCs w:val="18"/>
                      <w:highlight w:val="none"/>
                      <w:lang w:val="en-US" w:eastAsia="zh-CN"/>
                    </w:rPr>
                    <w:t>厂区</w:t>
                  </w:r>
                  <w:r>
                    <w:rPr>
                      <w:rFonts w:hint="eastAsia" w:cs="Times New Roman"/>
                      <w:color w:val="auto"/>
                      <w:spacing w:val="-10"/>
                      <w:sz w:val="18"/>
                      <w:szCs w:val="18"/>
                      <w:highlight w:val="none"/>
                      <w:lang w:val="en-US" w:eastAsia="zh-CN"/>
                    </w:rPr>
                    <w:t>及车间</w:t>
                  </w:r>
                  <w:r>
                    <w:rPr>
                      <w:rFonts w:hint="default" w:ascii="Times New Roman" w:hAnsi="Times New Roman" w:eastAsia="宋体" w:cs="Times New Roman"/>
                      <w:color w:val="auto"/>
                      <w:spacing w:val="-10"/>
                      <w:sz w:val="18"/>
                      <w:szCs w:val="18"/>
                      <w:highlight w:val="none"/>
                      <w:lang w:val="en-US" w:eastAsia="zh-CN"/>
                    </w:rPr>
                    <w:t>出入口处设置洗车平台，并配套建设沉淀池、清水池，洗车废水循环使用；</w:t>
                  </w:r>
                  <w:r>
                    <w:rPr>
                      <w:rFonts w:hint="eastAsia" w:ascii="Times New Roman" w:hAnsi="Times New Roman" w:eastAsia="宋体" w:cs="Times New Roman"/>
                      <w:color w:val="auto"/>
                      <w:spacing w:val="-10"/>
                      <w:sz w:val="18"/>
                      <w:szCs w:val="18"/>
                      <w:highlight w:val="none"/>
                      <w:lang w:val="en-US" w:eastAsia="zh-CN"/>
                    </w:rPr>
                    <w:t>项目原料</w:t>
                  </w:r>
                  <w:r>
                    <w:rPr>
                      <w:rFonts w:hint="eastAsia" w:cs="Times New Roman"/>
                      <w:color w:val="auto"/>
                      <w:spacing w:val="-10"/>
                      <w:sz w:val="18"/>
                      <w:szCs w:val="18"/>
                      <w:highlight w:val="none"/>
                      <w:lang w:val="en-US" w:eastAsia="zh-CN"/>
                    </w:rPr>
                    <w:t>、产品</w:t>
                  </w:r>
                  <w:r>
                    <w:rPr>
                      <w:rFonts w:hint="default" w:ascii="Times New Roman" w:hAnsi="Times New Roman" w:eastAsia="宋体" w:cs="Times New Roman"/>
                      <w:color w:val="auto"/>
                      <w:spacing w:val="-10"/>
                      <w:sz w:val="18"/>
                      <w:szCs w:val="18"/>
                      <w:highlight w:val="none"/>
                      <w:lang w:val="en-US" w:eastAsia="zh-CN"/>
                    </w:rPr>
                    <w:t>装卸、存储均在</w:t>
                  </w:r>
                  <w:r>
                    <w:rPr>
                      <w:rFonts w:hint="eastAsia" w:ascii="Times New Roman" w:hAnsi="Times New Roman" w:eastAsia="宋体" w:cs="Times New Roman"/>
                      <w:color w:val="auto"/>
                      <w:spacing w:val="-10"/>
                      <w:sz w:val="18"/>
                      <w:szCs w:val="18"/>
                      <w:highlight w:val="none"/>
                      <w:lang w:val="en-US" w:eastAsia="zh-CN"/>
                    </w:rPr>
                    <w:t>封闭的生产车间内</w:t>
                  </w:r>
                  <w:r>
                    <w:rPr>
                      <w:rFonts w:hint="default" w:ascii="Times New Roman" w:hAnsi="Times New Roman" w:eastAsia="宋体" w:cs="Times New Roman"/>
                      <w:color w:val="auto"/>
                      <w:spacing w:val="-10"/>
                      <w:sz w:val="18"/>
                      <w:szCs w:val="18"/>
                      <w:highlight w:val="none"/>
                      <w:lang w:val="en-US" w:eastAsia="zh-CN"/>
                    </w:rPr>
                    <w:t>进行</w:t>
                  </w:r>
                  <w:r>
                    <w:rPr>
                      <w:rFonts w:hint="eastAsia" w:ascii="Times New Roman" w:hAnsi="Times New Roman" w:eastAsia="宋体" w:cs="Times New Roman"/>
                      <w:color w:val="auto"/>
                      <w:spacing w:val="-10"/>
                      <w:sz w:val="18"/>
                      <w:szCs w:val="18"/>
                      <w:highlight w:val="none"/>
                      <w:lang w:val="en-US" w:eastAsia="zh-CN"/>
                    </w:rPr>
                    <w:t>，生产车间的物料暂存区顶部</w:t>
                  </w:r>
                  <w:r>
                    <w:rPr>
                      <w:rFonts w:hint="default" w:ascii="Times New Roman" w:hAnsi="Times New Roman" w:eastAsia="宋体" w:cs="Times New Roman"/>
                      <w:color w:val="auto"/>
                      <w:spacing w:val="-10"/>
                      <w:sz w:val="18"/>
                      <w:szCs w:val="18"/>
                      <w:highlight w:val="none"/>
                      <w:lang w:val="en-US" w:eastAsia="zh-CN"/>
                    </w:rPr>
                    <w:t>设置喷雾抑尘设施</w:t>
                  </w:r>
                </w:p>
              </w:tc>
              <w:tc>
                <w:tcPr>
                  <w:tcW w:w="704" w:type="dxa"/>
                  <w:tcBorders>
                    <w:tl2br w:val="nil"/>
                    <w:tr2bl w:val="nil"/>
                  </w:tcBorders>
                  <w:vAlign w:val="center"/>
                </w:tcPr>
                <w:p w14:paraId="56210415">
                  <w:pPr>
                    <w:spacing w:line="240" w:lineRule="exact"/>
                    <w:jc w:val="center"/>
                    <w:rPr>
                      <w:rFonts w:hint="eastAsia" w:ascii="Times New Roman" w:hAnsi="Times New Roman" w:eastAsia="宋体" w:cs="Times New Roman"/>
                      <w:color w:val="auto"/>
                      <w:spacing w:val="-10"/>
                      <w:sz w:val="18"/>
                      <w:szCs w:val="18"/>
                      <w:highlight w:val="none"/>
                      <w:lang w:val="en-US" w:eastAsia="zh-CN"/>
                    </w:rPr>
                  </w:pPr>
                  <w:r>
                    <w:rPr>
                      <w:rFonts w:hint="eastAsia" w:ascii="Times New Roman" w:hAnsi="Times New Roman" w:eastAsia="宋体" w:cs="Times New Roman"/>
                      <w:color w:val="auto"/>
                      <w:spacing w:val="-10"/>
                      <w:sz w:val="18"/>
                      <w:szCs w:val="18"/>
                      <w:highlight w:val="none"/>
                      <w:lang w:val="en-US" w:eastAsia="zh-CN"/>
                    </w:rPr>
                    <w:t>符合</w:t>
                  </w:r>
                </w:p>
              </w:tc>
            </w:tr>
            <w:tr w14:paraId="237C3123">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78" w:hRule="atLeast"/>
              </w:trPr>
              <w:tc>
                <w:tcPr>
                  <w:tcW w:w="591" w:type="dxa"/>
                  <w:vMerge w:val="continue"/>
                  <w:tcBorders>
                    <w:tl2br w:val="nil"/>
                    <w:tr2bl w:val="nil"/>
                  </w:tcBorders>
                  <w:vAlign w:val="center"/>
                </w:tcPr>
                <w:p w14:paraId="36E1D856">
                  <w:pPr>
                    <w:spacing w:line="240" w:lineRule="exact"/>
                    <w:jc w:val="center"/>
                    <w:rPr>
                      <w:rFonts w:hint="eastAsia" w:cs="Times New Roman"/>
                      <w:color w:val="auto"/>
                      <w:spacing w:val="-10"/>
                      <w:sz w:val="18"/>
                      <w:szCs w:val="18"/>
                      <w:highlight w:val="none"/>
                      <w:lang w:val="en-US" w:eastAsia="zh-CN"/>
                    </w:rPr>
                  </w:pPr>
                </w:p>
              </w:tc>
              <w:tc>
                <w:tcPr>
                  <w:tcW w:w="1372" w:type="dxa"/>
                  <w:vMerge w:val="continue"/>
                  <w:tcBorders>
                    <w:tl2br w:val="nil"/>
                    <w:tr2bl w:val="nil"/>
                  </w:tcBorders>
                  <w:vAlign w:val="center"/>
                </w:tcPr>
                <w:p w14:paraId="4457A0B2">
                  <w:pPr>
                    <w:spacing w:line="240" w:lineRule="exact"/>
                    <w:jc w:val="center"/>
                    <w:rPr>
                      <w:rFonts w:hint="eastAsia" w:ascii="Times New Roman" w:hAnsi="Times New Roman" w:eastAsia="宋体" w:cs="Times New Roman"/>
                      <w:color w:val="auto"/>
                      <w:spacing w:val="-10"/>
                      <w:sz w:val="18"/>
                      <w:szCs w:val="18"/>
                      <w:highlight w:val="none"/>
                      <w:lang w:val="en-US" w:eastAsia="zh-CN"/>
                    </w:rPr>
                  </w:pPr>
                </w:p>
              </w:tc>
              <w:tc>
                <w:tcPr>
                  <w:tcW w:w="785" w:type="dxa"/>
                  <w:tcBorders>
                    <w:right w:val="single" w:color="auto" w:sz="4" w:space="0"/>
                    <w:tl2br w:val="nil"/>
                    <w:tr2bl w:val="nil"/>
                  </w:tcBorders>
                  <w:shd w:val="clear" w:color="auto" w:fill="auto"/>
                  <w:vAlign w:val="center"/>
                </w:tcPr>
                <w:p w14:paraId="5FF7841F">
                  <w:pPr>
                    <w:spacing w:line="240" w:lineRule="exact"/>
                    <w:jc w:val="center"/>
                    <w:rPr>
                      <w:rFonts w:hint="eastAsia" w:ascii="Times New Roman" w:hAnsi="Times New Roman" w:eastAsia="宋体" w:cs="Times New Roman"/>
                      <w:color w:val="auto"/>
                      <w:spacing w:val="-10"/>
                      <w:kern w:val="2"/>
                      <w:sz w:val="18"/>
                      <w:szCs w:val="18"/>
                      <w:highlight w:val="none"/>
                      <w:lang w:val="en-US" w:eastAsia="zh-CN" w:bidi="ar-SA"/>
                    </w:rPr>
                  </w:pPr>
                  <w:r>
                    <w:rPr>
                      <w:rFonts w:hint="eastAsia" w:ascii="Times New Roman" w:hAnsi="Times New Roman" w:cs="Times New Roman"/>
                      <w:color w:val="auto"/>
                      <w:spacing w:val="-10"/>
                      <w:sz w:val="18"/>
                      <w:szCs w:val="18"/>
                      <w:highlight w:val="none"/>
                      <w:lang w:val="en-US" w:eastAsia="zh-CN"/>
                    </w:rPr>
                    <w:t>物料储存</w:t>
                  </w:r>
                </w:p>
              </w:tc>
              <w:tc>
                <w:tcPr>
                  <w:tcW w:w="5163" w:type="dxa"/>
                  <w:tcBorders>
                    <w:left w:val="single" w:color="auto" w:sz="4" w:space="0"/>
                    <w:tl2br w:val="nil"/>
                    <w:tr2bl w:val="nil"/>
                  </w:tcBorders>
                  <w:shd w:val="clear" w:color="auto" w:fill="auto"/>
                  <w:vAlign w:val="center"/>
                </w:tcPr>
                <w:p w14:paraId="13ADB124">
                  <w:pPr>
                    <w:numPr>
                      <w:ilvl w:val="0"/>
                      <w:numId w:val="0"/>
                    </w:numPr>
                    <w:spacing w:line="240" w:lineRule="exact"/>
                    <w:jc w:val="left"/>
                    <w:rPr>
                      <w:rFonts w:hint="eastAsia" w:ascii="Times New Roman" w:hAnsi="Times New Roman" w:cs="Times New Roman"/>
                      <w:color w:val="auto"/>
                      <w:spacing w:val="-10"/>
                      <w:sz w:val="18"/>
                      <w:szCs w:val="18"/>
                      <w:highlight w:val="none"/>
                      <w:lang w:val="en-US" w:eastAsia="zh-CN"/>
                    </w:rPr>
                  </w:pPr>
                  <w:r>
                    <w:rPr>
                      <w:rFonts w:hint="eastAsia" w:cs="Times New Roman"/>
                      <w:color w:val="auto"/>
                      <w:spacing w:val="-10"/>
                      <w:sz w:val="18"/>
                      <w:szCs w:val="18"/>
                      <w:highlight w:val="none"/>
                      <w:lang w:val="en-US" w:eastAsia="zh-CN"/>
                    </w:rPr>
                    <w:t>1.</w:t>
                  </w:r>
                  <w:r>
                    <w:rPr>
                      <w:rFonts w:hint="eastAsia" w:ascii="Times New Roman" w:hAnsi="Times New Roman" w:cs="Times New Roman"/>
                      <w:color w:val="auto"/>
                      <w:spacing w:val="-10"/>
                      <w:sz w:val="18"/>
                      <w:szCs w:val="18"/>
                      <w:highlight w:val="none"/>
                      <w:lang w:val="en-US" w:eastAsia="zh-CN"/>
                    </w:rPr>
                    <w:t>粉状物料储存可采用入棚、入仓储存，棚内设有喷淋装置，在物料装卸时洒水降尘，棚内应设置横向防雨天窗，也可采用防风抑尘网+喷淋装置进行储存。</w:t>
                  </w:r>
                </w:p>
                <w:p w14:paraId="6278ED30">
                  <w:pPr>
                    <w:numPr>
                      <w:ilvl w:val="0"/>
                      <w:numId w:val="0"/>
                    </w:numPr>
                    <w:spacing w:line="240" w:lineRule="exact"/>
                    <w:ind w:left="0" w:leftChars="0" w:firstLine="0" w:firstLineChars="0"/>
                    <w:jc w:val="left"/>
                    <w:rPr>
                      <w:rFonts w:hint="eastAsia" w:ascii="Times New Roman" w:hAnsi="Times New Roman" w:eastAsia="宋体" w:cs="Times New Roman"/>
                      <w:color w:val="auto"/>
                      <w:spacing w:val="-10"/>
                      <w:kern w:val="2"/>
                      <w:sz w:val="18"/>
                      <w:szCs w:val="18"/>
                      <w:highlight w:val="none"/>
                      <w:lang w:val="en-US" w:eastAsia="zh-CN" w:bidi="ar-SA"/>
                    </w:rPr>
                  </w:pPr>
                  <w:r>
                    <w:rPr>
                      <w:rFonts w:hint="eastAsia" w:cs="Times New Roman"/>
                      <w:color w:val="auto"/>
                      <w:spacing w:val="-10"/>
                      <w:sz w:val="18"/>
                      <w:szCs w:val="18"/>
                      <w:highlight w:val="none"/>
                      <w:lang w:val="en-US" w:eastAsia="zh-CN"/>
                    </w:rPr>
                    <w:t>2.</w:t>
                  </w:r>
                  <w:r>
                    <w:rPr>
                      <w:rFonts w:hint="eastAsia" w:ascii="Times New Roman" w:hAnsi="Times New Roman" w:cs="Times New Roman"/>
                      <w:color w:val="auto"/>
                      <w:spacing w:val="-10"/>
                      <w:sz w:val="18"/>
                      <w:szCs w:val="18"/>
                      <w:highlight w:val="none"/>
                      <w:lang w:val="en-US" w:eastAsia="zh-CN"/>
                    </w:rPr>
                    <w:t>块状物料储存可采用入棚、入仓方式储存，也可采用防风抑尘网+喷淋装置储存，露天堆场贮存过程中，必须采取洒水、遮盖或喷洒抑尘剂等措施控制扬尘。</w:t>
                  </w:r>
                </w:p>
              </w:tc>
              <w:tc>
                <w:tcPr>
                  <w:tcW w:w="3335" w:type="dxa"/>
                  <w:tcBorders>
                    <w:tl2br w:val="nil"/>
                    <w:tr2bl w:val="nil"/>
                  </w:tcBorders>
                  <w:shd w:val="clear" w:color="auto" w:fill="auto"/>
                  <w:vAlign w:val="center"/>
                </w:tcPr>
                <w:p w14:paraId="7D996377">
                  <w:pPr>
                    <w:spacing w:line="240" w:lineRule="exact"/>
                    <w:jc w:val="left"/>
                    <w:rPr>
                      <w:rFonts w:hint="eastAsia" w:ascii="Times New Roman" w:hAnsi="Times New Roman" w:eastAsia="宋体" w:cs="Times New Roman"/>
                      <w:color w:val="auto"/>
                      <w:spacing w:val="-10"/>
                      <w:kern w:val="2"/>
                      <w:sz w:val="18"/>
                      <w:szCs w:val="18"/>
                      <w:highlight w:val="none"/>
                      <w:lang w:val="en-US" w:eastAsia="zh-CN" w:bidi="ar-SA"/>
                    </w:rPr>
                  </w:pPr>
                  <w:r>
                    <w:rPr>
                      <w:rFonts w:hint="eastAsia" w:ascii="Times New Roman" w:hAnsi="Times New Roman" w:eastAsia="宋体" w:cs="Times New Roman"/>
                      <w:color w:val="auto"/>
                      <w:spacing w:val="-10"/>
                      <w:sz w:val="18"/>
                      <w:szCs w:val="18"/>
                      <w:highlight w:val="none"/>
                      <w:lang w:val="en-US" w:eastAsia="zh-CN"/>
                    </w:rPr>
                    <w:t>本项目原料</w:t>
                  </w:r>
                  <w:r>
                    <w:rPr>
                      <w:rFonts w:hint="eastAsia" w:cs="Times New Roman"/>
                      <w:color w:val="auto"/>
                      <w:spacing w:val="-10"/>
                      <w:sz w:val="18"/>
                      <w:szCs w:val="18"/>
                      <w:highlight w:val="none"/>
                      <w:lang w:val="en-US" w:eastAsia="zh-CN"/>
                    </w:rPr>
                    <w:t>、产品均</w:t>
                  </w:r>
                  <w:r>
                    <w:rPr>
                      <w:rFonts w:hint="default" w:ascii="Times New Roman" w:hAnsi="Times New Roman" w:eastAsia="宋体" w:cs="Times New Roman"/>
                      <w:color w:val="auto"/>
                      <w:spacing w:val="-10"/>
                      <w:sz w:val="18"/>
                      <w:szCs w:val="18"/>
                      <w:highlight w:val="none"/>
                      <w:lang w:val="en-US" w:eastAsia="zh-CN"/>
                    </w:rPr>
                    <w:t>存储在</w:t>
                  </w:r>
                  <w:r>
                    <w:rPr>
                      <w:rFonts w:hint="eastAsia" w:ascii="Times New Roman" w:hAnsi="Times New Roman" w:eastAsia="宋体" w:cs="Times New Roman"/>
                      <w:color w:val="auto"/>
                      <w:spacing w:val="-10"/>
                      <w:sz w:val="18"/>
                      <w:szCs w:val="18"/>
                      <w:highlight w:val="none"/>
                      <w:lang w:val="en-US" w:eastAsia="zh-CN"/>
                    </w:rPr>
                    <w:t>封闭的生产车间内，生产车间的物料暂存区顶部</w:t>
                  </w:r>
                  <w:r>
                    <w:rPr>
                      <w:rFonts w:hint="eastAsia" w:ascii="Times New Roman" w:hAnsi="Times New Roman" w:cs="Times New Roman"/>
                      <w:color w:val="auto"/>
                      <w:spacing w:val="-10"/>
                      <w:sz w:val="18"/>
                      <w:szCs w:val="18"/>
                      <w:highlight w:val="none"/>
                      <w:lang w:val="en-US" w:eastAsia="zh-CN"/>
                    </w:rPr>
                    <w:t>顶部设置带电伴热的喷雾抑尘装置，对物料暂存区域全覆盖。</w:t>
                  </w:r>
                </w:p>
              </w:tc>
              <w:tc>
                <w:tcPr>
                  <w:tcW w:w="704" w:type="dxa"/>
                  <w:tcBorders>
                    <w:tl2br w:val="nil"/>
                    <w:tr2bl w:val="nil"/>
                  </w:tcBorders>
                  <w:shd w:val="clear" w:color="auto" w:fill="auto"/>
                  <w:vAlign w:val="center"/>
                </w:tcPr>
                <w:p w14:paraId="0DD913D5">
                  <w:pPr>
                    <w:spacing w:line="240" w:lineRule="exact"/>
                    <w:jc w:val="center"/>
                    <w:rPr>
                      <w:rFonts w:hint="eastAsia" w:ascii="Times New Roman" w:hAnsi="Times New Roman" w:eastAsia="宋体" w:cs="Times New Roman"/>
                      <w:color w:val="auto"/>
                      <w:spacing w:val="-10"/>
                      <w:kern w:val="2"/>
                      <w:sz w:val="18"/>
                      <w:szCs w:val="18"/>
                      <w:highlight w:val="none"/>
                      <w:lang w:val="en-US" w:eastAsia="zh-CN" w:bidi="ar-SA"/>
                    </w:rPr>
                  </w:pPr>
                  <w:r>
                    <w:rPr>
                      <w:rFonts w:hint="eastAsia" w:ascii="Times New Roman" w:hAnsi="Times New Roman" w:eastAsia="宋体" w:cs="Times New Roman"/>
                      <w:color w:val="auto"/>
                      <w:spacing w:val="-10"/>
                      <w:sz w:val="18"/>
                      <w:szCs w:val="18"/>
                      <w:highlight w:val="none"/>
                      <w:lang w:val="en-US" w:eastAsia="zh-CN"/>
                    </w:rPr>
                    <w:t>符合</w:t>
                  </w:r>
                </w:p>
              </w:tc>
            </w:tr>
            <w:tr w14:paraId="4022144B">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78" w:hRule="atLeast"/>
              </w:trPr>
              <w:tc>
                <w:tcPr>
                  <w:tcW w:w="591" w:type="dxa"/>
                  <w:vMerge w:val="continue"/>
                  <w:tcBorders>
                    <w:tl2br w:val="nil"/>
                    <w:tr2bl w:val="nil"/>
                  </w:tcBorders>
                  <w:vAlign w:val="center"/>
                </w:tcPr>
                <w:p w14:paraId="07135101">
                  <w:pPr>
                    <w:spacing w:line="240" w:lineRule="exact"/>
                    <w:jc w:val="center"/>
                    <w:rPr>
                      <w:rFonts w:hint="eastAsia" w:cs="Times New Roman"/>
                      <w:color w:val="auto"/>
                      <w:spacing w:val="-10"/>
                      <w:sz w:val="18"/>
                      <w:szCs w:val="18"/>
                      <w:highlight w:val="none"/>
                      <w:lang w:val="en-US" w:eastAsia="zh-CN"/>
                    </w:rPr>
                  </w:pPr>
                </w:p>
              </w:tc>
              <w:tc>
                <w:tcPr>
                  <w:tcW w:w="1372" w:type="dxa"/>
                  <w:vMerge w:val="continue"/>
                  <w:tcBorders>
                    <w:tl2br w:val="nil"/>
                    <w:tr2bl w:val="nil"/>
                  </w:tcBorders>
                  <w:vAlign w:val="center"/>
                </w:tcPr>
                <w:p w14:paraId="000CA994">
                  <w:pPr>
                    <w:spacing w:line="240" w:lineRule="exact"/>
                    <w:jc w:val="center"/>
                    <w:rPr>
                      <w:rFonts w:hint="eastAsia" w:ascii="Times New Roman" w:hAnsi="Times New Roman" w:eastAsia="宋体" w:cs="Times New Roman"/>
                      <w:color w:val="auto"/>
                      <w:spacing w:val="-10"/>
                      <w:sz w:val="18"/>
                      <w:szCs w:val="18"/>
                      <w:highlight w:val="none"/>
                      <w:lang w:val="en-US" w:eastAsia="zh-CN"/>
                    </w:rPr>
                  </w:pPr>
                </w:p>
              </w:tc>
              <w:tc>
                <w:tcPr>
                  <w:tcW w:w="785" w:type="dxa"/>
                  <w:tcBorders>
                    <w:right w:val="single" w:color="auto" w:sz="4" w:space="0"/>
                    <w:tl2br w:val="nil"/>
                    <w:tr2bl w:val="nil"/>
                  </w:tcBorders>
                  <w:shd w:val="clear" w:color="auto" w:fill="auto"/>
                  <w:vAlign w:val="center"/>
                </w:tcPr>
                <w:p w14:paraId="2C64D294">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Times New Roman" w:hAnsi="Times New Roman" w:eastAsia="宋体" w:cs="Times New Roman"/>
                      <w:color w:val="auto"/>
                      <w:spacing w:val="-10"/>
                      <w:kern w:val="2"/>
                      <w:sz w:val="18"/>
                      <w:szCs w:val="18"/>
                      <w:highlight w:val="none"/>
                      <w:lang w:val="en-US" w:eastAsia="zh-CN" w:bidi="ar-SA"/>
                    </w:rPr>
                  </w:pPr>
                  <w:r>
                    <w:rPr>
                      <w:rFonts w:hint="eastAsia" w:cs="Times New Roman"/>
                      <w:color w:val="auto"/>
                      <w:spacing w:val="-10"/>
                      <w:sz w:val="18"/>
                      <w:szCs w:val="18"/>
                      <w:highlight w:val="none"/>
                      <w:lang w:val="en-US" w:eastAsia="zh-CN"/>
                    </w:rPr>
                    <w:t>厂内运输道路</w:t>
                  </w:r>
                </w:p>
              </w:tc>
              <w:tc>
                <w:tcPr>
                  <w:tcW w:w="5163" w:type="dxa"/>
                  <w:tcBorders>
                    <w:left w:val="single" w:color="auto" w:sz="4" w:space="0"/>
                    <w:tl2br w:val="nil"/>
                    <w:tr2bl w:val="nil"/>
                  </w:tcBorders>
                  <w:shd w:val="clear" w:color="auto" w:fill="auto"/>
                  <w:vAlign w:val="center"/>
                </w:tcPr>
                <w:p w14:paraId="71200A62">
                  <w:pPr>
                    <w:spacing w:line="240" w:lineRule="exact"/>
                    <w:jc w:val="left"/>
                    <w:rPr>
                      <w:rFonts w:hint="eastAsia" w:ascii="Times New Roman" w:hAnsi="Times New Roman" w:eastAsia="宋体" w:cs="Times New Roman"/>
                      <w:color w:val="auto"/>
                      <w:spacing w:val="-10"/>
                      <w:kern w:val="2"/>
                      <w:sz w:val="18"/>
                      <w:szCs w:val="18"/>
                      <w:highlight w:val="none"/>
                      <w:lang w:val="en-US" w:eastAsia="zh-CN" w:bidi="ar-SA"/>
                    </w:rPr>
                  </w:pPr>
                  <w:r>
                    <w:rPr>
                      <w:rFonts w:hint="eastAsia" w:ascii="Times New Roman" w:hAnsi="Times New Roman" w:cs="Times New Roman"/>
                      <w:color w:val="auto"/>
                      <w:spacing w:val="-10"/>
                      <w:sz w:val="18"/>
                      <w:szCs w:val="18"/>
                      <w:highlight w:val="none"/>
                      <w:lang w:val="en-US" w:eastAsia="zh-CN"/>
                    </w:rPr>
                    <w:t>各工业企业厂区道路应进行硬化，定期清扫、洒水，以保持道路积尘处于低负荷状态</w:t>
                  </w:r>
                </w:p>
              </w:tc>
              <w:tc>
                <w:tcPr>
                  <w:tcW w:w="3335" w:type="dxa"/>
                  <w:tcBorders>
                    <w:tl2br w:val="nil"/>
                    <w:tr2bl w:val="nil"/>
                  </w:tcBorders>
                  <w:shd w:val="clear" w:color="auto" w:fill="auto"/>
                  <w:vAlign w:val="center"/>
                </w:tcPr>
                <w:p w14:paraId="4502C176">
                  <w:pPr>
                    <w:spacing w:line="240" w:lineRule="exact"/>
                    <w:jc w:val="left"/>
                    <w:rPr>
                      <w:rFonts w:hint="eastAsia" w:ascii="Times New Roman" w:hAnsi="Times New Roman" w:eastAsia="宋体" w:cs="Times New Roman"/>
                      <w:color w:val="auto"/>
                      <w:spacing w:val="-10"/>
                      <w:kern w:val="2"/>
                      <w:sz w:val="18"/>
                      <w:szCs w:val="18"/>
                      <w:highlight w:val="none"/>
                      <w:lang w:val="en-US" w:eastAsia="zh-CN" w:bidi="ar-SA"/>
                    </w:rPr>
                  </w:pPr>
                  <w:r>
                    <w:rPr>
                      <w:rFonts w:hint="eastAsia" w:ascii="Times New Roman" w:hAnsi="Times New Roman" w:eastAsia="宋体" w:cs="Times New Roman"/>
                      <w:color w:val="auto"/>
                      <w:spacing w:val="-10"/>
                      <w:sz w:val="18"/>
                      <w:szCs w:val="18"/>
                      <w:highlight w:val="none"/>
                      <w:lang w:val="en-US" w:eastAsia="zh-CN"/>
                    </w:rPr>
                    <w:t>厂区内路面全部硬化、无破损，厂区实现“非硬即绿”</w:t>
                  </w:r>
                  <w:r>
                    <w:rPr>
                      <w:rFonts w:hint="eastAsia" w:ascii="Times New Roman" w:hAnsi="Times New Roman" w:eastAsia="宋体" w:cs="Times New Roman"/>
                      <w:color w:val="auto"/>
                      <w:spacing w:val="-10"/>
                      <w:sz w:val="18"/>
                      <w:szCs w:val="18"/>
                      <w:highlight w:val="none"/>
                      <w:lang w:val="zh-CN" w:eastAsia="zh-CN"/>
                    </w:rPr>
                    <w:t>。</w:t>
                  </w:r>
                  <w:r>
                    <w:rPr>
                      <w:rFonts w:hint="eastAsia" w:ascii="Times New Roman" w:hAnsi="Times New Roman" w:eastAsia="宋体" w:cs="Times New Roman"/>
                      <w:color w:val="auto"/>
                      <w:spacing w:val="-10"/>
                      <w:sz w:val="18"/>
                      <w:szCs w:val="18"/>
                      <w:highlight w:val="none"/>
                      <w:lang w:val="en-US" w:eastAsia="zh-CN"/>
                    </w:rPr>
                    <w:t>厂区道路定期清扫、洒水。</w:t>
                  </w:r>
                </w:p>
              </w:tc>
              <w:tc>
                <w:tcPr>
                  <w:tcW w:w="704" w:type="dxa"/>
                  <w:tcBorders>
                    <w:tl2br w:val="nil"/>
                    <w:tr2bl w:val="nil"/>
                  </w:tcBorders>
                  <w:shd w:val="clear" w:color="auto" w:fill="auto"/>
                  <w:vAlign w:val="center"/>
                </w:tcPr>
                <w:p w14:paraId="1C411596">
                  <w:pPr>
                    <w:spacing w:line="240" w:lineRule="exact"/>
                    <w:jc w:val="center"/>
                    <w:rPr>
                      <w:rFonts w:hint="eastAsia" w:ascii="Times New Roman" w:hAnsi="Times New Roman" w:eastAsia="宋体" w:cs="Times New Roman"/>
                      <w:color w:val="auto"/>
                      <w:spacing w:val="-10"/>
                      <w:kern w:val="2"/>
                      <w:sz w:val="18"/>
                      <w:szCs w:val="18"/>
                      <w:highlight w:val="none"/>
                      <w:lang w:val="en-US" w:eastAsia="zh-CN" w:bidi="ar-SA"/>
                    </w:rPr>
                  </w:pPr>
                  <w:r>
                    <w:rPr>
                      <w:rFonts w:hint="eastAsia" w:ascii="Times New Roman" w:hAnsi="Times New Roman" w:eastAsia="宋体" w:cs="Times New Roman"/>
                      <w:color w:val="auto"/>
                      <w:spacing w:val="-10"/>
                      <w:sz w:val="18"/>
                      <w:szCs w:val="18"/>
                      <w:highlight w:val="none"/>
                      <w:lang w:val="en-US" w:eastAsia="zh-CN"/>
                    </w:rPr>
                    <w:t>符合</w:t>
                  </w:r>
                </w:p>
              </w:tc>
            </w:tr>
            <w:tr w14:paraId="1F1F8576">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78" w:hRule="atLeast"/>
              </w:trPr>
              <w:tc>
                <w:tcPr>
                  <w:tcW w:w="591" w:type="dxa"/>
                  <w:vMerge w:val="restart"/>
                  <w:tcBorders>
                    <w:tl2br w:val="nil"/>
                    <w:tr2bl w:val="nil"/>
                  </w:tcBorders>
                  <w:vAlign w:val="center"/>
                </w:tcPr>
                <w:p w14:paraId="4C95FE11">
                  <w:pPr>
                    <w:spacing w:line="240" w:lineRule="exact"/>
                    <w:jc w:val="center"/>
                    <w:rPr>
                      <w:rFonts w:hint="default" w:cs="Times New Roman"/>
                      <w:color w:val="auto"/>
                      <w:spacing w:val="-10"/>
                      <w:sz w:val="18"/>
                      <w:szCs w:val="18"/>
                      <w:highlight w:val="none"/>
                      <w:lang w:val="en-US" w:eastAsia="zh-CN"/>
                    </w:rPr>
                  </w:pPr>
                  <w:r>
                    <w:rPr>
                      <w:rFonts w:hint="eastAsia" w:cs="Times New Roman"/>
                      <w:color w:val="auto"/>
                      <w:spacing w:val="-10"/>
                      <w:sz w:val="18"/>
                      <w:szCs w:val="18"/>
                      <w:highlight w:val="none"/>
                      <w:lang w:val="en-US" w:eastAsia="zh-CN"/>
                    </w:rPr>
                    <w:t>2</w:t>
                  </w:r>
                </w:p>
              </w:tc>
              <w:tc>
                <w:tcPr>
                  <w:tcW w:w="1372" w:type="dxa"/>
                  <w:vMerge w:val="restart"/>
                  <w:tcBorders>
                    <w:tl2br w:val="nil"/>
                    <w:tr2bl w:val="nil"/>
                  </w:tcBorders>
                  <w:vAlign w:val="center"/>
                </w:tcPr>
                <w:p w14:paraId="4912FCED">
                  <w:pPr>
                    <w:spacing w:line="240" w:lineRule="exact"/>
                    <w:jc w:val="center"/>
                    <w:rPr>
                      <w:rFonts w:hint="eastAsia" w:ascii="Times New Roman" w:hAnsi="Times New Roman" w:eastAsia="宋体" w:cs="Times New Roman"/>
                      <w:color w:val="auto"/>
                      <w:spacing w:val="-10"/>
                      <w:sz w:val="18"/>
                      <w:szCs w:val="18"/>
                      <w:highlight w:val="none"/>
                      <w:lang w:val="en-US" w:eastAsia="zh-CN"/>
                    </w:rPr>
                  </w:pPr>
                  <w:r>
                    <w:rPr>
                      <w:rFonts w:hint="eastAsia" w:ascii="Times New Roman" w:hAnsi="Times New Roman" w:eastAsia="宋体" w:cs="Times New Roman"/>
                      <w:color w:val="auto"/>
                      <w:spacing w:val="-10"/>
                      <w:sz w:val="18"/>
                      <w:szCs w:val="18"/>
                      <w:highlight w:val="none"/>
                      <w:lang w:val="en-US" w:eastAsia="zh-CN"/>
                    </w:rPr>
                    <w:t>《</w:t>
                  </w:r>
                  <w:r>
                    <w:rPr>
                      <w:rFonts w:hint="default" w:ascii="Times New Roman" w:hAnsi="Times New Roman" w:eastAsia="宋体" w:cs="Times New Roman"/>
                      <w:color w:val="auto"/>
                      <w:spacing w:val="-10"/>
                      <w:sz w:val="18"/>
                      <w:szCs w:val="18"/>
                      <w:highlight w:val="none"/>
                      <w:lang w:val="en-US" w:eastAsia="zh-CN"/>
                    </w:rPr>
                    <w:t>一般工业固体废物贮存和填埋污染控制标准</w:t>
                  </w:r>
                  <w:r>
                    <w:rPr>
                      <w:rFonts w:hint="eastAsia" w:ascii="Times New Roman" w:hAnsi="Times New Roman" w:eastAsia="宋体" w:cs="Times New Roman"/>
                      <w:color w:val="auto"/>
                      <w:spacing w:val="-10"/>
                      <w:sz w:val="18"/>
                      <w:szCs w:val="18"/>
                      <w:highlight w:val="none"/>
                      <w:lang w:val="en-US" w:eastAsia="zh-CN"/>
                    </w:rPr>
                    <w:t>》（</w:t>
                  </w:r>
                  <w:r>
                    <w:rPr>
                      <w:rFonts w:hint="default" w:ascii="Times New Roman" w:hAnsi="Times New Roman" w:eastAsia="宋体" w:cs="Times New Roman"/>
                      <w:color w:val="auto"/>
                      <w:spacing w:val="-10"/>
                      <w:sz w:val="18"/>
                      <w:szCs w:val="18"/>
                      <w:highlight w:val="none"/>
                      <w:lang w:val="en-US" w:eastAsia="zh-CN"/>
                    </w:rPr>
                    <w:t>GB18599-2020</w:t>
                  </w:r>
                  <w:r>
                    <w:rPr>
                      <w:rFonts w:hint="eastAsia" w:ascii="Times New Roman" w:hAnsi="Times New Roman" w:eastAsia="宋体" w:cs="Times New Roman"/>
                      <w:color w:val="auto"/>
                      <w:spacing w:val="-10"/>
                      <w:sz w:val="18"/>
                      <w:szCs w:val="18"/>
                      <w:highlight w:val="none"/>
                      <w:lang w:val="en-US" w:eastAsia="zh-CN"/>
                    </w:rPr>
                    <w:t>）</w:t>
                  </w:r>
                </w:p>
              </w:tc>
              <w:tc>
                <w:tcPr>
                  <w:tcW w:w="5948" w:type="dxa"/>
                  <w:gridSpan w:val="2"/>
                  <w:tcBorders>
                    <w:tl2br w:val="nil"/>
                    <w:tr2bl w:val="nil"/>
                  </w:tcBorders>
                  <w:shd w:val="clear" w:color="auto" w:fill="auto"/>
                  <w:vAlign w:val="center"/>
                </w:tcPr>
                <w:p w14:paraId="2A7FBFA2">
                  <w:pPr>
                    <w:spacing w:line="240" w:lineRule="exact"/>
                    <w:jc w:val="center"/>
                    <w:rPr>
                      <w:rFonts w:hint="eastAsia" w:ascii="Times New Roman" w:hAnsi="Times New Roman" w:eastAsia="宋体" w:cs="Times New Roman"/>
                      <w:color w:val="auto"/>
                      <w:spacing w:val="-10"/>
                      <w:kern w:val="2"/>
                      <w:sz w:val="18"/>
                      <w:szCs w:val="18"/>
                      <w:lang w:val="en-US" w:eastAsia="zh-CN" w:bidi="ar-SA"/>
                    </w:rPr>
                  </w:pPr>
                  <w:r>
                    <w:rPr>
                      <w:rFonts w:hint="default" w:ascii="Times New Roman" w:hAnsi="Times New Roman" w:eastAsia="宋体" w:cs="Times New Roman"/>
                      <w:color w:val="auto"/>
                      <w:spacing w:val="-10"/>
                      <w:sz w:val="18"/>
                      <w:szCs w:val="18"/>
                      <w:lang w:val="en-US" w:eastAsia="zh-CN"/>
                    </w:rPr>
                    <w:t>一般工业固体废物贮存场的选址应符合环境保护法律法规及相关法定规划要求</w:t>
                  </w:r>
                </w:p>
              </w:tc>
              <w:tc>
                <w:tcPr>
                  <w:tcW w:w="3335" w:type="dxa"/>
                  <w:tcBorders>
                    <w:tl2br w:val="nil"/>
                    <w:tr2bl w:val="nil"/>
                  </w:tcBorders>
                  <w:shd w:val="clear" w:color="auto" w:fill="auto"/>
                  <w:vAlign w:val="center"/>
                </w:tcPr>
                <w:p w14:paraId="659E24FA">
                  <w:pPr>
                    <w:spacing w:line="240" w:lineRule="exact"/>
                    <w:jc w:val="center"/>
                    <w:rPr>
                      <w:rFonts w:hint="eastAsia" w:ascii="Times New Roman" w:hAnsi="Times New Roman" w:eastAsia="宋体" w:cs="Times New Roman"/>
                      <w:color w:val="auto"/>
                      <w:spacing w:val="-10"/>
                      <w:sz w:val="18"/>
                      <w:szCs w:val="18"/>
                      <w:lang w:val="en-US" w:eastAsia="zh-CN"/>
                    </w:rPr>
                  </w:pPr>
                  <w:r>
                    <w:rPr>
                      <w:rFonts w:hint="eastAsia" w:ascii="Times New Roman" w:hAnsi="Times New Roman" w:eastAsia="宋体" w:cs="Times New Roman"/>
                      <w:color w:val="auto"/>
                      <w:spacing w:val="-10"/>
                      <w:sz w:val="18"/>
                      <w:szCs w:val="18"/>
                      <w:lang w:val="en-US" w:eastAsia="zh-CN"/>
                    </w:rPr>
                    <w:t>项目位于河北省唐山市滦州市九百户镇宜安村西，项目占地为工业建设用地，选址符合</w:t>
                  </w:r>
                  <w:r>
                    <w:rPr>
                      <w:rFonts w:hint="default" w:ascii="Times New Roman" w:hAnsi="Times New Roman" w:eastAsia="宋体" w:cs="Times New Roman"/>
                      <w:color w:val="auto"/>
                      <w:spacing w:val="-10"/>
                      <w:sz w:val="18"/>
                      <w:szCs w:val="18"/>
                      <w:lang w:val="en-US" w:eastAsia="zh-CN"/>
                    </w:rPr>
                    <w:t>环境保护法律法规及相关法定规划要求</w:t>
                  </w:r>
                </w:p>
              </w:tc>
              <w:tc>
                <w:tcPr>
                  <w:tcW w:w="704" w:type="dxa"/>
                  <w:tcBorders>
                    <w:tl2br w:val="nil"/>
                    <w:tr2bl w:val="nil"/>
                  </w:tcBorders>
                  <w:shd w:val="clear" w:color="auto" w:fill="auto"/>
                  <w:vAlign w:val="center"/>
                </w:tcPr>
                <w:p w14:paraId="1A31ADC5">
                  <w:pPr>
                    <w:jc w:val="center"/>
                    <w:rPr>
                      <w:rFonts w:hint="eastAsia" w:ascii="Times New Roman" w:hAnsi="Times New Roman" w:eastAsia="宋体" w:cs="Times New Roman"/>
                      <w:color w:val="auto"/>
                      <w:spacing w:val="-10"/>
                      <w:kern w:val="2"/>
                      <w:sz w:val="18"/>
                      <w:szCs w:val="18"/>
                      <w:lang w:val="en-US" w:eastAsia="zh-CN" w:bidi="ar-SA"/>
                    </w:rPr>
                  </w:pPr>
                  <w:r>
                    <w:rPr>
                      <w:rFonts w:hint="eastAsia"/>
                      <w:color w:val="auto"/>
                      <w:spacing w:val="-10"/>
                      <w:sz w:val="18"/>
                      <w:szCs w:val="18"/>
                    </w:rPr>
                    <w:t>符合</w:t>
                  </w:r>
                </w:p>
              </w:tc>
            </w:tr>
            <w:tr w14:paraId="51F5FEAB">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78" w:hRule="atLeast"/>
              </w:trPr>
              <w:tc>
                <w:tcPr>
                  <w:tcW w:w="591" w:type="dxa"/>
                  <w:vMerge w:val="continue"/>
                  <w:tcBorders>
                    <w:tl2br w:val="nil"/>
                    <w:tr2bl w:val="nil"/>
                  </w:tcBorders>
                  <w:vAlign w:val="center"/>
                </w:tcPr>
                <w:p w14:paraId="0CBF3051">
                  <w:pPr>
                    <w:spacing w:line="240" w:lineRule="exact"/>
                    <w:jc w:val="center"/>
                    <w:rPr>
                      <w:rFonts w:hint="eastAsia" w:cs="Times New Roman"/>
                      <w:color w:val="auto"/>
                      <w:spacing w:val="-10"/>
                      <w:sz w:val="18"/>
                      <w:szCs w:val="18"/>
                      <w:highlight w:val="none"/>
                      <w:lang w:val="en-US" w:eastAsia="zh-CN"/>
                    </w:rPr>
                  </w:pPr>
                </w:p>
              </w:tc>
              <w:tc>
                <w:tcPr>
                  <w:tcW w:w="1372" w:type="dxa"/>
                  <w:vMerge w:val="continue"/>
                  <w:tcBorders>
                    <w:tl2br w:val="nil"/>
                    <w:tr2bl w:val="nil"/>
                  </w:tcBorders>
                  <w:vAlign w:val="center"/>
                </w:tcPr>
                <w:p w14:paraId="0D293255">
                  <w:pPr>
                    <w:spacing w:line="240" w:lineRule="exact"/>
                    <w:jc w:val="center"/>
                    <w:rPr>
                      <w:rFonts w:hint="eastAsia" w:ascii="Times New Roman" w:hAnsi="Times New Roman" w:eastAsia="宋体" w:cs="Times New Roman"/>
                      <w:color w:val="auto"/>
                      <w:spacing w:val="-10"/>
                      <w:sz w:val="18"/>
                      <w:szCs w:val="18"/>
                      <w:highlight w:val="none"/>
                      <w:lang w:val="en-US" w:eastAsia="zh-CN"/>
                    </w:rPr>
                  </w:pPr>
                </w:p>
              </w:tc>
              <w:tc>
                <w:tcPr>
                  <w:tcW w:w="5948" w:type="dxa"/>
                  <w:gridSpan w:val="2"/>
                  <w:tcBorders>
                    <w:tl2br w:val="nil"/>
                    <w:tr2bl w:val="nil"/>
                  </w:tcBorders>
                  <w:shd w:val="clear" w:color="auto" w:fill="auto"/>
                  <w:vAlign w:val="center"/>
                </w:tcPr>
                <w:p w14:paraId="3613BCED">
                  <w:pPr>
                    <w:spacing w:line="240" w:lineRule="exact"/>
                    <w:jc w:val="center"/>
                    <w:rPr>
                      <w:rFonts w:hint="default" w:ascii="Times New Roman" w:hAnsi="Times New Roman" w:eastAsia="宋体" w:cs="Times New Roman"/>
                      <w:color w:val="auto"/>
                      <w:spacing w:val="-10"/>
                      <w:kern w:val="2"/>
                      <w:sz w:val="18"/>
                      <w:szCs w:val="18"/>
                      <w:lang w:val="en-US" w:eastAsia="zh-CN" w:bidi="ar-SA"/>
                    </w:rPr>
                  </w:pPr>
                  <w:r>
                    <w:rPr>
                      <w:rFonts w:hint="eastAsia" w:ascii="Times New Roman" w:hAnsi="Times New Roman" w:cs="Times New Roman"/>
                      <w:color w:val="auto"/>
                      <w:spacing w:val="-10"/>
                      <w:sz w:val="18"/>
                      <w:szCs w:val="18"/>
                      <w:lang w:val="en-US" w:eastAsia="zh-CN"/>
                    </w:rPr>
                    <w:t>贮存场不得选在生态保护红线区域、永久基本农田集中区域和其他需要特别保护的区域内</w:t>
                  </w:r>
                </w:p>
              </w:tc>
              <w:tc>
                <w:tcPr>
                  <w:tcW w:w="3335" w:type="dxa"/>
                  <w:tcBorders>
                    <w:tl2br w:val="nil"/>
                    <w:tr2bl w:val="nil"/>
                  </w:tcBorders>
                  <w:shd w:val="clear" w:color="auto" w:fill="auto"/>
                  <w:vAlign w:val="center"/>
                </w:tcPr>
                <w:p w14:paraId="1F0D9A34">
                  <w:pPr>
                    <w:spacing w:line="240" w:lineRule="exact"/>
                    <w:jc w:val="center"/>
                    <w:rPr>
                      <w:rFonts w:hint="eastAsia" w:ascii="Times New Roman" w:hAnsi="Times New Roman" w:eastAsia="宋体" w:cs="Times New Roman"/>
                      <w:color w:val="auto"/>
                      <w:spacing w:val="-10"/>
                      <w:sz w:val="18"/>
                      <w:szCs w:val="18"/>
                      <w:lang w:val="en-US" w:eastAsia="zh-CN"/>
                    </w:rPr>
                  </w:pPr>
                  <w:r>
                    <w:rPr>
                      <w:rFonts w:hint="eastAsia" w:ascii="Times New Roman" w:hAnsi="Times New Roman" w:eastAsia="宋体" w:cs="Times New Roman"/>
                      <w:color w:val="auto"/>
                      <w:spacing w:val="-10"/>
                      <w:sz w:val="18"/>
                      <w:szCs w:val="18"/>
                      <w:lang w:val="en-US" w:eastAsia="zh-CN"/>
                    </w:rPr>
                    <w:t>项目位于滦州市九百户镇宜安村西，项目占地为工业建设用地，不在生态保护红线区域、永久基本农田集中区域和其他需要特别保护的区域内</w:t>
                  </w:r>
                </w:p>
              </w:tc>
              <w:tc>
                <w:tcPr>
                  <w:tcW w:w="704" w:type="dxa"/>
                  <w:tcBorders>
                    <w:tl2br w:val="nil"/>
                    <w:tr2bl w:val="nil"/>
                  </w:tcBorders>
                  <w:shd w:val="clear" w:color="auto" w:fill="auto"/>
                  <w:vAlign w:val="center"/>
                </w:tcPr>
                <w:p w14:paraId="2AF2B282">
                  <w:pPr>
                    <w:jc w:val="center"/>
                    <w:rPr>
                      <w:rFonts w:hint="eastAsia" w:ascii="Times New Roman" w:hAnsi="Times New Roman" w:eastAsia="宋体" w:cs="Times New Roman"/>
                      <w:color w:val="auto"/>
                      <w:spacing w:val="-10"/>
                      <w:kern w:val="2"/>
                      <w:sz w:val="18"/>
                      <w:szCs w:val="18"/>
                      <w:lang w:val="en-US" w:eastAsia="zh-CN" w:bidi="ar-SA"/>
                    </w:rPr>
                  </w:pPr>
                  <w:r>
                    <w:rPr>
                      <w:rFonts w:hint="eastAsia"/>
                      <w:color w:val="auto"/>
                      <w:spacing w:val="-10"/>
                      <w:sz w:val="18"/>
                      <w:szCs w:val="18"/>
                    </w:rPr>
                    <w:t>符合</w:t>
                  </w:r>
                </w:p>
              </w:tc>
            </w:tr>
            <w:tr w14:paraId="57993D52">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78" w:hRule="atLeast"/>
              </w:trPr>
              <w:tc>
                <w:tcPr>
                  <w:tcW w:w="591" w:type="dxa"/>
                  <w:vMerge w:val="continue"/>
                  <w:tcBorders>
                    <w:tl2br w:val="nil"/>
                    <w:tr2bl w:val="nil"/>
                  </w:tcBorders>
                  <w:vAlign w:val="center"/>
                </w:tcPr>
                <w:p w14:paraId="5675EDAE">
                  <w:pPr>
                    <w:spacing w:line="240" w:lineRule="exact"/>
                    <w:jc w:val="center"/>
                    <w:rPr>
                      <w:rFonts w:hint="eastAsia" w:cs="Times New Roman"/>
                      <w:color w:val="auto"/>
                      <w:spacing w:val="-10"/>
                      <w:sz w:val="18"/>
                      <w:szCs w:val="18"/>
                      <w:highlight w:val="none"/>
                      <w:lang w:val="en-US" w:eastAsia="zh-CN"/>
                    </w:rPr>
                  </w:pPr>
                </w:p>
              </w:tc>
              <w:tc>
                <w:tcPr>
                  <w:tcW w:w="1372" w:type="dxa"/>
                  <w:vMerge w:val="continue"/>
                  <w:tcBorders>
                    <w:tl2br w:val="nil"/>
                    <w:tr2bl w:val="nil"/>
                  </w:tcBorders>
                  <w:vAlign w:val="center"/>
                </w:tcPr>
                <w:p w14:paraId="2FA8FDDD">
                  <w:pPr>
                    <w:spacing w:line="240" w:lineRule="exact"/>
                    <w:jc w:val="center"/>
                    <w:rPr>
                      <w:rFonts w:hint="eastAsia" w:ascii="Times New Roman" w:hAnsi="Times New Roman" w:eastAsia="宋体" w:cs="Times New Roman"/>
                      <w:color w:val="auto"/>
                      <w:spacing w:val="-10"/>
                      <w:sz w:val="18"/>
                      <w:szCs w:val="18"/>
                      <w:highlight w:val="none"/>
                      <w:lang w:val="en-US" w:eastAsia="zh-CN"/>
                    </w:rPr>
                  </w:pPr>
                </w:p>
              </w:tc>
              <w:tc>
                <w:tcPr>
                  <w:tcW w:w="5948" w:type="dxa"/>
                  <w:gridSpan w:val="2"/>
                  <w:tcBorders>
                    <w:tl2br w:val="nil"/>
                    <w:tr2bl w:val="nil"/>
                  </w:tcBorders>
                  <w:shd w:val="clear" w:color="auto" w:fill="auto"/>
                  <w:vAlign w:val="center"/>
                </w:tcPr>
                <w:p w14:paraId="07D81A07">
                  <w:pPr>
                    <w:spacing w:line="240" w:lineRule="exact"/>
                    <w:jc w:val="center"/>
                    <w:rPr>
                      <w:rFonts w:hint="eastAsia" w:ascii="Times New Roman" w:hAnsi="Times New Roman" w:eastAsia="宋体" w:cs="Times New Roman"/>
                      <w:color w:val="auto"/>
                      <w:spacing w:val="-10"/>
                      <w:kern w:val="2"/>
                      <w:sz w:val="18"/>
                      <w:szCs w:val="18"/>
                      <w:lang w:val="en-US" w:eastAsia="zh-CN" w:bidi="ar-SA"/>
                    </w:rPr>
                  </w:pPr>
                  <w:r>
                    <w:rPr>
                      <w:rFonts w:hint="eastAsia" w:ascii="Times New Roman" w:hAnsi="Times New Roman" w:cs="Times New Roman"/>
                      <w:color w:val="auto"/>
                      <w:spacing w:val="-10"/>
                      <w:sz w:val="18"/>
                      <w:szCs w:val="18"/>
                      <w:lang w:val="en-US" w:eastAsia="zh-CN"/>
                    </w:rPr>
                    <w:t>贮存场应避开活动断层、溶洞区、天然滑坡或泥石流影响区以及湿地等区域</w:t>
                  </w:r>
                </w:p>
              </w:tc>
              <w:tc>
                <w:tcPr>
                  <w:tcW w:w="3335" w:type="dxa"/>
                  <w:tcBorders>
                    <w:tl2br w:val="nil"/>
                    <w:tr2bl w:val="nil"/>
                  </w:tcBorders>
                  <w:shd w:val="clear" w:color="auto" w:fill="auto"/>
                  <w:vAlign w:val="center"/>
                </w:tcPr>
                <w:p w14:paraId="1A9F5E9F">
                  <w:pPr>
                    <w:spacing w:line="240" w:lineRule="exact"/>
                    <w:jc w:val="center"/>
                    <w:rPr>
                      <w:rFonts w:hint="eastAsia" w:ascii="Times New Roman" w:hAnsi="Times New Roman" w:eastAsia="宋体" w:cs="Times New Roman"/>
                      <w:color w:val="auto"/>
                      <w:spacing w:val="-10"/>
                      <w:sz w:val="18"/>
                      <w:szCs w:val="18"/>
                      <w:lang w:val="en-US" w:eastAsia="zh-CN"/>
                    </w:rPr>
                  </w:pPr>
                  <w:r>
                    <w:rPr>
                      <w:rFonts w:hint="eastAsia" w:ascii="Times New Roman" w:hAnsi="Times New Roman" w:eastAsia="宋体" w:cs="Times New Roman"/>
                      <w:color w:val="auto"/>
                      <w:spacing w:val="-10"/>
                      <w:sz w:val="18"/>
                      <w:szCs w:val="18"/>
                      <w:lang w:val="en-US" w:eastAsia="zh-CN"/>
                    </w:rPr>
                    <w:t>项目所在区域不在活动断层、溶洞区、天然滑坡或泥石流影响区以及湿地等区域</w:t>
                  </w:r>
                </w:p>
              </w:tc>
              <w:tc>
                <w:tcPr>
                  <w:tcW w:w="704" w:type="dxa"/>
                  <w:tcBorders>
                    <w:tl2br w:val="nil"/>
                    <w:tr2bl w:val="nil"/>
                  </w:tcBorders>
                  <w:shd w:val="clear" w:color="auto" w:fill="auto"/>
                  <w:vAlign w:val="center"/>
                </w:tcPr>
                <w:p w14:paraId="637297F2">
                  <w:pPr>
                    <w:jc w:val="center"/>
                    <w:rPr>
                      <w:rFonts w:hint="eastAsia" w:ascii="Times New Roman" w:hAnsi="Times New Roman" w:eastAsia="宋体" w:cs="Times New Roman"/>
                      <w:color w:val="auto"/>
                      <w:spacing w:val="-10"/>
                      <w:kern w:val="2"/>
                      <w:sz w:val="18"/>
                      <w:szCs w:val="18"/>
                      <w:lang w:val="en-US" w:eastAsia="zh-CN" w:bidi="ar-SA"/>
                    </w:rPr>
                  </w:pPr>
                  <w:r>
                    <w:rPr>
                      <w:rFonts w:hint="eastAsia"/>
                      <w:color w:val="auto"/>
                      <w:spacing w:val="-10"/>
                      <w:sz w:val="18"/>
                      <w:szCs w:val="18"/>
                    </w:rPr>
                    <w:t>符合</w:t>
                  </w:r>
                </w:p>
              </w:tc>
            </w:tr>
            <w:tr w14:paraId="7F2DB5C4">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78" w:hRule="atLeast"/>
              </w:trPr>
              <w:tc>
                <w:tcPr>
                  <w:tcW w:w="591" w:type="dxa"/>
                  <w:vMerge w:val="continue"/>
                  <w:tcBorders>
                    <w:tl2br w:val="nil"/>
                    <w:tr2bl w:val="nil"/>
                  </w:tcBorders>
                  <w:vAlign w:val="center"/>
                </w:tcPr>
                <w:p w14:paraId="53056427">
                  <w:pPr>
                    <w:spacing w:line="240" w:lineRule="exact"/>
                    <w:jc w:val="center"/>
                    <w:rPr>
                      <w:rFonts w:hint="eastAsia" w:cs="Times New Roman"/>
                      <w:color w:val="auto"/>
                      <w:spacing w:val="-10"/>
                      <w:sz w:val="18"/>
                      <w:szCs w:val="18"/>
                      <w:highlight w:val="none"/>
                      <w:lang w:val="en-US" w:eastAsia="zh-CN"/>
                    </w:rPr>
                  </w:pPr>
                </w:p>
              </w:tc>
              <w:tc>
                <w:tcPr>
                  <w:tcW w:w="1372" w:type="dxa"/>
                  <w:vMerge w:val="continue"/>
                  <w:tcBorders>
                    <w:tl2br w:val="nil"/>
                    <w:tr2bl w:val="nil"/>
                  </w:tcBorders>
                  <w:vAlign w:val="center"/>
                </w:tcPr>
                <w:p w14:paraId="5CAAC4CE">
                  <w:pPr>
                    <w:spacing w:line="240" w:lineRule="exact"/>
                    <w:jc w:val="center"/>
                    <w:rPr>
                      <w:rFonts w:hint="eastAsia" w:ascii="Times New Roman" w:hAnsi="Times New Roman" w:eastAsia="宋体" w:cs="Times New Roman"/>
                      <w:color w:val="auto"/>
                      <w:spacing w:val="-10"/>
                      <w:sz w:val="18"/>
                      <w:szCs w:val="18"/>
                      <w:highlight w:val="none"/>
                      <w:lang w:val="en-US" w:eastAsia="zh-CN"/>
                    </w:rPr>
                  </w:pPr>
                </w:p>
              </w:tc>
              <w:tc>
                <w:tcPr>
                  <w:tcW w:w="5948" w:type="dxa"/>
                  <w:gridSpan w:val="2"/>
                  <w:tcBorders>
                    <w:tl2br w:val="nil"/>
                    <w:tr2bl w:val="nil"/>
                  </w:tcBorders>
                  <w:shd w:val="clear" w:color="auto" w:fill="auto"/>
                  <w:vAlign w:val="center"/>
                </w:tcPr>
                <w:p w14:paraId="242A80B8">
                  <w:pPr>
                    <w:spacing w:line="240" w:lineRule="exact"/>
                    <w:jc w:val="center"/>
                    <w:rPr>
                      <w:rFonts w:hint="eastAsia" w:ascii="Times New Roman" w:hAnsi="Times New Roman" w:eastAsia="宋体" w:cs="Times New Roman"/>
                      <w:color w:val="auto"/>
                      <w:spacing w:val="-10"/>
                      <w:kern w:val="2"/>
                      <w:sz w:val="18"/>
                      <w:szCs w:val="18"/>
                      <w:lang w:val="en-US" w:eastAsia="zh-CN" w:bidi="ar-SA"/>
                    </w:rPr>
                  </w:pPr>
                  <w:r>
                    <w:rPr>
                      <w:rFonts w:hint="eastAsia" w:ascii="Times New Roman" w:hAnsi="Times New Roman" w:cs="Times New Roman"/>
                      <w:color w:val="auto"/>
                      <w:spacing w:val="-10"/>
                      <w:sz w:val="18"/>
                      <w:szCs w:val="18"/>
                      <w:lang w:val="en-US" w:eastAsia="zh-CN"/>
                    </w:rPr>
                    <w:t>贮存场不得选在江河、湖泊、运河、渠道、水库最高水位线以下的滩地和岸坡，以及国家和地方长远规划中的水库等人工蓄水设施的淹没区和保护区之内</w:t>
                  </w:r>
                </w:p>
              </w:tc>
              <w:tc>
                <w:tcPr>
                  <w:tcW w:w="3335" w:type="dxa"/>
                  <w:tcBorders>
                    <w:tl2br w:val="nil"/>
                    <w:tr2bl w:val="nil"/>
                  </w:tcBorders>
                  <w:shd w:val="clear" w:color="auto" w:fill="auto"/>
                  <w:vAlign w:val="center"/>
                </w:tcPr>
                <w:p w14:paraId="68320178">
                  <w:pPr>
                    <w:spacing w:line="240" w:lineRule="exact"/>
                    <w:jc w:val="center"/>
                    <w:rPr>
                      <w:rFonts w:hint="eastAsia" w:ascii="Times New Roman" w:hAnsi="Times New Roman" w:eastAsia="宋体" w:cs="Times New Roman"/>
                      <w:color w:val="auto"/>
                      <w:spacing w:val="-10"/>
                      <w:kern w:val="2"/>
                      <w:sz w:val="18"/>
                      <w:szCs w:val="18"/>
                      <w:lang w:val="en-US" w:eastAsia="zh-CN" w:bidi="ar-SA"/>
                    </w:rPr>
                  </w:pPr>
                  <w:r>
                    <w:rPr>
                      <w:rFonts w:hint="eastAsia" w:ascii="Times New Roman" w:hAnsi="Times New Roman" w:cs="Times New Roman"/>
                      <w:color w:val="auto"/>
                      <w:spacing w:val="-10"/>
                      <w:sz w:val="18"/>
                      <w:szCs w:val="18"/>
                      <w:lang w:val="en-US" w:eastAsia="zh-CN"/>
                    </w:rPr>
                    <w:t>项目不在江河、湖泊、运河、渠道、水库最高水位线以下的滩地和岸坡，以及国家和地方长远规划中的水库等人工蓄水设施的淹没区和保护区之内</w:t>
                  </w:r>
                </w:p>
              </w:tc>
              <w:tc>
                <w:tcPr>
                  <w:tcW w:w="704" w:type="dxa"/>
                  <w:tcBorders>
                    <w:tl2br w:val="nil"/>
                    <w:tr2bl w:val="nil"/>
                  </w:tcBorders>
                  <w:shd w:val="clear" w:color="auto" w:fill="auto"/>
                  <w:vAlign w:val="center"/>
                </w:tcPr>
                <w:p w14:paraId="6B49BF5D">
                  <w:pPr>
                    <w:jc w:val="center"/>
                    <w:rPr>
                      <w:rFonts w:hint="eastAsia" w:ascii="Times New Roman" w:hAnsi="Times New Roman" w:eastAsia="宋体" w:cs="Times New Roman"/>
                      <w:color w:val="auto"/>
                      <w:spacing w:val="-10"/>
                      <w:kern w:val="2"/>
                      <w:sz w:val="18"/>
                      <w:szCs w:val="18"/>
                      <w:lang w:val="en-US" w:eastAsia="zh-CN" w:bidi="ar-SA"/>
                    </w:rPr>
                  </w:pPr>
                  <w:r>
                    <w:rPr>
                      <w:rFonts w:hint="eastAsia"/>
                      <w:color w:val="auto"/>
                      <w:spacing w:val="-10"/>
                      <w:sz w:val="18"/>
                      <w:szCs w:val="18"/>
                    </w:rPr>
                    <w:t>符合</w:t>
                  </w:r>
                </w:p>
              </w:tc>
            </w:tr>
          </w:tbl>
          <w:p w14:paraId="1C985690">
            <w:pPr>
              <w:pStyle w:val="24"/>
              <w:adjustRightInd w:val="0"/>
              <w:snapToGrid w:val="0"/>
              <w:spacing w:before="0" w:beforeAutospacing="0" w:after="0" w:afterAutospacing="0" w:line="440" w:lineRule="exact"/>
              <w:jc w:val="center"/>
              <w:rPr>
                <w:rFonts w:hint="default" w:ascii="Times New Roman" w:hAnsi="Times New Roman" w:eastAsia="宋体"/>
                <w:b/>
                <w:color w:val="auto"/>
                <w:sz w:val="21"/>
                <w:szCs w:val="21"/>
                <w:highlight w:val="none"/>
                <w:lang w:val="en-US" w:eastAsia="zh-CN"/>
              </w:rPr>
            </w:pPr>
            <w:r>
              <w:rPr>
                <w:rFonts w:hint="eastAsia" w:ascii="Times New Roman" w:hAnsi="Times New Roman"/>
                <w:b/>
                <w:color w:val="auto"/>
                <w:sz w:val="21"/>
                <w:szCs w:val="21"/>
                <w:highlight w:val="none"/>
                <w:lang w:val="en-US" w:eastAsia="zh-CN"/>
              </w:rPr>
              <w:t>续</w:t>
            </w:r>
            <w:r>
              <w:rPr>
                <w:rFonts w:ascii="Times New Roman" w:hAnsi="Times New Roman"/>
                <w:b/>
                <w:color w:val="auto"/>
                <w:sz w:val="21"/>
                <w:szCs w:val="21"/>
                <w:highlight w:val="none"/>
              </w:rPr>
              <w:t>表</w:t>
            </w:r>
            <w:r>
              <w:rPr>
                <w:rFonts w:hint="eastAsia" w:ascii="Times New Roman" w:hAnsi="Times New Roman"/>
                <w:b/>
                <w:color w:val="auto"/>
                <w:sz w:val="21"/>
                <w:szCs w:val="21"/>
                <w:highlight w:val="none"/>
                <w:lang w:val="en-US" w:eastAsia="zh-CN"/>
              </w:rPr>
              <w:t>4</w:t>
            </w:r>
            <w:r>
              <w:rPr>
                <w:rFonts w:hint="eastAsia" w:ascii="Times New Roman" w:hAnsi="Times New Roman"/>
                <w:b/>
                <w:color w:val="auto"/>
                <w:sz w:val="21"/>
                <w:szCs w:val="21"/>
                <w:highlight w:val="none"/>
              </w:rPr>
              <w:t xml:space="preserve">  </w:t>
            </w:r>
            <w:r>
              <w:rPr>
                <w:rFonts w:hint="eastAsia" w:ascii="Times New Roman" w:hAnsi="Times New Roman"/>
                <w:b/>
                <w:color w:val="auto"/>
                <w:sz w:val="21"/>
                <w:szCs w:val="21"/>
                <w:highlight w:val="none"/>
                <w:lang w:val="en-US" w:eastAsia="zh-CN"/>
              </w:rPr>
              <w:t>本</w:t>
            </w:r>
            <w:r>
              <w:rPr>
                <w:rFonts w:hint="eastAsia" w:ascii="Times New Roman" w:hAnsi="Times New Roman"/>
                <w:b/>
                <w:color w:val="auto"/>
                <w:sz w:val="21"/>
                <w:szCs w:val="21"/>
                <w:highlight w:val="none"/>
              </w:rPr>
              <w:t>项目与</w:t>
            </w:r>
            <w:r>
              <w:rPr>
                <w:rFonts w:hint="eastAsia" w:ascii="Times New Roman" w:hAnsi="Times New Roman"/>
                <w:b/>
                <w:color w:val="auto"/>
                <w:sz w:val="21"/>
                <w:szCs w:val="21"/>
                <w:highlight w:val="none"/>
                <w:lang w:val="en-US" w:eastAsia="zh-CN"/>
              </w:rPr>
              <w:t>相关文件的</w:t>
            </w:r>
            <w:r>
              <w:rPr>
                <w:rFonts w:ascii="Times New Roman" w:hAnsi="Times New Roman"/>
                <w:b/>
                <w:color w:val="auto"/>
                <w:sz w:val="21"/>
                <w:szCs w:val="21"/>
                <w:highlight w:val="none"/>
              </w:rPr>
              <w:t>符合性</w:t>
            </w:r>
            <w:r>
              <w:rPr>
                <w:rFonts w:hint="eastAsia" w:ascii="Times New Roman" w:hAnsi="Times New Roman"/>
                <w:b/>
                <w:color w:val="auto"/>
                <w:sz w:val="21"/>
                <w:szCs w:val="21"/>
                <w:highlight w:val="none"/>
                <w:lang w:val="en-US" w:eastAsia="zh-CN"/>
              </w:rPr>
              <w:t>分析一览表</w:t>
            </w:r>
          </w:p>
          <w:tbl>
            <w:tblPr>
              <w:tblStyle w:val="28"/>
              <w:tblW w:w="11950" w:type="dxa"/>
              <w:tblInd w:w="0" w:type="dxa"/>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
            <w:tblGrid>
              <w:gridCol w:w="580"/>
              <w:gridCol w:w="1383"/>
              <w:gridCol w:w="1008"/>
              <w:gridCol w:w="5197"/>
              <w:gridCol w:w="3078"/>
              <w:gridCol w:w="704"/>
            </w:tblGrid>
            <w:tr w14:paraId="2932AA1E">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exact"/>
              </w:trPr>
              <w:tc>
                <w:tcPr>
                  <w:tcW w:w="580" w:type="dxa"/>
                  <w:tcBorders>
                    <w:tl2br w:val="nil"/>
                    <w:tr2bl w:val="nil"/>
                  </w:tcBorders>
                  <w:vAlign w:val="center"/>
                </w:tcPr>
                <w:p w14:paraId="4F60FF91">
                  <w:pPr>
                    <w:spacing w:line="240" w:lineRule="exact"/>
                    <w:jc w:val="center"/>
                    <w:rPr>
                      <w:color w:val="auto"/>
                      <w:spacing w:val="-10"/>
                      <w:sz w:val="18"/>
                      <w:szCs w:val="18"/>
                      <w:highlight w:val="none"/>
                    </w:rPr>
                  </w:pPr>
                  <w:r>
                    <w:rPr>
                      <w:rFonts w:hint="eastAsia"/>
                      <w:color w:val="auto"/>
                      <w:spacing w:val="-10"/>
                      <w:sz w:val="18"/>
                      <w:szCs w:val="18"/>
                      <w:highlight w:val="none"/>
                    </w:rPr>
                    <w:t>序号</w:t>
                  </w:r>
                </w:p>
              </w:tc>
              <w:tc>
                <w:tcPr>
                  <w:tcW w:w="7588" w:type="dxa"/>
                  <w:gridSpan w:val="3"/>
                  <w:tcBorders>
                    <w:tl2br w:val="nil"/>
                    <w:tr2bl w:val="nil"/>
                  </w:tcBorders>
                  <w:vAlign w:val="center"/>
                </w:tcPr>
                <w:p w14:paraId="0B8F231A">
                  <w:pPr>
                    <w:spacing w:line="240" w:lineRule="exact"/>
                    <w:jc w:val="center"/>
                    <w:rPr>
                      <w:color w:val="auto"/>
                      <w:spacing w:val="-10"/>
                      <w:sz w:val="18"/>
                      <w:szCs w:val="18"/>
                      <w:highlight w:val="none"/>
                    </w:rPr>
                  </w:pPr>
                  <w:r>
                    <w:rPr>
                      <w:rFonts w:hint="eastAsia"/>
                      <w:color w:val="auto"/>
                      <w:spacing w:val="-10"/>
                      <w:sz w:val="18"/>
                      <w:szCs w:val="18"/>
                      <w:highlight w:val="none"/>
                    </w:rPr>
                    <w:t>政策要求</w:t>
                  </w:r>
                </w:p>
              </w:tc>
              <w:tc>
                <w:tcPr>
                  <w:tcW w:w="3078" w:type="dxa"/>
                  <w:tcBorders>
                    <w:tl2br w:val="nil"/>
                    <w:tr2bl w:val="nil"/>
                  </w:tcBorders>
                  <w:vAlign w:val="center"/>
                </w:tcPr>
                <w:p w14:paraId="5B98273B">
                  <w:pPr>
                    <w:spacing w:line="240" w:lineRule="exact"/>
                    <w:jc w:val="center"/>
                    <w:rPr>
                      <w:color w:val="auto"/>
                      <w:spacing w:val="-10"/>
                      <w:sz w:val="18"/>
                      <w:szCs w:val="18"/>
                      <w:highlight w:val="none"/>
                    </w:rPr>
                  </w:pPr>
                  <w:r>
                    <w:rPr>
                      <w:rFonts w:hint="eastAsia"/>
                      <w:color w:val="auto"/>
                      <w:spacing w:val="-10"/>
                      <w:sz w:val="18"/>
                      <w:szCs w:val="18"/>
                      <w:highlight w:val="none"/>
                    </w:rPr>
                    <w:t>本项目实际</w:t>
                  </w:r>
                </w:p>
              </w:tc>
              <w:tc>
                <w:tcPr>
                  <w:tcW w:w="704" w:type="dxa"/>
                  <w:tcBorders>
                    <w:tl2br w:val="nil"/>
                    <w:tr2bl w:val="nil"/>
                  </w:tcBorders>
                  <w:vAlign w:val="center"/>
                </w:tcPr>
                <w:p w14:paraId="2CC925EA">
                  <w:pPr>
                    <w:jc w:val="center"/>
                    <w:rPr>
                      <w:color w:val="auto"/>
                      <w:spacing w:val="-10"/>
                      <w:sz w:val="18"/>
                      <w:szCs w:val="18"/>
                      <w:highlight w:val="none"/>
                    </w:rPr>
                  </w:pPr>
                  <w:r>
                    <w:rPr>
                      <w:rFonts w:hint="eastAsia"/>
                      <w:color w:val="auto"/>
                      <w:spacing w:val="-10"/>
                      <w:sz w:val="18"/>
                      <w:szCs w:val="18"/>
                      <w:highlight w:val="none"/>
                    </w:rPr>
                    <w:t>符合性</w:t>
                  </w:r>
                </w:p>
              </w:tc>
            </w:tr>
            <w:tr w14:paraId="6BCA20D3">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78" w:hRule="atLeast"/>
              </w:trPr>
              <w:tc>
                <w:tcPr>
                  <w:tcW w:w="580" w:type="dxa"/>
                  <w:vMerge w:val="restart"/>
                  <w:tcBorders>
                    <w:tl2br w:val="nil"/>
                    <w:tr2bl w:val="nil"/>
                  </w:tcBorders>
                  <w:shd w:val="clear" w:color="auto" w:fill="auto"/>
                  <w:vAlign w:val="center"/>
                </w:tcPr>
                <w:p w14:paraId="31CAFD48">
                  <w:pPr>
                    <w:spacing w:line="240" w:lineRule="exact"/>
                    <w:jc w:val="center"/>
                    <w:rPr>
                      <w:rFonts w:hint="default" w:ascii="Times New Roman" w:hAnsi="Times New Roman" w:eastAsia="宋体" w:cs="Times New Roman"/>
                      <w:color w:val="auto"/>
                      <w:spacing w:val="-10"/>
                      <w:kern w:val="2"/>
                      <w:sz w:val="18"/>
                      <w:szCs w:val="18"/>
                      <w:highlight w:val="none"/>
                      <w:lang w:val="en-US" w:eastAsia="zh-CN" w:bidi="ar-SA"/>
                    </w:rPr>
                  </w:pPr>
                  <w:r>
                    <w:rPr>
                      <w:rFonts w:hint="eastAsia" w:cs="Times New Roman"/>
                      <w:color w:val="auto"/>
                      <w:spacing w:val="-10"/>
                      <w:sz w:val="18"/>
                      <w:szCs w:val="18"/>
                      <w:highlight w:val="none"/>
                      <w:lang w:val="en-US" w:eastAsia="zh-CN"/>
                    </w:rPr>
                    <w:t>2</w:t>
                  </w:r>
                </w:p>
              </w:tc>
              <w:tc>
                <w:tcPr>
                  <w:tcW w:w="1383" w:type="dxa"/>
                  <w:vMerge w:val="restart"/>
                  <w:tcBorders>
                    <w:tl2br w:val="nil"/>
                    <w:tr2bl w:val="nil"/>
                  </w:tcBorders>
                  <w:shd w:val="clear" w:color="auto" w:fill="auto"/>
                  <w:vAlign w:val="center"/>
                </w:tcPr>
                <w:p w14:paraId="68B10253">
                  <w:pPr>
                    <w:spacing w:line="240" w:lineRule="exact"/>
                    <w:jc w:val="center"/>
                    <w:rPr>
                      <w:rFonts w:hint="eastAsia" w:ascii="Times New Roman" w:hAnsi="Times New Roman" w:eastAsia="宋体" w:cs="Times New Roman"/>
                      <w:color w:val="auto"/>
                      <w:spacing w:val="-10"/>
                      <w:kern w:val="2"/>
                      <w:sz w:val="18"/>
                      <w:szCs w:val="18"/>
                      <w:highlight w:val="none"/>
                      <w:lang w:val="en-US" w:eastAsia="zh-CN" w:bidi="ar-SA"/>
                    </w:rPr>
                  </w:pPr>
                  <w:r>
                    <w:rPr>
                      <w:rFonts w:hint="eastAsia" w:ascii="Times New Roman" w:hAnsi="Times New Roman" w:eastAsia="宋体" w:cs="Times New Roman"/>
                      <w:color w:val="auto"/>
                      <w:spacing w:val="-10"/>
                      <w:sz w:val="18"/>
                      <w:szCs w:val="18"/>
                      <w:highlight w:val="none"/>
                      <w:lang w:val="en-US" w:eastAsia="zh-CN"/>
                    </w:rPr>
                    <w:t>《</w:t>
                  </w:r>
                  <w:r>
                    <w:rPr>
                      <w:rFonts w:hint="default" w:ascii="Times New Roman" w:hAnsi="Times New Roman" w:eastAsia="宋体" w:cs="Times New Roman"/>
                      <w:color w:val="auto"/>
                      <w:spacing w:val="-10"/>
                      <w:sz w:val="18"/>
                      <w:szCs w:val="18"/>
                      <w:highlight w:val="none"/>
                      <w:lang w:val="en-US" w:eastAsia="zh-CN"/>
                    </w:rPr>
                    <w:t>一般工业固体废物贮存和填埋污染控制标准</w:t>
                  </w:r>
                  <w:r>
                    <w:rPr>
                      <w:rFonts w:hint="eastAsia" w:ascii="Times New Roman" w:hAnsi="Times New Roman" w:eastAsia="宋体" w:cs="Times New Roman"/>
                      <w:color w:val="auto"/>
                      <w:spacing w:val="-10"/>
                      <w:sz w:val="18"/>
                      <w:szCs w:val="18"/>
                      <w:highlight w:val="none"/>
                      <w:lang w:val="en-US" w:eastAsia="zh-CN"/>
                    </w:rPr>
                    <w:t>》（</w:t>
                  </w:r>
                  <w:r>
                    <w:rPr>
                      <w:rFonts w:hint="default" w:ascii="Times New Roman" w:hAnsi="Times New Roman" w:eastAsia="宋体" w:cs="Times New Roman"/>
                      <w:color w:val="auto"/>
                      <w:spacing w:val="-10"/>
                      <w:sz w:val="18"/>
                      <w:szCs w:val="18"/>
                      <w:highlight w:val="none"/>
                      <w:lang w:val="en-US" w:eastAsia="zh-CN"/>
                    </w:rPr>
                    <w:t>GB18599-2020</w:t>
                  </w:r>
                  <w:r>
                    <w:rPr>
                      <w:rFonts w:hint="eastAsia" w:ascii="Times New Roman" w:hAnsi="Times New Roman" w:eastAsia="宋体" w:cs="Times New Roman"/>
                      <w:color w:val="auto"/>
                      <w:spacing w:val="-10"/>
                      <w:sz w:val="18"/>
                      <w:szCs w:val="18"/>
                      <w:highlight w:val="none"/>
                      <w:lang w:val="en-US" w:eastAsia="zh-CN"/>
                    </w:rPr>
                    <w:t>）</w:t>
                  </w:r>
                </w:p>
              </w:tc>
              <w:tc>
                <w:tcPr>
                  <w:tcW w:w="1008" w:type="dxa"/>
                  <w:vMerge w:val="restart"/>
                  <w:tcBorders>
                    <w:right w:val="single" w:color="auto" w:sz="4" w:space="0"/>
                    <w:tl2br w:val="nil"/>
                    <w:tr2bl w:val="nil"/>
                  </w:tcBorders>
                  <w:shd w:val="clear" w:color="auto" w:fill="auto"/>
                  <w:vAlign w:val="center"/>
                </w:tcPr>
                <w:p w14:paraId="161DBDD1">
                  <w:pPr>
                    <w:spacing w:line="240" w:lineRule="exact"/>
                    <w:jc w:val="center"/>
                    <w:rPr>
                      <w:rFonts w:hint="eastAsia" w:ascii="Times New Roman" w:hAnsi="Times New Roman" w:eastAsia="宋体" w:cs="Times New Roman"/>
                      <w:color w:val="auto"/>
                      <w:spacing w:val="-10"/>
                      <w:sz w:val="18"/>
                      <w:szCs w:val="18"/>
                      <w:lang w:val="en-US" w:eastAsia="zh-CN"/>
                    </w:rPr>
                  </w:pPr>
                  <w:r>
                    <w:rPr>
                      <w:rFonts w:hint="eastAsia" w:ascii="Times New Roman" w:hAnsi="Times New Roman" w:eastAsia="宋体" w:cs="Times New Roman"/>
                      <w:color w:val="auto"/>
                      <w:spacing w:val="-10"/>
                      <w:sz w:val="18"/>
                      <w:szCs w:val="18"/>
                      <w:lang w:val="en-US" w:eastAsia="zh-CN"/>
                    </w:rPr>
                    <w:t>I类场技术要求</w:t>
                  </w:r>
                </w:p>
              </w:tc>
              <w:tc>
                <w:tcPr>
                  <w:tcW w:w="5197" w:type="dxa"/>
                  <w:tcBorders>
                    <w:left w:val="single" w:color="auto" w:sz="4" w:space="0"/>
                    <w:tl2br w:val="nil"/>
                    <w:tr2bl w:val="nil"/>
                  </w:tcBorders>
                  <w:shd w:val="clear" w:color="auto" w:fill="auto"/>
                  <w:vAlign w:val="center"/>
                </w:tcPr>
                <w:p w14:paraId="78C09216">
                  <w:pPr>
                    <w:spacing w:line="240" w:lineRule="exact"/>
                    <w:jc w:val="center"/>
                    <w:rPr>
                      <w:rFonts w:hint="eastAsia" w:ascii="Times New Roman" w:hAnsi="Times New Roman" w:cs="Times New Roman"/>
                      <w:color w:val="auto"/>
                      <w:spacing w:val="-10"/>
                      <w:sz w:val="18"/>
                      <w:szCs w:val="18"/>
                      <w:lang w:val="en-US" w:eastAsia="zh-CN"/>
                    </w:rPr>
                  </w:pPr>
                  <w:r>
                    <w:rPr>
                      <w:rFonts w:hint="default" w:ascii="Times New Roman" w:hAnsi="Times New Roman" w:eastAsia="微软雅黑" w:cs="Times New Roman"/>
                      <w:color w:val="auto"/>
                      <w:spacing w:val="-10"/>
                      <w:sz w:val="18"/>
                      <w:szCs w:val="18"/>
                      <w:lang w:val="en-US" w:eastAsia="zh-CN"/>
                    </w:rPr>
                    <w:t>①</w:t>
                  </w:r>
                  <w:r>
                    <w:rPr>
                      <w:rFonts w:hint="default" w:ascii="Times New Roman" w:hAnsi="Times New Roman" w:cs="Times New Roman"/>
                      <w:color w:val="auto"/>
                      <w:spacing w:val="-10"/>
                      <w:sz w:val="18"/>
                      <w:szCs w:val="18"/>
                      <w:lang w:val="en-US" w:eastAsia="zh-CN"/>
                    </w:rPr>
                    <w:t>当天然基础层饱和渗透系数不大于1.0×10</w:t>
                  </w:r>
                  <w:r>
                    <w:rPr>
                      <w:rFonts w:hint="default" w:ascii="Times New Roman" w:hAnsi="Times New Roman" w:cs="Times New Roman"/>
                      <w:color w:val="auto"/>
                      <w:spacing w:val="-10"/>
                      <w:sz w:val="18"/>
                      <w:szCs w:val="18"/>
                      <w:vertAlign w:val="superscript"/>
                      <w:lang w:val="en-US" w:eastAsia="zh-CN"/>
                    </w:rPr>
                    <w:t>-5</w:t>
                  </w:r>
                  <w:r>
                    <w:rPr>
                      <w:rFonts w:hint="default" w:ascii="Times New Roman" w:hAnsi="Times New Roman" w:cs="Times New Roman"/>
                      <w:color w:val="auto"/>
                      <w:spacing w:val="-10"/>
                      <w:sz w:val="18"/>
                      <w:szCs w:val="18"/>
                      <w:lang w:val="en-US" w:eastAsia="zh-CN"/>
                    </w:rPr>
                    <w:t xml:space="preserve"> cm/s，且厚度不小于0.75 m时，可以采用天然基础层作为防渗衬层</w:t>
                  </w:r>
                </w:p>
              </w:tc>
              <w:tc>
                <w:tcPr>
                  <w:tcW w:w="3078" w:type="dxa"/>
                  <w:vMerge w:val="restart"/>
                  <w:tcBorders>
                    <w:tl2br w:val="nil"/>
                    <w:tr2bl w:val="nil"/>
                  </w:tcBorders>
                  <w:shd w:val="clear" w:color="auto" w:fill="auto"/>
                  <w:vAlign w:val="center"/>
                </w:tcPr>
                <w:p w14:paraId="56A801BE">
                  <w:pPr>
                    <w:spacing w:line="0" w:lineRule="atLeast"/>
                    <w:jc w:val="both"/>
                    <w:rPr>
                      <w:rFonts w:hint="eastAsia" w:ascii="Times New Roman" w:hAnsi="Times New Roman" w:cs="Times New Roman"/>
                      <w:color w:val="auto"/>
                      <w:spacing w:val="-10"/>
                      <w:sz w:val="18"/>
                      <w:szCs w:val="18"/>
                      <w:lang w:val="en-US" w:eastAsia="zh-CN"/>
                    </w:rPr>
                  </w:pPr>
                  <w:r>
                    <w:rPr>
                      <w:rFonts w:hint="eastAsia" w:cs="Times New Roman"/>
                      <w:color w:val="auto"/>
                      <w:spacing w:val="-10"/>
                      <w:sz w:val="18"/>
                      <w:szCs w:val="18"/>
                      <w:lang w:val="en-US" w:eastAsia="zh-CN"/>
                    </w:rPr>
                    <w:t>本项目涉及一般工业固体废物为废钢破碎尾料、钢渣，本项目严格要求，防渗措施按照Ⅱ类场技术要求进行建设。项目生产车间钢渣、废钢破碎尾料原料储存区、一般固废暂存区、产品暂存区地面采用防渗混凝土进行防渗，渗透系数小于</w:t>
                  </w:r>
                  <w:r>
                    <w:rPr>
                      <w:rFonts w:hint="default" w:cs="Times New Roman"/>
                      <w:color w:val="auto"/>
                      <w:spacing w:val="-10"/>
                      <w:sz w:val="18"/>
                      <w:szCs w:val="18"/>
                      <w:lang w:val="en-US" w:eastAsia="zh-CN"/>
                    </w:rPr>
                    <w:t>1.0</w:t>
                  </w:r>
                  <w:r>
                    <w:rPr>
                      <w:rFonts w:hint="eastAsia" w:cs="Times New Roman"/>
                      <w:color w:val="auto"/>
                      <w:spacing w:val="-10"/>
                      <w:sz w:val="18"/>
                      <w:szCs w:val="18"/>
                      <w:lang w:val="en-US" w:eastAsia="zh-CN"/>
                    </w:rPr>
                    <w:t>×</w:t>
                  </w:r>
                  <w:r>
                    <w:rPr>
                      <w:rFonts w:hint="default" w:cs="Times New Roman"/>
                      <w:color w:val="auto"/>
                      <w:spacing w:val="-10"/>
                      <w:sz w:val="18"/>
                      <w:szCs w:val="18"/>
                      <w:lang w:val="en-US" w:eastAsia="zh-CN"/>
                    </w:rPr>
                    <w:t>10</w:t>
                  </w:r>
                  <w:r>
                    <w:rPr>
                      <w:rFonts w:hint="default" w:cs="Times New Roman"/>
                      <w:color w:val="auto"/>
                      <w:spacing w:val="-10"/>
                      <w:sz w:val="18"/>
                      <w:szCs w:val="18"/>
                      <w:vertAlign w:val="superscript"/>
                      <w:lang w:val="en-US" w:eastAsia="zh-CN"/>
                    </w:rPr>
                    <w:t>-7</w:t>
                  </w:r>
                  <w:r>
                    <w:rPr>
                      <w:rFonts w:hint="default" w:cs="Times New Roman"/>
                      <w:color w:val="auto"/>
                      <w:spacing w:val="-10"/>
                      <w:sz w:val="18"/>
                      <w:szCs w:val="18"/>
                      <w:lang w:val="en-US" w:eastAsia="zh-CN"/>
                    </w:rPr>
                    <w:t>cm/s</w:t>
                  </w:r>
                  <w:r>
                    <w:rPr>
                      <w:rFonts w:hint="eastAsia" w:cs="Times New Roman"/>
                      <w:color w:val="auto"/>
                      <w:spacing w:val="-10"/>
                      <w:sz w:val="18"/>
                      <w:szCs w:val="18"/>
                      <w:lang w:val="en-US" w:eastAsia="zh-CN"/>
                    </w:rPr>
                    <w:t>，符合Ⅱ类场技术要求；污水池、污水沉淀池、清水池底部及四周和集水沟采用防渗混凝土进行防渗，渗透系数</w:t>
                  </w:r>
                  <w:r>
                    <w:rPr>
                      <w:rFonts w:hint="default" w:cs="Times New Roman"/>
                      <w:color w:val="auto"/>
                      <w:spacing w:val="-10"/>
                      <w:sz w:val="18"/>
                      <w:szCs w:val="18"/>
                      <w:lang w:val="en-US" w:eastAsia="zh-CN"/>
                    </w:rPr>
                    <w:t>≤1.0×10</w:t>
                  </w:r>
                  <w:r>
                    <w:rPr>
                      <w:rFonts w:hint="default" w:cs="Times New Roman"/>
                      <w:color w:val="auto"/>
                      <w:spacing w:val="-10"/>
                      <w:sz w:val="18"/>
                      <w:szCs w:val="18"/>
                      <w:vertAlign w:val="superscript"/>
                      <w:lang w:val="en-US" w:eastAsia="zh-CN"/>
                    </w:rPr>
                    <w:t>-7</w:t>
                  </w:r>
                  <w:r>
                    <w:rPr>
                      <w:rFonts w:hint="default" w:cs="Times New Roman"/>
                      <w:color w:val="auto"/>
                      <w:spacing w:val="-10"/>
                      <w:sz w:val="18"/>
                      <w:szCs w:val="18"/>
                      <w:lang w:val="en-US" w:eastAsia="zh-CN"/>
                    </w:rPr>
                    <w:t>cm/s</w:t>
                  </w:r>
                  <w:r>
                    <w:rPr>
                      <w:rFonts w:hint="eastAsia" w:cs="Times New Roman"/>
                      <w:color w:val="auto"/>
                      <w:spacing w:val="-10"/>
                      <w:sz w:val="18"/>
                      <w:szCs w:val="18"/>
                      <w:lang w:val="en-US" w:eastAsia="zh-CN"/>
                    </w:rPr>
                    <w:t>，收集废水的管道为地上</w:t>
                  </w:r>
                  <w:r>
                    <w:rPr>
                      <w:rFonts w:hint="default" w:cs="Times New Roman"/>
                      <w:color w:val="auto"/>
                      <w:spacing w:val="-10"/>
                      <w:sz w:val="18"/>
                      <w:szCs w:val="18"/>
                      <w:lang w:val="en-US" w:eastAsia="zh-CN"/>
                    </w:rPr>
                    <w:t>PVC</w:t>
                  </w:r>
                  <w:r>
                    <w:rPr>
                      <w:rFonts w:hint="eastAsia" w:cs="Times New Roman"/>
                      <w:color w:val="auto"/>
                      <w:spacing w:val="-10"/>
                      <w:sz w:val="18"/>
                      <w:szCs w:val="18"/>
                      <w:lang w:val="en-US" w:eastAsia="zh-CN"/>
                    </w:rPr>
                    <w:t>管道，集水沟为明沟，渗透系数</w:t>
                  </w:r>
                  <w:r>
                    <w:rPr>
                      <w:rFonts w:hint="default" w:cs="Times New Roman"/>
                      <w:color w:val="auto"/>
                      <w:spacing w:val="-10"/>
                      <w:sz w:val="18"/>
                      <w:szCs w:val="18"/>
                      <w:lang w:val="en-US" w:eastAsia="zh-CN"/>
                    </w:rPr>
                    <w:t>≤1.0×10</w:t>
                  </w:r>
                  <w:r>
                    <w:rPr>
                      <w:rFonts w:hint="default" w:cs="Times New Roman"/>
                      <w:color w:val="auto"/>
                      <w:spacing w:val="-10"/>
                      <w:sz w:val="18"/>
                      <w:szCs w:val="18"/>
                      <w:vertAlign w:val="superscript"/>
                      <w:lang w:val="en-US" w:eastAsia="zh-CN"/>
                    </w:rPr>
                    <w:t>-7</w:t>
                  </w:r>
                  <w:r>
                    <w:rPr>
                      <w:rFonts w:hint="default" w:cs="Times New Roman"/>
                      <w:color w:val="auto"/>
                      <w:spacing w:val="-10"/>
                      <w:sz w:val="18"/>
                      <w:szCs w:val="18"/>
                      <w:lang w:val="en-US" w:eastAsia="zh-CN"/>
                    </w:rPr>
                    <w:t>cm/s</w:t>
                  </w:r>
                  <w:r>
                    <w:rPr>
                      <w:rFonts w:hint="eastAsia" w:cs="Times New Roman"/>
                      <w:color w:val="auto"/>
                      <w:spacing w:val="-10"/>
                      <w:sz w:val="18"/>
                      <w:szCs w:val="18"/>
                      <w:lang w:val="en-US" w:eastAsia="zh-CN"/>
                    </w:rPr>
                    <w:t>。</w:t>
                  </w:r>
                </w:p>
              </w:tc>
              <w:tc>
                <w:tcPr>
                  <w:tcW w:w="704" w:type="dxa"/>
                  <w:vMerge w:val="restart"/>
                  <w:tcBorders>
                    <w:tl2br w:val="nil"/>
                    <w:tr2bl w:val="nil"/>
                  </w:tcBorders>
                  <w:shd w:val="clear" w:color="auto" w:fill="auto"/>
                  <w:vAlign w:val="center"/>
                </w:tcPr>
                <w:p w14:paraId="48D7E13C">
                  <w:pPr>
                    <w:jc w:val="center"/>
                    <w:rPr>
                      <w:rFonts w:hint="eastAsia"/>
                      <w:color w:val="auto"/>
                      <w:spacing w:val="-10"/>
                      <w:sz w:val="18"/>
                      <w:szCs w:val="18"/>
                    </w:rPr>
                  </w:pPr>
                  <w:r>
                    <w:rPr>
                      <w:rFonts w:hint="eastAsia"/>
                      <w:color w:val="auto"/>
                      <w:spacing w:val="-10"/>
                      <w:sz w:val="18"/>
                      <w:szCs w:val="18"/>
                    </w:rPr>
                    <w:t>符合</w:t>
                  </w:r>
                </w:p>
              </w:tc>
            </w:tr>
            <w:tr w14:paraId="61D2BCE6">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78" w:hRule="atLeast"/>
              </w:trPr>
              <w:tc>
                <w:tcPr>
                  <w:tcW w:w="580" w:type="dxa"/>
                  <w:vMerge w:val="continue"/>
                  <w:tcBorders>
                    <w:tl2br w:val="nil"/>
                    <w:tr2bl w:val="nil"/>
                  </w:tcBorders>
                  <w:vAlign w:val="center"/>
                </w:tcPr>
                <w:p w14:paraId="5F4DE85E">
                  <w:pPr>
                    <w:spacing w:line="240" w:lineRule="exact"/>
                    <w:jc w:val="left"/>
                    <w:rPr>
                      <w:rFonts w:hint="default" w:ascii="Times New Roman" w:hAnsi="Times New Roman" w:eastAsia="宋体" w:cs="Times New Roman"/>
                      <w:color w:val="auto"/>
                      <w:spacing w:val="-10"/>
                      <w:sz w:val="18"/>
                      <w:szCs w:val="18"/>
                      <w:highlight w:val="none"/>
                      <w:lang w:val="en-US" w:eastAsia="zh-CN"/>
                    </w:rPr>
                  </w:pPr>
                </w:p>
              </w:tc>
              <w:tc>
                <w:tcPr>
                  <w:tcW w:w="1383" w:type="dxa"/>
                  <w:vMerge w:val="continue"/>
                  <w:tcBorders>
                    <w:tl2br w:val="nil"/>
                    <w:tr2bl w:val="nil"/>
                  </w:tcBorders>
                  <w:vAlign w:val="center"/>
                </w:tcPr>
                <w:p w14:paraId="70671486">
                  <w:pPr>
                    <w:spacing w:line="240" w:lineRule="exact"/>
                    <w:jc w:val="center"/>
                    <w:rPr>
                      <w:rFonts w:hint="eastAsia" w:ascii="Times New Roman" w:hAnsi="Times New Roman" w:eastAsia="宋体" w:cs="Times New Roman"/>
                      <w:color w:val="auto"/>
                      <w:spacing w:val="-10"/>
                      <w:sz w:val="18"/>
                      <w:szCs w:val="18"/>
                      <w:highlight w:val="none"/>
                      <w:lang w:val="en-US" w:eastAsia="zh-CN"/>
                    </w:rPr>
                  </w:pPr>
                </w:p>
              </w:tc>
              <w:tc>
                <w:tcPr>
                  <w:tcW w:w="1008" w:type="dxa"/>
                  <w:vMerge w:val="continue"/>
                  <w:tcBorders>
                    <w:right w:val="single" w:color="auto" w:sz="4" w:space="0"/>
                    <w:tl2br w:val="nil"/>
                    <w:tr2bl w:val="nil"/>
                  </w:tcBorders>
                  <w:shd w:val="clear" w:color="auto" w:fill="auto"/>
                  <w:vAlign w:val="center"/>
                </w:tcPr>
                <w:p w14:paraId="27BB724B">
                  <w:pPr>
                    <w:spacing w:line="240" w:lineRule="exact"/>
                    <w:jc w:val="center"/>
                    <w:rPr>
                      <w:rFonts w:hint="eastAsia" w:ascii="Times New Roman" w:hAnsi="Times New Roman" w:eastAsia="宋体" w:cs="Times New Roman"/>
                      <w:color w:val="auto"/>
                      <w:spacing w:val="-10"/>
                      <w:sz w:val="18"/>
                      <w:szCs w:val="18"/>
                      <w:lang w:val="en-US" w:eastAsia="zh-CN"/>
                    </w:rPr>
                  </w:pPr>
                </w:p>
              </w:tc>
              <w:tc>
                <w:tcPr>
                  <w:tcW w:w="5197" w:type="dxa"/>
                  <w:tcBorders>
                    <w:left w:val="single" w:color="auto" w:sz="4" w:space="0"/>
                    <w:tl2br w:val="nil"/>
                    <w:tr2bl w:val="nil"/>
                  </w:tcBorders>
                  <w:shd w:val="clear" w:color="auto" w:fill="auto"/>
                  <w:vAlign w:val="center"/>
                </w:tcPr>
                <w:p w14:paraId="4221969C">
                  <w:pPr>
                    <w:spacing w:line="240" w:lineRule="exact"/>
                    <w:jc w:val="center"/>
                    <w:rPr>
                      <w:rFonts w:hint="eastAsia" w:ascii="Times New Roman" w:hAnsi="Times New Roman" w:cs="Times New Roman"/>
                      <w:color w:val="auto"/>
                      <w:spacing w:val="-10"/>
                      <w:sz w:val="18"/>
                      <w:szCs w:val="18"/>
                      <w:lang w:val="en-US" w:eastAsia="zh-CN"/>
                    </w:rPr>
                  </w:pPr>
                  <w:r>
                    <w:rPr>
                      <w:rFonts w:hint="default" w:ascii="Times New Roman" w:hAnsi="Times New Roman" w:eastAsia="微软雅黑" w:cs="Times New Roman"/>
                      <w:color w:val="auto"/>
                      <w:spacing w:val="-10"/>
                      <w:sz w:val="18"/>
                      <w:szCs w:val="18"/>
                      <w:lang w:val="en-US" w:eastAsia="zh-CN"/>
                    </w:rPr>
                    <w:t>②</w:t>
                  </w:r>
                  <w:r>
                    <w:rPr>
                      <w:rFonts w:hint="default" w:ascii="Times New Roman" w:hAnsi="Times New Roman" w:cs="Times New Roman"/>
                      <w:color w:val="auto"/>
                      <w:spacing w:val="-10"/>
                      <w:sz w:val="18"/>
                      <w:szCs w:val="18"/>
                      <w:lang w:val="en-US" w:eastAsia="zh-CN"/>
                    </w:rPr>
                    <w:t>当天然基础层不能满足</w:t>
                  </w:r>
                  <w:r>
                    <w:rPr>
                      <w:rFonts w:hint="default" w:ascii="Times New Roman" w:hAnsi="Times New Roman" w:eastAsia="微软雅黑" w:cs="Times New Roman"/>
                      <w:color w:val="auto"/>
                      <w:spacing w:val="-10"/>
                      <w:sz w:val="18"/>
                      <w:szCs w:val="18"/>
                      <w:lang w:val="en-US" w:eastAsia="zh-CN"/>
                    </w:rPr>
                    <w:t>①</w:t>
                  </w:r>
                  <w:r>
                    <w:rPr>
                      <w:rFonts w:hint="default" w:ascii="Times New Roman" w:hAnsi="Times New Roman" w:cs="Times New Roman"/>
                      <w:color w:val="auto"/>
                      <w:spacing w:val="-10"/>
                      <w:sz w:val="18"/>
                      <w:szCs w:val="18"/>
                      <w:lang w:val="en-US" w:eastAsia="zh-CN"/>
                    </w:rPr>
                    <w:t>条防渗要求时，可采用改性压实粘土类衬层或具有同等以 上隔水效力的其他材料防渗衬层，其防渗性能应至少相当于渗透系数为1.0×10</w:t>
                  </w:r>
                  <w:r>
                    <w:rPr>
                      <w:rFonts w:hint="default" w:ascii="Times New Roman" w:hAnsi="Times New Roman" w:cs="Times New Roman"/>
                      <w:color w:val="auto"/>
                      <w:spacing w:val="-10"/>
                      <w:sz w:val="18"/>
                      <w:szCs w:val="18"/>
                      <w:vertAlign w:val="superscript"/>
                      <w:lang w:val="en-US" w:eastAsia="zh-CN"/>
                    </w:rPr>
                    <w:t>-5</w:t>
                  </w:r>
                  <w:r>
                    <w:rPr>
                      <w:rFonts w:hint="default" w:ascii="Times New Roman" w:hAnsi="Times New Roman" w:cs="Times New Roman"/>
                      <w:color w:val="auto"/>
                      <w:spacing w:val="-10"/>
                      <w:sz w:val="18"/>
                      <w:szCs w:val="18"/>
                      <w:lang w:val="en-US" w:eastAsia="zh-CN"/>
                    </w:rPr>
                    <w:t xml:space="preserve"> cm/s 且厚度为0.75 m的天然基础层</w:t>
                  </w:r>
                </w:p>
              </w:tc>
              <w:tc>
                <w:tcPr>
                  <w:tcW w:w="3078" w:type="dxa"/>
                  <w:vMerge w:val="continue"/>
                  <w:tcBorders>
                    <w:tl2br w:val="nil"/>
                    <w:tr2bl w:val="nil"/>
                  </w:tcBorders>
                  <w:shd w:val="clear" w:color="auto" w:fill="auto"/>
                  <w:vAlign w:val="center"/>
                </w:tcPr>
                <w:p w14:paraId="44FD5E85">
                  <w:pPr>
                    <w:spacing w:line="240" w:lineRule="exact"/>
                    <w:jc w:val="center"/>
                    <w:rPr>
                      <w:rFonts w:hint="eastAsia" w:ascii="Times New Roman" w:hAnsi="Times New Roman" w:cs="Times New Roman"/>
                      <w:color w:val="auto"/>
                      <w:spacing w:val="-10"/>
                      <w:sz w:val="18"/>
                      <w:szCs w:val="18"/>
                      <w:lang w:val="en-US" w:eastAsia="zh-CN"/>
                    </w:rPr>
                  </w:pPr>
                </w:p>
              </w:tc>
              <w:tc>
                <w:tcPr>
                  <w:tcW w:w="704" w:type="dxa"/>
                  <w:vMerge w:val="continue"/>
                  <w:tcBorders>
                    <w:tl2br w:val="nil"/>
                    <w:tr2bl w:val="nil"/>
                  </w:tcBorders>
                  <w:shd w:val="clear" w:color="auto" w:fill="auto"/>
                  <w:vAlign w:val="center"/>
                </w:tcPr>
                <w:p w14:paraId="7BE3F394">
                  <w:pPr>
                    <w:jc w:val="center"/>
                    <w:rPr>
                      <w:rFonts w:hint="eastAsia"/>
                      <w:color w:val="auto"/>
                      <w:spacing w:val="-10"/>
                      <w:sz w:val="18"/>
                      <w:szCs w:val="18"/>
                    </w:rPr>
                  </w:pPr>
                </w:p>
              </w:tc>
            </w:tr>
            <w:tr w14:paraId="66B99761">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78" w:hRule="atLeast"/>
              </w:trPr>
              <w:tc>
                <w:tcPr>
                  <w:tcW w:w="580" w:type="dxa"/>
                  <w:vMerge w:val="continue"/>
                  <w:tcBorders>
                    <w:tl2br w:val="nil"/>
                    <w:tr2bl w:val="nil"/>
                  </w:tcBorders>
                  <w:vAlign w:val="center"/>
                </w:tcPr>
                <w:p w14:paraId="21578C0A">
                  <w:pPr>
                    <w:spacing w:line="240" w:lineRule="exact"/>
                    <w:jc w:val="left"/>
                    <w:rPr>
                      <w:rFonts w:hint="default" w:ascii="Times New Roman" w:hAnsi="Times New Roman" w:eastAsia="宋体" w:cs="Times New Roman"/>
                      <w:color w:val="auto"/>
                      <w:spacing w:val="-10"/>
                      <w:sz w:val="18"/>
                      <w:szCs w:val="18"/>
                      <w:highlight w:val="none"/>
                      <w:lang w:val="en-US" w:eastAsia="zh-CN"/>
                    </w:rPr>
                  </w:pPr>
                </w:p>
              </w:tc>
              <w:tc>
                <w:tcPr>
                  <w:tcW w:w="1383" w:type="dxa"/>
                  <w:vMerge w:val="continue"/>
                  <w:tcBorders>
                    <w:tl2br w:val="nil"/>
                    <w:tr2bl w:val="nil"/>
                  </w:tcBorders>
                  <w:vAlign w:val="center"/>
                </w:tcPr>
                <w:p w14:paraId="1EE2E60D">
                  <w:pPr>
                    <w:spacing w:line="240" w:lineRule="exact"/>
                    <w:jc w:val="center"/>
                    <w:rPr>
                      <w:rFonts w:hint="eastAsia" w:ascii="Times New Roman" w:hAnsi="Times New Roman" w:eastAsia="宋体" w:cs="Times New Roman"/>
                      <w:color w:val="auto"/>
                      <w:spacing w:val="-10"/>
                      <w:sz w:val="18"/>
                      <w:szCs w:val="18"/>
                      <w:highlight w:val="none"/>
                      <w:lang w:val="en-US" w:eastAsia="zh-CN"/>
                    </w:rPr>
                  </w:pPr>
                </w:p>
              </w:tc>
              <w:tc>
                <w:tcPr>
                  <w:tcW w:w="1008" w:type="dxa"/>
                  <w:vMerge w:val="restart"/>
                  <w:tcBorders>
                    <w:right w:val="single" w:color="auto" w:sz="4" w:space="0"/>
                    <w:tl2br w:val="nil"/>
                    <w:tr2bl w:val="nil"/>
                  </w:tcBorders>
                  <w:shd w:val="clear" w:color="auto" w:fill="auto"/>
                  <w:vAlign w:val="center"/>
                </w:tcPr>
                <w:p w14:paraId="43CF5E61">
                  <w:pPr>
                    <w:spacing w:line="240" w:lineRule="exact"/>
                    <w:jc w:val="center"/>
                    <w:rPr>
                      <w:rFonts w:hint="eastAsia" w:ascii="Times New Roman" w:hAnsi="Times New Roman" w:eastAsia="宋体" w:cs="Times New Roman"/>
                      <w:color w:val="auto"/>
                      <w:spacing w:val="-10"/>
                      <w:sz w:val="18"/>
                      <w:szCs w:val="18"/>
                      <w:lang w:val="en-US" w:eastAsia="zh-CN"/>
                    </w:rPr>
                  </w:pPr>
                  <w:r>
                    <w:rPr>
                      <w:rFonts w:hint="eastAsia" w:ascii="Times New Roman" w:hAnsi="Times New Roman" w:eastAsia="宋体" w:cs="Times New Roman"/>
                      <w:color w:val="auto"/>
                      <w:spacing w:val="-10"/>
                      <w:sz w:val="18"/>
                      <w:szCs w:val="18"/>
                      <w:lang w:val="en-US" w:eastAsia="zh-CN"/>
                    </w:rPr>
                    <w:t>II 类场应采用单人工复合衬 层作为防渗衬层，并 符合以下技术要求</w:t>
                  </w:r>
                </w:p>
              </w:tc>
              <w:tc>
                <w:tcPr>
                  <w:tcW w:w="5197" w:type="dxa"/>
                  <w:tcBorders>
                    <w:left w:val="single" w:color="auto" w:sz="4" w:space="0"/>
                    <w:tl2br w:val="nil"/>
                    <w:tr2bl w:val="nil"/>
                  </w:tcBorders>
                  <w:shd w:val="clear" w:color="auto" w:fill="auto"/>
                  <w:vAlign w:val="center"/>
                </w:tcPr>
                <w:p w14:paraId="44E4E6F2">
                  <w:pPr>
                    <w:spacing w:line="240" w:lineRule="exact"/>
                    <w:jc w:val="center"/>
                    <w:rPr>
                      <w:rFonts w:hint="default" w:ascii="Times New Roman" w:hAnsi="Times New Roman" w:eastAsia="宋体" w:cs="Times New Roman"/>
                      <w:color w:val="auto"/>
                      <w:spacing w:val="-10"/>
                      <w:sz w:val="18"/>
                      <w:szCs w:val="18"/>
                      <w:lang w:val="en-US" w:eastAsia="zh-CN"/>
                    </w:rPr>
                  </w:pPr>
                  <w:r>
                    <w:rPr>
                      <w:rFonts w:hint="default" w:ascii="Times New Roman" w:hAnsi="Times New Roman" w:eastAsia="宋体" w:cs="Times New Roman"/>
                      <w:color w:val="auto"/>
                      <w:spacing w:val="-10"/>
                      <w:sz w:val="18"/>
                      <w:szCs w:val="18"/>
                      <w:lang w:val="en-US" w:eastAsia="zh-CN"/>
                    </w:rPr>
                    <w:t>①人工合成材料应采用 高密度聚乙烯膜，厚度不小于1.5mm，并满足GB/T17643规定的技术指标要求。采用其他人工合成材料的，其防渗性能 至少相当于1.5mm高密度聚乙烯膜的防渗性能</w:t>
                  </w:r>
                </w:p>
              </w:tc>
              <w:tc>
                <w:tcPr>
                  <w:tcW w:w="3078" w:type="dxa"/>
                  <w:vMerge w:val="continue"/>
                  <w:tcBorders>
                    <w:tl2br w:val="nil"/>
                    <w:tr2bl w:val="nil"/>
                  </w:tcBorders>
                  <w:shd w:val="clear" w:color="auto" w:fill="auto"/>
                  <w:vAlign w:val="center"/>
                </w:tcPr>
                <w:p w14:paraId="15A86A9C">
                  <w:pPr>
                    <w:spacing w:line="240" w:lineRule="exact"/>
                    <w:jc w:val="center"/>
                    <w:rPr>
                      <w:rFonts w:hint="eastAsia" w:ascii="Times New Roman" w:hAnsi="Times New Roman" w:cs="Times New Roman"/>
                      <w:color w:val="auto"/>
                      <w:spacing w:val="-10"/>
                      <w:sz w:val="18"/>
                      <w:szCs w:val="18"/>
                      <w:lang w:val="en-US" w:eastAsia="zh-CN"/>
                    </w:rPr>
                  </w:pPr>
                </w:p>
              </w:tc>
              <w:tc>
                <w:tcPr>
                  <w:tcW w:w="704" w:type="dxa"/>
                  <w:vMerge w:val="continue"/>
                  <w:tcBorders>
                    <w:tl2br w:val="nil"/>
                    <w:tr2bl w:val="nil"/>
                  </w:tcBorders>
                  <w:shd w:val="clear" w:color="auto" w:fill="auto"/>
                  <w:vAlign w:val="center"/>
                </w:tcPr>
                <w:p w14:paraId="7CB4B6A2">
                  <w:pPr>
                    <w:jc w:val="center"/>
                    <w:rPr>
                      <w:rFonts w:hint="eastAsia"/>
                      <w:color w:val="auto"/>
                      <w:spacing w:val="-10"/>
                      <w:sz w:val="18"/>
                      <w:szCs w:val="18"/>
                    </w:rPr>
                  </w:pPr>
                </w:p>
              </w:tc>
            </w:tr>
            <w:tr w14:paraId="2F5593BE">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78" w:hRule="atLeast"/>
              </w:trPr>
              <w:tc>
                <w:tcPr>
                  <w:tcW w:w="580" w:type="dxa"/>
                  <w:vMerge w:val="continue"/>
                  <w:tcBorders>
                    <w:tl2br w:val="nil"/>
                    <w:tr2bl w:val="nil"/>
                  </w:tcBorders>
                  <w:vAlign w:val="center"/>
                </w:tcPr>
                <w:p w14:paraId="17D6240B">
                  <w:pPr>
                    <w:spacing w:line="240" w:lineRule="exact"/>
                    <w:jc w:val="left"/>
                    <w:rPr>
                      <w:rFonts w:hint="default" w:ascii="Times New Roman" w:hAnsi="Times New Roman" w:eastAsia="宋体" w:cs="Times New Roman"/>
                      <w:color w:val="auto"/>
                      <w:spacing w:val="-10"/>
                      <w:sz w:val="18"/>
                      <w:szCs w:val="18"/>
                      <w:highlight w:val="none"/>
                      <w:lang w:val="en-US" w:eastAsia="zh-CN"/>
                    </w:rPr>
                  </w:pPr>
                </w:p>
              </w:tc>
              <w:tc>
                <w:tcPr>
                  <w:tcW w:w="1383" w:type="dxa"/>
                  <w:vMerge w:val="continue"/>
                  <w:tcBorders>
                    <w:tl2br w:val="nil"/>
                    <w:tr2bl w:val="nil"/>
                  </w:tcBorders>
                  <w:vAlign w:val="center"/>
                </w:tcPr>
                <w:p w14:paraId="05863785">
                  <w:pPr>
                    <w:spacing w:line="240" w:lineRule="exact"/>
                    <w:jc w:val="center"/>
                    <w:rPr>
                      <w:rFonts w:hint="eastAsia" w:ascii="Times New Roman" w:hAnsi="Times New Roman" w:eastAsia="宋体" w:cs="Times New Roman"/>
                      <w:color w:val="auto"/>
                      <w:spacing w:val="-10"/>
                      <w:sz w:val="18"/>
                      <w:szCs w:val="18"/>
                      <w:highlight w:val="none"/>
                      <w:lang w:val="en-US" w:eastAsia="zh-CN"/>
                    </w:rPr>
                  </w:pPr>
                </w:p>
              </w:tc>
              <w:tc>
                <w:tcPr>
                  <w:tcW w:w="1008" w:type="dxa"/>
                  <w:vMerge w:val="continue"/>
                  <w:tcBorders>
                    <w:right w:val="single" w:color="auto" w:sz="4" w:space="0"/>
                    <w:tl2br w:val="nil"/>
                    <w:tr2bl w:val="nil"/>
                  </w:tcBorders>
                  <w:shd w:val="clear" w:color="auto" w:fill="auto"/>
                  <w:vAlign w:val="center"/>
                </w:tcPr>
                <w:p w14:paraId="094DC25D">
                  <w:pPr>
                    <w:spacing w:line="240" w:lineRule="exact"/>
                    <w:jc w:val="center"/>
                    <w:rPr>
                      <w:rFonts w:hint="eastAsia" w:ascii="Times New Roman" w:hAnsi="Times New Roman" w:cs="Times New Roman"/>
                      <w:color w:val="auto"/>
                      <w:spacing w:val="-10"/>
                      <w:sz w:val="18"/>
                      <w:szCs w:val="18"/>
                      <w:lang w:val="en-US" w:eastAsia="zh-CN"/>
                    </w:rPr>
                  </w:pPr>
                </w:p>
              </w:tc>
              <w:tc>
                <w:tcPr>
                  <w:tcW w:w="5197" w:type="dxa"/>
                  <w:tcBorders>
                    <w:left w:val="single" w:color="auto" w:sz="4" w:space="0"/>
                    <w:tl2br w:val="nil"/>
                    <w:tr2bl w:val="nil"/>
                  </w:tcBorders>
                  <w:shd w:val="clear" w:color="auto" w:fill="auto"/>
                  <w:vAlign w:val="center"/>
                </w:tcPr>
                <w:p w14:paraId="7B9E9DD3">
                  <w:pPr>
                    <w:spacing w:line="240" w:lineRule="exact"/>
                    <w:jc w:val="center"/>
                    <w:rPr>
                      <w:rFonts w:hint="default" w:ascii="Times New Roman" w:hAnsi="Times New Roman" w:eastAsia="宋体" w:cs="Times New Roman"/>
                      <w:color w:val="auto"/>
                      <w:spacing w:val="-10"/>
                      <w:sz w:val="18"/>
                      <w:szCs w:val="18"/>
                      <w:lang w:val="en-US" w:eastAsia="zh-CN"/>
                    </w:rPr>
                  </w:pPr>
                  <w:r>
                    <w:rPr>
                      <w:rFonts w:hint="default" w:ascii="Times New Roman" w:hAnsi="Times New Roman" w:eastAsia="宋体" w:cs="Times New Roman"/>
                      <w:color w:val="auto"/>
                      <w:spacing w:val="-10"/>
                      <w:sz w:val="18"/>
                      <w:szCs w:val="18"/>
                      <w:lang w:val="en-US" w:eastAsia="zh-CN"/>
                    </w:rPr>
                    <w:t xml:space="preserve"> ②粘土衬层厚度应不小于 0.75m，且经压实、人工改性等措施处理后的饱和渗透系数不应大于1.0×10</w:t>
                  </w:r>
                  <w:r>
                    <w:rPr>
                      <w:rFonts w:hint="default" w:ascii="Times New Roman" w:hAnsi="Times New Roman" w:eastAsia="宋体" w:cs="Times New Roman"/>
                      <w:color w:val="auto"/>
                      <w:spacing w:val="-10"/>
                      <w:sz w:val="18"/>
                      <w:szCs w:val="18"/>
                      <w:vertAlign w:val="superscript"/>
                      <w:lang w:val="en-US" w:eastAsia="zh-CN"/>
                    </w:rPr>
                    <w:t xml:space="preserve"> -7</w:t>
                  </w:r>
                  <w:r>
                    <w:rPr>
                      <w:rFonts w:hint="default" w:ascii="Times New Roman" w:hAnsi="Times New Roman" w:eastAsia="宋体" w:cs="Times New Roman"/>
                      <w:color w:val="auto"/>
                      <w:spacing w:val="-10"/>
                      <w:sz w:val="18"/>
                      <w:szCs w:val="18"/>
                      <w:lang w:val="en-US" w:eastAsia="zh-CN"/>
                    </w:rPr>
                    <w:t>cm/s。使用其他粘土类防渗衬层材料时，应具有同等以上隔水效果</w:t>
                  </w:r>
                </w:p>
              </w:tc>
              <w:tc>
                <w:tcPr>
                  <w:tcW w:w="3078" w:type="dxa"/>
                  <w:vMerge w:val="continue"/>
                  <w:tcBorders>
                    <w:tl2br w:val="nil"/>
                    <w:tr2bl w:val="nil"/>
                  </w:tcBorders>
                  <w:shd w:val="clear" w:color="auto" w:fill="auto"/>
                  <w:vAlign w:val="center"/>
                </w:tcPr>
                <w:p w14:paraId="7C380F3F">
                  <w:pPr>
                    <w:spacing w:line="240" w:lineRule="exact"/>
                    <w:jc w:val="center"/>
                    <w:rPr>
                      <w:rFonts w:hint="eastAsia" w:ascii="Times New Roman" w:hAnsi="Times New Roman" w:cs="Times New Roman"/>
                      <w:color w:val="auto"/>
                      <w:spacing w:val="-10"/>
                      <w:sz w:val="18"/>
                      <w:szCs w:val="18"/>
                      <w:lang w:val="en-US" w:eastAsia="zh-CN"/>
                    </w:rPr>
                  </w:pPr>
                </w:p>
              </w:tc>
              <w:tc>
                <w:tcPr>
                  <w:tcW w:w="704" w:type="dxa"/>
                  <w:vMerge w:val="continue"/>
                  <w:tcBorders>
                    <w:tl2br w:val="nil"/>
                    <w:tr2bl w:val="nil"/>
                  </w:tcBorders>
                  <w:shd w:val="clear" w:color="auto" w:fill="auto"/>
                  <w:vAlign w:val="center"/>
                </w:tcPr>
                <w:p w14:paraId="14C6184B">
                  <w:pPr>
                    <w:jc w:val="center"/>
                    <w:rPr>
                      <w:rFonts w:hint="eastAsia"/>
                      <w:color w:val="auto"/>
                      <w:spacing w:val="-10"/>
                      <w:sz w:val="18"/>
                      <w:szCs w:val="18"/>
                    </w:rPr>
                  </w:pPr>
                </w:p>
              </w:tc>
            </w:tr>
            <w:tr w14:paraId="4D2A9A10">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78" w:hRule="atLeast"/>
              </w:trPr>
              <w:tc>
                <w:tcPr>
                  <w:tcW w:w="580" w:type="dxa"/>
                  <w:vMerge w:val="restart"/>
                  <w:tcBorders>
                    <w:tl2br w:val="nil"/>
                    <w:tr2bl w:val="nil"/>
                  </w:tcBorders>
                  <w:vAlign w:val="center"/>
                </w:tcPr>
                <w:p w14:paraId="49780D7E">
                  <w:pPr>
                    <w:spacing w:line="240" w:lineRule="exact"/>
                    <w:jc w:val="center"/>
                    <w:rPr>
                      <w:rFonts w:hint="default" w:ascii="Times New Roman" w:hAnsi="Times New Roman" w:eastAsia="宋体" w:cs="Times New Roman"/>
                      <w:color w:val="auto"/>
                      <w:spacing w:val="-10"/>
                      <w:sz w:val="18"/>
                      <w:szCs w:val="18"/>
                      <w:highlight w:val="none"/>
                      <w:lang w:val="en-US" w:eastAsia="zh-CN"/>
                    </w:rPr>
                  </w:pPr>
                  <w:r>
                    <w:rPr>
                      <w:rFonts w:hint="eastAsia" w:cs="Times New Roman"/>
                      <w:color w:val="auto"/>
                      <w:spacing w:val="-10"/>
                      <w:sz w:val="18"/>
                      <w:szCs w:val="18"/>
                      <w:highlight w:val="none"/>
                      <w:lang w:val="en-US" w:eastAsia="zh-CN"/>
                    </w:rPr>
                    <w:t>3</w:t>
                  </w:r>
                </w:p>
              </w:tc>
              <w:tc>
                <w:tcPr>
                  <w:tcW w:w="1383" w:type="dxa"/>
                  <w:vMerge w:val="restart"/>
                  <w:tcBorders>
                    <w:tl2br w:val="nil"/>
                    <w:tr2bl w:val="nil"/>
                  </w:tcBorders>
                  <w:vAlign w:val="center"/>
                </w:tcPr>
                <w:p w14:paraId="3A032F86">
                  <w:pPr>
                    <w:spacing w:line="240" w:lineRule="exact"/>
                    <w:jc w:val="center"/>
                    <w:rPr>
                      <w:rFonts w:hint="eastAsia" w:ascii="Times New Roman" w:hAnsi="Times New Roman" w:eastAsia="宋体" w:cs="Times New Roman"/>
                      <w:color w:val="auto"/>
                      <w:spacing w:val="-10"/>
                      <w:sz w:val="18"/>
                      <w:szCs w:val="18"/>
                      <w:highlight w:val="none"/>
                      <w:lang w:val="en-US" w:eastAsia="zh-CN"/>
                    </w:rPr>
                  </w:pPr>
                  <w:r>
                    <w:rPr>
                      <w:rFonts w:hint="eastAsia" w:ascii="Times New Roman" w:hAnsi="Times New Roman" w:eastAsia="宋体" w:cs="Times New Roman"/>
                      <w:color w:val="auto"/>
                      <w:spacing w:val="-10"/>
                      <w:sz w:val="18"/>
                      <w:szCs w:val="18"/>
                      <w:highlight w:val="none"/>
                      <w:lang w:val="en-US" w:eastAsia="zh-CN"/>
                    </w:rPr>
                    <w:t>《固体废物再生利用污染防治技术导则》（HJ1091-2020）</w:t>
                  </w:r>
                </w:p>
              </w:tc>
              <w:tc>
                <w:tcPr>
                  <w:tcW w:w="1008" w:type="dxa"/>
                  <w:vMerge w:val="restart"/>
                  <w:tcBorders>
                    <w:right w:val="single" w:color="auto" w:sz="4" w:space="0"/>
                    <w:tl2br w:val="nil"/>
                    <w:tr2bl w:val="nil"/>
                  </w:tcBorders>
                  <w:shd w:val="clear" w:color="auto" w:fill="auto"/>
                  <w:vAlign w:val="center"/>
                </w:tcPr>
                <w:p w14:paraId="4626E265">
                  <w:pPr>
                    <w:spacing w:line="240" w:lineRule="exact"/>
                    <w:jc w:val="center"/>
                    <w:rPr>
                      <w:rFonts w:hint="default" w:ascii="Times New Roman" w:hAnsi="Times New Roman" w:cs="Times New Roman"/>
                      <w:color w:val="auto"/>
                      <w:spacing w:val="-10"/>
                      <w:sz w:val="18"/>
                      <w:szCs w:val="18"/>
                      <w:lang w:val="en-US" w:eastAsia="zh-CN"/>
                    </w:rPr>
                  </w:pPr>
                  <w:r>
                    <w:rPr>
                      <w:rFonts w:hint="eastAsia" w:cs="Times New Roman"/>
                      <w:color w:val="auto"/>
                      <w:spacing w:val="-10"/>
                      <w:sz w:val="18"/>
                      <w:szCs w:val="18"/>
                      <w:lang w:val="en-US" w:eastAsia="zh-CN"/>
                    </w:rPr>
                    <w:t>总体要求</w:t>
                  </w:r>
                </w:p>
              </w:tc>
              <w:tc>
                <w:tcPr>
                  <w:tcW w:w="5197" w:type="dxa"/>
                  <w:tcBorders>
                    <w:left w:val="single" w:color="auto" w:sz="4" w:space="0"/>
                    <w:tl2br w:val="nil"/>
                    <w:tr2bl w:val="nil"/>
                  </w:tcBorders>
                  <w:shd w:val="clear" w:color="auto" w:fill="auto"/>
                  <w:vAlign w:val="center"/>
                </w:tcPr>
                <w:p w14:paraId="6D921450">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default" w:ascii="Times New Roman" w:hAnsi="Times New Roman" w:eastAsia="宋体" w:cs="Times New Roman"/>
                      <w:color w:val="auto"/>
                      <w:spacing w:val="-10"/>
                      <w:sz w:val="18"/>
                      <w:szCs w:val="18"/>
                      <w:highlight w:val="none"/>
                      <w:lang w:val="en-US" w:eastAsia="zh-CN"/>
                    </w:rPr>
                  </w:pPr>
                  <w:r>
                    <w:rPr>
                      <w:rFonts w:hint="eastAsia" w:ascii="Times New Roman" w:hAnsi="Times New Roman" w:eastAsia="宋体" w:cs="Times New Roman"/>
                      <w:color w:val="auto"/>
                      <w:spacing w:val="-10"/>
                      <w:sz w:val="18"/>
                      <w:szCs w:val="18"/>
                      <w:highlight w:val="none"/>
                      <w:lang w:val="en-US" w:eastAsia="zh-CN"/>
                    </w:rPr>
                    <w:t>固体废物再生利用建设项目的选址应符合区域性环境保护规划和当地的城乡总体规划。</w:t>
                  </w:r>
                </w:p>
              </w:tc>
              <w:tc>
                <w:tcPr>
                  <w:tcW w:w="3078" w:type="dxa"/>
                  <w:tcBorders>
                    <w:tl2br w:val="nil"/>
                    <w:tr2bl w:val="nil"/>
                  </w:tcBorders>
                  <w:shd w:val="clear" w:color="auto" w:fill="auto"/>
                  <w:vAlign w:val="center"/>
                </w:tcPr>
                <w:p w14:paraId="06924D03">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default" w:ascii="Times New Roman" w:hAnsi="Times New Roman" w:eastAsia="宋体" w:cs="Times New Roman"/>
                      <w:color w:val="auto"/>
                      <w:spacing w:val="-10"/>
                      <w:sz w:val="18"/>
                      <w:szCs w:val="18"/>
                      <w:highlight w:val="none"/>
                      <w:lang w:val="en-US" w:eastAsia="zh-CN"/>
                    </w:rPr>
                  </w:pPr>
                  <w:r>
                    <w:rPr>
                      <w:rFonts w:hint="eastAsia" w:ascii="Times New Roman" w:hAnsi="Times New Roman" w:eastAsia="宋体" w:cs="Times New Roman"/>
                      <w:color w:val="auto"/>
                      <w:spacing w:val="-10"/>
                      <w:sz w:val="18"/>
                      <w:szCs w:val="18"/>
                      <w:highlight w:val="none"/>
                      <w:lang w:val="en-US" w:eastAsia="zh-CN"/>
                    </w:rPr>
                    <w:t>本项目位于</w:t>
                  </w:r>
                  <w:r>
                    <w:rPr>
                      <w:rFonts w:hint="default" w:ascii="Times New Roman" w:hAnsi="Times New Roman" w:eastAsia="宋体" w:cs="Times New Roman"/>
                      <w:color w:val="auto"/>
                      <w:spacing w:val="-10"/>
                      <w:sz w:val="18"/>
                      <w:szCs w:val="18"/>
                      <w:highlight w:val="none"/>
                      <w:lang w:val="en-US" w:eastAsia="zh-CN"/>
                    </w:rPr>
                    <w:t>滦州市</w:t>
                  </w:r>
                  <w:r>
                    <w:rPr>
                      <w:rFonts w:hint="eastAsia" w:ascii="Times New Roman" w:hAnsi="Times New Roman" w:eastAsia="宋体" w:cs="Times New Roman"/>
                      <w:color w:val="auto"/>
                      <w:spacing w:val="-10"/>
                      <w:sz w:val="18"/>
                      <w:szCs w:val="18"/>
                      <w:highlight w:val="none"/>
                      <w:lang w:val="en-US" w:eastAsia="zh-CN"/>
                    </w:rPr>
                    <w:t>九百户镇</w:t>
                  </w:r>
                  <w:r>
                    <w:rPr>
                      <w:rFonts w:hint="default" w:ascii="Times New Roman" w:hAnsi="Times New Roman" w:eastAsia="宋体" w:cs="Times New Roman"/>
                      <w:color w:val="auto"/>
                      <w:spacing w:val="-10"/>
                      <w:sz w:val="18"/>
                      <w:szCs w:val="18"/>
                      <w:highlight w:val="none"/>
                      <w:lang w:val="en-US" w:eastAsia="zh-CN"/>
                    </w:rPr>
                    <w:t>镇</w:t>
                  </w:r>
                  <w:r>
                    <w:rPr>
                      <w:rFonts w:hint="eastAsia" w:ascii="Times New Roman" w:hAnsi="Times New Roman" w:eastAsia="宋体" w:cs="Times New Roman"/>
                      <w:color w:val="auto"/>
                      <w:spacing w:val="-10"/>
                      <w:sz w:val="18"/>
                      <w:szCs w:val="18"/>
                      <w:highlight w:val="none"/>
                      <w:lang w:val="en-US" w:eastAsia="zh-CN"/>
                    </w:rPr>
                    <w:t>宜安村西，根据《</w:t>
                  </w:r>
                  <w:r>
                    <w:rPr>
                      <w:rFonts w:hint="default" w:ascii="Times New Roman" w:hAnsi="Times New Roman" w:eastAsia="宋体" w:cs="Times New Roman"/>
                      <w:color w:val="auto"/>
                      <w:spacing w:val="-10"/>
                      <w:sz w:val="18"/>
                      <w:szCs w:val="18"/>
                      <w:highlight w:val="none"/>
                      <w:lang w:val="en-US" w:eastAsia="zh-CN"/>
                    </w:rPr>
                    <w:t>滦州市</w:t>
                  </w:r>
                  <w:r>
                    <w:rPr>
                      <w:rFonts w:hint="eastAsia" w:ascii="Times New Roman" w:hAnsi="Times New Roman" w:eastAsia="宋体" w:cs="Times New Roman"/>
                      <w:color w:val="auto"/>
                      <w:spacing w:val="-10"/>
                      <w:sz w:val="18"/>
                      <w:szCs w:val="18"/>
                      <w:highlight w:val="none"/>
                      <w:lang w:val="en-US" w:eastAsia="zh-CN"/>
                    </w:rPr>
                    <w:t>九百户镇</w:t>
                  </w:r>
                  <w:r>
                    <w:rPr>
                      <w:rFonts w:hint="default" w:ascii="Times New Roman" w:hAnsi="Times New Roman" w:eastAsia="宋体" w:cs="Times New Roman"/>
                      <w:color w:val="auto"/>
                      <w:spacing w:val="-10"/>
                      <w:sz w:val="18"/>
                      <w:szCs w:val="18"/>
                      <w:highlight w:val="none"/>
                      <w:lang w:val="en-US" w:eastAsia="zh-CN"/>
                    </w:rPr>
                    <w:t>关于</w:t>
                  </w:r>
                  <w:r>
                    <w:rPr>
                      <w:rFonts w:hint="eastAsia" w:ascii="Times New Roman" w:hAnsi="Times New Roman" w:eastAsia="宋体" w:cs="Times New Roman"/>
                      <w:color w:val="auto"/>
                      <w:spacing w:val="-10"/>
                      <w:sz w:val="18"/>
                      <w:szCs w:val="18"/>
                      <w:highlight w:val="none"/>
                      <w:lang w:val="en-US" w:eastAsia="zh-CN"/>
                    </w:rPr>
                    <w:t>滦州市祯璟再生资源有限公司固体废弃物综合利用项目</w:t>
                  </w:r>
                  <w:r>
                    <w:rPr>
                      <w:rFonts w:hint="default" w:ascii="Times New Roman" w:hAnsi="Times New Roman" w:eastAsia="宋体" w:cs="Times New Roman"/>
                      <w:color w:val="auto"/>
                      <w:spacing w:val="-10"/>
                      <w:sz w:val="18"/>
                      <w:szCs w:val="18"/>
                      <w:highlight w:val="none"/>
                      <w:lang w:val="en-US" w:eastAsia="zh-CN"/>
                    </w:rPr>
                    <w:t>用地情况说明</w:t>
                  </w:r>
                  <w:r>
                    <w:rPr>
                      <w:rFonts w:hint="eastAsia" w:ascii="Times New Roman" w:hAnsi="Times New Roman" w:eastAsia="宋体" w:cs="Times New Roman"/>
                      <w:color w:val="auto"/>
                      <w:spacing w:val="-10"/>
                      <w:sz w:val="18"/>
                      <w:szCs w:val="18"/>
                      <w:highlight w:val="none"/>
                      <w:lang w:val="en-US" w:eastAsia="zh-CN"/>
                    </w:rPr>
                    <w:t>》可知，本项目选址符合九百户镇总体规划</w:t>
                  </w:r>
                </w:p>
              </w:tc>
              <w:tc>
                <w:tcPr>
                  <w:tcW w:w="704" w:type="dxa"/>
                  <w:tcBorders>
                    <w:tl2br w:val="nil"/>
                    <w:tr2bl w:val="nil"/>
                  </w:tcBorders>
                  <w:shd w:val="clear" w:color="auto" w:fill="auto"/>
                  <w:vAlign w:val="center"/>
                </w:tcPr>
                <w:p w14:paraId="498027ED">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Times New Roman" w:hAnsi="Times New Roman" w:eastAsia="宋体" w:cs="Times New Roman"/>
                      <w:color w:val="auto"/>
                      <w:spacing w:val="-10"/>
                      <w:kern w:val="2"/>
                      <w:sz w:val="18"/>
                      <w:szCs w:val="18"/>
                      <w:highlight w:val="none"/>
                      <w:lang w:val="en-US" w:eastAsia="zh-CN" w:bidi="ar-SA"/>
                    </w:rPr>
                  </w:pPr>
                  <w:r>
                    <w:rPr>
                      <w:rFonts w:hint="eastAsia"/>
                      <w:color w:val="auto"/>
                      <w:spacing w:val="-10"/>
                      <w:sz w:val="18"/>
                      <w:szCs w:val="18"/>
                    </w:rPr>
                    <w:t>符合</w:t>
                  </w:r>
                </w:p>
              </w:tc>
            </w:tr>
            <w:tr w14:paraId="179C8521">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78" w:hRule="atLeast"/>
              </w:trPr>
              <w:tc>
                <w:tcPr>
                  <w:tcW w:w="580" w:type="dxa"/>
                  <w:vMerge w:val="continue"/>
                  <w:tcBorders>
                    <w:tl2br w:val="nil"/>
                    <w:tr2bl w:val="nil"/>
                  </w:tcBorders>
                  <w:vAlign w:val="center"/>
                </w:tcPr>
                <w:p w14:paraId="7B8327FC">
                  <w:pPr>
                    <w:spacing w:line="240" w:lineRule="exact"/>
                    <w:jc w:val="center"/>
                    <w:rPr>
                      <w:rFonts w:hint="eastAsia" w:cs="Times New Roman"/>
                      <w:color w:val="auto"/>
                      <w:spacing w:val="-10"/>
                      <w:sz w:val="18"/>
                      <w:szCs w:val="18"/>
                      <w:highlight w:val="none"/>
                      <w:lang w:val="en-US" w:eastAsia="zh-CN"/>
                    </w:rPr>
                  </w:pPr>
                </w:p>
              </w:tc>
              <w:tc>
                <w:tcPr>
                  <w:tcW w:w="1383" w:type="dxa"/>
                  <w:vMerge w:val="continue"/>
                  <w:tcBorders>
                    <w:tl2br w:val="nil"/>
                    <w:tr2bl w:val="nil"/>
                  </w:tcBorders>
                  <w:vAlign w:val="center"/>
                </w:tcPr>
                <w:p w14:paraId="2A313F94">
                  <w:pPr>
                    <w:spacing w:line="240" w:lineRule="exact"/>
                    <w:jc w:val="center"/>
                    <w:rPr>
                      <w:rFonts w:hint="eastAsia" w:ascii="Times New Roman" w:hAnsi="Times New Roman" w:eastAsia="宋体" w:cs="Times New Roman"/>
                      <w:color w:val="auto"/>
                      <w:spacing w:val="-10"/>
                      <w:sz w:val="18"/>
                      <w:szCs w:val="18"/>
                      <w:highlight w:val="none"/>
                      <w:lang w:val="en-US" w:eastAsia="zh-CN"/>
                    </w:rPr>
                  </w:pPr>
                </w:p>
              </w:tc>
              <w:tc>
                <w:tcPr>
                  <w:tcW w:w="1008" w:type="dxa"/>
                  <w:vMerge w:val="continue"/>
                  <w:tcBorders>
                    <w:right w:val="single" w:color="auto" w:sz="4" w:space="0"/>
                    <w:tl2br w:val="nil"/>
                    <w:tr2bl w:val="nil"/>
                  </w:tcBorders>
                  <w:shd w:val="clear" w:color="auto" w:fill="auto"/>
                  <w:vAlign w:val="center"/>
                </w:tcPr>
                <w:p w14:paraId="564962A5">
                  <w:pPr>
                    <w:spacing w:line="240" w:lineRule="exact"/>
                    <w:jc w:val="center"/>
                    <w:rPr>
                      <w:rFonts w:hint="eastAsia" w:ascii="Times New Roman" w:hAnsi="Times New Roman" w:eastAsia="宋体" w:cs="Times New Roman"/>
                      <w:color w:val="auto"/>
                      <w:spacing w:val="-10"/>
                      <w:sz w:val="18"/>
                      <w:szCs w:val="18"/>
                      <w:highlight w:val="none"/>
                      <w:lang w:val="en-US" w:eastAsia="zh-CN"/>
                    </w:rPr>
                  </w:pPr>
                </w:p>
              </w:tc>
              <w:tc>
                <w:tcPr>
                  <w:tcW w:w="5197" w:type="dxa"/>
                  <w:tcBorders>
                    <w:left w:val="single" w:color="auto" w:sz="4" w:space="0"/>
                    <w:tl2br w:val="nil"/>
                    <w:tr2bl w:val="nil"/>
                  </w:tcBorders>
                  <w:shd w:val="clear" w:color="auto" w:fill="auto"/>
                  <w:vAlign w:val="center"/>
                </w:tcPr>
                <w:p w14:paraId="2C31C5EB">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default" w:ascii="Times New Roman" w:hAnsi="Times New Roman" w:eastAsia="宋体" w:cs="Times New Roman"/>
                      <w:color w:val="auto"/>
                      <w:spacing w:val="-10"/>
                      <w:sz w:val="18"/>
                      <w:szCs w:val="18"/>
                      <w:highlight w:val="none"/>
                      <w:lang w:val="en-US" w:eastAsia="zh-CN"/>
                    </w:rPr>
                  </w:pPr>
                  <w:r>
                    <w:rPr>
                      <w:rFonts w:hint="eastAsia" w:ascii="Times New Roman" w:hAnsi="Times New Roman" w:eastAsia="宋体" w:cs="Times New Roman"/>
                      <w:color w:val="auto"/>
                      <w:spacing w:val="-10"/>
                      <w:sz w:val="18"/>
                      <w:szCs w:val="18"/>
                      <w:highlight w:val="none"/>
                      <w:lang w:val="en-US" w:eastAsia="zh-CN"/>
                    </w:rPr>
                    <w:t>应对固体废物再生利用各技术环节的环境污染因子进行识别，采取有效污染控制措施</w:t>
                  </w:r>
                  <w:r>
                    <w:rPr>
                      <w:rFonts w:hint="default" w:ascii="Times New Roman" w:hAnsi="Times New Roman" w:eastAsia="宋体" w:cs="Times New Roman"/>
                      <w:color w:val="auto"/>
                      <w:spacing w:val="-10"/>
                      <w:sz w:val="18"/>
                      <w:szCs w:val="18"/>
                      <w:highlight w:val="none"/>
                      <w:lang w:val="en-US" w:eastAsia="zh-CN"/>
                    </w:rPr>
                    <w:t>,</w:t>
                  </w:r>
                  <w:r>
                    <w:rPr>
                      <w:rFonts w:hint="eastAsia" w:ascii="Times New Roman" w:hAnsi="Times New Roman" w:eastAsia="宋体" w:cs="Times New Roman"/>
                      <w:color w:val="auto"/>
                      <w:spacing w:val="-10"/>
                      <w:sz w:val="18"/>
                      <w:szCs w:val="18"/>
                      <w:highlight w:val="none"/>
                      <w:lang w:val="en-US" w:eastAsia="zh-CN"/>
                    </w:rPr>
                    <w:t>配备污染物监测设备设施，避免污染物的无组织排放，防止发生二次污染，妥善处置产生的废物。</w:t>
                  </w:r>
                </w:p>
              </w:tc>
              <w:tc>
                <w:tcPr>
                  <w:tcW w:w="3078" w:type="dxa"/>
                  <w:tcBorders>
                    <w:tl2br w:val="nil"/>
                    <w:tr2bl w:val="nil"/>
                  </w:tcBorders>
                  <w:shd w:val="clear" w:color="auto" w:fill="auto"/>
                  <w:vAlign w:val="center"/>
                </w:tcPr>
                <w:p w14:paraId="1DBA285C">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default" w:ascii="Times New Roman" w:hAnsi="Times New Roman" w:eastAsia="宋体" w:cs="Times New Roman"/>
                      <w:color w:val="auto"/>
                      <w:spacing w:val="-10"/>
                      <w:sz w:val="18"/>
                      <w:szCs w:val="18"/>
                      <w:highlight w:val="none"/>
                      <w:lang w:val="en-US" w:eastAsia="zh-CN"/>
                    </w:rPr>
                  </w:pPr>
                  <w:r>
                    <w:rPr>
                      <w:rFonts w:hint="eastAsia" w:ascii="Times New Roman" w:hAnsi="Times New Roman" w:eastAsia="宋体" w:cs="Times New Roman"/>
                      <w:color w:val="auto"/>
                      <w:spacing w:val="-10"/>
                      <w:sz w:val="18"/>
                      <w:szCs w:val="18"/>
                      <w:highlight w:val="none"/>
                      <w:lang w:val="en-US" w:eastAsia="zh-CN"/>
                    </w:rPr>
                    <w:t>本项目有组织、无组织废气均采取了有效污染控制措施</w:t>
                  </w:r>
                  <w:r>
                    <w:rPr>
                      <w:rFonts w:hint="eastAsia" w:cs="Times New Roman"/>
                      <w:color w:val="auto"/>
                      <w:spacing w:val="-10"/>
                      <w:sz w:val="18"/>
                      <w:szCs w:val="18"/>
                      <w:highlight w:val="none"/>
                      <w:lang w:val="en-US" w:eastAsia="zh-CN"/>
                    </w:rPr>
                    <w:t>，</w:t>
                  </w:r>
                  <w:r>
                    <w:rPr>
                      <w:rFonts w:hint="eastAsia" w:ascii="Times New Roman" w:hAnsi="Times New Roman" w:eastAsia="宋体" w:cs="Times New Roman"/>
                      <w:color w:val="auto"/>
                      <w:spacing w:val="-10"/>
                      <w:sz w:val="18"/>
                      <w:szCs w:val="18"/>
                      <w:highlight w:val="none"/>
                      <w:lang w:val="en-US" w:eastAsia="zh-CN"/>
                    </w:rPr>
                    <w:t>并配备了污染物监测设备设施，固体废物均得到了妥善处置或综合利用。</w:t>
                  </w:r>
                </w:p>
              </w:tc>
              <w:tc>
                <w:tcPr>
                  <w:tcW w:w="704" w:type="dxa"/>
                  <w:tcBorders>
                    <w:tl2br w:val="nil"/>
                    <w:tr2bl w:val="nil"/>
                  </w:tcBorders>
                  <w:shd w:val="clear" w:color="auto" w:fill="auto"/>
                  <w:vAlign w:val="center"/>
                </w:tcPr>
                <w:p w14:paraId="1FA8A993">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Times New Roman" w:hAnsi="Times New Roman" w:eastAsia="宋体" w:cs="Times New Roman"/>
                      <w:color w:val="auto"/>
                      <w:spacing w:val="-10"/>
                      <w:kern w:val="2"/>
                      <w:sz w:val="18"/>
                      <w:szCs w:val="18"/>
                      <w:highlight w:val="none"/>
                      <w:lang w:val="en-US" w:eastAsia="zh-CN" w:bidi="ar-SA"/>
                    </w:rPr>
                  </w:pPr>
                  <w:r>
                    <w:rPr>
                      <w:rFonts w:hint="eastAsia"/>
                      <w:color w:val="auto"/>
                      <w:spacing w:val="-10"/>
                      <w:sz w:val="18"/>
                      <w:szCs w:val="18"/>
                    </w:rPr>
                    <w:t>符合</w:t>
                  </w:r>
                </w:p>
              </w:tc>
            </w:tr>
            <w:tr w14:paraId="4193A56A">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78" w:hRule="atLeast"/>
              </w:trPr>
              <w:tc>
                <w:tcPr>
                  <w:tcW w:w="580" w:type="dxa"/>
                  <w:vMerge w:val="continue"/>
                  <w:tcBorders>
                    <w:tl2br w:val="nil"/>
                    <w:tr2bl w:val="nil"/>
                  </w:tcBorders>
                  <w:vAlign w:val="center"/>
                </w:tcPr>
                <w:p w14:paraId="4CA8273D">
                  <w:pPr>
                    <w:spacing w:line="240" w:lineRule="exact"/>
                    <w:jc w:val="center"/>
                    <w:rPr>
                      <w:rFonts w:hint="eastAsia" w:cs="Times New Roman"/>
                      <w:color w:val="auto"/>
                      <w:spacing w:val="-10"/>
                      <w:sz w:val="18"/>
                      <w:szCs w:val="18"/>
                      <w:highlight w:val="none"/>
                      <w:lang w:val="en-US" w:eastAsia="zh-CN"/>
                    </w:rPr>
                  </w:pPr>
                </w:p>
              </w:tc>
              <w:tc>
                <w:tcPr>
                  <w:tcW w:w="1383" w:type="dxa"/>
                  <w:vMerge w:val="continue"/>
                  <w:tcBorders>
                    <w:tl2br w:val="nil"/>
                    <w:tr2bl w:val="nil"/>
                  </w:tcBorders>
                  <w:vAlign w:val="center"/>
                </w:tcPr>
                <w:p w14:paraId="77C37F8D">
                  <w:pPr>
                    <w:spacing w:line="240" w:lineRule="exact"/>
                    <w:jc w:val="center"/>
                    <w:rPr>
                      <w:rFonts w:hint="eastAsia" w:ascii="Times New Roman" w:hAnsi="Times New Roman" w:eastAsia="宋体" w:cs="Times New Roman"/>
                      <w:color w:val="auto"/>
                      <w:spacing w:val="-10"/>
                      <w:sz w:val="18"/>
                      <w:szCs w:val="18"/>
                      <w:highlight w:val="none"/>
                      <w:lang w:val="en-US" w:eastAsia="zh-CN"/>
                    </w:rPr>
                  </w:pPr>
                </w:p>
              </w:tc>
              <w:tc>
                <w:tcPr>
                  <w:tcW w:w="1008" w:type="dxa"/>
                  <w:vMerge w:val="continue"/>
                  <w:tcBorders>
                    <w:right w:val="single" w:color="auto" w:sz="4" w:space="0"/>
                    <w:tl2br w:val="nil"/>
                    <w:tr2bl w:val="nil"/>
                  </w:tcBorders>
                  <w:shd w:val="clear" w:color="auto" w:fill="auto"/>
                  <w:vAlign w:val="center"/>
                </w:tcPr>
                <w:p w14:paraId="702156F3">
                  <w:pPr>
                    <w:spacing w:line="240" w:lineRule="exact"/>
                    <w:jc w:val="center"/>
                    <w:rPr>
                      <w:rFonts w:hint="eastAsia" w:ascii="Times New Roman" w:hAnsi="Times New Roman" w:eastAsia="宋体" w:cs="Times New Roman"/>
                      <w:color w:val="auto"/>
                      <w:spacing w:val="-10"/>
                      <w:sz w:val="18"/>
                      <w:szCs w:val="18"/>
                      <w:highlight w:val="none"/>
                      <w:lang w:val="en-US" w:eastAsia="zh-CN"/>
                    </w:rPr>
                  </w:pPr>
                </w:p>
              </w:tc>
              <w:tc>
                <w:tcPr>
                  <w:tcW w:w="5197" w:type="dxa"/>
                  <w:tcBorders>
                    <w:left w:val="single" w:color="auto" w:sz="4" w:space="0"/>
                    <w:tl2br w:val="nil"/>
                    <w:tr2bl w:val="nil"/>
                  </w:tcBorders>
                  <w:shd w:val="clear" w:color="auto" w:fill="auto"/>
                  <w:vAlign w:val="center"/>
                </w:tcPr>
                <w:p w14:paraId="79A0420D">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Times New Roman" w:hAnsi="Times New Roman" w:eastAsia="宋体" w:cs="Times New Roman"/>
                      <w:color w:val="auto"/>
                      <w:spacing w:val="-10"/>
                      <w:sz w:val="18"/>
                      <w:szCs w:val="18"/>
                      <w:highlight w:val="none"/>
                      <w:lang w:val="en-US" w:eastAsia="zh-CN"/>
                    </w:rPr>
                  </w:pPr>
                  <w:r>
                    <w:rPr>
                      <w:rFonts w:hint="eastAsia" w:ascii="Times New Roman" w:hAnsi="Times New Roman" w:eastAsia="宋体" w:cs="Times New Roman"/>
                      <w:color w:val="auto"/>
                      <w:spacing w:val="-10"/>
                      <w:sz w:val="18"/>
                      <w:szCs w:val="18"/>
                      <w:highlight w:val="none"/>
                      <w:lang w:val="en-US" w:eastAsia="zh-CN"/>
                    </w:rPr>
                    <w:t>固体废物再生利用过程产生的各种污染物的排放应满足国家和地方的污染物排放</w:t>
                  </w:r>
                  <w:r>
                    <w:rPr>
                      <w:rFonts w:hint="default" w:ascii="Times New Roman" w:hAnsi="Times New Roman" w:eastAsia="宋体" w:cs="Times New Roman"/>
                      <w:color w:val="auto"/>
                      <w:spacing w:val="-10"/>
                      <w:sz w:val="18"/>
                      <w:szCs w:val="18"/>
                      <w:highlight w:val="none"/>
                      <w:lang w:val="en-US" w:eastAsia="zh-CN"/>
                    </w:rPr>
                    <w:t>(</w:t>
                  </w:r>
                  <w:r>
                    <w:rPr>
                      <w:rFonts w:hint="eastAsia" w:ascii="Times New Roman" w:hAnsi="Times New Roman" w:eastAsia="宋体" w:cs="Times New Roman"/>
                      <w:color w:val="auto"/>
                      <w:spacing w:val="-10"/>
                      <w:sz w:val="18"/>
                      <w:szCs w:val="18"/>
                      <w:highlight w:val="none"/>
                      <w:lang w:val="en-US" w:eastAsia="zh-CN"/>
                    </w:rPr>
                    <w:t>控制</w:t>
                  </w:r>
                  <w:r>
                    <w:rPr>
                      <w:rFonts w:hint="default" w:ascii="Times New Roman" w:hAnsi="Times New Roman" w:eastAsia="宋体" w:cs="Times New Roman"/>
                      <w:color w:val="auto"/>
                      <w:spacing w:val="-10"/>
                      <w:sz w:val="18"/>
                      <w:szCs w:val="18"/>
                      <w:highlight w:val="none"/>
                      <w:lang w:val="en-US" w:eastAsia="zh-CN"/>
                    </w:rPr>
                    <w:t>)</w:t>
                  </w:r>
                  <w:r>
                    <w:rPr>
                      <w:rFonts w:hint="eastAsia" w:ascii="Times New Roman" w:hAnsi="Times New Roman" w:eastAsia="宋体" w:cs="Times New Roman"/>
                      <w:color w:val="auto"/>
                      <w:spacing w:val="-10"/>
                      <w:sz w:val="18"/>
                      <w:szCs w:val="18"/>
                      <w:highlight w:val="none"/>
                      <w:lang w:val="en-US" w:eastAsia="zh-CN"/>
                    </w:rPr>
                    <w:t>标准与排污许可要求。</w:t>
                  </w:r>
                </w:p>
              </w:tc>
              <w:tc>
                <w:tcPr>
                  <w:tcW w:w="3078" w:type="dxa"/>
                  <w:tcBorders>
                    <w:tl2br w:val="nil"/>
                    <w:tr2bl w:val="nil"/>
                  </w:tcBorders>
                  <w:shd w:val="clear" w:color="auto" w:fill="auto"/>
                  <w:vAlign w:val="center"/>
                </w:tcPr>
                <w:p w14:paraId="105D558E">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default" w:ascii="Times New Roman" w:hAnsi="Times New Roman" w:eastAsia="宋体" w:cs="Times New Roman"/>
                      <w:color w:val="auto"/>
                      <w:spacing w:val="-10"/>
                      <w:sz w:val="18"/>
                      <w:szCs w:val="18"/>
                      <w:highlight w:val="none"/>
                      <w:lang w:val="en-US" w:eastAsia="zh-CN"/>
                    </w:rPr>
                  </w:pPr>
                  <w:r>
                    <w:rPr>
                      <w:rFonts w:hint="eastAsia" w:ascii="Times New Roman" w:hAnsi="Times New Roman" w:eastAsia="宋体" w:cs="Times New Roman"/>
                      <w:color w:val="auto"/>
                      <w:spacing w:val="-10"/>
                      <w:sz w:val="18"/>
                      <w:szCs w:val="18"/>
                      <w:highlight w:val="none"/>
                      <w:lang w:val="en-US" w:eastAsia="zh-CN"/>
                    </w:rPr>
                    <w:t>本项目各种污染物的排放均满足国家和地方的污染物排放</w:t>
                  </w:r>
                  <w:r>
                    <w:rPr>
                      <w:rFonts w:hint="default" w:ascii="Times New Roman" w:hAnsi="Times New Roman" w:eastAsia="宋体" w:cs="Times New Roman"/>
                      <w:color w:val="auto"/>
                      <w:spacing w:val="-10"/>
                      <w:sz w:val="18"/>
                      <w:szCs w:val="18"/>
                      <w:highlight w:val="none"/>
                      <w:lang w:val="en-US" w:eastAsia="zh-CN"/>
                    </w:rPr>
                    <w:t>(</w:t>
                  </w:r>
                  <w:r>
                    <w:rPr>
                      <w:rFonts w:hint="eastAsia" w:ascii="Times New Roman" w:hAnsi="Times New Roman" w:eastAsia="宋体" w:cs="Times New Roman"/>
                      <w:color w:val="auto"/>
                      <w:spacing w:val="-10"/>
                      <w:sz w:val="18"/>
                      <w:szCs w:val="18"/>
                      <w:highlight w:val="none"/>
                      <w:lang w:val="en-US" w:eastAsia="zh-CN"/>
                    </w:rPr>
                    <w:t>控制</w:t>
                  </w:r>
                  <w:r>
                    <w:rPr>
                      <w:rFonts w:hint="default" w:ascii="Times New Roman" w:hAnsi="Times New Roman" w:eastAsia="宋体" w:cs="Times New Roman"/>
                      <w:color w:val="auto"/>
                      <w:spacing w:val="-10"/>
                      <w:sz w:val="18"/>
                      <w:szCs w:val="18"/>
                      <w:highlight w:val="none"/>
                      <w:lang w:val="en-US" w:eastAsia="zh-CN"/>
                    </w:rPr>
                    <w:t>)</w:t>
                  </w:r>
                  <w:r>
                    <w:rPr>
                      <w:rFonts w:hint="eastAsia" w:ascii="Times New Roman" w:hAnsi="Times New Roman" w:eastAsia="宋体" w:cs="Times New Roman"/>
                      <w:color w:val="auto"/>
                      <w:spacing w:val="-10"/>
                      <w:sz w:val="18"/>
                      <w:szCs w:val="18"/>
                      <w:highlight w:val="none"/>
                      <w:lang w:val="en-US" w:eastAsia="zh-CN"/>
                    </w:rPr>
                    <w:t>标准与排污许可要求。</w:t>
                  </w:r>
                </w:p>
              </w:tc>
              <w:tc>
                <w:tcPr>
                  <w:tcW w:w="704" w:type="dxa"/>
                  <w:tcBorders>
                    <w:tl2br w:val="nil"/>
                    <w:tr2bl w:val="nil"/>
                  </w:tcBorders>
                  <w:shd w:val="clear" w:color="auto" w:fill="auto"/>
                  <w:vAlign w:val="center"/>
                </w:tcPr>
                <w:p w14:paraId="28B638C2">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Times New Roman" w:hAnsi="Times New Roman" w:eastAsia="宋体" w:cs="Times New Roman"/>
                      <w:color w:val="auto"/>
                      <w:spacing w:val="-10"/>
                      <w:kern w:val="2"/>
                      <w:sz w:val="18"/>
                      <w:szCs w:val="18"/>
                      <w:highlight w:val="none"/>
                      <w:lang w:val="en-US" w:eastAsia="zh-CN" w:bidi="ar-SA"/>
                    </w:rPr>
                  </w:pPr>
                  <w:r>
                    <w:rPr>
                      <w:rFonts w:hint="eastAsia" w:ascii="Times New Roman" w:hAnsi="Times New Roman" w:eastAsia="宋体" w:cs="Times New Roman"/>
                      <w:color w:val="auto"/>
                      <w:spacing w:val="-10"/>
                      <w:sz w:val="18"/>
                      <w:szCs w:val="18"/>
                      <w:highlight w:val="none"/>
                      <w:lang w:val="en-US" w:eastAsia="zh-CN"/>
                    </w:rPr>
                    <w:t>符合</w:t>
                  </w:r>
                </w:p>
              </w:tc>
            </w:tr>
            <w:tr w14:paraId="0C2EA11A">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78" w:hRule="atLeast"/>
              </w:trPr>
              <w:tc>
                <w:tcPr>
                  <w:tcW w:w="580" w:type="dxa"/>
                  <w:vMerge w:val="continue"/>
                  <w:tcBorders>
                    <w:tl2br w:val="nil"/>
                    <w:tr2bl w:val="nil"/>
                  </w:tcBorders>
                  <w:vAlign w:val="center"/>
                </w:tcPr>
                <w:p w14:paraId="536C99F8">
                  <w:pPr>
                    <w:spacing w:line="240" w:lineRule="exact"/>
                    <w:jc w:val="center"/>
                    <w:rPr>
                      <w:rFonts w:hint="default" w:ascii="Times New Roman" w:hAnsi="Times New Roman" w:eastAsia="宋体" w:cs="Times New Roman"/>
                      <w:color w:val="auto"/>
                      <w:spacing w:val="-10"/>
                      <w:sz w:val="18"/>
                      <w:szCs w:val="18"/>
                      <w:highlight w:val="none"/>
                      <w:lang w:val="en-US" w:eastAsia="zh-CN"/>
                    </w:rPr>
                  </w:pPr>
                </w:p>
              </w:tc>
              <w:tc>
                <w:tcPr>
                  <w:tcW w:w="1383" w:type="dxa"/>
                  <w:vMerge w:val="continue"/>
                  <w:tcBorders>
                    <w:tl2br w:val="nil"/>
                    <w:tr2bl w:val="nil"/>
                  </w:tcBorders>
                  <w:vAlign w:val="center"/>
                </w:tcPr>
                <w:p w14:paraId="26EFF540">
                  <w:pPr>
                    <w:spacing w:line="240" w:lineRule="exact"/>
                    <w:jc w:val="center"/>
                    <w:rPr>
                      <w:rFonts w:hint="eastAsia" w:ascii="Times New Roman" w:hAnsi="Times New Roman" w:eastAsia="宋体" w:cs="Times New Roman"/>
                      <w:color w:val="auto"/>
                      <w:spacing w:val="-10"/>
                      <w:sz w:val="18"/>
                      <w:szCs w:val="18"/>
                      <w:highlight w:val="none"/>
                      <w:lang w:val="en-US" w:eastAsia="zh-CN"/>
                    </w:rPr>
                  </w:pPr>
                </w:p>
              </w:tc>
              <w:tc>
                <w:tcPr>
                  <w:tcW w:w="1008" w:type="dxa"/>
                  <w:vMerge w:val="continue"/>
                  <w:tcBorders>
                    <w:right w:val="single" w:color="auto" w:sz="4" w:space="0"/>
                    <w:tl2br w:val="nil"/>
                    <w:tr2bl w:val="nil"/>
                  </w:tcBorders>
                  <w:shd w:val="clear" w:color="auto" w:fill="auto"/>
                  <w:vAlign w:val="center"/>
                </w:tcPr>
                <w:p w14:paraId="688DF537">
                  <w:pPr>
                    <w:spacing w:line="240" w:lineRule="exact"/>
                    <w:jc w:val="center"/>
                    <w:rPr>
                      <w:rFonts w:hint="eastAsia" w:ascii="Times New Roman" w:hAnsi="Times New Roman" w:cs="Times New Roman"/>
                      <w:color w:val="auto"/>
                      <w:spacing w:val="-10"/>
                      <w:sz w:val="18"/>
                      <w:szCs w:val="18"/>
                      <w:lang w:val="en-US" w:eastAsia="zh-CN"/>
                    </w:rPr>
                  </w:pPr>
                </w:p>
              </w:tc>
              <w:tc>
                <w:tcPr>
                  <w:tcW w:w="5197" w:type="dxa"/>
                  <w:tcBorders>
                    <w:left w:val="single" w:color="auto" w:sz="4" w:space="0"/>
                    <w:tl2br w:val="nil"/>
                    <w:tr2bl w:val="nil"/>
                  </w:tcBorders>
                  <w:shd w:val="clear" w:color="auto" w:fill="auto"/>
                  <w:vAlign w:val="center"/>
                </w:tcPr>
                <w:p w14:paraId="6AF1964C">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default" w:ascii="Times New Roman" w:hAnsi="Times New Roman" w:eastAsia="宋体" w:cs="Times New Roman"/>
                      <w:color w:val="auto"/>
                      <w:spacing w:val="-10"/>
                      <w:sz w:val="18"/>
                      <w:szCs w:val="18"/>
                      <w:highlight w:val="none"/>
                      <w:lang w:val="en-US" w:eastAsia="zh-CN"/>
                    </w:rPr>
                  </w:pPr>
                  <w:r>
                    <w:rPr>
                      <w:rFonts w:hint="eastAsia" w:ascii="Times New Roman" w:hAnsi="Times New Roman" w:eastAsia="宋体" w:cs="Times New Roman"/>
                      <w:color w:val="auto"/>
                      <w:spacing w:val="-10"/>
                      <w:sz w:val="18"/>
                      <w:szCs w:val="18"/>
                      <w:highlight w:val="none"/>
                      <w:lang w:val="en-US" w:eastAsia="zh-CN"/>
                    </w:rPr>
                    <w:t>固体废物再生利用产物作为产品的，应符合</w:t>
                  </w:r>
                  <w:r>
                    <w:rPr>
                      <w:rFonts w:hint="default" w:ascii="Times New Roman" w:hAnsi="Times New Roman" w:eastAsia="宋体" w:cs="Times New Roman"/>
                      <w:color w:val="auto"/>
                      <w:spacing w:val="-10"/>
                      <w:sz w:val="18"/>
                      <w:szCs w:val="18"/>
                      <w:highlight w:val="none"/>
                      <w:lang w:val="en-US" w:eastAsia="zh-CN"/>
                    </w:rPr>
                    <w:t>GB34330</w:t>
                  </w:r>
                  <w:r>
                    <w:rPr>
                      <w:rFonts w:hint="eastAsia" w:ascii="Times New Roman" w:hAnsi="Times New Roman" w:eastAsia="宋体" w:cs="Times New Roman"/>
                      <w:color w:val="auto"/>
                      <w:spacing w:val="-10"/>
                      <w:sz w:val="18"/>
                      <w:szCs w:val="18"/>
                      <w:highlight w:val="none"/>
                      <w:lang w:val="en-US" w:eastAsia="zh-CN"/>
                    </w:rPr>
                    <w:t>中要求的国家、地方制定或行业通行的产品质量标准，与国家相关污染控制标准或技术规范要求，包括该产物生产过程中排放到环境中的特征污染物含量标准和该产物中特征污染物的含量标准。</w:t>
                  </w:r>
                </w:p>
              </w:tc>
              <w:tc>
                <w:tcPr>
                  <w:tcW w:w="3078" w:type="dxa"/>
                  <w:tcBorders>
                    <w:tl2br w:val="nil"/>
                    <w:tr2bl w:val="nil"/>
                  </w:tcBorders>
                  <w:shd w:val="clear" w:color="auto" w:fill="auto"/>
                  <w:vAlign w:val="center"/>
                </w:tcPr>
                <w:p w14:paraId="5AAF72C3">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default" w:ascii="Times New Roman" w:hAnsi="Times New Roman" w:eastAsia="宋体" w:cs="Times New Roman"/>
                      <w:color w:val="auto"/>
                      <w:spacing w:val="-10"/>
                      <w:sz w:val="18"/>
                      <w:szCs w:val="18"/>
                      <w:highlight w:val="none"/>
                      <w:lang w:val="en-US" w:eastAsia="zh-CN"/>
                    </w:rPr>
                  </w:pPr>
                  <w:r>
                    <w:rPr>
                      <w:rFonts w:hint="eastAsia" w:ascii="Times New Roman" w:hAnsi="Times New Roman" w:eastAsia="宋体" w:cs="Times New Roman"/>
                      <w:color w:val="auto"/>
                      <w:spacing w:val="-10"/>
                      <w:sz w:val="18"/>
                      <w:szCs w:val="18"/>
                      <w:highlight w:val="none"/>
                      <w:lang w:val="en-US" w:eastAsia="zh-CN"/>
                    </w:rPr>
                    <w:t>本项目</w:t>
                  </w:r>
                  <w:r>
                    <w:rPr>
                      <w:rFonts w:hint="eastAsia" w:cs="Times New Roman"/>
                      <w:color w:val="auto"/>
                      <w:spacing w:val="-10"/>
                      <w:sz w:val="18"/>
                      <w:szCs w:val="18"/>
                      <w:highlight w:val="none"/>
                      <w:lang w:val="en-US" w:eastAsia="zh-CN"/>
                    </w:rPr>
                    <w:t>产品符合质量标准要求</w:t>
                  </w:r>
                  <w:r>
                    <w:rPr>
                      <w:rFonts w:hint="eastAsia" w:ascii="Times New Roman" w:hAnsi="Times New Roman" w:eastAsia="宋体" w:cs="Times New Roman"/>
                      <w:color w:val="auto"/>
                      <w:spacing w:val="-10"/>
                      <w:sz w:val="18"/>
                      <w:szCs w:val="18"/>
                      <w:highlight w:val="none"/>
                      <w:lang w:val="en-US" w:eastAsia="zh-CN"/>
                    </w:rPr>
                    <w:t>，生产过程中污染物排放满足相关排放标准。</w:t>
                  </w:r>
                </w:p>
              </w:tc>
              <w:tc>
                <w:tcPr>
                  <w:tcW w:w="704" w:type="dxa"/>
                  <w:tcBorders>
                    <w:tl2br w:val="nil"/>
                    <w:tr2bl w:val="nil"/>
                  </w:tcBorders>
                  <w:shd w:val="clear" w:color="auto" w:fill="auto"/>
                  <w:vAlign w:val="center"/>
                </w:tcPr>
                <w:p w14:paraId="4CA68EC4">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Times New Roman" w:hAnsi="Times New Roman" w:eastAsia="宋体" w:cs="Times New Roman"/>
                      <w:color w:val="auto"/>
                      <w:spacing w:val="-10"/>
                      <w:kern w:val="2"/>
                      <w:sz w:val="18"/>
                      <w:szCs w:val="18"/>
                      <w:highlight w:val="none"/>
                      <w:lang w:val="en-US" w:eastAsia="zh-CN" w:bidi="ar-SA"/>
                    </w:rPr>
                  </w:pPr>
                  <w:r>
                    <w:rPr>
                      <w:rFonts w:hint="eastAsia" w:ascii="Times New Roman" w:hAnsi="Times New Roman" w:eastAsia="宋体" w:cs="Times New Roman"/>
                      <w:color w:val="auto"/>
                      <w:spacing w:val="-10"/>
                      <w:sz w:val="18"/>
                      <w:szCs w:val="18"/>
                      <w:highlight w:val="none"/>
                      <w:lang w:val="en-US" w:eastAsia="zh-CN"/>
                    </w:rPr>
                    <w:t>符合</w:t>
                  </w:r>
                </w:p>
              </w:tc>
            </w:tr>
            <w:tr w14:paraId="36D19BD9">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78" w:hRule="atLeast"/>
              </w:trPr>
              <w:tc>
                <w:tcPr>
                  <w:tcW w:w="580" w:type="dxa"/>
                  <w:vMerge w:val="continue"/>
                  <w:tcBorders>
                    <w:tl2br w:val="nil"/>
                    <w:tr2bl w:val="nil"/>
                  </w:tcBorders>
                  <w:vAlign w:val="center"/>
                </w:tcPr>
                <w:p w14:paraId="029FAF4A">
                  <w:pPr>
                    <w:spacing w:line="240" w:lineRule="exact"/>
                    <w:jc w:val="center"/>
                    <w:rPr>
                      <w:rFonts w:hint="default" w:ascii="Times New Roman" w:hAnsi="Times New Roman" w:eastAsia="宋体" w:cs="Times New Roman"/>
                      <w:color w:val="auto"/>
                      <w:spacing w:val="-10"/>
                      <w:sz w:val="18"/>
                      <w:szCs w:val="18"/>
                      <w:highlight w:val="none"/>
                      <w:lang w:val="en-US" w:eastAsia="zh-CN"/>
                    </w:rPr>
                  </w:pPr>
                </w:p>
              </w:tc>
              <w:tc>
                <w:tcPr>
                  <w:tcW w:w="1383" w:type="dxa"/>
                  <w:vMerge w:val="continue"/>
                  <w:tcBorders>
                    <w:tl2br w:val="nil"/>
                    <w:tr2bl w:val="nil"/>
                  </w:tcBorders>
                  <w:vAlign w:val="center"/>
                </w:tcPr>
                <w:p w14:paraId="2E05E2D8">
                  <w:pPr>
                    <w:spacing w:line="240" w:lineRule="exact"/>
                    <w:jc w:val="center"/>
                    <w:rPr>
                      <w:rFonts w:hint="eastAsia" w:ascii="Times New Roman" w:hAnsi="Times New Roman" w:eastAsia="宋体" w:cs="Times New Roman"/>
                      <w:color w:val="auto"/>
                      <w:spacing w:val="-10"/>
                      <w:sz w:val="18"/>
                      <w:szCs w:val="18"/>
                      <w:highlight w:val="none"/>
                      <w:lang w:val="en-US" w:eastAsia="zh-CN"/>
                    </w:rPr>
                  </w:pPr>
                </w:p>
              </w:tc>
              <w:tc>
                <w:tcPr>
                  <w:tcW w:w="1008" w:type="dxa"/>
                  <w:vMerge w:val="continue"/>
                  <w:tcBorders>
                    <w:right w:val="single" w:color="auto" w:sz="4" w:space="0"/>
                    <w:tl2br w:val="nil"/>
                    <w:tr2bl w:val="nil"/>
                  </w:tcBorders>
                  <w:shd w:val="clear" w:color="auto" w:fill="auto"/>
                  <w:vAlign w:val="center"/>
                </w:tcPr>
                <w:p w14:paraId="3E922994">
                  <w:pPr>
                    <w:spacing w:line="240" w:lineRule="exact"/>
                    <w:jc w:val="center"/>
                    <w:rPr>
                      <w:rFonts w:hint="eastAsia" w:ascii="Times New Roman" w:hAnsi="Times New Roman" w:cs="Times New Roman"/>
                      <w:color w:val="auto"/>
                      <w:spacing w:val="-10"/>
                      <w:sz w:val="18"/>
                      <w:szCs w:val="18"/>
                      <w:lang w:val="en-US" w:eastAsia="zh-CN"/>
                    </w:rPr>
                  </w:pPr>
                </w:p>
              </w:tc>
              <w:tc>
                <w:tcPr>
                  <w:tcW w:w="5197" w:type="dxa"/>
                  <w:tcBorders>
                    <w:left w:val="single" w:color="auto" w:sz="4" w:space="0"/>
                    <w:tl2br w:val="nil"/>
                    <w:tr2bl w:val="nil"/>
                  </w:tcBorders>
                  <w:shd w:val="clear" w:color="auto" w:fill="auto"/>
                  <w:vAlign w:val="center"/>
                </w:tcPr>
                <w:p w14:paraId="5AF6FD61">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Times New Roman" w:hAnsi="Times New Roman" w:eastAsia="宋体" w:cs="Times New Roman"/>
                      <w:color w:val="auto"/>
                      <w:spacing w:val="-10"/>
                      <w:kern w:val="2"/>
                      <w:sz w:val="18"/>
                      <w:szCs w:val="18"/>
                      <w:highlight w:val="none"/>
                      <w:lang w:val="en-US" w:eastAsia="zh-CN" w:bidi="ar-SA"/>
                    </w:rPr>
                  </w:pPr>
                  <w:r>
                    <w:rPr>
                      <w:rFonts w:hint="eastAsia" w:ascii="Times New Roman" w:hAnsi="Times New Roman" w:eastAsia="宋体" w:cs="Times New Roman"/>
                      <w:color w:val="auto"/>
                      <w:spacing w:val="-10"/>
                      <w:sz w:val="18"/>
                      <w:szCs w:val="18"/>
                      <w:highlight w:val="none"/>
                      <w:lang w:val="en-US" w:eastAsia="zh-CN"/>
                    </w:rPr>
                    <w:t>应根据固体废物的特性设置必要的防扬撒、防渗漏、防腐蚀设施，配备废气处理、废水处理、噪声控制等污染防治设施，按要求对主要环境影响指标进行在线监测。</w:t>
                  </w:r>
                </w:p>
              </w:tc>
              <w:tc>
                <w:tcPr>
                  <w:tcW w:w="3078" w:type="dxa"/>
                  <w:tcBorders>
                    <w:tl2br w:val="nil"/>
                    <w:tr2bl w:val="nil"/>
                  </w:tcBorders>
                  <w:shd w:val="clear" w:color="auto" w:fill="auto"/>
                  <w:vAlign w:val="center"/>
                </w:tcPr>
                <w:p w14:paraId="34BFBF90">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Times New Roman" w:hAnsi="Times New Roman" w:eastAsia="宋体" w:cs="Times New Roman"/>
                      <w:color w:val="auto"/>
                      <w:spacing w:val="-10"/>
                      <w:kern w:val="2"/>
                      <w:sz w:val="18"/>
                      <w:szCs w:val="18"/>
                      <w:highlight w:val="none"/>
                      <w:lang w:val="en-US" w:eastAsia="zh-CN" w:bidi="ar-SA"/>
                    </w:rPr>
                  </w:pPr>
                  <w:r>
                    <w:rPr>
                      <w:rFonts w:hint="eastAsia" w:ascii="Times New Roman" w:hAnsi="Times New Roman" w:eastAsia="宋体" w:cs="Times New Roman"/>
                      <w:color w:val="auto"/>
                      <w:spacing w:val="-10"/>
                      <w:sz w:val="18"/>
                      <w:szCs w:val="18"/>
                      <w:highlight w:val="none"/>
                      <w:lang w:val="en-US" w:eastAsia="zh-CN"/>
                    </w:rPr>
                    <w:t>本项目设置了必要的防扬撒、防渗漏、 防腐蚀设施，配备了废气处理、废水处理、噪声控制等污染防治设施</w:t>
                  </w:r>
                  <w:r>
                    <w:rPr>
                      <w:rFonts w:hint="eastAsia" w:cs="Times New Roman"/>
                      <w:color w:val="auto"/>
                      <w:spacing w:val="-10"/>
                      <w:sz w:val="18"/>
                      <w:szCs w:val="18"/>
                      <w:highlight w:val="none"/>
                      <w:lang w:val="en-US" w:eastAsia="zh-CN"/>
                    </w:rPr>
                    <w:t>，本项目无需安装在线监测设备</w:t>
                  </w:r>
                </w:p>
              </w:tc>
              <w:tc>
                <w:tcPr>
                  <w:tcW w:w="704" w:type="dxa"/>
                  <w:tcBorders>
                    <w:tl2br w:val="nil"/>
                    <w:tr2bl w:val="nil"/>
                  </w:tcBorders>
                  <w:shd w:val="clear" w:color="auto" w:fill="auto"/>
                  <w:vAlign w:val="center"/>
                </w:tcPr>
                <w:p w14:paraId="44B99CD8">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Times New Roman" w:hAnsi="Times New Roman" w:eastAsia="宋体" w:cs="Times New Roman"/>
                      <w:color w:val="auto"/>
                      <w:spacing w:val="-10"/>
                      <w:kern w:val="2"/>
                      <w:sz w:val="18"/>
                      <w:szCs w:val="18"/>
                      <w:highlight w:val="none"/>
                      <w:lang w:val="en-US" w:eastAsia="zh-CN" w:bidi="ar-SA"/>
                    </w:rPr>
                  </w:pPr>
                  <w:r>
                    <w:rPr>
                      <w:rFonts w:hint="eastAsia" w:ascii="Times New Roman" w:hAnsi="Times New Roman" w:eastAsia="宋体" w:cs="Times New Roman"/>
                      <w:color w:val="auto"/>
                      <w:spacing w:val="-10"/>
                      <w:sz w:val="18"/>
                      <w:szCs w:val="18"/>
                      <w:highlight w:val="none"/>
                      <w:lang w:val="en-US" w:eastAsia="zh-CN"/>
                    </w:rPr>
                    <w:t>符合</w:t>
                  </w:r>
                </w:p>
              </w:tc>
            </w:tr>
          </w:tbl>
          <w:p w14:paraId="0B7AD8AA">
            <w:pPr>
              <w:pStyle w:val="24"/>
              <w:adjustRightInd w:val="0"/>
              <w:snapToGrid w:val="0"/>
              <w:spacing w:before="0" w:beforeAutospacing="0" w:after="0" w:afterAutospacing="0" w:line="440" w:lineRule="exact"/>
              <w:jc w:val="center"/>
              <w:rPr>
                <w:rFonts w:hint="default" w:ascii="Times New Roman" w:hAnsi="Times New Roman" w:eastAsia="宋体"/>
                <w:b/>
                <w:color w:val="auto"/>
                <w:sz w:val="21"/>
                <w:szCs w:val="21"/>
                <w:highlight w:val="none"/>
                <w:lang w:val="en-US" w:eastAsia="zh-CN"/>
              </w:rPr>
            </w:pPr>
            <w:r>
              <w:rPr>
                <w:rFonts w:hint="eastAsia" w:ascii="Times New Roman" w:hAnsi="Times New Roman"/>
                <w:b/>
                <w:color w:val="auto"/>
                <w:sz w:val="21"/>
                <w:szCs w:val="21"/>
                <w:highlight w:val="none"/>
                <w:lang w:val="en-US" w:eastAsia="zh-CN"/>
              </w:rPr>
              <w:t>续</w:t>
            </w:r>
            <w:r>
              <w:rPr>
                <w:rFonts w:ascii="Times New Roman" w:hAnsi="Times New Roman"/>
                <w:b/>
                <w:color w:val="auto"/>
                <w:sz w:val="21"/>
                <w:szCs w:val="21"/>
                <w:highlight w:val="none"/>
              </w:rPr>
              <w:t>表</w:t>
            </w:r>
            <w:r>
              <w:rPr>
                <w:rFonts w:hint="eastAsia" w:ascii="Times New Roman" w:hAnsi="Times New Roman"/>
                <w:b/>
                <w:color w:val="auto"/>
                <w:sz w:val="21"/>
                <w:szCs w:val="21"/>
                <w:highlight w:val="none"/>
                <w:lang w:val="en-US" w:eastAsia="zh-CN"/>
              </w:rPr>
              <w:t>4</w:t>
            </w:r>
            <w:r>
              <w:rPr>
                <w:rFonts w:hint="eastAsia" w:ascii="Times New Roman" w:hAnsi="Times New Roman"/>
                <w:b/>
                <w:color w:val="auto"/>
                <w:sz w:val="21"/>
                <w:szCs w:val="21"/>
                <w:highlight w:val="none"/>
              </w:rPr>
              <w:t xml:space="preserve">  </w:t>
            </w:r>
            <w:r>
              <w:rPr>
                <w:rFonts w:hint="eastAsia" w:ascii="Times New Roman" w:hAnsi="Times New Roman"/>
                <w:b/>
                <w:color w:val="auto"/>
                <w:sz w:val="21"/>
                <w:szCs w:val="21"/>
                <w:highlight w:val="none"/>
                <w:lang w:val="en-US" w:eastAsia="zh-CN"/>
              </w:rPr>
              <w:t>本</w:t>
            </w:r>
            <w:r>
              <w:rPr>
                <w:rFonts w:hint="eastAsia" w:ascii="Times New Roman" w:hAnsi="Times New Roman"/>
                <w:b/>
                <w:color w:val="auto"/>
                <w:sz w:val="21"/>
                <w:szCs w:val="21"/>
                <w:highlight w:val="none"/>
              </w:rPr>
              <w:t>项目与</w:t>
            </w:r>
            <w:r>
              <w:rPr>
                <w:rFonts w:hint="eastAsia" w:ascii="Times New Roman" w:hAnsi="Times New Roman"/>
                <w:b/>
                <w:color w:val="auto"/>
                <w:sz w:val="21"/>
                <w:szCs w:val="21"/>
                <w:highlight w:val="none"/>
                <w:lang w:val="en-US" w:eastAsia="zh-CN"/>
              </w:rPr>
              <w:t>相关文件的</w:t>
            </w:r>
            <w:r>
              <w:rPr>
                <w:rFonts w:ascii="Times New Roman" w:hAnsi="Times New Roman"/>
                <w:b/>
                <w:color w:val="auto"/>
                <w:sz w:val="21"/>
                <w:szCs w:val="21"/>
                <w:highlight w:val="none"/>
              </w:rPr>
              <w:t>符合性</w:t>
            </w:r>
            <w:r>
              <w:rPr>
                <w:rFonts w:hint="eastAsia" w:ascii="Times New Roman" w:hAnsi="Times New Roman"/>
                <w:b/>
                <w:color w:val="auto"/>
                <w:sz w:val="21"/>
                <w:szCs w:val="21"/>
                <w:highlight w:val="none"/>
                <w:lang w:val="en-US" w:eastAsia="zh-CN"/>
              </w:rPr>
              <w:t>分析一览表</w:t>
            </w:r>
          </w:p>
          <w:tbl>
            <w:tblPr>
              <w:tblStyle w:val="28"/>
              <w:tblW w:w="11950" w:type="dxa"/>
              <w:tblInd w:w="0" w:type="dxa"/>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
            <w:tblGrid>
              <w:gridCol w:w="569"/>
              <w:gridCol w:w="1398"/>
              <w:gridCol w:w="6201"/>
              <w:gridCol w:w="3078"/>
              <w:gridCol w:w="704"/>
            </w:tblGrid>
            <w:tr w14:paraId="4FADA2AC">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exact"/>
              </w:trPr>
              <w:tc>
                <w:tcPr>
                  <w:tcW w:w="569" w:type="dxa"/>
                  <w:tcBorders>
                    <w:tl2br w:val="nil"/>
                    <w:tr2bl w:val="nil"/>
                  </w:tcBorders>
                  <w:vAlign w:val="center"/>
                </w:tcPr>
                <w:p w14:paraId="52BEF1F6">
                  <w:pPr>
                    <w:spacing w:line="240" w:lineRule="exact"/>
                    <w:jc w:val="center"/>
                    <w:rPr>
                      <w:color w:val="auto"/>
                      <w:spacing w:val="-10"/>
                      <w:sz w:val="18"/>
                      <w:szCs w:val="18"/>
                      <w:highlight w:val="none"/>
                    </w:rPr>
                  </w:pPr>
                  <w:r>
                    <w:rPr>
                      <w:rFonts w:hint="eastAsia"/>
                      <w:color w:val="auto"/>
                      <w:spacing w:val="-10"/>
                      <w:sz w:val="18"/>
                      <w:szCs w:val="18"/>
                      <w:highlight w:val="none"/>
                    </w:rPr>
                    <w:t>序号</w:t>
                  </w:r>
                </w:p>
              </w:tc>
              <w:tc>
                <w:tcPr>
                  <w:tcW w:w="7599" w:type="dxa"/>
                  <w:gridSpan w:val="2"/>
                  <w:tcBorders>
                    <w:tl2br w:val="nil"/>
                    <w:tr2bl w:val="nil"/>
                  </w:tcBorders>
                  <w:vAlign w:val="center"/>
                </w:tcPr>
                <w:p w14:paraId="334DDA33">
                  <w:pPr>
                    <w:spacing w:line="240" w:lineRule="exact"/>
                    <w:jc w:val="center"/>
                    <w:rPr>
                      <w:color w:val="auto"/>
                      <w:spacing w:val="-10"/>
                      <w:sz w:val="18"/>
                      <w:szCs w:val="18"/>
                      <w:highlight w:val="none"/>
                    </w:rPr>
                  </w:pPr>
                  <w:r>
                    <w:rPr>
                      <w:rFonts w:hint="eastAsia"/>
                      <w:color w:val="auto"/>
                      <w:spacing w:val="-10"/>
                      <w:sz w:val="18"/>
                      <w:szCs w:val="18"/>
                      <w:highlight w:val="none"/>
                    </w:rPr>
                    <w:t>政策要求</w:t>
                  </w:r>
                </w:p>
              </w:tc>
              <w:tc>
                <w:tcPr>
                  <w:tcW w:w="3078" w:type="dxa"/>
                  <w:tcBorders>
                    <w:tl2br w:val="nil"/>
                    <w:tr2bl w:val="nil"/>
                  </w:tcBorders>
                  <w:vAlign w:val="center"/>
                </w:tcPr>
                <w:p w14:paraId="7760476A">
                  <w:pPr>
                    <w:spacing w:line="240" w:lineRule="exact"/>
                    <w:jc w:val="center"/>
                    <w:rPr>
                      <w:color w:val="auto"/>
                      <w:spacing w:val="-10"/>
                      <w:sz w:val="18"/>
                      <w:szCs w:val="18"/>
                      <w:highlight w:val="none"/>
                    </w:rPr>
                  </w:pPr>
                  <w:r>
                    <w:rPr>
                      <w:rFonts w:hint="eastAsia"/>
                      <w:color w:val="auto"/>
                      <w:spacing w:val="-10"/>
                      <w:sz w:val="18"/>
                      <w:szCs w:val="18"/>
                      <w:highlight w:val="none"/>
                    </w:rPr>
                    <w:t>本项目实际</w:t>
                  </w:r>
                </w:p>
              </w:tc>
              <w:tc>
                <w:tcPr>
                  <w:tcW w:w="704" w:type="dxa"/>
                  <w:tcBorders>
                    <w:tl2br w:val="nil"/>
                    <w:tr2bl w:val="nil"/>
                  </w:tcBorders>
                  <w:vAlign w:val="center"/>
                </w:tcPr>
                <w:p w14:paraId="402807FA">
                  <w:pPr>
                    <w:jc w:val="center"/>
                    <w:rPr>
                      <w:color w:val="auto"/>
                      <w:spacing w:val="-10"/>
                      <w:sz w:val="18"/>
                      <w:szCs w:val="18"/>
                      <w:highlight w:val="none"/>
                    </w:rPr>
                  </w:pPr>
                  <w:r>
                    <w:rPr>
                      <w:rFonts w:hint="eastAsia"/>
                      <w:color w:val="auto"/>
                      <w:spacing w:val="-10"/>
                      <w:sz w:val="18"/>
                      <w:szCs w:val="18"/>
                      <w:highlight w:val="none"/>
                    </w:rPr>
                    <w:t>符合性</w:t>
                  </w:r>
                </w:p>
              </w:tc>
            </w:tr>
            <w:tr w14:paraId="3E10A2F9">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78" w:hRule="atLeast"/>
              </w:trPr>
              <w:tc>
                <w:tcPr>
                  <w:tcW w:w="569" w:type="dxa"/>
                  <w:tcBorders>
                    <w:tl2br w:val="nil"/>
                    <w:tr2bl w:val="nil"/>
                  </w:tcBorders>
                  <w:vAlign w:val="center"/>
                </w:tcPr>
                <w:p w14:paraId="74C680D9">
                  <w:pPr>
                    <w:spacing w:line="240" w:lineRule="exact"/>
                    <w:jc w:val="center"/>
                    <w:rPr>
                      <w:rFonts w:hint="default" w:cs="Times New Roman"/>
                      <w:color w:val="auto"/>
                      <w:spacing w:val="-10"/>
                      <w:sz w:val="18"/>
                      <w:szCs w:val="18"/>
                      <w:highlight w:val="none"/>
                      <w:lang w:val="en-US" w:eastAsia="zh-CN"/>
                    </w:rPr>
                  </w:pPr>
                  <w:r>
                    <w:rPr>
                      <w:rFonts w:hint="eastAsia" w:cs="Times New Roman"/>
                      <w:color w:val="auto"/>
                      <w:spacing w:val="-10"/>
                      <w:sz w:val="18"/>
                      <w:szCs w:val="18"/>
                      <w:highlight w:val="none"/>
                      <w:lang w:val="en-US" w:eastAsia="zh-CN"/>
                    </w:rPr>
                    <w:t>4</w:t>
                  </w:r>
                </w:p>
              </w:tc>
              <w:tc>
                <w:tcPr>
                  <w:tcW w:w="1398" w:type="dxa"/>
                  <w:tcBorders>
                    <w:tl2br w:val="nil"/>
                    <w:tr2bl w:val="nil"/>
                  </w:tcBorders>
                  <w:shd w:val="clear" w:color="auto" w:fill="auto"/>
                  <w:vAlign w:val="center"/>
                </w:tcPr>
                <w:p w14:paraId="7283FFE0">
                  <w:pPr>
                    <w:spacing w:line="240" w:lineRule="exact"/>
                    <w:jc w:val="center"/>
                    <w:rPr>
                      <w:rFonts w:hint="eastAsia" w:ascii="Times New Roman" w:hAnsi="Times New Roman" w:eastAsia="宋体" w:cs="Times New Roman"/>
                      <w:color w:val="auto"/>
                      <w:spacing w:val="-10"/>
                      <w:kern w:val="2"/>
                      <w:sz w:val="18"/>
                      <w:szCs w:val="18"/>
                      <w:lang w:val="en-US" w:eastAsia="zh-CN" w:bidi="ar-SA"/>
                    </w:rPr>
                  </w:pPr>
                  <w:r>
                    <w:rPr>
                      <w:rFonts w:hint="eastAsia" w:ascii="Times New Roman" w:hAnsi="Times New Roman" w:cs="Times New Roman"/>
                      <w:color w:val="auto"/>
                      <w:spacing w:val="-10"/>
                      <w:sz w:val="18"/>
                      <w:szCs w:val="18"/>
                      <w:lang w:val="en-US" w:eastAsia="zh-CN"/>
                    </w:rPr>
                    <w:t>关于“十四五”大宗固体废弃物综合利用的指导意见（发改环资[2021]381号）</w:t>
                  </w:r>
                </w:p>
              </w:tc>
              <w:tc>
                <w:tcPr>
                  <w:tcW w:w="6201" w:type="dxa"/>
                  <w:tcBorders>
                    <w:tl2br w:val="nil"/>
                    <w:tr2bl w:val="nil"/>
                  </w:tcBorders>
                  <w:shd w:val="clear" w:color="auto" w:fill="auto"/>
                  <w:vAlign w:val="center"/>
                </w:tcPr>
                <w:p w14:paraId="45C10037">
                  <w:pPr>
                    <w:spacing w:line="240" w:lineRule="exact"/>
                    <w:jc w:val="center"/>
                    <w:rPr>
                      <w:rFonts w:hint="eastAsia" w:ascii="Times New Roman" w:hAnsi="Times New Roman" w:eastAsia="宋体" w:cs="Times New Roman"/>
                      <w:color w:val="auto"/>
                      <w:spacing w:val="-10"/>
                      <w:kern w:val="2"/>
                      <w:sz w:val="18"/>
                      <w:szCs w:val="18"/>
                      <w:lang w:val="en-US" w:eastAsia="zh-CN" w:bidi="ar-SA"/>
                    </w:rPr>
                  </w:pPr>
                  <w:r>
                    <w:rPr>
                      <w:rFonts w:hint="default" w:ascii="Times New Roman" w:hAnsi="Times New Roman" w:cs="Times New Roman"/>
                      <w:color w:val="auto"/>
                      <w:spacing w:val="-10"/>
                      <w:sz w:val="18"/>
                      <w:szCs w:val="18"/>
                      <w:lang w:val="en-US" w:eastAsia="zh-CN"/>
                    </w:rPr>
                    <w:t>加强产业协同利用，扩大赤泥和钢渣利用规模，提高赤泥在道路材料中的掺用比例，扩大钢渣微粉作混凝土掺合料在建设工程等领域的利用。不断探索赤泥和钢渣的其他规模化利用渠道。鼓励从赤泥中回收铁、碱、氧化铝，从冶炼渣中回收稀有稀散金属和稀贵金属等有价组分，提高矿产资源利用效率，保障国家资源安全，逐步提高冶炼渣综合利用率。</w:t>
                  </w:r>
                </w:p>
              </w:tc>
              <w:tc>
                <w:tcPr>
                  <w:tcW w:w="3078" w:type="dxa"/>
                  <w:tcBorders>
                    <w:tl2br w:val="nil"/>
                    <w:tr2bl w:val="nil"/>
                  </w:tcBorders>
                  <w:shd w:val="clear" w:color="auto" w:fill="auto"/>
                  <w:vAlign w:val="center"/>
                </w:tcPr>
                <w:p w14:paraId="3E52BDDA">
                  <w:pPr>
                    <w:spacing w:line="240" w:lineRule="exact"/>
                    <w:jc w:val="left"/>
                    <w:rPr>
                      <w:rFonts w:hint="eastAsia" w:ascii="Times New Roman" w:hAnsi="Times New Roman" w:eastAsia="宋体" w:cs="Times New Roman"/>
                      <w:color w:val="auto"/>
                      <w:spacing w:val="-10"/>
                      <w:sz w:val="18"/>
                      <w:szCs w:val="18"/>
                      <w:lang w:val="en-US" w:eastAsia="zh-CN"/>
                    </w:rPr>
                  </w:pPr>
                  <w:r>
                    <w:rPr>
                      <w:rFonts w:hint="eastAsia" w:ascii="Times New Roman" w:hAnsi="Times New Roman" w:eastAsia="宋体" w:cs="Times New Roman"/>
                      <w:color w:val="auto"/>
                      <w:spacing w:val="-10"/>
                      <w:sz w:val="18"/>
                      <w:szCs w:val="18"/>
                      <w:lang w:val="en-US" w:eastAsia="zh-CN"/>
                    </w:rPr>
                    <w:t>本项目利用钢铁企业产生废钢破碎尾料、钢渣进行生产提取有价值产品，进行相关领域利用，属于工业固废综合利用项目， 提高了固废的综合利用率，项目实施后可实现废钢破碎尾料、钢渣的资源化利用。</w:t>
                  </w:r>
                </w:p>
              </w:tc>
              <w:tc>
                <w:tcPr>
                  <w:tcW w:w="704" w:type="dxa"/>
                  <w:tcBorders>
                    <w:tl2br w:val="nil"/>
                    <w:tr2bl w:val="nil"/>
                  </w:tcBorders>
                  <w:shd w:val="clear" w:color="auto" w:fill="auto"/>
                  <w:vAlign w:val="center"/>
                </w:tcPr>
                <w:p w14:paraId="263F6CF6">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Times New Roman" w:hAnsi="Times New Roman" w:eastAsia="宋体" w:cs="Times New Roman"/>
                      <w:color w:val="auto"/>
                      <w:spacing w:val="-10"/>
                      <w:sz w:val="18"/>
                      <w:szCs w:val="18"/>
                      <w:highlight w:val="none"/>
                      <w:lang w:val="en-US" w:eastAsia="zh-CN"/>
                    </w:rPr>
                  </w:pPr>
                  <w:r>
                    <w:rPr>
                      <w:rFonts w:hint="eastAsia" w:ascii="Times New Roman" w:hAnsi="Times New Roman" w:eastAsia="宋体" w:cs="Times New Roman"/>
                      <w:color w:val="auto"/>
                      <w:spacing w:val="-10"/>
                      <w:sz w:val="18"/>
                      <w:szCs w:val="18"/>
                      <w:highlight w:val="none"/>
                      <w:lang w:val="en-US" w:eastAsia="zh-CN"/>
                    </w:rPr>
                    <w:t>符合</w:t>
                  </w:r>
                </w:p>
              </w:tc>
            </w:tr>
            <w:tr w14:paraId="3C3BD90C">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78" w:hRule="atLeast"/>
              </w:trPr>
              <w:tc>
                <w:tcPr>
                  <w:tcW w:w="569" w:type="dxa"/>
                  <w:vMerge w:val="restart"/>
                  <w:tcBorders>
                    <w:tl2br w:val="nil"/>
                    <w:tr2bl w:val="nil"/>
                  </w:tcBorders>
                  <w:vAlign w:val="center"/>
                </w:tcPr>
                <w:p w14:paraId="335B237E">
                  <w:pPr>
                    <w:spacing w:line="240" w:lineRule="exact"/>
                    <w:jc w:val="center"/>
                    <w:rPr>
                      <w:rFonts w:hint="default" w:cs="Times New Roman"/>
                      <w:color w:val="auto"/>
                      <w:spacing w:val="-10"/>
                      <w:sz w:val="18"/>
                      <w:szCs w:val="18"/>
                      <w:highlight w:val="none"/>
                      <w:lang w:val="en-US" w:eastAsia="zh-CN"/>
                    </w:rPr>
                  </w:pPr>
                  <w:r>
                    <w:rPr>
                      <w:rFonts w:hint="eastAsia" w:cs="Times New Roman"/>
                      <w:color w:val="auto"/>
                      <w:spacing w:val="-10"/>
                      <w:sz w:val="18"/>
                      <w:szCs w:val="18"/>
                      <w:highlight w:val="none"/>
                      <w:lang w:val="en-US" w:eastAsia="zh-CN"/>
                    </w:rPr>
                    <w:t>5</w:t>
                  </w:r>
                </w:p>
              </w:tc>
              <w:tc>
                <w:tcPr>
                  <w:tcW w:w="1398" w:type="dxa"/>
                  <w:vMerge w:val="restart"/>
                  <w:tcBorders>
                    <w:tl2br w:val="nil"/>
                    <w:tr2bl w:val="nil"/>
                  </w:tcBorders>
                  <w:shd w:val="clear" w:color="auto" w:fill="auto"/>
                  <w:vAlign w:val="center"/>
                </w:tcPr>
                <w:p w14:paraId="22B459B7">
                  <w:pPr>
                    <w:spacing w:line="240" w:lineRule="exact"/>
                    <w:jc w:val="center"/>
                    <w:rPr>
                      <w:rFonts w:hint="eastAsia" w:ascii="Times New Roman" w:hAnsi="Times New Roman" w:eastAsia="宋体" w:cs="Times New Roman"/>
                      <w:color w:val="auto"/>
                      <w:spacing w:val="-10"/>
                      <w:kern w:val="2"/>
                      <w:sz w:val="18"/>
                      <w:szCs w:val="18"/>
                      <w:lang w:val="en-US" w:eastAsia="zh-CN" w:bidi="ar-SA"/>
                    </w:rPr>
                  </w:pPr>
                  <w:r>
                    <w:rPr>
                      <w:rFonts w:hint="default" w:ascii="Times New Roman" w:hAnsi="Times New Roman" w:eastAsia="宋体" w:cs="Times New Roman"/>
                      <w:color w:val="auto"/>
                      <w:spacing w:val="-10"/>
                      <w:sz w:val="18"/>
                      <w:szCs w:val="18"/>
                      <w:lang w:val="en-US" w:eastAsia="zh-CN"/>
                    </w:rPr>
                    <w:t>河北省“十四五”大宗固体废弃物综合利用实施方案</w:t>
                  </w:r>
                </w:p>
              </w:tc>
              <w:tc>
                <w:tcPr>
                  <w:tcW w:w="6201" w:type="dxa"/>
                  <w:tcBorders>
                    <w:tl2br w:val="nil"/>
                    <w:tr2bl w:val="nil"/>
                  </w:tcBorders>
                  <w:shd w:val="clear" w:color="auto" w:fill="auto"/>
                  <w:vAlign w:val="center"/>
                </w:tcPr>
                <w:p w14:paraId="6E59BF1B">
                  <w:pPr>
                    <w:spacing w:line="240" w:lineRule="exact"/>
                    <w:jc w:val="left"/>
                    <w:rPr>
                      <w:rFonts w:hint="eastAsia" w:ascii="Times New Roman" w:hAnsi="Times New Roman" w:eastAsia="宋体" w:cs="Times New Roman"/>
                      <w:color w:val="auto"/>
                      <w:spacing w:val="-10"/>
                      <w:kern w:val="2"/>
                      <w:sz w:val="18"/>
                      <w:szCs w:val="18"/>
                      <w:lang w:val="en-US" w:eastAsia="zh-CN" w:bidi="ar-SA"/>
                    </w:rPr>
                  </w:pPr>
                  <w:r>
                    <w:rPr>
                      <w:rFonts w:hint="eastAsia" w:ascii="Times New Roman" w:hAnsi="Times New Roman" w:eastAsia="宋体" w:cs="Times New Roman"/>
                      <w:color w:val="auto"/>
                      <w:spacing w:val="-10"/>
                      <w:sz w:val="18"/>
                      <w:szCs w:val="18"/>
                      <w:lang w:val="en-US" w:eastAsia="zh-CN"/>
                    </w:rPr>
                    <w:t>积极推动高炉渣、钢渣、尾渣分级利用和规模化利用。推</w:t>
                  </w:r>
                  <w:r>
                    <w:rPr>
                      <w:rFonts w:hint="default" w:ascii="Times New Roman" w:hAnsi="Times New Roman" w:eastAsia="宋体" w:cs="Times New Roman"/>
                      <w:color w:val="auto"/>
                      <w:spacing w:val="-10"/>
                      <w:sz w:val="18"/>
                      <w:szCs w:val="18"/>
                      <w:lang w:val="en-US" w:eastAsia="zh-CN"/>
                    </w:rPr>
                    <w:t>动钒钛冶金渣提取有用组分和含重金属冶金渣无害化处理利用；推广技术先进、能耗低、耗渣量大、附加值高的产品，全面实现钢渣</w:t>
                  </w:r>
                  <w:r>
                    <w:rPr>
                      <w:rFonts w:hint="eastAsia" w:ascii="Times New Roman" w:hAnsi="Times New Roman" w:eastAsia="宋体" w:cs="Times New Roman"/>
                      <w:color w:val="auto"/>
                      <w:spacing w:val="-10"/>
                      <w:sz w:val="18"/>
                      <w:szCs w:val="18"/>
                      <w:lang w:val="en-US" w:eastAsia="zh-CN"/>
                    </w:rPr>
                    <w:t>“</w:t>
                  </w:r>
                  <w:r>
                    <w:rPr>
                      <w:rFonts w:hint="default" w:ascii="Times New Roman" w:hAnsi="Times New Roman" w:eastAsia="宋体" w:cs="Times New Roman"/>
                      <w:color w:val="auto"/>
                      <w:spacing w:val="-10"/>
                      <w:sz w:val="18"/>
                      <w:szCs w:val="18"/>
                      <w:lang w:val="en-US" w:eastAsia="zh-CN"/>
                    </w:rPr>
                    <w:t>零排放”</w:t>
                  </w:r>
                </w:p>
              </w:tc>
              <w:tc>
                <w:tcPr>
                  <w:tcW w:w="3078" w:type="dxa"/>
                  <w:vMerge w:val="restart"/>
                  <w:tcBorders>
                    <w:tl2br w:val="nil"/>
                    <w:tr2bl w:val="nil"/>
                  </w:tcBorders>
                  <w:shd w:val="clear" w:color="auto" w:fill="auto"/>
                  <w:vAlign w:val="center"/>
                </w:tcPr>
                <w:p w14:paraId="2CA394C4">
                  <w:pPr>
                    <w:spacing w:line="240" w:lineRule="exact"/>
                    <w:jc w:val="left"/>
                    <w:rPr>
                      <w:rFonts w:hint="eastAsia" w:ascii="Times New Roman" w:hAnsi="Times New Roman" w:eastAsia="宋体" w:cs="Times New Roman"/>
                      <w:color w:val="auto"/>
                      <w:spacing w:val="-10"/>
                      <w:kern w:val="2"/>
                      <w:sz w:val="18"/>
                      <w:szCs w:val="18"/>
                      <w:lang w:val="en-US" w:eastAsia="zh-CN" w:bidi="ar-SA"/>
                    </w:rPr>
                  </w:pPr>
                  <w:r>
                    <w:rPr>
                      <w:rFonts w:hint="eastAsia" w:ascii="Times New Roman" w:hAnsi="Times New Roman" w:eastAsia="宋体" w:cs="Times New Roman"/>
                      <w:color w:val="auto"/>
                      <w:spacing w:val="-10"/>
                      <w:sz w:val="18"/>
                      <w:szCs w:val="18"/>
                      <w:lang w:val="en-US" w:eastAsia="zh-CN"/>
                    </w:rPr>
                    <w:t>本项目利用钢铁企业产生废钢破碎尾料、钢渣进行生产提取有价值产品，进行相关领域利用，属于工业固废综合利用项目， 提高了固废的综合利用率，项目实施后可实现废钢破碎尾料、钢渣的资源化利用。</w:t>
                  </w:r>
                </w:p>
              </w:tc>
              <w:tc>
                <w:tcPr>
                  <w:tcW w:w="704" w:type="dxa"/>
                  <w:vMerge w:val="restart"/>
                  <w:tcBorders>
                    <w:tl2br w:val="nil"/>
                    <w:tr2bl w:val="nil"/>
                  </w:tcBorders>
                  <w:shd w:val="clear" w:color="auto" w:fill="auto"/>
                  <w:vAlign w:val="center"/>
                </w:tcPr>
                <w:p w14:paraId="563E9D84">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Times New Roman" w:hAnsi="Times New Roman" w:eastAsia="宋体" w:cs="Times New Roman"/>
                      <w:color w:val="auto"/>
                      <w:spacing w:val="-10"/>
                      <w:kern w:val="2"/>
                      <w:sz w:val="18"/>
                      <w:szCs w:val="18"/>
                      <w:highlight w:val="none"/>
                      <w:lang w:val="en-US" w:eastAsia="zh-CN" w:bidi="ar-SA"/>
                    </w:rPr>
                  </w:pPr>
                  <w:r>
                    <w:rPr>
                      <w:rFonts w:hint="eastAsia" w:ascii="Times New Roman" w:hAnsi="Times New Roman" w:eastAsia="宋体" w:cs="Times New Roman"/>
                      <w:color w:val="auto"/>
                      <w:spacing w:val="-10"/>
                      <w:sz w:val="18"/>
                      <w:szCs w:val="18"/>
                      <w:highlight w:val="none"/>
                      <w:lang w:val="en-US" w:eastAsia="zh-CN"/>
                    </w:rPr>
                    <w:t>符合</w:t>
                  </w:r>
                </w:p>
              </w:tc>
            </w:tr>
            <w:tr w14:paraId="675844C9">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78" w:hRule="atLeast"/>
              </w:trPr>
              <w:tc>
                <w:tcPr>
                  <w:tcW w:w="569" w:type="dxa"/>
                  <w:vMerge w:val="continue"/>
                  <w:tcBorders>
                    <w:tl2br w:val="nil"/>
                    <w:tr2bl w:val="nil"/>
                  </w:tcBorders>
                  <w:vAlign w:val="center"/>
                </w:tcPr>
                <w:p w14:paraId="081A497B">
                  <w:pPr>
                    <w:spacing w:line="240" w:lineRule="exact"/>
                    <w:jc w:val="center"/>
                    <w:rPr>
                      <w:rFonts w:hint="eastAsia" w:cs="Times New Roman"/>
                      <w:color w:val="auto"/>
                      <w:spacing w:val="-10"/>
                      <w:sz w:val="18"/>
                      <w:szCs w:val="18"/>
                      <w:highlight w:val="none"/>
                      <w:lang w:val="en-US" w:eastAsia="zh-CN"/>
                    </w:rPr>
                  </w:pPr>
                </w:p>
              </w:tc>
              <w:tc>
                <w:tcPr>
                  <w:tcW w:w="1398" w:type="dxa"/>
                  <w:vMerge w:val="continue"/>
                  <w:tcBorders>
                    <w:tl2br w:val="nil"/>
                    <w:tr2bl w:val="nil"/>
                  </w:tcBorders>
                  <w:vAlign w:val="center"/>
                </w:tcPr>
                <w:p w14:paraId="0AFB39A2">
                  <w:pPr>
                    <w:spacing w:line="240" w:lineRule="exact"/>
                    <w:jc w:val="center"/>
                    <w:rPr>
                      <w:rFonts w:hint="eastAsia" w:ascii="Times New Roman" w:hAnsi="Times New Roman" w:eastAsia="宋体" w:cs="Times New Roman"/>
                      <w:color w:val="auto"/>
                      <w:spacing w:val="-10"/>
                      <w:sz w:val="18"/>
                      <w:szCs w:val="18"/>
                      <w:highlight w:val="none"/>
                      <w:lang w:val="en-US" w:eastAsia="zh-CN"/>
                    </w:rPr>
                  </w:pPr>
                </w:p>
              </w:tc>
              <w:tc>
                <w:tcPr>
                  <w:tcW w:w="6201" w:type="dxa"/>
                  <w:tcBorders>
                    <w:tl2br w:val="nil"/>
                    <w:tr2bl w:val="nil"/>
                  </w:tcBorders>
                  <w:shd w:val="clear" w:color="auto" w:fill="auto"/>
                  <w:vAlign w:val="center"/>
                </w:tcPr>
                <w:p w14:paraId="552DEC76">
                  <w:pPr>
                    <w:spacing w:line="240" w:lineRule="exact"/>
                    <w:jc w:val="left"/>
                    <w:rPr>
                      <w:rFonts w:hint="eastAsia" w:ascii="Times New Roman" w:hAnsi="Times New Roman" w:eastAsia="宋体" w:cs="Times New Roman"/>
                      <w:color w:val="auto"/>
                      <w:spacing w:val="-10"/>
                      <w:kern w:val="2"/>
                      <w:sz w:val="18"/>
                      <w:szCs w:val="18"/>
                      <w:lang w:val="en-US" w:eastAsia="zh-CN" w:bidi="ar-SA"/>
                    </w:rPr>
                  </w:pPr>
                  <w:r>
                    <w:rPr>
                      <w:rFonts w:hint="default" w:ascii="Times New Roman" w:hAnsi="Times New Roman" w:eastAsia="宋体" w:cs="Times New Roman"/>
                      <w:color w:val="auto"/>
                      <w:spacing w:val="-10"/>
                      <w:sz w:val="18"/>
                      <w:szCs w:val="18"/>
                      <w:lang w:val="en-US" w:eastAsia="zh-CN"/>
                    </w:rPr>
                    <w:t>以铁尾矿综合利用为重点，依托承德双滦钒钛冶金产业聚集区建设尾矿资源综合利用示范基地。以冶炼废渣、铁尾矿、粉煤灰、工业副产石膏综合利用为重点，加快邯郸、唐山市(古冶区、迁安市)国家大宗固体废弃物综合利用基地建设和唐山曹妃甸区工业资源综合利用基地建设。有序推进石家庄、张家口、邢台、秦皇岛、沧州、保定粉煤灰、尾矿、煤矸石、冶金渣等大宗固废利用处置，因地制宜构建综合利用产业链。</w:t>
                  </w:r>
                </w:p>
              </w:tc>
              <w:tc>
                <w:tcPr>
                  <w:tcW w:w="3078" w:type="dxa"/>
                  <w:vMerge w:val="continue"/>
                  <w:tcBorders>
                    <w:tl2br w:val="nil"/>
                    <w:tr2bl w:val="nil"/>
                  </w:tcBorders>
                  <w:shd w:val="clear" w:color="auto" w:fill="auto"/>
                  <w:vAlign w:val="center"/>
                </w:tcPr>
                <w:p w14:paraId="795C19A9">
                  <w:pPr>
                    <w:spacing w:line="240" w:lineRule="exact"/>
                    <w:jc w:val="center"/>
                    <w:rPr>
                      <w:rFonts w:hint="eastAsia" w:ascii="Times New Roman" w:hAnsi="Times New Roman" w:eastAsia="宋体" w:cs="Times New Roman"/>
                      <w:color w:val="auto"/>
                      <w:spacing w:val="-10"/>
                      <w:kern w:val="2"/>
                      <w:sz w:val="18"/>
                      <w:szCs w:val="18"/>
                      <w:lang w:val="en-US" w:eastAsia="zh-CN" w:bidi="ar-SA"/>
                    </w:rPr>
                  </w:pPr>
                </w:p>
              </w:tc>
              <w:tc>
                <w:tcPr>
                  <w:tcW w:w="704" w:type="dxa"/>
                  <w:vMerge w:val="continue"/>
                  <w:tcBorders>
                    <w:tl2br w:val="nil"/>
                    <w:tr2bl w:val="nil"/>
                  </w:tcBorders>
                  <w:shd w:val="clear" w:color="auto" w:fill="auto"/>
                  <w:vAlign w:val="center"/>
                </w:tcPr>
                <w:p w14:paraId="57426F17">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Times New Roman" w:hAnsi="Times New Roman" w:eastAsia="宋体" w:cs="Times New Roman"/>
                      <w:color w:val="auto"/>
                      <w:spacing w:val="-10"/>
                      <w:sz w:val="18"/>
                      <w:szCs w:val="18"/>
                      <w:highlight w:val="none"/>
                      <w:lang w:val="en-US" w:eastAsia="zh-CN"/>
                    </w:rPr>
                  </w:pPr>
                </w:p>
              </w:tc>
            </w:tr>
            <w:tr w14:paraId="17AA1C2F">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78" w:hRule="atLeast"/>
              </w:trPr>
              <w:tc>
                <w:tcPr>
                  <w:tcW w:w="569" w:type="dxa"/>
                  <w:vMerge w:val="continue"/>
                  <w:tcBorders>
                    <w:tl2br w:val="nil"/>
                    <w:tr2bl w:val="nil"/>
                  </w:tcBorders>
                  <w:vAlign w:val="center"/>
                </w:tcPr>
                <w:p w14:paraId="2125CF16">
                  <w:pPr>
                    <w:spacing w:line="240" w:lineRule="exact"/>
                    <w:jc w:val="center"/>
                    <w:rPr>
                      <w:rFonts w:hint="eastAsia" w:cs="Times New Roman"/>
                      <w:color w:val="auto"/>
                      <w:spacing w:val="-10"/>
                      <w:sz w:val="18"/>
                      <w:szCs w:val="18"/>
                      <w:highlight w:val="none"/>
                      <w:lang w:val="en-US" w:eastAsia="zh-CN"/>
                    </w:rPr>
                  </w:pPr>
                </w:p>
              </w:tc>
              <w:tc>
                <w:tcPr>
                  <w:tcW w:w="1398" w:type="dxa"/>
                  <w:vMerge w:val="continue"/>
                  <w:tcBorders>
                    <w:tl2br w:val="nil"/>
                    <w:tr2bl w:val="nil"/>
                  </w:tcBorders>
                  <w:vAlign w:val="center"/>
                </w:tcPr>
                <w:p w14:paraId="08CCBDB3">
                  <w:pPr>
                    <w:spacing w:line="240" w:lineRule="exact"/>
                    <w:jc w:val="center"/>
                    <w:rPr>
                      <w:rFonts w:hint="eastAsia" w:ascii="Times New Roman" w:hAnsi="Times New Roman" w:eastAsia="宋体" w:cs="Times New Roman"/>
                      <w:color w:val="auto"/>
                      <w:spacing w:val="-10"/>
                      <w:sz w:val="18"/>
                      <w:szCs w:val="18"/>
                      <w:highlight w:val="none"/>
                      <w:lang w:val="en-US" w:eastAsia="zh-CN"/>
                    </w:rPr>
                  </w:pPr>
                </w:p>
              </w:tc>
              <w:tc>
                <w:tcPr>
                  <w:tcW w:w="6201" w:type="dxa"/>
                  <w:tcBorders>
                    <w:tl2br w:val="nil"/>
                    <w:tr2bl w:val="nil"/>
                  </w:tcBorders>
                  <w:shd w:val="clear" w:color="auto" w:fill="auto"/>
                  <w:vAlign w:val="center"/>
                </w:tcPr>
                <w:p w14:paraId="759A1105">
                  <w:pPr>
                    <w:spacing w:line="240" w:lineRule="exact"/>
                    <w:jc w:val="center"/>
                    <w:rPr>
                      <w:rFonts w:hint="eastAsia" w:ascii="Times New Roman" w:hAnsi="Times New Roman" w:eastAsia="宋体" w:cs="Times New Roman"/>
                      <w:color w:val="auto"/>
                      <w:spacing w:val="-10"/>
                      <w:kern w:val="2"/>
                      <w:sz w:val="18"/>
                      <w:szCs w:val="18"/>
                      <w:lang w:val="en-US" w:eastAsia="zh-CN" w:bidi="ar-SA"/>
                    </w:rPr>
                  </w:pPr>
                  <w:r>
                    <w:rPr>
                      <w:rFonts w:hint="default" w:ascii="Times New Roman" w:hAnsi="Times New Roman" w:eastAsia="宋体" w:cs="Times New Roman"/>
                      <w:color w:val="auto"/>
                      <w:spacing w:val="-10"/>
                      <w:sz w:val="18"/>
                      <w:szCs w:val="18"/>
                      <w:lang w:val="en-US" w:eastAsia="zh-CN"/>
                    </w:rPr>
                    <w:t>推动重点产废企业开展清洁生产，实施工业固废减量化改造，推动一批重点企业建设工业固废处置利用设施，对生产过程中产生的工业固废进行综合利用，促进尾矿、粉煤灰、冶金渣、工业副产物等规模化利用，完善工业固废资源化利用产业链，提升产品附加值</w:t>
                  </w:r>
                </w:p>
              </w:tc>
              <w:tc>
                <w:tcPr>
                  <w:tcW w:w="3078" w:type="dxa"/>
                  <w:vMerge w:val="continue"/>
                  <w:tcBorders>
                    <w:tl2br w:val="nil"/>
                    <w:tr2bl w:val="nil"/>
                  </w:tcBorders>
                  <w:shd w:val="clear" w:color="auto" w:fill="auto"/>
                  <w:vAlign w:val="center"/>
                </w:tcPr>
                <w:p w14:paraId="4EFC3F01">
                  <w:pPr>
                    <w:spacing w:line="240" w:lineRule="exact"/>
                    <w:jc w:val="center"/>
                    <w:rPr>
                      <w:rFonts w:hint="eastAsia" w:ascii="Times New Roman" w:hAnsi="Times New Roman" w:eastAsia="宋体" w:cs="Times New Roman"/>
                      <w:color w:val="auto"/>
                      <w:spacing w:val="-10"/>
                      <w:kern w:val="2"/>
                      <w:sz w:val="18"/>
                      <w:szCs w:val="18"/>
                      <w:lang w:val="en-US" w:eastAsia="zh-CN" w:bidi="ar-SA"/>
                    </w:rPr>
                  </w:pPr>
                </w:p>
              </w:tc>
              <w:tc>
                <w:tcPr>
                  <w:tcW w:w="704" w:type="dxa"/>
                  <w:vMerge w:val="continue"/>
                  <w:tcBorders>
                    <w:tl2br w:val="nil"/>
                    <w:tr2bl w:val="nil"/>
                  </w:tcBorders>
                  <w:shd w:val="clear" w:color="auto" w:fill="auto"/>
                  <w:vAlign w:val="center"/>
                </w:tcPr>
                <w:p w14:paraId="73D34F57">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Times New Roman" w:hAnsi="Times New Roman" w:eastAsia="宋体" w:cs="Times New Roman"/>
                      <w:color w:val="auto"/>
                      <w:spacing w:val="-10"/>
                      <w:sz w:val="18"/>
                      <w:szCs w:val="18"/>
                      <w:highlight w:val="none"/>
                      <w:lang w:val="en-US" w:eastAsia="zh-CN"/>
                    </w:rPr>
                  </w:pPr>
                </w:p>
              </w:tc>
            </w:tr>
            <w:tr w14:paraId="54F7F609">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78" w:hRule="atLeast"/>
              </w:trPr>
              <w:tc>
                <w:tcPr>
                  <w:tcW w:w="569" w:type="dxa"/>
                  <w:tcBorders>
                    <w:tl2br w:val="nil"/>
                    <w:tr2bl w:val="nil"/>
                  </w:tcBorders>
                  <w:vAlign w:val="center"/>
                </w:tcPr>
                <w:p w14:paraId="11881E4C">
                  <w:pPr>
                    <w:spacing w:line="240" w:lineRule="exact"/>
                    <w:jc w:val="center"/>
                    <w:rPr>
                      <w:rFonts w:hint="default" w:cs="Times New Roman"/>
                      <w:color w:val="auto"/>
                      <w:spacing w:val="-10"/>
                      <w:sz w:val="18"/>
                      <w:szCs w:val="18"/>
                      <w:highlight w:val="none"/>
                      <w:lang w:val="en-US" w:eastAsia="zh-CN"/>
                    </w:rPr>
                  </w:pPr>
                  <w:r>
                    <w:rPr>
                      <w:rFonts w:hint="eastAsia" w:cs="Times New Roman"/>
                      <w:color w:val="auto"/>
                      <w:spacing w:val="-10"/>
                      <w:sz w:val="18"/>
                      <w:szCs w:val="18"/>
                      <w:highlight w:val="none"/>
                      <w:lang w:val="en-US" w:eastAsia="zh-CN"/>
                    </w:rPr>
                    <w:t>6</w:t>
                  </w:r>
                </w:p>
              </w:tc>
              <w:tc>
                <w:tcPr>
                  <w:tcW w:w="1398" w:type="dxa"/>
                  <w:tcBorders>
                    <w:tl2br w:val="nil"/>
                    <w:tr2bl w:val="nil"/>
                  </w:tcBorders>
                  <w:shd w:val="clear" w:color="auto" w:fill="auto"/>
                  <w:vAlign w:val="center"/>
                </w:tcPr>
                <w:p w14:paraId="0A60FF59">
                  <w:pPr>
                    <w:spacing w:line="240" w:lineRule="exact"/>
                    <w:jc w:val="center"/>
                    <w:rPr>
                      <w:rFonts w:hint="eastAsia" w:ascii="Times New Roman" w:hAnsi="Times New Roman" w:eastAsia="宋体" w:cs="Times New Roman"/>
                      <w:color w:val="auto"/>
                      <w:spacing w:val="-10"/>
                      <w:kern w:val="2"/>
                      <w:sz w:val="18"/>
                      <w:szCs w:val="18"/>
                      <w:lang w:val="en-US" w:eastAsia="zh-CN" w:bidi="ar-SA"/>
                    </w:rPr>
                  </w:pPr>
                  <w:r>
                    <w:rPr>
                      <w:rFonts w:hint="eastAsia" w:ascii="Times New Roman" w:hAnsi="Times New Roman" w:eastAsia="宋体" w:cs="Times New Roman"/>
                      <w:color w:val="auto"/>
                      <w:spacing w:val="-10"/>
                      <w:sz w:val="18"/>
                      <w:szCs w:val="18"/>
                      <w:lang w:val="en-US" w:eastAsia="zh-CN"/>
                    </w:rPr>
                    <w:t>河北省“十四五”时期“无废城市”建设工作方案 （冀政办字〔2022〕37号）</w:t>
                  </w:r>
                </w:p>
              </w:tc>
              <w:tc>
                <w:tcPr>
                  <w:tcW w:w="6201" w:type="dxa"/>
                  <w:tcBorders>
                    <w:tl2br w:val="nil"/>
                    <w:tr2bl w:val="nil"/>
                  </w:tcBorders>
                  <w:shd w:val="clear" w:color="auto" w:fill="auto"/>
                  <w:vAlign w:val="center"/>
                </w:tcPr>
                <w:p w14:paraId="5F049BC9">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Times New Roman" w:hAnsi="Times New Roman" w:eastAsia="宋体" w:cs="Times New Roman"/>
                      <w:color w:val="auto"/>
                      <w:spacing w:val="-10"/>
                      <w:kern w:val="2"/>
                      <w:sz w:val="18"/>
                      <w:szCs w:val="18"/>
                      <w:lang w:val="en-US" w:eastAsia="zh-CN" w:bidi="ar-SA"/>
                    </w:rPr>
                  </w:pPr>
                  <w:r>
                    <w:rPr>
                      <w:rFonts w:hint="eastAsia" w:ascii="Times New Roman" w:hAnsi="Times New Roman" w:eastAsia="宋体" w:cs="Times New Roman"/>
                      <w:color w:val="auto"/>
                      <w:spacing w:val="-10"/>
                      <w:sz w:val="18"/>
                      <w:szCs w:val="18"/>
                      <w:lang w:val="en-US" w:eastAsia="zh-CN"/>
                    </w:rPr>
                    <w:t>促进大宗工业固体废物综合利用。开展存量大宗工业固体废物排查整治，推进尾矿、粉煤灰、煤矸石、冶炼渣、工业副产石膏、化工废渣等在有价组分提取、建材生产、生态修复等领域的规模化利用。推动工业固体废物在厂区内、 园区内、省域内协同循环利用，开展省级工业固体废物综合利用示范，培育一批示范园区、企业。承德市围绕尾矿综合利用，借力国家工业固废资源综合利用示范基地， 立足承德双滦钒钛冶金产业聚集区，推动固体废物机制砂石骨料、 预制混凝土结构件、全固体废物胶 凝等建筑材料规模化生产供应。唐山、邯郸市依托国家大宗固体废弃物综合利用示范基地，推进钢渣、 粉煤灰、煤矸石等在绿色建材、 路基材料中的应用，提升工业固体废物综合利用规模。</w:t>
                  </w:r>
                </w:p>
              </w:tc>
              <w:tc>
                <w:tcPr>
                  <w:tcW w:w="3078" w:type="dxa"/>
                  <w:tcBorders>
                    <w:tl2br w:val="nil"/>
                    <w:tr2bl w:val="nil"/>
                  </w:tcBorders>
                  <w:shd w:val="clear" w:color="auto" w:fill="auto"/>
                  <w:vAlign w:val="center"/>
                </w:tcPr>
                <w:p w14:paraId="68588D48">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Times New Roman" w:hAnsi="Times New Roman" w:eastAsia="宋体" w:cs="Times New Roman"/>
                      <w:color w:val="auto"/>
                      <w:spacing w:val="-10"/>
                      <w:kern w:val="2"/>
                      <w:sz w:val="18"/>
                      <w:szCs w:val="18"/>
                      <w:lang w:val="en-US" w:eastAsia="zh-CN" w:bidi="ar-SA"/>
                    </w:rPr>
                  </w:pPr>
                  <w:r>
                    <w:rPr>
                      <w:rFonts w:hint="eastAsia" w:ascii="Times New Roman" w:hAnsi="Times New Roman" w:eastAsia="宋体" w:cs="Times New Roman"/>
                      <w:color w:val="auto"/>
                      <w:spacing w:val="-10"/>
                      <w:sz w:val="18"/>
                      <w:szCs w:val="18"/>
                      <w:lang w:val="en-US" w:eastAsia="zh-CN"/>
                    </w:rPr>
                    <w:t>本项目利用废钢破碎尾料、钢渣进行生产提取有价值产品，进行相关领域利用，属于工业固废综合利用项目</w:t>
                  </w:r>
                  <w:r>
                    <w:rPr>
                      <w:rFonts w:hint="eastAsia" w:cs="Times New Roman"/>
                      <w:color w:val="auto"/>
                      <w:spacing w:val="-10"/>
                      <w:sz w:val="18"/>
                      <w:szCs w:val="18"/>
                      <w:lang w:val="en-US" w:eastAsia="zh-CN"/>
                    </w:rPr>
                    <w:t>，促进</w:t>
                  </w:r>
                  <w:r>
                    <w:rPr>
                      <w:rFonts w:hint="eastAsia" w:ascii="Times New Roman" w:hAnsi="Times New Roman" w:eastAsia="宋体" w:cs="Times New Roman"/>
                      <w:color w:val="auto"/>
                      <w:spacing w:val="-10"/>
                      <w:sz w:val="18"/>
                      <w:szCs w:val="18"/>
                      <w:lang w:val="en-US" w:eastAsia="zh-CN"/>
                    </w:rPr>
                    <w:t>废钢破碎尾料、钢渣的</w:t>
                  </w:r>
                  <w:r>
                    <w:rPr>
                      <w:rFonts w:hint="eastAsia" w:cs="Times New Roman"/>
                      <w:color w:val="auto"/>
                      <w:spacing w:val="-10"/>
                      <w:sz w:val="18"/>
                      <w:szCs w:val="18"/>
                      <w:lang w:val="en-US" w:eastAsia="zh-CN"/>
                    </w:rPr>
                    <w:t>规模化利用</w:t>
                  </w:r>
                  <w:r>
                    <w:rPr>
                      <w:rFonts w:hint="eastAsia" w:ascii="Times New Roman" w:hAnsi="Times New Roman" w:eastAsia="宋体" w:cs="Times New Roman"/>
                      <w:color w:val="auto"/>
                      <w:spacing w:val="-10"/>
                      <w:sz w:val="18"/>
                      <w:szCs w:val="18"/>
                      <w:lang w:val="en-US" w:eastAsia="zh-CN"/>
                    </w:rPr>
                    <w:t>，提升了工业固体废物综合利用率，项目实施后可实现废钢破碎尾料、钢渣的资源化利用，可助力于唐山“无废城市”的建设。</w:t>
                  </w:r>
                </w:p>
              </w:tc>
              <w:tc>
                <w:tcPr>
                  <w:tcW w:w="704" w:type="dxa"/>
                  <w:tcBorders>
                    <w:tl2br w:val="nil"/>
                    <w:tr2bl w:val="nil"/>
                  </w:tcBorders>
                  <w:shd w:val="clear" w:color="auto" w:fill="auto"/>
                  <w:vAlign w:val="center"/>
                </w:tcPr>
                <w:p w14:paraId="3D3DD155">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Times New Roman" w:hAnsi="Times New Roman" w:eastAsia="宋体" w:cs="Times New Roman"/>
                      <w:color w:val="auto"/>
                      <w:spacing w:val="-10"/>
                      <w:kern w:val="2"/>
                      <w:sz w:val="18"/>
                      <w:szCs w:val="18"/>
                      <w:highlight w:val="none"/>
                      <w:lang w:val="en-US" w:eastAsia="zh-CN" w:bidi="ar-SA"/>
                    </w:rPr>
                  </w:pPr>
                  <w:r>
                    <w:rPr>
                      <w:rFonts w:hint="eastAsia" w:ascii="Times New Roman" w:hAnsi="Times New Roman" w:eastAsia="宋体" w:cs="Times New Roman"/>
                      <w:color w:val="auto"/>
                      <w:spacing w:val="-10"/>
                      <w:sz w:val="18"/>
                      <w:szCs w:val="18"/>
                      <w:highlight w:val="none"/>
                      <w:lang w:val="en-US" w:eastAsia="zh-CN"/>
                    </w:rPr>
                    <w:t>符合</w:t>
                  </w:r>
                </w:p>
              </w:tc>
            </w:tr>
            <w:tr w14:paraId="69357BE0">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78" w:hRule="atLeast"/>
              </w:trPr>
              <w:tc>
                <w:tcPr>
                  <w:tcW w:w="569" w:type="dxa"/>
                  <w:tcBorders>
                    <w:tl2br w:val="nil"/>
                    <w:tr2bl w:val="nil"/>
                  </w:tcBorders>
                  <w:vAlign w:val="center"/>
                </w:tcPr>
                <w:p w14:paraId="610ABA3F">
                  <w:pPr>
                    <w:spacing w:line="240" w:lineRule="exact"/>
                    <w:jc w:val="center"/>
                    <w:rPr>
                      <w:rFonts w:hint="default" w:cs="Times New Roman"/>
                      <w:color w:val="auto"/>
                      <w:spacing w:val="-10"/>
                      <w:sz w:val="18"/>
                      <w:szCs w:val="18"/>
                      <w:highlight w:val="none"/>
                      <w:lang w:val="en-US" w:eastAsia="zh-CN"/>
                    </w:rPr>
                  </w:pPr>
                  <w:r>
                    <w:rPr>
                      <w:rFonts w:hint="eastAsia" w:cs="Times New Roman"/>
                      <w:color w:val="auto"/>
                      <w:spacing w:val="-10"/>
                      <w:sz w:val="18"/>
                      <w:szCs w:val="18"/>
                      <w:highlight w:val="none"/>
                      <w:lang w:val="en-US" w:eastAsia="zh-CN"/>
                    </w:rPr>
                    <w:t>7</w:t>
                  </w:r>
                </w:p>
              </w:tc>
              <w:tc>
                <w:tcPr>
                  <w:tcW w:w="1398" w:type="dxa"/>
                  <w:tcBorders>
                    <w:tl2br w:val="nil"/>
                    <w:tr2bl w:val="nil"/>
                  </w:tcBorders>
                  <w:shd w:val="clear" w:color="auto" w:fill="auto"/>
                  <w:vAlign w:val="center"/>
                </w:tcPr>
                <w:p w14:paraId="5856BD34">
                  <w:pPr>
                    <w:spacing w:line="240" w:lineRule="exact"/>
                    <w:jc w:val="center"/>
                    <w:rPr>
                      <w:rFonts w:hint="eastAsia" w:ascii="Times New Roman" w:hAnsi="Times New Roman" w:eastAsia="宋体" w:cs="Times New Roman"/>
                      <w:color w:val="auto"/>
                      <w:spacing w:val="-10"/>
                      <w:kern w:val="2"/>
                      <w:sz w:val="18"/>
                      <w:szCs w:val="18"/>
                      <w:highlight w:val="none"/>
                      <w:lang w:val="en-US" w:eastAsia="zh-CN" w:bidi="ar-SA"/>
                    </w:rPr>
                  </w:pPr>
                  <w:r>
                    <w:rPr>
                      <w:rFonts w:hint="eastAsia" w:ascii="Times New Roman" w:hAnsi="Times New Roman" w:eastAsia="宋体" w:cs="Times New Roman"/>
                      <w:color w:val="auto"/>
                      <w:spacing w:val="-10"/>
                      <w:sz w:val="18"/>
                      <w:szCs w:val="18"/>
                      <w:highlight w:val="none"/>
                      <w:lang w:val="en-US" w:eastAsia="zh-CN"/>
                    </w:rPr>
                    <w:t>唐山市“十四五”时期“无废城市”建设工作方案 （唐政办字〔2022〕</w:t>
                  </w:r>
                  <w:r>
                    <w:rPr>
                      <w:rFonts w:hint="default" w:ascii="Times New Roman" w:hAnsi="Times New Roman" w:eastAsia="宋体" w:cs="Times New Roman"/>
                      <w:color w:val="auto"/>
                      <w:spacing w:val="-10"/>
                      <w:sz w:val="18"/>
                      <w:szCs w:val="18"/>
                      <w:highlight w:val="none"/>
                      <w:lang w:val="en-US" w:eastAsia="zh-CN"/>
                    </w:rPr>
                    <w:t>95</w:t>
                  </w:r>
                  <w:r>
                    <w:rPr>
                      <w:rFonts w:hint="eastAsia" w:ascii="Times New Roman" w:hAnsi="Times New Roman" w:eastAsia="宋体" w:cs="Times New Roman"/>
                      <w:color w:val="auto"/>
                      <w:spacing w:val="-10"/>
                      <w:sz w:val="18"/>
                      <w:szCs w:val="18"/>
                      <w:highlight w:val="none"/>
                      <w:lang w:val="en-US" w:eastAsia="zh-CN"/>
                    </w:rPr>
                    <w:t>号）</w:t>
                  </w:r>
                </w:p>
              </w:tc>
              <w:tc>
                <w:tcPr>
                  <w:tcW w:w="6201" w:type="dxa"/>
                  <w:tcBorders>
                    <w:tl2br w:val="nil"/>
                    <w:tr2bl w:val="nil"/>
                  </w:tcBorders>
                  <w:shd w:val="clear" w:color="auto" w:fill="auto"/>
                  <w:vAlign w:val="center"/>
                </w:tcPr>
                <w:p w14:paraId="5689FA6D">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Times New Roman" w:hAnsi="Times New Roman" w:eastAsia="宋体" w:cs="Times New Roman"/>
                      <w:color w:val="auto"/>
                      <w:spacing w:val="-10"/>
                      <w:kern w:val="2"/>
                      <w:sz w:val="18"/>
                      <w:szCs w:val="18"/>
                      <w:lang w:val="en-US" w:eastAsia="zh-CN" w:bidi="ar-SA"/>
                    </w:rPr>
                  </w:pPr>
                  <w:r>
                    <w:rPr>
                      <w:rFonts w:hint="eastAsia" w:ascii="Times New Roman" w:hAnsi="Times New Roman" w:eastAsia="宋体" w:cs="Times New Roman"/>
                      <w:color w:val="auto"/>
                      <w:spacing w:val="-10"/>
                      <w:sz w:val="18"/>
                      <w:szCs w:val="18"/>
                      <w:lang w:val="en-US" w:eastAsia="zh-CN"/>
                    </w:rPr>
                    <w:t>促进大宗工业固体废物综合利用。以煤矸石、粉煤灰、尾矿（共伴生矿）、冶炼渣、工业副产石膏、化工废渣等大宗工业固体废物为重点，支持大掺量、规模化、高值化利用，扩大在生态修复、绿色建材、交通工程等领域的利用规模。推动工业固体废物在厂区内、园区内、市域内协同循环利用，培育一批示范园区、企业。加快唐山市大宗固体废弃物综合利用示范基地建设，推进钢渣、尘泥等冶金固废，尾矿、废石等矿山固废在绿色建材、路基材料中的应用，提升工业固体废物综合利用率。</w:t>
                  </w:r>
                </w:p>
              </w:tc>
              <w:tc>
                <w:tcPr>
                  <w:tcW w:w="3078" w:type="dxa"/>
                  <w:tcBorders>
                    <w:tl2br w:val="nil"/>
                    <w:tr2bl w:val="nil"/>
                  </w:tcBorders>
                  <w:shd w:val="clear" w:color="auto" w:fill="auto"/>
                  <w:vAlign w:val="center"/>
                </w:tcPr>
                <w:p w14:paraId="72E32A44">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Times New Roman" w:hAnsi="Times New Roman" w:eastAsia="宋体" w:cs="Times New Roman"/>
                      <w:color w:val="auto"/>
                      <w:spacing w:val="-10"/>
                      <w:kern w:val="2"/>
                      <w:sz w:val="18"/>
                      <w:szCs w:val="18"/>
                      <w:lang w:val="en-US" w:eastAsia="zh-CN" w:bidi="ar-SA"/>
                    </w:rPr>
                  </w:pPr>
                  <w:r>
                    <w:rPr>
                      <w:rFonts w:hint="eastAsia" w:ascii="Times New Roman" w:hAnsi="Times New Roman" w:eastAsia="宋体" w:cs="Times New Roman"/>
                      <w:color w:val="auto"/>
                      <w:spacing w:val="-10"/>
                      <w:sz w:val="18"/>
                      <w:szCs w:val="18"/>
                      <w:lang w:val="en-US" w:eastAsia="zh-CN"/>
                    </w:rPr>
                    <w:t>本项目利用废钢破碎尾料、钢渣进行生产提取有价值产品，进行相关领域利用，属于工业固废综合利用项目</w:t>
                  </w:r>
                  <w:r>
                    <w:rPr>
                      <w:rFonts w:hint="eastAsia" w:cs="Times New Roman"/>
                      <w:color w:val="auto"/>
                      <w:spacing w:val="-10"/>
                      <w:sz w:val="18"/>
                      <w:szCs w:val="18"/>
                      <w:lang w:val="en-US" w:eastAsia="zh-CN"/>
                    </w:rPr>
                    <w:t>，促进</w:t>
                  </w:r>
                  <w:r>
                    <w:rPr>
                      <w:rFonts w:hint="eastAsia" w:ascii="Times New Roman" w:hAnsi="Times New Roman" w:eastAsia="宋体" w:cs="Times New Roman"/>
                      <w:color w:val="auto"/>
                      <w:spacing w:val="-10"/>
                      <w:sz w:val="18"/>
                      <w:szCs w:val="18"/>
                      <w:lang w:val="en-US" w:eastAsia="zh-CN"/>
                    </w:rPr>
                    <w:t>废钢破碎尾料、钢渣的</w:t>
                  </w:r>
                  <w:r>
                    <w:rPr>
                      <w:rFonts w:hint="eastAsia" w:cs="Times New Roman"/>
                      <w:color w:val="auto"/>
                      <w:spacing w:val="-10"/>
                      <w:sz w:val="18"/>
                      <w:szCs w:val="18"/>
                      <w:lang w:val="en-US" w:eastAsia="zh-CN"/>
                    </w:rPr>
                    <w:t>规模化利用</w:t>
                  </w:r>
                  <w:r>
                    <w:rPr>
                      <w:rFonts w:hint="eastAsia" w:ascii="Times New Roman" w:hAnsi="Times New Roman" w:eastAsia="宋体" w:cs="Times New Roman"/>
                      <w:color w:val="auto"/>
                      <w:spacing w:val="-10"/>
                      <w:sz w:val="18"/>
                      <w:szCs w:val="18"/>
                      <w:lang w:val="en-US" w:eastAsia="zh-CN"/>
                    </w:rPr>
                    <w:t>，提升了工业固体废物综合利用率，项目实施后可实现废钢破碎尾料、钢渣的资源化利用，可助力于唐山“无废城市”的建设。</w:t>
                  </w:r>
                </w:p>
              </w:tc>
              <w:tc>
                <w:tcPr>
                  <w:tcW w:w="704" w:type="dxa"/>
                  <w:tcBorders>
                    <w:tl2br w:val="nil"/>
                    <w:tr2bl w:val="nil"/>
                  </w:tcBorders>
                  <w:shd w:val="clear" w:color="auto" w:fill="auto"/>
                  <w:vAlign w:val="center"/>
                </w:tcPr>
                <w:p w14:paraId="050A008B">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Times New Roman" w:hAnsi="Times New Roman" w:eastAsia="宋体" w:cs="Times New Roman"/>
                      <w:color w:val="auto"/>
                      <w:spacing w:val="-10"/>
                      <w:kern w:val="2"/>
                      <w:sz w:val="18"/>
                      <w:szCs w:val="18"/>
                      <w:highlight w:val="none"/>
                      <w:lang w:val="en-US" w:eastAsia="zh-CN" w:bidi="ar-SA"/>
                    </w:rPr>
                  </w:pPr>
                  <w:r>
                    <w:rPr>
                      <w:rFonts w:hint="eastAsia" w:ascii="Times New Roman" w:hAnsi="Times New Roman" w:eastAsia="宋体" w:cs="Times New Roman"/>
                      <w:color w:val="auto"/>
                      <w:spacing w:val="-10"/>
                      <w:sz w:val="18"/>
                      <w:szCs w:val="18"/>
                      <w:highlight w:val="none"/>
                      <w:lang w:val="en-US" w:eastAsia="zh-CN"/>
                    </w:rPr>
                    <w:t>符合</w:t>
                  </w:r>
                </w:p>
              </w:tc>
            </w:tr>
          </w:tbl>
          <w:p w14:paraId="5A15E1DC">
            <w:pPr>
              <w:pStyle w:val="24"/>
              <w:adjustRightInd w:val="0"/>
              <w:snapToGrid w:val="0"/>
              <w:spacing w:before="0" w:beforeAutospacing="0" w:after="0" w:afterAutospacing="0" w:line="440" w:lineRule="exact"/>
              <w:jc w:val="center"/>
              <w:rPr>
                <w:rFonts w:hint="default" w:ascii="Times New Roman" w:hAnsi="Times New Roman" w:eastAsia="宋体"/>
                <w:b/>
                <w:color w:val="auto"/>
                <w:sz w:val="21"/>
                <w:szCs w:val="21"/>
                <w:highlight w:val="none"/>
                <w:lang w:val="en-US" w:eastAsia="zh-CN"/>
              </w:rPr>
            </w:pPr>
            <w:r>
              <w:rPr>
                <w:rFonts w:hint="eastAsia" w:ascii="Times New Roman" w:hAnsi="Times New Roman"/>
                <w:b/>
                <w:color w:val="auto"/>
                <w:sz w:val="21"/>
                <w:szCs w:val="21"/>
                <w:highlight w:val="none"/>
                <w:lang w:val="en-US" w:eastAsia="zh-CN"/>
              </w:rPr>
              <w:t>续</w:t>
            </w:r>
            <w:r>
              <w:rPr>
                <w:rFonts w:ascii="Times New Roman" w:hAnsi="Times New Roman"/>
                <w:b/>
                <w:color w:val="auto"/>
                <w:sz w:val="21"/>
                <w:szCs w:val="21"/>
                <w:highlight w:val="none"/>
              </w:rPr>
              <w:t>表</w:t>
            </w:r>
            <w:r>
              <w:rPr>
                <w:rFonts w:hint="eastAsia" w:ascii="Times New Roman" w:hAnsi="Times New Roman"/>
                <w:b/>
                <w:color w:val="auto"/>
                <w:sz w:val="21"/>
                <w:szCs w:val="21"/>
                <w:highlight w:val="none"/>
                <w:lang w:val="en-US" w:eastAsia="zh-CN"/>
              </w:rPr>
              <w:t>4</w:t>
            </w:r>
            <w:r>
              <w:rPr>
                <w:rFonts w:hint="eastAsia" w:ascii="Times New Roman" w:hAnsi="Times New Roman"/>
                <w:b/>
                <w:color w:val="auto"/>
                <w:sz w:val="21"/>
                <w:szCs w:val="21"/>
                <w:highlight w:val="none"/>
              </w:rPr>
              <w:t xml:space="preserve">  </w:t>
            </w:r>
            <w:r>
              <w:rPr>
                <w:rFonts w:hint="eastAsia" w:ascii="Times New Roman" w:hAnsi="Times New Roman"/>
                <w:b/>
                <w:color w:val="auto"/>
                <w:sz w:val="21"/>
                <w:szCs w:val="21"/>
                <w:highlight w:val="none"/>
                <w:lang w:val="en-US" w:eastAsia="zh-CN"/>
              </w:rPr>
              <w:t>本</w:t>
            </w:r>
            <w:r>
              <w:rPr>
                <w:rFonts w:hint="eastAsia" w:ascii="Times New Roman" w:hAnsi="Times New Roman"/>
                <w:b/>
                <w:color w:val="auto"/>
                <w:sz w:val="21"/>
                <w:szCs w:val="21"/>
                <w:highlight w:val="none"/>
              </w:rPr>
              <w:t>项目与</w:t>
            </w:r>
            <w:r>
              <w:rPr>
                <w:rFonts w:hint="eastAsia" w:ascii="Times New Roman" w:hAnsi="Times New Roman"/>
                <w:b/>
                <w:color w:val="auto"/>
                <w:sz w:val="21"/>
                <w:szCs w:val="21"/>
                <w:highlight w:val="none"/>
                <w:lang w:val="en-US" w:eastAsia="zh-CN"/>
              </w:rPr>
              <w:t>相关文件的</w:t>
            </w:r>
            <w:r>
              <w:rPr>
                <w:rFonts w:ascii="Times New Roman" w:hAnsi="Times New Roman"/>
                <w:b/>
                <w:color w:val="auto"/>
                <w:sz w:val="21"/>
                <w:szCs w:val="21"/>
                <w:highlight w:val="none"/>
              </w:rPr>
              <w:t>符合性</w:t>
            </w:r>
            <w:r>
              <w:rPr>
                <w:rFonts w:hint="eastAsia" w:ascii="Times New Roman" w:hAnsi="Times New Roman"/>
                <w:b/>
                <w:color w:val="auto"/>
                <w:sz w:val="21"/>
                <w:szCs w:val="21"/>
                <w:highlight w:val="none"/>
                <w:lang w:val="en-US" w:eastAsia="zh-CN"/>
              </w:rPr>
              <w:t>分析一览表</w:t>
            </w:r>
          </w:p>
          <w:tbl>
            <w:tblPr>
              <w:tblStyle w:val="28"/>
              <w:tblW w:w="11950" w:type="dxa"/>
              <w:tblInd w:w="0" w:type="dxa"/>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
            <w:tblGrid>
              <w:gridCol w:w="569"/>
              <w:gridCol w:w="1398"/>
              <w:gridCol w:w="6201"/>
              <w:gridCol w:w="3078"/>
              <w:gridCol w:w="704"/>
            </w:tblGrid>
            <w:tr w14:paraId="20CFBE32">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exact"/>
              </w:trPr>
              <w:tc>
                <w:tcPr>
                  <w:tcW w:w="569" w:type="dxa"/>
                  <w:tcBorders>
                    <w:tl2br w:val="nil"/>
                    <w:tr2bl w:val="nil"/>
                  </w:tcBorders>
                  <w:vAlign w:val="center"/>
                </w:tcPr>
                <w:p w14:paraId="37D79FE5">
                  <w:pPr>
                    <w:spacing w:line="240" w:lineRule="exact"/>
                    <w:jc w:val="center"/>
                    <w:rPr>
                      <w:color w:val="auto"/>
                      <w:spacing w:val="-10"/>
                      <w:sz w:val="18"/>
                      <w:szCs w:val="18"/>
                      <w:highlight w:val="none"/>
                    </w:rPr>
                  </w:pPr>
                  <w:r>
                    <w:rPr>
                      <w:rFonts w:hint="eastAsia"/>
                      <w:color w:val="auto"/>
                      <w:spacing w:val="-10"/>
                      <w:sz w:val="18"/>
                      <w:szCs w:val="18"/>
                      <w:highlight w:val="none"/>
                    </w:rPr>
                    <w:t>序号</w:t>
                  </w:r>
                </w:p>
              </w:tc>
              <w:tc>
                <w:tcPr>
                  <w:tcW w:w="7599" w:type="dxa"/>
                  <w:gridSpan w:val="2"/>
                  <w:tcBorders>
                    <w:tl2br w:val="nil"/>
                    <w:tr2bl w:val="nil"/>
                  </w:tcBorders>
                  <w:vAlign w:val="center"/>
                </w:tcPr>
                <w:p w14:paraId="342A5A30">
                  <w:pPr>
                    <w:spacing w:line="240" w:lineRule="exact"/>
                    <w:jc w:val="center"/>
                    <w:rPr>
                      <w:color w:val="auto"/>
                      <w:spacing w:val="-10"/>
                      <w:sz w:val="18"/>
                      <w:szCs w:val="18"/>
                      <w:highlight w:val="none"/>
                    </w:rPr>
                  </w:pPr>
                  <w:r>
                    <w:rPr>
                      <w:rFonts w:hint="eastAsia"/>
                      <w:color w:val="auto"/>
                      <w:spacing w:val="-10"/>
                      <w:sz w:val="18"/>
                      <w:szCs w:val="18"/>
                      <w:highlight w:val="none"/>
                    </w:rPr>
                    <w:t>政策要求</w:t>
                  </w:r>
                </w:p>
              </w:tc>
              <w:tc>
                <w:tcPr>
                  <w:tcW w:w="3078" w:type="dxa"/>
                  <w:tcBorders>
                    <w:tl2br w:val="nil"/>
                    <w:tr2bl w:val="nil"/>
                  </w:tcBorders>
                  <w:vAlign w:val="center"/>
                </w:tcPr>
                <w:p w14:paraId="5CFDB3AE">
                  <w:pPr>
                    <w:spacing w:line="240" w:lineRule="exact"/>
                    <w:jc w:val="center"/>
                    <w:rPr>
                      <w:color w:val="auto"/>
                      <w:spacing w:val="-10"/>
                      <w:sz w:val="18"/>
                      <w:szCs w:val="18"/>
                      <w:highlight w:val="none"/>
                    </w:rPr>
                  </w:pPr>
                  <w:r>
                    <w:rPr>
                      <w:rFonts w:hint="eastAsia"/>
                      <w:color w:val="auto"/>
                      <w:spacing w:val="-10"/>
                      <w:sz w:val="18"/>
                      <w:szCs w:val="18"/>
                      <w:highlight w:val="none"/>
                    </w:rPr>
                    <w:t>本项目实际</w:t>
                  </w:r>
                </w:p>
              </w:tc>
              <w:tc>
                <w:tcPr>
                  <w:tcW w:w="704" w:type="dxa"/>
                  <w:tcBorders>
                    <w:tl2br w:val="nil"/>
                    <w:tr2bl w:val="nil"/>
                  </w:tcBorders>
                  <w:vAlign w:val="center"/>
                </w:tcPr>
                <w:p w14:paraId="05B69ECB">
                  <w:pPr>
                    <w:jc w:val="center"/>
                    <w:rPr>
                      <w:color w:val="auto"/>
                      <w:spacing w:val="-10"/>
                      <w:sz w:val="18"/>
                      <w:szCs w:val="18"/>
                      <w:highlight w:val="none"/>
                    </w:rPr>
                  </w:pPr>
                  <w:r>
                    <w:rPr>
                      <w:rFonts w:hint="eastAsia"/>
                      <w:color w:val="auto"/>
                      <w:spacing w:val="-10"/>
                      <w:sz w:val="18"/>
                      <w:szCs w:val="18"/>
                      <w:highlight w:val="none"/>
                    </w:rPr>
                    <w:t>符合性</w:t>
                  </w:r>
                </w:p>
              </w:tc>
            </w:tr>
            <w:tr w14:paraId="52C207EA">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78" w:hRule="atLeast"/>
              </w:trPr>
              <w:tc>
                <w:tcPr>
                  <w:tcW w:w="569" w:type="dxa"/>
                  <w:tcBorders>
                    <w:tl2br w:val="nil"/>
                    <w:tr2bl w:val="nil"/>
                  </w:tcBorders>
                  <w:vAlign w:val="center"/>
                </w:tcPr>
                <w:p w14:paraId="51A78834">
                  <w:pPr>
                    <w:spacing w:line="240" w:lineRule="exact"/>
                    <w:jc w:val="center"/>
                    <w:rPr>
                      <w:rFonts w:hint="default" w:cs="Times New Roman"/>
                      <w:color w:val="auto"/>
                      <w:spacing w:val="-10"/>
                      <w:sz w:val="18"/>
                      <w:szCs w:val="18"/>
                      <w:highlight w:val="none"/>
                      <w:lang w:val="en-US" w:eastAsia="zh-CN"/>
                    </w:rPr>
                  </w:pPr>
                  <w:r>
                    <w:rPr>
                      <w:rFonts w:hint="eastAsia" w:cs="Times New Roman"/>
                      <w:color w:val="auto"/>
                      <w:spacing w:val="-10"/>
                      <w:sz w:val="18"/>
                      <w:szCs w:val="18"/>
                      <w:highlight w:val="none"/>
                      <w:lang w:val="en-US" w:eastAsia="zh-CN"/>
                    </w:rPr>
                    <w:t>8</w:t>
                  </w:r>
                </w:p>
              </w:tc>
              <w:tc>
                <w:tcPr>
                  <w:tcW w:w="1398" w:type="dxa"/>
                  <w:tcBorders>
                    <w:tl2br w:val="nil"/>
                    <w:tr2bl w:val="nil"/>
                  </w:tcBorders>
                  <w:shd w:val="clear" w:color="auto" w:fill="auto"/>
                  <w:vAlign w:val="center"/>
                </w:tcPr>
                <w:p w14:paraId="20B0886C">
                  <w:pPr>
                    <w:spacing w:line="240" w:lineRule="exact"/>
                    <w:jc w:val="center"/>
                    <w:rPr>
                      <w:rFonts w:hint="eastAsia" w:ascii="Times New Roman" w:hAnsi="Times New Roman" w:eastAsia="宋体" w:cs="Times New Roman"/>
                      <w:color w:val="auto"/>
                      <w:spacing w:val="-10"/>
                      <w:kern w:val="2"/>
                      <w:sz w:val="18"/>
                      <w:szCs w:val="18"/>
                      <w:lang w:val="en-US" w:eastAsia="zh-CN" w:bidi="ar-SA"/>
                    </w:rPr>
                  </w:pPr>
                  <w:r>
                    <w:rPr>
                      <w:rFonts w:hint="eastAsia" w:ascii="Times New Roman" w:hAnsi="Times New Roman" w:eastAsia="宋体" w:cs="Times New Roman"/>
                      <w:color w:val="auto"/>
                      <w:spacing w:val="-10"/>
                      <w:sz w:val="18"/>
                      <w:szCs w:val="18"/>
                      <w:lang w:val="en-US" w:eastAsia="zh-CN"/>
                    </w:rPr>
                    <w:t>唐山市涉水工业 企业入园 整治实施方案（唐水领办 〔2019〕69号）</w:t>
                  </w:r>
                </w:p>
              </w:tc>
              <w:tc>
                <w:tcPr>
                  <w:tcW w:w="6201" w:type="dxa"/>
                  <w:tcBorders>
                    <w:tl2br w:val="nil"/>
                    <w:tr2bl w:val="nil"/>
                  </w:tcBorders>
                  <w:shd w:val="clear" w:color="auto" w:fill="auto"/>
                  <w:vAlign w:val="center"/>
                </w:tcPr>
                <w:p w14:paraId="4B237F97">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Times New Roman" w:hAnsi="Times New Roman" w:eastAsia="宋体" w:cs="Times New Roman"/>
                      <w:color w:val="auto"/>
                      <w:spacing w:val="-10"/>
                      <w:kern w:val="2"/>
                      <w:sz w:val="18"/>
                      <w:szCs w:val="18"/>
                      <w:lang w:val="en-US" w:eastAsia="zh-CN" w:bidi="ar-SA"/>
                    </w:rPr>
                  </w:pPr>
                  <w:r>
                    <w:rPr>
                      <w:rFonts w:hint="eastAsia" w:ascii="Times New Roman" w:hAnsi="Times New Roman" w:eastAsia="宋体" w:cs="Times New Roman"/>
                      <w:color w:val="auto"/>
                      <w:spacing w:val="-10"/>
                      <w:sz w:val="18"/>
                      <w:szCs w:val="18"/>
                      <w:lang w:val="en-US" w:eastAsia="zh-CN"/>
                    </w:rPr>
                    <w:t>园区外涉水企业保留条件属于以下情况的，可以不入园进区，但直排外环境企业必须实施尾水深度处理，一律执行最严格水污染 物排放标准。对于行业排放标准比 《城镇污水处理厂污染物排放标 准》一级A标准宽松的企业，或者 没有行业排放标准的企业，一律执行《城镇污水处理厂污染物排放标 准》一级</w:t>
                  </w:r>
                  <w:r>
                    <w:rPr>
                      <w:rFonts w:hint="default" w:ascii="Times New Roman" w:hAnsi="Times New Roman" w:eastAsia="宋体" w:cs="Times New Roman"/>
                      <w:color w:val="auto"/>
                      <w:spacing w:val="-10"/>
                      <w:sz w:val="18"/>
                      <w:szCs w:val="18"/>
                      <w:lang w:val="en-US" w:eastAsia="zh-CN"/>
                    </w:rPr>
                    <w:t xml:space="preserve">A </w:t>
                  </w:r>
                  <w:r>
                    <w:rPr>
                      <w:rFonts w:hint="eastAsia" w:ascii="Times New Roman" w:hAnsi="Times New Roman" w:eastAsia="宋体" w:cs="Times New Roman"/>
                      <w:color w:val="auto"/>
                      <w:spacing w:val="-10"/>
                      <w:sz w:val="18"/>
                      <w:szCs w:val="18"/>
                      <w:lang w:val="en-US" w:eastAsia="zh-CN"/>
                    </w:rPr>
                    <w:t>标准。（一）屠宰场、 垃圾填埋等具有明显服务范围的民生类企业；（二）矿山、纯净水等受生产资料限制，搬迁后无法正常生产的企业；（三）污水可以通 过管网进入污水处理厂进行集中 收集处理并达到污水处理厂进水水质要求的企业；（四）受园区接收条件限制，亩投资强度、亩税收等达不到进入园区要求的企业； （五）通过企业生产、废水处理工 艺提升改造，废水全部循环利用， 实现废水零排放的企业；（六）其 它确实不具备入园进区条件的企业。</w:t>
                  </w:r>
                </w:p>
              </w:tc>
              <w:tc>
                <w:tcPr>
                  <w:tcW w:w="3078" w:type="dxa"/>
                  <w:tcBorders>
                    <w:tl2br w:val="nil"/>
                    <w:tr2bl w:val="nil"/>
                  </w:tcBorders>
                  <w:shd w:val="clear" w:color="auto" w:fill="auto"/>
                  <w:vAlign w:val="center"/>
                </w:tcPr>
                <w:p w14:paraId="6607F3FD">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Times New Roman" w:hAnsi="Times New Roman" w:eastAsia="宋体" w:cs="Times New Roman"/>
                      <w:color w:val="auto"/>
                      <w:spacing w:val="-10"/>
                      <w:kern w:val="2"/>
                      <w:sz w:val="18"/>
                      <w:szCs w:val="18"/>
                      <w:highlight w:val="none"/>
                      <w:lang w:val="en-US" w:eastAsia="zh-CN" w:bidi="ar-SA"/>
                    </w:rPr>
                  </w:pPr>
                  <w:r>
                    <w:rPr>
                      <w:rFonts w:hint="eastAsia" w:ascii="Times New Roman" w:hAnsi="Times New Roman" w:eastAsia="宋体" w:cs="Times New Roman"/>
                      <w:color w:val="auto"/>
                      <w:spacing w:val="-10"/>
                      <w:sz w:val="18"/>
                      <w:szCs w:val="18"/>
                      <w:highlight w:val="none"/>
                      <w:lang w:val="en-US" w:eastAsia="zh-CN"/>
                    </w:rPr>
                    <w:t>项目职工生活污水主要为盥洗废水，水质简单，产生量小，全部用于厂区内泼洒抑尘，不外排。车辆冲洗废水经沉淀池沉淀后循环利用，不外排；生产废水经相应的污水池、</w:t>
                  </w:r>
                  <w:r>
                    <w:rPr>
                      <w:rFonts w:hint="eastAsia" w:cs="Times New Roman"/>
                      <w:color w:val="auto"/>
                      <w:spacing w:val="-10"/>
                      <w:sz w:val="18"/>
                      <w:szCs w:val="18"/>
                      <w:highlight w:val="none"/>
                      <w:lang w:val="en-US" w:eastAsia="zh-CN"/>
                    </w:rPr>
                    <w:t>污水沉淀池、浓缩罐、</w:t>
                  </w:r>
                  <w:r>
                    <w:rPr>
                      <w:rFonts w:hint="eastAsia" w:ascii="Times New Roman" w:hAnsi="Times New Roman" w:eastAsia="宋体" w:cs="Times New Roman"/>
                      <w:color w:val="auto"/>
                      <w:spacing w:val="-10"/>
                      <w:sz w:val="18"/>
                      <w:szCs w:val="18"/>
                      <w:highlight w:val="none"/>
                      <w:lang w:val="en-US" w:eastAsia="zh-CN"/>
                    </w:rPr>
                    <w:t>板框压滤机处理后循环使用，不外排。项目无废水外排环境，满足第（五）条要求，符合不入园进区的要求</w:t>
                  </w:r>
                </w:p>
              </w:tc>
              <w:tc>
                <w:tcPr>
                  <w:tcW w:w="704" w:type="dxa"/>
                  <w:tcBorders>
                    <w:tl2br w:val="nil"/>
                    <w:tr2bl w:val="nil"/>
                  </w:tcBorders>
                  <w:shd w:val="clear" w:color="auto" w:fill="auto"/>
                  <w:vAlign w:val="center"/>
                </w:tcPr>
                <w:p w14:paraId="042226FF">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Times New Roman" w:hAnsi="Times New Roman" w:eastAsia="宋体" w:cs="Times New Roman"/>
                      <w:color w:val="auto"/>
                      <w:spacing w:val="-10"/>
                      <w:kern w:val="2"/>
                      <w:sz w:val="18"/>
                      <w:szCs w:val="18"/>
                      <w:highlight w:val="none"/>
                      <w:lang w:val="en-US" w:eastAsia="zh-CN" w:bidi="ar-SA"/>
                    </w:rPr>
                  </w:pPr>
                  <w:r>
                    <w:rPr>
                      <w:rFonts w:hint="eastAsia" w:ascii="Times New Roman" w:hAnsi="Times New Roman" w:eastAsia="宋体" w:cs="Times New Roman"/>
                      <w:color w:val="auto"/>
                      <w:spacing w:val="-10"/>
                      <w:sz w:val="18"/>
                      <w:szCs w:val="18"/>
                      <w:highlight w:val="none"/>
                      <w:lang w:val="en-US" w:eastAsia="zh-CN"/>
                    </w:rPr>
                    <w:t>符合</w:t>
                  </w:r>
                </w:p>
              </w:tc>
            </w:tr>
            <w:tr w14:paraId="5184D51B">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78" w:hRule="atLeast"/>
              </w:trPr>
              <w:tc>
                <w:tcPr>
                  <w:tcW w:w="569" w:type="dxa"/>
                  <w:tcBorders>
                    <w:tl2br w:val="nil"/>
                    <w:tr2bl w:val="nil"/>
                  </w:tcBorders>
                  <w:vAlign w:val="center"/>
                </w:tcPr>
                <w:p w14:paraId="56FC2CB7">
                  <w:pPr>
                    <w:spacing w:line="240" w:lineRule="exact"/>
                    <w:jc w:val="center"/>
                    <w:rPr>
                      <w:rFonts w:hint="default" w:cs="Times New Roman"/>
                      <w:color w:val="auto"/>
                      <w:spacing w:val="-10"/>
                      <w:sz w:val="18"/>
                      <w:szCs w:val="18"/>
                      <w:highlight w:val="none"/>
                      <w:lang w:val="en-US" w:eastAsia="zh-CN"/>
                    </w:rPr>
                  </w:pPr>
                  <w:r>
                    <w:rPr>
                      <w:rFonts w:hint="eastAsia" w:cs="Times New Roman"/>
                      <w:color w:val="auto"/>
                      <w:spacing w:val="-10"/>
                      <w:sz w:val="18"/>
                      <w:szCs w:val="18"/>
                      <w:highlight w:val="none"/>
                      <w:lang w:val="en-US" w:eastAsia="zh-CN"/>
                    </w:rPr>
                    <w:t>9</w:t>
                  </w:r>
                </w:p>
              </w:tc>
              <w:tc>
                <w:tcPr>
                  <w:tcW w:w="1398" w:type="dxa"/>
                  <w:tcBorders>
                    <w:tl2br w:val="nil"/>
                    <w:tr2bl w:val="nil"/>
                  </w:tcBorders>
                  <w:shd w:val="clear" w:color="auto" w:fill="auto"/>
                  <w:vAlign w:val="center"/>
                </w:tcPr>
                <w:p w14:paraId="3D057DD3">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Times New Roman" w:hAnsi="Times New Roman" w:eastAsia="宋体" w:cs="Times New Roman"/>
                      <w:color w:val="auto"/>
                      <w:spacing w:val="-10"/>
                      <w:kern w:val="2"/>
                      <w:sz w:val="18"/>
                      <w:szCs w:val="18"/>
                      <w:highlight w:val="none"/>
                      <w:lang w:val="en-US" w:eastAsia="zh-CN" w:bidi="ar-SA"/>
                    </w:rPr>
                  </w:pPr>
                  <w:r>
                    <w:rPr>
                      <w:rFonts w:hint="eastAsia" w:ascii="Times New Roman" w:hAnsi="Times New Roman" w:eastAsia="宋体" w:cs="Times New Roman"/>
                      <w:color w:val="auto"/>
                      <w:spacing w:val="-10"/>
                      <w:sz w:val="18"/>
                      <w:szCs w:val="18"/>
                      <w:highlight w:val="none"/>
                      <w:lang w:val="en-US" w:eastAsia="zh-CN"/>
                    </w:rPr>
                    <w:t>唐山市大气污染防 治工作领导小组办 公室关于印发《唐山市钢铁行业整治提升工作方案》等10项方案的通知（唐气领办〔</w:t>
                  </w:r>
                  <w:r>
                    <w:rPr>
                      <w:rFonts w:hint="default" w:ascii="Times New Roman" w:hAnsi="Times New Roman" w:eastAsia="宋体" w:cs="Times New Roman"/>
                      <w:color w:val="auto"/>
                      <w:spacing w:val="-10"/>
                      <w:sz w:val="18"/>
                      <w:szCs w:val="18"/>
                      <w:highlight w:val="none"/>
                      <w:lang w:val="en-US" w:eastAsia="zh-CN"/>
                    </w:rPr>
                    <w:t>2021</w:t>
                  </w:r>
                  <w:r>
                    <w:rPr>
                      <w:rFonts w:hint="eastAsia" w:ascii="Times New Roman" w:hAnsi="Times New Roman" w:eastAsia="宋体" w:cs="Times New Roman"/>
                      <w:color w:val="auto"/>
                      <w:spacing w:val="-10"/>
                      <w:sz w:val="18"/>
                      <w:szCs w:val="18"/>
                      <w:highlight w:val="none"/>
                      <w:lang w:val="en-US" w:eastAsia="zh-CN"/>
                    </w:rPr>
                    <w:t>〕</w:t>
                  </w:r>
                  <w:r>
                    <w:rPr>
                      <w:rFonts w:hint="default" w:ascii="Times New Roman" w:hAnsi="Times New Roman" w:eastAsia="宋体" w:cs="Times New Roman"/>
                      <w:color w:val="auto"/>
                      <w:spacing w:val="-10"/>
                      <w:sz w:val="18"/>
                      <w:szCs w:val="18"/>
                      <w:highlight w:val="none"/>
                      <w:lang w:val="en-US" w:eastAsia="zh-CN"/>
                    </w:rPr>
                    <w:t xml:space="preserve">15 </w:t>
                  </w:r>
                  <w:r>
                    <w:rPr>
                      <w:rFonts w:hint="eastAsia" w:ascii="Times New Roman" w:hAnsi="Times New Roman" w:eastAsia="宋体" w:cs="Times New Roman"/>
                      <w:color w:val="auto"/>
                      <w:spacing w:val="-10"/>
                      <w:sz w:val="18"/>
                      <w:szCs w:val="18"/>
                      <w:highlight w:val="none"/>
                      <w:lang w:val="en-US" w:eastAsia="zh-CN"/>
                    </w:rPr>
                    <w:t>号）</w:t>
                  </w:r>
                </w:p>
              </w:tc>
              <w:tc>
                <w:tcPr>
                  <w:tcW w:w="6201" w:type="dxa"/>
                  <w:tcBorders>
                    <w:tl2br w:val="nil"/>
                    <w:tr2bl w:val="nil"/>
                  </w:tcBorders>
                  <w:shd w:val="clear" w:color="auto" w:fill="auto"/>
                  <w:vAlign w:val="center"/>
                </w:tcPr>
                <w:p w14:paraId="34B48390">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Times New Roman" w:hAnsi="Times New Roman" w:eastAsia="宋体" w:cs="Times New Roman"/>
                      <w:color w:val="auto"/>
                      <w:spacing w:val="-10"/>
                      <w:kern w:val="2"/>
                      <w:sz w:val="18"/>
                      <w:szCs w:val="18"/>
                      <w:highlight w:val="none"/>
                      <w:lang w:val="en-US" w:eastAsia="zh-CN" w:bidi="ar-SA"/>
                    </w:rPr>
                  </w:pPr>
                  <w:r>
                    <w:rPr>
                      <w:rFonts w:hint="eastAsia" w:ascii="Times New Roman" w:hAnsi="Times New Roman" w:eastAsia="宋体" w:cs="Times New Roman"/>
                      <w:color w:val="auto"/>
                      <w:spacing w:val="-10"/>
                      <w:sz w:val="18"/>
                      <w:szCs w:val="18"/>
                      <w:highlight w:val="none"/>
                      <w:lang w:val="en-US" w:eastAsia="zh-CN"/>
                    </w:rPr>
                    <w:t>原料存储、转运，工艺过程等无组织排放管控相关内容：1、铁精矿、烧结矿、球团矿、块矿、煤、焦粉等原燃料以及其他所有散状原料全部进入封闭的料棚（料仓），所有散状物料全部采用封闭的料棚（料仓）储存，且料棚地面全部硬化，不得露天堆存。料棚内配套全覆盖的雾炮或其他喷雾抑尘设施（石灰存储区域除外），有堆取料机的应设置固定式干雾抑尘设施，确保料棚内部道路无积尘。料棚主要出入口改为感应门（或电动门），确保作业时料场处于全封闭状态。料棚出口设置车辆冲洗装置（有条件的要置于室内，并加装采暖设施，确保冬季正常运行；搬迁或产能置换企业洗车装置必须置于室内），完善排水处理设施，防止泥土粘带。</w:t>
                  </w:r>
                  <w:r>
                    <w:rPr>
                      <w:rFonts w:hint="default" w:ascii="Times New Roman" w:hAnsi="Times New Roman" w:eastAsia="宋体" w:cs="Times New Roman"/>
                      <w:color w:val="auto"/>
                      <w:spacing w:val="-10"/>
                      <w:sz w:val="18"/>
                      <w:szCs w:val="18"/>
                      <w:highlight w:val="none"/>
                      <w:lang w:val="en-US" w:eastAsia="zh-CN"/>
                    </w:rPr>
                    <w:t>2</w:t>
                  </w:r>
                  <w:r>
                    <w:rPr>
                      <w:rFonts w:hint="eastAsia" w:ascii="Times New Roman" w:hAnsi="Times New Roman" w:eastAsia="宋体" w:cs="Times New Roman"/>
                      <w:color w:val="auto"/>
                      <w:spacing w:val="-10"/>
                      <w:sz w:val="18"/>
                      <w:szCs w:val="18"/>
                      <w:highlight w:val="none"/>
                      <w:lang w:val="en-US" w:eastAsia="zh-CN"/>
                    </w:rPr>
                    <w:t>、厂区内散状物料运输采用封闭通廊的皮带或管状带式输送机输送，在厂区内禁止汽车、装载机露天装卸及倒运物料。需用车辆运输的石灰等粉料采取吸排罐车等密闭输送方式；需用车辆运输的焦粉、煤粉等粉料，采取密闭措施；返矿、返焦采取密闭皮带输送装置。除尘器设置密闭灰仓并及时卸灰，采用真空罐车、气力输送等方式运输除尘灰，除尘灰不落地。原料破碎、配料、装卸等集中排尘部位做到密封处理，并安装袋式除尘器等高效除尘设施 实现负压收集，粉尘排放浓度 ≤10mg/Nm</w:t>
                  </w:r>
                  <w:r>
                    <w:rPr>
                      <w:rFonts w:hint="default" w:ascii="Times New Roman" w:hAnsi="Times New Roman" w:eastAsia="宋体" w:cs="Times New Roman"/>
                      <w:color w:val="auto"/>
                      <w:spacing w:val="-10"/>
                      <w:sz w:val="18"/>
                      <w:szCs w:val="18"/>
                      <w:highlight w:val="none"/>
                      <w:vertAlign w:val="superscript"/>
                      <w:lang w:val="en-US" w:eastAsia="zh-CN"/>
                    </w:rPr>
                    <w:t>3</w:t>
                  </w:r>
                  <w:r>
                    <w:rPr>
                      <w:rFonts w:hint="eastAsia" w:ascii="Times New Roman" w:hAnsi="Times New Roman" w:eastAsia="宋体" w:cs="Times New Roman"/>
                      <w:color w:val="auto"/>
                      <w:spacing w:val="-10"/>
                      <w:sz w:val="18"/>
                      <w:szCs w:val="18"/>
                      <w:highlight w:val="none"/>
                      <w:lang w:val="en-US" w:eastAsia="zh-CN"/>
                    </w:rPr>
                    <w:t>。</w:t>
                  </w:r>
                </w:p>
              </w:tc>
              <w:tc>
                <w:tcPr>
                  <w:tcW w:w="3078" w:type="dxa"/>
                  <w:tcBorders>
                    <w:tl2br w:val="nil"/>
                    <w:tr2bl w:val="nil"/>
                  </w:tcBorders>
                  <w:shd w:val="clear" w:color="auto" w:fill="auto"/>
                  <w:vAlign w:val="center"/>
                </w:tcPr>
                <w:p w14:paraId="1451897F">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Times New Roman" w:hAnsi="Times New Roman" w:eastAsia="宋体" w:cs="Times New Roman"/>
                      <w:color w:val="auto"/>
                      <w:spacing w:val="-10"/>
                      <w:kern w:val="2"/>
                      <w:sz w:val="18"/>
                      <w:szCs w:val="18"/>
                      <w:highlight w:val="none"/>
                      <w:lang w:val="en-US" w:eastAsia="zh-CN" w:bidi="ar-SA"/>
                    </w:rPr>
                  </w:pPr>
                  <w:r>
                    <w:rPr>
                      <w:rFonts w:hint="eastAsia" w:ascii="Times New Roman" w:hAnsi="Times New Roman" w:eastAsia="宋体" w:cs="Times New Roman"/>
                      <w:color w:val="auto"/>
                      <w:spacing w:val="-10"/>
                      <w:sz w:val="18"/>
                      <w:szCs w:val="18"/>
                      <w:highlight w:val="none"/>
                      <w:lang w:val="en-US" w:eastAsia="zh-CN"/>
                    </w:rPr>
                    <w:t>1、本项目散装原料废钢破碎尾料、钢渣储存于封闭的生产车间原料储存区内，原料及成品物料堆存区 域设置可覆盖 整个区域的喷 淋装置（电伴热）；各个生产车间设置电动感应门，同时厂区出口设置车辆冲洗装置；</w:t>
                  </w:r>
                  <w:r>
                    <w:rPr>
                      <w:rFonts w:hint="default" w:ascii="Times New Roman" w:hAnsi="Times New Roman" w:eastAsia="宋体" w:cs="Times New Roman"/>
                      <w:color w:val="auto"/>
                      <w:spacing w:val="-10"/>
                      <w:sz w:val="18"/>
                      <w:szCs w:val="18"/>
                      <w:highlight w:val="none"/>
                      <w:lang w:val="en-US" w:eastAsia="zh-CN"/>
                    </w:rPr>
                    <w:t>2</w:t>
                  </w:r>
                  <w:r>
                    <w:rPr>
                      <w:rFonts w:hint="eastAsia" w:ascii="Times New Roman" w:hAnsi="Times New Roman" w:eastAsia="宋体" w:cs="Times New Roman"/>
                      <w:color w:val="auto"/>
                      <w:spacing w:val="-10"/>
                      <w:sz w:val="18"/>
                      <w:szCs w:val="18"/>
                      <w:highlight w:val="none"/>
                      <w:lang w:val="en-US" w:eastAsia="zh-CN"/>
                    </w:rPr>
                    <w:t>、项目物料输送采用封闭皮带输送；铲车不露天转运；本项目产生的除尘灰卸灰区封闭，吨包袋收集，除尘灰不落地，本项目涉及集中收集的废气经脉冲布袋除尘器处理后均达标排放，排放颗粒物浓度 ≤10mg/Nm</w:t>
                  </w:r>
                  <w:r>
                    <w:rPr>
                      <w:rFonts w:hint="default" w:ascii="Times New Roman" w:hAnsi="Times New Roman" w:eastAsia="宋体" w:cs="Times New Roman"/>
                      <w:color w:val="auto"/>
                      <w:spacing w:val="-10"/>
                      <w:sz w:val="18"/>
                      <w:szCs w:val="18"/>
                      <w:highlight w:val="none"/>
                      <w:vertAlign w:val="superscript"/>
                      <w:lang w:val="en-US" w:eastAsia="zh-CN"/>
                    </w:rPr>
                    <w:t>3</w:t>
                  </w:r>
                </w:p>
              </w:tc>
              <w:tc>
                <w:tcPr>
                  <w:tcW w:w="704" w:type="dxa"/>
                  <w:tcBorders>
                    <w:tl2br w:val="nil"/>
                    <w:tr2bl w:val="nil"/>
                  </w:tcBorders>
                  <w:shd w:val="clear" w:color="auto" w:fill="auto"/>
                  <w:vAlign w:val="center"/>
                </w:tcPr>
                <w:p w14:paraId="233F71A5">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Times New Roman" w:hAnsi="Times New Roman" w:eastAsia="宋体" w:cs="Times New Roman"/>
                      <w:color w:val="auto"/>
                      <w:spacing w:val="-10"/>
                      <w:kern w:val="2"/>
                      <w:sz w:val="18"/>
                      <w:szCs w:val="18"/>
                      <w:highlight w:val="none"/>
                      <w:lang w:val="en-US" w:eastAsia="zh-CN" w:bidi="ar-SA"/>
                    </w:rPr>
                  </w:pPr>
                  <w:r>
                    <w:rPr>
                      <w:rFonts w:hint="eastAsia" w:ascii="Times New Roman" w:hAnsi="Times New Roman" w:eastAsia="宋体" w:cs="Times New Roman"/>
                      <w:color w:val="auto"/>
                      <w:spacing w:val="-10"/>
                      <w:sz w:val="18"/>
                      <w:szCs w:val="18"/>
                      <w:highlight w:val="none"/>
                      <w:lang w:val="en-US" w:eastAsia="zh-CN"/>
                    </w:rPr>
                    <w:t>符合</w:t>
                  </w:r>
                </w:p>
              </w:tc>
            </w:tr>
            <w:tr w14:paraId="440F3672">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78" w:hRule="atLeast"/>
              </w:trPr>
              <w:tc>
                <w:tcPr>
                  <w:tcW w:w="569" w:type="dxa"/>
                  <w:tcBorders>
                    <w:tl2br w:val="nil"/>
                    <w:tr2bl w:val="nil"/>
                  </w:tcBorders>
                  <w:shd w:val="clear" w:color="auto" w:fill="auto"/>
                  <w:vAlign w:val="center"/>
                </w:tcPr>
                <w:p w14:paraId="4A5B66A1">
                  <w:pPr>
                    <w:spacing w:line="240" w:lineRule="exact"/>
                    <w:jc w:val="center"/>
                    <w:rPr>
                      <w:rFonts w:hint="eastAsia" w:ascii="Times New Roman" w:hAnsi="Times New Roman" w:eastAsia="宋体" w:cs="Times New Roman"/>
                      <w:color w:val="auto"/>
                      <w:spacing w:val="-10"/>
                      <w:kern w:val="2"/>
                      <w:sz w:val="18"/>
                      <w:szCs w:val="18"/>
                      <w:highlight w:val="none"/>
                      <w:lang w:val="en-US" w:eastAsia="zh-CN" w:bidi="ar-SA"/>
                    </w:rPr>
                  </w:pPr>
                  <w:r>
                    <w:rPr>
                      <w:rFonts w:hint="eastAsia" w:cs="Times New Roman"/>
                      <w:color w:val="auto"/>
                      <w:spacing w:val="-10"/>
                      <w:sz w:val="18"/>
                      <w:szCs w:val="18"/>
                      <w:highlight w:val="none"/>
                      <w:lang w:val="en-US" w:eastAsia="zh-CN"/>
                    </w:rPr>
                    <w:t>10</w:t>
                  </w:r>
                </w:p>
              </w:tc>
              <w:tc>
                <w:tcPr>
                  <w:tcW w:w="1398" w:type="dxa"/>
                  <w:tcBorders>
                    <w:tl2br w:val="nil"/>
                    <w:tr2bl w:val="nil"/>
                  </w:tcBorders>
                  <w:shd w:val="clear" w:color="auto" w:fill="auto"/>
                  <w:vAlign w:val="center"/>
                </w:tcPr>
                <w:p w14:paraId="429D0CE9">
                  <w:pPr>
                    <w:spacing w:line="240" w:lineRule="exact"/>
                    <w:jc w:val="center"/>
                    <w:rPr>
                      <w:rFonts w:hint="eastAsia" w:ascii="Times New Roman" w:hAnsi="Times New Roman" w:eastAsia="宋体" w:cs="Times New Roman"/>
                      <w:color w:val="auto"/>
                      <w:spacing w:val="-10"/>
                      <w:kern w:val="2"/>
                      <w:sz w:val="18"/>
                      <w:szCs w:val="18"/>
                      <w:lang w:val="en-US" w:eastAsia="zh-CN" w:bidi="ar-SA"/>
                    </w:rPr>
                  </w:pPr>
                  <w:r>
                    <w:rPr>
                      <w:rFonts w:hint="eastAsia" w:cs="Times New Roman"/>
                      <w:color w:val="auto"/>
                      <w:spacing w:val="-10"/>
                      <w:sz w:val="18"/>
                      <w:szCs w:val="18"/>
                      <w:lang w:val="en-US" w:eastAsia="zh-CN"/>
                    </w:rPr>
                    <w:t>唐山市2022年大气污</w:t>
                  </w:r>
                  <w:r>
                    <w:rPr>
                      <w:rFonts w:hint="eastAsia" w:ascii="Times New Roman" w:hAnsi="Times New Roman" w:eastAsia="宋体" w:cs="Times New Roman"/>
                      <w:color w:val="auto"/>
                      <w:spacing w:val="-10"/>
                      <w:sz w:val="18"/>
                      <w:szCs w:val="18"/>
                      <w:lang w:val="en-US" w:eastAsia="zh-CN"/>
                    </w:rPr>
                    <w:t>染综合治理工作要点（唐气领组[2022]1号）</w:t>
                  </w:r>
                </w:p>
              </w:tc>
              <w:tc>
                <w:tcPr>
                  <w:tcW w:w="6201" w:type="dxa"/>
                  <w:tcBorders>
                    <w:tl2br w:val="nil"/>
                    <w:tr2bl w:val="nil"/>
                  </w:tcBorders>
                  <w:shd w:val="clear" w:color="auto" w:fill="auto"/>
                  <w:vAlign w:val="center"/>
                </w:tcPr>
                <w:p w14:paraId="170A9532">
                  <w:pPr>
                    <w:keepNext w:val="0"/>
                    <w:keepLines w:val="0"/>
                    <w:pageBreakBefore w:val="0"/>
                    <w:widowControl w:val="0"/>
                    <w:kinsoku/>
                    <w:wordWrap/>
                    <w:overflowPunct/>
                    <w:topLinePunct w:val="0"/>
                    <w:autoSpaceDE/>
                    <w:autoSpaceDN/>
                    <w:bidi w:val="0"/>
                    <w:adjustRightInd/>
                    <w:snapToGrid/>
                    <w:spacing w:line="240" w:lineRule="exact"/>
                    <w:ind w:firstLine="320" w:firstLineChars="200"/>
                    <w:jc w:val="left"/>
                    <w:textAlignment w:val="auto"/>
                    <w:rPr>
                      <w:rFonts w:hint="eastAsia" w:ascii="Times New Roman" w:hAnsi="Times New Roman" w:eastAsia="宋体" w:cs="Times New Roman"/>
                      <w:color w:val="auto"/>
                      <w:spacing w:val="-10"/>
                      <w:kern w:val="2"/>
                      <w:sz w:val="18"/>
                      <w:szCs w:val="18"/>
                      <w:lang w:val="en-US" w:eastAsia="zh-CN" w:bidi="ar-SA"/>
                    </w:rPr>
                  </w:pPr>
                  <w:r>
                    <w:rPr>
                      <w:rFonts w:hint="default" w:ascii="Times New Roman" w:hAnsi="Times New Roman" w:eastAsia="宋体" w:cs="Times New Roman"/>
                      <w:color w:val="auto"/>
                      <w:spacing w:val="-10"/>
                      <w:sz w:val="18"/>
                      <w:szCs w:val="18"/>
                      <w:lang w:val="en-US" w:eastAsia="zh-CN"/>
                    </w:rPr>
                    <w:t>强化非道路移动机械管理</w:t>
                  </w:r>
                  <w:r>
                    <w:rPr>
                      <w:rFonts w:hint="eastAsia" w:ascii="Times New Roman" w:hAnsi="Times New Roman" w:eastAsia="宋体" w:cs="Times New Roman"/>
                      <w:color w:val="auto"/>
                      <w:spacing w:val="-10"/>
                      <w:sz w:val="18"/>
                      <w:szCs w:val="18"/>
                      <w:lang w:val="en-US" w:eastAsia="zh-CN"/>
                    </w:rPr>
                    <w:t>：各县（市、区）修订并公布禁止使用高排放机械的区域，6月1日起，区域内禁止使用国二及以下排放标准的非道路移动机械。加快推进工矿企业、单位内部作业车辆和机械新能源化更新改造。</w:t>
                  </w:r>
                </w:p>
              </w:tc>
              <w:tc>
                <w:tcPr>
                  <w:tcW w:w="3078" w:type="dxa"/>
                  <w:tcBorders>
                    <w:tl2br w:val="nil"/>
                    <w:tr2bl w:val="nil"/>
                  </w:tcBorders>
                  <w:shd w:val="clear" w:color="auto" w:fill="auto"/>
                  <w:vAlign w:val="center"/>
                </w:tcPr>
                <w:p w14:paraId="182AE99B">
                  <w:pPr>
                    <w:keepNext w:val="0"/>
                    <w:keepLines w:val="0"/>
                    <w:pageBreakBefore w:val="0"/>
                    <w:widowControl w:val="0"/>
                    <w:kinsoku/>
                    <w:wordWrap/>
                    <w:overflowPunct/>
                    <w:topLinePunct w:val="0"/>
                    <w:autoSpaceDE/>
                    <w:autoSpaceDN/>
                    <w:bidi w:val="0"/>
                    <w:adjustRightInd/>
                    <w:snapToGrid/>
                    <w:spacing w:line="240" w:lineRule="exact"/>
                    <w:ind w:firstLine="320" w:firstLineChars="200"/>
                    <w:jc w:val="left"/>
                    <w:textAlignment w:val="auto"/>
                    <w:rPr>
                      <w:rFonts w:hint="eastAsia" w:ascii="Times New Roman" w:hAnsi="Times New Roman" w:eastAsia="宋体" w:cs="Times New Roman"/>
                      <w:color w:val="auto"/>
                      <w:spacing w:val="-10"/>
                      <w:kern w:val="2"/>
                      <w:sz w:val="18"/>
                      <w:szCs w:val="18"/>
                      <w:lang w:val="en-US" w:eastAsia="zh-CN" w:bidi="ar-SA"/>
                    </w:rPr>
                  </w:pPr>
                  <w:r>
                    <w:rPr>
                      <w:rFonts w:hint="eastAsia" w:ascii="Times New Roman" w:hAnsi="Times New Roman" w:eastAsia="宋体" w:cs="Times New Roman"/>
                      <w:color w:val="auto"/>
                      <w:spacing w:val="-10"/>
                      <w:sz w:val="18"/>
                      <w:szCs w:val="18"/>
                    </w:rPr>
                    <w:t>厂内非道路移动机械全部使用国</w:t>
                  </w:r>
                  <w:r>
                    <w:rPr>
                      <w:rFonts w:hint="eastAsia" w:ascii="Times New Roman" w:hAnsi="Times New Roman" w:eastAsia="宋体" w:cs="Times New Roman"/>
                      <w:color w:val="auto"/>
                      <w:spacing w:val="-10"/>
                      <w:sz w:val="18"/>
                      <w:szCs w:val="18"/>
                      <w:lang w:val="en-US" w:eastAsia="zh-CN"/>
                    </w:rPr>
                    <w:t>四</w:t>
                  </w:r>
                  <w:r>
                    <w:rPr>
                      <w:rFonts w:hint="eastAsia" w:ascii="Times New Roman" w:hAnsi="Times New Roman" w:eastAsia="宋体" w:cs="Times New Roman"/>
                      <w:color w:val="auto"/>
                      <w:spacing w:val="-10"/>
                      <w:sz w:val="18"/>
                      <w:szCs w:val="18"/>
                    </w:rPr>
                    <w:t>及以上排放标准或新能源机械。厂区内所有燃油非道路移动机械</w:t>
                  </w:r>
                  <w:r>
                    <w:rPr>
                      <w:rFonts w:hint="eastAsia" w:ascii="Times New Roman" w:hAnsi="Times New Roman" w:eastAsia="宋体" w:cs="Times New Roman"/>
                      <w:color w:val="auto"/>
                      <w:spacing w:val="-10"/>
                      <w:sz w:val="18"/>
                      <w:szCs w:val="18"/>
                      <w:lang w:eastAsia="zh-CN"/>
                    </w:rPr>
                    <w:t>按要求</w:t>
                  </w:r>
                  <w:r>
                    <w:rPr>
                      <w:rFonts w:hint="eastAsia" w:ascii="Times New Roman" w:hAnsi="Times New Roman" w:eastAsia="宋体" w:cs="Times New Roman"/>
                      <w:color w:val="auto"/>
                      <w:spacing w:val="-10"/>
                      <w:sz w:val="18"/>
                      <w:szCs w:val="18"/>
                    </w:rPr>
                    <w:t>进行环保登记备案管理，防止尾气超标污染。</w:t>
                  </w:r>
                </w:p>
              </w:tc>
              <w:tc>
                <w:tcPr>
                  <w:tcW w:w="704" w:type="dxa"/>
                  <w:tcBorders>
                    <w:tl2br w:val="nil"/>
                    <w:tr2bl w:val="nil"/>
                  </w:tcBorders>
                  <w:shd w:val="clear" w:color="auto" w:fill="auto"/>
                  <w:vAlign w:val="center"/>
                </w:tcPr>
                <w:p w14:paraId="6FCA6DDB">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Times New Roman" w:hAnsi="Times New Roman" w:eastAsia="宋体" w:cs="Times New Roman"/>
                      <w:color w:val="auto"/>
                      <w:spacing w:val="-10"/>
                      <w:sz w:val="18"/>
                      <w:szCs w:val="18"/>
                      <w:highlight w:val="none"/>
                      <w:lang w:val="en-US" w:eastAsia="zh-CN"/>
                    </w:rPr>
                  </w:pPr>
                  <w:r>
                    <w:rPr>
                      <w:rFonts w:hint="eastAsia" w:ascii="Times New Roman" w:hAnsi="Times New Roman" w:eastAsia="宋体" w:cs="Times New Roman"/>
                      <w:color w:val="auto"/>
                      <w:spacing w:val="-10"/>
                      <w:sz w:val="18"/>
                      <w:szCs w:val="18"/>
                      <w:highlight w:val="none"/>
                      <w:lang w:val="en-US" w:eastAsia="zh-CN"/>
                    </w:rPr>
                    <w:t>符合</w:t>
                  </w:r>
                </w:p>
              </w:tc>
            </w:tr>
          </w:tbl>
          <w:p w14:paraId="605DCABC">
            <w:pPr>
              <w:pStyle w:val="24"/>
              <w:adjustRightInd w:val="0"/>
              <w:snapToGrid w:val="0"/>
              <w:spacing w:before="0" w:beforeAutospacing="0" w:after="0" w:afterAutospacing="0" w:line="440" w:lineRule="exact"/>
              <w:jc w:val="center"/>
              <w:rPr>
                <w:rFonts w:hint="eastAsia" w:ascii="Times New Roman" w:hAnsi="Times New Roman"/>
                <w:b/>
                <w:color w:val="auto"/>
                <w:sz w:val="21"/>
                <w:szCs w:val="21"/>
                <w:highlight w:val="none"/>
                <w:lang w:val="en-US" w:eastAsia="zh-CN"/>
              </w:rPr>
            </w:pPr>
          </w:p>
          <w:p w14:paraId="6C5B3D19">
            <w:pPr>
              <w:pStyle w:val="24"/>
              <w:adjustRightInd w:val="0"/>
              <w:snapToGrid w:val="0"/>
              <w:spacing w:before="0" w:beforeAutospacing="0" w:after="0" w:afterAutospacing="0" w:line="440" w:lineRule="exact"/>
              <w:jc w:val="center"/>
              <w:rPr>
                <w:rFonts w:hint="eastAsia" w:ascii="Times New Roman" w:hAnsi="Times New Roman"/>
                <w:b/>
                <w:color w:val="auto"/>
                <w:sz w:val="21"/>
                <w:szCs w:val="21"/>
                <w:highlight w:val="none"/>
                <w:lang w:val="en-US" w:eastAsia="zh-CN"/>
              </w:rPr>
            </w:pPr>
          </w:p>
          <w:p w14:paraId="7A3E3848">
            <w:pPr>
              <w:pStyle w:val="24"/>
              <w:adjustRightInd w:val="0"/>
              <w:snapToGrid w:val="0"/>
              <w:spacing w:before="0" w:beforeAutospacing="0" w:after="0" w:afterAutospacing="0" w:line="440" w:lineRule="exact"/>
              <w:jc w:val="center"/>
              <w:rPr>
                <w:rFonts w:hint="default" w:ascii="Times New Roman" w:hAnsi="Times New Roman" w:eastAsia="宋体"/>
                <w:b/>
                <w:color w:val="auto"/>
                <w:sz w:val="21"/>
                <w:szCs w:val="21"/>
                <w:highlight w:val="none"/>
                <w:lang w:val="en-US" w:eastAsia="zh-CN"/>
              </w:rPr>
            </w:pPr>
            <w:r>
              <w:rPr>
                <w:rFonts w:hint="eastAsia" w:ascii="Times New Roman" w:hAnsi="Times New Roman"/>
                <w:b/>
                <w:color w:val="auto"/>
                <w:sz w:val="21"/>
                <w:szCs w:val="21"/>
                <w:highlight w:val="none"/>
                <w:lang w:val="en-US" w:eastAsia="zh-CN"/>
              </w:rPr>
              <w:t>续</w:t>
            </w:r>
            <w:r>
              <w:rPr>
                <w:rFonts w:ascii="Times New Roman" w:hAnsi="Times New Roman"/>
                <w:b/>
                <w:color w:val="auto"/>
                <w:sz w:val="21"/>
                <w:szCs w:val="21"/>
                <w:highlight w:val="none"/>
              </w:rPr>
              <w:t>表</w:t>
            </w:r>
            <w:r>
              <w:rPr>
                <w:rFonts w:hint="eastAsia" w:ascii="Times New Roman" w:hAnsi="Times New Roman"/>
                <w:b/>
                <w:color w:val="auto"/>
                <w:sz w:val="21"/>
                <w:szCs w:val="21"/>
                <w:highlight w:val="none"/>
                <w:lang w:val="en-US" w:eastAsia="zh-CN"/>
              </w:rPr>
              <w:t>4</w:t>
            </w:r>
            <w:r>
              <w:rPr>
                <w:rFonts w:hint="eastAsia" w:ascii="Times New Roman" w:hAnsi="Times New Roman"/>
                <w:b/>
                <w:color w:val="auto"/>
                <w:sz w:val="21"/>
                <w:szCs w:val="21"/>
                <w:highlight w:val="none"/>
              </w:rPr>
              <w:t xml:space="preserve">  </w:t>
            </w:r>
            <w:r>
              <w:rPr>
                <w:rFonts w:hint="eastAsia" w:ascii="Times New Roman" w:hAnsi="Times New Roman"/>
                <w:b/>
                <w:color w:val="auto"/>
                <w:sz w:val="21"/>
                <w:szCs w:val="21"/>
                <w:highlight w:val="none"/>
                <w:lang w:val="en-US" w:eastAsia="zh-CN"/>
              </w:rPr>
              <w:t>本</w:t>
            </w:r>
            <w:r>
              <w:rPr>
                <w:rFonts w:hint="eastAsia" w:ascii="Times New Roman" w:hAnsi="Times New Roman"/>
                <w:b/>
                <w:color w:val="auto"/>
                <w:sz w:val="21"/>
                <w:szCs w:val="21"/>
                <w:highlight w:val="none"/>
              </w:rPr>
              <w:t>项目与</w:t>
            </w:r>
            <w:r>
              <w:rPr>
                <w:rFonts w:hint="eastAsia" w:ascii="Times New Roman" w:hAnsi="Times New Roman"/>
                <w:b/>
                <w:color w:val="auto"/>
                <w:sz w:val="21"/>
                <w:szCs w:val="21"/>
                <w:highlight w:val="none"/>
                <w:lang w:val="en-US" w:eastAsia="zh-CN"/>
              </w:rPr>
              <w:t>相关文件的</w:t>
            </w:r>
            <w:r>
              <w:rPr>
                <w:rFonts w:ascii="Times New Roman" w:hAnsi="Times New Roman"/>
                <w:b/>
                <w:color w:val="auto"/>
                <w:sz w:val="21"/>
                <w:szCs w:val="21"/>
                <w:highlight w:val="none"/>
              </w:rPr>
              <w:t>符合性</w:t>
            </w:r>
            <w:r>
              <w:rPr>
                <w:rFonts w:hint="eastAsia" w:ascii="Times New Roman" w:hAnsi="Times New Roman"/>
                <w:b/>
                <w:color w:val="auto"/>
                <w:sz w:val="21"/>
                <w:szCs w:val="21"/>
                <w:highlight w:val="none"/>
                <w:lang w:val="en-US" w:eastAsia="zh-CN"/>
              </w:rPr>
              <w:t>分析一览表</w:t>
            </w:r>
          </w:p>
          <w:tbl>
            <w:tblPr>
              <w:tblStyle w:val="28"/>
              <w:tblW w:w="11950" w:type="dxa"/>
              <w:tblInd w:w="0" w:type="dxa"/>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
            <w:tblGrid>
              <w:gridCol w:w="569"/>
              <w:gridCol w:w="1398"/>
              <w:gridCol w:w="6201"/>
              <w:gridCol w:w="3078"/>
              <w:gridCol w:w="704"/>
            </w:tblGrid>
            <w:tr w14:paraId="3385CB38">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exact"/>
              </w:trPr>
              <w:tc>
                <w:tcPr>
                  <w:tcW w:w="569" w:type="dxa"/>
                  <w:tcBorders>
                    <w:tl2br w:val="nil"/>
                    <w:tr2bl w:val="nil"/>
                  </w:tcBorders>
                  <w:vAlign w:val="center"/>
                </w:tcPr>
                <w:p w14:paraId="375B7588">
                  <w:pPr>
                    <w:spacing w:line="240" w:lineRule="exact"/>
                    <w:jc w:val="center"/>
                    <w:rPr>
                      <w:color w:val="auto"/>
                      <w:spacing w:val="-10"/>
                      <w:sz w:val="18"/>
                      <w:szCs w:val="18"/>
                      <w:highlight w:val="none"/>
                    </w:rPr>
                  </w:pPr>
                  <w:r>
                    <w:rPr>
                      <w:rFonts w:hint="eastAsia"/>
                      <w:color w:val="auto"/>
                      <w:spacing w:val="-10"/>
                      <w:sz w:val="18"/>
                      <w:szCs w:val="18"/>
                      <w:highlight w:val="none"/>
                    </w:rPr>
                    <w:t>序号</w:t>
                  </w:r>
                </w:p>
              </w:tc>
              <w:tc>
                <w:tcPr>
                  <w:tcW w:w="7599" w:type="dxa"/>
                  <w:gridSpan w:val="2"/>
                  <w:tcBorders>
                    <w:tl2br w:val="nil"/>
                    <w:tr2bl w:val="nil"/>
                  </w:tcBorders>
                  <w:vAlign w:val="center"/>
                </w:tcPr>
                <w:p w14:paraId="3844A168">
                  <w:pPr>
                    <w:spacing w:line="240" w:lineRule="exact"/>
                    <w:jc w:val="center"/>
                    <w:rPr>
                      <w:color w:val="auto"/>
                      <w:spacing w:val="-10"/>
                      <w:sz w:val="18"/>
                      <w:szCs w:val="18"/>
                      <w:highlight w:val="none"/>
                    </w:rPr>
                  </w:pPr>
                  <w:r>
                    <w:rPr>
                      <w:rFonts w:hint="eastAsia"/>
                      <w:color w:val="auto"/>
                      <w:spacing w:val="-10"/>
                      <w:sz w:val="18"/>
                      <w:szCs w:val="18"/>
                      <w:highlight w:val="none"/>
                    </w:rPr>
                    <w:t>政策要求</w:t>
                  </w:r>
                </w:p>
              </w:tc>
              <w:tc>
                <w:tcPr>
                  <w:tcW w:w="3078" w:type="dxa"/>
                  <w:tcBorders>
                    <w:tl2br w:val="nil"/>
                    <w:tr2bl w:val="nil"/>
                  </w:tcBorders>
                  <w:vAlign w:val="center"/>
                </w:tcPr>
                <w:p w14:paraId="7906AB3D">
                  <w:pPr>
                    <w:spacing w:line="240" w:lineRule="exact"/>
                    <w:jc w:val="center"/>
                    <w:rPr>
                      <w:color w:val="auto"/>
                      <w:spacing w:val="-10"/>
                      <w:sz w:val="18"/>
                      <w:szCs w:val="18"/>
                      <w:highlight w:val="none"/>
                    </w:rPr>
                  </w:pPr>
                  <w:r>
                    <w:rPr>
                      <w:rFonts w:hint="eastAsia"/>
                      <w:color w:val="auto"/>
                      <w:spacing w:val="-10"/>
                      <w:sz w:val="18"/>
                      <w:szCs w:val="18"/>
                      <w:highlight w:val="none"/>
                    </w:rPr>
                    <w:t>本项目实际</w:t>
                  </w:r>
                </w:p>
              </w:tc>
              <w:tc>
                <w:tcPr>
                  <w:tcW w:w="704" w:type="dxa"/>
                  <w:tcBorders>
                    <w:tl2br w:val="nil"/>
                    <w:tr2bl w:val="nil"/>
                  </w:tcBorders>
                  <w:vAlign w:val="center"/>
                </w:tcPr>
                <w:p w14:paraId="53BE9E32">
                  <w:pPr>
                    <w:jc w:val="center"/>
                    <w:rPr>
                      <w:color w:val="auto"/>
                      <w:spacing w:val="-10"/>
                      <w:sz w:val="18"/>
                      <w:szCs w:val="18"/>
                      <w:highlight w:val="none"/>
                    </w:rPr>
                  </w:pPr>
                  <w:r>
                    <w:rPr>
                      <w:rFonts w:hint="eastAsia"/>
                      <w:color w:val="auto"/>
                      <w:spacing w:val="-10"/>
                      <w:sz w:val="18"/>
                      <w:szCs w:val="18"/>
                      <w:highlight w:val="none"/>
                    </w:rPr>
                    <w:t>符合性</w:t>
                  </w:r>
                </w:p>
              </w:tc>
            </w:tr>
            <w:tr w14:paraId="15738463">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78" w:hRule="atLeast"/>
              </w:trPr>
              <w:tc>
                <w:tcPr>
                  <w:tcW w:w="569" w:type="dxa"/>
                  <w:vMerge w:val="restart"/>
                  <w:tcBorders>
                    <w:tl2br w:val="nil"/>
                    <w:tr2bl w:val="nil"/>
                  </w:tcBorders>
                  <w:vAlign w:val="center"/>
                </w:tcPr>
                <w:p w14:paraId="02911D96">
                  <w:pPr>
                    <w:spacing w:line="240" w:lineRule="exact"/>
                    <w:jc w:val="center"/>
                    <w:rPr>
                      <w:rFonts w:hint="default" w:cs="Times New Roman"/>
                      <w:color w:val="auto"/>
                      <w:spacing w:val="-10"/>
                      <w:sz w:val="18"/>
                      <w:szCs w:val="18"/>
                      <w:highlight w:val="none"/>
                      <w:lang w:val="en-US" w:eastAsia="zh-CN"/>
                    </w:rPr>
                  </w:pPr>
                  <w:r>
                    <w:rPr>
                      <w:rFonts w:hint="eastAsia" w:cs="Times New Roman"/>
                      <w:color w:val="auto"/>
                      <w:spacing w:val="-10"/>
                      <w:sz w:val="18"/>
                      <w:szCs w:val="18"/>
                      <w:highlight w:val="none"/>
                      <w:lang w:val="en-US" w:eastAsia="zh-CN"/>
                    </w:rPr>
                    <w:t>10</w:t>
                  </w:r>
                </w:p>
              </w:tc>
              <w:tc>
                <w:tcPr>
                  <w:tcW w:w="1398" w:type="dxa"/>
                  <w:vMerge w:val="restart"/>
                  <w:tcBorders>
                    <w:tl2br w:val="nil"/>
                    <w:tr2bl w:val="nil"/>
                  </w:tcBorders>
                  <w:vAlign w:val="center"/>
                </w:tcPr>
                <w:p w14:paraId="2C41CC81">
                  <w:pPr>
                    <w:spacing w:line="240" w:lineRule="exact"/>
                    <w:jc w:val="center"/>
                    <w:rPr>
                      <w:rFonts w:hint="default" w:ascii="Times New Roman" w:hAnsi="Times New Roman" w:eastAsia="宋体" w:cs="Times New Roman"/>
                      <w:color w:val="auto"/>
                      <w:spacing w:val="-10"/>
                      <w:sz w:val="18"/>
                      <w:szCs w:val="18"/>
                      <w:lang w:val="en-US" w:eastAsia="zh-CN"/>
                    </w:rPr>
                  </w:pPr>
                  <w:r>
                    <w:rPr>
                      <w:rFonts w:hint="eastAsia" w:cs="Times New Roman"/>
                      <w:color w:val="auto"/>
                      <w:spacing w:val="-10"/>
                      <w:sz w:val="18"/>
                      <w:szCs w:val="18"/>
                      <w:lang w:val="en-US" w:eastAsia="zh-CN"/>
                    </w:rPr>
                    <w:t>唐山市2022年大气污</w:t>
                  </w:r>
                  <w:r>
                    <w:rPr>
                      <w:rFonts w:hint="eastAsia" w:ascii="Times New Roman" w:hAnsi="Times New Roman" w:eastAsia="宋体" w:cs="Times New Roman"/>
                      <w:color w:val="auto"/>
                      <w:spacing w:val="-10"/>
                      <w:sz w:val="18"/>
                      <w:szCs w:val="18"/>
                      <w:lang w:val="en-US" w:eastAsia="zh-CN"/>
                    </w:rPr>
                    <w:t>染综合治理工作要点（唐气领组[2022]1号）</w:t>
                  </w:r>
                </w:p>
              </w:tc>
              <w:tc>
                <w:tcPr>
                  <w:tcW w:w="6201" w:type="dxa"/>
                  <w:tcBorders>
                    <w:tl2br w:val="nil"/>
                    <w:tr2bl w:val="nil"/>
                  </w:tcBorders>
                  <w:shd w:val="clear" w:color="auto" w:fill="auto"/>
                  <w:vAlign w:val="center"/>
                </w:tcPr>
                <w:p w14:paraId="40585C43">
                  <w:pPr>
                    <w:keepNext w:val="0"/>
                    <w:keepLines w:val="0"/>
                    <w:pageBreakBefore w:val="0"/>
                    <w:widowControl w:val="0"/>
                    <w:kinsoku/>
                    <w:wordWrap/>
                    <w:overflowPunct/>
                    <w:topLinePunct w:val="0"/>
                    <w:autoSpaceDE/>
                    <w:autoSpaceDN/>
                    <w:bidi w:val="0"/>
                    <w:adjustRightInd/>
                    <w:snapToGrid/>
                    <w:spacing w:line="240" w:lineRule="exact"/>
                    <w:ind w:firstLine="320" w:firstLineChars="200"/>
                    <w:jc w:val="left"/>
                    <w:textAlignment w:val="auto"/>
                    <w:rPr>
                      <w:rFonts w:hint="eastAsia" w:ascii="Times New Roman" w:hAnsi="Times New Roman" w:eastAsia="宋体" w:cs="Times New Roman"/>
                      <w:color w:val="auto"/>
                      <w:spacing w:val="-10"/>
                      <w:kern w:val="2"/>
                      <w:sz w:val="18"/>
                      <w:szCs w:val="18"/>
                      <w:lang w:val="en-US" w:eastAsia="zh-CN" w:bidi="ar-SA"/>
                    </w:rPr>
                  </w:pPr>
                  <w:r>
                    <w:rPr>
                      <w:rFonts w:hint="default" w:ascii="Times New Roman" w:hAnsi="Times New Roman" w:eastAsia="宋体" w:cs="Times New Roman"/>
                      <w:color w:val="auto"/>
                      <w:spacing w:val="-10"/>
                      <w:sz w:val="18"/>
                      <w:szCs w:val="18"/>
                      <w:lang w:val="en-US" w:eastAsia="zh-CN"/>
                    </w:rPr>
                    <w:t>物料入仓入棚</w:t>
                  </w:r>
                  <w:r>
                    <w:rPr>
                      <w:rFonts w:hint="eastAsia" w:ascii="Times New Roman" w:hAnsi="Times New Roman" w:eastAsia="宋体" w:cs="Times New Roman"/>
                      <w:color w:val="auto"/>
                      <w:spacing w:val="-10"/>
                      <w:sz w:val="18"/>
                      <w:szCs w:val="18"/>
                      <w:lang w:val="en-US" w:eastAsia="zh-CN"/>
                    </w:rPr>
                    <w:t>：</w:t>
                  </w:r>
                  <w:r>
                    <w:rPr>
                      <w:rFonts w:hint="default" w:ascii="Times New Roman" w:hAnsi="Times New Roman" w:eastAsia="宋体" w:cs="Times New Roman"/>
                      <w:color w:val="auto"/>
                      <w:spacing w:val="-10"/>
                      <w:sz w:val="18"/>
                      <w:szCs w:val="18"/>
                      <w:lang w:val="en-US" w:eastAsia="zh-CN"/>
                    </w:rPr>
                    <w:t>企业内料堆场粉状或者粒状等易产生扬尘的物料应采用入棚、入仓的方式封闭储存；鼓励采用入棚、入仓方式封闭储存块状物料。物料输送落料点等配备集气罩和除尘设施或采取喷雾等抑尘措施；安装视频监控设备和扬尘污染物在线设备并与生态环境部门联网</w:t>
                  </w:r>
                  <w:r>
                    <w:rPr>
                      <w:rFonts w:hint="eastAsia" w:ascii="Times New Roman" w:hAnsi="Times New Roman" w:eastAsia="宋体" w:cs="Times New Roman"/>
                      <w:color w:val="auto"/>
                      <w:spacing w:val="-10"/>
                      <w:sz w:val="18"/>
                      <w:szCs w:val="18"/>
                      <w:lang w:val="en-US" w:eastAsia="zh-CN"/>
                    </w:rPr>
                    <w:t>。</w:t>
                  </w:r>
                </w:p>
              </w:tc>
              <w:tc>
                <w:tcPr>
                  <w:tcW w:w="3078" w:type="dxa"/>
                  <w:tcBorders>
                    <w:tl2br w:val="nil"/>
                    <w:tr2bl w:val="nil"/>
                  </w:tcBorders>
                  <w:shd w:val="clear" w:color="auto" w:fill="auto"/>
                  <w:vAlign w:val="center"/>
                </w:tcPr>
                <w:p w14:paraId="69EE518B">
                  <w:pPr>
                    <w:keepNext w:val="0"/>
                    <w:keepLines w:val="0"/>
                    <w:pageBreakBefore w:val="0"/>
                    <w:widowControl w:val="0"/>
                    <w:kinsoku/>
                    <w:wordWrap/>
                    <w:overflowPunct/>
                    <w:topLinePunct w:val="0"/>
                    <w:autoSpaceDE/>
                    <w:autoSpaceDN/>
                    <w:bidi w:val="0"/>
                    <w:adjustRightInd/>
                    <w:snapToGrid/>
                    <w:spacing w:line="240" w:lineRule="exact"/>
                    <w:ind w:firstLine="320" w:firstLineChars="200"/>
                    <w:jc w:val="left"/>
                    <w:textAlignment w:val="auto"/>
                    <w:rPr>
                      <w:rFonts w:hint="eastAsia" w:ascii="Times New Roman" w:hAnsi="Times New Roman" w:eastAsia="宋体" w:cs="Times New Roman"/>
                      <w:color w:val="auto"/>
                      <w:spacing w:val="-10"/>
                      <w:kern w:val="2"/>
                      <w:sz w:val="18"/>
                      <w:szCs w:val="18"/>
                      <w:lang w:val="en-US" w:eastAsia="zh-CN" w:bidi="ar-SA"/>
                    </w:rPr>
                  </w:pPr>
                  <w:r>
                    <w:rPr>
                      <w:rFonts w:hint="eastAsia" w:ascii="Times New Roman" w:hAnsi="Times New Roman" w:eastAsia="宋体" w:cs="Times New Roman"/>
                      <w:color w:val="auto"/>
                      <w:spacing w:val="-10"/>
                      <w:sz w:val="18"/>
                      <w:szCs w:val="18"/>
                      <w:lang w:val="en-US" w:eastAsia="zh-CN"/>
                    </w:rPr>
                    <w:t>本项目原料、产品全部存于封闭的生产车间内。</w:t>
                  </w:r>
                  <w:r>
                    <w:rPr>
                      <w:rFonts w:hint="default" w:ascii="Times New Roman" w:hAnsi="Times New Roman" w:eastAsia="宋体" w:cs="Times New Roman"/>
                      <w:color w:val="auto"/>
                      <w:spacing w:val="-10"/>
                      <w:sz w:val="18"/>
                      <w:szCs w:val="18"/>
                      <w:lang w:val="en-US" w:eastAsia="zh-CN"/>
                    </w:rPr>
                    <w:t>物料输送落料点等配备集气罩和除尘设施</w:t>
                  </w:r>
                  <w:r>
                    <w:rPr>
                      <w:rFonts w:hint="eastAsia" w:ascii="Times New Roman" w:hAnsi="Times New Roman" w:eastAsia="宋体" w:cs="Times New Roman"/>
                      <w:color w:val="auto"/>
                      <w:spacing w:val="-10"/>
                      <w:sz w:val="18"/>
                      <w:szCs w:val="18"/>
                      <w:lang w:val="en-US" w:eastAsia="zh-CN"/>
                    </w:rPr>
                    <w:t>。在生产车间外、厂界上下风向安装</w:t>
                  </w:r>
                  <w:r>
                    <w:rPr>
                      <w:rFonts w:hint="default" w:ascii="Times New Roman" w:hAnsi="Times New Roman" w:eastAsia="宋体" w:cs="Times New Roman"/>
                      <w:color w:val="auto"/>
                      <w:spacing w:val="-10"/>
                      <w:sz w:val="18"/>
                      <w:szCs w:val="18"/>
                      <w:lang w:val="en-US" w:eastAsia="zh-CN"/>
                    </w:rPr>
                    <w:t>扬尘污染物在线设备</w:t>
                  </w:r>
                  <w:r>
                    <w:rPr>
                      <w:rFonts w:hint="eastAsia" w:ascii="Times New Roman" w:hAnsi="Times New Roman" w:eastAsia="宋体" w:cs="Times New Roman"/>
                      <w:color w:val="auto"/>
                      <w:spacing w:val="-10"/>
                      <w:sz w:val="18"/>
                      <w:szCs w:val="18"/>
                      <w:lang w:val="en-US" w:eastAsia="zh-CN"/>
                    </w:rPr>
                    <w:t>，生产车间出入口、厂区出入口等位置安装</w:t>
                  </w:r>
                  <w:r>
                    <w:rPr>
                      <w:rFonts w:hint="default" w:ascii="Times New Roman" w:hAnsi="Times New Roman" w:eastAsia="宋体" w:cs="Times New Roman"/>
                      <w:color w:val="auto"/>
                      <w:spacing w:val="-10"/>
                      <w:sz w:val="18"/>
                      <w:szCs w:val="18"/>
                      <w:lang w:val="en-US" w:eastAsia="zh-CN"/>
                    </w:rPr>
                    <w:t>视频监控设备</w:t>
                  </w:r>
                  <w:r>
                    <w:rPr>
                      <w:rFonts w:hint="eastAsia" w:ascii="Times New Roman" w:hAnsi="Times New Roman" w:eastAsia="宋体" w:cs="Times New Roman"/>
                      <w:color w:val="auto"/>
                      <w:spacing w:val="-10"/>
                      <w:sz w:val="18"/>
                      <w:szCs w:val="18"/>
                      <w:lang w:val="en-US" w:eastAsia="zh-CN"/>
                    </w:rPr>
                    <w:t>，并与生态环境部门联网。</w:t>
                  </w:r>
                </w:p>
              </w:tc>
              <w:tc>
                <w:tcPr>
                  <w:tcW w:w="704" w:type="dxa"/>
                  <w:tcBorders>
                    <w:tl2br w:val="nil"/>
                    <w:tr2bl w:val="nil"/>
                  </w:tcBorders>
                  <w:shd w:val="clear" w:color="auto" w:fill="auto"/>
                  <w:vAlign w:val="center"/>
                </w:tcPr>
                <w:p w14:paraId="1361FAC9">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Times New Roman" w:hAnsi="Times New Roman" w:eastAsia="宋体" w:cs="Times New Roman"/>
                      <w:color w:val="auto"/>
                      <w:spacing w:val="-10"/>
                      <w:kern w:val="2"/>
                      <w:sz w:val="18"/>
                      <w:szCs w:val="18"/>
                      <w:highlight w:val="none"/>
                      <w:lang w:val="en-US" w:eastAsia="zh-CN" w:bidi="ar-SA"/>
                    </w:rPr>
                  </w:pPr>
                  <w:r>
                    <w:rPr>
                      <w:rFonts w:hint="eastAsia" w:ascii="Times New Roman" w:hAnsi="Times New Roman" w:eastAsia="宋体" w:cs="Times New Roman"/>
                      <w:color w:val="auto"/>
                      <w:spacing w:val="-10"/>
                      <w:sz w:val="18"/>
                      <w:szCs w:val="18"/>
                      <w:lang w:val="en-US" w:eastAsia="zh-CN"/>
                    </w:rPr>
                    <w:t>符合</w:t>
                  </w:r>
                </w:p>
              </w:tc>
            </w:tr>
            <w:tr w14:paraId="31C75E34">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78" w:hRule="atLeast"/>
              </w:trPr>
              <w:tc>
                <w:tcPr>
                  <w:tcW w:w="569" w:type="dxa"/>
                  <w:vMerge w:val="continue"/>
                  <w:tcBorders>
                    <w:tl2br w:val="nil"/>
                    <w:tr2bl w:val="nil"/>
                  </w:tcBorders>
                  <w:vAlign w:val="center"/>
                </w:tcPr>
                <w:p w14:paraId="09206BCD">
                  <w:pPr>
                    <w:spacing w:line="240" w:lineRule="exact"/>
                    <w:jc w:val="center"/>
                    <w:rPr>
                      <w:rFonts w:hint="eastAsia" w:cs="Times New Roman"/>
                      <w:color w:val="auto"/>
                      <w:spacing w:val="-10"/>
                      <w:sz w:val="18"/>
                      <w:szCs w:val="18"/>
                      <w:highlight w:val="none"/>
                      <w:lang w:val="en-US" w:eastAsia="zh-CN"/>
                    </w:rPr>
                  </w:pPr>
                </w:p>
              </w:tc>
              <w:tc>
                <w:tcPr>
                  <w:tcW w:w="1398" w:type="dxa"/>
                  <w:vMerge w:val="continue"/>
                  <w:tcBorders>
                    <w:tl2br w:val="nil"/>
                    <w:tr2bl w:val="nil"/>
                  </w:tcBorders>
                  <w:vAlign w:val="center"/>
                </w:tcPr>
                <w:p w14:paraId="1AF4948F">
                  <w:pPr>
                    <w:spacing w:line="240" w:lineRule="exact"/>
                    <w:jc w:val="center"/>
                    <w:rPr>
                      <w:rFonts w:hint="eastAsia" w:cs="Times New Roman"/>
                      <w:color w:val="auto"/>
                      <w:spacing w:val="-10"/>
                      <w:sz w:val="18"/>
                      <w:szCs w:val="18"/>
                      <w:lang w:val="en-US" w:eastAsia="zh-CN"/>
                    </w:rPr>
                  </w:pPr>
                </w:p>
              </w:tc>
              <w:tc>
                <w:tcPr>
                  <w:tcW w:w="6201" w:type="dxa"/>
                  <w:tcBorders>
                    <w:tl2br w:val="nil"/>
                    <w:tr2bl w:val="nil"/>
                  </w:tcBorders>
                  <w:shd w:val="clear" w:color="auto" w:fill="auto"/>
                  <w:vAlign w:val="center"/>
                </w:tcPr>
                <w:p w14:paraId="432CD75F">
                  <w:pPr>
                    <w:keepNext w:val="0"/>
                    <w:keepLines w:val="0"/>
                    <w:pageBreakBefore w:val="0"/>
                    <w:widowControl w:val="0"/>
                    <w:kinsoku/>
                    <w:wordWrap/>
                    <w:overflowPunct/>
                    <w:topLinePunct w:val="0"/>
                    <w:autoSpaceDE/>
                    <w:autoSpaceDN/>
                    <w:bidi w:val="0"/>
                    <w:adjustRightInd/>
                    <w:snapToGrid/>
                    <w:spacing w:line="240" w:lineRule="exact"/>
                    <w:ind w:firstLine="320" w:firstLineChars="200"/>
                    <w:jc w:val="left"/>
                    <w:textAlignment w:val="auto"/>
                    <w:rPr>
                      <w:rFonts w:hint="eastAsia" w:ascii="Times New Roman" w:hAnsi="Times New Roman" w:eastAsia="宋体" w:cs="Times New Roman"/>
                      <w:color w:val="auto"/>
                      <w:spacing w:val="-10"/>
                      <w:kern w:val="2"/>
                      <w:sz w:val="18"/>
                      <w:szCs w:val="18"/>
                      <w:lang w:val="en-US" w:eastAsia="zh-CN" w:bidi="ar-SA"/>
                    </w:rPr>
                  </w:pPr>
                  <w:r>
                    <w:rPr>
                      <w:rFonts w:hint="eastAsia" w:ascii="Times New Roman" w:hAnsi="Times New Roman" w:eastAsia="宋体" w:cs="Times New Roman"/>
                      <w:color w:val="auto"/>
                      <w:spacing w:val="-10"/>
                      <w:sz w:val="18"/>
                      <w:szCs w:val="18"/>
                      <w:lang w:val="en-US" w:eastAsia="zh-CN"/>
                    </w:rPr>
                    <w:t>道路清扫保洁：企业内部道路要做到安排专人保洁，实施机械化清扫并及时洒水，有效降尘。</w:t>
                  </w:r>
                </w:p>
              </w:tc>
              <w:tc>
                <w:tcPr>
                  <w:tcW w:w="3078" w:type="dxa"/>
                  <w:tcBorders>
                    <w:tl2br w:val="nil"/>
                    <w:tr2bl w:val="nil"/>
                  </w:tcBorders>
                  <w:shd w:val="clear" w:color="auto" w:fill="auto"/>
                  <w:vAlign w:val="center"/>
                </w:tcPr>
                <w:p w14:paraId="54BD89AE">
                  <w:pPr>
                    <w:keepNext w:val="0"/>
                    <w:keepLines w:val="0"/>
                    <w:pageBreakBefore w:val="0"/>
                    <w:widowControl w:val="0"/>
                    <w:kinsoku/>
                    <w:wordWrap/>
                    <w:overflowPunct/>
                    <w:topLinePunct w:val="0"/>
                    <w:autoSpaceDE/>
                    <w:autoSpaceDN/>
                    <w:bidi w:val="0"/>
                    <w:adjustRightInd/>
                    <w:snapToGrid/>
                    <w:spacing w:line="240" w:lineRule="exact"/>
                    <w:ind w:firstLine="320" w:firstLineChars="200"/>
                    <w:jc w:val="left"/>
                    <w:textAlignment w:val="auto"/>
                    <w:rPr>
                      <w:rFonts w:hint="eastAsia" w:ascii="Times New Roman" w:hAnsi="Times New Roman" w:eastAsia="宋体" w:cs="Times New Roman"/>
                      <w:color w:val="auto"/>
                      <w:spacing w:val="-10"/>
                      <w:kern w:val="2"/>
                      <w:sz w:val="18"/>
                      <w:szCs w:val="18"/>
                      <w:lang w:val="en-US" w:eastAsia="zh-CN" w:bidi="ar-SA"/>
                    </w:rPr>
                  </w:pPr>
                  <w:r>
                    <w:rPr>
                      <w:rFonts w:hint="eastAsia" w:ascii="Times New Roman" w:hAnsi="Times New Roman" w:eastAsia="宋体" w:cs="Times New Roman"/>
                      <w:color w:val="auto"/>
                      <w:spacing w:val="-10"/>
                      <w:sz w:val="18"/>
                      <w:szCs w:val="18"/>
                      <w:lang w:val="en-US" w:eastAsia="zh-CN"/>
                    </w:rPr>
                    <w:t>项目设专人负责厂区道路的保洁，实施机械化清扫并及时洒水，有效降尘。</w:t>
                  </w:r>
                </w:p>
              </w:tc>
              <w:tc>
                <w:tcPr>
                  <w:tcW w:w="704" w:type="dxa"/>
                  <w:tcBorders>
                    <w:tl2br w:val="nil"/>
                    <w:tr2bl w:val="nil"/>
                  </w:tcBorders>
                  <w:shd w:val="clear" w:color="auto" w:fill="auto"/>
                  <w:vAlign w:val="center"/>
                </w:tcPr>
                <w:p w14:paraId="48073B16">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Times New Roman" w:hAnsi="Times New Roman" w:eastAsia="宋体" w:cs="Times New Roman"/>
                      <w:color w:val="auto"/>
                      <w:spacing w:val="-10"/>
                      <w:kern w:val="2"/>
                      <w:sz w:val="18"/>
                      <w:szCs w:val="18"/>
                      <w:lang w:val="en-US" w:eastAsia="zh-CN" w:bidi="ar-SA"/>
                    </w:rPr>
                  </w:pPr>
                  <w:r>
                    <w:rPr>
                      <w:rFonts w:hint="eastAsia" w:ascii="Times New Roman" w:hAnsi="Times New Roman" w:eastAsia="宋体" w:cs="Times New Roman"/>
                      <w:color w:val="auto"/>
                      <w:spacing w:val="-10"/>
                      <w:sz w:val="18"/>
                      <w:szCs w:val="18"/>
                      <w:lang w:val="en-US" w:eastAsia="zh-CN"/>
                    </w:rPr>
                    <w:t>符合</w:t>
                  </w:r>
                </w:p>
              </w:tc>
            </w:tr>
            <w:tr w14:paraId="0E97891E">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78" w:hRule="atLeast"/>
              </w:trPr>
              <w:tc>
                <w:tcPr>
                  <w:tcW w:w="569" w:type="dxa"/>
                  <w:vMerge w:val="continue"/>
                  <w:tcBorders>
                    <w:tl2br w:val="nil"/>
                    <w:tr2bl w:val="nil"/>
                  </w:tcBorders>
                  <w:vAlign w:val="center"/>
                </w:tcPr>
                <w:p w14:paraId="616477B9">
                  <w:pPr>
                    <w:spacing w:line="240" w:lineRule="exact"/>
                    <w:jc w:val="center"/>
                    <w:rPr>
                      <w:rFonts w:hint="eastAsia" w:cs="Times New Roman"/>
                      <w:color w:val="auto"/>
                      <w:spacing w:val="-10"/>
                      <w:sz w:val="18"/>
                      <w:szCs w:val="18"/>
                      <w:highlight w:val="none"/>
                      <w:lang w:val="en-US" w:eastAsia="zh-CN"/>
                    </w:rPr>
                  </w:pPr>
                </w:p>
              </w:tc>
              <w:tc>
                <w:tcPr>
                  <w:tcW w:w="1398" w:type="dxa"/>
                  <w:vMerge w:val="continue"/>
                  <w:tcBorders>
                    <w:tl2br w:val="nil"/>
                    <w:tr2bl w:val="nil"/>
                  </w:tcBorders>
                  <w:vAlign w:val="center"/>
                </w:tcPr>
                <w:p w14:paraId="0360CA6E">
                  <w:pPr>
                    <w:spacing w:line="240" w:lineRule="exact"/>
                    <w:jc w:val="center"/>
                    <w:rPr>
                      <w:rFonts w:hint="eastAsia" w:ascii="Times New Roman" w:hAnsi="Times New Roman" w:eastAsia="宋体" w:cs="Times New Roman"/>
                      <w:color w:val="auto"/>
                      <w:spacing w:val="-10"/>
                      <w:sz w:val="18"/>
                      <w:szCs w:val="18"/>
                      <w:lang w:val="en-US" w:eastAsia="zh-CN"/>
                    </w:rPr>
                  </w:pPr>
                </w:p>
              </w:tc>
              <w:tc>
                <w:tcPr>
                  <w:tcW w:w="6201" w:type="dxa"/>
                  <w:tcBorders>
                    <w:tl2br w:val="nil"/>
                    <w:tr2bl w:val="nil"/>
                  </w:tcBorders>
                  <w:shd w:val="clear" w:color="auto" w:fill="auto"/>
                  <w:vAlign w:val="center"/>
                </w:tcPr>
                <w:p w14:paraId="76A789A3">
                  <w:pPr>
                    <w:keepNext w:val="0"/>
                    <w:keepLines w:val="0"/>
                    <w:pageBreakBefore w:val="0"/>
                    <w:widowControl w:val="0"/>
                    <w:kinsoku/>
                    <w:wordWrap/>
                    <w:overflowPunct/>
                    <w:topLinePunct w:val="0"/>
                    <w:autoSpaceDE/>
                    <w:autoSpaceDN/>
                    <w:bidi w:val="0"/>
                    <w:adjustRightInd/>
                    <w:snapToGrid/>
                    <w:spacing w:line="240" w:lineRule="exact"/>
                    <w:ind w:firstLine="320" w:firstLineChars="200"/>
                    <w:jc w:val="left"/>
                    <w:textAlignment w:val="auto"/>
                    <w:rPr>
                      <w:rFonts w:hint="eastAsia" w:ascii="Times New Roman" w:hAnsi="Times New Roman" w:eastAsia="宋体" w:cs="Times New Roman"/>
                      <w:color w:val="auto"/>
                      <w:spacing w:val="-10"/>
                      <w:kern w:val="2"/>
                      <w:sz w:val="18"/>
                      <w:szCs w:val="18"/>
                      <w:lang w:val="en-US" w:eastAsia="zh-CN" w:bidi="ar-SA"/>
                    </w:rPr>
                  </w:pPr>
                  <w:r>
                    <w:rPr>
                      <w:rFonts w:hint="eastAsia" w:ascii="Times New Roman" w:hAnsi="Times New Roman" w:eastAsia="宋体" w:cs="Times New Roman"/>
                      <w:color w:val="auto"/>
                      <w:spacing w:val="-10"/>
                      <w:sz w:val="18"/>
                      <w:szCs w:val="18"/>
                      <w:lang w:val="zh-CN" w:eastAsia="zh-CN"/>
                    </w:rPr>
                    <w:t>加强车辆清洗：重点用车企业，在料棚出入口，厂区重要货运道路出入口建立车辆冲洗装置，车辆出入厂区、驶出料棚必须 经过车身冲洗装置冲洗，严禁车轮带泥上路。</w:t>
                  </w:r>
                </w:p>
              </w:tc>
              <w:tc>
                <w:tcPr>
                  <w:tcW w:w="3078" w:type="dxa"/>
                  <w:tcBorders>
                    <w:tl2br w:val="nil"/>
                    <w:tr2bl w:val="nil"/>
                  </w:tcBorders>
                  <w:shd w:val="clear" w:color="auto" w:fill="auto"/>
                  <w:vAlign w:val="center"/>
                </w:tcPr>
                <w:p w14:paraId="2D75CADB">
                  <w:pPr>
                    <w:keepNext w:val="0"/>
                    <w:keepLines w:val="0"/>
                    <w:pageBreakBefore w:val="0"/>
                    <w:widowControl w:val="0"/>
                    <w:kinsoku/>
                    <w:wordWrap/>
                    <w:overflowPunct/>
                    <w:topLinePunct w:val="0"/>
                    <w:autoSpaceDE/>
                    <w:autoSpaceDN/>
                    <w:bidi w:val="0"/>
                    <w:adjustRightInd/>
                    <w:snapToGrid/>
                    <w:spacing w:line="240" w:lineRule="exact"/>
                    <w:ind w:firstLine="320" w:firstLineChars="200"/>
                    <w:jc w:val="left"/>
                    <w:textAlignment w:val="auto"/>
                    <w:rPr>
                      <w:rFonts w:hint="eastAsia" w:ascii="Times New Roman" w:hAnsi="Times New Roman" w:eastAsia="宋体" w:cs="Times New Roman"/>
                      <w:color w:val="auto"/>
                      <w:spacing w:val="-10"/>
                      <w:kern w:val="2"/>
                      <w:sz w:val="18"/>
                      <w:szCs w:val="18"/>
                      <w:lang w:val="en-US" w:eastAsia="zh-CN" w:bidi="ar-SA"/>
                    </w:rPr>
                  </w:pPr>
                  <w:r>
                    <w:rPr>
                      <w:rFonts w:hint="eastAsia" w:ascii="Times New Roman" w:hAnsi="Times New Roman" w:eastAsia="宋体" w:cs="Times New Roman"/>
                      <w:color w:val="auto"/>
                      <w:spacing w:val="-10"/>
                      <w:sz w:val="18"/>
                      <w:szCs w:val="18"/>
                      <w:lang w:val="en-US" w:eastAsia="zh-CN"/>
                    </w:rPr>
                    <w:t>厂区设有专门的货运出入口，并设冲洗装置，对运输车辆车身进行冲洗，防止</w:t>
                  </w:r>
                  <w:r>
                    <w:rPr>
                      <w:rFonts w:hint="eastAsia" w:ascii="Times New Roman" w:hAnsi="Times New Roman" w:eastAsia="宋体" w:cs="Times New Roman"/>
                      <w:color w:val="auto"/>
                      <w:spacing w:val="-10"/>
                      <w:sz w:val="18"/>
                      <w:szCs w:val="18"/>
                      <w:lang w:val="zh-CN" w:eastAsia="zh-CN"/>
                    </w:rPr>
                    <w:t>车轮带泥上路</w:t>
                  </w:r>
                  <w:r>
                    <w:rPr>
                      <w:rFonts w:hint="eastAsia" w:ascii="Times New Roman" w:hAnsi="Times New Roman" w:eastAsia="宋体" w:cs="Times New Roman"/>
                      <w:color w:val="auto"/>
                      <w:spacing w:val="-10"/>
                      <w:sz w:val="18"/>
                      <w:szCs w:val="18"/>
                      <w:lang w:val="en-US" w:eastAsia="zh-CN"/>
                    </w:rPr>
                    <w:t>。</w:t>
                  </w:r>
                </w:p>
              </w:tc>
              <w:tc>
                <w:tcPr>
                  <w:tcW w:w="704" w:type="dxa"/>
                  <w:tcBorders>
                    <w:tl2br w:val="nil"/>
                    <w:tr2bl w:val="nil"/>
                  </w:tcBorders>
                  <w:shd w:val="clear" w:color="auto" w:fill="auto"/>
                  <w:vAlign w:val="center"/>
                </w:tcPr>
                <w:p w14:paraId="0FAF5DE7">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Times New Roman" w:hAnsi="Times New Roman" w:eastAsia="宋体" w:cs="Times New Roman"/>
                      <w:color w:val="auto"/>
                      <w:spacing w:val="-10"/>
                      <w:kern w:val="2"/>
                      <w:sz w:val="18"/>
                      <w:szCs w:val="18"/>
                      <w:lang w:val="en-US" w:eastAsia="zh-CN" w:bidi="ar-SA"/>
                    </w:rPr>
                  </w:pPr>
                  <w:r>
                    <w:rPr>
                      <w:rFonts w:hint="eastAsia" w:ascii="Times New Roman" w:hAnsi="Times New Roman" w:eastAsia="宋体" w:cs="Times New Roman"/>
                      <w:color w:val="auto"/>
                      <w:spacing w:val="-10"/>
                      <w:sz w:val="18"/>
                      <w:szCs w:val="18"/>
                      <w:lang w:eastAsia="zh-CN"/>
                    </w:rPr>
                    <w:t>符合</w:t>
                  </w:r>
                </w:p>
              </w:tc>
            </w:tr>
            <w:tr w14:paraId="76E4D9E3">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78" w:hRule="atLeast"/>
              </w:trPr>
              <w:tc>
                <w:tcPr>
                  <w:tcW w:w="569" w:type="dxa"/>
                  <w:tcBorders>
                    <w:tl2br w:val="nil"/>
                    <w:tr2bl w:val="nil"/>
                  </w:tcBorders>
                  <w:vAlign w:val="center"/>
                </w:tcPr>
                <w:p w14:paraId="2972FA7D">
                  <w:pPr>
                    <w:spacing w:line="240" w:lineRule="exact"/>
                    <w:jc w:val="center"/>
                    <w:rPr>
                      <w:rFonts w:hint="default" w:ascii="Times New Roman" w:hAnsi="Times New Roman" w:eastAsia="宋体" w:cs="Times New Roman"/>
                      <w:color w:val="auto"/>
                      <w:spacing w:val="-10"/>
                      <w:sz w:val="18"/>
                      <w:szCs w:val="18"/>
                      <w:highlight w:val="none"/>
                      <w:lang w:val="en-US" w:eastAsia="zh-CN"/>
                    </w:rPr>
                  </w:pPr>
                  <w:r>
                    <w:rPr>
                      <w:rFonts w:hint="eastAsia" w:cs="Times New Roman"/>
                      <w:color w:val="auto"/>
                      <w:spacing w:val="-10"/>
                      <w:sz w:val="18"/>
                      <w:szCs w:val="18"/>
                      <w:highlight w:val="none"/>
                      <w:lang w:val="en-US" w:eastAsia="zh-CN"/>
                    </w:rPr>
                    <w:t>11</w:t>
                  </w:r>
                </w:p>
              </w:tc>
              <w:tc>
                <w:tcPr>
                  <w:tcW w:w="1398" w:type="dxa"/>
                  <w:tcBorders>
                    <w:tl2br w:val="nil"/>
                    <w:tr2bl w:val="nil"/>
                  </w:tcBorders>
                  <w:shd w:val="clear" w:color="auto" w:fill="auto"/>
                  <w:vAlign w:val="center"/>
                </w:tcPr>
                <w:p w14:paraId="7CFABA43">
                  <w:pPr>
                    <w:spacing w:line="240" w:lineRule="exact"/>
                    <w:jc w:val="center"/>
                    <w:rPr>
                      <w:rFonts w:hint="eastAsia" w:ascii="Times New Roman" w:hAnsi="Times New Roman" w:eastAsia="宋体" w:cs="Times New Roman"/>
                      <w:color w:val="auto"/>
                      <w:spacing w:val="-10"/>
                      <w:kern w:val="2"/>
                      <w:sz w:val="18"/>
                      <w:szCs w:val="18"/>
                      <w:lang w:val="en-US" w:eastAsia="zh-CN" w:bidi="ar-SA"/>
                    </w:rPr>
                  </w:pPr>
                  <w:r>
                    <w:rPr>
                      <w:rFonts w:hint="eastAsia" w:ascii="Times New Roman" w:hAnsi="Times New Roman" w:eastAsia="宋体" w:cs="Times New Roman"/>
                      <w:color w:val="auto"/>
                      <w:spacing w:val="-10"/>
                      <w:sz w:val="18"/>
                      <w:szCs w:val="18"/>
                      <w:lang w:val="en-US" w:eastAsia="zh-CN"/>
                    </w:rPr>
                    <w:t xml:space="preserve"> 京津冀及周边地区、汾渭平原2023-2024年秋冬季大气污染综合治理攻坚方案（环大气〔</w:t>
                  </w:r>
                  <w:r>
                    <w:rPr>
                      <w:rFonts w:hint="default" w:ascii="Times New Roman" w:hAnsi="Times New Roman" w:eastAsia="宋体" w:cs="Times New Roman"/>
                      <w:color w:val="auto"/>
                      <w:spacing w:val="-10"/>
                      <w:sz w:val="18"/>
                      <w:szCs w:val="18"/>
                      <w:lang w:val="en-US" w:eastAsia="zh-CN"/>
                    </w:rPr>
                    <w:t>2023</w:t>
                  </w:r>
                  <w:r>
                    <w:rPr>
                      <w:rFonts w:hint="eastAsia" w:ascii="Times New Roman" w:hAnsi="Times New Roman" w:eastAsia="宋体" w:cs="Times New Roman"/>
                      <w:color w:val="auto"/>
                      <w:spacing w:val="-10"/>
                      <w:sz w:val="18"/>
                      <w:szCs w:val="18"/>
                      <w:lang w:val="en-US" w:eastAsia="zh-CN"/>
                    </w:rPr>
                    <w:t>〕</w:t>
                  </w:r>
                  <w:r>
                    <w:rPr>
                      <w:rFonts w:hint="default" w:ascii="Times New Roman" w:hAnsi="Times New Roman" w:eastAsia="宋体" w:cs="Times New Roman"/>
                      <w:color w:val="auto"/>
                      <w:spacing w:val="-10"/>
                      <w:sz w:val="18"/>
                      <w:szCs w:val="18"/>
                      <w:lang w:val="en-US" w:eastAsia="zh-CN"/>
                    </w:rPr>
                    <w:t>73</w:t>
                  </w:r>
                  <w:r>
                    <w:rPr>
                      <w:rFonts w:hint="eastAsia" w:ascii="Times New Roman" w:hAnsi="Times New Roman" w:eastAsia="宋体" w:cs="Times New Roman"/>
                      <w:color w:val="auto"/>
                      <w:spacing w:val="-10"/>
                      <w:sz w:val="18"/>
                      <w:szCs w:val="18"/>
                      <w:lang w:val="en-US" w:eastAsia="zh-CN"/>
                    </w:rPr>
                    <w:t>号）</w:t>
                  </w:r>
                </w:p>
              </w:tc>
              <w:tc>
                <w:tcPr>
                  <w:tcW w:w="6201" w:type="dxa"/>
                  <w:tcBorders>
                    <w:tl2br w:val="nil"/>
                    <w:tr2bl w:val="nil"/>
                  </w:tcBorders>
                  <w:shd w:val="clear" w:color="auto" w:fill="auto"/>
                  <w:vAlign w:val="center"/>
                </w:tcPr>
                <w:p w14:paraId="162FD448">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Times New Roman" w:hAnsi="Times New Roman" w:eastAsia="宋体" w:cs="Times New Roman"/>
                      <w:color w:val="auto"/>
                      <w:spacing w:val="-10"/>
                      <w:kern w:val="2"/>
                      <w:sz w:val="18"/>
                      <w:szCs w:val="18"/>
                      <w:lang w:val="en-US" w:eastAsia="zh-CN" w:bidi="ar-SA"/>
                    </w:rPr>
                  </w:pPr>
                  <w:r>
                    <w:rPr>
                      <w:rFonts w:hint="eastAsia" w:ascii="Times New Roman" w:hAnsi="Times New Roman" w:eastAsia="宋体" w:cs="Times New Roman"/>
                      <w:color w:val="auto"/>
                      <w:spacing w:val="-10"/>
                      <w:sz w:val="18"/>
                      <w:szCs w:val="18"/>
                      <w:lang w:val="en-US" w:eastAsia="zh-CN"/>
                    </w:rPr>
                    <w:t>推进老旧高排放车辆淘汰更新。新增或更新的公交、出租、物流配送、 轻型环卫等公共领域车辆中新能源汽车比例不低于80%；加快推进火电、钢铁、水泥等行业重型货车以及铁路货场、物流园区、港口、 机场、工矿企业等场内作业车辆和机械新能源化。严格执行机动车报废有关规定，依法加快推进国三及以下排放标准汽车淘汰更新，符合报废标准的车辆按照国家有关规 定送交报废机动车回收企业规范拆解。</w:t>
                  </w:r>
                </w:p>
              </w:tc>
              <w:tc>
                <w:tcPr>
                  <w:tcW w:w="3078" w:type="dxa"/>
                  <w:tcBorders>
                    <w:tl2br w:val="nil"/>
                    <w:tr2bl w:val="nil"/>
                  </w:tcBorders>
                  <w:shd w:val="clear" w:color="auto" w:fill="auto"/>
                  <w:vAlign w:val="center"/>
                </w:tcPr>
                <w:p w14:paraId="2379F485">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Times New Roman" w:hAnsi="Times New Roman" w:eastAsia="宋体" w:cs="Times New Roman"/>
                      <w:color w:val="auto"/>
                      <w:spacing w:val="-10"/>
                      <w:kern w:val="2"/>
                      <w:sz w:val="18"/>
                      <w:szCs w:val="18"/>
                      <w:highlight w:val="none"/>
                      <w:lang w:val="en-US" w:eastAsia="zh-CN" w:bidi="ar-SA"/>
                    </w:rPr>
                  </w:pPr>
                  <w:r>
                    <w:rPr>
                      <w:rFonts w:hint="eastAsia" w:ascii="Times New Roman" w:hAnsi="Times New Roman" w:eastAsia="宋体" w:cs="Times New Roman"/>
                      <w:color w:val="auto"/>
                      <w:spacing w:val="-10"/>
                      <w:sz w:val="18"/>
                      <w:szCs w:val="18"/>
                      <w:highlight w:val="none"/>
                      <w:lang w:val="en-US" w:eastAsia="zh-CN"/>
                    </w:rPr>
                    <w:t>企业物料公路运输全部使用国六及以上排放标准重型载 货车辆或新能源车辆；危废运输全部使用国五及以上排放标准或新能源车辆。厂内装载机全部使用国四排放标准机械且 进行环保登记备案管理，防止尾气超标污染。</w:t>
                  </w:r>
                </w:p>
              </w:tc>
              <w:tc>
                <w:tcPr>
                  <w:tcW w:w="704" w:type="dxa"/>
                  <w:tcBorders>
                    <w:tl2br w:val="nil"/>
                    <w:tr2bl w:val="nil"/>
                  </w:tcBorders>
                  <w:shd w:val="clear" w:color="auto" w:fill="auto"/>
                  <w:vAlign w:val="center"/>
                </w:tcPr>
                <w:p w14:paraId="26689443">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Times New Roman" w:hAnsi="Times New Roman" w:eastAsia="宋体" w:cs="Times New Roman"/>
                      <w:color w:val="auto"/>
                      <w:spacing w:val="-10"/>
                      <w:kern w:val="2"/>
                      <w:sz w:val="18"/>
                      <w:szCs w:val="18"/>
                      <w:highlight w:val="none"/>
                      <w:lang w:val="en-US" w:eastAsia="zh-CN" w:bidi="ar-SA"/>
                    </w:rPr>
                  </w:pPr>
                  <w:r>
                    <w:rPr>
                      <w:rFonts w:hint="eastAsia" w:ascii="Times New Roman" w:hAnsi="Times New Roman" w:eastAsia="宋体" w:cs="Times New Roman"/>
                      <w:color w:val="auto"/>
                      <w:spacing w:val="-10"/>
                      <w:sz w:val="18"/>
                      <w:szCs w:val="18"/>
                      <w:highlight w:val="none"/>
                      <w:lang w:val="en-US" w:eastAsia="zh-CN"/>
                    </w:rPr>
                    <w:t>符合</w:t>
                  </w:r>
                </w:p>
              </w:tc>
            </w:tr>
            <w:tr w14:paraId="307DBE56">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78" w:hRule="atLeast"/>
              </w:trPr>
              <w:tc>
                <w:tcPr>
                  <w:tcW w:w="569" w:type="dxa"/>
                  <w:tcBorders>
                    <w:tl2br w:val="nil"/>
                    <w:tr2bl w:val="nil"/>
                  </w:tcBorders>
                  <w:vAlign w:val="center"/>
                </w:tcPr>
                <w:p w14:paraId="4EB69044">
                  <w:pPr>
                    <w:spacing w:line="240" w:lineRule="exact"/>
                    <w:jc w:val="center"/>
                    <w:rPr>
                      <w:rFonts w:hint="default" w:cs="Times New Roman"/>
                      <w:color w:val="auto"/>
                      <w:spacing w:val="-10"/>
                      <w:sz w:val="18"/>
                      <w:szCs w:val="18"/>
                      <w:highlight w:val="none"/>
                      <w:lang w:val="en-US" w:eastAsia="zh-CN"/>
                    </w:rPr>
                  </w:pPr>
                  <w:r>
                    <w:rPr>
                      <w:rFonts w:hint="eastAsia" w:cs="Times New Roman"/>
                      <w:color w:val="auto"/>
                      <w:spacing w:val="-10"/>
                      <w:sz w:val="18"/>
                      <w:szCs w:val="18"/>
                      <w:highlight w:val="none"/>
                      <w:lang w:val="en-US" w:eastAsia="zh-CN"/>
                    </w:rPr>
                    <w:t>12</w:t>
                  </w:r>
                </w:p>
              </w:tc>
              <w:tc>
                <w:tcPr>
                  <w:tcW w:w="1398" w:type="dxa"/>
                  <w:tcBorders>
                    <w:tl2br w:val="nil"/>
                    <w:tr2bl w:val="nil"/>
                  </w:tcBorders>
                  <w:shd w:val="clear" w:color="auto" w:fill="auto"/>
                  <w:vAlign w:val="center"/>
                </w:tcPr>
                <w:p w14:paraId="722A34D2">
                  <w:pPr>
                    <w:spacing w:line="240" w:lineRule="exact"/>
                    <w:jc w:val="center"/>
                    <w:rPr>
                      <w:rFonts w:hint="eastAsia" w:ascii="Times New Roman" w:hAnsi="Times New Roman" w:eastAsia="宋体" w:cs="Times New Roman"/>
                      <w:color w:val="auto"/>
                      <w:spacing w:val="-10"/>
                      <w:sz w:val="18"/>
                      <w:szCs w:val="18"/>
                      <w:lang w:val="en-US" w:eastAsia="zh-CN"/>
                    </w:rPr>
                  </w:pPr>
                  <w:r>
                    <w:rPr>
                      <w:rFonts w:hint="eastAsia" w:ascii="Times New Roman" w:hAnsi="Times New Roman" w:eastAsia="宋体" w:cs="Times New Roman"/>
                      <w:color w:val="auto"/>
                      <w:spacing w:val="-10"/>
                      <w:sz w:val="18"/>
                      <w:szCs w:val="18"/>
                      <w:lang w:val="en-US" w:eastAsia="zh-CN"/>
                    </w:rPr>
                    <w:t>《国家工业资源综合利用先进适用工艺技术设备目录（2025年版）》</w:t>
                  </w:r>
                </w:p>
              </w:tc>
              <w:tc>
                <w:tcPr>
                  <w:tcW w:w="6201" w:type="dxa"/>
                  <w:tcBorders>
                    <w:tl2br w:val="nil"/>
                    <w:tr2bl w:val="nil"/>
                  </w:tcBorders>
                  <w:shd w:val="clear" w:color="auto" w:fill="auto"/>
                  <w:vAlign w:val="center"/>
                </w:tcPr>
                <w:p w14:paraId="73B9EEC7">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Times New Roman" w:hAnsi="Times New Roman" w:eastAsia="宋体" w:cs="Times New Roman"/>
                      <w:color w:val="auto"/>
                      <w:spacing w:val="-10"/>
                      <w:sz w:val="18"/>
                      <w:szCs w:val="18"/>
                      <w:lang w:val="en-US" w:eastAsia="zh-CN"/>
                    </w:rPr>
                  </w:pPr>
                  <w:r>
                    <w:rPr>
                      <w:rFonts w:hint="eastAsia" w:cs="Times New Roman"/>
                      <w:color w:val="auto"/>
                      <w:spacing w:val="-10"/>
                      <w:sz w:val="18"/>
                      <w:szCs w:val="18"/>
                      <w:lang w:val="en-US" w:eastAsia="zh-CN"/>
                    </w:rPr>
                    <w:t>（三）</w:t>
                  </w:r>
                  <w:r>
                    <w:rPr>
                      <w:rFonts w:hint="eastAsia" w:ascii="Times New Roman" w:hAnsi="Times New Roman" w:eastAsia="宋体" w:cs="Times New Roman"/>
                      <w:color w:val="auto"/>
                      <w:spacing w:val="-10"/>
                      <w:sz w:val="18"/>
                      <w:szCs w:val="18"/>
                      <w:lang w:val="en-US" w:eastAsia="zh-CN"/>
                    </w:rPr>
                    <w:t>再生资源回收利用</w:t>
                  </w:r>
                </w:p>
                <w:p w14:paraId="5522FC2B">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Times New Roman" w:hAnsi="Times New Roman" w:eastAsia="宋体" w:cs="Times New Roman"/>
                      <w:color w:val="auto"/>
                      <w:spacing w:val="-10"/>
                      <w:sz w:val="18"/>
                      <w:szCs w:val="18"/>
                      <w:lang w:val="en-US" w:eastAsia="zh-CN"/>
                    </w:rPr>
                  </w:pPr>
                  <w:r>
                    <w:rPr>
                      <w:rFonts w:hint="eastAsia" w:ascii="Times New Roman" w:hAnsi="Times New Roman" w:eastAsia="宋体" w:cs="Times New Roman"/>
                      <w:color w:val="auto"/>
                      <w:spacing w:val="-10"/>
                      <w:sz w:val="18"/>
                      <w:szCs w:val="18"/>
                      <w:lang w:val="en-US" w:eastAsia="zh-CN"/>
                    </w:rPr>
                    <w:t>19</w:t>
                  </w:r>
                  <w:r>
                    <w:rPr>
                      <w:rFonts w:hint="eastAsia" w:cs="Times New Roman"/>
                      <w:color w:val="auto"/>
                      <w:spacing w:val="-10"/>
                      <w:sz w:val="18"/>
                      <w:szCs w:val="18"/>
                      <w:lang w:val="en-US" w:eastAsia="zh-CN"/>
                    </w:rPr>
                    <w:t>.</w:t>
                  </w:r>
                  <w:r>
                    <w:rPr>
                      <w:rFonts w:hint="eastAsia" w:ascii="Times New Roman" w:hAnsi="Times New Roman" w:eastAsia="宋体" w:cs="Times New Roman"/>
                      <w:color w:val="auto"/>
                      <w:spacing w:val="-10"/>
                      <w:sz w:val="18"/>
                      <w:szCs w:val="18"/>
                      <w:lang w:val="en-US" w:eastAsia="zh-CN"/>
                    </w:rPr>
                    <w:t>涡电流分选机</w:t>
                  </w:r>
                </w:p>
                <w:p w14:paraId="3FD44D76">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default" w:cs="Times New Roman"/>
                      <w:color w:val="auto"/>
                      <w:spacing w:val="-10"/>
                      <w:sz w:val="18"/>
                      <w:szCs w:val="18"/>
                      <w:lang w:val="en-US" w:eastAsia="zh-CN"/>
                    </w:rPr>
                  </w:pPr>
                  <w:r>
                    <w:rPr>
                      <w:rFonts w:hint="eastAsia" w:ascii="Times New Roman" w:hAnsi="Times New Roman" w:eastAsia="宋体" w:cs="Times New Roman"/>
                      <w:color w:val="auto"/>
                      <w:spacing w:val="-10"/>
                      <w:sz w:val="18"/>
                      <w:szCs w:val="18"/>
                      <w:lang w:val="en-US" w:eastAsia="zh-CN"/>
                    </w:rPr>
                    <w:t>该设备通过高磁场强度和高磁辊转速，从而实现 再生铝的高回收率。工作区的磁场强度达到5000Gs</w:t>
                  </w:r>
                  <w:r>
                    <w:rPr>
                      <w:rFonts w:hint="default" w:ascii="Times New Roman" w:hAnsi="Times New Roman" w:eastAsia="宋体" w:cs="Times New Roman"/>
                      <w:color w:val="auto"/>
                      <w:spacing w:val="-10"/>
                      <w:sz w:val="18"/>
                      <w:szCs w:val="18"/>
                      <w:lang w:val="en-US" w:eastAsia="zh-CN"/>
                    </w:rPr>
                    <w:t>：使用无孔磁块替代传统的有孔磁块，磁场强度提高1400Gs；同时提高分选面积15%；磁辊转速达到4000转每分钟：通过用碳纤维丝 缠绕可靠固定磁块，使磁辊转速从3000提高到4000转每分钟。圆周方向磁极数量40极，单位时间内磁频率增加，提高分选率。</w:t>
                  </w:r>
                </w:p>
              </w:tc>
              <w:tc>
                <w:tcPr>
                  <w:tcW w:w="3078" w:type="dxa"/>
                  <w:tcBorders>
                    <w:tl2br w:val="nil"/>
                    <w:tr2bl w:val="nil"/>
                  </w:tcBorders>
                  <w:shd w:val="clear" w:color="auto" w:fill="auto"/>
                  <w:vAlign w:val="center"/>
                </w:tcPr>
                <w:p w14:paraId="17F93183">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default" w:ascii="Times New Roman" w:hAnsi="Times New Roman" w:eastAsia="宋体" w:cs="Times New Roman"/>
                      <w:color w:val="auto"/>
                      <w:spacing w:val="-10"/>
                      <w:sz w:val="18"/>
                      <w:szCs w:val="18"/>
                      <w:highlight w:val="none"/>
                      <w:lang w:val="en-US" w:eastAsia="zh-CN"/>
                    </w:rPr>
                  </w:pPr>
                  <w:r>
                    <w:rPr>
                      <w:rFonts w:hint="eastAsia" w:cs="Times New Roman"/>
                      <w:color w:val="auto"/>
                      <w:spacing w:val="-10"/>
                      <w:sz w:val="18"/>
                      <w:szCs w:val="18"/>
                      <w:highlight w:val="none"/>
                      <w:lang w:val="en-US" w:eastAsia="zh-CN"/>
                    </w:rPr>
                    <w:t>本项目采用涡电流</w:t>
                  </w:r>
                  <w:r>
                    <w:rPr>
                      <w:rFonts w:hint="eastAsia" w:ascii="Times New Roman" w:hAnsi="Times New Roman" w:eastAsia="宋体" w:cs="Times New Roman"/>
                      <w:color w:val="auto"/>
                      <w:spacing w:val="-10"/>
                      <w:sz w:val="18"/>
                      <w:szCs w:val="18"/>
                      <w:lang w:val="en-US" w:eastAsia="zh-CN"/>
                    </w:rPr>
                    <w:t>分选机</w:t>
                  </w:r>
                  <w:r>
                    <w:rPr>
                      <w:rFonts w:hint="eastAsia" w:cs="Times New Roman"/>
                      <w:color w:val="auto"/>
                      <w:spacing w:val="-10"/>
                      <w:sz w:val="18"/>
                      <w:szCs w:val="18"/>
                      <w:lang w:val="en-US" w:eastAsia="zh-CN"/>
                    </w:rPr>
                    <w:t>分选有色金属</w:t>
                  </w:r>
                </w:p>
              </w:tc>
              <w:tc>
                <w:tcPr>
                  <w:tcW w:w="704" w:type="dxa"/>
                  <w:tcBorders>
                    <w:tl2br w:val="nil"/>
                    <w:tr2bl w:val="nil"/>
                  </w:tcBorders>
                  <w:shd w:val="clear" w:color="auto" w:fill="auto"/>
                  <w:vAlign w:val="center"/>
                </w:tcPr>
                <w:p w14:paraId="34E85A0C">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Times New Roman" w:hAnsi="Times New Roman" w:eastAsia="宋体" w:cs="Times New Roman"/>
                      <w:color w:val="auto"/>
                      <w:spacing w:val="-10"/>
                      <w:sz w:val="18"/>
                      <w:szCs w:val="18"/>
                      <w:highlight w:val="none"/>
                      <w:lang w:val="en-US" w:eastAsia="zh-CN"/>
                    </w:rPr>
                  </w:pPr>
                  <w:r>
                    <w:rPr>
                      <w:rFonts w:hint="eastAsia" w:ascii="Times New Roman" w:hAnsi="Times New Roman" w:eastAsia="宋体" w:cs="Times New Roman"/>
                      <w:color w:val="auto"/>
                      <w:spacing w:val="-10"/>
                      <w:sz w:val="18"/>
                      <w:szCs w:val="18"/>
                      <w:highlight w:val="none"/>
                      <w:lang w:val="en-US" w:eastAsia="zh-CN"/>
                    </w:rPr>
                    <w:t>符合</w:t>
                  </w:r>
                </w:p>
              </w:tc>
            </w:tr>
          </w:tbl>
          <w:p w14:paraId="25B0CE85">
            <w:pPr>
              <w:rPr>
                <w:color w:val="auto"/>
              </w:rPr>
            </w:pPr>
          </w:p>
          <w:p w14:paraId="7F0E26B9">
            <w:pPr>
              <w:rPr>
                <w:color w:val="auto"/>
              </w:rPr>
            </w:pPr>
          </w:p>
          <w:p w14:paraId="7A2F7BDB">
            <w:pPr>
              <w:rPr>
                <w:color w:val="auto"/>
              </w:rPr>
            </w:pPr>
          </w:p>
          <w:p w14:paraId="163D645F">
            <w:pPr>
              <w:rPr>
                <w:color w:val="auto"/>
              </w:rPr>
            </w:pPr>
          </w:p>
          <w:p w14:paraId="0DA3BDA3">
            <w:pPr>
              <w:rPr>
                <w:color w:val="auto"/>
              </w:rPr>
            </w:pPr>
          </w:p>
          <w:p w14:paraId="131A4E77">
            <w:pPr>
              <w:rPr>
                <w:color w:val="auto"/>
              </w:rPr>
            </w:pPr>
          </w:p>
          <w:p w14:paraId="61F1AD65">
            <w:pPr>
              <w:rPr>
                <w:color w:val="auto"/>
              </w:rPr>
            </w:pPr>
          </w:p>
          <w:p w14:paraId="5BCA39F6">
            <w:pPr>
              <w:rPr>
                <w:color w:val="auto"/>
              </w:rPr>
            </w:pPr>
          </w:p>
          <w:p w14:paraId="377B2220">
            <w:pPr>
              <w:pStyle w:val="24"/>
              <w:adjustRightInd w:val="0"/>
              <w:snapToGrid w:val="0"/>
              <w:spacing w:before="0" w:beforeAutospacing="0" w:after="0" w:afterAutospacing="0" w:line="440" w:lineRule="exact"/>
              <w:jc w:val="center"/>
              <w:rPr>
                <w:rFonts w:hint="default" w:ascii="Times New Roman" w:hAnsi="Times New Roman" w:eastAsia="宋体"/>
                <w:b/>
                <w:color w:val="auto"/>
                <w:sz w:val="21"/>
                <w:szCs w:val="21"/>
                <w:highlight w:val="none"/>
                <w:lang w:val="en-US" w:eastAsia="zh-CN"/>
              </w:rPr>
            </w:pPr>
            <w:r>
              <w:rPr>
                <w:rFonts w:hint="eastAsia" w:ascii="Times New Roman" w:hAnsi="Times New Roman"/>
                <w:b/>
                <w:color w:val="auto"/>
                <w:sz w:val="21"/>
                <w:szCs w:val="21"/>
                <w:highlight w:val="none"/>
                <w:lang w:val="en-US" w:eastAsia="zh-CN"/>
              </w:rPr>
              <w:t>续</w:t>
            </w:r>
            <w:r>
              <w:rPr>
                <w:rFonts w:ascii="Times New Roman" w:hAnsi="Times New Roman"/>
                <w:b/>
                <w:color w:val="auto"/>
                <w:sz w:val="21"/>
                <w:szCs w:val="21"/>
                <w:highlight w:val="none"/>
              </w:rPr>
              <w:t>表</w:t>
            </w:r>
            <w:r>
              <w:rPr>
                <w:rFonts w:hint="eastAsia" w:ascii="Times New Roman" w:hAnsi="Times New Roman"/>
                <w:b/>
                <w:color w:val="auto"/>
                <w:sz w:val="21"/>
                <w:szCs w:val="21"/>
                <w:highlight w:val="none"/>
                <w:lang w:val="en-US" w:eastAsia="zh-CN"/>
              </w:rPr>
              <w:t>4</w:t>
            </w:r>
            <w:r>
              <w:rPr>
                <w:rFonts w:hint="eastAsia" w:ascii="Times New Roman" w:hAnsi="Times New Roman"/>
                <w:b/>
                <w:color w:val="auto"/>
                <w:sz w:val="21"/>
                <w:szCs w:val="21"/>
                <w:highlight w:val="none"/>
              </w:rPr>
              <w:t xml:space="preserve">  </w:t>
            </w:r>
            <w:r>
              <w:rPr>
                <w:rFonts w:hint="eastAsia" w:ascii="Times New Roman" w:hAnsi="Times New Roman"/>
                <w:b/>
                <w:color w:val="auto"/>
                <w:sz w:val="21"/>
                <w:szCs w:val="21"/>
                <w:highlight w:val="none"/>
                <w:lang w:val="en-US" w:eastAsia="zh-CN"/>
              </w:rPr>
              <w:t>本</w:t>
            </w:r>
            <w:r>
              <w:rPr>
                <w:rFonts w:hint="eastAsia" w:ascii="Times New Roman" w:hAnsi="Times New Roman"/>
                <w:b/>
                <w:color w:val="auto"/>
                <w:sz w:val="21"/>
                <w:szCs w:val="21"/>
                <w:highlight w:val="none"/>
              </w:rPr>
              <w:t>项目与</w:t>
            </w:r>
            <w:r>
              <w:rPr>
                <w:rFonts w:hint="eastAsia" w:ascii="Times New Roman" w:hAnsi="Times New Roman"/>
                <w:b/>
                <w:color w:val="auto"/>
                <w:sz w:val="21"/>
                <w:szCs w:val="21"/>
                <w:highlight w:val="none"/>
                <w:lang w:val="en-US" w:eastAsia="zh-CN"/>
              </w:rPr>
              <w:t>相关文件的</w:t>
            </w:r>
            <w:r>
              <w:rPr>
                <w:rFonts w:ascii="Times New Roman" w:hAnsi="Times New Roman"/>
                <w:b/>
                <w:color w:val="auto"/>
                <w:sz w:val="21"/>
                <w:szCs w:val="21"/>
                <w:highlight w:val="none"/>
              </w:rPr>
              <w:t>符合性</w:t>
            </w:r>
            <w:r>
              <w:rPr>
                <w:rFonts w:hint="eastAsia" w:ascii="Times New Roman" w:hAnsi="Times New Roman"/>
                <w:b/>
                <w:color w:val="auto"/>
                <w:sz w:val="21"/>
                <w:szCs w:val="21"/>
                <w:highlight w:val="none"/>
                <w:lang w:val="en-US" w:eastAsia="zh-CN"/>
              </w:rPr>
              <w:t>分析一览表</w:t>
            </w:r>
          </w:p>
          <w:tbl>
            <w:tblPr>
              <w:tblStyle w:val="28"/>
              <w:tblW w:w="11950" w:type="dxa"/>
              <w:tblInd w:w="0" w:type="dxa"/>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
            <w:tblGrid>
              <w:gridCol w:w="569"/>
              <w:gridCol w:w="1398"/>
              <w:gridCol w:w="914"/>
              <w:gridCol w:w="5481"/>
              <w:gridCol w:w="2884"/>
              <w:gridCol w:w="704"/>
            </w:tblGrid>
            <w:tr w14:paraId="210CD191">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exact"/>
              </w:trPr>
              <w:tc>
                <w:tcPr>
                  <w:tcW w:w="569" w:type="dxa"/>
                  <w:tcBorders>
                    <w:tl2br w:val="nil"/>
                    <w:tr2bl w:val="nil"/>
                  </w:tcBorders>
                  <w:vAlign w:val="center"/>
                </w:tcPr>
                <w:p w14:paraId="690E15C1">
                  <w:pPr>
                    <w:spacing w:line="240" w:lineRule="exact"/>
                    <w:jc w:val="center"/>
                    <w:rPr>
                      <w:color w:val="auto"/>
                      <w:spacing w:val="-10"/>
                      <w:sz w:val="18"/>
                      <w:szCs w:val="18"/>
                      <w:highlight w:val="none"/>
                    </w:rPr>
                  </w:pPr>
                  <w:r>
                    <w:rPr>
                      <w:rFonts w:hint="eastAsia"/>
                      <w:color w:val="auto"/>
                      <w:spacing w:val="-10"/>
                      <w:sz w:val="18"/>
                      <w:szCs w:val="18"/>
                      <w:highlight w:val="none"/>
                    </w:rPr>
                    <w:t>序号</w:t>
                  </w:r>
                </w:p>
              </w:tc>
              <w:tc>
                <w:tcPr>
                  <w:tcW w:w="7793" w:type="dxa"/>
                  <w:gridSpan w:val="3"/>
                  <w:tcBorders>
                    <w:tl2br w:val="nil"/>
                    <w:tr2bl w:val="nil"/>
                  </w:tcBorders>
                  <w:vAlign w:val="center"/>
                </w:tcPr>
                <w:p w14:paraId="4460A9DB">
                  <w:pPr>
                    <w:spacing w:line="240" w:lineRule="exact"/>
                    <w:jc w:val="center"/>
                    <w:rPr>
                      <w:color w:val="auto"/>
                      <w:spacing w:val="-10"/>
                      <w:sz w:val="18"/>
                      <w:szCs w:val="18"/>
                      <w:highlight w:val="none"/>
                    </w:rPr>
                  </w:pPr>
                  <w:r>
                    <w:rPr>
                      <w:rFonts w:hint="eastAsia"/>
                      <w:color w:val="auto"/>
                      <w:spacing w:val="-10"/>
                      <w:sz w:val="18"/>
                      <w:szCs w:val="18"/>
                      <w:highlight w:val="none"/>
                    </w:rPr>
                    <w:t>政策要求</w:t>
                  </w:r>
                </w:p>
              </w:tc>
              <w:tc>
                <w:tcPr>
                  <w:tcW w:w="2884" w:type="dxa"/>
                  <w:tcBorders>
                    <w:tl2br w:val="nil"/>
                    <w:tr2bl w:val="nil"/>
                  </w:tcBorders>
                  <w:vAlign w:val="center"/>
                </w:tcPr>
                <w:p w14:paraId="02532BD4">
                  <w:pPr>
                    <w:spacing w:line="240" w:lineRule="exact"/>
                    <w:jc w:val="center"/>
                    <w:rPr>
                      <w:color w:val="auto"/>
                      <w:spacing w:val="-10"/>
                      <w:sz w:val="18"/>
                      <w:szCs w:val="18"/>
                      <w:highlight w:val="none"/>
                    </w:rPr>
                  </w:pPr>
                  <w:r>
                    <w:rPr>
                      <w:rFonts w:hint="eastAsia"/>
                      <w:color w:val="auto"/>
                      <w:spacing w:val="-10"/>
                      <w:sz w:val="18"/>
                      <w:szCs w:val="18"/>
                      <w:highlight w:val="none"/>
                    </w:rPr>
                    <w:t>本项目实际</w:t>
                  </w:r>
                </w:p>
              </w:tc>
              <w:tc>
                <w:tcPr>
                  <w:tcW w:w="704" w:type="dxa"/>
                  <w:tcBorders>
                    <w:tl2br w:val="nil"/>
                    <w:tr2bl w:val="nil"/>
                  </w:tcBorders>
                  <w:vAlign w:val="center"/>
                </w:tcPr>
                <w:p w14:paraId="53444CB0">
                  <w:pPr>
                    <w:jc w:val="center"/>
                    <w:rPr>
                      <w:color w:val="auto"/>
                      <w:spacing w:val="-10"/>
                      <w:sz w:val="18"/>
                      <w:szCs w:val="18"/>
                      <w:highlight w:val="none"/>
                    </w:rPr>
                  </w:pPr>
                  <w:r>
                    <w:rPr>
                      <w:rFonts w:hint="eastAsia"/>
                      <w:color w:val="auto"/>
                      <w:spacing w:val="-10"/>
                      <w:sz w:val="18"/>
                      <w:szCs w:val="18"/>
                      <w:highlight w:val="none"/>
                    </w:rPr>
                    <w:t>符合性</w:t>
                  </w:r>
                </w:p>
              </w:tc>
            </w:tr>
            <w:tr w14:paraId="7D781246">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78" w:hRule="atLeast"/>
              </w:trPr>
              <w:tc>
                <w:tcPr>
                  <w:tcW w:w="569" w:type="dxa"/>
                  <w:vMerge w:val="restart"/>
                  <w:tcBorders>
                    <w:tl2br w:val="nil"/>
                    <w:tr2bl w:val="nil"/>
                  </w:tcBorders>
                  <w:vAlign w:val="center"/>
                </w:tcPr>
                <w:p w14:paraId="35E0C6D7">
                  <w:pPr>
                    <w:spacing w:line="240" w:lineRule="exact"/>
                    <w:jc w:val="center"/>
                    <w:rPr>
                      <w:rFonts w:hint="default" w:cs="Times New Roman"/>
                      <w:color w:val="auto"/>
                      <w:spacing w:val="-10"/>
                      <w:sz w:val="18"/>
                      <w:szCs w:val="18"/>
                      <w:highlight w:val="none"/>
                      <w:lang w:val="en-US" w:eastAsia="zh-CN"/>
                    </w:rPr>
                  </w:pPr>
                  <w:r>
                    <w:rPr>
                      <w:rFonts w:hint="eastAsia" w:cs="Times New Roman"/>
                      <w:color w:val="auto"/>
                      <w:spacing w:val="-10"/>
                      <w:sz w:val="18"/>
                      <w:szCs w:val="18"/>
                      <w:highlight w:val="none"/>
                      <w:lang w:val="en-US" w:eastAsia="zh-CN"/>
                    </w:rPr>
                    <w:t>13</w:t>
                  </w:r>
                </w:p>
              </w:tc>
              <w:tc>
                <w:tcPr>
                  <w:tcW w:w="1398" w:type="dxa"/>
                  <w:vMerge w:val="restart"/>
                  <w:tcBorders>
                    <w:tl2br w:val="nil"/>
                    <w:tr2bl w:val="nil"/>
                  </w:tcBorders>
                  <w:shd w:val="clear" w:color="auto" w:fill="auto"/>
                  <w:vAlign w:val="center"/>
                </w:tcPr>
                <w:p w14:paraId="396754CD">
                  <w:pPr>
                    <w:spacing w:line="240" w:lineRule="exact"/>
                    <w:jc w:val="center"/>
                    <w:rPr>
                      <w:rFonts w:hint="eastAsia" w:ascii="Times New Roman" w:hAnsi="Times New Roman" w:eastAsia="宋体" w:cs="Times New Roman"/>
                      <w:color w:val="auto"/>
                      <w:spacing w:val="-10"/>
                      <w:sz w:val="18"/>
                      <w:szCs w:val="18"/>
                      <w:lang w:val="en-US" w:eastAsia="zh-CN"/>
                    </w:rPr>
                  </w:pPr>
                  <w:r>
                    <w:rPr>
                      <w:rFonts w:hint="eastAsia" w:ascii="Times New Roman" w:hAnsi="Times New Roman" w:eastAsia="宋体" w:cs="Times New Roman"/>
                      <w:color w:val="auto"/>
                      <w:spacing w:val="-10"/>
                      <w:sz w:val="18"/>
                      <w:szCs w:val="18"/>
                      <w:lang w:val="en-US" w:eastAsia="zh-CN"/>
                    </w:rPr>
                    <w:t>《废塑料污染控制技术规范》（HJ 364-</w:t>
                  </w:r>
                  <w:r>
                    <w:rPr>
                      <w:rFonts w:hint="default" w:ascii="Times New Roman" w:hAnsi="Times New Roman" w:eastAsia="宋体" w:cs="Times New Roman"/>
                      <w:color w:val="auto"/>
                      <w:spacing w:val="-10"/>
                      <w:sz w:val="18"/>
                      <w:szCs w:val="18"/>
                      <w:lang w:val="en-US" w:eastAsia="zh-CN"/>
                    </w:rPr>
                    <w:t>2022</w:t>
                  </w:r>
                  <w:r>
                    <w:rPr>
                      <w:rFonts w:hint="eastAsia" w:ascii="Times New Roman" w:hAnsi="Times New Roman" w:eastAsia="宋体" w:cs="Times New Roman"/>
                      <w:color w:val="auto"/>
                      <w:spacing w:val="-10"/>
                      <w:sz w:val="18"/>
                      <w:szCs w:val="18"/>
                      <w:lang w:val="en-US" w:eastAsia="zh-CN"/>
                    </w:rPr>
                    <w:t>）</w:t>
                  </w:r>
                </w:p>
              </w:tc>
              <w:tc>
                <w:tcPr>
                  <w:tcW w:w="914" w:type="dxa"/>
                  <w:tcBorders>
                    <w:right w:val="single" w:color="auto" w:sz="4" w:space="0"/>
                    <w:tl2br w:val="nil"/>
                    <w:tr2bl w:val="nil"/>
                  </w:tcBorders>
                  <w:shd w:val="clear" w:color="auto" w:fill="auto"/>
                  <w:vAlign w:val="center"/>
                </w:tcPr>
                <w:p w14:paraId="17509863">
                  <w:pPr>
                    <w:spacing w:line="240" w:lineRule="exact"/>
                    <w:jc w:val="center"/>
                    <w:rPr>
                      <w:rFonts w:hint="eastAsia" w:ascii="Times New Roman" w:hAnsi="Times New Roman" w:eastAsia="宋体" w:cs="Times New Roman"/>
                      <w:color w:val="auto"/>
                      <w:spacing w:val="-10"/>
                      <w:sz w:val="18"/>
                      <w:szCs w:val="18"/>
                      <w:lang w:val="en-US" w:eastAsia="zh-CN"/>
                    </w:rPr>
                  </w:pPr>
                  <w:r>
                    <w:rPr>
                      <w:rFonts w:hint="eastAsia" w:ascii="Times New Roman" w:hAnsi="Times New Roman" w:eastAsia="宋体" w:cs="Times New Roman"/>
                      <w:color w:val="auto"/>
                      <w:spacing w:val="-10"/>
                      <w:sz w:val="18"/>
                      <w:szCs w:val="18"/>
                      <w:lang w:val="en-US" w:eastAsia="zh-CN"/>
                    </w:rPr>
                    <w:t>分选要求</w:t>
                  </w:r>
                </w:p>
              </w:tc>
              <w:tc>
                <w:tcPr>
                  <w:tcW w:w="5481" w:type="dxa"/>
                  <w:tcBorders>
                    <w:left w:val="single" w:color="auto" w:sz="4" w:space="0"/>
                    <w:tl2br w:val="nil"/>
                    <w:tr2bl w:val="nil"/>
                  </w:tcBorders>
                  <w:shd w:val="clear" w:color="auto" w:fill="auto"/>
                  <w:vAlign w:val="center"/>
                </w:tcPr>
                <w:p w14:paraId="5EFD0BBB">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Times New Roman" w:hAnsi="Times New Roman" w:eastAsia="宋体" w:cs="Times New Roman"/>
                      <w:color w:val="auto"/>
                      <w:spacing w:val="-10"/>
                      <w:sz w:val="18"/>
                      <w:szCs w:val="18"/>
                      <w:lang w:val="en-US" w:eastAsia="zh-CN"/>
                    </w:rPr>
                  </w:pPr>
                  <w:r>
                    <w:rPr>
                      <w:rFonts w:hint="eastAsia" w:ascii="Times New Roman" w:hAnsi="Times New Roman" w:eastAsia="宋体" w:cs="Times New Roman"/>
                      <w:color w:val="auto"/>
                      <w:spacing w:val="-10"/>
                      <w:sz w:val="18"/>
                      <w:szCs w:val="18"/>
                      <w:lang w:val="en-US" w:eastAsia="zh-CN"/>
                    </w:rPr>
                    <w:t xml:space="preserve">1.应采用预分选工艺，将废塑料与其他废物分开，提高下游自动化分选的效率。 </w:t>
                  </w:r>
                </w:p>
                <w:p w14:paraId="4B4616C0">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Times New Roman" w:hAnsi="Times New Roman" w:eastAsia="宋体" w:cs="Times New Roman"/>
                      <w:color w:val="auto"/>
                      <w:spacing w:val="-10"/>
                      <w:sz w:val="18"/>
                      <w:szCs w:val="18"/>
                      <w:lang w:val="en-US" w:eastAsia="zh-CN"/>
                    </w:rPr>
                  </w:pPr>
                  <w:r>
                    <w:rPr>
                      <w:rFonts w:hint="eastAsia" w:ascii="Times New Roman" w:hAnsi="Times New Roman" w:eastAsia="宋体" w:cs="Times New Roman"/>
                      <w:color w:val="auto"/>
                      <w:spacing w:val="-10"/>
                      <w:sz w:val="18"/>
                      <w:szCs w:val="18"/>
                      <w:lang w:val="en-US" w:eastAsia="zh-CN"/>
                    </w:rPr>
                    <w:t>2.废塑料分选应遵循稳定、二次污染可控的原则，根据废塑料特性，宜采用气流分选、静电分选、 X 射线荧光分选、近红外分选、熔融过滤分选、低温破碎分选及其他新型的自动化分选等单一或集成化分选技术</w:t>
                  </w:r>
                </w:p>
              </w:tc>
              <w:tc>
                <w:tcPr>
                  <w:tcW w:w="2884" w:type="dxa"/>
                  <w:vMerge w:val="restart"/>
                  <w:tcBorders>
                    <w:tl2br w:val="nil"/>
                    <w:tr2bl w:val="nil"/>
                  </w:tcBorders>
                  <w:shd w:val="clear" w:color="auto" w:fill="auto"/>
                  <w:vAlign w:val="center"/>
                </w:tcPr>
                <w:p w14:paraId="77BB0F71">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default" w:cs="Times New Roman"/>
                      <w:color w:val="auto"/>
                      <w:spacing w:val="-10"/>
                      <w:sz w:val="18"/>
                      <w:szCs w:val="18"/>
                      <w:highlight w:val="none"/>
                      <w:lang w:val="en-US" w:eastAsia="zh-CN"/>
                    </w:rPr>
                  </w:pPr>
                  <w:r>
                    <w:rPr>
                      <w:rFonts w:hint="eastAsia" w:cs="Times New Roman"/>
                      <w:color w:val="auto"/>
                      <w:spacing w:val="-10"/>
                      <w:sz w:val="18"/>
                      <w:szCs w:val="18"/>
                      <w:highlight w:val="none"/>
                      <w:lang w:val="en-US" w:eastAsia="zh-CN"/>
                    </w:rPr>
                    <w:t>本项目采用滚筛等工艺进行预处理，采用气流分选工艺分选塑料，采用湿法破碎，漂洗采用工业盐，不使用</w:t>
                  </w:r>
                  <w:r>
                    <w:rPr>
                      <w:rFonts w:hint="eastAsia" w:ascii="Times New Roman" w:hAnsi="Times New Roman" w:eastAsia="宋体" w:cs="Times New Roman"/>
                      <w:color w:val="auto"/>
                      <w:spacing w:val="-10"/>
                      <w:sz w:val="18"/>
                      <w:szCs w:val="18"/>
                      <w:lang w:val="en-US" w:eastAsia="zh-CN"/>
                    </w:rPr>
                    <w:t>有毒有害的清洗剂</w:t>
                  </w:r>
                  <w:r>
                    <w:rPr>
                      <w:rFonts w:hint="eastAsia" w:cs="Times New Roman"/>
                      <w:color w:val="auto"/>
                      <w:spacing w:val="-10"/>
                      <w:sz w:val="18"/>
                      <w:szCs w:val="18"/>
                      <w:highlight w:val="none"/>
                      <w:lang w:val="en-US" w:eastAsia="zh-CN"/>
                    </w:rPr>
                    <w:t>，并配套污水收集及处理设施，废水经处理后回用于生产</w:t>
                  </w:r>
                </w:p>
              </w:tc>
              <w:tc>
                <w:tcPr>
                  <w:tcW w:w="704" w:type="dxa"/>
                  <w:vMerge w:val="restart"/>
                  <w:tcBorders>
                    <w:tl2br w:val="nil"/>
                    <w:tr2bl w:val="nil"/>
                  </w:tcBorders>
                  <w:shd w:val="clear" w:color="auto" w:fill="auto"/>
                  <w:vAlign w:val="center"/>
                </w:tcPr>
                <w:p w14:paraId="7D1FC6D0">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Times New Roman" w:hAnsi="Times New Roman" w:eastAsia="宋体" w:cs="Times New Roman"/>
                      <w:color w:val="auto"/>
                      <w:spacing w:val="-10"/>
                      <w:sz w:val="18"/>
                      <w:szCs w:val="18"/>
                      <w:highlight w:val="none"/>
                      <w:lang w:val="en-US" w:eastAsia="zh-CN"/>
                    </w:rPr>
                  </w:pPr>
                  <w:r>
                    <w:rPr>
                      <w:rFonts w:hint="eastAsia" w:ascii="Times New Roman" w:hAnsi="Times New Roman" w:eastAsia="宋体" w:cs="Times New Roman"/>
                      <w:color w:val="auto"/>
                      <w:spacing w:val="-10"/>
                      <w:sz w:val="18"/>
                      <w:szCs w:val="18"/>
                      <w:highlight w:val="none"/>
                      <w:lang w:val="en-US" w:eastAsia="zh-CN"/>
                    </w:rPr>
                    <w:t>符合</w:t>
                  </w:r>
                </w:p>
              </w:tc>
            </w:tr>
            <w:tr w14:paraId="549A94DD">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78" w:hRule="atLeast"/>
              </w:trPr>
              <w:tc>
                <w:tcPr>
                  <w:tcW w:w="569" w:type="dxa"/>
                  <w:vMerge w:val="continue"/>
                  <w:tcBorders>
                    <w:tl2br w:val="nil"/>
                    <w:tr2bl w:val="nil"/>
                  </w:tcBorders>
                  <w:vAlign w:val="center"/>
                </w:tcPr>
                <w:p w14:paraId="1A443E5A">
                  <w:pPr>
                    <w:spacing w:line="240" w:lineRule="exact"/>
                    <w:jc w:val="center"/>
                    <w:rPr>
                      <w:rFonts w:hint="eastAsia" w:cs="Times New Roman"/>
                      <w:color w:val="auto"/>
                      <w:spacing w:val="-10"/>
                      <w:sz w:val="18"/>
                      <w:szCs w:val="18"/>
                      <w:highlight w:val="none"/>
                      <w:lang w:val="en-US" w:eastAsia="zh-CN"/>
                    </w:rPr>
                  </w:pPr>
                </w:p>
              </w:tc>
              <w:tc>
                <w:tcPr>
                  <w:tcW w:w="1398" w:type="dxa"/>
                  <w:vMerge w:val="continue"/>
                  <w:tcBorders>
                    <w:tl2br w:val="nil"/>
                    <w:tr2bl w:val="nil"/>
                  </w:tcBorders>
                  <w:shd w:val="clear" w:color="auto" w:fill="auto"/>
                  <w:vAlign w:val="center"/>
                </w:tcPr>
                <w:p w14:paraId="7A6A6B1C">
                  <w:pPr>
                    <w:spacing w:line="240" w:lineRule="exact"/>
                    <w:jc w:val="center"/>
                    <w:rPr>
                      <w:rFonts w:hint="eastAsia" w:ascii="Times New Roman" w:hAnsi="Times New Roman" w:eastAsia="宋体" w:cs="Times New Roman"/>
                      <w:color w:val="auto"/>
                      <w:spacing w:val="-10"/>
                      <w:sz w:val="18"/>
                      <w:szCs w:val="18"/>
                      <w:lang w:val="en-US" w:eastAsia="zh-CN"/>
                    </w:rPr>
                  </w:pPr>
                </w:p>
              </w:tc>
              <w:tc>
                <w:tcPr>
                  <w:tcW w:w="914" w:type="dxa"/>
                  <w:tcBorders>
                    <w:right w:val="single" w:color="auto" w:sz="4" w:space="0"/>
                    <w:tl2br w:val="nil"/>
                    <w:tr2bl w:val="nil"/>
                  </w:tcBorders>
                  <w:shd w:val="clear" w:color="auto" w:fill="auto"/>
                  <w:vAlign w:val="center"/>
                </w:tcPr>
                <w:p w14:paraId="791C1C3D">
                  <w:pPr>
                    <w:spacing w:line="240" w:lineRule="exact"/>
                    <w:jc w:val="center"/>
                    <w:rPr>
                      <w:rFonts w:hint="eastAsia" w:ascii="Times New Roman" w:hAnsi="Times New Roman" w:eastAsia="宋体" w:cs="Times New Roman"/>
                      <w:color w:val="auto"/>
                      <w:spacing w:val="-10"/>
                      <w:sz w:val="18"/>
                      <w:szCs w:val="18"/>
                      <w:lang w:val="en-US" w:eastAsia="zh-CN"/>
                    </w:rPr>
                  </w:pPr>
                  <w:r>
                    <w:rPr>
                      <w:rFonts w:hint="eastAsia" w:ascii="Times New Roman" w:hAnsi="Times New Roman" w:eastAsia="宋体" w:cs="Times New Roman"/>
                      <w:color w:val="auto"/>
                      <w:spacing w:val="-10"/>
                      <w:sz w:val="18"/>
                      <w:szCs w:val="18"/>
                      <w:lang w:val="en-US" w:eastAsia="zh-CN"/>
                    </w:rPr>
                    <w:t>破碎要求</w:t>
                  </w:r>
                </w:p>
              </w:tc>
              <w:tc>
                <w:tcPr>
                  <w:tcW w:w="5481" w:type="dxa"/>
                  <w:tcBorders>
                    <w:left w:val="single" w:color="auto" w:sz="4" w:space="0"/>
                    <w:tl2br w:val="nil"/>
                    <w:tr2bl w:val="nil"/>
                  </w:tcBorders>
                  <w:shd w:val="clear" w:color="auto" w:fill="auto"/>
                  <w:vAlign w:val="center"/>
                </w:tcPr>
                <w:p w14:paraId="57E22266">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Times New Roman" w:hAnsi="Times New Roman" w:eastAsia="宋体" w:cs="Times New Roman"/>
                      <w:color w:val="auto"/>
                      <w:spacing w:val="-10"/>
                      <w:sz w:val="18"/>
                      <w:szCs w:val="18"/>
                      <w:lang w:val="en-US" w:eastAsia="zh-CN"/>
                    </w:rPr>
                  </w:pPr>
                  <w:r>
                    <w:rPr>
                      <w:rFonts w:hint="eastAsia" w:ascii="Times New Roman" w:hAnsi="Times New Roman" w:eastAsia="宋体" w:cs="Times New Roman"/>
                      <w:color w:val="auto"/>
                      <w:spacing w:val="-10"/>
                      <w:sz w:val="18"/>
                      <w:szCs w:val="18"/>
                      <w:lang w:val="en-US" w:eastAsia="zh-CN"/>
                    </w:rPr>
                    <w:t>废塑料的破碎方法可分为干法破碎和湿法破碎。使用干法破碎时，应配备相应的防尘、防噪声设备。使用湿法破碎时，应有配套的污水收集和处理设施。</w:t>
                  </w:r>
                </w:p>
              </w:tc>
              <w:tc>
                <w:tcPr>
                  <w:tcW w:w="2884" w:type="dxa"/>
                  <w:vMerge w:val="continue"/>
                  <w:tcBorders>
                    <w:tl2br w:val="nil"/>
                    <w:tr2bl w:val="nil"/>
                  </w:tcBorders>
                  <w:shd w:val="clear" w:color="auto" w:fill="auto"/>
                  <w:vAlign w:val="center"/>
                </w:tcPr>
                <w:p w14:paraId="65650F84">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default" w:cs="Times New Roman"/>
                      <w:color w:val="auto"/>
                      <w:spacing w:val="-10"/>
                      <w:sz w:val="18"/>
                      <w:szCs w:val="18"/>
                      <w:highlight w:val="none"/>
                      <w:lang w:val="en-US" w:eastAsia="zh-CN"/>
                    </w:rPr>
                  </w:pPr>
                </w:p>
              </w:tc>
              <w:tc>
                <w:tcPr>
                  <w:tcW w:w="704" w:type="dxa"/>
                  <w:vMerge w:val="continue"/>
                  <w:tcBorders>
                    <w:tl2br w:val="nil"/>
                    <w:tr2bl w:val="nil"/>
                  </w:tcBorders>
                  <w:shd w:val="clear" w:color="auto" w:fill="auto"/>
                  <w:vAlign w:val="center"/>
                </w:tcPr>
                <w:p w14:paraId="23F878DB">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Times New Roman" w:hAnsi="Times New Roman" w:eastAsia="宋体" w:cs="Times New Roman"/>
                      <w:color w:val="auto"/>
                      <w:spacing w:val="-10"/>
                      <w:sz w:val="18"/>
                      <w:szCs w:val="18"/>
                      <w:highlight w:val="none"/>
                      <w:lang w:val="en-US" w:eastAsia="zh-CN"/>
                    </w:rPr>
                  </w:pPr>
                </w:p>
              </w:tc>
            </w:tr>
            <w:tr w14:paraId="10B6A23A">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78" w:hRule="atLeast"/>
              </w:trPr>
              <w:tc>
                <w:tcPr>
                  <w:tcW w:w="569" w:type="dxa"/>
                  <w:vMerge w:val="continue"/>
                  <w:tcBorders>
                    <w:tl2br w:val="nil"/>
                    <w:tr2bl w:val="nil"/>
                  </w:tcBorders>
                  <w:vAlign w:val="center"/>
                </w:tcPr>
                <w:p w14:paraId="1E732BC3">
                  <w:pPr>
                    <w:spacing w:line="240" w:lineRule="exact"/>
                    <w:jc w:val="center"/>
                    <w:rPr>
                      <w:rFonts w:hint="eastAsia" w:cs="Times New Roman"/>
                      <w:color w:val="auto"/>
                      <w:spacing w:val="-10"/>
                      <w:sz w:val="18"/>
                      <w:szCs w:val="18"/>
                      <w:highlight w:val="none"/>
                      <w:lang w:val="en-US" w:eastAsia="zh-CN"/>
                    </w:rPr>
                  </w:pPr>
                </w:p>
              </w:tc>
              <w:tc>
                <w:tcPr>
                  <w:tcW w:w="1398" w:type="dxa"/>
                  <w:vMerge w:val="continue"/>
                  <w:tcBorders>
                    <w:tl2br w:val="nil"/>
                    <w:tr2bl w:val="nil"/>
                  </w:tcBorders>
                  <w:shd w:val="clear" w:color="auto" w:fill="auto"/>
                  <w:vAlign w:val="center"/>
                </w:tcPr>
                <w:p w14:paraId="1CD6738D">
                  <w:pPr>
                    <w:spacing w:line="240" w:lineRule="exact"/>
                    <w:jc w:val="center"/>
                    <w:rPr>
                      <w:rFonts w:hint="eastAsia" w:ascii="Times New Roman" w:hAnsi="Times New Roman" w:eastAsia="宋体" w:cs="Times New Roman"/>
                      <w:color w:val="auto"/>
                      <w:spacing w:val="-10"/>
                      <w:sz w:val="18"/>
                      <w:szCs w:val="18"/>
                      <w:lang w:val="en-US" w:eastAsia="zh-CN"/>
                    </w:rPr>
                  </w:pPr>
                </w:p>
              </w:tc>
              <w:tc>
                <w:tcPr>
                  <w:tcW w:w="914" w:type="dxa"/>
                  <w:tcBorders>
                    <w:right w:val="single" w:color="auto" w:sz="4" w:space="0"/>
                    <w:tl2br w:val="nil"/>
                    <w:tr2bl w:val="nil"/>
                  </w:tcBorders>
                  <w:shd w:val="clear" w:color="auto" w:fill="auto"/>
                  <w:vAlign w:val="center"/>
                </w:tcPr>
                <w:p w14:paraId="1570C64C">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Times New Roman" w:hAnsi="Times New Roman" w:eastAsia="宋体" w:cs="Times New Roman"/>
                      <w:color w:val="auto"/>
                      <w:spacing w:val="-10"/>
                      <w:sz w:val="18"/>
                      <w:szCs w:val="18"/>
                      <w:lang w:val="en-US" w:eastAsia="zh-CN"/>
                    </w:rPr>
                  </w:pPr>
                  <w:r>
                    <w:rPr>
                      <w:rFonts w:hint="eastAsia" w:ascii="Times New Roman" w:hAnsi="Times New Roman" w:eastAsia="宋体" w:cs="Times New Roman"/>
                      <w:color w:val="auto"/>
                      <w:spacing w:val="-10"/>
                      <w:sz w:val="18"/>
                      <w:szCs w:val="18"/>
                      <w:lang w:val="en-US" w:eastAsia="zh-CN"/>
                    </w:rPr>
                    <w:t>清洗要求</w:t>
                  </w:r>
                </w:p>
              </w:tc>
              <w:tc>
                <w:tcPr>
                  <w:tcW w:w="5481" w:type="dxa"/>
                  <w:tcBorders>
                    <w:left w:val="single" w:color="auto" w:sz="4" w:space="0"/>
                    <w:tl2br w:val="nil"/>
                    <w:tr2bl w:val="nil"/>
                  </w:tcBorders>
                  <w:shd w:val="clear" w:color="auto" w:fill="auto"/>
                  <w:vAlign w:val="center"/>
                </w:tcPr>
                <w:p w14:paraId="093ED420">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Times New Roman" w:hAnsi="Times New Roman" w:eastAsia="宋体" w:cs="Times New Roman"/>
                      <w:color w:val="auto"/>
                      <w:spacing w:val="-10"/>
                      <w:sz w:val="18"/>
                      <w:szCs w:val="18"/>
                      <w:lang w:val="en-US" w:eastAsia="zh-CN"/>
                    </w:rPr>
                  </w:pPr>
                  <w:r>
                    <w:rPr>
                      <w:rFonts w:hint="eastAsia" w:cs="Times New Roman"/>
                      <w:color w:val="auto"/>
                      <w:spacing w:val="-10"/>
                      <w:sz w:val="18"/>
                      <w:szCs w:val="18"/>
                      <w:lang w:val="en-US" w:eastAsia="zh-CN"/>
                    </w:rPr>
                    <w:t>1.</w:t>
                  </w:r>
                  <w:r>
                    <w:rPr>
                      <w:rFonts w:hint="eastAsia" w:ascii="Times New Roman" w:hAnsi="Times New Roman" w:eastAsia="宋体" w:cs="Times New Roman"/>
                      <w:color w:val="auto"/>
                      <w:spacing w:val="-10"/>
                      <w:sz w:val="18"/>
                      <w:szCs w:val="18"/>
                      <w:lang w:val="en-US" w:eastAsia="zh-CN"/>
                    </w:rPr>
                    <w:t>宜采用节水的自动化清洗技术，宜采用无磷清洗剂或其他绿色清洗剂，不得使用有毒有害的清洗剂。</w:t>
                  </w:r>
                </w:p>
                <w:p w14:paraId="1D033A29">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Times New Roman" w:hAnsi="Times New Roman" w:eastAsia="宋体" w:cs="Times New Roman"/>
                      <w:color w:val="auto"/>
                      <w:spacing w:val="-10"/>
                      <w:sz w:val="18"/>
                      <w:szCs w:val="18"/>
                      <w:lang w:val="en-US" w:eastAsia="zh-CN"/>
                    </w:rPr>
                  </w:pPr>
                  <w:r>
                    <w:rPr>
                      <w:rFonts w:hint="eastAsia" w:ascii="Times New Roman" w:hAnsi="Times New Roman" w:eastAsia="宋体" w:cs="Times New Roman"/>
                      <w:color w:val="auto"/>
                      <w:spacing w:val="-10"/>
                      <w:sz w:val="18"/>
                      <w:szCs w:val="18"/>
                      <w:lang w:val="en-US" w:eastAsia="zh-CN"/>
                    </w:rPr>
                    <w:t>2.应根据清洗废水中污染物的种类和浓度，配备相应的废水收集和处理设施，清洗废水处理后宜循环使用。</w:t>
                  </w:r>
                </w:p>
              </w:tc>
              <w:tc>
                <w:tcPr>
                  <w:tcW w:w="2884" w:type="dxa"/>
                  <w:vMerge w:val="continue"/>
                  <w:tcBorders>
                    <w:tl2br w:val="nil"/>
                    <w:tr2bl w:val="nil"/>
                  </w:tcBorders>
                  <w:shd w:val="clear" w:color="auto" w:fill="auto"/>
                  <w:vAlign w:val="center"/>
                </w:tcPr>
                <w:p w14:paraId="67B208A4">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cs="Times New Roman"/>
                      <w:color w:val="auto"/>
                      <w:spacing w:val="-10"/>
                      <w:sz w:val="18"/>
                      <w:szCs w:val="18"/>
                      <w:highlight w:val="none"/>
                      <w:lang w:val="en-US" w:eastAsia="zh-CN"/>
                    </w:rPr>
                  </w:pPr>
                </w:p>
              </w:tc>
              <w:tc>
                <w:tcPr>
                  <w:tcW w:w="704" w:type="dxa"/>
                  <w:vMerge w:val="continue"/>
                  <w:tcBorders>
                    <w:tl2br w:val="nil"/>
                    <w:tr2bl w:val="nil"/>
                  </w:tcBorders>
                  <w:shd w:val="clear" w:color="auto" w:fill="auto"/>
                  <w:vAlign w:val="center"/>
                </w:tcPr>
                <w:p w14:paraId="3C3D63C9">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Times New Roman" w:hAnsi="Times New Roman" w:eastAsia="宋体" w:cs="Times New Roman"/>
                      <w:color w:val="auto"/>
                      <w:spacing w:val="-10"/>
                      <w:sz w:val="18"/>
                      <w:szCs w:val="18"/>
                      <w:highlight w:val="none"/>
                      <w:lang w:val="en-US" w:eastAsia="zh-CN"/>
                    </w:rPr>
                  </w:pPr>
                </w:p>
              </w:tc>
            </w:tr>
            <w:tr w14:paraId="6E4B7D25">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721" w:hRule="atLeast"/>
              </w:trPr>
              <w:tc>
                <w:tcPr>
                  <w:tcW w:w="569" w:type="dxa"/>
                  <w:vMerge w:val="restart"/>
                  <w:tcBorders>
                    <w:tl2br w:val="nil"/>
                    <w:tr2bl w:val="nil"/>
                  </w:tcBorders>
                  <w:vAlign w:val="center"/>
                </w:tcPr>
                <w:p w14:paraId="0746DCF0">
                  <w:pPr>
                    <w:spacing w:line="240" w:lineRule="exact"/>
                    <w:jc w:val="center"/>
                    <w:rPr>
                      <w:rFonts w:hint="default" w:cs="Times New Roman"/>
                      <w:color w:val="auto"/>
                      <w:spacing w:val="-10"/>
                      <w:sz w:val="18"/>
                      <w:szCs w:val="18"/>
                      <w:highlight w:val="none"/>
                      <w:lang w:val="en-US" w:eastAsia="zh-CN"/>
                    </w:rPr>
                  </w:pPr>
                  <w:r>
                    <w:rPr>
                      <w:rFonts w:hint="eastAsia" w:cs="Times New Roman"/>
                      <w:color w:val="auto"/>
                      <w:spacing w:val="-10"/>
                      <w:sz w:val="18"/>
                      <w:szCs w:val="18"/>
                      <w:highlight w:val="none"/>
                      <w:lang w:val="en-US" w:eastAsia="zh-CN"/>
                    </w:rPr>
                    <w:t>14</w:t>
                  </w:r>
                </w:p>
              </w:tc>
              <w:tc>
                <w:tcPr>
                  <w:tcW w:w="1398" w:type="dxa"/>
                  <w:vMerge w:val="restart"/>
                  <w:tcBorders>
                    <w:tl2br w:val="nil"/>
                    <w:tr2bl w:val="nil"/>
                  </w:tcBorders>
                  <w:shd w:val="clear" w:color="auto" w:fill="auto"/>
                  <w:vAlign w:val="center"/>
                </w:tcPr>
                <w:p w14:paraId="71119C45">
                  <w:pPr>
                    <w:spacing w:line="240" w:lineRule="exact"/>
                    <w:jc w:val="center"/>
                    <w:rPr>
                      <w:rFonts w:hint="eastAsia" w:ascii="Times New Roman" w:hAnsi="Times New Roman" w:eastAsia="宋体" w:cs="Times New Roman"/>
                      <w:color w:val="auto"/>
                      <w:spacing w:val="-10"/>
                      <w:sz w:val="18"/>
                      <w:szCs w:val="18"/>
                      <w:lang w:val="en-US" w:eastAsia="zh-CN"/>
                    </w:rPr>
                  </w:pPr>
                  <w:r>
                    <w:rPr>
                      <w:rFonts w:hint="eastAsia" w:ascii="Times New Roman" w:hAnsi="Times New Roman" w:eastAsia="宋体" w:cs="Times New Roman"/>
                      <w:color w:val="auto"/>
                      <w:spacing w:val="-10"/>
                      <w:sz w:val="18"/>
                      <w:szCs w:val="18"/>
                      <w:lang w:val="en-US" w:eastAsia="zh-CN"/>
                    </w:rPr>
                    <w:t>《废塑料回收技术规范》（</w:t>
                  </w:r>
                  <w:r>
                    <w:rPr>
                      <w:rFonts w:hint="eastAsia" w:cs="Times New Roman"/>
                      <w:color w:val="auto"/>
                      <w:spacing w:val="-10"/>
                      <w:sz w:val="18"/>
                      <w:szCs w:val="18"/>
                      <w:lang w:val="en-US" w:eastAsia="zh-CN"/>
                    </w:rPr>
                    <w:t>GB/T39171-2020</w:t>
                  </w:r>
                  <w:r>
                    <w:rPr>
                      <w:rFonts w:hint="eastAsia" w:ascii="Times New Roman" w:hAnsi="Times New Roman" w:eastAsia="宋体" w:cs="Times New Roman"/>
                      <w:color w:val="auto"/>
                      <w:spacing w:val="-10"/>
                      <w:sz w:val="18"/>
                      <w:szCs w:val="18"/>
                      <w:lang w:val="en-US" w:eastAsia="zh-CN"/>
                    </w:rPr>
                    <w:t>）</w:t>
                  </w:r>
                </w:p>
              </w:tc>
              <w:tc>
                <w:tcPr>
                  <w:tcW w:w="914" w:type="dxa"/>
                  <w:vMerge w:val="restart"/>
                  <w:tcBorders>
                    <w:right w:val="single" w:color="auto" w:sz="4" w:space="0"/>
                    <w:tl2br w:val="nil"/>
                    <w:tr2bl w:val="nil"/>
                  </w:tcBorders>
                  <w:shd w:val="clear" w:color="auto" w:fill="auto"/>
                  <w:vAlign w:val="center"/>
                </w:tcPr>
                <w:p w14:paraId="6183CEF4">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pacing w:val="-10"/>
                      <w:sz w:val="18"/>
                      <w:szCs w:val="18"/>
                      <w:lang w:val="en-US" w:eastAsia="zh-CN"/>
                    </w:rPr>
                  </w:pPr>
                  <w:r>
                    <w:rPr>
                      <w:rFonts w:hint="eastAsia" w:cs="Times New Roman"/>
                      <w:color w:val="auto"/>
                      <w:spacing w:val="-10"/>
                      <w:sz w:val="18"/>
                      <w:szCs w:val="18"/>
                      <w:lang w:val="en-US" w:eastAsia="zh-CN"/>
                    </w:rPr>
                    <w:t>分拣</w:t>
                  </w:r>
                </w:p>
              </w:tc>
              <w:tc>
                <w:tcPr>
                  <w:tcW w:w="5481" w:type="dxa"/>
                  <w:tcBorders>
                    <w:left w:val="single" w:color="auto" w:sz="4" w:space="0"/>
                    <w:tl2br w:val="nil"/>
                    <w:tr2bl w:val="nil"/>
                  </w:tcBorders>
                  <w:shd w:val="clear" w:color="auto" w:fill="auto"/>
                  <w:vAlign w:val="center"/>
                </w:tcPr>
                <w:p w14:paraId="3A471392">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Times New Roman" w:hAnsi="Times New Roman" w:eastAsia="宋体" w:cs="Times New Roman"/>
                      <w:color w:val="auto"/>
                      <w:spacing w:val="-10"/>
                      <w:sz w:val="18"/>
                      <w:szCs w:val="18"/>
                      <w:lang w:val="en-US" w:eastAsia="zh-CN"/>
                    </w:rPr>
                  </w:pPr>
                  <w:r>
                    <w:rPr>
                      <w:rFonts w:hint="eastAsia" w:ascii="Times New Roman" w:hAnsi="Times New Roman" w:eastAsia="宋体" w:cs="Times New Roman"/>
                      <w:color w:val="auto"/>
                      <w:spacing w:val="-10"/>
                      <w:sz w:val="18"/>
                      <w:szCs w:val="18"/>
                      <w:lang w:val="en-US" w:eastAsia="zh-CN"/>
                    </w:rPr>
                    <w:t>废塑料分选应遵循稳定、无二次污染的原则</w:t>
                  </w:r>
                  <w:r>
                    <w:rPr>
                      <w:rFonts w:hint="eastAsia" w:cs="Times New Roman"/>
                      <w:color w:val="auto"/>
                      <w:spacing w:val="-10"/>
                      <w:sz w:val="18"/>
                      <w:szCs w:val="18"/>
                      <w:lang w:val="en-US" w:eastAsia="zh-CN"/>
                    </w:rPr>
                    <w:t>，</w:t>
                  </w:r>
                  <w:r>
                    <w:rPr>
                      <w:rFonts w:hint="eastAsia" w:ascii="Times New Roman" w:hAnsi="Times New Roman" w:eastAsia="宋体" w:cs="Times New Roman"/>
                      <w:color w:val="auto"/>
                      <w:spacing w:val="-10"/>
                      <w:sz w:val="18"/>
                      <w:szCs w:val="18"/>
                      <w:lang w:val="en-US" w:eastAsia="zh-CN"/>
                    </w:rPr>
                    <w:t>根据废塑料特点</w:t>
                  </w:r>
                  <w:r>
                    <w:rPr>
                      <w:rFonts w:hint="eastAsia" w:cs="Times New Roman"/>
                      <w:color w:val="auto"/>
                      <w:spacing w:val="-10"/>
                      <w:sz w:val="18"/>
                      <w:szCs w:val="18"/>
                      <w:lang w:val="en-US" w:eastAsia="zh-CN"/>
                    </w:rPr>
                    <w:t>，</w:t>
                  </w:r>
                  <w:r>
                    <w:rPr>
                      <w:rFonts w:hint="eastAsia" w:ascii="Times New Roman" w:hAnsi="Times New Roman" w:eastAsia="宋体" w:cs="Times New Roman"/>
                      <w:color w:val="auto"/>
                      <w:spacing w:val="-10"/>
                      <w:sz w:val="18"/>
                      <w:szCs w:val="18"/>
                      <w:lang w:val="en-US" w:eastAsia="zh-CN"/>
                    </w:rPr>
                    <w:t>宜使用静电分选、近红外分选、X-射线荧光分选、气流分选、重介质分选、熔融过滤分选,低温破碎分选及其他新型的自动化分选等单一和集成化分选技术。</w:t>
                  </w:r>
                </w:p>
              </w:tc>
              <w:tc>
                <w:tcPr>
                  <w:tcW w:w="2884" w:type="dxa"/>
                  <w:vMerge w:val="restart"/>
                  <w:tcBorders>
                    <w:tl2br w:val="nil"/>
                    <w:tr2bl w:val="nil"/>
                  </w:tcBorders>
                  <w:shd w:val="clear" w:color="auto" w:fill="auto"/>
                  <w:vAlign w:val="center"/>
                </w:tcPr>
                <w:p w14:paraId="1DBCFCDB">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default" w:cs="Times New Roman"/>
                      <w:color w:val="auto"/>
                      <w:spacing w:val="-10"/>
                      <w:sz w:val="18"/>
                      <w:szCs w:val="18"/>
                      <w:highlight w:val="none"/>
                      <w:lang w:val="en-US" w:eastAsia="zh-CN"/>
                    </w:rPr>
                  </w:pPr>
                  <w:r>
                    <w:rPr>
                      <w:rFonts w:hint="eastAsia" w:cs="Times New Roman"/>
                      <w:color w:val="auto"/>
                      <w:spacing w:val="-10"/>
                      <w:sz w:val="18"/>
                      <w:szCs w:val="18"/>
                      <w:highlight w:val="none"/>
                      <w:lang w:val="en-US" w:eastAsia="zh-CN"/>
                    </w:rPr>
                    <w:t>采用气流分选工艺分选塑料，项目分</w:t>
                  </w:r>
                  <w:r>
                    <w:rPr>
                      <w:rFonts w:hint="eastAsia" w:cs="Times New Roman"/>
                      <w:color w:val="auto"/>
                      <w:spacing w:val="-10"/>
                      <w:sz w:val="18"/>
                      <w:szCs w:val="18"/>
                      <w:lang w:val="en-US" w:eastAsia="zh-CN"/>
                    </w:rPr>
                    <w:t>拣</w:t>
                  </w:r>
                  <w:r>
                    <w:rPr>
                      <w:rFonts w:hint="eastAsia" w:cs="Times New Roman"/>
                      <w:color w:val="auto"/>
                      <w:spacing w:val="-10"/>
                      <w:sz w:val="18"/>
                      <w:szCs w:val="18"/>
                      <w:highlight w:val="none"/>
                      <w:lang w:val="en-US" w:eastAsia="zh-CN"/>
                    </w:rPr>
                    <w:t>过程未</w:t>
                  </w:r>
                  <w:r>
                    <w:rPr>
                      <w:rFonts w:hint="eastAsia" w:ascii="Times New Roman" w:hAnsi="Times New Roman" w:eastAsia="宋体" w:cs="Times New Roman"/>
                      <w:color w:val="auto"/>
                      <w:spacing w:val="-10"/>
                      <w:sz w:val="18"/>
                      <w:szCs w:val="18"/>
                      <w:lang w:val="en-US" w:eastAsia="zh-CN"/>
                    </w:rPr>
                    <w:t>使用强酸脱除废塑料表面涂层或镀层</w:t>
                  </w:r>
                  <w:r>
                    <w:rPr>
                      <w:rFonts w:hint="eastAsia" w:cs="Times New Roman"/>
                      <w:color w:val="auto"/>
                      <w:spacing w:val="-10"/>
                      <w:sz w:val="18"/>
                      <w:szCs w:val="18"/>
                      <w:lang w:val="en-US" w:eastAsia="zh-CN"/>
                    </w:rPr>
                    <w:t>，</w:t>
                  </w:r>
                  <w:r>
                    <w:rPr>
                      <w:rFonts w:hint="eastAsia" w:cs="Times New Roman"/>
                      <w:color w:val="auto"/>
                      <w:spacing w:val="-10"/>
                      <w:sz w:val="18"/>
                      <w:szCs w:val="18"/>
                      <w:highlight w:val="none"/>
                      <w:lang w:val="en-US" w:eastAsia="zh-CN"/>
                    </w:rPr>
                    <w:t>采用湿法破碎，漂洗采用工业盐，不使用</w:t>
                  </w:r>
                  <w:r>
                    <w:rPr>
                      <w:rFonts w:hint="eastAsia" w:ascii="Times New Roman" w:hAnsi="Times New Roman" w:eastAsia="宋体" w:cs="Times New Roman"/>
                      <w:color w:val="auto"/>
                      <w:spacing w:val="-10"/>
                      <w:sz w:val="18"/>
                      <w:szCs w:val="18"/>
                      <w:lang w:val="en-US" w:eastAsia="zh-CN"/>
                    </w:rPr>
                    <w:t>有毒有害的清洗剂</w:t>
                  </w:r>
                  <w:r>
                    <w:rPr>
                      <w:rFonts w:hint="eastAsia" w:cs="Times New Roman"/>
                      <w:color w:val="auto"/>
                      <w:spacing w:val="-10"/>
                      <w:sz w:val="18"/>
                      <w:szCs w:val="18"/>
                      <w:highlight w:val="none"/>
                      <w:lang w:val="en-US" w:eastAsia="zh-CN"/>
                    </w:rPr>
                    <w:t>，</w:t>
                  </w:r>
                  <w:r>
                    <w:rPr>
                      <w:rFonts w:hint="eastAsia" w:ascii="Times New Roman" w:hAnsi="Times New Roman" w:eastAsia="宋体" w:cs="Times New Roman"/>
                      <w:color w:val="auto"/>
                      <w:spacing w:val="-10"/>
                      <w:sz w:val="18"/>
                      <w:szCs w:val="18"/>
                      <w:lang w:val="en-US" w:eastAsia="zh-CN"/>
                    </w:rPr>
                    <w:t>分拣后的废塑料采用独立完整的包装</w:t>
                  </w:r>
                  <w:r>
                    <w:rPr>
                      <w:rFonts w:hint="eastAsia" w:cs="Times New Roman"/>
                      <w:color w:val="auto"/>
                      <w:spacing w:val="-10"/>
                      <w:sz w:val="18"/>
                      <w:szCs w:val="18"/>
                      <w:lang w:val="en-US" w:eastAsia="zh-CN"/>
                    </w:rPr>
                    <w:t>，</w:t>
                  </w:r>
                  <w:r>
                    <w:rPr>
                      <w:rFonts w:hint="eastAsia" w:cs="Times New Roman"/>
                      <w:color w:val="auto"/>
                      <w:spacing w:val="-10"/>
                      <w:sz w:val="18"/>
                      <w:szCs w:val="18"/>
                      <w:highlight w:val="none"/>
                      <w:lang w:val="en-US" w:eastAsia="zh-CN"/>
                    </w:rPr>
                    <w:t>配套污水收集及处理设施，废水经处理后回用于生产</w:t>
                  </w:r>
                </w:p>
              </w:tc>
              <w:tc>
                <w:tcPr>
                  <w:tcW w:w="704" w:type="dxa"/>
                  <w:vMerge w:val="restart"/>
                  <w:tcBorders>
                    <w:tl2br w:val="nil"/>
                    <w:tr2bl w:val="nil"/>
                  </w:tcBorders>
                  <w:shd w:val="clear" w:color="auto" w:fill="auto"/>
                  <w:vAlign w:val="center"/>
                </w:tcPr>
                <w:p w14:paraId="5DA84226">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color w:val="auto"/>
                      <w:spacing w:val="-10"/>
                      <w:sz w:val="18"/>
                      <w:szCs w:val="18"/>
                      <w:highlight w:val="none"/>
                      <w:lang w:val="en-US" w:eastAsia="zh-CN"/>
                    </w:rPr>
                  </w:pPr>
                  <w:r>
                    <w:rPr>
                      <w:rFonts w:hint="eastAsia" w:cs="Times New Roman"/>
                      <w:color w:val="auto"/>
                      <w:spacing w:val="-10"/>
                      <w:sz w:val="18"/>
                      <w:szCs w:val="18"/>
                      <w:highlight w:val="none"/>
                      <w:lang w:val="en-US" w:eastAsia="zh-CN"/>
                    </w:rPr>
                    <w:t>符合</w:t>
                  </w:r>
                </w:p>
              </w:tc>
            </w:tr>
            <w:tr w14:paraId="04D2CB6C">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537" w:hRule="atLeast"/>
              </w:trPr>
              <w:tc>
                <w:tcPr>
                  <w:tcW w:w="569" w:type="dxa"/>
                  <w:vMerge w:val="continue"/>
                  <w:tcBorders>
                    <w:tl2br w:val="nil"/>
                    <w:tr2bl w:val="nil"/>
                  </w:tcBorders>
                  <w:vAlign w:val="center"/>
                </w:tcPr>
                <w:p w14:paraId="5BE7221E">
                  <w:pPr>
                    <w:keepNext w:val="0"/>
                    <w:keepLines w:val="0"/>
                    <w:pageBreakBefore w:val="0"/>
                    <w:widowControl w:val="0"/>
                    <w:kinsoku/>
                    <w:wordWrap/>
                    <w:overflowPunct/>
                    <w:topLinePunct w:val="0"/>
                    <w:autoSpaceDE/>
                    <w:autoSpaceDN/>
                    <w:bidi w:val="0"/>
                    <w:adjustRightInd/>
                    <w:snapToGrid/>
                    <w:spacing w:line="240" w:lineRule="exact"/>
                    <w:jc w:val="left"/>
                    <w:textAlignment w:val="auto"/>
                    <w:rPr>
                      <w:color w:val="auto"/>
                    </w:rPr>
                  </w:pPr>
                </w:p>
              </w:tc>
              <w:tc>
                <w:tcPr>
                  <w:tcW w:w="1398" w:type="dxa"/>
                  <w:vMerge w:val="continue"/>
                  <w:tcBorders>
                    <w:tl2br w:val="nil"/>
                    <w:tr2bl w:val="nil"/>
                  </w:tcBorders>
                  <w:shd w:val="clear" w:color="auto" w:fill="auto"/>
                  <w:vAlign w:val="center"/>
                </w:tcPr>
                <w:p w14:paraId="1B1D3D61">
                  <w:pPr>
                    <w:keepNext w:val="0"/>
                    <w:keepLines w:val="0"/>
                    <w:pageBreakBefore w:val="0"/>
                    <w:widowControl w:val="0"/>
                    <w:kinsoku/>
                    <w:wordWrap/>
                    <w:overflowPunct/>
                    <w:topLinePunct w:val="0"/>
                    <w:autoSpaceDE/>
                    <w:autoSpaceDN/>
                    <w:bidi w:val="0"/>
                    <w:adjustRightInd/>
                    <w:snapToGrid/>
                    <w:spacing w:line="240" w:lineRule="exact"/>
                    <w:jc w:val="left"/>
                    <w:textAlignment w:val="auto"/>
                    <w:rPr>
                      <w:color w:val="auto"/>
                    </w:rPr>
                  </w:pPr>
                </w:p>
              </w:tc>
              <w:tc>
                <w:tcPr>
                  <w:tcW w:w="914" w:type="dxa"/>
                  <w:vMerge w:val="continue"/>
                  <w:tcBorders>
                    <w:right w:val="single" w:color="auto" w:sz="4" w:space="0"/>
                    <w:tl2br w:val="nil"/>
                    <w:tr2bl w:val="nil"/>
                  </w:tcBorders>
                  <w:shd w:val="clear" w:color="auto" w:fill="auto"/>
                  <w:vAlign w:val="center"/>
                </w:tcPr>
                <w:p w14:paraId="52341890">
                  <w:pPr>
                    <w:keepNext w:val="0"/>
                    <w:keepLines w:val="0"/>
                    <w:pageBreakBefore w:val="0"/>
                    <w:widowControl w:val="0"/>
                    <w:kinsoku/>
                    <w:wordWrap/>
                    <w:overflowPunct/>
                    <w:topLinePunct w:val="0"/>
                    <w:autoSpaceDE/>
                    <w:autoSpaceDN/>
                    <w:bidi w:val="0"/>
                    <w:adjustRightInd/>
                    <w:snapToGrid/>
                    <w:spacing w:line="240" w:lineRule="exact"/>
                    <w:jc w:val="left"/>
                    <w:textAlignment w:val="auto"/>
                    <w:rPr>
                      <w:color w:val="auto"/>
                    </w:rPr>
                  </w:pPr>
                </w:p>
              </w:tc>
              <w:tc>
                <w:tcPr>
                  <w:tcW w:w="5481" w:type="dxa"/>
                  <w:tcBorders>
                    <w:left w:val="single" w:color="auto" w:sz="4" w:space="0"/>
                    <w:tl2br w:val="nil"/>
                    <w:tr2bl w:val="nil"/>
                  </w:tcBorders>
                  <w:shd w:val="clear" w:color="auto" w:fill="auto"/>
                  <w:vAlign w:val="center"/>
                </w:tcPr>
                <w:p w14:paraId="3F005B94">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Times New Roman" w:hAnsi="Times New Roman" w:eastAsia="宋体" w:cs="Times New Roman"/>
                      <w:color w:val="auto"/>
                      <w:spacing w:val="-10"/>
                      <w:sz w:val="18"/>
                      <w:szCs w:val="18"/>
                      <w:lang w:val="en-US" w:eastAsia="zh-CN"/>
                    </w:rPr>
                  </w:pPr>
                  <w:r>
                    <w:rPr>
                      <w:rFonts w:hint="eastAsia" w:ascii="Times New Roman" w:hAnsi="Times New Roman" w:eastAsia="宋体" w:cs="Times New Roman"/>
                      <w:color w:val="auto"/>
                      <w:spacing w:val="-10"/>
                      <w:sz w:val="18"/>
                      <w:szCs w:val="18"/>
                      <w:lang w:val="en-US" w:eastAsia="zh-CN"/>
                    </w:rPr>
                    <w:t>废塑料分拣过程中如使用强酸脱除废塑料表面涂层或镀层</w:t>
                  </w:r>
                  <w:r>
                    <w:rPr>
                      <w:rFonts w:hint="eastAsia" w:cs="Times New Roman"/>
                      <w:color w:val="auto"/>
                      <w:spacing w:val="-10"/>
                      <w:sz w:val="18"/>
                      <w:szCs w:val="18"/>
                      <w:lang w:val="en-US" w:eastAsia="zh-CN"/>
                    </w:rPr>
                    <w:t>，</w:t>
                  </w:r>
                  <w:r>
                    <w:rPr>
                      <w:rFonts w:hint="eastAsia" w:ascii="Times New Roman" w:hAnsi="Times New Roman" w:eastAsia="宋体" w:cs="Times New Roman"/>
                      <w:color w:val="auto"/>
                      <w:spacing w:val="-10"/>
                      <w:sz w:val="18"/>
                      <w:szCs w:val="18"/>
                      <w:lang w:val="en-US" w:eastAsia="zh-CN"/>
                    </w:rPr>
                    <w:t>应配套酸碱中和工艺和污水处理设施。</w:t>
                  </w:r>
                </w:p>
              </w:tc>
              <w:tc>
                <w:tcPr>
                  <w:tcW w:w="2884" w:type="dxa"/>
                  <w:vMerge w:val="continue"/>
                  <w:tcBorders>
                    <w:tl2br w:val="nil"/>
                    <w:tr2bl w:val="nil"/>
                  </w:tcBorders>
                  <w:shd w:val="clear" w:color="auto" w:fill="auto"/>
                  <w:vAlign w:val="center"/>
                </w:tcPr>
                <w:p w14:paraId="3525379D">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Times New Roman" w:hAnsi="Times New Roman" w:eastAsia="宋体" w:cs="Times New Roman"/>
                      <w:color w:val="auto"/>
                      <w:spacing w:val="-10"/>
                      <w:sz w:val="18"/>
                      <w:szCs w:val="18"/>
                      <w:lang w:val="en-US" w:eastAsia="zh-CN"/>
                    </w:rPr>
                  </w:pPr>
                </w:p>
              </w:tc>
              <w:tc>
                <w:tcPr>
                  <w:tcW w:w="704" w:type="dxa"/>
                  <w:vMerge w:val="continue"/>
                  <w:tcBorders>
                    <w:tl2br w:val="nil"/>
                    <w:tr2bl w:val="nil"/>
                  </w:tcBorders>
                  <w:shd w:val="clear" w:color="auto" w:fill="auto"/>
                  <w:vAlign w:val="center"/>
                </w:tcPr>
                <w:p w14:paraId="6AD5CAAD">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Times New Roman" w:hAnsi="Times New Roman" w:eastAsia="宋体" w:cs="Times New Roman"/>
                      <w:color w:val="auto"/>
                      <w:spacing w:val="-10"/>
                      <w:sz w:val="18"/>
                      <w:szCs w:val="18"/>
                      <w:lang w:val="en-US" w:eastAsia="zh-CN"/>
                    </w:rPr>
                  </w:pPr>
                </w:p>
              </w:tc>
            </w:tr>
            <w:tr w14:paraId="15EECB63">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683" w:hRule="atLeast"/>
              </w:trPr>
              <w:tc>
                <w:tcPr>
                  <w:tcW w:w="569" w:type="dxa"/>
                  <w:vMerge w:val="continue"/>
                  <w:tcBorders>
                    <w:tl2br w:val="nil"/>
                    <w:tr2bl w:val="nil"/>
                  </w:tcBorders>
                  <w:vAlign w:val="center"/>
                </w:tcPr>
                <w:p w14:paraId="07C4B4F9">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Times New Roman" w:hAnsi="Times New Roman" w:eastAsia="宋体" w:cs="Times New Roman"/>
                      <w:color w:val="auto"/>
                      <w:spacing w:val="-10"/>
                      <w:sz w:val="18"/>
                      <w:szCs w:val="18"/>
                      <w:lang w:val="en-US" w:eastAsia="zh-CN"/>
                    </w:rPr>
                  </w:pPr>
                </w:p>
              </w:tc>
              <w:tc>
                <w:tcPr>
                  <w:tcW w:w="1398" w:type="dxa"/>
                  <w:vMerge w:val="continue"/>
                  <w:tcBorders>
                    <w:tl2br w:val="nil"/>
                    <w:tr2bl w:val="nil"/>
                  </w:tcBorders>
                  <w:shd w:val="clear" w:color="auto" w:fill="auto"/>
                  <w:vAlign w:val="center"/>
                </w:tcPr>
                <w:p w14:paraId="208CE035">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Times New Roman" w:hAnsi="Times New Roman" w:eastAsia="宋体" w:cs="Times New Roman"/>
                      <w:color w:val="auto"/>
                      <w:spacing w:val="-10"/>
                      <w:sz w:val="18"/>
                      <w:szCs w:val="18"/>
                      <w:lang w:val="en-US" w:eastAsia="zh-CN"/>
                    </w:rPr>
                  </w:pPr>
                </w:p>
              </w:tc>
              <w:tc>
                <w:tcPr>
                  <w:tcW w:w="914" w:type="dxa"/>
                  <w:vMerge w:val="continue"/>
                  <w:tcBorders>
                    <w:right w:val="single" w:color="auto" w:sz="4" w:space="0"/>
                    <w:tl2br w:val="nil"/>
                    <w:tr2bl w:val="nil"/>
                  </w:tcBorders>
                  <w:shd w:val="clear" w:color="auto" w:fill="auto"/>
                  <w:vAlign w:val="center"/>
                </w:tcPr>
                <w:p w14:paraId="1DAEAD8B">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Times New Roman" w:hAnsi="Times New Roman" w:eastAsia="宋体" w:cs="Times New Roman"/>
                      <w:color w:val="auto"/>
                      <w:spacing w:val="-10"/>
                      <w:sz w:val="18"/>
                      <w:szCs w:val="18"/>
                      <w:lang w:val="en-US" w:eastAsia="zh-CN"/>
                    </w:rPr>
                  </w:pPr>
                </w:p>
              </w:tc>
              <w:tc>
                <w:tcPr>
                  <w:tcW w:w="5481" w:type="dxa"/>
                  <w:tcBorders>
                    <w:left w:val="single" w:color="auto" w:sz="4" w:space="0"/>
                    <w:tl2br w:val="nil"/>
                    <w:tr2bl w:val="nil"/>
                  </w:tcBorders>
                  <w:shd w:val="clear" w:color="auto" w:fill="auto"/>
                  <w:vAlign w:val="center"/>
                </w:tcPr>
                <w:p w14:paraId="41D3613F">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Times New Roman" w:hAnsi="Times New Roman" w:eastAsia="宋体" w:cs="Times New Roman"/>
                      <w:color w:val="auto"/>
                      <w:spacing w:val="-10"/>
                      <w:sz w:val="18"/>
                      <w:szCs w:val="18"/>
                      <w:lang w:val="en-US" w:eastAsia="zh-CN"/>
                    </w:rPr>
                  </w:pPr>
                  <w:r>
                    <w:rPr>
                      <w:rFonts w:hint="eastAsia" w:ascii="Times New Roman" w:hAnsi="Times New Roman" w:eastAsia="宋体" w:cs="Times New Roman"/>
                      <w:color w:val="auto"/>
                      <w:spacing w:val="-10"/>
                      <w:sz w:val="18"/>
                      <w:szCs w:val="18"/>
                      <w:lang w:val="en-US" w:eastAsia="zh-CN"/>
                    </w:rPr>
                    <w:t>破碎废塑料应采用干法破碎技术</w:t>
                  </w:r>
                  <w:r>
                    <w:rPr>
                      <w:rFonts w:hint="eastAsia" w:cs="Times New Roman"/>
                      <w:color w:val="auto"/>
                      <w:spacing w:val="-10"/>
                      <w:sz w:val="18"/>
                      <w:szCs w:val="18"/>
                      <w:lang w:val="en-US" w:eastAsia="zh-CN"/>
                    </w:rPr>
                    <w:t>，</w:t>
                  </w:r>
                  <w:r>
                    <w:rPr>
                      <w:rFonts w:hint="eastAsia" w:ascii="Times New Roman" w:hAnsi="Times New Roman" w:eastAsia="宋体" w:cs="Times New Roman"/>
                      <w:color w:val="auto"/>
                      <w:spacing w:val="-10"/>
                      <w:sz w:val="18"/>
                      <w:szCs w:val="18"/>
                      <w:lang w:val="en-US" w:eastAsia="zh-CN"/>
                    </w:rPr>
                    <w:t>并采取相应的防尘、防噪声措施</w:t>
                  </w:r>
                  <w:r>
                    <w:rPr>
                      <w:rFonts w:hint="eastAsia" w:cs="Times New Roman"/>
                      <w:color w:val="auto"/>
                      <w:spacing w:val="-10"/>
                      <w:sz w:val="18"/>
                      <w:szCs w:val="18"/>
                      <w:lang w:val="en-US" w:eastAsia="zh-CN"/>
                    </w:rPr>
                    <w:t>，</w:t>
                  </w:r>
                  <w:r>
                    <w:rPr>
                      <w:rFonts w:hint="eastAsia" w:ascii="Times New Roman" w:hAnsi="Times New Roman" w:eastAsia="宋体" w:cs="Times New Roman"/>
                      <w:color w:val="auto"/>
                      <w:spacing w:val="-10"/>
                      <w:sz w:val="18"/>
                      <w:szCs w:val="18"/>
                      <w:lang w:val="en-US" w:eastAsia="zh-CN"/>
                    </w:rPr>
                    <w:t>产生的噪声应符合GB12348的有关规定</w:t>
                  </w:r>
                  <w:r>
                    <w:rPr>
                      <w:rFonts w:hint="eastAsia" w:cs="Times New Roman"/>
                      <w:color w:val="auto"/>
                      <w:spacing w:val="-10"/>
                      <w:sz w:val="18"/>
                      <w:szCs w:val="18"/>
                      <w:lang w:val="en-US" w:eastAsia="zh-CN"/>
                    </w:rPr>
                    <w:t>，</w:t>
                  </w:r>
                  <w:r>
                    <w:rPr>
                      <w:rFonts w:hint="eastAsia" w:ascii="Times New Roman" w:hAnsi="Times New Roman" w:eastAsia="宋体" w:cs="Times New Roman"/>
                      <w:color w:val="auto"/>
                      <w:spacing w:val="-10"/>
                      <w:sz w:val="18"/>
                      <w:szCs w:val="18"/>
                      <w:lang w:val="en-US" w:eastAsia="zh-CN"/>
                    </w:rPr>
                    <w:t>处理后的粉尘应符合GB16297的有关规定</w:t>
                  </w:r>
                  <w:r>
                    <w:rPr>
                      <w:rFonts w:hint="eastAsia" w:cs="Times New Roman"/>
                      <w:color w:val="auto"/>
                      <w:spacing w:val="-10"/>
                      <w:sz w:val="18"/>
                      <w:szCs w:val="18"/>
                      <w:lang w:val="en-US" w:eastAsia="zh-CN"/>
                    </w:rPr>
                    <w:t>；</w:t>
                  </w:r>
                  <w:r>
                    <w:rPr>
                      <w:rFonts w:hint="eastAsia" w:ascii="Times New Roman" w:hAnsi="Times New Roman" w:eastAsia="宋体" w:cs="Times New Roman"/>
                      <w:color w:val="auto"/>
                      <w:spacing w:val="-10"/>
                      <w:sz w:val="18"/>
                      <w:szCs w:val="18"/>
                      <w:lang w:val="en-US" w:eastAsia="zh-CN"/>
                    </w:rPr>
                    <w:t>湿法破碎应配套污水收集处理设施</w:t>
                  </w:r>
                </w:p>
              </w:tc>
              <w:tc>
                <w:tcPr>
                  <w:tcW w:w="2884" w:type="dxa"/>
                  <w:vMerge w:val="continue"/>
                  <w:tcBorders>
                    <w:tl2br w:val="nil"/>
                    <w:tr2bl w:val="nil"/>
                  </w:tcBorders>
                  <w:shd w:val="clear" w:color="auto" w:fill="auto"/>
                  <w:vAlign w:val="center"/>
                </w:tcPr>
                <w:p w14:paraId="2611D4F6">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Times New Roman" w:hAnsi="Times New Roman" w:eastAsia="宋体" w:cs="Times New Roman"/>
                      <w:color w:val="auto"/>
                      <w:spacing w:val="-10"/>
                      <w:sz w:val="18"/>
                      <w:szCs w:val="18"/>
                      <w:lang w:val="en-US" w:eastAsia="zh-CN"/>
                    </w:rPr>
                  </w:pPr>
                </w:p>
              </w:tc>
              <w:tc>
                <w:tcPr>
                  <w:tcW w:w="704" w:type="dxa"/>
                  <w:vMerge w:val="continue"/>
                  <w:tcBorders>
                    <w:tl2br w:val="nil"/>
                    <w:tr2bl w:val="nil"/>
                  </w:tcBorders>
                  <w:shd w:val="clear" w:color="auto" w:fill="auto"/>
                  <w:vAlign w:val="center"/>
                </w:tcPr>
                <w:p w14:paraId="517B3D43">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Times New Roman" w:hAnsi="Times New Roman" w:eastAsia="宋体" w:cs="Times New Roman"/>
                      <w:color w:val="auto"/>
                      <w:spacing w:val="-10"/>
                      <w:sz w:val="18"/>
                      <w:szCs w:val="18"/>
                      <w:lang w:val="en-US" w:eastAsia="zh-CN"/>
                    </w:rPr>
                  </w:pPr>
                </w:p>
              </w:tc>
            </w:tr>
            <w:tr w14:paraId="68E50979">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exact"/>
              </w:trPr>
              <w:tc>
                <w:tcPr>
                  <w:tcW w:w="569" w:type="dxa"/>
                  <w:vMerge w:val="continue"/>
                  <w:tcBorders>
                    <w:tl2br w:val="nil"/>
                    <w:tr2bl w:val="nil"/>
                  </w:tcBorders>
                  <w:vAlign w:val="center"/>
                </w:tcPr>
                <w:p w14:paraId="22AD514E">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Times New Roman" w:hAnsi="Times New Roman" w:eastAsia="宋体" w:cs="Times New Roman"/>
                      <w:color w:val="auto"/>
                      <w:spacing w:val="-10"/>
                      <w:sz w:val="18"/>
                      <w:szCs w:val="18"/>
                      <w:lang w:val="en-US" w:eastAsia="zh-CN"/>
                    </w:rPr>
                  </w:pPr>
                </w:p>
              </w:tc>
              <w:tc>
                <w:tcPr>
                  <w:tcW w:w="1398" w:type="dxa"/>
                  <w:vMerge w:val="continue"/>
                  <w:tcBorders>
                    <w:tl2br w:val="nil"/>
                    <w:tr2bl w:val="nil"/>
                  </w:tcBorders>
                  <w:shd w:val="clear" w:color="auto" w:fill="auto"/>
                  <w:vAlign w:val="center"/>
                </w:tcPr>
                <w:p w14:paraId="36358553">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Times New Roman" w:hAnsi="Times New Roman" w:eastAsia="宋体" w:cs="Times New Roman"/>
                      <w:color w:val="auto"/>
                      <w:spacing w:val="-10"/>
                      <w:sz w:val="18"/>
                      <w:szCs w:val="18"/>
                      <w:lang w:val="en-US" w:eastAsia="zh-CN"/>
                    </w:rPr>
                  </w:pPr>
                </w:p>
              </w:tc>
              <w:tc>
                <w:tcPr>
                  <w:tcW w:w="914" w:type="dxa"/>
                  <w:vMerge w:val="continue"/>
                  <w:tcBorders>
                    <w:right w:val="single" w:color="auto" w:sz="4" w:space="0"/>
                    <w:tl2br w:val="nil"/>
                    <w:tr2bl w:val="nil"/>
                  </w:tcBorders>
                  <w:shd w:val="clear" w:color="auto" w:fill="auto"/>
                  <w:vAlign w:val="center"/>
                </w:tcPr>
                <w:p w14:paraId="3A42BE6F">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Times New Roman" w:hAnsi="Times New Roman" w:eastAsia="宋体" w:cs="Times New Roman"/>
                      <w:color w:val="auto"/>
                      <w:spacing w:val="-10"/>
                      <w:sz w:val="18"/>
                      <w:szCs w:val="18"/>
                      <w:lang w:val="en-US" w:eastAsia="zh-CN"/>
                    </w:rPr>
                  </w:pPr>
                </w:p>
              </w:tc>
              <w:tc>
                <w:tcPr>
                  <w:tcW w:w="5481" w:type="dxa"/>
                  <w:tcBorders>
                    <w:left w:val="single" w:color="auto" w:sz="4" w:space="0"/>
                    <w:tl2br w:val="nil"/>
                    <w:tr2bl w:val="nil"/>
                  </w:tcBorders>
                  <w:shd w:val="clear" w:color="auto" w:fill="auto"/>
                  <w:vAlign w:val="center"/>
                </w:tcPr>
                <w:p w14:paraId="0C87E4D0">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Times New Roman" w:hAnsi="Times New Roman" w:eastAsia="宋体" w:cs="Times New Roman"/>
                      <w:color w:val="auto"/>
                      <w:spacing w:val="-10"/>
                      <w:sz w:val="18"/>
                      <w:szCs w:val="18"/>
                      <w:lang w:val="en-US" w:eastAsia="zh-CN"/>
                    </w:rPr>
                  </w:pPr>
                  <w:r>
                    <w:rPr>
                      <w:rFonts w:hint="eastAsia" w:ascii="Times New Roman" w:hAnsi="Times New Roman" w:eastAsia="宋体" w:cs="Times New Roman"/>
                      <w:color w:val="auto"/>
                      <w:spacing w:val="-10"/>
                      <w:sz w:val="18"/>
                      <w:szCs w:val="18"/>
                      <w:lang w:val="en-US" w:eastAsia="zh-CN"/>
                    </w:rPr>
                    <w:t>废塑料的清洗场地应做防水、防渗漏处理,有特殊要求的地面应做防腐蚀处理</w:t>
                  </w:r>
                </w:p>
              </w:tc>
              <w:tc>
                <w:tcPr>
                  <w:tcW w:w="2884" w:type="dxa"/>
                  <w:vMerge w:val="continue"/>
                  <w:tcBorders>
                    <w:tl2br w:val="nil"/>
                    <w:tr2bl w:val="nil"/>
                  </w:tcBorders>
                  <w:shd w:val="clear" w:color="auto" w:fill="auto"/>
                  <w:vAlign w:val="center"/>
                </w:tcPr>
                <w:p w14:paraId="6FD282AE">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Times New Roman" w:hAnsi="Times New Roman" w:eastAsia="宋体" w:cs="Times New Roman"/>
                      <w:color w:val="auto"/>
                      <w:spacing w:val="-10"/>
                      <w:sz w:val="18"/>
                      <w:szCs w:val="18"/>
                      <w:lang w:val="en-US" w:eastAsia="zh-CN"/>
                    </w:rPr>
                  </w:pPr>
                </w:p>
              </w:tc>
              <w:tc>
                <w:tcPr>
                  <w:tcW w:w="704" w:type="dxa"/>
                  <w:vMerge w:val="continue"/>
                  <w:tcBorders>
                    <w:tl2br w:val="nil"/>
                    <w:tr2bl w:val="nil"/>
                  </w:tcBorders>
                  <w:shd w:val="clear" w:color="auto" w:fill="auto"/>
                  <w:vAlign w:val="center"/>
                </w:tcPr>
                <w:p w14:paraId="4C4FA38D">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Times New Roman" w:hAnsi="Times New Roman" w:eastAsia="宋体" w:cs="Times New Roman"/>
                      <w:color w:val="auto"/>
                      <w:spacing w:val="-10"/>
                      <w:sz w:val="18"/>
                      <w:szCs w:val="18"/>
                      <w:lang w:val="en-US" w:eastAsia="zh-CN"/>
                    </w:rPr>
                  </w:pPr>
                </w:p>
              </w:tc>
            </w:tr>
            <w:tr w14:paraId="5317138A">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582" w:hRule="atLeast"/>
              </w:trPr>
              <w:tc>
                <w:tcPr>
                  <w:tcW w:w="569" w:type="dxa"/>
                  <w:vMerge w:val="continue"/>
                  <w:tcBorders>
                    <w:tl2br w:val="nil"/>
                    <w:tr2bl w:val="nil"/>
                  </w:tcBorders>
                  <w:vAlign w:val="center"/>
                </w:tcPr>
                <w:p w14:paraId="656B38D1">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Times New Roman" w:hAnsi="Times New Roman" w:eastAsia="宋体" w:cs="Times New Roman"/>
                      <w:color w:val="auto"/>
                      <w:spacing w:val="-10"/>
                      <w:sz w:val="18"/>
                      <w:szCs w:val="18"/>
                      <w:lang w:val="en-US" w:eastAsia="zh-CN"/>
                    </w:rPr>
                  </w:pPr>
                </w:p>
              </w:tc>
              <w:tc>
                <w:tcPr>
                  <w:tcW w:w="1398" w:type="dxa"/>
                  <w:vMerge w:val="continue"/>
                  <w:tcBorders>
                    <w:tl2br w:val="nil"/>
                    <w:tr2bl w:val="nil"/>
                  </w:tcBorders>
                  <w:shd w:val="clear" w:color="auto" w:fill="auto"/>
                  <w:vAlign w:val="center"/>
                </w:tcPr>
                <w:p w14:paraId="4F992B25">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Times New Roman" w:hAnsi="Times New Roman" w:eastAsia="宋体" w:cs="Times New Roman"/>
                      <w:color w:val="auto"/>
                      <w:spacing w:val="-10"/>
                      <w:sz w:val="18"/>
                      <w:szCs w:val="18"/>
                      <w:lang w:val="en-US" w:eastAsia="zh-CN"/>
                    </w:rPr>
                  </w:pPr>
                </w:p>
              </w:tc>
              <w:tc>
                <w:tcPr>
                  <w:tcW w:w="914" w:type="dxa"/>
                  <w:vMerge w:val="continue"/>
                  <w:tcBorders>
                    <w:right w:val="single" w:color="auto" w:sz="4" w:space="0"/>
                    <w:tl2br w:val="nil"/>
                    <w:tr2bl w:val="nil"/>
                  </w:tcBorders>
                  <w:shd w:val="clear" w:color="auto" w:fill="auto"/>
                  <w:vAlign w:val="center"/>
                </w:tcPr>
                <w:p w14:paraId="15A9EB55">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Times New Roman" w:hAnsi="Times New Roman" w:eastAsia="宋体" w:cs="Times New Roman"/>
                      <w:color w:val="auto"/>
                      <w:spacing w:val="-10"/>
                      <w:sz w:val="18"/>
                      <w:szCs w:val="18"/>
                      <w:lang w:val="en-US" w:eastAsia="zh-CN"/>
                    </w:rPr>
                  </w:pPr>
                </w:p>
              </w:tc>
              <w:tc>
                <w:tcPr>
                  <w:tcW w:w="5481" w:type="dxa"/>
                  <w:tcBorders>
                    <w:left w:val="single" w:color="auto" w:sz="4" w:space="0"/>
                    <w:tl2br w:val="nil"/>
                    <w:tr2bl w:val="nil"/>
                  </w:tcBorders>
                  <w:shd w:val="clear" w:color="auto" w:fill="auto"/>
                  <w:vAlign w:val="center"/>
                </w:tcPr>
                <w:p w14:paraId="0256D315">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Times New Roman" w:hAnsi="Times New Roman" w:eastAsia="宋体" w:cs="Times New Roman"/>
                      <w:color w:val="auto"/>
                      <w:spacing w:val="-10"/>
                      <w:sz w:val="18"/>
                      <w:szCs w:val="18"/>
                      <w:lang w:val="en-US" w:eastAsia="zh-CN"/>
                    </w:rPr>
                  </w:pPr>
                  <w:r>
                    <w:rPr>
                      <w:rFonts w:hint="eastAsia" w:ascii="Times New Roman" w:hAnsi="Times New Roman" w:eastAsia="宋体" w:cs="Times New Roman"/>
                      <w:color w:val="auto"/>
                      <w:spacing w:val="-10"/>
                      <w:sz w:val="18"/>
                      <w:szCs w:val="18"/>
                      <w:lang w:val="en-US" w:eastAsia="zh-CN"/>
                    </w:rPr>
                    <w:t>废塑料的清洗方法可分为物理清洗和化学清洗</w:t>
                  </w:r>
                  <w:r>
                    <w:rPr>
                      <w:rFonts w:hint="eastAsia" w:cs="Times New Roman"/>
                      <w:color w:val="auto"/>
                      <w:spacing w:val="-10"/>
                      <w:sz w:val="18"/>
                      <w:szCs w:val="18"/>
                      <w:lang w:val="en-US" w:eastAsia="zh-CN"/>
                    </w:rPr>
                    <w:t>，</w:t>
                  </w:r>
                  <w:r>
                    <w:rPr>
                      <w:rFonts w:hint="eastAsia" w:ascii="Times New Roman" w:hAnsi="Times New Roman" w:eastAsia="宋体" w:cs="Times New Roman"/>
                      <w:color w:val="auto"/>
                      <w:spacing w:val="-10"/>
                      <w:sz w:val="18"/>
                      <w:szCs w:val="18"/>
                      <w:lang w:val="en-US" w:eastAsia="zh-CN"/>
                    </w:rPr>
                    <w:t>应根据废塑料来源和污染情况选择清洗工艺</w:t>
                  </w:r>
                  <w:r>
                    <w:rPr>
                      <w:rFonts w:hint="eastAsia" w:cs="Times New Roman"/>
                      <w:color w:val="auto"/>
                      <w:spacing w:val="-10"/>
                      <w:sz w:val="18"/>
                      <w:szCs w:val="18"/>
                      <w:lang w:val="en-US" w:eastAsia="zh-CN"/>
                    </w:rPr>
                    <w:t>；</w:t>
                  </w:r>
                  <w:r>
                    <w:rPr>
                      <w:rFonts w:hint="eastAsia" w:ascii="Times New Roman" w:hAnsi="Times New Roman" w:eastAsia="宋体" w:cs="Times New Roman"/>
                      <w:color w:val="auto"/>
                      <w:spacing w:val="-10"/>
                      <w:sz w:val="18"/>
                      <w:szCs w:val="18"/>
                      <w:lang w:val="en-US" w:eastAsia="zh-CN"/>
                    </w:rPr>
                    <w:t>宜采用高效节水的机械清洗技术和无磷清洗剂</w:t>
                  </w:r>
                  <w:r>
                    <w:rPr>
                      <w:rFonts w:hint="eastAsia" w:cs="Times New Roman"/>
                      <w:color w:val="auto"/>
                      <w:spacing w:val="-10"/>
                      <w:sz w:val="18"/>
                      <w:szCs w:val="18"/>
                      <w:lang w:val="en-US" w:eastAsia="zh-CN"/>
                    </w:rPr>
                    <w:t>，</w:t>
                  </w:r>
                  <w:r>
                    <w:rPr>
                      <w:rFonts w:hint="eastAsia" w:ascii="Times New Roman" w:hAnsi="Times New Roman" w:eastAsia="宋体" w:cs="Times New Roman"/>
                      <w:color w:val="auto"/>
                      <w:spacing w:val="-10"/>
                      <w:sz w:val="18"/>
                      <w:szCs w:val="18"/>
                      <w:lang w:val="en-US" w:eastAsia="zh-CN"/>
                    </w:rPr>
                    <w:t>不得使用有毒有害的化学清洗剂</w:t>
                  </w:r>
                </w:p>
              </w:tc>
              <w:tc>
                <w:tcPr>
                  <w:tcW w:w="2884" w:type="dxa"/>
                  <w:vMerge w:val="continue"/>
                  <w:tcBorders>
                    <w:tl2br w:val="nil"/>
                    <w:tr2bl w:val="nil"/>
                  </w:tcBorders>
                  <w:shd w:val="clear" w:color="auto" w:fill="auto"/>
                  <w:vAlign w:val="center"/>
                </w:tcPr>
                <w:p w14:paraId="3B45B17E">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Times New Roman" w:hAnsi="Times New Roman" w:eastAsia="宋体" w:cs="Times New Roman"/>
                      <w:color w:val="auto"/>
                      <w:spacing w:val="-10"/>
                      <w:sz w:val="18"/>
                      <w:szCs w:val="18"/>
                      <w:lang w:val="en-US" w:eastAsia="zh-CN"/>
                    </w:rPr>
                  </w:pPr>
                </w:p>
              </w:tc>
              <w:tc>
                <w:tcPr>
                  <w:tcW w:w="704" w:type="dxa"/>
                  <w:vMerge w:val="continue"/>
                  <w:tcBorders>
                    <w:tl2br w:val="nil"/>
                    <w:tr2bl w:val="nil"/>
                  </w:tcBorders>
                  <w:shd w:val="clear" w:color="auto" w:fill="auto"/>
                  <w:vAlign w:val="center"/>
                </w:tcPr>
                <w:p w14:paraId="223FCC76">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Times New Roman" w:hAnsi="Times New Roman" w:eastAsia="宋体" w:cs="Times New Roman"/>
                      <w:color w:val="auto"/>
                      <w:spacing w:val="-10"/>
                      <w:sz w:val="18"/>
                      <w:szCs w:val="18"/>
                      <w:lang w:val="en-US" w:eastAsia="zh-CN"/>
                    </w:rPr>
                  </w:pPr>
                </w:p>
              </w:tc>
            </w:tr>
            <w:tr w14:paraId="649C9B16">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exact"/>
              </w:trPr>
              <w:tc>
                <w:tcPr>
                  <w:tcW w:w="569" w:type="dxa"/>
                  <w:vMerge w:val="continue"/>
                  <w:tcBorders>
                    <w:tl2br w:val="nil"/>
                    <w:tr2bl w:val="nil"/>
                  </w:tcBorders>
                  <w:vAlign w:val="center"/>
                </w:tcPr>
                <w:p w14:paraId="32AD9529">
                  <w:pPr>
                    <w:spacing w:line="240" w:lineRule="exact"/>
                    <w:jc w:val="center"/>
                    <w:rPr>
                      <w:rFonts w:hint="eastAsia" w:cs="Times New Roman"/>
                      <w:color w:val="auto"/>
                      <w:spacing w:val="-10"/>
                      <w:sz w:val="18"/>
                      <w:szCs w:val="18"/>
                      <w:highlight w:val="none"/>
                      <w:lang w:val="en-US" w:eastAsia="zh-CN"/>
                    </w:rPr>
                  </w:pPr>
                </w:p>
              </w:tc>
              <w:tc>
                <w:tcPr>
                  <w:tcW w:w="1398" w:type="dxa"/>
                  <w:vMerge w:val="continue"/>
                  <w:tcBorders>
                    <w:tl2br w:val="nil"/>
                    <w:tr2bl w:val="nil"/>
                  </w:tcBorders>
                  <w:shd w:val="clear" w:color="auto" w:fill="auto"/>
                  <w:vAlign w:val="center"/>
                </w:tcPr>
                <w:p w14:paraId="0F459407">
                  <w:pPr>
                    <w:spacing w:line="240" w:lineRule="exact"/>
                    <w:jc w:val="center"/>
                    <w:rPr>
                      <w:rFonts w:hint="eastAsia" w:ascii="Times New Roman" w:hAnsi="Times New Roman" w:eastAsia="宋体" w:cs="Times New Roman"/>
                      <w:color w:val="auto"/>
                      <w:spacing w:val="-10"/>
                      <w:sz w:val="18"/>
                      <w:szCs w:val="18"/>
                      <w:lang w:val="en-US" w:eastAsia="zh-CN"/>
                    </w:rPr>
                  </w:pPr>
                </w:p>
              </w:tc>
              <w:tc>
                <w:tcPr>
                  <w:tcW w:w="914" w:type="dxa"/>
                  <w:vMerge w:val="continue"/>
                  <w:tcBorders>
                    <w:right w:val="single" w:color="auto" w:sz="4" w:space="0"/>
                    <w:tl2br w:val="nil"/>
                    <w:tr2bl w:val="nil"/>
                  </w:tcBorders>
                  <w:shd w:val="clear" w:color="auto" w:fill="auto"/>
                  <w:vAlign w:val="center"/>
                </w:tcPr>
                <w:p w14:paraId="220C7612">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Times New Roman" w:hAnsi="Times New Roman" w:eastAsia="宋体" w:cs="Times New Roman"/>
                      <w:color w:val="auto"/>
                      <w:spacing w:val="-10"/>
                      <w:sz w:val="18"/>
                      <w:szCs w:val="18"/>
                      <w:lang w:val="en-US" w:eastAsia="zh-CN"/>
                    </w:rPr>
                  </w:pPr>
                </w:p>
              </w:tc>
              <w:tc>
                <w:tcPr>
                  <w:tcW w:w="5481" w:type="dxa"/>
                  <w:tcBorders>
                    <w:left w:val="single" w:color="auto" w:sz="4" w:space="0"/>
                    <w:tl2br w:val="nil"/>
                    <w:tr2bl w:val="nil"/>
                  </w:tcBorders>
                  <w:shd w:val="clear" w:color="auto" w:fill="auto"/>
                  <w:vAlign w:val="center"/>
                </w:tcPr>
                <w:p w14:paraId="452BBCEB">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Times New Roman" w:hAnsi="Times New Roman" w:eastAsia="宋体" w:cs="Times New Roman"/>
                      <w:color w:val="auto"/>
                      <w:spacing w:val="-10"/>
                      <w:sz w:val="18"/>
                      <w:szCs w:val="18"/>
                      <w:lang w:val="en-US" w:eastAsia="zh-CN"/>
                    </w:rPr>
                  </w:pPr>
                  <w:r>
                    <w:rPr>
                      <w:rFonts w:hint="eastAsia" w:ascii="Times New Roman" w:hAnsi="Times New Roman" w:eastAsia="宋体" w:cs="Times New Roman"/>
                      <w:color w:val="auto"/>
                      <w:spacing w:val="-10"/>
                      <w:sz w:val="18"/>
                      <w:szCs w:val="18"/>
                      <w:lang w:val="en-US" w:eastAsia="zh-CN"/>
                    </w:rPr>
                    <w:t>分拣后的废塑料应采用独立完整的包装</w:t>
                  </w:r>
                </w:p>
              </w:tc>
              <w:tc>
                <w:tcPr>
                  <w:tcW w:w="2884" w:type="dxa"/>
                  <w:vMerge w:val="continue"/>
                  <w:tcBorders>
                    <w:tl2br w:val="nil"/>
                    <w:tr2bl w:val="nil"/>
                  </w:tcBorders>
                  <w:shd w:val="clear" w:color="auto" w:fill="auto"/>
                  <w:vAlign w:val="center"/>
                </w:tcPr>
                <w:p w14:paraId="6968D313">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cs="Times New Roman"/>
                      <w:color w:val="auto"/>
                      <w:spacing w:val="-10"/>
                      <w:sz w:val="18"/>
                      <w:szCs w:val="18"/>
                      <w:highlight w:val="none"/>
                      <w:lang w:val="en-US" w:eastAsia="zh-CN"/>
                    </w:rPr>
                  </w:pPr>
                </w:p>
              </w:tc>
              <w:tc>
                <w:tcPr>
                  <w:tcW w:w="704" w:type="dxa"/>
                  <w:vMerge w:val="continue"/>
                  <w:tcBorders>
                    <w:tl2br w:val="nil"/>
                    <w:tr2bl w:val="nil"/>
                  </w:tcBorders>
                  <w:shd w:val="clear" w:color="auto" w:fill="auto"/>
                  <w:vAlign w:val="center"/>
                </w:tcPr>
                <w:p w14:paraId="4A960CCD">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Times New Roman" w:hAnsi="Times New Roman" w:eastAsia="宋体" w:cs="Times New Roman"/>
                      <w:color w:val="auto"/>
                      <w:spacing w:val="-10"/>
                      <w:sz w:val="18"/>
                      <w:szCs w:val="18"/>
                      <w:highlight w:val="none"/>
                      <w:lang w:val="en-US" w:eastAsia="zh-CN"/>
                    </w:rPr>
                  </w:pPr>
                </w:p>
              </w:tc>
            </w:tr>
            <w:tr w14:paraId="38131D66">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78" w:hRule="atLeast"/>
              </w:trPr>
              <w:tc>
                <w:tcPr>
                  <w:tcW w:w="569" w:type="dxa"/>
                  <w:vMerge w:val="continue"/>
                  <w:tcBorders>
                    <w:tl2br w:val="nil"/>
                    <w:tr2bl w:val="nil"/>
                  </w:tcBorders>
                  <w:vAlign w:val="center"/>
                </w:tcPr>
                <w:p w14:paraId="0746FDFD">
                  <w:pPr>
                    <w:spacing w:line="240" w:lineRule="exact"/>
                    <w:jc w:val="center"/>
                    <w:rPr>
                      <w:rFonts w:hint="eastAsia" w:cs="Times New Roman"/>
                      <w:color w:val="auto"/>
                      <w:spacing w:val="-10"/>
                      <w:sz w:val="18"/>
                      <w:szCs w:val="18"/>
                      <w:highlight w:val="none"/>
                      <w:lang w:val="en-US" w:eastAsia="zh-CN"/>
                    </w:rPr>
                  </w:pPr>
                </w:p>
              </w:tc>
              <w:tc>
                <w:tcPr>
                  <w:tcW w:w="1398" w:type="dxa"/>
                  <w:vMerge w:val="continue"/>
                  <w:tcBorders>
                    <w:tl2br w:val="nil"/>
                    <w:tr2bl w:val="nil"/>
                  </w:tcBorders>
                  <w:shd w:val="clear" w:color="auto" w:fill="auto"/>
                  <w:vAlign w:val="center"/>
                </w:tcPr>
                <w:p w14:paraId="5675196F">
                  <w:pPr>
                    <w:spacing w:line="240" w:lineRule="exact"/>
                    <w:jc w:val="center"/>
                    <w:rPr>
                      <w:rFonts w:hint="eastAsia" w:ascii="Times New Roman" w:hAnsi="Times New Roman" w:eastAsia="宋体" w:cs="Times New Roman"/>
                      <w:color w:val="auto"/>
                      <w:spacing w:val="-10"/>
                      <w:sz w:val="18"/>
                      <w:szCs w:val="18"/>
                      <w:lang w:val="en-US" w:eastAsia="zh-CN"/>
                    </w:rPr>
                  </w:pPr>
                </w:p>
              </w:tc>
              <w:tc>
                <w:tcPr>
                  <w:tcW w:w="914" w:type="dxa"/>
                  <w:vMerge w:val="continue"/>
                  <w:tcBorders>
                    <w:right w:val="single" w:color="auto" w:sz="4" w:space="0"/>
                    <w:tl2br w:val="nil"/>
                    <w:tr2bl w:val="nil"/>
                  </w:tcBorders>
                  <w:shd w:val="clear" w:color="auto" w:fill="auto"/>
                  <w:vAlign w:val="center"/>
                </w:tcPr>
                <w:p w14:paraId="7FE8591D">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Times New Roman" w:hAnsi="Times New Roman" w:eastAsia="宋体" w:cs="Times New Roman"/>
                      <w:color w:val="auto"/>
                      <w:spacing w:val="-10"/>
                      <w:sz w:val="18"/>
                      <w:szCs w:val="18"/>
                      <w:lang w:val="en-US" w:eastAsia="zh-CN"/>
                    </w:rPr>
                  </w:pPr>
                </w:p>
              </w:tc>
              <w:tc>
                <w:tcPr>
                  <w:tcW w:w="5481" w:type="dxa"/>
                  <w:tcBorders>
                    <w:left w:val="single" w:color="auto" w:sz="4" w:space="0"/>
                    <w:tl2br w:val="nil"/>
                    <w:tr2bl w:val="nil"/>
                  </w:tcBorders>
                  <w:shd w:val="clear" w:color="auto" w:fill="auto"/>
                  <w:vAlign w:val="center"/>
                </w:tcPr>
                <w:p w14:paraId="27F71AF8">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ascii="Times New Roman" w:hAnsi="Times New Roman" w:eastAsia="宋体" w:cs="Times New Roman"/>
                      <w:color w:val="auto"/>
                      <w:spacing w:val="-10"/>
                      <w:sz w:val="18"/>
                      <w:szCs w:val="18"/>
                      <w:lang w:val="en-US" w:eastAsia="zh-CN"/>
                    </w:rPr>
                  </w:pPr>
                  <w:r>
                    <w:rPr>
                      <w:rFonts w:hint="eastAsia" w:ascii="Times New Roman" w:hAnsi="Times New Roman" w:eastAsia="宋体" w:cs="Times New Roman"/>
                      <w:color w:val="auto"/>
                      <w:spacing w:val="-10"/>
                      <w:sz w:val="18"/>
                      <w:szCs w:val="18"/>
                      <w:lang w:val="en-US" w:eastAsia="zh-CN"/>
                    </w:rPr>
                    <w:t>废塑料分拣过程中产生的废水</w:t>
                  </w:r>
                  <w:r>
                    <w:rPr>
                      <w:rFonts w:hint="eastAsia" w:cs="Times New Roman"/>
                      <w:color w:val="auto"/>
                      <w:spacing w:val="-10"/>
                      <w:sz w:val="18"/>
                      <w:szCs w:val="18"/>
                      <w:lang w:val="en-US" w:eastAsia="zh-CN"/>
                    </w:rPr>
                    <w:t>，</w:t>
                  </w:r>
                  <w:r>
                    <w:rPr>
                      <w:rFonts w:hint="eastAsia" w:ascii="Times New Roman" w:hAnsi="Times New Roman" w:eastAsia="宋体" w:cs="Times New Roman"/>
                      <w:color w:val="auto"/>
                      <w:spacing w:val="-10"/>
                      <w:sz w:val="18"/>
                      <w:szCs w:val="18"/>
                      <w:lang w:val="en-US" w:eastAsia="zh-CN"/>
                    </w:rPr>
                    <w:t>应进行污水净化处理</w:t>
                  </w:r>
                  <w:r>
                    <w:rPr>
                      <w:rFonts w:hint="eastAsia" w:cs="Times New Roman"/>
                      <w:color w:val="auto"/>
                      <w:spacing w:val="-10"/>
                      <w:sz w:val="18"/>
                      <w:szCs w:val="18"/>
                      <w:lang w:val="en-US" w:eastAsia="zh-CN"/>
                    </w:rPr>
                    <w:t>，</w:t>
                  </w:r>
                  <w:r>
                    <w:rPr>
                      <w:rFonts w:hint="eastAsia" w:ascii="Times New Roman" w:hAnsi="Times New Roman" w:eastAsia="宋体" w:cs="Times New Roman"/>
                      <w:color w:val="auto"/>
                      <w:spacing w:val="-10"/>
                      <w:sz w:val="18"/>
                      <w:szCs w:val="18"/>
                      <w:lang w:val="en-US" w:eastAsia="zh-CN"/>
                    </w:rPr>
                    <w:t>处理后的水应作为中水循环再利用</w:t>
                  </w:r>
                  <w:r>
                    <w:rPr>
                      <w:rFonts w:hint="eastAsia" w:cs="Times New Roman"/>
                      <w:color w:val="auto"/>
                      <w:spacing w:val="-10"/>
                      <w:sz w:val="18"/>
                      <w:szCs w:val="18"/>
                      <w:lang w:val="en-US" w:eastAsia="zh-CN"/>
                    </w:rPr>
                    <w:t>；</w:t>
                  </w:r>
                  <w:r>
                    <w:rPr>
                      <w:rFonts w:hint="eastAsia" w:ascii="Times New Roman" w:hAnsi="Times New Roman" w:eastAsia="宋体" w:cs="Times New Roman"/>
                      <w:color w:val="auto"/>
                      <w:spacing w:val="-10"/>
                      <w:sz w:val="18"/>
                      <w:szCs w:val="18"/>
                      <w:lang w:val="en-US" w:eastAsia="zh-CN"/>
                    </w:rPr>
                    <w:t>污水排放应符合GB8978或地方相关标准的有关规定。</w:t>
                  </w:r>
                </w:p>
              </w:tc>
              <w:tc>
                <w:tcPr>
                  <w:tcW w:w="2884" w:type="dxa"/>
                  <w:vMerge w:val="continue"/>
                  <w:tcBorders>
                    <w:tl2br w:val="nil"/>
                    <w:tr2bl w:val="nil"/>
                  </w:tcBorders>
                  <w:shd w:val="clear" w:color="auto" w:fill="auto"/>
                  <w:vAlign w:val="center"/>
                </w:tcPr>
                <w:p w14:paraId="2021C3C3">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eastAsia" w:cs="Times New Roman"/>
                      <w:color w:val="auto"/>
                      <w:spacing w:val="-10"/>
                      <w:sz w:val="18"/>
                      <w:szCs w:val="18"/>
                      <w:highlight w:val="none"/>
                      <w:lang w:val="en-US" w:eastAsia="zh-CN"/>
                    </w:rPr>
                  </w:pPr>
                </w:p>
              </w:tc>
              <w:tc>
                <w:tcPr>
                  <w:tcW w:w="704" w:type="dxa"/>
                  <w:vMerge w:val="continue"/>
                  <w:tcBorders>
                    <w:tl2br w:val="nil"/>
                    <w:tr2bl w:val="nil"/>
                  </w:tcBorders>
                  <w:shd w:val="clear" w:color="auto" w:fill="auto"/>
                  <w:vAlign w:val="center"/>
                </w:tcPr>
                <w:p w14:paraId="4D5E8776">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eastAsia" w:ascii="Times New Roman" w:hAnsi="Times New Roman" w:eastAsia="宋体" w:cs="Times New Roman"/>
                      <w:color w:val="auto"/>
                      <w:spacing w:val="-10"/>
                      <w:sz w:val="18"/>
                      <w:szCs w:val="18"/>
                      <w:highlight w:val="none"/>
                      <w:lang w:val="en-US" w:eastAsia="zh-CN"/>
                    </w:rPr>
                  </w:pPr>
                </w:p>
              </w:tc>
            </w:tr>
          </w:tbl>
          <w:p w14:paraId="38FB1BD6">
            <w:pPr>
              <w:pStyle w:val="24"/>
              <w:jc w:val="center"/>
              <w:outlineLvl w:val="0"/>
              <w:rPr>
                <w:rFonts w:hint="eastAsia" w:ascii="黑体" w:hAnsi="黑体" w:eastAsia="黑体"/>
                <w:snapToGrid w:val="0"/>
                <w:color w:val="auto"/>
                <w:sz w:val="30"/>
                <w:szCs w:val="30"/>
                <w:vertAlign w:val="baseline"/>
              </w:rPr>
            </w:pPr>
          </w:p>
          <w:p w14:paraId="3FF95557">
            <w:pPr>
              <w:pStyle w:val="24"/>
              <w:jc w:val="center"/>
              <w:outlineLvl w:val="0"/>
              <w:rPr>
                <w:rFonts w:hint="eastAsia" w:ascii="黑体" w:hAnsi="黑体" w:eastAsia="黑体"/>
                <w:snapToGrid w:val="0"/>
                <w:color w:val="auto"/>
                <w:sz w:val="30"/>
                <w:szCs w:val="30"/>
                <w:vertAlign w:val="baseline"/>
              </w:rPr>
            </w:pPr>
          </w:p>
        </w:tc>
      </w:tr>
    </w:tbl>
    <w:p w14:paraId="29D1F3BC">
      <w:pPr>
        <w:pStyle w:val="35"/>
        <w:rPr>
          <w:color w:val="auto"/>
        </w:rPr>
        <w:sectPr>
          <w:pgSz w:w="16838" w:h="11905" w:orient="landscape"/>
          <w:pgMar w:top="1531" w:right="1701" w:bottom="1531" w:left="1701" w:header="851" w:footer="1077" w:gutter="0"/>
          <w:pgBorders>
            <w:top w:val="none" w:sz="0" w:space="0"/>
            <w:left w:val="none" w:sz="0" w:space="0"/>
            <w:bottom w:val="none" w:sz="0" w:space="0"/>
            <w:right w:val="none" w:sz="0" w:space="0"/>
          </w:pgBorders>
          <w:cols w:space="0" w:num="1"/>
          <w:rtlGutter w:val="0"/>
          <w:docGrid w:linePitch="312" w:charSpace="0"/>
        </w:sectPr>
      </w:pPr>
    </w:p>
    <w:p w14:paraId="01BFC47D">
      <w:pPr>
        <w:pStyle w:val="24"/>
        <w:keepNext w:val="0"/>
        <w:keepLines w:val="0"/>
        <w:pageBreakBefore w:val="0"/>
        <w:widowControl/>
        <w:kinsoku/>
        <w:wordWrap/>
        <w:overflowPunct/>
        <w:topLinePunct w:val="0"/>
        <w:autoSpaceDE/>
        <w:autoSpaceDN/>
        <w:bidi w:val="0"/>
        <w:adjustRightInd/>
        <w:snapToGrid/>
        <w:jc w:val="center"/>
        <w:textAlignment w:val="auto"/>
        <w:outlineLvl w:val="0"/>
        <w:rPr>
          <w:rFonts w:ascii="黑体" w:hAnsi="黑体" w:eastAsia="黑体"/>
          <w:snapToGrid w:val="0"/>
          <w:color w:val="auto"/>
          <w:sz w:val="30"/>
          <w:szCs w:val="30"/>
        </w:rPr>
      </w:pPr>
      <w:bookmarkStart w:id="11" w:name="_Toc18599"/>
      <w:r>
        <w:rPr>
          <w:rFonts w:hint="eastAsia" w:ascii="黑体" w:hAnsi="黑体" w:eastAsia="黑体"/>
          <w:snapToGrid w:val="0"/>
          <w:color w:val="auto"/>
          <w:sz w:val="30"/>
          <w:szCs w:val="30"/>
        </w:rPr>
        <w:t>二、建设项目工程分析</w:t>
      </w:r>
      <w:bookmarkEnd w:id="11"/>
    </w:p>
    <w:tbl>
      <w:tblPr>
        <w:tblStyle w:val="28"/>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823"/>
        <w:gridCol w:w="8161"/>
      </w:tblGrid>
      <w:tr w14:paraId="739B83C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70" w:hRule="atLeast"/>
          <w:jc w:val="center"/>
        </w:trPr>
        <w:tc>
          <w:tcPr>
            <w:tcW w:w="823" w:type="dxa"/>
            <w:vAlign w:val="center"/>
          </w:tcPr>
          <w:p w14:paraId="25A7ABC1">
            <w:pPr>
              <w:pStyle w:val="24"/>
              <w:adjustRightInd w:val="0"/>
              <w:snapToGrid w:val="0"/>
              <w:spacing w:before="0" w:beforeAutospacing="0" w:after="0" w:afterAutospacing="0"/>
              <w:jc w:val="center"/>
              <w:rPr>
                <w:rFonts w:cs="宋体"/>
                <w:color w:val="auto"/>
                <w:sz w:val="21"/>
                <w:szCs w:val="21"/>
              </w:rPr>
            </w:pPr>
            <w:r>
              <w:rPr>
                <w:rFonts w:hint="eastAsia" w:cs="宋体"/>
                <w:color w:val="auto"/>
                <w:sz w:val="21"/>
                <w:szCs w:val="21"/>
              </w:rPr>
              <w:t>建设内容</w:t>
            </w:r>
          </w:p>
        </w:tc>
        <w:tc>
          <w:tcPr>
            <w:tcW w:w="8161" w:type="dxa"/>
          </w:tcPr>
          <w:p w14:paraId="37CCC747">
            <w:pPr>
              <w:pStyle w:val="24"/>
              <w:keepNext w:val="0"/>
              <w:keepLines w:val="0"/>
              <w:pageBreakBefore w:val="0"/>
              <w:widowControl/>
              <w:kinsoku/>
              <w:wordWrap/>
              <w:overflowPunct/>
              <w:topLinePunct w:val="0"/>
              <w:autoSpaceDE/>
              <w:autoSpaceDN/>
              <w:bidi w:val="0"/>
              <w:adjustRightInd w:val="0"/>
              <w:snapToGrid w:val="0"/>
              <w:spacing w:before="0" w:beforeAutospacing="0" w:after="0" w:afterAutospacing="0" w:line="420" w:lineRule="exact"/>
              <w:ind w:firstLine="422" w:firstLineChars="200"/>
              <w:textAlignment w:val="auto"/>
              <w:rPr>
                <w:rFonts w:hint="eastAsia" w:ascii="Times New Roman" w:hAnsi="Times New Roman"/>
                <w:b/>
                <w:color w:val="auto"/>
                <w:sz w:val="21"/>
                <w:szCs w:val="21"/>
              </w:rPr>
            </w:pPr>
            <w:r>
              <w:rPr>
                <w:rFonts w:hint="eastAsia" w:ascii="Times New Roman" w:hAnsi="Times New Roman"/>
                <w:b/>
                <w:color w:val="auto"/>
                <w:sz w:val="21"/>
                <w:szCs w:val="21"/>
              </w:rPr>
              <w:t>1</w:t>
            </w:r>
            <w:r>
              <w:rPr>
                <w:rFonts w:hint="eastAsia" w:ascii="Times New Roman" w:hAnsi="Times New Roman"/>
                <w:b/>
                <w:color w:val="auto"/>
                <w:sz w:val="21"/>
                <w:szCs w:val="21"/>
                <w:lang w:val="en-US" w:eastAsia="zh-CN"/>
              </w:rPr>
              <w:t>.</w:t>
            </w:r>
            <w:r>
              <w:rPr>
                <w:rFonts w:hint="eastAsia" w:ascii="Times New Roman" w:hAnsi="Times New Roman"/>
                <w:b/>
                <w:color w:val="auto"/>
                <w:sz w:val="21"/>
                <w:szCs w:val="21"/>
              </w:rPr>
              <w:t>项目由来及建设必要性</w:t>
            </w:r>
          </w:p>
          <w:p w14:paraId="7C1E5D83">
            <w:pPr>
              <w:pStyle w:val="24"/>
              <w:keepNext w:val="0"/>
              <w:keepLines w:val="0"/>
              <w:pageBreakBefore w:val="0"/>
              <w:widowControl/>
              <w:kinsoku/>
              <w:wordWrap/>
              <w:overflowPunct/>
              <w:topLinePunct w:val="0"/>
              <w:autoSpaceDE/>
              <w:autoSpaceDN/>
              <w:bidi w:val="0"/>
              <w:adjustRightInd w:val="0"/>
              <w:snapToGrid w:val="0"/>
              <w:spacing w:before="0" w:beforeAutospacing="0" w:after="0" w:afterAutospacing="0" w:line="420" w:lineRule="exact"/>
              <w:ind w:firstLine="420" w:firstLineChars="200"/>
              <w:textAlignment w:val="auto"/>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根据《中华人民共和国固体废物污染环境防治法》以及《关于“十四五”大宗固体废弃物综合利用的指导意见》（发改环资</w:t>
            </w:r>
            <w:r>
              <w:rPr>
                <w:rFonts w:hint="default" w:ascii="Times New Roman" w:hAnsi="Times New Roman" w:eastAsia="宋体" w:cs="Times New Roman"/>
                <w:color w:val="auto"/>
                <w:sz w:val="21"/>
                <w:szCs w:val="21"/>
                <w:lang w:val="en-US" w:eastAsia="zh-CN"/>
              </w:rPr>
              <w:t>[2021]381</w:t>
            </w:r>
            <w:r>
              <w:rPr>
                <w:rFonts w:hint="eastAsia" w:ascii="Times New Roman" w:hAnsi="Times New Roman" w:eastAsia="宋体" w:cs="Times New Roman"/>
                <w:color w:val="auto"/>
                <w:sz w:val="21"/>
                <w:szCs w:val="21"/>
                <w:lang w:val="en-US" w:eastAsia="zh-CN"/>
              </w:rPr>
              <w:t>号）以及《河北建设省“十四五”大宗固体废弃物综合利用实施方案》（冀发改环资〔</w:t>
            </w:r>
            <w:r>
              <w:rPr>
                <w:rFonts w:hint="default" w:ascii="Times New Roman" w:hAnsi="Times New Roman" w:eastAsia="宋体" w:cs="Times New Roman"/>
                <w:color w:val="auto"/>
                <w:sz w:val="21"/>
                <w:szCs w:val="21"/>
                <w:lang w:val="en-US" w:eastAsia="zh-CN"/>
              </w:rPr>
              <w:t>2021</w:t>
            </w:r>
            <w:r>
              <w:rPr>
                <w:rFonts w:hint="eastAsia" w:ascii="Times New Roman" w:hAnsi="Times New Roman" w:eastAsia="宋体" w:cs="Times New Roman"/>
                <w:color w:val="auto"/>
                <w:sz w:val="21"/>
                <w:szCs w:val="21"/>
                <w:lang w:val="en-US" w:eastAsia="zh-CN"/>
              </w:rPr>
              <w:t>〕</w:t>
            </w:r>
            <w:r>
              <w:rPr>
                <w:rFonts w:hint="default" w:ascii="Times New Roman" w:hAnsi="Times New Roman" w:eastAsia="宋体" w:cs="Times New Roman"/>
                <w:color w:val="auto"/>
                <w:sz w:val="21"/>
                <w:szCs w:val="21"/>
                <w:lang w:val="en-US" w:eastAsia="zh-CN"/>
              </w:rPr>
              <w:t>881</w:t>
            </w:r>
            <w:r>
              <w:rPr>
                <w:rFonts w:hint="eastAsia" w:ascii="Times New Roman" w:hAnsi="Times New Roman" w:eastAsia="宋体" w:cs="Times New Roman"/>
                <w:color w:val="auto"/>
                <w:sz w:val="21"/>
                <w:szCs w:val="21"/>
                <w:lang w:val="en-US" w:eastAsia="zh-CN"/>
              </w:rPr>
              <w:t>内容号），《关于印发河北省“十四五”时期“无废城市”建设工作方案的通知》 （冀政办字〔</w:t>
            </w:r>
            <w:r>
              <w:rPr>
                <w:rFonts w:hint="default" w:ascii="Times New Roman" w:hAnsi="Times New Roman" w:eastAsia="宋体" w:cs="Times New Roman"/>
                <w:color w:val="auto"/>
                <w:sz w:val="21"/>
                <w:szCs w:val="21"/>
                <w:lang w:val="en-US" w:eastAsia="zh-CN"/>
              </w:rPr>
              <w:t>2022</w:t>
            </w:r>
            <w:r>
              <w:rPr>
                <w:rFonts w:hint="eastAsia" w:ascii="Times New Roman" w:hAnsi="Times New Roman" w:eastAsia="宋体" w:cs="Times New Roman"/>
                <w:color w:val="auto"/>
                <w:sz w:val="21"/>
                <w:szCs w:val="21"/>
                <w:lang w:val="en-US" w:eastAsia="zh-CN"/>
              </w:rPr>
              <w:t>〕</w:t>
            </w:r>
            <w:r>
              <w:rPr>
                <w:rFonts w:hint="default" w:ascii="Times New Roman" w:hAnsi="Times New Roman" w:eastAsia="宋体" w:cs="Times New Roman"/>
                <w:color w:val="auto"/>
                <w:sz w:val="21"/>
                <w:szCs w:val="21"/>
                <w:lang w:val="en-US" w:eastAsia="zh-CN"/>
              </w:rPr>
              <w:t xml:space="preserve">37 </w:t>
            </w:r>
            <w:r>
              <w:rPr>
                <w:rFonts w:hint="eastAsia" w:ascii="Times New Roman" w:hAnsi="Times New Roman" w:eastAsia="宋体" w:cs="Times New Roman"/>
                <w:color w:val="auto"/>
                <w:sz w:val="21"/>
                <w:szCs w:val="21"/>
                <w:lang w:val="en-US" w:eastAsia="zh-CN"/>
              </w:rPr>
              <w:t>号），《唐山市“十四五”时期“无废城市”建设工作方案》等相关内容，国家和地方对固体废物污染环境的防治，实行减少固体废物的产生量和危害性、充分合理利用固体废物和无害化处置固体废物的原则，促进清洁生产和循环经济发展，国家和地方政府采取有利于固体废物综合利用活动的经济、技术政策和措施，对固体废物实行充分回收和合理利用。国家和地方政府鼓励、支持采取有利于保护环境的集中处置固体废物的措施，促进固体废物污染环境防治产业发展。在此背景下，目前当地及周边市场，存在钢厂转炉钢渣，转炉钢渣中含有铁，具有一定的利用价值，废弃后不但会带来环境污染，还会造成资源浪费；钢厂废钢破碎尾料日益增多，废钢破碎尾料中含有大量可循环或可再利用的资源，对破碎尾料的综合利用，有利于资源的回收利用，减少对矿产资源的开采耗用，达到降低社会总能耗、保护生态环境、提高生产效益的目的。在此情景下，</w:t>
            </w:r>
            <w:r>
              <w:rPr>
                <w:rFonts w:hint="eastAsia" w:ascii="Times New Roman" w:hAnsi="Times New Roman" w:eastAsia="宋体" w:cs="Times New Roman"/>
                <w:color w:val="auto"/>
                <w:sz w:val="21"/>
                <w:szCs w:val="21"/>
                <w:lang w:eastAsia="zh-CN"/>
              </w:rPr>
              <w:t>滦州市祯璟再生资源有限公司</w:t>
            </w:r>
            <w:r>
              <w:rPr>
                <w:rFonts w:hint="eastAsia" w:ascii="Times New Roman" w:hAnsi="Times New Roman" w:eastAsia="宋体" w:cs="Times New Roman"/>
                <w:color w:val="auto"/>
                <w:sz w:val="21"/>
                <w:szCs w:val="21"/>
                <w:lang w:val="en-US" w:eastAsia="zh-CN"/>
              </w:rPr>
              <w:t>抓住市场机遇，拟投资300万元，建设</w:t>
            </w:r>
            <w:r>
              <w:rPr>
                <w:rFonts w:hint="eastAsia" w:ascii="Times New Roman" w:hAnsi="Times New Roman" w:eastAsia="宋体" w:cs="Times New Roman"/>
                <w:color w:val="auto"/>
                <w:sz w:val="21"/>
                <w:szCs w:val="21"/>
                <w:lang w:eastAsia="zh-CN"/>
              </w:rPr>
              <w:t>滦州市祯璟再生资源有限公司固体废弃物综合利用项目</w:t>
            </w:r>
            <w:r>
              <w:rPr>
                <w:rFonts w:hint="eastAsia" w:ascii="Times New Roman" w:hAnsi="Times New Roman" w:eastAsia="宋体" w:cs="Times New Roman"/>
                <w:color w:val="auto"/>
                <w:sz w:val="21"/>
                <w:szCs w:val="21"/>
                <w:lang w:val="en-US" w:eastAsia="zh-CN"/>
              </w:rPr>
              <w:t>，具有建设意义和必要性。项目建成后，年分选处理废钢破碎尾料50万吨、转炉钢渣20万吨。其中拟建项目处理利用的转炉钢渣、废钢破碎尾料均为一般工业固体废物，均不涉及化工等有毒有害物质，不含放射性物质及含油、含漆废料等物质，本项目严格控制原料来源。</w:t>
            </w:r>
          </w:p>
          <w:p w14:paraId="1479D121">
            <w:pPr>
              <w:pStyle w:val="24"/>
              <w:keepNext w:val="0"/>
              <w:keepLines w:val="0"/>
              <w:pageBreakBefore w:val="0"/>
              <w:widowControl/>
              <w:kinsoku/>
              <w:wordWrap/>
              <w:overflowPunct/>
              <w:topLinePunct w:val="0"/>
              <w:autoSpaceDE/>
              <w:autoSpaceDN/>
              <w:bidi w:val="0"/>
              <w:adjustRightInd w:val="0"/>
              <w:snapToGrid w:val="0"/>
              <w:spacing w:before="0" w:beforeAutospacing="0" w:after="0" w:afterAutospacing="0" w:line="420" w:lineRule="exact"/>
              <w:ind w:firstLine="420" w:firstLineChars="200"/>
              <w:textAlignment w:val="auto"/>
              <w:rPr>
                <w:rFonts w:hint="eastAsia" w:ascii="Times New Roman" w:hAnsi="Times New Roman" w:eastAsia="宋体" w:cs="Times New Roman"/>
                <w:color w:val="auto"/>
                <w:sz w:val="21"/>
                <w:szCs w:val="21"/>
                <w:highlight w:val="none"/>
                <w:lang w:eastAsia="zh-CN"/>
              </w:rPr>
            </w:pPr>
            <w:r>
              <w:rPr>
                <w:rFonts w:hint="eastAsia" w:ascii="Times New Roman" w:hAnsi="Times New Roman" w:eastAsia="宋体" w:cs="Times New Roman"/>
                <w:color w:val="auto"/>
                <w:sz w:val="21"/>
                <w:szCs w:val="21"/>
                <w:highlight w:val="none"/>
              </w:rPr>
              <w:t>根据《中华人民共和国环境影响评价法》、《建设项目环境保护管理条例》、《建设项目环境影响评价分类管理名录》（2021年）及国家有关法律、法规的要求，本项目属于“</w:t>
            </w:r>
            <w:r>
              <w:rPr>
                <w:rFonts w:hint="eastAsia" w:ascii="Times New Roman" w:hAnsi="Times New Roman"/>
                <w:color w:val="auto"/>
                <w:sz w:val="21"/>
                <w:szCs w:val="21"/>
                <w:lang w:eastAsia="zh-CN"/>
              </w:rPr>
              <w:t>三十九、废弃资源综合利用业 42－85.金属废料和碎屑加工处理 421－废弃电器电子产品、废机动车、废电机、废电线电缆、废钢、废铁、金属和金属化合物矿灰及残渣、有色金属废料与碎屑、废塑料、废轮胎、废船、含水洗工艺的其他废料和碎屑加工处理（农业生产产生的废旧秧盘、薄膜破碎和清洗工艺的除外）</w:t>
            </w:r>
            <w:r>
              <w:rPr>
                <w:rFonts w:hint="eastAsia" w:ascii="Times New Roman" w:hAnsi="Times New Roman" w:eastAsia="宋体" w:cs="Times New Roman"/>
                <w:color w:val="auto"/>
                <w:sz w:val="21"/>
                <w:szCs w:val="21"/>
                <w:highlight w:val="none"/>
              </w:rPr>
              <w:t>”</w:t>
            </w:r>
            <w:r>
              <w:rPr>
                <w:rFonts w:hint="eastAsia" w:ascii="Times New Roman" w:hAnsi="Times New Roman" w:cs="Times New Roman"/>
                <w:color w:val="auto"/>
                <w:sz w:val="21"/>
                <w:szCs w:val="21"/>
                <w:highlight w:val="none"/>
                <w:lang w:val="en-US" w:eastAsia="zh-CN"/>
              </w:rPr>
              <w:t>之列</w:t>
            </w:r>
            <w:r>
              <w:rPr>
                <w:rFonts w:hint="eastAsia" w:ascii="Times New Roman" w:hAnsi="Times New Roman" w:eastAsia="宋体" w:cs="Times New Roman"/>
                <w:color w:val="auto"/>
                <w:sz w:val="21"/>
                <w:szCs w:val="21"/>
                <w:highlight w:val="none"/>
              </w:rPr>
              <w:t>，本项目应编制建设项目环境影响报告表。为此，</w:t>
            </w:r>
            <w:r>
              <w:rPr>
                <w:rFonts w:hint="eastAsia" w:ascii="Times New Roman" w:hAnsi="Times New Roman" w:cs="Times New Roman"/>
                <w:color w:val="auto"/>
                <w:sz w:val="21"/>
                <w:szCs w:val="21"/>
                <w:highlight w:val="none"/>
                <w:lang w:eastAsia="zh-CN"/>
              </w:rPr>
              <w:t>滦州市祯璟再生资源有限公司</w:t>
            </w:r>
            <w:r>
              <w:rPr>
                <w:rFonts w:hint="eastAsia" w:ascii="Times New Roman" w:hAnsi="Times New Roman" w:eastAsia="宋体" w:cs="Times New Roman"/>
                <w:color w:val="auto"/>
                <w:sz w:val="21"/>
                <w:szCs w:val="21"/>
                <w:highlight w:val="none"/>
                <w:lang w:eastAsia="zh-CN"/>
              </w:rPr>
              <w:t>委托我公司承担该项目的环境影响报告表的编制工作，接受委托后，我单位立即开展了现场踏勘、资料收集等工作，并根据国家、省、市有关环保政策、法规及唐山市生态环境局滦州市分局、滦州市行政审批局要求，从本项目及周边环境实际出发，分析项目建设与运营对环境的影响，编制完成了本项目环境影响报告表。</w:t>
            </w:r>
          </w:p>
          <w:p w14:paraId="6C9FEDF9">
            <w:pPr>
              <w:pStyle w:val="24"/>
              <w:keepNext w:val="0"/>
              <w:keepLines w:val="0"/>
              <w:pageBreakBefore w:val="0"/>
              <w:widowControl/>
              <w:kinsoku/>
              <w:wordWrap/>
              <w:overflowPunct/>
              <w:topLinePunct w:val="0"/>
              <w:autoSpaceDE/>
              <w:autoSpaceDN/>
              <w:bidi w:val="0"/>
              <w:adjustRightInd w:val="0"/>
              <w:snapToGrid w:val="0"/>
              <w:spacing w:before="0" w:beforeAutospacing="0" w:after="0" w:afterAutospacing="0" w:line="420" w:lineRule="exact"/>
              <w:ind w:firstLine="422" w:firstLineChars="200"/>
              <w:textAlignment w:val="auto"/>
              <w:rPr>
                <w:rFonts w:hint="default" w:ascii="Times New Roman" w:hAnsi="Times New Roman" w:eastAsia="宋体" w:cs="Times New Roman"/>
                <w:b/>
                <w:color w:val="auto"/>
                <w:sz w:val="21"/>
                <w:szCs w:val="21"/>
                <w:lang w:val="en-US" w:eastAsia="zh-CN"/>
              </w:rPr>
            </w:pPr>
            <w:r>
              <w:rPr>
                <w:rFonts w:hint="eastAsia" w:ascii="Times New Roman" w:hAnsi="Times New Roman" w:cs="Times New Roman"/>
                <w:b/>
                <w:color w:val="auto"/>
                <w:sz w:val="21"/>
                <w:szCs w:val="21"/>
                <w:lang w:val="en-US" w:eastAsia="zh-CN"/>
              </w:rPr>
              <w:t>2</w:t>
            </w:r>
            <w:r>
              <w:rPr>
                <w:rFonts w:hint="eastAsia" w:ascii="Times New Roman" w:hAnsi="Times New Roman" w:eastAsia="宋体" w:cs="Times New Roman"/>
                <w:b/>
                <w:color w:val="auto"/>
                <w:sz w:val="21"/>
                <w:szCs w:val="21"/>
                <w:lang w:val="en-US" w:eastAsia="zh-CN"/>
              </w:rPr>
              <w:t>.</w:t>
            </w:r>
            <w:r>
              <w:rPr>
                <w:rFonts w:hint="eastAsia" w:ascii="Times New Roman" w:hAnsi="Times New Roman" w:cs="Times New Roman"/>
                <w:b/>
                <w:color w:val="auto"/>
                <w:sz w:val="21"/>
                <w:szCs w:val="21"/>
                <w:lang w:val="en-US" w:eastAsia="zh-CN"/>
              </w:rPr>
              <w:t>工程概况</w:t>
            </w:r>
          </w:p>
          <w:p w14:paraId="50C01DAF">
            <w:pPr>
              <w:pStyle w:val="24"/>
              <w:keepNext w:val="0"/>
              <w:keepLines w:val="0"/>
              <w:pageBreakBefore w:val="0"/>
              <w:widowControl/>
              <w:kinsoku/>
              <w:wordWrap/>
              <w:overflowPunct/>
              <w:topLinePunct w:val="0"/>
              <w:autoSpaceDE/>
              <w:autoSpaceDN/>
              <w:bidi w:val="0"/>
              <w:adjustRightInd w:val="0"/>
              <w:snapToGrid w:val="0"/>
              <w:spacing w:before="0" w:beforeAutospacing="0" w:after="0" w:afterAutospacing="0" w:line="420" w:lineRule="exact"/>
              <w:ind w:firstLine="420" w:firstLineChars="200"/>
              <w:textAlignment w:val="auto"/>
              <w:rPr>
                <w:rFonts w:hint="eastAsia" w:ascii="Times New Roman" w:hAnsi="Times New Roman" w:eastAsia="宋体"/>
                <w:color w:val="auto"/>
                <w:sz w:val="21"/>
                <w:szCs w:val="21"/>
                <w:lang w:eastAsia="zh-CN"/>
              </w:rPr>
            </w:pPr>
            <w:r>
              <w:rPr>
                <w:rFonts w:hint="eastAsia" w:ascii="Times New Roman" w:hAnsi="Times New Roman"/>
                <w:color w:val="auto"/>
                <w:sz w:val="21"/>
                <w:szCs w:val="21"/>
              </w:rPr>
              <w:t>①</w:t>
            </w:r>
            <w:r>
              <w:rPr>
                <w:rFonts w:ascii="Times New Roman" w:hAnsi="Times New Roman"/>
                <w:color w:val="auto"/>
                <w:sz w:val="21"/>
                <w:szCs w:val="21"/>
              </w:rPr>
              <w:t>项目名</w:t>
            </w:r>
            <w:r>
              <w:rPr>
                <w:rFonts w:hint="eastAsia" w:ascii="Times New Roman" w:hAnsi="Times New Roman"/>
                <w:color w:val="auto"/>
                <w:sz w:val="21"/>
                <w:szCs w:val="21"/>
              </w:rPr>
              <w:t>称：</w:t>
            </w:r>
            <w:r>
              <w:rPr>
                <w:rFonts w:hint="eastAsia" w:ascii="Times New Roman" w:hAnsi="Times New Roman"/>
                <w:color w:val="auto"/>
                <w:sz w:val="21"/>
                <w:szCs w:val="21"/>
                <w:highlight w:val="none"/>
                <w:lang w:eastAsia="zh-CN"/>
              </w:rPr>
              <w:t>滦州市祯璟再生资源有限公司固体废弃物综合利用项目</w:t>
            </w:r>
          </w:p>
          <w:p w14:paraId="545F2E8F">
            <w:pPr>
              <w:pStyle w:val="24"/>
              <w:keepNext w:val="0"/>
              <w:keepLines w:val="0"/>
              <w:pageBreakBefore w:val="0"/>
              <w:widowControl/>
              <w:kinsoku/>
              <w:wordWrap/>
              <w:overflowPunct/>
              <w:topLinePunct w:val="0"/>
              <w:autoSpaceDE/>
              <w:autoSpaceDN/>
              <w:bidi w:val="0"/>
              <w:adjustRightInd w:val="0"/>
              <w:snapToGrid w:val="0"/>
              <w:spacing w:before="0" w:beforeAutospacing="0" w:after="0" w:afterAutospacing="0" w:line="420" w:lineRule="exact"/>
              <w:ind w:firstLine="420" w:firstLineChars="200"/>
              <w:textAlignment w:val="auto"/>
              <w:rPr>
                <w:rFonts w:ascii="Times New Roman" w:hAnsi="Times New Roman"/>
                <w:color w:val="auto"/>
                <w:sz w:val="21"/>
                <w:szCs w:val="21"/>
              </w:rPr>
            </w:pPr>
            <w:r>
              <w:rPr>
                <w:rFonts w:hint="eastAsia" w:ascii="Times New Roman" w:hAnsi="Times New Roman"/>
                <w:color w:val="auto"/>
                <w:sz w:val="21"/>
                <w:szCs w:val="21"/>
              </w:rPr>
              <w:t>②</w:t>
            </w:r>
            <w:r>
              <w:rPr>
                <w:rFonts w:ascii="Times New Roman" w:hAnsi="Times New Roman"/>
                <w:color w:val="auto"/>
                <w:sz w:val="21"/>
                <w:szCs w:val="21"/>
              </w:rPr>
              <w:t>建设单位：</w:t>
            </w:r>
            <w:r>
              <w:rPr>
                <w:rFonts w:hint="eastAsia" w:ascii="Times New Roman" w:hAnsi="Times New Roman"/>
                <w:color w:val="auto"/>
                <w:sz w:val="21"/>
                <w:szCs w:val="21"/>
                <w:highlight w:val="none"/>
                <w:lang w:eastAsia="zh-CN"/>
              </w:rPr>
              <w:t>滦州市祯璟再生资源有限公司</w:t>
            </w:r>
          </w:p>
          <w:p w14:paraId="42AF32A2">
            <w:pPr>
              <w:pStyle w:val="24"/>
              <w:keepNext w:val="0"/>
              <w:keepLines w:val="0"/>
              <w:pageBreakBefore w:val="0"/>
              <w:widowControl/>
              <w:kinsoku/>
              <w:wordWrap/>
              <w:overflowPunct/>
              <w:topLinePunct w:val="0"/>
              <w:autoSpaceDE/>
              <w:autoSpaceDN/>
              <w:bidi w:val="0"/>
              <w:adjustRightInd w:val="0"/>
              <w:snapToGrid w:val="0"/>
              <w:spacing w:before="0" w:beforeAutospacing="0" w:after="0" w:afterAutospacing="0" w:line="420" w:lineRule="exact"/>
              <w:ind w:firstLine="420" w:firstLineChars="200"/>
              <w:textAlignment w:val="auto"/>
              <w:rPr>
                <w:rFonts w:hint="eastAsia" w:ascii="Times New Roman" w:hAnsi="Times New Roman"/>
                <w:color w:val="auto"/>
                <w:sz w:val="21"/>
                <w:szCs w:val="21"/>
                <w:lang w:val="en-US" w:eastAsia="zh-CN"/>
              </w:rPr>
            </w:pPr>
            <w:r>
              <w:rPr>
                <w:rFonts w:hint="eastAsia" w:ascii="Times New Roman" w:hAnsi="Times New Roman"/>
                <w:color w:val="auto"/>
                <w:sz w:val="21"/>
                <w:szCs w:val="21"/>
              </w:rPr>
              <w:t>③</w:t>
            </w:r>
            <w:r>
              <w:rPr>
                <w:rFonts w:ascii="Times New Roman" w:hAnsi="Times New Roman"/>
                <w:color w:val="auto"/>
                <w:sz w:val="21"/>
                <w:szCs w:val="21"/>
              </w:rPr>
              <w:t>建设性质：</w:t>
            </w:r>
            <w:r>
              <w:rPr>
                <w:rFonts w:hint="eastAsia" w:ascii="Times New Roman" w:hAnsi="Times New Roman"/>
                <w:color w:val="auto"/>
                <w:sz w:val="21"/>
                <w:szCs w:val="21"/>
                <w:lang w:val="en-US" w:eastAsia="zh-CN"/>
              </w:rPr>
              <w:t>新建</w:t>
            </w:r>
          </w:p>
          <w:p w14:paraId="055D1085">
            <w:pPr>
              <w:pStyle w:val="24"/>
              <w:keepNext w:val="0"/>
              <w:keepLines w:val="0"/>
              <w:pageBreakBefore w:val="0"/>
              <w:widowControl/>
              <w:kinsoku/>
              <w:wordWrap/>
              <w:overflowPunct/>
              <w:topLinePunct w:val="0"/>
              <w:autoSpaceDE/>
              <w:autoSpaceDN/>
              <w:bidi w:val="0"/>
              <w:adjustRightInd w:val="0"/>
              <w:snapToGrid w:val="0"/>
              <w:spacing w:before="0" w:beforeAutospacing="0" w:after="0" w:afterAutospacing="0" w:line="420" w:lineRule="exact"/>
              <w:ind w:firstLine="420" w:firstLineChars="200"/>
              <w:textAlignment w:val="auto"/>
              <w:rPr>
                <w:rFonts w:ascii="Times New Roman" w:hAnsi="Times New Roman" w:eastAsia="宋体"/>
                <w:color w:val="auto"/>
                <w:sz w:val="21"/>
                <w:szCs w:val="21"/>
                <w:highlight w:val="none"/>
              </w:rPr>
            </w:pPr>
            <w:r>
              <w:rPr>
                <w:rFonts w:hint="eastAsia" w:ascii="Times New Roman" w:hAnsi="Times New Roman" w:eastAsia="宋体"/>
                <w:color w:val="auto"/>
                <w:sz w:val="21"/>
                <w:szCs w:val="21"/>
                <w:highlight w:val="none"/>
              </w:rPr>
              <w:t>④</w:t>
            </w:r>
            <w:r>
              <w:rPr>
                <w:rFonts w:ascii="Times New Roman" w:hAnsi="Times New Roman" w:eastAsia="宋体"/>
                <w:color w:val="auto"/>
                <w:sz w:val="21"/>
                <w:szCs w:val="21"/>
                <w:highlight w:val="none"/>
              </w:rPr>
              <w:t>建设地点：</w:t>
            </w:r>
            <w:r>
              <w:rPr>
                <w:rFonts w:hint="eastAsia" w:ascii="Times New Roman" w:hAnsi="Times New Roman" w:eastAsia="宋体"/>
                <w:color w:val="auto"/>
                <w:sz w:val="21"/>
                <w:szCs w:val="21"/>
                <w:highlight w:val="none"/>
                <w:lang w:val="en-US" w:eastAsia="zh-CN"/>
              </w:rPr>
              <w:t>河北省唐山市</w:t>
            </w:r>
            <w:r>
              <w:rPr>
                <w:rFonts w:ascii="Times New Roman" w:hAnsi="Times New Roman" w:eastAsia="宋体"/>
                <w:color w:val="auto"/>
                <w:sz w:val="21"/>
                <w:szCs w:val="21"/>
                <w:highlight w:val="none"/>
              </w:rPr>
              <w:t>滦州市</w:t>
            </w:r>
            <w:r>
              <w:rPr>
                <w:rFonts w:hint="eastAsia" w:ascii="Times New Roman" w:hAnsi="Times New Roman" w:eastAsia="宋体"/>
                <w:color w:val="auto"/>
                <w:sz w:val="21"/>
                <w:szCs w:val="21"/>
                <w:highlight w:val="none"/>
                <w:lang w:val="en-US" w:eastAsia="zh-CN"/>
              </w:rPr>
              <w:t>九百户</w:t>
            </w:r>
            <w:r>
              <w:rPr>
                <w:rFonts w:ascii="Times New Roman" w:hAnsi="Times New Roman" w:eastAsia="宋体"/>
                <w:color w:val="auto"/>
                <w:sz w:val="21"/>
                <w:szCs w:val="21"/>
                <w:highlight w:val="none"/>
              </w:rPr>
              <w:t>镇</w:t>
            </w:r>
            <w:r>
              <w:rPr>
                <w:rFonts w:hint="eastAsia" w:ascii="Times New Roman" w:hAnsi="Times New Roman" w:eastAsia="宋体"/>
                <w:color w:val="auto"/>
                <w:sz w:val="21"/>
                <w:szCs w:val="21"/>
                <w:highlight w:val="none"/>
                <w:lang w:val="en-US" w:eastAsia="zh-CN"/>
              </w:rPr>
              <w:t>宜安村西</w:t>
            </w:r>
          </w:p>
          <w:p w14:paraId="4E7A37A2">
            <w:pPr>
              <w:pStyle w:val="24"/>
              <w:keepNext w:val="0"/>
              <w:keepLines w:val="0"/>
              <w:pageBreakBefore w:val="0"/>
              <w:widowControl/>
              <w:kinsoku/>
              <w:wordWrap/>
              <w:overflowPunct/>
              <w:topLinePunct w:val="0"/>
              <w:autoSpaceDE/>
              <w:autoSpaceDN/>
              <w:bidi w:val="0"/>
              <w:adjustRightInd w:val="0"/>
              <w:snapToGrid w:val="0"/>
              <w:spacing w:before="0" w:beforeAutospacing="0" w:after="0" w:afterAutospacing="0" w:line="420" w:lineRule="exact"/>
              <w:ind w:firstLine="420" w:firstLineChars="200"/>
              <w:textAlignment w:val="auto"/>
              <w:rPr>
                <w:rFonts w:hint="eastAsia" w:ascii="Times New Roman" w:hAnsi="Times New Roman"/>
                <w:color w:val="auto"/>
                <w:sz w:val="21"/>
                <w:szCs w:val="21"/>
                <w:highlight w:val="none"/>
              </w:rPr>
            </w:pPr>
            <w:r>
              <w:rPr>
                <w:rFonts w:hint="eastAsia" w:ascii="Times New Roman" w:hAnsi="Times New Roman"/>
                <w:color w:val="auto"/>
                <w:sz w:val="21"/>
                <w:szCs w:val="21"/>
                <w:highlight w:val="none"/>
              </w:rPr>
              <w:t>⑤</w:t>
            </w:r>
            <w:r>
              <w:rPr>
                <w:rFonts w:ascii="Times New Roman" w:hAnsi="Times New Roman"/>
                <w:color w:val="auto"/>
                <w:sz w:val="21"/>
                <w:szCs w:val="21"/>
                <w:highlight w:val="none"/>
              </w:rPr>
              <w:t>主要建设内容及规模：</w:t>
            </w:r>
            <w:r>
              <w:rPr>
                <w:rFonts w:hint="eastAsia" w:ascii="Times New Roman" w:hAnsi="Times New Roman"/>
                <w:color w:val="auto"/>
                <w:sz w:val="21"/>
                <w:szCs w:val="21"/>
                <w:highlight w:val="none"/>
              </w:rPr>
              <w:t>项目占地8.49亩，新建生产车间等建构筑物4700平方米，采用钢结构模式。项目对废钢破碎尾料、钢渣进行处理，新建废钢破碎尾料分选生产线2条、钢渣处理生产线1条。废钢破碎尾料分选生产线主要控设备包括</w:t>
            </w:r>
            <w:r>
              <w:rPr>
                <w:rFonts w:hint="eastAsia" w:ascii="Times New Roman" w:hAnsi="Times New Roman"/>
                <w:color w:val="auto"/>
                <w:sz w:val="21"/>
                <w:szCs w:val="21"/>
                <w:highlight w:val="none"/>
                <w:lang w:eastAsia="zh-CN"/>
              </w:rPr>
              <w:t>：</w:t>
            </w:r>
            <w:r>
              <w:rPr>
                <w:rFonts w:hint="eastAsia" w:ascii="Times New Roman" w:hAnsi="Times New Roman"/>
                <w:color w:val="auto"/>
                <w:sz w:val="21"/>
                <w:szCs w:val="21"/>
                <w:highlight w:val="none"/>
              </w:rPr>
              <w:t>上料仓、皮带输送机、漂洗船、锤式破碎机、</w:t>
            </w:r>
            <w:r>
              <w:rPr>
                <w:rFonts w:hint="eastAsia" w:ascii="Times New Roman" w:hAnsi="Times New Roman"/>
                <w:color w:val="auto"/>
                <w:sz w:val="21"/>
                <w:szCs w:val="21"/>
                <w:highlight w:val="none"/>
                <w:lang w:val="en-US" w:eastAsia="zh-CN"/>
              </w:rPr>
              <w:t>提料机、</w:t>
            </w:r>
            <w:r>
              <w:rPr>
                <w:rFonts w:hint="eastAsia" w:ascii="Times New Roman" w:hAnsi="Times New Roman"/>
                <w:color w:val="auto"/>
                <w:sz w:val="21"/>
                <w:szCs w:val="21"/>
                <w:highlight w:val="none"/>
              </w:rPr>
              <w:t>甩干机、涡电流分选机、分钢机、滚筒筛、空气分选机、高钙机、摇床分选机、磁辊、磁选机、</w:t>
            </w:r>
            <w:r>
              <w:rPr>
                <w:rFonts w:hint="eastAsia" w:ascii="Times New Roman" w:hAnsi="Times New Roman"/>
                <w:color w:val="auto"/>
                <w:sz w:val="21"/>
                <w:szCs w:val="21"/>
                <w:highlight w:val="none"/>
                <w:lang w:val="en-US" w:eastAsia="zh-CN"/>
              </w:rPr>
              <w:t>球磨机</w:t>
            </w:r>
            <w:r>
              <w:rPr>
                <w:rFonts w:hint="eastAsia" w:ascii="Times New Roman" w:hAnsi="Times New Roman"/>
                <w:color w:val="auto"/>
                <w:sz w:val="21"/>
                <w:szCs w:val="21"/>
                <w:highlight w:val="none"/>
              </w:rPr>
              <w:t>、脱水</w:t>
            </w:r>
            <w:r>
              <w:rPr>
                <w:rFonts w:hint="eastAsia" w:ascii="Times New Roman" w:hAnsi="Times New Roman"/>
                <w:color w:val="auto"/>
                <w:sz w:val="21"/>
                <w:szCs w:val="21"/>
                <w:highlight w:val="none"/>
                <w:lang w:val="en-US" w:eastAsia="zh-CN"/>
              </w:rPr>
              <w:t>筛</w:t>
            </w:r>
            <w:r>
              <w:rPr>
                <w:rFonts w:hint="eastAsia" w:ascii="Times New Roman" w:hAnsi="Times New Roman"/>
                <w:color w:val="auto"/>
                <w:sz w:val="21"/>
                <w:szCs w:val="21"/>
                <w:highlight w:val="none"/>
              </w:rPr>
              <w:t>、过滤机等生产设备及配套环保设施</w:t>
            </w:r>
            <w:r>
              <w:rPr>
                <w:rFonts w:hint="eastAsia" w:ascii="Times New Roman" w:hAnsi="Times New Roman"/>
                <w:color w:val="auto"/>
                <w:sz w:val="21"/>
                <w:szCs w:val="21"/>
                <w:highlight w:val="none"/>
                <w:lang w:eastAsia="zh-CN"/>
              </w:rPr>
              <w:t>；</w:t>
            </w:r>
            <w:r>
              <w:rPr>
                <w:rFonts w:hint="eastAsia" w:ascii="Times New Roman" w:hAnsi="Times New Roman"/>
                <w:color w:val="auto"/>
                <w:sz w:val="21"/>
                <w:szCs w:val="21"/>
                <w:highlight w:val="none"/>
              </w:rPr>
              <w:t>主要工艺</w:t>
            </w:r>
            <w:r>
              <w:rPr>
                <w:rFonts w:hint="eastAsia" w:ascii="Times New Roman" w:hAnsi="Times New Roman"/>
                <w:color w:val="auto"/>
                <w:sz w:val="21"/>
                <w:szCs w:val="21"/>
                <w:highlight w:val="none"/>
                <w:lang w:eastAsia="zh-CN"/>
              </w:rPr>
              <w:t>：</w:t>
            </w:r>
            <w:r>
              <w:rPr>
                <w:rFonts w:hint="eastAsia" w:ascii="Times New Roman" w:hAnsi="Times New Roman"/>
                <w:color w:val="auto"/>
                <w:sz w:val="21"/>
                <w:szCs w:val="21"/>
                <w:highlight w:val="none"/>
              </w:rPr>
              <w:t>上料、漂洗、破碎、脱水、球磨、分选等生产工艺。主要原料为外购废钢破碎尾料。钢渣处理生产线主要设备包括</w:t>
            </w:r>
            <w:r>
              <w:rPr>
                <w:rFonts w:hint="eastAsia" w:ascii="Times New Roman" w:hAnsi="Times New Roman"/>
                <w:color w:val="auto"/>
                <w:sz w:val="21"/>
                <w:szCs w:val="21"/>
                <w:highlight w:val="none"/>
                <w:lang w:eastAsia="zh-CN"/>
              </w:rPr>
              <w:t>：</w:t>
            </w:r>
            <w:r>
              <w:rPr>
                <w:rFonts w:hint="eastAsia" w:ascii="Times New Roman" w:hAnsi="Times New Roman"/>
                <w:color w:val="auto"/>
                <w:sz w:val="21"/>
                <w:szCs w:val="21"/>
                <w:highlight w:val="none"/>
              </w:rPr>
              <w:t>上料仓、皮带输送机、颚式破碎机、锤式破碎机、振动筛、</w:t>
            </w:r>
            <w:r>
              <w:rPr>
                <w:rFonts w:hint="eastAsia" w:ascii="Times New Roman" w:hAnsi="Times New Roman"/>
                <w:color w:val="auto"/>
                <w:sz w:val="21"/>
                <w:szCs w:val="21"/>
                <w:highlight w:val="none"/>
                <w:lang w:val="en-US" w:eastAsia="zh-CN"/>
              </w:rPr>
              <w:t>球磨机</w:t>
            </w:r>
            <w:r>
              <w:rPr>
                <w:rFonts w:hint="eastAsia" w:ascii="Times New Roman" w:hAnsi="Times New Roman"/>
                <w:color w:val="auto"/>
                <w:sz w:val="21"/>
                <w:szCs w:val="21"/>
                <w:highlight w:val="none"/>
              </w:rPr>
              <w:t>、脱水筛等生产设备及配套环保设施</w:t>
            </w:r>
            <w:r>
              <w:rPr>
                <w:rFonts w:hint="eastAsia" w:ascii="Times New Roman" w:hAnsi="Times New Roman"/>
                <w:color w:val="auto"/>
                <w:sz w:val="21"/>
                <w:szCs w:val="21"/>
                <w:highlight w:val="none"/>
                <w:lang w:eastAsia="zh-CN"/>
              </w:rPr>
              <w:t>；</w:t>
            </w:r>
            <w:r>
              <w:rPr>
                <w:rFonts w:hint="eastAsia" w:ascii="Times New Roman" w:hAnsi="Times New Roman"/>
                <w:color w:val="auto"/>
                <w:sz w:val="21"/>
                <w:szCs w:val="21"/>
                <w:highlight w:val="none"/>
              </w:rPr>
              <w:t>主要工艺</w:t>
            </w:r>
            <w:r>
              <w:rPr>
                <w:rFonts w:hint="eastAsia" w:ascii="Times New Roman" w:hAnsi="Times New Roman"/>
                <w:color w:val="auto"/>
                <w:sz w:val="21"/>
                <w:szCs w:val="21"/>
                <w:highlight w:val="none"/>
                <w:lang w:eastAsia="zh-CN"/>
              </w:rPr>
              <w:t>：</w:t>
            </w:r>
            <w:r>
              <w:rPr>
                <w:rFonts w:hint="eastAsia" w:ascii="Times New Roman" w:hAnsi="Times New Roman"/>
                <w:color w:val="auto"/>
                <w:sz w:val="21"/>
                <w:szCs w:val="21"/>
                <w:highlight w:val="none"/>
              </w:rPr>
              <w:t>上料、漂洗、破碎、脱水、球磨、分选等生产工艺。主要原料为外购钢渣。项目建成后年处理废钢破碎尾料50万吨、钢渣20万吨。项目主要消耗能源类型</w:t>
            </w:r>
            <w:r>
              <w:rPr>
                <w:rFonts w:hint="eastAsia" w:ascii="Times New Roman" w:hAnsi="Times New Roman"/>
                <w:color w:val="auto"/>
                <w:sz w:val="21"/>
                <w:szCs w:val="21"/>
                <w:highlight w:val="none"/>
                <w:lang w:eastAsia="zh-CN"/>
              </w:rPr>
              <w:t>：</w:t>
            </w:r>
            <w:r>
              <w:rPr>
                <w:rFonts w:hint="eastAsia" w:ascii="Times New Roman" w:hAnsi="Times New Roman"/>
                <w:color w:val="auto"/>
                <w:sz w:val="21"/>
                <w:szCs w:val="21"/>
                <w:highlight w:val="none"/>
              </w:rPr>
              <w:t>水、电。</w:t>
            </w:r>
            <w:r>
              <w:rPr>
                <w:rFonts w:ascii="Times New Roman" w:hAnsi="Times New Roman"/>
                <w:color w:val="auto"/>
                <w:sz w:val="21"/>
                <w:szCs w:val="21"/>
                <w:highlight w:val="none"/>
              </w:rPr>
              <w:t>项目组成一览表见表</w:t>
            </w:r>
            <w:r>
              <w:rPr>
                <w:rFonts w:hint="eastAsia" w:ascii="Times New Roman" w:hAnsi="Times New Roman"/>
                <w:color w:val="auto"/>
                <w:sz w:val="21"/>
                <w:szCs w:val="21"/>
                <w:highlight w:val="none"/>
                <w:lang w:val="en-US" w:eastAsia="zh-CN"/>
              </w:rPr>
              <w:t>5</w:t>
            </w:r>
            <w:r>
              <w:rPr>
                <w:rFonts w:hint="eastAsia" w:ascii="Times New Roman" w:hAnsi="Times New Roman"/>
                <w:color w:val="auto"/>
                <w:sz w:val="21"/>
                <w:szCs w:val="21"/>
                <w:highlight w:val="none"/>
              </w:rPr>
              <w:t>。</w:t>
            </w:r>
          </w:p>
          <w:p w14:paraId="270C0414">
            <w:pPr>
              <w:spacing w:line="460" w:lineRule="exact"/>
              <w:jc w:val="center"/>
              <w:rPr>
                <w:rFonts w:hAnsi="宋体"/>
                <w:b/>
                <w:color w:val="auto"/>
              </w:rPr>
            </w:pPr>
            <w:r>
              <w:rPr>
                <w:rFonts w:hint="eastAsia" w:hAnsi="宋体"/>
                <w:b/>
                <w:color w:val="auto"/>
              </w:rPr>
              <w:t>表</w:t>
            </w:r>
            <w:r>
              <w:rPr>
                <w:rFonts w:hint="eastAsia" w:hAnsi="宋体"/>
                <w:b/>
                <w:color w:val="auto"/>
                <w:lang w:val="en-US" w:eastAsia="zh-CN"/>
              </w:rPr>
              <w:t>5</w:t>
            </w:r>
            <w:r>
              <w:rPr>
                <w:rFonts w:hint="eastAsia" w:hAnsi="宋体"/>
                <w:b/>
                <w:color w:val="auto"/>
              </w:rPr>
              <w:t xml:space="preserve"> 项目建设情况一览表</w:t>
            </w:r>
          </w:p>
          <w:tbl>
            <w:tblPr>
              <w:tblStyle w:val="28"/>
              <w:tblW w:w="8014" w:type="dxa"/>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28" w:type="dxa"/>
                <w:bottom w:w="0" w:type="dxa"/>
                <w:right w:w="28" w:type="dxa"/>
              </w:tblCellMar>
            </w:tblPr>
            <w:tblGrid>
              <w:gridCol w:w="611"/>
              <w:gridCol w:w="1067"/>
              <w:gridCol w:w="6336"/>
            </w:tblGrid>
            <w:tr w14:paraId="72C0C8A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70" w:hRule="atLeast"/>
              </w:trPr>
              <w:tc>
                <w:tcPr>
                  <w:tcW w:w="611" w:type="dxa"/>
                  <w:vAlign w:val="center"/>
                </w:tcPr>
                <w:p w14:paraId="110A7779">
                  <w:pPr>
                    <w:snapToGrid w:val="0"/>
                    <w:spacing w:line="0" w:lineRule="atLeast"/>
                    <w:jc w:val="center"/>
                    <w:rPr>
                      <w:color w:val="auto"/>
                      <w:spacing w:val="-10"/>
                      <w:sz w:val="18"/>
                      <w:szCs w:val="18"/>
                      <w:highlight w:val="none"/>
                    </w:rPr>
                  </w:pPr>
                  <w:r>
                    <w:rPr>
                      <w:color w:val="auto"/>
                      <w:spacing w:val="-10"/>
                      <w:sz w:val="18"/>
                      <w:szCs w:val="18"/>
                      <w:highlight w:val="none"/>
                    </w:rPr>
                    <w:t>项目</w:t>
                  </w:r>
                </w:p>
              </w:tc>
              <w:tc>
                <w:tcPr>
                  <w:tcW w:w="1067" w:type="dxa"/>
                  <w:vAlign w:val="center"/>
                </w:tcPr>
                <w:p w14:paraId="764B1277">
                  <w:pPr>
                    <w:snapToGrid w:val="0"/>
                    <w:spacing w:line="0" w:lineRule="atLeast"/>
                    <w:jc w:val="center"/>
                    <w:rPr>
                      <w:color w:val="auto"/>
                      <w:spacing w:val="-10"/>
                      <w:sz w:val="18"/>
                      <w:szCs w:val="18"/>
                      <w:highlight w:val="none"/>
                    </w:rPr>
                  </w:pPr>
                  <w:r>
                    <w:rPr>
                      <w:rFonts w:hint="eastAsia"/>
                      <w:color w:val="auto"/>
                      <w:spacing w:val="-10"/>
                      <w:sz w:val="18"/>
                      <w:szCs w:val="18"/>
                      <w:highlight w:val="none"/>
                    </w:rPr>
                    <w:t>工程名称</w:t>
                  </w:r>
                </w:p>
              </w:tc>
              <w:tc>
                <w:tcPr>
                  <w:tcW w:w="6336" w:type="dxa"/>
                  <w:vAlign w:val="center"/>
                </w:tcPr>
                <w:p w14:paraId="20B426BC">
                  <w:pPr>
                    <w:snapToGrid w:val="0"/>
                    <w:spacing w:line="0" w:lineRule="atLeast"/>
                    <w:jc w:val="center"/>
                    <w:rPr>
                      <w:rFonts w:hint="eastAsia" w:eastAsia="宋体"/>
                      <w:color w:val="auto"/>
                      <w:spacing w:val="-10"/>
                      <w:sz w:val="18"/>
                      <w:szCs w:val="18"/>
                      <w:highlight w:val="none"/>
                      <w:lang w:val="en-US" w:eastAsia="zh-CN"/>
                    </w:rPr>
                  </w:pPr>
                  <w:r>
                    <w:rPr>
                      <w:color w:val="auto"/>
                      <w:spacing w:val="-10"/>
                      <w:sz w:val="18"/>
                      <w:szCs w:val="18"/>
                      <w:highlight w:val="none"/>
                    </w:rPr>
                    <w:t>工程内容</w:t>
                  </w:r>
                </w:p>
              </w:tc>
            </w:tr>
            <w:tr w14:paraId="22E0443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85" w:hRule="atLeast"/>
              </w:trPr>
              <w:tc>
                <w:tcPr>
                  <w:tcW w:w="611" w:type="dxa"/>
                  <w:vMerge w:val="restart"/>
                  <w:vAlign w:val="center"/>
                </w:tcPr>
                <w:p w14:paraId="51D8D1C2">
                  <w:pPr>
                    <w:snapToGrid w:val="0"/>
                    <w:spacing w:line="0" w:lineRule="atLeast"/>
                    <w:jc w:val="center"/>
                    <w:rPr>
                      <w:color w:val="auto"/>
                      <w:spacing w:val="-10"/>
                      <w:sz w:val="18"/>
                      <w:szCs w:val="18"/>
                      <w:highlight w:val="none"/>
                    </w:rPr>
                  </w:pPr>
                  <w:r>
                    <w:rPr>
                      <w:color w:val="auto"/>
                      <w:spacing w:val="-10"/>
                      <w:sz w:val="18"/>
                      <w:szCs w:val="18"/>
                      <w:highlight w:val="none"/>
                    </w:rPr>
                    <w:t>主体</w:t>
                  </w:r>
                </w:p>
                <w:p w14:paraId="60BCC27F">
                  <w:pPr>
                    <w:snapToGrid w:val="0"/>
                    <w:spacing w:line="0" w:lineRule="atLeast"/>
                    <w:jc w:val="center"/>
                    <w:rPr>
                      <w:color w:val="auto"/>
                      <w:spacing w:val="-10"/>
                      <w:sz w:val="18"/>
                      <w:szCs w:val="18"/>
                      <w:highlight w:val="none"/>
                    </w:rPr>
                  </w:pPr>
                  <w:r>
                    <w:rPr>
                      <w:color w:val="auto"/>
                      <w:spacing w:val="-10"/>
                      <w:sz w:val="18"/>
                      <w:szCs w:val="18"/>
                      <w:highlight w:val="none"/>
                    </w:rPr>
                    <w:t>工程</w:t>
                  </w:r>
                </w:p>
              </w:tc>
              <w:tc>
                <w:tcPr>
                  <w:tcW w:w="1067" w:type="dxa"/>
                  <w:shd w:val="clear" w:color="auto" w:fill="auto"/>
                  <w:vAlign w:val="center"/>
                </w:tcPr>
                <w:p w14:paraId="199B5AA7">
                  <w:pPr>
                    <w:snapToGrid w:val="0"/>
                    <w:spacing w:line="0" w:lineRule="atLeast"/>
                    <w:jc w:val="center"/>
                    <w:rPr>
                      <w:rFonts w:hint="default" w:ascii="Times New Roman" w:hAnsi="Times New Roman" w:eastAsia="宋体" w:cs="Times New Roman"/>
                      <w:color w:val="auto"/>
                      <w:spacing w:val="-10"/>
                      <w:kern w:val="2"/>
                      <w:sz w:val="18"/>
                      <w:szCs w:val="18"/>
                      <w:highlight w:val="none"/>
                      <w:lang w:val="en-US" w:eastAsia="zh-CN" w:bidi="ar-SA"/>
                    </w:rPr>
                  </w:pPr>
                  <w:r>
                    <w:rPr>
                      <w:rFonts w:hint="eastAsia"/>
                      <w:color w:val="auto"/>
                      <w:spacing w:val="-10"/>
                      <w:sz w:val="18"/>
                      <w:szCs w:val="18"/>
                      <w:highlight w:val="none"/>
                      <w:lang w:val="en-US" w:eastAsia="zh-CN"/>
                    </w:rPr>
                    <w:t>1</w:t>
                  </w:r>
                  <w:r>
                    <w:rPr>
                      <w:rFonts w:hint="eastAsia"/>
                      <w:color w:val="auto"/>
                      <w:spacing w:val="-10"/>
                      <w:sz w:val="18"/>
                      <w:szCs w:val="18"/>
                      <w:highlight w:val="none"/>
                      <w:vertAlign w:val="superscript"/>
                      <w:lang w:val="en-US" w:eastAsia="zh-CN"/>
                    </w:rPr>
                    <w:t>#</w:t>
                  </w:r>
                  <w:r>
                    <w:rPr>
                      <w:rFonts w:hint="eastAsia"/>
                      <w:color w:val="auto"/>
                      <w:spacing w:val="-10"/>
                      <w:sz w:val="18"/>
                      <w:szCs w:val="18"/>
                      <w:highlight w:val="none"/>
                      <w:lang w:val="en-US" w:eastAsia="zh-CN"/>
                    </w:rPr>
                    <w:t>生产车间</w:t>
                  </w:r>
                </w:p>
              </w:tc>
              <w:tc>
                <w:tcPr>
                  <w:tcW w:w="6336" w:type="dxa"/>
                  <w:shd w:val="clear" w:color="auto" w:fill="auto"/>
                  <w:vAlign w:val="center"/>
                </w:tcPr>
                <w:p w14:paraId="67505722">
                  <w:pPr>
                    <w:snapToGrid w:val="0"/>
                    <w:spacing w:line="0" w:lineRule="atLeast"/>
                    <w:jc w:val="center"/>
                    <w:rPr>
                      <w:rFonts w:hint="eastAsia" w:ascii="Times New Roman" w:hAnsi="Times New Roman" w:eastAsia="宋体" w:cs="Times New Roman"/>
                      <w:color w:val="auto"/>
                      <w:spacing w:val="-10"/>
                      <w:kern w:val="2"/>
                      <w:sz w:val="18"/>
                      <w:szCs w:val="18"/>
                      <w:highlight w:val="none"/>
                      <w:lang w:val="en-US" w:eastAsia="zh-CN" w:bidi="ar-SA"/>
                    </w:rPr>
                  </w:pPr>
                  <w:r>
                    <w:rPr>
                      <w:rFonts w:hint="eastAsia"/>
                      <w:color w:val="auto"/>
                      <w:spacing w:val="-10"/>
                      <w:sz w:val="18"/>
                      <w:szCs w:val="18"/>
                      <w:highlight w:val="none"/>
                      <w:lang w:val="en-US" w:eastAsia="zh-CN"/>
                    </w:rPr>
                    <w:t>建设2条废钢破碎尾料分选生产线。主要设备为</w:t>
                  </w:r>
                  <w:r>
                    <w:rPr>
                      <w:rFonts w:hint="eastAsia" w:cs="Times New Roman"/>
                      <w:color w:val="auto"/>
                      <w:spacing w:val="-10"/>
                      <w:sz w:val="18"/>
                      <w:szCs w:val="18"/>
                      <w:highlight w:val="none"/>
                      <w:lang w:val="en-US" w:eastAsia="zh-CN"/>
                    </w:rPr>
                    <w:t>破碎机、漂洗船、甩干机、涡电流分选机、分钢机、滚筒筛、空气分选机、高钙机、球磨机、摇床分选机、磁选机、磁辊等，年处理废钢破碎废料50万吨</w:t>
                  </w:r>
                </w:p>
              </w:tc>
            </w:tr>
            <w:tr w14:paraId="716EC85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85" w:hRule="atLeast"/>
              </w:trPr>
              <w:tc>
                <w:tcPr>
                  <w:tcW w:w="611" w:type="dxa"/>
                  <w:vMerge w:val="continue"/>
                  <w:vAlign w:val="center"/>
                </w:tcPr>
                <w:p w14:paraId="67570664">
                  <w:pPr>
                    <w:snapToGrid w:val="0"/>
                    <w:spacing w:line="0" w:lineRule="atLeast"/>
                    <w:jc w:val="center"/>
                    <w:rPr>
                      <w:color w:val="auto"/>
                      <w:spacing w:val="-10"/>
                      <w:sz w:val="18"/>
                      <w:szCs w:val="18"/>
                      <w:highlight w:val="none"/>
                    </w:rPr>
                  </w:pPr>
                </w:p>
              </w:tc>
              <w:tc>
                <w:tcPr>
                  <w:tcW w:w="1067" w:type="dxa"/>
                  <w:shd w:val="clear" w:color="auto" w:fill="auto"/>
                  <w:vAlign w:val="center"/>
                </w:tcPr>
                <w:p w14:paraId="702C295E">
                  <w:pPr>
                    <w:snapToGrid w:val="0"/>
                    <w:spacing w:line="0" w:lineRule="atLeast"/>
                    <w:jc w:val="center"/>
                    <w:rPr>
                      <w:rFonts w:hint="eastAsia" w:ascii="Times New Roman" w:hAnsi="Times New Roman" w:eastAsia="宋体" w:cs="Times New Roman"/>
                      <w:color w:val="auto"/>
                      <w:spacing w:val="-10"/>
                      <w:kern w:val="2"/>
                      <w:sz w:val="18"/>
                      <w:szCs w:val="18"/>
                      <w:highlight w:val="none"/>
                      <w:lang w:val="en-US" w:eastAsia="zh-CN" w:bidi="ar-SA"/>
                    </w:rPr>
                  </w:pPr>
                  <w:r>
                    <w:rPr>
                      <w:rFonts w:hint="eastAsia"/>
                      <w:color w:val="auto"/>
                      <w:spacing w:val="-10"/>
                      <w:sz w:val="18"/>
                      <w:szCs w:val="18"/>
                      <w:highlight w:val="none"/>
                      <w:lang w:val="en-US" w:eastAsia="zh-CN"/>
                    </w:rPr>
                    <w:t>2</w:t>
                  </w:r>
                  <w:r>
                    <w:rPr>
                      <w:rFonts w:hint="eastAsia"/>
                      <w:color w:val="auto"/>
                      <w:spacing w:val="-10"/>
                      <w:sz w:val="18"/>
                      <w:szCs w:val="18"/>
                      <w:highlight w:val="none"/>
                      <w:vertAlign w:val="superscript"/>
                      <w:lang w:val="en-US" w:eastAsia="zh-CN"/>
                    </w:rPr>
                    <w:t>#</w:t>
                  </w:r>
                  <w:r>
                    <w:rPr>
                      <w:rFonts w:hint="eastAsia"/>
                      <w:color w:val="auto"/>
                      <w:spacing w:val="-10"/>
                      <w:sz w:val="18"/>
                      <w:szCs w:val="18"/>
                      <w:highlight w:val="none"/>
                      <w:lang w:val="en-US" w:eastAsia="zh-CN"/>
                    </w:rPr>
                    <w:t>生产车间</w:t>
                  </w:r>
                </w:p>
              </w:tc>
              <w:tc>
                <w:tcPr>
                  <w:tcW w:w="6336" w:type="dxa"/>
                  <w:shd w:val="clear" w:color="auto" w:fill="auto"/>
                  <w:vAlign w:val="center"/>
                </w:tcPr>
                <w:p w14:paraId="5AC2269A">
                  <w:pPr>
                    <w:snapToGrid w:val="0"/>
                    <w:spacing w:line="0" w:lineRule="atLeast"/>
                    <w:jc w:val="center"/>
                    <w:rPr>
                      <w:rFonts w:hint="eastAsia" w:ascii="Times New Roman" w:hAnsi="Times New Roman" w:eastAsia="宋体" w:cs="Times New Roman"/>
                      <w:color w:val="auto"/>
                      <w:spacing w:val="-10"/>
                      <w:kern w:val="2"/>
                      <w:sz w:val="18"/>
                      <w:szCs w:val="18"/>
                      <w:highlight w:val="none"/>
                      <w:lang w:val="en-US" w:eastAsia="zh-CN" w:bidi="ar-SA"/>
                    </w:rPr>
                  </w:pPr>
                  <w:r>
                    <w:rPr>
                      <w:rFonts w:hint="eastAsia"/>
                      <w:color w:val="auto"/>
                      <w:spacing w:val="-10"/>
                      <w:sz w:val="18"/>
                      <w:szCs w:val="18"/>
                      <w:highlight w:val="none"/>
                      <w:lang w:val="en-US" w:eastAsia="zh-CN"/>
                    </w:rPr>
                    <w:t>建设1条钢渣处理生产线，主要设备为</w:t>
                  </w:r>
                  <w:r>
                    <w:rPr>
                      <w:rFonts w:hint="eastAsia" w:cs="Times New Roman"/>
                      <w:color w:val="auto"/>
                      <w:spacing w:val="-10"/>
                      <w:sz w:val="18"/>
                      <w:szCs w:val="18"/>
                      <w:highlight w:val="none"/>
                      <w:lang w:val="en-US" w:eastAsia="zh-CN"/>
                    </w:rPr>
                    <w:t>颚式破碎机、锤式破碎机、振动筛、球磨机、磁选机、过滤机、脱水筛等，年处理钢渣20万吨</w:t>
                  </w:r>
                </w:p>
              </w:tc>
            </w:tr>
            <w:tr w14:paraId="10D4139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70" w:hRule="atLeast"/>
              </w:trPr>
              <w:tc>
                <w:tcPr>
                  <w:tcW w:w="611" w:type="dxa"/>
                  <w:vMerge w:val="restart"/>
                  <w:vAlign w:val="center"/>
                </w:tcPr>
                <w:p w14:paraId="35A29DA7">
                  <w:pPr>
                    <w:snapToGrid w:val="0"/>
                    <w:spacing w:line="0" w:lineRule="atLeast"/>
                    <w:jc w:val="center"/>
                    <w:rPr>
                      <w:color w:val="auto"/>
                      <w:spacing w:val="-10"/>
                      <w:sz w:val="18"/>
                      <w:szCs w:val="18"/>
                      <w:highlight w:val="none"/>
                    </w:rPr>
                  </w:pPr>
                  <w:r>
                    <w:rPr>
                      <w:rFonts w:hint="eastAsia"/>
                      <w:color w:val="auto"/>
                      <w:spacing w:val="-10"/>
                      <w:sz w:val="18"/>
                      <w:szCs w:val="18"/>
                      <w:highlight w:val="none"/>
                    </w:rPr>
                    <w:t>储运</w:t>
                  </w:r>
                </w:p>
                <w:p w14:paraId="0CE13E1D">
                  <w:pPr>
                    <w:snapToGrid w:val="0"/>
                    <w:spacing w:line="0" w:lineRule="atLeast"/>
                    <w:jc w:val="center"/>
                    <w:rPr>
                      <w:rFonts w:ascii="Times New Roman" w:hAnsi="Times New Roman" w:eastAsia="宋体" w:cs="Times New Roman"/>
                      <w:color w:val="auto"/>
                      <w:spacing w:val="-10"/>
                      <w:kern w:val="2"/>
                      <w:sz w:val="18"/>
                      <w:szCs w:val="18"/>
                      <w:highlight w:val="none"/>
                      <w:lang w:val="en-US" w:eastAsia="zh-CN" w:bidi="ar-SA"/>
                    </w:rPr>
                  </w:pPr>
                  <w:r>
                    <w:rPr>
                      <w:rFonts w:hint="eastAsia"/>
                      <w:color w:val="auto"/>
                      <w:spacing w:val="-10"/>
                      <w:sz w:val="18"/>
                      <w:szCs w:val="18"/>
                      <w:highlight w:val="none"/>
                    </w:rPr>
                    <w:t>工程</w:t>
                  </w:r>
                </w:p>
              </w:tc>
              <w:tc>
                <w:tcPr>
                  <w:tcW w:w="1067" w:type="dxa"/>
                  <w:shd w:val="clear" w:color="auto" w:fill="auto"/>
                  <w:vAlign w:val="center"/>
                </w:tcPr>
                <w:p w14:paraId="1A052C46">
                  <w:pPr>
                    <w:snapToGrid w:val="0"/>
                    <w:spacing w:line="0" w:lineRule="atLeast"/>
                    <w:jc w:val="center"/>
                    <w:rPr>
                      <w:rFonts w:hint="default" w:ascii="Times New Roman" w:hAnsi="Times New Roman" w:eastAsia="宋体" w:cs="Times New Roman"/>
                      <w:color w:val="auto"/>
                      <w:spacing w:val="-10"/>
                      <w:kern w:val="2"/>
                      <w:sz w:val="18"/>
                      <w:szCs w:val="18"/>
                      <w:highlight w:val="none"/>
                      <w:lang w:val="en-US" w:eastAsia="zh-CN" w:bidi="ar-SA"/>
                    </w:rPr>
                  </w:pPr>
                  <w:r>
                    <w:rPr>
                      <w:rFonts w:hint="eastAsia"/>
                      <w:color w:val="auto"/>
                      <w:spacing w:val="-10"/>
                      <w:sz w:val="18"/>
                      <w:szCs w:val="18"/>
                      <w:highlight w:val="none"/>
                      <w:lang w:val="en-US" w:eastAsia="zh-CN"/>
                    </w:rPr>
                    <w:t>钢渣暂存区</w:t>
                  </w:r>
                </w:p>
              </w:tc>
              <w:tc>
                <w:tcPr>
                  <w:tcW w:w="6336" w:type="dxa"/>
                  <w:vAlign w:val="center"/>
                </w:tcPr>
                <w:p w14:paraId="07457BA5">
                  <w:pPr>
                    <w:snapToGrid w:val="0"/>
                    <w:spacing w:line="0" w:lineRule="atLeast"/>
                    <w:jc w:val="center"/>
                    <w:rPr>
                      <w:rFonts w:hint="default" w:ascii="Times New Roman" w:hAnsi="Times New Roman" w:eastAsia="宋体" w:cs="Times New Roman"/>
                      <w:color w:val="auto"/>
                      <w:spacing w:val="-10"/>
                      <w:sz w:val="18"/>
                      <w:szCs w:val="18"/>
                      <w:highlight w:val="none"/>
                      <w:lang w:val="en-US" w:eastAsia="zh-CN"/>
                    </w:rPr>
                  </w:pPr>
                  <w:r>
                    <w:rPr>
                      <w:rFonts w:hint="eastAsia" w:cs="Times New Roman"/>
                      <w:color w:val="auto"/>
                      <w:spacing w:val="-10"/>
                      <w:sz w:val="18"/>
                      <w:szCs w:val="18"/>
                      <w:highlight w:val="none"/>
                      <w:lang w:val="en-US" w:eastAsia="zh-CN"/>
                    </w:rPr>
                    <w:t>位于2</w:t>
                  </w:r>
                  <w:r>
                    <w:rPr>
                      <w:rFonts w:hint="eastAsia" w:cs="Times New Roman"/>
                      <w:color w:val="auto"/>
                      <w:spacing w:val="-10"/>
                      <w:sz w:val="18"/>
                      <w:szCs w:val="18"/>
                      <w:highlight w:val="none"/>
                      <w:vertAlign w:val="superscript"/>
                      <w:lang w:val="en-US" w:eastAsia="zh-CN"/>
                    </w:rPr>
                    <w:t>#</w:t>
                  </w:r>
                  <w:r>
                    <w:rPr>
                      <w:rFonts w:hint="eastAsia" w:cs="Times New Roman"/>
                      <w:color w:val="auto"/>
                      <w:spacing w:val="-10"/>
                      <w:sz w:val="18"/>
                      <w:szCs w:val="18"/>
                      <w:highlight w:val="none"/>
                      <w:lang w:val="en-US" w:eastAsia="zh-CN"/>
                    </w:rPr>
                    <w:t>生产车间内，占地面积360m</w:t>
                  </w:r>
                  <w:r>
                    <w:rPr>
                      <w:rFonts w:hint="eastAsia" w:cs="Times New Roman"/>
                      <w:color w:val="auto"/>
                      <w:spacing w:val="-10"/>
                      <w:sz w:val="18"/>
                      <w:szCs w:val="18"/>
                      <w:highlight w:val="none"/>
                      <w:vertAlign w:val="superscript"/>
                      <w:lang w:val="en-US" w:eastAsia="zh-CN"/>
                    </w:rPr>
                    <w:t>2</w:t>
                  </w:r>
                  <w:r>
                    <w:rPr>
                      <w:rFonts w:hint="eastAsia" w:cs="Times New Roman"/>
                      <w:color w:val="auto"/>
                      <w:spacing w:val="-10"/>
                      <w:sz w:val="18"/>
                      <w:szCs w:val="18"/>
                      <w:highlight w:val="none"/>
                      <w:lang w:val="en-US" w:eastAsia="zh-CN"/>
                    </w:rPr>
                    <w:t>，有效堆存容积1440m</w:t>
                  </w:r>
                  <w:r>
                    <w:rPr>
                      <w:rFonts w:hint="eastAsia" w:cs="Times New Roman"/>
                      <w:color w:val="auto"/>
                      <w:spacing w:val="-10"/>
                      <w:sz w:val="18"/>
                      <w:szCs w:val="18"/>
                      <w:highlight w:val="none"/>
                      <w:vertAlign w:val="superscript"/>
                      <w:lang w:val="en-US" w:eastAsia="zh-CN"/>
                    </w:rPr>
                    <w:t>3</w:t>
                  </w:r>
                  <w:r>
                    <w:rPr>
                      <w:rFonts w:hint="eastAsia" w:cs="Times New Roman"/>
                      <w:color w:val="auto"/>
                      <w:spacing w:val="-10"/>
                      <w:sz w:val="18"/>
                      <w:szCs w:val="18"/>
                      <w:highlight w:val="none"/>
                      <w:lang w:val="en-US" w:eastAsia="zh-CN"/>
                    </w:rPr>
                    <w:t>，</w:t>
                  </w:r>
                  <w:r>
                    <w:rPr>
                      <w:rFonts w:hint="eastAsia"/>
                      <w:color w:val="auto"/>
                      <w:spacing w:val="-10"/>
                      <w:sz w:val="18"/>
                      <w:szCs w:val="18"/>
                      <w:highlight w:val="none"/>
                    </w:rPr>
                    <w:t>存储</w:t>
                  </w:r>
                  <w:r>
                    <w:rPr>
                      <w:rFonts w:hint="eastAsia"/>
                      <w:color w:val="auto"/>
                      <w:spacing w:val="-10"/>
                      <w:sz w:val="18"/>
                      <w:szCs w:val="18"/>
                      <w:highlight w:val="none"/>
                      <w:lang w:val="en-US" w:eastAsia="zh-CN"/>
                    </w:rPr>
                    <w:t>原料转炉钢渣，存储周期为3.9d</w:t>
                  </w:r>
                </w:p>
              </w:tc>
            </w:tr>
            <w:tr w14:paraId="66CDD43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90" w:hRule="atLeast"/>
              </w:trPr>
              <w:tc>
                <w:tcPr>
                  <w:tcW w:w="611" w:type="dxa"/>
                  <w:vMerge w:val="continue"/>
                  <w:vAlign w:val="center"/>
                </w:tcPr>
                <w:p w14:paraId="5CAF92CC">
                  <w:pPr>
                    <w:snapToGrid w:val="0"/>
                    <w:spacing w:line="0" w:lineRule="atLeast"/>
                    <w:jc w:val="center"/>
                    <w:rPr>
                      <w:rFonts w:hint="eastAsia"/>
                      <w:color w:val="auto"/>
                      <w:spacing w:val="-10"/>
                      <w:sz w:val="18"/>
                      <w:szCs w:val="18"/>
                      <w:highlight w:val="none"/>
                    </w:rPr>
                  </w:pPr>
                </w:p>
              </w:tc>
              <w:tc>
                <w:tcPr>
                  <w:tcW w:w="1067" w:type="dxa"/>
                  <w:shd w:val="clear" w:color="auto" w:fill="auto"/>
                  <w:vAlign w:val="center"/>
                </w:tcPr>
                <w:p w14:paraId="25B1DE17">
                  <w:pPr>
                    <w:snapToGrid w:val="0"/>
                    <w:spacing w:line="0" w:lineRule="atLeast"/>
                    <w:jc w:val="center"/>
                    <w:rPr>
                      <w:rFonts w:hint="default" w:ascii="Times New Roman" w:hAnsi="Times New Roman" w:eastAsia="宋体" w:cs="Times New Roman"/>
                      <w:color w:val="auto"/>
                      <w:spacing w:val="-10"/>
                      <w:kern w:val="2"/>
                      <w:sz w:val="18"/>
                      <w:szCs w:val="18"/>
                      <w:highlight w:val="none"/>
                      <w:lang w:val="en-US" w:eastAsia="zh-CN" w:bidi="ar-SA"/>
                    </w:rPr>
                  </w:pPr>
                  <w:r>
                    <w:rPr>
                      <w:rFonts w:hint="eastAsia"/>
                      <w:color w:val="auto"/>
                      <w:spacing w:val="-10"/>
                      <w:sz w:val="18"/>
                      <w:szCs w:val="18"/>
                      <w:highlight w:val="none"/>
                      <w:lang w:val="en-US" w:eastAsia="zh-CN"/>
                    </w:rPr>
                    <w:t>磁性钢渣粉暂存区</w:t>
                  </w:r>
                </w:p>
              </w:tc>
              <w:tc>
                <w:tcPr>
                  <w:tcW w:w="6336" w:type="dxa"/>
                  <w:vAlign w:val="center"/>
                </w:tcPr>
                <w:p w14:paraId="4C37CDD0">
                  <w:pPr>
                    <w:snapToGrid w:val="0"/>
                    <w:spacing w:line="0" w:lineRule="atLeast"/>
                    <w:jc w:val="center"/>
                    <w:rPr>
                      <w:rFonts w:hint="eastAsia" w:ascii="Times New Roman" w:hAnsi="Times New Roman" w:eastAsia="宋体" w:cs="Times New Roman"/>
                      <w:color w:val="auto"/>
                      <w:spacing w:val="-10"/>
                      <w:sz w:val="18"/>
                      <w:szCs w:val="18"/>
                      <w:highlight w:val="none"/>
                      <w:lang w:val="en-US" w:eastAsia="zh-CN"/>
                    </w:rPr>
                  </w:pPr>
                  <w:r>
                    <w:rPr>
                      <w:rFonts w:hint="eastAsia" w:cs="Times New Roman"/>
                      <w:color w:val="auto"/>
                      <w:spacing w:val="-10"/>
                      <w:sz w:val="18"/>
                      <w:szCs w:val="18"/>
                      <w:highlight w:val="none"/>
                      <w:lang w:val="en-US" w:eastAsia="zh-CN"/>
                    </w:rPr>
                    <w:t>位于2</w:t>
                  </w:r>
                  <w:r>
                    <w:rPr>
                      <w:rFonts w:hint="eastAsia" w:cs="Times New Roman"/>
                      <w:color w:val="auto"/>
                      <w:spacing w:val="-10"/>
                      <w:sz w:val="18"/>
                      <w:szCs w:val="18"/>
                      <w:highlight w:val="none"/>
                      <w:vertAlign w:val="superscript"/>
                      <w:lang w:val="en-US" w:eastAsia="zh-CN"/>
                    </w:rPr>
                    <w:t>#</w:t>
                  </w:r>
                  <w:r>
                    <w:rPr>
                      <w:rFonts w:hint="eastAsia" w:cs="Times New Roman"/>
                      <w:color w:val="auto"/>
                      <w:spacing w:val="-10"/>
                      <w:sz w:val="18"/>
                      <w:szCs w:val="18"/>
                      <w:highlight w:val="none"/>
                      <w:lang w:val="en-US" w:eastAsia="zh-CN"/>
                    </w:rPr>
                    <w:t>生产车间内，占地面积60m</w:t>
                  </w:r>
                  <w:r>
                    <w:rPr>
                      <w:rFonts w:hint="eastAsia" w:cs="Times New Roman"/>
                      <w:color w:val="auto"/>
                      <w:spacing w:val="-10"/>
                      <w:sz w:val="18"/>
                      <w:szCs w:val="18"/>
                      <w:highlight w:val="none"/>
                      <w:vertAlign w:val="superscript"/>
                      <w:lang w:val="en-US" w:eastAsia="zh-CN"/>
                    </w:rPr>
                    <w:t>2</w:t>
                  </w:r>
                  <w:r>
                    <w:rPr>
                      <w:rFonts w:hint="eastAsia" w:cs="Times New Roman"/>
                      <w:color w:val="auto"/>
                      <w:spacing w:val="-10"/>
                      <w:sz w:val="18"/>
                      <w:szCs w:val="18"/>
                      <w:highlight w:val="none"/>
                      <w:lang w:val="en-US" w:eastAsia="zh-CN"/>
                    </w:rPr>
                    <w:t>，有效堆存容积240m</w:t>
                  </w:r>
                  <w:r>
                    <w:rPr>
                      <w:rFonts w:hint="eastAsia" w:cs="Times New Roman"/>
                      <w:color w:val="auto"/>
                      <w:spacing w:val="-10"/>
                      <w:sz w:val="18"/>
                      <w:szCs w:val="18"/>
                      <w:highlight w:val="none"/>
                      <w:vertAlign w:val="superscript"/>
                      <w:lang w:val="en-US" w:eastAsia="zh-CN"/>
                    </w:rPr>
                    <w:t>3</w:t>
                  </w:r>
                  <w:r>
                    <w:rPr>
                      <w:rFonts w:hint="eastAsia" w:cs="Times New Roman"/>
                      <w:color w:val="auto"/>
                      <w:spacing w:val="-10"/>
                      <w:sz w:val="18"/>
                      <w:szCs w:val="18"/>
                      <w:highlight w:val="none"/>
                      <w:lang w:val="en-US" w:eastAsia="zh-CN"/>
                    </w:rPr>
                    <w:t>，</w:t>
                  </w:r>
                  <w:r>
                    <w:rPr>
                      <w:rFonts w:hint="eastAsia"/>
                      <w:color w:val="auto"/>
                      <w:spacing w:val="-10"/>
                      <w:sz w:val="18"/>
                      <w:szCs w:val="18"/>
                      <w:highlight w:val="none"/>
                    </w:rPr>
                    <w:t>存储</w:t>
                  </w:r>
                  <w:r>
                    <w:rPr>
                      <w:rFonts w:hint="eastAsia"/>
                      <w:color w:val="auto"/>
                      <w:spacing w:val="-10"/>
                      <w:sz w:val="18"/>
                      <w:szCs w:val="18"/>
                      <w:highlight w:val="none"/>
                      <w:lang w:val="en-US" w:eastAsia="zh-CN"/>
                    </w:rPr>
                    <w:t>产品磁性钢渣粉，存储周期为5.8d</w:t>
                  </w:r>
                </w:p>
              </w:tc>
            </w:tr>
            <w:tr w14:paraId="2B9B7C1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70" w:hRule="atLeast"/>
              </w:trPr>
              <w:tc>
                <w:tcPr>
                  <w:tcW w:w="611" w:type="dxa"/>
                  <w:vMerge w:val="continue"/>
                  <w:vAlign w:val="center"/>
                </w:tcPr>
                <w:p w14:paraId="30A806B2">
                  <w:pPr>
                    <w:snapToGrid w:val="0"/>
                    <w:spacing w:line="0" w:lineRule="atLeast"/>
                    <w:jc w:val="center"/>
                    <w:rPr>
                      <w:rFonts w:hint="eastAsia"/>
                      <w:color w:val="auto"/>
                      <w:spacing w:val="-10"/>
                      <w:sz w:val="18"/>
                      <w:szCs w:val="18"/>
                      <w:highlight w:val="none"/>
                    </w:rPr>
                  </w:pPr>
                </w:p>
              </w:tc>
              <w:tc>
                <w:tcPr>
                  <w:tcW w:w="1067" w:type="dxa"/>
                  <w:shd w:val="clear" w:color="auto" w:fill="auto"/>
                  <w:vAlign w:val="center"/>
                </w:tcPr>
                <w:p w14:paraId="4A9E44F0">
                  <w:pPr>
                    <w:snapToGrid w:val="0"/>
                    <w:spacing w:line="0" w:lineRule="atLeast"/>
                    <w:jc w:val="center"/>
                    <w:rPr>
                      <w:rFonts w:hint="default" w:ascii="Times New Roman" w:hAnsi="Times New Roman" w:eastAsia="宋体" w:cs="Times New Roman"/>
                      <w:color w:val="auto"/>
                      <w:spacing w:val="-10"/>
                      <w:kern w:val="2"/>
                      <w:sz w:val="18"/>
                      <w:szCs w:val="18"/>
                      <w:highlight w:val="none"/>
                      <w:lang w:val="en-US" w:eastAsia="zh-CN" w:bidi="ar-SA"/>
                    </w:rPr>
                  </w:pPr>
                  <w:r>
                    <w:rPr>
                      <w:rFonts w:hint="eastAsia"/>
                      <w:color w:val="auto"/>
                      <w:spacing w:val="-10"/>
                      <w:sz w:val="18"/>
                      <w:szCs w:val="18"/>
                      <w:highlight w:val="none"/>
                      <w:lang w:val="en-US" w:eastAsia="zh-CN"/>
                    </w:rPr>
                    <w:t>非磁性钢渣粉暂存区</w:t>
                  </w:r>
                </w:p>
              </w:tc>
              <w:tc>
                <w:tcPr>
                  <w:tcW w:w="6336" w:type="dxa"/>
                  <w:vAlign w:val="center"/>
                </w:tcPr>
                <w:p w14:paraId="6BEC7E7D">
                  <w:pPr>
                    <w:snapToGrid w:val="0"/>
                    <w:spacing w:line="0" w:lineRule="atLeast"/>
                    <w:jc w:val="center"/>
                    <w:rPr>
                      <w:rFonts w:hint="eastAsia" w:ascii="Times New Roman" w:hAnsi="Times New Roman" w:eastAsia="宋体" w:cs="Times New Roman"/>
                      <w:color w:val="auto"/>
                      <w:spacing w:val="-10"/>
                      <w:sz w:val="18"/>
                      <w:szCs w:val="18"/>
                      <w:highlight w:val="none"/>
                      <w:lang w:val="en-US" w:eastAsia="zh-CN"/>
                    </w:rPr>
                  </w:pPr>
                  <w:r>
                    <w:rPr>
                      <w:rFonts w:hint="eastAsia" w:cs="Times New Roman"/>
                      <w:color w:val="auto"/>
                      <w:spacing w:val="-10"/>
                      <w:sz w:val="18"/>
                      <w:szCs w:val="18"/>
                      <w:highlight w:val="none"/>
                      <w:lang w:val="en-US" w:eastAsia="zh-CN"/>
                    </w:rPr>
                    <w:t>位于2</w:t>
                  </w:r>
                  <w:r>
                    <w:rPr>
                      <w:rFonts w:hint="eastAsia" w:cs="Times New Roman"/>
                      <w:color w:val="auto"/>
                      <w:spacing w:val="-10"/>
                      <w:sz w:val="18"/>
                      <w:szCs w:val="18"/>
                      <w:highlight w:val="none"/>
                      <w:vertAlign w:val="superscript"/>
                      <w:lang w:val="en-US" w:eastAsia="zh-CN"/>
                    </w:rPr>
                    <w:t>#</w:t>
                  </w:r>
                  <w:r>
                    <w:rPr>
                      <w:rFonts w:hint="eastAsia" w:cs="Times New Roman"/>
                      <w:color w:val="auto"/>
                      <w:spacing w:val="-10"/>
                      <w:sz w:val="18"/>
                      <w:szCs w:val="18"/>
                      <w:highlight w:val="none"/>
                      <w:lang w:val="en-US" w:eastAsia="zh-CN"/>
                    </w:rPr>
                    <w:t>生产车间内，占地面积240m</w:t>
                  </w:r>
                  <w:r>
                    <w:rPr>
                      <w:rFonts w:hint="eastAsia" w:cs="Times New Roman"/>
                      <w:color w:val="auto"/>
                      <w:spacing w:val="-10"/>
                      <w:sz w:val="18"/>
                      <w:szCs w:val="18"/>
                      <w:highlight w:val="none"/>
                      <w:vertAlign w:val="superscript"/>
                      <w:lang w:val="en-US" w:eastAsia="zh-CN"/>
                    </w:rPr>
                    <w:t>2</w:t>
                  </w:r>
                  <w:r>
                    <w:rPr>
                      <w:rFonts w:hint="eastAsia" w:cs="Times New Roman"/>
                      <w:color w:val="auto"/>
                      <w:spacing w:val="-10"/>
                      <w:sz w:val="18"/>
                      <w:szCs w:val="18"/>
                      <w:highlight w:val="none"/>
                      <w:lang w:val="en-US" w:eastAsia="zh-CN"/>
                    </w:rPr>
                    <w:t>，有效堆存容积960m</w:t>
                  </w:r>
                  <w:r>
                    <w:rPr>
                      <w:rFonts w:hint="eastAsia" w:cs="Times New Roman"/>
                      <w:color w:val="auto"/>
                      <w:spacing w:val="-10"/>
                      <w:sz w:val="18"/>
                      <w:szCs w:val="18"/>
                      <w:highlight w:val="none"/>
                      <w:vertAlign w:val="superscript"/>
                      <w:lang w:val="en-US" w:eastAsia="zh-CN"/>
                    </w:rPr>
                    <w:t>3</w:t>
                  </w:r>
                  <w:r>
                    <w:rPr>
                      <w:rFonts w:hint="eastAsia" w:cs="Times New Roman"/>
                      <w:color w:val="auto"/>
                      <w:spacing w:val="-10"/>
                      <w:sz w:val="18"/>
                      <w:szCs w:val="18"/>
                      <w:highlight w:val="none"/>
                      <w:lang w:val="en-US" w:eastAsia="zh-CN"/>
                    </w:rPr>
                    <w:t>，</w:t>
                  </w:r>
                  <w:r>
                    <w:rPr>
                      <w:rFonts w:hint="eastAsia"/>
                      <w:color w:val="auto"/>
                      <w:spacing w:val="-10"/>
                      <w:sz w:val="18"/>
                      <w:szCs w:val="18"/>
                      <w:highlight w:val="none"/>
                    </w:rPr>
                    <w:t>存储</w:t>
                  </w:r>
                  <w:r>
                    <w:rPr>
                      <w:rFonts w:hint="eastAsia"/>
                      <w:color w:val="auto"/>
                      <w:spacing w:val="-10"/>
                      <w:sz w:val="18"/>
                      <w:szCs w:val="18"/>
                      <w:highlight w:val="none"/>
                      <w:lang w:val="en-US" w:eastAsia="zh-CN"/>
                    </w:rPr>
                    <w:t>产品非磁性钢渣粉，存储周期为5.6d</w:t>
                  </w:r>
                </w:p>
              </w:tc>
            </w:tr>
            <w:tr w14:paraId="65D3073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70" w:hRule="atLeast"/>
              </w:trPr>
              <w:tc>
                <w:tcPr>
                  <w:tcW w:w="611" w:type="dxa"/>
                  <w:vMerge w:val="continue"/>
                  <w:vAlign w:val="center"/>
                </w:tcPr>
                <w:p w14:paraId="65282AD1">
                  <w:pPr>
                    <w:snapToGrid w:val="0"/>
                    <w:spacing w:line="0" w:lineRule="atLeast"/>
                    <w:jc w:val="center"/>
                    <w:rPr>
                      <w:rFonts w:hint="eastAsia"/>
                      <w:color w:val="auto"/>
                      <w:spacing w:val="-10"/>
                      <w:sz w:val="18"/>
                      <w:szCs w:val="18"/>
                      <w:highlight w:val="none"/>
                    </w:rPr>
                  </w:pPr>
                </w:p>
              </w:tc>
              <w:tc>
                <w:tcPr>
                  <w:tcW w:w="1067" w:type="dxa"/>
                  <w:vAlign w:val="center"/>
                </w:tcPr>
                <w:p w14:paraId="265E13F2">
                  <w:pPr>
                    <w:snapToGrid w:val="0"/>
                    <w:spacing w:line="0" w:lineRule="atLeast"/>
                    <w:jc w:val="center"/>
                    <w:rPr>
                      <w:rFonts w:hint="default"/>
                      <w:color w:val="auto"/>
                      <w:spacing w:val="-10"/>
                      <w:sz w:val="18"/>
                      <w:szCs w:val="18"/>
                      <w:highlight w:val="none"/>
                      <w:lang w:val="en-US" w:eastAsia="zh-CN"/>
                    </w:rPr>
                  </w:pPr>
                  <w:r>
                    <w:rPr>
                      <w:rFonts w:hint="eastAsia"/>
                      <w:color w:val="auto"/>
                      <w:spacing w:val="-10"/>
                      <w:sz w:val="18"/>
                      <w:szCs w:val="18"/>
                      <w:highlight w:val="none"/>
                      <w:lang w:val="en-US" w:eastAsia="zh-CN"/>
                    </w:rPr>
                    <w:t>废钢破碎尾料暂存区</w:t>
                  </w:r>
                </w:p>
              </w:tc>
              <w:tc>
                <w:tcPr>
                  <w:tcW w:w="6336" w:type="dxa"/>
                  <w:vAlign w:val="center"/>
                </w:tcPr>
                <w:p w14:paraId="3F384589">
                  <w:pPr>
                    <w:snapToGrid w:val="0"/>
                    <w:spacing w:line="0" w:lineRule="atLeast"/>
                    <w:jc w:val="center"/>
                    <w:rPr>
                      <w:rFonts w:hint="default" w:ascii="Times New Roman" w:hAnsi="Times New Roman" w:cs="Times New Roman"/>
                      <w:color w:val="auto"/>
                      <w:spacing w:val="-10"/>
                      <w:sz w:val="18"/>
                      <w:szCs w:val="18"/>
                      <w:highlight w:val="none"/>
                      <w:lang w:val="en-US" w:eastAsia="zh-CN"/>
                    </w:rPr>
                  </w:pPr>
                  <w:r>
                    <w:rPr>
                      <w:rFonts w:hint="eastAsia" w:cs="Times New Roman"/>
                      <w:color w:val="auto"/>
                      <w:spacing w:val="-10"/>
                      <w:sz w:val="18"/>
                      <w:szCs w:val="18"/>
                      <w:highlight w:val="none"/>
                      <w:lang w:val="en-US" w:eastAsia="zh-CN"/>
                    </w:rPr>
                    <w:t>位于1</w:t>
                  </w:r>
                  <w:r>
                    <w:rPr>
                      <w:rFonts w:hint="eastAsia" w:cs="Times New Roman"/>
                      <w:color w:val="auto"/>
                      <w:spacing w:val="-10"/>
                      <w:sz w:val="18"/>
                      <w:szCs w:val="18"/>
                      <w:highlight w:val="none"/>
                      <w:vertAlign w:val="superscript"/>
                      <w:lang w:val="en-US" w:eastAsia="zh-CN"/>
                    </w:rPr>
                    <w:t>#</w:t>
                  </w:r>
                  <w:r>
                    <w:rPr>
                      <w:rFonts w:hint="eastAsia" w:cs="Times New Roman"/>
                      <w:color w:val="auto"/>
                      <w:spacing w:val="-10"/>
                      <w:sz w:val="18"/>
                      <w:szCs w:val="18"/>
                      <w:highlight w:val="none"/>
                      <w:lang w:val="en-US" w:eastAsia="zh-CN"/>
                    </w:rPr>
                    <w:t>生产车间内，占地面积600m</w:t>
                  </w:r>
                  <w:r>
                    <w:rPr>
                      <w:rFonts w:hint="eastAsia" w:cs="Times New Roman"/>
                      <w:color w:val="auto"/>
                      <w:spacing w:val="-10"/>
                      <w:sz w:val="18"/>
                      <w:szCs w:val="18"/>
                      <w:highlight w:val="none"/>
                      <w:vertAlign w:val="superscript"/>
                      <w:lang w:val="en-US" w:eastAsia="zh-CN"/>
                    </w:rPr>
                    <w:t>2</w:t>
                  </w:r>
                  <w:r>
                    <w:rPr>
                      <w:rFonts w:hint="eastAsia" w:cs="Times New Roman"/>
                      <w:color w:val="auto"/>
                      <w:spacing w:val="-10"/>
                      <w:sz w:val="18"/>
                      <w:szCs w:val="18"/>
                      <w:highlight w:val="none"/>
                      <w:lang w:val="en-US" w:eastAsia="zh-CN"/>
                    </w:rPr>
                    <w:t>，有效堆存容积2000m</w:t>
                  </w:r>
                  <w:r>
                    <w:rPr>
                      <w:rFonts w:hint="eastAsia" w:cs="Times New Roman"/>
                      <w:color w:val="auto"/>
                      <w:spacing w:val="-10"/>
                      <w:sz w:val="18"/>
                      <w:szCs w:val="18"/>
                      <w:highlight w:val="none"/>
                      <w:vertAlign w:val="superscript"/>
                      <w:lang w:val="en-US" w:eastAsia="zh-CN"/>
                    </w:rPr>
                    <w:t>3</w:t>
                  </w:r>
                  <w:r>
                    <w:rPr>
                      <w:rFonts w:hint="eastAsia" w:cs="Times New Roman"/>
                      <w:color w:val="auto"/>
                      <w:spacing w:val="-10"/>
                      <w:sz w:val="18"/>
                      <w:szCs w:val="18"/>
                      <w:highlight w:val="none"/>
                      <w:lang w:val="en-US" w:eastAsia="zh-CN"/>
                    </w:rPr>
                    <w:t>，</w:t>
                  </w:r>
                  <w:r>
                    <w:rPr>
                      <w:rFonts w:hint="eastAsia"/>
                      <w:color w:val="auto"/>
                      <w:spacing w:val="-10"/>
                      <w:sz w:val="18"/>
                      <w:szCs w:val="18"/>
                      <w:highlight w:val="none"/>
                    </w:rPr>
                    <w:t>存储</w:t>
                  </w:r>
                  <w:r>
                    <w:rPr>
                      <w:rFonts w:hint="eastAsia"/>
                      <w:color w:val="auto"/>
                      <w:spacing w:val="-10"/>
                      <w:sz w:val="18"/>
                      <w:szCs w:val="18"/>
                      <w:highlight w:val="none"/>
                      <w:lang w:val="en-US" w:eastAsia="zh-CN"/>
                    </w:rPr>
                    <w:t>原料废钢破碎尾料，存储周期为4d</w:t>
                  </w:r>
                </w:p>
              </w:tc>
            </w:tr>
            <w:tr w14:paraId="0E394F1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70" w:hRule="atLeast"/>
              </w:trPr>
              <w:tc>
                <w:tcPr>
                  <w:tcW w:w="611" w:type="dxa"/>
                  <w:vMerge w:val="continue"/>
                  <w:vAlign w:val="center"/>
                </w:tcPr>
                <w:p w14:paraId="05269D07">
                  <w:pPr>
                    <w:snapToGrid w:val="0"/>
                    <w:spacing w:line="0" w:lineRule="atLeast"/>
                    <w:jc w:val="center"/>
                    <w:rPr>
                      <w:rFonts w:hint="eastAsia"/>
                      <w:color w:val="auto"/>
                      <w:spacing w:val="-10"/>
                      <w:sz w:val="18"/>
                      <w:szCs w:val="18"/>
                      <w:highlight w:val="none"/>
                    </w:rPr>
                  </w:pPr>
                </w:p>
              </w:tc>
              <w:tc>
                <w:tcPr>
                  <w:tcW w:w="1067" w:type="dxa"/>
                  <w:vAlign w:val="center"/>
                </w:tcPr>
                <w:p w14:paraId="0694DF97">
                  <w:pPr>
                    <w:snapToGrid w:val="0"/>
                    <w:spacing w:line="0" w:lineRule="atLeast"/>
                    <w:jc w:val="center"/>
                    <w:rPr>
                      <w:rFonts w:hint="default"/>
                      <w:color w:val="auto"/>
                      <w:spacing w:val="-10"/>
                      <w:sz w:val="18"/>
                      <w:szCs w:val="18"/>
                      <w:highlight w:val="none"/>
                      <w:lang w:val="en-US" w:eastAsia="zh-CN"/>
                    </w:rPr>
                  </w:pPr>
                  <w:r>
                    <w:rPr>
                      <w:rFonts w:hint="eastAsia"/>
                      <w:color w:val="auto"/>
                      <w:spacing w:val="-10"/>
                      <w:sz w:val="18"/>
                      <w:szCs w:val="18"/>
                      <w:highlight w:val="none"/>
                      <w:lang w:val="en-US" w:eastAsia="zh-CN"/>
                    </w:rPr>
                    <w:t>废土暂存区</w:t>
                  </w:r>
                </w:p>
              </w:tc>
              <w:tc>
                <w:tcPr>
                  <w:tcW w:w="6336" w:type="dxa"/>
                  <w:vAlign w:val="center"/>
                </w:tcPr>
                <w:p w14:paraId="482E3446">
                  <w:pPr>
                    <w:snapToGrid w:val="0"/>
                    <w:spacing w:line="0" w:lineRule="atLeast"/>
                    <w:jc w:val="center"/>
                    <w:rPr>
                      <w:rFonts w:hint="eastAsia" w:cs="Times New Roman"/>
                      <w:color w:val="auto"/>
                      <w:spacing w:val="-10"/>
                      <w:sz w:val="18"/>
                      <w:szCs w:val="18"/>
                      <w:highlight w:val="none"/>
                      <w:lang w:val="en-US" w:eastAsia="zh-CN"/>
                    </w:rPr>
                  </w:pPr>
                  <w:r>
                    <w:rPr>
                      <w:rFonts w:hint="eastAsia" w:cs="Times New Roman"/>
                      <w:color w:val="auto"/>
                      <w:spacing w:val="-10"/>
                      <w:sz w:val="18"/>
                      <w:szCs w:val="18"/>
                      <w:highlight w:val="none"/>
                      <w:lang w:val="en-US" w:eastAsia="zh-CN"/>
                    </w:rPr>
                    <w:t>位于1</w:t>
                  </w:r>
                  <w:r>
                    <w:rPr>
                      <w:rFonts w:hint="eastAsia" w:cs="Times New Roman"/>
                      <w:color w:val="auto"/>
                      <w:spacing w:val="-10"/>
                      <w:sz w:val="18"/>
                      <w:szCs w:val="18"/>
                      <w:highlight w:val="none"/>
                      <w:vertAlign w:val="superscript"/>
                      <w:lang w:val="en-US" w:eastAsia="zh-CN"/>
                    </w:rPr>
                    <w:t>#</w:t>
                  </w:r>
                  <w:r>
                    <w:rPr>
                      <w:rFonts w:hint="eastAsia" w:cs="Times New Roman"/>
                      <w:color w:val="auto"/>
                      <w:spacing w:val="-10"/>
                      <w:sz w:val="18"/>
                      <w:szCs w:val="18"/>
                      <w:highlight w:val="none"/>
                      <w:lang w:val="en-US" w:eastAsia="zh-CN"/>
                    </w:rPr>
                    <w:t>生产车间内，占地面积420m</w:t>
                  </w:r>
                  <w:r>
                    <w:rPr>
                      <w:rFonts w:hint="eastAsia" w:cs="Times New Roman"/>
                      <w:color w:val="auto"/>
                      <w:spacing w:val="-10"/>
                      <w:sz w:val="18"/>
                      <w:szCs w:val="18"/>
                      <w:highlight w:val="none"/>
                      <w:vertAlign w:val="superscript"/>
                      <w:lang w:val="en-US" w:eastAsia="zh-CN"/>
                    </w:rPr>
                    <w:t>2</w:t>
                  </w:r>
                  <w:r>
                    <w:rPr>
                      <w:rFonts w:hint="eastAsia" w:cs="Times New Roman"/>
                      <w:color w:val="auto"/>
                      <w:spacing w:val="-10"/>
                      <w:sz w:val="18"/>
                      <w:szCs w:val="18"/>
                      <w:highlight w:val="none"/>
                      <w:lang w:val="en-US" w:eastAsia="zh-CN"/>
                    </w:rPr>
                    <w:t>，有效堆存容积1680m</w:t>
                  </w:r>
                  <w:r>
                    <w:rPr>
                      <w:rFonts w:hint="eastAsia" w:cs="Times New Roman"/>
                      <w:color w:val="auto"/>
                      <w:spacing w:val="-10"/>
                      <w:sz w:val="18"/>
                      <w:szCs w:val="18"/>
                      <w:highlight w:val="none"/>
                      <w:vertAlign w:val="superscript"/>
                      <w:lang w:val="en-US" w:eastAsia="zh-CN"/>
                    </w:rPr>
                    <w:t>3</w:t>
                  </w:r>
                  <w:r>
                    <w:rPr>
                      <w:rFonts w:hint="eastAsia" w:cs="Times New Roman"/>
                      <w:color w:val="auto"/>
                      <w:spacing w:val="-10"/>
                      <w:sz w:val="18"/>
                      <w:szCs w:val="18"/>
                      <w:highlight w:val="none"/>
                      <w:lang w:val="en-US" w:eastAsia="zh-CN"/>
                    </w:rPr>
                    <w:t>，</w:t>
                  </w:r>
                  <w:r>
                    <w:rPr>
                      <w:rFonts w:hint="eastAsia"/>
                      <w:color w:val="auto"/>
                      <w:spacing w:val="-10"/>
                      <w:sz w:val="18"/>
                      <w:szCs w:val="18"/>
                      <w:highlight w:val="none"/>
                    </w:rPr>
                    <w:t>存储</w:t>
                  </w:r>
                  <w:r>
                    <w:rPr>
                      <w:rFonts w:hint="eastAsia"/>
                      <w:color w:val="auto"/>
                      <w:spacing w:val="-10"/>
                      <w:sz w:val="18"/>
                      <w:szCs w:val="18"/>
                      <w:highlight w:val="none"/>
                      <w:lang w:val="en-US" w:eastAsia="zh-CN"/>
                    </w:rPr>
                    <w:t>废土，存储周期为3.9d</w:t>
                  </w:r>
                </w:p>
              </w:tc>
            </w:tr>
            <w:tr w14:paraId="74AD2B0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70" w:hRule="atLeast"/>
              </w:trPr>
              <w:tc>
                <w:tcPr>
                  <w:tcW w:w="611" w:type="dxa"/>
                  <w:vMerge w:val="continue"/>
                  <w:vAlign w:val="center"/>
                </w:tcPr>
                <w:p w14:paraId="79F0A4E9">
                  <w:pPr>
                    <w:snapToGrid w:val="0"/>
                    <w:spacing w:line="0" w:lineRule="atLeast"/>
                    <w:jc w:val="center"/>
                    <w:rPr>
                      <w:rFonts w:hint="eastAsia"/>
                      <w:color w:val="auto"/>
                      <w:spacing w:val="-10"/>
                      <w:sz w:val="18"/>
                      <w:szCs w:val="18"/>
                      <w:highlight w:val="none"/>
                    </w:rPr>
                  </w:pPr>
                </w:p>
              </w:tc>
              <w:tc>
                <w:tcPr>
                  <w:tcW w:w="1067" w:type="dxa"/>
                  <w:vAlign w:val="center"/>
                </w:tcPr>
                <w:p w14:paraId="017732B1">
                  <w:pPr>
                    <w:snapToGrid w:val="0"/>
                    <w:spacing w:line="0" w:lineRule="atLeast"/>
                    <w:jc w:val="center"/>
                    <w:rPr>
                      <w:rFonts w:hint="eastAsia"/>
                      <w:color w:val="auto"/>
                      <w:spacing w:val="-10"/>
                      <w:sz w:val="18"/>
                      <w:szCs w:val="18"/>
                      <w:highlight w:val="none"/>
                      <w:lang w:val="en-US" w:eastAsia="zh-CN"/>
                    </w:rPr>
                  </w:pPr>
                  <w:r>
                    <w:rPr>
                      <w:rFonts w:hint="eastAsia"/>
                      <w:color w:val="auto"/>
                      <w:spacing w:val="-10"/>
                      <w:sz w:val="18"/>
                      <w:szCs w:val="18"/>
                      <w:highlight w:val="none"/>
                      <w:lang w:val="en-US" w:eastAsia="zh-CN"/>
                    </w:rPr>
                    <w:t>棉絮、泡沫暂存区</w:t>
                  </w:r>
                </w:p>
              </w:tc>
              <w:tc>
                <w:tcPr>
                  <w:tcW w:w="6336" w:type="dxa"/>
                  <w:vAlign w:val="center"/>
                </w:tcPr>
                <w:p w14:paraId="37E18B08">
                  <w:pPr>
                    <w:snapToGrid w:val="0"/>
                    <w:spacing w:line="0" w:lineRule="atLeast"/>
                    <w:jc w:val="center"/>
                    <w:rPr>
                      <w:rFonts w:hint="eastAsia" w:cs="Times New Roman"/>
                      <w:color w:val="auto"/>
                      <w:spacing w:val="-10"/>
                      <w:sz w:val="18"/>
                      <w:szCs w:val="18"/>
                      <w:highlight w:val="none"/>
                      <w:lang w:val="en-US" w:eastAsia="zh-CN"/>
                    </w:rPr>
                  </w:pPr>
                  <w:r>
                    <w:rPr>
                      <w:rFonts w:hint="eastAsia" w:cs="Times New Roman"/>
                      <w:color w:val="auto"/>
                      <w:spacing w:val="-10"/>
                      <w:sz w:val="18"/>
                      <w:szCs w:val="18"/>
                      <w:highlight w:val="none"/>
                      <w:lang w:val="en-US" w:eastAsia="zh-CN"/>
                    </w:rPr>
                    <w:t>位于1</w:t>
                  </w:r>
                  <w:r>
                    <w:rPr>
                      <w:rFonts w:hint="eastAsia" w:cs="Times New Roman"/>
                      <w:color w:val="auto"/>
                      <w:spacing w:val="-10"/>
                      <w:sz w:val="18"/>
                      <w:szCs w:val="18"/>
                      <w:highlight w:val="none"/>
                      <w:vertAlign w:val="superscript"/>
                      <w:lang w:val="en-US" w:eastAsia="zh-CN"/>
                    </w:rPr>
                    <w:t>#</w:t>
                  </w:r>
                  <w:r>
                    <w:rPr>
                      <w:rFonts w:hint="eastAsia" w:cs="Times New Roman"/>
                      <w:color w:val="auto"/>
                      <w:spacing w:val="-10"/>
                      <w:sz w:val="18"/>
                      <w:szCs w:val="18"/>
                      <w:highlight w:val="none"/>
                      <w:lang w:val="en-US" w:eastAsia="zh-CN"/>
                    </w:rPr>
                    <w:t>生产车间内，占地面积400m</w:t>
                  </w:r>
                  <w:r>
                    <w:rPr>
                      <w:rFonts w:hint="eastAsia" w:cs="Times New Roman"/>
                      <w:color w:val="auto"/>
                      <w:spacing w:val="-10"/>
                      <w:sz w:val="18"/>
                      <w:szCs w:val="18"/>
                      <w:highlight w:val="none"/>
                      <w:vertAlign w:val="superscript"/>
                      <w:lang w:val="en-US" w:eastAsia="zh-CN"/>
                    </w:rPr>
                    <w:t>2</w:t>
                  </w:r>
                  <w:r>
                    <w:rPr>
                      <w:rFonts w:hint="eastAsia" w:cs="Times New Roman"/>
                      <w:color w:val="auto"/>
                      <w:spacing w:val="-10"/>
                      <w:sz w:val="18"/>
                      <w:szCs w:val="18"/>
                      <w:highlight w:val="none"/>
                      <w:lang w:val="en-US" w:eastAsia="zh-CN"/>
                    </w:rPr>
                    <w:t>，可暂存1140t，</w:t>
                  </w:r>
                  <w:r>
                    <w:rPr>
                      <w:rFonts w:hint="eastAsia"/>
                      <w:color w:val="auto"/>
                      <w:spacing w:val="-10"/>
                      <w:sz w:val="18"/>
                      <w:szCs w:val="18"/>
                      <w:highlight w:val="none"/>
                      <w:lang w:val="en-US" w:eastAsia="zh-CN"/>
                    </w:rPr>
                    <w:t>存储周期为3d</w:t>
                  </w:r>
                </w:p>
              </w:tc>
            </w:tr>
            <w:tr w14:paraId="0FDBF6D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70" w:hRule="atLeast"/>
              </w:trPr>
              <w:tc>
                <w:tcPr>
                  <w:tcW w:w="611" w:type="dxa"/>
                  <w:vMerge w:val="continue"/>
                  <w:vAlign w:val="center"/>
                </w:tcPr>
                <w:p w14:paraId="07174D87">
                  <w:pPr>
                    <w:snapToGrid w:val="0"/>
                    <w:spacing w:line="0" w:lineRule="atLeast"/>
                    <w:jc w:val="center"/>
                    <w:rPr>
                      <w:rFonts w:hint="eastAsia"/>
                      <w:color w:val="auto"/>
                      <w:spacing w:val="-10"/>
                      <w:sz w:val="18"/>
                      <w:szCs w:val="18"/>
                      <w:highlight w:val="none"/>
                    </w:rPr>
                  </w:pPr>
                </w:p>
              </w:tc>
              <w:tc>
                <w:tcPr>
                  <w:tcW w:w="1067" w:type="dxa"/>
                  <w:shd w:val="clear" w:color="auto" w:fill="auto"/>
                  <w:vAlign w:val="center"/>
                </w:tcPr>
                <w:p w14:paraId="6CB20568">
                  <w:pPr>
                    <w:snapToGrid w:val="0"/>
                    <w:spacing w:line="0" w:lineRule="atLeast"/>
                    <w:jc w:val="center"/>
                    <w:rPr>
                      <w:rFonts w:hint="eastAsia" w:ascii="Times New Roman" w:hAnsi="Times New Roman" w:eastAsia="宋体" w:cs="Times New Roman"/>
                      <w:color w:val="auto"/>
                      <w:spacing w:val="-10"/>
                      <w:kern w:val="2"/>
                      <w:sz w:val="18"/>
                      <w:szCs w:val="18"/>
                      <w:highlight w:val="none"/>
                      <w:lang w:val="en-US" w:eastAsia="zh-CN" w:bidi="ar-SA"/>
                    </w:rPr>
                  </w:pPr>
                  <w:r>
                    <w:rPr>
                      <w:rFonts w:hint="eastAsia"/>
                      <w:color w:val="auto"/>
                      <w:spacing w:val="-10"/>
                      <w:sz w:val="18"/>
                      <w:szCs w:val="18"/>
                      <w:highlight w:val="none"/>
                      <w:lang w:val="en-US" w:eastAsia="zh-CN"/>
                    </w:rPr>
                    <w:t>暂存池</w:t>
                  </w:r>
                </w:p>
              </w:tc>
              <w:tc>
                <w:tcPr>
                  <w:tcW w:w="6336" w:type="dxa"/>
                  <w:shd w:val="clear" w:color="auto" w:fill="auto"/>
                  <w:vAlign w:val="center"/>
                </w:tcPr>
                <w:p w14:paraId="1ABC946B">
                  <w:pPr>
                    <w:snapToGrid w:val="0"/>
                    <w:spacing w:line="0" w:lineRule="atLeast"/>
                    <w:jc w:val="center"/>
                    <w:rPr>
                      <w:rFonts w:hint="eastAsia" w:ascii="Times New Roman" w:hAnsi="Times New Roman" w:eastAsia="宋体" w:cs="Times New Roman"/>
                      <w:color w:val="auto"/>
                      <w:spacing w:val="-10"/>
                      <w:kern w:val="2"/>
                      <w:sz w:val="18"/>
                      <w:szCs w:val="18"/>
                      <w:highlight w:val="none"/>
                      <w:lang w:val="en-US" w:eastAsia="zh-CN" w:bidi="ar-SA"/>
                    </w:rPr>
                  </w:pPr>
                  <w:r>
                    <w:rPr>
                      <w:rFonts w:hint="eastAsia" w:cs="Times New Roman"/>
                      <w:color w:val="auto"/>
                      <w:spacing w:val="-10"/>
                      <w:sz w:val="18"/>
                      <w:szCs w:val="18"/>
                      <w:highlight w:val="none"/>
                      <w:lang w:val="en-US" w:eastAsia="zh-CN"/>
                    </w:rPr>
                    <w:t>位于1</w:t>
                  </w:r>
                  <w:r>
                    <w:rPr>
                      <w:rFonts w:hint="eastAsia" w:cs="Times New Roman"/>
                      <w:color w:val="auto"/>
                      <w:spacing w:val="-10"/>
                      <w:sz w:val="18"/>
                      <w:szCs w:val="18"/>
                      <w:highlight w:val="none"/>
                      <w:vertAlign w:val="superscript"/>
                      <w:lang w:val="en-US" w:eastAsia="zh-CN"/>
                    </w:rPr>
                    <w:t>#</w:t>
                  </w:r>
                  <w:r>
                    <w:rPr>
                      <w:rFonts w:hint="eastAsia" w:cs="Times New Roman"/>
                      <w:color w:val="auto"/>
                      <w:spacing w:val="-10"/>
                      <w:sz w:val="18"/>
                      <w:szCs w:val="18"/>
                      <w:highlight w:val="none"/>
                      <w:lang w:val="en-US" w:eastAsia="zh-CN"/>
                    </w:rPr>
                    <w:t>生产车间内，容积96m</w:t>
                  </w:r>
                  <w:r>
                    <w:rPr>
                      <w:rFonts w:hint="eastAsia" w:cs="Times New Roman"/>
                      <w:color w:val="auto"/>
                      <w:spacing w:val="-10"/>
                      <w:sz w:val="18"/>
                      <w:szCs w:val="18"/>
                      <w:highlight w:val="none"/>
                      <w:vertAlign w:val="superscript"/>
                      <w:lang w:val="en-US" w:eastAsia="zh-CN"/>
                    </w:rPr>
                    <w:t>3</w:t>
                  </w:r>
                  <w:r>
                    <w:rPr>
                      <w:rFonts w:hint="eastAsia" w:cs="Times New Roman"/>
                      <w:color w:val="auto"/>
                      <w:spacing w:val="-10"/>
                      <w:sz w:val="18"/>
                      <w:szCs w:val="18"/>
                      <w:highlight w:val="none"/>
                      <w:lang w:val="en-US" w:eastAsia="zh-CN"/>
                    </w:rPr>
                    <w:t>，</w:t>
                  </w:r>
                  <w:r>
                    <w:rPr>
                      <w:rFonts w:hint="eastAsia" w:ascii="Times New Roman" w:hAnsi="Times New Roman" w:cs="Times New Roman"/>
                      <w:color w:val="auto"/>
                      <w:spacing w:val="-10"/>
                      <w:sz w:val="18"/>
                      <w:szCs w:val="18"/>
                      <w:highlight w:val="none"/>
                      <w:lang w:val="en-US" w:eastAsia="zh-CN"/>
                    </w:rPr>
                    <w:t>呈坡状，有高差，暂存破碎后物料</w:t>
                  </w:r>
                </w:p>
              </w:tc>
            </w:tr>
            <w:tr w14:paraId="39F6A61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70" w:hRule="atLeast"/>
              </w:trPr>
              <w:tc>
                <w:tcPr>
                  <w:tcW w:w="611" w:type="dxa"/>
                  <w:vMerge w:val="continue"/>
                  <w:vAlign w:val="center"/>
                </w:tcPr>
                <w:p w14:paraId="4AE5D394">
                  <w:pPr>
                    <w:snapToGrid w:val="0"/>
                    <w:spacing w:line="0" w:lineRule="atLeast"/>
                    <w:jc w:val="center"/>
                    <w:rPr>
                      <w:rFonts w:hint="eastAsia"/>
                      <w:color w:val="auto"/>
                      <w:spacing w:val="-10"/>
                      <w:sz w:val="18"/>
                      <w:szCs w:val="18"/>
                      <w:highlight w:val="none"/>
                    </w:rPr>
                  </w:pPr>
                </w:p>
              </w:tc>
              <w:tc>
                <w:tcPr>
                  <w:tcW w:w="1067" w:type="dxa"/>
                  <w:shd w:val="clear" w:color="auto" w:fill="auto"/>
                  <w:vAlign w:val="center"/>
                </w:tcPr>
                <w:p w14:paraId="2149BD2F">
                  <w:pPr>
                    <w:snapToGrid w:val="0"/>
                    <w:spacing w:line="0" w:lineRule="atLeast"/>
                    <w:jc w:val="center"/>
                    <w:rPr>
                      <w:rFonts w:hint="eastAsia" w:ascii="Times New Roman" w:hAnsi="Times New Roman" w:eastAsia="宋体" w:cs="Times New Roman"/>
                      <w:color w:val="auto"/>
                      <w:spacing w:val="-10"/>
                      <w:kern w:val="2"/>
                      <w:sz w:val="18"/>
                      <w:szCs w:val="18"/>
                      <w:highlight w:val="none"/>
                      <w:lang w:val="en-US" w:eastAsia="zh-CN" w:bidi="ar-SA"/>
                    </w:rPr>
                  </w:pPr>
                  <w:r>
                    <w:rPr>
                      <w:rFonts w:hint="eastAsia"/>
                      <w:color w:val="auto"/>
                      <w:spacing w:val="-10"/>
                      <w:sz w:val="18"/>
                      <w:szCs w:val="18"/>
                      <w:highlight w:val="none"/>
                      <w:lang w:val="en-US" w:eastAsia="zh-CN"/>
                    </w:rPr>
                    <w:t>1</w:t>
                  </w:r>
                  <w:r>
                    <w:rPr>
                      <w:rFonts w:hint="eastAsia"/>
                      <w:color w:val="auto"/>
                      <w:spacing w:val="-10"/>
                      <w:sz w:val="18"/>
                      <w:szCs w:val="18"/>
                      <w:highlight w:val="none"/>
                      <w:vertAlign w:val="superscript"/>
                      <w:lang w:val="en-US" w:eastAsia="zh-CN"/>
                    </w:rPr>
                    <w:t>#</w:t>
                  </w:r>
                  <w:r>
                    <w:rPr>
                      <w:rFonts w:hint="eastAsia"/>
                      <w:color w:val="auto"/>
                      <w:spacing w:val="-10"/>
                      <w:sz w:val="18"/>
                      <w:szCs w:val="18"/>
                      <w:highlight w:val="none"/>
                      <w:lang w:val="en-US" w:eastAsia="zh-CN"/>
                    </w:rPr>
                    <w:t>储料池</w:t>
                  </w:r>
                </w:p>
              </w:tc>
              <w:tc>
                <w:tcPr>
                  <w:tcW w:w="6336" w:type="dxa"/>
                  <w:shd w:val="clear" w:color="auto" w:fill="auto"/>
                  <w:vAlign w:val="center"/>
                </w:tcPr>
                <w:p w14:paraId="3F788DD3">
                  <w:pPr>
                    <w:snapToGrid w:val="0"/>
                    <w:spacing w:line="0" w:lineRule="atLeast"/>
                    <w:jc w:val="center"/>
                    <w:rPr>
                      <w:rFonts w:hint="eastAsia" w:ascii="Times New Roman" w:hAnsi="Times New Roman" w:eastAsia="宋体" w:cs="Times New Roman"/>
                      <w:color w:val="auto"/>
                      <w:spacing w:val="-10"/>
                      <w:kern w:val="2"/>
                      <w:sz w:val="18"/>
                      <w:szCs w:val="18"/>
                      <w:highlight w:val="none"/>
                      <w:lang w:val="en-US" w:eastAsia="zh-CN" w:bidi="ar-SA"/>
                    </w:rPr>
                  </w:pPr>
                  <w:r>
                    <w:rPr>
                      <w:rFonts w:hint="eastAsia" w:cs="Times New Roman"/>
                      <w:color w:val="auto"/>
                      <w:spacing w:val="-10"/>
                      <w:sz w:val="18"/>
                      <w:szCs w:val="18"/>
                      <w:highlight w:val="none"/>
                      <w:lang w:val="en-US" w:eastAsia="zh-CN"/>
                    </w:rPr>
                    <w:t>位于1</w:t>
                  </w:r>
                  <w:r>
                    <w:rPr>
                      <w:rFonts w:hint="eastAsia" w:cs="Times New Roman"/>
                      <w:color w:val="auto"/>
                      <w:spacing w:val="-10"/>
                      <w:sz w:val="18"/>
                      <w:szCs w:val="18"/>
                      <w:highlight w:val="none"/>
                      <w:vertAlign w:val="superscript"/>
                      <w:lang w:val="en-US" w:eastAsia="zh-CN"/>
                    </w:rPr>
                    <w:t>#</w:t>
                  </w:r>
                  <w:r>
                    <w:rPr>
                      <w:rFonts w:hint="eastAsia" w:cs="Times New Roman"/>
                      <w:color w:val="auto"/>
                      <w:spacing w:val="-10"/>
                      <w:sz w:val="18"/>
                      <w:szCs w:val="18"/>
                      <w:highlight w:val="none"/>
                      <w:lang w:val="en-US" w:eastAsia="zh-CN"/>
                    </w:rPr>
                    <w:t>生产车间内，容积96m</w:t>
                  </w:r>
                  <w:r>
                    <w:rPr>
                      <w:rFonts w:hint="eastAsia" w:cs="Times New Roman"/>
                      <w:color w:val="auto"/>
                      <w:spacing w:val="-10"/>
                      <w:sz w:val="18"/>
                      <w:szCs w:val="18"/>
                      <w:highlight w:val="none"/>
                      <w:vertAlign w:val="superscript"/>
                      <w:lang w:val="en-US" w:eastAsia="zh-CN"/>
                    </w:rPr>
                    <w:t>3</w:t>
                  </w:r>
                  <w:r>
                    <w:rPr>
                      <w:rFonts w:hint="eastAsia" w:cs="Times New Roman"/>
                      <w:color w:val="auto"/>
                      <w:spacing w:val="-10"/>
                      <w:sz w:val="18"/>
                      <w:szCs w:val="18"/>
                      <w:highlight w:val="none"/>
                      <w:lang w:val="en-US" w:eastAsia="zh-CN"/>
                    </w:rPr>
                    <w:t>，</w:t>
                  </w:r>
                  <w:r>
                    <w:rPr>
                      <w:rFonts w:hint="eastAsia" w:ascii="Times New Roman" w:hAnsi="Times New Roman" w:cs="Times New Roman"/>
                      <w:color w:val="auto"/>
                      <w:spacing w:val="-10"/>
                      <w:sz w:val="18"/>
                      <w:szCs w:val="18"/>
                      <w:highlight w:val="none"/>
                      <w:lang w:val="en-US" w:eastAsia="zh-CN"/>
                    </w:rPr>
                    <w:t>呈坡状，有高差， 暂存</w:t>
                  </w:r>
                  <w:r>
                    <w:rPr>
                      <w:rFonts w:hint="eastAsia" w:cs="Times New Roman"/>
                      <w:color w:val="auto"/>
                      <w:spacing w:val="-10"/>
                      <w:sz w:val="18"/>
                      <w:szCs w:val="18"/>
                      <w:highlight w:val="none"/>
                      <w:lang w:val="en-US" w:eastAsia="zh-CN"/>
                    </w:rPr>
                    <w:t>一次漂洗后分选出比重大的有色金属、橡胶、沉水塑料等物料</w:t>
                  </w:r>
                </w:p>
              </w:tc>
            </w:tr>
          </w:tbl>
          <w:p w14:paraId="41B64DA4">
            <w:pPr>
              <w:spacing w:line="460" w:lineRule="exact"/>
              <w:jc w:val="center"/>
              <w:rPr>
                <w:rFonts w:hAnsi="宋体"/>
                <w:b/>
                <w:color w:val="auto"/>
              </w:rPr>
            </w:pPr>
            <w:r>
              <w:rPr>
                <w:rFonts w:hint="eastAsia" w:hAnsi="宋体"/>
                <w:b/>
                <w:color w:val="auto"/>
                <w:lang w:val="en-US" w:eastAsia="zh-CN"/>
              </w:rPr>
              <w:t>续</w:t>
            </w:r>
            <w:r>
              <w:rPr>
                <w:rFonts w:hint="eastAsia" w:hAnsi="宋体"/>
                <w:b/>
                <w:color w:val="auto"/>
              </w:rPr>
              <w:t>表</w:t>
            </w:r>
            <w:r>
              <w:rPr>
                <w:rFonts w:hint="eastAsia" w:hAnsi="宋体"/>
                <w:b/>
                <w:color w:val="auto"/>
                <w:lang w:val="en-US" w:eastAsia="zh-CN"/>
              </w:rPr>
              <w:t>5</w:t>
            </w:r>
            <w:r>
              <w:rPr>
                <w:rFonts w:hint="eastAsia" w:hAnsi="宋体"/>
                <w:b/>
                <w:color w:val="auto"/>
              </w:rPr>
              <w:t xml:space="preserve"> 项目建设情况一览表</w:t>
            </w:r>
          </w:p>
          <w:tbl>
            <w:tblPr>
              <w:tblStyle w:val="28"/>
              <w:tblW w:w="8014" w:type="dxa"/>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28" w:type="dxa"/>
                <w:bottom w:w="0" w:type="dxa"/>
                <w:right w:w="28" w:type="dxa"/>
              </w:tblCellMar>
            </w:tblPr>
            <w:tblGrid>
              <w:gridCol w:w="611"/>
              <w:gridCol w:w="438"/>
              <w:gridCol w:w="629"/>
              <w:gridCol w:w="6336"/>
            </w:tblGrid>
            <w:tr w14:paraId="3ADB67B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70" w:hRule="atLeast"/>
              </w:trPr>
              <w:tc>
                <w:tcPr>
                  <w:tcW w:w="611" w:type="dxa"/>
                  <w:vAlign w:val="center"/>
                </w:tcPr>
                <w:p w14:paraId="0104FF7A">
                  <w:pPr>
                    <w:snapToGrid w:val="0"/>
                    <w:spacing w:line="0" w:lineRule="atLeast"/>
                    <w:jc w:val="center"/>
                    <w:rPr>
                      <w:color w:val="auto"/>
                      <w:spacing w:val="-10"/>
                      <w:sz w:val="18"/>
                      <w:szCs w:val="18"/>
                      <w:highlight w:val="none"/>
                    </w:rPr>
                  </w:pPr>
                  <w:r>
                    <w:rPr>
                      <w:color w:val="auto"/>
                      <w:spacing w:val="-10"/>
                      <w:sz w:val="18"/>
                      <w:szCs w:val="18"/>
                      <w:highlight w:val="none"/>
                    </w:rPr>
                    <w:t>项目</w:t>
                  </w:r>
                </w:p>
              </w:tc>
              <w:tc>
                <w:tcPr>
                  <w:tcW w:w="1067" w:type="dxa"/>
                  <w:gridSpan w:val="2"/>
                  <w:vAlign w:val="center"/>
                </w:tcPr>
                <w:p w14:paraId="71B5C822">
                  <w:pPr>
                    <w:snapToGrid w:val="0"/>
                    <w:spacing w:line="0" w:lineRule="atLeast"/>
                    <w:jc w:val="center"/>
                    <w:rPr>
                      <w:color w:val="auto"/>
                      <w:spacing w:val="-10"/>
                      <w:sz w:val="18"/>
                      <w:szCs w:val="18"/>
                      <w:highlight w:val="none"/>
                    </w:rPr>
                  </w:pPr>
                  <w:r>
                    <w:rPr>
                      <w:rFonts w:hint="eastAsia"/>
                      <w:color w:val="auto"/>
                      <w:spacing w:val="-10"/>
                      <w:sz w:val="18"/>
                      <w:szCs w:val="18"/>
                      <w:highlight w:val="none"/>
                    </w:rPr>
                    <w:t>工程名称</w:t>
                  </w:r>
                </w:p>
              </w:tc>
              <w:tc>
                <w:tcPr>
                  <w:tcW w:w="6336" w:type="dxa"/>
                  <w:vAlign w:val="center"/>
                </w:tcPr>
                <w:p w14:paraId="76AFC4BF">
                  <w:pPr>
                    <w:snapToGrid w:val="0"/>
                    <w:spacing w:line="0" w:lineRule="atLeast"/>
                    <w:jc w:val="center"/>
                    <w:rPr>
                      <w:rFonts w:hint="eastAsia" w:eastAsia="宋体"/>
                      <w:color w:val="auto"/>
                      <w:spacing w:val="-10"/>
                      <w:sz w:val="18"/>
                      <w:szCs w:val="18"/>
                      <w:highlight w:val="none"/>
                      <w:lang w:val="en-US" w:eastAsia="zh-CN"/>
                    </w:rPr>
                  </w:pPr>
                  <w:r>
                    <w:rPr>
                      <w:color w:val="auto"/>
                      <w:spacing w:val="-10"/>
                      <w:sz w:val="18"/>
                      <w:szCs w:val="18"/>
                      <w:highlight w:val="none"/>
                    </w:rPr>
                    <w:t>工程内容</w:t>
                  </w:r>
                </w:p>
              </w:tc>
            </w:tr>
            <w:tr w14:paraId="575A003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10" w:hRule="atLeast"/>
              </w:trPr>
              <w:tc>
                <w:tcPr>
                  <w:tcW w:w="611" w:type="dxa"/>
                  <w:vMerge w:val="restart"/>
                  <w:vAlign w:val="center"/>
                </w:tcPr>
                <w:p w14:paraId="3B99004E">
                  <w:pPr>
                    <w:snapToGrid w:val="0"/>
                    <w:spacing w:line="0" w:lineRule="atLeast"/>
                    <w:jc w:val="center"/>
                    <w:rPr>
                      <w:color w:val="auto"/>
                      <w:spacing w:val="-10"/>
                      <w:sz w:val="18"/>
                      <w:szCs w:val="18"/>
                      <w:highlight w:val="none"/>
                    </w:rPr>
                  </w:pPr>
                  <w:r>
                    <w:rPr>
                      <w:rFonts w:hint="eastAsia"/>
                      <w:color w:val="auto"/>
                      <w:spacing w:val="-10"/>
                      <w:sz w:val="18"/>
                      <w:szCs w:val="18"/>
                      <w:highlight w:val="none"/>
                    </w:rPr>
                    <w:t>储运</w:t>
                  </w:r>
                </w:p>
                <w:p w14:paraId="6E4CBBA8">
                  <w:pPr>
                    <w:snapToGrid w:val="0"/>
                    <w:spacing w:line="0" w:lineRule="atLeast"/>
                    <w:jc w:val="center"/>
                    <w:rPr>
                      <w:rFonts w:hint="eastAsia"/>
                      <w:color w:val="auto"/>
                      <w:spacing w:val="-10"/>
                      <w:sz w:val="18"/>
                      <w:szCs w:val="18"/>
                      <w:highlight w:val="none"/>
                    </w:rPr>
                  </w:pPr>
                  <w:r>
                    <w:rPr>
                      <w:rFonts w:hint="eastAsia"/>
                      <w:color w:val="auto"/>
                      <w:spacing w:val="-10"/>
                      <w:sz w:val="18"/>
                      <w:szCs w:val="18"/>
                      <w:highlight w:val="none"/>
                    </w:rPr>
                    <w:t>工程</w:t>
                  </w:r>
                </w:p>
              </w:tc>
              <w:tc>
                <w:tcPr>
                  <w:tcW w:w="1067" w:type="dxa"/>
                  <w:gridSpan w:val="2"/>
                  <w:shd w:val="clear" w:color="auto" w:fill="auto"/>
                  <w:vAlign w:val="center"/>
                </w:tcPr>
                <w:p w14:paraId="723A5BDD">
                  <w:pPr>
                    <w:snapToGrid w:val="0"/>
                    <w:spacing w:line="0" w:lineRule="atLeast"/>
                    <w:jc w:val="center"/>
                    <w:rPr>
                      <w:rFonts w:hint="default" w:ascii="Times New Roman" w:hAnsi="Times New Roman" w:eastAsia="宋体" w:cs="Times New Roman"/>
                      <w:color w:val="auto"/>
                      <w:spacing w:val="-10"/>
                      <w:kern w:val="2"/>
                      <w:sz w:val="18"/>
                      <w:szCs w:val="18"/>
                      <w:highlight w:val="none"/>
                      <w:lang w:val="en-US" w:eastAsia="zh-CN" w:bidi="ar-SA"/>
                    </w:rPr>
                  </w:pPr>
                  <w:r>
                    <w:rPr>
                      <w:rFonts w:hint="eastAsia"/>
                      <w:color w:val="auto"/>
                      <w:spacing w:val="-10"/>
                      <w:sz w:val="18"/>
                      <w:szCs w:val="18"/>
                      <w:highlight w:val="none"/>
                      <w:lang w:val="en-US" w:eastAsia="zh-CN"/>
                    </w:rPr>
                    <w:t>2</w:t>
                  </w:r>
                  <w:r>
                    <w:rPr>
                      <w:rFonts w:hint="eastAsia"/>
                      <w:color w:val="auto"/>
                      <w:spacing w:val="-10"/>
                      <w:sz w:val="18"/>
                      <w:szCs w:val="18"/>
                      <w:highlight w:val="none"/>
                      <w:vertAlign w:val="superscript"/>
                      <w:lang w:val="en-US" w:eastAsia="zh-CN"/>
                    </w:rPr>
                    <w:t>#</w:t>
                  </w:r>
                  <w:r>
                    <w:rPr>
                      <w:rFonts w:hint="eastAsia"/>
                      <w:color w:val="auto"/>
                      <w:spacing w:val="-10"/>
                      <w:sz w:val="18"/>
                      <w:szCs w:val="18"/>
                      <w:highlight w:val="none"/>
                      <w:lang w:val="en-US" w:eastAsia="zh-CN"/>
                    </w:rPr>
                    <w:t>储料池</w:t>
                  </w:r>
                </w:p>
              </w:tc>
              <w:tc>
                <w:tcPr>
                  <w:tcW w:w="6336" w:type="dxa"/>
                  <w:shd w:val="clear" w:color="auto" w:fill="auto"/>
                  <w:vAlign w:val="center"/>
                </w:tcPr>
                <w:p w14:paraId="4837914C">
                  <w:pPr>
                    <w:snapToGrid w:val="0"/>
                    <w:spacing w:line="0" w:lineRule="atLeast"/>
                    <w:jc w:val="center"/>
                    <w:rPr>
                      <w:rFonts w:hint="default" w:ascii="Times New Roman" w:hAnsi="Times New Roman" w:eastAsia="宋体" w:cs="Times New Roman"/>
                      <w:color w:val="auto"/>
                      <w:spacing w:val="-10"/>
                      <w:kern w:val="2"/>
                      <w:sz w:val="18"/>
                      <w:szCs w:val="18"/>
                      <w:highlight w:val="none"/>
                      <w:lang w:val="en-US" w:eastAsia="zh-CN" w:bidi="ar-SA"/>
                    </w:rPr>
                  </w:pPr>
                  <w:r>
                    <w:rPr>
                      <w:rFonts w:hint="eastAsia" w:cs="Times New Roman"/>
                      <w:color w:val="auto"/>
                      <w:spacing w:val="-10"/>
                      <w:sz w:val="18"/>
                      <w:szCs w:val="18"/>
                      <w:highlight w:val="none"/>
                      <w:lang w:val="en-US" w:eastAsia="zh-CN"/>
                    </w:rPr>
                    <w:t>位于1</w:t>
                  </w:r>
                  <w:r>
                    <w:rPr>
                      <w:rFonts w:hint="eastAsia" w:cs="Times New Roman"/>
                      <w:color w:val="auto"/>
                      <w:spacing w:val="-10"/>
                      <w:sz w:val="18"/>
                      <w:szCs w:val="18"/>
                      <w:highlight w:val="none"/>
                      <w:vertAlign w:val="superscript"/>
                      <w:lang w:val="en-US" w:eastAsia="zh-CN"/>
                    </w:rPr>
                    <w:t>#</w:t>
                  </w:r>
                  <w:r>
                    <w:rPr>
                      <w:rFonts w:hint="eastAsia" w:cs="Times New Roman"/>
                      <w:color w:val="auto"/>
                      <w:spacing w:val="-10"/>
                      <w:sz w:val="18"/>
                      <w:szCs w:val="18"/>
                      <w:highlight w:val="none"/>
                      <w:lang w:val="en-US" w:eastAsia="zh-CN"/>
                    </w:rPr>
                    <w:t>生产车间内，容积96m</w:t>
                  </w:r>
                  <w:r>
                    <w:rPr>
                      <w:rFonts w:hint="eastAsia" w:cs="Times New Roman"/>
                      <w:color w:val="auto"/>
                      <w:spacing w:val="-10"/>
                      <w:sz w:val="18"/>
                      <w:szCs w:val="18"/>
                      <w:highlight w:val="none"/>
                      <w:vertAlign w:val="superscript"/>
                      <w:lang w:val="en-US" w:eastAsia="zh-CN"/>
                    </w:rPr>
                    <w:t>3</w:t>
                  </w:r>
                  <w:r>
                    <w:rPr>
                      <w:rFonts w:hint="eastAsia" w:cs="Times New Roman"/>
                      <w:color w:val="auto"/>
                      <w:spacing w:val="-10"/>
                      <w:sz w:val="18"/>
                      <w:szCs w:val="18"/>
                      <w:highlight w:val="none"/>
                      <w:lang w:val="en-US" w:eastAsia="zh-CN"/>
                    </w:rPr>
                    <w:t>，</w:t>
                  </w:r>
                  <w:r>
                    <w:rPr>
                      <w:rFonts w:hint="eastAsia" w:ascii="Times New Roman" w:hAnsi="Times New Roman" w:cs="Times New Roman"/>
                      <w:color w:val="auto"/>
                      <w:spacing w:val="-10"/>
                      <w:sz w:val="18"/>
                      <w:szCs w:val="18"/>
                      <w:highlight w:val="none"/>
                      <w:lang w:val="en-US" w:eastAsia="zh-CN"/>
                    </w:rPr>
                    <w:t>呈坡状，有高差， 暂存</w:t>
                  </w:r>
                  <w:r>
                    <w:rPr>
                      <w:rFonts w:hint="eastAsia" w:cs="Times New Roman"/>
                      <w:color w:val="auto"/>
                      <w:spacing w:val="-10"/>
                      <w:sz w:val="18"/>
                      <w:szCs w:val="18"/>
                      <w:highlight w:val="none"/>
                      <w:lang w:val="en-US" w:eastAsia="zh-CN"/>
                    </w:rPr>
                    <w:t>二次漂洗后分选出比重大的有色海绵、木屑、沉水塑料等物料</w:t>
                  </w:r>
                </w:p>
              </w:tc>
            </w:tr>
            <w:tr w14:paraId="766F805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70" w:hRule="atLeast"/>
              </w:trPr>
              <w:tc>
                <w:tcPr>
                  <w:tcW w:w="611" w:type="dxa"/>
                  <w:vMerge w:val="continue"/>
                  <w:vAlign w:val="center"/>
                </w:tcPr>
                <w:p w14:paraId="19FCD0C8">
                  <w:pPr>
                    <w:snapToGrid w:val="0"/>
                    <w:spacing w:line="0" w:lineRule="atLeast"/>
                    <w:jc w:val="center"/>
                    <w:rPr>
                      <w:rFonts w:hint="eastAsia"/>
                      <w:color w:val="auto"/>
                      <w:spacing w:val="-10"/>
                      <w:sz w:val="18"/>
                      <w:szCs w:val="18"/>
                      <w:highlight w:val="none"/>
                    </w:rPr>
                  </w:pPr>
                </w:p>
              </w:tc>
              <w:tc>
                <w:tcPr>
                  <w:tcW w:w="1067" w:type="dxa"/>
                  <w:gridSpan w:val="2"/>
                  <w:vAlign w:val="center"/>
                </w:tcPr>
                <w:p w14:paraId="333FF5E4">
                  <w:pPr>
                    <w:snapToGrid w:val="0"/>
                    <w:spacing w:line="0" w:lineRule="atLeast"/>
                    <w:jc w:val="center"/>
                    <w:rPr>
                      <w:rFonts w:hint="default"/>
                      <w:color w:val="auto"/>
                      <w:spacing w:val="-10"/>
                      <w:sz w:val="18"/>
                      <w:szCs w:val="18"/>
                      <w:highlight w:val="none"/>
                      <w:lang w:val="en-US" w:eastAsia="zh-CN"/>
                    </w:rPr>
                  </w:pPr>
                  <w:r>
                    <w:rPr>
                      <w:rFonts w:hint="eastAsia"/>
                      <w:color w:val="auto"/>
                      <w:spacing w:val="-10"/>
                      <w:sz w:val="18"/>
                      <w:szCs w:val="18"/>
                      <w:highlight w:val="none"/>
                      <w:lang w:val="en-US" w:eastAsia="zh-CN"/>
                    </w:rPr>
                    <w:t>3</w:t>
                  </w:r>
                  <w:r>
                    <w:rPr>
                      <w:rFonts w:hint="eastAsia"/>
                      <w:color w:val="auto"/>
                      <w:spacing w:val="-10"/>
                      <w:sz w:val="18"/>
                      <w:szCs w:val="18"/>
                      <w:highlight w:val="none"/>
                      <w:vertAlign w:val="superscript"/>
                      <w:lang w:val="en-US" w:eastAsia="zh-CN"/>
                    </w:rPr>
                    <w:t>#</w:t>
                  </w:r>
                  <w:r>
                    <w:rPr>
                      <w:rFonts w:hint="eastAsia"/>
                      <w:color w:val="auto"/>
                      <w:spacing w:val="-10"/>
                      <w:sz w:val="18"/>
                      <w:szCs w:val="18"/>
                      <w:highlight w:val="none"/>
                      <w:lang w:val="en-US" w:eastAsia="zh-CN"/>
                    </w:rPr>
                    <w:t>储料池</w:t>
                  </w:r>
                </w:p>
              </w:tc>
              <w:tc>
                <w:tcPr>
                  <w:tcW w:w="6336" w:type="dxa"/>
                  <w:vAlign w:val="center"/>
                </w:tcPr>
                <w:p w14:paraId="2CDA26A1">
                  <w:pPr>
                    <w:snapToGrid w:val="0"/>
                    <w:spacing w:line="0" w:lineRule="atLeast"/>
                    <w:jc w:val="center"/>
                    <w:rPr>
                      <w:rFonts w:hint="eastAsia" w:cs="Times New Roman"/>
                      <w:color w:val="auto"/>
                      <w:spacing w:val="-10"/>
                      <w:sz w:val="18"/>
                      <w:szCs w:val="18"/>
                      <w:highlight w:val="none"/>
                      <w:lang w:val="en-US" w:eastAsia="zh-CN"/>
                    </w:rPr>
                  </w:pPr>
                  <w:r>
                    <w:rPr>
                      <w:rFonts w:hint="eastAsia" w:cs="Times New Roman"/>
                      <w:color w:val="auto"/>
                      <w:spacing w:val="-10"/>
                      <w:sz w:val="18"/>
                      <w:szCs w:val="18"/>
                      <w:highlight w:val="none"/>
                      <w:lang w:val="en-US" w:eastAsia="zh-CN"/>
                    </w:rPr>
                    <w:t>位于1</w:t>
                  </w:r>
                  <w:r>
                    <w:rPr>
                      <w:rFonts w:hint="eastAsia" w:cs="Times New Roman"/>
                      <w:color w:val="auto"/>
                      <w:spacing w:val="-10"/>
                      <w:sz w:val="18"/>
                      <w:szCs w:val="18"/>
                      <w:highlight w:val="none"/>
                      <w:vertAlign w:val="superscript"/>
                      <w:lang w:val="en-US" w:eastAsia="zh-CN"/>
                    </w:rPr>
                    <w:t>#</w:t>
                  </w:r>
                  <w:r>
                    <w:rPr>
                      <w:rFonts w:hint="eastAsia" w:cs="Times New Roman"/>
                      <w:color w:val="auto"/>
                      <w:spacing w:val="-10"/>
                      <w:sz w:val="18"/>
                      <w:szCs w:val="18"/>
                      <w:highlight w:val="none"/>
                      <w:lang w:val="en-US" w:eastAsia="zh-CN"/>
                    </w:rPr>
                    <w:t>生产车间内，容积240m</w:t>
                  </w:r>
                  <w:r>
                    <w:rPr>
                      <w:rFonts w:hint="eastAsia" w:cs="Times New Roman"/>
                      <w:color w:val="auto"/>
                      <w:spacing w:val="-10"/>
                      <w:sz w:val="18"/>
                      <w:szCs w:val="18"/>
                      <w:highlight w:val="none"/>
                      <w:vertAlign w:val="superscript"/>
                      <w:lang w:val="en-US" w:eastAsia="zh-CN"/>
                    </w:rPr>
                    <w:t>3</w:t>
                  </w:r>
                  <w:r>
                    <w:rPr>
                      <w:rFonts w:hint="eastAsia" w:cs="Times New Roman"/>
                      <w:color w:val="auto"/>
                      <w:spacing w:val="-10"/>
                      <w:sz w:val="18"/>
                      <w:szCs w:val="18"/>
                      <w:highlight w:val="none"/>
                      <w:lang w:val="en-US" w:eastAsia="zh-CN"/>
                    </w:rPr>
                    <w:t>，</w:t>
                  </w:r>
                  <w:r>
                    <w:rPr>
                      <w:rFonts w:hint="eastAsia" w:ascii="Times New Roman" w:hAnsi="Times New Roman" w:cs="Times New Roman"/>
                      <w:color w:val="auto"/>
                      <w:spacing w:val="-10"/>
                      <w:sz w:val="18"/>
                      <w:szCs w:val="18"/>
                      <w:highlight w:val="none"/>
                      <w:lang w:val="en-US" w:eastAsia="zh-CN"/>
                    </w:rPr>
                    <w:t>呈坡状，有高差，暂存海绵、木屑，最大存储量为240吨，存储周期为</w:t>
                  </w:r>
                  <w:r>
                    <w:rPr>
                      <w:rFonts w:hint="eastAsia" w:cs="Times New Roman"/>
                      <w:color w:val="auto"/>
                      <w:spacing w:val="-10"/>
                      <w:sz w:val="18"/>
                      <w:szCs w:val="18"/>
                      <w:highlight w:val="none"/>
                      <w:lang w:val="en-US" w:eastAsia="zh-CN"/>
                    </w:rPr>
                    <w:t>1.4</w:t>
                  </w:r>
                  <w:r>
                    <w:rPr>
                      <w:rFonts w:hint="eastAsia" w:ascii="Times New Roman" w:hAnsi="Times New Roman" w:cs="Times New Roman"/>
                      <w:color w:val="auto"/>
                      <w:spacing w:val="-10"/>
                      <w:sz w:val="18"/>
                      <w:szCs w:val="18"/>
                      <w:highlight w:val="none"/>
                      <w:lang w:val="en-US" w:eastAsia="zh-CN"/>
                    </w:rPr>
                    <w:t>d</w:t>
                  </w:r>
                </w:p>
              </w:tc>
            </w:tr>
            <w:tr w14:paraId="613D881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70" w:hRule="atLeast"/>
              </w:trPr>
              <w:tc>
                <w:tcPr>
                  <w:tcW w:w="611" w:type="dxa"/>
                  <w:vMerge w:val="continue"/>
                  <w:vAlign w:val="center"/>
                </w:tcPr>
                <w:p w14:paraId="1AE50CAB">
                  <w:pPr>
                    <w:snapToGrid w:val="0"/>
                    <w:spacing w:line="0" w:lineRule="atLeast"/>
                    <w:jc w:val="center"/>
                    <w:rPr>
                      <w:rFonts w:hint="eastAsia"/>
                      <w:color w:val="auto"/>
                      <w:spacing w:val="-10"/>
                      <w:sz w:val="18"/>
                      <w:szCs w:val="18"/>
                      <w:highlight w:val="none"/>
                    </w:rPr>
                  </w:pPr>
                </w:p>
              </w:tc>
              <w:tc>
                <w:tcPr>
                  <w:tcW w:w="1067" w:type="dxa"/>
                  <w:gridSpan w:val="2"/>
                  <w:shd w:val="clear" w:color="auto" w:fill="auto"/>
                  <w:vAlign w:val="center"/>
                </w:tcPr>
                <w:p w14:paraId="6802027D">
                  <w:pPr>
                    <w:snapToGrid w:val="0"/>
                    <w:spacing w:line="0" w:lineRule="atLeast"/>
                    <w:jc w:val="center"/>
                    <w:rPr>
                      <w:rFonts w:hint="default" w:ascii="Times New Roman" w:hAnsi="Times New Roman" w:eastAsia="宋体" w:cs="Times New Roman"/>
                      <w:color w:val="auto"/>
                      <w:spacing w:val="-10"/>
                      <w:kern w:val="2"/>
                      <w:sz w:val="18"/>
                      <w:szCs w:val="18"/>
                      <w:highlight w:val="none"/>
                      <w:lang w:val="en-US" w:eastAsia="zh-CN" w:bidi="ar-SA"/>
                    </w:rPr>
                  </w:pPr>
                  <w:r>
                    <w:rPr>
                      <w:rFonts w:hint="eastAsia"/>
                      <w:color w:val="auto"/>
                      <w:spacing w:val="-10"/>
                      <w:sz w:val="18"/>
                      <w:szCs w:val="18"/>
                      <w:highlight w:val="none"/>
                      <w:lang w:val="en-US" w:eastAsia="zh-CN"/>
                    </w:rPr>
                    <w:t>4</w:t>
                  </w:r>
                  <w:r>
                    <w:rPr>
                      <w:rFonts w:hint="eastAsia"/>
                      <w:color w:val="auto"/>
                      <w:spacing w:val="-10"/>
                      <w:sz w:val="18"/>
                      <w:szCs w:val="18"/>
                      <w:highlight w:val="none"/>
                      <w:vertAlign w:val="superscript"/>
                      <w:lang w:val="en-US" w:eastAsia="zh-CN"/>
                    </w:rPr>
                    <w:t>#</w:t>
                  </w:r>
                  <w:r>
                    <w:rPr>
                      <w:rFonts w:hint="eastAsia"/>
                      <w:color w:val="auto"/>
                      <w:spacing w:val="-10"/>
                      <w:sz w:val="18"/>
                      <w:szCs w:val="18"/>
                      <w:highlight w:val="none"/>
                      <w:lang w:val="en-US" w:eastAsia="zh-CN"/>
                    </w:rPr>
                    <w:t>储料池</w:t>
                  </w:r>
                </w:p>
              </w:tc>
              <w:tc>
                <w:tcPr>
                  <w:tcW w:w="6336" w:type="dxa"/>
                  <w:shd w:val="clear" w:color="auto" w:fill="auto"/>
                  <w:vAlign w:val="center"/>
                </w:tcPr>
                <w:p w14:paraId="1CA17556">
                  <w:pPr>
                    <w:snapToGrid w:val="0"/>
                    <w:spacing w:line="0" w:lineRule="atLeast"/>
                    <w:jc w:val="center"/>
                    <w:rPr>
                      <w:rFonts w:hint="default" w:ascii="Times New Roman" w:hAnsi="Times New Roman" w:eastAsia="宋体" w:cs="Times New Roman"/>
                      <w:color w:val="auto"/>
                      <w:spacing w:val="-10"/>
                      <w:kern w:val="2"/>
                      <w:sz w:val="18"/>
                      <w:szCs w:val="18"/>
                      <w:highlight w:val="none"/>
                      <w:lang w:val="en-US" w:eastAsia="zh-CN" w:bidi="ar-SA"/>
                    </w:rPr>
                  </w:pPr>
                  <w:r>
                    <w:rPr>
                      <w:rFonts w:hint="eastAsia" w:cs="Times New Roman"/>
                      <w:color w:val="auto"/>
                      <w:spacing w:val="-10"/>
                      <w:sz w:val="18"/>
                      <w:szCs w:val="18"/>
                      <w:highlight w:val="none"/>
                      <w:lang w:val="en-US" w:eastAsia="zh-CN"/>
                    </w:rPr>
                    <w:t>位于1</w:t>
                  </w:r>
                  <w:r>
                    <w:rPr>
                      <w:rFonts w:hint="eastAsia" w:cs="Times New Roman"/>
                      <w:color w:val="auto"/>
                      <w:spacing w:val="-10"/>
                      <w:sz w:val="18"/>
                      <w:szCs w:val="18"/>
                      <w:highlight w:val="none"/>
                      <w:vertAlign w:val="superscript"/>
                      <w:lang w:val="en-US" w:eastAsia="zh-CN"/>
                    </w:rPr>
                    <w:t>#</w:t>
                  </w:r>
                  <w:r>
                    <w:rPr>
                      <w:rFonts w:hint="eastAsia" w:cs="Times New Roman"/>
                      <w:color w:val="auto"/>
                      <w:spacing w:val="-10"/>
                      <w:sz w:val="18"/>
                      <w:szCs w:val="18"/>
                      <w:highlight w:val="none"/>
                      <w:lang w:val="en-US" w:eastAsia="zh-CN"/>
                    </w:rPr>
                    <w:t>生产车间内，容积240m</w:t>
                  </w:r>
                  <w:r>
                    <w:rPr>
                      <w:rFonts w:hint="eastAsia" w:cs="Times New Roman"/>
                      <w:color w:val="auto"/>
                      <w:spacing w:val="-10"/>
                      <w:sz w:val="18"/>
                      <w:szCs w:val="18"/>
                      <w:highlight w:val="none"/>
                      <w:vertAlign w:val="superscript"/>
                      <w:lang w:val="en-US" w:eastAsia="zh-CN"/>
                    </w:rPr>
                    <w:t>3</w:t>
                  </w:r>
                  <w:r>
                    <w:rPr>
                      <w:rFonts w:hint="eastAsia" w:cs="Times New Roman"/>
                      <w:color w:val="auto"/>
                      <w:spacing w:val="-10"/>
                      <w:sz w:val="18"/>
                      <w:szCs w:val="18"/>
                      <w:highlight w:val="none"/>
                      <w:lang w:val="en-US" w:eastAsia="zh-CN"/>
                    </w:rPr>
                    <w:t>，</w:t>
                  </w:r>
                  <w:r>
                    <w:rPr>
                      <w:rFonts w:hint="eastAsia" w:ascii="Times New Roman" w:hAnsi="Times New Roman" w:cs="Times New Roman"/>
                      <w:color w:val="auto"/>
                      <w:spacing w:val="-10"/>
                      <w:sz w:val="18"/>
                      <w:szCs w:val="18"/>
                      <w:highlight w:val="none"/>
                      <w:lang w:val="en-US" w:eastAsia="zh-CN"/>
                    </w:rPr>
                    <w:t>呈坡状，有高差， 暂存高钙机分选出的橡胶，最大存储量为360吨，存储周期为1.8d</w:t>
                  </w:r>
                </w:p>
              </w:tc>
            </w:tr>
            <w:tr w14:paraId="7FBF563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7" w:hRule="atLeast"/>
              </w:trPr>
              <w:tc>
                <w:tcPr>
                  <w:tcW w:w="611" w:type="dxa"/>
                  <w:vMerge w:val="continue"/>
                  <w:vAlign w:val="center"/>
                </w:tcPr>
                <w:p w14:paraId="3233CE17">
                  <w:pPr>
                    <w:snapToGrid w:val="0"/>
                    <w:spacing w:line="0" w:lineRule="atLeast"/>
                    <w:jc w:val="center"/>
                    <w:rPr>
                      <w:rFonts w:hint="eastAsia"/>
                      <w:color w:val="auto"/>
                      <w:spacing w:val="-10"/>
                      <w:sz w:val="18"/>
                      <w:szCs w:val="18"/>
                      <w:highlight w:val="none"/>
                    </w:rPr>
                  </w:pPr>
                </w:p>
              </w:tc>
              <w:tc>
                <w:tcPr>
                  <w:tcW w:w="1067" w:type="dxa"/>
                  <w:gridSpan w:val="2"/>
                  <w:shd w:val="clear" w:color="auto" w:fill="auto"/>
                  <w:vAlign w:val="center"/>
                </w:tcPr>
                <w:p w14:paraId="63036734">
                  <w:pPr>
                    <w:snapToGrid w:val="0"/>
                    <w:spacing w:line="0" w:lineRule="atLeast"/>
                    <w:jc w:val="center"/>
                    <w:rPr>
                      <w:rFonts w:hint="eastAsia" w:ascii="Times New Roman" w:hAnsi="Times New Roman" w:eastAsia="宋体" w:cs="Times New Roman"/>
                      <w:color w:val="auto"/>
                      <w:spacing w:val="-10"/>
                      <w:kern w:val="2"/>
                      <w:sz w:val="18"/>
                      <w:szCs w:val="18"/>
                      <w:highlight w:val="none"/>
                      <w:lang w:val="en-US" w:eastAsia="zh-CN" w:bidi="ar-SA"/>
                    </w:rPr>
                  </w:pPr>
                  <w:r>
                    <w:rPr>
                      <w:rFonts w:hint="eastAsia"/>
                      <w:color w:val="auto"/>
                      <w:spacing w:val="-10"/>
                      <w:sz w:val="18"/>
                      <w:szCs w:val="18"/>
                      <w:highlight w:val="none"/>
                      <w:lang w:val="en-US" w:eastAsia="zh-CN"/>
                    </w:rPr>
                    <w:t>5</w:t>
                  </w:r>
                  <w:r>
                    <w:rPr>
                      <w:rFonts w:hint="eastAsia"/>
                      <w:color w:val="auto"/>
                      <w:spacing w:val="-10"/>
                      <w:sz w:val="18"/>
                      <w:szCs w:val="18"/>
                      <w:highlight w:val="none"/>
                      <w:vertAlign w:val="superscript"/>
                      <w:lang w:val="en-US" w:eastAsia="zh-CN"/>
                    </w:rPr>
                    <w:t>#</w:t>
                  </w:r>
                  <w:r>
                    <w:rPr>
                      <w:rFonts w:hint="eastAsia"/>
                      <w:color w:val="auto"/>
                      <w:spacing w:val="-10"/>
                      <w:sz w:val="18"/>
                      <w:szCs w:val="18"/>
                      <w:highlight w:val="none"/>
                      <w:lang w:val="en-US" w:eastAsia="zh-CN"/>
                    </w:rPr>
                    <w:t>储料池</w:t>
                  </w:r>
                </w:p>
              </w:tc>
              <w:tc>
                <w:tcPr>
                  <w:tcW w:w="6336" w:type="dxa"/>
                  <w:shd w:val="clear" w:color="auto" w:fill="auto"/>
                  <w:vAlign w:val="center"/>
                </w:tcPr>
                <w:p w14:paraId="35B0BC5D">
                  <w:pPr>
                    <w:snapToGrid w:val="0"/>
                    <w:spacing w:line="0" w:lineRule="atLeast"/>
                    <w:jc w:val="center"/>
                    <w:rPr>
                      <w:rFonts w:hint="eastAsia" w:ascii="Times New Roman" w:hAnsi="Times New Roman" w:eastAsia="宋体" w:cs="Times New Roman"/>
                      <w:color w:val="auto"/>
                      <w:spacing w:val="-10"/>
                      <w:kern w:val="2"/>
                      <w:sz w:val="18"/>
                      <w:szCs w:val="18"/>
                      <w:highlight w:val="none"/>
                      <w:lang w:val="en-US" w:eastAsia="zh-CN" w:bidi="ar-SA"/>
                    </w:rPr>
                  </w:pPr>
                  <w:r>
                    <w:rPr>
                      <w:rFonts w:hint="eastAsia" w:cs="Times New Roman"/>
                      <w:color w:val="auto"/>
                      <w:spacing w:val="-10"/>
                      <w:sz w:val="18"/>
                      <w:szCs w:val="18"/>
                      <w:highlight w:val="none"/>
                      <w:lang w:val="en-US" w:eastAsia="zh-CN"/>
                    </w:rPr>
                    <w:t>位于1</w:t>
                  </w:r>
                  <w:r>
                    <w:rPr>
                      <w:rFonts w:hint="eastAsia" w:cs="Times New Roman"/>
                      <w:color w:val="auto"/>
                      <w:spacing w:val="-10"/>
                      <w:sz w:val="18"/>
                      <w:szCs w:val="18"/>
                      <w:highlight w:val="none"/>
                      <w:vertAlign w:val="superscript"/>
                      <w:lang w:val="en-US" w:eastAsia="zh-CN"/>
                    </w:rPr>
                    <w:t>#</w:t>
                  </w:r>
                  <w:r>
                    <w:rPr>
                      <w:rFonts w:hint="eastAsia" w:cs="Times New Roman"/>
                      <w:color w:val="auto"/>
                      <w:spacing w:val="-10"/>
                      <w:sz w:val="18"/>
                      <w:szCs w:val="18"/>
                      <w:highlight w:val="none"/>
                      <w:lang w:val="en-US" w:eastAsia="zh-CN"/>
                    </w:rPr>
                    <w:t>生产车间内，容积48m</w:t>
                  </w:r>
                  <w:r>
                    <w:rPr>
                      <w:rFonts w:hint="eastAsia" w:cs="Times New Roman"/>
                      <w:color w:val="auto"/>
                      <w:spacing w:val="-10"/>
                      <w:sz w:val="18"/>
                      <w:szCs w:val="18"/>
                      <w:highlight w:val="none"/>
                      <w:vertAlign w:val="superscript"/>
                      <w:lang w:val="en-US" w:eastAsia="zh-CN"/>
                    </w:rPr>
                    <w:t>3</w:t>
                  </w:r>
                  <w:r>
                    <w:rPr>
                      <w:rFonts w:hint="eastAsia" w:cs="Times New Roman"/>
                      <w:color w:val="auto"/>
                      <w:spacing w:val="-10"/>
                      <w:sz w:val="18"/>
                      <w:szCs w:val="18"/>
                      <w:highlight w:val="none"/>
                      <w:lang w:val="en-US" w:eastAsia="zh-CN"/>
                    </w:rPr>
                    <w:t>，</w:t>
                  </w:r>
                  <w:r>
                    <w:rPr>
                      <w:rFonts w:hint="eastAsia" w:ascii="Times New Roman" w:hAnsi="Times New Roman" w:cs="Times New Roman"/>
                      <w:color w:val="auto"/>
                      <w:spacing w:val="-10"/>
                      <w:sz w:val="18"/>
                      <w:szCs w:val="18"/>
                      <w:highlight w:val="none"/>
                      <w:lang w:val="en-US" w:eastAsia="zh-CN"/>
                    </w:rPr>
                    <w:t>呈坡状，有高差， 暂存</w:t>
                  </w:r>
                  <w:r>
                    <w:rPr>
                      <w:rFonts w:hint="eastAsia" w:cs="Times New Roman"/>
                      <w:color w:val="auto"/>
                      <w:spacing w:val="-10"/>
                      <w:sz w:val="18"/>
                      <w:szCs w:val="18"/>
                      <w:highlight w:val="none"/>
                      <w:lang w:val="en-US" w:eastAsia="zh-CN"/>
                    </w:rPr>
                    <w:t>高钙机分选出的沉水塑料</w:t>
                  </w:r>
                </w:p>
              </w:tc>
            </w:tr>
            <w:tr w14:paraId="0E942F2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70" w:hRule="atLeast"/>
              </w:trPr>
              <w:tc>
                <w:tcPr>
                  <w:tcW w:w="611" w:type="dxa"/>
                  <w:vMerge w:val="continue"/>
                  <w:vAlign w:val="center"/>
                </w:tcPr>
                <w:p w14:paraId="262F63D5">
                  <w:pPr>
                    <w:snapToGrid w:val="0"/>
                    <w:spacing w:line="0" w:lineRule="atLeast"/>
                    <w:jc w:val="center"/>
                    <w:rPr>
                      <w:rFonts w:hint="eastAsia"/>
                      <w:color w:val="auto"/>
                      <w:spacing w:val="-10"/>
                      <w:sz w:val="18"/>
                      <w:szCs w:val="18"/>
                      <w:highlight w:val="none"/>
                    </w:rPr>
                  </w:pPr>
                </w:p>
              </w:tc>
              <w:tc>
                <w:tcPr>
                  <w:tcW w:w="1067" w:type="dxa"/>
                  <w:gridSpan w:val="2"/>
                  <w:shd w:val="clear" w:color="auto" w:fill="auto"/>
                  <w:vAlign w:val="center"/>
                </w:tcPr>
                <w:p w14:paraId="28EC7F8E">
                  <w:pPr>
                    <w:snapToGrid w:val="0"/>
                    <w:spacing w:line="0" w:lineRule="atLeast"/>
                    <w:jc w:val="center"/>
                    <w:rPr>
                      <w:rFonts w:hint="eastAsia" w:ascii="Times New Roman" w:hAnsi="Times New Roman" w:eastAsia="宋体" w:cs="Times New Roman"/>
                      <w:color w:val="auto"/>
                      <w:spacing w:val="-10"/>
                      <w:kern w:val="2"/>
                      <w:sz w:val="18"/>
                      <w:szCs w:val="18"/>
                      <w:highlight w:val="none"/>
                      <w:lang w:val="en-US" w:eastAsia="zh-CN" w:bidi="ar-SA"/>
                    </w:rPr>
                  </w:pPr>
                  <w:r>
                    <w:rPr>
                      <w:rFonts w:hint="eastAsia"/>
                      <w:color w:val="auto"/>
                      <w:spacing w:val="-10"/>
                      <w:sz w:val="18"/>
                      <w:szCs w:val="18"/>
                      <w:highlight w:val="none"/>
                      <w:lang w:val="en-US" w:eastAsia="zh-CN"/>
                    </w:rPr>
                    <w:t>金属混合物料储料池</w:t>
                  </w:r>
                </w:p>
              </w:tc>
              <w:tc>
                <w:tcPr>
                  <w:tcW w:w="6336" w:type="dxa"/>
                  <w:shd w:val="clear" w:color="auto" w:fill="auto"/>
                  <w:vAlign w:val="center"/>
                </w:tcPr>
                <w:p w14:paraId="62132D1F">
                  <w:pPr>
                    <w:snapToGrid w:val="0"/>
                    <w:spacing w:line="0" w:lineRule="atLeast"/>
                    <w:jc w:val="center"/>
                    <w:rPr>
                      <w:rFonts w:hint="eastAsia"/>
                      <w:color w:val="auto"/>
                      <w:spacing w:val="-10"/>
                      <w:sz w:val="18"/>
                      <w:szCs w:val="18"/>
                      <w:highlight w:val="none"/>
                      <w:lang w:val="en-US" w:eastAsia="zh-CN"/>
                    </w:rPr>
                  </w:pPr>
                  <w:r>
                    <w:rPr>
                      <w:rFonts w:hint="eastAsia" w:cs="Times New Roman"/>
                      <w:color w:val="auto"/>
                      <w:spacing w:val="-10"/>
                      <w:sz w:val="18"/>
                      <w:szCs w:val="18"/>
                      <w:highlight w:val="none"/>
                      <w:lang w:val="en-US" w:eastAsia="zh-CN"/>
                    </w:rPr>
                    <w:t>位于1</w:t>
                  </w:r>
                  <w:r>
                    <w:rPr>
                      <w:rFonts w:hint="eastAsia" w:cs="Times New Roman"/>
                      <w:color w:val="auto"/>
                      <w:spacing w:val="-10"/>
                      <w:sz w:val="18"/>
                      <w:szCs w:val="18"/>
                      <w:highlight w:val="none"/>
                      <w:vertAlign w:val="superscript"/>
                      <w:lang w:val="en-US" w:eastAsia="zh-CN"/>
                    </w:rPr>
                    <w:t>#</w:t>
                  </w:r>
                  <w:r>
                    <w:rPr>
                      <w:rFonts w:hint="eastAsia" w:cs="Times New Roman"/>
                      <w:color w:val="auto"/>
                      <w:spacing w:val="-10"/>
                      <w:sz w:val="18"/>
                      <w:szCs w:val="18"/>
                      <w:highlight w:val="none"/>
                      <w:lang w:val="en-US" w:eastAsia="zh-CN"/>
                    </w:rPr>
                    <w:t>生产车间内，容积72m</w:t>
                  </w:r>
                  <w:r>
                    <w:rPr>
                      <w:rFonts w:hint="eastAsia" w:cs="Times New Roman"/>
                      <w:color w:val="auto"/>
                      <w:spacing w:val="-10"/>
                      <w:sz w:val="18"/>
                      <w:szCs w:val="18"/>
                      <w:highlight w:val="none"/>
                      <w:vertAlign w:val="superscript"/>
                      <w:lang w:val="en-US" w:eastAsia="zh-CN"/>
                    </w:rPr>
                    <w:t>3</w:t>
                  </w:r>
                  <w:r>
                    <w:rPr>
                      <w:rFonts w:hint="eastAsia" w:cs="Times New Roman"/>
                      <w:color w:val="auto"/>
                      <w:spacing w:val="-10"/>
                      <w:sz w:val="18"/>
                      <w:szCs w:val="18"/>
                      <w:highlight w:val="none"/>
                      <w:lang w:val="en-US" w:eastAsia="zh-CN"/>
                    </w:rPr>
                    <w:t>，</w:t>
                  </w:r>
                  <w:r>
                    <w:rPr>
                      <w:rFonts w:hint="eastAsia" w:ascii="Times New Roman" w:hAnsi="Times New Roman" w:cs="Times New Roman"/>
                      <w:color w:val="auto"/>
                      <w:spacing w:val="-10"/>
                      <w:sz w:val="18"/>
                      <w:szCs w:val="18"/>
                      <w:highlight w:val="none"/>
                      <w:lang w:val="en-US" w:eastAsia="zh-CN"/>
                    </w:rPr>
                    <w:t>呈坡状，有高差， 暂存</w:t>
                  </w:r>
                  <w:r>
                    <w:rPr>
                      <w:rFonts w:hint="eastAsia" w:cs="Times New Roman"/>
                      <w:color w:val="auto"/>
                      <w:spacing w:val="-10"/>
                      <w:sz w:val="18"/>
                      <w:szCs w:val="18"/>
                      <w:highlight w:val="none"/>
                      <w:lang w:val="en-US" w:eastAsia="zh-CN"/>
                    </w:rPr>
                    <w:t>产品</w:t>
                  </w:r>
                  <w:r>
                    <w:rPr>
                      <w:rFonts w:hint="eastAsia"/>
                      <w:color w:val="auto"/>
                      <w:spacing w:val="-10"/>
                      <w:sz w:val="18"/>
                      <w:szCs w:val="18"/>
                      <w:highlight w:val="none"/>
                      <w:lang w:val="en-US" w:eastAsia="zh-CN"/>
                    </w:rPr>
                    <w:t>金属混合物料，</w:t>
                  </w:r>
                  <w:r>
                    <w:rPr>
                      <w:rFonts w:hint="eastAsia" w:ascii="Times New Roman" w:hAnsi="Times New Roman" w:cs="Times New Roman"/>
                      <w:color w:val="auto"/>
                      <w:spacing w:val="-10"/>
                      <w:sz w:val="18"/>
                      <w:szCs w:val="18"/>
                      <w:highlight w:val="none"/>
                      <w:lang w:val="en-US" w:eastAsia="zh-CN"/>
                    </w:rPr>
                    <w:t>最大存储量为</w:t>
                  </w:r>
                  <w:r>
                    <w:rPr>
                      <w:rFonts w:hint="eastAsia" w:cs="Times New Roman"/>
                      <w:color w:val="auto"/>
                      <w:spacing w:val="-10"/>
                      <w:sz w:val="18"/>
                      <w:szCs w:val="18"/>
                      <w:highlight w:val="none"/>
                      <w:lang w:val="en-US" w:eastAsia="zh-CN"/>
                    </w:rPr>
                    <w:t>216</w:t>
                  </w:r>
                  <w:r>
                    <w:rPr>
                      <w:rFonts w:hint="eastAsia" w:ascii="Times New Roman" w:hAnsi="Times New Roman" w:cs="Times New Roman"/>
                      <w:color w:val="auto"/>
                      <w:spacing w:val="-10"/>
                      <w:sz w:val="18"/>
                      <w:szCs w:val="18"/>
                      <w:highlight w:val="none"/>
                      <w:lang w:val="en-US" w:eastAsia="zh-CN"/>
                    </w:rPr>
                    <w:t>吨，存储周期为</w:t>
                  </w:r>
                  <w:r>
                    <w:rPr>
                      <w:rFonts w:hint="eastAsia" w:cs="Times New Roman"/>
                      <w:color w:val="auto"/>
                      <w:spacing w:val="-10"/>
                      <w:sz w:val="18"/>
                      <w:szCs w:val="18"/>
                      <w:highlight w:val="none"/>
                      <w:lang w:val="en-US" w:eastAsia="zh-CN"/>
                    </w:rPr>
                    <w:t>12.7</w:t>
                  </w:r>
                  <w:r>
                    <w:rPr>
                      <w:rFonts w:hint="eastAsia" w:ascii="Times New Roman" w:hAnsi="Times New Roman" w:cs="Times New Roman"/>
                      <w:color w:val="auto"/>
                      <w:spacing w:val="-10"/>
                      <w:sz w:val="18"/>
                      <w:szCs w:val="18"/>
                      <w:highlight w:val="none"/>
                      <w:lang w:val="en-US" w:eastAsia="zh-CN"/>
                    </w:rPr>
                    <w:t>d</w:t>
                  </w:r>
                </w:p>
              </w:tc>
            </w:tr>
            <w:tr w14:paraId="5DCBA1E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70" w:hRule="atLeast"/>
              </w:trPr>
              <w:tc>
                <w:tcPr>
                  <w:tcW w:w="611" w:type="dxa"/>
                  <w:vMerge w:val="continue"/>
                  <w:vAlign w:val="center"/>
                </w:tcPr>
                <w:p w14:paraId="06125531">
                  <w:pPr>
                    <w:snapToGrid w:val="0"/>
                    <w:spacing w:line="0" w:lineRule="atLeast"/>
                    <w:jc w:val="center"/>
                    <w:rPr>
                      <w:rFonts w:hint="eastAsia"/>
                      <w:color w:val="auto"/>
                      <w:spacing w:val="-10"/>
                      <w:sz w:val="18"/>
                      <w:szCs w:val="18"/>
                      <w:highlight w:val="none"/>
                    </w:rPr>
                  </w:pPr>
                </w:p>
              </w:tc>
              <w:tc>
                <w:tcPr>
                  <w:tcW w:w="1067" w:type="dxa"/>
                  <w:gridSpan w:val="2"/>
                  <w:vAlign w:val="center"/>
                </w:tcPr>
                <w:p w14:paraId="53C9313B">
                  <w:pPr>
                    <w:snapToGrid w:val="0"/>
                    <w:spacing w:line="0" w:lineRule="atLeast"/>
                    <w:jc w:val="center"/>
                    <w:rPr>
                      <w:rFonts w:hint="default"/>
                      <w:color w:val="auto"/>
                      <w:spacing w:val="-10"/>
                      <w:sz w:val="18"/>
                      <w:szCs w:val="18"/>
                      <w:highlight w:val="none"/>
                      <w:lang w:val="en-US" w:eastAsia="zh-CN"/>
                    </w:rPr>
                  </w:pPr>
                  <w:r>
                    <w:rPr>
                      <w:rFonts w:hint="eastAsia"/>
                      <w:color w:val="auto"/>
                      <w:spacing w:val="-10"/>
                      <w:sz w:val="18"/>
                      <w:szCs w:val="18"/>
                      <w:highlight w:val="none"/>
                      <w:lang w:val="en-US" w:eastAsia="zh-CN"/>
                    </w:rPr>
                    <w:t>铁粉池</w:t>
                  </w:r>
                </w:p>
              </w:tc>
              <w:tc>
                <w:tcPr>
                  <w:tcW w:w="6336" w:type="dxa"/>
                  <w:vAlign w:val="center"/>
                </w:tcPr>
                <w:p w14:paraId="6E687D63">
                  <w:pPr>
                    <w:snapToGrid w:val="0"/>
                    <w:spacing w:line="0" w:lineRule="atLeast"/>
                    <w:jc w:val="center"/>
                    <w:rPr>
                      <w:rFonts w:hint="default"/>
                      <w:color w:val="auto"/>
                      <w:spacing w:val="-10"/>
                      <w:sz w:val="18"/>
                      <w:szCs w:val="18"/>
                      <w:highlight w:val="none"/>
                      <w:lang w:val="en-US" w:eastAsia="zh-CN"/>
                    </w:rPr>
                  </w:pPr>
                  <w:r>
                    <w:rPr>
                      <w:rFonts w:hint="eastAsia" w:cs="Times New Roman"/>
                      <w:color w:val="auto"/>
                      <w:spacing w:val="-10"/>
                      <w:sz w:val="18"/>
                      <w:szCs w:val="18"/>
                      <w:highlight w:val="none"/>
                      <w:lang w:val="en-US" w:eastAsia="zh-CN"/>
                    </w:rPr>
                    <w:t>位于1</w:t>
                  </w:r>
                  <w:r>
                    <w:rPr>
                      <w:rFonts w:hint="eastAsia" w:cs="Times New Roman"/>
                      <w:color w:val="auto"/>
                      <w:spacing w:val="-10"/>
                      <w:sz w:val="18"/>
                      <w:szCs w:val="18"/>
                      <w:highlight w:val="none"/>
                      <w:vertAlign w:val="superscript"/>
                      <w:lang w:val="en-US" w:eastAsia="zh-CN"/>
                    </w:rPr>
                    <w:t>#</w:t>
                  </w:r>
                  <w:r>
                    <w:rPr>
                      <w:rFonts w:hint="eastAsia" w:cs="Times New Roman"/>
                      <w:color w:val="auto"/>
                      <w:spacing w:val="-10"/>
                      <w:sz w:val="18"/>
                      <w:szCs w:val="18"/>
                      <w:highlight w:val="none"/>
                      <w:lang w:val="en-US" w:eastAsia="zh-CN"/>
                    </w:rPr>
                    <w:t>生产车间内，容积192m</w:t>
                  </w:r>
                  <w:r>
                    <w:rPr>
                      <w:rFonts w:hint="eastAsia" w:cs="Times New Roman"/>
                      <w:color w:val="auto"/>
                      <w:spacing w:val="-10"/>
                      <w:sz w:val="18"/>
                      <w:szCs w:val="18"/>
                      <w:highlight w:val="none"/>
                      <w:vertAlign w:val="superscript"/>
                      <w:lang w:val="en-US" w:eastAsia="zh-CN"/>
                    </w:rPr>
                    <w:t>3</w:t>
                  </w:r>
                  <w:r>
                    <w:rPr>
                      <w:rFonts w:hint="eastAsia" w:cs="Times New Roman"/>
                      <w:color w:val="auto"/>
                      <w:spacing w:val="-10"/>
                      <w:sz w:val="18"/>
                      <w:szCs w:val="18"/>
                      <w:highlight w:val="none"/>
                      <w:lang w:val="en-US" w:eastAsia="zh-CN"/>
                    </w:rPr>
                    <w:t>，</w:t>
                  </w:r>
                  <w:r>
                    <w:rPr>
                      <w:rFonts w:hint="eastAsia" w:ascii="Times New Roman" w:hAnsi="Times New Roman" w:cs="Times New Roman"/>
                      <w:color w:val="auto"/>
                      <w:spacing w:val="-10"/>
                      <w:sz w:val="18"/>
                      <w:szCs w:val="18"/>
                      <w:highlight w:val="none"/>
                      <w:lang w:val="en-US" w:eastAsia="zh-CN"/>
                    </w:rPr>
                    <w:t>呈坡状，有高差， 暂存</w:t>
                  </w:r>
                  <w:r>
                    <w:rPr>
                      <w:rFonts w:hint="eastAsia" w:cs="Times New Roman"/>
                      <w:color w:val="auto"/>
                      <w:spacing w:val="-10"/>
                      <w:sz w:val="18"/>
                      <w:szCs w:val="18"/>
                      <w:highlight w:val="none"/>
                      <w:lang w:val="en-US" w:eastAsia="zh-CN"/>
                    </w:rPr>
                    <w:t>产品铁粉</w:t>
                  </w:r>
                  <w:r>
                    <w:rPr>
                      <w:rFonts w:hint="eastAsia"/>
                      <w:color w:val="auto"/>
                      <w:spacing w:val="-10"/>
                      <w:sz w:val="18"/>
                      <w:szCs w:val="18"/>
                      <w:highlight w:val="none"/>
                      <w:lang w:val="en-US" w:eastAsia="zh-CN"/>
                    </w:rPr>
                    <w:t>，</w:t>
                  </w:r>
                  <w:r>
                    <w:rPr>
                      <w:rFonts w:hint="eastAsia" w:ascii="Times New Roman" w:hAnsi="Times New Roman" w:cs="Times New Roman"/>
                      <w:color w:val="auto"/>
                      <w:spacing w:val="-10"/>
                      <w:sz w:val="18"/>
                      <w:szCs w:val="18"/>
                      <w:highlight w:val="none"/>
                      <w:lang w:val="en-US" w:eastAsia="zh-CN"/>
                    </w:rPr>
                    <w:t>最大存储量为</w:t>
                  </w:r>
                  <w:r>
                    <w:rPr>
                      <w:rFonts w:hint="eastAsia" w:cs="Times New Roman"/>
                      <w:color w:val="auto"/>
                      <w:spacing w:val="-10"/>
                      <w:sz w:val="18"/>
                      <w:szCs w:val="18"/>
                      <w:highlight w:val="none"/>
                      <w:lang w:val="en-US" w:eastAsia="zh-CN"/>
                    </w:rPr>
                    <w:t>614.4</w:t>
                  </w:r>
                  <w:r>
                    <w:rPr>
                      <w:rFonts w:hint="eastAsia" w:ascii="Times New Roman" w:hAnsi="Times New Roman" w:cs="Times New Roman"/>
                      <w:color w:val="auto"/>
                      <w:spacing w:val="-10"/>
                      <w:sz w:val="18"/>
                      <w:szCs w:val="18"/>
                      <w:highlight w:val="none"/>
                      <w:lang w:val="en-US" w:eastAsia="zh-CN"/>
                    </w:rPr>
                    <w:t>吨，存储周期为</w:t>
                  </w:r>
                  <w:r>
                    <w:rPr>
                      <w:rFonts w:hint="eastAsia" w:cs="Times New Roman"/>
                      <w:color w:val="auto"/>
                      <w:spacing w:val="-10"/>
                      <w:sz w:val="18"/>
                      <w:szCs w:val="18"/>
                      <w:highlight w:val="none"/>
                      <w:lang w:val="en-US" w:eastAsia="zh-CN"/>
                    </w:rPr>
                    <w:t>4.3</w:t>
                  </w:r>
                  <w:r>
                    <w:rPr>
                      <w:rFonts w:hint="eastAsia" w:ascii="Times New Roman" w:hAnsi="Times New Roman" w:cs="Times New Roman"/>
                      <w:color w:val="auto"/>
                      <w:spacing w:val="-10"/>
                      <w:sz w:val="18"/>
                      <w:szCs w:val="18"/>
                      <w:highlight w:val="none"/>
                      <w:lang w:val="en-US" w:eastAsia="zh-CN"/>
                    </w:rPr>
                    <w:t>d</w:t>
                  </w:r>
                </w:p>
              </w:tc>
            </w:tr>
            <w:tr w14:paraId="41AC845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70" w:hRule="atLeast"/>
              </w:trPr>
              <w:tc>
                <w:tcPr>
                  <w:tcW w:w="611" w:type="dxa"/>
                  <w:vMerge w:val="continue"/>
                  <w:vAlign w:val="center"/>
                </w:tcPr>
                <w:p w14:paraId="62804AAD">
                  <w:pPr>
                    <w:snapToGrid w:val="0"/>
                    <w:spacing w:line="0" w:lineRule="atLeast"/>
                    <w:jc w:val="center"/>
                    <w:rPr>
                      <w:rFonts w:hint="eastAsia"/>
                      <w:color w:val="auto"/>
                      <w:spacing w:val="-10"/>
                      <w:sz w:val="18"/>
                      <w:szCs w:val="18"/>
                      <w:highlight w:val="none"/>
                    </w:rPr>
                  </w:pPr>
                </w:p>
              </w:tc>
              <w:tc>
                <w:tcPr>
                  <w:tcW w:w="1067" w:type="dxa"/>
                  <w:gridSpan w:val="2"/>
                  <w:vAlign w:val="center"/>
                </w:tcPr>
                <w:p w14:paraId="0589E701">
                  <w:pPr>
                    <w:snapToGrid w:val="0"/>
                    <w:spacing w:line="0" w:lineRule="atLeast"/>
                    <w:jc w:val="center"/>
                    <w:rPr>
                      <w:rFonts w:hint="default"/>
                      <w:color w:val="auto"/>
                      <w:spacing w:val="-10"/>
                      <w:sz w:val="18"/>
                      <w:szCs w:val="18"/>
                      <w:highlight w:val="none"/>
                      <w:lang w:val="en-US" w:eastAsia="zh-CN"/>
                    </w:rPr>
                  </w:pPr>
                  <w:r>
                    <w:rPr>
                      <w:rFonts w:hint="eastAsia"/>
                      <w:color w:val="auto"/>
                      <w:spacing w:val="-10"/>
                      <w:sz w:val="18"/>
                      <w:szCs w:val="18"/>
                      <w:highlight w:val="none"/>
                      <w:lang w:val="en-US" w:eastAsia="zh-CN"/>
                    </w:rPr>
                    <w:t>铁料暂存区</w:t>
                  </w:r>
                </w:p>
              </w:tc>
              <w:tc>
                <w:tcPr>
                  <w:tcW w:w="6336" w:type="dxa"/>
                  <w:vAlign w:val="center"/>
                </w:tcPr>
                <w:p w14:paraId="5E7EA43B">
                  <w:pPr>
                    <w:snapToGrid w:val="0"/>
                    <w:spacing w:line="0" w:lineRule="atLeast"/>
                    <w:jc w:val="center"/>
                    <w:rPr>
                      <w:rFonts w:hint="eastAsia"/>
                      <w:color w:val="auto"/>
                      <w:spacing w:val="-10"/>
                      <w:sz w:val="18"/>
                      <w:szCs w:val="18"/>
                      <w:highlight w:val="none"/>
                      <w:lang w:val="en-US" w:eastAsia="zh-CN"/>
                    </w:rPr>
                  </w:pPr>
                  <w:r>
                    <w:rPr>
                      <w:rFonts w:hint="eastAsia" w:cs="Times New Roman"/>
                      <w:color w:val="auto"/>
                      <w:spacing w:val="-10"/>
                      <w:sz w:val="18"/>
                      <w:szCs w:val="18"/>
                      <w:highlight w:val="none"/>
                      <w:lang w:val="en-US" w:eastAsia="zh-CN"/>
                    </w:rPr>
                    <w:t>位于1</w:t>
                  </w:r>
                  <w:r>
                    <w:rPr>
                      <w:rFonts w:hint="eastAsia" w:cs="Times New Roman"/>
                      <w:color w:val="auto"/>
                      <w:spacing w:val="-10"/>
                      <w:sz w:val="18"/>
                      <w:szCs w:val="18"/>
                      <w:highlight w:val="none"/>
                      <w:vertAlign w:val="superscript"/>
                      <w:lang w:val="en-US" w:eastAsia="zh-CN"/>
                    </w:rPr>
                    <w:t>#</w:t>
                  </w:r>
                  <w:r>
                    <w:rPr>
                      <w:rFonts w:hint="eastAsia" w:cs="Times New Roman"/>
                      <w:color w:val="auto"/>
                      <w:spacing w:val="-10"/>
                      <w:sz w:val="18"/>
                      <w:szCs w:val="18"/>
                      <w:highlight w:val="none"/>
                      <w:lang w:val="en-US" w:eastAsia="zh-CN"/>
                    </w:rPr>
                    <w:t>生产车间内，占地面积40m</w:t>
                  </w:r>
                  <w:r>
                    <w:rPr>
                      <w:rFonts w:hint="eastAsia" w:cs="Times New Roman"/>
                      <w:color w:val="auto"/>
                      <w:spacing w:val="-10"/>
                      <w:sz w:val="18"/>
                      <w:szCs w:val="18"/>
                      <w:highlight w:val="none"/>
                      <w:vertAlign w:val="superscript"/>
                      <w:lang w:val="en-US" w:eastAsia="zh-CN"/>
                    </w:rPr>
                    <w:t>2</w:t>
                  </w:r>
                  <w:r>
                    <w:rPr>
                      <w:rFonts w:hint="eastAsia" w:cs="Times New Roman"/>
                      <w:color w:val="auto"/>
                      <w:spacing w:val="-10"/>
                      <w:sz w:val="18"/>
                      <w:szCs w:val="18"/>
                      <w:highlight w:val="none"/>
                      <w:lang w:val="en-US" w:eastAsia="zh-CN"/>
                    </w:rPr>
                    <w:t>，有效堆存容积160m</w:t>
                  </w:r>
                  <w:r>
                    <w:rPr>
                      <w:rFonts w:hint="eastAsia" w:cs="Times New Roman"/>
                      <w:color w:val="auto"/>
                      <w:spacing w:val="-10"/>
                      <w:sz w:val="18"/>
                      <w:szCs w:val="18"/>
                      <w:highlight w:val="none"/>
                      <w:vertAlign w:val="superscript"/>
                      <w:lang w:val="en-US" w:eastAsia="zh-CN"/>
                    </w:rPr>
                    <w:t>3</w:t>
                  </w:r>
                  <w:r>
                    <w:rPr>
                      <w:rFonts w:hint="eastAsia" w:cs="Times New Roman"/>
                      <w:color w:val="auto"/>
                      <w:spacing w:val="-10"/>
                      <w:sz w:val="18"/>
                      <w:szCs w:val="18"/>
                      <w:highlight w:val="none"/>
                      <w:lang w:val="en-US" w:eastAsia="zh-CN"/>
                    </w:rPr>
                    <w:t>，</w:t>
                  </w:r>
                  <w:r>
                    <w:rPr>
                      <w:rFonts w:hint="eastAsia" w:ascii="Times New Roman" w:hAnsi="Times New Roman" w:cs="Times New Roman"/>
                      <w:color w:val="auto"/>
                      <w:spacing w:val="-10"/>
                      <w:sz w:val="18"/>
                      <w:szCs w:val="18"/>
                      <w:highlight w:val="none"/>
                      <w:lang w:val="en-US" w:eastAsia="zh-CN"/>
                    </w:rPr>
                    <w:t>暂存</w:t>
                  </w:r>
                  <w:r>
                    <w:rPr>
                      <w:rFonts w:hint="eastAsia" w:cs="Times New Roman"/>
                      <w:color w:val="auto"/>
                      <w:spacing w:val="-10"/>
                      <w:sz w:val="18"/>
                      <w:szCs w:val="18"/>
                      <w:highlight w:val="none"/>
                      <w:lang w:val="en-US" w:eastAsia="zh-CN"/>
                    </w:rPr>
                    <w:t>产品铁料</w:t>
                  </w:r>
                  <w:r>
                    <w:rPr>
                      <w:rFonts w:hint="eastAsia" w:ascii="Times New Roman" w:hAnsi="Times New Roman" w:cs="Times New Roman"/>
                      <w:color w:val="auto"/>
                      <w:spacing w:val="-10"/>
                      <w:sz w:val="18"/>
                      <w:szCs w:val="18"/>
                      <w:highlight w:val="none"/>
                      <w:lang w:val="en-US" w:eastAsia="zh-CN"/>
                    </w:rPr>
                    <w:t>，存储周期为</w:t>
                  </w:r>
                  <w:r>
                    <w:rPr>
                      <w:rFonts w:hint="eastAsia" w:cs="Times New Roman"/>
                      <w:color w:val="auto"/>
                      <w:spacing w:val="-10"/>
                      <w:sz w:val="18"/>
                      <w:szCs w:val="18"/>
                      <w:highlight w:val="none"/>
                      <w:lang w:val="en-US" w:eastAsia="zh-CN"/>
                    </w:rPr>
                    <w:t>7.8</w:t>
                  </w:r>
                  <w:r>
                    <w:rPr>
                      <w:rFonts w:hint="eastAsia" w:ascii="Times New Roman" w:hAnsi="Times New Roman" w:cs="Times New Roman"/>
                      <w:color w:val="auto"/>
                      <w:spacing w:val="-10"/>
                      <w:sz w:val="18"/>
                      <w:szCs w:val="18"/>
                      <w:highlight w:val="none"/>
                      <w:lang w:val="en-US" w:eastAsia="zh-CN"/>
                    </w:rPr>
                    <w:t>d</w:t>
                  </w:r>
                </w:p>
              </w:tc>
            </w:tr>
            <w:tr w14:paraId="4A5A0EB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70" w:hRule="atLeast"/>
              </w:trPr>
              <w:tc>
                <w:tcPr>
                  <w:tcW w:w="611" w:type="dxa"/>
                  <w:vMerge w:val="continue"/>
                  <w:vAlign w:val="center"/>
                </w:tcPr>
                <w:p w14:paraId="7C8ADAC7">
                  <w:pPr>
                    <w:snapToGrid w:val="0"/>
                    <w:spacing w:line="0" w:lineRule="atLeast"/>
                    <w:jc w:val="center"/>
                    <w:rPr>
                      <w:rFonts w:hint="eastAsia"/>
                      <w:color w:val="auto"/>
                      <w:spacing w:val="-10"/>
                      <w:sz w:val="18"/>
                      <w:szCs w:val="18"/>
                      <w:highlight w:val="none"/>
                    </w:rPr>
                  </w:pPr>
                </w:p>
              </w:tc>
              <w:tc>
                <w:tcPr>
                  <w:tcW w:w="1067" w:type="dxa"/>
                  <w:gridSpan w:val="2"/>
                  <w:vAlign w:val="center"/>
                </w:tcPr>
                <w:p w14:paraId="2AF75808">
                  <w:pPr>
                    <w:snapToGrid w:val="0"/>
                    <w:spacing w:line="0" w:lineRule="atLeast"/>
                    <w:jc w:val="center"/>
                    <w:rPr>
                      <w:rFonts w:hint="default"/>
                      <w:color w:val="auto"/>
                      <w:spacing w:val="-10"/>
                      <w:sz w:val="18"/>
                      <w:szCs w:val="18"/>
                      <w:highlight w:val="none"/>
                      <w:lang w:val="en-US" w:eastAsia="zh-CN"/>
                    </w:rPr>
                  </w:pPr>
                  <w:r>
                    <w:rPr>
                      <w:rFonts w:hint="eastAsia"/>
                      <w:color w:val="auto"/>
                      <w:spacing w:val="-10"/>
                      <w:sz w:val="18"/>
                      <w:szCs w:val="18"/>
                      <w:highlight w:val="none"/>
                      <w:lang w:val="en-US" w:eastAsia="zh-CN"/>
                    </w:rPr>
                    <w:t>不锈钢暂存区</w:t>
                  </w:r>
                </w:p>
              </w:tc>
              <w:tc>
                <w:tcPr>
                  <w:tcW w:w="6336" w:type="dxa"/>
                  <w:vAlign w:val="center"/>
                </w:tcPr>
                <w:p w14:paraId="0AAB19B2">
                  <w:pPr>
                    <w:snapToGrid w:val="0"/>
                    <w:spacing w:line="0" w:lineRule="atLeast"/>
                    <w:jc w:val="center"/>
                    <w:rPr>
                      <w:rFonts w:hint="eastAsia"/>
                      <w:color w:val="auto"/>
                      <w:spacing w:val="-10"/>
                      <w:sz w:val="18"/>
                      <w:szCs w:val="18"/>
                      <w:highlight w:val="none"/>
                      <w:lang w:val="en-US" w:eastAsia="zh-CN"/>
                    </w:rPr>
                  </w:pPr>
                  <w:r>
                    <w:rPr>
                      <w:rFonts w:hint="eastAsia" w:cs="Times New Roman"/>
                      <w:color w:val="auto"/>
                      <w:spacing w:val="-10"/>
                      <w:sz w:val="18"/>
                      <w:szCs w:val="18"/>
                      <w:highlight w:val="none"/>
                      <w:lang w:val="en-US" w:eastAsia="zh-CN"/>
                    </w:rPr>
                    <w:t>位于1</w:t>
                  </w:r>
                  <w:r>
                    <w:rPr>
                      <w:rFonts w:hint="eastAsia" w:cs="Times New Roman"/>
                      <w:color w:val="auto"/>
                      <w:spacing w:val="-10"/>
                      <w:sz w:val="18"/>
                      <w:szCs w:val="18"/>
                      <w:highlight w:val="none"/>
                      <w:vertAlign w:val="superscript"/>
                      <w:lang w:val="en-US" w:eastAsia="zh-CN"/>
                    </w:rPr>
                    <w:t>#</w:t>
                  </w:r>
                  <w:r>
                    <w:rPr>
                      <w:rFonts w:hint="eastAsia" w:cs="Times New Roman"/>
                      <w:color w:val="auto"/>
                      <w:spacing w:val="-10"/>
                      <w:sz w:val="18"/>
                      <w:szCs w:val="18"/>
                      <w:highlight w:val="none"/>
                      <w:lang w:val="en-US" w:eastAsia="zh-CN"/>
                    </w:rPr>
                    <w:t>生产车间内，占地面积12m</w:t>
                  </w:r>
                  <w:r>
                    <w:rPr>
                      <w:rFonts w:hint="eastAsia" w:cs="Times New Roman"/>
                      <w:color w:val="auto"/>
                      <w:spacing w:val="-10"/>
                      <w:sz w:val="18"/>
                      <w:szCs w:val="18"/>
                      <w:highlight w:val="none"/>
                      <w:vertAlign w:val="superscript"/>
                      <w:lang w:val="en-US" w:eastAsia="zh-CN"/>
                    </w:rPr>
                    <w:t>2</w:t>
                  </w:r>
                  <w:r>
                    <w:rPr>
                      <w:rFonts w:hint="eastAsia" w:cs="Times New Roman"/>
                      <w:color w:val="auto"/>
                      <w:spacing w:val="-10"/>
                      <w:sz w:val="18"/>
                      <w:szCs w:val="18"/>
                      <w:highlight w:val="none"/>
                      <w:lang w:val="en-US" w:eastAsia="zh-CN"/>
                    </w:rPr>
                    <w:t>，有效堆存容积48m</w:t>
                  </w:r>
                  <w:r>
                    <w:rPr>
                      <w:rFonts w:hint="eastAsia" w:cs="Times New Roman"/>
                      <w:color w:val="auto"/>
                      <w:spacing w:val="-10"/>
                      <w:sz w:val="18"/>
                      <w:szCs w:val="18"/>
                      <w:highlight w:val="none"/>
                      <w:vertAlign w:val="superscript"/>
                      <w:lang w:val="en-US" w:eastAsia="zh-CN"/>
                    </w:rPr>
                    <w:t>3</w:t>
                  </w:r>
                  <w:r>
                    <w:rPr>
                      <w:rFonts w:hint="eastAsia" w:cs="Times New Roman"/>
                      <w:color w:val="auto"/>
                      <w:spacing w:val="-10"/>
                      <w:sz w:val="18"/>
                      <w:szCs w:val="18"/>
                      <w:highlight w:val="none"/>
                      <w:lang w:val="en-US" w:eastAsia="zh-CN"/>
                    </w:rPr>
                    <w:t>，</w:t>
                  </w:r>
                  <w:r>
                    <w:rPr>
                      <w:rFonts w:hint="eastAsia" w:ascii="Times New Roman" w:hAnsi="Times New Roman" w:cs="Times New Roman"/>
                      <w:color w:val="auto"/>
                      <w:spacing w:val="-10"/>
                      <w:sz w:val="18"/>
                      <w:szCs w:val="18"/>
                      <w:highlight w:val="none"/>
                      <w:lang w:val="en-US" w:eastAsia="zh-CN"/>
                    </w:rPr>
                    <w:t xml:space="preserve"> 暂存</w:t>
                  </w:r>
                  <w:r>
                    <w:rPr>
                      <w:rFonts w:hint="eastAsia" w:cs="Times New Roman"/>
                      <w:color w:val="auto"/>
                      <w:spacing w:val="-10"/>
                      <w:sz w:val="18"/>
                      <w:szCs w:val="18"/>
                      <w:highlight w:val="none"/>
                      <w:lang w:val="en-US" w:eastAsia="zh-CN"/>
                    </w:rPr>
                    <w:t>产品</w:t>
                  </w:r>
                  <w:r>
                    <w:rPr>
                      <w:rFonts w:hint="eastAsia"/>
                      <w:color w:val="auto"/>
                      <w:spacing w:val="-10"/>
                      <w:sz w:val="18"/>
                      <w:szCs w:val="18"/>
                      <w:highlight w:val="none"/>
                      <w:lang w:val="en-US" w:eastAsia="zh-CN"/>
                    </w:rPr>
                    <w:t>不锈钢</w:t>
                  </w:r>
                  <w:r>
                    <w:rPr>
                      <w:rFonts w:hint="eastAsia" w:ascii="Times New Roman" w:hAnsi="Times New Roman" w:cs="Times New Roman"/>
                      <w:color w:val="auto"/>
                      <w:spacing w:val="-10"/>
                      <w:sz w:val="18"/>
                      <w:szCs w:val="18"/>
                      <w:highlight w:val="none"/>
                      <w:lang w:val="en-US" w:eastAsia="zh-CN"/>
                    </w:rPr>
                    <w:t>，存储周期为</w:t>
                  </w:r>
                  <w:r>
                    <w:rPr>
                      <w:rFonts w:hint="eastAsia" w:cs="Times New Roman"/>
                      <w:color w:val="auto"/>
                      <w:spacing w:val="-10"/>
                      <w:sz w:val="18"/>
                      <w:szCs w:val="18"/>
                      <w:highlight w:val="none"/>
                      <w:lang w:val="en-US" w:eastAsia="zh-CN"/>
                    </w:rPr>
                    <w:t>12.2</w:t>
                  </w:r>
                  <w:r>
                    <w:rPr>
                      <w:rFonts w:hint="eastAsia" w:ascii="Times New Roman" w:hAnsi="Times New Roman" w:cs="Times New Roman"/>
                      <w:color w:val="auto"/>
                      <w:spacing w:val="-10"/>
                      <w:sz w:val="18"/>
                      <w:szCs w:val="18"/>
                      <w:highlight w:val="none"/>
                      <w:lang w:val="en-US" w:eastAsia="zh-CN"/>
                    </w:rPr>
                    <w:t>d</w:t>
                  </w:r>
                </w:p>
              </w:tc>
            </w:tr>
            <w:tr w14:paraId="540E7F1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70" w:hRule="atLeast"/>
              </w:trPr>
              <w:tc>
                <w:tcPr>
                  <w:tcW w:w="611" w:type="dxa"/>
                  <w:vMerge w:val="continue"/>
                  <w:vAlign w:val="center"/>
                </w:tcPr>
                <w:p w14:paraId="4D592974">
                  <w:pPr>
                    <w:snapToGrid w:val="0"/>
                    <w:spacing w:line="0" w:lineRule="atLeast"/>
                    <w:jc w:val="center"/>
                    <w:rPr>
                      <w:rFonts w:hint="eastAsia"/>
                      <w:color w:val="auto"/>
                      <w:spacing w:val="-10"/>
                      <w:sz w:val="18"/>
                      <w:szCs w:val="18"/>
                      <w:highlight w:val="none"/>
                    </w:rPr>
                  </w:pPr>
                </w:p>
              </w:tc>
              <w:tc>
                <w:tcPr>
                  <w:tcW w:w="1067" w:type="dxa"/>
                  <w:gridSpan w:val="2"/>
                  <w:vAlign w:val="center"/>
                </w:tcPr>
                <w:p w14:paraId="3B6E481C">
                  <w:pPr>
                    <w:snapToGrid w:val="0"/>
                    <w:spacing w:line="0" w:lineRule="atLeast"/>
                    <w:jc w:val="center"/>
                    <w:rPr>
                      <w:rFonts w:hint="default"/>
                      <w:color w:val="auto"/>
                      <w:spacing w:val="-10"/>
                      <w:sz w:val="18"/>
                      <w:szCs w:val="18"/>
                      <w:highlight w:val="none"/>
                      <w:lang w:val="en-US" w:eastAsia="zh-CN"/>
                    </w:rPr>
                  </w:pPr>
                  <w:r>
                    <w:rPr>
                      <w:rFonts w:hint="eastAsia"/>
                      <w:color w:val="auto"/>
                      <w:spacing w:val="-10"/>
                      <w:sz w:val="18"/>
                      <w:szCs w:val="18"/>
                      <w:highlight w:val="none"/>
                      <w:lang w:val="en-US" w:eastAsia="zh-CN"/>
                    </w:rPr>
                    <w:t>有色金属混合料暂存区</w:t>
                  </w:r>
                </w:p>
              </w:tc>
              <w:tc>
                <w:tcPr>
                  <w:tcW w:w="6336" w:type="dxa"/>
                  <w:vAlign w:val="center"/>
                </w:tcPr>
                <w:p w14:paraId="5A274B4D">
                  <w:pPr>
                    <w:snapToGrid w:val="0"/>
                    <w:spacing w:line="0" w:lineRule="atLeast"/>
                    <w:jc w:val="center"/>
                    <w:rPr>
                      <w:rFonts w:hint="eastAsia"/>
                      <w:color w:val="auto"/>
                      <w:spacing w:val="-10"/>
                      <w:sz w:val="18"/>
                      <w:szCs w:val="18"/>
                      <w:highlight w:val="none"/>
                      <w:lang w:val="en-US" w:eastAsia="zh-CN"/>
                    </w:rPr>
                  </w:pPr>
                  <w:r>
                    <w:rPr>
                      <w:rFonts w:hint="eastAsia" w:cs="Times New Roman"/>
                      <w:color w:val="auto"/>
                      <w:spacing w:val="-10"/>
                      <w:sz w:val="18"/>
                      <w:szCs w:val="18"/>
                      <w:highlight w:val="none"/>
                      <w:lang w:val="en-US" w:eastAsia="zh-CN"/>
                    </w:rPr>
                    <w:t>位于1</w:t>
                  </w:r>
                  <w:r>
                    <w:rPr>
                      <w:rFonts w:hint="eastAsia" w:cs="Times New Roman"/>
                      <w:color w:val="auto"/>
                      <w:spacing w:val="-10"/>
                      <w:sz w:val="18"/>
                      <w:szCs w:val="18"/>
                      <w:highlight w:val="none"/>
                      <w:vertAlign w:val="superscript"/>
                      <w:lang w:val="en-US" w:eastAsia="zh-CN"/>
                    </w:rPr>
                    <w:t>#</w:t>
                  </w:r>
                  <w:r>
                    <w:rPr>
                      <w:rFonts w:hint="eastAsia" w:cs="Times New Roman"/>
                      <w:color w:val="auto"/>
                      <w:spacing w:val="-10"/>
                      <w:sz w:val="18"/>
                      <w:szCs w:val="18"/>
                      <w:highlight w:val="none"/>
                      <w:lang w:val="en-US" w:eastAsia="zh-CN"/>
                    </w:rPr>
                    <w:t>生产车间内，占地面积12m</w:t>
                  </w:r>
                  <w:r>
                    <w:rPr>
                      <w:rFonts w:hint="eastAsia" w:cs="Times New Roman"/>
                      <w:color w:val="auto"/>
                      <w:spacing w:val="-10"/>
                      <w:sz w:val="18"/>
                      <w:szCs w:val="18"/>
                      <w:highlight w:val="none"/>
                      <w:vertAlign w:val="superscript"/>
                      <w:lang w:val="en-US" w:eastAsia="zh-CN"/>
                    </w:rPr>
                    <w:t>2</w:t>
                  </w:r>
                  <w:r>
                    <w:rPr>
                      <w:rFonts w:hint="eastAsia" w:cs="Times New Roman"/>
                      <w:color w:val="auto"/>
                      <w:spacing w:val="-10"/>
                      <w:sz w:val="18"/>
                      <w:szCs w:val="18"/>
                      <w:highlight w:val="none"/>
                      <w:lang w:val="en-US" w:eastAsia="zh-CN"/>
                    </w:rPr>
                    <w:t>，有效堆存容积48m</w:t>
                  </w:r>
                  <w:r>
                    <w:rPr>
                      <w:rFonts w:hint="eastAsia" w:cs="Times New Roman"/>
                      <w:color w:val="auto"/>
                      <w:spacing w:val="-10"/>
                      <w:sz w:val="18"/>
                      <w:szCs w:val="18"/>
                      <w:highlight w:val="none"/>
                      <w:vertAlign w:val="superscript"/>
                      <w:lang w:val="en-US" w:eastAsia="zh-CN"/>
                    </w:rPr>
                    <w:t>3</w:t>
                  </w:r>
                  <w:r>
                    <w:rPr>
                      <w:rFonts w:hint="eastAsia" w:cs="Times New Roman"/>
                      <w:color w:val="auto"/>
                      <w:spacing w:val="-10"/>
                      <w:sz w:val="18"/>
                      <w:szCs w:val="18"/>
                      <w:highlight w:val="none"/>
                      <w:lang w:val="en-US" w:eastAsia="zh-CN"/>
                    </w:rPr>
                    <w:t>，</w:t>
                  </w:r>
                  <w:r>
                    <w:rPr>
                      <w:rFonts w:hint="eastAsia" w:ascii="Times New Roman" w:hAnsi="Times New Roman" w:cs="Times New Roman"/>
                      <w:color w:val="auto"/>
                      <w:spacing w:val="-10"/>
                      <w:sz w:val="18"/>
                      <w:szCs w:val="18"/>
                      <w:highlight w:val="none"/>
                      <w:lang w:val="en-US" w:eastAsia="zh-CN"/>
                    </w:rPr>
                    <w:t xml:space="preserve"> 暂存</w:t>
                  </w:r>
                  <w:r>
                    <w:rPr>
                      <w:rFonts w:hint="eastAsia" w:cs="Times New Roman"/>
                      <w:color w:val="auto"/>
                      <w:spacing w:val="-10"/>
                      <w:sz w:val="18"/>
                      <w:szCs w:val="18"/>
                      <w:highlight w:val="none"/>
                      <w:lang w:val="en-US" w:eastAsia="zh-CN"/>
                    </w:rPr>
                    <w:t>产品</w:t>
                  </w:r>
                  <w:r>
                    <w:rPr>
                      <w:rFonts w:hint="eastAsia"/>
                      <w:color w:val="auto"/>
                      <w:spacing w:val="-10"/>
                      <w:sz w:val="18"/>
                      <w:szCs w:val="18"/>
                      <w:highlight w:val="none"/>
                      <w:lang w:val="en-US" w:eastAsia="zh-CN"/>
                    </w:rPr>
                    <w:t>有色金属混合料</w:t>
                  </w:r>
                  <w:r>
                    <w:rPr>
                      <w:rFonts w:hint="eastAsia" w:ascii="Times New Roman" w:hAnsi="Times New Roman" w:cs="Times New Roman"/>
                      <w:color w:val="auto"/>
                      <w:spacing w:val="-10"/>
                      <w:sz w:val="18"/>
                      <w:szCs w:val="18"/>
                      <w:highlight w:val="none"/>
                      <w:lang w:val="en-US" w:eastAsia="zh-CN"/>
                    </w:rPr>
                    <w:t>，存储周期为</w:t>
                  </w:r>
                  <w:r>
                    <w:rPr>
                      <w:rFonts w:hint="eastAsia" w:cs="Times New Roman"/>
                      <w:color w:val="auto"/>
                      <w:spacing w:val="-10"/>
                      <w:sz w:val="18"/>
                      <w:szCs w:val="18"/>
                      <w:highlight w:val="none"/>
                      <w:lang w:val="en-US" w:eastAsia="zh-CN"/>
                    </w:rPr>
                    <w:t>16.1</w:t>
                  </w:r>
                  <w:r>
                    <w:rPr>
                      <w:rFonts w:hint="eastAsia" w:ascii="Times New Roman" w:hAnsi="Times New Roman" w:cs="Times New Roman"/>
                      <w:color w:val="auto"/>
                      <w:spacing w:val="-10"/>
                      <w:sz w:val="18"/>
                      <w:szCs w:val="18"/>
                      <w:highlight w:val="none"/>
                      <w:lang w:val="en-US" w:eastAsia="zh-CN"/>
                    </w:rPr>
                    <w:t>d</w:t>
                  </w:r>
                </w:p>
              </w:tc>
            </w:tr>
            <w:tr w14:paraId="0DEC385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70" w:hRule="atLeast"/>
              </w:trPr>
              <w:tc>
                <w:tcPr>
                  <w:tcW w:w="611" w:type="dxa"/>
                  <w:vMerge w:val="continue"/>
                  <w:vAlign w:val="center"/>
                </w:tcPr>
                <w:p w14:paraId="7CC0E3B9">
                  <w:pPr>
                    <w:snapToGrid w:val="0"/>
                    <w:spacing w:line="0" w:lineRule="atLeast"/>
                    <w:jc w:val="center"/>
                    <w:rPr>
                      <w:rFonts w:hint="eastAsia"/>
                      <w:color w:val="auto"/>
                      <w:spacing w:val="-10"/>
                      <w:sz w:val="18"/>
                      <w:szCs w:val="18"/>
                      <w:highlight w:val="none"/>
                    </w:rPr>
                  </w:pPr>
                </w:p>
              </w:tc>
              <w:tc>
                <w:tcPr>
                  <w:tcW w:w="1067" w:type="dxa"/>
                  <w:gridSpan w:val="2"/>
                  <w:vAlign w:val="center"/>
                </w:tcPr>
                <w:p w14:paraId="46952880">
                  <w:pPr>
                    <w:snapToGrid w:val="0"/>
                    <w:spacing w:line="0" w:lineRule="atLeast"/>
                    <w:jc w:val="center"/>
                    <w:rPr>
                      <w:rFonts w:hint="default"/>
                      <w:color w:val="auto"/>
                      <w:spacing w:val="-10"/>
                      <w:sz w:val="18"/>
                      <w:szCs w:val="18"/>
                      <w:highlight w:val="none"/>
                      <w:lang w:val="en-US" w:eastAsia="zh-CN"/>
                    </w:rPr>
                  </w:pPr>
                  <w:r>
                    <w:rPr>
                      <w:rFonts w:hint="eastAsia"/>
                      <w:color w:val="auto"/>
                      <w:spacing w:val="-10"/>
                      <w:sz w:val="18"/>
                      <w:szCs w:val="18"/>
                      <w:highlight w:val="none"/>
                      <w:lang w:val="en-US" w:eastAsia="zh-CN"/>
                    </w:rPr>
                    <w:t>塑料暂存区</w:t>
                  </w:r>
                </w:p>
              </w:tc>
              <w:tc>
                <w:tcPr>
                  <w:tcW w:w="6336" w:type="dxa"/>
                  <w:vAlign w:val="center"/>
                </w:tcPr>
                <w:p w14:paraId="3B17E703">
                  <w:pPr>
                    <w:snapToGrid w:val="0"/>
                    <w:spacing w:line="0" w:lineRule="atLeast"/>
                    <w:jc w:val="center"/>
                    <w:rPr>
                      <w:rFonts w:hint="default"/>
                      <w:color w:val="auto"/>
                      <w:spacing w:val="-10"/>
                      <w:sz w:val="18"/>
                      <w:szCs w:val="18"/>
                      <w:highlight w:val="none"/>
                      <w:lang w:val="en-US" w:eastAsia="zh-CN"/>
                    </w:rPr>
                  </w:pPr>
                  <w:r>
                    <w:rPr>
                      <w:rFonts w:hint="eastAsia" w:cs="Times New Roman"/>
                      <w:color w:val="auto"/>
                      <w:spacing w:val="-10"/>
                      <w:sz w:val="18"/>
                      <w:szCs w:val="18"/>
                      <w:highlight w:val="none"/>
                      <w:lang w:val="en-US" w:eastAsia="zh-CN"/>
                    </w:rPr>
                    <w:t>位于1</w:t>
                  </w:r>
                  <w:r>
                    <w:rPr>
                      <w:rFonts w:hint="eastAsia" w:cs="Times New Roman"/>
                      <w:color w:val="auto"/>
                      <w:spacing w:val="-10"/>
                      <w:sz w:val="18"/>
                      <w:szCs w:val="18"/>
                      <w:highlight w:val="none"/>
                      <w:vertAlign w:val="superscript"/>
                      <w:lang w:val="en-US" w:eastAsia="zh-CN"/>
                    </w:rPr>
                    <w:t>#</w:t>
                  </w:r>
                  <w:r>
                    <w:rPr>
                      <w:rFonts w:hint="eastAsia" w:cs="Times New Roman"/>
                      <w:color w:val="auto"/>
                      <w:spacing w:val="-10"/>
                      <w:sz w:val="18"/>
                      <w:szCs w:val="18"/>
                      <w:highlight w:val="none"/>
                      <w:lang w:val="en-US" w:eastAsia="zh-CN"/>
                    </w:rPr>
                    <w:t>生产车间内，占地面积200m</w:t>
                  </w:r>
                  <w:r>
                    <w:rPr>
                      <w:rFonts w:hint="eastAsia" w:cs="Times New Roman"/>
                      <w:color w:val="auto"/>
                      <w:spacing w:val="-10"/>
                      <w:sz w:val="18"/>
                      <w:szCs w:val="18"/>
                      <w:highlight w:val="none"/>
                      <w:vertAlign w:val="superscript"/>
                      <w:lang w:val="en-US" w:eastAsia="zh-CN"/>
                    </w:rPr>
                    <w:t>2</w:t>
                  </w:r>
                  <w:r>
                    <w:rPr>
                      <w:rFonts w:hint="eastAsia" w:cs="Times New Roman"/>
                      <w:color w:val="auto"/>
                      <w:spacing w:val="-10"/>
                      <w:sz w:val="18"/>
                      <w:szCs w:val="18"/>
                      <w:highlight w:val="none"/>
                      <w:lang w:val="en-US" w:eastAsia="zh-CN"/>
                    </w:rPr>
                    <w:t>，</w:t>
                  </w:r>
                  <w:r>
                    <w:rPr>
                      <w:rFonts w:hint="eastAsia" w:ascii="Times New Roman" w:hAnsi="Times New Roman" w:cs="Times New Roman"/>
                      <w:color w:val="auto"/>
                      <w:spacing w:val="-10"/>
                      <w:sz w:val="18"/>
                      <w:szCs w:val="18"/>
                      <w:highlight w:val="none"/>
                      <w:lang w:val="en-US" w:eastAsia="zh-CN"/>
                    </w:rPr>
                    <w:t xml:space="preserve"> 暂存</w:t>
                  </w:r>
                  <w:r>
                    <w:rPr>
                      <w:rFonts w:hint="eastAsia" w:cs="Times New Roman"/>
                      <w:color w:val="auto"/>
                      <w:spacing w:val="-10"/>
                      <w:sz w:val="18"/>
                      <w:szCs w:val="18"/>
                      <w:highlight w:val="none"/>
                      <w:lang w:val="en-US" w:eastAsia="zh-CN"/>
                    </w:rPr>
                    <w:t>产品</w:t>
                  </w:r>
                  <w:r>
                    <w:rPr>
                      <w:rFonts w:hint="eastAsia"/>
                      <w:color w:val="auto"/>
                      <w:spacing w:val="-10"/>
                      <w:sz w:val="18"/>
                      <w:szCs w:val="18"/>
                      <w:highlight w:val="none"/>
                      <w:lang w:val="en-US" w:eastAsia="zh-CN"/>
                    </w:rPr>
                    <w:t>沉水塑料及轻质塑料，</w:t>
                  </w:r>
                  <w:r>
                    <w:rPr>
                      <w:rFonts w:hint="eastAsia" w:ascii="Times New Roman" w:hAnsi="Times New Roman" w:cs="Times New Roman"/>
                      <w:color w:val="auto"/>
                      <w:spacing w:val="-10"/>
                      <w:sz w:val="18"/>
                      <w:szCs w:val="18"/>
                      <w:highlight w:val="none"/>
                      <w:lang w:val="en-US" w:eastAsia="zh-CN"/>
                    </w:rPr>
                    <w:t>最大存储量为</w:t>
                  </w:r>
                  <w:r>
                    <w:rPr>
                      <w:rFonts w:hint="eastAsia" w:cs="Times New Roman"/>
                      <w:color w:val="auto"/>
                      <w:spacing w:val="-10"/>
                      <w:sz w:val="18"/>
                      <w:szCs w:val="18"/>
                      <w:highlight w:val="none"/>
                      <w:lang w:val="en-US" w:eastAsia="zh-CN"/>
                    </w:rPr>
                    <w:t>57</w:t>
                  </w:r>
                  <w:r>
                    <w:rPr>
                      <w:rFonts w:hint="eastAsia" w:ascii="Times New Roman" w:hAnsi="Times New Roman" w:cs="Times New Roman"/>
                      <w:color w:val="auto"/>
                      <w:spacing w:val="-10"/>
                      <w:sz w:val="18"/>
                      <w:szCs w:val="18"/>
                      <w:highlight w:val="none"/>
                      <w:lang w:val="en-US" w:eastAsia="zh-CN"/>
                    </w:rPr>
                    <w:t>0吨，存储周期为</w:t>
                  </w:r>
                  <w:r>
                    <w:rPr>
                      <w:rFonts w:hint="eastAsia" w:cs="Times New Roman"/>
                      <w:color w:val="auto"/>
                      <w:spacing w:val="-10"/>
                      <w:sz w:val="18"/>
                      <w:szCs w:val="18"/>
                      <w:highlight w:val="none"/>
                      <w:lang w:val="en-US" w:eastAsia="zh-CN"/>
                    </w:rPr>
                    <w:t>2.9</w:t>
                  </w:r>
                  <w:r>
                    <w:rPr>
                      <w:rFonts w:hint="eastAsia" w:ascii="Times New Roman" w:hAnsi="Times New Roman" w:cs="Times New Roman"/>
                      <w:color w:val="auto"/>
                      <w:spacing w:val="-10"/>
                      <w:sz w:val="18"/>
                      <w:szCs w:val="18"/>
                      <w:highlight w:val="none"/>
                      <w:lang w:val="en-US" w:eastAsia="zh-CN"/>
                    </w:rPr>
                    <w:t>d</w:t>
                  </w:r>
                </w:p>
              </w:tc>
            </w:tr>
            <w:tr w14:paraId="0D6D9C6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70" w:hRule="atLeast"/>
              </w:trPr>
              <w:tc>
                <w:tcPr>
                  <w:tcW w:w="611" w:type="dxa"/>
                  <w:vMerge w:val="continue"/>
                  <w:vAlign w:val="center"/>
                </w:tcPr>
                <w:p w14:paraId="4AECCF49">
                  <w:pPr>
                    <w:snapToGrid w:val="0"/>
                    <w:spacing w:line="0" w:lineRule="atLeast"/>
                    <w:jc w:val="center"/>
                    <w:rPr>
                      <w:rFonts w:hint="eastAsia"/>
                      <w:color w:val="auto"/>
                      <w:spacing w:val="-10"/>
                      <w:sz w:val="18"/>
                      <w:szCs w:val="18"/>
                      <w:highlight w:val="none"/>
                    </w:rPr>
                  </w:pPr>
                </w:p>
              </w:tc>
              <w:tc>
                <w:tcPr>
                  <w:tcW w:w="1067" w:type="dxa"/>
                  <w:gridSpan w:val="2"/>
                  <w:vAlign w:val="center"/>
                </w:tcPr>
                <w:p w14:paraId="05C8B762">
                  <w:pPr>
                    <w:snapToGrid w:val="0"/>
                    <w:spacing w:line="0" w:lineRule="atLeast"/>
                    <w:jc w:val="center"/>
                    <w:rPr>
                      <w:rFonts w:hint="default"/>
                      <w:color w:val="auto"/>
                      <w:spacing w:val="-10"/>
                      <w:sz w:val="18"/>
                      <w:szCs w:val="18"/>
                      <w:highlight w:val="none"/>
                      <w:lang w:val="en-US" w:eastAsia="zh-CN"/>
                    </w:rPr>
                  </w:pPr>
                  <w:r>
                    <w:rPr>
                      <w:rFonts w:hint="eastAsia"/>
                      <w:color w:val="auto"/>
                      <w:spacing w:val="-10"/>
                      <w:sz w:val="18"/>
                      <w:szCs w:val="18"/>
                      <w:highlight w:val="none"/>
                      <w:lang w:val="en-US" w:eastAsia="zh-CN"/>
                    </w:rPr>
                    <w:t>一般固废暂存区</w:t>
                  </w:r>
                </w:p>
              </w:tc>
              <w:tc>
                <w:tcPr>
                  <w:tcW w:w="6336" w:type="dxa"/>
                  <w:vAlign w:val="center"/>
                </w:tcPr>
                <w:p w14:paraId="69F8D4D8">
                  <w:pPr>
                    <w:snapToGrid w:val="0"/>
                    <w:spacing w:line="0" w:lineRule="atLeast"/>
                    <w:jc w:val="center"/>
                    <w:rPr>
                      <w:rFonts w:hint="eastAsia"/>
                      <w:color w:val="auto"/>
                      <w:spacing w:val="-10"/>
                      <w:sz w:val="18"/>
                      <w:szCs w:val="18"/>
                      <w:highlight w:val="none"/>
                      <w:lang w:val="en-US" w:eastAsia="zh-CN"/>
                    </w:rPr>
                  </w:pPr>
                  <w:r>
                    <w:rPr>
                      <w:rFonts w:hint="eastAsia"/>
                      <w:color w:val="auto"/>
                      <w:spacing w:val="-10"/>
                      <w:sz w:val="18"/>
                      <w:szCs w:val="18"/>
                      <w:highlight w:val="none"/>
                      <w:lang w:val="en-US" w:eastAsia="zh-CN"/>
                    </w:rPr>
                    <w:t>位于</w:t>
                  </w:r>
                  <w:r>
                    <w:rPr>
                      <w:rFonts w:hint="eastAsia" w:cs="Times New Roman"/>
                      <w:color w:val="auto"/>
                      <w:spacing w:val="-10"/>
                      <w:sz w:val="18"/>
                      <w:szCs w:val="18"/>
                      <w:highlight w:val="none"/>
                      <w:lang w:val="en-US" w:eastAsia="zh-CN"/>
                    </w:rPr>
                    <w:t>2</w:t>
                  </w:r>
                  <w:r>
                    <w:rPr>
                      <w:rFonts w:hint="eastAsia" w:cs="Times New Roman"/>
                      <w:color w:val="auto"/>
                      <w:spacing w:val="-10"/>
                      <w:sz w:val="18"/>
                      <w:szCs w:val="18"/>
                      <w:highlight w:val="none"/>
                      <w:vertAlign w:val="superscript"/>
                      <w:lang w:val="en-US" w:eastAsia="zh-CN"/>
                    </w:rPr>
                    <w:t>#</w:t>
                  </w:r>
                  <w:r>
                    <w:rPr>
                      <w:rFonts w:hint="eastAsia"/>
                      <w:color w:val="auto"/>
                      <w:spacing w:val="-10"/>
                      <w:sz w:val="18"/>
                      <w:szCs w:val="18"/>
                      <w:highlight w:val="none"/>
                      <w:lang w:val="en-US" w:eastAsia="zh-CN"/>
                    </w:rPr>
                    <w:t>生产车间内，占地面积30m</w:t>
                  </w:r>
                  <w:r>
                    <w:rPr>
                      <w:rFonts w:hint="eastAsia"/>
                      <w:color w:val="auto"/>
                      <w:spacing w:val="-10"/>
                      <w:sz w:val="18"/>
                      <w:szCs w:val="18"/>
                      <w:highlight w:val="none"/>
                      <w:vertAlign w:val="superscript"/>
                      <w:lang w:val="en-US" w:eastAsia="zh-CN"/>
                    </w:rPr>
                    <w:t>2</w:t>
                  </w:r>
                  <w:r>
                    <w:rPr>
                      <w:rFonts w:hint="eastAsia"/>
                      <w:color w:val="auto"/>
                      <w:spacing w:val="-10"/>
                      <w:sz w:val="18"/>
                      <w:szCs w:val="18"/>
                      <w:highlight w:val="none"/>
                      <w:lang w:val="en-US" w:eastAsia="zh-CN"/>
                    </w:rPr>
                    <w:t>，用于存储一般固废污泥、除尘灰、沉降灰、废钢球、废包装袋、废布袋、废滤布。一般固废区周围设置3m高混凝土围挡，一般固废暂存区做防渗处理，渗透系数≤1.0×10</w:t>
                  </w:r>
                  <w:r>
                    <w:rPr>
                      <w:rFonts w:hint="eastAsia"/>
                      <w:color w:val="auto"/>
                      <w:spacing w:val="-10"/>
                      <w:sz w:val="18"/>
                      <w:szCs w:val="18"/>
                      <w:highlight w:val="none"/>
                      <w:vertAlign w:val="superscript"/>
                      <w:lang w:val="en-US" w:eastAsia="zh-CN"/>
                    </w:rPr>
                    <w:t>-7</w:t>
                  </w:r>
                  <w:r>
                    <w:rPr>
                      <w:rFonts w:hint="eastAsia"/>
                      <w:color w:val="auto"/>
                      <w:spacing w:val="-10"/>
                      <w:sz w:val="18"/>
                      <w:szCs w:val="18"/>
                      <w:highlight w:val="none"/>
                      <w:lang w:val="en-US" w:eastAsia="zh-CN"/>
                    </w:rPr>
                    <w:t>cm/s</w:t>
                  </w:r>
                </w:p>
              </w:tc>
            </w:tr>
            <w:tr w14:paraId="240E9CC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70" w:hRule="atLeast"/>
              </w:trPr>
              <w:tc>
                <w:tcPr>
                  <w:tcW w:w="611" w:type="dxa"/>
                  <w:vMerge w:val="continue"/>
                  <w:vAlign w:val="center"/>
                </w:tcPr>
                <w:p w14:paraId="5119CF2C">
                  <w:pPr>
                    <w:snapToGrid w:val="0"/>
                    <w:spacing w:line="0" w:lineRule="atLeast"/>
                    <w:jc w:val="center"/>
                    <w:rPr>
                      <w:rFonts w:hint="eastAsia"/>
                      <w:color w:val="auto"/>
                      <w:spacing w:val="-10"/>
                      <w:sz w:val="18"/>
                      <w:szCs w:val="18"/>
                      <w:highlight w:val="none"/>
                    </w:rPr>
                  </w:pPr>
                </w:p>
              </w:tc>
              <w:tc>
                <w:tcPr>
                  <w:tcW w:w="1067" w:type="dxa"/>
                  <w:gridSpan w:val="2"/>
                  <w:vAlign w:val="center"/>
                </w:tcPr>
                <w:p w14:paraId="650235FE">
                  <w:pPr>
                    <w:snapToGrid w:val="0"/>
                    <w:spacing w:line="0" w:lineRule="atLeast"/>
                    <w:jc w:val="center"/>
                    <w:rPr>
                      <w:rFonts w:hint="default"/>
                      <w:color w:val="auto"/>
                      <w:spacing w:val="-10"/>
                      <w:sz w:val="18"/>
                      <w:szCs w:val="18"/>
                      <w:highlight w:val="none"/>
                      <w:lang w:val="en-US" w:eastAsia="zh-CN"/>
                    </w:rPr>
                  </w:pPr>
                  <w:r>
                    <w:rPr>
                      <w:rFonts w:hint="eastAsia"/>
                      <w:color w:val="auto"/>
                      <w:spacing w:val="-10"/>
                      <w:sz w:val="18"/>
                      <w:szCs w:val="18"/>
                      <w:highlight w:val="none"/>
                      <w:lang w:val="en-US" w:eastAsia="zh-CN"/>
                    </w:rPr>
                    <w:t>危险废物暂存间</w:t>
                  </w:r>
                </w:p>
              </w:tc>
              <w:tc>
                <w:tcPr>
                  <w:tcW w:w="6336" w:type="dxa"/>
                  <w:vAlign w:val="center"/>
                </w:tcPr>
                <w:p w14:paraId="5C47719F">
                  <w:pPr>
                    <w:snapToGrid w:val="0"/>
                    <w:spacing w:line="0" w:lineRule="atLeast"/>
                    <w:jc w:val="center"/>
                    <w:rPr>
                      <w:rFonts w:hint="eastAsia"/>
                      <w:color w:val="auto"/>
                      <w:spacing w:val="-10"/>
                      <w:sz w:val="18"/>
                      <w:szCs w:val="18"/>
                      <w:highlight w:val="none"/>
                      <w:lang w:val="en-US" w:eastAsia="zh-CN"/>
                    </w:rPr>
                  </w:pPr>
                  <w:r>
                    <w:rPr>
                      <w:rFonts w:hint="eastAsia"/>
                      <w:color w:val="auto"/>
                      <w:spacing w:val="-10"/>
                      <w:sz w:val="18"/>
                      <w:szCs w:val="18"/>
                      <w:highlight w:val="none"/>
                    </w:rPr>
                    <w:t>位于</w:t>
                  </w:r>
                  <w:r>
                    <w:rPr>
                      <w:rFonts w:hint="eastAsia" w:cs="Times New Roman"/>
                      <w:color w:val="auto"/>
                      <w:spacing w:val="-10"/>
                      <w:sz w:val="18"/>
                      <w:szCs w:val="18"/>
                      <w:highlight w:val="none"/>
                      <w:lang w:val="en-US" w:eastAsia="zh-CN"/>
                    </w:rPr>
                    <w:t>2</w:t>
                  </w:r>
                  <w:r>
                    <w:rPr>
                      <w:rFonts w:hint="eastAsia" w:cs="Times New Roman"/>
                      <w:color w:val="auto"/>
                      <w:spacing w:val="-10"/>
                      <w:sz w:val="18"/>
                      <w:szCs w:val="18"/>
                      <w:highlight w:val="none"/>
                      <w:vertAlign w:val="superscript"/>
                      <w:lang w:val="en-US" w:eastAsia="zh-CN"/>
                    </w:rPr>
                    <w:t>#</w:t>
                  </w:r>
                  <w:r>
                    <w:rPr>
                      <w:rFonts w:hint="eastAsia"/>
                      <w:color w:val="auto"/>
                      <w:spacing w:val="-10"/>
                      <w:sz w:val="18"/>
                      <w:szCs w:val="18"/>
                      <w:highlight w:val="none"/>
                    </w:rPr>
                    <w:t>生产车间内</w:t>
                  </w:r>
                  <w:r>
                    <w:rPr>
                      <w:rFonts w:hint="eastAsia"/>
                      <w:color w:val="auto"/>
                      <w:spacing w:val="-10"/>
                      <w:sz w:val="18"/>
                      <w:szCs w:val="18"/>
                      <w:highlight w:val="none"/>
                      <w:lang w:eastAsia="zh-CN"/>
                    </w:rPr>
                    <w:t>，</w:t>
                  </w:r>
                  <w:r>
                    <w:rPr>
                      <w:rFonts w:hint="eastAsia"/>
                      <w:color w:val="auto"/>
                      <w:spacing w:val="-10"/>
                      <w:sz w:val="18"/>
                      <w:szCs w:val="18"/>
                      <w:highlight w:val="none"/>
                    </w:rPr>
                    <w:t>共1座，建筑面积</w:t>
                  </w:r>
                  <w:r>
                    <w:rPr>
                      <w:rFonts w:hint="eastAsia"/>
                      <w:color w:val="auto"/>
                      <w:spacing w:val="-10"/>
                      <w:sz w:val="18"/>
                      <w:szCs w:val="18"/>
                      <w:highlight w:val="none"/>
                      <w:lang w:val="en-US" w:eastAsia="zh-CN"/>
                    </w:rPr>
                    <w:t>9</w:t>
                  </w:r>
                  <w:r>
                    <w:rPr>
                      <w:rFonts w:hint="eastAsia"/>
                      <w:color w:val="auto"/>
                      <w:spacing w:val="-10"/>
                      <w:sz w:val="18"/>
                      <w:szCs w:val="18"/>
                      <w:highlight w:val="none"/>
                    </w:rPr>
                    <w:t>m</w:t>
                  </w:r>
                  <w:r>
                    <w:rPr>
                      <w:rFonts w:hint="eastAsia"/>
                      <w:color w:val="auto"/>
                      <w:spacing w:val="-10"/>
                      <w:sz w:val="18"/>
                      <w:szCs w:val="18"/>
                      <w:highlight w:val="none"/>
                      <w:vertAlign w:val="superscript"/>
                    </w:rPr>
                    <w:t>2</w:t>
                  </w:r>
                  <w:r>
                    <w:rPr>
                      <w:rFonts w:hint="eastAsia"/>
                      <w:color w:val="auto"/>
                      <w:spacing w:val="-10"/>
                      <w:sz w:val="18"/>
                      <w:szCs w:val="18"/>
                      <w:highlight w:val="none"/>
                    </w:rPr>
                    <w:t>，用于存放危险废物防渗处理</w:t>
                  </w:r>
                  <w:r>
                    <w:rPr>
                      <w:rFonts w:hint="eastAsia"/>
                      <w:color w:val="auto"/>
                      <w:spacing w:val="-10"/>
                      <w:sz w:val="18"/>
                      <w:szCs w:val="18"/>
                      <w:highlight w:val="none"/>
                      <w:lang w:eastAsia="zh-CN"/>
                    </w:rPr>
                    <w:t>。</w:t>
                  </w:r>
                  <w:r>
                    <w:rPr>
                      <w:rFonts w:hint="eastAsia"/>
                      <w:color w:val="auto"/>
                      <w:spacing w:val="-10"/>
                      <w:sz w:val="18"/>
                      <w:szCs w:val="18"/>
                      <w:highlight w:val="none"/>
                      <w:lang w:val="en-US" w:eastAsia="zh-CN"/>
                    </w:rPr>
                    <w:t>危废间做防渗处理，</w:t>
                  </w:r>
                  <w:r>
                    <w:rPr>
                      <w:rFonts w:hint="eastAsia"/>
                      <w:color w:val="auto"/>
                      <w:spacing w:val="-10"/>
                      <w:sz w:val="18"/>
                      <w:szCs w:val="18"/>
                      <w:highlight w:val="none"/>
                    </w:rPr>
                    <w:t>渗透系数≤</w:t>
                  </w:r>
                  <w:r>
                    <w:rPr>
                      <w:color w:val="auto"/>
                      <w:spacing w:val="-10"/>
                      <w:sz w:val="18"/>
                      <w:szCs w:val="18"/>
                      <w:highlight w:val="none"/>
                    </w:rPr>
                    <w:t>1.0×10</w:t>
                  </w:r>
                  <w:r>
                    <w:rPr>
                      <w:color w:val="auto"/>
                      <w:spacing w:val="-10"/>
                      <w:sz w:val="18"/>
                      <w:szCs w:val="18"/>
                      <w:highlight w:val="none"/>
                      <w:vertAlign w:val="superscript"/>
                    </w:rPr>
                    <w:t>-</w:t>
                  </w:r>
                  <w:r>
                    <w:rPr>
                      <w:rFonts w:hint="eastAsia"/>
                      <w:color w:val="auto"/>
                      <w:spacing w:val="-10"/>
                      <w:sz w:val="18"/>
                      <w:szCs w:val="18"/>
                      <w:highlight w:val="none"/>
                      <w:vertAlign w:val="superscript"/>
                    </w:rPr>
                    <w:t>10</w:t>
                  </w:r>
                  <w:r>
                    <w:rPr>
                      <w:color w:val="auto"/>
                      <w:spacing w:val="-10"/>
                      <w:sz w:val="18"/>
                      <w:szCs w:val="18"/>
                      <w:highlight w:val="none"/>
                    </w:rPr>
                    <w:t>cm/s</w:t>
                  </w:r>
                </w:p>
              </w:tc>
            </w:tr>
            <w:tr w14:paraId="0079BAD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90" w:hRule="atLeast"/>
              </w:trPr>
              <w:tc>
                <w:tcPr>
                  <w:tcW w:w="611" w:type="dxa"/>
                  <w:vMerge w:val="continue"/>
                  <w:vAlign w:val="center"/>
                </w:tcPr>
                <w:p w14:paraId="3FBFEDA4">
                  <w:pPr>
                    <w:snapToGrid w:val="0"/>
                    <w:spacing w:line="0" w:lineRule="atLeast"/>
                    <w:jc w:val="center"/>
                    <w:rPr>
                      <w:rFonts w:hint="eastAsia"/>
                      <w:color w:val="auto"/>
                      <w:spacing w:val="-10"/>
                      <w:sz w:val="18"/>
                      <w:szCs w:val="18"/>
                      <w:highlight w:val="none"/>
                    </w:rPr>
                  </w:pPr>
                </w:p>
              </w:tc>
              <w:tc>
                <w:tcPr>
                  <w:tcW w:w="1067" w:type="dxa"/>
                  <w:gridSpan w:val="2"/>
                  <w:shd w:val="clear" w:color="auto" w:fill="auto"/>
                  <w:vAlign w:val="center"/>
                </w:tcPr>
                <w:p w14:paraId="0F4E8F1B">
                  <w:pPr>
                    <w:snapToGrid w:val="0"/>
                    <w:spacing w:line="0" w:lineRule="atLeast"/>
                    <w:jc w:val="center"/>
                    <w:rPr>
                      <w:rFonts w:hint="eastAsia" w:ascii="Times New Roman" w:hAnsi="Times New Roman" w:eastAsia="宋体" w:cs="Times New Roman"/>
                      <w:color w:val="auto"/>
                      <w:spacing w:val="-10"/>
                      <w:kern w:val="2"/>
                      <w:sz w:val="18"/>
                      <w:szCs w:val="18"/>
                      <w:highlight w:val="none"/>
                      <w:lang w:val="en-US" w:eastAsia="zh-CN" w:bidi="ar-SA"/>
                    </w:rPr>
                  </w:pPr>
                  <w:r>
                    <w:rPr>
                      <w:rFonts w:hint="eastAsia"/>
                      <w:color w:val="auto"/>
                      <w:spacing w:val="-10"/>
                      <w:sz w:val="18"/>
                      <w:szCs w:val="18"/>
                      <w:highlight w:val="none"/>
                    </w:rPr>
                    <w:t>运输</w:t>
                  </w:r>
                </w:p>
              </w:tc>
              <w:tc>
                <w:tcPr>
                  <w:tcW w:w="6336" w:type="dxa"/>
                  <w:shd w:val="clear" w:color="auto" w:fill="auto"/>
                  <w:vAlign w:val="center"/>
                </w:tcPr>
                <w:p w14:paraId="4D053B33">
                  <w:pPr>
                    <w:snapToGrid w:val="0"/>
                    <w:spacing w:line="0" w:lineRule="atLeast"/>
                    <w:jc w:val="center"/>
                    <w:rPr>
                      <w:rFonts w:hint="eastAsia" w:ascii="Times New Roman" w:hAnsi="Times New Roman" w:eastAsia="宋体" w:cs="Times New Roman"/>
                      <w:color w:val="auto"/>
                      <w:spacing w:val="-10"/>
                      <w:kern w:val="2"/>
                      <w:sz w:val="18"/>
                      <w:szCs w:val="18"/>
                      <w:highlight w:val="none"/>
                      <w:lang w:val="en-US" w:eastAsia="zh-CN" w:bidi="ar-SA"/>
                    </w:rPr>
                  </w:pPr>
                  <w:r>
                    <w:rPr>
                      <w:color w:val="auto"/>
                      <w:spacing w:val="-10"/>
                      <w:sz w:val="18"/>
                      <w:szCs w:val="18"/>
                      <w:highlight w:val="none"/>
                    </w:rPr>
                    <w:t>原料及产品的运输主要采用汽车运输方式，运输主要依靠社会车辆解决；厂内原料及产品主要采用</w:t>
                  </w:r>
                  <w:r>
                    <w:rPr>
                      <w:rFonts w:hint="eastAsia"/>
                      <w:color w:val="auto"/>
                      <w:spacing w:val="-10"/>
                      <w:sz w:val="18"/>
                      <w:szCs w:val="18"/>
                      <w:highlight w:val="none"/>
                    </w:rPr>
                    <w:t>装载机及叉车</w:t>
                  </w:r>
                  <w:r>
                    <w:rPr>
                      <w:color w:val="auto"/>
                      <w:spacing w:val="-10"/>
                      <w:sz w:val="18"/>
                      <w:szCs w:val="18"/>
                      <w:highlight w:val="none"/>
                    </w:rPr>
                    <w:t>运输</w:t>
                  </w:r>
                </w:p>
              </w:tc>
            </w:tr>
            <w:tr w14:paraId="28A4F12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70" w:hRule="atLeast"/>
              </w:trPr>
              <w:tc>
                <w:tcPr>
                  <w:tcW w:w="611" w:type="dxa"/>
                  <w:vMerge w:val="continue"/>
                  <w:vAlign w:val="center"/>
                </w:tcPr>
                <w:p w14:paraId="14837506">
                  <w:pPr>
                    <w:snapToGrid w:val="0"/>
                    <w:spacing w:line="0" w:lineRule="atLeast"/>
                    <w:jc w:val="center"/>
                    <w:rPr>
                      <w:color w:val="auto"/>
                      <w:spacing w:val="-10"/>
                      <w:sz w:val="18"/>
                      <w:szCs w:val="18"/>
                      <w:highlight w:val="none"/>
                    </w:rPr>
                  </w:pPr>
                </w:p>
              </w:tc>
              <w:tc>
                <w:tcPr>
                  <w:tcW w:w="1067" w:type="dxa"/>
                  <w:gridSpan w:val="2"/>
                  <w:shd w:val="clear" w:color="auto" w:fill="auto"/>
                  <w:vAlign w:val="center"/>
                </w:tcPr>
                <w:p w14:paraId="0CEE1010">
                  <w:pPr>
                    <w:snapToGrid w:val="0"/>
                    <w:spacing w:line="0" w:lineRule="atLeast"/>
                    <w:jc w:val="center"/>
                    <w:rPr>
                      <w:rFonts w:hint="eastAsia" w:ascii="Times New Roman" w:hAnsi="Times New Roman" w:eastAsia="宋体" w:cs="Times New Roman"/>
                      <w:color w:val="auto"/>
                      <w:spacing w:val="-10"/>
                      <w:kern w:val="2"/>
                      <w:sz w:val="18"/>
                      <w:szCs w:val="18"/>
                      <w:highlight w:val="none"/>
                      <w:lang w:val="en-US" w:eastAsia="zh-CN" w:bidi="ar-SA"/>
                    </w:rPr>
                  </w:pPr>
                  <w:r>
                    <w:rPr>
                      <w:rFonts w:hint="eastAsia"/>
                      <w:color w:val="auto"/>
                      <w:spacing w:val="-10"/>
                      <w:sz w:val="18"/>
                      <w:szCs w:val="18"/>
                      <w:highlight w:val="none"/>
                      <w:lang w:val="en-US" w:eastAsia="zh-CN"/>
                    </w:rPr>
                    <w:t>运输路线</w:t>
                  </w:r>
                </w:p>
              </w:tc>
              <w:tc>
                <w:tcPr>
                  <w:tcW w:w="6336" w:type="dxa"/>
                  <w:shd w:val="clear" w:color="auto" w:fill="auto"/>
                  <w:vAlign w:val="center"/>
                </w:tcPr>
                <w:p w14:paraId="125C94EF">
                  <w:pPr>
                    <w:snapToGrid w:val="0"/>
                    <w:spacing w:line="0" w:lineRule="atLeast"/>
                    <w:jc w:val="center"/>
                    <w:rPr>
                      <w:rFonts w:hint="eastAsia" w:ascii="Times New Roman" w:hAnsi="Times New Roman" w:eastAsia="宋体" w:cs="Times New Roman"/>
                      <w:color w:val="auto"/>
                      <w:spacing w:val="-10"/>
                      <w:kern w:val="2"/>
                      <w:sz w:val="18"/>
                      <w:szCs w:val="18"/>
                      <w:highlight w:val="none"/>
                      <w:lang w:val="en-US" w:eastAsia="zh-CN" w:bidi="ar-SA"/>
                    </w:rPr>
                  </w:pPr>
                  <w:r>
                    <w:rPr>
                      <w:rFonts w:hint="eastAsia" w:ascii="Times New Roman" w:hAnsi="Times New Roman" w:eastAsia="宋体" w:cs="Times New Roman"/>
                      <w:color w:val="auto"/>
                      <w:spacing w:val="-10"/>
                      <w:sz w:val="18"/>
                      <w:szCs w:val="18"/>
                      <w:highlight w:val="none"/>
                      <w:lang w:val="en-US" w:eastAsia="zh-CN"/>
                    </w:rPr>
                    <w:t>项目原料由主干路至厂区的运输路线为：经古冶区北外环路转入村道进入厂区，途径徐庄子村；项目产品、废料等物料由厂区至主干路的运输路线为：经村道转入古冶区北外环路，途径徐庄子村（详见附图）。</w:t>
                  </w:r>
                </w:p>
              </w:tc>
            </w:tr>
            <w:tr w14:paraId="11860E3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70" w:hRule="atLeast"/>
              </w:trPr>
              <w:tc>
                <w:tcPr>
                  <w:tcW w:w="611" w:type="dxa"/>
                  <w:vMerge w:val="restart"/>
                  <w:vAlign w:val="center"/>
                </w:tcPr>
                <w:p w14:paraId="40BD2DBB">
                  <w:pPr>
                    <w:snapToGrid w:val="0"/>
                    <w:spacing w:line="0" w:lineRule="atLeast"/>
                    <w:jc w:val="center"/>
                    <w:rPr>
                      <w:color w:val="auto"/>
                      <w:spacing w:val="-10"/>
                      <w:sz w:val="18"/>
                      <w:szCs w:val="18"/>
                      <w:highlight w:val="none"/>
                    </w:rPr>
                  </w:pPr>
                  <w:r>
                    <w:rPr>
                      <w:color w:val="auto"/>
                      <w:spacing w:val="-10"/>
                      <w:sz w:val="18"/>
                      <w:szCs w:val="18"/>
                      <w:highlight w:val="none"/>
                    </w:rPr>
                    <w:t>公用</w:t>
                  </w:r>
                </w:p>
                <w:p w14:paraId="22582127">
                  <w:pPr>
                    <w:snapToGrid w:val="0"/>
                    <w:spacing w:line="0" w:lineRule="atLeast"/>
                    <w:jc w:val="center"/>
                    <w:rPr>
                      <w:rFonts w:ascii="Times New Roman" w:hAnsi="Times New Roman" w:eastAsia="宋体" w:cs="Times New Roman"/>
                      <w:color w:val="auto"/>
                      <w:spacing w:val="-10"/>
                      <w:kern w:val="2"/>
                      <w:sz w:val="18"/>
                      <w:szCs w:val="18"/>
                      <w:highlight w:val="none"/>
                      <w:lang w:val="en-US" w:eastAsia="zh-CN" w:bidi="ar-SA"/>
                    </w:rPr>
                  </w:pPr>
                  <w:r>
                    <w:rPr>
                      <w:color w:val="auto"/>
                      <w:spacing w:val="-10"/>
                      <w:sz w:val="18"/>
                      <w:szCs w:val="18"/>
                      <w:highlight w:val="none"/>
                    </w:rPr>
                    <w:t>工程</w:t>
                  </w:r>
                </w:p>
              </w:tc>
              <w:tc>
                <w:tcPr>
                  <w:tcW w:w="1067" w:type="dxa"/>
                  <w:gridSpan w:val="2"/>
                  <w:vAlign w:val="center"/>
                </w:tcPr>
                <w:p w14:paraId="2C4E8F47">
                  <w:pPr>
                    <w:snapToGrid w:val="0"/>
                    <w:spacing w:line="0" w:lineRule="atLeast"/>
                    <w:jc w:val="center"/>
                    <w:rPr>
                      <w:rFonts w:hint="eastAsia" w:ascii="Times New Roman" w:hAnsi="Times New Roman" w:eastAsia="宋体" w:cs="Times New Roman"/>
                      <w:color w:val="auto"/>
                      <w:spacing w:val="-10"/>
                      <w:kern w:val="2"/>
                      <w:sz w:val="18"/>
                      <w:szCs w:val="18"/>
                      <w:highlight w:val="none"/>
                      <w:lang w:val="en-US" w:eastAsia="zh-CN" w:bidi="ar-SA"/>
                    </w:rPr>
                  </w:pPr>
                  <w:r>
                    <w:rPr>
                      <w:color w:val="auto"/>
                      <w:spacing w:val="-10"/>
                      <w:sz w:val="18"/>
                      <w:szCs w:val="18"/>
                      <w:highlight w:val="none"/>
                    </w:rPr>
                    <w:t>供</w:t>
                  </w:r>
                  <w:r>
                    <w:rPr>
                      <w:rFonts w:hint="eastAsia"/>
                      <w:color w:val="auto"/>
                      <w:spacing w:val="-10"/>
                      <w:sz w:val="18"/>
                      <w:szCs w:val="18"/>
                      <w:highlight w:val="none"/>
                    </w:rPr>
                    <w:t>水</w:t>
                  </w:r>
                </w:p>
              </w:tc>
              <w:tc>
                <w:tcPr>
                  <w:tcW w:w="6336" w:type="dxa"/>
                  <w:vAlign w:val="center"/>
                </w:tcPr>
                <w:p w14:paraId="35DAAF01">
                  <w:pPr>
                    <w:snapToGrid w:val="0"/>
                    <w:spacing w:line="0" w:lineRule="atLeast"/>
                    <w:jc w:val="center"/>
                    <w:rPr>
                      <w:rFonts w:hint="default"/>
                      <w:color w:val="auto"/>
                      <w:spacing w:val="-10"/>
                      <w:sz w:val="18"/>
                      <w:szCs w:val="18"/>
                      <w:highlight w:val="none"/>
                      <w:lang w:val="en-US" w:eastAsia="zh-CN"/>
                    </w:rPr>
                  </w:pPr>
                  <w:r>
                    <w:rPr>
                      <w:rFonts w:hint="eastAsia"/>
                      <w:color w:val="auto"/>
                      <w:spacing w:val="-10"/>
                      <w:sz w:val="18"/>
                      <w:szCs w:val="18"/>
                      <w:highlight w:val="none"/>
                      <w:lang w:val="en-US" w:eastAsia="zh-CN"/>
                    </w:rPr>
                    <w:t>本项目生活用水采用桶装水，生产用水采用中水，由唐山市古冶区宏源污水处理厂提供。</w:t>
                  </w:r>
                </w:p>
              </w:tc>
            </w:tr>
            <w:tr w14:paraId="117AA20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70" w:hRule="atLeast"/>
              </w:trPr>
              <w:tc>
                <w:tcPr>
                  <w:tcW w:w="611" w:type="dxa"/>
                  <w:vMerge w:val="continue"/>
                  <w:vAlign w:val="center"/>
                </w:tcPr>
                <w:p w14:paraId="7A72CE28">
                  <w:pPr>
                    <w:snapToGrid w:val="0"/>
                    <w:spacing w:line="0" w:lineRule="atLeast"/>
                    <w:jc w:val="center"/>
                    <w:rPr>
                      <w:color w:val="auto"/>
                      <w:spacing w:val="-10"/>
                      <w:sz w:val="18"/>
                      <w:szCs w:val="18"/>
                      <w:highlight w:val="none"/>
                    </w:rPr>
                  </w:pPr>
                </w:p>
              </w:tc>
              <w:tc>
                <w:tcPr>
                  <w:tcW w:w="1067" w:type="dxa"/>
                  <w:gridSpan w:val="2"/>
                  <w:vAlign w:val="center"/>
                </w:tcPr>
                <w:p w14:paraId="434CA200">
                  <w:pPr>
                    <w:snapToGrid w:val="0"/>
                    <w:spacing w:line="0" w:lineRule="atLeast"/>
                    <w:jc w:val="center"/>
                    <w:rPr>
                      <w:rFonts w:hint="eastAsia" w:ascii="Times New Roman" w:hAnsi="Times New Roman" w:eastAsia="宋体" w:cs="Times New Roman"/>
                      <w:color w:val="auto"/>
                      <w:spacing w:val="-10"/>
                      <w:kern w:val="2"/>
                      <w:sz w:val="18"/>
                      <w:szCs w:val="18"/>
                      <w:highlight w:val="none"/>
                      <w:lang w:val="en-US" w:eastAsia="zh-CN" w:bidi="ar-SA"/>
                    </w:rPr>
                  </w:pPr>
                  <w:r>
                    <w:rPr>
                      <w:color w:val="auto"/>
                      <w:spacing w:val="-10"/>
                      <w:sz w:val="18"/>
                      <w:szCs w:val="18"/>
                      <w:highlight w:val="none"/>
                    </w:rPr>
                    <w:t>供电</w:t>
                  </w:r>
                </w:p>
              </w:tc>
              <w:tc>
                <w:tcPr>
                  <w:tcW w:w="6336" w:type="dxa"/>
                  <w:vAlign w:val="center"/>
                </w:tcPr>
                <w:p w14:paraId="0CBB7ED8">
                  <w:pPr>
                    <w:snapToGrid w:val="0"/>
                    <w:spacing w:line="0" w:lineRule="atLeast"/>
                    <w:jc w:val="center"/>
                    <w:rPr>
                      <w:rFonts w:hint="eastAsia"/>
                      <w:color w:val="auto"/>
                      <w:spacing w:val="-10"/>
                      <w:sz w:val="18"/>
                      <w:szCs w:val="18"/>
                      <w:highlight w:val="none"/>
                      <w:lang w:val="en-US" w:eastAsia="zh-CN"/>
                    </w:rPr>
                  </w:pPr>
                  <w:r>
                    <w:rPr>
                      <w:rFonts w:hint="eastAsia"/>
                      <w:color w:val="auto"/>
                      <w:spacing w:val="-10"/>
                      <w:sz w:val="18"/>
                      <w:szCs w:val="18"/>
                      <w:highlight w:val="none"/>
                    </w:rPr>
                    <w:t>引自本地电网</w:t>
                  </w:r>
                </w:p>
              </w:tc>
            </w:tr>
            <w:tr w14:paraId="53BE224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70" w:hRule="atLeast"/>
              </w:trPr>
              <w:tc>
                <w:tcPr>
                  <w:tcW w:w="611" w:type="dxa"/>
                  <w:vMerge w:val="continue"/>
                  <w:vAlign w:val="center"/>
                </w:tcPr>
                <w:p w14:paraId="54870F6D">
                  <w:pPr>
                    <w:snapToGrid w:val="0"/>
                    <w:spacing w:line="0" w:lineRule="atLeast"/>
                    <w:jc w:val="center"/>
                    <w:rPr>
                      <w:color w:val="auto"/>
                      <w:spacing w:val="-10"/>
                      <w:sz w:val="18"/>
                      <w:szCs w:val="18"/>
                      <w:highlight w:val="none"/>
                    </w:rPr>
                  </w:pPr>
                </w:p>
              </w:tc>
              <w:tc>
                <w:tcPr>
                  <w:tcW w:w="1067" w:type="dxa"/>
                  <w:gridSpan w:val="2"/>
                  <w:vAlign w:val="center"/>
                </w:tcPr>
                <w:p w14:paraId="5BEF1E7D">
                  <w:pPr>
                    <w:snapToGrid w:val="0"/>
                    <w:spacing w:line="0" w:lineRule="atLeast"/>
                    <w:jc w:val="center"/>
                    <w:rPr>
                      <w:rFonts w:hint="eastAsia" w:ascii="Times New Roman" w:hAnsi="Times New Roman" w:eastAsia="宋体" w:cs="Times New Roman"/>
                      <w:color w:val="auto"/>
                      <w:spacing w:val="-10"/>
                      <w:kern w:val="2"/>
                      <w:sz w:val="18"/>
                      <w:szCs w:val="18"/>
                      <w:highlight w:val="none"/>
                      <w:lang w:val="en-US" w:eastAsia="zh-CN" w:bidi="ar-SA"/>
                    </w:rPr>
                  </w:pPr>
                  <w:r>
                    <w:rPr>
                      <w:rFonts w:hint="eastAsia"/>
                      <w:color w:val="auto"/>
                      <w:spacing w:val="-10"/>
                      <w:sz w:val="18"/>
                      <w:szCs w:val="18"/>
                      <w:highlight w:val="none"/>
                    </w:rPr>
                    <w:t>供暖</w:t>
                  </w:r>
                </w:p>
              </w:tc>
              <w:tc>
                <w:tcPr>
                  <w:tcW w:w="6336" w:type="dxa"/>
                  <w:vAlign w:val="center"/>
                </w:tcPr>
                <w:p w14:paraId="0B81FE09">
                  <w:pPr>
                    <w:snapToGrid w:val="0"/>
                    <w:spacing w:line="0" w:lineRule="atLeast"/>
                    <w:jc w:val="center"/>
                    <w:rPr>
                      <w:rFonts w:hint="eastAsia" w:eastAsia="宋体"/>
                      <w:color w:val="auto"/>
                      <w:spacing w:val="-10"/>
                      <w:sz w:val="18"/>
                      <w:szCs w:val="18"/>
                      <w:highlight w:val="none"/>
                      <w:lang w:val="en-US" w:eastAsia="zh-CN"/>
                    </w:rPr>
                  </w:pPr>
                  <w:r>
                    <w:rPr>
                      <w:rFonts w:hint="eastAsia"/>
                      <w:color w:val="auto"/>
                      <w:spacing w:val="-10"/>
                      <w:sz w:val="18"/>
                      <w:szCs w:val="18"/>
                      <w:highlight w:val="none"/>
                    </w:rPr>
                    <w:t>生产车间不需供暖</w:t>
                  </w:r>
                </w:p>
              </w:tc>
            </w:tr>
            <w:tr w14:paraId="1FBDE69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70" w:hRule="atLeast"/>
              </w:trPr>
              <w:tc>
                <w:tcPr>
                  <w:tcW w:w="611" w:type="dxa"/>
                  <w:vMerge w:val="restart"/>
                  <w:vAlign w:val="center"/>
                </w:tcPr>
                <w:p w14:paraId="4E4FA66E">
                  <w:pPr>
                    <w:snapToGrid w:val="0"/>
                    <w:spacing w:line="0" w:lineRule="atLeast"/>
                    <w:jc w:val="center"/>
                    <w:rPr>
                      <w:color w:val="auto"/>
                      <w:spacing w:val="-10"/>
                      <w:sz w:val="18"/>
                      <w:szCs w:val="18"/>
                      <w:highlight w:val="none"/>
                    </w:rPr>
                  </w:pPr>
                  <w:r>
                    <w:rPr>
                      <w:color w:val="auto"/>
                      <w:spacing w:val="-10"/>
                      <w:sz w:val="18"/>
                      <w:szCs w:val="18"/>
                      <w:highlight w:val="none"/>
                    </w:rPr>
                    <w:t>环保</w:t>
                  </w:r>
                </w:p>
                <w:p w14:paraId="50EFBF41">
                  <w:pPr>
                    <w:snapToGrid w:val="0"/>
                    <w:spacing w:line="0" w:lineRule="atLeast"/>
                    <w:jc w:val="center"/>
                    <w:rPr>
                      <w:color w:val="auto"/>
                      <w:spacing w:val="-10"/>
                      <w:sz w:val="18"/>
                      <w:szCs w:val="18"/>
                      <w:highlight w:val="none"/>
                    </w:rPr>
                  </w:pPr>
                  <w:r>
                    <w:rPr>
                      <w:color w:val="auto"/>
                      <w:spacing w:val="-10"/>
                      <w:sz w:val="18"/>
                      <w:szCs w:val="18"/>
                      <w:highlight w:val="none"/>
                    </w:rPr>
                    <w:t>工程</w:t>
                  </w:r>
                </w:p>
              </w:tc>
              <w:tc>
                <w:tcPr>
                  <w:tcW w:w="438" w:type="dxa"/>
                  <w:vMerge w:val="restart"/>
                  <w:vAlign w:val="center"/>
                </w:tcPr>
                <w:p w14:paraId="1383D3D7">
                  <w:pPr>
                    <w:snapToGrid w:val="0"/>
                    <w:spacing w:line="0" w:lineRule="atLeast"/>
                    <w:jc w:val="center"/>
                    <w:rPr>
                      <w:rFonts w:hint="eastAsia" w:eastAsia="宋体"/>
                      <w:color w:val="auto"/>
                      <w:spacing w:val="-10"/>
                      <w:sz w:val="18"/>
                      <w:szCs w:val="18"/>
                      <w:highlight w:val="none"/>
                      <w:lang w:val="en-US" w:eastAsia="zh-CN"/>
                    </w:rPr>
                  </w:pPr>
                  <w:r>
                    <w:rPr>
                      <w:rFonts w:hint="eastAsia"/>
                      <w:color w:val="auto"/>
                      <w:spacing w:val="-10"/>
                      <w:sz w:val="18"/>
                      <w:szCs w:val="18"/>
                      <w:highlight w:val="none"/>
                      <w:lang w:val="en-US" w:eastAsia="zh-CN"/>
                    </w:rPr>
                    <w:t>废气</w:t>
                  </w:r>
                </w:p>
              </w:tc>
              <w:tc>
                <w:tcPr>
                  <w:tcW w:w="629" w:type="dxa"/>
                  <w:vMerge w:val="restart"/>
                  <w:vAlign w:val="center"/>
                </w:tcPr>
                <w:p w14:paraId="2A20B1C1">
                  <w:pPr>
                    <w:snapToGrid w:val="0"/>
                    <w:spacing w:line="0" w:lineRule="atLeast"/>
                    <w:jc w:val="center"/>
                    <w:rPr>
                      <w:rFonts w:hint="default"/>
                      <w:color w:val="auto"/>
                      <w:spacing w:val="-10"/>
                      <w:sz w:val="18"/>
                      <w:szCs w:val="18"/>
                      <w:highlight w:val="none"/>
                      <w:lang w:val="en-US" w:eastAsia="zh-CN"/>
                    </w:rPr>
                  </w:pPr>
                  <w:r>
                    <w:rPr>
                      <w:rFonts w:hint="eastAsia"/>
                      <w:color w:val="auto"/>
                      <w:spacing w:val="-10"/>
                      <w:sz w:val="18"/>
                      <w:szCs w:val="18"/>
                      <w:highlight w:val="none"/>
                      <w:lang w:val="en-US" w:eastAsia="zh-CN"/>
                    </w:rPr>
                    <w:t>有组织</w:t>
                  </w:r>
                </w:p>
              </w:tc>
              <w:tc>
                <w:tcPr>
                  <w:tcW w:w="6336" w:type="dxa"/>
                  <w:vAlign w:val="center"/>
                </w:tcPr>
                <w:p w14:paraId="3CB7CC48">
                  <w:pPr>
                    <w:snapToGrid w:val="0"/>
                    <w:spacing w:line="0" w:lineRule="atLeast"/>
                    <w:jc w:val="left"/>
                    <w:rPr>
                      <w:rFonts w:hint="eastAsia"/>
                      <w:color w:val="auto"/>
                      <w:spacing w:val="-10"/>
                      <w:sz w:val="18"/>
                      <w:szCs w:val="18"/>
                      <w:highlight w:val="none"/>
                      <w:lang w:val="en-US" w:eastAsia="zh-CN"/>
                    </w:rPr>
                  </w:pPr>
                  <w:r>
                    <w:rPr>
                      <w:rFonts w:hint="eastAsia" w:cs="Times New Roman"/>
                      <w:color w:val="auto"/>
                      <w:spacing w:val="-10"/>
                      <w:sz w:val="18"/>
                      <w:szCs w:val="18"/>
                      <w:highlight w:val="none"/>
                      <w:lang w:val="en-US" w:eastAsia="zh-CN"/>
                    </w:rPr>
                    <w:t>钢渣处理生产线</w:t>
                  </w:r>
                  <w:r>
                    <w:rPr>
                      <w:rFonts w:hint="eastAsia" w:ascii="Times New Roman" w:hAnsi="Times New Roman" w:cs="Times New Roman"/>
                      <w:color w:val="auto"/>
                      <w:spacing w:val="-10"/>
                      <w:sz w:val="18"/>
                      <w:szCs w:val="18"/>
                      <w:highlight w:val="none"/>
                      <w:lang w:val="en-US" w:eastAsia="zh-CN"/>
                    </w:rPr>
                    <w:t>：</w:t>
                  </w:r>
                  <w:r>
                    <w:rPr>
                      <w:rFonts w:hint="eastAsia"/>
                      <w:color w:val="auto"/>
                      <w:spacing w:val="-10"/>
                      <w:sz w:val="18"/>
                      <w:szCs w:val="18"/>
                      <w:highlight w:val="none"/>
                      <w:lang w:val="en-US" w:eastAsia="zh-CN"/>
                    </w:rPr>
                    <w:t>上料仓均为三面围挡，上方设集气罩，上料一侧设置软帘，并设感应喷淋装置，上料时进行喷淋；鄂破机、锤式破碎机全封闭，入料口、出料口均设置引风管；</w:t>
                  </w:r>
                  <w:r>
                    <w:rPr>
                      <w:rFonts w:hint="eastAsia"/>
                      <w:color w:val="auto"/>
                      <w:spacing w:val="-10"/>
                      <w:sz w:val="18"/>
                      <w:szCs w:val="18"/>
                      <w:highlight w:val="none"/>
                    </w:rPr>
                    <w:t>振动筛封闭处理，入料口、筛面、出料口均设置集气管</w:t>
                  </w:r>
                  <w:r>
                    <w:rPr>
                      <w:rFonts w:hint="eastAsia"/>
                      <w:color w:val="auto"/>
                      <w:spacing w:val="-10"/>
                      <w:sz w:val="18"/>
                      <w:szCs w:val="18"/>
                      <w:highlight w:val="none"/>
                      <w:lang w:eastAsia="zh-CN"/>
                    </w:rPr>
                    <w:t>；</w:t>
                  </w:r>
                  <w:r>
                    <w:rPr>
                      <w:rFonts w:hint="eastAsia"/>
                      <w:color w:val="auto"/>
                      <w:spacing w:val="-10"/>
                      <w:sz w:val="18"/>
                      <w:szCs w:val="18"/>
                      <w:highlight w:val="none"/>
                      <w:lang w:val="en-US" w:eastAsia="zh-CN"/>
                    </w:rPr>
                    <w:t>磁滑轮上方设集气罩；将以上废气收集后通过集尘管</w:t>
                  </w:r>
                  <w:r>
                    <w:rPr>
                      <w:rFonts w:hint="default" w:ascii="Times New Roman" w:hAnsi="Times New Roman" w:eastAsia="宋体" w:cs="Times New Roman"/>
                      <w:color w:val="auto"/>
                      <w:spacing w:val="-10"/>
                      <w:sz w:val="18"/>
                      <w:szCs w:val="18"/>
                      <w:highlight w:val="none"/>
                      <w:lang w:val="en-US" w:eastAsia="zh-CN"/>
                    </w:rPr>
                    <w:t>道引入</w:t>
                  </w:r>
                  <w:r>
                    <w:rPr>
                      <w:rFonts w:hint="eastAsia" w:ascii="Times New Roman" w:hAnsi="Times New Roman" w:eastAsia="宋体" w:cs="Times New Roman"/>
                      <w:color w:val="auto"/>
                      <w:spacing w:val="-10"/>
                      <w:sz w:val="18"/>
                      <w:szCs w:val="18"/>
                      <w:highlight w:val="none"/>
                      <w:lang w:val="en-US" w:eastAsia="zh-CN"/>
                    </w:rPr>
                    <w:t>脉冲布袋除尘器处理后，通过15m高排气筒</w:t>
                  </w:r>
                  <w:r>
                    <w:rPr>
                      <w:rFonts w:hint="eastAsia"/>
                      <w:color w:val="auto"/>
                      <w:spacing w:val="-10"/>
                      <w:sz w:val="18"/>
                      <w:szCs w:val="18"/>
                      <w:highlight w:val="none"/>
                    </w:rPr>
                    <w:t>（DA00</w:t>
                  </w:r>
                  <w:r>
                    <w:rPr>
                      <w:rFonts w:hint="eastAsia"/>
                      <w:color w:val="auto"/>
                      <w:spacing w:val="-10"/>
                      <w:sz w:val="18"/>
                      <w:szCs w:val="18"/>
                      <w:highlight w:val="none"/>
                      <w:lang w:val="en-US" w:eastAsia="zh-CN"/>
                    </w:rPr>
                    <w:t>1</w:t>
                  </w:r>
                  <w:r>
                    <w:rPr>
                      <w:rFonts w:hint="eastAsia"/>
                      <w:color w:val="auto"/>
                      <w:spacing w:val="-10"/>
                      <w:sz w:val="18"/>
                      <w:szCs w:val="18"/>
                      <w:highlight w:val="none"/>
                    </w:rPr>
                    <w:t>）</w:t>
                  </w:r>
                  <w:r>
                    <w:rPr>
                      <w:rFonts w:hint="eastAsia" w:ascii="Times New Roman" w:hAnsi="Times New Roman" w:eastAsia="宋体" w:cs="Times New Roman"/>
                      <w:color w:val="auto"/>
                      <w:spacing w:val="-10"/>
                      <w:sz w:val="18"/>
                      <w:szCs w:val="18"/>
                      <w:highlight w:val="none"/>
                      <w:lang w:val="en-US" w:eastAsia="zh-CN"/>
                    </w:rPr>
                    <w:t>排放</w:t>
                  </w:r>
                </w:p>
              </w:tc>
            </w:tr>
            <w:tr w14:paraId="26AC7C1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70" w:hRule="atLeast"/>
              </w:trPr>
              <w:tc>
                <w:tcPr>
                  <w:tcW w:w="611" w:type="dxa"/>
                  <w:vMerge w:val="continue"/>
                  <w:vAlign w:val="center"/>
                </w:tcPr>
                <w:p w14:paraId="2A3AEDB4">
                  <w:pPr>
                    <w:snapToGrid w:val="0"/>
                    <w:spacing w:line="0" w:lineRule="atLeast"/>
                    <w:jc w:val="center"/>
                    <w:rPr>
                      <w:color w:val="auto"/>
                      <w:spacing w:val="-10"/>
                      <w:sz w:val="18"/>
                      <w:szCs w:val="18"/>
                      <w:highlight w:val="none"/>
                    </w:rPr>
                  </w:pPr>
                </w:p>
              </w:tc>
              <w:tc>
                <w:tcPr>
                  <w:tcW w:w="438" w:type="dxa"/>
                  <w:vMerge w:val="continue"/>
                  <w:vAlign w:val="center"/>
                </w:tcPr>
                <w:p w14:paraId="7DA15BDC">
                  <w:pPr>
                    <w:snapToGrid w:val="0"/>
                    <w:spacing w:line="0" w:lineRule="atLeast"/>
                    <w:jc w:val="center"/>
                    <w:rPr>
                      <w:rFonts w:hint="eastAsia"/>
                      <w:color w:val="auto"/>
                      <w:spacing w:val="-10"/>
                      <w:sz w:val="18"/>
                      <w:szCs w:val="18"/>
                      <w:highlight w:val="none"/>
                    </w:rPr>
                  </w:pPr>
                </w:p>
              </w:tc>
              <w:tc>
                <w:tcPr>
                  <w:tcW w:w="629" w:type="dxa"/>
                  <w:vMerge w:val="continue"/>
                  <w:vAlign w:val="center"/>
                </w:tcPr>
                <w:p w14:paraId="3DDAB4E7">
                  <w:pPr>
                    <w:snapToGrid w:val="0"/>
                    <w:spacing w:line="0" w:lineRule="atLeast"/>
                    <w:jc w:val="center"/>
                    <w:rPr>
                      <w:rFonts w:hint="eastAsia"/>
                      <w:color w:val="auto"/>
                      <w:spacing w:val="-10"/>
                      <w:sz w:val="18"/>
                      <w:szCs w:val="18"/>
                      <w:highlight w:val="none"/>
                    </w:rPr>
                  </w:pPr>
                </w:p>
              </w:tc>
              <w:tc>
                <w:tcPr>
                  <w:tcW w:w="6336" w:type="dxa"/>
                  <w:vAlign w:val="center"/>
                </w:tcPr>
                <w:p w14:paraId="29C067EF">
                  <w:pPr>
                    <w:snapToGrid w:val="0"/>
                    <w:spacing w:line="0" w:lineRule="atLeast"/>
                    <w:jc w:val="left"/>
                    <w:rPr>
                      <w:rFonts w:hint="eastAsia"/>
                      <w:color w:val="auto"/>
                      <w:spacing w:val="-10"/>
                      <w:sz w:val="18"/>
                      <w:szCs w:val="18"/>
                      <w:highlight w:val="none"/>
                      <w:lang w:val="en-US" w:eastAsia="zh-CN"/>
                    </w:rPr>
                  </w:pPr>
                  <w:r>
                    <w:rPr>
                      <w:rFonts w:hint="eastAsia" w:ascii="Times New Roman" w:hAnsi="Times New Roman" w:eastAsia="宋体" w:cs="Times New Roman"/>
                      <w:color w:val="auto"/>
                      <w:spacing w:val="-10"/>
                      <w:sz w:val="18"/>
                      <w:szCs w:val="18"/>
                      <w:highlight w:val="none"/>
                      <w:lang w:val="en-US" w:eastAsia="zh-CN"/>
                    </w:rPr>
                    <w:t>废钢破碎尾料分选生产线</w:t>
                  </w:r>
                  <w:r>
                    <w:rPr>
                      <w:rFonts w:hint="eastAsia" w:ascii="Times New Roman" w:hAnsi="Times New Roman" w:cs="Times New Roman"/>
                      <w:color w:val="auto"/>
                      <w:spacing w:val="-10"/>
                      <w:sz w:val="18"/>
                      <w:szCs w:val="18"/>
                      <w:highlight w:val="none"/>
                      <w:lang w:val="en-US" w:eastAsia="zh-CN"/>
                    </w:rPr>
                    <w:t>：</w:t>
                  </w:r>
                  <w:r>
                    <w:rPr>
                      <w:rFonts w:hint="eastAsia"/>
                      <w:color w:val="auto"/>
                      <w:spacing w:val="-10"/>
                      <w:sz w:val="18"/>
                      <w:szCs w:val="18"/>
                      <w:highlight w:val="none"/>
                      <w:lang w:val="en-US" w:eastAsia="zh-CN"/>
                    </w:rPr>
                    <w:t>上料仓均三面围挡，上方均设集气罩，上料一侧设置软帘，并设感应喷淋装置，上料时进行喷淋；</w:t>
                  </w:r>
                  <w:r>
                    <w:rPr>
                      <w:rFonts w:hint="eastAsia"/>
                      <w:color w:val="auto"/>
                      <w:spacing w:val="-11"/>
                      <w:sz w:val="18"/>
                      <w:szCs w:val="18"/>
                      <w:highlight w:val="none"/>
                      <w:lang w:val="en-US" w:eastAsia="zh-CN"/>
                    </w:rPr>
                    <w:t>滚筒筛</w:t>
                  </w:r>
                  <w:r>
                    <w:rPr>
                      <w:rFonts w:hint="eastAsia"/>
                      <w:color w:val="auto"/>
                      <w:spacing w:val="-11"/>
                      <w:sz w:val="18"/>
                      <w:szCs w:val="18"/>
                      <w:highlight w:val="none"/>
                    </w:rPr>
                    <w:t>全封闭，入料口、出料口设</w:t>
                  </w:r>
                  <w:r>
                    <w:rPr>
                      <w:rFonts w:hint="eastAsia" w:ascii="Times New Roman" w:hAnsi="Times New Roman" w:cs="Times New Roman"/>
                      <w:color w:val="auto"/>
                      <w:spacing w:val="-11"/>
                      <w:sz w:val="18"/>
                      <w:szCs w:val="18"/>
                      <w:highlight w:val="none"/>
                      <w:lang w:val="en-US" w:eastAsia="zh-CN"/>
                    </w:rPr>
                    <w:t>集气</w:t>
                  </w:r>
                  <w:r>
                    <w:rPr>
                      <w:rFonts w:hint="eastAsia"/>
                      <w:color w:val="auto"/>
                      <w:spacing w:val="-11"/>
                      <w:sz w:val="18"/>
                      <w:szCs w:val="18"/>
                      <w:highlight w:val="none"/>
                    </w:rPr>
                    <w:t>管</w:t>
                  </w:r>
                  <w:r>
                    <w:rPr>
                      <w:rFonts w:hint="eastAsia"/>
                      <w:color w:val="auto"/>
                      <w:spacing w:val="-11"/>
                      <w:sz w:val="18"/>
                      <w:szCs w:val="18"/>
                      <w:highlight w:val="none"/>
                      <w:lang w:eastAsia="zh-CN"/>
                    </w:rPr>
                    <w:t>；</w:t>
                  </w:r>
                  <w:r>
                    <w:rPr>
                      <w:rFonts w:hint="eastAsia"/>
                      <w:color w:val="auto"/>
                      <w:spacing w:val="-11"/>
                      <w:sz w:val="18"/>
                      <w:szCs w:val="18"/>
                      <w:highlight w:val="none"/>
                      <w:lang w:val="en-US" w:eastAsia="zh-CN"/>
                    </w:rPr>
                    <w:t>空气分选机入料口、出料口设集气罩</w:t>
                  </w:r>
                  <w:r>
                    <w:rPr>
                      <w:rFonts w:hint="eastAsia"/>
                      <w:color w:val="auto"/>
                      <w:spacing w:val="-10"/>
                      <w:sz w:val="18"/>
                      <w:szCs w:val="18"/>
                      <w:highlight w:val="none"/>
                      <w:lang w:val="en-US" w:eastAsia="zh-CN"/>
                    </w:rPr>
                    <w:t>，将废气收集后通过集尘管</w:t>
                  </w:r>
                  <w:r>
                    <w:rPr>
                      <w:rFonts w:hint="default" w:ascii="Times New Roman" w:hAnsi="Times New Roman" w:eastAsia="宋体" w:cs="Times New Roman"/>
                      <w:color w:val="auto"/>
                      <w:spacing w:val="-10"/>
                      <w:sz w:val="18"/>
                      <w:szCs w:val="18"/>
                      <w:highlight w:val="none"/>
                      <w:lang w:val="en-US" w:eastAsia="zh-CN"/>
                    </w:rPr>
                    <w:t>道引入</w:t>
                  </w:r>
                  <w:r>
                    <w:rPr>
                      <w:rFonts w:hint="eastAsia" w:ascii="Times New Roman" w:hAnsi="Times New Roman" w:eastAsia="宋体" w:cs="Times New Roman"/>
                      <w:color w:val="auto"/>
                      <w:spacing w:val="-10"/>
                      <w:sz w:val="18"/>
                      <w:szCs w:val="18"/>
                      <w:highlight w:val="none"/>
                      <w:lang w:val="en-US" w:eastAsia="zh-CN"/>
                    </w:rPr>
                    <w:t>脉冲布袋除尘器处理后，通过15m高排气筒</w:t>
                  </w:r>
                  <w:r>
                    <w:rPr>
                      <w:rFonts w:hint="eastAsia"/>
                      <w:color w:val="auto"/>
                      <w:spacing w:val="-10"/>
                      <w:sz w:val="18"/>
                      <w:szCs w:val="18"/>
                      <w:highlight w:val="none"/>
                    </w:rPr>
                    <w:t>（DA00</w:t>
                  </w:r>
                  <w:r>
                    <w:rPr>
                      <w:rFonts w:hint="eastAsia"/>
                      <w:color w:val="auto"/>
                      <w:spacing w:val="-10"/>
                      <w:sz w:val="18"/>
                      <w:szCs w:val="18"/>
                      <w:highlight w:val="none"/>
                      <w:lang w:val="en-US" w:eastAsia="zh-CN"/>
                    </w:rPr>
                    <w:t>2</w:t>
                  </w:r>
                  <w:r>
                    <w:rPr>
                      <w:rFonts w:hint="eastAsia"/>
                      <w:color w:val="auto"/>
                      <w:spacing w:val="-10"/>
                      <w:sz w:val="18"/>
                      <w:szCs w:val="18"/>
                      <w:highlight w:val="none"/>
                    </w:rPr>
                    <w:t>）</w:t>
                  </w:r>
                  <w:r>
                    <w:rPr>
                      <w:rFonts w:hint="eastAsia" w:ascii="Times New Roman" w:hAnsi="Times New Roman" w:eastAsia="宋体" w:cs="Times New Roman"/>
                      <w:color w:val="auto"/>
                      <w:spacing w:val="-10"/>
                      <w:sz w:val="18"/>
                      <w:szCs w:val="18"/>
                      <w:highlight w:val="none"/>
                      <w:lang w:val="en-US" w:eastAsia="zh-CN"/>
                    </w:rPr>
                    <w:t>排放</w:t>
                  </w:r>
                </w:p>
              </w:tc>
            </w:tr>
            <w:tr w14:paraId="5115573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494" w:hRule="atLeast"/>
              </w:trPr>
              <w:tc>
                <w:tcPr>
                  <w:tcW w:w="611" w:type="dxa"/>
                  <w:vMerge w:val="continue"/>
                  <w:vAlign w:val="center"/>
                </w:tcPr>
                <w:p w14:paraId="7FE769DD">
                  <w:pPr>
                    <w:snapToGrid w:val="0"/>
                    <w:spacing w:line="0" w:lineRule="atLeast"/>
                    <w:jc w:val="center"/>
                    <w:rPr>
                      <w:color w:val="auto"/>
                      <w:spacing w:val="-10"/>
                      <w:sz w:val="18"/>
                      <w:szCs w:val="18"/>
                      <w:highlight w:val="none"/>
                    </w:rPr>
                  </w:pPr>
                </w:p>
              </w:tc>
              <w:tc>
                <w:tcPr>
                  <w:tcW w:w="438" w:type="dxa"/>
                  <w:vMerge w:val="continue"/>
                  <w:vAlign w:val="center"/>
                </w:tcPr>
                <w:p w14:paraId="5B230A70">
                  <w:pPr>
                    <w:snapToGrid w:val="0"/>
                    <w:spacing w:line="0" w:lineRule="atLeast"/>
                    <w:jc w:val="center"/>
                    <w:rPr>
                      <w:rFonts w:hint="eastAsia"/>
                      <w:color w:val="auto"/>
                      <w:spacing w:val="-10"/>
                      <w:sz w:val="18"/>
                      <w:szCs w:val="18"/>
                      <w:highlight w:val="none"/>
                      <w:lang w:val="en-US" w:eastAsia="zh-CN"/>
                    </w:rPr>
                  </w:pPr>
                </w:p>
              </w:tc>
              <w:tc>
                <w:tcPr>
                  <w:tcW w:w="629" w:type="dxa"/>
                  <w:vAlign w:val="center"/>
                </w:tcPr>
                <w:p w14:paraId="0ADEA5A8">
                  <w:pPr>
                    <w:snapToGrid w:val="0"/>
                    <w:spacing w:line="0" w:lineRule="atLeast"/>
                    <w:jc w:val="center"/>
                    <w:rPr>
                      <w:rFonts w:hint="default"/>
                      <w:color w:val="auto"/>
                      <w:spacing w:val="-10"/>
                      <w:sz w:val="18"/>
                      <w:szCs w:val="18"/>
                      <w:highlight w:val="none"/>
                      <w:lang w:val="en-US" w:eastAsia="zh-CN"/>
                    </w:rPr>
                  </w:pPr>
                  <w:r>
                    <w:rPr>
                      <w:rFonts w:hint="eastAsia"/>
                      <w:color w:val="auto"/>
                      <w:spacing w:val="-10"/>
                      <w:sz w:val="18"/>
                      <w:szCs w:val="18"/>
                      <w:highlight w:val="none"/>
                      <w:lang w:val="en-US" w:eastAsia="zh-CN"/>
                    </w:rPr>
                    <w:t>无组织</w:t>
                  </w:r>
                </w:p>
              </w:tc>
              <w:tc>
                <w:tcPr>
                  <w:tcW w:w="6336" w:type="dxa"/>
                  <w:vAlign w:val="center"/>
                </w:tcPr>
                <w:p w14:paraId="0C0CBED0">
                  <w:pPr>
                    <w:snapToGrid w:val="0"/>
                    <w:spacing w:line="0" w:lineRule="atLeast"/>
                    <w:jc w:val="center"/>
                    <w:rPr>
                      <w:rFonts w:hint="eastAsia" w:ascii="宋体" w:hAnsi="宋体"/>
                      <w:color w:val="auto"/>
                      <w:spacing w:val="-10"/>
                      <w:sz w:val="18"/>
                      <w:szCs w:val="18"/>
                      <w:highlight w:val="none"/>
                      <w:lang w:val="en-US" w:eastAsia="zh-CN"/>
                    </w:rPr>
                  </w:pPr>
                  <w:r>
                    <w:rPr>
                      <w:rFonts w:hint="eastAsia" w:ascii="Times New Roman" w:hAnsi="Times New Roman" w:eastAsia="宋体" w:cs="Times New Roman"/>
                      <w:color w:val="auto"/>
                      <w:spacing w:val="-10"/>
                      <w:sz w:val="18"/>
                      <w:szCs w:val="18"/>
                      <w:highlight w:val="none"/>
                      <w:lang w:val="en-US" w:eastAsia="zh-CN"/>
                    </w:rPr>
                    <w:t>封闭库房</w:t>
                  </w:r>
                  <w:r>
                    <w:rPr>
                      <w:rFonts w:hint="eastAsia" w:cs="Times New Roman"/>
                      <w:color w:val="auto"/>
                      <w:spacing w:val="-10"/>
                      <w:sz w:val="18"/>
                      <w:szCs w:val="18"/>
                      <w:highlight w:val="none"/>
                      <w:lang w:val="en-US" w:eastAsia="zh-CN"/>
                    </w:rPr>
                    <w:t>及车间</w:t>
                  </w:r>
                  <w:r>
                    <w:rPr>
                      <w:rFonts w:hint="eastAsia" w:ascii="Times New Roman" w:hAnsi="Times New Roman" w:eastAsia="宋体" w:cs="Times New Roman"/>
                      <w:color w:val="auto"/>
                      <w:spacing w:val="-10"/>
                      <w:sz w:val="18"/>
                      <w:szCs w:val="18"/>
                      <w:highlight w:val="none"/>
                      <w:lang w:val="en-US" w:eastAsia="zh-CN"/>
                    </w:rPr>
                    <w:t>，</w:t>
                  </w:r>
                  <w:r>
                    <w:rPr>
                      <w:rFonts w:hint="eastAsia" w:ascii="Times New Roman" w:hAnsi="Times New Roman" w:cs="Times New Roman"/>
                      <w:color w:val="auto"/>
                      <w:spacing w:val="-10"/>
                      <w:sz w:val="18"/>
                      <w:szCs w:val="18"/>
                      <w:highlight w:val="none"/>
                      <w:lang w:val="en-US" w:eastAsia="zh-CN"/>
                    </w:rPr>
                    <w:t>物料</w:t>
                  </w:r>
                  <w:r>
                    <w:rPr>
                      <w:rFonts w:hint="eastAsia" w:ascii="Times New Roman" w:hAnsi="Times New Roman" w:eastAsia="宋体" w:cs="Times New Roman"/>
                      <w:color w:val="auto"/>
                      <w:spacing w:val="-10"/>
                      <w:sz w:val="18"/>
                      <w:szCs w:val="18"/>
                      <w:highlight w:val="none"/>
                      <w:lang w:val="en-US" w:eastAsia="zh-CN"/>
                    </w:rPr>
                    <w:t>堆存区域上方设置可覆盖整个区域的喷淋装置（电伴热）</w:t>
                  </w:r>
                  <w:r>
                    <w:rPr>
                      <w:rFonts w:hint="eastAsia" w:cs="Times New Roman"/>
                      <w:color w:val="auto"/>
                      <w:spacing w:val="-10"/>
                      <w:sz w:val="18"/>
                      <w:szCs w:val="18"/>
                      <w:highlight w:val="none"/>
                      <w:lang w:val="en-US" w:eastAsia="zh-CN"/>
                    </w:rPr>
                    <w:t>，物</w:t>
                  </w:r>
                  <w:r>
                    <w:rPr>
                      <w:rFonts w:hint="eastAsia" w:ascii="Times New Roman" w:hAnsi="Times New Roman" w:eastAsia="宋体" w:cs="Times New Roman"/>
                      <w:color w:val="auto"/>
                      <w:spacing w:val="-10"/>
                      <w:sz w:val="18"/>
                      <w:szCs w:val="18"/>
                      <w:highlight w:val="none"/>
                      <w:lang w:val="en-US" w:eastAsia="zh-CN"/>
                    </w:rPr>
                    <w:t>料转运均为封闭式皮带通廊，</w:t>
                  </w:r>
                  <w:r>
                    <w:rPr>
                      <w:rFonts w:hint="eastAsia" w:cs="Times New Roman"/>
                      <w:color w:val="auto"/>
                      <w:spacing w:val="-10"/>
                      <w:sz w:val="18"/>
                      <w:szCs w:val="18"/>
                      <w:highlight w:val="none"/>
                      <w:lang w:val="en-US" w:eastAsia="zh-CN"/>
                    </w:rPr>
                    <w:t>各库房及</w:t>
                  </w:r>
                  <w:r>
                    <w:rPr>
                      <w:rFonts w:hint="eastAsia" w:ascii="Times New Roman" w:hAnsi="Times New Roman" w:eastAsia="宋体" w:cs="Times New Roman"/>
                      <w:color w:val="auto"/>
                      <w:spacing w:val="-10"/>
                      <w:sz w:val="18"/>
                      <w:szCs w:val="18"/>
                      <w:highlight w:val="none"/>
                      <w:lang w:val="en-US" w:eastAsia="zh-CN"/>
                    </w:rPr>
                    <w:t>车间出入口设置自动感应门</w:t>
                  </w:r>
                </w:p>
              </w:tc>
            </w:tr>
            <w:tr w14:paraId="15F4A04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70" w:hRule="atLeast"/>
              </w:trPr>
              <w:tc>
                <w:tcPr>
                  <w:tcW w:w="611" w:type="dxa"/>
                  <w:vMerge w:val="continue"/>
                  <w:vAlign w:val="center"/>
                </w:tcPr>
                <w:p w14:paraId="32E879C5">
                  <w:pPr>
                    <w:snapToGrid w:val="0"/>
                    <w:spacing w:line="0" w:lineRule="atLeast"/>
                    <w:jc w:val="center"/>
                    <w:rPr>
                      <w:color w:val="auto"/>
                      <w:spacing w:val="-10"/>
                      <w:sz w:val="18"/>
                      <w:szCs w:val="18"/>
                      <w:highlight w:val="none"/>
                    </w:rPr>
                  </w:pPr>
                </w:p>
              </w:tc>
              <w:tc>
                <w:tcPr>
                  <w:tcW w:w="1067" w:type="dxa"/>
                  <w:gridSpan w:val="2"/>
                  <w:vMerge w:val="restart"/>
                  <w:vAlign w:val="center"/>
                </w:tcPr>
                <w:p w14:paraId="4A0EB12D">
                  <w:pPr>
                    <w:snapToGrid w:val="0"/>
                    <w:spacing w:line="0" w:lineRule="atLeast"/>
                    <w:jc w:val="center"/>
                    <w:rPr>
                      <w:color w:val="auto"/>
                      <w:spacing w:val="-10"/>
                      <w:sz w:val="18"/>
                      <w:szCs w:val="18"/>
                      <w:highlight w:val="none"/>
                    </w:rPr>
                  </w:pPr>
                  <w:r>
                    <w:rPr>
                      <w:color w:val="auto"/>
                      <w:spacing w:val="-10"/>
                      <w:sz w:val="18"/>
                      <w:szCs w:val="18"/>
                      <w:highlight w:val="none"/>
                    </w:rPr>
                    <w:t>废水</w:t>
                  </w:r>
                </w:p>
              </w:tc>
              <w:tc>
                <w:tcPr>
                  <w:tcW w:w="6336" w:type="dxa"/>
                  <w:vAlign w:val="center"/>
                </w:tcPr>
                <w:p w14:paraId="0AEDBB89">
                  <w:pPr>
                    <w:snapToGrid w:val="0"/>
                    <w:spacing w:line="0" w:lineRule="atLeast"/>
                    <w:jc w:val="center"/>
                    <w:rPr>
                      <w:rFonts w:hint="eastAsia"/>
                      <w:color w:val="auto"/>
                      <w:spacing w:val="-10"/>
                      <w:sz w:val="18"/>
                      <w:szCs w:val="18"/>
                      <w:highlight w:val="none"/>
                      <w:lang w:val="en-US" w:eastAsia="zh-CN"/>
                    </w:rPr>
                  </w:pPr>
                  <w:r>
                    <w:rPr>
                      <w:rFonts w:hint="eastAsia"/>
                      <w:color w:val="auto"/>
                      <w:spacing w:val="-10"/>
                      <w:sz w:val="18"/>
                      <w:szCs w:val="18"/>
                      <w:highlight w:val="none"/>
                    </w:rPr>
                    <w:t>洗车废水经沉淀后循环使用，不外排</w:t>
                  </w:r>
                </w:p>
              </w:tc>
            </w:tr>
            <w:tr w14:paraId="3A1D74B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70" w:hRule="atLeast"/>
              </w:trPr>
              <w:tc>
                <w:tcPr>
                  <w:tcW w:w="611" w:type="dxa"/>
                  <w:vMerge w:val="continue"/>
                  <w:vAlign w:val="center"/>
                </w:tcPr>
                <w:p w14:paraId="341C7944">
                  <w:pPr>
                    <w:snapToGrid w:val="0"/>
                    <w:spacing w:line="0" w:lineRule="atLeast"/>
                    <w:jc w:val="center"/>
                    <w:rPr>
                      <w:color w:val="auto"/>
                      <w:spacing w:val="-10"/>
                      <w:sz w:val="18"/>
                      <w:szCs w:val="18"/>
                      <w:highlight w:val="none"/>
                    </w:rPr>
                  </w:pPr>
                </w:p>
              </w:tc>
              <w:tc>
                <w:tcPr>
                  <w:tcW w:w="1067" w:type="dxa"/>
                  <w:gridSpan w:val="2"/>
                  <w:vMerge w:val="continue"/>
                  <w:vAlign w:val="center"/>
                </w:tcPr>
                <w:p w14:paraId="0660A45F">
                  <w:pPr>
                    <w:snapToGrid w:val="0"/>
                    <w:spacing w:line="0" w:lineRule="atLeast"/>
                    <w:jc w:val="center"/>
                    <w:rPr>
                      <w:color w:val="auto"/>
                      <w:spacing w:val="-10"/>
                      <w:sz w:val="18"/>
                      <w:szCs w:val="18"/>
                      <w:highlight w:val="none"/>
                    </w:rPr>
                  </w:pPr>
                </w:p>
              </w:tc>
              <w:tc>
                <w:tcPr>
                  <w:tcW w:w="6336" w:type="dxa"/>
                  <w:vAlign w:val="center"/>
                </w:tcPr>
                <w:p w14:paraId="7AB0CA0A">
                  <w:pPr>
                    <w:snapToGrid w:val="0"/>
                    <w:spacing w:line="0" w:lineRule="atLeast"/>
                    <w:jc w:val="center"/>
                    <w:rPr>
                      <w:rFonts w:hint="default"/>
                      <w:color w:val="auto"/>
                      <w:spacing w:val="-10"/>
                      <w:sz w:val="18"/>
                      <w:szCs w:val="18"/>
                      <w:highlight w:val="none"/>
                      <w:lang w:val="en-US" w:eastAsia="zh-CN"/>
                    </w:rPr>
                  </w:pPr>
                  <w:r>
                    <w:rPr>
                      <w:rFonts w:hint="eastAsia"/>
                      <w:color w:val="auto"/>
                      <w:spacing w:val="-10"/>
                      <w:sz w:val="18"/>
                      <w:szCs w:val="18"/>
                      <w:highlight w:val="none"/>
                      <w:lang w:val="en-US" w:eastAsia="zh-CN"/>
                    </w:rPr>
                    <w:t>生产废水经污水池、浓缩罐、板框压滤机处理后，全部回用于生产</w:t>
                  </w:r>
                  <w:r>
                    <w:rPr>
                      <w:rFonts w:hint="eastAsia"/>
                      <w:color w:val="auto"/>
                      <w:spacing w:val="-10"/>
                      <w:sz w:val="18"/>
                      <w:szCs w:val="18"/>
                      <w:highlight w:val="none"/>
                    </w:rPr>
                    <w:t>，不外排</w:t>
                  </w:r>
                </w:p>
              </w:tc>
            </w:tr>
            <w:tr w14:paraId="3138EE2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70" w:hRule="atLeast"/>
              </w:trPr>
              <w:tc>
                <w:tcPr>
                  <w:tcW w:w="611" w:type="dxa"/>
                  <w:vMerge w:val="continue"/>
                  <w:vAlign w:val="center"/>
                </w:tcPr>
                <w:p w14:paraId="3B57C3F0">
                  <w:pPr>
                    <w:snapToGrid w:val="0"/>
                    <w:spacing w:line="0" w:lineRule="atLeast"/>
                    <w:jc w:val="center"/>
                    <w:rPr>
                      <w:color w:val="auto"/>
                      <w:spacing w:val="-10"/>
                      <w:sz w:val="18"/>
                      <w:szCs w:val="18"/>
                      <w:highlight w:val="none"/>
                    </w:rPr>
                  </w:pPr>
                </w:p>
              </w:tc>
              <w:tc>
                <w:tcPr>
                  <w:tcW w:w="1067" w:type="dxa"/>
                  <w:gridSpan w:val="2"/>
                  <w:vMerge w:val="continue"/>
                  <w:vAlign w:val="center"/>
                </w:tcPr>
                <w:p w14:paraId="2A8972C7">
                  <w:pPr>
                    <w:snapToGrid w:val="0"/>
                    <w:spacing w:line="0" w:lineRule="atLeast"/>
                    <w:jc w:val="center"/>
                    <w:rPr>
                      <w:color w:val="auto"/>
                      <w:spacing w:val="-10"/>
                      <w:sz w:val="18"/>
                      <w:szCs w:val="18"/>
                      <w:highlight w:val="none"/>
                    </w:rPr>
                  </w:pPr>
                </w:p>
              </w:tc>
              <w:tc>
                <w:tcPr>
                  <w:tcW w:w="6336" w:type="dxa"/>
                  <w:vAlign w:val="center"/>
                </w:tcPr>
                <w:p w14:paraId="15635F48">
                  <w:pPr>
                    <w:snapToGrid w:val="0"/>
                    <w:spacing w:line="0" w:lineRule="atLeast"/>
                    <w:jc w:val="center"/>
                    <w:rPr>
                      <w:rFonts w:hint="eastAsia" w:eastAsia="宋体"/>
                      <w:color w:val="auto"/>
                      <w:spacing w:val="-10"/>
                      <w:sz w:val="18"/>
                      <w:szCs w:val="18"/>
                      <w:highlight w:val="none"/>
                      <w:lang w:val="en-US" w:eastAsia="zh-CN"/>
                    </w:rPr>
                  </w:pPr>
                  <w:r>
                    <w:rPr>
                      <w:rFonts w:hint="eastAsia"/>
                      <w:color w:val="auto"/>
                      <w:spacing w:val="-10"/>
                      <w:sz w:val="18"/>
                      <w:szCs w:val="18"/>
                      <w:highlight w:val="none"/>
                    </w:rPr>
                    <w:t>职工生活污水水质简单，产生量小，全部用于厂区内泼洒抑尘，不外排</w:t>
                  </w:r>
                </w:p>
              </w:tc>
            </w:tr>
            <w:tr w14:paraId="676523E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70" w:hRule="atLeast"/>
              </w:trPr>
              <w:tc>
                <w:tcPr>
                  <w:tcW w:w="611" w:type="dxa"/>
                  <w:vMerge w:val="continue"/>
                  <w:vAlign w:val="center"/>
                </w:tcPr>
                <w:p w14:paraId="0D0AA4F2">
                  <w:pPr>
                    <w:snapToGrid w:val="0"/>
                    <w:spacing w:line="0" w:lineRule="atLeast"/>
                    <w:jc w:val="center"/>
                    <w:rPr>
                      <w:color w:val="auto"/>
                      <w:spacing w:val="-10"/>
                      <w:sz w:val="18"/>
                      <w:szCs w:val="18"/>
                      <w:highlight w:val="none"/>
                    </w:rPr>
                  </w:pPr>
                </w:p>
              </w:tc>
              <w:tc>
                <w:tcPr>
                  <w:tcW w:w="1067" w:type="dxa"/>
                  <w:gridSpan w:val="2"/>
                  <w:shd w:val="clear" w:color="auto" w:fill="auto"/>
                  <w:vAlign w:val="center"/>
                </w:tcPr>
                <w:p w14:paraId="681E8C75">
                  <w:pPr>
                    <w:snapToGrid w:val="0"/>
                    <w:spacing w:line="0" w:lineRule="atLeast"/>
                    <w:jc w:val="center"/>
                    <w:rPr>
                      <w:rFonts w:ascii="Times New Roman" w:hAnsi="Times New Roman" w:eastAsia="宋体" w:cs="Times New Roman"/>
                      <w:color w:val="auto"/>
                      <w:spacing w:val="-10"/>
                      <w:kern w:val="2"/>
                      <w:sz w:val="18"/>
                      <w:szCs w:val="18"/>
                      <w:lang w:val="en-US" w:eastAsia="zh-CN" w:bidi="ar-SA"/>
                    </w:rPr>
                  </w:pPr>
                  <w:r>
                    <w:rPr>
                      <w:color w:val="auto"/>
                      <w:spacing w:val="-10"/>
                      <w:sz w:val="18"/>
                      <w:szCs w:val="18"/>
                    </w:rPr>
                    <w:t>噪声</w:t>
                  </w:r>
                </w:p>
              </w:tc>
              <w:tc>
                <w:tcPr>
                  <w:tcW w:w="6336" w:type="dxa"/>
                  <w:shd w:val="clear" w:color="auto" w:fill="auto"/>
                  <w:vAlign w:val="center"/>
                </w:tcPr>
                <w:p w14:paraId="3A694865">
                  <w:pPr>
                    <w:snapToGrid w:val="0"/>
                    <w:spacing w:line="0" w:lineRule="atLeast"/>
                    <w:jc w:val="center"/>
                    <w:rPr>
                      <w:rFonts w:hint="eastAsia" w:ascii="Times New Roman" w:hAnsi="Times New Roman" w:eastAsia="宋体" w:cs="Times New Roman"/>
                      <w:color w:val="auto"/>
                      <w:spacing w:val="-10"/>
                      <w:kern w:val="2"/>
                      <w:sz w:val="18"/>
                      <w:szCs w:val="18"/>
                      <w:lang w:val="en-US" w:eastAsia="zh-CN" w:bidi="ar-SA"/>
                    </w:rPr>
                  </w:pPr>
                  <w:r>
                    <w:rPr>
                      <w:rFonts w:hint="eastAsia"/>
                      <w:color w:val="auto"/>
                      <w:spacing w:val="-10"/>
                      <w:sz w:val="18"/>
                      <w:szCs w:val="18"/>
                    </w:rPr>
                    <w:t>合理布局，</w:t>
                  </w:r>
                  <w:r>
                    <w:rPr>
                      <w:color w:val="auto"/>
                      <w:spacing w:val="-10"/>
                      <w:sz w:val="18"/>
                      <w:szCs w:val="18"/>
                    </w:rPr>
                    <w:t>选用低噪音设备</w:t>
                  </w:r>
                  <w:r>
                    <w:rPr>
                      <w:rFonts w:hint="eastAsia"/>
                      <w:color w:val="auto"/>
                      <w:spacing w:val="-10"/>
                      <w:sz w:val="18"/>
                      <w:szCs w:val="18"/>
                    </w:rPr>
                    <w:t>，采取基础减振、</w:t>
                  </w:r>
                  <w:r>
                    <w:rPr>
                      <w:color w:val="auto"/>
                      <w:spacing w:val="-10"/>
                      <w:sz w:val="18"/>
                      <w:szCs w:val="18"/>
                    </w:rPr>
                    <w:t>厂房隔声等措施</w:t>
                  </w:r>
                </w:p>
              </w:tc>
            </w:tr>
          </w:tbl>
          <w:p w14:paraId="17756464">
            <w:pPr>
              <w:spacing w:line="460" w:lineRule="exact"/>
              <w:jc w:val="center"/>
              <w:rPr>
                <w:rFonts w:hint="eastAsia" w:hAnsi="宋体"/>
                <w:b/>
                <w:color w:val="auto"/>
                <w:lang w:val="en-US" w:eastAsia="zh-CN"/>
              </w:rPr>
            </w:pPr>
          </w:p>
          <w:p w14:paraId="63E051A4">
            <w:pPr>
              <w:spacing w:line="460" w:lineRule="exact"/>
              <w:jc w:val="center"/>
              <w:rPr>
                <w:rFonts w:hAnsi="宋体"/>
                <w:b/>
                <w:color w:val="auto"/>
              </w:rPr>
            </w:pPr>
            <w:r>
              <w:rPr>
                <w:rFonts w:hint="eastAsia" w:hAnsi="宋体"/>
                <w:b/>
                <w:color w:val="auto"/>
                <w:lang w:val="en-US" w:eastAsia="zh-CN"/>
              </w:rPr>
              <w:t>续</w:t>
            </w:r>
            <w:r>
              <w:rPr>
                <w:rFonts w:hint="eastAsia" w:hAnsi="宋体"/>
                <w:b/>
                <w:color w:val="auto"/>
              </w:rPr>
              <w:t>表</w:t>
            </w:r>
            <w:r>
              <w:rPr>
                <w:rFonts w:hint="eastAsia" w:hAnsi="宋体"/>
                <w:b/>
                <w:color w:val="auto"/>
                <w:lang w:val="en-US" w:eastAsia="zh-CN"/>
              </w:rPr>
              <w:t>5</w:t>
            </w:r>
            <w:r>
              <w:rPr>
                <w:rFonts w:hint="eastAsia" w:hAnsi="宋体"/>
                <w:b/>
                <w:color w:val="auto"/>
              </w:rPr>
              <w:t xml:space="preserve"> 项目建设情况一览表</w:t>
            </w:r>
          </w:p>
          <w:tbl>
            <w:tblPr>
              <w:tblStyle w:val="28"/>
              <w:tblW w:w="8014" w:type="dxa"/>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28" w:type="dxa"/>
                <w:bottom w:w="0" w:type="dxa"/>
                <w:right w:w="28" w:type="dxa"/>
              </w:tblCellMar>
            </w:tblPr>
            <w:tblGrid>
              <w:gridCol w:w="611"/>
              <w:gridCol w:w="438"/>
              <w:gridCol w:w="629"/>
              <w:gridCol w:w="6336"/>
            </w:tblGrid>
            <w:tr w14:paraId="4BFE282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70" w:hRule="atLeast"/>
              </w:trPr>
              <w:tc>
                <w:tcPr>
                  <w:tcW w:w="611" w:type="dxa"/>
                  <w:vAlign w:val="center"/>
                </w:tcPr>
                <w:p w14:paraId="45919FB8">
                  <w:pPr>
                    <w:snapToGrid w:val="0"/>
                    <w:spacing w:line="0" w:lineRule="atLeast"/>
                    <w:jc w:val="center"/>
                    <w:rPr>
                      <w:color w:val="auto"/>
                      <w:spacing w:val="-10"/>
                      <w:sz w:val="18"/>
                      <w:szCs w:val="18"/>
                    </w:rPr>
                  </w:pPr>
                  <w:r>
                    <w:rPr>
                      <w:color w:val="auto"/>
                      <w:spacing w:val="-10"/>
                      <w:sz w:val="18"/>
                      <w:szCs w:val="18"/>
                    </w:rPr>
                    <w:t>项目</w:t>
                  </w:r>
                </w:p>
              </w:tc>
              <w:tc>
                <w:tcPr>
                  <w:tcW w:w="1067" w:type="dxa"/>
                  <w:gridSpan w:val="2"/>
                  <w:vAlign w:val="center"/>
                </w:tcPr>
                <w:p w14:paraId="01213A25">
                  <w:pPr>
                    <w:snapToGrid w:val="0"/>
                    <w:spacing w:line="0" w:lineRule="atLeast"/>
                    <w:jc w:val="center"/>
                    <w:rPr>
                      <w:color w:val="auto"/>
                      <w:spacing w:val="-10"/>
                      <w:sz w:val="18"/>
                      <w:szCs w:val="18"/>
                    </w:rPr>
                  </w:pPr>
                  <w:r>
                    <w:rPr>
                      <w:rFonts w:hint="eastAsia"/>
                      <w:color w:val="auto"/>
                      <w:spacing w:val="-10"/>
                      <w:sz w:val="18"/>
                      <w:szCs w:val="18"/>
                    </w:rPr>
                    <w:t>工程名称</w:t>
                  </w:r>
                </w:p>
              </w:tc>
              <w:tc>
                <w:tcPr>
                  <w:tcW w:w="6336" w:type="dxa"/>
                  <w:vAlign w:val="center"/>
                </w:tcPr>
                <w:p w14:paraId="0B29399F">
                  <w:pPr>
                    <w:snapToGrid w:val="0"/>
                    <w:spacing w:line="0" w:lineRule="atLeast"/>
                    <w:jc w:val="center"/>
                    <w:rPr>
                      <w:rFonts w:hint="eastAsia" w:eastAsia="宋体"/>
                      <w:color w:val="auto"/>
                      <w:spacing w:val="-10"/>
                      <w:sz w:val="18"/>
                      <w:szCs w:val="18"/>
                      <w:lang w:val="en-US" w:eastAsia="zh-CN"/>
                    </w:rPr>
                  </w:pPr>
                  <w:r>
                    <w:rPr>
                      <w:color w:val="auto"/>
                      <w:spacing w:val="-10"/>
                      <w:sz w:val="18"/>
                      <w:szCs w:val="18"/>
                    </w:rPr>
                    <w:t>工程内容</w:t>
                  </w:r>
                </w:p>
              </w:tc>
            </w:tr>
            <w:tr w14:paraId="687EC5B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70" w:hRule="atLeast"/>
              </w:trPr>
              <w:tc>
                <w:tcPr>
                  <w:tcW w:w="611" w:type="dxa"/>
                  <w:vMerge w:val="restart"/>
                  <w:vAlign w:val="center"/>
                </w:tcPr>
                <w:p w14:paraId="672F83CA">
                  <w:pPr>
                    <w:snapToGrid w:val="0"/>
                    <w:spacing w:line="0" w:lineRule="atLeast"/>
                    <w:jc w:val="center"/>
                    <w:rPr>
                      <w:color w:val="auto"/>
                      <w:spacing w:val="-10"/>
                      <w:sz w:val="18"/>
                      <w:szCs w:val="18"/>
                      <w:highlight w:val="none"/>
                    </w:rPr>
                  </w:pPr>
                  <w:r>
                    <w:rPr>
                      <w:color w:val="auto"/>
                      <w:spacing w:val="-10"/>
                      <w:sz w:val="18"/>
                      <w:szCs w:val="18"/>
                      <w:highlight w:val="none"/>
                    </w:rPr>
                    <w:t>环保</w:t>
                  </w:r>
                </w:p>
                <w:p w14:paraId="187092A8">
                  <w:pPr>
                    <w:snapToGrid w:val="0"/>
                    <w:spacing w:line="0" w:lineRule="atLeast"/>
                    <w:jc w:val="center"/>
                    <w:rPr>
                      <w:color w:val="auto"/>
                      <w:spacing w:val="-10"/>
                      <w:sz w:val="18"/>
                      <w:szCs w:val="18"/>
                    </w:rPr>
                  </w:pPr>
                  <w:r>
                    <w:rPr>
                      <w:color w:val="auto"/>
                      <w:spacing w:val="-10"/>
                      <w:sz w:val="18"/>
                      <w:szCs w:val="18"/>
                      <w:highlight w:val="none"/>
                    </w:rPr>
                    <w:t>工程</w:t>
                  </w:r>
                </w:p>
              </w:tc>
              <w:tc>
                <w:tcPr>
                  <w:tcW w:w="438" w:type="dxa"/>
                  <w:vMerge w:val="restart"/>
                  <w:vAlign w:val="center"/>
                </w:tcPr>
                <w:p w14:paraId="61879FBA">
                  <w:pPr>
                    <w:snapToGrid w:val="0"/>
                    <w:spacing w:line="0" w:lineRule="atLeast"/>
                    <w:jc w:val="center"/>
                    <w:rPr>
                      <w:color w:val="auto"/>
                      <w:spacing w:val="-10"/>
                      <w:sz w:val="18"/>
                      <w:szCs w:val="18"/>
                    </w:rPr>
                  </w:pPr>
                  <w:r>
                    <w:rPr>
                      <w:color w:val="auto"/>
                      <w:spacing w:val="-10"/>
                      <w:sz w:val="18"/>
                      <w:szCs w:val="18"/>
                    </w:rPr>
                    <w:t>固废</w:t>
                  </w:r>
                </w:p>
              </w:tc>
              <w:tc>
                <w:tcPr>
                  <w:tcW w:w="629" w:type="dxa"/>
                  <w:shd w:val="clear" w:color="auto" w:fill="auto"/>
                  <w:vAlign w:val="center"/>
                </w:tcPr>
                <w:p w14:paraId="4B4AC639">
                  <w:pPr>
                    <w:snapToGrid w:val="0"/>
                    <w:spacing w:line="0" w:lineRule="atLeast"/>
                    <w:jc w:val="center"/>
                    <w:rPr>
                      <w:rFonts w:ascii="Times New Roman" w:hAnsi="Times New Roman" w:eastAsia="宋体" w:cs="Times New Roman"/>
                      <w:color w:val="auto"/>
                      <w:spacing w:val="-10"/>
                      <w:kern w:val="2"/>
                      <w:sz w:val="18"/>
                      <w:szCs w:val="18"/>
                      <w:lang w:val="en-US" w:eastAsia="zh-CN" w:bidi="ar-SA"/>
                    </w:rPr>
                  </w:pPr>
                  <w:r>
                    <w:rPr>
                      <w:rFonts w:hint="eastAsia"/>
                      <w:color w:val="auto"/>
                      <w:spacing w:val="-10"/>
                      <w:sz w:val="18"/>
                      <w:szCs w:val="18"/>
                    </w:rPr>
                    <w:t>一般固废</w:t>
                  </w:r>
                </w:p>
              </w:tc>
              <w:tc>
                <w:tcPr>
                  <w:tcW w:w="6336" w:type="dxa"/>
                  <w:shd w:val="clear" w:color="auto" w:fill="auto"/>
                  <w:vAlign w:val="center"/>
                </w:tcPr>
                <w:p w14:paraId="5A076DAD">
                  <w:pPr>
                    <w:snapToGrid w:val="0"/>
                    <w:spacing w:line="0" w:lineRule="atLeast"/>
                    <w:jc w:val="center"/>
                    <w:rPr>
                      <w:rFonts w:hint="eastAsia" w:ascii="Times New Roman" w:hAnsi="Times New Roman" w:eastAsia="宋体" w:cs="Times New Roman"/>
                      <w:color w:val="auto"/>
                      <w:spacing w:val="-10"/>
                      <w:kern w:val="2"/>
                      <w:sz w:val="18"/>
                      <w:szCs w:val="18"/>
                      <w:lang w:val="en-US" w:eastAsia="zh-CN" w:bidi="ar-SA"/>
                    </w:rPr>
                  </w:pPr>
                  <w:r>
                    <w:rPr>
                      <w:rFonts w:hint="eastAsia"/>
                      <w:color w:val="auto"/>
                      <w:spacing w:val="-10"/>
                      <w:sz w:val="18"/>
                      <w:szCs w:val="18"/>
                      <w:highlight w:val="none"/>
                      <w:lang w:val="en-US" w:eastAsia="zh-CN"/>
                    </w:rPr>
                    <w:t>污泥、除尘灰、沉降灰</w:t>
                  </w:r>
                  <w:r>
                    <w:rPr>
                      <w:rFonts w:hint="eastAsia"/>
                      <w:color w:val="auto"/>
                      <w:spacing w:val="-10"/>
                      <w:sz w:val="18"/>
                      <w:szCs w:val="18"/>
                      <w:highlight w:val="none"/>
                    </w:rPr>
                    <w:t>暂存于一般固废暂存区</w:t>
                  </w:r>
                  <w:r>
                    <w:rPr>
                      <w:rFonts w:hint="eastAsia"/>
                      <w:color w:val="auto"/>
                      <w:spacing w:val="-10"/>
                      <w:sz w:val="18"/>
                      <w:szCs w:val="18"/>
                      <w:highlight w:val="none"/>
                      <w:lang w:eastAsia="zh-CN"/>
                    </w:rPr>
                    <w:t>，</w:t>
                  </w:r>
                  <w:r>
                    <w:rPr>
                      <w:rFonts w:hint="eastAsia"/>
                      <w:color w:val="auto"/>
                      <w:spacing w:val="-10"/>
                      <w:sz w:val="18"/>
                      <w:szCs w:val="18"/>
                      <w:highlight w:val="none"/>
                      <w:lang w:val="en-US" w:eastAsia="zh-CN"/>
                    </w:rPr>
                    <w:t>之后外售制砖厂进行制砖；废钢球</w:t>
                  </w:r>
                  <w:r>
                    <w:rPr>
                      <w:rFonts w:hint="eastAsia"/>
                      <w:color w:val="auto"/>
                      <w:spacing w:val="-10"/>
                      <w:sz w:val="18"/>
                      <w:szCs w:val="18"/>
                      <w:highlight w:val="none"/>
                    </w:rPr>
                    <w:t>暂存于一般固废暂存区</w:t>
                  </w:r>
                  <w:r>
                    <w:rPr>
                      <w:rFonts w:hint="eastAsia"/>
                      <w:color w:val="auto"/>
                      <w:spacing w:val="-10"/>
                      <w:sz w:val="18"/>
                      <w:szCs w:val="18"/>
                      <w:highlight w:val="none"/>
                      <w:lang w:eastAsia="zh-CN"/>
                    </w:rPr>
                    <w:t>，</w:t>
                  </w:r>
                  <w:r>
                    <w:rPr>
                      <w:rFonts w:hint="eastAsia"/>
                      <w:color w:val="auto"/>
                      <w:spacing w:val="-10"/>
                      <w:sz w:val="18"/>
                      <w:szCs w:val="18"/>
                      <w:highlight w:val="none"/>
                      <w:lang w:val="en-US" w:eastAsia="zh-CN"/>
                    </w:rPr>
                    <w:t>之后外售五金回收公司；废包装袋、废布袋、废滤布</w:t>
                  </w:r>
                  <w:r>
                    <w:rPr>
                      <w:rFonts w:hint="eastAsia"/>
                      <w:color w:val="auto"/>
                      <w:spacing w:val="-10"/>
                      <w:sz w:val="18"/>
                      <w:szCs w:val="18"/>
                      <w:highlight w:val="none"/>
                    </w:rPr>
                    <w:t>暂存于一般固废暂存区</w:t>
                  </w:r>
                  <w:r>
                    <w:rPr>
                      <w:rFonts w:hint="eastAsia"/>
                      <w:color w:val="auto"/>
                      <w:spacing w:val="-10"/>
                      <w:sz w:val="18"/>
                      <w:szCs w:val="18"/>
                      <w:highlight w:val="none"/>
                      <w:lang w:eastAsia="zh-CN"/>
                    </w:rPr>
                    <w:t>，</w:t>
                  </w:r>
                  <w:r>
                    <w:rPr>
                      <w:rFonts w:hint="eastAsia"/>
                      <w:color w:val="auto"/>
                      <w:spacing w:val="-10"/>
                      <w:sz w:val="18"/>
                      <w:szCs w:val="18"/>
                      <w:highlight w:val="none"/>
                      <w:lang w:val="en-US" w:eastAsia="zh-CN"/>
                    </w:rPr>
                    <w:t>之后外售综合利用；泥饼</w:t>
                  </w:r>
                  <w:r>
                    <w:rPr>
                      <w:rFonts w:hint="eastAsia"/>
                      <w:color w:val="auto"/>
                      <w:spacing w:val="-10"/>
                      <w:sz w:val="18"/>
                      <w:szCs w:val="18"/>
                      <w:highlight w:val="none"/>
                    </w:rPr>
                    <w:t>暂存于压滤机底部</w:t>
                  </w:r>
                  <w:r>
                    <w:rPr>
                      <w:rFonts w:hint="eastAsia"/>
                      <w:color w:val="auto"/>
                      <w:spacing w:val="-10"/>
                      <w:sz w:val="18"/>
                      <w:szCs w:val="18"/>
                      <w:highlight w:val="none"/>
                      <w:lang w:val="en-US" w:eastAsia="zh-CN"/>
                    </w:rPr>
                    <w:t>污泥存储料斗</w:t>
                  </w:r>
                  <w:r>
                    <w:rPr>
                      <w:rFonts w:hint="eastAsia"/>
                      <w:color w:val="auto"/>
                      <w:spacing w:val="-10"/>
                      <w:sz w:val="18"/>
                      <w:szCs w:val="18"/>
                      <w:highlight w:val="none"/>
                      <w:lang w:eastAsia="zh-CN"/>
                    </w:rPr>
                    <w:t>，</w:t>
                  </w:r>
                  <w:r>
                    <w:rPr>
                      <w:rFonts w:hint="eastAsia"/>
                      <w:color w:val="auto"/>
                      <w:spacing w:val="-10"/>
                      <w:sz w:val="18"/>
                      <w:szCs w:val="18"/>
                      <w:highlight w:val="none"/>
                      <w:lang w:val="en-US" w:eastAsia="zh-CN"/>
                    </w:rPr>
                    <w:t>之后外售制砖厂进行制砖；废土暂存于废土暂存区，之</w:t>
                  </w:r>
                  <w:r>
                    <w:rPr>
                      <w:rFonts w:hint="eastAsia" w:ascii="Times New Roman" w:hAnsi="Times New Roman" w:eastAsia="宋体" w:cs="Times New Roman"/>
                      <w:color w:val="auto"/>
                      <w:spacing w:val="-10"/>
                      <w:sz w:val="18"/>
                      <w:szCs w:val="18"/>
                      <w:highlight w:val="none"/>
                      <w:lang w:val="en-US" w:eastAsia="zh-CN"/>
                    </w:rPr>
                    <w:t>后用于填坑、铺路；棉絮、泡沫等废料</w:t>
                  </w:r>
                  <w:r>
                    <w:rPr>
                      <w:rFonts w:hint="eastAsia"/>
                      <w:color w:val="auto"/>
                      <w:spacing w:val="-10"/>
                      <w:sz w:val="18"/>
                      <w:szCs w:val="18"/>
                      <w:highlight w:val="none"/>
                      <w:lang w:val="en-US" w:eastAsia="zh-CN"/>
                    </w:rPr>
                    <w:t>暂存于</w:t>
                  </w:r>
                  <w:r>
                    <w:rPr>
                      <w:rFonts w:hint="eastAsia" w:ascii="Times New Roman" w:hAnsi="Times New Roman" w:eastAsia="宋体" w:cs="Times New Roman"/>
                      <w:color w:val="auto"/>
                      <w:spacing w:val="-10"/>
                      <w:sz w:val="18"/>
                      <w:szCs w:val="18"/>
                      <w:highlight w:val="none"/>
                      <w:lang w:val="en-US" w:eastAsia="zh-CN"/>
                    </w:rPr>
                    <w:t>棉絮、泡沫暂存区</w:t>
                  </w:r>
                  <w:r>
                    <w:rPr>
                      <w:rFonts w:hint="eastAsia"/>
                      <w:color w:val="auto"/>
                      <w:spacing w:val="-10"/>
                      <w:sz w:val="18"/>
                      <w:szCs w:val="18"/>
                      <w:highlight w:val="none"/>
                      <w:lang w:val="en-US" w:eastAsia="zh-CN"/>
                    </w:rPr>
                    <w:t>，之后外售相关回收单位；</w:t>
                  </w:r>
                  <w:r>
                    <w:rPr>
                      <w:rFonts w:hint="eastAsia" w:ascii="Times New Roman" w:hAnsi="Times New Roman" w:eastAsia="宋体" w:cs="Times New Roman"/>
                      <w:color w:val="auto"/>
                      <w:spacing w:val="-10"/>
                      <w:sz w:val="18"/>
                      <w:szCs w:val="18"/>
                      <w:highlight w:val="none"/>
                      <w:lang w:val="en-US" w:eastAsia="zh-CN"/>
                    </w:rPr>
                    <w:t>海绵、木屑等废料</w:t>
                  </w:r>
                  <w:r>
                    <w:rPr>
                      <w:rFonts w:hint="eastAsia"/>
                      <w:color w:val="auto"/>
                      <w:spacing w:val="-10"/>
                      <w:sz w:val="18"/>
                      <w:szCs w:val="18"/>
                      <w:highlight w:val="none"/>
                      <w:lang w:val="en-US" w:eastAsia="zh-CN"/>
                    </w:rPr>
                    <w:t>暂存于3</w:t>
                  </w:r>
                  <w:r>
                    <w:rPr>
                      <w:rFonts w:hint="eastAsia"/>
                      <w:color w:val="auto"/>
                      <w:spacing w:val="-10"/>
                      <w:sz w:val="18"/>
                      <w:szCs w:val="18"/>
                      <w:highlight w:val="none"/>
                      <w:vertAlign w:val="superscript"/>
                      <w:lang w:val="en-US" w:eastAsia="zh-CN"/>
                    </w:rPr>
                    <w:t>#</w:t>
                  </w:r>
                  <w:r>
                    <w:rPr>
                      <w:rFonts w:hint="eastAsia"/>
                      <w:color w:val="auto"/>
                      <w:spacing w:val="-10"/>
                      <w:sz w:val="18"/>
                      <w:szCs w:val="18"/>
                      <w:highlight w:val="none"/>
                      <w:lang w:val="en-US" w:eastAsia="zh-CN"/>
                    </w:rPr>
                    <w:t>储料池内，之后外售相关回收单位；</w:t>
                  </w:r>
                  <w:r>
                    <w:rPr>
                      <w:rFonts w:hint="eastAsia"/>
                      <w:color w:val="auto"/>
                      <w:spacing w:val="-10"/>
                      <w:sz w:val="18"/>
                      <w:szCs w:val="18"/>
                      <w:highlight w:val="none"/>
                    </w:rPr>
                    <w:t>生活垃圾集中收集后由环卫部门统一处理</w:t>
                  </w:r>
                </w:p>
              </w:tc>
            </w:tr>
            <w:tr w14:paraId="5BD06B9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485" w:hRule="atLeast"/>
              </w:trPr>
              <w:tc>
                <w:tcPr>
                  <w:tcW w:w="611" w:type="dxa"/>
                  <w:vMerge w:val="continue"/>
                  <w:vAlign w:val="center"/>
                </w:tcPr>
                <w:p w14:paraId="1FE4130F">
                  <w:pPr>
                    <w:snapToGrid w:val="0"/>
                    <w:spacing w:line="0" w:lineRule="atLeast"/>
                    <w:jc w:val="center"/>
                    <w:rPr>
                      <w:color w:val="auto"/>
                      <w:spacing w:val="-10"/>
                      <w:sz w:val="18"/>
                      <w:szCs w:val="18"/>
                    </w:rPr>
                  </w:pPr>
                </w:p>
              </w:tc>
              <w:tc>
                <w:tcPr>
                  <w:tcW w:w="438" w:type="dxa"/>
                  <w:vMerge w:val="continue"/>
                  <w:vAlign w:val="center"/>
                </w:tcPr>
                <w:p w14:paraId="1E44C1BE">
                  <w:pPr>
                    <w:snapToGrid w:val="0"/>
                    <w:spacing w:line="0" w:lineRule="atLeast"/>
                    <w:jc w:val="center"/>
                    <w:rPr>
                      <w:color w:val="auto"/>
                      <w:spacing w:val="-10"/>
                      <w:sz w:val="18"/>
                      <w:szCs w:val="18"/>
                    </w:rPr>
                  </w:pPr>
                </w:p>
              </w:tc>
              <w:tc>
                <w:tcPr>
                  <w:tcW w:w="629" w:type="dxa"/>
                  <w:vAlign w:val="center"/>
                </w:tcPr>
                <w:p w14:paraId="2BDD0AF1">
                  <w:pPr>
                    <w:snapToGrid w:val="0"/>
                    <w:spacing w:line="0" w:lineRule="atLeast"/>
                    <w:jc w:val="center"/>
                    <w:rPr>
                      <w:color w:val="auto"/>
                      <w:spacing w:val="-10"/>
                      <w:sz w:val="18"/>
                      <w:szCs w:val="18"/>
                    </w:rPr>
                  </w:pPr>
                  <w:r>
                    <w:rPr>
                      <w:rFonts w:hint="eastAsia"/>
                      <w:color w:val="auto"/>
                      <w:spacing w:val="-10"/>
                      <w:sz w:val="18"/>
                      <w:szCs w:val="18"/>
                    </w:rPr>
                    <w:t>危险废物</w:t>
                  </w:r>
                </w:p>
              </w:tc>
              <w:tc>
                <w:tcPr>
                  <w:tcW w:w="6336" w:type="dxa"/>
                  <w:vAlign w:val="center"/>
                </w:tcPr>
                <w:p w14:paraId="377F0E42">
                  <w:pPr>
                    <w:snapToGrid w:val="0"/>
                    <w:spacing w:line="0" w:lineRule="atLeast"/>
                    <w:jc w:val="center"/>
                    <w:rPr>
                      <w:rFonts w:hint="default" w:ascii="Times New Roman" w:hAnsi="Times New Roman" w:cs="Times New Roman"/>
                      <w:color w:val="auto"/>
                      <w:spacing w:val="-10"/>
                      <w:sz w:val="18"/>
                      <w:szCs w:val="18"/>
                      <w:lang w:val="en-US" w:eastAsia="zh-CN"/>
                    </w:rPr>
                  </w:pPr>
                  <w:r>
                    <w:rPr>
                      <w:color w:val="auto"/>
                      <w:spacing w:val="-10"/>
                      <w:sz w:val="18"/>
                      <w:szCs w:val="18"/>
                    </w:rPr>
                    <w:t>废润滑油</w:t>
                  </w:r>
                  <w:r>
                    <w:rPr>
                      <w:rFonts w:hint="eastAsia"/>
                      <w:color w:val="auto"/>
                      <w:spacing w:val="-10"/>
                      <w:sz w:val="18"/>
                      <w:szCs w:val="18"/>
                      <w:lang w:eastAsia="zh-CN"/>
                    </w:rPr>
                    <w:t>、</w:t>
                  </w:r>
                  <w:r>
                    <w:rPr>
                      <w:rFonts w:hint="eastAsia"/>
                      <w:color w:val="auto"/>
                      <w:spacing w:val="-10"/>
                      <w:sz w:val="18"/>
                      <w:szCs w:val="18"/>
                      <w:lang w:val="en-US" w:eastAsia="zh-CN"/>
                    </w:rPr>
                    <w:t>废液压油</w:t>
                  </w:r>
                  <w:r>
                    <w:rPr>
                      <w:color w:val="auto"/>
                      <w:spacing w:val="-10"/>
                      <w:sz w:val="18"/>
                      <w:szCs w:val="18"/>
                    </w:rPr>
                    <w:t>采用专用容器分类收集，废油桶原盖封存，暂存于</w:t>
                  </w:r>
                  <w:r>
                    <w:rPr>
                      <w:rFonts w:hint="eastAsia"/>
                      <w:color w:val="auto"/>
                      <w:spacing w:val="-10"/>
                      <w:sz w:val="18"/>
                      <w:szCs w:val="18"/>
                    </w:rPr>
                    <w:t>危险废物暂存间</w:t>
                  </w:r>
                  <w:r>
                    <w:rPr>
                      <w:color w:val="auto"/>
                      <w:spacing w:val="-10"/>
                      <w:sz w:val="18"/>
                      <w:szCs w:val="18"/>
                    </w:rPr>
                    <w:t>，委托有资质单位定期收集处置</w:t>
                  </w:r>
                </w:p>
              </w:tc>
            </w:tr>
          </w:tbl>
          <w:p w14:paraId="7A61533D">
            <w:pPr>
              <w:pStyle w:val="24"/>
              <w:keepNext w:val="0"/>
              <w:keepLines w:val="0"/>
              <w:pageBreakBefore w:val="0"/>
              <w:widowControl/>
              <w:kinsoku/>
              <w:wordWrap/>
              <w:overflowPunct/>
              <w:topLinePunct w:val="0"/>
              <w:autoSpaceDE/>
              <w:autoSpaceDN/>
              <w:bidi w:val="0"/>
              <w:adjustRightInd w:val="0"/>
              <w:snapToGrid w:val="0"/>
              <w:spacing w:before="0" w:beforeAutospacing="0" w:after="0" w:afterAutospacing="0" w:line="420" w:lineRule="exact"/>
              <w:ind w:firstLine="422" w:firstLineChars="200"/>
              <w:textAlignment w:val="auto"/>
              <w:rPr>
                <w:rFonts w:hint="eastAsia" w:ascii="Times New Roman" w:hAnsi="Times New Roman" w:cs="Times New Roman"/>
                <w:b/>
                <w:color w:val="auto"/>
                <w:sz w:val="21"/>
                <w:szCs w:val="21"/>
                <w:lang w:val="en-US" w:eastAsia="zh-CN"/>
              </w:rPr>
            </w:pPr>
            <w:r>
              <w:rPr>
                <w:rFonts w:hint="eastAsia" w:ascii="Times New Roman" w:hAnsi="Times New Roman" w:cs="Times New Roman"/>
                <w:b/>
                <w:color w:val="auto"/>
                <w:sz w:val="21"/>
                <w:szCs w:val="21"/>
                <w:lang w:val="en-US" w:eastAsia="zh-CN"/>
              </w:rPr>
              <w:t>3.产品方案</w:t>
            </w:r>
          </w:p>
          <w:p w14:paraId="3F6FE521">
            <w:pPr>
              <w:pStyle w:val="24"/>
              <w:adjustRightInd w:val="0"/>
              <w:snapToGrid w:val="0"/>
              <w:spacing w:before="0" w:beforeAutospacing="0" w:after="0" w:afterAutospacing="0" w:line="440" w:lineRule="exact"/>
              <w:ind w:firstLine="420" w:firstLineChars="200"/>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lang w:val="en-US" w:eastAsia="zh-CN"/>
              </w:rPr>
              <w:t>本项目年分选废钢破碎尾料</w:t>
            </w:r>
            <w:r>
              <w:rPr>
                <w:rFonts w:hint="default" w:ascii="Times New Roman" w:hAnsi="Times New Roman" w:eastAsia="宋体" w:cs="Times New Roman"/>
                <w:color w:val="auto"/>
                <w:sz w:val="21"/>
                <w:szCs w:val="21"/>
                <w:lang w:val="en-US" w:eastAsia="zh-CN"/>
              </w:rPr>
              <w:t>50</w:t>
            </w:r>
            <w:r>
              <w:rPr>
                <w:rFonts w:hint="eastAsia" w:ascii="Times New Roman" w:hAnsi="Times New Roman" w:eastAsia="宋体" w:cs="Times New Roman"/>
                <w:color w:val="auto"/>
                <w:sz w:val="21"/>
                <w:szCs w:val="21"/>
                <w:lang w:val="en-US" w:eastAsia="zh-CN"/>
              </w:rPr>
              <w:t>万吨、转炉钢渣20万吨，具体产品方案见下表</w:t>
            </w:r>
            <w:r>
              <w:rPr>
                <w:rFonts w:hint="eastAsia" w:ascii="Times New Roman" w:hAnsi="Times New Roman" w:eastAsia="宋体" w:cs="Times New Roman"/>
                <w:color w:val="auto"/>
                <w:sz w:val="21"/>
                <w:szCs w:val="21"/>
              </w:rPr>
              <w:t>。</w:t>
            </w:r>
          </w:p>
          <w:p w14:paraId="2D3B2BCF">
            <w:pPr>
              <w:pStyle w:val="24"/>
              <w:adjustRightInd w:val="0"/>
              <w:snapToGrid w:val="0"/>
              <w:spacing w:before="0" w:beforeAutospacing="0" w:after="0" w:afterAutospacing="0" w:line="440" w:lineRule="exact"/>
              <w:jc w:val="center"/>
              <w:rPr>
                <w:rFonts w:hint="eastAsia" w:ascii="Times New Roman" w:hAnsi="Times New Roman"/>
                <w:b/>
                <w:color w:val="auto"/>
                <w:sz w:val="21"/>
                <w:szCs w:val="21"/>
                <w:highlight w:val="none"/>
              </w:rPr>
            </w:pPr>
            <w:r>
              <w:rPr>
                <w:rFonts w:hint="eastAsia" w:ascii="Times New Roman" w:hAnsi="Times New Roman"/>
                <w:b/>
                <w:color w:val="auto"/>
                <w:sz w:val="21"/>
                <w:szCs w:val="21"/>
                <w:highlight w:val="none"/>
              </w:rPr>
              <w:t>表</w:t>
            </w:r>
            <w:r>
              <w:rPr>
                <w:rFonts w:hint="eastAsia" w:ascii="Times New Roman" w:hAnsi="Times New Roman"/>
                <w:b/>
                <w:color w:val="auto"/>
                <w:sz w:val="21"/>
                <w:szCs w:val="21"/>
                <w:highlight w:val="none"/>
                <w:lang w:val="en-US" w:eastAsia="zh-CN"/>
              </w:rPr>
              <w:t>6</w:t>
            </w:r>
            <w:r>
              <w:rPr>
                <w:rFonts w:hint="eastAsia" w:ascii="Times New Roman" w:hAnsi="Times New Roman"/>
                <w:b/>
                <w:color w:val="auto"/>
                <w:sz w:val="21"/>
                <w:szCs w:val="21"/>
                <w:highlight w:val="none"/>
              </w:rPr>
              <w:t xml:space="preserve"> 产品方案一览表</w:t>
            </w:r>
          </w:p>
          <w:tbl>
            <w:tblPr>
              <w:tblStyle w:val="29"/>
              <w:tblW w:w="7998" w:type="dxa"/>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06"/>
              <w:gridCol w:w="720"/>
              <w:gridCol w:w="943"/>
              <w:gridCol w:w="932"/>
              <w:gridCol w:w="1811"/>
              <w:gridCol w:w="2986"/>
            </w:tblGrid>
            <w:tr w14:paraId="118F11F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606" w:type="dxa"/>
                  <w:tcBorders>
                    <w:tl2br w:val="nil"/>
                    <w:tr2bl w:val="nil"/>
                  </w:tcBorders>
                  <w:noWrap w:val="0"/>
                  <w:vAlign w:val="center"/>
                </w:tcPr>
                <w:p w14:paraId="7817E5CC">
                  <w:pPr>
                    <w:widowControl/>
                    <w:jc w:val="center"/>
                    <w:rPr>
                      <w:rFonts w:hint="eastAsia" w:ascii="Times New Roman" w:hAnsi="Times New Roman" w:eastAsia="宋体" w:cs="Times New Roman"/>
                      <w:color w:val="auto"/>
                      <w:spacing w:val="-10"/>
                      <w:sz w:val="18"/>
                      <w:szCs w:val="18"/>
                      <w:lang w:val="en-US" w:eastAsia="zh-CN"/>
                    </w:rPr>
                  </w:pPr>
                  <w:bookmarkStart w:id="12" w:name="OLE_LINK2"/>
                  <w:r>
                    <w:rPr>
                      <w:rFonts w:hint="default" w:ascii="Times New Roman" w:hAnsi="Times New Roman" w:eastAsia="宋体" w:cs="Times New Roman"/>
                      <w:color w:val="auto"/>
                      <w:spacing w:val="-10"/>
                      <w:sz w:val="18"/>
                      <w:szCs w:val="18"/>
                      <w:lang w:val="en-US" w:eastAsia="zh-CN"/>
                    </w:rPr>
                    <w:t>序号</w:t>
                  </w:r>
                </w:p>
              </w:tc>
              <w:tc>
                <w:tcPr>
                  <w:tcW w:w="720" w:type="dxa"/>
                  <w:tcBorders>
                    <w:tl2br w:val="nil"/>
                    <w:tr2bl w:val="nil"/>
                  </w:tcBorders>
                  <w:noWrap w:val="0"/>
                  <w:vAlign w:val="center"/>
                </w:tcPr>
                <w:p w14:paraId="11E0ED95">
                  <w:pPr>
                    <w:widowControl/>
                    <w:jc w:val="center"/>
                    <w:rPr>
                      <w:rFonts w:hint="eastAsia" w:ascii="Times New Roman" w:hAnsi="Times New Roman" w:eastAsia="宋体" w:cs="Times New Roman"/>
                      <w:color w:val="auto"/>
                      <w:spacing w:val="-10"/>
                      <w:sz w:val="18"/>
                      <w:szCs w:val="18"/>
                      <w:lang w:val="en-US" w:eastAsia="zh-CN"/>
                    </w:rPr>
                  </w:pPr>
                  <w:r>
                    <w:rPr>
                      <w:rFonts w:hint="eastAsia" w:ascii="Times New Roman" w:hAnsi="Times New Roman" w:eastAsia="宋体" w:cs="Times New Roman"/>
                      <w:color w:val="auto"/>
                      <w:spacing w:val="-10"/>
                      <w:sz w:val="18"/>
                      <w:szCs w:val="18"/>
                      <w:lang w:val="en-US" w:eastAsia="zh-CN"/>
                    </w:rPr>
                    <w:t>生产线</w:t>
                  </w:r>
                </w:p>
              </w:tc>
              <w:tc>
                <w:tcPr>
                  <w:tcW w:w="943" w:type="dxa"/>
                  <w:tcBorders>
                    <w:tl2br w:val="nil"/>
                    <w:tr2bl w:val="nil"/>
                  </w:tcBorders>
                  <w:noWrap w:val="0"/>
                  <w:vAlign w:val="center"/>
                </w:tcPr>
                <w:p w14:paraId="5070AC7A">
                  <w:pPr>
                    <w:widowControl/>
                    <w:jc w:val="center"/>
                    <w:rPr>
                      <w:rFonts w:hint="default" w:ascii="Times New Roman" w:hAnsi="Times New Roman" w:eastAsia="宋体" w:cs="Times New Roman"/>
                      <w:color w:val="auto"/>
                      <w:spacing w:val="-10"/>
                      <w:sz w:val="18"/>
                      <w:szCs w:val="18"/>
                      <w:lang w:val="en-US" w:eastAsia="zh-CN"/>
                    </w:rPr>
                  </w:pPr>
                  <w:r>
                    <w:rPr>
                      <w:rFonts w:hint="eastAsia" w:ascii="Times New Roman" w:hAnsi="Times New Roman" w:eastAsia="宋体" w:cs="Times New Roman"/>
                      <w:color w:val="auto"/>
                      <w:spacing w:val="-10"/>
                      <w:sz w:val="18"/>
                      <w:szCs w:val="18"/>
                      <w:lang w:val="en-US" w:eastAsia="zh-CN"/>
                    </w:rPr>
                    <w:t>产品种类</w:t>
                  </w:r>
                </w:p>
              </w:tc>
              <w:tc>
                <w:tcPr>
                  <w:tcW w:w="932" w:type="dxa"/>
                  <w:tcBorders>
                    <w:tl2br w:val="nil"/>
                    <w:tr2bl w:val="nil"/>
                  </w:tcBorders>
                  <w:noWrap w:val="0"/>
                  <w:vAlign w:val="center"/>
                </w:tcPr>
                <w:p w14:paraId="3ADBDD91">
                  <w:pPr>
                    <w:widowControl/>
                    <w:jc w:val="center"/>
                    <w:rPr>
                      <w:rFonts w:hint="eastAsia" w:ascii="Times New Roman" w:hAnsi="Times New Roman" w:eastAsia="宋体" w:cs="Times New Roman"/>
                      <w:color w:val="auto"/>
                      <w:spacing w:val="-10"/>
                      <w:sz w:val="18"/>
                      <w:szCs w:val="18"/>
                      <w:lang w:val="en-US" w:eastAsia="zh-CN"/>
                    </w:rPr>
                  </w:pPr>
                  <w:r>
                    <w:rPr>
                      <w:rFonts w:hint="eastAsia" w:ascii="Times New Roman" w:hAnsi="Times New Roman" w:eastAsia="宋体" w:cs="Times New Roman"/>
                      <w:color w:val="auto"/>
                      <w:spacing w:val="-10"/>
                      <w:sz w:val="18"/>
                      <w:szCs w:val="18"/>
                      <w:lang w:val="en-US" w:eastAsia="zh-CN"/>
                    </w:rPr>
                    <w:t>产量（</w:t>
                  </w:r>
                  <w:r>
                    <w:rPr>
                      <w:rFonts w:hint="default" w:ascii="Times New Roman" w:hAnsi="Times New Roman" w:eastAsia="宋体" w:cs="Times New Roman"/>
                      <w:color w:val="auto"/>
                      <w:spacing w:val="-10"/>
                      <w:sz w:val="18"/>
                      <w:szCs w:val="18"/>
                      <w:lang w:val="en-US" w:eastAsia="zh-CN"/>
                    </w:rPr>
                    <w:t>t/a</w:t>
                  </w:r>
                  <w:r>
                    <w:rPr>
                      <w:rFonts w:hint="eastAsia" w:ascii="Times New Roman" w:hAnsi="Times New Roman" w:eastAsia="宋体" w:cs="Times New Roman"/>
                      <w:color w:val="auto"/>
                      <w:spacing w:val="-10"/>
                      <w:sz w:val="18"/>
                      <w:szCs w:val="18"/>
                      <w:lang w:val="en-US" w:eastAsia="zh-CN"/>
                    </w:rPr>
                    <w:t>）</w:t>
                  </w:r>
                </w:p>
              </w:tc>
              <w:tc>
                <w:tcPr>
                  <w:tcW w:w="1811" w:type="dxa"/>
                  <w:tcBorders>
                    <w:tl2br w:val="nil"/>
                    <w:tr2bl w:val="nil"/>
                  </w:tcBorders>
                  <w:noWrap w:val="0"/>
                  <w:vAlign w:val="center"/>
                </w:tcPr>
                <w:p w14:paraId="0FC3AFB6">
                  <w:pPr>
                    <w:widowControl/>
                    <w:jc w:val="center"/>
                    <w:rPr>
                      <w:rFonts w:hint="eastAsia" w:ascii="Times New Roman" w:hAnsi="Times New Roman" w:eastAsia="宋体" w:cs="Times New Roman"/>
                      <w:color w:val="auto"/>
                      <w:spacing w:val="-10"/>
                      <w:sz w:val="18"/>
                      <w:szCs w:val="18"/>
                      <w:lang w:val="en-US" w:eastAsia="zh-CN"/>
                    </w:rPr>
                  </w:pPr>
                  <w:r>
                    <w:rPr>
                      <w:rFonts w:hint="eastAsia" w:cs="Times New Roman"/>
                      <w:color w:val="auto"/>
                      <w:spacing w:val="-10"/>
                      <w:sz w:val="18"/>
                      <w:szCs w:val="18"/>
                      <w:lang w:val="en-US" w:eastAsia="zh-CN"/>
                    </w:rPr>
                    <w:t>产品标准</w:t>
                  </w:r>
                </w:p>
              </w:tc>
              <w:tc>
                <w:tcPr>
                  <w:tcW w:w="2986" w:type="dxa"/>
                  <w:tcBorders>
                    <w:tl2br w:val="nil"/>
                    <w:tr2bl w:val="nil"/>
                  </w:tcBorders>
                  <w:noWrap w:val="0"/>
                  <w:vAlign w:val="center"/>
                </w:tcPr>
                <w:p w14:paraId="188117F0">
                  <w:pPr>
                    <w:widowControl/>
                    <w:jc w:val="center"/>
                    <w:rPr>
                      <w:rFonts w:hint="default" w:ascii="Times New Roman" w:hAnsi="Times New Roman" w:eastAsia="宋体" w:cs="Times New Roman"/>
                      <w:color w:val="auto"/>
                      <w:spacing w:val="-10"/>
                      <w:sz w:val="18"/>
                      <w:szCs w:val="18"/>
                      <w:lang w:val="en-US" w:eastAsia="zh-CN"/>
                    </w:rPr>
                  </w:pPr>
                  <w:r>
                    <w:rPr>
                      <w:rFonts w:hint="eastAsia" w:cs="Times New Roman"/>
                      <w:color w:val="auto"/>
                      <w:spacing w:val="-10"/>
                      <w:sz w:val="18"/>
                      <w:szCs w:val="18"/>
                      <w:lang w:val="en-US" w:eastAsia="zh-CN"/>
                    </w:rPr>
                    <w:t>备注</w:t>
                  </w:r>
                </w:p>
              </w:tc>
            </w:tr>
            <w:tr w14:paraId="106A032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606" w:type="dxa"/>
                  <w:tcBorders>
                    <w:tl2br w:val="nil"/>
                    <w:tr2bl w:val="nil"/>
                  </w:tcBorders>
                  <w:shd w:val="clear" w:color="auto" w:fill="auto"/>
                  <w:noWrap w:val="0"/>
                  <w:vAlign w:val="center"/>
                </w:tcPr>
                <w:p w14:paraId="057B4FCB">
                  <w:pPr>
                    <w:widowControl/>
                    <w:jc w:val="center"/>
                    <w:rPr>
                      <w:rFonts w:hint="default" w:ascii="Times New Roman" w:hAnsi="Times New Roman" w:eastAsia="宋体" w:cs="Times New Roman"/>
                      <w:color w:val="auto"/>
                      <w:spacing w:val="-10"/>
                      <w:kern w:val="2"/>
                      <w:sz w:val="18"/>
                      <w:szCs w:val="18"/>
                      <w:lang w:val="en-US" w:eastAsia="zh-CN" w:bidi="ar-SA"/>
                    </w:rPr>
                  </w:pPr>
                  <w:r>
                    <w:rPr>
                      <w:rFonts w:hint="eastAsia" w:ascii="Times New Roman" w:hAnsi="Times New Roman" w:eastAsia="宋体" w:cs="Times New Roman"/>
                      <w:color w:val="auto"/>
                      <w:spacing w:val="-10"/>
                      <w:sz w:val="18"/>
                      <w:szCs w:val="18"/>
                      <w:lang w:val="en-US" w:eastAsia="zh-CN"/>
                    </w:rPr>
                    <w:t>1</w:t>
                  </w:r>
                </w:p>
              </w:tc>
              <w:tc>
                <w:tcPr>
                  <w:tcW w:w="720" w:type="dxa"/>
                  <w:vMerge w:val="restart"/>
                  <w:tcBorders>
                    <w:tl2br w:val="nil"/>
                    <w:tr2bl w:val="nil"/>
                  </w:tcBorders>
                  <w:shd w:val="clear" w:color="auto" w:fill="auto"/>
                  <w:noWrap w:val="0"/>
                  <w:vAlign w:val="center"/>
                </w:tcPr>
                <w:p w14:paraId="63981504">
                  <w:pPr>
                    <w:widowControl/>
                    <w:jc w:val="center"/>
                    <w:rPr>
                      <w:rFonts w:hint="eastAsia" w:ascii="Times New Roman" w:hAnsi="Times New Roman" w:eastAsia="宋体" w:cs="Times New Roman"/>
                      <w:color w:val="auto"/>
                      <w:spacing w:val="-10"/>
                      <w:sz w:val="18"/>
                      <w:szCs w:val="18"/>
                      <w:lang w:val="en-US" w:eastAsia="zh-CN"/>
                    </w:rPr>
                  </w:pPr>
                  <w:r>
                    <w:rPr>
                      <w:rFonts w:hint="eastAsia" w:ascii="Times New Roman" w:hAnsi="Times New Roman" w:eastAsia="宋体" w:cs="Times New Roman"/>
                      <w:color w:val="auto"/>
                      <w:spacing w:val="-10"/>
                      <w:sz w:val="18"/>
                      <w:szCs w:val="18"/>
                      <w:lang w:val="en-US" w:eastAsia="zh-CN"/>
                    </w:rPr>
                    <w:t>废钢破碎尾料分选</w:t>
                  </w:r>
                </w:p>
              </w:tc>
              <w:tc>
                <w:tcPr>
                  <w:tcW w:w="943" w:type="dxa"/>
                  <w:tcBorders>
                    <w:tl2br w:val="nil"/>
                    <w:tr2bl w:val="nil"/>
                  </w:tcBorders>
                  <w:shd w:val="clear" w:color="auto" w:fill="auto"/>
                  <w:noWrap w:val="0"/>
                  <w:vAlign w:val="center"/>
                </w:tcPr>
                <w:p w14:paraId="75A9C754">
                  <w:pPr>
                    <w:widowControl/>
                    <w:jc w:val="center"/>
                    <w:rPr>
                      <w:rFonts w:hint="eastAsia" w:ascii="Times New Roman" w:hAnsi="Times New Roman" w:eastAsia="宋体" w:cs="Times New Roman"/>
                      <w:color w:val="auto"/>
                      <w:spacing w:val="-10"/>
                      <w:kern w:val="2"/>
                      <w:sz w:val="18"/>
                      <w:szCs w:val="18"/>
                      <w:lang w:val="en-US" w:eastAsia="zh-CN" w:bidi="ar-SA"/>
                    </w:rPr>
                  </w:pPr>
                  <w:r>
                    <w:rPr>
                      <w:rFonts w:hint="eastAsia" w:ascii="Times New Roman" w:hAnsi="Times New Roman" w:eastAsia="宋体" w:cs="Times New Roman"/>
                      <w:color w:val="auto"/>
                      <w:spacing w:val="-10"/>
                      <w:sz w:val="18"/>
                      <w:szCs w:val="18"/>
                      <w:lang w:val="en-US" w:eastAsia="zh-CN"/>
                    </w:rPr>
                    <w:t>铁料（粒径大于</w:t>
                  </w:r>
                  <w:r>
                    <w:rPr>
                      <w:rFonts w:hint="default" w:ascii="Times New Roman" w:hAnsi="Times New Roman" w:eastAsia="宋体" w:cs="Times New Roman"/>
                      <w:color w:val="auto"/>
                      <w:spacing w:val="-10"/>
                      <w:sz w:val="18"/>
                      <w:szCs w:val="18"/>
                      <w:lang w:val="en-US" w:eastAsia="zh-CN"/>
                    </w:rPr>
                    <w:t>1cm</w:t>
                  </w:r>
                  <w:r>
                    <w:rPr>
                      <w:rFonts w:hint="eastAsia" w:ascii="Times New Roman" w:hAnsi="Times New Roman" w:eastAsia="宋体" w:cs="Times New Roman"/>
                      <w:color w:val="auto"/>
                      <w:spacing w:val="-10"/>
                      <w:sz w:val="18"/>
                      <w:szCs w:val="18"/>
                      <w:lang w:val="en-US" w:eastAsia="zh-CN"/>
                    </w:rPr>
                    <w:t>）</w:t>
                  </w:r>
                </w:p>
              </w:tc>
              <w:tc>
                <w:tcPr>
                  <w:tcW w:w="932" w:type="dxa"/>
                  <w:tcBorders>
                    <w:tl2br w:val="nil"/>
                    <w:tr2bl w:val="nil"/>
                  </w:tcBorders>
                  <w:shd w:val="clear" w:color="auto" w:fill="auto"/>
                  <w:noWrap w:val="0"/>
                  <w:vAlign w:val="center"/>
                </w:tcPr>
                <w:p w14:paraId="6EC22F5C">
                  <w:pPr>
                    <w:widowControl/>
                    <w:jc w:val="center"/>
                    <w:rPr>
                      <w:rFonts w:hint="default" w:ascii="Times New Roman" w:hAnsi="Times New Roman" w:eastAsia="宋体" w:cs="Times New Roman"/>
                      <w:color w:val="auto"/>
                      <w:spacing w:val="-10"/>
                      <w:kern w:val="2"/>
                      <w:sz w:val="18"/>
                      <w:szCs w:val="18"/>
                      <w:highlight w:val="none"/>
                      <w:lang w:val="en-US" w:eastAsia="zh-CN" w:bidi="ar-SA"/>
                    </w:rPr>
                  </w:pPr>
                  <w:r>
                    <w:rPr>
                      <w:rFonts w:hint="eastAsia" w:cs="Times New Roman"/>
                      <w:color w:val="auto"/>
                      <w:spacing w:val="-10"/>
                      <w:sz w:val="18"/>
                      <w:szCs w:val="18"/>
                      <w:highlight w:val="none"/>
                      <w:lang w:val="en-US" w:eastAsia="zh-CN"/>
                    </w:rPr>
                    <w:t>21500</w:t>
                  </w:r>
                </w:p>
              </w:tc>
              <w:tc>
                <w:tcPr>
                  <w:tcW w:w="1811" w:type="dxa"/>
                  <w:tcBorders>
                    <w:tl2br w:val="nil"/>
                    <w:tr2bl w:val="nil"/>
                  </w:tcBorders>
                  <w:noWrap w:val="0"/>
                  <w:vAlign w:val="center"/>
                </w:tcPr>
                <w:p w14:paraId="55219364">
                  <w:pPr>
                    <w:widowControl/>
                    <w:jc w:val="center"/>
                    <w:rPr>
                      <w:rFonts w:hint="default" w:ascii="Times New Roman" w:hAnsi="Times New Roman" w:eastAsia="宋体" w:cs="Times New Roman"/>
                      <w:color w:val="auto"/>
                      <w:spacing w:val="-10"/>
                      <w:kern w:val="2"/>
                      <w:sz w:val="18"/>
                      <w:szCs w:val="18"/>
                      <w:highlight w:val="none"/>
                      <w:lang w:val="en-US" w:eastAsia="zh-CN" w:bidi="ar-SA"/>
                    </w:rPr>
                  </w:pPr>
                  <w:r>
                    <w:rPr>
                      <w:rFonts w:hint="eastAsia" w:ascii="Times New Roman" w:hAnsi="Times New Roman" w:eastAsia="宋体" w:cs="Times New Roman"/>
                      <w:color w:val="auto"/>
                      <w:spacing w:val="-10"/>
                      <w:kern w:val="2"/>
                      <w:sz w:val="18"/>
                      <w:szCs w:val="18"/>
                      <w:highlight w:val="none"/>
                      <w:lang w:val="en-US" w:eastAsia="zh-CN" w:bidi="ar-SA"/>
                    </w:rPr>
                    <w:t>《再生钢铁原料》GB/T39733—2024</w:t>
                  </w:r>
                </w:p>
              </w:tc>
              <w:tc>
                <w:tcPr>
                  <w:tcW w:w="2986" w:type="dxa"/>
                  <w:tcBorders>
                    <w:tl2br w:val="nil"/>
                    <w:tr2bl w:val="nil"/>
                  </w:tcBorders>
                  <w:shd w:val="clear" w:color="auto" w:fill="auto"/>
                  <w:noWrap w:val="0"/>
                  <w:vAlign w:val="center"/>
                </w:tcPr>
                <w:p w14:paraId="6F7257E4">
                  <w:pPr>
                    <w:widowControl/>
                    <w:jc w:val="center"/>
                    <w:rPr>
                      <w:rFonts w:hint="default" w:ascii="Times New Roman" w:hAnsi="Times New Roman" w:eastAsia="宋体" w:cs="Times New Roman"/>
                      <w:color w:val="auto"/>
                      <w:spacing w:val="-10"/>
                      <w:kern w:val="2"/>
                      <w:sz w:val="18"/>
                      <w:szCs w:val="18"/>
                      <w:highlight w:val="none"/>
                      <w:lang w:val="en-US" w:eastAsia="zh-CN" w:bidi="ar-SA"/>
                    </w:rPr>
                  </w:pPr>
                  <w:r>
                    <w:rPr>
                      <w:rFonts w:hint="eastAsia" w:ascii="Times New Roman" w:hAnsi="Times New Roman" w:eastAsia="宋体" w:cs="Times New Roman"/>
                      <w:color w:val="auto"/>
                      <w:spacing w:val="-10"/>
                      <w:kern w:val="2"/>
                      <w:sz w:val="18"/>
                      <w:szCs w:val="18"/>
                      <w:highlight w:val="none"/>
                      <w:lang w:val="en-US" w:eastAsia="zh-CN" w:bidi="ar-SA"/>
                    </w:rPr>
                    <w:t>粒径大于</w:t>
                  </w:r>
                  <w:r>
                    <w:rPr>
                      <w:rFonts w:hint="default" w:ascii="Times New Roman" w:hAnsi="Times New Roman" w:eastAsia="宋体" w:cs="Times New Roman"/>
                      <w:color w:val="auto"/>
                      <w:spacing w:val="-10"/>
                      <w:kern w:val="2"/>
                      <w:sz w:val="18"/>
                      <w:szCs w:val="18"/>
                      <w:highlight w:val="none"/>
                      <w:lang w:val="en-US" w:eastAsia="zh-CN" w:bidi="ar-SA"/>
                    </w:rPr>
                    <w:t>1cm</w:t>
                  </w:r>
                  <w:r>
                    <w:rPr>
                      <w:rFonts w:hint="eastAsia" w:ascii="Times New Roman" w:hAnsi="Times New Roman" w:eastAsia="宋体" w:cs="Times New Roman"/>
                      <w:color w:val="auto"/>
                      <w:spacing w:val="-10"/>
                      <w:kern w:val="2"/>
                      <w:sz w:val="18"/>
                      <w:szCs w:val="18"/>
                      <w:highlight w:val="none"/>
                      <w:lang w:val="en-US" w:eastAsia="zh-CN" w:bidi="ar-SA"/>
                    </w:rPr>
                    <w:t>，散装，</w:t>
                  </w:r>
                  <w:bookmarkStart w:id="13" w:name="OLE_LINK5"/>
                  <w:r>
                    <w:rPr>
                      <w:rFonts w:hint="eastAsia" w:ascii="Times New Roman" w:hAnsi="Times New Roman" w:eastAsia="宋体" w:cs="Times New Roman"/>
                      <w:color w:val="auto"/>
                      <w:spacing w:val="-10"/>
                      <w:kern w:val="2"/>
                      <w:sz w:val="18"/>
                      <w:szCs w:val="18"/>
                      <w:highlight w:val="none"/>
                      <w:lang w:val="en-US" w:eastAsia="zh-CN" w:bidi="ar-SA"/>
                    </w:rPr>
                    <w:t>汽车运输，采用防尘苫布覆盖，外售相关回收单位作原料</w:t>
                  </w:r>
                  <w:bookmarkEnd w:id="13"/>
                </w:p>
              </w:tc>
            </w:tr>
            <w:tr w14:paraId="5F66072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606" w:type="dxa"/>
                  <w:tcBorders>
                    <w:tl2br w:val="nil"/>
                    <w:tr2bl w:val="nil"/>
                  </w:tcBorders>
                  <w:shd w:val="clear" w:color="auto" w:fill="auto"/>
                  <w:noWrap w:val="0"/>
                  <w:vAlign w:val="center"/>
                </w:tcPr>
                <w:p w14:paraId="41445B5D">
                  <w:pPr>
                    <w:widowControl/>
                    <w:jc w:val="center"/>
                    <w:rPr>
                      <w:rFonts w:hint="default" w:ascii="Times New Roman" w:hAnsi="Times New Roman" w:eastAsia="宋体" w:cs="Times New Roman"/>
                      <w:color w:val="auto"/>
                      <w:spacing w:val="-10"/>
                      <w:kern w:val="2"/>
                      <w:sz w:val="18"/>
                      <w:szCs w:val="18"/>
                      <w:lang w:val="en-US" w:eastAsia="zh-CN" w:bidi="ar-SA"/>
                    </w:rPr>
                  </w:pPr>
                  <w:r>
                    <w:rPr>
                      <w:rFonts w:hint="eastAsia" w:ascii="Times New Roman" w:hAnsi="Times New Roman" w:eastAsia="宋体" w:cs="Times New Roman"/>
                      <w:color w:val="auto"/>
                      <w:spacing w:val="-10"/>
                      <w:sz w:val="18"/>
                      <w:szCs w:val="18"/>
                      <w:lang w:val="en-US" w:eastAsia="zh-CN"/>
                    </w:rPr>
                    <w:t>2</w:t>
                  </w:r>
                </w:p>
              </w:tc>
              <w:tc>
                <w:tcPr>
                  <w:tcW w:w="720" w:type="dxa"/>
                  <w:vMerge w:val="continue"/>
                  <w:tcBorders>
                    <w:tl2br w:val="nil"/>
                    <w:tr2bl w:val="nil"/>
                  </w:tcBorders>
                  <w:noWrap w:val="0"/>
                  <w:vAlign w:val="center"/>
                </w:tcPr>
                <w:p w14:paraId="31AB83A1">
                  <w:pPr>
                    <w:widowControl/>
                    <w:jc w:val="center"/>
                    <w:rPr>
                      <w:rFonts w:hint="eastAsia" w:ascii="Times New Roman" w:hAnsi="Times New Roman" w:eastAsia="宋体" w:cs="Times New Roman"/>
                      <w:color w:val="auto"/>
                      <w:spacing w:val="-10"/>
                      <w:sz w:val="18"/>
                      <w:szCs w:val="18"/>
                      <w:lang w:val="en-US" w:eastAsia="zh-CN"/>
                    </w:rPr>
                  </w:pPr>
                </w:p>
              </w:tc>
              <w:tc>
                <w:tcPr>
                  <w:tcW w:w="943" w:type="dxa"/>
                  <w:tcBorders>
                    <w:tl2br w:val="nil"/>
                    <w:tr2bl w:val="nil"/>
                  </w:tcBorders>
                  <w:shd w:val="clear" w:color="auto" w:fill="auto"/>
                  <w:noWrap w:val="0"/>
                  <w:vAlign w:val="center"/>
                </w:tcPr>
                <w:p w14:paraId="3BC260C6">
                  <w:pPr>
                    <w:widowControl/>
                    <w:jc w:val="center"/>
                    <w:rPr>
                      <w:rFonts w:hint="eastAsia" w:ascii="Times New Roman" w:hAnsi="Times New Roman" w:eastAsia="宋体" w:cs="Times New Roman"/>
                      <w:color w:val="auto"/>
                      <w:spacing w:val="-10"/>
                      <w:kern w:val="2"/>
                      <w:sz w:val="18"/>
                      <w:szCs w:val="18"/>
                      <w:highlight w:val="none"/>
                      <w:lang w:val="en-US" w:eastAsia="zh-CN" w:bidi="ar-SA"/>
                    </w:rPr>
                  </w:pPr>
                  <w:r>
                    <w:rPr>
                      <w:rFonts w:hint="eastAsia" w:ascii="Times New Roman" w:hAnsi="Times New Roman" w:eastAsia="宋体" w:cs="Times New Roman"/>
                      <w:color w:val="auto"/>
                      <w:spacing w:val="-10"/>
                      <w:sz w:val="18"/>
                      <w:szCs w:val="18"/>
                      <w:highlight w:val="none"/>
                      <w:lang w:val="en-US" w:eastAsia="zh-CN"/>
                    </w:rPr>
                    <w:t>有色金属混合料</w:t>
                  </w:r>
                </w:p>
              </w:tc>
              <w:tc>
                <w:tcPr>
                  <w:tcW w:w="932" w:type="dxa"/>
                  <w:tcBorders>
                    <w:tl2br w:val="nil"/>
                    <w:tr2bl w:val="nil"/>
                  </w:tcBorders>
                  <w:shd w:val="clear" w:color="auto" w:fill="auto"/>
                  <w:noWrap w:val="0"/>
                  <w:vAlign w:val="center"/>
                </w:tcPr>
                <w:p w14:paraId="68C87334">
                  <w:pPr>
                    <w:widowControl/>
                    <w:jc w:val="center"/>
                    <w:rPr>
                      <w:rFonts w:hint="default" w:ascii="Times New Roman" w:hAnsi="Times New Roman" w:eastAsia="宋体" w:cs="Times New Roman"/>
                      <w:color w:val="auto"/>
                      <w:spacing w:val="-10"/>
                      <w:kern w:val="2"/>
                      <w:sz w:val="18"/>
                      <w:szCs w:val="18"/>
                      <w:highlight w:val="none"/>
                      <w:lang w:val="en-US" w:eastAsia="zh-CN" w:bidi="ar-SA"/>
                    </w:rPr>
                  </w:pPr>
                  <w:r>
                    <w:rPr>
                      <w:rFonts w:hint="eastAsia" w:cs="Times New Roman"/>
                      <w:color w:val="auto"/>
                      <w:spacing w:val="-10"/>
                      <w:sz w:val="18"/>
                      <w:szCs w:val="18"/>
                      <w:highlight w:val="none"/>
                      <w:lang w:val="en-US" w:eastAsia="zh-CN"/>
                    </w:rPr>
                    <w:t>6700</w:t>
                  </w:r>
                </w:p>
              </w:tc>
              <w:tc>
                <w:tcPr>
                  <w:tcW w:w="1811" w:type="dxa"/>
                  <w:tcBorders>
                    <w:tl2br w:val="nil"/>
                    <w:tr2bl w:val="nil"/>
                  </w:tcBorders>
                  <w:noWrap w:val="0"/>
                  <w:vAlign w:val="center"/>
                </w:tcPr>
                <w:p w14:paraId="21A8CFC5">
                  <w:pPr>
                    <w:widowControl/>
                    <w:jc w:val="center"/>
                    <w:rPr>
                      <w:rFonts w:hint="eastAsia" w:ascii="Times New Roman" w:hAnsi="Times New Roman" w:eastAsia="宋体" w:cs="Times New Roman"/>
                      <w:color w:val="auto"/>
                      <w:spacing w:val="-10"/>
                      <w:kern w:val="2"/>
                      <w:sz w:val="18"/>
                      <w:szCs w:val="18"/>
                      <w:highlight w:val="none"/>
                      <w:lang w:val="en-US" w:eastAsia="zh-CN" w:bidi="ar-SA"/>
                    </w:rPr>
                  </w:pPr>
                  <w:r>
                    <w:rPr>
                      <w:rFonts w:hint="default" w:ascii="Times New Roman" w:hAnsi="Times New Roman" w:eastAsia="宋体" w:cs="Times New Roman"/>
                      <w:color w:val="auto"/>
                      <w:spacing w:val="-10"/>
                      <w:kern w:val="2"/>
                      <w:sz w:val="18"/>
                      <w:szCs w:val="18"/>
                      <w:highlight w:val="none"/>
                      <w:lang w:val="en-US" w:eastAsia="zh-CN" w:bidi="ar-SA"/>
                    </w:rPr>
                    <w:t>《再生钢铁原料》（GB/T 39733-202</w:t>
                  </w:r>
                  <w:r>
                    <w:rPr>
                      <w:rFonts w:hint="eastAsia" w:ascii="Times New Roman" w:hAnsi="Times New Roman" w:eastAsia="宋体" w:cs="Times New Roman"/>
                      <w:color w:val="auto"/>
                      <w:spacing w:val="-10"/>
                      <w:kern w:val="2"/>
                      <w:sz w:val="18"/>
                      <w:szCs w:val="18"/>
                      <w:highlight w:val="none"/>
                      <w:lang w:val="en-US" w:eastAsia="zh-CN" w:bidi="ar-SA"/>
                    </w:rPr>
                    <w:t>4</w:t>
                  </w:r>
                  <w:r>
                    <w:rPr>
                      <w:rFonts w:hint="default" w:ascii="Times New Roman" w:hAnsi="Times New Roman" w:eastAsia="宋体" w:cs="Times New Roman"/>
                      <w:color w:val="auto"/>
                      <w:spacing w:val="-10"/>
                      <w:kern w:val="2"/>
                      <w:sz w:val="18"/>
                      <w:szCs w:val="18"/>
                      <w:highlight w:val="none"/>
                      <w:lang w:val="en-US" w:eastAsia="zh-CN" w:bidi="ar-SA"/>
                    </w:rPr>
                    <w:t>）</w:t>
                  </w:r>
                </w:p>
              </w:tc>
              <w:tc>
                <w:tcPr>
                  <w:tcW w:w="2986" w:type="dxa"/>
                  <w:tcBorders>
                    <w:tl2br w:val="nil"/>
                    <w:tr2bl w:val="nil"/>
                  </w:tcBorders>
                  <w:shd w:val="clear" w:color="auto" w:fill="auto"/>
                  <w:noWrap w:val="0"/>
                  <w:vAlign w:val="center"/>
                </w:tcPr>
                <w:p w14:paraId="65D14C00">
                  <w:pPr>
                    <w:widowControl/>
                    <w:jc w:val="center"/>
                    <w:rPr>
                      <w:rFonts w:hint="eastAsia" w:ascii="Times New Roman" w:hAnsi="Times New Roman" w:eastAsia="宋体" w:cs="Times New Roman"/>
                      <w:color w:val="auto"/>
                      <w:spacing w:val="-10"/>
                      <w:kern w:val="2"/>
                      <w:sz w:val="18"/>
                      <w:szCs w:val="18"/>
                      <w:highlight w:val="none"/>
                      <w:lang w:val="en-US" w:eastAsia="zh-CN" w:bidi="ar-SA"/>
                    </w:rPr>
                  </w:pPr>
                  <w:r>
                    <w:rPr>
                      <w:rFonts w:hint="eastAsia" w:ascii="Times New Roman" w:hAnsi="Times New Roman" w:eastAsia="宋体" w:cs="Times New Roman"/>
                      <w:color w:val="auto"/>
                      <w:spacing w:val="-10"/>
                      <w:kern w:val="2"/>
                      <w:sz w:val="18"/>
                      <w:szCs w:val="18"/>
                      <w:highlight w:val="none"/>
                      <w:lang w:val="en-US" w:eastAsia="zh-CN" w:bidi="ar-SA"/>
                    </w:rPr>
                    <w:t>主要为铜、铝、锌等混合物，散装，汽车运输，采用防尘苫布覆盖，外售相关回收单位进行再次分选</w:t>
                  </w:r>
                </w:p>
              </w:tc>
            </w:tr>
            <w:tr w14:paraId="78C6D19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06" w:type="dxa"/>
                  <w:tcBorders>
                    <w:tl2br w:val="nil"/>
                    <w:tr2bl w:val="nil"/>
                  </w:tcBorders>
                  <w:shd w:val="clear" w:color="auto" w:fill="auto"/>
                  <w:noWrap w:val="0"/>
                  <w:vAlign w:val="center"/>
                </w:tcPr>
                <w:p w14:paraId="321DB01A">
                  <w:pPr>
                    <w:widowControl/>
                    <w:jc w:val="center"/>
                    <w:rPr>
                      <w:rFonts w:hint="default" w:ascii="Times New Roman" w:hAnsi="Times New Roman" w:eastAsia="宋体" w:cs="Times New Roman"/>
                      <w:color w:val="auto"/>
                      <w:spacing w:val="-10"/>
                      <w:kern w:val="2"/>
                      <w:sz w:val="18"/>
                      <w:szCs w:val="18"/>
                      <w:lang w:val="en-US" w:eastAsia="zh-CN" w:bidi="ar-SA"/>
                    </w:rPr>
                  </w:pPr>
                  <w:r>
                    <w:rPr>
                      <w:rFonts w:hint="eastAsia" w:ascii="Times New Roman" w:hAnsi="Times New Roman" w:eastAsia="宋体" w:cs="Times New Roman"/>
                      <w:color w:val="auto"/>
                      <w:spacing w:val="-10"/>
                      <w:sz w:val="18"/>
                      <w:szCs w:val="18"/>
                      <w:lang w:val="en-US" w:eastAsia="zh-CN"/>
                    </w:rPr>
                    <w:t>3</w:t>
                  </w:r>
                </w:p>
              </w:tc>
              <w:tc>
                <w:tcPr>
                  <w:tcW w:w="720" w:type="dxa"/>
                  <w:vMerge w:val="continue"/>
                  <w:tcBorders>
                    <w:tl2br w:val="nil"/>
                    <w:tr2bl w:val="nil"/>
                  </w:tcBorders>
                  <w:noWrap w:val="0"/>
                  <w:vAlign w:val="center"/>
                </w:tcPr>
                <w:p w14:paraId="18EA96E0">
                  <w:pPr>
                    <w:widowControl/>
                    <w:jc w:val="center"/>
                    <w:rPr>
                      <w:rFonts w:hint="eastAsia" w:ascii="Times New Roman" w:hAnsi="Times New Roman" w:eastAsia="宋体" w:cs="Times New Roman"/>
                      <w:color w:val="auto"/>
                      <w:spacing w:val="-10"/>
                      <w:sz w:val="18"/>
                      <w:szCs w:val="18"/>
                      <w:lang w:val="en-US" w:eastAsia="zh-CN"/>
                    </w:rPr>
                  </w:pPr>
                </w:p>
              </w:tc>
              <w:tc>
                <w:tcPr>
                  <w:tcW w:w="943" w:type="dxa"/>
                  <w:tcBorders>
                    <w:tl2br w:val="nil"/>
                    <w:tr2bl w:val="nil"/>
                  </w:tcBorders>
                  <w:shd w:val="clear" w:color="auto" w:fill="auto"/>
                  <w:noWrap w:val="0"/>
                  <w:vAlign w:val="center"/>
                </w:tcPr>
                <w:p w14:paraId="167FC442">
                  <w:pPr>
                    <w:widowControl/>
                    <w:jc w:val="center"/>
                    <w:rPr>
                      <w:rFonts w:hint="eastAsia" w:ascii="Times New Roman" w:hAnsi="Times New Roman" w:eastAsia="宋体" w:cs="Times New Roman"/>
                      <w:color w:val="auto"/>
                      <w:spacing w:val="-10"/>
                      <w:kern w:val="2"/>
                      <w:sz w:val="18"/>
                      <w:szCs w:val="18"/>
                      <w:highlight w:val="none"/>
                      <w:lang w:val="en-US" w:eastAsia="zh-CN" w:bidi="ar-SA"/>
                    </w:rPr>
                  </w:pPr>
                  <w:r>
                    <w:rPr>
                      <w:rFonts w:hint="eastAsia" w:ascii="Times New Roman" w:hAnsi="Times New Roman" w:eastAsia="宋体" w:cs="Times New Roman"/>
                      <w:color w:val="auto"/>
                      <w:spacing w:val="-10"/>
                      <w:sz w:val="18"/>
                      <w:szCs w:val="18"/>
                      <w:highlight w:val="none"/>
                      <w:lang w:val="en-US" w:eastAsia="zh-CN"/>
                    </w:rPr>
                    <w:t>铁粉（粒径小于</w:t>
                  </w:r>
                  <w:r>
                    <w:rPr>
                      <w:rFonts w:hint="default" w:ascii="Times New Roman" w:hAnsi="Times New Roman" w:eastAsia="宋体" w:cs="Times New Roman"/>
                      <w:color w:val="auto"/>
                      <w:spacing w:val="-10"/>
                      <w:sz w:val="18"/>
                      <w:szCs w:val="18"/>
                      <w:highlight w:val="none"/>
                      <w:lang w:val="en-US" w:eastAsia="zh-CN"/>
                    </w:rPr>
                    <w:t>1cm</w:t>
                  </w:r>
                  <w:r>
                    <w:rPr>
                      <w:rFonts w:hint="eastAsia" w:ascii="Times New Roman" w:hAnsi="Times New Roman" w:eastAsia="宋体" w:cs="Times New Roman"/>
                      <w:color w:val="auto"/>
                      <w:spacing w:val="-10"/>
                      <w:sz w:val="18"/>
                      <w:szCs w:val="18"/>
                      <w:highlight w:val="none"/>
                      <w:lang w:val="en-US" w:eastAsia="zh-CN"/>
                    </w:rPr>
                    <w:t>）</w:t>
                  </w:r>
                </w:p>
              </w:tc>
              <w:tc>
                <w:tcPr>
                  <w:tcW w:w="932" w:type="dxa"/>
                  <w:tcBorders>
                    <w:tl2br w:val="nil"/>
                    <w:tr2bl w:val="nil"/>
                  </w:tcBorders>
                  <w:shd w:val="clear" w:color="auto" w:fill="auto"/>
                  <w:noWrap w:val="0"/>
                  <w:vAlign w:val="center"/>
                </w:tcPr>
                <w:p w14:paraId="64EF30DF">
                  <w:pPr>
                    <w:widowControl/>
                    <w:jc w:val="center"/>
                    <w:rPr>
                      <w:rFonts w:hint="default" w:ascii="Times New Roman" w:hAnsi="Times New Roman" w:eastAsia="宋体" w:cs="Times New Roman"/>
                      <w:color w:val="auto"/>
                      <w:spacing w:val="-10"/>
                      <w:kern w:val="2"/>
                      <w:sz w:val="18"/>
                      <w:szCs w:val="18"/>
                      <w:highlight w:val="none"/>
                      <w:lang w:val="en-US" w:eastAsia="zh-CN" w:bidi="ar-SA"/>
                    </w:rPr>
                  </w:pPr>
                  <w:r>
                    <w:rPr>
                      <w:rFonts w:hint="eastAsia" w:cs="Times New Roman"/>
                      <w:color w:val="auto"/>
                      <w:spacing w:val="-10"/>
                      <w:sz w:val="18"/>
                      <w:szCs w:val="18"/>
                      <w:highlight w:val="none"/>
                      <w:lang w:val="en-US" w:eastAsia="zh-CN"/>
                    </w:rPr>
                    <w:t>42800</w:t>
                  </w:r>
                </w:p>
              </w:tc>
              <w:tc>
                <w:tcPr>
                  <w:tcW w:w="1811" w:type="dxa"/>
                  <w:tcBorders>
                    <w:tl2br w:val="nil"/>
                    <w:tr2bl w:val="nil"/>
                  </w:tcBorders>
                  <w:noWrap w:val="0"/>
                  <w:vAlign w:val="center"/>
                </w:tcPr>
                <w:p w14:paraId="5520F417">
                  <w:pPr>
                    <w:widowControl/>
                    <w:jc w:val="center"/>
                    <w:rPr>
                      <w:rFonts w:hint="default" w:ascii="Times New Roman" w:hAnsi="Times New Roman" w:eastAsia="宋体" w:cs="Times New Roman"/>
                      <w:color w:val="auto"/>
                      <w:spacing w:val="-10"/>
                      <w:kern w:val="2"/>
                      <w:sz w:val="18"/>
                      <w:szCs w:val="18"/>
                      <w:highlight w:val="none"/>
                      <w:lang w:val="en-US" w:eastAsia="zh-CN" w:bidi="ar-SA"/>
                    </w:rPr>
                  </w:pPr>
                  <w:r>
                    <w:rPr>
                      <w:rFonts w:hint="eastAsia" w:ascii="Times New Roman" w:hAnsi="Times New Roman" w:eastAsia="宋体" w:cs="Times New Roman"/>
                      <w:color w:val="auto"/>
                      <w:spacing w:val="-10"/>
                      <w:kern w:val="2"/>
                      <w:sz w:val="18"/>
                      <w:szCs w:val="18"/>
                      <w:highlight w:val="none"/>
                      <w:lang w:val="en-US" w:eastAsia="zh-CN" w:bidi="ar-SA"/>
                    </w:rPr>
                    <w:t>/</w:t>
                  </w:r>
                </w:p>
              </w:tc>
              <w:tc>
                <w:tcPr>
                  <w:tcW w:w="2986" w:type="dxa"/>
                  <w:tcBorders>
                    <w:tl2br w:val="nil"/>
                    <w:tr2bl w:val="nil"/>
                  </w:tcBorders>
                  <w:shd w:val="clear" w:color="auto" w:fill="auto"/>
                  <w:noWrap w:val="0"/>
                  <w:vAlign w:val="center"/>
                </w:tcPr>
                <w:p w14:paraId="52092551">
                  <w:pPr>
                    <w:widowControl/>
                    <w:jc w:val="center"/>
                    <w:rPr>
                      <w:rFonts w:hint="default" w:ascii="Times New Roman" w:hAnsi="Times New Roman" w:eastAsia="宋体" w:cs="Times New Roman"/>
                      <w:color w:val="auto"/>
                      <w:spacing w:val="-10"/>
                      <w:kern w:val="2"/>
                      <w:sz w:val="18"/>
                      <w:szCs w:val="18"/>
                      <w:highlight w:val="none"/>
                      <w:lang w:val="en-US" w:eastAsia="zh-CN" w:bidi="ar-SA"/>
                    </w:rPr>
                  </w:pPr>
                  <w:r>
                    <w:rPr>
                      <w:rFonts w:hint="eastAsia" w:ascii="Times New Roman" w:hAnsi="Times New Roman" w:eastAsia="宋体" w:cs="Times New Roman"/>
                      <w:color w:val="auto"/>
                      <w:spacing w:val="-10"/>
                      <w:kern w:val="2"/>
                      <w:sz w:val="18"/>
                      <w:szCs w:val="18"/>
                      <w:highlight w:val="none"/>
                      <w:lang w:val="en-US" w:eastAsia="zh-CN" w:bidi="ar-SA"/>
                    </w:rPr>
                    <w:t>含水率15</w:t>
                  </w:r>
                  <w:r>
                    <w:rPr>
                      <w:rFonts w:hint="default" w:ascii="Times New Roman" w:hAnsi="Times New Roman" w:eastAsia="宋体" w:cs="Times New Roman"/>
                      <w:color w:val="auto"/>
                      <w:spacing w:val="-10"/>
                      <w:kern w:val="2"/>
                      <w:sz w:val="18"/>
                      <w:szCs w:val="18"/>
                      <w:highlight w:val="none"/>
                      <w:lang w:val="en-US" w:eastAsia="zh-CN" w:bidi="ar-SA"/>
                    </w:rPr>
                    <w:t>%</w:t>
                  </w:r>
                  <w:r>
                    <w:rPr>
                      <w:rFonts w:hint="eastAsia" w:ascii="Times New Roman" w:hAnsi="Times New Roman" w:eastAsia="宋体" w:cs="Times New Roman"/>
                      <w:color w:val="auto"/>
                      <w:spacing w:val="-10"/>
                      <w:kern w:val="2"/>
                      <w:sz w:val="18"/>
                      <w:szCs w:val="18"/>
                      <w:highlight w:val="none"/>
                      <w:lang w:val="en-US" w:eastAsia="zh-CN" w:bidi="ar-SA"/>
                    </w:rPr>
                    <w:t>，粒径小于</w:t>
                  </w:r>
                  <w:r>
                    <w:rPr>
                      <w:rFonts w:hint="default" w:ascii="Times New Roman" w:hAnsi="Times New Roman" w:eastAsia="宋体" w:cs="Times New Roman"/>
                      <w:color w:val="auto"/>
                      <w:spacing w:val="-10"/>
                      <w:kern w:val="2"/>
                      <w:sz w:val="18"/>
                      <w:szCs w:val="18"/>
                      <w:highlight w:val="none"/>
                      <w:lang w:val="en-US" w:eastAsia="zh-CN" w:bidi="ar-SA"/>
                    </w:rPr>
                    <w:t>1cm</w:t>
                  </w:r>
                  <w:r>
                    <w:rPr>
                      <w:rFonts w:hint="eastAsia" w:ascii="Times New Roman" w:hAnsi="Times New Roman" w:eastAsia="宋体" w:cs="Times New Roman"/>
                      <w:color w:val="auto"/>
                      <w:spacing w:val="-10"/>
                      <w:kern w:val="2"/>
                      <w:sz w:val="18"/>
                      <w:szCs w:val="18"/>
                      <w:highlight w:val="none"/>
                      <w:lang w:val="en-US" w:eastAsia="zh-CN" w:bidi="ar-SA"/>
                    </w:rPr>
                    <w:t>，散装，汽车运输，采用防尘苫布覆盖，外售相关回收单位进行再次分选</w:t>
                  </w:r>
                </w:p>
              </w:tc>
            </w:tr>
            <w:tr w14:paraId="331A80C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85" w:hRule="exact"/>
              </w:trPr>
              <w:tc>
                <w:tcPr>
                  <w:tcW w:w="606" w:type="dxa"/>
                  <w:tcBorders>
                    <w:tl2br w:val="nil"/>
                    <w:tr2bl w:val="nil"/>
                  </w:tcBorders>
                  <w:shd w:val="clear" w:color="auto" w:fill="auto"/>
                  <w:noWrap w:val="0"/>
                  <w:vAlign w:val="center"/>
                </w:tcPr>
                <w:p w14:paraId="3DD58A76">
                  <w:pPr>
                    <w:widowControl/>
                    <w:jc w:val="center"/>
                    <w:rPr>
                      <w:rFonts w:hint="default" w:cs="Times New Roman"/>
                      <w:color w:val="auto"/>
                      <w:spacing w:val="-10"/>
                      <w:sz w:val="18"/>
                      <w:szCs w:val="18"/>
                      <w:highlight w:val="none"/>
                      <w:lang w:val="en-US" w:eastAsia="zh-CN"/>
                    </w:rPr>
                  </w:pPr>
                  <w:r>
                    <w:rPr>
                      <w:rFonts w:hint="eastAsia" w:cs="Times New Roman"/>
                      <w:color w:val="auto"/>
                      <w:spacing w:val="-10"/>
                      <w:sz w:val="18"/>
                      <w:szCs w:val="18"/>
                      <w:highlight w:val="none"/>
                      <w:lang w:val="en-US" w:eastAsia="zh-CN"/>
                    </w:rPr>
                    <w:t>4</w:t>
                  </w:r>
                </w:p>
              </w:tc>
              <w:tc>
                <w:tcPr>
                  <w:tcW w:w="720" w:type="dxa"/>
                  <w:vMerge w:val="continue"/>
                  <w:tcBorders>
                    <w:tl2br w:val="nil"/>
                    <w:tr2bl w:val="nil"/>
                  </w:tcBorders>
                  <w:noWrap w:val="0"/>
                  <w:vAlign w:val="center"/>
                </w:tcPr>
                <w:p w14:paraId="6BB1D6D7">
                  <w:pPr>
                    <w:widowControl/>
                    <w:jc w:val="center"/>
                    <w:rPr>
                      <w:rFonts w:hint="eastAsia" w:cs="Times New Roman"/>
                      <w:color w:val="auto"/>
                      <w:spacing w:val="-10"/>
                      <w:sz w:val="18"/>
                      <w:szCs w:val="18"/>
                      <w:highlight w:val="none"/>
                      <w:lang w:val="en-US" w:eastAsia="zh-CN"/>
                    </w:rPr>
                  </w:pPr>
                </w:p>
              </w:tc>
              <w:tc>
                <w:tcPr>
                  <w:tcW w:w="943" w:type="dxa"/>
                  <w:tcBorders>
                    <w:tl2br w:val="nil"/>
                    <w:tr2bl w:val="nil"/>
                  </w:tcBorders>
                  <w:shd w:val="clear" w:color="auto" w:fill="auto"/>
                  <w:noWrap w:val="0"/>
                  <w:vAlign w:val="center"/>
                </w:tcPr>
                <w:p w14:paraId="5443F50E">
                  <w:pPr>
                    <w:widowControl/>
                    <w:jc w:val="center"/>
                    <w:rPr>
                      <w:rFonts w:hint="eastAsia" w:cs="Times New Roman"/>
                      <w:color w:val="auto"/>
                      <w:spacing w:val="-10"/>
                      <w:sz w:val="18"/>
                      <w:szCs w:val="18"/>
                      <w:highlight w:val="none"/>
                      <w:lang w:val="en-US" w:eastAsia="zh-CN"/>
                    </w:rPr>
                  </w:pPr>
                  <w:r>
                    <w:rPr>
                      <w:rFonts w:hint="eastAsia" w:cs="Times New Roman"/>
                      <w:color w:val="auto"/>
                      <w:spacing w:val="-10"/>
                      <w:sz w:val="18"/>
                      <w:szCs w:val="18"/>
                      <w:highlight w:val="none"/>
                      <w:lang w:val="en-US" w:eastAsia="zh-CN"/>
                    </w:rPr>
                    <w:t>不锈钢</w:t>
                  </w:r>
                </w:p>
              </w:tc>
              <w:tc>
                <w:tcPr>
                  <w:tcW w:w="932" w:type="dxa"/>
                  <w:tcBorders>
                    <w:tl2br w:val="nil"/>
                    <w:tr2bl w:val="nil"/>
                  </w:tcBorders>
                  <w:shd w:val="clear" w:color="auto" w:fill="auto"/>
                  <w:noWrap w:val="0"/>
                  <w:vAlign w:val="center"/>
                </w:tcPr>
                <w:p w14:paraId="1EDDA74A">
                  <w:pPr>
                    <w:widowControl/>
                    <w:jc w:val="center"/>
                    <w:rPr>
                      <w:rFonts w:hint="default" w:ascii="Times New Roman" w:hAnsi="Times New Roman" w:eastAsia="宋体" w:cs="Times New Roman"/>
                      <w:color w:val="auto"/>
                      <w:spacing w:val="-10"/>
                      <w:kern w:val="2"/>
                      <w:sz w:val="18"/>
                      <w:szCs w:val="18"/>
                      <w:highlight w:val="none"/>
                      <w:lang w:val="en-US" w:eastAsia="zh-CN" w:bidi="ar-SA"/>
                    </w:rPr>
                  </w:pPr>
                  <w:r>
                    <w:rPr>
                      <w:rFonts w:hint="eastAsia" w:cs="Times New Roman"/>
                      <w:color w:val="auto"/>
                      <w:spacing w:val="-10"/>
                      <w:sz w:val="18"/>
                      <w:szCs w:val="18"/>
                      <w:highlight w:val="none"/>
                      <w:lang w:val="en-US" w:eastAsia="zh-CN"/>
                    </w:rPr>
                    <w:t>10800</w:t>
                  </w:r>
                </w:p>
              </w:tc>
              <w:tc>
                <w:tcPr>
                  <w:tcW w:w="1811" w:type="dxa"/>
                  <w:tcBorders>
                    <w:tl2br w:val="nil"/>
                    <w:tr2bl w:val="nil"/>
                  </w:tcBorders>
                  <w:noWrap w:val="0"/>
                  <w:vAlign w:val="center"/>
                </w:tcPr>
                <w:p w14:paraId="3ACDFBB3">
                  <w:pPr>
                    <w:widowControl/>
                    <w:jc w:val="center"/>
                    <w:rPr>
                      <w:rFonts w:hint="default" w:ascii="Times New Roman" w:hAnsi="Times New Roman" w:eastAsia="宋体" w:cs="Times New Roman"/>
                      <w:color w:val="auto"/>
                      <w:spacing w:val="-10"/>
                      <w:kern w:val="2"/>
                      <w:sz w:val="18"/>
                      <w:szCs w:val="18"/>
                      <w:highlight w:val="none"/>
                      <w:lang w:val="en-US" w:eastAsia="zh-CN" w:bidi="ar-SA"/>
                    </w:rPr>
                  </w:pPr>
                  <w:r>
                    <w:rPr>
                      <w:rFonts w:hint="eastAsia" w:ascii="Times New Roman" w:hAnsi="Times New Roman" w:eastAsia="宋体" w:cs="Times New Roman"/>
                      <w:color w:val="auto"/>
                      <w:spacing w:val="-10"/>
                      <w:kern w:val="2"/>
                      <w:sz w:val="18"/>
                      <w:szCs w:val="18"/>
                      <w:highlight w:val="none"/>
                      <w:lang w:val="en-US" w:eastAsia="zh-CN" w:bidi="ar-SA"/>
                    </w:rPr>
                    <w:t>/</w:t>
                  </w:r>
                </w:p>
              </w:tc>
              <w:tc>
                <w:tcPr>
                  <w:tcW w:w="2986" w:type="dxa"/>
                  <w:tcBorders>
                    <w:tl2br w:val="nil"/>
                    <w:tr2bl w:val="nil"/>
                  </w:tcBorders>
                  <w:shd w:val="clear" w:color="auto" w:fill="auto"/>
                  <w:noWrap w:val="0"/>
                  <w:vAlign w:val="center"/>
                </w:tcPr>
                <w:p w14:paraId="2DE1D18C">
                  <w:pPr>
                    <w:widowControl/>
                    <w:jc w:val="center"/>
                    <w:rPr>
                      <w:rFonts w:hint="eastAsia" w:ascii="Times New Roman" w:hAnsi="Times New Roman" w:eastAsia="宋体" w:cs="Times New Roman"/>
                      <w:color w:val="auto"/>
                      <w:spacing w:val="-10"/>
                      <w:kern w:val="2"/>
                      <w:sz w:val="18"/>
                      <w:szCs w:val="18"/>
                      <w:highlight w:val="none"/>
                      <w:lang w:val="en-US" w:eastAsia="zh-CN" w:bidi="ar-SA"/>
                    </w:rPr>
                  </w:pPr>
                  <w:r>
                    <w:rPr>
                      <w:rFonts w:hint="eastAsia" w:ascii="Times New Roman" w:hAnsi="Times New Roman" w:eastAsia="宋体" w:cs="Times New Roman"/>
                      <w:color w:val="auto"/>
                      <w:spacing w:val="-10"/>
                      <w:kern w:val="2"/>
                      <w:sz w:val="18"/>
                      <w:szCs w:val="18"/>
                      <w:highlight w:val="none"/>
                      <w:lang w:val="en-US" w:eastAsia="zh-CN" w:bidi="ar-SA"/>
                    </w:rPr>
                    <w:t>散装，汽车运输，采用防尘苫布覆盖，外售相关回收单位</w:t>
                  </w:r>
                </w:p>
              </w:tc>
            </w:tr>
            <w:tr w14:paraId="50C7994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24" w:hRule="exact"/>
              </w:trPr>
              <w:tc>
                <w:tcPr>
                  <w:tcW w:w="606" w:type="dxa"/>
                  <w:tcBorders>
                    <w:tl2br w:val="nil"/>
                    <w:tr2bl w:val="nil"/>
                  </w:tcBorders>
                  <w:shd w:val="clear" w:color="auto" w:fill="auto"/>
                  <w:noWrap w:val="0"/>
                  <w:vAlign w:val="center"/>
                </w:tcPr>
                <w:p w14:paraId="06153B85">
                  <w:pPr>
                    <w:widowControl/>
                    <w:jc w:val="center"/>
                    <w:rPr>
                      <w:rFonts w:hint="default" w:ascii="Times New Roman" w:hAnsi="Times New Roman" w:eastAsia="宋体" w:cs="Times New Roman"/>
                      <w:color w:val="auto"/>
                      <w:spacing w:val="-10"/>
                      <w:kern w:val="2"/>
                      <w:sz w:val="18"/>
                      <w:szCs w:val="18"/>
                      <w:lang w:val="en-US" w:eastAsia="zh-CN" w:bidi="ar-SA"/>
                    </w:rPr>
                  </w:pPr>
                  <w:r>
                    <w:rPr>
                      <w:rFonts w:hint="eastAsia" w:ascii="Times New Roman" w:hAnsi="Times New Roman" w:eastAsia="宋体" w:cs="Times New Roman"/>
                      <w:color w:val="auto"/>
                      <w:spacing w:val="-10"/>
                      <w:sz w:val="18"/>
                      <w:szCs w:val="18"/>
                      <w:lang w:val="en-US" w:eastAsia="zh-CN"/>
                    </w:rPr>
                    <w:t>5</w:t>
                  </w:r>
                </w:p>
              </w:tc>
              <w:tc>
                <w:tcPr>
                  <w:tcW w:w="720" w:type="dxa"/>
                  <w:vMerge w:val="continue"/>
                  <w:tcBorders>
                    <w:tl2br w:val="nil"/>
                    <w:tr2bl w:val="nil"/>
                  </w:tcBorders>
                  <w:noWrap w:val="0"/>
                  <w:vAlign w:val="center"/>
                </w:tcPr>
                <w:p w14:paraId="559A99AE">
                  <w:pPr>
                    <w:widowControl/>
                    <w:jc w:val="center"/>
                    <w:rPr>
                      <w:rFonts w:hint="eastAsia" w:ascii="Times New Roman" w:hAnsi="Times New Roman" w:eastAsia="宋体" w:cs="Times New Roman"/>
                      <w:color w:val="auto"/>
                      <w:spacing w:val="-10"/>
                      <w:sz w:val="18"/>
                      <w:szCs w:val="18"/>
                      <w:lang w:val="en-US" w:eastAsia="zh-CN"/>
                    </w:rPr>
                  </w:pPr>
                </w:p>
              </w:tc>
              <w:tc>
                <w:tcPr>
                  <w:tcW w:w="943" w:type="dxa"/>
                  <w:tcBorders>
                    <w:tl2br w:val="nil"/>
                    <w:tr2bl w:val="nil"/>
                  </w:tcBorders>
                  <w:shd w:val="clear" w:color="auto" w:fill="auto"/>
                  <w:noWrap w:val="0"/>
                  <w:vAlign w:val="center"/>
                </w:tcPr>
                <w:p w14:paraId="19D471DB">
                  <w:pPr>
                    <w:widowControl/>
                    <w:jc w:val="center"/>
                    <w:rPr>
                      <w:rFonts w:hint="eastAsia" w:ascii="Times New Roman" w:hAnsi="Times New Roman" w:eastAsia="宋体" w:cs="Times New Roman"/>
                      <w:color w:val="auto"/>
                      <w:spacing w:val="-10"/>
                      <w:kern w:val="2"/>
                      <w:sz w:val="18"/>
                      <w:szCs w:val="18"/>
                      <w:lang w:val="en-US" w:eastAsia="zh-CN" w:bidi="ar-SA"/>
                    </w:rPr>
                  </w:pPr>
                  <w:r>
                    <w:rPr>
                      <w:rFonts w:hint="eastAsia" w:ascii="Times New Roman" w:hAnsi="Times New Roman" w:eastAsia="宋体" w:cs="Times New Roman"/>
                      <w:color w:val="auto"/>
                      <w:spacing w:val="-10"/>
                      <w:sz w:val="18"/>
                      <w:szCs w:val="18"/>
                      <w:lang w:val="en-US" w:eastAsia="zh-CN"/>
                    </w:rPr>
                    <w:t>橡胶</w:t>
                  </w:r>
                </w:p>
              </w:tc>
              <w:tc>
                <w:tcPr>
                  <w:tcW w:w="932" w:type="dxa"/>
                  <w:tcBorders>
                    <w:tl2br w:val="nil"/>
                    <w:tr2bl w:val="nil"/>
                  </w:tcBorders>
                  <w:shd w:val="clear" w:color="auto" w:fill="auto"/>
                  <w:noWrap w:val="0"/>
                  <w:vAlign w:val="center"/>
                </w:tcPr>
                <w:p w14:paraId="2826BCE5">
                  <w:pPr>
                    <w:widowControl/>
                    <w:jc w:val="center"/>
                    <w:rPr>
                      <w:rFonts w:hint="default" w:ascii="Times New Roman" w:hAnsi="Times New Roman" w:eastAsia="宋体" w:cs="Times New Roman"/>
                      <w:color w:val="auto"/>
                      <w:spacing w:val="-10"/>
                      <w:kern w:val="2"/>
                      <w:sz w:val="18"/>
                      <w:szCs w:val="18"/>
                      <w:highlight w:val="none"/>
                      <w:lang w:val="en-US" w:eastAsia="zh-CN" w:bidi="ar-SA"/>
                    </w:rPr>
                  </w:pPr>
                  <w:r>
                    <w:rPr>
                      <w:rFonts w:hint="eastAsia" w:cs="Times New Roman"/>
                      <w:color w:val="auto"/>
                      <w:spacing w:val="-10"/>
                      <w:sz w:val="18"/>
                      <w:szCs w:val="18"/>
                      <w:highlight w:val="none"/>
                      <w:lang w:val="en-US" w:eastAsia="zh-CN"/>
                    </w:rPr>
                    <w:t>57200</w:t>
                  </w:r>
                </w:p>
              </w:tc>
              <w:tc>
                <w:tcPr>
                  <w:tcW w:w="1811" w:type="dxa"/>
                  <w:tcBorders>
                    <w:tl2br w:val="nil"/>
                    <w:tr2bl w:val="nil"/>
                  </w:tcBorders>
                  <w:noWrap w:val="0"/>
                  <w:vAlign w:val="center"/>
                </w:tcPr>
                <w:p w14:paraId="1B16D99F">
                  <w:pPr>
                    <w:widowControl/>
                    <w:jc w:val="center"/>
                    <w:rPr>
                      <w:rFonts w:hint="eastAsia" w:ascii="Times New Roman" w:hAnsi="Times New Roman" w:eastAsia="宋体" w:cs="Times New Roman"/>
                      <w:color w:val="auto"/>
                      <w:spacing w:val="-10"/>
                      <w:kern w:val="2"/>
                      <w:sz w:val="18"/>
                      <w:szCs w:val="18"/>
                      <w:highlight w:val="none"/>
                      <w:lang w:val="en-US" w:eastAsia="zh-CN" w:bidi="ar-SA"/>
                    </w:rPr>
                  </w:pPr>
                  <w:r>
                    <w:rPr>
                      <w:rFonts w:hint="eastAsia" w:ascii="Times New Roman" w:hAnsi="Times New Roman" w:eastAsia="宋体" w:cs="Times New Roman"/>
                      <w:color w:val="auto"/>
                      <w:spacing w:val="-10"/>
                      <w:kern w:val="2"/>
                      <w:sz w:val="18"/>
                      <w:szCs w:val="18"/>
                      <w:highlight w:val="none"/>
                      <w:lang w:val="en-US" w:eastAsia="zh-CN" w:bidi="ar-SA"/>
                    </w:rPr>
                    <w:t>/</w:t>
                  </w:r>
                </w:p>
              </w:tc>
              <w:tc>
                <w:tcPr>
                  <w:tcW w:w="2986" w:type="dxa"/>
                  <w:tcBorders>
                    <w:tl2br w:val="nil"/>
                    <w:tr2bl w:val="nil"/>
                  </w:tcBorders>
                  <w:shd w:val="clear" w:color="auto" w:fill="auto"/>
                  <w:noWrap w:val="0"/>
                  <w:vAlign w:val="center"/>
                </w:tcPr>
                <w:p w14:paraId="766D1817">
                  <w:pPr>
                    <w:widowControl/>
                    <w:jc w:val="center"/>
                    <w:rPr>
                      <w:rFonts w:hint="eastAsia" w:ascii="Times New Roman" w:hAnsi="Times New Roman" w:eastAsia="宋体" w:cs="Times New Roman"/>
                      <w:color w:val="auto"/>
                      <w:spacing w:val="-10"/>
                      <w:kern w:val="2"/>
                      <w:sz w:val="18"/>
                      <w:szCs w:val="18"/>
                      <w:highlight w:val="none"/>
                      <w:lang w:val="en-US" w:eastAsia="zh-CN" w:bidi="ar-SA"/>
                    </w:rPr>
                  </w:pPr>
                  <w:r>
                    <w:rPr>
                      <w:rFonts w:hint="eastAsia" w:ascii="Times New Roman" w:hAnsi="Times New Roman" w:eastAsia="宋体" w:cs="Times New Roman"/>
                      <w:color w:val="auto"/>
                      <w:spacing w:val="-10"/>
                      <w:kern w:val="2"/>
                      <w:sz w:val="18"/>
                      <w:szCs w:val="18"/>
                      <w:highlight w:val="none"/>
                      <w:lang w:val="en-US" w:eastAsia="zh-CN" w:bidi="ar-SA"/>
                    </w:rPr>
                    <w:t xml:space="preserve">含水率 </w:t>
                  </w:r>
                  <w:r>
                    <w:rPr>
                      <w:rFonts w:hint="default" w:ascii="Times New Roman" w:hAnsi="Times New Roman" w:eastAsia="宋体" w:cs="Times New Roman"/>
                      <w:color w:val="auto"/>
                      <w:spacing w:val="-10"/>
                      <w:kern w:val="2"/>
                      <w:sz w:val="18"/>
                      <w:szCs w:val="18"/>
                      <w:highlight w:val="none"/>
                      <w:lang w:val="en-US" w:eastAsia="zh-CN" w:bidi="ar-SA"/>
                    </w:rPr>
                    <w:t>1%</w:t>
                  </w:r>
                  <w:r>
                    <w:rPr>
                      <w:rFonts w:hint="eastAsia" w:ascii="Times New Roman" w:hAnsi="Times New Roman" w:eastAsia="宋体" w:cs="Times New Roman"/>
                      <w:color w:val="auto"/>
                      <w:spacing w:val="-10"/>
                      <w:kern w:val="2"/>
                      <w:sz w:val="18"/>
                      <w:szCs w:val="18"/>
                      <w:highlight w:val="none"/>
                      <w:lang w:val="en-US" w:eastAsia="zh-CN" w:bidi="ar-SA"/>
                    </w:rPr>
                    <w:t>，散装，汽车运输，采用防尘苫布覆盖，外售相关回收单位作原料</w:t>
                  </w:r>
                </w:p>
              </w:tc>
            </w:tr>
            <w:tr w14:paraId="12E7627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45" w:hRule="atLeast"/>
              </w:trPr>
              <w:tc>
                <w:tcPr>
                  <w:tcW w:w="606" w:type="dxa"/>
                  <w:tcBorders>
                    <w:tl2br w:val="nil"/>
                    <w:tr2bl w:val="nil"/>
                  </w:tcBorders>
                  <w:shd w:val="clear" w:color="auto" w:fill="auto"/>
                  <w:noWrap w:val="0"/>
                  <w:vAlign w:val="center"/>
                </w:tcPr>
                <w:p w14:paraId="61C97886">
                  <w:pPr>
                    <w:widowControl/>
                    <w:jc w:val="center"/>
                    <w:rPr>
                      <w:rFonts w:hint="default" w:ascii="Times New Roman" w:hAnsi="Times New Roman" w:eastAsia="宋体" w:cs="Times New Roman"/>
                      <w:color w:val="auto"/>
                      <w:spacing w:val="-10"/>
                      <w:kern w:val="2"/>
                      <w:sz w:val="18"/>
                      <w:szCs w:val="18"/>
                      <w:lang w:val="en-US" w:eastAsia="zh-CN" w:bidi="ar-SA"/>
                    </w:rPr>
                  </w:pPr>
                  <w:r>
                    <w:rPr>
                      <w:rFonts w:hint="eastAsia" w:ascii="Times New Roman" w:hAnsi="Times New Roman" w:eastAsia="宋体" w:cs="Times New Roman"/>
                      <w:color w:val="auto"/>
                      <w:spacing w:val="-10"/>
                      <w:sz w:val="18"/>
                      <w:szCs w:val="18"/>
                      <w:lang w:val="en-US" w:eastAsia="zh-CN"/>
                    </w:rPr>
                    <w:t>6</w:t>
                  </w:r>
                </w:p>
              </w:tc>
              <w:tc>
                <w:tcPr>
                  <w:tcW w:w="720" w:type="dxa"/>
                  <w:vMerge w:val="continue"/>
                  <w:tcBorders>
                    <w:tl2br w:val="nil"/>
                    <w:tr2bl w:val="nil"/>
                  </w:tcBorders>
                  <w:noWrap w:val="0"/>
                  <w:vAlign w:val="center"/>
                </w:tcPr>
                <w:p w14:paraId="25CF551B">
                  <w:pPr>
                    <w:widowControl/>
                    <w:jc w:val="center"/>
                    <w:rPr>
                      <w:rFonts w:hint="eastAsia" w:ascii="Times New Roman" w:hAnsi="Times New Roman" w:eastAsia="宋体" w:cs="Times New Roman"/>
                      <w:color w:val="auto"/>
                      <w:spacing w:val="-10"/>
                      <w:sz w:val="18"/>
                      <w:szCs w:val="18"/>
                      <w:lang w:val="en-US" w:eastAsia="zh-CN"/>
                    </w:rPr>
                  </w:pPr>
                </w:p>
              </w:tc>
              <w:tc>
                <w:tcPr>
                  <w:tcW w:w="943" w:type="dxa"/>
                  <w:tcBorders>
                    <w:tl2br w:val="nil"/>
                    <w:tr2bl w:val="nil"/>
                  </w:tcBorders>
                  <w:shd w:val="clear" w:color="auto" w:fill="auto"/>
                  <w:noWrap w:val="0"/>
                  <w:vAlign w:val="center"/>
                </w:tcPr>
                <w:p w14:paraId="11AB7082">
                  <w:pPr>
                    <w:widowControl/>
                    <w:jc w:val="center"/>
                    <w:rPr>
                      <w:rFonts w:hint="eastAsia" w:ascii="Times New Roman" w:hAnsi="Times New Roman" w:eastAsia="宋体" w:cs="Times New Roman"/>
                      <w:color w:val="auto"/>
                      <w:spacing w:val="-10"/>
                      <w:kern w:val="2"/>
                      <w:sz w:val="18"/>
                      <w:szCs w:val="18"/>
                      <w:highlight w:val="none"/>
                      <w:lang w:val="en-US" w:eastAsia="zh-CN" w:bidi="ar-SA"/>
                    </w:rPr>
                  </w:pPr>
                  <w:r>
                    <w:rPr>
                      <w:rFonts w:hint="eastAsia" w:ascii="Times New Roman" w:hAnsi="Times New Roman" w:eastAsia="宋体" w:cs="Times New Roman"/>
                      <w:color w:val="auto"/>
                      <w:spacing w:val="-10"/>
                      <w:sz w:val="18"/>
                      <w:szCs w:val="18"/>
                      <w:highlight w:val="none"/>
                      <w:lang w:val="en-US" w:eastAsia="zh-CN"/>
                    </w:rPr>
                    <w:t>轻质塑料</w:t>
                  </w:r>
                </w:p>
              </w:tc>
              <w:tc>
                <w:tcPr>
                  <w:tcW w:w="932" w:type="dxa"/>
                  <w:tcBorders>
                    <w:tl2br w:val="nil"/>
                    <w:tr2bl w:val="nil"/>
                  </w:tcBorders>
                  <w:shd w:val="clear" w:color="auto" w:fill="auto"/>
                  <w:noWrap w:val="0"/>
                  <w:vAlign w:val="center"/>
                </w:tcPr>
                <w:p w14:paraId="737E5B1C">
                  <w:pPr>
                    <w:widowControl/>
                    <w:jc w:val="center"/>
                    <w:rPr>
                      <w:rFonts w:hint="default" w:ascii="Times New Roman" w:hAnsi="Times New Roman" w:eastAsia="宋体" w:cs="Times New Roman"/>
                      <w:color w:val="auto"/>
                      <w:spacing w:val="-10"/>
                      <w:kern w:val="2"/>
                      <w:sz w:val="18"/>
                      <w:szCs w:val="18"/>
                      <w:highlight w:val="none"/>
                      <w:lang w:val="en-US" w:eastAsia="zh-CN" w:bidi="ar-SA"/>
                    </w:rPr>
                  </w:pPr>
                  <w:r>
                    <w:rPr>
                      <w:rFonts w:hint="eastAsia" w:cs="Times New Roman"/>
                      <w:color w:val="auto"/>
                      <w:spacing w:val="-10"/>
                      <w:sz w:val="18"/>
                      <w:szCs w:val="18"/>
                      <w:highlight w:val="none"/>
                      <w:lang w:val="en-US" w:eastAsia="zh-CN"/>
                    </w:rPr>
                    <w:t>47100</w:t>
                  </w:r>
                </w:p>
              </w:tc>
              <w:tc>
                <w:tcPr>
                  <w:tcW w:w="1811" w:type="dxa"/>
                  <w:tcBorders>
                    <w:tl2br w:val="nil"/>
                    <w:tr2bl w:val="nil"/>
                  </w:tcBorders>
                  <w:noWrap w:val="0"/>
                  <w:vAlign w:val="center"/>
                </w:tcPr>
                <w:p w14:paraId="7B7F1FB2">
                  <w:pPr>
                    <w:widowControl/>
                    <w:jc w:val="center"/>
                    <w:rPr>
                      <w:rFonts w:hint="default" w:ascii="Times New Roman" w:hAnsi="Times New Roman" w:eastAsia="宋体" w:cs="Times New Roman"/>
                      <w:color w:val="auto"/>
                      <w:spacing w:val="-10"/>
                      <w:kern w:val="2"/>
                      <w:sz w:val="18"/>
                      <w:szCs w:val="18"/>
                      <w:highlight w:val="none"/>
                      <w:lang w:val="en-US" w:eastAsia="zh-CN" w:bidi="ar-SA"/>
                    </w:rPr>
                  </w:pPr>
                  <w:r>
                    <w:rPr>
                      <w:rFonts w:hint="eastAsia" w:ascii="Times New Roman" w:hAnsi="Times New Roman" w:eastAsia="宋体" w:cs="Times New Roman"/>
                      <w:color w:val="auto"/>
                      <w:spacing w:val="-10"/>
                      <w:kern w:val="2"/>
                      <w:sz w:val="18"/>
                      <w:szCs w:val="18"/>
                      <w:highlight w:val="none"/>
                      <w:lang w:val="en-US" w:eastAsia="zh-CN" w:bidi="ar-SA"/>
                    </w:rPr>
                    <w:t>/</w:t>
                  </w:r>
                </w:p>
              </w:tc>
              <w:tc>
                <w:tcPr>
                  <w:tcW w:w="2986" w:type="dxa"/>
                  <w:tcBorders>
                    <w:tl2br w:val="nil"/>
                    <w:tr2bl w:val="nil"/>
                  </w:tcBorders>
                  <w:shd w:val="clear" w:color="auto" w:fill="auto"/>
                  <w:noWrap w:val="0"/>
                  <w:vAlign w:val="center"/>
                </w:tcPr>
                <w:p w14:paraId="0F290255">
                  <w:pPr>
                    <w:widowControl/>
                    <w:jc w:val="center"/>
                    <w:rPr>
                      <w:rFonts w:hint="eastAsia" w:ascii="Times New Roman" w:hAnsi="Times New Roman" w:eastAsia="宋体" w:cs="Times New Roman"/>
                      <w:color w:val="auto"/>
                      <w:spacing w:val="-10"/>
                      <w:kern w:val="2"/>
                      <w:sz w:val="18"/>
                      <w:szCs w:val="18"/>
                      <w:highlight w:val="none"/>
                      <w:lang w:val="en-US" w:eastAsia="zh-CN" w:bidi="ar-SA"/>
                    </w:rPr>
                  </w:pPr>
                  <w:r>
                    <w:rPr>
                      <w:rFonts w:hint="eastAsia" w:ascii="Times New Roman" w:hAnsi="Times New Roman" w:eastAsia="宋体" w:cs="Times New Roman"/>
                      <w:color w:val="auto"/>
                      <w:spacing w:val="-10"/>
                      <w:kern w:val="2"/>
                      <w:sz w:val="18"/>
                      <w:szCs w:val="18"/>
                      <w:highlight w:val="none"/>
                      <w:lang w:val="en-US" w:eastAsia="zh-CN" w:bidi="ar-SA"/>
                    </w:rPr>
                    <w:t xml:space="preserve">含水率 </w:t>
                  </w:r>
                  <w:r>
                    <w:rPr>
                      <w:rFonts w:hint="default" w:ascii="Times New Roman" w:hAnsi="Times New Roman" w:eastAsia="宋体" w:cs="Times New Roman"/>
                      <w:color w:val="auto"/>
                      <w:spacing w:val="-10"/>
                      <w:kern w:val="2"/>
                      <w:sz w:val="18"/>
                      <w:szCs w:val="18"/>
                      <w:highlight w:val="none"/>
                      <w:lang w:val="en-US" w:eastAsia="zh-CN" w:bidi="ar-SA"/>
                    </w:rPr>
                    <w:t>1%</w:t>
                  </w:r>
                  <w:r>
                    <w:rPr>
                      <w:rFonts w:hint="eastAsia" w:ascii="Times New Roman" w:hAnsi="Times New Roman" w:eastAsia="宋体" w:cs="Times New Roman"/>
                      <w:color w:val="auto"/>
                      <w:spacing w:val="-10"/>
                      <w:kern w:val="2"/>
                      <w:sz w:val="18"/>
                      <w:szCs w:val="18"/>
                      <w:highlight w:val="none"/>
                      <w:lang w:val="en-US" w:eastAsia="zh-CN" w:bidi="ar-SA"/>
                    </w:rPr>
                    <w:t>，散装，汽车运输，采用防尘苫布覆盖，外售有资质的</w:t>
                  </w:r>
                  <w:bookmarkStart w:id="14" w:name="OLE_LINK6"/>
                  <w:r>
                    <w:rPr>
                      <w:rFonts w:hint="eastAsia" w:ascii="Times New Roman" w:hAnsi="Times New Roman" w:eastAsia="宋体" w:cs="Times New Roman"/>
                      <w:color w:val="auto"/>
                      <w:spacing w:val="-10"/>
                      <w:kern w:val="2"/>
                      <w:sz w:val="18"/>
                      <w:szCs w:val="18"/>
                      <w:highlight w:val="none"/>
                      <w:lang w:val="en-US" w:eastAsia="zh-CN" w:bidi="ar-SA"/>
                    </w:rPr>
                    <w:t>回收单位进行再次分选</w:t>
                  </w:r>
                  <w:bookmarkEnd w:id="14"/>
                </w:p>
              </w:tc>
            </w:tr>
            <w:tr w14:paraId="48944F3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606" w:type="dxa"/>
                  <w:tcBorders>
                    <w:tl2br w:val="nil"/>
                    <w:tr2bl w:val="nil"/>
                  </w:tcBorders>
                  <w:shd w:val="clear" w:color="auto" w:fill="auto"/>
                  <w:noWrap w:val="0"/>
                  <w:vAlign w:val="center"/>
                </w:tcPr>
                <w:p w14:paraId="23D86BC3">
                  <w:pPr>
                    <w:widowControl/>
                    <w:jc w:val="center"/>
                    <w:rPr>
                      <w:rFonts w:hint="default" w:ascii="Times New Roman" w:hAnsi="Times New Roman" w:eastAsia="宋体" w:cs="Times New Roman"/>
                      <w:color w:val="auto"/>
                      <w:spacing w:val="-10"/>
                      <w:kern w:val="2"/>
                      <w:sz w:val="18"/>
                      <w:szCs w:val="18"/>
                      <w:lang w:val="en-US" w:eastAsia="zh-CN" w:bidi="ar-SA"/>
                    </w:rPr>
                  </w:pPr>
                  <w:r>
                    <w:rPr>
                      <w:rFonts w:hint="eastAsia" w:ascii="Times New Roman" w:hAnsi="Times New Roman" w:eastAsia="宋体" w:cs="Times New Roman"/>
                      <w:color w:val="auto"/>
                      <w:spacing w:val="-10"/>
                      <w:sz w:val="18"/>
                      <w:szCs w:val="18"/>
                      <w:lang w:val="en-US" w:eastAsia="zh-CN"/>
                    </w:rPr>
                    <w:t>7</w:t>
                  </w:r>
                </w:p>
              </w:tc>
              <w:tc>
                <w:tcPr>
                  <w:tcW w:w="720" w:type="dxa"/>
                  <w:vMerge w:val="continue"/>
                  <w:tcBorders>
                    <w:tl2br w:val="nil"/>
                    <w:tr2bl w:val="nil"/>
                  </w:tcBorders>
                  <w:noWrap w:val="0"/>
                  <w:vAlign w:val="center"/>
                </w:tcPr>
                <w:p w14:paraId="23CAEA43">
                  <w:pPr>
                    <w:widowControl/>
                    <w:jc w:val="center"/>
                    <w:rPr>
                      <w:rFonts w:hint="eastAsia" w:ascii="Times New Roman" w:hAnsi="Times New Roman" w:eastAsia="宋体" w:cs="Times New Roman"/>
                      <w:color w:val="auto"/>
                      <w:spacing w:val="-10"/>
                      <w:sz w:val="18"/>
                      <w:szCs w:val="18"/>
                      <w:lang w:val="en-US" w:eastAsia="zh-CN"/>
                    </w:rPr>
                  </w:pPr>
                </w:p>
              </w:tc>
              <w:tc>
                <w:tcPr>
                  <w:tcW w:w="943" w:type="dxa"/>
                  <w:tcBorders>
                    <w:tl2br w:val="nil"/>
                    <w:tr2bl w:val="nil"/>
                  </w:tcBorders>
                  <w:shd w:val="clear" w:color="auto" w:fill="auto"/>
                  <w:noWrap w:val="0"/>
                  <w:vAlign w:val="center"/>
                </w:tcPr>
                <w:p w14:paraId="26B9A6A6">
                  <w:pPr>
                    <w:widowControl/>
                    <w:jc w:val="center"/>
                    <w:rPr>
                      <w:rFonts w:hint="eastAsia" w:ascii="Times New Roman" w:hAnsi="Times New Roman" w:eastAsia="宋体" w:cs="Times New Roman"/>
                      <w:color w:val="auto"/>
                      <w:spacing w:val="-10"/>
                      <w:kern w:val="2"/>
                      <w:sz w:val="18"/>
                      <w:szCs w:val="18"/>
                      <w:lang w:val="en-US" w:eastAsia="zh-CN" w:bidi="ar-SA"/>
                    </w:rPr>
                  </w:pPr>
                  <w:r>
                    <w:rPr>
                      <w:rFonts w:hint="eastAsia" w:ascii="Times New Roman" w:hAnsi="Times New Roman" w:eastAsia="宋体" w:cs="Times New Roman"/>
                      <w:color w:val="auto"/>
                      <w:spacing w:val="-10"/>
                      <w:sz w:val="18"/>
                      <w:szCs w:val="18"/>
                      <w:lang w:val="en-US" w:eastAsia="zh-CN"/>
                    </w:rPr>
                    <w:t>沉水塑料</w:t>
                  </w:r>
                </w:p>
              </w:tc>
              <w:tc>
                <w:tcPr>
                  <w:tcW w:w="932" w:type="dxa"/>
                  <w:tcBorders>
                    <w:tl2br w:val="nil"/>
                    <w:tr2bl w:val="nil"/>
                  </w:tcBorders>
                  <w:shd w:val="clear" w:color="auto" w:fill="auto"/>
                  <w:noWrap w:val="0"/>
                  <w:vAlign w:val="center"/>
                </w:tcPr>
                <w:p w14:paraId="5C9BD3D6">
                  <w:pPr>
                    <w:widowControl/>
                    <w:jc w:val="center"/>
                    <w:rPr>
                      <w:rFonts w:hint="default" w:ascii="Times New Roman" w:hAnsi="Times New Roman" w:eastAsia="宋体" w:cs="Times New Roman"/>
                      <w:color w:val="auto"/>
                      <w:spacing w:val="-10"/>
                      <w:kern w:val="2"/>
                      <w:sz w:val="18"/>
                      <w:szCs w:val="18"/>
                      <w:highlight w:val="none"/>
                      <w:lang w:val="en-US" w:eastAsia="zh-CN" w:bidi="ar-SA"/>
                    </w:rPr>
                  </w:pPr>
                  <w:r>
                    <w:rPr>
                      <w:rFonts w:hint="eastAsia" w:cs="Times New Roman"/>
                      <w:color w:val="auto"/>
                      <w:spacing w:val="-10"/>
                      <w:sz w:val="18"/>
                      <w:szCs w:val="18"/>
                      <w:highlight w:val="none"/>
                      <w:lang w:val="en-US" w:eastAsia="zh-CN"/>
                    </w:rPr>
                    <w:t>10000</w:t>
                  </w:r>
                </w:p>
              </w:tc>
              <w:tc>
                <w:tcPr>
                  <w:tcW w:w="1811" w:type="dxa"/>
                  <w:tcBorders>
                    <w:tl2br w:val="nil"/>
                    <w:tr2bl w:val="nil"/>
                  </w:tcBorders>
                  <w:noWrap w:val="0"/>
                  <w:vAlign w:val="center"/>
                </w:tcPr>
                <w:p w14:paraId="6181CC71">
                  <w:pPr>
                    <w:widowControl/>
                    <w:jc w:val="center"/>
                    <w:rPr>
                      <w:rFonts w:hint="eastAsia" w:ascii="Times New Roman" w:hAnsi="Times New Roman" w:eastAsia="宋体" w:cs="Times New Roman"/>
                      <w:color w:val="auto"/>
                      <w:spacing w:val="-10"/>
                      <w:kern w:val="2"/>
                      <w:sz w:val="18"/>
                      <w:szCs w:val="18"/>
                      <w:highlight w:val="none"/>
                      <w:lang w:val="en-US" w:eastAsia="zh-CN" w:bidi="ar-SA"/>
                    </w:rPr>
                  </w:pPr>
                  <w:r>
                    <w:rPr>
                      <w:rFonts w:hint="eastAsia" w:ascii="Times New Roman" w:hAnsi="Times New Roman" w:eastAsia="宋体" w:cs="Times New Roman"/>
                      <w:color w:val="auto"/>
                      <w:spacing w:val="-10"/>
                      <w:kern w:val="2"/>
                      <w:sz w:val="18"/>
                      <w:szCs w:val="18"/>
                      <w:highlight w:val="none"/>
                      <w:lang w:val="en-US" w:eastAsia="zh-CN" w:bidi="ar-SA"/>
                    </w:rPr>
                    <w:t xml:space="preserve">《废塑料回收分选技术规范》GB/T 37821-2019 、《塑料再生塑料 第1部分：通则》GB/T 40006.1-2021 </w:t>
                  </w:r>
                </w:p>
              </w:tc>
              <w:tc>
                <w:tcPr>
                  <w:tcW w:w="2986" w:type="dxa"/>
                  <w:tcBorders>
                    <w:tl2br w:val="nil"/>
                    <w:tr2bl w:val="nil"/>
                  </w:tcBorders>
                  <w:shd w:val="clear" w:color="auto" w:fill="auto"/>
                  <w:noWrap w:val="0"/>
                  <w:vAlign w:val="center"/>
                </w:tcPr>
                <w:p w14:paraId="4A2725A3">
                  <w:pPr>
                    <w:widowControl/>
                    <w:jc w:val="center"/>
                    <w:rPr>
                      <w:rFonts w:hint="eastAsia" w:ascii="Times New Roman" w:hAnsi="Times New Roman" w:eastAsia="宋体" w:cs="Times New Roman"/>
                      <w:color w:val="auto"/>
                      <w:spacing w:val="-10"/>
                      <w:kern w:val="2"/>
                      <w:sz w:val="18"/>
                      <w:szCs w:val="18"/>
                      <w:highlight w:val="none"/>
                      <w:lang w:val="en-US" w:eastAsia="zh-CN" w:bidi="ar-SA"/>
                    </w:rPr>
                  </w:pPr>
                  <w:r>
                    <w:rPr>
                      <w:rFonts w:hint="eastAsia" w:ascii="Times New Roman" w:hAnsi="Times New Roman" w:eastAsia="宋体" w:cs="Times New Roman"/>
                      <w:color w:val="auto"/>
                      <w:spacing w:val="-10"/>
                      <w:kern w:val="2"/>
                      <w:sz w:val="18"/>
                      <w:szCs w:val="18"/>
                      <w:highlight w:val="none"/>
                      <w:lang w:val="en-US" w:eastAsia="zh-CN" w:bidi="ar-SA"/>
                    </w:rPr>
                    <w:t>含水率</w:t>
                  </w:r>
                  <w:r>
                    <w:rPr>
                      <w:rFonts w:hint="default" w:ascii="Times New Roman" w:hAnsi="Times New Roman" w:eastAsia="宋体" w:cs="Times New Roman"/>
                      <w:color w:val="auto"/>
                      <w:spacing w:val="-10"/>
                      <w:kern w:val="2"/>
                      <w:sz w:val="18"/>
                      <w:szCs w:val="18"/>
                      <w:highlight w:val="none"/>
                      <w:lang w:val="en-US" w:eastAsia="zh-CN" w:bidi="ar-SA"/>
                    </w:rPr>
                    <w:t>1%</w:t>
                  </w:r>
                  <w:r>
                    <w:rPr>
                      <w:rFonts w:hint="eastAsia" w:ascii="Times New Roman" w:hAnsi="Times New Roman" w:eastAsia="宋体" w:cs="Times New Roman"/>
                      <w:color w:val="auto"/>
                      <w:spacing w:val="-10"/>
                      <w:kern w:val="2"/>
                      <w:sz w:val="18"/>
                      <w:szCs w:val="18"/>
                      <w:highlight w:val="none"/>
                      <w:lang w:val="en-US" w:eastAsia="zh-CN" w:bidi="ar-SA"/>
                    </w:rPr>
                    <w:t>，袋装，</w:t>
                  </w:r>
                  <w:r>
                    <w:rPr>
                      <w:rFonts w:hint="default" w:ascii="Times New Roman" w:hAnsi="Times New Roman" w:eastAsia="宋体" w:cs="Times New Roman"/>
                      <w:color w:val="auto"/>
                      <w:spacing w:val="-10"/>
                      <w:kern w:val="2"/>
                      <w:sz w:val="18"/>
                      <w:szCs w:val="18"/>
                      <w:highlight w:val="none"/>
                      <w:lang w:val="en-US" w:eastAsia="zh-CN" w:bidi="ar-SA"/>
                    </w:rPr>
                    <w:t>1t/</w:t>
                  </w:r>
                  <w:r>
                    <w:rPr>
                      <w:rFonts w:hint="eastAsia" w:ascii="Times New Roman" w:hAnsi="Times New Roman" w:eastAsia="宋体" w:cs="Times New Roman"/>
                      <w:color w:val="auto"/>
                      <w:spacing w:val="-10"/>
                      <w:kern w:val="2"/>
                      <w:sz w:val="18"/>
                      <w:szCs w:val="18"/>
                      <w:highlight w:val="none"/>
                      <w:lang w:val="en-US" w:eastAsia="zh-CN" w:bidi="ar-SA"/>
                    </w:rPr>
                    <w:t>袋，汽车运输，外售相关回收单位作原料</w:t>
                  </w:r>
                </w:p>
              </w:tc>
            </w:tr>
            <w:tr w14:paraId="66AFA19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606" w:type="dxa"/>
                  <w:tcBorders>
                    <w:tl2br w:val="nil"/>
                    <w:tr2bl w:val="nil"/>
                  </w:tcBorders>
                  <w:shd w:val="clear" w:color="auto" w:fill="auto"/>
                  <w:noWrap w:val="0"/>
                  <w:vAlign w:val="center"/>
                </w:tcPr>
                <w:p w14:paraId="2F8F7068">
                  <w:pPr>
                    <w:widowControl/>
                    <w:jc w:val="center"/>
                    <w:rPr>
                      <w:rFonts w:hint="default" w:ascii="Times New Roman" w:hAnsi="Times New Roman" w:eastAsia="宋体" w:cs="Times New Roman"/>
                      <w:color w:val="auto"/>
                      <w:spacing w:val="-10"/>
                      <w:kern w:val="2"/>
                      <w:sz w:val="18"/>
                      <w:szCs w:val="18"/>
                      <w:lang w:val="en-US" w:eastAsia="zh-CN" w:bidi="ar-SA"/>
                    </w:rPr>
                  </w:pPr>
                  <w:r>
                    <w:rPr>
                      <w:rFonts w:hint="eastAsia" w:ascii="Times New Roman" w:hAnsi="Times New Roman" w:eastAsia="宋体" w:cs="Times New Roman"/>
                      <w:color w:val="auto"/>
                      <w:spacing w:val="-10"/>
                      <w:sz w:val="18"/>
                      <w:szCs w:val="18"/>
                      <w:lang w:val="en-US" w:eastAsia="zh-CN"/>
                    </w:rPr>
                    <w:t>8</w:t>
                  </w:r>
                </w:p>
              </w:tc>
              <w:tc>
                <w:tcPr>
                  <w:tcW w:w="720" w:type="dxa"/>
                  <w:vMerge w:val="continue"/>
                  <w:tcBorders>
                    <w:tl2br w:val="nil"/>
                    <w:tr2bl w:val="nil"/>
                  </w:tcBorders>
                  <w:noWrap w:val="0"/>
                  <w:vAlign w:val="center"/>
                </w:tcPr>
                <w:p w14:paraId="5A3854A0">
                  <w:pPr>
                    <w:widowControl/>
                    <w:jc w:val="center"/>
                    <w:rPr>
                      <w:rFonts w:hint="eastAsia" w:ascii="Times New Roman" w:hAnsi="Times New Roman" w:eastAsia="宋体" w:cs="Times New Roman"/>
                      <w:color w:val="auto"/>
                      <w:spacing w:val="-10"/>
                      <w:sz w:val="18"/>
                      <w:szCs w:val="18"/>
                      <w:lang w:val="en-US" w:eastAsia="zh-CN"/>
                    </w:rPr>
                  </w:pPr>
                </w:p>
              </w:tc>
              <w:tc>
                <w:tcPr>
                  <w:tcW w:w="943" w:type="dxa"/>
                  <w:tcBorders>
                    <w:tl2br w:val="nil"/>
                    <w:tr2bl w:val="nil"/>
                  </w:tcBorders>
                  <w:shd w:val="clear" w:color="auto" w:fill="auto"/>
                  <w:noWrap w:val="0"/>
                  <w:vAlign w:val="center"/>
                </w:tcPr>
                <w:p w14:paraId="19886AC7">
                  <w:pPr>
                    <w:widowControl/>
                    <w:jc w:val="center"/>
                    <w:rPr>
                      <w:rFonts w:hint="eastAsia" w:ascii="Times New Roman" w:hAnsi="Times New Roman" w:eastAsia="宋体" w:cs="Times New Roman"/>
                      <w:color w:val="auto"/>
                      <w:spacing w:val="-10"/>
                      <w:kern w:val="2"/>
                      <w:sz w:val="18"/>
                      <w:szCs w:val="18"/>
                      <w:lang w:val="en-US" w:eastAsia="zh-CN" w:bidi="ar-SA"/>
                    </w:rPr>
                  </w:pPr>
                  <w:r>
                    <w:rPr>
                      <w:rFonts w:hint="eastAsia" w:ascii="Times New Roman" w:hAnsi="Times New Roman" w:eastAsia="宋体" w:cs="Times New Roman"/>
                      <w:color w:val="auto"/>
                      <w:spacing w:val="-10"/>
                      <w:sz w:val="18"/>
                      <w:szCs w:val="18"/>
                      <w:lang w:val="en-US" w:eastAsia="zh-CN"/>
                    </w:rPr>
                    <w:t>金属混合物料（粒径小于</w:t>
                  </w:r>
                  <w:r>
                    <w:rPr>
                      <w:rFonts w:hint="default" w:ascii="Times New Roman" w:hAnsi="Times New Roman" w:eastAsia="宋体" w:cs="Times New Roman"/>
                      <w:color w:val="auto"/>
                      <w:spacing w:val="-10"/>
                      <w:sz w:val="18"/>
                      <w:szCs w:val="18"/>
                      <w:lang w:val="en-US" w:eastAsia="zh-CN"/>
                    </w:rPr>
                    <w:t>1cm</w:t>
                  </w:r>
                  <w:r>
                    <w:rPr>
                      <w:rFonts w:hint="eastAsia" w:ascii="Times New Roman" w:hAnsi="Times New Roman" w:eastAsia="宋体" w:cs="Times New Roman"/>
                      <w:color w:val="auto"/>
                      <w:spacing w:val="-10"/>
                      <w:sz w:val="18"/>
                      <w:szCs w:val="18"/>
                      <w:lang w:val="en-US" w:eastAsia="zh-CN"/>
                    </w:rPr>
                    <w:t>）</w:t>
                  </w:r>
                </w:p>
              </w:tc>
              <w:tc>
                <w:tcPr>
                  <w:tcW w:w="932" w:type="dxa"/>
                  <w:tcBorders>
                    <w:tl2br w:val="nil"/>
                    <w:tr2bl w:val="nil"/>
                  </w:tcBorders>
                  <w:shd w:val="clear" w:color="auto" w:fill="auto"/>
                  <w:noWrap w:val="0"/>
                  <w:vAlign w:val="center"/>
                </w:tcPr>
                <w:p w14:paraId="024C470C">
                  <w:pPr>
                    <w:widowControl/>
                    <w:jc w:val="center"/>
                    <w:rPr>
                      <w:rFonts w:hint="default" w:ascii="Times New Roman" w:hAnsi="Times New Roman" w:eastAsia="宋体" w:cs="Times New Roman"/>
                      <w:color w:val="auto"/>
                      <w:spacing w:val="-10"/>
                      <w:kern w:val="2"/>
                      <w:sz w:val="18"/>
                      <w:szCs w:val="18"/>
                      <w:highlight w:val="none"/>
                      <w:lang w:val="en-US" w:eastAsia="zh-CN" w:bidi="ar-SA"/>
                    </w:rPr>
                  </w:pPr>
                  <w:r>
                    <w:rPr>
                      <w:rFonts w:hint="eastAsia" w:cs="Times New Roman"/>
                      <w:color w:val="auto"/>
                      <w:spacing w:val="-10"/>
                      <w:sz w:val="18"/>
                      <w:szCs w:val="18"/>
                      <w:highlight w:val="none"/>
                      <w:lang w:val="en-US" w:eastAsia="zh-CN"/>
                    </w:rPr>
                    <w:t>7700</w:t>
                  </w:r>
                </w:p>
              </w:tc>
              <w:tc>
                <w:tcPr>
                  <w:tcW w:w="1811" w:type="dxa"/>
                  <w:tcBorders>
                    <w:tl2br w:val="nil"/>
                    <w:tr2bl w:val="nil"/>
                  </w:tcBorders>
                  <w:noWrap w:val="0"/>
                  <w:vAlign w:val="center"/>
                </w:tcPr>
                <w:p w14:paraId="0E79989A">
                  <w:pPr>
                    <w:widowControl/>
                    <w:jc w:val="center"/>
                    <w:rPr>
                      <w:rFonts w:hint="default" w:ascii="Times New Roman" w:hAnsi="Times New Roman" w:eastAsia="宋体" w:cs="Times New Roman"/>
                      <w:color w:val="auto"/>
                      <w:spacing w:val="-10"/>
                      <w:kern w:val="2"/>
                      <w:sz w:val="18"/>
                      <w:szCs w:val="18"/>
                      <w:highlight w:val="none"/>
                      <w:lang w:val="en-US" w:eastAsia="zh-CN" w:bidi="ar-SA"/>
                    </w:rPr>
                  </w:pPr>
                  <w:r>
                    <w:rPr>
                      <w:rFonts w:hint="eastAsia" w:ascii="Times New Roman" w:hAnsi="Times New Roman" w:eastAsia="宋体" w:cs="Times New Roman"/>
                      <w:color w:val="auto"/>
                      <w:spacing w:val="-10"/>
                      <w:kern w:val="2"/>
                      <w:sz w:val="18"/>
                      <w:szCs w:val="18"/>
                      <w:highlight w:val="none"/>
                      <w:lang w:val="en-US" w:eastAsia="zh-CN" w:bidi="ar-SA"/>
                    </w:rPr>
                    <w:t>/</w:t>
                  </w:r>
                </w:p>
              </w:tc>
              <w:tc>
                <w:tcPr>
                  <w:tcW w:w="2986" w:type="dxa"/>
                  <w:tcBorders>
                    <w:tl2br w:val="nil"/>
                    <w:tr2bl w:val="nil"/>
                  </w:tcBorders>
                  <w:shd w:val="clear" w:color="auto" w:fill="auto"/>
                  <w:noWrap w:val="0"/>
                  <w:vAlign w:val="center"/>
                </w:tcPr>
                <w:p w14:paraId="43CE02FD">
                  <w:pPr>
                    <w:widowControl/>
                    <w:jc w:val="center"/>
                    <w:rPr>
                      <w:rFonts w:hint="eastAsia" w:ascii="Times New Roman" w:hAnsi="Times New Roman" w:eastAsia="宋体" w:cs="Times New Roman"/>
                      <w:color w:val="auto"/>
                      <w:spacing w:val="-10"/>
                      <w:kern w:val="2"/>
                      <w:sz w:val="18"/>
                      <w:szCs w:val="18"/>
                      <w:highlight w:val="none"/>
                      <w:lang w:val="en-US" w:eastAsia="zh-CN" w:bidi="ar-SA"/>
                    </w:rPr>
                  </w:pPr>
                  <w:r>
                    <w:rPr>
                      <w:rFonts w:hint="eastAsia" w:ascii="Times New Roman" w:hAnsi="Times New Roman" w:eastAsia="宋体" w:cs="Times New Roman"/>
                      <w:color w:val="auto"/>
                      <w:spacing w:val="-10"/>
                      <w:kern w:val="2"/>
                      <w:sz w:val="18"/>
                      <w:szCs w:val="18"/>
                      <w:highlight w:val="none"/>
                      <w:lang w:val="en-US" w:eastAsia="zh-CN" w:bidi="ar-SA"/>
                    </w:rPr>
                    <w:t>含水率15</w:t>
                  </w:r>
                  <w:r>
                    <w:rPr>
                      <w:rFonts w:hint="default" w:ascii="Times New Roman" w:hAnsi="Times New Roman" w:eastAsia="宋体" w:cs="Times New Roman"/>
                      <w:color w:val="auto"/>
                      <w:spacing w:val="-10"/>
                      <w:kern w:val="2"/>
                      <w:sz w:val="18"/>
                      <w:szCs w:val="18"/>
                      <w:highlight w:val="none"/>
                      <w:lang w:val="en-US" w:eastAsia="zh-CN" w:bidi="ar-SA"/>
                    </w:rPr>
                    <w:t>%</w:t>
                  </w:r>
                  <w:r>
                    <w:rPr>
                      <w:rFonts w:hint="eastAsia" w:ascii="Times New Roman" w:hAnsi="Times New Roman" w:eastAsia="宋体" w:cs="Times New Roman"/>
                      <w:color w:val="auto"/>
                      <w:spacing w:val="-10"/>
                      <w:kern w:val="2"/>
                      <w:sz w:val="18"/>
                      <w:szCs w:val="18"/>
                      <w:highlight w:val="none"/>
                      <w:lang w:val="en-US" w:eastAsia="zh-CN" w:bidi="ar-SA"/>
                    </w:rPr>
                    <w:t>，散装，汽车运输，采用防尘苫布覆盖，外售相关回收单位进行再次分选</w:t>
                  </w:r>
                </w:p>
              </w:tc>
            </w:tr>
            <w:tr w14:paraId="4CCE5F0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60" w:hRule="exact"/>
              </w:trPr>
              <w:tc>
                <w:tcPr>
                  <w:tcW w:w="606" w:type="dxa"/>
                  <w:tcBorders>
                    <w:tl2br w:val="nil"/>
                    <w:tr2bl w:val="nil"/>
                  </w:tcBorders>
                  <w:shd w:val="clear" w:color="auto" w:fill="auto"/>
                  <w:noWrap w:val="0"/>
                  <w:vAlign w:val="center"/>
                </w:tcPr>
                <w:p w14:paraId="377C7F08">
                  <w:pPr>
                    <w:widowControl/>
                    <w:jc w:val="center"/>
                    <w:rPr>
                      <w:rFonts w:hint="default" w:ascii="Times New Roman" w:hAnsi="Times New Roman" w:eastAsia="宋体" w:cs="Times New Roman"/>
                      <w:color w:val="auto"/>
                      <w:spacing w:val="-10"/>
                      <w:kern w:val="2"/>
                      <w:sz w:val="18"/>
                      <w:szCs w:val="18"/>
                      <w:lang w:val="en-US" w:eastAsia="zh-CN" w:bidi="ar-SA"/>
                    </w:rPr>
                  </w:pPr>
                  <w:r>
                    <w:rPr>
                      <w:rFonts w:hint="eastAsia" w:ascii="Times New Roman" w:hAnsi="Times New Roman" w:eastAsia="宋体" w:cs="Times New Roman"/>
                      <w:color w:val="auto"/>
                      <w:spacing w:val="-10"/>
                      <w:sz w:val="18"/>
                      <w:szCs w:val="18"/>
                      <w:lang w:val="en-US" w:eastAsia="zh-CN"/>
                    </w:rPr>
                    <w:t>9</w:t>
                  </w:r>
                </w:p>
              </w:tc>
              <w:tc>
                <w:tcPr>
                  <w:tcW w:w="720" w:type="dxa"/>
                  <w:vMerge w:val="restart"/>
                  <w:tcBorders>
                    <w:tl2br w:val="nil"/>
                    <w:tr2bl w:val="nil"/>
                  </w:tcBorders>
                  <w:shd w:val="clear" w:color="auto" w:fill="auto"/>
                  <w:noWrap w:val="0"/>
                  <w:vAlign w:val="center"/>
                </w:tcPr>
                <w:p w14:paraId="4CBA7633">
                  <w:pPr>
                    <w:widowControl/>
                    <w:jc w:val="center"/>
                    <w:rPr>
                      <w:rFonts w:hint="default" w:ascii="Times New Roman" w:hAnsi="Times New Roman" w:eastAsia="宋体" w:cs="Times New Roman"/>
                      <w:color w:val="auto"/>
                      <w:spacing w:val="-10"/>
                      <w:kern w:val="2"/>
                      <w:sz w:val="18"/>
                      <w:szCs w:val="18"/>
                      <w:lang w:val="en-US" w:eastAsia="zh-CN" w:bidi="ar-SA"/>
                    </w:rPr>
                  </w:pPr>
                  <w:r>
                    <w:rPr>
                      <w:rFonts w:hint="eastAsia" w:ascii="Times New Roman" w:hAnsi="Times New Roman" w:eastAsia="宋体" w:cs="Times New Roman"/>
                      <w:color w:val="auto"/>
                      <w:spacing w:val="-10"/>
                      <w:sz w:val="18"/>
                      <w:szCs w:val="18"/>
                      <w:lang w:val="en-US" w:eastAsia="zh-CN"/>
                    </w:rPr>
                    <w:t>钢渣处理</w:t>
                  </w:r>
                </w:p>
              </w:tc>
              <w:tc>
                <w:tcPr>
                  <w:tcW w:w="943" w:type="dxa"/>
                  <w:tcBorders>
                    <w:tl2br w:val="nil"/>
                    <w:tr2bl w:val="nil"/>
                  </w:tcBorders>
                  <w:shd w:val="clear" w:color="auto" w:fill="auto"/>
                  <w:noWrap w:val="0"/>
                  <w:vAlign w:val="center"/>
                </w:tcPr>
                <w:p w14:paraId="450C7B91">
                  <w:pPr>
                    <w:widowControl/>
                    <w:jc w:val="center"/>
                    <w:rPr>
                      <w:rFonts w:hint="default" w:ascii="Times New Roman" w:hAnsi="Times New Roman" w:eastAsia="宋体" w:cs="Times New Roman"/>
                      <w:color w:val="auto"/>
                      <w:spacing w:val="-10"/>
                      <w:kern w:val="2"/>
                      <w:sz w:val="18"/>
                      <w:szCs w:val="18"/>
                      <w:lang w:val="en-US" w:eastAsia="zh-CN" w:bidi="ar-SA"/>
                    </w:rPr>
                  </w:pPr>
                  <w:r>
                    <w:rPr>
                      <w:rFonts w:hint="eastAsia" w:ascii="Times New Roman" w:hAnsi="Times New Roman" w:eastAsia="宋体" w:cs="Times New Roman"/>
                      <w:color w:val="auto"/>
                      <w:spacing w:val="-10"/>
                      <w:sz w:val="18"/>
                      <w:szCs w:val="18"/>
                      <w:lang w:val="en-US" w:eastAsia="zh-CN"/>
                    </w:rPr>
                    <w:t>磁性钢渣粉</w:t>
                  </w:r>
                </w:p>
              </w:tc>
              <w:tc>
                <w:tcPr>
                  <w:tcW w:w="932" w:type="dxa"/>
                  <w:tcBorders>
                    <w:tl2br w:val="nil"/>
                    <w:tr2bl w:val="nil"/>
                  </w:tcBorders>
                  <w:shd w:val="clear" w:color="auto" w:fill="auto"/>
                  <w:noWrap w:val="0"/>
                  <w:vAlign w:val="center"/>
                </w:tcPr>
                <w:p w14:paraId="56B2F1DB">
                  <w:pPr>
                    <w:widowControl/>
                    <w:jc w:val="center"/>
                    <w:rPr>
                      <w:rFonts w:hint="default" w:ascii="Times New Roman" w:hAnsi="Times New Roman" w:eastAsia="宋体" w:cs="Times New Roman"/>
                      <w:color w:val="auto"/>
                      <w:spacing w:val="-10"/>
                      <w:kern w:val="2"/>
                      <w:sz w:val="18"/>
                      <w:szCs w:val="18"/>
                      <w:lang w:val="en-US" w:eastAsia="zh-CN" w:bidi="ar-SA"/>
                    </w:rPr>
                  </w:pPr>
                  <w:r>
                    <w:rPr>
                      <w:rFonts w:hint="eastAsia" w:ascii="Times New Roman" w:hAnsi="Times New Roman" w:eastAsia="宋体" w:cs="Times New Roman"/>
                      <w:color w:val="auto"/>
                      <w:spacing w:val="-10"/>
                      <w:sz w:val="18"/>
                      <w:szCs w:val="18"/>
                      <w:lang w:val="en-US" w:eastAsia="zh-CN"/>
                    </w:rPr>
                    <w:t>40000</w:t>
                  </w:r>
                </w:p>
              </w:tc>
              <w:tc>
                <w:tcPr>
                  <w:tcW w:w="1811" w:type="dxa"/>
                  <w:tcBorders>
                    <w:tl2br w:val="nil"/>
                    <w:tr2bl w:val="nil"/>
                  </w:tcBorders>
                  <w:noWrap w:val="0"/>
                  <w:vAlign w:val="center"/>
                </w:tcPr>
                <w:p w14:paraId="62D872CC">
                  <w:pPr>
                    <w:widowControl/>
                    <w:jc w:val="center"/>
                    <w:rPr>
                      <w:rFonts w:hint="eastAsia" w:ascii="Times New Roman" w:hAnsi="Times New Roman" w:eastAsia="宋体" w:cs="Times New Roman"/>
                      <w:color w:val="auto"/>
                      <w:spacing w:val="-10"/>
                      <w:kern w:val="2"/>
                      <w:sz w:val="18"/>
                      <w:szCs w:val="18"/>
                      <w:highlight w:val="none"/>
                      <w:lang w:val="en-US" w:eastAsia="zh-CN" w:bidi="ar-SA"/>
                    </w:rPr>
                  </w:pPr>
                  <w:r>
                    <w:rPr>
                      <w:rFonts w:hint="eastAsia" w:ascii="Times New Roman" w:hAnsi="Times New Roman" w:eastAsia="宋体" w:cs="Times New Roman"/>
                      <w:color w:val="auto"/>
                      <w:spacing w:val="-10"/>
                      <w:kern w:val="2"/>
                      <w:sz w:val="18"/>
                      <w:szCs w:val="18"/>
                      <w:highlight w:val="none"/>
                      <w:lang w:val="en-US" w:eastAsia="zh-CN" w:bidi="ar-SA"/>
                    </w:rPr>
                    <w:t xml:space="preserve">《烧结用磁选钢渣粉》GB/T 30897-2014 </w:t>
                  </w:r>
                </w:p>
              </w:tc>
              <w:tc>
                <w:tcPr>
                  <w:tcW w:w="2986" w:type="dxa"/>
                  <w:tcBorders>
                    <w:tl2br w:val="nil"/>
                    <w:tr2bl w:val="nil"/>
                  </w:tcBorders>
                  <w:shd w:val="clear" w:color="auto" w:fill="auto"/>
                  <w:noWrap w:val="0"/>
                  <w:vAlign w:val="center"/>
                </w:tcPr>
                <w:p w14:paraId="40C992BA">
                  <w:pPr>
                    <w:widowControl/>
                    <w:jc w:val="center"/>
                    <w:rPr>
                      <w:rFonts w:hint="eastAsia" w:ascii="Times New Roman" w:hAnsi="Times New Roman" w:eastAsia="宋体" w:cs="Times New Roman"/>
                      <w:color w:val="auto"/>
                      <w:spacing w:val="-10"/>
                      <w:kern w:val="2"/>
                      <w:sz w:val="18"/>
                      <w:szCs w:val="18"/>
                      <w:highlight w:val="none"/>
                      <w:lang w:val="en-US" w:eastAsia="zh-CN" w:bidi="ar-SA"/>
                    </w:rPr>
                  </w:pPr>
                  <w:r>
                    <w:rPr>
                      <w:rFonts w:hint="eastAsia" w:ascii="Times New Roman" w:hAnsi="Times New Roman" w:eastAsia="宋体" w:cs="Times New Roman"/>
                      <w:color w:val="auto"/>
                      <w:spacing w:val="-10"/>
                      <w:kern w:val="2"/>
                      <w:sz w:val="18"/>
                      <w:szCs w:val="18"/>
                      <w:highlight w:val="none"/>
                      <w:lang w:val="en-US" w:eastAsia="zh-CN" w:bidi="ar-SA"/>
                    </w:rPr>
                    <w:t>含水率</w:t>
                  </w:r>
                  <w:r>
                    <w:rPr>
                      <w:rFonts w:hint="default" w:ascii="Times New Roman" w:hAnsi="Times New Roman" w:eastAsia="宋体" w:cs="Times New Roman"/>
                      <w:color w:val="auto"/>
                      <w:spacing w:val="-10"/>
                      <w:kern w:val="2"/>
                      <w:sz w:val="18"/>
                      <w:szCs w:val="18"/>
                      <w:highlight w:val="none"/>
                      <w:lang w:val="en-US" w:eastAsia="zh-CN" w:bidi="ar-SA"/>
                    </w:rPr>
                    <w:t>1</w:t>
                  </w:r>
                  <w:r>
                    <w:rPr>
                      <w:rFonts w:hint="eastAsia" w:ascii="Times New Roman" w:hAnsi="Times New Roman" w:eastAsia="宋体" w:cs="Times New Roman"/>
                      <w:color w:val="auto"/>
                      <w:spacing w:val="-10"/>
                      <w:kern w:val="2"/>
                      <w:sz w:val="18"/>
                      <w:szCs w:val="18"/>
                      <w:highlight w:val="none"/>
                      <w:lang w:val="en-US" w:eastAsia="zh-CN" w:bidi="ar-SA"/>
                    </w:rPr>
                    <w:t>2</w:t>
                  </w:r>
                  <w:r>
                    <w:rPr>
                      <w:rFonts w:hint="default" w:ascii="Times New Roman" w:hAnsi="Times New Roman" w:eastAsia="宋体" w:cs="Times New Roman"/>
                      <w:color w:val="auto"/>
                      <w:spacing w:val="-10"/>
                      <w:kern w:val="2"/>
                      <w:sz w:val="18"/>
                      <w:szCs w:val="18"/>
                      <w:highlight w:val="none"/>
                      <w:lang w:val="en-US" w:eastAsia="zh-CN" w:bidi="ar-SA"/>
                    </w:rPr>
                    <w:t>%</w:t>
                  </w:r>
                  <w:r>
                    <w:rPr>
                      <w:rFonts w:hint="eastAsia" w:ascii="Times New Roman" w:hAnsi="Times New Roman" w:eastAsia="宋体" w:cs="Times New Roman"/>
                      <w:color w:val="auto"/>
                      <w:spacing w:val="-10"/>
                      <w:kern w:val="2"/>
                      <w:sz w:val="18"/>
                      <w:szCs w:val="18"/>
                      <w:highlight w:val="none"/>
                      <w:lang w:val="en-US" w:eastAsia="zh-CN" w:bidi="ar-SA"/>
                    </w:rPr>
                    <w:t>，散装，汽车运输，采用防尘苫布覆盖，外售回收单位进行再次分选</w:t>
                  </w:r>
                </w:p>
              </w:tc>
            </w:tr>
            <w:tr w14:paraId="11AFDAF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71" w:hRule="exact"/>
              </w:trPr>
              <w:tc>
                <w:tcPr>
                  <w:tcW w:w="606" w:type="dxa"/>
                  <w:tcBorders>
                    <w:tl2br w:val="nil"/>
                    <w:tr2bl w:val="nil"/>
                  </w:tcBorders>
                  <w:shd w:val="clear" w:color="auto" w:fill="auto"/>
                  <w:noWrap w:val="0"/>
                  <w:vAlign w:val="center"/>
                </w:tcPr>
                <w:p w14:paraId="0A93787D">
                  <w:pPr>
                    <w:widowControl/>
                    <w:jc w:val="center"/>
                    <w:rPr>
                      <w:rFonts w:hint="default" w:ascii="Times New Roman" w:hAnsi="Times New Roman" w:eastAsia="宋体" w:cs="Times New Roman"/>
                      <w:color w:val="auto"/>
                      <w:spacing w:val="-10"/>
                      <w:kern w:val="2"/>
                      <w:sz w:val="18"/>
                      <w:szCs w:val="18"/>
                      <w:lang w:val="en-US" w:eastAsia="zh-CN" w:bidi="ar-SA"/>
                    </w:rPr>
                  </w:pPr>
                  <w:r>
                    <w:rPr>
                      <w:rFonts w:hint="eastAsia" w:ascii="Times New Roman" w:hAnsi="Times New Roman" w:eastAsia="宋体" w:cs="Times New Roman"/>
                      <w:color w:val="auto"/>
                      <w:spacing w:val="-10"/>
                      <w:sz w:val="18"/>
                      <w:szCs w:val="18"/>
                      <w:lang w:val="en-US" w:eastAsia="zh-CN"/>
                    </w:rPr>
                    <w:t>10</w:t>
                  </w:r>
                </w:p>
              </w:tc>
              <w:tc>
                <w:tcPr>
                  <w:tcW w:w="720" w:type="dxa"/>
                  <w:vMerge w:val="continue"/>
                  <w:tcBorders>
                    <w:tl2br w:val="nil"/>
                    <w:tr2bl w:val="nil"/>
                  </w:tcBorders>
                  <w:noWrap w:val="0"/>
                  <w:vAlign w:val="center"/>
                </w:tcPr>
                <w:p w14:paraId="562F64F2">
                  <w:pPr>
                    <w:widowControl/>
                    <w:jc w:val="center"/>
                    <w:rPr>
                      <w:rFonts w:hint="default" w:ascii="Times New Roman" w:hAnsi="Times New Roman" w:eastAsia="宋体" w:cs="Times New Roman"/>
                      <w:color w:val="auto"/>
                      <w:spacing w:val="-10"/>
                      <w:sz w:val="18"/>
                      <w:szCs w:val="18"/>
                      <w:lang w:val="en-US" w:eastAsia="zh-CN"/>
                    </w:rPr>
                  </w:pPr>
                </w:p>
              </w:tc>
              <w:tc>
                <w:tcPr>
                  <w:tcW w:w="943" w:type="dxa"/>
                  <w:tcBorders>
                    <w:tl2br w:val="nil"/>
                    <w:tr2bl w:val="nil"/>
                  </w:tcBorders>
                  <w:shd w:val="clear" w:color="auto" w:fill="auto"/>
                  <w:noWrap w:val="0"/>
                  <w:vAlign w:val="center"/>
                </w:tcPr>
                <w:p w14:paraId="39602AD3">
                  <w:pPr>
                    <w:widowControl/>
                    <w:jc w:val="center"/>
                    <w:rPr>
                      <w:rFonts w:hint="default" w:ascii="Times New Roman" w:hAnsi="Times New Roman" w:eastAsia="宋体" w:cs="Times New Roman"/>
                      <w:color w:val="auto"/>
                      <w:spacing w:val="-10"/>
                      <w:kern w:val="2"/>
                      <w:sz w:val="18"/>
                      <w:szCs w:val="18"/>
                      <w:lang w:val="en-US" w:eastAsia="zh-CN" w:bidi="ar-SA"/>
                    </w:rPr>
                  </w:pPr>
                  <w:r>
                    <w:rPr>
                      <w:rFonts w:hint="eastAsia" w:cs="Times New Roman"/>
                      <w:color w:val="auto"/>
                      <w:spacing w:val="-10"/>
                      <w:sz w:val="18"/>
                      <w:szCs w:val="18"/>
                      <w:lang w:val="en-US" w:eastAsia="zh-CN"/>
                    </w:rPr>
                    <w:t>非磁性钢渣粉</w:t>
                  </w:r>
                </w:p>
              </w:tc>
              <w:tc>
                <w:tcPr>
                  <w:tcW w:w="932" w:type="dxa"/>
                  <w:tcBorders>
                    <w:tl2br w:val="nil"/>
                    <w:tr2bl w:val="nil"/>
                  </w:tcBorders>
                  <w:shd w:val="clear" w:color="auto" w:fill="auto"/>
                  <w:noWrap w:val="0"/>
                  <w:vAlign w:val="center"/>
                </w:tcPr>
                <w:p w14:paraId="1A0A2D84">
                  <w:pPr>
                    <w:widowControl/>
                    <w:jc w:val="center"/>
                    <w:rPr>
                      <w:rFonts w:hint="default" w:ascii="Times New Roman" w:hAnsi="Times New Roman" w:eastAsia="宋体" w:cs="Times New Roman"/>
                      <w:color w:val="auto"/>
                      <w:spacing w:val="-10"/>
                      <w:kern w:val="2"/>
                      <w:sz w:val="18"/>
                      <w:szCs w:val="18"/>
                      <w:lang w:val="en-US" w:eastAsia="zh-CN" w:bidi="ar-SA"/>
                    </w:rPr>
                  </w:pPr>
                  <w:r>
                    <w:rPr>
                      <w:rFonts w:hint="default" w:ascii="Times New Roman" w:hAnsi="Times New Roman" w:eastAsia="宋体" w:cs="Times New Roman"/>
                      <w:color w:val="auto"/>
                      <w:spacing w:val="-10"/>
                      <w:sz w:val="18"/>
                      <w:szCs w:val="18"/>
                      <w:lang w:val="en-US" w:eastAsia="zh-CN"/>
                    </w:rPr>
                    <w:t>1</w:t>
                  </w:r>
                  <w:r>
                    <w:rPr>
                      <w:rFonts w:hint="eastAsia" w:cs="Times New Roman"/>
                      <w:color w:val="auto"/>
                      <w:spacing w:val="-10"/>
                      <w:sz w:val="18"/>
                      <w:szCs w:val="18"/>
                      <w:lang w:val="en-US" w:eastAsia="zh-CN"/>
                    </w:rPr>
                    <w:t>6</w:t>
                  </w:r>
                  <w:r>
                    <w:rPr>
                      <w:rFonts w:hint="default" w:ascii="Times New Roman" w:hAnsi="Times New Roman" w:eastAsia="宋体" w:cs="Times New Roman"/>
                      <w:color w:val="auto"/>
                      <w:spacing w:val="-10"/>
                      <w:sz w:val="18"/>
                      <w:szCs w:val="18"/>
                      <w:lang w:val="en-US" w:eastAsia="zh-CN"/>
                    </w:rPr>
                    <w:t>4000</w:t>
                  </w:r>
                </w:p>
              </w:tc>
              <w:tc>
                <w:tcPr>
                  <w:tcW w:w="1811" w:type="dxa"/>
                  <w:tcBorders>
                    <w:tl2br w:val="nil"/>
                    <w:tr2bl w:val="nil"/>
                  </w:tcBorders>
                  <w:noWrap w:val="0"/>
                  <w:vAlign w:val="center"/>
                </w:tcPr>
                <w:p w14:paraId="200F50EA">
                  <w:pPr>
                    <w:widowControl/>
                    <w:jc w:val="center"/>
                    <w:rPr>
                      <w:rFonts w:hint="default" w:ascii="Times New Roman" w:hAnsi="Times New Roman" w:eastAsia="宋体" w:cs="Times New Roman"/>
                      <w:color w:val="auto"/>
                      <w:spacing w:val="-10"/>
                      <w:kern w:val="2"/>
                      <w:sz w:val="18"/>
                      <w:szCs w:val="18"/>
                      <w:highlight w:val="none"/>
                      <w:lang w:val="en-US" w:eastAsia="zh-CN" w:bidi="ar-SA"/>
                    </w:rPr>
                  </w:pPr>
                  <w:r>
                    <w:rPr>
                      <w:rFonts w:hint="default" w:ascii="Times New Roman" w:hAnsi="Times New Roman" w:eastAsia="宋体" w:cs="Times New Roman"/>
                      <w:color w:val="auto"/>
                      <w:spacing w:val="-10"/>
                      <w:kern w:val="2"/>
                      <w:sz w:val="18"/>
                      <w:szCs w:val="18"/>
                      <w:highlight w:val="none"/>
                      <w:lang w:val="en-US" w:eastAsia="zh-CN" w:bidi="ar-SA"/>
                    </w:rPr>
                    <w:t xml:space="preserve">《用于水泥和混凝土中的钢渣粉》GB/T 20491-2017 </w:t>
                  </w:r>
                </w:p>
              </w:tc>
              <w:tc>
                <w:tcPr>
                  <w:tcW w:w="2986" w:type="dxa"/>
                  <w:tcBorders>
                    <w:tl2br w:val="nil"/>
                    <w:tr2bl w:val="nil"/>
                  </w:tcBorders>
                  <w:shd w:val="clear" w:color="auto" w:fill="auto"/>
                  <w:noWrap w:val="0"/>
                  <w:vAlign w:val="center"/>
                </w:tcPr>
                <w:p w14:paraId="3CCB90E5">
                  <w:pPr>
                    <w:widowControl/>
                    <w:jc w:val="center"/>
                    <w:rPr>
                      <w:rFonts w:hint="eastAsia" w:ascii="Times New Roman" w:hAnsi="Times New Roman" w:eastAsia="宋体" w:cs="Times New Roman"/>
                      <w:color w:val="auto"/>
                      <w:spacing w:val="-10"/>
                      <w:kern w:val="2"/>
                      <w:sz w:val="18"/>
                      <w:szCs w:val="18"/>
                      <w:highlight w:val="none"/>
                      <w:lang w:val="en-US" w:eastAsia="zh-CN" w:bidi="ar-SA"/>
                    </w:rPr>
                  </w:pPr>
                  <w:r>
                    <w:rPr>
                      <w:rFonts w:hint="eastAsia" w:ascii="Times New Roman" w:hAnsi="Times New Roman" w:eastAsia="宋体" w:cs="Times New Roman"/>
                      <w:color w:val="auto"/>
                      <w:spacing w:val="-10"/>
                      <w:kern w:val="2"/>
                      <w:sz w:val="18"/>
                      <w:szCs w:val="18"/>
                      <w:highlight w:val="none"/>
                      <w:lang w:val="en-US" w:eastAsia="zh-CN" w:bidi="ar-SA"/>
                    </w:rPr>
                    <w:t>含水率</w:t>
                  </w:r>
                  <w:r>
                    <w:rPr>
                      <w:rFonts w:hint="eastAsia" w:cs="Times New Roman"/>
                      <w:color w:val="auto"/>
                      <w:spacing w:val="-10"/>
                      <w:kern w:val="2"/>
                      <w:sz w:val="18"/>
                      <w:szCs w:val="18"/>
                      <w:highlight w:val="none"/>
                      <w:lang w:val="en-US" w:eastAsia="zh-CN" w:bidi="ar-SA"/>
                    </w:rPr>
                    <w:t>12</w:t>
                  </w:r>
                  <w:r>
                    <w:rPr>
                      <w:rFonts w:hint="default" w:ascii="Times New Roman" w:hAnsi="Times New Roman" w:eastAsia="宋体" w:cs="Times New Roman"/>
                      <w:color w:val="auto"/>
                      <w:spacing w:val="-10"/>
                      <w:kern w:val="2"/>
                      <w:sz w:val="18"/>
                      <w:szCs w:val="18"/>
                      <w:highlight w:val="none"/>
                      <w:lang w:val="en-US" w:eastAsia="zh-CN" w:bidi="ar-SA"/>
                    </w:rPr>
                    <w:t>%</w:t>
                  </w:r>
                  <w:r>
                    <w:rPr>
                      <w:rFonts w:hint="eastAsia" w:ascii="Times New Roman" w:hAnsi="Times New Roman" w:eastAsia="宋体" w:cs="Times New Roman"/>
                      <w:color w:val="auto"/>
                      <w:spacing w:val="-10"/>
                      <w:kern w:val="2"/>
                      <w:sz w:val="18"/>
                      <w:szCs w:val="18"/>
                      <w:highlight w:val="none"/>
                      <w:lang w:val="en-US" w:eastAsia="zh-CN" w:bidi="ar-SA"/>
                    </w:rPr>
                    <w:t>，散装，散装，汽车运输，采用防尘苫布覆盖，外售建材单位</w:t>
                  </w:r>
                </w:p>
              </w:tc>
            </w:tr>
            <w:bookmarkEnd w:id="12"/>
          </w:tbl>
          <w:p w14:paraId="2C0C431F">
            <w:pPr>
              <w:pStyle w:val="24"/>
              <w:keepNext w:val="0"/>
              <w:keepLines w:val="0"/>
              <w:pageBreakBefore w:val="0"/>
              <w:widowControl/>
              <w:kinsoku/>
              <w:wordWrap/>
              <w:overflowPunct/>
              <w:topLinePunct w:val="0"/>
              <w:autoSpaceDE/>
              <w:autoSpaceDN/>
              <w:bidi w:val="0"/>
              <w:adjustRightInd w:val="0"/>
              <w:snapToGrid w:val="0"/>
              <w:spacing w:before="0" w:beforeAutospacing="0" w:after="0" w:afterAutospacing="0" w:line="420" w:lineRule="exact"/>
              <w:ind w:firstLine="422" w:firstLineChars="200"/>
              <w:textAlignment w:val="auto"/>
              <w:rPr>
                <w:rFonts w:hint="eastAsia" w:ascii="Times New Roman" w:hAnsi="Times New Roman" w:cs="Times New Roman"/>
                <w:b/>
                <w:color w:val="auto"/>
                <w:sz w:val="21"/>
                <w:szCs w:val="21"/>
                <w:lang w:val="en-US" w:eastAsia="zh-CN"/>
              </w:rPr>
            </w:pPr>
            <w:r>
              <w:rPr>
                <w:rFonts w:hint="eastAsia" w:ascii="Times New Roman" w:hAnsi="Times New Roman" w:cs="Times New Roman"/>
                <w:b/>
                <w:color w:val="auto"/>
                <w:sz w:val="21"/>
                <w:szCs w:val="21"/>
                <w:lang w:val="en-US" w:eastAsia="zh-CN"/>
              </w:rPr>
              <w:t>4主要构筑物</w:t>
            </w:r>
          </w:p>
          <w:p w14:paraId="73A3D56E">
            <w:pPr>
              <w:pStyle w:val="24"/>
              <w:adjustRightInd w:val="0"/>
              <w:snapToGrid w:val="0"/>
              <w:spacing w:before="0" w:beforeAutospacing="0" w:after="0" w:afterAutospacing="0" w:line="440" w:lineRule="exact"/>
              <w:ind w:firstLine="422" w:firstLineChars="200"/>
              <w:rPr>
                <w:rFonts w:hint="default" w:ascii="Times New Roman" w:hAnsi="Times New Roman" w:eastAsia="宋体"/>
                <w:b/>
                <w:bCs/>
                <w:color w:val="auto"/>
                <w:sz w:val="21"/>
                <w:szCs w:val="21"/>
                <w:lang w:val="en-US" w:eastAsia="zh-CN"/>
              </w:rPr>
            </w:pPr>
            <w:r>
              <w:rPr>
                <w:rFonts w:hint="eastAsia" w:ascii="Times New Roman" w:hAnsi="Times New Roman"/>
                <w:b/>
                <w:bCs/>
                <w:color w:val="auto"/>
                <w:sz w:val="21"/>
                <w:szCs w:val="21"/>
                <w:lang w:val="en-US" w:eastAsia="zh-CN"/>
              </w:rPr>
              <w:t>4.1构筑物</w:t>
            </w:r>
          </w:p>
          <w:p w14:paraId="3D219E8C">
            <w:pPr>
              <w:pStyle w:val="24"/>
              <w:adjustRightInd w:val="0"/>
              <w:snapToGrid w:val="0"/>
              <w:spacing w:before="0" w:beforeAutospacing="0" w:after="0" w:afterAutospacing="0" w:line="440" w:lineRule="exact"/>
              <w:ind w:firstLine="420" w:firstLineChars="200"/>
              <w:rPr>
                <w:rFonts w:ascii="Times New Roman" w:hAnsi="Times New Roman"/>
                <w:color w:val="auto"/>
                <w:sz w:val="21"/>
                <w:szCs w:val="21"/>
              </w:rPr>
            </w:pPr>
            <w:r>
              <w:rPr>
                <w:rFonts w:hint="eastAsia" w:ascii="Times New Roman" w:hAnsi="Times New Roman"/>
                <w:color w:val="auto"/>
                <w:sz w:val="21"/>
                <w:szCs w:val="21"/>
              </w:rPr>
              <w:t>项目主要建构筑物见表</w:t>
            </w:r>
            <w:r>
              <w:rPr>
                <w:rFonts w:hint="eastAsia" w:ascii="Times New Roman" w:hAnsi="Times New Roman"/>
                <w:color w:val="auto"/>
                <w:sz w:val="21"/>
                <w:szCs w:val="21"/>
                <w:lang w:val="en-US" w:eastAsia="zh-CN"/>
              </w:rPr>
              <w:t>7</w:t>
            </w:r>
            <w:r>
              <w:rPr>
                <w:rFonts w:ascii="Times New Roman" w:hAnsi="Times New Roman"/>
                <w:color w:val="auto"/>
                <w:sz w:val="21"/>
                <w:szCs w:val="21"/>
              </w:rPr>
              <w:t>。</w:t>
            </w:r>
          </w:p>
          <w:p w14:paraId="6F544F63">
            <w:pPr>
              <w:pStyle w:val="24"/>
              <w:adjustRightInd w:val="0"/>
              <w:snapToGrid w:val="0"/>
              <w:spacing w:before="0" w:beforeAutospacing="0" w:after="0" w:afterAutospacing="0" w:line="440" w:lineRule="exact"/>
              <w:ind w:firstLine="420" w:firstLineChars="200"/>
              <w:rPr>
                <w:rFonts w:ascii="Times New Roman" w:hAnsi="Times New Roman"/>
                <w:color w:val="auto"/>
                <w:sz w:val="21"/>
                <w:szCs w:val="21"/>
              </w:rPr>
            </w:pPr>
          </w:p>
          <w:p w14:paraId="64748ADD">
            <w:pPr>
              <w:pStyle w:val="24"/>
              <w:adjustRightInd w:val="0"/>
              <w:snapToGrid w:val="0"/>
              <w:spacing w:before="0" w:beforeAutospacing="0" w:after="0" w:afterAutospacing="0" w:line="440" w:lineRule="exact"/>
              <w:jc w:val="center"/>
              <w:rPr>
                <w:rFonts w:ascii="Times New Roman" w:hAnsi="Times New Roman"/>
                <w:b/>
                <w:bCs/>
                <w:color w:val="auto"/>
                <w:sz w:val="21"/>
                <w:szCs w:val="21"/>
                <w:highlight w:val="none"/>
              </w:rPr>
            </w:pPr>
            <w:r>
              <w:rPr>
                <w:rFonts w:ascii="Times New Roman" w:hAnsi="Times New Roman"/>
                <w:b/>
                <w:bCs/>
                <w:color w:val="auto"/>
                <w:sz w:val="21"/>
                <w:szCs w:val="21"/>
                <w:highlight w:val="none"/>
              </w:rPr>
              <w:t>表</w:t>
            </w:r>
            <w:r>
              <w:rPr>
                <w:rFonts w:hint="eastAsia" w:ascii="Times New Roman" w:hAnsi="Times New Roman"/>
                <w:b/>
                <w:bCs/>
                <w:color w:val="auto"/>
                <w:sz w:val="21"/>
                <w:szCs w:val="21"/>
                <w:highlight w:val="none"/>
                <w:lang w:val="en-US" w:eastAsia="zh-CN"/>
              </w:rPr>
              <w:t>7</w:t>
            </w:r>
            <w:r>
              <w:rPr>
                <w:rFonts w:ascii="Times New Roman" w:hAnsi="Times New Roman"/>
                <w:b/>
                <w:bCs/>
                <w:color w:val="auto"/>
                <w:sz w:val="21"/>
                <w:szCs w:val="21"/>
                <w:highlight w:val="none"/>
              </w:rPr>
              <w:t xml:space="preserve"> 项目主要建构筑物一览表</w:t>
            </w:r>
          </w:p>
          <w:tbl>
            <w:tblPr>
              <w:tblStyle w:val="28"/>
              <w:tblW w:w="8055"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436"/>
              <w:gridCol w:w="1237"/>
              <w:gridCol w:w="1050"/>
              <w:gridCol w:w="1226"/>
              <w:gridCol w:w="649"/>
              <w:gridCol w:w="3457"/>
            </w:tblGrid>
            <w:tr w14:paraId="6318FA8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84" w:hRule="atLeast"/>
                <w:jc w:val="center"/>
              </w:trPr>
              <w:tc>
                <w:tcPr>
                  <w:tcW w:w="436" w:type="dxa"/>
                  <w:tcBorders>
                    <w:tl2br w:val="nil"/>
                    <w:tr2bl w:val="nil"/>
                  </w:tcBorders>
                  <w:vAlign w:val="center"/>
                </w:tcPr>
                <w:p w14:paraId="0DD52A8F">
                  <w:pPr>
                    <w:widowControl/>
                    <w:jc w:val="center"/>
                    <w:rPr>
                      <w:color w:val="auto"/>
                      <w:spacing w:val="-10"/>
                      <w:sz w:val="18"/>
                      <w:szCs w:val="18"/>
                      <w:highlight w:val="none"/>
                    </w:rPr>
                  </w:pPr>
                  <w:r>
                    <w:rPr>
                      <w:color w:val="auto"/>
                      <w:spacing w:val="-10"/>
                      <w:sz w:val="18"/>
                      <w:szCs w:val="18"/>
                      <w:highlight w:val="none"/>
                    </w:rPr>
                    <w:t>序号</w:t>
                  </w:r>
                </w:p>
              </w:tc>
              <w:tc>
                <w:tcPr>
                  <w:tcW w:w="1237" w:type="dxa"/>
                  <w:tcBorders>
                    <w:tl2br w:val="nil"/>
                    <w:tr2bl w:val="nil"/>
                  </w:tcBorders>
                  <w:vAlign w:val="center"/>
                </w:tcPr>
                <w:p w14:paraId="61A718BD">
                  <w:pPr>
                    <w:widowControl/>
                    <w:jc w:val="center"/>
                    <w:rPr>
                      <w:color w:val="auto"/>
                      <w:spacing w:val="-10"/>
                      <w:sz w:val="18"/>
                      <w:szCs w:val="18"/>
                      <w:highlight w:val="none"/>
                    </w:rPr>
                  </w:pPr>
                  <w:r>
                    <w:rPr>
                      <w:color w:val="auto"/>
                      <w:spacing w:val="-10"/>
                      <w:sz w:val="18"/>
                      <w:szCs w:val="18"/>
                      <w:highlight w:val="none"/>
                    </w:rPr>
                    <w:t>名称</w:t>
                  </w:r>
                </w:p>
              </w:tc>
              <w:tc>
                <w:tcPr>
                  <w:tcW w:w="1050" w:type="dxa"/>
                  <w:tcBorders>
                    <w:tl2br w:val="nil"/>
                    <w:tr2bl w:val="nil"/>
                  </w:tcBorders>
                  <w:vAlign w:val="center"/>
                </w:tcPr>
                <w:p w14:paraId="2D0C3284">
                  <w:pPr>
                    <w:widowControl/>
                    <w:jc w:val="center"/>
                    <w:rPr>
                      <w:color w:val="auto"/>
                      <w:spacing w:val="-10"/>
                      <w:sz w:val="18"/>
                      <w:szCs w:val="18"/>
                      <w:highlight w:val="none"/>
                    </w:rPr>
                  </w:pPr>
                  <w:r>
                    <w:rPr>
                      <w:rFonts w:hint="eastAsia"/>
                      <w:color w:val="auto"/>
                      <w:spacing w:val="-10"/>
                      <w:sz w:val="18"/>
                      <w:szCs w:val="18"/>
                      <w:highlight w:val="none"/>
                    </w:rPr>
                    <w:t>占地</w:t>
                  </w:r>
                  <w:r>
                    <w:rPr>
                      <w:color w:val="auto"/>
                      <w:spacing w:val="-10"/>
                      <w:sz w:val="18"/>
                      <w:szCs w:val="18"/>
                      <w:highlight w:val="none"/>
                    </w:rPr>
                    <w:t>面积（m</w:t>
                  </w:r>
                  <w:r>
                    <w:rPr>
                      <w:color w:val="auto"/>
                      <w:spacing w:val="-10"/>
                      <w:sz w:val="18"/>
                      <w:szCs w:val="18"/>
                      <w:highlight w:val="none"/>
                      <w:vertAlign w:val="superscript"/>
                    </w:rPr>
                    <w:t>2</w:t>
                  </w:r>
                  <w:r>
                    <w:rPr>
                      <w:color w:val="auto"/>
                      <w:spacing w:val="-10"/>
                      <w:sz w:val="18"/>
                      <w:szCs w:val="18"/>
                      <w:highlight w:val="none"/>
                    </w:rPr>
                    <w:t>）</w:t>
                  </w:r>
                </w:p>
              </w:tc>
              <w:tc>
                <w:tcPr>
                  <w:tcW w:w="1226" w:type="dxa"/>
                  <w:tcBorders>
                    <w:tl2br w:val="nil"/>
                    <w:tr2bl w:val="nil"/>
                  </w:tcBorders>
                  <w:vAlign w:val="center"/>
                </w:tcPr>
                <w:p w14:paraId="5B9AAB2C">
                  <w:pPr>
                    <w:widowControl/>
                    <w:jc w:val="center"/>
                    <w:rPr>
                      <w:color w:val="auto"/>
                      <w:spacing w:val="-10"/>
                      <w:sz w:val="18"/>
                      <w:szCs w:val="18"/>
                      <w:highlight w:val="none"/>
                    </w:rPr>
                  </w:pPr>
                  <w:r>
                    <w:rPr>
                      <w:color w:val="auto"/>
                      <w:spacing w:val="-10"/>
                      <w:sz w:val="18"/>
                      <w:szCs w:val="18"/>
                      <w:highlight w:val="none"/>
                    </w:rPr>
                    <w:t>规格、尺寸</w:t>
                  </w:r>
                </w:p>
              </w:tc>
              <w:tc>
                <w:tcPr>
                  <w:tcW w:w="649" w:type="dxa"/>
                  <w:tcBorders>
                    <w:tl2br w:val="nil"/>
                    <w:tr2bl w:val="nil"/>
                  </w:tcBorders>
                  <w:vAlign w:val="center"/>
                </w:tcPr>
                <w:p w14:paraId="586270F2">
                  <w:pPr>
                    <w:widowControl/>
                    <w:jc w:val="center"/>
                    <w:rPr>
                      <w:color w:val="auto"/>
                      <w:spacing w:val="-10"/>
                      <w:sz w:val="18"/>
                      <w:szCs w:val="18"/>
                      <w:highlight w:val="none"/>
                    </w:rPr>
                  </w:pPr>
                  <w:r>
                    <w:rPr>
                      <w:color w:val="auto"/>
                      <w:spacing w:val="-10"/>
                      <w:sz w:val="18"/>
                      <w:szCs w:val="18"/>
                      <w:highlight w:val="none"/>
                    </w:rPr>
                    <w:t>数量</w:t>
                  </w:r>
                </w:p>
              </w:tc>
              <w:tc>
                <w:tcPr>
                  <w:tcW w:w="3457" w:type="dxa"/>
                  <w:tcBorders>
                    <w:tl2br w:val="nil"/>
                    <w:tr2bl w:val="nil"/>
                  </w:tcBorders>
                  <w:vAlign w:val="center"/>
                </w:tcPr>
                <w:p w14:paraId="145A03A9">
                  <w:pPr>
                    <w:widowControl/>
                    <w:jc w:val="center"/>
                    <w:rPr>
                      <w:color w:val="auto"/>
                      <w:spacing w:val="-10"/>
                      <w:sz w:val="18"/>
                      <w:szCs w:val="18"/>
                      <w:highlight w:val="none"/>
                    </w:rPr>
                  </w:pPr>
                  <w:r>
                    <w:rPr>
                      <w:rFonts w:hint="eastAsia"/>
                      <w:color w:val="auto"/>
                      <w:spacing w:val="-10"/>
                      <w:sz w:val="18"/>
                      <w:szCs w:val="18"/>
                      <w:highlight w:val="none"/>
                      <w:lang w:val="en-US" w:eastAsia="zh-CN"/>
                    </w:rPr>
                    <w:t>结构</w:t>
                  </w:r>
                </w:p>
              </w:tc>
            </w:tr>
            <w:tr w14:paraId="56B4940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83" w:hRule="atLeast"/>
                <w:jc w:val="center"/>
              </w:trPr>
              <w:tc>
                <w:tcPr>
                  <w:tcW w:w="436" w:type="dxa"/>
                  <w:tcBorders>
                    <w:tl2br w:val="nil"/>
                    <w:tr2bl w:val="nil"/>
                  </w:tcBorders>
                  <w:vAlign w:val="center"/>
                </w:tcPr>
                <w:p w14:paraId="4C37F682">
                  <w:pPr>
                    <w:jc w:val="center"/>
                    <w:rPr>
                      <w:color w:val="auto"/>
                      <w:spacing w:val="-10"/>
                      <w:sz w:val="18"/>
                      <w:szCs w:val="18"/>
                      <w:highlight w:val="none"/>
                    </w:rPr>
                  </w:pPr>
                  <w:r>
                    <w:rPr>
                      <w:color w:val="auto"/>
                      <w:spacing w:val="-10"/>
                      <w:sz w:val="18"/>
                      <w:szCs w:val="18"/>
                      <w:highlight w:val="none"/>
                    </w:rPr>
                    <w:t>1</w:t>
                  </w:r>
                </w:p>
              </w:tc>
              <w:tc>
                <w:tcPr>
                  <w:tcW w:w="1237" w:type="dxa"/>
                  <w:tcBorders>
                    <w:tl2br w:val="nil"/>
                    <w:tr2bl w:val="nil"/>
                  </w:tcBorders>
                  <w:vAlign w:val="center"/>
                </w:tcPr>
                <w:p w14:paraId="2FCD87CC">
                  <w:pPr>
                    <w:jc w:val="center"/>
                    <w:rPr>
                      <w:rFonts w:hint="default"/>
                      <w:color w:val="auto"/>
                      <w:spacing w:val="-10"/>
                      <w:sz w:val="18"/>
                      <w:szCs w:val="18"/>
                      <w:highlight w:val="none"/>
                      <w:lang w:val="en-US"/>
                    </w:rPr>
                  </w:pPr>
                  <w:r>
                    <w:rPr>
                      <w:rFonts w:hint="eastAsia"/>
                      <w:color w:val="auto"/>
                      <w:spacing w:val="-10"/>
                      <w:sz w:val="18"/>
                      <w:szCs w:val="18"/>
                      <w:highlight w:val="none"/>
                      <w:lang w:val="en-US" w:eastAsia="zh-CN"/>
                    </w:rPr>
                    <w:t>1</w:t>
                  </w:r>
                  <w:r>
                    <w:rPr>
                      <w:rFonts w:hint="eastAsia"/>
                      <w:color w:val="auto"/>
                      <w:spacing w:val="-10"/>
                      <w:sz w:val="18"/>
                      <w:szCs w:val="18"/>
                      <w:highlight w:val="none"/>
                      <w:vertAlign w:val="superscript"/>
                      <w:lang w:val="en-US" w:eastAsia="zh-CN"/>
                    </w:rPr>
                    <w:t>#</w:t>
                  </w:r>
                  <w:r>
                    <w:rPr>
                      <w:rFonts w:hint="eastAsia"/>
                      <w:color w:val="auto"/>
                      <w:spacing w:val="-10"/>
                      <w:sz w:val="18"/>
                      <w:szCs w:val="18"/>
                      <w:highlight w:val="none"/>
                      <w:lang w:val="en-US" w:eastAsia="zh-CN"/>
                    </w:rPr>
                    <w:t>生产车间</w:t>
                  </w:r>
                </w:p>
              </w:tc>
              <w:tc>
                <w:tcPr>
                  <w:tcW w:w="1050" w:type="dxa"/>
                  <w:tcBorders>
                    <w:tl2br w:val="nil"/>
                    <w:tr2bl w:val="nil"/>
                  </w:tcBorders>
                  <w:vAlign w:val="center"/>
                </w:tcPr>
                <w:p w14:paraId="5378A2E1">
                  <w:pPr>
                    <w:widowControl/>
                    <w:jc w:val="center"/>
                    <w:rPr>
                      <w:rFonts w:hint="default" w:eastAsia="宋体"/>
                      <w:color w:val="auto"/>
                      <w:spacing w:val="-10"/>
                      <w:sz w:val="18"/>
                      <w:szCs w:val="18"/>
                      <w:highlight w:val="none"/>
                      <w:lang w:val="en-US" w:eastAsia="zh-CN"/>
                    </w:rPr>
                  </w:pPr>
                  <w:r>
                    <w:rPr>
                      <w:rFonts w:hint="eastAsia"/>
                      <w:color w:val="auto"/>
                      <w:spacing w:val="-10"/>
                      <w:sz w:val="18"/>
                      <w:szCs w:val="18"/>
                      <w:highlight w:val="none"/>
                      <w:lang w:val="en-US" w:eastAsia="zh-CN"/>
                    </w:rPr>
                    <w:t>3490</w:t>
                  </w:r>
                </w:p>
              </w:tc>
              <w:tc>
                <w:tcPr>
                  <w:tcW w:w="1226" w:type="dxa"/>
                  <w:tcBorders>
                    <w:tl2br w:val="nil"/>
                    <w:tr2bl w:val="nil"/>
                  </w:tcBorders>
                  <w:vAlign w:val="center"/>
                </w:tcPr>
                <w:p w14:paraId="2ADD8E7A">
                  <w:pPr>
                    <w:widowControl/>
                    <w:jc w:val="center"/>
                    <w:rPr>
                      <w:rFonts w:hint="default"/>
                      <w:color w:val="auto"/>
                      <w:spacing w:val="-10"/>
                      <w:sz w:val="18"/>
                      <w:szCs w:val="18"/>
                      <w:highlight w:val="none"/>
                      <w:lang w:val="en-US"/>
                    </w:rPr>
                  </w:pPr>
                  <w:r>
                    <w:rPr>
                      <w:rFonts w:hint="eastAsia" w:ascii="Times New Roman" w:hAnsi="Times New Roman" w:cs="Times New Roman"/>
                      <w:color w:val="auto"/>
                      <w:spacing w:val="-10"/>
                      <w:sz w:val="18"/>
                      <w:szCs w:val="18"/>
                      <w:highlight w:val="none"/>
                      <w:lang w:val="en-US" w:eastAsia="zh-CN"/>
                    </w:rPr>
                    <w:t>58m</w:t>
                  </w:r>
                  <w:r>
                    <w:rPr>
                      <w:rFonts w:hint="default" w:ascii="Times New Roman" w:hAnsi="Times New Roman" w:cs="Times New Roman"/>
                      <w:color w:val="auto"/>
                      <w:spacing w:val="-10"/>
                      <w:sz w:val="18"/>
                      <w:szCs w:val="18"/>
                      <w:highlight w:val="none"/>
                      <w:lang w:val="en-US" w:eastAsia="zh-CN"/>
                    </w:rPr>
                    <w:t>×</w:t>
                  </w:r>
                  <w:r>
                    <w:rPr>
                      <w:rFonts w:hint="eastAsia" w:cs="Times New Roman"/>
                      <w:color w:val="auto"/>
                      <w:spacing w:val="-10"/>
                      <w:sz w:val="18"/>
                      <w:szCs w:val="18"/>
                      <w:highlight w:val="none"/>
                      <w:lang w:val="en-US" w:eastAsia="zh-CN"/>
                    </w:rPr>
                    <w:t>60.2</w:t>
                  </w:r>
                  <w:r>
                    <w:rPr>
                      <w:rFonts w:hint="eastAsia" w:ascii="Times New Roman" w:hAnsi="Times New Roman" w:cs="Times New Roman"/>
                      <w:color w:val="auto"/>
                      <w:spacing w:val="-10"/>
                      <w:sz w:val="18"/>
                      <w:szCs w:val="18"/>
                      <w:highlight w:val="none"/>
                      <w:lang w:val="en-US" w:eastAsia="zh-CN"/>
                    </w:rPr>
                    <w:t>m</w:t>
                  </w:r>
                  <w:r>
                    <w:rPr>
                      <w:rFonts w:hint="default" w:ascii="Times New Roman" w:hAnsi="Times New Roman" w:cs="Times New Roman"/>
                      <w:color w:val="auto"/>
                      <w:spacing w:val="-10"/>
                      <w:sz w:val="18"/>
                      <w:szCs w:val="18"/>
                      <w:highlight w:val="none"/>
                      <w:lang w:val="en-US" w:eastAsia="zh-CN"/>
                    </w:rPr>
                    <w:t>×</w:t>
                  </w:r>
                  <w:r>
                    <w:rPr>
                      <w:rFonts w:hint="eastAsia" w:cs="Times New Roman"/>
                      <w:color w:val="auto"/>
                      <w:spacing w:val="-10"/>
                      <w:sz w:val="18"/>
                      <w:szCs w:val="18"/>
                      <w:highlight w:val="none"/>
                      <w:lang w:val="en-US" w:eastAsia="zh-CN"/>
                    </w:rPr>
                    <w:t>12</w:t>
                  </w:r>
                  <w:r>
                    <w:rPr>
                      <w:rFonts w:hint="eastAsia" w:ascii="Times New Roman" w:hAnsi="Times New Roman" w:cs="Times New Roman"/>
                      <w:color w:val="auto"/>
                      <w:spacing w:val="-10"/>
                      <w:sz w:val="18"/>
                      <w:szCs w:val="18"/>
                      <w:highlight w:val="none"/>
                      <w:lang w:val="en-US" w:eastAsia="zh-CN"/>
                    </w:rPr>
                    <w:t>m</w:t>
                  </w:r>
                </w:p>
              </w:tc>
              <w:tc>
                <w:tcPr>
                  <w:tcW w:w="649" w:type="dxa"/>
                  <w:tcBorders>
                    <w:tl2br w:val="nil"/>
                    <w:tr2bl w:val="nil"/>
                  </w:tcBorders>
                  <w:vAlign w:val="center"/>
                </w:tcPr>
                <w:p w14:paraId="7B534290">
                  <w:pPr>
                    <w:widowControl/>
                    <w:jc w:val="center"/>
                    <w:rPr>
                      <w:color w:val="auto"/>
                      <w:spacing w:val="-10"/>
                      <w:sz w:val="18"/>
                      <w:szCs w:val="18"/>
                      <w:highlight w:val="none"/>
                    </w:rPr>
                  </w:pPr>
                  <w:r>
                    <w:rPr>
                      <w:color w:val="auto"/>
                      <w:spacing w:val="-10"/>
                      <w:sz w:val="18"/>
                      <w:szCs w:val="18"/>
                      <w:highlight w:val="none"/>
                    </w:rPr>
                    <w:t>1</w:t>
                  </w:r>
                </w:p>
              </w:tc>
              <w:tc>
                <w:tcPr>
                  <w:tcW w:w="3457" w:type="dxa"/>
                  <w:tcBorders>
                    <w:tl2br w:val="nil"/>
                    <w:tr2bl w:val="nil"/>
                  </w:tcBorders>
                  <w:vAlign w:val="center"/>
                </w:tcPr>
                <w:p w14:paraId="0B1765EB">
                  <w:pPr>
                    <w:widowControl/>
                    <w:jc w:val="center"/>
                    <w:rPr>
                      <w:rFonts w:hint="eastAsia"/>
                      <w:color w:val="auto"/>
                      <w:spacing w:val="-10"/>
                      <w:sz w:val="18"/>
                      <w:szCs w:val="18"/>
                      <w:highlight w:val="none"/>
                    </w:rPr>
                  </w:pPr>
                  <w:r>
                    <w:rPr>
                      <w:rFonts w:hint="eastAsia"/>
                      <w:color w:val="auto"/>
                      <w:spacing w:val="-10"/>
                      <w:sz w:val="18"/>
                      <w:szCs w:val="18"/>
                      <w:highlight w:val="none"/>
                      <w:lang w:val="en-US" w:eastAsia="zh-CN"/>
                    </w:rPr>
                    <w:t>3</w:t>
                  </w:r>
                  <w:r>
                    <w:rPr>
                      <w:rFonts w:hint="eastAsia"/>
                      <w:color w:val="auto"/>
                      <w:spacing w:val="-10"/>
                      <w:sz w:val="18"/>
                      <w:szCs w:val="18"/>
                      <w:highlight w:val="none"/>
                    </w:rPr>
                    <w:t>m混凝</w:t>
                  </w:r>
                  <w:r>
                    <w:rPr>
                      <w:rFonts w:hint="eastAsia" w:ascii="Times New Roman" w:hAnsi="Times New Roman" w:eastAsia="宋体" w:cs="Times New Roman"/>
                      <w:color w:val="auto"/>
                      <w:spacing w:val="-10"/>
                      <w:sz w:val="18"/>
                      <w:szCs w:val="18"/>
                      <w:highlight w:val="none"/>
                    </w:rPr>
                    <w:t>土基础墙+</w:t>
                  </w:r>
                  <w:r>
                    <w:rPr>
                      <w:rFonts w:hint="eastAsia"/>
                      <w:color w:val="auto"/>
                      <w:spacing w:val="-10"/>
                      <w:sz w:val="18"/>
                      <w:szCs w:val="18"/>
                      <w:highlight w:val="none"/>
                      <w:lang w:val="en-US" w:eastAsia="zh-CN"/>
                    </w:rPr>
                    <w:t>双层</w:t>
                  </w:r>
                  <w:r>
                    <w:rPr>
                      <w:rFonts w:hint="eastAsia"/>
                      <w:color w:val="auto"/>
                      <w:spacing w:val="-10"/>
                      <w:sz w:val="18"/>
                      <w:szCs w:val="18"/>
                      <w:highlight w:val="none"/>
                    </w:rPr>
                    <w:t>彩钢结构</w:t>
                  </w:r>
                  <w:r>
                    <w:rPr>
                      <w:rFonts w:hint="eastAsia"/>
                      <w:color w:val="auto"/>
                      <w:spacing w:val="-10"/>
                      <w:sz w:val="18"/>
                      <w:szCs w:val="18"/>
                      <w:highlight w:val="none"/>
                      <w:lang w:eastAsia="zh-CN"/>
                    </w:rPr>
                    <w:t>、</w:t>
                  </w:r>
                  <w:r>
                    <w:rPr>
                      <w:rFonts w:hint="eastAsia"/>
                      <w:color w:val="auto"/>
                      <w:spacing w:val="-10"/>
                      <w:sz w:val="18"/>
                      <w:szCs w:val="18"/>
                      <w:highlight w:val="none"/>
                      <w:lang w:val="en-US" w:eastAsia="zh-CN"/>
                    </w:rPr>
                    <w:t>内置隔音棉</w:t>
                  </w:r>
                </w:p>
              </w:tc>
            </w:tr>
            <w:tr w14:paraId="79A1478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83" w:hRule="atLeast"/>
                <w:jc w:val="center"/>
              </w:trPr>
              <w:tc>
                <w:tcPr>
                  <w:tcW w:w="436" w:type="dxa"/>
                  <w:tcBorders>
                    <w:tl2br w:val="nil"/>
                    <w:tr2bl w:val="nil"/>
                  </w:tcBorders>
                  <w:vAlign w:val="center"/>
                </w:tcPr>
                <w:p w14:paraId="514BCE65">
                  <w:pPr>
                    <w:jc w:val="center"/>
                    <w:rPr>
                      <w:rFonts w:hint="default" w:eastAsia="宋体"/>
                      <w:color w:val="auto"/>
                      <w:spacing w:val="-10"/>
                      <w:sz w:val="18"/>
                      <w:szCs w:val="18"/>
                      <w:highlight w:val="none"/>
                      <w:lang w:val="en-US" w:eastAsia="zh-CN"/>
                    </w:rPr>
                  </w:pPr>
                  <w:r>
                    <w:rPr>
                      <w:rFonts w:hint="eastAsia"/>
                      <w:color w:val="auto"/>
                      <w:spacing w:val="-10"/>
                      <w:sz w:val="18"/>
                      <w:szCs w:val="18"/>
                      <w:highlight w:val="none"/>
                      <w:lang w:val="en-US" w:eastAsia="zh-CN"/>
                    </w:rPr>
                    <w:t>1.1</w:t>
                  </w:r>
                </w:p>
              </w:tc>
              <w:tc>
                <w:tcPr>
                  <w:tcW w:w="1237" w:type="dxa"/>
                  <w:tcBorders>
                    <w:tl2br w:val="nil"/>
                    <w:tr2bl w:val="nil"/>
                  </w:tcBorders>
                  <w:vAlign w:val="center"/>
                </w:tcPr>
                <w:p w14:paraId="22D0BEF2">
                  <w:pPr>
                    <w:jc w:val="center"/>
                    <w:rPr>
                      <w:rFonts w:hint="eastAsia"/>
                      <w:color w:val="auto"/>
                      <w:spacing w:val="-10"/>
                      <w:sz w:val="18"/>
                      <w:szCs w:val="18"/>
                      <w:highlight w:val="none"/>
                      <w:lang w:val="en-US" w:eastAsia="zh-CN"/>
                    </w:rPr>
                  </w:pPr>
                  <w:r>
                    <w:rPr>
                      <w:rFonts w:hint="eastAsia"/>
                      <w:color w:val="auto"/>
                      <w:spacing w:val="-10"/>
                      <w:sz w:val="18"/>
                      <w:szCs w:val="18"/>
                      <w:highlight w:val="none"/>
                      <w:lang w:val="en-US" w:eastAsia="zh-CN"/>
                    </w:rPr>
                    <w:t>废钢破碎尾料暂存区</w:t>
                  </w:r>
                </w:p>
              </w:tc>
              <w:tc>
                <w:tcPr>
                  <w:tcW w:w="1050" w:type="dxa"/>
                  <w:tcBorders>
                    <w:tl2br w:val="nil"/>
                    <w:tr2bl w:val="nil"/>
                  </w:tcBorders>
                  <w:vAlign w:val="center"/>
                </w:tcPr>
                <w:p w14:paraId="79C55D88">
                  <w:pPr>
                    <w:widowControl/>
                    <w:jc w:val="center"/>
                    <w:rPr>
                      <w:rFonts w:hint="default"/>
                      <w:color w:val="auto"/>
                      <w:spacing w:val="-10"/>
                      <w:sz w:val="18"/>
                      <w:szCs w:val="18"/>
                      <w:highlight w:val="none"/>
                      <w:lang w:val="en-US" w:eastAsia="zh-CN"/>
                    </w:rPr>
                  </w:pPr>
                  <w:r>
                    <w:rPr>
                      <w:rFonts w:hint="eastAsia"/>
                      <w:color w:val="auto"/>
                      <w:spacing w:val="-10"/>
                      <w:sz w:val="18"/>
                      <w:szCs w:val="18"/>
                      <w:highlight w:val="none"/>
                      <w:lang w:val="en-US" w:eastAsia="zh-CN"/>
                    </w:rPr>
                    <w:t>600</w:t>
                  </w:r>
                </w:p>
              </w:tc>
              <w:tc>
                <w:tcPr>
                  <w:tcW w:w="1226" w:type="dxa"/>
                  <w:tcBorders>
                    <w:tl2br w:val="nil"/>
                    <w:tr2bl w:val="nil"/>
                  </w:tcBorders>
                  <w:vAlign w:val="center"/>
                </w:tcPr>
                <w:p w14:paraId="5B79B5B9">
                  <w:pPr>
                    <w:widowControl/>
                    <w:jc w:val="center"/>
                    <w:rPr>
                      <w:rFonts w:hint="eastAsia"/>
                      <w:color w:val="auto"/>
                      <w:spacing w:val="-10"/>
                      <w:sz w:val="18"/>
                      <w:szCs w:val="18"/>
                      <w:highlight w:val="none"/>
                      <w:lang w:val="en-US" w:eastAsia="zh-CN"/>
                    </w:rPr>
                  </w:pPr>
                  <w:r>
                    <w:rPr>
                      <w:rFonts w:hint="eastAsia" w:ascii="Times New Roman" w:hAnsi="Times New Roman" w:cs="Times New Roman"/>
                      <w:color w:val="auto"/>
                      <w:spacing w:val="-10"/>
                      <w:sz w:val="18"/>
                      <w:szCs w:val="18"/>
                      <w:highlight w:val="none"/>
                      <w:lang w:val="en-US" w:eastAsia="zh-CN"/>
                    </w:rPr>
                    <w:t>1</w:t>
                  </w:r>
                  <w:r>
                    <w:rPr>
                      <w:rFonts w:hint="eastAsia" w:cs="Times New Roman"/>
                      <w:color w:val="auto"/>
                      <w:spacing w:val="-10"/>
                      <w:sz w:val="18"/>
                      <w:szCs w:val="18"/>
                      <w:highlight w:val="none"/>
                      <w:lang w:val="en-US" w:eastAsia="zh-CN"/>
                    </w:rPr>
                    <w:t>0</w:t>
                  </w:r>
                  <w:r>
                    <w:rPr>
                      <w:rFonts w:hint="eastAsia" w:ascii="Times New Roman" w:hAnsi="Times New Roman" w:cs="Times New Roman"/>
                      <w:color w:val="auto"/>
                      <w:spacing w:val="-10"/>
                      <w:sz w:val="18"/>
                      <w:szCs w:val="18"/>
                      <w:highlight w:val="none"/>
                      <w:lang w:val="en-US" w:eastAsia="zh-CN"/>
                    </w:rPr>
                    <w:t>m</w:t>
                  </w:r>
                  <w:r>
                    <w:rPr>
                      <w:rFonts w:hint="default" w:ascii="Times New Roman" w:hAnsi="Times New Roman" w:cs="Times New Roman"/>
                      <w:color w:val="auto"/>
                      <w:spacing w:val="-10"/>
                      <w:sz w:val="18"/>
                      <w:szCs w:val="18"/>
                      <w:highlight w:val="none"/>
                      <w:lang w:val="en-US" w:eastAsia="zh-CN"/>
                    </w:rPr>
                    <w:t>×</w:t>
                  </w:r>
                  <w:r>
                    <w:rPr>
                      <w:rFonts w:hint="eastAsia" w:cs="Times New Roman"/>
                      <w:color w:val="auto"/>
                      <w:spacing w:val="-10"/>
                      <w:sz w:val="18"/>
                      <w:szCs w:val="18"/>
                      <w:highlight w:val="none"/>
                      <w:lang w:val="en-US" w:eastAsia="zh-CN"/>
                    </w:rPr>
                    <w:t>60</w:t>
                  </w:r>
                  <w:r>
                    <w:rPr>
                      <w:rFonts w:hint="eastAsia" w:ascii="Times New Roman" w:hAnsi="Times New Roman" w:cs="Times New Roman"/>
                      <w:color w:val="auto"/>
                      <w:spacing w:val="-10"/>
                      <w:sz w:val="18"/>
                      <w:szCs w:val="18"/>
                      <w:highlight w:val="none"/>
                      <w:lang w:val="en-US" w:eastAsia="zh-CN"/>
                    </w:rPr>
                    <w:t>m</w:t>
                  </w:r>
                </w:p>
              </w:tc>
              <w:tc>
                <w:tcPr>
                  <w:tcW w:w="649" w:type="dxa"/>
                  <w:tcBorders>
                    <w:tl2br w:val="nil"/>
                    <w:tr2bl w:val="nil"/>
                  </w:tcBorders>
                  <w:vAlign w:val="center"/>
                </w:tcPr>
                <w:p w14:paraId="2C6C489C">
                  <w:pPr>
                    <w:widowControl/>
                    <w:jc w:val="center"/>
                    <w:rPr>
                      <w:rFonts w:hint="eastAsia" w:eastAsia="宋体"/>
                      <w:color w:val="auto"/>
                      <w:spacing w:val="-10"/>
                      <w:sz w:val="18"/>
                      <w:szCs w:val="18"/>
                      <w:highlight w:val="none"/>
                      <w:lang w:val="en-US" w:eastAsia="zh-CN"/>
                    </w:rPr>
                  </w:pPr>
                  <w:r>
                    <w:rPr>
                      <w:rFonts w:hint="eastAsia"/>
                      <w:color w:val="auto"/>
                      <w:spacing w:val="-10"/>
                      <w:sz w:val="18"/>
                      <w:szCs w:val="18"/>
                      <w:highlight w:val="none"/>
                      <w:lang w:val="en-US" w:eastAsia="zh-CN"/>
                    </w:rPr>
                    <w:t>1</w:t>
                  </w:r>
                </w:p>
              </w:tc>
              <w:tc>
                <w:tcPr>
                  <w:tcW w:w="3457" w:type="dxa"/>
                  <w:tcBorders>
                    <w:tl2br w:val="nil"/>
                    <w:tr2bl w:val="nil"/>
                  </w:tcBorders>
                  <w:vAlign w:val="center"/>
                </w:tcPr>
                <w:p w14:paraId="674FD18B">
                  <w:pPr>
                    <w:widowControl/>
                    <w:jc w:val="center"/>
                    <w:rPr>
                      <w:rFonts w:hint="default" w:eastAsia="宋体"/>
                      <w:color w:val="auto"/>
                      <w:spacing w:val="-10"/>
                      <w:sz w:val="18"/>
                      <w:szCs w:val="18"/>
                      <w:highlight w:val="none"/>
                      <w:lang w:val="en-US" w:eastAsia="zh-CN"/>
                    </w:rPr>
                  </w:pPr>
                  <w:r>
                    <w:rPr>
                      <w:rFonts w:hint="eastAsia"/>
                      <w:color w:val="auto"/>
                      <w:spacing w:val="-10"/>
                      <w:sz w:val="18"/>
                      <w:szCs w:val="18"/>
                      <w:highlight w:val="none"/>
                      <w:lang w:val="en-US" w:eastAsia="zh-CN"/>
                    </w:rPr>
                    <w:t>位于1</w:t>
                  </w:r>
                  <w:r>
                    <w:rPr>
                      <w:rFonts w:hint="eastAsia"/>
                      <w:color w:val="auto"/>
                      <w:spacing w:val="-10"/>
                      <w:sz w:val="18"/>
                      <w:szCs w:val="18"/>
                      <w:highlight w:val="none"/>
                      <w:vertAlign w:val="superscript"/>
                      <w:lang w:val="en-US" w:eastAsia="zh-CN"/>
                    </w:rPr>
                    <w:t>#</w:t>
                  </w:r>
                  <w:r>
                    <w:rPr>
                      <w:rFonts w:hint="eastAsia"/>
                      <w:color w:val="auto"/>
                      <w:spacing w:val="-10"/>
                      <w:sz w:val="18"/>
                      <w:szCs w:val="18"/>
                      <w:highlight w:val="none"/>
                      <w:lang w:val="en-US" w:eastAsia="zh-CN"/>
                    </w:rPr>
                    <w:t>生产车间内，地面采用200mm厚防渗混凝土进行防渗</w:t>
                  </w:r>
                </w:p>
              </w:tc>
            </w:tr>
            <w:tr w14:paraId="207AECD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83" w:hRule="atLeast"/>
                <w:jc w:val="center"/>
              </w:trPr>
              <w:tc>
                <w:tcPr>
                  <w:tcW w:w="436" w:type="dxa"/>
                  <w:tcBorders>
                    <w:tl2br w:val="nil"/>
                    <w:tr2bl w:val="nil"/>
                  </w:tcBorders>
                  <w:vAlign w:val="center"/>
                </w:tcPr>
                <w:p w14:paraId="627D34E1">
                  <w:pPr>
                    <w:jc w:val="center"/>
                    <w:rPr>
                      <w:rFonts w:hint="default" w:ascii="Times New Roman" w:hAnsi="Times New Roman" w:eastAsia="宋体" w:cs="Times New Roman"/>
                      <w:color w:val="auto"/>
                      <w:spacing w:val="-10"/>
                      <w:kern w:val="2"/>
                      <w:sz w:val="18"/>
                      <w:szCs w:val="18"/>
                      <w:highlight w:val="none"/>
                      <w:lang w:val="en-US" w:eastAsia="zh-CN" w:bidi="ar-SA"/>
                    </w:rPr>
                  </w:pPr>
                  <w:r>
                    <w:rPr>
                      <w:rFonts w:hint="eastAsia" w:cs="Times New Roman"/>
                      <w:color w:val="auto"/>
                      <w:spacing w:val="-10"/>
                      <w:kern w:val="2"/>
                      <w:sz w:val="18"/>
                      <w:szCs w:val="18"/>
                      <w:highlight w:val="none"/>
                      <w:lang w:val="en-US" w:eastAsia="zh-CN" w:bidi="ar-SA"/>
                    </w:rPr>
                    <w:t>1.2</w:t>
                  </w:r>
                </w:p>
              </w:tc>
              <w:tc>
                <w:tcPr>
                  <w:tcW w:w="1237" w:type="dxa"/>
                  <w:tcBorders>
                    <w:tl2br w:val="nil"/>
                    <w:tr2bl w:val="nil"/>
                  </w:tcBorders>
                  <w:vAlign w:val="center"/>
                </w:tcPr>
                <w:p w14:paraId="4F469B20">
                  <w:pPr>
                    <w:jc w:val="center"/>
                    <w:rPr>
                      <w:rFonts w:hint="default" w:eastAsia="宋体"/>
                      <w:color w:val="auto"/>
                      <w:spacing w:val="-10"/>
                      <w:sz w:val="18"/>
                      <w:szCs w:val="18"/>
                      <w:highlight w:val="none"/>
                      <w:lang w:val="en-US" w:eastAsia="zh-CN"/>
                    </w:rPr>
                  </w:pPr>
                  <w:r>
                    <w:rPr>
                      <w:rFonts w:hint="eastAsia"/>
                      <w:color w:val="auto"/>
                      <w:spacing w:val="-10"/>
                      <w:sz w:val="18"/>
                      <w:szCs w:val="18"/>
                      <w:highlight w:val="none"/>
                      <w:lang w:val="en-US" w:eastAsia="zh-CN"/>
                    </w:rPr>
                    <w:t>暂存池</w:t>
                  </w:r>
                </w:p>
              </w:tc>
              <w:tc>
                <w:tcPr>
                  <w:tcW w:w="1050" w:type="dxa"/>
                  <w:tcBorders>
                    <w:tl2br w:val="nil"/>
                    <w:tr2bl w:val="nil"/>
                  </w:tcBorders>
                  <w:vAlign w:val="center"/>
                </w:tcPr>
                <w:p w14:paraId="756E0500">
                  <w:pPr>
                    <w:widowControl/>
                    <w:jc w:val="center"/>
                    <w:rPr>
                      <w:rFonts w:hint="default"/>
                      <w:color w:val="auto"/>
                      <w:spacing w:val="-10"/>
                      <w:sz w:val="18"/>
                      <w:szCs w:val="18"/>
                      <w:highlight w:val="none"/>
                      <w:lang w:val="en-US" w:eastAsia="zh-CN"/>
                    </w:rPr>
                  </w:pPr>
                  <w:r>
                    <w:rPr>
                      <w:rFonts w:hint="eastAsia"/>
                      <w:color w:val="auto"/>
                      <w:spacing w:val="-10"/>
                      <w:sz w:val="18"/>
                      <w:szCs w:val="18"/>
                      <w:highlight w:val="none"/>
                      <w:lang w:val="en-US" w:eastAsia="zh-CN"/>
                    </w:rPr>
                    <w:t>24</w:t>
                  </w:r>
                </w:p>
              </w:tc>
              <w:tc>
                <w:tcPr>
                  <w:tcW w:w="1226" w:type="dxa"/>
                  <w:tcBorders>
                    <w:tl2br w:val="nil"/>
                    <w:tr2bl w:val="nil"/>
                  </w:tcBorders>
                  <w:vAlign w:val="center"/>
                </w:tcPr>
                <w:p w14:paraId="2CF24395">
                  <w:pPr>
                    <w:widowControl/>
                    <w:jc w:val="center"/>
                    <w:rPr>
                      <w:rFonts w:hint="default"/>
                      <w:color w:val="auto"/>
                      <w:spacing w:val="-10"/>
                      <w:sz w:val="18"/>
                      <w:szCs w:val="18"/>
                      <w:highlight w:val="none"/>
                      <w:lang w:val="en-US" w:eastAsia="zh-CN"/>
                    </w:rPr>
                  </w:pPr>
                  <w:r>
                    <w:rPr>
                      <w:rFonts w:hint="eastAsia" w:cs="Times New Roman"/>
                      <w:color w:val="auto"/>
                      <w:spacing w:val="-10"/>
                      <w:kern w:val="2"/>
                      <w:sz w:val="18"/>
                      <w:szCs w:val="18"/>
                      <w:highlight w:val="none"/>
                      <w:lang w:val="en-US" w:eastAsia="zh-CN" w:bidi="ar-SA"/>
                    </w:rPr>
                    <w:t>4</w:t>
                  </w:r>
                  <w:r>
                    <w:rPr>
                      <w:rFonts w:hint="eastAsia" w:ascii="Times New Roman" w:hAnsi="Times New Roman" w:cs="Times New Roman"/>
                      <w:color w:val="auto"/>
                      <w:spacing w:val="-10"/>
                      <w:sz w:val="18"/>
                      <w:szCs w:val="18"/>
                      <w:highlight w:val="none"/>
                      <w:lang w:val="en-US" w:eastAsia="zh-CN"/>
                    </w:rPr>
                    <w:t>m</w:t>
                  </w:r>
                  <w:r>
                    <w:rPr>
                      <w:rFonts w:hint="default" w:ascii="Times New Roman" w:hAnsi="Times New Roman" w:cs="Times New Roman"/>
                      <w:color w:val="auto"/>
                      <w:spacing w:val="-10"/>
                      <w:sz w:val="18"/>
                      <w:szCs w:val="18"/>
                      <w:highlight w:val="none"/>
                      <w:lang w:val="en-US" w:eastAsia="zh-CN"/>
                    </w:rPr>
                    <w:t>×</w:t>
                  </w:r>
                  <w:r>
                    <w:rPr>
                      <w:rFonts w:hint="eastAsia" w:cs="Times New Roman"/>
                      <w:color w:val="auto"/>
                      <w:spacing w:val="-10"/>
                      <w:sz w:val="18"/>
                      <w:szCs w:val="18"/>
                      <w:highlight w:val="none"/>
                      <w:lang w:val="en-US" w:eastAsia="zh-CN"/>
                    </w:rPr>
                    <w:t>6</w:t>
                  </w:r>
                  <w:r>
                    <w:rPr>
                      <w:rFonts w:hint="eastAsia" w:ascii="Times New Roman" w:hAnsi="Times New Roman" w:cs="Times New Roman"/>
                      <w:color w:val="auto"/>
                      <w:spacing w:val="-10"/>
                      <w:sz w:val="18"/>
                      <w:szCs w:val="18"/>
                      <w:highlight w:val="none"/>
                      <w:lang w:val="en-US" w:eastAsia="zh-CN"/>
                    </w:rPr>
                    <w:t>m</w:t>
                  </w:r>
                  <w:r>
                    <w:rPr>
                      <w:rFonts w:hint="default" w:ascii="Times New Roman" w:hAnsi="Times New Roman" w:cs="Times New Roman"/>
                      <w:color w:val="auto"/>
                      <w:spacing w:val="-10"/>
                      <w:sz w:val="18"/>
                      <w:szCs w:val="18"/>
                      <w:highlight w:val="none"/>
                      <w:lang w:val="en-US" w:eastAsia="zh-CN"/>
                    </w:rPr>
                    <w:t>×</w:t>
                  </w:r>
                  <w:r>
                    <w:rPr>
                      <w:rFonts w:hint="eastAsia" w:cs="Times New Roman"/>
                      <w:color w:val="auto"/>
                      <w:spacing w:val="-10"/>
                      <w:sz w:val="18"/>
                      <w:szCs w:val="18"/>
                      <w:highlight w:val="none"/>
                      <w:lang w:val="en-US" w:eastAsia="zh-CN"/>
                    </w:rPr>
                    <w:t>4</w:t>
                  </w:r>
                  <w:r>
                    <w:rPr>
                      <w:rFonts w:hint="eastAsia" w:ascii="Times New Roman" w:hAnsi="Times New Roman" w:cs="Times New Roman"/>
                      <w:color w:val="auto"/>
                      <w:spacing w:val="-10"/>
                      <w:sz w:val="18"/>
                      <w:szCs w:val="18"/>
                      <w:highlight w:val="none"/>
                      <w:lang w:val="en-US" w:eastAsia="zh-CN"/>
                    </w:rPr>
                    <w:t>m</w:t>
                  </w:r>
                </w:p>
              </w:tc>
              <w:tc>
                <w:tcPr>
                  <w:tcW w:w="649" w:type="dxa"/>
                  <w:tcBorders>
                    <w:tl2br w:val="nil"/>
                    <w:tr2bl w:val="nil"/>
                  </w:tcBorders>
                  <w:vAlign w:val="center"/>
                </w:tcPr>
                <w:p w14:paraId="0E604220">
                  <w:pPr>
                    <w:widowControl/>
                    <w:jc w:val="center"/>
                    <w:rPr>
                      <w:rFonts w:hint="default" w:eastAsia="宋体"/>
                      <w:color w:val="auto"/>
                      <w:spacing w:val="-10"/>
                      <w:sz w:val="18"/>
                      <w:szCs w:val="18"/>
                      <w:highlight w:val="none"/>
                      <w:lang w:val="en-US" w:eastAsia="zh-CN"/>
                    </w:rPr>
                  </w:pPr>
                  <w:r>
                    <w:rPr>
                      <w:rFonts w:hint="eastAsia"/>
                      <w:color w:val="auto"/>
                      <w:spacing w:val="-10"/>
                      <w:sz w:val="18"/>
                      <w:szCs w:val="18"/>
                      <w:highlight w:val="none"/>
                      <w:lang w:val="en-US" w:eastAsia="zh-CN"/>
                    </w:rPr>
                    <w:t>1</w:t>
                  </w:r>
                </w:p>
              </w:tc>
              <w:tc>
                <w:tcPr>
                  <w:tcW w:w="3457" w:type="dxa"/>
                  <w:tcBorders>
                    <w:tl2br w:val="nil"/>
                    <w:tr2bl w:val="nil"/>
                  </w:tcBorders>
                  <w:vAlign w:val="center"/>
                </w:tcPr>
                <w:p w14:paraId="55276A9B">
                  <w:pPr>
                    <w:widowControl/>
                    <w:jc w:val="center"/>
                    <w:rPr>
                      <w:rFonts w:hint="default" w:ascii="Times New Roman" w:hAnsi="Times New Roman" w:cs="Times New Roman"/>
                      <w:color w:val="auto"/>
                      <w:spacing w:val="-10"/>
                      <w:sz w:val="18"/>
                      <w:szCs w:val="18"/>
                      <w:highlight w:val="none"/>
                      <w:lang w:val="en-US" w:eastAsia="zh-CN"/>
                    </w:rPr>
                  </w:pPr>
                  <w:r>
                    <w:rPr>
                      <w:rFonts w:hint="eastAsia"/>
                      <w:color w:val="auto"/>
                      <w:spacing w:val="-10"/>
                      <w:sz w:val="18"/>
                      <w:szCs w:val="18"/>
                      <w:highlight w:val="none"/>
                      <w:lang w:val="en-US" w:eastAsia="zh-CN"/>
                    </w:rPr>
                    <w:t>位于1</w:t>
                  </w:r>
                  <w:r>
                    <w:rPr>
                      <w:rFonts w:hint="eastAsia"/>
                      <w:color w:val="auto"/>
                      <w:spacing w:val="-10"/>
                      <w:sz w:val="18"/>
                      <w:szCs w:val="18"/>
                      <w:highlight w:val="none"/>
                      <w:vertAlign w:val="superscript"/>
                      <w:lang w:val="en-US" w:eastAsia="zh-CN"/>
                    </w:rPr>
                    <w:t>#</w:t>
                  </w:r>
                  <w:r>
                    <w:rPr>
                      <w:rFonts w:hint="eastAsia"/>
                      <w:color w:val="auto"/>
                      <w:spacing w:val="-10"/>
                      <w:sz w:val="18"/>
                      <w:szCs w:val="18"/>
                      <w:highlight w:val="none"/>
                      <w:lang w:val="en-US" w:eastAsia="zh-CN"/>
                    </w:rPr>
                    <w:t>生产车间内，地上建设，呈坡状，有高差，</w:t>
                  </w:r>
                  <w:r>
                    <w:rPr>
                      <w:rFonts w:hint="eastAsia" w:ascii="Times New Roman" w:hAnsi="Times New Roman" w:cs="Times New Roman"/>
                      <w:color w:val="auto"/>
                      <w:spacing w:val="-10"/>
                      <w:sz w:val="18"/>
                      <w:szCs w:val="18"/>
                      <w:highlight w:val="none"/>
                      <w:lang w:val="en-US" w:eastAsia="zh-CN"/>
                    </w:rPr>
                    <w:t>采用200mm厚</w:t>
                  </w:r>
                  <w:r>
                    <w:rPr>
                      <w:rFonts w:hint="eastAsia" w:cs="Times New Roman"/>
                      <w:color w:val="auto"/>
                      <w:spacing w:val="-10"/>
                      <w:sz w:val="18"/>
                      <w:szCs w:val="18"/>
                      <w:highlight w:val="none"/>
                      <w:lang w:val="en-US" w:eastAsia="zh-CN"/>
                    </w:rPr>
                    <w:t>防</w:t>
                  </w:r>
                  <w:r>
                    <w:rPr>
                      <w:rFonts w:hint="eastAsia" w:ascii="Times New Roman" w:hAnsi="Times New Roman" w:cs="Times New Roman"/>
                      <w:color w:val="auto"/>
                      <w:spacing w:val="-10"/>
                      <w:sz w:val="18"/>
                      <w:szCs w:val="18"/>
                      <w:highlight w:val="none"/>
                      <w:lang w:val="en-US" w:eastAsia="zh-CN"/>
                    </w:rPr>
                    <w:t>渗混凝土</w:t>
                  </w:r>
                  <w:r>
                    <w:rPr>
                      <w:rFonts w:hint="eastAsia"/>
                      <w:color w:val="auto"/>
                      <w:spacing w:val="-10"/>
                      <w:sz w:val="18"/>
                      <w:szCs w:val="18"/>
                      <w:highlight w:val="none"/>
                      <w:lang w:val="en-US" w:eastAsia="zh-CN"/>
                    </w:rPr>
                    <w:t>一体浇筑，建有4m高混凝土挡墙</w:t>
                  </w:r>
                </w:p>
              </w:tc>
            </w:tr>
            <w:tr w14:paraId="1FE4C97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83" w:hRule="atLeast"/>
                <w:jc w:val="center"/>
              </w:trPr>
              <w:tc>
                <w:tcPr>
                  <w:tcW w:w="436" w:type="dxa"/>
                  <w:tcBorders>
                    <w:tl2br w:val="nil"/>
                    <w:tr2bl w:val="nil"/>
                  </w:tcBorders>
                  <w:vAlign w:val="center"/>
                </w:tcPr>
                <w:p w14:paraId="7E528E4C">
                  <w:pPr>
                    <w:jc w:val="center"/>
                    <w:rPr>
                      <w:rFonts w:hint="default" w:cs="Times New Roman"/>
                      <w:color w:val="auto"/>
                      <w:spacing w:val="-10"/>
                      <w:kern w:val="2"/>
                      <w:sz w:val="18"/>
                      <w:szCs w:val="18"/>
                      <w:highlight w:val="none"/>
                      <w:lang w:val="en-US" w:eastAsia="zh-CN" w:bidi="ar-SA"/>
                    </w:rPr>
                  </w:pPr>
                  <w:r>
                    <w:rPr>
                      <w:rFonts w:hint="eastAsia" w:cs="Times New Roman"/>
                      <w:color w:val="auto"/>
                      <w:spacing w:val="-10"/>
                      <w:kern w:val="2"/>
                      <w:sz w:val="18"/>
                      <w:szCs w:val="18"/>
                      <w:highlight w:val="none"/>
                      <w:lang w:val="en-US" w:eastAsia="zh-CN" w:bidi="ar-SA"/>
                    </w:rPr>
                    <w:t>1.3</w:t>
                  </w:r>
                </w:p>
              </w:tc>
              <w:tc>
                <w:tcPr>
                  <w:tcW w:w="1237" w:type="dxa"/>
                  <w:tcBorders>
                    <w:tl2br w:val="nil"/>
                    <w:tr2bl w:val="nil"/>
                  </w:tcBorders>
                  <w:vAlign w:val="center"/>
                </w:tcPr>
                <w:p w14:paraId="311273F2">
                  <w:pPr>
                    <w:jc w:val="center"/>
                    <w:rPr>
                      <w:rFonts w:hint="default"/>
                      <w:color w:val="auto"/>
                      <w:spacing w:val="-10"/>
                      <w:sz w:val="18"/>
                      <w:szCs w:val="18"/>
                      <w:highlight w:val="none"/>
                      <w:lang w:val="en-US" w:eastAsia="zh-CN"/>
                    </w:rPr>
                  </w:pPr>
                  <w:r>
                    <w:rPr>
                      <w:rFonts w:hint="eastAsia"/>
                      <w:color w:val="auto"/>
                      <w:spacing w:val="-10"/>
                      <w:sz w:val="18"/>
                      <w:szCs w:val="18"/>
                      <w:highlight w:val="none"/>
                      <w:lang w:val="en-US" w:eastAsia="zh-CN"/>
                    </w:rPr>
                    <w:t>1</w:t>
                  </w:r>
                  <w:r>
                    <w:rPr>
                      <w:rFonts w:hint="eastAsia"/>
                      <w:color w:val="auto"/>
                      <w:spacing w:val="-10"/>
                      <w:sz w:val="18"/>
                      <w:szCs w:val="18"/>
                      <w:highlight w:val="none"/>
                      <w:vertAlign w:val="superscript"/>
                      <w:lang w:val="en-US" w:eastAsia="zh-CN"/>
                    </w:rPr>
                    <w:t>#</w:t>
                  </w:r>
                  <w:r>
                    <w:rPr>
                      <w:rFonts w:hint="eastAsia"/>
                      <w:color w:val="auto"/>
                      <w:spacing w:val="-10"/>
                      <w:sz w:val="18"/>
                      <w:szCs w:val="18"/>
                      <w:highlight w:val="none"/>
                      <w:lang w:val="en-US" w:eastAsia="zh-CN"/>
                    </w:rPr>
                    <w:t>储料池</w:t>
                  </w:r>
                </w:p>
              </w:tc>
              <w:tc>
                <w:tcPr>
                  <w:tcW w:w="1050" w:type="dxa"/>
                  <w:tcBorders>
                    <w:tl2br w:val="nil"/>
                    <w:tr2bl w:val="nil"/>
                  </w:tcBorders>
                  <w:vAlign w:val="center"/>
                </w:tcPr>
                <w:p w14:paraId="07F46066">
                  <w:pPr>
                    <w:widowControl/>
                    <w:jc w:val="center"/>
                    <w:rPr>
                      <w:rFonts w:hint="default"/>
                      <w:color w:val="auto"/>
                      <w:spacing w:val="-10"/>
                      <w:sz w:val="18"/>
                      <w:szCs w:val="18"/>
                      <w:highlight w:val="none"/>
                      <w:lang w:val="en-US" w:eastAsia="zh-CN"/>
                    </w:rPr>
                  </w:pPr>
                  <w:r>
                    <w:rPr>
                      <w:rFonts w:hint="eastAsia"/>
                      <w:color w:val="auto"/>
                      <w:spacing w:val="-10"/>
                      <w:sz w:val="18"/>
                      <w:szCs w:val="18"/>
                      <w:highlight w:val="none"/>
                      <w:lang w:val="en-US" w:eastAsia="zh-CN"/>
                    </w:rPr>
                    <w:t>24</w:t>
                  </w:r>
                </w:p>
              </w:tc>
              <w:tc>
                <w:tcPr>
                  <w:tcW w:w="1226" w:type="dxa"/>
                  <w:tcBorders>
                    <w:tl2br w:val="nil"/>
                    <w:tr2bl w:val="nil"/>
                  </w:tcBorders>
                  <w:vAlign w:val="center"/>
                </w:tcPr>
                <w:p w14:paraId="089A9A71">
                  <w:pPr>
                    <w:widowControl/>
                    <w:jc w:val="center"/>
                    <w:rPr>
                      <w:rFonts w:hint="eastAsia"/>
                      <w:color w:val="auto"/>
                      <w:spacing w:val="-10"/>
                      <w:sz w:val="18"/>
                      <w:szCs w:val="18"/>
                      <w:highlight w:val="none"/>
                      <w:lang w:val="en-US" w:eastAsia="zh-CN"/>
                    </w:rPr>
                  </w:pPr>
                  <w:r>
                    <w:rPr>
                      <w:rFonts w:hint="eastAsia" w:cs="Times New Roman"/>
                      <w:color w:val="auto"/>
                      <w:spacing w:val="-10"/>
                      <w:kern w:val="2"/>
                      <w:sz w:val="18"/>
                      <w:szCs w:val="18"/>
                      <w:highlight w:val="none"/>
                      <w:lang w:val="en-US" w:eastAsia="zh-CN" w:bidi="ar-SA"/>
                    </w:rPr>
                    <w:t>4</w:t>
                  </w:r>
                  <w:r>
                    <w:rPr>
                      <w:rFonts w:hint="eastAsia" w:ascii="Times New Roman" w:hAnsi="Times New Roman" w:cs="Times New Roman"/>
                      <w:color w:val="auto"/>
                      <w:spacing w:val="-10"/>
                      <w:sz w:val="18"/>
                      <w:szCs w:val="18"/>
                      <w:highlight w:val="none"/>
                      <w:lang w:val="en-US" w:eastAsia="zh-CN"/>
                    </w:rPr>
                    <w:t>m</w:t>
                  </w:r>
                  <w:r>
                    <w:rPr>
                      <w:rFonts w:hint="default" w:ascii="Times New Roman" w:hAnsi="Times New Roman" w:cs="Times New Roman"/>
                      <w:color w:val="auto"/>
                      <w:spacing w:val="-10"/>
                      <w:sz w:val="18"/>
                      <w:szCs w:val="18"/>
                      <w:highlight w:val="none"/>
                      <w:lang w:val="en-US" w:eastAsia="zh-CN"/>
                    </w:rPr>
                    <w:t>×</w:t>
                  </w:r>
                  <w:r>
                    <w:rPr>
                      <w:rFonts w:hint="eastAsia" w:cs="Times New Roman"/>
                      <w:color w:val="auto"/>
                      <w:spacing w:val="-10"/>
                      <w:sz w:val="18"/>
                      <w:szCs w:val="18"/>
                      <w:highlight w:val="none"/>
                      <w:lang w:val="en-US" w:eastAsia="zh-CN"/>
                    </w:rPr>
                    <w:t>6</w:t>
                  </w:r>
                  <w:r>
                    <w:rPr>
                      <w:rFonts w:hint="eastAsia" w:ascii="Times New Roman" w:hAnsi="Times New Roman" w:cs="Times New Roman"/>
                      <w:color w:val="auto"/>
                      <w:spacing w:val="-10"/>
                      <w:sz w:val="18"/>
                      <w:szCs w:val="18"/>
                      <w:highlight w:val="none"/>
                      <w:lang w:val="en-US" w:eastAsia="zh-CN"/>
                    </w:rPr>
                    <w:t>m</w:t>
                  </w:r>
                  <w:r>
                    <w:rPr>
                      <w:rFonts w:hint="default" w:ascii="Times New Roman" w:hAnsi="Times New Roman" w:cs="Times New Roman"/>
                      <w:color w:val="auto"/>
                      <w:spacing w:val="-10"/>
                      <w:sz w:val="18"/>
                      <w:szCs w:val="18"/>
                      <w:highlight w:val="none"/>
                      <w:lang w:val="en-US" w:eastAsia="zh-CN"/>
                    </w:rPr>
                    <w:t>×</w:t>
                  </w:r>
                  <w:r>
                    <w:rPr>
                      <w:rFonts w:hint="eastAsia" w:cs="Times New Roman"/>
                      <w:color w:val="auto"/>
                      <w:spacing w:val="-10"/>
                      <w:sz w:val="18"/>
                      <w:szCs w:val="18"/>
                      <w:highlight w:val="none"/>
                      <w:lang w:val="en-US" w:eastAsia="zh-CN"/>
                    </w:rPr>
                    <w:t>4</w:t>
                  </w:r>
                  <w:r>
                    <w:rPr>
                      <w:rFonts w:hint="eastAsia" w:ascii="Times New Roman" w:hAnsi="Times New Roman" w:cs="Times New Roman"/>
                      <w:color w:val="auto"/>
                      <w:spacing w:val="-10"/>
                      <w:sz w:val="18"/>
                      <w:szCs w:val="18"/>
                      <w:highlight w:val="none"/>
                      <w:lang w:val="en-US" w:eastAsia="zh-CN"/>
                    </w:rPr>
                    <w:t>m</w:t>
                  </w:r>
                </w:p>
              </w:tc>
              <w:tc>
                <w:tcPr>
                  <w:tcW w:w="649" w:type="dxa"/>
                  <w:tcBorders>
                    <w:tl2br w:val="nil"/>
                    <w:tr2bl w:val="nil"/>
                  </w:tcBorders>
                  <w:vAlign w:val="center"/>
                </w:tcPr>
                <w:p w14:paraId="35655882">
                  <w:pPr>
                    <w:widowControl/>
                    <w:jc w:val="center"/>
                    <w:rPr>
                      <w:rFonts w:hint="default"/>
                      <w:color w:val="auto"/>
                      <w:spacing w:val="-10"/>
                      <w:sz w:val="18"/>
                      <w:szCs w:val="18"/>
                      <w:highlight w:val="none"/>
                      <w:lang w:val="en-US" w:eastAsia="zh-CN"/>
                    </w:rPr>
                  </w:pPr>
                  <w:r>
                    <w:rPr>
                      <w:rFonts w:hint="eastAsia"/>
                      <w:color w:val="auto"/>
                      <w:spacing w:val="-10"/>
                      <w:sz w:val="18"/>
                      <w:szCs w:val="18"/>
                      <w:highlight w:val="none"/>
                      <w:lang w:val="en-US" w:eastAsia="zh-CN"/>
                    </w:rPr>
                    <w:t>1</w:t>
                  </w:r>
                </w:p>
              </w:tc>
              <w:tc>
                <w:tcPr>
                  <w:tcW w:w="3457" w:type="dxa"/>
                  <w:tcBorders>
                    <w:tl2br w:val="nil"/>
                    <w:tr2bl w:val="nil"/>
                  </w:tcBorders>
                  <w:vAlign w:val="center"/>
                </w:tcPr>
                <w:p w14:paraId="377610A8">
                  <w:pPr>
                    <w:widowControl/>
                    <w:jc w:val="center"/>
                    <w:rPr>
                      <w:rFonts w:hint="eastAsia"/>
                      <w:color w:val="auto"/>
                      <w:spacing w:val="-10"/>
                      <w:sz w:val="18"/>
                      <w:szCs w:val="18"/>
                      <w:highlight w:val="none"/>
                      <w:lang w:val="en-US" w:eastAsia="zh-CN"/>
                    </w:rPr>
                  </w:pPr>
                  <w:r>
                    <w:rPr>
                      <w:rFonts w:hint="eastAsia"/>
                      <w:color w:val="auto"/>
                      <w:spacing w:val="-10"/>
                      <w:sz w:val="18"/>
                      <w:szCs w:val="18"/>
                      <w:highlight w:val="none"/>
                      <w:lang w:val="en-US" w:eastAsia="zh-CN"/>
                    </w:rPr>
                    <w:t>位于1</w:t>
                  </w:r>
                  <w:r>
                    <w:rPr>
                      <w:rFonts w:hint="eastAsia"/>
                      <w:color w:val="auto"/>
                      <w:spacing w:val="-10"/>
                      <w:sz w:val="18"/>
                      <w:szCs w:val="18"/>
                      <w:highlight w:val="none"/>
                      <w:vertAlign w:val="superscript"/>
                      <w:lang w:val="en-US" w:eastAsia="zh-CN"/>
                    </w:rPr>
                    <w:t>#</w:t>
                  </w:r>
                  <w:r>
                    <w:rPr>
                      <w:rFonts w:hint="eastAsia"/>
                      <w:color w:val="auto"/>
                      <w:spacing w:val="-10"/>
                      <w:sz w:val="18"/>
                      <w:szCs w:val="18"/>
                      <w:highlight w:val="none"/>
                      <w:lang w:val="en-US" w:eastAsia="zh-CN"/>
                    </w:rPr>
                    <w:t>生产车间内，地上建设，呈坡状，有高差，</w:t>
                  </w:r>
                  <w:r>
                    <w:rPr>
                      <w:rFonts w:hint="eastAsia" w:ascii="Times New Roman" w:hAnsi="Times New Roman" w:cs="Times New Roman"/>
                      <w:color w:val="auto"/>
                      <w:spacing w:val="-10"/>
                      <w:sz w:val="18"/>
                      <w:szCs w:val="18"/>
                      <w:highlight w:val="none"/>
                      <w:lang w:val="en-US" w:eastAsia="zh-CN"/>
                    </w:rPr>
                    <w:t>采用200mm厚</w:t>
                  </w:r>
                  <w:r>
                    <w:rPr>
                      <w:rFonts w:hint="eastAsia" w:cs="Times New Roman"/>
                      <w:color w:val="auto"/>
                      <w:spacing w:val="-10"/>
                      <w:sz w:val="18"/>
                      <w:szCs w:val="18"/>
                      <w:highlight w:val="none"/>
                      <w:lang w:val="en-US" w:eastAsia="zh-CN"/>
                    </w:rPr>
                    <w:t>防</w:t>
                  </w:r>
                  <w:r>
                    <w:rPr>
                      <w:rFonts w:hint="eastAsia" w:ascii="Times New Roman" w:hAnsi="Times New Roman" w:cs="Times New Roman"/>
                      <w:color w:val="auto"/>
                      <w:spacing w:val="-10"/>
                      <w:sz w:val="18"/>
                      <w:szCs w:val="18"/>
                      <w:highlight w:val="none"/>
                      <w:lang w:val="en-US" w:eastAsia="zh-CN"/>
                    </w:rPr>
                    <w:t>渗混凝土</w:t>
                  </w:r>
                  <w:r>
                    <w:rPr>
                      <w:rFonts w:hint="eastAsia"/>
                      <w:color w:val="auto"/>
                      <w:spacing w:val="-10"/>
                      <w:sz w:val="18"/>
                      <w:szCs w:val="18"/>
                      <w:highlight w:val="none"/>
                      <w:lang w:val="en-US" w:eastAsia="zh-CN"/>
                    </w:rPr>
                    <w:t>一体浇筑，建有4m高混凝土挡墙</w:t>
                  </w:r>
                </w:p>
              </w:tc>
            </w:tr>
            <w:tr w14:paraId="7BE8C86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83" w:hRule="atLeast"/>
                <w:jc w:val="center"/>
              </w:trPr>
              <w:tc>
                <w:tcPr>
                  <w:tcW w:w="436" w:type="dxa"/>
                  <w:tcBorders>
                    <w:tl2br w:val="nil"/>
                    <w:tr2bl w:val="nil"/>
                  </w:tcBorders>
                  <w:vAlign w:val="center"/>
                </w:tcPr>
                <w:p w14:paraId="01E199F4">
                  <w:pPr>
                    <w:jc w:val="center"/>
                    <w:rPr>
                      <w:rFonts w:hint="default" w:cs="Times New Roman"/>
                      <w:color w:val="auto"/>
                      <w:spacing w:val="-10"/>
                      <w:kern w:val="2"/>
                      <w:sz w:val="18"/>
                      <w:szCs w:val="18"/>
                      <w:highlight w:val="none"/>
                      <w:lang w:val="en-US" w:eastAsia="zh-CN" w:bidi="ar-SA"/>
                    </w:rPr>
                  </w:pPr>
                  <w:r>
                    <w:rPr>
                      <w:rFonts w:hint="eastAsia" w:cs="Times New Roman"/>
                      <w:color w:val="auto"/>
                      <w:spacing w:val="-10"/>
                      <w:kern w:val="2"/>
                      <w:sz w:val="18"/>
                      <w:szCs w:val="18"/>
                      <w:highlight w:val="none"/>
                      <w:lang w:val="en-US" w:eastAsia="zh-CN" w:bidi="ar-SA"/>
                    </w:rPr>
                    <w:t>1.4</w:t>
                  </w:r>
                </w:p>
              </w:tc>
              <w:tc>
                <w:tcPr>
                  <w:tcW w:w="1237" w:type="dxa"/>
                  <w:tcBorders>
                    <w:tl2br w:val="nil"/>
                    <w:tr2bl w:val="nil"/>
                  </w:tcBorders>
                  <w:vAlign w:val="center"/>
                </w:tcPr>
                <w:p w14:paraId="703D018C">
                  <w:pPr>
                    <w:jc w:val="center"/>
                    <w:rPr>
                      <w:rFonts w:hint="eastAsia" w:cs="Times New Roman"/>
                      <w:color w:val="auto"/>
                      <w:spacing w:val="-10"/>
                      <w:kern w:val="2"/>
                      <w:sz w:val="18"/>
                      <w:szCs w:val="18"/>
                      <w:highlight w:val="none"/>
                      <w:lang w:val="en-US" w:eastAsia="zh-CN" w:bidi="ar-SA"/>
                    </w:rPr>
                  </w:pPr>
                  <w:r>
                    <w:rPr>
                      <w:rFonts w:hint="eastAsia"/>
                      <w:color w:val="auto"/>
                      <w:spacing w:val="-10"/>
                      <w:sz w:val="18"/>
                      <w:szCs w:val="18"/>
                      <w:highlight w:val="none"/>
                      <w:lang w:val="en-US" w:eastAsia="zh-CN"/>
                    </w:rPr>
                    <w:t>2</w:t>
                  </w:r>
                  <w:r>
                    <w:rPr>
                      <w:rFonts w:hint="eastAsia"/>
                      <w:color w:val="auto"/>
                      <w:spacing w:val="-10"/>
                      <w:sz w:val="18"/>
                      <w:szCs w:val="18"/>
                      <w:highlight w:val="none"/>
                      <w:vertAlign w:val="superscript"/>
                      <w:lang w:val="en-US" w:eastAsia="zh-CN"/>
                    </w:rPr>
                    <w:t>#</w:t>
                  </w:r>
                  <w:r>
                    <w:rPr>
                      <w:rFonts w:hint="eastAsia"/>
                      <w:color w:val="auto"/>
                      <w:spacing w:val="-10"/>
                      <w:sz w:val="18"/>
                      <w:szCs w:val="18"/>
                      <w:highlight w:val="none"/>
                      <w:lang w:val="en-US" w:eastAsia="zh-CN"/>
                    </w:rPr>
                    <w:t>储料池</w:t>
                  </w:r>
                </w:p>
              </w:tc>
              <w:tc>
                <w:tcPr>
                  <w:tcW w:w="1050" w:type="dxa"/>
                  <w:tcBorders>
                    <w:tl2br w:val="nil"/>
                    <w:tr2bl w:val="nil"/>
                  </w:tcBorders>
                  <w:vAlign w:val="center"/>
                </w:tcPr>
                <w:p w14:paraId="2D7C3D0F">
                  <w:pPr>
                    <w:jc w:val="center"/>
                    <w:rPr>
                      <w:rFonts w:hint="default" w:ascii="Times New Roman" w:hAnsi="Times New Roman" w:eastAsia="宋体" w:cs="Times New Roman"/>
                      <w:color w:val="auto"/>
                      <w:spacing w:val="-10"/>
                      <w:kern w:val="2"/>
                      <w:sz w:val="18"/>
                      <w:szCs w:val="18"/>
                      <w:highlight w:val="none"/>
                      <w:lang w:val="en-US" w:eastAsia="zh-CN" w:bidi="ar-SA"/>
                    </w:rPr>
                  </w:pPr>
                  <w:r>
                    <w:rPr>
                      <w:rFonts w:hint="eastAsia" w:cs="Times New Roman"/>
                      <w:color w:val="auto"/>
                      <w:spacing w:val="-10"/>
                      <w:kern w:val="2"/>
                      <w:sz w:val="18"/>
                      <w:szCs w:val="18"/>
                      <w:highlight w:val="none"/>
                      <w:lang w:val="en-US" w:eastAsia="zh-CN" w:bidi="ar-SA"/>
                    </w:rPr>
                    <w:t>24</w:t>
                  </w:r>
                </w:p>
              </w:tc>
              <w:tc>
                <w:tcPr>
                  <w:tcW w:w="1226" w:type="dxa"/>
                  <w:tcBorders>
                    <w:tl2br w:val="nil"/>
                    <w:tr2bl w:val="nil"/>
                  </w:tcBorders>
                  <w:vAlign w:val="center"/>
                </w:tcPr>
                <w:p w14:paraId="30A82596">
                  <w:pPr>
                    <w:jc w:val="center"/>
                    <w:rPr>
                      <w:rFonts w:ascii="Times New Roman" w:hAnsi="Times New Roman" w:eastAsia="宋体" w:cs="Times New Roman"/>
                      <w:color w:val="auto"/>
                      <w:spacing w:val="-10"/>
                      <w:kern w:val="2"/>
                      <w:sz w:val="18"/>
                      <w:szCs w:val="18"/>
                      <w:highlight w:val="none"/>
                      <w:lang w:val="en-US" w:eastAsia="zh-CN" w:bidi="ar-SA"/>
                    </w:rPr>
                  </w:pPr>
                  <w:r>
                    <w:rPr>
                      <w:rFonts w:hint="eastAsia" w:cs="Times New Roman"/>
                      <w:color w:val="auto"/>
                      <w:spacing w:val="-10"/>
                      <w:kern w:val="2"/>
                      <w:sz w:val="18"/>
                      <w:szCs w:val="18"/>
                      <w:highlight w:val="none"/>
                      <w:lang w:val="en-US" w:eastAsia="zh-CN" w:bidi="ar-SA"/>
                    </w:rPr>
                    <w:t>4</w:t>
                  </w:r>
                  <w:r>
                    <w:rPr>
                      <w:rFonts w:hint="eastAsia" w:ascii="Times New Roman" w:hAnsi="Times New Roman" w:cs="Times New Roman"/>
                      <w:color w:val="auto"/>
                      <w:spacing w:val="-10"/>
                      <w:sz w:val="18"/>
                      <w:szCs w:val="18"/>
                      <w:highlight w:val="none"/>
                      <w:lang w:val="en-US" w:eastAsia="zh-CN"/>
                    </w:rPr>
                    <w:t>m</w:t>
                  </w:r>
                  <w:r>
                    <w:rPr>
                      <w:rFonts w:hint="default" w:ascii="Times New Roman" w:hAnsi="Times New Roman" w:cs="Times New Roman"/>
                      <w:color w:val="auto"/>
                      <w:spacing w:val="-10"/>
                      <w:sz w:val="18"/>
                      <w:szCs w:val="18"/>
                      <w:highlight w:val="none"/>
                      <w:lang w:val="en-US" w:eastAsia="zh-CN"/>
                    </w:rPr>
                    <w:t>×</w:t>
                  </w:r>
                  <w:r>
                    <w:rPr>
                      <w:rFonts w:hint="eastAsia" w:cs="Times New Roman"/>
                      <w:color w:val="auto"/>
                      <w:spacing w:val="-10"/>
                      <w:sz w:val="18"/>
                      <w:szCs w:val="18"/>
                      <w:highlight w:val="none"/>
                      <w:lang w:val="en-US" w:eastAsia="zh-CN"/>
                    </w:rPr>
                    <w:t>6</w:t>
                  </w:r>
                  <w:r>
                    <w:rPr>
                      <w:rFonts w:hint="eastAsia" w:ascii="Times New Roman" w:hAnsi="Times New Roman" w:cs="Times New Roman"/>
                      <w:color w:val="auto"/>
                      <w:spacing w:val="-10"/>
                      <w:sz w:val="18"/>
                      <w:szCs w:val="18"/>
                      <w:highlight w:val="none"/>
                      <w:lang w:val="en-US" w:eastAsia="zh-CN"/>
                    </w:rPr>
                    <w:t>m</w:t>
                  </w:r>
                  <w:r>
                    <w:rPr>
                      <w:rFonts w:hint="default" w:ascii="Times New Roman" w:hAnsi="Times New Roman" w:cs="Times New Roman"/>
                      <w:color w:val="auto"/>
                      <w:spacing w:val="-10"/>
                      <w:sz w:val="18"/>
                      <w:szCs w:val="18"/>
                      <w:highlight w:val="none"/>
                      <w:lang w:val="en-US" w:eastAsia="zh-CN"/>
                    </w:rPr>
                    <w:t>×</w:t>
                  </w:r>
                  <w:r>
                    <w:rPr>
                      <w:rFonts w:hint="eastAsia" w:cs="Times New Roman"/>
                      <w:color w:val="auto"/>
                      <w:spacing w:val="-10"/>
                      <w:sz w:val="18"/>
                      <w:szCs w:val="18"/>
                      <w:highlight w:val="none"/>
                      <w:lang w:val="en-US" w:eastAsia="zh-CN"/>
                    </w:rPr>
                    <w:t>4</w:t>
                  </w:r>
                  <w:r>
                    <w:rPr>
                      <w:rFonts w:hint="eastAsia" w:ascii="Times New Roman" w:hAnsi="Times New Roman" w:cs="Times New Roman"/>
                      <w:color w:val="auto"/>
                      <w:spacing w:val="-10"/>
                      <w:sz w:val="18"/>
                      <w:szCs w:val="18"/>
                      <w:highlight w:val="none"/>
                      <w:lang w:val="en-US" w:eastAsia="zh-CN"/>
                    </w:rPr>
                    <w:t>m</w:t>
                  </w:r>
                </w:p>
              </w:tc>
              <w:tc>
                <w:tcPr>
                  <w:tcW w:w="649" w:type="dxa"/>
                  <w:tcBorders>
                    <w:tl2br w:val="nil"/>
                    <w:tr2bl w:val="nil"/>
                  </w:tcBorders>
                  <w:vAlign w:val="center"/>
                </w:tcPr>
                <w:p w14:paraId="2E00893E">
                  <w:pPr>
                    <w:widowControl/>
                    <w:jc w:val="center"/>
                    <w:rPr>
                      <w:rFonts w:hint="default" w:ascii="Times New Roman" w:hAnsi="Times New Roman" w:eastAsia="宋体" w:cs="Times New Roman"/>
                      <w:color w:val="auto"/>
                      <w:spacing w:val="-10"/>
                      <w:kern w:val="2"/>
                      <w:sz w:val="18"/>
                      <w:szCs w:val="18"/>
                      <w:highlight w:val="none"/>
                      <w:lang w:val="en-US" w:eastAsia="zh-CN" w:bidi="ar-SA"/>
                    </w:rPr>
                  </w:pPr>
                  <w:r>
                    <w:rPr>
                      <w:rFonts w:hint="eastAsia" w:cs="Times New Roman"/>
                      <w:color w:val="auto"/>
                      <w:spacing w:val="-10"/>
                      <w:kern w:val="2"/>
                      <w:sz w:val="18"/>
                      <w:szCs w:val="18"/>
                      <w:highlight w:val="none"/>
                      <w:lang w:val="en-US" w:eastAsia="zh-CN" w:bidi="ar-SA"/>
                    </w:rPr>
                    <w:t>1</w:t>
                  </w:r>
                </w:p>
              </w:tc>
              <w:tc>
                <w:tcPr>
                  <w:tcW w:w="3457" w:type="dxa"/>
                  <w:tcBorders>
                    <w:tl2br w:val="nil"/>
                    <w:tr2bl w:val="nil"/>
                  </w:tcBorders>
                  <w:vAlign w:val="center"/>
                </w:tcPr>
                <w:p w14:paraId="022EA3C9">
                  <w:pPr>
                    <w:widowControl/>
                    <w:jc w:val="center"/>
                    <w:rPr>
                      <w:rFonts w:hint="eastAsia"/>
                      <w:color w:val="auto"/>
                      <w:spacing w:val="-10"/>
                      <w:sz w:val="18"/>
                      <w:szCs w:val="18"/>
                      <w:highlight w:val="none"/>
                    </w:rPr>
                  </w:pPr>
                  <w:r>
                    <w:rPr>
                      <w:rFonts w:hint="eastAsia"/>
                      <w:color w:val="auto"/>
                      <w:spacing w:val="-10"/>
                      <w:sz w:val="18"/>
                      <w:szCs w:val="18"/>
                      <w:highlight w:val="none"/>
                      <w:lang w:val="en-US" w:eastAsia="zh-CN"/>
                    </w:rPr>
                    <w:t>位于1</w:t>
                  </w:r>
                  <w:r>
                    <w:rPr>
                      <w:rFonts w:hint="eastAsia"/>
                      <w:color w:val="auto"/>
                      <w:spacing w:val="-10"/>
                      <w:sz w:val="18"/>
                      <w:szCs w:val="18"/>
                      <w:highlight w:val="none"/>
                      <w:vertAlign w:val="superscript"/>
                      <w:lang w:val="en-US" w:eastAsia="zh-CN"/>
                    </w:rPr>
                    <w:t>#</w:t>
                  </w:r>
                  <w:r>
                    <w:rPr>
                      <w:rFonts w:hint="eastAsia"/>
                      <w:color w:val="auto"/>
                      <w:spacing w:val="-10"/>
                      <w:sz w:val="18"/>
                      <w:szCs w:val="18"/>
                      <w:highlight w:val="none"/>
                      <w:lang w:val="en-US" w:eastAsia="zh-CN"/>
                    </w:rPr>
                    <w:t>生产车间内，地上建设，呈坡状，有高差，</w:t>
                  </w:r>
                  <w:r>
                    <w:rPr>
                      <w:rFonts w:hint="eastAsia" w:ascii="Times New Roman" w:hAnsi="Times New Roman" w:cs="Times New Roman"/>
                      <w:color w:val="auto"/>
                      <w:spacing w:val="-10"/>
                      <w:sz w:val="18"/>
                      <w:szCs w:val="18"/>
                      <w:highlight w:val="none"/>
                      <w:lang w:val="en-US" w:eastAsia="zh-CN"/>
                    </w:rPr>
                    <w:t>采用200mm厚</w:t>
                  </w:r>
                  <w:r>
                    <w:rPr>
                      <w:rFonts w:hint="eastAsia" w:cs="Times New Roman"/>
                      <w:color w:val="auto"/>
                      <w:spacing w:val="-10"/>
                      <w:sz w:val="18"/>
                      <w:szCs w:val="18"/>
                      <w:highlight w:val="none"/>
                      <w:lang w:val="en-US" w:eastAsia="zh-CN"/>
                    </w:rPr>
                    <w:t>防</w:t>
                  </w:r>
                  <w:r>
                    <w:rPr>
                      <w:rFonts w:hint="eastAsia" w:ascii="Times New Roman" w:hAnsi="Times New Roman" w:cs="Times New Roman"/>
                      <w:color w:val="auto"/>
                      <w:spacing w:val="-10"/>
                      <w:sz w:val="18"/>
                      <w:szCs w:val="18"/>
                      <w:highlight w:val="none"/>
                      <w:lang w:val="en-US" w:eastAsia="zh-CN"/>
                    </w:rPr>
                    <w:t>渗混凝土</w:t>
                  </w:r>
                  <w:r>
                    <w:rPr>
                      <w:rFonts w:hint="eastAsia"/>
                      <w:color w:val="auto"/>
                      <w:spacing w:val="-10"/>
                      <w:sz w:val="18"/>
                      <w:szCs w:val="18"/>
                      <w:highlight w:val="none"/>
                      <w:lang w:val="en-US" w:eastAsia="zh-CN"/>
                    </w:rPr>
                    <w:t>一体浇筑，建有4m高混凝土挡墙</w:t>
                  </w:r>
                </w:p>
              </w:tc>
            </w:tr>
            <w:tr w14:paraId="4D9C0E1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83" w:hRule="atLeast"/>
                <w:jc w:val="center"/>
              </w:trPr>
              <w:tc>
                <w:tcPr>
                  <w:tcW w:w="436" w:type="dxa"/>
                  <w:tcBorders>
                    <w:tl2br w:val="nil"/>
                    <w:tr2bl w:val="nil"/>
                  </w:tcBorders>
                  <w:vAlign w:val="center"/>
                </w:tcPr>
                <w:p w14:paraId="66FBD1E1">
                  <w:pPr>
                    <w:jc w:val="center"/>
                    <w:rPr>
                      <w:rFonts w:hint="default" w:ascii="Times New Roman" w:hAnsi="Times New Roman" w:eastAsia="宋体" w:cs="Times New Roman"/>
                      <w:color w:val="auto"/>
                      <w:spacing w:val="-10"/>
                      <w:kern w:val="2"/>
                      <w:sz w:val="18"/>
                      <w:szCs w:val="18"/>
                      <w:highlight w:val="none"/>
                      <w:lang w:val="en-US" w:eastAsia="zh-CN" w:bidi="ar-SA"/>
                    </w:rPr>
                  </w:pPr>
                  <w:r>
                    <w:rPr>
                      <w:rFonts w:hint="eastAsia" w:cs="Times New Roman"/>
                      <w:color w:val="auto"/>
                      <w:spacing w:val="-10"/>
                      <w:kern w:val="2"/>
                      <w:sz w:val="18"/>
                      <w:szCs w:val="18"/>
                      <w:highlight w:val="none"/>
                      <w:lang w:val="en-US" w:eastAsia="zh-CN" w:bidi="ar-SA"/>
                    </w:rPr>
                    <w:t>1.5</w:t>
                  </w:r>
                </w:p>
              </w:tc>
              <w:tc>
                <w:tcPr>
                  <w:tcW w:w="1237" w:type="dxa"/>
                  <w:tcBorders>
                    <w:tl2br w:val="nil"/>
                    <w:tr2bl w:val="nil"/>
                  </w:tcBorders>
                  <w:shd w:val="clear" w:color="auto" w:fill="auto"/>
                  <w:vAlign w:val="center"/>
                </w:tcPr>
                <w:p w14:paraId="56FD858F">
                  <w:pPr>
                    <w:jc w:val="center"/>
                    <w:rPr>
                      <w:rFonts w:hint="default" w:ascii="Times New Roman" w:hAnsi="Times New Roman" w:eastAsia="宋体" w:cs="Times New Roman"/>
                      <w:color w:val="auto"/>
                      <w:spacing w:val="-10"/>
                      <w:kern w:val="2"/>
                      <w:sz w:val="18"/>
                      <w:szCs w:val="18"/>
                      <w:highlight w:val="none"/>
                      <w:lang w:val="en-US" w:eastAsia="zh-CN" w:bidi="ar-SA"/>
                    </w:rPr>
                  </w:pPr>
                  <w:r>
                    <w:rPr>
                      <w:rFonts w:hint="eastAsia"/>
                      <w:color w:val="auto"/>
                      <w:spacing w:val="-10"/>
                      <w:sz w:val="18"/>
                      <w:szCs w:val="18"/>
                      <w:highlight w:val="none"/>
                      <w:lang w:val="en-US" w:eastAsia="zh-CN"/>
                    </w:rPr>
                    <w:t>3</w:t>
                  </w:r>
                  <w:r>
                    <w:rPr>
                      <w:rFonts w:hint="eastAsia"/>
                      <w:color w:val="auto"/>
                      <w:spacing w:val="-10"/>
                      <w:sz w:val="18"/>
                      <w:szCs w:val="18"/>
                      <w:highlight w:val="none"/>
                      <w:vertAlign w:val="superscript"/>
                      <w:lang w:val="en-US" w:eastAsia="zh-CN"/>
                    </w:rPr>
                    <w:t>#</w:t>
                  </w:r>
                  <w:r>
                    <w:rPr>
                      <w:rFonts w:hint="eastAsia"/>
                      <w:color w:val="auto"/>
                      <w:spacing w:val="-10"/>
                      <w:sz w:val="18"/>
                      <w:szCs w:val="18"/>
                      <w:highlight w:val="none"/>
                      <w:lang w:val="en-US" w:eastAsia="zh-CN"/>
                    </w:rPr>
                    <w:t>储料池</w:t>
                  </w:r>
                </w:p>
              </w:tc>
              <w:tc>
                <w:tcPr>
                  <w:tcW w:w="1050" w:type="dxa"/>
                  <w:tcBorders>
                    <w:tl2br w:val="nil"/>
                    <w:tr2bl w:val="nil"/>
                  </w:tcBorders>
                  <w:vAlign w:val="center"/>
                </w:tcPr>
                <w:p w14:paraId="6517BCC6">
                  <w:pPr>
                    <w:jc w:val="center"/>
                    <w:rPr>
                      <w:rFonts w:hint="default" w:cs="Times New Roman"/>
                      <w:color w:val="auto"/>
                      <w:spacing w:val="-10"/>
                      <w:kern w:val="2"/>
                      <w:sz w:val="18"/>
                      <w:szCs w:val="18"/>
                      <w:highlight w:val="none"/>
                      <w:lang w:val="en-US" w:eastAsia="zh-CN" w:bidi="ar-SA"/>
                    </w:rPr>
                  </w:pPr>
                  <w:r>
                    <w:rPr>
                      <w:rFonts w:hint="eastAsia" w:cs="Times New Roman"/>
                      <w:color w:val="auto"/>
                      <w:spacing w:val="-10"/>
                      <w:kern w:val="2"/>
                      <w:sz w:val="18"/>
                      <w:szCs w:val="18"/>
                      <w:highlight w:val="none"/>
                      <w:lang w:val="en-US" w:eastAsia="zh-CN" w:bidi="ar-SA"/>
                    </w:rPr>
                    <w:t>60</w:t>
                  </w:r>
                </w:p>
              </w:tc>
              <w:tc>
                <w:tcPr>
                  <w:tcW w:w="1226" w:type="dxa"/>
                  <w:tcBorders>
                    <w:tl2br w:val="nil"/>
                    <w:tr2bl w:val="nil"/>
                  </w:tcBorders>
                  <w:vAlign w:val="center"/>
                </w:tcPr>
                <w:p w14:paraId="530402DE">
                  <w:pPr>
                    <w:jc w:val="center"/>
                    <w:rPr>
                      <w:rFonts w:hint="eastAsia"/>
                      <w:color w:val="auto"/>
                      <w:spacing w:val="-10"/>
                      <w:sz w:val="18"/>
                      <w:szCs w:val="18"/>
                      <w:highlight w:val="none"/>
                      <w:lang w:val="en-US" w:eastAsia="zh-CN"/>
                    </w:rPr>
                  </w:pPr>
                  <w:r>
                    <w:rPr>
                      <w:rFonts w:hint="eastAsia" w:cs="Times New Roman"/>
                      <w:color w:val="auto"/>
                      <w:spacing w:val="-10"/>
                      <w:kern w:val="2"/>
                      <w:sz w:val="18"/>
                      <w:szCs w:val="18"/>
                      <w:highlight w:val="none"/>
                      <w:lang w:val="en-US" w:eastAsia="zh-CN" w:bidi="ar-SA"/>
                    </w:rPr>
                    <w:t>10</w:t>
                  </w:r>
                  <w:r>
                    <w:rPr>
                      <w:rFonts w:hint="eastAsia" w:ascii="Times New Roman" w:hAnsi="Times New Roman" w:cs="Times New Roman"/>
                      <w:color w:val="auto"/>
                      <w:spacing w:val="-10"/>
                      <w:sz w:val="18"/>
                      <w:szCs w:val="18"/>
                      <w:highlight w:val="none"/>
                      <w:lang w:val="en-US" w:eastAsia="zh-CN"/>
                    </w:rPr>
                    <w:t>m</w:t>
                  </w:r>
                  <w:r>
                    <w:rPr>
                      <w:rFonts w:hint="default" w:ascii="Times New Roman" w:hAnsi="Times New Roman" w:cs="Times New Roman"/>
                      <w:color w:val="auto"/>
                      <w:spacing w:val="-10"/>
                      <w:sz w:val="18"/>
                      <w:szCs w:val="18"/>
                      <w:highlight w:val="none"/>
                      <w:lang w:val="en-US" w:eastAsia="zh-CN"/>
                    </w:rPr>
                    <w:t>×</w:t>
                  </w:r>
                  <w:r>
                    <w:rPr>
                      <w:rFonts w:hint="eastAsia" w:cs="Times New Roman"/>
                      <w:color w:val="auto"/>
                      <w:spacing w:val="-10"/>
                      <w:sz w:val="18"/>
                      <w:szCs w:val="18"/>
                      <w:highlight w:val="none"/>
                      <w:lang w:val="en-US" w:eastAsia="zh-CN"/>
                    </w:rPr>
                    <w:t>6</w:t>
                  </w:r>
                  <w:r>
                    <w:rPr>
                      <w:rFonts w:hint="eastAsia" w:ascii="Times New Roman" w:hAnsi="Times New Roman" w:cs="Times New Roman"/>
                      <w:color w:val="auto"/>
                      <w:spacing w:val="-10"/>
                      <w:sz w:val="18"/>
                      <w:szCs w:val="18"/>
                      <w:highlight w:val="none"/>
                      <w:lang w:val="en-US" w:eastAsia="zh-CN"/>
                    </w:rPr>
                    <w:t>m</w:t>
                  </w:r>
                  <w:r>
                    <w:rPr>
                      <w:rFonts w:hint="default" w:ascii="Times New Roman" w:hAnsi="Times New Roman" w:cs="Times New Roman"/>
                      <w:color w:val="auto"/>
                      <w:spacing w:val="-10"/>
                      <w:sz w:val="18"/>
                      <w:szCs w:val="18"/>
                      <w:highlight w:val="none"/>
                      <w:lang w:val="en-US" w:eastAsia="zh-CN"/>
                    </w:rPr>
                    <w:t>×</w:t>
                  </w:r>
                  <w:r>
                    <w:rPr>
                      <w:rFonts w:hint="eastAsia" w:cs="Times New Roman"/>
                      <w:color w:val="auto"/>
                      <w:spacing w:val="-10"/>
                      <w:sz w:val="18"/>
                      <w:szCs w:val="18"/>
                      <w:highlight w:val="none"/>
                      <w:lang w:val="en-US" w:eastAsia="zh-CN"/>
                    </w:rPr>
                    <w:t>4</w:t>
                  </w:r>
                  <w:r>
                    <w:rPr>
                      <w:rFonts w:hint="eastAsia" w:ascii="Times New Roman" w:hAnsi="Times New Roman" w:cs="Times New Roman"/>
                      <w:color w:val="auto"/>
                      <w:spacing w:val="-10"/>
                      <w:sz w:val="18"/>
                      <w:szCs w:val="18"/>
                      <w:highlight w:val="none"/>
                      <w:lang w:val="en-US" w:eastAsia="zh-CN"/>
                    </w:rPr>
                    <w:t>m</w:t>
                  </w:r>
                </w:p>
              </w:tc>
              <w:tc>
                <w:tcPr>
                  <w:tcW w:w="649" w:type="dxa"/>
                  <w:tcBorders>
                    <w:tl2br w:val="nil"/>
                    <w:tr2bl w:val="nil"/>
                  </w:tcBorders>
                  <w:vAlign w:val="center"/>
                </w:tcPr>
                <w:p w14:paraId="669B6AAB">
                  <w:pPr>
                    <w:widowControl/>
                    <w:jc w:val="center"/>
                    <w:rPr>
                      <w:rFonts w:hint="default" w:cs="Times New Roman"/>
                      <w:color w:val="auto"/>
                      <w:spacing w:val="-10"/>
                      <w:kern w:val="2"/>
                      <w:sz w:val="18"/>
                      <w:szCs w:val="18"/>
                      <w:highlight w:val="none"/>
                      <w:lang w:val="en-US" w:eastAsia="zh-CN" w:bidi="ar-SA"/>
                    </w:rPr>
                  </w:pPr>
                  <w:r>
                    <w:rPr>
                      <w:rFonts w:hint="eastAsia" w:cs="Times New Roman"/>
                      <w:color w:val="auto"/>
                      <w:spacing w:val="-10"/>
                      <w:kern w:val="2"/>
                      <w:sz w:val="18"/>
                      <w:szCs w:val="18"/>
                      <w:highlight w:val="none"/>
                      <w:lang w:val="en-US" w:eastAsia="zh-CN" w:bidi="ar-SA"/>
                    </w:rPr>
                    <w:t>1</w:t>
                  </w:r>
                </w:p>
              </w:tc>
              <w:tc>
                <w:tcPr>
                  <w:tcW w:w="3457" w:type="dxa"/>
                  <w:tcBorders>
                    <w:tl2br w:val="nil"/>
                    <w:tr2bl w:val="nil"/>
                  </w:tcBorders>
                  <w:vAlign w:val="center"/>
                </w:tcPr>
                <w:p w14:paraId="576A48D7">
                  <w:pPr>
                    <w:widowControl/>
                    <w:jc w:val="center"/>
                    <w:rPr>
                      <w:rFonts w:hint="eastAsia"/>
                      <w:color w:val="auto"/>
                      <w:spacing w:val="-10"/>
                      <w:sz w:val="18"/>
                      <w:szCs w:val="18"/>
                      <w:highlight w:val="none"/>
                      <w:lang w:val="en-US" w:eastAsia="zh-CN"/>
                    </w:rPr>
                  </w:pPr>
                  <w:r>
                    <w:rPr>
                      <w:rFonts w:hint="eastAsia"/>
                      <w:color w:val="auto"/>
                      <w:spacing w:val="-10"/>
                      <w:sz w:val="18"/>
                      <w:szCs w:val="18"/>
                      <w:highlight w:val="none"/>
                      <w:lang w:val="en-US" w:eastAsia="zh-CN"/>
                    </w:rPr>
                    <w:t>位于1</w:t>
                  </w:r>
                  <w:r>
                    <w:rPr>
                      <w:rFonts w:hint="eastAsia"/>
                      <w:color w:val="auto"/>
                      <w:spacing w:val="-10"/>
                      <w:sz w:val="18"/>
                      <w:szCs w:val="18"/>
                      <w:highlight w:val="none"/>
                      <w:vertAlign w:val="superscript"/>
                      <w:lang w:val="en-US" w:eastAsia="zh-CN"/>
                    </w:rPr>
                    <w:t>#</w:t>
                  </w:r>
                  <w:r>
                    <w:rPr>
                      <w:rFonts w:hint="eastAsia"/>
                      <w:color w:val="auto"/>
                      <w:spacing w:val="-10"/>
                      <w:sz w:val="18"/>
                      <w:szCs w:val="18"/>
                      <w:highlight w:val="none"/>
                      <w:lang w:val="en-US" w:eastAsia="zh-CN"/>
                    </w:rPr>
                    <w:t>生产车间内，地上建设，呈坡状，有高差，</w:t>
                  </w:r>
                  <w:r>
                    <w:rPr>
                      <w:rFonts w:hint="eastAsia" w:ascii="Times New Roman" w:hAnsi="Times New Roman" w:cs="Times New Roman"/>
                      <w:color w:val="auto"/>
                      <w:spacing w:val="-10"/>
                      <w:sz w:val="18"/>
                      <w:szCs w:val="18"/>
                      <w:highlight w:val="none"/>
                      <w:lang w:val="en-US" w:eastAsia="zh-CN"/>
                    </w:rPr>
                    <w:t>采用200mm厚</w:t>
                  </w:r>
                  <w:r>
                    <w:rPr>
                      <w:rFonts w:hint="eastAsia" w:cs="Times New Roman"/>
                      <w:color w:val="auto"/>
                      <w:spacing w:val="-10"/>
                      <w:sz w:val="18"/>
                      <w:szCs w:val="18"/>
                      <w:highlight w:val="none"/>
                      <w:lang w:val="en-US" w:eastAsia="zh-CN"/>
                    </w:rPr>
                    <w:t>防</w:t>
                  </w:r>
                  <w:r>
                    <w:rPr>
                      <w:rFonts w:hint="eastAsia" w:ascii="Times New Roman" w:hAnsi="Times New Roman" w:cs="Times New Roman"/>
                      <w:color w:val="auto"/>
                      <w:spacing w:val="-10"/>
                      <w:sz w:val="18"/>
                      <w:szCs w:val="18"/>
                      <w:highlight w:val="none"/>
                      <w:lang w:val="en-US" w:eastAsia="zh-CN"/>
                    </w:rPr>
                    <w:t>渗混凝土</w:t>
                  </w:r>
                  <w:r>
                    <w:rPr>
                      <w:rFonts w:hint="eastAsia"/>
                      <w:color w:val="auto"/>
                      <w:spacing w:val="-10"/>
                      <w:sz w:val="18"/>
                      <w:szCs w:val="18"/>
                      <w:highlight w:val="none"/>
                      <w:lang w:val="en-US" w:eastAsia="zh-CN"/>
                    </w:rPr>
                    <w:t>一体浇筑，建有4m高混凝土挡墙</w:t>
                  </w:r>
                </w:p>
              </w:tc>
            </w:tr>
            <w:tr w14:paraId="05E4B70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436" w:type="dxa"/>
                  <w:tcBorders>
                    <w:tl2br w:val="nil"/>
                    <w:tr2bl w:val="nil"/>
                  </w:tcBorders>
                  <w:vAlign w:val="center"/>
                </w:tcPr>
                <w:p w14:paraId="6DBAA537">
                  <w:pPr>
                    <w:jc w:val="center"/>
                    <w:rPr>
                      <w:rFonts w:hint="default" w:ascii="Times New Roman" w:hAnsi="Times New Roman" w:eastAsia="宋体" w:cs="Times New Roman"/>
                      <w:color w:val="auto"/>
                      <w:spacing w:val="-10"/>
                      <w:kern w:val="2"/>
                      <w:sz w:val="18"/>
                      <w:szCs w:val="18"/>
                      <w:highlight w:val="none"/>
                      <w:lang w:val="en-US" w:eastAsia="zh-CN" w:bidi="ar-SA"/>
                    </w:rPr>
                  </w:pPr>
                  <w:r>
                    <w:rPr>
                      <w:rFonts w:hint="eastAsia" w:cs="Times New Roman"/>
                      <w:color w:val="auto"/>
                      <w:spacing w:val="-10"/>
                      <w:kern w:val="2"/>
                      <w:sz w:val="18"/>
                      <w:szCs w:val="18"/>
                      <w:highlight w:val="none"/>
                      <w:lang w:val="en-US" w:eastAsia="zh-CN" w:bidi="ar-SA"/>
                    </w:rPr>
                    <w:t>1.6</w:t>
                  </w:r>
                </w:p>
              </w:tc>
              <w:tc>
                <w:tcPr>
                  <w:tcW w:w="1237" w:type="dxa"/>
                  <w:tcBorders>
                    <w:tl2br w:val="nil"/>
                    <w:tr2bl w:val="nil"/>
                  </w:tcBorders>
                  <w:shd w:val="clear" w:color="auto" w:fill="auto"/>
                  <w:vAlign w:val="center"/>
                </w:tcPr>
                <w:p w14:paraId="5DEE87F1">
                  <w:pPr>
                    <w:jc w:val="center"/>
                    <w:rPr>
                      <w:rFonts w:hint="eastAsia" w:ascii="Times New Roman" w:hAnsi="Times New Roman" w:eastAsia="宋体" w:cs="Times New Roman"/>
                      <w:color w:val="auto"/>
                      <w:spacing w:val="-10"/>
                      <w:kern w:val="2"/>
                      <w:sz w:val="18"/>
                      <w:szCs w:val="18"/>
                      <w:highlight w:val="none"/>
                      <w:lang w:val="en-US" w:eastAsia="zh-CN" w:bidi="ar-SA"/>
                    </w:rPr>
                  </w:pPr>
                  <w:r>
                    <w:rPr>
                      <w:rFonts w:hint="eastAsia"/>
                      <w:color w:val="auto"/>
                      <w:spacing w:val="-10"/>
                      <w:sz w:val="18"/>
                      <w:szCs w:val="18"/>
                      <w:highlight w:val="none"/>
                      <w:lang w:val="en-US" w:eastAsia="zh-CN"/>
                    </w:rPr>
                    <w:t>4</w:t>
                  </w:r>
                  <w:r>
                    <w:rPr>
                      <w:rFonts w:hint="eastAsia"/>
                      <w:color w:val="auto"/>
                      <w:spacing w:val="-10"/>
                      <w:sz w:val="18"/>
                      <w:szCs w:val="18"/>
                      <w:highlight w:val="none"/>
                      <w:vertAlign w:val="superscript"/>
                      <w:lang w:val="en-US" w:eastAsia="zh-CN"/>
                    </w:rPr>
                    <w:t>#</w:t>
                  </w:r>
                  <w:r>
                    <w:rPr>
                      <w:rFonts w:hint="eastAsia"/>
                      <w:color w:val="auto"/>
                      <w:spacing w:val="-10"/>
                      <w:sz w:val="18"/>
                      <w:szCs w:val="18"/>
                      <w:highlight w:val="none"/>
                      <w:lang w:val="en-US" w:eastAsia="zh-CN"/>
                    </w:rPr>
                    <w:t>储料池</w:t>
                  </w:r>
                </w:p>
              </w:tc>
              <w:tc>
                <w:tcPr>
                  <w:tcW w:w="1050" w:type="dxa"/>
                  <w:tcBorders>
                    <w:tl2br w:val="nil"/>
                    <w:tr2bl w:val="nil"/>
                  </w:tcBorders>
                  <w:vAlign w:val="center"/>
                </w:tcPr>
                <w:p w14:paraId="4807679A">
                  <w:pPr>
                    <w:jc w:val="center"/>
                    <w:rPr>
                      <w:rFonts w:hint="default" w:eastAsia="宋体"/>
                      <w:color w:val="auto"/>
                      <w:spacing w:val="-10"/>
                      <w:sz w:val="18"/>
                      <w:szCs w:val="18"/>
                      <w:highlight w:val="none"/>
                      <w:lang w:val="en-US" w:eastAsia="zh-CN"/>
                    </w:rPr>
                  </w:pPr>
                  <w:r>
                    <w:rPr>
                      <w:rFonts w:hint="eastAsia"/>
                      <w:color w:val="auto"/>
                      <w:spacing w:val="-10"/>
                      <w:sz w:val="18"/>
                      <w:szCs w:val="18"/>
                      <w:highlight w:val="none"/>
                      <w:lang w:val="en-US" w:eastAsia="zh-CN"/>
                    </w:rPr>
                    <w:t>60</w:t>
                  </w:r>
                </w:p>
              </w:tc>
              <w:tc>
                <w:tcPr>
                  <w:tcW w:w="1226" w:type="dxa"/>
                  <w:tcBorders>
                    <w:tl2br w:val="nil"/>
                    <w:tr2bl w:val="nil"/>
                  </w:tcBorders>
                  <w:vAlign w:val="center"/>
                </w:tcPr>
                <w:p w14:paraId="1F686176">
                  <w:pPr>
                    <w:jc w:val="center"/>
                    <w:rPr>
                      <w:color w:val="auto"/>
                      <w:spacing w:val="-10"/>
                      <w:sz w:val="18"/>
                      <w:szCs w:val="18"/>
                      <w:highlight w:val="none"/>
                    </w:rPr>
                  </w:pPr>
                  <w:r>
                    <w:rPr>
                      <w:rFonts w:hint="eastAsia" w:cs="Times New Roman"/>
                      <w:color w:val="auto"/>
                      <w:spacing w:val="-10"/>
                      <w:kern w:val="2"/>
                      <w:sz w:val="18"/>
                      <w:szCs w:val="18"/>
                      <w:highlight w:val="none"/>
                      <w:lang w:val="en-US" w:eastAsia="zh-CN" w:bidi="ar-SA"/>
                    </w:rPr>
                    <w:t>10</w:t>
                  </w:r>
                  <w:r>
                    <w:rPr>
                      <w:rFonts w:hint="eastAsia" w:ascii="Times New Roman" w:hAnsi="Times New Roman" w:cs="Times New Roman"/>
                      <w:color w:val="auto"/>
                      <w:spacing w:val="-10"/>
                      <w:sz w:val="18"/>
                      <w:szCs w:val="18"/>
                      <w:highlight w:val="none"/>
                      <w:lang w:val="en-US" w:eastAsia="zh-CN"/>
                    </w:rPr>
                    <w:t>m</w:t>
                  </w:r>
                  <w:r>
                    <w:rPr>
                      <w:rFonts w:hint="default" w:ascii="Times New Roman" w:hAnsi="Times New Roman" w:cs="Times New Roman"/>
                      <w:color w:val="auto"/>
                      <w:spacing w:val="-10"/>
                      <w:sz w:val="18"/>
                      <w:szCs w:val="18"/>
                      <w:highlight w:val="none"/>
                      <w:lang w:val="en-US" w:eastAsia="zh-CN"/>
                    </w:rPr>
                    <w:t>×</w:t>
                  </w:r>
                  <w:r>
                    <w:rPr>
                      <w:rFonts w:hint="eastAsia" w:cs="Times New Roman"/>
                      <w:color w:val="auto"/>
                      <w:spacing w:val="-10"/>
                      <w:sz w:val="18"/>
                      <w:szCs w:val="18"/>
                      <w:highlight w:val="none"/>
                      <w:lang w:val="en-US" w:eastAsia="zh-CN"/>
                    </w:rPr>
                    <w:t>6</w:t>
                  </w:r>
                  <w:r>
                    <w:rPr>
                      <w:rFonts w:hint="eastAsia" w:ascii="Times New Roman" w:hAnsi="Times New Roman" w:cs="Times New Roman"/>
                      <w:color w:val="auto"/>
                      <w:spacing w:val="-10"/>
                      <w:sz w:val="18"/>
                      <w:szCs w:val="18"/>
                      <w:highlight w:val="none"/>
                      <w:lang w:val="en-US" w:eastAsia="zh-CN"/>
                    </w:rPr>
                    <w:t>m</w:t>
                  </w:r>
                  <w:r>
                    <w:rPr>
                      <w:rFonts w:hint="default" w:ascii="Times New Roman" w:hAnsi="Times New Roman" w:cs="Times New Roman"/>
                      <w:color w:val="auto"/>
                      <w:spacing w:val="-10"/>
                      <w:sz w:val="18"/>
                      <w:szCs w:val="18"/>
                      <w:highlight w:val="none"/>
                      <w:lang w:val="en-US" w:eastAsia="zh-CN"/>
                    </w:rPr>
                    <w:t>×</w:t>
                  </w:r>
                  <w:r>
                    <w:rPr>
                      <w:rFonts w:hint="eastAsia" w:cs="Times New Roman"/>
                      <w:color w:val="auto"/>
                      <w:spacing w:val="-10"/>
                      <w:sz w:val="18"/>
                      <w:szCs w:val="18"/>
                      <w:highlight w:val="none"/>
                      <w:lang w:val="en-US" w:eastAsia="zh-CN"/>
                    </w:rPr>
                    <w:t>4</w:t>
                  </w:r>
                  <w:r>
                    <w:rPr>
                      <w:rFonts w:hint="eastAsia" w:ascii="Times New Roman" w:hAnsi="Times New Roman" w:cs="Times New Roman"/>
                      <w:color w:val="auto"/>
                      <w:spacing w:val="-10"/>
                      <w:sz w:val="18"/>
                      <w:szCs w:val="18"/>
                      <w:highlight w:val="none"/>
                      <w:lang w:val="en-US" w:eastAsia="zh-CN"/>
                    </w:rPr>
                    <w:t>m</w:t>
                  </w:r>
                </w:p>
              </w:tc>
              <w:tc>
                <w:tcPr>
                  <w:tcW w:w="649" w:type="dxa"/>
                  <w:tcBorders>
                    <w:tl2br w:val="nil"/>
                    <w:tr2bl w:val="nil"/>
                  </w:tcBorders>
                  <w:vAlign w:val="center"/>
                </w:tcPr>
                <w:p w14:paraId="20F4720D">
                  <w:pPr>
                    <w:widowControl/>
                    <w:jc w:val="center"/>
                    <w:rPr>
                      <w:rFonts w:hint="eastAsia" w:eastAsia="宋体"/>
                      <w:color w:val="auto"/>
                      <w:spacing w:val="-10"/>
                      <w:sz w:val="18"/>
                      <w:szCs w:val="18"/>
                      <w:highlight w:val="none"/>
                      <w:lang w:val="en-US" w:eastAsia="zh-CN"/>
                    </w:rPr>
                  </w:pPr>
                  <w:r>
                    <w:rPr>
                      <w:rFonts w:hint="eastAsia"/>
                      <w:color w:val="auto"/>
                      <w:spacing w:val="-10"/>
                      <w:sz w:val="18"/>
                      <w:szCs w:val="18"/>
                      <w:highlight w:val="none"/>
                      <w:lang w:val="en-US" w:eastAsia="zh-CN"/>
                    </w:rPr>
                    <w:t>1</w:t>
                  </w:r>
                </w:p>
              </w:tc>
              <w:tc>
                <w:tcPr>
                  <w:tcW w:w="3457" w:type="dxa"/>
                  <w:tcBorders>
                    <w:tl2br w:val="nil"/>
                    <w:tr2bl w:val="nil"/>
                  </w:tcBorders>
                  <w:vAlign w:val="center"/>
                </w:tcPr>
                <w:p w14:paraId="12FAF258">
                  <w:pPr>
                    <w:widowControl/>
                    <w:jc w:val="center"/>
                    <w:rPr>
                      <w:rFonts w:hint="eastAsia" w:ascii="Times New Roman" w:hAnsi="Times New Roman" w:cs="Times New Roman"/>
                      <w:color w:val="auto"/>
                      <w:spacing w:val="-10"/>
                      <w:sz w:val="18"/>
                      <w:szCs w:val="18"/>
                      <w:highlight w:val="none"/>
                      <w:lang w:val="en-US" w:eastAsia="zh-CN"/>
                    </w:rPr>
                  </w:pPr>
                  <w:r>
                    <w:rPr>
                      <w:rFonts w:hint="eastAsia"/>
                      <w:color w:val="auto"/>
                      <w:spacing w:val="-10"/>
                      <w:sz w:val="18"/>
                      <w:szCs w:val="18"/>
                      <w:highlight w:val="none"/>
                      <w:lang w:val="en-US" w:eastAsia="zh-CN"/>
                    </w:rPr>
                    <w:t>位于1</w:t>
                  </w:r>
                  <w:r>
                    <w:rPr>
                      <w:rFonts w:hint="eastAsia"/>
                      <w:color w:val="auto"/>
                      <w:spacing w:val="-10"/>
                      <w:sz w:val="18"/>
                      <w:szCs w:val="18"/>
                      <w:highlight w:val="none"/>
                      <w:vertAlign w:val="superscript"/>
                      <w:lang w:val="en-US" w:eastAsia="zh-CN"/>
                    </w:rPr>
                    <w:t>#</w:t>
                  </w:r>
                  <w:r>
                    <w:rPr>
                      <w:rFonts w:hint="eastAsia"/>
                      <w:color w:val="auto"/>
                      <w:spacing w:val="-10"/>
                      <w:sz w:val="18"/>
                      <w:szCs w:val="18"/>
                      <w:highlight w:val="none"/>
                      <w:lang w:val="en-US" w:eastAsia="zh-CN"/>
                    </w:rPr>
                    <w:t>生产车间内，地上建设，呈坡状，有高差，</w:t>
                  </w:r>
                  <w:r>
                    <w:rPr>
                      <w:rFonts w:hint="eastAsia" w:ascii="Times New Roman" w:hAnsi="Times New Roman" w:cs="Times New Roman"/>
                      <w:color w:val="auto"/>
                      <w:spacing w:val="-10"/>
                      <w:sz w:val="18"/>
                      <w:szCs w:val="18"/>
                      <w:highlight w:val="none"/>
                      <w:lang w:val="en-US" w:eastAsia="zh-CN"/>
                    </w:rPr>
                    <w:t>采用200mm厚</w:t>
                  </w:r>
                  <w:r>
                    <w:rPr>
                      <w:rFonts w:hint="eastAsia" w:cs="Times New Roman"/>
                      <w:color w:val="auto"/>
                      <w:spacing w:val="-10"/>
                      <w:sz w:val="18"/>
                      <w:szCs w:val="18"/>
                      <w:highlight w:val="none"/>
                      <w:lang w:val="en-US" w:eastAsia="zh-CN"/>
                    </w:rPr>
                    <w:t>防</w:t>
                  </w:r>
                  <w:r>
                    <w:rPr>
                      <w:rFonts w:hint="eastAsia" w:ascii="Times New Roman" w:hAnsi="Times New Roman" w:cs="Times New Roman"/>
                      <w:color w:val="auto"/>
                      <w:spacing w:val="-10"/>
                      <w:sz w:val="18"/>
                      <w:szCs w:val="18"/>
                      <w:highlight w:val="none"/>
                      <w:lang w:val="en-US" w:eastAsia="zh-CN"/>
                    </w:rPr>
                    <w:t>渗混凝土</w:t>
                  </w:r>
                  <w:r>
                    <w:rPr>
                      <w:rFonts w:hint="eastAsia"/>
                      <w:color w:val="auto"/>
                      <w:spacing w:val="-10"/>
                      <w:sz w:val="18"/>
                      <w:szCs w:val="18"/>
                      <w:highlight w:val="none"/>
                      <w:lang w:val="en-US" w:eastAsia="zh-CN"/>
                    </w:rPr>
                    <w:t>一体浇筑，建有4m高混凝土挡墙</w:t>
                  </w:r>
                </w:p>
              </w:tc>
            </w:tr>
            <w:tr w14:paraId="2AEB97C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87" w:hRule="atLeast"/>
                <w:jc w:val="center"/>
              </w:trPr>
              <w:tc>
                <w:tcPr>
                  <w:tcW w:w="436" w:type="dxa"/>
                  <w:tcBorders>
                    <w:tl2br w:val="nil"/>
                    <w:tr2bl w:val="nil"/>
                  </w:tcBorders>
                  <w:vAlign w:val="center"/>
                </w:tcPr>
                <w:p w14:paraId="249D677E">
                  <w:pPr>
                    <w:jc w:val="center"/>
                    <w:rPr>
                      <w:rFonts w:hint="default" w:ascii="Times New Roman" w:hAnsi="Times New Roman" w:eastAsia="宋体" w:cs="Times New Roman"/>
                      <w:color w:val="auto"/>
                      <w:spacing w:val="-10"/>
                      <w:kern w:val="2"/>
                      <w:sz w:val="18"/>
                      <w:szCs w:val="18"/>
                      <w:highlight w:val="none"/>
                      <w:lang w:val="en-US" w:eastAsia="zh-CN" w:bidi="ar-SA"/>
                    </w:rPr>
                  </w:pPr>
                  <w:r>
                    <w:rPr>
                      <w:rFonts w:hint="eastAsia" w:cs="Times New Roman"/>
                      <w:color w:val="auto"/>
                      <w:spacing w:val="-10"/>
                      <w:kern w:val="2"/>
                      <w:sz w:val="18"/>
                      <w:szCs w:val="18"/>
                      <w:highlight w:val="none"/>
                      <w:lang w:val="en-US" w:eastAsia="zh-CN" w:bidi="ar-SA"/>
                    </w:rPr>
                    <w:t>1.7</w:t>
                  </w:r>
                </w:p>
              </w:tc>
              <w:tc>
                <w:tcPr>
                  <w:tcW w:w="1237" w:type="dxa"/>
                  <w:tcBorders>
                    <w:tl2br w:val="nil"/>
                    <w:tr2bl w:val="nil"/>
                  </w:tcBorders>
                  <w:vAlign w:val="center"/>
                </w:tcPr>
                <w:p w14:paraId="759787E3">
                  <w:pPr>
                    <w:snapToGrid w:val="0"/>
                    <w:spacing w:line="0" w:lineRule="atLeast"/>
                    <w:jc w:val="center"/>
                    <w:rPr>
                      <w:rFonts w:hint="eastAsia" w:ascii="Times New Roman" w:hAnsi="Times New Roman" w:eastAsia="宋体" w:cs="Times New Roman"/>
                      <w:color w:val="auto"/>
                      <w:spacing w:val="-10"/>
                      <w:kern w:val="2"/>
                      <w:sz w:val="18"/>
                      <w:szCs w:val="18"/>
                      <w:highlight w:val="none"/>
                      <w:lang w:val="en-US" w:eastAsia="zh-CN" w:bidi="ar-SA"/>
                    </w:rPr>
                  </w:pPr>
                  <w:r>
                    <w:rPr>
                      <w:rFonts w:hint="eastAsia"/>
                      <w:color w:val="auto"/>
                      <w:spacing w:val="-10"/>
                      <w:sz w:val="18"/>
                      <w:szCs w:val="18"/>
                      <w:highlight w:val="none"/>
                      <w:lang w:val="en-US" w:eastAsia="zh-CN"/>
                    </w:rPr>
                    <w:t>5</w:t>
                  </w:r>
                  <w:r>
                    <w:rPr>
                      <w:rFonts w:hint="eastAsia"/>
                      <w:color w:val="auto"/>
                      <w:spacing w:val="-10"/>
                      <w:sz w:val="18"/>
                      <w:szCs w:val="18"/>
                      <w:highlight w:val="none"/>
                      <w:vertAlign w:val="superscript"/>
                      <w:lang w:val="en-US" w:eastAsia="zh-CN"/>
                    </w:rPr>
                    <w:t>#</w:t>
                  </w:r>
                  <w:r>
                    <w:rPr>
                      <w:rFonts w:hint="eastAsia"/>
                      <w:color w:val="auto"/>
                      <w:spacing w:val="-10"/>
                      <w:sz w:val="18"/>
                      <w:szCs w:val="18"/>
                      <w:highlight w:val="none"/>
                      <w:lang w:val="en-US" w:eastAsia="zh-CN"/>
                    </w:rPr>
                    <w:t>储料池</w:t>
                  </w:r>
                </w:p>
              </w:tc>
              <w:tc>
                <w:tcPr>
                  <w:tcW w:w="1050" w:type="dxa"/>
                  <w:tcBorders>
                    <w:tl2br w:val="nil"/>
                    <w:tr2bl w:val="nil"/>
                  </w:tcBorders>
                  <w:vAlign w:val="center"/>
                </w:tcPr>
                <w:p w14:paraId="3FD96C89">
                  <w:pPr>
                    <w:snapToGrid w:val="0"/>
                    <w:spacing w:line="0" w:lineRule="atLeast"/>
                    <w:jc w:val="center"/>
                    <w:rPr>
                      <w:rFonts w:hint="default" w:ascii="Times New Roman" w:hAnsi="Times New Roman" w:eastAsia="宋体" w:cs="Times New Roman"/>
                      <w:color w:val="auto"/>
                      <w:spacing w:val="-10"/>
                      <w:kern w:val="2"/>
                      <w:sz w:val="18"/>
                      <w:szCs w:val="18"/>
                      <w:highlight w:val="none"/>
                      <w:lang w:val="en-US" w:eastAsia="zh-CN" w:bidi="ar-SA"/>
                    </w:rPr>
                  </w:pPr>
                  <w:r>
                    <w:rPr>
                      <w:rFonts w:hint="eastAsia" w:cs="Times New Roman"/>
                      <w:color w:val="auto"/>
                      <w:spacing w:val="-10"/>
                      <w:kern w:val="2"/>
                      <w:sz w:val="18"/>
                      <w:szCs w:val="18"/>
                      <w:highlight w:val="none"/>
                      <w:lang w:val="en-US" w:eastAsia="zh-CN" w:bidi="ar-SA"/>
                    </w:rPr>
                    <w:t>12</w:t>
                  </w:r>
                </w:p>
              </w:tc>
              <w:tc>
                <w:tcPr>
                  <w:tcW w:w="1226" w:type="dxa"/>
                  <w:tcBorders>
                    <w:tl2br w:val="nil"/>
                    <w:tr2bl w:val="nil"/>
                  </w:tcBorders>
                  <w:vAlign w:val="center"/>
                </w:tcPr>
                <w:p w14:paraId="103CBDF9">
                  <w:pPr>
                    <w:snapToGrid w:val="0"/>
                    <w:spacing w:line="0" w:lineRule="atLeast"/>
                    <w:jc w:val="center"/>
                    <w:rPr>
                      <w:rFonts w:hint="eastAsia" w:ascii="Times New Roman" w:hAnsi="Times New Roman" w:eastAsia="宋体" w:cs="Times New Roman"/>
                      <w:color w:val="auto"/>
                      <w:spacing w:val="-10"/>
                      <w:kern w:val="2"/>
                      <w:sz w:val="18"/>
                      <w:szCs w:val="18"/>
                      <w:highlight w:val="none"/>
                      <w:lang w:val="en-US" w:eastAsia="zh-CN" w:bidi="ar-SA"/>
                    </w:rPr>
                  </w:pPr>
                  <w:r>
                    <w:rPr>
                      <w:rFonts w:hint="eastAsia" w:cs="Times New Roman"/>
                      <w:color w:val="auto"/>
                      <w:spacing w:val="-10"/>
                      <w:kern w:val="2"/>
                      <w:sz w:val="18"/>
                      <w:szCs w:val="18"/>
                      <w:highlight w:val="none"/>
                      <w:lang w:val="en-US" w:eastAsia="zh-CN" w:bidi="ar-SA"/>
                    </w:rPr>
                    <w:t>2</w:t>
                  </w:r>
                  <w:r>
                    <w:rPr>
                      <w:rFonts w:hint="eastAsia" w:ascii="Times New Roman" w:hAnsi="Times New Roman" w:cs="Times New Roman"/>
                      <w:color w:val="auto"/>
                      <w:spacing w:val="-10"/>
                      <w:sz w:val="18"/>
                      <w:szCs w:val="18"/>
                      <w:highlight w:val="none"/>
                      <w:lang w:val="en-US" w:eastAsia="zh-CN"/>
                    </w:rPr>
                    <w:t>m</w:t>
                  </w:r>
                  <w:r>
                    <w:rPr>
                      <w:rFonts w:hint="default" w:ascii="Times New Roman" w:hAnsi="Times New Roman" w:cs="Times New Roman"/>
                      <w:color w:val="auto"/>
                      <w:spacing w:val="-10"/>
                      <w:sz w:val="18"/>
                      <w:szCs w:val="18"/>
                      <w:highlight w:val="none"/>
                      <w:lang w:val="en-US" w:eastAsia="zh-CN"/>
                    </w:rPr>
                    <w:t>×</w:t>
                  </w:r>
                  <w:r>
                    <w:rPr>
                      <w:rFonts w:hint="eastAsia" w:cs="Times New Roman"/>
                      <w:color w:val="auto"/>
                      <w:spacing w:val="-10"/>
                      <w:sz w:val="18"/>
                      <w:szCs w:val="18"/>
                      <w:highlight w:val="none"/>
                      <w:lang w:val="en-US" w:eastAsia="zh-CN"/>
                    </w:rPr>
                    <w:t>6</w:t>
                  </w:r>
                  <w:r>
                    <w:rPr>
                      <w:rFonts w:hint="eastAsia" w:ascii="Times New Roman" w:hAnsi="Times New Roman" w:cs="Times New Roman"/>
                      <w:color w:val="auto"/>
                      <w:spacing w:val="-10"/>
                      <w:sz w:val="18"/>
                      <w:szCs w:val="18"/>
                      <w:highlight w:val="none"/>
                      <w:lang w:val="en-US" w:eastAsia="zh-CN"/>
                    </w:rPr>
                    <w:t>m</w:t>
                  </w:r>
                  <w:r>
                    <w:rPr>
                      <w:rFonts w:hint="default" w:ascii="Times New Roman" w:hAnsi="Times New Roman" w:cs="Times New Roman"/>
                      <w:color w:val="auto"/>
                      <w:spacing w:val="-10"/>
                      <w:sz w:val="18"/>
                      <w:szCs w:val="18"/>
                      <w:highlight w:val="none"/>
                      <w:lang w:val="en-US" w:eastAsia="zh-CN"/>
                    </w:rPr>
                    <w:t>×</w:t>
                  </w:r>
                  <w:r>
                    <w:rPr>
                      <w:rFonts w:hint="eastAsia" w:cs="Times New Roman"/>
                      <w:color w:val="auto"/>
                      <w:spacing w:val="-10"/>
                      <w:sz w:val="18"/>
                      <w:szCs w:val="18"/>
                      <w:highlight w:val="none"/>
                      <w:lang w:val="en-US" w:eastAsia="zh-CN"/>
                    </w:rPr>
                    <w:t>4</w:t>
                  </w:r>
                  <w:r>
                    <w:rPr>
                      <w:rFonts w:hint="eastAsia" w:ascii="Times New Roman" w:hAnsi="Times New Roman" w:cs="Times New Roman"/>
                      <w:color w:val="auto"/>
                      <w:spacing w:val="-10"/>
                      <w:sz w:val="18"/>
                      <w:szCs w:val="18"/>
                      <w:highlight w:val="none"/>
                      <w:lang w:val="en-US" w:eastAsia="zh-CN"/>
                    </w:rPr>
                    <w:t>m</w:t>
                  </w:r>
                </w:p>
              </w:tc>
              <w:tc>
                <w:tcPr>
                  <w:tcW w:w="649" w:type="dxa"/>
                  <w:tcBorders>
                    <w:tl2br w:val="nil"/>
                    <w:tr2bl w:val="nil"/>
                  </w:tcBorders>
                  <w:vAlign w:val="center"/>
                </w:tcPr>
                <w:p w14:paraId="2C35A4F0">
                  <w:pPr>
                    <w:widowControl/>
                    <w:jc w:val="center"/>
                    <w:rPr>
                      <w:rFonts w:hint="default" w:eastAsia="宋体"/>
                      <w:color w:val="auto"/>
                      <w:spacing w:val="-10"/>
                      <w:sz w:val="18"/>
                      <w:szCs w:val="18"/>
                      <w:highlight w:val="none"/>
                      <w:lang w:val="en-US" w:eastAsia="zh-CN"/>
                    </w:rPr>
                  </w:pPr>
                  <w:r>
                    <w:rPr>
                      <w:rFonts w:hint="eastAsia"/>
                      <w:color w:val="auto"/>
                      <w:spacing w:val="-10"/>
                      <w:sz w:val="18"/>
                      <w:szCs w:val="18"/>
                      <w:highlight w:val="none"/>
                      <w:lang w:val="en-US" w:eastAsia="zh-CN"/>
                    </w:rPr>
                    <w:t>1</w:t>
                  </w:r>
                </w:p>
              </w:tc>
              <w:tc>
                <w:tcPr>
                  <w:tcW w:w="3457" w:type="dxa"/>
                  <w:tcBorders>
                    <w:tl2br w:val="nil"/>
                    <w:tr2bl w:val="nil"/>
                  </w:tcBorders>
                  <w:vAlign w:val="center"/>
                </w:tcPr>
                <w:p w14:paraId="5FDDC772">
                  <w:pPr>
                    <w:widowControl/>
                    <w:jc w:val="center"/>
                    <w:rPr>
                      <w:rFonts w:hint="eastAsia" w:ascii="Times New Roman" w:hAnsi="Times New Roman" w:cs="Times New Roman"/>
                      <w:color w:val="auto"/>
                      <w:spacing w:val="-10"/>
                      <w:sz w:val="18"/>
                      <w:szCs w:val="18"/>
                      <w:highlight w:val="none"/>
                      <w:lang w:val="en-US" w:eastAsia="zh-CN"/>
                    </w:rPr>
                  </w:pPr>
                  <w:r>
                    <w:rPr>
                      <w:rFonts w:hint="eastAsia"/>
                      <w:color w:val="auto"/>
                      <w:spacing w:val="-10"/>
                      <w:sz w:val="18"/>
                      <w:szCs w:val="18"/>
                      <w:highlight w:val="none"/>
                      <w:lang w:val="en-US" w:eastAsia="zh-CN"/>
                    </w:rPr>
                    <w:t>位于1</w:t>
                  </w:r>
                  <w:r>
                    <w:rPr>
                      <w:rFonts w:hint="eastAsia"/>
                      <w:color w:val="auto"/>
                      <w:spacing w:val="-10"/>
                      <w:sz w:val="18"/>
                      <w:szCs w:val="18"/>
                      <w:highlight w:val="none"/>
                      <w:vertAlign w:val="superscript"/>
                      <w:lang w:val="en-US" w:eastAsia="zh-CN"/>
                    </w:rPr>
                    <w:t>#</w:t>
                  </w:r>
                  <w:r>
                    <w:rPr>
                      <w:rFonts w:hint="eastAsia"/>
                      <w:color w:val="auto"/>
                      <w:spacing w:val="-10"/>
                      <w:sz w:val="18"/>
                      <w:szCs w:val="18"/>
                      <w:highlight w:val="none"/>
                      <w:lang w:val="en-US" w:eastAsia="zh-CN"/>
                    </w:rPr>
                    <w:t>生产车间内，地上建设，呈坡状，有高差，</w:t>
                  </w:r>
                  <w:r>
                    <w:rPr>
                      <w:rFonts w:hint="eastAsia" w:ascii="Times New Roman" w:hAnsi="Times New Roman" w:cs="Times New Roman"/>
                      <w:color w:val="auto"/>
                      <w:spacing w:val="-10"/>
                      <w:sz w:val="18"/>
                      <w:szCs w:val="18"/>
                      <w:highlight w:val="none"/>
                      <w:lang w:val="en-US" w:eastAsia="zh-CN"/>
                    </w:rPr>
                    <w:t>采用200mm厚</w:t>
                  </w:r>
                  <w:r>
                    <w:rPr>
                      <w:rFonts w:hint="eastAsia" w:cs="Times New Roman"/>
                      <w:color w:val="auto"/>
                      <w:spacing w:val="-10"/>
                      <w:sz w:val="18"/>
                      <w:szCs w:val="18"/>
                      <w:highlight w:val="none"/>
                      <w:lang w:val="en-US" w:eastAsia="zh-CN"/>
                    </w:rPr>
                    <w:t>防</w:t>
                  </w:r>
                  <w:r>
                    <w:rPr>
                      <w:rFonts w:hint="eastAsia" w:ascii="Times New Roman" w:hAnsi="Times New Roman" w:cs="Times New Roman"/>
                      <w:color w:val="auto"/>
                      <w:spacing w:val="-10"/>
                      <w:sz w:val="18"/>
                      <w:szCs w:val="18"/>
                      <w:highlight w:val="none"/>
                      <w:lang w:val="en-US" w:eastAsia="zh-CN"/>
                    </w:rPr>
                    <w:t>渗混凝土</w:t>
                  </w:r>
                  <w:r>
                    <w:rPr>
                      <w:rFonts w:hint="eastAsia"/>
                      <w:color w:val="auto"/>
                      <w:spacing w:val="-10"/>
                      <w:sz w:val="18"/>
                      <w:szCs w:val="18"/>
                      <w:highlight w:val="none"/>
                      <w:lang w:val="en-US" w:eastAsia="zh-CN"/>
                    </w:rPr>
                    <w:t>一体浇筑，建有4m高混凝土挡墙</w:t>
                  </w:r>
                </w:p>
              </w:tc>
            </w:tr>
            <w:tr w14:paraId="6FB94D9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83" w:hRule="atLeast"/>
                <w:jc w:val="center"/>
              </w:trPr>
              <w:tc>
                <w:tcPr>
                  <w:tcW w:w="436" w:type="dxa"/>
                  <w:tcBorders>
                    <w:tl2br w:val="nil"/>
                    <w:tr2bl w:val="nil"/>
                  </w:tcBorders>
                  <w:vAlign w:val="center"/>
                </w:tcPr>
                <w:p w14:paraId="07452A8B">
                  <w:pPr>
                    <w:jc w:val="center"/>
                    <w:rPr>
                      <w:rFonts w:hint="default" w:ascii="Times New Roman" w:hAnsi="Times New Roman" w:eastAsia="宋体" w:cs="Times New Roman"/>
                      <w:color w:val="auto"/>
                      <w:spacing w:val="-10"/>
                      <w:kern w:val="2"/>
                      <w:sz w:val="18"/>
                      <w:szCs w:val="18"/>
                      <w:highlight w:val="none"/>
                      <w:lang w:val="en-US" w:eastAsia="zh-CN" w:bidi="ar-SA"/>
                    </w:rPr>
                  </w:pPr>
                  <w:r>
                    <w:rPr>
                      <w:rFonts w:hint="eastAsia"/>
                      <w:color w:val="auto"/>
                      <w:spacing w:val="-10"/>
                      <w:sz w:val="18"/>
                      <w:szCs w:val="18"/>
                      <w:highlight w:val="none"/>
                      <w:lang w:val="en-US" w:eastAsia="zh-CN"/>
                    </w:rPr>
                    <w:t>1.8</w:t>
                  </w:r>
                </w:p>
              </w:tc>
              <w:tc>
                <w:tcPr>
                  <w:tcW w:w="1237" w:type="dxa"/>
                  <w:tcBorders>
                    <w:tl2br w:val="nil"/>
                    <w:tr2bl w:val="nil"/>
                  </w:tcBorders>
                  <w:shd w:val="clear" w:color="auto" w:fill="auto"/>
                  <w:vAlign w:val="center"/>
                </w:tcPr>
                <w:p w14:paraId="7F97E89C">
                  <w:pPr>
                    <w:snapToGrid w:val="0"/>
                    <w:spacing w:line="0" w:lineRule="atLeast"/>
                    <w:jc w:val="center"/>
                    <w:rPr>
                      <w:rFonts w:hint="eastAsia"/>
                      <w:color w:val="auto"/>
                      <w:spacing w:val="-10"/>
                      <w:sz w:val="18"/>
                      <w:szCs w:val="18"/>
                      <w:highlight w:val="none"/>
                      <w:lang w:val="en-US" w:eastAsia="zh-CN"/>
                    </w:rPr>
                  </w:pPr>
                  <w:r>
                    <w:rPr>
                      <w:rFonts w:hint="eastAsia"/>
                      <w:color w:val="auto"/>
                      <w:spacing w:val="-10"/>
                      <w:sz w:val="18"/>
                      <w:szCs w:val="18"/>
                      <w:highlight w:val="none"/>
                      <w:lang w:val="en-US" w:eastAsia="zh-CN"/>
                    </w:rPr>
                    <w:t>金属混合物料储料池</w:t>
                  </w:r>
                </w:p>
              </w:tc>
              <w:tc>
                <w:tcPr>
                  <w:tcW w:w="1050" w:type="dxa"/>
                  <w:tcBorders>
                    <w:tl2br w:val="nil"/>
                    <w:tr2bl w:val="nil"/>
                  </w:tcBorders>
                  <w:vAlign w:val="center"/>
                </w:tcPr>
                <w:p w14:paraId="5D63A572">
                  <w:pPr>
                    <w:snapToGrid w:val="0"/>
                    <w:spacing w:line="0" w:lineRule="atLeast"/>
                    <w:jc w:val="center"/>
                    <w:rPr>
                      <w:rFonts w:hint="default" w:ascii="Times New Roman" w:hAnsi="Times New Roman" w:eastAsia="宋体" w:cs="Times New Roman"/>
                      <w:color w:val="auto"/>
                      <w:spacing w:val="-10"/>
                      <w:kern w:val="2"/>
                      <w:sz w:val="18"/>
                      <w:szCs w:val="18"/>
                      <w:highlight w:val="none"/>
                      <w:lang w:val="en-US" w:eastAsia="zh-CN" w:bidi="ar-SA"/>
                    </w:rPr>
                  </w:pPr>
                  <w:r>
                    <w:rPr>
                      <w:rFonts w:hint="eastAsia" w:cs="Times New Roman"/>
                      <w:color w:val="auto"/>
                      <w:spacing w:val="-10"/>
                      <w:kern w:val="2"/>
                      <w:sz w:val="18"/>
                      <w:szCs w:val="18"/>
                      <w:highlight w:val="none"/>
                      <w:lang w:val="en-US" w:eastAsia="zh-CN" w:bidi="ar-SA"/>
                    </w:rPr>
                    <w:t>18</w:t>
                  </w:r>
                </w:p>
              </w:tc>
              <w:tc>
                <w:tcPr>
                  <w:tcW w:w="1226" w:type="dxa"/>
                  <w:tcBorders>
                    <w:tl2br w:val="nil"/>
                    <w:tr2bl w:val="nil"/>
                  </w:tcBorders>
                  <w:vAlign w:val="center"/>
                </w:tcPr>
                <w:p w14:paraId="32C3DE0F">
                  <w:pPr>
                    <w:snapToGrid w:val="0"/>
                    <w:spacing w:line="0" w:lineRule="atLeast"/>
                    <w:jc w:val="center"/>
                    <w:rPr>
                      <w:rFonts w:hint="default" w:ascii="Times New Roman" w:hAnsi="Times New Roman" w:eastAsia="宋体" w:cs="Times New Roman"/>
                      <w:color w:val="auto"/>
                      <w:spacing w:val="-10"/>
                      <w:kern w:val="2"/>
                      <w:sz w:val="18"/>
                      <w:szCs w:val="18"/>
                      <w:highlight w:val="none"/>
                      <w:lang w:val="en-US" w:eastAsia="zh-CN" w:bidi="ar-SA"/>
                    </w:rPr>
                  </w:pPr>
                  <w:r>
                    <w:rPr>
                      <w:rFonts w:hint="eastAsia" w:cs="Times New Roman"/>
                      <w:color w:val="auto"/>
                      <w:spacing w:val="-10"/>
                      <w:kern w:val="2"/>
                      <w:sz w:val="18"/>
                      <w:szCs w:val="18"/>
                      <w:highlight w:val="none"/>
                      <w:lang w:val="en-US" w:eastAsia="zh-CN" w:bidi="ar-SA"/>
                    </w:rPr>
                    <w:t>3</w:t>
                  </w:r>
                  <w:r>
                    <w:rPr>
                      <w:rFonts w:hint="eastAsia" w:ascii="Times New Roman" w:hAnsi="Times New Roman" w:cs="Times New Roman"/>
                      <w:color w:val="auto"/>
                      <w:spacing w:val="-10"/>
                      <w:sz w:val="18"/>
                      <w:szCs w:val="18"/>
                      <w:highlight w:val="none"/>
                      <w:lang w:val="en-US" w:eastAsia="zh-CN"/>
                    </w:rPr>
                    <w:t>m</w:t>
                  </w:r>
                  <w:r>
                    <w:rPr>
                      <w:rFonts w:hint="default" w:ascii="Times New Roman" w:hAnsi="Times New Roman" w:cs="Times New Roman"/>
                      <w:color w:val="auto"/>
                      <w:spacing w:val="-10"/>
                      <w:sz w:val="18"/>
                      <w:szCs w:val="18"/>
                      <w:highlight w:val="none"/>
                      <w:lang w:val="en-US" w:eastAsia="zh-CN"/>
                    </w:rPr>
                    <w:t>×</w:t>
                  </w:r>
                  <w:r>
                    <w:rPr>
                      <w:rFonts w:hint="eastAsia" w:cs="Times New Roman"/>
                      <w:color w:val="auto"/>
                      <w:spacing w:val="-10"/>
                      <w:sz w:val="18"/>
                      <w:szCs w:val="18"/>
                      <w:highlight w:val="none"/>
                      <w:lang w:val="en-US" w:eastAsia="zh-CN"/>
                    </w:rPr>
                    <w:t>6</w:t>
                  </w:r>
                  <w:r>
                    <w:rPr>
                      <w:rFonts w:hint="eastAsia" w:ascii="Times New Roman" w:hAnsi="Times New Roman" w:cs="Times New Roman"/>
                      <w:color w:val="auto"/>
                      <w:spacing w:val="-10"/>
                      <w:sz w:val="18"/>
                      <w:szCs w:val="18"/>
                      <w:highlight w:val="none"/>
                      <w:lang w:val="en-US" w:eastAsia="zh-CN"/>
                    </w:rPr>
                    <w:t>m</w:t>
                  </w:r>
                  <w:r>
                    <w:rPr>
                      <w:rFonts w:hint="default" w:ascii="Times New Roman" w:hAnsi="Times New Roman" w:cs="Times New Roman"/>
                      <w:color w:val="auto"/>
                      <w:spacing w:val="-10"/>
                      <w:sz w:val="18"/>
                      <w:szCs w:val="18"/>
                      <w:highlight w:val="none"/>
                      <w:lang w:val="en-US" w:eastAsia="zh-CN"/>
                    </w:rPr>
                    <w:t>×</w:t>
                  </w:r>
                  <w:r>
                    <w:rPr>
                      <w:rFonts w:hint="eastAsia" w:cs="Times New Roman"/>
                      <w:color w:val="auto"/>
                      <w:spacing w:val="-10"/>
                      <w:sz w:val="18"/>
                      <w:szCs w:val="18"/>
                      <w:highlight w:val="none"/>
                      <w:lang w:val="en-US" w:eastAsia="zh-CN"/>
                    </w:rPr>
                    <w:t>4</w:t>
                  </w:r>
                  <w:r>
                    <w:rPr>
                      <w:rFonts w:hint="eastAsia" w:ascii="Times New Roman" w:hAnsi="Times New Roman" w:cs="Times New Roman"/>
                      <w:color w:val="auto"/>
                      <w:spacing w:val="-10"/>
                      <w:sz w:val="18"/>
                      <w:szCs w:val="18"/>
                      <w:highlight w:val="none"/>
                      <w:lang w:val="en-US" w:eastAsia="zh-CN"/>
                    </w:rPr>
                    <w:t>m</w:t>
                  </w:r>
                </w:p>
              </w:tc>
              <w:tc>
                <w:tcPr>
                  <w:tcW w:w="649" w:type="dxa"/>
                  <w:tcBorders>
                    <w:tl2br w:val="nil"/>
                    <w:tr2bl w:val="nil"/>
                  </w:tcBorders>
                  <w:vAlign w:val="center"/>
                </w:tcPr>
                <w:p w14:paraId="531100A9">
                  <w:pPr>
                    <w:widowControl/>
                    <w:jc w:val="center"/>
                    <w:rPr>
                      <w:rFonts w:hint="default" w:eastAsia="宋体"/>
                      <w:color w:val="auto"/>
                      <w:spacing w:val="-10"/>
                      <w:sz w:val="18"/>
                      <w:szCs w:val="18"/>
                      <w:highlight w:val="none"/>
                      <w:lang w:val="en-US" w:eastAsia="zh-CN"/>
                    </w:rPr>
                  </w:pPr>
                  <w:r>
                    <w:rPr>
                      <w:rFonts w:hint="eastAsia"/>
                      <w:color w:val="auto"/>
                      <w:spacing w:val="-10"/>
                      <w:sz w:val="18"/>
                      <w:szCs w:val="18"/>
                      <w:highlight w:val="none"/>
                      <w:lang w:val="en-US" w:eastAsia="zh-CN"/>
                    </w:rPr>
                    <w:t>1</w:t>
                  </w:r>
                </w:p>
              </w:tc>
              <w:tc>
                <w:tcPr>
                  <w:tcW w:w="3457" w:type="dxa"/>
                  <w:tcBorders>
                    <w:tl2br w:val="nil"/>
                    <w:tr2bl w:val="nil"/>
                  </w:tcBorders>
                  <w:vAlign w:val="center"/>
                </w:tcPr>
                <w:p w14:paraId="0745687B">
                  <w:pPr>
                    <w:widowControl/>
                    <w:jc w:val="center"/>
                    <w:rPr>
                      <w:rFonts w:hint="eastAsia" w:ascii="Times New Roman" w:hAnsi="Times New Roman" w:cs="Times New Roman"/>
                      <w:color w:val="auto"/>
                      <w:spacing w:val="-10"/>
                      <w:sz w:val="18"/>
                      <w:szCs w:val="18"/>
                      <w:highlight w:val="none"/>
                      <w:lang w:val="en-US" w:eastAsia="zh-CN"/>
                    </w:rPr>
                  </w:pPr>
                  <w:r>
                    <w:rPr>
                      <w:rFonts w:hint="eastAsia"/>
                      <w:color w:val="auto"/>
                      <w:spacing w:val="-10"/>
                      <w:sz w:val="18"/>
                      <w:szCs w:val="18"/>
                      <w:highlight w:val="none"/>
                      <w:lang w:val="en-US" w:eastAsia="zh-CN"/>
                    </w:rPr>
                    <w:t>位于1</w:t>
                  </w:r>
                  <w:r>
                    <w:rPr>
                      <w:rFonts w:hint="eastAsia"/>
                      <w:color w:val="auto"/>
                      <w:spacing w:val="-10"/>
                      <w:sz w:val="18"/>
                      <w:szCs w:val="18"/>
                      <w:highlight w:val="none"/>
                      <w:vertAlign w:val="superscript"/>
                      <w:lang w:val="en-US" w:eastAsia="zh-CN"/>
                    </w:rPr>
                    <w:t>#</w:t>
                  </w:r>
                  <w:r>
                    <w:rPr>
                      <w:rFonts w:hint="eastAsia"/>
                      <w:color w:val="auto"/>
                      <w:spacing w:val="-10"/>
                      <w:sz w:val="18"/>
                      <w:szCs w:val="18"/>
                      <w:highlight w:val="none"/>
                      <w:lang w:val="en-US" w:eastAsia="zh-CN"/>
                    </w:rPr>
                    <w:t>生产车间内，地上建设，呈坡状，有高差，</w:t>
                  </w:r>
                  <w:r>
                    <w:rPr>
                      <w:rFonts w:hint="eastAsia" w:ascii="Times New Roman" w:hAnsi="Times New Roman" w:cs="Times New Roman"/>
                      <w:color w:val="auto"/>
                      <w:spacing w:val="-10"/>
                      <w:sz w:val="18"/>
                      <w:szCs w:val="18"/>
                      <w:highlight w:val="none"/>
                      <w:lang w:val="en-US" w:eastAsia="zh-CN"/>
                    </w:rPr>
                    <w:t>采用200mm厚</w:t>
                  </w:r>
                  <w:r>
                    <w:rPr>
                      <w:rFonts w:hint="eastAsia" w:cs="Times New Roman"/>
                      <w:color w:val="auto"/>
                      <w:spacing w:val="-10"/>
                      <w:sz w:val="18"/>
                      <w:szCs w:val="18"/>
                      <w:highlight w:val="none"/>
                      <w:lang w:val="en-US" w:eastAsia="zh-CN"/>
                    </w:rPr>
                    <w:t>防</w:t>
                  </w:r>
                  <w:r>
                    <w:rPr>
                      <w:rFonts w:hint="eastAsia" w:ascii="Times New Roman" w:hAnsi="Times New Roman" w:cs="Times New Roman"/>
                      <w:color w:val="auto"/>
                      <w:spacing w:val="-10"/>
                      <w:sz w:val="18"/>
                      <w:szCs w:val="18"/>
                      <w:highlight w:val="none"/>
                      <w:lang w:val="en-US" w:eastAsia="zh-CN"/>
                    </w:rPr>
                    <w:t>渗混凝土</w:t>
                  </w:r>
                  <w:r>
                    <w:rPr>
                      <w:rFonts w:hint="eastAsia"/>
                      <w:color w:val="auto"/>
                      <w:spacing w:val="-10"/>
                      <w:sz w:val="18"/>
                      <w:szCs w:val="18"/>
                      <w:highlight w:val="none"/>
                      <w:lang w:val="en-US" w:eastAsia="zh-CN"/>
                    </w:rPr>
                    <w:t>一体浇筑，建有4m高混凝土挡墙</w:t>
                  </w:r>
                </w:p>
              </w:tc>
            </w:tr>
            <w:tr w14:paraId="3310F31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83" w:hRule="atLeast"/>
                <w:jc w:val="center"/>
              </w:trPr>
              <w:tc>
                <w:tcPr>
                  <w:tcW w:w="436" w:type="dxa"/>
                  <w:tcBorders>
                    <w:tl2br w:val="nil"/>
                    <w:tr2bl w:val="nil"/>
                  </w:tcBorders>
                  <w:shd w:val="clear" w:color="auto" w:fill="auto"/>
                  <w:vAlign w:val="center"/>
                </w:tcPr>
                <w:p w14:paraId="47B18DDD">
                  <w:pPr>
                    <w:jc w:val="center"/>
                    <w:rPr>
                      <w:rFonts w:hint="default" w:ascii="Times New Roman" w:hAnsi="Times New Roman" w:eastAsia="宋体" w:cs="Times New Roman"/>
                      <w:color w:val="auto"/>
                      <w:spacing w:val="-10"/>
                      <w:kern w:val="2"/>
                      <w:sz w:val="18"/>
                      <w:szCs w:val="18"/>
                      <w:highlight w:val="none"/>
                      <w:lang w:val="en-US" w:eastAsia="zh-CN" w:bidi="ar-SA"/>
                    </w:rPr>
                  </w:pPr>
                  <w:r>
                    <w:rPr>
                      <w:rFonts w:hint="eastAsia"/>
                      <w:color w:val="auto"/>
                      <w:spacing w:val="-10"/>
                      <w:sz w:val="18"/>
                      <w:szCs w:val="18"/>
                      <w:highlight w:val="none"/>
                      <w:lang w:val="en-US" w:eastAsia="zh-CN"/>
                    </w:rPr>
                    <w:t>1.9</w:t>
                  </w:r>
                </w:p>
              </w:tc>
              <w:tc>
                <w:tcPr>
                  <w:tcW w:w="1237" w:type="dxa"/>
                  <w:tcBorders>
                    <w:tl2br w:val="nil"/>
                    <w:tr2bl w:val="nil"/>
                  </w:tcBorders>
                  <w:shd w:val="clear" w:color="auto" w:fill="auto"/>
                  <w:vAlign w:val="center"/>
                </w:tcPr>
                <w:p w14:paraId="5C11458C">
                  <w:pPr>
                    <w:snapToGrid w:val="0"/>
                    <w:spacing w:line="0" w:lineRule="atLeast"/>
                    <w:jc w:val="center"/>
                    <w:rPr>
                      <w:rFonts w:hint="eastAsia"/>
                      <w:color w:val="auto"/>
                      <w:spacing w:val="-10"/>
                      <w:sz w:val="18"/>
                      <w:szCs w:val="18"/>
                      <w:highlight w:val="none"/>
                      <w:lang w:val="en-US" w:eastAsia="zh-CN"/>
                    </w:rPr>
                  </w:pPr>
                  <w:r>
                    <w:rPr>
                      <w:rFonts w:hint="eastAsia"/>
                      <w:color w:val="auto"/>
                      <w:spacing w:val="-10"/>
                      <w:sz w:val="18"/>
                      <w:szCs w:val="18"/>
                      <w:highlight w:val="none"/>
                      <w:lang w:val="en-US" w:eastAsia="zh-CN"/>
                    </w:rPr>
                    <w:t>铁粉储料池</w:t>
                  </w:r>
                </w:p>
              </w:tc>
              <w:tc>
                <w:tcPr>
                  <w:tcW w:w="1050" w:type="dxa"/>
                  <w:tcBorders>
                    <w:tl2br w:val="nil"/>
                    <w:tr2bl w:val="nil"/>
                  </w:tcBorders>
                  <w:vAlign w:val="center"/>
                </w:tcPr>
                <w:p w14:paraId="52B0FE3F">
                  <w:pPr>
                    <w:snapToGrid w:val="0"/>
                    <w:spacing w:line="0" w:lineRule="atLeast"/>
                    <w:jc w:val="center"/>
                    <w:rPr>
                      <w:rFonts w:hint="default" w:ascii="Times New Roman" w:hAnsi="Times New Roman" w:eastAsia="宋体" w:cs="Times New Roman"/>
                      <w:color w:val="auto"/>
                      <w:spacing w:val="-10"/>
                      <w:kern w:val="2"/>
                      <w:sz w:val="18"/>
                      <w:szCs w:val="18"/>
                      <w:highlight w:val="none"/>
                      <w:lang w:val="en-US" w:eastAsia="zh-CN" w:bidi="ar-SA"/>
                    </w:rPr>
                  </w:pPr>
                  <w:r>
                    <w:rPr>
                      <w:rFonts w:hint="eastAsia" w:cs="Times New Roman"/>
                      <w:color w:val="auto"/>
                      <w:spacing w:val="-10"/>
                      <w:kern w:val="2"/>
                      <w:sz w:val="18"/>
                      <w:szCs w:val="18"/>
                      <w:highlight w:val="none"/>
                      <w:lang w:val="en-US" w:eastAsia="zh-CN" w:bidi="ar-SA"/>
                    </w:rPr>
                    <w:t>48</w:t>
                  </w:r>
                </w:p>
              </w:tc>
              <w:tc>
                <w:tcPr>
                  <w:tcW w:w="1226" w:type="dxa"/>
                  <w:tcBorders>
                    <w:tl2br w:val="nil"/>
                    <w:tr2bl w:val="nil"/>
                  </w:tcBorders>
                  <w:vAlign w:val="center"/>
                </w:tcPr>
                <w:p w14:paraId="1CA2EB8F">
                  <w:pPr>
                    <w:snapToGrid w:val="0"/>
                    <w:spacing w:line="0" w:lineRule="atLeast"/>
                    <w:jc w:val="center"/>
                    <w:rPr>
                      <w:rFonts w:hint="eastAsia" w:ascii="Times New Roman" w:hAnsi="Times New Roman" w:eastAsia="宋体" w:cs="Times New Roman"/>
                      <w:color w:val="auto"/>
                      <w:spacing w:val="-10"/>
                      <w:kern w:val="2"/>
                      <w:sz w:val="18"/>
                      <w:szCs w:val="18"/>
                      <w:highlight w:val="none"/>
                      <w:lang w:val="en-US" w:eastAsia="zh-CN" w:bidi="ar-SA"/>
                    </w:rPr>
                  </w:pPr>
                  <w:r>
                    <w:rPr>
                      <w:rFonts w:hint="eastAsia" w:cs="Times New Roman"/>
                      <w:color w:val="auto"/>
                      <w:spacing w:val="-10"/>
                      <w:sz w:val="18"/>
                      <w:szCs w:val="18"/>
                      <w:highlight w:val="none"/>
                      <w:lang w:val="en-US" w:eastAsia="zh-CN"/>
                    </w:rPr>
                    <w:t>8</w:t>
                  </w:r>
                  <w:r>
                    <w:rPr>
                      <w:rFonts w:hint="eastAsia" w:ascii="Times New Roman" w:hAnsi="Times New Roman" w:cs="Times New Roman"/>
                      <w:color w:val="auto"/>
                      <w:spacing w:val="-10"/>
                      <w:sz w:val="18"/>
                      <w:szCs w:val="18"/>
                      <w:highlight w:val="none"/>
                      <w:lang w:val="en-US" w:eastAsia="zh-CN"/>
                    </w:rPr>
                    <w:t>m</w:t>
                  </w:r>
                  <w:r>
                    <w:rPr>
                      <w:rFonts w:hint="default" w:ascii="Times New Roman" w:hAnsi="Times New Roman" w:cs="Times New Roman"/>
                      <w:color w:val="auto"/>
                      <w:spacing w:val="-10"/>
                      <w:sz w:val="18"/>
                      <w:szCs w:val="18"/>
                      <w:highlight w:val="none"/>
                      <w:lang w:val="en-US" w:eastAsia="zh-CN"/>
                    </w:rPr>
                    <w:t>×</w:t>
                  </w:r>
                  <w:r>
                    <w:rPr>
                      <w:rFonts w:hint="eastAsia" w:cs="Times New Roman"/>
                      <w:color w:val="auto"/>
                      <w:spacing w:val="-10"/>
                      <w:sz w:val="18"/>
                      <w:szCs w:val="18"/>
                      <w:highlight w:val="none"/>
                      <w:lang w:val="en-US" w:eastAsia="zh-CN"/>
                    </w:rPr>
                    <w:t>6</w:t>
                  </w:r>
                  <w:r>
                    <w:rPr>
                      <w:rFonts w:hint="eastAsia" w:ascii="Times New Roman" w:hAnsi="Times New Roman" w:cs="Times New Roman"/>
                      <w:color w:val="auto"/>
                      <w:spacing w:val="-10"/>
                      <w:sz w:val="18"/>
                      <w:szCs w:val="18"/>
                      <w:highlight w:val="none"/>
                      <w:lang w:val="en-US" w:eastAsia="zh-CN"/>
                    </w:rPr>
                    <w:t>m</w:t>
                  </w:r>
                  <w:r>
                    <w:rPr>
                      <w:rFonts w:hint="default" w:ascii="Times New Roman" w:hAnsi="Times New Roman" w:cs="Times New Roman"/>
                      <w:color w:val="auto"/>
                      <w:spacing w:val="-10"/>
                      <w:sz w:val="18"/>
                      <w:szCs w:val="18"/>
                      <w:highlight w:val="none"/>
                      <w:lang w:val="en-US" w:eastAsia="zh-CN"/>
                    </w:rPr>
                    <w:t>×</w:t>
                  </w:r>
                  <w:r>
                    <w:rPr>
                      <w:rFonts w:hint="eastAsia" w:cs="Times New Roman"/>
                      <w:color w:val="auto"/>
                      <w:spacing w:val="-10"/>
                      <w:sz w:val="18"/>
                      <w:szCs w:val="18"/>
                      <w:highlight w:val="none"/>
                      <w:lang w:val="en-US" w:eastAsia="zh-CN"/>
                    </w:rPr>
                    <w:t>4</w:t>
                  </w:r>
                  <w:r>
                    <w:rPr>
                      <w:rFonts w:hint="eastAsia" w:ascii="Times New Roman" w:hAnsi="Times New Roman" w:cs="Times New Roman"/>
                      <w:color w:val="auto"/>
                      <w:spacing w:val="-10"/>
                      <w:sz w:val="18"/>
                      <w:szCs w:val="18"/>
                      <w:highlight w:val="none"/>
                      <w:lang w:val="en-US" w:eastAsia="zh-CN"/>
                    </w:rPr>
                    <w:t>m</w:t>
                  </w:r>
                </w:p>
              </w:tc>
              <w:tc>
                <w:tcPr>
                  <w:tcW w:w="649" w:type="dxa"/>
                  <w:tcBorders>
                    <w:tl2br w:val="nil"/>
                    <w:tr2bl w:val="nil"/>
                  </w:tcBorders>
                  <w:vAlign w:val="center"/>
                </w:tcPr>
                <w:p w14:paraId="5D27AD64">
                  <w:pPr>
                    <w:widowControl/>
                    <w:jc w:val="center"/>
                    <w:rPr>
                      <w:rFonts w:hint="default" w:eastAsia="宋体"/>
                      <w:color w:val="auto"/>
                      <w:spacing w:val="-10"/>
                      <w:sz w:val="18"/>
                      <w:szCs w:val="18"/>
                      <w:highlight w:val="none"/>
                      <w:lang w:val="en-US" w:eastAsia="zh-CN"/>
                    </w:rPr>
                  </w:pPr>
                  <w:r>
                    <w:rPr>
                      <w:rFonts w:hint="eastAsia"/>
                      <w:color w:val="auto"/>
                      <w:spacing w:val="-10"/>
                      <w:sz w:val="18"/>
                      <w:szCs w:val="18"/>
                      <w:highlight w:val="none"/>
                      <w:lang w:val="en-US" w:eastAsia="zh-CN"/>
                    </w:rPr>
                    <w:t>1</w:t>
                  </w:r>
                </w:p>
              </w:tc>
              <w:tc>
                <w:tcPr>
                  <w:tcW w:w="3457" w:type="dxa"/>
                  <w:tcBorders>
                    <w:tl2br w:val="nil"/>
                    <w:tr2bl w:val="nil"/>
                  </w:tcBorders>
                  <w:vAlign w:val="center"/>
                </w:tcPr>
                <w:p w14:paraId="7C096759">
                  <w:pPr>
                    <w:widowControl/>
                    <w:jc w:val="center"/>
                    <w:rPr>
                      <w:rFonts w:hint="eastAsia" w:ascii="Times New Roman" w:hAnsi="Times New Roman" w:cs="Times New Roman"/>
                      <w:color w:val="auto"/>
                      <w:spacing w:val="-10"/>
                      <w:sz w:val="18"/>
                      <w:szCs w:val="18"/>
                      <w:highlight w:val="none"/>
                      <w:lang w:val="en-US" w:eastAsia="zh-CN"/>
                    </w:rPr>
                  </w:pPr>
                  <w:r>
                    <w:rPr>
                      <w:rFonts w:hint="eastAsia"/>
                      <w:color w:val="auto"/>
                      <w:spacing w:val="-10"/>
                      <w:sz w:val="18"/>
                      <w:szCs w:val="18"/>
                      <w:highlight w:val="none"/>
                      <w:lang w:val="en-US" w:eastAsia="zh-CN"/>
                    </w:rPr>
                    <w:t>位于1</w:t>
                  </w:r>
                  <w:r>
                    <w:rPr>
                      <w:rFonts w:hint="eastAsia"/>
                      <w:color w:val="auto"/>
                      <w:spacing w:val="-10"/>
                      <w:sz w:val="18"/>
                      <w:szCs w:val="18"/>
                      <w:highlight w:val="none"/>
                      <w:vertAlign w:val="superscript"/>
                      <w:lang w:val="en-US" w:eastAsia="zh-CN"/>
                    </w:rPr>
                    <w:t>#</w:t>
                  </w:r>
                  <w:r>
                    <w:rPr>
                      <w:rFonts w:hint="eastAsia"/>
                      <w:color w:val="auto"/>
                      <w:spacing w:val="-10"/>
                      <w:sz w:val="18"/>
                      <w:szCs w:val="18"/>
                      <w:highlight w:val="none"/>
                      <w:lang w:val="en-US" w:eastAsia="zh-CN"/>
                    </w:rPr>
                    <w:t>生产车间内，地上建设，呈坡状，有高差，</w:t>
                  </w:r>
                  <w:r>
                    <w:rPr>
                      <w:rFonts w:hint="eastAsia" w:ascii="Times New Roman" w:hAnsi="Times New Roman" w:cs="Times New Roman"/>
                      <w:color w:val="auto"/>
                      <w:spacing w:val="-10"/>
                      <w:sz w:val="18"/>
                      <w:szCs w:val="18"/>
                      <w:highlight w:val="none"/>
                      <w:lang w:val="en-US" w:eastAsia="zh-CN"/>
                    </w:rPr>
                    <w:t>采用200mm厚</w:t>
                  </w:r>
                  <w:r>
                    <w:rPr>
                      <w:rFonts w:hint="eastAsia" w:cs="Times New Roman"/>
                      <w:color w:val="auto"/>
                      <w:spacing w:val="-10"/>
                      <w:sz w:val="18"/>
                      <w:szCs w:val="18"/>
                      <w:highlight w:val="none"/>
                      <w:lang w:val="en-US" w:eastAsia="zh-CN"/>
                    </w:rPr>
                    <w:t>防</w:t>
                  </w:r>
                  <w:r>
                    <w:rPr>
                      <w:rFonts w:hint="eastAsia" w:ascii="Times New Roman" w:hAnsi="Times New Roman" w:cs="Times New Roman"/>
                      <w:color w:val="auto"/>
                      <w:spacing w:val="-10"/>
                      <w:sz w:val="18"/>
                      <w:szCs w:val="18"/>
                      <w:highlight w:val="none"/>
                      <w:lang w:val="en-US" w:eastAsia="zh-CN"/>
                    </w:rPr>
                    <w:t>渗混凝土</w:t>
                  </w:r>
                  <w:r>
                    <w:rPr>
                      <w:rFonts w:hint="eastAsia"/>
                      <w:color w:val="auto"/>
                      <w:spacing w:val="-10"/>
                      <w:sz w:val="18"/>
                      <w:szCs w:val="18"/>
                      <w:highlight w:val="none"/>
                      <w:lang w:val="en-US" w:eastAsia="zh-CN"/>
                    </w:rPr>
                    <w:t>一体浇筑，建有4m高混凝土挡墙</w:t>
                  </w:r>
                </w:p>
              </w:tc>
            </w:tr>
            <w:tr w14:paraId="60F0065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83" w:hRule="atLeast"/>
                <w:jc w:val="center"/>
              </w:trPr>
              <w:tc>
                <w:tcPr>
                  <w:tcW w:w="436" w:type="dxa"/>
                  <w:tcBorders>
                    <w:tl2br w:val="nil"/>
                    <w:tr2bl w:val="nil"/>
                  </w:tcBorders>
                  <w:shd w:val="clear" w:color="auto" w:fill="auto"/>
                  <w:vAlign w:val="center"/>
                </w:tcPr>
                <w:p w14:paraId="1DA38375">
                  <w:pPr>
                    <w:jc w:val="center"/>
                    <w:rPr>
                      <w:rFonts w:hint="default" w:ascii="Times New Roman" w:hAnsi="Times New Roman" w:eastAsia="宋体" w:cs="Times New Roman"/>
                      <w:color w:val="auto"/>
                      <w:spacing w:val="-10"/>
                      <w:kern w:val="2"/>
                      <w:sz w:val="18"/>
                      <w:szCs w:val="18"/>
                      <w:highlight w:val="none"/>
                      <w:lang w:val="en-US" w:eastAsia="zh-CN" w:bidi="ar-SA"/>
                    </w:rPr>
                  </w:pPr>
                  <w:r>
                    <w:rPr>
                      <w:rFonts w:hint="eastAsia"/>
                      <w:color w:val="auto"/>
                      <w:spacing w:val="-10"/>
                      <w:sz w:val="18"/>
                      <w:szCs w:val="18"/>
                      <w:highlight w:val="none"/>
                      <w:lang w:val="en-US" w:eastAsia="zh-CN"/>
                    </w:rPr>
                    <w:t>1.10</w:t>
                  </w:r>
                </w:p>
              </w:tc>
              <w:tc>
                <w:tcPr>
                  <w:tcW w:w="1237" w:type="dxa"/>
                  <w:tcBorders>
                    <w:tl2br w:val="nil"/>
                    <w:tr2bl w:val="nil"/>
                  </w:tcBorders>
                  <w:shd w:val="clear" w:color="auto" w:fill="auto"/>
                  <w:vAlign w:val="center"/>
                </w:tcPr>
                <w:p w14:paraId="1B74FCD7">
                  <w:pPr>
                    <w:snapToGrid w:val="0"/>
                    <w:spacing w:line="0" w:lineRule="atLeast"/>
                    <w:jc w:val="center"/>
                    <w:rPr>
                      <w:rFonts w:hint="eastAsia"/>
                      <w:color w:val="auto"/>
                      <w:spacing w:val="-10"/>
                      <w:sz w:val="18"/>
                      <w:szCs w:val="18"/>
                      <w:highlight w:val="none"/>
                      <w:lang w:val="en-US" w:eastAsia="zh-CN"/>
                    </w:rPr>
                  </w:pPr>
                  <w:r>
                    <w:rPr>
                      <w:rFonts w:hint="eastAsia"/>
                      <w:color w:val="auto"/>
                      <w:spacing w:val="-10"/>
                      <w:sz w:val="18"/>
                      <w:szCs w:val="18"/>
                      <w:highlight w:val="none"/>
                      <w:lang w:val="en-US" w:eastAsia="zh-CN"/>
                    </w:rPr>
                    <w:t>铁料暂存区</w:t>
                  </w:r>
                </w:p>
              </w:tc>
              <w:tc>
                <w:tcPr>
                  <w:tcW w:w="1050" w:type="dxa"/>
                  <w:tcBorders>
                    <w:tl2br w:val="nil"/>
                    <w:tr2bl w:val="nil"/>
                  </w:tcBorders>
                  <w:vAlign w:val="center"/>
                </w:tcPr>
                <w:p w14:paraId="752C72C7">
                  <w:pPr>
                    <w:snapToGrid w:val="0"/>
                    <w:spacing w:line="0" w:lineRule="atLeast"/>
                    <w:jc w:val="center"/>
                    <w:rPr>
                      <w:rFonts w:hint="default" w:ascii="Times New Roman" w:hAnsi="Times New Roman" w:eastAsia="宋体" w:cs="Times New Roman"/>
                      <w:color w:val="auto"/>
                      <w:spacing w:val="-10"/>
                      <w:kern w:val="2"/>
                      <w:sz w:val="18"/>
                      <w:szCs w:val="18"/>
                      <w:highlight w:val="none"/>
                      <w:lang w:val="en-US" w:eastAsia="zh-CN" w:bidi="ar-SA"/>
                    </w:rPr>
                  </w:pPr>
                  <w:r>
                    <w:rPr>
                      <w:rFonts w:hint="eastAsia" w:cs="Times New Roman"/>
                      <w:color w:val="auto"/>
                      <w:spacing w:val="-10"/>
                      <w:kern w:val="2"/>
                      <w:sz w:val="18"/>
                      <w:szCs w:val="18"/>
                      <w:highlight w:val="none"/>
                      <w:lang w:val="en-US" w:eastAsia="zh-CN" w:bidi="ar-SA"/>
                    </w:rPr>
                    <w:t>40</w:t>
                  </w:r>
                </w:p>
              </w:tc>
              <w:tc>
                <w:tcPr>
                  <w:tcW w:w="1226" w:type="dxa"/>
                  <w:tcBorders>
                    <w:tl2br w:val="nil"/>
                    <w:tr2bl w:val="nil"/>
                  </w:tcBorders>
                  <w:vAlign w:val="center"/>
                </w:tcPr>
                <w:p w14:paraId="769B1B7B">
                  <w:pPr>
                    <w:snapToGrid w:val="0"/>
                    <w:spacing w:line="0" w:lineRule="atLeast"/>
                    <w:jc w:val="center"/>
                    <w:rPr>
                      <w:rFonts w:hint="eastAsia" w:ascii="Times New Roman" w:hAnsi="Times New Roman" w:eastAsia="宋体" w:cs="Times New Roman"/>
                      <w:color w:val="auto"/>
                      <w:spacing w:val="-10"/>
                      <w:kern w:val="2"/>
                      <w:sz w:val="18"/>
                      <w:szCs w:val="18"/>
                      <w:highlight w:val="none"/>
                      <w:lang w:val="en-US" w:eastAsia="zh-CN" w:bidi="ar-SA"/>
                    </w:rPr>
                  </w:pPr>
                  <w:r>
                    <w:rPr>
                      <w:rFonts w:hint="eastAsia" w:cs="Times New Roman"/>
                      <w:color w:val="auto"/>
                      <w:spacing w:val="-10"/>
                      <w:sz w:val="18"/>
                      <w:szCs w:val="18"/>
                      <w:highlight w:val="none"/>
                      <w:lang w:val="en-US" w:eastAsia="zh-CN"/>
                    </w:rPr>
                    <w:t>10</w:t>
                  </w:r>
                  <w:r>
                    <w:rPr>
                      <w:rFonts w:hint="eastAsia" w:ascii="Times New Roman" w:hAnsi="Times New Roman" w:cs="Times New Roman"/>
                      <w:color w:val="auto"/>
                      <w:spacing w:val="-10"/>
                      <w:sz w:val="18"/>
                      <w:szCs w:val="18"/>
                      <w:highlight w:val="none"/>
                      <w:lang w:val="en-US" w:eastAsia="zh-CN"/>
                    </w:rPr>
                    <w:t>m</w:t>
                  </w:r>
                  <w:r>
                    <w:rPr>
                      <w:rFonts w:hint="default" w:ascii="Times New Roman" w:hAnsi="Times New Roman" w:cs="Times New Roman"/>
                      <w:color w:val="auto"/>
                      <w:spacing w:val="-10"/>
                      <w:sz w:val="18"/>
                      <w:szCs w:val="18"/>
                      <w:highlight w:val="none"/>
                      <w:lang w:val="en-US" w:eastAsia="zh-CN"/>
                    </w:rPr>
                    <w:t>×</w:t>
                  </w:r>
                  <w:r>
                    <w:rPr>
                      <w:rFonts w:hint="eastAsia" w:cs="Times New Roman"/>
                      <w:color w:val="auto"/>
                      <w:spacing w:val="-10"/>
                      <w:sz w:val="18"/>
                      <w:szCs w:val="18"/>
                      <w:highlight w:val="none"/>
                      <w:lang w:val="en-US" w:eastAsia="zh-CN"/>
                    </w:rPr>
                    <w:t>4</w:t>
                  </w:r>
                  <w:r>
                    <w:rPr>
                      <w:rFonts w:hint="eastAsia" w:ascii="Times New Roman" w:hAnsi="Times New Roman" w:cs="Times New Roman"/>
                      <w:color w:val="auto"/>
                      <w:spacing w:val="-10"/>
                      <w:sz w:val="18"/>
                      <w:szCs w:val="18"/>
                      <w:highlight w:val="none"/>
                      <w:lang w:val="en-US" w:eastAsia="zh-CN"/>
                    </w:rPr>
                    <w:t>m</w:t>
                  </w:r>
                </w:p>
              </w:tc>
              <w:tc>
                <w:tcPr>
                  <w:tcW w:w="649" w:type="dxa"/>
                  <w:tcBorders>
                    <w:tl2br w:val="nil"/>
                    <w:tr2bl w:val="nil"/>
                  </w:tcBorders>
                  <w:vAlign w:val="center"/>
                </w:tcPr>
                <w:p w14:paraId="2CAD3C99">
                  <w:pPr>
                    <w:widowControl/>
                    <w:jc w:val="center"/>
                    <w:rPr>
                      <w:rFonts w:hint="default" w:eastAsia="宋体"/>
                      <w:color w:val="auto"/>
                      <w:spacing w:val="-10"/>
                      <w:sz w:val="18"/>
                      <w:szCs w:val="18"/>
                      <w:highlight w:val="none"/>
                      <w:lang w:val="en-US" w:eastAsia="zh-CN"/>
                    </w:rPr>
                  </w:pPr>
                  <w:r>
                    <w:rPr>
                      <w:rFonts w:hint="eastAsia"/>
                      <w:color w:val="auto"/>
                      <w:spacing w:val="-10"/>
                      <w:sz w:val="18"/>
                      <w:szCs w:val="18"/>
                      <w:highlight w:val="none"/>
                      <w:lang w:val="en-US" w:eastAsia="zh-CN"/>
                    </w:rPr>
                    <w:t>1</w:t>
                  </w:r>
                </w:p>
              </w:tc>
              <w:tc>
                <w:tcPr>
                  <w:tcW w:w="3457" w:type="dxa"/>
                  <w:tcBorders>
                    <w:tl2br w:val="nil"/>
                    <w:tr2bl w:val="nil"/>
                  </w:tcBorders>
                  <w:vAlign w:val="center"/>
                </w:tcPr>
                <w:p w14:paraId="7DE8AE94">
                  <w:pPr>
                    <w:widowControl/>
                    <w:jc w:val="center"/>
                    <w:rPr>
                      <w:rFonts w:hint="eastAsia" w:ascii="Times New Roman" w:hAnsi="Times New Roman" w:cs="Times New Roman"/>
                      <w:color w:val="auto"/>
                      <w:spacing w:val="-10"/>
                      <w:sz w:val="18"/>
                      <w:szCs w:val="18"/>
                      <w:highlight w:val="none"/>
                      <w:lang w:val="en-US" w:eastAsia="zh-CN"/>
                    </w:rPr>
                  </w:pPr>
                  <w:r>
                    <w:rPr>
                      <w:rFonts w:hint="eastAsia"/>
                      <w:color w:val="auto"/>
                      <w:spacing w:val="-10"/>
                      <w:sz w:val="18"/>
                      <w:szCs w:val="18"/>
                      <w:highlight w:val="none"/>
                      <w:lang w:val="en-US" w:eastAsia="zh-CN"/>
                    </w:rPr>
                    <w:t>位于1</w:t>
                  </w:r>
                  <w:r>
                    <w:rPr>
                      <w:rFonts w:hint="eastAsia"/>
                      <w:color w:val="auto"/>
                      <w:spacing w:val="-10"/>
                      <w:sz w:val="18"/>
                      <w:szCs w:val="18"/>
                      <w:highlight w:val="none"/>
                      <w:vertAlign w:val="superscript"/>
                      <w:lang w:val="en-US" w:eastAsia="zh-CN"/>
                    </w:rPr>
                    <w:t>#</w:t>
                  </w:r>
                  <w:r>
                    <w:rPr>
                      <w:rFonts w:hint="eastAsia"/>
                      <w:color w:val="auto"/>
                      <w:spacing w:val="-10"/>
                      <w:sz w:val="18"/>
                      <w:szCs w:val="18"/>
                      <w:highlight w:val="none"/>
                      <w:lang w:val="en-US" w:eastAsia="zh-CN"/>
                    </w:rPr>
                    <w:t>生产车间内，地面采用200mm厚防渗混凝土进行防渗</w:t>
                  </w:r>
                </w:p>
              </w:tc>
            </w:tr>
            <w:tr w14:paraId="558D37D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83" w:hRule="atLeast"/>
                <w:jc w:val="center"/>
              </w:trPr>
              <w:tc>
                <w:tcPr>
                  <w:tcW w:w="436" w:type="dxa"/>
                  <w:tcBorders>
                    <w:tl2br w:val="nil"/>
                    <w:tr2bl w:val="nil"/>
                  </w:tcBorders>
                  <w:shd w:val="clear" w:color="auto" w:fill="auto"/>
                  <w:vAlign w:val="center"/>
                </w:tcPr>
                <w:p w14:paraId="23BAE3D3">
                  <w:pPr>
                    <w:jc w:val="center"/>
                    <w:rPr>
                      <w:rFonts w:hint="eastAsia" w:ascii="Times New Roman" w:hAnsi="Times New Roman" w:eastAsia="宋体" w:cs="Times New Roman"/>
                      <w:color w:val="auto"/>
                      <w:spacing w:val="-10"/>
                      <w:kern w:val="2"/>
                      <w:sz w:val="18"/>
                      <w:szCs w:val="18"/>
                      <w:highlight w:val="none"/>
                      <w:lang w:val="en-US" w:eastAsia="zh-CN" w:bidi="ar-SA"/>
                    </w:rPr>
                  </w:pPr>
                  <w:r>
                    <w:rPr>
                      <w:rFonts w:hint="eastAsia"/>
                      <w:color w:val="auto"/>
                      <w:spacing w:val="-10"/>
                      <w:sz w:val="18"/>
                      <w:szCs w:val="18"/>
                      <w:highlight w:val="none"/>
                      <w:lang w:val="en-US" w:eastAsia="zh-CN"/>
                    </w:rPr>
                    <w:t>1.11</w:t>
                  </w:r>
                </w:p>
              </w:tc>
              <w:tc>
                <w:tcPr>
                  <w:tcW w:w="1237" w:type="dxa"/>
                  <w:tcBorders>
                    <w:tl2br w:val="nil"/>
                    <w:tr2bl w:val="nil"/>
                  </w:tcBorders>
                  <w:shd w:val="clear" w:color="auto" w:fill="auto"/>
                  <w:vAlign w:val="center"/>
                </w:tcPr>
                <w:p w14:paraId="2E538A02">
                  <w:pPr>
                    <w:snapToGrid w:val="0"/>
                    <w:spacing w:line="0" w:lineRule="atLeast"/>
                    <w:jc w:val="center"/>
                    <w:rPr>
                      <w:rFonts w:hint="default"/>
                      <w:color w:val="auto"/>
                      <w:spacing w:val="-10"/>
                      <w:sz w:val="18"/>
                      <w:szCs w:val="18"/>
                      <w:highlight w:val="none"/>
                      <w:lang w:val="en-US" w:eastAsia="zh-CN"/>
                    </w:rPr>
                  </w:pPr>
                  <w:r>
                    <w:rPr>
                      <w:rFonts w:hint="eastAsia"/>
                      <w:color w:val="auto"/>
                      <w:spacing w:val="-10"/>
                      <w:sz w:val="18"/>
                      <w:szCs w:val="18"/>
                      <w:highlight w:val="none"/>
                      <w:lang w:val="en-US" w:eastAsia="zh-CN"/>
                    </w:rPr>
                    <w:t>废土暂存区</w:t>
                  </w:r>
                </w:p>
              </w:tc>
              <w:tc>
                <w:tcPr>
                  <w:tcW w:w="1050" w:type="dxa"/>
                  <w:tcBorders>
                    <w:tl2br w:val="nil"/>
                    <w:tr2bl w:val="nil"/>
                  </w:tcBorders>
                  <w:vAlign w:val="center"/>
                </w:tcPr>
                <w:p w14:paraId="77874141">
                  <w:pPr>
                    <w:snapToGrid w:val="0"/>
                    <w:spacing w:line="0" w:lineRule="atLeast"/>
                    <w:jc w:val="center"/>
                    <w:rPr>
                      <w:rFonts w:hint="default" w:cs="Times New Roman"/>
                      <w:color w:val="auto"/>
                      <w:spacing w:val="-10"/>
                      <w:kern w:val="2"/>
                      <w:sz w:val="18"/>
                      <w:szCs w:val="18"/>
                      <w:highlight w:val="none"/>
                      <w:lang w:val="en-US" w:eastAsia="zh-CN" w:bidi="ar-SA"/>
                    </w:rPr>
                  </w:pPr>
                  <w:r>
                    <w:rPr>
                      <w:rFonts w:hint="eastAsia" w:cs="Times New Roman"/>
                      <w:color w:val="auto"/>
                      <w:spacing w:val="-10"/>
                      <w:kern w:val="2"/>
                      <w:sz w:val="18"/>
                      <w:szCs w:val="18"/>
                      <w:highlight w:val="none"/>
                      <w:lang w:val="en-US" w:eastAsia="zh-CN" w:bidi="ar-SA"/>
                    </w:rPr>
                    <w:t>420</w:t>
                  </w:r>
                </w:p>
              </w:tc>
              <w:tc>
                <w:tcPr>
                  <w:tcW w:w="1226" w:type="dxa"/>
                  <w:tcBorders>
                    <w:tl2br w:val="nil"/>
                    <w:tr2bl w:val="nil"/>
                  </w:tcBorders>
                  <w:vAlign w:val="center"/>
                </w:tcPr>
                <w:p w14:paraId="32F7A8CB">
                  <w:pPr>
                    <w:snapToGrid w:val="0"/>
                    <w:spacing w:line="0" w:lineRule="atLeast"/>
                    <w:jc w:val="center"/>
                    <w:rPr>
                      <w:rFonts w:hint="default" w:cs="Times New Roman"/>
                      <w:color w:val="auto"/>
                      <w:spacing w:val="-10"/>
                      <w:sz w:val="18"/>
                      <w:szCs w:val="18"/>
                      <w:highlight w:val="none"/>
                      <w:lang w:val="en-US" w:eastAsia="zh-CN"/>
                    </w:rPr>
                  </w:pPr>
                  <w:r>
                    <w:rPr>
                      <w:rFonts w:hint="eastAsia" w:cs="Times New Roman"/>
                      <w:color w:val="auto"/>
                      <w:spacing w:val="-10"/>
                      <w:sz w:val="18"/>
                      <w:szCs w:val="18"/>
                      <w:highlight w:val="none"/>
                      <w:lang w:val="en-US" w:eastAsia="zh-CN"/>
                    </w:rPr>
                    <w:t>30m</w:t>
                  </w:r>
                  <w:r>
                    <w:rPr>
                      <w:rFonts w:hint="default" w:ascii="Times New Roman" w:hAnsi="Times New Roman" w:cs="Times New Roman"/>
                      <w:color w:val="auto"/>
                      <w:spacing w:val="-10"/>
                      <w:sz w:val="18"/>
                      <w:szCs w:val="18"/>
                      <w:highlight w:val="none"/>
                      <w:lang w:val="en-US" w:eastAsia="zh-CN"/>
                    </w:rPr>
                    <w:t>×</w:t>
                  </w:r>
                  <w:r>
                    <w:rPr>
                      <w:rFonts w:hint="eastAsia" w:cs="Times New Roman"/>
                      <w:color w:val="auto"/>
                      <w:spacing w:val="-10"/>
                      <w:sz w:val="18"/>
                      <w:szCs w:val="18"/>
                      <w:highlight w:val="none"/>
                      <w:lang w:val="en-US" w:eastAsia="zh-CN"/>
                    </w:rPr>
                    <w:t>14m</w:t>
                  </w:r>
                </w:p>
              </w:tc>
              <w:tc>
                <w:tcPr>
                  <w:tcW w:w="649" w:type="dxa"/>
                  <w:tcBorders>
                    <w:tl2br w:val="nil"/>
                    <w:tr2bl w:val="nil"/>
                  </w:tcBorders>
                  <w:vAlign w:val="center"/>
                </w:tcPr>
                <w:p w14:paraId="47BC1282">
                  <w:pPr>
                    <w:widowControl/>
                    <w:jc w:val="center"/>
                    <w:rPr>
                      <w:rFonts w:hint="default"/>
                      <w:color w:val="auto"/>
                      <w:spacing w:val="-10"/>
                      <w:sz w:val="18"/>
                      <w:szCs w:val="18"/>
                      <w:highlight w:val="none"/>
                      <w:lang w:val="en-US" w:eastAsia="zh-CN"/>
                    </w:rPr>
                  </w:pPr>
                  <w:r>
                    <w:rPr>
                      <w:rFonts w:hint="eastAsia"/>
                      <w:color w:val="auto"/>
                      <w:spacing w:val="-10"/>
                      <w:sz w:val="18"/>
                      <w:szCs w:val="18"/>
                      <w:highlight w:val="none"/>
                      <w:lang w:val="en-US" w:eastAsia="zh-CN"/>
                    </w:rPr>
                    <w:t>1</w:t>
                  </w:r>
                </w:p>
              </w:tc>
              <w:tc>
                <w:tcPr>
                  <w:tcW w:w="3457" w:type="dxa"/>
                  <w:tcBorders>
                    <w:tl2br w:val="nil"/>
                    <w:tr2bl w:val="nil"/>
                  </w:tcBorders>
                  <w:vAlign w:val="center"/>
                </w:tcPr>
                <w:p w14:paraId="05C1FBB0">
                  <w:pPr>
                    <w:widowControl/>
                    <w:jc w:val="center"/>
                    <w:rPr>
                      <w:rFonts w:hint="eastAsia"/>
                      <w:color w:val="auto"/>
                      <w:spacing w:val="-10"/>
                      <w:sz w:val="18"/>
                      <w:szCs w:val="18"/>
                      <w:highlight w:val="none"/>
                      <w:lang w:val="en-US" w:eastAsia="zh-CN"/>
                    </w:rPr>
                  </w:pPr>
                  <w:r>
                    <w:rPr>
                      <w:rFonts w:hint="eastAsia"/>
                      <w:color w:val="auto"/>
                      <w:spacing w:val="-10"/>
                      <w:sz w:val="18"/>
                      <w:szCs w:val="18"/>
                      <w:highlight w:val="none"/>
                      <w:lang w:val="en-US" w:eastAsia="zh-CN"/>
                    </w:rPr>
                    <w:t>位于1</w:t>
                  </w:r>
                  <w:r>
                    <w:rPr>
                      <w:rFonts w:hint="eastAsia"/>
                      <w:color w:val="auto"/>
                      <w:spacing w:val="-10"/>
                      <w:sz w:val="18"/>
                      <w:szCs w:val="18"/>
                      <w:highlight w:val="none"/>
                      <w:vertAlign w:val="superscript"/>
                      <w:lang w:val="en-US" w:eastAsia="zh-CN"/>
                    </w:rPr>
                    <w:t>#</w:t>
                  </w:r>
                  <w:r>
                    <w:rPr>
                      <w:rFonts w:hint="eastAsia"/>
                      <w:color w:val="auto"/>
                      <w:spacing w:val="-10"/>
                      <w:sz w:val="18"/>
                      <w:szCs w:val="18"/>
                      <w:highlight w:val="none"/>
                      <w:lang w:val="en-US" w:eastAsia="zh-CN"/>
                    </w:rPr>
                    <w:t>生产车间内，地面采用200mm厚防渗混凝土进行防渗</w:t>
                  </w:r>
                </w:p>
              </w:tc>
            </w:tr>
            <w:tr w14:paraId="573EE5D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83" w:hRule="atLeast"/>
                <w:jc w:val="center"/>
              </w:trPr>
              <w:tc>
                <w:tcPr>
                  <w:tcW w:w="436" w:type="dxa"/>
                  <w:tcBorders>
                    <w:tl2br w:val="nil"/>
                    <w:tr2bl w:val="nil"/>
                  </w:tcBorders>
                  <w:shd w:val="clear" w:color="auto" w:fill="auto"/>
                  <w:vAlign w:val="center"/>
                </w:tcPr>
                <w:p w14:paraId="2E04C9CA">
                  <w:pPr>
                    <w:jc w:val="center"/>
                    <w:rPr>
                      <w:rFonts w:hint="eastAsia" w:ascii="Times New Roman" w:hAnsi="Times New Roman" w:eastAsia="宋体" w:cs="Times New Roman"/>
                      <w:color w:val="auto"/>
                      <w:spacing w:val="-10"/>
                      <w:kern w:val="2"/>
                      <w:sz w:val="18"/>
                      <w:szCs w:val="18"/>
                      <w:highlight w:val="none"/>
                      <w:lang w:val="en-US" w:eastAsia="zh-CN" w:bidi="ar-SA"/>
                    </w:rPr>
                  </w:pPr>
                  <w:r>
                    <w:rPr>
                      <w:rFonts w:hint="eastAsia"/>
                      <w:color w:val="auto"/>
                      <w:spacing w:val="-10"/>
                      <w:sz w:val="18"/>
                      <w:szCs w:val="18"/>
                      <w:highlight w:val="none"/>
                      <w:lang w:val="en-US" w:eastAsia="zh-CN"/>
                    </w:rPr>
                    <w:t>1.12</w:t>
                  </w:r>
                </w:p>
              </w:tc>
              <w:tc>
                <w:tcPr>
                  <w:tcW w:w="1237" w:type="dxa"/>
                  <w:tcBorders>
                    <w:tl2br w:val="nil"/>
                    <w:tr2bl w:val="nil"/>
                  </w:tcBorders>
                  <w:shd w:val="clear" w:color="auto" w:fill="auto"/>
                  <w:vAlign w:val="center"/>
                </w:tcPr>
                <w:p w14:paraId="3E41D168">
                  <w:pPr>
                    <w:snapToGrid w:val="0"/>
                    <w:spacing w:line="0" w:lineRule="atLeast"/>
                    <w:jc w:val="center"/>
                    <w:rPr>
                      <w:rFonts w:hint="eastAsia"/>
                      <w:color w:val="auto"/>
                      <w:spacing w:val="-10"/>
                      <w:sz w:val="18"/>
                      <w:szCs w:val="18"/>
                      <w:highlight w:val="none"/>
                      <w:lang w:val="en-US" w:eastAsia="zh-CN"/>
                    </w:rPr>
                  </w:pPr>
                  <w:r>
                    <w:rPr>
                      <w:rFonts w:hint="eastAsia"/>
                      <w:color w:val="auto"/>
                      <w:spacing w:val="-10"/>
                      <w:sz w:val="18"/>
                      <w:szCs w:val="18"/>
                      <w:highlight w:val="none"/>
                      <w:lang w:val="en-US" w:eastAsia="zh-CN"/>
                    </w:rPr>
                    <w:t>棉絮、泡沫暂存区</w:t>
                  </w:r>
                </w:p>
              </w:tc>
              <w:tc>
                <w:tcPr>
                  <w:tcW w:w="1050" w:type="dxa"/>
                  <w:tcBorders>
                    <w:tl2br w:val="nil"/>
                    <w:tr2bl w:val="nil"/>
                  </w:tcBorders>
                  <w:vAlign w:val="center"/>
                </w:tcPr>
                <w:p w14:paraId="561DE9EC">
                  <w:pPr>
                    <w:snapToGrid w:val="0"/>
                    <w:spacing w:line="0" w:lineRule="atLeast"/>
                    <w:jc w:val="center"/>
                    <w:rPr>
                      <w:rFonts w:hint="default" w:cs="Times New Roman"/>
                      <w:color w:val="auto"/>
                      <w:spacing w:val="-10"/>
                      <w:kern w:val="2"/>
                      <w:sz w:val="18"/>
                      <w:szCs w:val="18"/>
                      <w:highlight w:val="none"/>
                      <w:lang w:val="en-US" w:eastAsia="zh-CN" w:bidi="ar-SA"/>
                    </w:rPr>
                  </w:pPr>
                  <w:r>
                    <w:rPr>
                      <w:rFonts w:hint="eastAsia" w:cs="Times New Roman"/>
                      <w:color w:val="auto"/>
                      <w:spacing w:val="-10"/>
                      <w:kern w:val="2"/>
                      <w:sz w:val="18"/>
                      <w:szCs w:val="18"/>
                      <w:highlight w:val="none"/>
                      <w:lang w:val="en-US" w:eastAsia="zh-CN" w:bidi="ar-SA"/>
                    </w:rPr>
                    <w:t>450</w:t>
                  </w:r>
                </w:p>
              </w:tc>
              <w:tc>
                <w:tcPr>
                  <w:tcW w:w="1226" w:type="dxa"/>
                  <w:tcBorders>
                    <w:tl2br w:val="nil"/>
                    <w:tr2bl w:val="nil"/>
                  </w:tcBorders>
                  <w:vAlign w:val="center"/>
                </w:tcPr>
                <w:p w14:paraId="04883B58">
                  <w:pPr>
                    <w:snapToGrid w:val="0"/>
                    <w:spacing w:line="0" w:lineRule="atLeast"/>
                    <w:jc w:val="center"/>
                    <w:rPr>
                      <w:rFonts w:hint="default" w:cs="Times New Roman"/>
                      <w:color w:val="auto"/>
                      <w:spacing w:val="-10"/>
                      <w:sz w:val="18"/>
                      <w:szCs w:val="18"/>
                      <w:highlight w:val="none"/>
                      <w:lang w:val="en-US" w:eastAsia="zh-CN"/>
                    </w:rPr>
                  </w:pPr>
                  <w:r>
                    <w:rPr>
                      <w:rFonts w:hint="eastAsia" w:cs="Times New Roman"/>
                      <w:color w:val="auto"/>
                      <w:spacing w:val="-10"/>
                      <w:sz w:val="18"/>
                      <w:szCs w:val="18"/>
                      <w:highlight w:val="none"/>
                      <w:lang w:val="en-US" w:eastAsia="zh-CN"/>
                    </w:rPr>
                    <w:t>30</w:t>
                  </w:r>
                  <w:r>
                    <w:rPr>
                      <w:rFonts w:hint="eastAsia" w:ascii="Times New Roman" w:hAnsi="Times New Roman" w:cs="Times New Roman"/>
                      <w:color w:val="auto"/>
                      <w:spacing w:val="-10"/>
                      <w:sz w:val="18"/>
                      <w:szCs w:val="18"/>
                      <w:highlight w:val="none"/>
                      <w:lang w:val="en-US" w:eastAsia="zh-CN"/>
                    </w:rPr>
                    <w:t>m</w:t>
                  </w:r>
                  <w:r>
                    <w:rPr>
                      <w:rFonts w:hint="default" w:ascii="Times New Roman" w:hAnsi="Times New Roman" w:cs="Times New Roman"/>
                      <w:color w:val="auto"/>
                      <w:spacing w:val="-10"/>
                      <w:sz w:val="18"/>
                      <w:szCs w:val="18"/>
                      <w:highlight w:val="none"/>
                      <w:lang w:val="en-US" w:eastAsia="zh-CN"/>
                    </w:rPr>
                    <w:t>×</w:t>
                  </w:r>
                  <w:r>
                    <w:rPr>
                      <w:rFonts w:hint="eastAsia" w:cs="Times New Roman"/>
                      <w:color w:val="auto"/>
                      <w:spacing w:val="-10"/>
                      <w:sz w:val="18"/>
                      <w:szCs w:val="18"/>
                      <w:highlight w:val="none"/>
                      <w:lang w:val="en-US" w:eastAsia="zh-CN"/>
                    </w:rPr>
                    <w:t>15</w:t>
                  </w:r>
                  <w:r>
                    <w:rPr>
                      <w:rFonts w:hint="eastAsia" w:ascii="Times New Roman" w:hAnsi="Times New Roman" w:cs="Times New Roman"/>
                      <w:color w:val="auto"/>
                      <w:spacing w:val="-10"/>
                      <w:sz w:val="18"/>
                      <w:szCs w:val="18"/>
                      <w:highlight w:val="none"/>
                      <w:lang w:val="en-US" w:eastAsia="zh-CN"/>
                    </w:rPr>
                    <w:t>m</w:t>
                  </w:r>
                </w:p>
              </w:tc>
              <w:tc>
                <w:tcPr>
                  <w:tcW w:w="649" w:type="dxa"/>
                  <w:tcBorders>
                    <w:tl2br w:val="nil"/>
                    <w:tr2bl w:val="nil"/>
                  </w:tcBorders>
                  <w:vAlign w:val="center"/>
                </w:tcPr>
                <w:p w14:paraId="27B2F970">
                  <w:pPr>
                    <w:widowControl/>
                    <w:jc w:val="center"/>
                    <w:rPr>
                      <w:rFonts w:hint="default"/>
                      <w:color w:val="auto"/>
                      <w:spacing w:val="-10"/>
                      <w:sz w:val="18"/>
                      <w:szCs w:val="18"/>
                      <w:highlight w:val="none"/>
                      <w:lang w:val="en-US" w:eastAsia="zh-CN"/>
                    </w:rPr>
                  </w:pPr>
                  <w:r>
                    <w:rPr>
                      <w:rFonts w:hint="eastAsia"/>
                      <w:color w:val="auto"/>
                      <w:spacing w:val="-10"/>
                      <w:sz w:val="18"/>
                      <w:szCs w:val="18"/>
                      <w:highlight w:val="none"/>
                      <w:lang w:val="en-US" w:eastAsia="zh-CN"/>
                    </w:rPr>
                    <w:t>1</w:t>
                  </w:r>
                </w:p>
              </w:tc>
              <w:tc>
                <w:tcPr>
                  <w:tcW w:w="3457" w:type="dxa"/>
                  <w:tcBorders>
                    <w:tl2br w:val="nil"/>
                    <w:tr2bl w:val="nil"/>
                  </w:tcBorders>
                  <w:vAlign w:val="center"/>
                </w:tcPr>
                <w:p w14:paraId="06CA8029">
                  <w:pPr>
                    <w:widowControl/>
                    <w:jc w:val="center"/>
                    <w:rPr>
                      <w:rFonts w:hint="eastAsia"/>
                      <w:color w:val="auto"/>
                      <w:spacing w:val="-10"/>
                      <w:sz w:val="18"/>
                      <w:szCs w:val="18"/>
                      <w:highlight w:val="none"/>
                      <w:lang w:val="en-US" w:eastAsia="zh-CN"/>
                    </w:rPr>
                  </w:pPr>
                  <w:r>
                    <w:rPr>
                      <w:rFonts w:hint="eastAsia"/>
                      <w:color w:val="auto"/>
                      <w:spacing w:val="-10"/>
                      <w:sz w:val="18"/>
                      <w:szCs w:val="18"/>
                      <w:highlight w:val="none"/>
                      <w:lang w:val="en-US" w:eastAsia="zh-CN"/>
                    </w:rPr>
                    <w:t>位于1</w:t>
                  </w:r>
                  <w:r>
                    <w:rPr>
                      <w:rFonts w:hint="eastAsia"/>
                      <w:color w:val="auto"/>
                      <w:spacing w:val="-10"/>
                      <w:sz w:val="18"/>
                      <w:szCs w:val="18"/>
                      <w:highlight w:val="none"/>
                      <w:vertAlign w:val="superscript"/>
                      <w:lang w:val="en-US" w:eastAsia="zh-CN"/>
                    </w:rPr>
                    <w:t>#</w:t>
                  </w:r>
                  <w:r>
                    <w:rPr>
                      <w:rFonts w:hint="eastAsia"/>
                      <w:color w:val="auto"/>
                      <w:spacing w:val="-10"/>
                      <w:sz w:val="18"/>
                      <w:szCs w:val="18"/>
                      <w:highlight w:val="none"/>
                      <w:lang w:val="en-US" w:eastAsia="zh-CN"/>
                    </w:rPr>
                    <w:t>生产车间内，地面采用200mm厚防渗混凝土进行防渗</w:t>
                  </w:r>
                </w:p>
              </w:tc>
            </w:tr>
            <w:tr w14:paraId="1815CF9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83" w:hRule="atLeast"/>
                <w:jc w:val="center"/>
              </w:trPr>
              <w:tc>
                <w:tcPr>
                  <w:tcW w:w="436" w:type="dxa"/>
                  <w:tcBorders>
                    <w:tl2br w:val="nil"/>
                    <w:tr2bl w:val="nil"/>
                  </w:tcBorders>
                  <w:shd w:val="clear" w:color="auto" w:fill="auto"/>
                  <w:vAlign w:val="center"/>
                </w:tcPr>
                <w:p w14:paraId="3BE322A7">
                  <w:pPr>
                    <w:jc w:val="center"/>
                    <w:rPr>
                      <w:rFonts w:hint="default" w:ascii="Times New Roman" w:hAnsi="Times New Roman" w:eastAsia="宋体" w:cs="Times New Roman"/>
                      <w:color w:val="auto"/>
                      <w:spacing w:val="-10"/>
                      <w:kern w:val="2"/>
                      <w:sz w:val="18"/>
                      <w:szCs w:val="18"/>
                      <w:highlight w:val="none"/>
                      <w:lang w:val="en-US" w:eastAsia="zh-CN" w:bidi="ar-SA"/>
                    </w:rPr>
                  </w:pPr>
                  <w:r>
                    <w:rPr>
                      <w:rFonts w:hint="eastAsia"/>
                      <w:color w:val="auto"/>
                      <w:spacing w:val="-10"/>
                      <w:sz w:val="18"/>
                      <w:szCs w:val="18"/>
                      <w:highlight w:val="none"/>
                      <w:lang w:val="en-US" w:eastAsia="zh-CN"/>
                    </w:rPr>
                    <w:t>1.13</w:t>
                  </w:r>
                </w:p>
              </w:tc>
              <w:tc>
                <w:tcPr>
                  <w:tcW w:w="1237" w:type="dxa"/>
                  <w:tcBorders>
                    <w:tl2br w:val="nil"/>
                    <w:tr2bl w:val="nil"/>
                  </w:tcBorders>
                  <w:shd w:val="clear" w:color="auto" w:fill="auto"/>
                  <w:vAlign w:val="center"/>
                </w:tcPr>
                <w:p w14:paraId="6C8876D7">
                  <w:pPr>
                    <w:snapToGrid w:val="0"/>
                    <w:spacing w:line="0" w:lineRule="atLeast"/>
                    <w:jc w:val="center"/>
                    <w:rPr>
                      <w:rFonts w:hint="eastAsia"/>
                      <w:color w:val="auto"/>
                      <w:spacing w:val="-10"/>
                      <w:sz w:val="18"/>
                      <w:szCs w:val="18"/>
                      <w:highlight w:val="none"/>
                      <w:lang w:val="en-US" w:eastAsia="zh-CN"/>
                    </w:rPr>
                  </w:pPr>
                  <w:r>
                    <w:rPr>
                      <w:rFonts w:hint="eastAsia"/>
                      <w:color w:val="auto"/>
                      <w:spacing w:val="-10"/>
                      <w:sz w:val="18"/>
                      <w:szCs w:val="18"/>
                      <w:highlight w:val="none"/>
                      <w:lang w:val="en-US" w:eastAsia="zh-CN"/>
                    </w:rPr>
                    <w:t>不锈钢暂存区</w:t>
                  </w:r>
                </w:p>
              </w:tc>
              <w:tc>
                <w:tcPr>
                  <w:tcW w:w="1050" w:type="dxa"/>
                  <w:tcBorders>
                    <w:tl2br w:val="nil"/>
                    <w:tr2bl w:val="nil"/>
                  </w:tcBorders>
                  <w:vAlign w:val="center"/>
                </w:tcPr>
                <w:p w14:paraId="6CD0D64A">
                  <w:pPr>
                    <w:snapToGrid w:val="0"/>
                    <w:spacing w:line="0" w:lineRule="atLeast"/>
                    <w:jc w:val="center"/>
                    <w:rPr>
                      <w:rFonts w:hint="default" w:ascii="Times New Roman" w:hAnsi="Times New Roman" w:eastAsia="宋体" w:cs="Times New Roman"/>
                      <w:color w:val="auto"/>
                      <w:spacing w:val="-10"/>
                      <w:kern w:val="2"/>
                      <w:sz w:val="18"/>
                      <w:szCs w:val="18"/>
                      <w:highlight w:val="none"/>
                      <w:lang w:val="en-US" w:eastAsia="zh-CN" w:bidi="ar-SA"/>
                    </w:rPr>
                  </w:pPr>
                  <w:r>
                    <w:rPr>
                      <w:rFonts w:hint="eastAsia" w:cs="Times New Roman"/>
                      <w:color w:val="auto"/>
                      <w:spacing w:val="-10"/>
                      <w:kern w:val="2"/>
                      <w:sz w:val="18"/>
                      <w:szCs w:val="18"/>
                      <w:highlight w:val="none"/>
                      <w:lang w:val="en-US" w:eastAsia="zh-CN" w:bidi="ar-SA"/>
                    </w:rPr>
                    <w:t>20</w:t>
                  </w:r>
                </w:p>
              </w:tc>
              <w:tc>
                <w:tcPr>
                  <w:tcW w:w="1226" w:type="dxa"/>
                  <w:tcBorders>
                    <w:tl2br w:val="nil"/>
                    <w:tr2bl w:val="nil"/>
                  </w:tcBorders>
                  <w:vAlign w:val="center"/>
                </w:tcPr>
                <w:p w14:paraId="1F0028CA">
                  <w:pPr>
                    <w:snapToGrid w:val="0"/>
                    <w:spacing w:line="0" w:lineRule="atLeast"/>
                    <w:jc w:val="center"/>
                    <w:rPr>
                      <w:rFonts w:hint="eastAsia" w:ascii="Times New Roman" w:hAnsi="Times New Roman" w:eastAsia="宋体" w:cs="Times New Roman"/>
                      <w:color w:val="auto"/>
                      <w:spacing w:val="-10"/>
                      <w:kern w:val="2"/>
                      <w:sz w:val="18"/>
                      <w:szCs w:val="18"/>
                      <w:highlight w:val="none"/>
                      <w:lang w:val="en-US" w:eastAsia="zh-CN" w:bidi="ar-SA"/>
                    </w:rPr>
                  </w:pPr>
                  <w:r>
                    <w:rPr>
                      <w:rFonts w:hint="eastAsia" w:cs="Times New Roman"/>
                      <w:color w:val="auto"/>
                      <w:spacing w:val="-10"/>
                      <w:sz w:val="18"/>
                      <w:szCs w:val="18"/>
                      <w:highlight w:val="none"/>
                      <w:lang w:val="en-US" w:eastAsia="zh-CN"/>
                    </w:rPr>
                    <w:t>5</w:t>
                  </w:r>
                  <w:r>
                    <w:rPr>
                      <w:rFonts w:hint="eastAsia" w:ascii="Times New Roman" w:hAnsi="Times New Roman" w:cs="Times New Roman"/>
                      <w:color w:val="auto"/>
                      <w:spacing w:val="-10"/>
                      <w:sz w:val="18"/>
                      <w:szCs w:val="18"/>
                      <w:highlight w:val="none"/>
                      <w:lang w:val="en-US" w:eastAsia="zh-CN"/>
                    </w:rPr>
                    <w:t>m</w:t>
                  </w:r>
                  <w:r>
                    <w:rPr>
                      <w:rFonts w:hint="default" w:ascii="Times New Roman" w:hAnsi="Times New Roman" w:cs="Times New Roman"/>
                      <w:color w:val="auto"/>
                      <w:spacing w:val="-10"/>
                      <w:sz w:val="18"/>
                      <w:szCs w:val="18"/>
                      <w:highlight w:val="none"/>
                      <w:lang w:val="en-US" w:eastAsia="zh-CN"/>
                    </w:rPr>
                    <w:t>×</w:t>
                  </w:r>
                  <w:r>
                    <w:rPr>
                      <w:rFonts w:hint="eastAsia" w:cs="Times New Roman"/>
                      <w:color w:val="auto"/>
                      <w:spacing w:val="-10"/>
                      <w:sz w:val="18"/>
                      <w:szCs w:val="18"/>
                      <w:highlight w:val="none"/>
                      <w:lang w:val="en-US" w:eastAsia="zh-CN"/>
                    </w:rPr>
                    <w:t>4</w:t>
                  </w:r>
                  <w:r>
                    <w:rPr>
                      <w:rFonts w:hint="eastAsia" w:ascii="Times New Roman" w:hAnsi="Times New Roman" w:cs="Times New Roman"/>
                      <w:color w:val="auto"/>
                      <w:spacing w:val="-10"/>
                      <w:sz w:val="18"/>
                      <w:szCs w:val="18"/>
                      <w:highlight w:val="none"/>
                      <w:lang w:val="en-US" w:eastAsia="zh-CN"/>
                    </w:rPr>
                    <w:t>m</w:t>
                  </w:r>
                </w:p>
              </w:tc>
              <w:tc>
                <w:tcPr>
                  <w:tcW w:w="649" w:type="dxa"/>
                  <w:tcBorders>
                    <w:tl2br w:val="nil"/>
                    <w:tr2bl w:val="nil"/>
                  </w:tcBorders>
                  <w:vAlign w:val="center"/>
                </w:tcPr>
                <w:p w14:paraId="6591B033">
                  <w:pPr>
                    <w:widowControl/>
                    <w:jc w:val="center"/>
                    <w:rPr>
                      <w:rFonts w:hint="default" w:eastAsia="宋体"/>
                      <w:color w:val="auto"/>
                      <w:spacing w:val="-10"/>
                      <w:sz w:val="18"/>
                      <w:szCs w:val="18"/>
                      <w:highlight w:val="none"/>
                      <w:lang w:val="en-US" w:eastAsia="zh-CN"/>
                    </w:rPr>
                  </w:pPr>
                  <w:r>
                    <w:rPr>
                      <w:rFonts w:hint="eastAsia"/>
                      <w:color w:val="auto"/>
                      <w:spacing w:val="-10"/>
                      <w:sz w:val="18"/>
                      <w:szCs w:val="18"/>
                      <w:highlight w:val="none"/>
                      <w:lang w:val="en-US" w:eastAsia="zh-CN"/>
                    </w:rPr>
                    <w:t>1</w:t>
                  </w:r>
                </w:p>
              </w:tc>
              <w:tc>
                <w:tcPr>
                  <w:tcW w:w="3457" w:type="dxa"/>
                  <w:tcBorders>
                    <w:tl2br w:val="nil"/>
                    <w:tr2bl w:val="nil"/>
                  </w:tcBorders>
                  <w:vAlign w:val="center"/>
                </w:tcPr>
                <w:p w14:paraId="49CCFD68">
                  <w:pPr>
                    <w:widowControl/>
                    <w:jc w:val="center"/>
                    <w:rPr>
                      <w:rFonts w:hint="eastAsia" w:ascii="Times New Roman" w:hAnsi="Times New Roman" w:cs="Times New Roman"/>
                      <w:color w:val="auto"/>
                      <w:spacing w:val="-10"/>
                      <w:sz w:val="18"/>
                      <w:szCs w:val="18"/>
                      <w:highlight w:val="none"/>
                      <w:lang w:val="en-US" w:eastAsia="zh-CN"/>
                    </w:rPr>
                  </w:pPr>
                  <w:r>
                    <w:rPr>
                      <w:rFonts w:hint="eastAsia"/>
                      <w:color w:val="auto"/>
                      <w:spacing w:val="-10"/>
                      <w:sz w:val="18"/>
                      <w:szCs w:val="18"/>
                      <w:highlight w:val="none"/>
                      <w:lang w:val="en-US" w:eastAsia="zh-CN"/>
                    </w:rPr>
                    <w:t>位于1</w:t>
                  </w:r>
                  <w:r>
                    <w:rPr>
                      <w:rFonts w:hint="eastAsia"/>
                      <w:color w:val="auto"/>
                      <w:spacing w:val="-10"/>
                      <w:sz w:val="18"/>
                      <w:szCs w:val="18"/>
                      <w:highlight w:val="none"/>
                      <w:vertAlign w:val="superscript"/>
                      <w:lang w:val="en-US" w:eastAsia="zh-CN"/>
                    </w:rPr>
                    <w:t>#</w:t>
                  </w:r>
                  <w:r>
                    <w:rPr>
                      <w:rFonts w:hint="eastAsia"/>
                      <w:color w:val="auto"/>
                      <w:spacing w:val="-10"/>
                      <w:sz w:val="18"/>
                      <w:szCs w:val="18"/>
                      <w:highlight w:val="none"/>
                      <w:lang w:val="en-US" w:eastAsia="zh-CN"/>
                    </w:rPr>
                    <w:t>生产车间内，地面采用200mm厚防渗混凝土进行防渗</w:t>
                  </w:r>
                </w:p>
              </w:tc>
            </w:tr>
            <w:tr w14:paraId="32BD205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436" w:type="dxa"/>
                  <w:tcBorders>
                    <w:tl2br w:val="nil"/>
                    <w:tr2bl w:val="nil"/>
                  </w:tcBorders>
                  <w:shd w:val="clear" w:color="auto" w:fill="auto"/>
                  <w:vAlign w:val="center"/>
                </w:tcPr>
                <w:p w14:paraId="6B90D685">
                  <w:pPr>
                    <w:jc w:val="center"/>
                    <w:rPr>
                      <w:rFonts w:hint="default" w:ascii="Times New Roman" w:hAnsi="Times New Roman" w:eastAsia="宋体" w:cs="Times New Roman"/>
                      <w:color w:val="auto"/>
                      <w:spacing w:val="-10"/>
                      <w:kern w:val="2"/>
                      <w:sz w:val="18"/>
                      <w:szCs w:val="18"/>
                      <w:highlight w:val="none"/>
                      <w:lang w:val="en-US" w:eastAsia="zh-CN" w:bidi="ar-SA"/>
                    </w:rPr>
                  </w:pPr>
                  <w:r>
                    <w:rPr>
                      <w:rFonts w:hint="eastAsia"/>
                      <w:color w:val="auto"/>
                      <w:spacing w:val="-10"/>
                      <w:sz w:val="18"/>
                      <w:szCs w:val="18"/>
                      <w:highlight w:val="none"/>
                      <w:lang w:val="en-US" w:eastAsia="zh-CN"/>
                    </w:rPr>
                    <w:t>1.14</w:t>
                  </w:r>
                </w:p>
              </w:tc>
              <w:tc>
                <w:tcPr>
                  <w:tcW w:w="1237" w:type="dxa"/>
                  <w:tcBorders>
                    <w:tl2br w:val="nil"/>
                    <w:tr2bl w:val="nil"/>
                  </w:tcBorders>
                  <w:shd w:val="clear" w:color="auto" w:fill="auto"/>
                  <w:vAlign w:val="center"/>
                </w:tcPr>
                <w:p w14:paraId="73C738E6">
                  <w:pPr>
                    <w:snapToGrid w:val="0"/>
                    <w:spacing w:line="0" w:lineRule="atLeast"/>
                    <w:jc w:val="center"/>
                    <w:rPr>
                      <w:rFonts w:hint="eastAsia"/>
                      <w:color w:val="auto"/>
                      <w:spacing w:val="-10"/>
                      <w:sz w:val="18"/>
                      <w:szCs w:val="18"/>
                      <w:highlight w:val="none"/>
                      <w:lang w:val="en-US" w:eastAsia="zh-CN"/>
                    </w:rPr>
                  </w:pPr>
                  <w:r>
                    <w:rPr>
                      <w:rFonts w:hint="eastAsia"/>
                      <w:color w:val="auto"/>
                      <w:spacing w:val="-10"/>
                      <w:sz w:val="18"/>
                      <w:szCs w:val="18"/>
                      <w:highlight w:val="none"/>
                      <w:lang w:val="en-US" w:eastAsia="zh-CN"/>
                    </w:rPr>
                    <w:t>有色金属混合料暂存区</w:t>
                  </w:r>
                </w:p>
              </w:tc>
              <w:tc>
                <w:tcPr>
                  <w:tcW w:w="1050" w:type="dxa"/>
                  <w:tcBorders>
                    <w:tl2br w:val="nil"/>
                    <w:tr2bl w:val="nil"/>
                  </w:tcBorders>
                  <w:vAlign w:val="center"/>
                </w:tcPr>
                <w:p w14:paraId="1611BE42">
                  <w:pPr>
                    <w:snapToGrid w:val="0"/>
                    <w:spacing w:line="0" w:lineRule="atLeast"/>
                    <w:jc w:val="center"/>
                    <w:rPr>
                      <w:rFonts w:hint="default" w:ascii="Times New Roman" w:hAnsi="Times New Roman" w:eastAsia="宋体" w:cs="Times New Roman"/>
                      <w:color w:val="auto"/>
                      <w:spacing w:val="-10"/>
                      <w:kern w:val="2"/>
                      <w:sz w:val="18"/>
                      <w:szCs w:val="18"/>
                      <w:highlight w:val="none"/>
                      <w:lang w:val="en-US" w:eastAsia="zh-CN" w:bidi="ar-SA"/>
                    </w:rPr>
                  </w:pPr>
                  <w:r>
                    <w:rPr>
                      <w:rFonts w:hint="eastAsia" w:cs="Times New Roman"/>
                      <w:color w:val="auto"/>
                      <w:spacing w:val="-10"/>
                      <w:kern w:val="2"/>
                      <w:sz w:val="18"/>
                      <w:szCs w:val="18"/>
                      <w:highlight w:val="none"/>
                      <w:lang w:val="en-US" w:eastAsia="zh-CN" w:bidi="ar-SA"/>
                    </w:rPr>
                    <w:t>20</w:t>
                  </w:r>
                </w:p>
              </w:tc>
              <w:tc>
                <w:tcPr>
                  <w:tcW w:w="1226" w:type="dxa"/>
                  <w:tcBorders>
                    <w:tl2br w:val="nil"/>
                    <w:tr2bl w:val="nil"/>
                  </w:tcBorders>
                  <w:vAlign w:val="center"/>
                </w:tcPr>
                <w:p w14:paraId="066A13D7">
                  <w:pPr>
                    <w:snapToGrid w:val="0"/>
                    <w:spacing w:line="0" w:lineRule="atLeast"/>
                    <w:jc w:val="center"/>
                    <w:rPr>
                      <w:rFonts w:hint="eastAsia" w:ascii="Times New Roman" w:hAnsi="Times New Roman" w:eastAsia="宋体" w:cs="Times New Roman"/>
                      <w:color w:val="auto"/>
                      <w:spacing w:val="-10"/>
                      <w:kern w:val="2"/>
                      <w:sz w:val="18"/>
                      <w:szCs w:val="18"/>
                      <w:highlight w:val="none"/>
                      <w:lang w:val="en-US" w:eastAsia="zh-CN" w:bidi="ar-SA"/>
                    </w:rPr>
                  </w:pPr>
                  <w:r>
                    <w:rPr>
                      <w:rFonts w:hint="eastAsia" w:cs="Times New Roman"/>
                      <w:color w:val="auto"/>
                      <w:spacing w:val="-10"/>
                      <w:kern w:val="2"/>
                      <w:sz w:val="18"/>
                      <w:szCs w:val="18"/>
                      <w:highlight w:val="none"/>
                      <w:lang w:val="en-US" w:eastAsia="zh-CN" w:bidi="ar-SA"/>
                    </w:rPr>
                    <w:t>5</w:t>
                  </w:r>
                  <w:r>
                    <w:rPr>
                      <w:rFonts w:hint="eastAsia" w:ascii="Times New Roman" w:hAnsi="Times New Roman" w:cs="Times New Roman"/>
                      <w:color w:val="auto"/>
                      <w:spacing w:val="-10"/>
                      <w:sz w:val="18"/>
                      <w:szCs w:val="18"/>
                      <w:highlight w:val="none"/>
                      <w:lang w:val="en-US" w:eastAsia="zh-CN"/>
                    </w:rPr>
                    <w:t>m</w:t>
                  </w:r>
                  <w:r>
                    <w:rPr>
                      <w:rFonts w:hint="default" w:ascii="Times New Roman" w:hAnsi="Times New Roman" w:cs="Times New Roman"/>
                      <w:color w:val="auto"/>
                      <w:spacing w:val="-10"/>
                      <w:sz w:val="18"/>
                      <w:szCs w:val="18"/>
                      <w:highlight w:val="none"/>
                      <w:lang w:val="en-US" w:eastAsia="zh-CN"/>
                    </w:rPr>
                    <w:t>×</w:t>
                  </w:r>
                  <w:r>
                    <w:rPr>
                      <w:rFonts w:hint="eastAsia" w:cs="Times New Roman"/>
                      <w:color w:val="auto"/>
                      <w:spacing w:val="-10"/>
                      <w:sz w:val="18"/>
                      <w:szCs w:val="18"/>
                      <w:highlight w:val="none"/>
                      <w:lang w:val="en-US" w:eastAsia="zh-CN"/>
                    </w:rPr>
                    <w:t>4</w:t>
                  </w:r>
                  <w:r>
                    <w:rPr>
                      <w:rFonts w:hint="eastAsia" w:ascii="Times New Roman" w:hAnsi="Times New Roman" w:cs="Times New Roman"/>
                      <w:color w:val="auto"/>
                      <w:spacing w:val="-10"/>
                      <w:sz w:val="18"/>
                      <w:szCs w:val="18"/>
                      <w:highlight w:val="none"/>
                      <w:lang w:val="en-US" w:eastAsia="zh-CN"/>
                    </w:rPr>
                    <w:t>m</w:t>
                  </w:r>
                </w:p>
              </w:tc>
              <w:tc>
                <w:tcPr>
                  <w:tcW w:w="649" w:type="dxa"/>
                  <w:tcBorders>
                    <w:tl2br w:val="nil"/>
                    <w:tr2bl w:val="nil"/>
                  </w:tcBorders>
                  <w:vAlign w:val="center"/>
                </w:tcPr>
                <w:p w14:paraId="5FAF1F9E">
                  <w:pPr>
                    <w:widowControl/>
                    <w:jc w:val="center"/>
                    <w:rPr>
                      <w:rFonts w:hint="default" w:eastAsia="宋体"/>
                      <w:color w:val="auto"/>
                      <w:spacing w:val="-10"/>
                      <w:sz w:val="18"/>
                      <w:szCs w:val="18"/>
                      <w:highlight w:val="none"/>
                      <w:lang w:val="en-US" w:eastAsia="zh-CN"/>
                    </w:rPr>
                  </w:pPr>
                  <w:r>
                    <w:rPr>
                      <w:rFonts w:hint="eastAsia"/>
                      <w:color w:val="auto"/>
                      <w:spacing w:val="-10"/>
                      <w:sz w:val="18"/>
                      <w:szCs w:val="18"/>
                      <w:highlight w:val="none"/>
                      <w:lang w:val="en-US" w:eastAsia="zh-CN"/>
                    </w:rPr>
                    <w:t>1</w:t>
                  </w:r>
                </w:p>
              </w:tc>
              <w:tc>
                <w:tcPr>
                  <w:tcW w:w="3457" w:type="dxa"/>
                  <w:tcBorders>
                    <w:tl2br w:val="nil"/>
                    <w:tr2bl w:val="nil"/>
                  </w:tcBorders>
                  <w:vAlign w:val="center"/>
                </w:tcPr>
                <w:p w14:paraId="04EFA801">
                  <w:pPr>
                    <w:widowControl/>
                    <w:jc w:val="center"/>
                    <w:rPr>
                      <w:rFonts w:hint="eastAsia" w:ascii="Times New Roman" w:hAnsi="Times New Roman" w:cs="Times New Roman"/>
                      <w:color w:val="auto"/>
                      <w:spacing w:val="-10"/>
                      <w:sz w:val="18"/>
                      <w:szCs w:val="18"/>
                      <w:highlight w:val="none"/>
                      <w:lang w:val="en-US" w:eastAsia="zh-CN"/>
                    </w:rPr>
                  </w:pPr>
                  <w:r>
                    <w:rPr>
                      <w:rFonts w:hint="eastAsia"/>
                      <w:color w:val="auto"/>
                      <w:spacing w:val="-10"/>
                      <w:sz w:val="18"/>
                      <w:szCs w:val="18"/>
                      <w:highlight w:val="none"/>
                      <w:lang w:val="en-US" w:eastAsia="zh-CN"/>
                    </w:rPr>
                    <w:t>位于1</w:t>
                  </w:r>
                  <w:r>
                    <w:rPr>
                      <w:rFonts w:hint="eastAsia"/>
                      <w:color w:val="auto"/>
                      <w:spacing w:val="-10"/>
                      <w:sz w:val="18"/>
                      <w:szCs w:val="18"/>
                      <w:highlight w:val="none"/>
                      <w:vertAlign w:val="superscript"/>
                      <w:lang w:val="en-US" w:eastAsia="zh-CN"/>
                    </w:rPr>
                    <w:t>#</w:t>
                  </w:r>
                  <w:r>
                    <w:rPr>
                      <w:rFonts w:hint="eastAsia"/>
                      <w:color w:val="auto"/>
                      <w:spacing w:val="-10"/>
                      <w:sz w:val="18"/>
                      <w:szCs w:val="18"/>
                      <w:highlight w:val="none"/>
                      <w:lang w:val="en-US" w:eastAsia="zh-CN"/>
                    </w:rPr>
                    <w:t>生产车间内，地面采用200mm厚防渗混凝土进行防渗</w:t>
                  </w:r>
                </w:p>
              </w:tc>
            </w:tr>
            <w:tr w14:paraId="2DED13D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83" w:hRule="atLeast"/>
                <w:jc w:val="center"/>
              </w:trPr>
              <w:tc>
                <w:tcPr>
                  <w:tcW w:w="436" w:type="dxa"/>
                  <w:tcBorders>
                    <w:tl2br w:val="nil"/>
                    <w:tr2bl w:val="nil"/>
                  </w:tcBorders>
                  <w:shd w:val="clear" w:color="auto" w:fill="auto"/>
                  <w:vAlign w:val="center"/>
                </w:tcPr>
                <w:p w14:paraId="691C8698">
                  <w:pPr>
                    <w:jc w:val="center"/>
                    <w:rPr>
                      <w:rFonts w:hint="default" w:ascii="Times New Roman" w:hAnsi="Times New Roman" w:eastAsia="宋体" w:cs="Times New Roman"/>
                      <w:color w:val="auto"/>
                      <w:spacing w:val="-10"/>
                      <w:kern w:val="2"/>
                      <w:sz w:val="18"/>
                      <w:szCs w:val="18"/>
                      <w:highlight w:val="none"/>
                      <w:lang w:val="en-US" w:eastAsia="zh-CN" w:bidi="ar-SA"/>
                    </w:rPr>
                  </w:pPr>
                  <w:r>
                    <w:rPr>
                      <w:rFonts w:hint="eastAsia"/>
                      <w:color w:val="auto"/>
                      <w:spacing w:val="-10"/>
                      <w:sz w:val="18"/>
                      <w:szCs w:val="18"/>
                      <w:highlight w:val="none"/>
                      <w:lang w:val="en-US" w:eastAsia="zh-CN"/>
                    </w:rPr>
                    <w:t>1.15</w:t>
                  </w:r>
                </w:p>
              </w:tc>
              <w:tc>
                <w:tcPr>
                  <w:tcW w:w="1237" w:type="dxa"/>
                  <w:tcBorders>
                    <w:tl2br w:val="nil"/>
                    <w:tr2bl w:val="nil"/>
                  </w:tcBorders>
                  <w:shd w:val="clear" w:color="auto" w:fill="auto"/>
                  <w:vAlign w:val="center"/>
                </w:tcPr>
                <w:p w14:paraId="6E022C1E">
                  <w:pPr>
                    <w:snapToGrid w:val="0"/>
                    <w:spacing w:line="0" w:lineRule="atLeast"/>
                    <w:jc w:val="center"/>
                    <w:rPr>
                      <w:rFonts w:hint="eastAsia"/>
                      <w:color w:val="auto"/>
                      <w:spacing w:val="-10"/>
                      <w:sz w:val="18"/>
                      <w:szCs w:val="18"/>
                      <w:highlight w:val="none"/>
                      <w:lang w:val="en-US" w:eastAsia="zh-CN"/>
                    </w:rPr>
                  </w:pPr>
                  <w:r>
                    <w:rPr>
                      <w:rFonts w:hint="eastAsia"/>
                      <w:color w:val="auto"/>
                      <w:spacing w:val="-10"/>
                      <w:sz w:val="18"/>
                      <w:szCs w:val="18"/>
                      <w:highlight w:val="none"/>
                      <w:lang w:val="en-US" w:eastAsia="zh-CN"/>
                    </w:rPr>
                    <w:t>塑料暂存区</w:t>
                  </w:r>
                </w:p>
              </w:tc>
              <w:tc>
                <w:tcPr>
                  <w:tcW w:w="1050" w:type="dxa"/>
                  <w:tcBorders>
                    <w:tl2br w:val="nil"/>
                    <w:tr2bl w:val="nil"/>
                  </w:tcBorders>
                  <w:vAlign w:val="center"/>
                </w:tcPr>
                <w:p w14:paraId="40884E14">
                  <w:pPr>
                    <w:snapToGrid w:val="0"/>
                    <w:spacing w:line="0" w:lineRule="atLeast"/>
                    <w:jc w:val="center"/>
                    <w:rPr>
                      <w:rFonts w:hint="default" w:ascii="Times New Roman" w:hAnsi="Times New Roman" w:eastAsia="宋体" w:cs="Times New Roman"/>
                      <w:color w:val="auto"/>
                      <w:spacing w:val="-10"/>
                      <w:kern w:val="2"/>
                      <w:sz w:val="18"/>
                      <w:szCs w:val="18"/>
                      <w:highlight w:val="none"/>
                      <w:lang w:val="en-US" w:eastAsia="zh-CN" w:bidi="ar-SA"/>
                    </w:rPr>
                  </w:pPr>
                  <w:r>
                    <w:rPr>
                      <w:rFonts w:hint="eastAsia" w:cs="Times New Roman"/>
                      <w:color w:val="auto"/>
                      <w:spacing w:val="-10"/>
                      <w:kern w:val="2"/>
                      <w:sz w:val="18"/>
                      <w:szCs w:val="18"/>
                      <w:highlight w:val="none"/>
                      <w:lang w:val="en-US" w:eastAsia="zh-CN" w:bidi="ar-SA"/>
                    </w:rPr>
                    <w:t>200</w:t>
                  </w:r>
                </w:p>
              </w:tc>
              <w:tc>
                <w:tcPr>
                  <w:tcW w:w="1226" w:type="dxa"/>
                  <w:tcBorders>
                    <w:tl2br w:val="nil"/>
                    <w:tr2bl w:val="nil"/>
                  </w:tcBorders>
                  <w:vAlign w:val="center"/>
                </w:tcPr>
                <w:p w14:paraId="6EAE34BD">
                  <w:pPr>
                    <w:snapToGrid w:val="0"/>
                    <w:spacing w:line="0" w:lineRule="atLeast"/>
                    <w:jc w:val="center"/>
                    <w:rPr>
                      <w:rFonts w:hint="eastAsia" w:ascii="Times New Roman" w:hAnsi="Times New Roman" w:eastAsia="宋体" w:cs="Times New Roman"/>
                      <w:color w:val="auto"/>
                      <w:spacing w:val="-10"/>
                      <w:kern w:val="2"/>
                      <w:sz w:val="18"/>
                      <w:szCs w:val="18"/>
                      <w:highlight w:val="none"/>
                      <w:lang w:val="en-US" w:eastAsia="zh-CN" w:bidi="ar-SA"/>
                    </w:rPr>
                  </w:pPr>
                  <w:r>
                    <w:rPr>
                      <w:rFonts w:hint="eastAsia" w:cs="Times New Roman"/>
                      <w:color w:val="auto"/>
                      <w:spacing w:val="-10"/>
                      <w:sz w:val="18"/>
                      <w:szCs w:val="18"/>
                      <w:highlight w:val="none"/>
                      <w:lang w:val="en-US" w:eastAsia="zh-CN"/>
                    </w:rPr>
                    <w:t>10</w:t>
                  </w:r>
                  <w:r>
                    <w:rPr>
                      <w:rFonts w:hint="eastAsia" w:ascii="Times New Roman" w:hAnsi="Times New Roman" w:cs="Times New Roman"/>
                      <w:color w:val="auto"/>
                      <w:spacing w:val="-10"/>
                      <w:sz w:val="18"/>
                      <w:szCs w:val="18"/>
                      <w:highlight w:val="none"/>
                      <w:lang w:val="en-US" w:eastAsia="zh-CN"/>
                    </w:rPr>
                    <w:t>m</w:t>
                  </w:r>
                  <w:r>
                    <w:rPr>
                      <w:rFonts w:hint="default" w:ascii="Times New Roman" w:hAnsi="Times New Roman" w:cs="Times New Roman"/>
                      <w:color w:val="auto"/>
                      <w:spacing w:val="-10"/>
                      <w:sz w:val="18"/>
                      <w:szCs w:val="18"/>
                      <w:highlight w:val="none"/>
                      <w:lang w:val="en-US" w:eastAsia="zh-CN"/>
                    </w:rPr>
                    <w:t>×</w:t>
                  </w:r>
                  <w:r>
                    <w:rPr>
                      <w:rFonts w:hint="eastAsia" w:cs="Times New Roman"/>
                      <w:color w:val="auto"/>
                      <w:spacing w:val="-10"/>
                      <w:sz w:val="18"/>
                      <w:szCs w:val="18"/>
                      <w:highlight w:val="none"/>
                      <w:lang w:val="en-US" w:eastAsia="zh-CN"/>
                    </w:rPr>
                    <w:t>20</w:t>
                  </w:r>
                  <w:r>
                    <w:rPr>
                      <w:rFonts w:hint="eastAsia" w:ascii="Times New Roman" w:hAnsi="Times New Roman" w:cs="Times New Roman"/>
                      <w:color w:val="auto"/>
                      <w:spacing w:val="-10"/>
                      <w:sz w:val="18"/>
                      <w:szCs w:val="18"/>
                      <w:highlight w:val="none"/>
                      <w:lang w:val="en-US" w:eastAsia="zh-CN"/>
                    </w:rPr>
                    <w:t>m</w:t>
                  </w:r>
                </w:p>
              </w:tc>
              <w:tc>
                <w:tcPr>
                  <w:tcW w:w="649" w:type="dxa"/>
                  <w:tcBorders>
                    <w:tl2br w:val="nil"/>
                    <w:tr2bl w:val="nil"/>
                  </w:tcBorders>
                  <w:vAlign w:val="center"/>
                </w:tcPr>
                <w:p w14:paraId="6E82CDF6">
                  <w:pPr>
                    <w:widowControl/>
                    <w:jc w:val="center"/>
                    <w:rPr>
                      <w:rFonts w:hint="default" w:eastAsia="宋体"/>
                      <w:color w:val="auto"/>
                      <w:spacing w:val="-10"/>
                      <w:sz w:val="18"/>
                      <w:szCs w:val="18"/>
                      <w:highlight w:val="none"/>
                      <w:lang w:val="en-US" w:eastAsia="zh-CN"/>
                    </w:rPr>
                  </w:pPr>
                  <w:r>
                    <w:rPr>
                      <w:rFonts w:hint="eastAsia"/>
                      <w:color w:val="auto"/>
                      <w:spacing w:val="-10"/>
                      <w:sz w:val="18"/>
                      <w:szCs w:val="18"/>
                      <w:highlight w:val="none"/>
                      <w:lang w:val="en-US" w:eastAsia="zh-CN"/>
                    </w:rPr>
                    <w:t>1</w:t>
                  </w:r>
                </w:p>
              </w:tc>
              <w:tc>
                <w:tcPr>
                  <w:tcW w:w="3457" w:type="dxa"/>
                  <w:tcBorders>
                    <w:tl2br w:val="nil"/>
                    <w:tr2bl w:val="nil"/>
                  </w:tcBorders>
                  <w:vAlign w:val="center"/>
                </w:tcPr>
                <w:p w14:paraId="20D77E09">
                  <w:pPr>
                    <w:widowControl/>
                    <w:jc w:val="center"/>
                    <w:rPr>
                      <w:rFonts w:hint="eastAsia" w:ascii="Times New Roman" w:hAnsi="Times New Roman" w:cs="Times New Roman"/>
                      <w:color w:val="auto"/>
                      <w:spacing w:val="-10"/>
                      <w:sz w:val="18"/>
                      <w:szCs w:val="18"/>
                      <w:highlight w:val="none"/>
                      <w:lang w:val="en-US" w:eastAsia="zh-CN"/>
                    </w:rPr>
                  </w:pPr>
                  <w:r>
                    <w:rPr>
                      <w:rFonts w:hint="eastAsia"/>
                      <w:color w:val="auto"/>
                      <w:spacing w:val="-10"/>
                      <w:sz w:val="18"/>
                      <w:szCs w:val="18"/>
                      <w:highlight w:val="none"/>
                      <w:lang w:val="en-US" w:eastAsia="zh-CN"/>
                    </w:rPr>
                    <w:t>位于1</w:t>
                  </w:r>
                  <w:r>
                    <w:rPr>
                      <w:rFonts w:hint="eastAsia"/>
                      <w:color w:val="auto"/>
                      <w:spacing w:val="-10"/>
                      <w:sz w:val="18"/>
                      <w:szCs w:val="18"/>
                      <w:highlight w:val="none"/>
                      <w:vertAlign w:val="superscript"/>
                      <w:lang w:val="en-US" w:eastAsia="zh-CN"/>
                    </w:rPr>
                    <w:t>#</w:t>
                  </w:r>
                  <w:r>
                    <w:rPr>
                      <w:rFonts w:hint="eastAsia"/>
                      <w:color w:val="auto"/>
                      <w:spacing w:val="-10"/>
                      <w:sz w:val="18"/>
                      <w:szCs w:val="18"/>
                      <w:highlight w:val="none"/>
                      <w:lang w:val="en-US" w:eastAsia="zh-CN"/>
                    </w:rPr>
                    <w:t>生产车间内，地面采用200mm厚防渗混凝土进行防渗</w:t>
                  </w:r>
                </w:p>
              </w:tc>
            </w:tr>
            <w:tr w14:paraId="0BAED6B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83" w:hRule="atLeast"/>
                <w:jc w:val="center"/>
              </w:trPr>
              <w:tc>
                <w:tcPr>
                  <w:tcW w:w="436" w:type="dxa"/>
                  <w:tcBorders>
                    <w:tl2br w:val="nil"/>
                    <w:tr2bl w:val="nil"/>
                  </w:tcBorders>
                  <w:shd w:val="clear" w:color="auto" w:fill="auto"/>
                  <w:vAlign w:val="center"/>
                </w:tcPr>
                <w:p w14:paraId="79BB1240">
                  <w:pPr>
                    <w:jc w:val="center"/>
                    <w:rPr>
                      <w:rFonts w:hint="default" w:ascii="Times New Roman" w:hAnsi="Times New Roman" w:eastAsia="宋体" w:cs="Times New Roman"/>
                      <w:color w:val="auto"/>
                      <w:spacing w:val="-10"/>
                      <w:kern w:val="2"/>
                      <w:sz w:val="18"/>
                      <w:szCs w:val="18"/>
                      <w:highlight w:val="none"/>
                      <w:lang w:val="en-US" w:eastAsia="zh-CN" w:bidi="ar-SA"/>
                    </w:rPr>
                  </w:pPr>
                  <w:r>
                    <w:rPr>
                      <w:rFonts w:hint="eastAsia"/>
                      <w:color w:val="auto"/>
                      <w:spacing w:val="-10"/>
                      <w:sz w:val="18"/>
                      <w:szCs w:val="18"/>
                      <w:highlight w:val="none"/>
                      <w:lang w:val="en-US" w:eastAsia="zh-CN"/>
                    </w:rPr>
                    <w:t>1.16</w:t>
                  </w:r>
                </w:p>
              </w:tc>
              <w:tc>
                <w:tcPr>
                  <w:tcW w:w="1237" w:type="dxa"/>
                  <w:tcBorders>
                    <w:tl2br w:val="nil"/>
                    <w:tr2bl w:val="nil"/>
                  </w:tcBorders>
                  <w:shd w:val="clear" w:color="auto" w:fill="auto"/>
                  <w:vAlign w:val="center"/>
                </w:tcPr>
                <w:p w14:paraId="456D99A8">
                  <w:pPr>
                    <w:snapToGrid w:val="0"/>
                    <w:spacing w:line="0" w:lineRule="atLeast"/>
                    <w:jc w:val="center"/>
                    <w:rPr>
                      <w:rFonts w:hint="default"/>
                      <w:color w:val="auto"/>
                      <w:spacing w:val="-10"/>
                      <w:sz w:val="18"/>
                      <w:szCs w:val="18"/>
                      <w:highlight w:val="none"/>
                      <w:lang w:val="en-US" w:eastAsia="zh-CN"/>
                    </w:rPr>
                  </w:pPr>
                  <w:r>
                    <w:rPr>
                      <w:rFonts w:hint="eastAsia"/>
                      <w:color w:val="auto"/>
                      <w:spacing w:val="-10"/>
                      <w:sz w:val="18"/>
                      <w:szCs w:val="18"/>
                      <w:highlight w:val="none"/>
                      <w:lang w:val="en-US" w:eastAsia="zh-CN"/>
                    </w:rPr>
                    <w:t>污水池</w:t>
                  </w:r>
                </w:p>
              </w:tc>
              <w:tc>
                <w:tcPr>
                  <w:tcW w:w="1050" w:type="dxa"/>
                  <w:tcBorders>
                    <w:tl2br w:val="nil"/>
                    <w:tr2bl w:val="nil"/>
                  </w:tcBorders>
                  <w:vAlign w:val="center"/>
                </w:tcPr>
                <w:p w14:paraId="75C29022">
                  <w:pPr>
                    <w:snapToGrid w:val="0"/>
                    <w:spacing w:line="0" w:lineRule="atLeast"/>
                    <w:jc w:val="center"/>
                    <w:rPr>
                      <w:rFonts w:hint="default" w:cs="Times New Roman"/>
                      <w:color w:val="auto"/>
                      <w:spacing w:val="-10"/>
                      <w:kern w:val="2"/>
                      <w:sz w:val="18"/>
                      <w:szCs w:val="18"/>
                      <w:highlight w:val="none"/>
                      <w:lang w:val="en-US" w:eastAsia="zh-CN" w:bidi="ar-SA"/>
                    </w:rPr>
                  </w:pPr>
                  <w:r>
                    <w:rPr>
                      <w:rFonts w:hint="eastAsia" w:cs="Times New Roman"/>
                      <w:color w:val="auto"/>
                      <w:spacing w:val="-10"/>
                      <w:kern w:val="2"/>
                      <w:sz w:val="18"/>
                      <w:szCs w:val="18"/>
                      <w:highlight w:val="none"/>
                      <w:lang w:val="en-US" w:eastAsia="zh-CN" w:bidi="ar-SA"/>
                    </w:rPr>
                    <w:t>36</w:t>
                  </w:r>
                </w:p>
              </w:tc>
              <w:tc>
                <w:tcPr>
                  <w:tcW w:w="1226" w:type="dxa"/>
                  <w:tcBorders>
                    <w:tl2br w:val="nil"/>
                    <w:tr2bl w:val="nil"/>
                  </w:tcBorders>
                  <w:vAlign w:val="center"/>
                </w:tcPr>
                <w:p w14:paraId="239C3393">
                  <w:pPr>
                    <w:snapToGrid w:val="0"/>
                    <w:spacing w:line="0" w:lineRule="atLeast"/>
                    <w:jc w:val="center"/>
                    <w:rPr>
                      <w:rFonts w:hint="eastAsia" w:ascii="Times New Roman" w:hAnsi="Times New Roman" w:cs="Times New Roman"/>
                      <w:color w:val="auto"/>
                      <w:spacing w:val="-10"/>
                      <w:sz w:val="18"/>
                      <w:szCs w:val="18"/>
                      <w:highlight w:val="none"/>
                      <w:lang w:val="en-US" w:eastAsia="zh-CN"/>
                    </w:rPr>
                  </w:pPr>
                  <w:r>
                    <w:rPr>
                      <w:rFonts w:hint="eastAsia" w:cs="Times New Roman"/>
                      <w:color w:val="auto"/>
                      <w:spacing w:val="-10"/>
                      <w:sz w:val="18"/>
                      <w:szCs w:val="18"/>
                      <w:highlight w:val="none"/>
                      <w:lang w:val="en-US" w:eastAsia="zh-CN"/>
                    </w:rPr>
                    <w:t>6</w:t>
                  </w:r>
                  <w:r>
                    <w:rPr>
                      <w:rFonts w:hint="eastAsia" w:ascii="Times New Roman" w:hAnsi="Times New Roman" w:cs="Times New Roman"/>
                      <w:color w:val="auto"/>
                      <w:spacing w:val="-10"/>
                      <w:sz w:val="18"/>
                      <w:szCs w:val="18"/>
                      <w:highlight w:val="none"/>
                      <w:lang w:val="en-US" w:eastAsia="zh-CN"/>
                    </w:rPr>
                    <w:t>m</w:t>
                  </w:r>
                  <w:r>
                    <w:rPr>
                      <w:rFonts w:hint="default" w:ascii="Times New Roman" w:hAnsi="Times New Roman" w:cs="Times New Roman"/>
                      <w:color w:val="auto"/>
                      <w:spacing w:val="-10"/>
                      <w:sz w:val="18"/>
                      <w:szCs w:val="18"/>
                      <w:highlight w:val="none"/>
                      <w:lang w:val="en-US" w:eastAsia="zh-CN"/>
                    </w:rPr>
                    <w:t>×</w:t>
                  </w:r>
                  <w:r>
                    <w:rPr>
                      <w:rFonts w:hint="eastAsia" w:cs="Times New Roman"/>
                      <w:color w:val="auto"/>
                      <w:spacing w:val="-10"/>
                      <w:sz w:val="18"/>
                      <w:szCs w:val="18"/>
                      <w:highlight w:val="none"/>
                      <w:lang w:val="en-US" w:eastAsia="zh-CN"/>
                    </w:rPr>
                    <w:t>6</w:t>
                  </w:r>
                  <w:r>
                    <w:rPr>
                      <w:rFonts w:hint="eastAsia" w:ascii="Times New Roman" w:hAnsi="Times New Roman" w:cs="Times New Roman"/>
                      <w:color w:val="auto"/>
                      <w:spacing w:val="-10"/>
                      <w:sz w:val="18"/>
                      <w:szCs w:val="18"/>
                      <w:highlight w:val="none"/>
                      <w:lang w:val="en-US" w:eastAsia="zh-CN"/>
                    </w:rPr>
                    <w:t>m</w:t>
                  </w:r>
                  <w:r>
                    <w:rPr>
                      <w:rFonts w:hint="default" w:ascii="Times New Roman" w:hAnsi="Times New Roman" w:cs="Times New Roman"/>
                      <w:color w:val="auto"/>
                      <w:spacing w:val="-10"/>
                      <w:sz w:val="18"/>
                      <w:szCs w:val="18"/>
                      <w:highlight w:val="none"/>
                      <w:lang w:val="en-US" w:eastAsia="zh-CN"/>
                    </w:rPr>
                    <w:t>×</w:t>
                  </w:r>
                  <w:r>
                    <w:rPr>
                      <w:rFonts w:hint="eastAsia" w:cs="Times New Roman"/>
                      <w:color w:val="auto"/>
                      <w:spacing w:val="-10"/>
                      <w:sz w:val="18"/>
                      <w:szCs w:val="18"/>
                      <w:highlight w:val="none"/>
                      <w:lang w:val="en-US" w:eastAsia="zh-CN"/>
                    </w:rPr>
                    <w:t>3</w:t>
                  </w:r>
                  <w:r>
                    <w:rPr>
                      <w:rFonts w:hint="eastAsia" w:ascii="Times New Roman" w:hAnsi="Times New Roman" w:cs="Times New Roman"/>
                      <w:color w:val="auto"/>
                      <w:spacing w:val="-10"/>
                      <w:sz w:val="18"/>
                      <w:szCs w:val="18"/>
                      <w:highlight w:val="none"/>
                      <w:lang w:val="en-US" w:eastAsia="zh-CN"/>
                    </w:rPr>
                    <w:t>m</w:t>
                  </w:r>
                </w:p>
              </w:tc>
              <w:tc>
                <w:tcPr>
                  <w:tcW w:w="649" w:type="dxa"/>
                  <w:tcBorders>
                    <w:tl2br w:val="nil"/>
                    <w:tr2bl w:val="nil"/>
                  </w:tcBorders>
                  <w:vAlign w:val="center"/>
                </w:tcPr>
                <w:p w14:paraId="7DC32025">
                  <w:pPr>
                    <w:widowControl/>
                    <w:jc w:val="center"/>
                    <w:rPr>
                      <w:rFonts w:hint="default"/>
                      <w:color w:val="auto"/>
                      <w:spacing w:val="-10"/>
                      <w:sz w:val="18"/>
                      <w:szCs w:val="18"/>
                      <w:highlight w:val="none"/>
                      <w:lang w:val="en-US" w:eastAsia="zh-CN"/>
                    </w:rPr>
                  </w:pPr>
                  <w:r>
                    <w:rPr>
                      <w:rFonts w:hint="eastAsia"/>
                      <w:color w:val="auto"/>
                      <w:spacing w:val="-10"/>
                      <w:sz w:val="18"/>
                      <w:szCs w:val="18"/>
                      <w:highlight w:val="none"/>
                      <w:lang w:val="en-US" w:eastAsia="zh-CN"/>
                    </w:rPr>
                    <w:t>1</w:t>
                  </w:r>
                </w:p>
              </w:tc>
              <w:tc>
                <w:tcPr>
                  <w:tcW w:w="3457" w:type="dxa"/>
                  <w:tcBorders>
                    <w:tl2br w:val="nil"/>
                    <w:tr2bl w:val="nil"/>
                  </w:tcBorders>
                  <w:vAlign w:val="center"/>
                </w:tcPr>
                <w:p w14:paraId="447812C9">
                  <w:pPr>
                    <w:widowControl/>
                    <w:jc w:val="center"/>
                    <w:rPr>
                      <w:rFonts w:hint="eastAsia" w:ascii="Times New Roman" w:hAnsi="Times New Roman" w:eastAsia="宋体" w:cs="Times New Roman"/>
                      <w:color w:val="auto"/>
                      <w:spacing w:val="-10"/>
                      <w:kern w:val="2"/>
                      <w:sz w:val="18"/>
                      <w:szCs w:val="18"/>
                      <w:highlight w:val="none"/>
                      <w:lang w:val="en-US" w:eastAsia="zh-CN" w:bidi="ar-SA"/>
                    </w:rPr>
                  </w:pPr>
                  <w:r>
                    <w:rPr>
                      <w:rFonts w:hint="eastAsia" w:ascii="Times New Roman" w:hAnsi="Times New Roman" w:cs="Times New Roman"/>
                      <w:color w:val="auto"/>
                      <w:spacing w:val="-10"/>
                      <w:sz w:val="18"/>
                      <w:szCs w:val="18"/>
                      <w:highlight w:val="none"/>
                      <w:lang w:val="en-US" w:eastAsia="zh-CN"/>
                    </w:rPr>
                    <w:t>位于1</w:t>
                  </w:r>
                  <w:r>
                    <w:rPr>
                      <w:rFonts w:hint="eastAsia" w:ascii="Times New Roman" w:hAnsi="Times New Roman" w:cs="Times New Roman"/>
                      <w:color w:val="auto"/>
                      <w:spacing w:val="-10"/>
                      <w:sz w:val="18"/>
                      <w:szCs w:val="18"/>
                      <w:highlight w:val="none"/>
                      <w:vertAlign w:val="superscript"/>
                      <w:lang w:val="en-US" w:eastAsia="zh-CN"/>
                    </w:rPr>
                    <w:t>#</w:t>
                  </w:r>
                  <w:r>
                    <w:rPr>
                      <w:rFonts w:hint="eastAsia" w:ascii="Times New Roman" w:hAnsi="Times New Roman" w:cs="Times New Roman"/>
                      <w:color w:val="auto"/>
                      <w:spacing w:val="-10"/>
                      <w:sz w:val="18"/>
                      <w:szCs w:val="18"/>
                      <w:highlight w:val="none"/>
                      <w:lang w:val="en-US" w:eastAsia="zh-CN"/>
                    </w:rPr>
                    <w:t>生产车间内，地下建设，采用200mm厚</w:t>
                  </w:r>
                  <w:r>
                    <w:rPr>
                      <w:rFonts w:hint="eastAsia" w:cs="Times New Roman"/>
                      <w:color w:val="auto"/>
                      <w:spacing w:val="-10"/>
                      <w:sz w:val="18"/>
                      <w:szCs w:val="18"/>
                      <w:highlight w:val="none"/>
                      <w:lang w:val="en-US" w:eastAsia="zh-CN"/>
                    </w:rPr>
                    <w:t>防</w:t>
                  </w:r>
                  <w:r>
                    <w:rPr>
                      <w:rFonts w:hint="eastAsia" w:ascii="Times New Roman" w:hAnsi="Times New Roman" w:cs="Times New Roman"/>
                      <w:color w:val="auto"/>
                      <w:spacing w:val="-10"/>
                      <w:sz w:val="18"/>
                      <w:szCs w:val="18"/>
                      <w:highlight w:val="none"/>
                      <w:lang w:val="en-US" w:eastAsia="zh-CN"/>
                    </w:rPr>
                    <w:t>渗混凝土</w:t>
                  </w:r>
                  <w:r>
                    <w:rPr>
                      <w:rFonts w:hint="eastAsia"/>
                      <w:color w:val="auto"/>
                      <w:spacing w:val="-10"/>
                      <w:sz w:val="18"/>
                      <w:szCs w:val="18"/>
                      <w:highlight w:val="none"/>
                      <w:lang w:val="en-US" w:eastAsia="zh-CN"/>
                    </w:rPr>
                    <w:t>一体浇筑</w:t>
                  </w:r>
                </w:p>
              </w:tc>
            </w:tr>
            <w:tr w14:paraId="3B69154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36" w:hRule="atLeast"/>
                <w:jc w:val="center"/>
              </w:trPr>
              <w:tc>
                <w:tcPr>
                  <w:tcW w:w="436" w:type="dxa"/>
                  <w:tcBorders>
                    <w:tl2br w:val="nil"/>
                    <w:tr2bl w:val="nil"/>
                  </w:tcBorders>
                  <w:shd w:val="clear" w:color="auto" w:fill="auto"/>
                  <w:vAlign w:val="center"/>
                </w:tcPr>
                <w:p w14:paraId="461D797B">
                  <w:pPr>
                    <w:jc w:val="center"/>
                    <w:rPr>
                      <w:rFonts w:hint="default" w:ascii="Times New Roman" w:hAnsi="Times New Roman" w:eastAsia="宋体" w:cs="Times New Roman"/>
                      <w:color w:val="auto"/>
                      <w:spacing w:val="-10"/>
                      <w:kern w:val="2"/>
                      <w:sz w:val="18"/>
                      <w:szCs w:val="18"/>
                      <w:highlight w:val="none"/>
                      <w:lang w:val="en-US" w:eastAsia="zh-CN" w:bidi="ar-SA"/>
                    </w:rPr>
                  </w:pPr>
                  <w:r>
                    <w:rPr>
                      <w:rFonts w:hint="eastAsia"/>
                      <w:color w:val="auto"/>
                      <w:spacing w:val="-10"/>
                      <w:sz w:val="18"/>
                      <w:szCs w:val="18"/>
                      <w:highlight w:val="none"/>
                      <w:lang w:val="en-US" w:eastAsia="zh-CN"/>
                    </w:rPr>
                    <w:t>1.17</w:t>
                  </w:r>
                </w:p>
              </w:tc>
              <w:tc>
                <w:tcPr>
                  <w:tcW w:w="1237" w:type="dxa"/>
                  <w:tcBorders>
                    <w:tl2br w:val="nil"/>
                    <w:tr2bl w:val="nil"/>
                  </w:tcBorders>
                  <w:shd w:val="clear" w:color="auto" w:fill="auto"/>
                  <w:vAlign w:val="center"/>
                </w:tcPr>
                <w:p w14:paraId="675C9E32">
                  <w:pPr>
                    <w:snapToGrid w:val="0"/>
                    <w:spacing w:line="0" w:lineRule="atLeast"/>
                    <w:jc w:val="center"/>
                    <w:rPr>
                      <w:rFonts w:hint="default"/>
                      <w:color w:val="auto"/>
                      <w:spacing w:val="-10"/>
                      <w:sz w:val="18"/>
                      <w:szCs w:val="18"/>
                      <w:highlight w:val="none"/>
                      <w:lang w:val="en-US" w:eastAsia="zh-CN"/>
                    </w:rPr>
                  </w:pPr>
                  <w:r>
                    <w:rPr>
                      <w:rFonts w:hint="eastAsia"/>
                      <w:color w:val="auto"/>
                      <w:spacing w:val="-10"/>
                      <w:sz w:val="18"/>
                      <w:szCs w:val="18"/>
                      <w:highlight w:val="none"/>
                      <w:lang w:val="en-US" w:eastAsia="zh-CN"/>
                    </w:rPr>
                    <w:t>清水池</w:t>
                  </w:r>
                </w:p>
              </w:tc>
              <w:tc>
                <w:tcPr>
                  <w:tcW w:w="1050" w:type="dxa"/>
                  <w:tcBorders>
                    <w:tl2br w:val="nil"/>
                    <w:tr2bl w:val="nil"/>
                  </w:tcBorders>
                  <w:vAlign w:val="center"/>
                </w:tcPr>
                <w:p w14:paraId="3EF1DB95">
                  <w:pPr>
                    <w:snapToGrid w:val="0"/>
                    <w:spacing w:line="0" w:lineRule="atLeast"/>
                    <w:jc w:val="center"/>
                    <w:rPr>
                      <w:rFonts w:hint="default" w:cs="Times New Roman"/>
                      <w:color w:val="auto"/>
                      <w:spacing w:val="-10"/>
                      <w:kern w:val="2"/>
                      <w:sz w:val="18"/>
                      <w:szCs w:val="18"/>
                      <w:highlight w:val="none"/>
                      <w:lang w:val="en-US" w:eastAsia="zh-CN" w:bidi="ar-SA"/>
                    </w:rPr>
                  </w:pPr>
                  <w:r>
                    <w:rPr>
                      <w:rFonts w:hint="eastAsia" w:cs="Times New Roman"/>
                      <w:color w:val="auto"/>
                      <w:spacing w:val="-10"/>
                      <w:kern w:val="2"/>
                      <w:sz w:val="18"/>
                      <w:szCs w:val="18"/>
                      <w:highlight w:val="none"/>
                      <w:lang w:val="en-US" w:eastAsia="zh-CN" w:bidi="ar-SA"/>
                    </w:rPr>
                    <w:t>36</w:t>
                  </w:r>
                </w:p>
              </w:tc>
              <w:tc>
                <w:tcPr>
                  <w:tcW w:w="1226" w:type="dxa"/>
                  <w:tcBorders>
                    <w:tl2br w:val="nil"/>
                    <w:tr2bl w:val="nil"/>
                  </w:tcBorders>
                  <w:vAlign w:val="center"/>
                </w:tcPr>
                <w:p w14:paraId="209D5D70">
                  <w:pPr>
                    <w:snapToGrid w:val="0"/>
                    <w:spacing w:line="0" w:lineRule="atLeast"/>
                    <w:jc w:val="center"/>
                    <w:rPr>
                      <w:rFonts w:hint="eastAsia" w:ascii="Times New Roman" w:hAnsi="Times New Roman" w:cs="Times New Roman"/>
                      <w:color w:val="auto"/>
                      <w:spacing w:val="-10"/>
                      <w:sz w:val="18"/>
                      <w:szCs w:val="18"/>
                      <w:highlight w:val="none"/>
                      <w:lang w:val="en-US" w:eastAsia="zh-CN"/>
                    </w:rPr>
                  </w:pPr>
                  <w:r>
                    <w:rPr>
                      <w:rFonts w:hint="eastAsia" w:ascii="Times New Roman" w:hAnsi="Times New Roman" w:cs="Times New Roman"/>
                      <w:color w:val="auto"/>
                      <w:spacing w:val="-10"/>
                      <w:sz w:val="18"/>
                      <w:szCs w:val="18"/>
                      <w:highlight w:val="none"/>
                      <w:lang w:val="en-US" w:eastAsia="zh-CN"/>
                    </w:rPr>
                    <w:t>6m</w:t>
                  </w:r>
                  <w:r>
                    <w:rPr>
                      <w:rFonts w:hint="default" w:ascii="Times New Roman" w:hAnsi="Times New Roman" w:cs="Times New Roman"/>
                      <w:color w:val="auto"/>
                      <w:spacing w:val="-10"/>
                      <w:sz w:val="18"/>
                      <w:szCs w:val="18"/>
                      <w:highlight w:val="none"/>
                      <w:lang w:val="en-US" w:eastAsia="zh-CN"/>
                    </w:rPr>
                    <w:t>×</w:t>
                  </w:r>
                  <w:r>
                    <w:rPr>
                      <w:rFonts w:hint="eastAsia" w:cs="Times New Roman"/>
                      <w:color w:val="auto"/>
                      <w:spacing w:val="-10"/>
                      <w:sz w:val="18"/>
                      <w:szCs w:val="18"/>
                      <w:highlight w:val="none"/>
                      <w:lang w:val="en-US" w:eastAsia="zh-CN"/>
                    </w:rPr>
                    <w:t>6</w:t>
                  </w:r>
                  <w:r>
                    <w:rPr>
                      <w:rFonts w:hint="eastAsia" w:ascii="Times New Roman" w:hAnsi="Times New Roman" w:cs="Times New Roman"/>
                      <w:color w:val="auto"/>
                      <w:spacing w:val="-10"/>
                      <w:sz w:val="18"/>
                      <w:szCs w:val="18"/>
                      <w:highlight w:val="none"/>
                      <w:lang w:val="en-US" w:eastAsia="zh-CN"/>
                    </w:rPr>
                    <w:t>m</w:t>
                  </w:r>
                  <w:r>
                    <w:rPr>
                      <w:rFonts w:hint="default" w:ascii="Times New Roman" w:hAnsi="Times New Roman" w:cs="Times New Roman"/>
                      <w:color w:val="auto"/>
                      <w:spacing w:val="-10"/>
                      <w:sz w:val="18"/>
                      <w:szCs w:val="18"/>
                      <w:highlight w:val="none"/>
                      <w:lang w:val="en-US" w:eastAsia="zh-CN"/>
                    </w:rPr>
                    <w:t>×</w:t>
                  </w:r>
                  <w:r>
                    <w:rPr>
                      <w:rFonts w:hint="eastAsia" w:cs="Times New Roman"/>
                      <w:color w:val="auto"/>
                      <w:spacing w:val="-10"/>
                      <w:sz w:val="18"/>
                      <w:szCs w:val="18"/>
                      <w:highlight w:val="none"/>
                      <w:lang w:val="en-US" w:eastAsia="zh-CN"/>
                    </w:rPr>
                    <w:t>3</w:t>
                  </w:r>
                  <w:r>
                    <w:rPr>
                      <w:rFonts w:hint="eastAsia" w:ascii="Times New Roman" w:hAnsi="Times New Roman" w:cs="Times New Roman"/>
                      <w:color w:val="auto"/>
                      <w:spacing w:val="-10"/>
                      <w:sz w:val="18"/>
                      <w:szCs w:val="18"/>
                      <w:highlight w:val="none"/>
                      <w:lang w:val="en-US" w:eastAsia="zh-CN"/>
                    </w:rPr>
                    <w:t>m</w:t>
                  </w:r>
                </w:p>
              </w:tc>
              <w:tc>
                <w:tcPr>
                  <w:tcW w:w="649" w:type="dxa"/>
                  <w:tcBorders>
                    <w:tl2br w:val="nil"/>
                    <w:tr2bl w:val="nil"/>
                  </w:tcBorders>
                  <w:vAlign w:val="center"/>
                </w:tcPr>
                <w:p w14:paraId="63B3D3EE">
                  <w:pPr>
                    <w:widowControl/>
                    <w:jc w:val="center"/>
                    <w:rPr>
                      <w:rFonts w:hint="default"/>
                      <w:color w:val="auto"/>
                      <w:spacing w:val="-10"/>
                      <w:sz w:val="18"/>
                      <w:szCs w:val="18"/>
                      <w:highlight w:val="none"/>
                      <w:lang w:val="en-US" w:eastAsia="zh-CN"/>
                    </w:rPr>
                  </w:pPr>
                  <w:r>
                    <w:rPr>
                      <w:rFonts w:hint="eastAsia"/>
                      <w:color w:val="auto"/>
                      <w:spacing w:val="-10"/>
                      <w:sz w:val="18"/>
                      <w:szCs w:val="18"/>
                      <w:highlight w:val="none"/>
                      <w:lang w:val="en-US" w:eastAsia="zh-CN"/>
                    </w:rPr>
                    <w:t>1</w:t>
                  </w:r>
                </w:p>
              </w:tc>
              <w:tc>
                <w:tcPr>
                  <w:tcW w:w="3457" w:type="dxa"/>
                  <w:tcBorders>
                    <w:tl2br w:val="nil"/>
                    <w:tr2bl w:val="nil"/>
                  </w:tcBorders>
                  <w:vAlign w:val="center"/>
                </w:tcPr>
                <w:p w14:paraId="2BCFC4A4">
                  <w:pPr>
                    <w:widowControl/>
                    <w:jc w:val="center"/>
                    <w:rPr>
                      <w:rFonts w:hint="eastAsia" w:ascii="Times New Roman" w:hAnsi="Times New Roman" w:eastAsia="宋体" w:cs="Times New Roman"/>
                      <w:color w:val="auto"/>
                      <w:spacing w:val="-10"/>
                      <w:kern w:val="2"/>
                      <w:sz w:val="18"/>
                      <w:szCs w:val="18"/>
                      <w:highlight w:val="none"/>
                      <w:lang w:val="en-US" w:eastAsia="zh-CN" w:bidi="ar-SA"/>
                    </w:rPr>
                  </w:pPr>
                  <w:r>
                    <w:rPr>
                      <w:rFonts w:hint="eastAsia" w:ascii="Times New Roman" w:hAnsi="Times New Roman" w:cs="Times New Roman"/>
                      <w:color w:val="auto"/>
                      <w:spacing w:val="-10"/>
                      <w:sz w:val="18"/>
                      <w:szCs w:val="18"/>
                      <w:highlight w:val="none"/>
                      <w:lang w:val="en-US" w:eastAsia="zh-CN"/>
                    </w:rPr>
                    <w:t>位于1</w:t>
                  </w:r>
                  <w:r>
                    <w:rPr>
                      <w:rFonts w:hint="eastAsia" w:ascii="Times New Roman" w:hAnsi="Times New Roman" w:cs="Times New Roman"/>
                      <w:color w:val="auto"/>
                      <w:spacing w:val="-10"/>
                      <w:sz w:val="18"/>
                      <w:szCs w:val="18"/>
                      <w:highlight w:val="none"/>
                      <w:vertAlign w:val="superscript"/>
                      <w:lang w:val="en-US" w:eastAsia="zh-CN"/>
                    </w:rPr>
                    <w:t>#</w:t>
                  </w:r>
                  <w:r>
                    <w:rPr>
                      <w:rFonts w:hint="eastAsia" w:ascii="Times New Roman" w:hAnsi="Times New Roman" w:cs="Times New Roman"/>
                      <w:color w:val="auto"/>
                      <w:spacing w:val="-10"/>
                      <w:sz w:val="18"/>
                      <w:szCs w:val="18"/>
                      <w:highlight w:val="none"/>
                      <w:lang w:val="en-US" w:eastAsia="zh-CN"/>
                    </w:rPr>
                    <w:t>生产车间内，采用200mm厚</w:t>
                  </w:r>
                  <w:r>
                    <w:rPr>
                      <w:rFonts w:hint="eastAsia" w:cs="Times New Roman"/>
                      <w:color w:val="auto"/>
                      <w:spacing w:val="-10"/>
                      <w:sz w:val="18"/>
                      <w:szCs w:val="18"/>
                      <w:highlight w:val="none"/>
                      <w:lang w:val="en-US" w:eastAsia="zh-CN"/>
                    </w:rPr>
                    <w:t>防</w:t>
                  </w:r>
                  <w:r>
                    <w:rPr>
                      <w:rFonts w:hint="eastAsia" w:ascii="Times New Roman" w:hAnsi="Times New Roman" w:cs="Times New Roman"/>
                      <w:color w:val="auto"/>
                      <w:spacing w:val="-10"/>
                      <w:sz w:val="18"/>
                      <w:szCs w:val="18"/>
                      <w:highlight w:val="none"/>
                      <w:lang w:val="en-US" w:eastAsia="zh-CN"/>
                    </w:rPr>
                    <w:t>渗混凝土</w:t>
                  </w:r>
                  <w:r>
                    <w:rPr>
                      <w:rFonts w:hint="eastAsia"/>
                      <w:color w:val="auto"/>
                      <w:spacing w:val="-10"/>
                      <w:sz w:val="18"/>
                      <w:szCs w:val="18"/>
                      <w:highlight w:val="none"/>
                      <w:lang w:val="en-US" w:eastAsia="zh-CN"/>
                    </w:rPr>
                    <w:t>一体浇筑</w:t>
                  </w:r>
                </w:p>
              </w:tc>
            </w:tr>
            <w:tr w14:paraId="1C1CEE4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60" w:hRule="atLeast"/>
                <w:jc w:val="center"/>
              </w:trPr>
              <w:tc>
                <w:tcPr>
                  <w:tcW w:w="436" w:type="dxa"/>
                  <w:tcBorders>
                    <w:tl2br w:val="nil"/>
                    <w:tr2bl w:val="nil"/>
                  </w:tcBorders>
                  <w:vAlign w:val="center"/>
                </w:tcPr>
                <w:p w14:paraId="0AA632C5">
                  <w:pPr>
                    <w:jc w:val="center"/>
                    <w:rPr>
                      <w:rFonts w:hint="default"/>
                      <w:color w:val="auto"/>
                      <w:spacing w:val="-10"/>
                      <w:sz w:val="18"/>
                      <w:szCs w:val="18"/>
                      <w:highlight w:val="none"/>
                      <w:lang w:val="en-US" w:eastAsia="zh-CN"/>
                    </w:rPr>
                  </w:pPr>
                  <w:r>
                    <w:rPr>
                      <w:rFonts w:hint="eastAsia"/>
                      <w:color w:val="auto"/>
                      <w:spacing w:val="-10"/>
                      <w:sz w:val="18"/>
                      <w:szCs w:val="18"/>
                      <w:highlight w:val="none"/>
                      <w:lang w:val="en-US" w:eastAsia="zh-CN"/>
                    </w:rPr>
                    <w:t>1.18</w:t>
                  </w:r>
                </w:p>
              </w:tc>
              <w:tc>
                <w:tcPr>
                  <w:tcW w:w="1237" w:type="dxa"/>
                  <w:tcBorders>
                    <w:tl2br w:val="nil"/>
                    <w:tr2bl w:val="nil"/>
                  </w:tcBorders>
                  <w:shd w:val="clear" w:color="auto" w:fill="auto"/>
                  <w:vAlign w:val="center"/>
                </w:tcPr>
                <w:p w14:paraId="375FD692">
                  <w:pPr>
                    <w:snapToGrid w:val="0"/>
                    <w:spacing w:line="0" w:lineRule="atLeast"/>
                    <w:jc w:val="center"/>
                    <w:rPr>
                      <w:rFonts w:hint="default"/>
                      <w:color w:val="auto"/>
                      <w:spacing w:val="-10"/>
                      <w:sz w:val="18"/>
                      <w:szCs w:val="18"/>
                      <w:highlight w:val="none"/>
                      <w:lang w:val="en-US" w:eastAsia="zh-CN"/>
                    </w:rPr>
                  </w:pPr>
                  <w:r>
                    <w:rPr>
                      <w:rFonts w:hint="eastAsia"/>
                      <w:color w:val="auto"/>
                      <w:spacing w:val="-10"/>
                      <w:sz w:val="18"/>
                      <w:szCs w:val="18"/>
                      <w:highlight w:val="none"/>
                      <w:lang w:val="en-US" w:eastAsia="zh-CN"/>
                    </w:rPr>
                    <w:t>沉淀池</w:t>
                  </w:r>
                </w:p>
              </w:tc>
              <w:tc>
                <w:tcPr>
                  <w:tcW w:w="1050" w:type="dxa"/>
                  <w:tcBorders>
                    <w:tl2br w:val="nil"/>
                    <w:tr2bl w:val="nil"/>
                  </w:tcBorders>
                  <w:vAlign w:val="center"/>
                </w:tcPr>
                <w:p w14:paraId="0BAFAB85">
                  <w:pPr>
                    <w:snapToGrid w:val="0"/>
                    <w:spacing w:line="0" w:lineRule="atLeast"/>
                    <w:jc w:val="center"/>
                    <w:rPr>
                      <w:rFonts w:hint="default" w:ascii="Times New Roman" w:hAnsi="Times New Roman" w:eastAsia="宋体" w:cs="Times New Roman"/>
                      <w:color w:val="auto"/>
                      <w:spacing w:val="-10"/>
                      <w:kern w:val="2"/>
                      <w:sz w:val="18"/>
                      <w:szCs w:val="18"/>
                      <w:highlight w:val="none"/>
                      <w:lang w:val="en-US" w:eastAsia="zh-CN" w:bidi="ar-SA"/>
                    </w:rPr>
                  </w:pPr>
                  <w:r>
                    <w:rPr>
                      <w:rFonts w:hint="eastAsia" w:cs="Times New Roman"/>
                      <w:color w:val="auto"/>
                      <w:spacing w:val="-10"/>
                      <w:kern w:val="2"/>
                      <w:sz w:val="18"/>
                      <w:szCs w:val="18"/>
                      <w:highlight w:val="none"/>
                      <w:lang w:val="en-US" w:eastAsia="zh-CN" w:bidi="ar-SA"/>
                    </w:rPr>
                    <w:t>36</w:t>
                  </w:r>
                </w:p>
              </w:tc>
              <w:tc>
                <w:tcPr>
                  <w:tcW w:w="1226" w:type="dxa"/>
                  <w:tcBorders>
                    <w:tl2br w:val="nil"/>
                    <w:tr2bl w:val="nil"/>
                  </w:tcBorders>
                  <w:vAlign w:val="center"/>
                </w:tcPr>
                <w:p w14:paraId="0CF6EB91">
                  <w:pPr>
                    <w:snapToGrid w:val="0"/>
                    <w:spacing w:line="0" w:lineRule="atLeast"/>
                    <w:jc w:val="center"/>
                    <w:rPr>
                      <w:rFonts w:hint="eastAsia" w:ascii="Times New Roman" w:hAnsi="Times New Roman" w:eastAsia="宋体" w:cs="Times New Roman"/>
                      <w:color w:val="auto"/>
                      <w:spacing w:val="-10"/>
                      <w:kern w:val="2"/>
                      <w:sz w:val="18"/>
                      <w:szCs w:val="18"/>
                      <w:highlight w:val="none"/>
                      <w:lang w:val="en-US" w:eastAsia="zh-CN" w:bidi="ar-SA"/>
                    </w:rPr>
                  </w:pPr>
                  <w:r>
                    <w:rPr>
                      <w:rFonts w:hint="eastAsia" w:cs="Times New Roman"/>
                      <w:color w:val="auto"/>
                      <w:spacing w:val="-10"/>
                      <w:sz w:val="18"/>
                      <w:szCs w:val="18"/>
                      <w:highlight w:val="none"/>
                      <w:lang w:val="en-US" w:eastAsia="zh-CN"/>
                    </w:rPr>
                    <w:t>6</w:t>
                  </w:r>
                  <w:r>
                    <w:rPr>
                      <w:rFonts w:hint="eastAsia" w:ascii="Times New Roman" w:hAnsi="Times New Roman" w:cs="Times New Roman"/>
                      <w:color w:val="auto"/>
                      <w:spacing w:val="-10"/>
                      <w:sz w:val="18"/>
                      <w:szCs w:val="18"/>
                      <w:highlight w:val="none"/>
                      <w:lang w:val="en-US" w:eastAsia="zh-CN"/>
                    </w:rPr>
                    <w:t>m</w:t>
                  </w:r>
                  <w:r>
                    <w:rPr>
                      <w:rFonts w:hint="default" w:ascii="Times New Roman" w:hAnsi="Times New Roman" w:cs="Times New Roman"/>
                      <w:color w:val="auto"/>
                      <w:spacing w:val="-10"/>
                      <w:sz w:val="18"/>
                      <w:szCs w:val="18"/>
                      <w:highlight w:val="none"/>
                      <w:lang w:val="en-US" w:eastAsia="zh-CN"/>
                    </w:rPr>
                    <w:t>×</w:t>
                  </w:r>
                  <w:r>
                    <w:rPr>
                      <w:rFonts w:hint="eastAsia" w:cs="Times New Roman"/>
                      <w:color w:val="auto"/>
                      <w:spacing w:val="-10"/>
                      <w:sz w:val="18"/>
                      <w:szCs w:val="18"/>
                      <w:highlight w:val="none"/>
                      <w:lang w:val="en-US" w:eastAsia="zh-CN"/>
                    </w:rPr>
                    <w:t>6</w:t>
                  </w:r>
                  <w:r>
                    <w:rPr>
                      <w:rFonts w:hint="eastAsia" w:ascii="Times New Roman" w:hAnsi="Times New Roman" w:cs="Times New Roman"/>
                      <w:color w:val="auto"/>
                      <w:spacing w:val="-10"/>
                      <w:sz w:val="18"/>
                      <w:szCs w:val="18"/>
                      <w:highlight w:val="none"/>
                      <w:lang w:val="en-US" w:eastAsia="zh-CN"/>
                    </w:rPr>
                    <w:t>m</w:t>
                  </w:r>
                  <w:r>
                    <w:rPr>
                      <w:rFonts w:hint="default" w:ascii="Times New Roman" w:hAnsi="Times New Roman" w:cs="Times New Roman"/>
                      <w:color w:val="auto"/>
                      <w:spacing w:val="-10"/>
                      <w:sz w:val="18"/>
                      <w:szCs w:val="18"/>
                      <w:highlight w:val="none"/>
                      <w:lang w:val="en-US" w:eastAsia="zh-CN"/>
                    </w:rPr>
                    <w:t>×</w:t>
                  </w:r>
                  <w:r>
                    <w:rPr>
                      <w:rFonts w:hint="eastAsia" w:cs="Times New Roman"/>
                      <w:color w:val="auto"/>
                      <w:spacing w:val="-10"/>
                      <w:sz w:val="18"/>
                      <w:szCs w:val="18"/>
                      <w:highlight w:val="none"/>
                      <w:lang w:val="en-US" w:eastAsia="zh-CN"/>
                    </w:rPr>
                    <w:t>3</w:t>
                  </w:r>
                  <w:r>
                    <w:rPr>
                      <w:rFonts w:hint="eastAsia" w:ascii="Times New Roman" w:hAnsi="Times New Roman" w:cs="Times New Roman"/>
                      <w:color w:val="auto"/>
                      <w:spacing w:val="-10"/>
                      <w:sz w:val="18"/>
                      <w:szCs w:val="18"/>
                      <w:highlight w:val="none"/>
                      <w:lang w:val="en-US" w:eastAsia="zh-CN"/>
                    </w:rPr>
                    <w:t>m</w:t>
                  </w:r>
                </w:p>
              </w:tc>
              <w:tc>
                <w:tcPr>
                  <w:tcW w:w="649" w:type="dxa"/>
                  <w:tcBorders>
                    <w:tl2br w:val="nil"/>
                    <w:tr2bl w:val="nil"/>
                  </w:tcBorders>
                  <w:vAlign w:val="center"/>
                </w:tcPr>
                <w:p w14:paraId="6B7F0CC6">
                  <w:pPr>
                    <w:widowControl/>
                    <w:jc w:val="center"/>
                    <w:rPr>
                      <w:rFonts w:hint="eastAsia" w:ascii="Times New Roman" w:hAnsi="Times New Roman" w:eastAsia="宋体" w:cs="Times New Roman"/>
                      <w:color w:val="auto"/>
                      <w:spacing w:val="-10"/>
                      <w:kern w:val="2"/>
                      <w:sz w:val="18"/>
                      <w:szCs w:val="18"/>
                      <w:highlight w:val="none"/>
                      <w:lang w:val="en-US" w:eastAsia="zh-CN" w:bidi="ar-SA"/>
                    </w:rPr>
                  </w:pPr>
                  <w:r>
                    <w:rPr>
                      <w:rFonts w:hint="eastAsia"/>
                      <w:color w:val="auto"/>
                      <w:spacing w:val="-10"/>
                      <w:sz w:val="18"/>
                      <w:szCs w:val="18"/>
                      <w:highlight w:val="none"/>
                      <w:lang w:val="en-US" w:eastAsia="zh-CN"/>
                    </w:rPr>
                    <w:t>1</w:t>
                  </w:r>
                </w:p>
              </w:tc>
              <w:tc>
                <w:tcPr>
                  <w:tcW w:w="3457" w:type="dxa"/>
                  <w:tcBorders>
                    <w:tl2br w:val="nil"/>
                    <w:tr2bl w:val="nil"/>
                  </w:tcBorders>
                  <w:vAlign w:val="center"/>
                </w:tcPr>
                <w:p w14:paraId="1BDD2EB6">
                  <w:pPr>
                    <w:widowControl/>
                    <w:jc w:val="center"/>
                    <w:rPr>
                      <w:rFonts w:hint="eastAsia" w:ascii="Times New Roman" w:hAnsi="Times New Roman" w:eastAsia="宋体" w:cs="Times New Roman"/>
                      <w:color w:val="auto"/>
                      <w:spacing w:val="-10"/>
                      <w:kern w:val="2"/>
                      <w:sz w:val="18"/>
                      <w:szCs w:val="18"/>
                      <w:highlight w:val="none"/>
                      <w:lang w:val="en-US" w:eastAsia="zh-CN" w:bidi="ar-SA"/>
                    </w:rPr>
                  </w:pPr>
                  <w:r>
                    <w:rPr>
                      <w:rFonts w:hint="eastAsia" w:ascii="Times New Roman" w:hAnsi="Times New Roman" w:cs="Times New Roman"/>
                      <w:color w:val="auto"/>
                      <w:spacing w:val="-10"/>
                      <w:sz w:val="18"/>
                      <w:szCs w:val="18"/>
                      <w:highlight w:val="none"/>
                      <w:lang w:val="en-US" w:eastAsia="zh-CN"/>
                    </w:rPr>
                    <w:t>位于1</w:t>
                  </w:r>
                  <w:r>
                    <w:rPr>
                      <w:rFonts w:hint="eastAsia" w:ascii="Times New Roman" w:hAnsi="Times New Roman" w:cs="Times New Roman"/>
                      <w:color w:val="auto"/>
                      <w:spacing w:val="-10"/>
                      <w:sz w:val="18"/>
                      <w:szCs w:val="18"/>
                      <w:highlight w:val="none"/>
                      <w:vertAlign w:val="superscript"/>
                      <w:lang w:val="en-US" w:eastAsia="zh-CN"/>
                    </w:rPr>
                    <w:t>#</w:t>
                  </w:r>
                  <w:r>
                    <w:rPr>
                      <w:rFonts w:hint="eastAsia" w:ascii="Times New Roman" w:hAnsi="Times New Roman" w:cs="Times New Roman"/>
                      <w:color w:val="auto"/>
                      <w:spacing w:val="-10"/>
                      <w:sz w:val="18"/>
                      <w:szCs w:val="18"/>
                      <w:highlight w:val="none"/>
                      <w:lang w:val="en-US" w:eastAsia="zh-CN"/>
                    </w:rPr>
                    <w:t>生产车间内，采用200mm厚</w:t>
                  </w:r>
                  <w:r>
                    <w:rPr>
                      <w:rFonts w:hint="eastAsia" w:cs="Times New Roman"/>
                      <w:color w:val="auto"/>
                      <w:spacing w:val="-10"/>
                      <w:sz w:val="18"/>
                      <w:szCs w:val="18"/>
                      <w:highlight w:val="none"/>
                      <w:lang w:val="en-US" w:eastAsia="zh-CN"/>
                    </w:rPr>
                    <w:t>防</w:t>
                  </w:r>
                  <w:r>
                    <w:rPr>
                      <w:rFonts w:hint="eastAsia" w:ascii="Times New Roman" w:hAnsi="Times New Roman" w:cs="Times New Roman"/>
                      <w:color w:val="auto"/>
                      <w:spacing w:val="-10"/>
                      <w:sz w:val="18"/>
                      <w:szCs w:val="18"/>
                      <w:highlight w:val="none"/>
                      <w:lang w:val="en-US" w:eastAsia="zh-CN"/>
                    </w:rPr>
                    <w:t>渗混凝土</w:t>
                  </w:r>
                  <w:r>
                    <w:rPr>
                      <w:rFonts w:hint="eastAsia"/>
                      <w:color w:val="auto"/>
                      <w:spacing w:val="-10"/>
                      <w:sz w:val="18"/>
                      <w:szCs w:val="18"/>
                      <w:highlight w:val="none"/>
                      <w:lang w:val="en-US" w:eastAsia="zh-CN"/>
                    </w:rPr>
                    <w:t>一体浇筑</w:t>
                  </w:r>
                </w:p>
              </w:tc>
            </w:tr>
            <w:tr w14:paraId="63905C6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60" w:hRule="atLeast"/>
                <w:jc w:val="center"/>
              </w:trPr>
              <w:tc>
                <w:tcPr>
                  <w:tcW w:w="436" w:type="dxa"/>
                  <w:tcBorders>
                    <w:tl2br w:val="nil"/>
                    <w:tr2bl w:val="nil"/>
                  </w:tcBorders>
                  <w:vAlign w:val="center"/>
                </w:tcPr>
                <w:p w14:paraId="55B5C7AF">
                  <w:pPr>
                    <w:jc w:val="center"/>
                    <w:rPr>
                      <w:rFonts w:hint="default"/>
                      <w:color w:val="auto"/>
                      <w:spacing w:val="-10"/>
                      <w:sz w:val="18"/>
                      <w:szCs w:val="18"/>
                      <w:highlight w:val="none"/>
                      <w:lang w:val="en-US" w:eastAsia="zh-CN"/>
                    </w:rPr>
                  </w:pPr>
                  <w:r>
                    <w:rPr>
                      <w:rFonts w:hint="eastAsia"/>
                      <w:color w:val="auto"/>
                      <w:spacing w:val="-10"/>
                      <w:sz w:val="18"/>
                      <w:szCs w:val="18"/>
                      <w:highlight w:val="none"/>
                      <w:lang w:val="en-US" w:eastAsia="zh-CN"/>
                    </w:rPr>
                    <w:t>1.19</w:t>
                  </w:r>
                </w:p>
              </w:tc>
              <w:tc>
                <w:tcPr>
                  <w:tcW w:w="1237" w:type="dxa"/>
                  <w:tcBorders>
                    <w:tl2br w:val="nil"/>
                    <w:tr2bl w:val="nil"/>
                  </w:tcBorders>
                  <w:shd w:val="clear" w:color="auto" w:fill="auto"/>
                  <w:vAlign w:val="center"/>
                </w:tcPr>
                <w:p w14:paraId="38C4BBD1">
                  <w:pPr>
                    <w:snapToGrid w:val="0"/>
                    <w:spacing w:line="0" w:lineRule="atLeast"/>
                    <w:jc w:val="center"/>
                    <w:rPr>
                      <w:rFonts w:hint="default"/>
                      <w:color w:val="auto"/>
                      <w:spacing w:val="-10"/>
                      <w:sz w:val="18"/>
                      <w:szCs w:val="18"/>
                      <w:highlight w:val="none"/>
                      <w:lang w:val="en-US" w:eastAsia="zh-CN"/>
                    </w:rPr>
                  </w:pPr>
                  <w:r>
                    <w:rPr>
                      <w:rFonts w:hint="eastAsia"/>
                      <w:color w:val="auto"/>
                      <w:spacing w:val="-10"/>
                      <w:sz w:val="18"/>
                      <w:szCs w:val="18"/>
                      <w:highlight w:val="none"/>
                      <w:lang w:val="en-US" w:eastAsia="zh-CN"/>
                    </w:rPr>
                    <w:t>洗车装置</w:t>
                  </w:r>
                </w:p>
              </w:tc>
              <w:tc>
                <w:tcPr>
                  <w:tcW w:w="1050" w:type="dxa"/>
                  <w:tcBorders>
                    <w:tl2br w:val="nil"/>
                    <w:tr2bl w:val="nil"/>
                  </w:tcBorders>
                  <w:shd w:val="clear" w:color="auto" w:fill="auto"/>
                  <w:vAlign w:val="center"/>
                </w:tcPr>
                <w:p w14:paraId="6B0F529C">
                  <w:pPr>
                    <w:jc w:val="center"/>
                    <w:rPr>
                      <w:rFonts w:hint="eastAsia" w:ascii="Times New Roman" w:hAnsi="Times New Roman" w:eastAsia="宋体" w:cs="Times New Roman"/>
                      <w:color w:val="auto"/>
                      <w:spacing w:val="-10"/>
                      <w:kern w:val="2"/>
                      <w:sz w:val="18"/>
                      <w:szCs w:val="18"/>
                      <w:highlight w:val="none"/>
                      <w:lang w:val="en-US" w:eastAsia="zh-CN" w:bidi="ar-SA"/>
                    </w:rPr>
                  </w:pPr>
                  <w:r>
                    <w:rPr>
                      <w:rFonts w:hint="eastAsia"/>
                      <w:color w:val="auto"/>
                      <w:spacing w:val="-10"/>
                      <w:sz w:val="18"/>
                      <w:szCs w:val="18"/>
                      <w:highlight w:val="none"/>
                      <w:lang w:val="en-US" w:eastAsia="zh-CN"/>
                    </w:rPr>
                    <w:t>28</w:t>
                  </w:r>
                </w:p>
              </w:tc>
              <w:tc>
                <w:tcPr>
                  <w:tcW w:w="1226" w:type="dxa"/>
                  <w:tcBorders>
                    <w:tl2br w:val="nil"/>
                    <w:tr2bl w:val="nil"/>
                  </w:tcBorders>
                  <w:shd w:val="clear" w:color="auto" w:fill="auto"/>
                  <w:vAlign w:val="center"/>
                </w:tcPr>
                <w:p w14:paraId="28C9A18C">
                  <w:pPr>
                    <w:jc w:val="center"/>
                    <w:rPr>
                      <w:rFonts w:hint="eastAsia" w:ascii="Times New Roman" w:hAnsi="Times New Roman" w:eastAsia="宋体" w:cs="Times New Roman"/>
                      <w:color w:val="auto"/>
                      <w:spacing w:val="-10"/>
                      <w:kern w:val="2"/>
                      <w:sz w:val="18"/>
                      <w:szCs w:val="18"/>
                      <w:highlight w:val="none"/>
                      <w:lang w:val="en-US" w:eastAsia="zh-CN" w:bidi="ar-SA"/>
                    </w:rPr>
                  </w:pPr>
                  <w:r>
                    <w:rPr>
                      <w:rFonts w:hint="eastAsia" w:cs="Times New Roman"/>
                      <w:color w:val="auto"/>
                      <w:spacing w:val="-10"/>
                      <w:sz w:val="18"/>
                      <w:szCs w:val="18"/>
                      <w:highlight w:val="none"/>
                      <w:lang w:val="en-US" w:eastAsia="zh-CN"/>
                    </w:rPr>
                    <w:t>8</w:t>
                  </w:r>
                  <w:r>
                    <w:rPr>
                      <w:rFonts w:hint="eastAsia" w:ascii="Times New Roman" w:hAnsi="Times New Roman" w:cs="Times New Roman"/>
                      <w:color w:val="auto"/>
                      <w:spacing w:val="-10"/>
                      <w:sz w:val="18"/>
                      <w:szCs w:val="18"/>
                      <w:highlight w:val="none"/>
                      <w:lang w:val="en-US" w:eastAsia="zh-CN"/>
                    </w:rPr>
                    <w:t>m</w:t>
                  </w:r>
                  <w:r>
                    <w:rPr>
                      <w:rFonts w:hint="default" w:ascii="Times New Roman" w:hAnsi="Times New Roman" w:cs="Times New Roman"/>
                      <w:color w:val="auto"/>
                      <w:spacing w:val="-10"/>
                      <w:sz w:val="18"/>
                      <w:szCs w:val="18"/>
                      <w:highlight w:val="none"/>
                      <w:lang w:val="en-US" w:eastAsia="zh-CN"/>
                    </w:rPr>
                    <w:t>×</w:t>
                  </w:r>
                  <w:r>
                    <w:rPr>
                      <w:rFonts w:hint="eastAsia" w:cs="Times New Roman"/>
                      <w:color w:val="auto"/>
                      <w:spacing w:val="-10"/>
                      <w:sz w:val="18"/>
                      <w:szCs w:val="18"/>
                      <w:highlight w:val="none"/>
                      <w:lang w:val="en-US" w:eastAsia="zh-CN"/>
                    </w:rPr>
                    <w:t>3.5</w:t>
                  </w:r>
                  <w:r>
                    <w:rPr>
                      <w:rFonts w:hint="eastAsia" w:ascii="Times New Roman" w:hAnsi="Times New Roman" w:cs="Times New Roman"/>
                      <w:color w:val="auto"/>
                      <w:spacing w:val="-10"/>
                      <w:sz w:val="18"/>
                      <w:szCs w:val="18"/>
                      <w:highlight w:val="none"/>
                      <w:lang w:val="en-US" w:eastAsia="zh-CN"/>
                    </w:rPr>
                    <w:t>m</w:t>
                  </w:r>
                </w:p>
              </w:tc>
              <w:tc>
                <w:tcPr>
                  <w:tcW w:w="649" w:type="dxa"/>
                  <w:tcBorders>
                    <w:tl2br w:val="nil"/>
                    <w:tr2bl w:val="nil"/>
                  </w:tcBorders>
                  <w:shd w:val="clear" w:color="auto" w:fill="auto"/>
                  <w:vAlign w:val="center"/>
                </w:tcPr>
                <w:p w14:paraId="3225054F">
                  <w:pPr>
                    <w:widowControl/>
                    <w:jc w:val="center"/>
                    <w:rPr>
                      <w:rFonts w:hint="eastAsia" w:ascii="Times New Roman" w:hAnsi="Times New Roman" w:eastAsia="宋体" w:cs="Times New Roman"/>
                      <w:color w:val="auto"/>
                      <w:spacing w:val="-10"/>
                      <w:kern w:val="2"/>
                      <w:sz w:val="18"/>
                      <w:szCs w:val="18"/>
                      <w:highlight w:val="none"/>
                      <w:lang w:val="en-US" w:eastAsia="zh-CN" w:bidi="ar-SA"/>
                    </w:rPr>
                  </w:pPr>
                  <w:r>
                    <w:rPr>
                      <w:rFonts w:hint="eastAsia"/>
                      <w:color w:val="auto"/>
                      <w:spacing w:val="-10"/>
                      <w:sz w:val="18"/>
                      <w:szCs w:val="18"/>
                      <w:highlight w:val="none"/>
                      <w:lang w:val="en-US" w:eastAsia="zh-CN"/>
                    </w:rPr>
                    <w:t>3</w:t>
                  </w:r>
                </w:p>
              </w:tc>
              <w:tc>
                <w:tcPr>
                  <w:tcW w:w="3457" w:type="dxa"/>
                  <w:tcBorders>
                    <w:tl2br w:val="nil"/>
                    <w:tr2bl w:val="nil"/>
                  </w:tcBorders>
                  <w:shd w:val="clear" w:color="auto" w:fill="auto"/>
                  <w:vAlign w:val="center"/>
                </w:tcPr>
                <w:p w14:paraId="2E7C55FF">
                  <w:pPr>
                    <w:widowControl/>
                    <w:jc w:val="center"/>
                    <w:rPr>
                      <w:rFonts w:hint="eastAsia" w:ascii="Times New Roman" w:hAnsi="Times New Roman" w:eastAsia="宋体" w:cs="Times New Roman"/>
                      <w:color w:val="auto"/>
                      <w:spacing w:val="-10"/>
                      <w:kern w:val="2"/>
                      <w:sz w:val="18"/>
                      <w:szCs w:val="18"/>
                      <w:highlight w:val="none"/>
                      <w:lang w:val="en-US" w:eastAsia="zh-CN" w:bidi="ar-SA"/>
                    </w:rPr>
                  </w:pPr>
                  <w:r>
                    <w:rPr>
                      <w:rFonts w:hint="eastAsia" w:ascii="Times New Roman" w:hAnsi="Times New Roman" w:cs="Times New Roman"/>
                      <w:color w:val="auto"/>
                      <w:spacing w:val="-10"/>
                      <w:sz w:val="18"/>
                      <w:szCs w:val="18"/>
                      <w:highlight w:val="none"/>
                      <w:lang w:val="en-US" w:eastAsia="zh-CN"/>
                    </w:rPr>
                    <w:t>抗渗混凝土结构，防渗处理</w:t>
                  </w:r>
                </w:p>
              </w:tc>
            </w:tr>
            <w:tr w14:paraId="21636F2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83" w:hRule="atLeast"/>
                <w:jc w:val="center"/>
              </w:trPr>
              <w:tc>
                <w:tcPr>
                  <w:tcW w:w="436" w:type="dxa"/>
                  <w:tcBorders>
                    <w:tl2br w:val="nil"/>
                    <w:tr2bl w:val="nil"/>
                  </w:tcBorders>
                  <w:vAlign w:val="center"/>
                </w:tcPr>
                <w:p w14:paraId="4E9AEE96">
                  <w:pPr>
                    <w:jc w:val="center"/>
                    <w:rPr>
                      <w:rFonts w:hint="default"/>
                      <w:color w:val="auto"/>
                      <w:spacing w:val="-10"/>
                      <w:sz w:val="18"/>
                      <w:szCs w:val="18"/>
                      <w:highlight w:val="none"/>
                      <w:lang w:val="en-US" w:eastAsia="zh-CN"/>
                    </w:rPr>
                  </w:pPr>
                  <w:r>
                    <w:rPr>
                      <w:rFonts w:hint="eastAsia"/>
                      <w:color w:val="auto"/>
                      <w:spacing w:val="-10"/>
                      <w:sz w:val="18"/>
                      <w:szCs w:val="18"/>
                      <w:highlight w:val="none"/>
                      <w:lang w:val="en-US" w:eastAsia="zh-CN"/>
                    </w:rPr>
                    <w:t>2</w:t>
                  </w:r>
                </w:p>
              </w:tc>
              <w:tc>
                <w:tcPr>
                  <w:tcW w:w="1237" w:type="dxa"/>
                  <w:tcBorders>
                    <w:tl2br w:val="nil"/>
                    <w:tr2bl w:val="nil"/>
                  </w:tcBorders>
                  <w:vAlign w:val="center"/>
                </w:tcPr>
                <w:p w14:paraId="12B82C1E">
                  <w:pPr>
                    <w:snapToGrid w:val="0"/>
                    <w:spacing w:line="0" w:lineRule="atLeast"/>
                    <w:jc w:val="center"/>
                    <w:rPr>
                      <w:rFonts w:hint="eastAsia" w:cs="Times New Roman"/>
                      <w:color w:val="auto"/>
                      <w:spacing w:val="-10"/>
                      <w:sz w:val="18"/>
                      <w:szCs w:val="18"/>
                      <w:highlight w:val="none"/>
                      <w:lang w:val="en-US" w:eastAsia="zh-CN"/>
                    </w:rPr>
                  </w:pPr>
                  <w:r>
                    <w:rPr>
                      <w:rFonts w:hint="eastAsia"/>
                      <w:color w:val="auto"/>
                      <w:spacing w:val="-10"/>
                      <w:sz w:val="18"/>
                      <w:szCs w:val="18"/>
                      <w:highlight w:val="none"/>
                      <w:lang w:val="en-US" w:eastAsia="zh-CN"/>
                    </w:rPr>
                    <w:t>2</w:t>
                  </w:r>
                  <w:r>
                    <w:rPr>
                      <w:rFonts w:hint="eastAsia"/>
                      <w:color w:val="auto"/>
                      <w:spacing w:val="-10"/>
                      <w:sz w:val="18"/>
                      <w:szCs w:val="18"/>
                      <w:highlight w:val="none"/>
                      <w:vertAlign w:val="superscript"/>
                      <w:lang w:val="en-US" w:eastAsia="zh-CN"/>
                    </w:rPr>
                    <w:t>#</w:t>
                  </w:r>
                  <w:r>
                    <w:rPr>
                      <w:rFonts w:hint="eastAsia"/>
                      <w:color w:val="auto"/>
                      <w:spacing w:val="-10"/>
                      <w:sz w:val="18"/>
                      <w:szCs w:val="18"/>
                      <w:highlight w:val="none"/>
                      <w:lang w:val="en-US" w:eastAsia="zh-CN"/>
                    </w:rPr>
                    <w:t>生产车间</w:t>
                  </w:r>
                </w:p>
              </w:tc>
              <w:tc>
                <w:tcPr>
                  <w:tcW w:w="1050" w:type="dxa"/>
                  <w:tcBorders>
                    <w:tl2br w:val="nil"/>
                    <w:tr2bl w:val="nil"/>
                  </w:tcBorders>
                  <w:vAlign w:val="center"/>
                </w:tcPr>
                <w:p w14:paraId="1714C993">
                  <w:pPr>
                    <w:snapToGrid w:val="0"/>
                    <w:spacing w:line="0" w:lineRule="atLeast"/>
                    <w:jc w:val="center"/>
                    <w:rPr>
                      <w:rFonts w:hint="default" w:cs="Times New Roman"/>
                      <w:color w:val="auto"/>
                      <w:spacing w:val="-10"/>
                      <w:sz w:val="18"/>
                      <w:szCs w:val="18"/>
                      <w:highlight w:val="none"/>
                      <w:lang w:val="en-US" w:eastAsia="zh-CN"/>
                    </w:rPr>
                  </w:pPr>
                  <w:r>
                    <w:rPr>
                      <w:rFonts w:hint="eastAsia" w:cs="Times New Roman"/>
                      <w:color w:val="auto"/>
                      <w:spacing w:val="-10"/>
                      <w:sz w:val="18"/>
                      <w:szCs w:val="18"/>
                      <w:highlight w:val="none"/>
                      <w:lang w:val="en-US" w:eastAsia="zh-CN"/>
                    </w:rPr>
                    <w:t>1170</w:t>
                  </w:r>
                </w:p>
              </w:tc>
              <w:tc>
                <w:tcPr>
                  <w:tcW w:w="1226" w:type="dxa"/>
                  <w:tcBorders>
                    <w:tl2br w:val="nil"/>
                    <w:tr2bl w:val="nil"/>
                  </w:tcBorders>
                  <w:vAlign w:val="center"/>
                </w:tcPr>
                <w:p w14:paraId="15E24732">
                  <w:pPr>
                    <w:snapToGrid w:val="0"/>
                    <w:spacing w:line="0" w:lineRule="atLeast"/>
                    <w:jc w:val="center"/>
                    <w:rPr>
                      <w:rFonts w:hint="eastAsia" w:ascii="Times New Roman" w:hAnsi="Times New Roman" w:cs="Times New Roman"/>
                      <w:color w:val="auto"/>
                      <w:spacing w:val="-10"/>
                      <w:sz w:val="18"/>
                      <w:szCs w:val="18"/>
                      <w:highlight w:val="none"/>
                      <w:lang w:val="en-US" w:eastAsia="zh-CN"/>
                    </w:rPr>
                  </w:pPr>
                  <w:r>
                    <w:rPr>
                      <w:rFonts w:hint="eastAsia" w:ascii="Times New Roman" w:hAnsi="Times New Roman" w:cs="Times New Roman"/>
                      <w:color w:val="auto"/>
                      <w:spacing w:val="-10"/>
                      <w:sz w:val="18"/>
                      <w:szCs w:val="18"/>
                      <w:highlight w:val="none"/>
                      <w:lang w:val="en-US" w:eastAsia="zh-CN"/>
                    </w:rPr>
                    <w:t>15m</w:t>
                  </w:r>
                  <w:r>
                    <w:rPr>
                      <w:rFonts w:hint="default" w:ascii="Times New Roman" w:hAnsi="Times New Roman" w:cs="Times New Roman"/>
                      <w:color w:val="auto"/>
                      <w:spacing w:val="-10"/>
                      <w:sz w:val="18"/>
                      <w:szCs w:val="18"/>
                      <w:highlight w:val="none"/>
                      <w:lang w:val="en-US" w:eastAsia="zh-CN"/>
                    </w:rPr>
                    <w:t>×</w:t>
                  </w:r>
                  <w:r>
                    <w:rPr>
                      <w:rFonts w:hint="eastAsia" w:cs="Times New Roman"/>
                      <w:color w:val="auto"/>
                      <w:spacing w:val="-10"/>
                      <w:sz w:val="18"/>
                      <w:szCs w:val="18"/>
                      <w:highlight w:val="none"/>
                      <w:lang w:val="en-US" w:eastAsia="zh-CN"/>
                    </w:rPr>
                    <w:t>78</w:t>
                  </w:r>
                  <w:r>
                    <w:rPr>
                      <w:rFonts w:hint="eastAsia" w:ascii="Times New Roman" w:hAnsi="Times New Roman" w:cs="Times New Roman"/>
                      <w:color w:val="auto"/>
                      <w:spacing w:val="-10"/>
                      <w:sz w:val="18"/>
                      <w:szCs w:val="18"/>
                      <w:highlight w:val="none"/>
                      <w:lang w:val="en-US" w:eastAsia="zh-CN"/>
                    </w:rPr>
                    <w:t>m</w:t>
                  </w:r>
                  <w:r>
                    <w:rPr>
                      <w:rFonts w:hint="default" w:ascii="Times New Roman" w:hAnsi="Times New Roman" w:cs="Times New Roman"/>
                      <w:color w:val="auto"/>
                      <w:spacing w:val="-10"/>
                      <w:sz w:val="18"/>
                      <w:szCs w:val="18"/>
                      <w:highlight w:val="none"/>
                      <w:lang w:val="en-US" w:eastAsia="zh-CN"/>
                    </w:rPr>
                    <w:t>×</w:t>
                  </w:r>
                  <w:r>
                    <w:rPr>
                      <w:rFonts w:hint="eastAsia" w:cs="Times New Roman"/>
                      <w:color w:val="auto"/>
                      <w:spacing w:val="-10"/>
                      <w:sz w:val="18"/>
                      <w:szCs w:val="18"/>
                      <w:highlight w:val="none"/>
                      <w:lang w:val="en-US" w:eastAsia="zh-CN"/>
                    </w:rPr>
                    <w:t>12</w:t>
                  </w:r>
                  <w:r>
                    <w:rPr>
                      <w:rFonts w:hint="eastAsia" w:ascii="Times New Roman" w:hAnsi="Times New Roman" w:cs="Times New Roman"/>
                      <w:color w:val="auto"/>
                      <w:spacing w:val="-10"/>
                      <w:sz w:val="18"/>
                      <w:szCs w:val="18"/>
                      <w:highlight w:val="none"/>
                      <w:lang w:val="en-US" w:eastAsia="zh-CN"/>
                    </w:rPr>
                    <w:t>m</w:t>
                  </w:r>
                </w:p>
              </w:tc>
              <w:tc>
                <w:tcPr>
                  <w:tcW w:w="649" w:type="dxa"/>
                  <w:tcBorders>
                    <w:tl2br w:val="nil"/>
                    <w:tr2bl w:val="nil"/>
                  </w:tcBorders>
                  <w:vAlign w:val="center"/>
                </w:tcPr>
                <w:p w14:paraId="19E637E0">
                  <w:pPr>
                    <w:widowControl/>
                    <w:jc w:val="center"/>
                    <w:rPr>
                      <w:rFonts w:hint="default"/>
                      <w:color w:val="auto"/>
                      <w:spacing w:val="-10"/>
                      <w:sz w:val="18"/>
                      <w:szCs w:val="18"/>
                      <w:highlight w:val="none"/>
                      <w:lang w:val="en-US" w:eastAsia="zh-CN"/>
                    </w:rPr>
                  </w:pPr>
                  <w:r>
                    <w:rPr>
                      <w:rFonts w:hint="eastAsia"/>
                      <w:color w:val="auto"/>
                      <w:spacing w:val="-10"/>
                      <w:sz w:val="18"/>
                      <w:szCs w:val="18"/>
                      <w:highlight w:val="none"/>
                      <w:lang w:val="en-US" w:eastAsia="zh-CN"/>
                    </w:rPr>
                    <w:t>1</w:t>
                  </w:r>
                </w:p>
              </w:tc>
              <w:tc>
                <w:tcPr>
                  <w:tcW w:w="3457" w:type="dxa"/>
                  <w:tcBorders>
                    <w:tl2br w:val="nil"/>
                    <w:tr2bl w:val="nil"/>
                  </w:tcBorders>
                  <w:vAlign w:val="center"/>
                </w:tcPr>
                <w:p w14:paraId="206762DF">
                  <w:pPr>
                    <w:widowControl/>
                    <w:jc w:val="center"/>
                    <w:rPr>
                      <w:rFonts w:hint="eastAsia"/>
                      <w:color w:val="auto"/>
                      <w:spacing w:val="-10"/>
                      <w:sz w:val="18"/>
                      <w:szCs w:val="18"/>
                      <w:highlight w:val="none"/>
                    </w:rPr>
                  </w:pPr>
                  <w:r>
                    <w:rPr>
                      <w:rFonts w:hint="eastAsia"/>
                      <w:color w:val="auto"/>
                      <w:spacing w:val="-10"/>
                      <w:sz w:val="18"/>
                      <w:szCs w:val="18"/>
                      <w:highlight w:val="none"/>
                      <w:lang w:val="en-US" w:eastAsia="zh-CN"/>
                    </w:rPr>
                    <w:t>3</w:t>
                  </w:r>
                  <w:r>
                    <w:rPr>
                      <w:rFonts w:hint="eastAsia"/>
                      <w:color w:val="auto"/>
                      <w:spacing w:val="-10"/>
                      <w:sz w:val="18"/>
                      <w:szCs w:val="18"/>
                      <w:highlight w:val="none"/>
                    </w:rPr>
                    <w:t>m混凝</w:t>
                  </w:r>
                  <w:r>
                    <w:rPr>
                      <w:rFonts w:hint="eastAsia" w:ascii="Times New Roman" w:hAnsi="Times New Roman" w:eastAsia="宋体" w:cs="Times New Roman"/>
                      <w:color w:val="auto"/>
                      <w:spacing w:val="-10"/>
                      <w:sz w:val="18"/>
                      <w:szCs w:val="18"/>
                      <w:highlight w:val="none"/>
                    </w:rPr>
                    <w:t>土基础墙+</w:t>
                  </w:r>
                  <w:r>
                    <w:rPr>
                      <w:rFonts w:hint="eastAsia"/>
                      <w:color w:val="auto"/>
                      <w:spacing w:val="-10"/>
                      <w:sz w:val="18"/>
                      <w:szCs w:val="18"/>
                      <w:highlight w:val="none"/>
                      <w:lang w:val="en-US" w:eastAsia="zh-CN"/>
                    </w:rPr>
                    <w:t>双层</w:t>
                  </w:r>
                  <w:r>
                    <w:rPr>
                      <w:rFonts w:hint="eastAsia"/>
                      <w:color w:val="auto"/>
                      <w:spacing w:val="-10"/>
                      <w:sz w:val="18"/>
                      <w:szCs w:val="18"/>
                      <w:highlight w:val="none"/>
                    </w:rPr>
                    <w:t>彩钢结构</w:t>
                  </w:r>
                  <w:r>
                    <w:rPr>
                      <w:rFonts w:hint="eastAsia"/>
                      <w:color w:val="auto"/>
                      <w:spacing w:val="-10"/>
                      <w:sz w:val="18"/>
                      <w:szCs w:val="18"/>
                      <w:highlight w:val="none"/>
                      <w:lang w:eastAsia="zh-CN"/>
                    </w:rPr>
                    <w:t>、</w:t>
                  </w:r>
                  <w:r>
                    <w:rPr>
                      <w:rFonts w:hint="eastAsia"/>
                      <w:color w:val="auto"/>
                      <w:spacing w:val="-10"/>
                      <w:sz w:val="18"/>
                      <w:szCs w:val="18"/>
                      <w:highlight w:val="none"/>
                      <w:lang w:val="en-US" w:eastAsia="zh-CN"/>
                    </w:rPr>
                    <w:t>内置隔音棉</w:t>
                  </w:r>
                </w:p>
              </w:tc>
            </w:tr>
            <w:tr w14:paraId="0F1797A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83" w:hRule="atLeast"/>
                <w:jc w:val="center"/>
              </w:trPr>
              <w:tc>
                <w:tcPr>
                  <w:tcW w:w="436" w:type="dxa"/>
                  <w:tcBorders>
                    <w:tl2br w:val="nil"/>
                    <w:tr2bl w:val="nil"/>
                  </w:tcBorders>
                  <w:vAlign w:val="center"/>
                </w:tcPr>
                <w:p w14:paraId="661A1FB0">
                  <w:pPr>
                    <w:jc w:val="center"/>
                    <w:rPr>
                      <w:rFonts w:hint="default"/>
                      <w:color w:val="auto"/>
                      <w:spacing w:val="-10"/>
                      <w:sz w:val="18"/>
                      <w:szCs w:val="18"/>
                      <w:highlight w:val="none"/>
                      <w:lang w:val="en-US" w:eastAsia="zh-CN"/>
                    </w:rPr>
                  </w:pPr>
                  <w:r>
                    <w:rPr>
                      <w:rFonts w:hint="eastAsia"/>
                      <w:color w:val="auto"/>
                      <w:spacing w:val="-10"/>
                      <w:sz w:val="18"/>
                      <w:szCs w:val="18"/>
                      <w:highlight w:val="none"/>
                      <w:lang w:val="en-US" w:eastAsia="zh-CN"/>
                    </w:rPr>
                    <w:t>2.1</w:t>
                  </w:r>
                </w:p>
              </w:tc>
              <w:tc>
                <w:tcPr>
                  <w:tcW w:w="1237" w:type="dxa"/>
                  <w:tcBorders>
                    <w:tl2br w:val="nil"/>
                    <w:tr2bl w:val="nil"/>
                  </w:tcBorders>
                  <w:vAlign w:val="center"/>
                </w:tcPr>
                <w:p w14:paraId="57CD7DCF">
                  <w:pPr>
                    <w:snapToGrid w:val="0"/>
                    <w:spacing w:line="0" w:lineRule="atLeast"/>
                    <w:jc w:val="center"/>
                    <w:rPr>
                      <w:rFonts w:hint="default" w:cs="Times New Roman"/>
                      <w:color w:val="auto"/>
                      <w:spacing w:val="-10"/>
                      <w:sz w:val="18"/>
                      <w:szCs w:val="18"/>
                      <w:highlight w:val="none"/>
                      <w:lang w:val="en-US" w:eastAsia="zh-CN"/>
                    </w:rPr>
                  </w:pPr>
                  <w:r>
                    <w:rPr>
                      <w:rFonts w:hint="eastAsia" w:cs="Times New Roman"/>
                      <w:color w:val="auto"/>
                      <w:spacing w:val="-10"/>
                      <w:sz w:val="18"/>
                      <w:szCs w:val="18"/>
                      <w:highlight w:val="none"/>
                      <w:lang w:val="en-US" w:eastAsia="zh-CN"/>
                    </w:rPr>
                    <w:t>钢渣</w:t>
                  </w:r>
                  <w:r>
                    <w:rPr>
                      <w:rFonts w:hint="eastAsia"/>
                      <w:color w:val="auto"/>
                      <w:spacing w:val="-10"/>
                      <w:sz w:val="18"/>
                      <w:szCs w:val="18"/>
                      <w:highlight w:val="none"/>
                      <w:lang w:val="en-US" w:eastAsia="zh-CN"/>
                    </w:rPr>
                    <w:t>暂存区</w:t>
                  </w:r>
                </w:p>
              </w:tc>
              <w:tc>
                <w:tcPr>
                  <w:tcW w:w="1050" w:type="dxa"/>
                  <w:tcBorders>
                    <w:tl2br w:val="nil"/>
                    <w:tr2bl w:val="nil"/>
                  </w:tcBorders>
                  <w:vAlign w:val="center"/>
                </w:tcPr>
                <w:p w14:paraId="508932B2">
                  <w:pPr>
                    <w:snapToGrid w:val="0"/>
                    <w:spacing w:line="0" w:lineRule="atLeast"/>
                    <w:jc w:val="center"/>
                    <w:rPr>
                      <w:rFonts w:hint="default" w:cs="Times New Roman"/>
                      <w:color w:val="auto"/>
                      <w:spacing w:val="-10"/>
                      <w:sz w:val="18"/>
                      <w:szCs w:val="18"/>
                      <w:highlight w:val="none"/>
                      <w:lang w:val="en-US" w:eastAsia="zh-CN"/>
                    </w:rPr>
                  </w:pPr>
                  <w:r>
                    <w:rPr>
                      <w:rFonts w:hint="eastAsia" w:cs="Times New Roman"/>
                      <w:color w:val="auto"/>
                      <w:spacing w:val="-10"/>
                      <w:sz w:val="18"/>
                      <w:szCs w:val="18"/>
                      <w:highlight w:val="none"/>
                      <w:lang w:val="en-US" w:eastAsia="zh-CN"/>
                    </w:rPr>
                    <w:t>360</w:t>
                  </w:r>
                </w:p>
              </w:tc>
              <w:tc>
                <w:tcPr>
                  <w:tcW w:w="1226" w:type="dxa"/>
                  <w:tcBorders>
                    <w:tl2br w:val="nil"/>
                    <w:tr2bl w:val="nil"/>
                  </w:tcBorders>
                  <w:vAlign w:val="center"/>
                </w:tcPr>
                <w:p w14:paraId="2BCA8E76">
                  <w:pPr>
                    <w:snapToGrid w:val="0"/>
                    <w:spacing w:line="0" w:lineRule="atLeast"/>
                    <w:jc w:val="center"/>
                    <w:rPr>
                      <w:rFonts w:hint="eastAsia" w:ascii="Times New Roman" w:hAnsi="Times New Roman" w:cs="Times New Roman"/>
                      <w:color w:val="auto"/>
                      <w:spacing w:val="-10"/>
                      <w:sz w:val="18"/>
                      <w:szCs w:val="18"/>
                      <w:highlight w:val="none"/>
                      <w:lang w:val="en-US" w:eastAsia="zh-CN"/>
                    </w:rPr>
                  </w:pPr>
                  <w:r>
                    <w:rPr>
                      <w:rFonts w:hint="eastAsia" w:ascii="Times New Roman" w:hAnsi="Times New Roman" w:cs="Times New Roman"/>
                      <w:color w:val="auto"/>
                      <w:spacing w:val="-10"/>
                      <w:sz w:val="18"/>
                      <w:szCs w:val="18"/>
                      <w:highlight w:val="none"/>
                      <w:lang w:val="en-US" w:eastAsia="zh-CN"/>
                    </w:rPr>
                    <w:t>12m</w:t>
                  </w:r>
                  <w:r>
                    <w:rPr>
                      <w:rFonts w:hint="default" w:ascii="Times New Roman" w:hAnsi="Times New Roman" w:cs="Times New Roman"/>
                      <w:color w:val="auto"/>
                      <w:spacing w:val="-10"/>
                      <w:sz w:val="18"/>
                      <w:szCs w:val="18"/>
                      <w:highlight w:val="none"/>
                      <w:lang w:val="en-US" w:eastAsia="zh-CN"/>
                    </w:rPr>
                    <w:t>×</w:t>
                  </w:r>
                  <w:r>
                    <w:rPr>
                      <w:rFonts w:hint="eastAsia" w:cs="Times New Roman"/>
                      <w:color w:val="auto"/>
                      <w:spacing w:val="-10"/>
                      <w:sz w:val="18"/>
                      <w:szCs w:val="18"/>
                      <w:highlight w:val="none"/>
                      <w:lang w:val="en-US" w:eastAsia="zh-CN"/>
                    </w:rPr>
                    <w:t>30</w:t>
                  </w:r>
                  <w:r>
                    <w:rPr>
                      <w:rFonts w:hint="eastAsia" w:ascii="Times New Roman" w:hAnsi="Times New Roman" w:cs="Times New Roman"/>
                      <w:color w:val="auto"/>
                      <w:spacing w:val="-10"/>
                      <w:sz w:val="18"/>
                      <w:szCs w:val="18"/>
                      <w:highlight w:val="none"/>
                      <w:lang w:val="en-US" w:eastAsia="zh-CN"/>
                    </w:rPr>
                    <w:t>m</w:t>
                  </w:r>
                </w:p>
              </w:tc>
              <w:tc>
                <w:tcPr>
                  <w:tcW w:w="649" w:type="dxa"/>
                  <w:tcBorders>
                    <w:tl2br w:val="nil"/>
                    <w:tr2bl w:val="nil"/>
                  </w:tcBorders>
                  <w:vAlign w:val="center"/>
                </w:tcPr>
                <w:p w14:paraId="09173F68">
                  <w:pPr>
                    <w:widowControl/>
                    <w:jc w:val="center"/>
                    <w:rPr>
                      <w:rFonts w:hint="default"/>
                      <w:color w:val="auto"/>
                      <w:spacing w:val="-10"/>
                      <w:sz w:val="18"/>
                      <w:szCs w:val="18"/>
                      <w:highlight w:val="none"/>
                      <w:lang w:val="en-US" w:eastAsia="zh-CN"/>
                    </w:rPr>
                  </w:pPr>
                  <w:r>
                    <w:rPr>
                      <w:rFonts w:hint="eastAsia"/>
                      <w:color w:val="auto"/>
                      <w:spacing w:val="-10"/>
                      <w:sz w:val="18"/>
                      <w:szCs w:val="18"/>
                      <w:highlight w:val="none"/>
                      <w:lang w:val="en-US" w:eastAsia="zh-CN"/>
                    </w:rPr>
                    <w:t>1</w:t>
                  </w:r>
                </w:p>
              </w:tc>
              <w:tc>
                <w:tcPr>
                  <w:tcW w:w="3457" w:type="dxa"/>
                  <w:tcBorders>
                    <w:tl2br w:val="nil"/>
                    <w:tr2bl w:val="nil"/>
                  </w:tcBorders>
                  <w:vAlign w:val="center"/>
                </w:tcPr>
                <w:p w14:paraId="4444C696">
                  <w:pPr>
                    <w:widowControl/>
                    <w:jc w:val="center"/>
                    <w:rPr>
                      <w:rFonts w:hint="default"/>
                      <w:color w:val="auto"/>
                      <w:spacing w:val="-10"/>
                      <w:sz w:val="18"/>
                      <w:szCs w:val="18"/>
                      <w:highlight w:val="none"/>
                      <w:lang w:val="en-US" w:eastAsia="zh-CN"/>
                    </w:rPr>
                  </w:pPr>
                  <w:r>
                    <w:rPr>
                      <w:rFonts w:hint="eastAsia"/>
                      <w:color w:val="auto"/>
                      <w:spacing w:val="-10"/>
                      <w:sz w:val="18"/>
                      <w:szCs w:val="18"/>
                      <w:highlight w:val="none"/>
                      <w:lang w:val="en-US" w:eastAsia="zh-CN"/>
                    </w:rPr>
                    <w:t>位于2</w:t>
                  </w:r>
                  <w:r>
                    <w:rPr>
                      <w:rFonts w:hint="eastAsia"/>
                      <w:color w:val="auto"/>
                      <w:spacing w:val="-10"/>
                      <w:sz w:val="18"/>
                      <w:szCs w:val="18"/>
                      <w:highlight w:val="none"/>
                      <w:vertAlign w:val="superscript"/>
                      <w:lang w:val="en-US" w:eastAsia="zh-CN"/>
                    </w:rPr>
                    <w:t>#</w:t>
                  </w:r>
                  <w:r>
                    <w:rPr>
                      <w:rFonts w:hint="eastAsia"/>
                      <w:color w:val="auto"/>
                      <w:spacing w:val="-10"/>
                      <w:sz w:val="18"/>
                      <w:szCs w:val="18"/>
                      <w:highlight w:val="none"/>
                      <w:lang w:val="en-US" w:eastAsia="zh-CN"/>
                    </w:rPr>
                    <w:t>生产车间内，地面采用200mm厚防渗混凝土进行防渗</w:t>
                  </w:r>
                </w:p>
              </w:tc>
            </w:tr>
          </w:tbl>
          <w:p w14:paraId="12A716B5">
            <w:pPr>
              <w:jc w:val="center"/>
              <w:rPr>
                <w:rFonts w:hint="eastAsia"/>
                <w:b/>
                <w:bCs/>
                <w:color w:val="auto"/>
                <w:sz w:val="21"/>
                <w:szCs w:val="21"/>
                <w:highlight w:val="none"/>
                <w:lang w:val="en-US" w:eastAsia="zh-CN"/>
              </w:rPr>
            </w:pPr>
          </w:p>
          <w:p w14:paraId="23C5CE0A">
            <w:pPr>
              <w:jc w:val="center"/>
              <w:rPr>
                <w:rFonts w:hint="eastAsia"/>
                <w:b/>
                <w:bCs/>
                <w:color w:val="auto"/>
                <w:sz w:val="21"/>
                <w:szCs w:val="21"/>
                <w:highlight w:val="none"/>
                <w:lang w:val="en-US" w:eastAsia="zh-CN"/>
              </w:rPr>
            </w:pPr>
          </w:p>
          <w:p w14:paraId="598400BD">
            <w:pPr>
              <w:jc w:val="center"/>
              <w:rPr>
                <w:rFonts w:hint="eastAsia"/>
                <w:b/>
                <w:bCs/>
                <w:color w:val="auto"/>
                <w:sz w:val="21"/>
                <w:szCs w:val="21"/>
                <w:highlight w:val="none"/>
                <w:lang w:val="en-US" w:eastAsia="zh-CN"/>
              </w:rPr>
            </w:pPr>
          </w:p>
          <w:p w14:paraId="351FBA56">
            <w:pPr>
              <w:jc w:val="center"/>
              <w:rPr>
                <w:color w:val="auto"/>
              </w:rPr>
            </w:pPr>
            <w:r>
              <w:rPr>
                <w:rFonts w:hint="eastAsia"/>
                <w:b/>
                <w:bCs/>
                <w:color w:val="auto"/>
                <w:sz w:val="21"/>
                <w:szCs w:val="21"/>
                <w:highlight w:val="none"/>
                <w:lang w:val="en-US" w:eastAsia="zh-CN"/>
              </w:rPr>
              <w:t>续</w:t>
            </w:r>
            <w:r>
              <w:rPr>
                <w:rFonts w:ascii="Times New Roman" w:hAnsi="Times New Roman"/>
                <w:b/>
                <w:bCs/>
                <w:color w:val="auto"/>
                <w:sz w:val="21"/>
                <w:szCs w:val="21"/>
                <w:highlight w:val="none"/>
              </w:rPr>
              <w:t>表</w:t>
            </w:r>
            <w:r>
              <w:rPr>
                <w:rFonts w:hint="eastAsia" w:ascii="Times New Roman" w:hAnsi="Times New Roman"/>
                <w:b/>
                <w:bCs/>
                <w:color w:val="auto"/>
                <w:sz w:val="21"/>
                <w:szCs w:val="21"/>
                <w:highlight w:val="none"/>
                <w:lang w:val="en-US" w:eastAsia="zh-CN"/>
              </w:rPr>
              <w:t>7</w:t>
            </w:r>
            <w:r>
              <w:rPr>
                <w:rFonts w:ascii="Times New Roman" w:hAnsi="Times New Roman"/>
                <w:b/>
                <w:bCs/>
                <w:color w:val="auto"/>
                <w:sz w:val="21"/>
                <w:szCs w:val="21"/>
                <w:highlight w:val="none"/>
              </w:rPr>
              <w:t xml:space="preserve"> 项目主要建构筑物一览表</w:t>
            </w:r>
          </w:p>
          <w:tbl>
            <w:tblPr>
              <w:tblStyle w:val="28"/>
              <w:tblW w:w="8055"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436"/>
              <w:gridCol w:w="1237"/>
              <w:gridCol w:w="1050"/>
              <w:gridCol w:w="1226"/>
              <w:gridCol w:w="649"/>
              <w:gridCol w:w="3457"/>
            </w:tblGrid>
            <w:tr w14:paraId="150F33D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83" w:hRule="atLeast"/>
                <w:jc w:val="center"/>
              </w:trPr>
              <w:tc>
                <w:tcPr>
                  <w:tcW w:w="436" w:type="dxa"/>
                  <w:tcBorders>
                    <w:tl2br w:val="nil"/>
                    <w:tr2bl w:val="nil"/>
                  </w:tcBorders>
                  <w:vAlign w:val="center"/>
                </w:tcPr>
                <w:p w14:paraId="2FC4534C">
                  <w:pPr>
                    <w:widowControl/>
                    <w:jc w:val="center"/>
                    <w:rPr>
                      <w:rFonts w:hint="eastAsia" w:ascii="Times New Roman" w:hAnsi="Times New Roman" w:eastAsia="宋体" w:cs="Times New Roman"/>
                      <w:color w:val="auto"/>
                      <w:spacing w:val="-10"/>
                      <w:kern w:val="2"/>
                      <w:sz w:val="18"/>
                      <w:szCs w:val="18"/>
                      <w:highlight w:val="none"/>
                      <w:lang w:val="en-US" w:eastAsia="zh-CN" w:bidi="ar-SA"/>
                    </w:rPr>
                  </w:pPr>
                  <w:r>
                    <w:rPr>
                      <w:color w:val="auto"/>
                      <w:spacing w:val="-10"/>
                      <w:sz w:val="18"/>
                      <w:szCs w:val="18"/>
                      <w:highlight w:val="none"/>
                    </w:rPr>
                    <w:t>序号</w:t>
                  </w:r>
                </w:p>
              </w:tc>
              <w:tc>
                <w:tcPr>
                  <w:tcW w:w="1237" w:type="dxa"/>
                  <w:tcBorders>
                    <w:tl2br w:val="nil"/>
                    <w:tr2bl w:val="nil"/>
                  </w:tcBorders>
                  <w:vAlign w:val="center"/>
                </w:tcPr>
                <w:p w14:paraId="266A921B">
                  <w:pPr>
                    <w:widowControl/>
                    <w:jc w:val="center"/>
                    <w:rPr>
                      <w:rFonts w:hint="eastAsia" w:ascii="Times New Roman" w:hAnsi="Times New Roman" w:eastAsia="宋体" w:cs="Times New Roman"/>
                      <w:color w:val="auto"/>
                      <w:spacing w:val="-10"/>
                      <w:kern w:val="2"/>
                      <w:sz w:val="18"/>
                      <w:szCs w:val="18"/>
                      <w:highlight w:val="none"/>
                      <w:lang w:val="en-US" w:eastAsia="zh-CN" w:bidi="ar-SA"/>
                    </w:rPr>
                  </w:pPr>
                  <w:r>
                    <w:rPr>
                      <w:color w:val="auto"/>
                      <w:spacing w:val="-10"/>
                      <w:sz w:val="18"/>
                      <w:szCs w:val="18"/>
                      <w:highlight w:val="none"/>
                    </w:rPr>
                    <w:t>名称</w:t>
                  </w:r>
                </w:p>
              </w:tc>
              <w:tc>
                <w:tcPr>
                  <w:tcW w:w="1050" w:type="dxa"/>
                  <w:tcBorders>
                    <w:tl2br w:val="nil"/>
                    <w:tr2bl w:val="nil"/>
                  </w:tcBorders>
                  <w:vAlign w:val="center"/>
                </w:tcPr>
                <w:p w14:paraId="15371808">
                  <w:pPr>
                    <w:widowControl/>
                    <w:jc w:val="center"/>
                    <w:rPr>
                      <w:rFonts w:hint="eastAsia" w:ascii="Times New Roman" w:hAnsi="Times New Roman" w:eastAsia="宋体" w:cs="Times New Roman"/>
                      <w:color w:val="auto"/>
                      <w:spacing w:val="-10"/>
                      <w:kern w:val="2"/>
                      <w:sz w:val="18"/>
                      <w:szCs w:val="18"/>
                      <w:highlight w:val="none"/>
                      <w:lang w:val="en-US" w:eastAsia="zh-CN" w:bidi="ar-SA"/>
                    </w:rPr>
                  </w:pPr>
                  <w:r>
                    <w:rPr>
                      <w:rFonts w:hint="eastAsia"/>
                      <w:color w:val="auto"/>
                      <w:spacing w:val="-10"/>
                      <w:sz w:val="18"/>
                      <w:szCs w:val="18"/>
                      <w:highlight w:val="none"/>
                    </w:rPr>
                    <w:t>占地</w:t>
                  </w:r>
                  <w:r>
                    <w:rPr>
                      <w:color w:val="auto"/>
                      <w:spacing w:val="-10"/>
                      <w:sz w:val="18"/>
                      <w:szCs w:val="18"/>
                      <w:highlight w:val="none"/>
                    </w:rPr>
                    <w:t>面积（m</w:t>
                  </w:r>
                  <w:r>
                    <w:rPr>
                      <w:color w:val="auto"/>
                      <w:spacing w:val="-10"/>
                      <w:sz w:val="18"/>
                      <w:szCs w:val="18"/>
                      <w:highlight w:val="none"/>
                      <w:vertAlign w:val="superscript"/>
                    </w:rPr>
                    <w:t>2</w:t>
                  </w:r>
                  <w:r>
                    <w:rPr>
                      <w:color w:val="auto"/>
                      <w:spacing w:val="-10"/>
                      <w:sz w:val="18"/>
                      <w:szCs w:val="18"/>
                      <w:highlight w:val="none"/>
                    </w:rPr>
                    <w:t>）</w:t>
                  </w:r>
                </w:p>
              </w:tc>
              <w:tc>
                <w:tcPr>
                  <w:tcW w:w="1226" w:type="dxa"/>
                  <w:tcBorders>
                    <w:tl2br w:val="nil"/>
                    <w:tr2bl w:val="nil"/>
                  </w:tcBorders>
                  <w:vAlign w:val="center"/>
                </w:tcPr>
                <w:p w14:paraId="483AE777">
                  <w:pPr>
                    <w:widowControl/>
                    <w:jc w:val="center"/>
                    <w:rPr>
                      <w:rFonts w:hint="eastAsia" w:ascii="Times New Roman" w:hAnsi="Times New Roman" w:eastAsia="宋体" w:cs="Times New Roman"/>
                      <w:color w:val="auto"/>
                      <w:spacing w:val="-10"/>
                      <w:kern w:val="2"/>
                      <w:sz w:val="18"/>
                      <w:szCs w:val="18"/>
                      <w:highlight w:val="none"/>
                      <w:lang w:val="en-US" w:eastAsia="zh-CN" w:bidi="ar-SA"/>
                    </w:rPr>
                  </w:pPr>
                  <w:r>
                    <w:rPr>
                      <w:color w:val="auto"/>
                      <w:spacing w:val="-10"/>
                      <w:sz w:val="18"/>
                      <w:szCs w:val="18"/>
                      <w:highlight w:val="none"/>
                    </w:rPr>
                    <w:t>规格、尺寸</w:t>
                  </w:r>
                </w:p>
              </w:tc>
              <w:tc>
                <w:tcPr>
                  <w:tcW w:w="649" w:type="dxa"/>
                  <w:tcBorders>
                    <w:tl2br w:val="nil"/>
                    <w:tr2bl w:val="nil"/>
                  </w:tcBorders>
                  <w:vAlign w:val="center"/>
                </w:tcPr>
                <w:p w14:paraId="3DC79926">
                  <w:pPr>
                    <w:widowControl/>
                    <w:jc w:val="center"/>
                    <w:rPr>
                      <w:rFonts w:hint="eastAsia" w:ascii="Times New Roman" w:hAnsi="Times New Roman" w:eastAsia="宋体" w:cs="Times New Roman"/>
                      <w:color w:val="auto"/>
                      <w:spacing w:val="-10"/>
                      <w:kern w:val="2"/>
                      <w:sz w:val="18"/>
                      <w:szCs w:val="18"/>
                      <w:highlight w:val="none"/>
                      <w:lang w:val="en-US" w:eastAsia="zh-CN" w:bidi="ar-SA"/>
                    </w:rPr>
                  </w:pPr>
                  <w:r>
                    <w:rPr>
                      <w:color w:val="auto"/>
                      <w:spacing w:val="-10"/>
                      <w:sz w:val="18"/>
                      <w:szCs w:val="18"/>
                      <w:highlight w:val="none"/>
                    </w:rPr>
                    <w:t>数量</w:t>
                  </w:r>
                </w:p>
              </w:tc>
              <w:tc>
                <w:tcPr>
                  <w:tcW w:w="3457" w:type="dxa"/>
                  <w:tcBorders>
                    <w:tl2br w:val="nil"/>
                    <w:tr2bl w:val="nil"/>
                  </w:tcBorders>
                  <w:vAlign w:val="center"/>
                </w:tcPr>
                <w:p w14:paraId="679FD9B2">
                  <w:pPr>
                    <w:widowControl/>
                    <w:jc w:val="center"/>
                    <w:rPr>
                      <w:rFonts w:hint="eastAsia" w:ascii="Times New Roman" w:hAnsi="Times New Roman" w:eastAsia="宋体" w:cs="Times New Roman"/>
                      <w:color w:val="auto"/>
                      <w:spacing w:val="-10"/>
                      <w:kern w:val="2"/>
                      <w:sz w:val="18"/>
                      <w:szCs w:val="18"/>
                      <w:highlight w:val="none"/>
                      <w:lang w:val="en-US" w:eastAsia="zh-CN" w:bidi="ar-SA"/>
                    </w:rPr>
                  </w:pPr>
                  <w:r>
                    <w:rPr>
                      <w:rFonts w:hint="eastAsia"/>
                      <w:color w:val="auto"/>
                      <w:spacing w:val="-10"/>
                      <w:sz w:val="18"/>
                      <w:szCs w:val="18"/>
                      <w:highlight w:val="none"/>
                      <w:lang w:val="en-US" w:eastAsia="zh-CN"/>
                    </w:rPr>
                    <w:t>结构</w:t>
                  </w:r>
                </w:p>
              </w:tc>
            </w:tr>
            <w:tr w14:paraId="4DDE137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83" w:hRule="atLeast"/>
                <w:jc w:val="center"/>
              </w:trPr>
              <w:tc>
                <w:tcPr>
                  <w:tcW w:w="436" w:type="dxa"/>
                  <w:tcBorders>
                    <w:tl2br w:val="nil"/>
                    <w:tr2bl w:val="nil"/>
                  </w:tcBorders>
                  <w:vAlign w:val="center"/>
                </w:tcPr>
                <w:p w14:paraId="35A15D0C">
                  <w:pPr>
                    <w:jc w:val="center"/>
                    <w:rPr>
                      <w:rFonts w:hint="default"/>
                      <w:color w:val="auto"/>
                      <w:spacing w:val="-10"/>
                      <w:sz w:val="18"/>
                      <w:szCs w:val="18"/>
                      <w:highlight w:val="none"/>
                      <w:lang w:val="en-US" w:eastAsia="zh-CN"/>
                    </w:rPr>
                  </w:pPr>
                  <w:bookmarkStart w:id="15" w:name="OLE_LINK7" w:colFirst="3" w:colLast="3"/>
                  <w:r>
                    <w:rPr>
                      <w:rFonts w:hint="eastAsia"/>
                      <w:color w:val="auto"/>
                      <w:spacing w:val="-10"/>
                      <w:sz w:val="18"/>
                      <w:szCs w:val="18"/>
                      <w:highlight w:val="none"/>
                      <w:lang w:val="en-US" w:eastAsia="zh-CN"/>
                    </w:rPr>
                    <w:t>2.2</w:t>
                  </w:r>
                </w:p>
              </w:tc>
              <w:tc>
                <w:tcPr>
                  <w:tcW w:w="1237" w:type="dxa"/>
                  <w:tcBorders>
                    <w:tl2br w:val="nil"/>
                    <w:tr2bl w:val="nil"/>
                  </w:tcBorders>
                  <w:vAlign w:val="center"/>
                </w:tcPr>
                <w:p w14:paraId="3F070FB0">
                  <w:pPr>
                    <w:snapToGrid w:val="0"/>
                    <w:spacing w:line="0" w:lineRule="atLeast"/>
                    <w:jc w:val="center"/>
                    <w:rPr>
                      <w:rFonts w:hint="eastAsia" w:cs="Times New Roman"/>
                      <w:color w:val="auto"/>
                      <w:spacing w:val="-10"/>
                      <w:sz w:val="18"/>
                      <w:szCs w:val="18"/>
                      <w:highlight w:val="none"/>
                      <w:lang w:val="en-US" w:eastAsia="zh-CN"/>
                    </w:rPr>
                  </w:pPr>
                  <w:r>
                    <w:rPr>
                      <w:rFonts w:hint="eastAsia" w:ascii="Times New Roman" w:hAnsi="Times New Roman" w:eastAsia="宋体" w:cs="Times New Roman"/>
                      <w:color w:val="auto"/>
                      <w:spacing w:val="-10"/>
                      <w:sz w:val="18"/>
                      <w:szCs w:val="18"/>
                      <w:highlight w:val="none"/>
                      <w:lang w:val="en-US" w:eastAsia="zh-CN"/>
                    </w:rPr>
                    <w:t>磁性钢渣粉</w:t>
                  </w:r>
                  <w:r>
                    <w:rPr>
                      <w:rFonts w:hint="eastAsia"/>
                      <w:color w:val="auto"/>
                      <w:spacing w:val="-10"/>
                      <w:sz w:val="18"/>
                      <w:szCs w:val="18"/>
                      <w:highlight w:val="none"/>
                      <w:lang w:val="en-US" w:eastAsia="zh-CN"/>
                    </w:rPr>
                    <w:t>暂存区</w:t>
                  </w:r>
                </w:p>
              </w:tc>
              <w:tc>
                <w:tcPr>
                  <w:tcW w:w="1050" w:type="dxa"/>
                  <w:tcBorders>
                    <w:tl2br w:val="nil"/>
                    <w:tr2bl w:val="nil"/>
                  </w:tcBorders>
                  <w:vAlign w:val="center"/>
                </w:tcPr>
                <w:p w14:paraId="79F7014E">
                  <w:pPr>
                    <w:snapToGrid w:val="0"/>
                    <w:spacing w:line="0" w:lineRule="atLeast"/>
                    <w:jc w:val="center"/>
                    <w:rPr>
                      <w:rFonts w:hint="default" w:cs="Times New Roman"/>
                      <w:color w:val="auto"/>
                      <w:spacing w:val="-10"/>
                      <w:sz w:val="18"/>
                      <w:szCs w:val="18"/>
                      <w:highlight w:val="none"/>
                      <w:lang w:val="en-US" w:eastAsia="zh-CN"/>
                    </w:rPr>
                  </w:pPr>
                  <w:r>
                    <w:rPr>
                      <w:rFonts w:hint="eastAsia" w:cs="Times New Roman"/>
                      <w:color w:val="auto"/>
                      <w:spacing w:val="-10"/>
                      <w:sz w:val="18"/>
                      <w:szCs w:val="18"/>
                      <w:highlight w:val="none"/>
                      <w:lang w:val="en-US" w:eastAsia="zh-CN"/>
                    </w:rPr>
                    <w:t>60</w:t>
                  </w:r>
                </w:p>
              </w:tc>
              <w:tc>
                <w:tcPr>
                  <w:tcW w:w="1226" w:type="dxa"/>
                  <w:tcBorders>
                    <w:tl2br w:val="nil"/>
                    <w:tr2bl w:val="nil"/>
                  </w:tcBorders>
                  <w:vAlign w:val="center"/>
                </w:tcPr>
                <w:p w14:paraId="655EEBD8">
                  <w:pPr>
                    <w:snapToGrid w:val="0"/>
                    <w:spacing w:line="0" w:lineRule="atLeast"/>
                    <w:jc w:val="center"/>
                    <w:rPr>
                      <w:rFonts w:hint="eastAsia" w:ascii="Times New Roman" w:hAnsi="Times New Roman" w:cs="Times New Roman"/>
                      <w:color w:val="auto"/>
                      <w:spacing w:val="-10"/>
                      <w:sz w:val="18"/>
                      <w:szCs w:val="18"/>
                      <w:highlight w:val="none"/>
                      <w:lang w:val="en-US" w:eastAsia="zh-CN"/>
                    </w:rPr>
                  </w:pPr>
                  <w:r>
                    <w:rPr>
                      <w:rFonts w:hint="eastAsia" w:cs="Times New Roman"/>
                      <w:color w:val="auto"/>
                      <w:spacing w:val="-10"/>
                      <w:sz w:val="18"/>
                      <w:szCs w:val="18"/>
                      <w:highlight w:val="none"/>
                      <w:lang w:val="en-US" w:eastAsia="zh-CN"/>
                    </w:rPr>
                    <w:t>5</w:t>
                  </w:r>
                  <w:r>
                    <w:rPr>
                      <w:rFonts w:hint="eastAsia" w:ascii="Times New Roman" w:hAnsi="Times New Roman" w:cs="Times New Roman"/>
                      <w:color w:val="auto"/>
                      <w:spacing w:val="-10"/>
                      <w:sz w:val="18"/>
                      <w:szCs w:val="18"/>
                      <w:highlight w:val="none"/>
                      <w:lang w:val="en-US" w:eastAsia="zh-CN"/>
                    </w:rPr>
                    <w:t>m</w:t>
                  </w:r>
                  <w:r>
                    <w:rPr>
                      <w:rFonts w:hint="default" w:ascii="Times New Roman" w:hAnsi="Times New Roman" w:cs="Times New Roman"/>
                      <w:color w:val="auto"/>
                      <w:spacing w:val="-10"/>
                      <w:sz w:val="18"/>
                      <w:szCs w:val="18"/>
                      <w:highlight w:val="none"/>
                      <w:lang w:val="en-US" w:eastAsia="zh-CN"/>
                    </w:rPr>
                    <w:t>×</w:t>
                  </w:r>
                  <w:r>
                    <w:rPr>
                      <w:rFonts w:hint="eastAsia" w:cs="Times New Roman"/>
                      <w:color w:val="auto"/>
                      <w:spacing w:val="-10"/>
                      <w:sz w:val="18"/>
                      <w:szCs w:val="18"/>
                      <w:highlight w:val="none"/>
                      <w:lang w:val="en-US" w:eastAsia="zh-CN"/>
                    </w:rPr>
                    <w:t>12</w:t>
                  </w:r>
                  <w:r>
                    <w:rPr>
                      <w:rFonts w:hint="eastAsia" w:ascii="Times New Roman" w:hAnsi="Times New Roman" w:cs="Times New Roman"/>
                      <w:color w:val="auto"/>
                      <w:spacing w:val="-10"/>
                      <w:sz w:val="18"/>
                      <w:szCs w:val="18"/>
                      <w:highlight w:val="none"/>
                      <w:lang w:val="en-US" w:eastAsia="zh-CN"/>
                    </w:rPr>
                    <w:t>m</w:t>
                  </w:r>
                </w:p>
              </w:tc>
              <w:tc>
                <w:tcPr>
                  <w:tcW w:w="649" w:type="dxa"/>
                  <w:tcBorders>
                    <w:tl2br w:val="nil"/>
                    <w:tr2bl w:val="nil"/>
                  </w:tcBorders>
                  <w:vAlign w:val="center"/>
                </w:tcPr>
                <w:p w14:paraId="78CF902D">
                  <w:pPr>
                    <w:widowControl/>
                    <w:jc w:val="center"/>
                    <w:rPr>
                      <w:rFonts w:hint="default"/>
                      <w:color w:val="auto"/>
                      <w:spacing w:val="-10"/>
                      <w:sz w:val="18"/>
                      <w:szCs w:val="18"/>
                      <w:highlight w:val="none"/>
                      <w:lang w:val="en-US" w:eastAsia="zh-CN"/>
                    </w:rPr>
                  </w:pPr>
                  <w:r>
                    <w:rPr>
                      <w:rFonts w:hint="eastAsia"/>
                      <w:color w:val="auto"/>
                      <w:spacing w:val="-10"/>
                      <w:sz w:val="18"/>
                      <w:szCs w:val="18"/>
                      <w:highlight w:val="none"/>
                      <w:lang w:val="en-US" w:eastAsia="zh-CN"/>
                    </w:rPr>
                    <w:t>1</w:t>
                  </w:r>
                </w:p>
              </w:tc>
              <w:tc>
                <w:tcPr>
                  <w:tcW w:w="3457" w:type="dxa"/>
                  <w:tcBorders>
                    <w:tl2br w:val="nil"/>
                    <w:tr2bl w:val="nil"/>
                  </w:tcBorders>
                  <w:vAlign w:val="center"/>
                </w:tcPr>
                <w:p w14:paraId="5BD0E59A">
                  <w:pPr>
                    <w:widowControl/>
                    <w:jc w:val="center"/>
                    <w:rPr>
                      <w:rFonts w:hint="eastAsia"/>
                      <w:color w:val="auto"/>
                      <w:spacing w:val="-10"/>
                      <w:sz w:val="18"/>
                      <w:szCs w:val="18"/>
                      <w:highlight w:val="none"/>
                    </w:rPr>
                  </w:pPr>
                  <w:r>
                    <w:rPr>
                      <w:rFonts w:hint="eastAsia"/>
                      <w:color w:val="auto"/>
                      <w:spacing w:val="-10"/>
                      <w:sz w:val="18"/>
                      <w:szCs w:val="18"/>
                      <w:highlight w:val="none"/>
                      <w:lang w:val="en-US" w:eastAsia="zh-CN"/>
                    </w:rPr>
                    <w:t>位于2</w:t>
                  </w:r>
                  <w:r>
                    <w:rPr>
                      <w:rFonts w:hint="eastAsia"/>
                      <w:color w:val="auto"/>
                      <w:spacing w:val="-10"/>
                      <w:sz w:val="18"/>
                      <w:szCs w:val="18"/>
                      <w:highlight w:val="none"/>
                      <w:vertAlign w:val="superscript"/>
                      <w:lang w:val="en-US" w:eastAsia="zh-CN"/>
                    </w:rPr>
                    <w:t>#</w:t>
                  </w:r>
                  <w:r>
                    <w:rPr>
                      <w:rFonts w:hint="eastAsia"/>
                      <w:color w:val="auto"/>
                      <w:spacing w:val="-10"/>
                      <w:sz w:val="18"/>
                      <w:szCs w:val="18"/>
                      <w:highlight w:val="none"/>
                      <w:lang w:val="en-US" w:eastAsia="zh-CN"/>
                    </w:rPr>
                    <w:t>生产车间内，地面采用200mm厚防渗混凝土进行防渗</w:t>
                  </w:r>
                </w:p>
              </w:tc>
            </w:tr>
            <w:tr w14:paraId="6D21E98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83" w:hRule="atLeast"/>
                <w:jc w:val="center"/>
              </w:trPr>
              <w:tc>
                <w:tcPr>
                  <w:tcW w:w="436" w:type="dxa"/>
                  <w:tcBorders>
                    <w:tl2br w:val="nil"/>
                    <w:tr2bl w:val="nil"/>
                  </w:tcBorders>
                  <w:vAlign w:val="center"/>
                </w:tcPr>
                <w:p w14:paraId="4CA211FE">
                  <w:pPr>
                    <w:jc w:val="center"/>
                    <w:rPr>
                      <w:rFonts w:hint="default"/>
                      <w:color w:val="auto"/>
                      <w:spacing w:val="-10"/>
                      <w:sz w:val="18"/>
                      <w:szCs w:val="18"/>
                      <w:highlight w:val="none"/>
                      <w:lang w:val="en-US" w:eastAsia="zh-CN"/>
                    </w:rPr>
                  </w:pPr>
                  <w:r>
                    <w:rPr>
                      <w:rFonts w:hint="eastAsia"/>
                      <w:color w:val="auto"/>
                      <w:spacing w:val="-10"/>
                      <w:sz w:val="18"/>
                      <w:szCs w:val="18"/>
                      <w:highlight w:val="none"/>
                      <w:lang w:val="en-US" w:eastAsia="zh-CN"/>
                    </w:rPr>
                    <w:t>2.3</w:t>
                  </w:r>
                </w:p>
              </w:tc>
              <w:tc>
                <w:tcPr>
                  <w:tcW w:w="1237" w:type="dxa"/>
                  <w:tcBorders>
                    <w:tl2br w:val="nil"/>
                    <w:tr2bl w:val="nil"/>
                  </w:tcBorders>
                  <w:vAlign w:val="center"/>
                </w:tcPr>
                <w:p w14:paraId="6148AAED">
                  <w:pPr>
                    <w:snapToGrid w:val="0"/>
                    <w:spacing w:line="0" w:lineRule="atLeast"/>
                    <w:jc w:val="center"/>
                    <w:rPr>
                      <w:rFonts w:hint="eastAsia" w:cs="Times New Roman"/>
                      <w:color w:val="auto"/>
                      <w:spacing w:val="-10"/>
                      <w:sz w:val="18"/>
                      <w:szCs w:val="18"/>
                      <w:highlight w:val="none"/>
                      <w:lang w:val="en-US" w:eastAsia="zh-CN"/>
                    </w:rPr>
                  </w:pPr>
                  <w:r>
                    <w:rPr>
                      <w:rFonts w:hint="eastAsia" w:cs="Times New Roman"/>
                      <w:color w:val="auto"/>
                      <w:spacing w:val="-10"/>
                      <w:sz w:val="18"/>
                      <w:szCs w:val="18"/>
                      <w:highlight w:val="none"/>
                      <w:lang w:val="en-US" w:eastAsia="zh-CN"/>
                    </w:rPr>
                    <w:t>非磁性钢渣粉</w:t>
                  </w:r>
                  <w:r>
                    <w:rPr>
                      <w:rFonts w:hint="eastAsia"/>
                      <w:color w:val="auto"/>
                      <w:spacing w:val="-10"/>
                      <w:sz w:val="18"/>
                      <w:szCs w:val="18"/>
                      <w:highlight w:val="none"/>
                      <w:lang w:val="en-US" w:eastAsia="zh-CN"/>
                    </w:rPr>
                    <w:t>暂存区</w:t>
                  </w:r>
                </w:p>
              </w:tc>
              <w:tc>
                <w:tcPr>
                  <w:tcW w:w="1050" w:type="dxa"/>
                  <w:tcBorders>
                    <w:tl2br w:val="nil"/>
                    <w:tr2bl w:val="nil"/>
                  </w:tcBorders>
                  <w:vAlign w:val="center"/>
                </w:tcPr>
                <w:p w14:paraId="3FEBF822">
                  <w:pPr>
                    <w:snapToGrid w:val="0"/>
                    <w:spacing w:line="0" w:lineRule="atLeast"/>
                    <w:jc w:val="center"/>
                    <w:rPr>
                      <w:rFonts w:hint="default" w:cs="Times New Roman"/>
                      <w:color w:val="auto"/>
                      <w:spacing w:val="-10"/>
                      <w:sz w:val="18"/>
                      <w:szCs w:val="18"/>
                      <w:highlight w:val="none"/>
                      <w:lang w:val="en-US" w:eastAsia="zh-CN"/>
                    </w:rPr>
                  </w:pPr>
                  <w:r>
                    <w:rPr>
                      <w:rFonts w:hint="eastAsia" w:cs="Times New Roman"/>
                      <w:color w:val="auto"/>
                      <w:spacing w:val="-10"/>
                      <w:sz w:val="18"/>
                      <w:szCs w:val="18"/>
                      <w:highlight w:val="none"/>
                      <w:lang w:val="en-US" w:eastAsia="zh-CN"/>
                    </w:rPr>
                    <w:t>240</w:t>
                  </w:r>
                </w:p>
              </w:tc>
              <w:tc>
                <w:tcPr>
                  <w:tcW w:w="1226" w:type="dxa"/>
                  <w:tcBorders>
                    <w:tl2br w:val="nil"/>
                    <w:tr2bl w:val="nil"/>
                  </w:tcBorders>
                  <w:vAlign w:val="center"/>
                </w:tcPr>
                <w:p w14:paraId="46D434E5">
                  <w:pPr>
                    <w:snapToGrid w:val="0"/>
                    <w:spacing w:line="0" w:lineRule="atLeast"/>
                    <w:jc w:val="center"/>
                    <w:rPr>
                      <w:rFonts w:hint="eastAsia" w:ascii="Times New Roman" w:hAnsi="Times New Roman" w:cs="Times New Roman"/>
                      <w:color w:val="auto"/>
                      <w:spacing w:val="-10"/>
                      <w:sz w:val="18"/>
                      <w:szCs w:val="18"/>
                      <w:highlight w:val="none"/>
                      <w:lang w:val="en-US" w:eastAsia="zh-CN"/>
                    </w:rPr>
                  </w:pPr>
                  <w:r>
                    <w:rPr>
                      <w:rFonts w:hint="eastAsia" w:cs="Times New Roman"/>
                      <w:color w:val="auto"/>
                      <w:spacing w:val="-10"/>
                      <w:sz w:val="18"/>
                      <w:szCs w:val="18"/>
                      <w:highlight w:val="none"/>
                      <w:lang w:val="en-US" w:eastAsia="zh-CN"/>
                    </w:rPr>
                    <w:t>8</w:t>
                  </w:r>
                  <w:r>
                    <w:rPr>
                      <w:rFonts w:hint="eastAsia" w:ascii="Times New Roman" w:hAnsi="Times New Roman" w:cs="Times New Roman"/>
                      <w:color w:val="auto"/>
                      <w:spacing w:val="-10"/>
                      <w:sz w:val="18"/>
                      <w:szCs w:val="18"/>
                      <w:highlight w:val="none"/>
                      <w:lang w:val="en-US" w:eastAsia="zh-CN"/>
                    </w:rPr>
                    <w:t>m</w:t>
                  </w:r>
                  <w:r>
                    <w:rPr>
                      <w:rFonts w:hint="default" w:ascii="Times New Roman" w:hAnsi="Times New Roman" w:cs="Times New Roman"/>
                      <w:color w:val="auto"/>
                      <w:spacing w:val="-10"/>
                      <w:sz w:val="18"/>
                      <w:szCs w:val="18"/>
                      <w:highlight w:val="none"/>
                      <w:lang w:val="en-US" w:eastAsia="zh-CN"/>
                    </w:rPr>
                    <w:t>×</w:t>
                  </w:r>
                  <w:r>
                    <w:rPr>
                      <w:rFonts w:hint="eastAsia" w:cs="Times New Roman"/>
                      <w:color w:val="auto"/>
                      <w:spacing w:val="-10"/>
                      <w:sz w:val="18"/>
                      <w:szCs w:val="18"/>
                      <w:highlight w:val="none"/>
                      <w:lang w:val="en-US" w:eastAsia="zh-CN"/>
                    </w:rPr>
                    <w:t>30</w:t>
                  </w:r>
                  <w:r>
                    <w:rPr>
                      <w:rFonts w:hint="eastAsia" w:ascii="Times New Roman" w:hAnsi="Times New Roman" w:cs="Times New Roman"/>
                      <w:color w:val="auto"/>
                      <w:spacing w:val="-10"/>
                      <w:sz w:val="18"/>
                      <w:szCs w:val="18"/>
                      <w:highlight w:val="none"/>
                      <w:lang w:val="en-US" w:eastAsia="zh-CN"/>
                    </w:rPr>
                    <w:t>m</w:t>
                  </w:r>
                </w:p>
              </w:tc>
              <w:tc>
                <w:tcPr>
                  <w:tcW w:w="649" w:type="dxa"/>
                  <w:tcBorders>
                    <w:tl2br w:val="nil"/>
                    <w:tr2bl w:val="nil"/>
                  </w:tcBorders>
                  <w:vAlign w:val="center"/>
                </w:tcPr>
                <w:p w14:paraId="24F0AFD5">
                  <w:pPr>
                    <w:widowControl/>
                    <w:jc w:val="center"/>
                    <w:rPr>
                      <w:rFonts w:hint="default"/>
                      <w:color w:val="auto"/>
                      <w:spacing w:val="-10"/>
                      <w:sz w:val="18"/>
                      <w:szCs w:val="18"/>
                      <w:highlight w:val="none"/>
                      <w:lang w:val="en-US" w:eastAsia="zh-CN"/>
                    </w:rPr>
                  </w:pPr>
                  <w:r>
                    <w:rPr>
                      <w:rFonts w:hint="eastAsia"/>
                      <w:color w:val="auto"/>
                      <w:spacing w:val="-10"/>
                      <w:sz w:val="18"/>
                      <w:szCs w:val="18"/>
                      <w:highlight w:val="none"/>
                      <w:lang w:val="en-US" w:eastAsia="zh-CN"/>
                    </w:rPr>
                    <w:t>1</w:t>
                  </w:r>
                </w:p>
              </w:tc>
              <w:tc>
                <w:tcPr>
                  <w:tcW w:w="3457" w:type="dxa"/>
                  <w:tcBorders>
                    <w:tl2br w:val="nil"/>
                    <w:tr2bl w:val="nil"/>
                  </w:tcBorders>
                  <w:vAlign w:val="center"/>
                </w:tcPr>
                <w:p w14:paraId="6CBDA844">
                  <w:pPr>
                    <w:widowControl/>
                    <w:jc w:val="center"/>
                    <w:rPr>
                      <w:rFonts w:hint="eastAsia"/>
                      <w:color w:val="auto"/>
                      <w:spacing w:val="-10"/>
                      <w:sz w:val="18"/>
                      <w:szCs w:val="18"/>
                      <w:highlight w:val="none"/>
                    </w:rPr>
                  </w:pPr>
                  <w:r>
                    <w:rPr>
                      <w:rFonts w:hint="eastAsia"/>
                      <w:color w:val="auto"/>
                      <w:spacing w:val="-10"/>
                      <w:sz w:val="18"/>
                      <w:szCs w:val="18"/>
                      <w:highlight w:val="none"/>
                      <w:lang w:val="en-US" w:eastAsia="zh-CN"/>
                    </w:rPr>
                    <w:t>位于2</w:t>
                  </w:r>
                  <w:r>
                    <w:rPr>
                      <w:rFonts w:hint="eastAsia"/>
                      <w:color w:val="auto"/>
                      <w:spacing w:val="-10"/>
                      <w:sz w:val="18"/>
                      <w:szCs w:val="18"/>
                      <w:highlight w:val="none"/>
                      <w:vertAlign w:val="superscript"/>
                      <w:lang w:val="en-US" w:eastAsia="zh-CN"/>
                    </w:rPr>
                    <w:t>#</w:t>
                  </w:r>
                  <w:r>
                    <w:rPr>
                      <w:rFonts w:hint="eastAsia"/>
                      <w:color w:val="auto"/>
                      <w:spacing w:val="-10"/>
                      <w:sz w:val="18"/>
                      <w:szCs w:val="18"/>
                      <w:highlight w:val="none"/>
                      <w:lang w:val="en-US" w:eastAsia="zh-CN"/>
                    </w:rPr>
                    <w:t>生产车间内，地面采用200mm厚防渗混凝土进行防渗</w:t>
                  </w:r>
                </w:p>
              </w:tc>
            </w:tr>
            <w:tr w14:paraId="30FAB42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83" w:hRule="atLeast"/>
                <w:jc w:val="center"/>
              </w:trPr>
              <w:tc>
                <w:tcPr>
                  <w:tcW w:w="436" w:type="dxa"/>
                  <w:tcBorders>
                    <w:tl2br w:val="nil"/>
                    <w:tr2bl w:val="nil"/>
                  </w:tcBorders>
                  <w:vAlign w:val="center"/>
                </w:tcPr>
                <w:p w14:paraId="3C269242">
                  <w:pPr>
                    <w:jc w:val="center"/>
                    <w:rPr>
                      <w:rFonts w:hint="default"/>
                      <w:color w:val="auto"/>
                      <w:spacing w:val="-10"/>
                      <w:sz w:val="18"/>
                      <w:szCs w:val="18"/>
                      <w:highlight w:val="none"/>
                      <w:lang w:val="en-US" w:eastAsia="zh-CN"/>
                    </w:rPr>
                  </w:pPr>
                  <w:r>
                    <w:rPr>
                      <w:rFonts w:hint="eastAsia"/>
                      <w:color w:val="auto"/>
                      <w:spacing w:val="-10"/>
                      <w:sz w:val="18"/>
                      <w:szCs w:val="18"/>
                      <w:highlight w:val="none"/>
                      <w:lang w:val="en-US" w:eastAsia="zh-CN"/>
                    </w:rPr>
                    <w:t>2.4</w:t>
                  </w:r>
                </w:p>
              </w:tc>
              <w:tc>
                <w:tcPr>
                  <w:tcW w:w="1237" w:type="dxa"/>
                  <w:tcBorders>
                    <w:tl2br w:val="nil"/>
                    <w:tr2bl w:val="nil"/>
                  </w:tcBorders>
                  <w:vAlign w:val="center"/>
                </w:tcPr>
                <w:p w14:paraId="4CE2B0A0">
                  <w:pPr>
                    <w:snapToGrid w:val="0"/>
                    <w:spacing w:line="0" w:lineRule="atLeast"/>
                    <w:jc w:val="center"/>
                    <w:rPr>
                      <w:rFonts w:hint="default" w:ascii="Times New Roman" w:hAnsi="Times New Roman" w:eastAsia="宋体" w:cs="Times New Roman"/>
                      <w:color w:val="auto"/>
                      <w:spacing w:val="-10"/>
                      <w:sz w:val="18"/>
                      <w:szCs w:val="18"/>
                      <w:highlight w:val="none"/>
                      <w:lang w:val="en-US" w:eastAsia="zh-CN"/>
                    </w:rPr>
                  </w:pPr>
                  <w:r>
                    <w:rPr>
                      <w:rFonts w:hint="eastAsia" w:cs="Times New Roman"/>
                      <w:color w:val="auto"/>
                      <w:spacing w:val="-10"/>
                      <w:sz w:val="18"/>
                      <w:szCs w:val="18"/>
                      <w:highlight w:val="none"/>
                      <w:lang w:val="en-US" w:eastAsia="zh-CN"/>
                    </w:rPr>
                    <w:t>一般固废暂存区</w:t>
                  </w:r>
                </w:p>
              </w:tc>
              <w:tc>
                <w:tcPr>
                  <w:tcW w:w="1050" w:type="dxa"/>
                  <w:tcBorders>
                    <w:tl2br w:val="nil"/>
                    <w:tr2bl w:val="nil"/>
                  </w:tcBorders>
                  <w:vAlign w:val="center"/>
                </w:tcPr>
                <w:p w14:paraId="10B0BF0B">
                  <w:pPr>
                    <w:snapToGrid w:val="0"/>
                    <w:spacing w:line="0" w:lineRule="atLeast"/>
                    <w:jc w:val="center"/>
                    <w:rPr>
                      <w:rFonts w:hint="default" w:cs="Times New Roman"/>
                      <w:color w:val="auto"/>
                      <w:spacing w:val="-10"/>
                      <w:sz w:val="18"/>
                      <w:szCs w:val="18"/>
                      <w:highlight w:val="none"/>
                      <w:lang w:val="en-US" w:eastAsia="zh-CN"/>
                    </w:rPr>
                  </w:pPr>
                  <w:r>
                    <w:rPr>
                      <w:rFonts w:hint="eastAsia" w:cs="Times New Roman"/>
                      <w:color w:val="auto"/>
                      <w:spacing w:val="-10"/>
                      <w:sz w:val="18"/>
                      <w:szCs w:val="18"/>
                      <w:highlight w:val="none"/>
                      <w:lang w:val="en-US" w:eastAsia="zh-CN"/>
                    </w:rPr>
                    <w:t>30</w:t>
                  </w:r>
                </w:p>
              </w:tc>
              <w:tc>
                <w:tcPr>
                  <w:tcW w:w="1226" w:type="dxa"/>
                  <w:tcBorders>
                    <w:tl2br w:val="nil"/>
                    <w:tr2bl w:val="nil"/>
                  </w:tcBorders>
                  <w:vAlign w:val="center"/>
                </w:tcPr>
                <w:p w14:paraId="4CAECAC1">
                  <w:pPr>
                    <w:snapToGrid w:val="0"/>
                    <w:spacing w:line="0" w:lineRule="atLeast"/>
                    <w:jc w:val="center"/>
                    <w:rPr>
                      <w:rFonts w:hint="eastAsia" w:ascii="Times New Roman" w:hAnsi="Times New Roman" w:cs="Times New Roman"/>
                      <w:color w:val="auto"/>
                      <w:spacing w:val="-10"/>
                      <w:sz w:val="18"/>
                      <w:szCs w:val="18"/>
                      <w:highlight w:val="none"/>
                      <w:lang w:val="en-US" w:eastAsia="zh-CN"/>
                    </w:rPr>
                  </w:pPr>
                  <w:r>
                    <w:rPr>
                      <w:rFonts w:hint="eastAsia"/>
                      <w:color w:val="auto"/>
                      <w:spacing w:val="-10"/>
                      <w:sz w:val="18"/>
                      <w:szCs w:val="18"/>
                      <w:highlight w:val="none"/>
                      <w:lang w:val="en-US" w:eastAsia="zh-CN"/>
                    </w:rPr>
                    <w:t>5</w:t>
                  </w:r>
                  <w:r>
                    <w:rPr>
                      <w:rFonts w:hint="eastAsia"/>
                      <w:color w:val="auto"/>
                      <w:spacing w:val="-10"/>
                      <w:sz w:val="18"/>
                      <w:szCs w:val="18"/>
                      <w:highlight w:val="none"/>
                    </w:rPr>
                    <w:t>m</w:t>
                  </w:r>
                  <w:r>
                    <w:rPr>
                      <w:color w:val="auto"/>
                      <w:spacing w:val="-10"/>
                      <w:sz w:val="18"/>
                      <w:szCs w:val="18"/>
                      <w:highlight w:val="none"/>
                    </w:rPr>
                    <w:t>×</w:t>
                  </w:r>
                  <w:r>
                    <w:rPr>
                      <w:rFonts w:hint="eastAsia"/>
                      <w:color w:val="auto"/>
                      <w:spacing w:val="-10"/>
                      <w:sz w:val="18"/>
                      <w:szCs w:val="18"/>
                      <w:highlight w:val="none"/>
                      <w:lang w:val="en-US" w:eastAsia="zh-CN"/>
                    </w:rPr>
                    <w:t>6</w:t>
                  </w:r>
                  <w:r>
                    <w:rPr>
                      <w:rFonts w:hint="eastAsia"/>
                      <w:color w:val="auto"/>
                      <w:spacing w:val="-10"/>
                      <w:sz w:val="18"/>
                      <w:szCs w:val="18"/>
                      <w:highlight w:val="none"/>
                    </w:rPr>
                    <w:t>m</w:t>
                  </w:r>
                </w:p>
              </w:tc>
              <w:tc>
                <w:tcPr>
                  <w:tcW w:w="649" w:type="dxa"/>
                  <w:tcBorders>
                    <w:tl2br w:val="nil"/>
                    <w:tr2bl w:val="nil"/>
                  </w:tcBorders>
                  <w:vAlign w:val="center"/>
                </w:tcPr>
                <w:p w14:paraId="02581D00">
                  <w:pPr>
                    <w:widowControl/>
                    <w:jc w:val="center"/>
                    <w:rPr>
                      <w:rFonts w:hint="default"/>
                      <w:color w:val="auto"/>
                      <w:spacing w:val="-10"/>
                      <w:sz w:val="18"/>
                      <w:szCs w:val="18"/>
                      <w:highlight w:val="none"/>
                      <w:lang w:val="en-US" w:eastAsia="zh-CN"/>
                    </w:rPr>
                  </w:pPr>
                  <w:r>
                    <w:rPr>
                      <w:rFonts w:hint="eastAsia"/>
                      <w:color w:val="auto"/>
                      <w:spacing w:val="-10"/>
                      <w:sz w:val="18"/>
                      <w:szCs w:val="18"/>
                      <w:highlight w:val="none"/>
                      <w:lang w:val="en-US" w:eastAsia="zh-CN"/>
                    </w:rPr>
                    <w:t>1</w:t>
                  </w:r>
                </w:p>
              </w:tc>
              <w:tc>
                <w:tcPr>
                  <w:tcW w:w="3457" w:type="dxa"/>
                  <w:tcBorders>
                    <w:tl2br w:val="nil"/>
                    <w:tr2bl w:val="nil"/>
                  </w:tcBorders>
                  <w:vAlign w:val="center"/>
                </w:tcPr>
                <w:p w14:paraId="284A3A5A">
                  <w:pPr>
                    <w:widowControl/>
                    <w:jc w:val="center"/>
                    <w:rPr>
                      <w:rFonts w:hint="eastAsia"/>
                      <w:color w:val="auto"/>
                      <w:spacing w:val="-10"/>
                      <w:sz w:val="18"/>
                      <w:szCs w:val="18"/>
                      <w:highlight w:val="none"/>
                      <w:lang w:val="en-US" w:eastAsia="zh-CN"/>
                    </w:rPr>
                  </w:pPr>
                  <w:r>
                    <w:rPr>
                      <w:rFonts w:hint="eastAsia"/>
                      <w:color w:val="auto"/>
                      <w:spacing w:val="-10"/>
                      <w:sz w:val="18"/>
                      <w:szCs w:val="18"/>
                      <w:highlight w:val="none"/>
                      <w:lang w:val="en-US" w:eastAsia="zh-CN"/>
                    </w:rPr>
                    <w:t>位于2</w:t>
                  </w:r>
                  <w:r>
                    <w:rPr>
                      <w:rFonts w:hint="eastAsia"/>
                      <w:color w:val="auto"/>
                      <w:spacing w:val="-10"/>
                      <w:sz w:val="18"/>
                      <w:szCs w:val="18"/>
                      <w:highlight w:val="none"/>
                      <w:vertAlign w:val="superscript"/>
                      <w:lang w:val="en-US" w:eastAsia="zh-CN"/>
                    </w:rPr>
                    <w:t>#</w:t>
                  </w:r>
                  <w:r>
                    <w:rPr>
                      <w:rFonts w:hint="eastAsia"/>
                      <w:color w:val="auto"/>
                      <w:spacing w:val="-10"/>
                      <w:sz w:val="18"/>
                      <w:szCs w:val="18"/>
                      <w:highlight w:val="none"/>
                      <w:lang w:val="en-US" w:eastAsia="zh-CN"/>
                    </w:rPr>
                    <w:t>生产车间内，地面采用200mm厚防渗混凝土进行防渗，建有4m高混凝土挡墙</w:t>
                  </w:r>
                </w:p>
              </w:tc>
            </w:tr>
            <w:tr w14:paraId="251A0C3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83" w:hRule="atLeast"/>
                <w:jc w:val="center"/>
              </w:trPr>
              <w:tc>
                <w:tcPr>
                  <w:tcW w:w="436" w:type="dxa"/>
                  <w:tcBorders>
                    <w:tl2br w:val="nil"/>
                    <w:tr2bl w:val="nil"/>
                  </w:tcBorders>
                  <w:vAlign w:val="center"/>
                </w:tcPr>
                <w:p w14:paraId="0880D3D9">
                  <w:pPr>
                    <w:jc w:val="center"/>
                    <w:rPr>
                      <w:rFonts w:hint="default"/>
                      <w:color w:val="auto"/>
                      <w:spacing w:val="-10"/>
                      <w:sz w:val="18"/>
                      <w:szCs w:val="18"/>
                      <w:highlight w:val="none"/>
                      <w:lang w:val="en-US" w:eastAsia="zh-CN"/>
                    </w:rPr>
                  </w:pPr>
                  <w:r>
                    <w:rPr>
                      <w:rFonts w:hint="eastAsia"/>
                      <w:color w:val="auto"/>
                      <w:spacing w:val="-10"/>
                      <w:sz w:val="18"/>
                      <w:szCs w:val="18"/>
                      <w:highlight w:val="none"/>
                      <w:lang w:val="en-US" w:eastAsia="zh-CN"/>
                    </w:rPr>
                    <w:t>2.5</w:t>
                  </w:r>
                </w:p>
              </w:tc>
              <w:tc>
                <w:tcPr>
                  <w:tcW w:w="1237" w:type="dxa"/>
                  <w:tcBorders>
                    <w:tl2br w:val="nil"/>
                    <w:tr2bl w:val="nil"/>
                  </w:tcBorders>
                  <w:vAlign w:val="center"/>
                </w:tcPr>
                <w:p w14:paraId="1EF3C0EF">
                  <w:pPr>
                    <w:snapToGrid w:val="0"/>
                    <w:spacing w:line="0" w:lineRule="atLeast"/>
                    <w:jc w:val="center"/>
                    <w:rPr>
                      <w:rFonts w:hint="default" w:ascii="Times New Roman" w:hAnsi="Times New Roman" w:eastAsia="宋体" w:cs="Times New Roman"/>
                      <w:color w:val="auto"/>
                      <w:spacing w:val="-10"/>
                      <w:sz w:val="18"/>
                      <w:szCs w:val="18"/>
                      <w:highlight w:val="none"/>
                      <w:lang w:val="en-US" w:eastAsia="zh-CN"/>
                    </w:rPr>
                  </w:pPr>
                  <w:r>
                    <w:rPr>
                      <w:rFonts w:hint="eastAsia" w:cs="Times New Roman"/>
                      <w:color w:val="auto"/>
                      <w:spacing w:val="-10"/>
                      <w:sz w:val="18"/>
                      <w:szCs w:val="18"/>
                      <w:highlight w:val="none"/>
                      <w:lang w:val="en-US" w:eastAsia="zh-CN"/>
                    </w:rPr>
                    <w:t>危险废物暂存间</w:t>
                  </w:r>
                </w:p>
              </w:tc>
              <w:tc>
                <w:tcPr>
                  <w:tcW w:w="1050" w:type="dxa"/>
                  <w:tcBorders>
                    <w:tl2br w:val="nil"/>
                    <w:tr2bl w:val="nil"/>
                  </w:tcBorders>
                  <w:vAlign w:val="center"/>
                </w:tcPr>
                <w:p w14:paraId="3200A57B">
                  <w:pPr>
                    <w:snapToGrid w:val="0"/>
                    <w:spacing w:line="0" w:lineRule="atLeast"/>
                    <w:jc w:val="center"/>
                    <w:rPr>
                      <w:rFonts w:hint="default" w:cs="Times New Roman"/>
                      <w:color w:val="auto"/>
                      <w:spacing w:val="-10"/>
                      <w:sz w:val="18"/>
                      <w:szCs w:val="18"/>
                      <w:highlight w:val="none"/>
                      <w:lang w:val="en-US" w:eastAsia="zh-CN"/>
                    </w:rPr>
                  </w:pPr>
                  <w:r>
                    <w:rPr>
                      <w:rFonts w:hint="eastAsia" w:cs="Times New Roman"/>
                      <w:color w:val="auto"/>
                      <w:spacing w:val="-10"/>
                      <w:sz w:val="18"/>
                      <w:szCs w:val="18"/>
                      <w:highlight w:val="none"/>
                      <w:lang w:val="en-US" w:eastAsia="zh-CN"/>
                    </w:rPr>
                    <w:t>9</w:t>
                  </w:r>
                </w:p>
              </w:tc>
              <w:tc>
                <w:tcPr>
                  <w:tcW w:w="1226" w:type="dxa"/>
                  <w:tcBorders>
                    <w:tl2br w:val="nil"/>
                    <w:tr2bl w:val="nil"/>
                  </w:tcBorders>
                  <w:vAlign w:val="center"/>
                </w:tcPr>
                <w:p w14:paraId="3129C083">
                  <w:pPr>
                    <w:snapToGrid w:val="0"/>
                    <w:spacing w:line="0" w:lineRule="atLeast"/>
                    <w:jc w:val="center"/>
                    <w:rPr>
                      <w:rFonts w:hint="eastAsia" w:ascii="Times New Roman" w:hAnsi="Times New Roman" w:cs="Times New Roman"/>
                      <w:color w:val="auto"/>
                      <w:spacing w:val="-10"/>
                      <w:sz w:val="18"/>
                      <w:szCs w:val="18"/>
                      <w:highlight w:val="none"/>
                      <w:lang w:val="en-US" w:eastAsia="zh-CN"/>
                    </w:rPr>
                  </w:pPr>
                  <w:r>
                    <w:rPr>
                      <w:rFonts w:hint="eastAsia"/>
                      <w:color w:val="auto"/>
                      <w:spacing w:val="-10"/>
                      <w:sz w:val="18"/>
                      <w:szCs w:val="18"/>
                      <w:highlight w:val="none"/>
                    </w:rPr>
                    <w:t>3m</w:t>
                  </w:r>
                  <w:r>
                    <w:rPr>
                      <w:color w:val="auto"/>
                      <w:spacing w:val="-10"/>
                      <w:sz w:val="18"/>
                      <w:szCs w:val="18"/>
                      <w:highlight w:val="none"/>
                    </w:rPr>
                    <w:t>×</w:t>
                  </w:r>
                  <w:r>
                    <w:rPr>
                      <w:rFonts w:hint="eastAsia"/>
                      <w:color w:val="auto"/>
                      <w:spacing w:val="-10"/>
                      <w:sz w:val="18"/>
                      <w:szCs w:val="18"/>
                      <w:highlight w:val="none"/>
                    </w:rPr>
                    <w:t>3m</w:t>
                  </w:r>
                  <w:r>
                    <w:rPr>
                      <w:color w:val="auto"/>
                      <w:spacing w:val="-10"/>
                      <w:sz w:val="18"/>
                      <w:szCs w:val="18"/>
                      <w:highlight w:val="none"/>
                    </w:rPr>
                    <w:t>×</w:t>
                  </w:r>
                  <w:r>
                    <w:rPr>
                      <w:rFonts w:hint="eastAsia"/>
                      <w:color w:val="auto"/>
                      <w:spacing w:val="-10"/>
                      <w:sz w:val="18"/>
                      <w:szCs w:val="18"/>
                      <w:highlight w:val="none"/>
                    </w:rPr>
                    <w:t>3m</w:t>
                  </w:r>
                </w:p>
              </w:tc>
              <w:tc>
                <w:tcPr>
                  <w:tcW w:w="649" w:type="dxa"/>
                  <w:tcBorders>
                    <w:tl2br w:val="nil"/>
                    <w:tr2bl w:val="nil"/>
                  </w:tcBorders>
                  <w:vAlign w:val="center"/>
                </w:tcPr>
                <w:p w14:paraId="38247319">
                  <w:pPr>
                    <w:widowControl/>
                    <w:jc w:val="center"/>
                    <w:rPr>
                      <w:rFonts w:hint="default"/>
                      <w:color w:val="auto"/>
                      <w:spacing w:val="-10"/>
                      <w:sz w:val="18"/>
                      <w:szCs w:val="18"/>
                      <w:highlight w:val="none"/>
                      <w:lang w:val="en-US" w:eastAsia="zh-CN"/>
                    </w:rPr>
                  </w:pPr>
                  <w:r>
                    <w:rPr>
                      <w:rFonts w:hint="eastAsia"/>
                      <w:color w:val="auto"/>
                      <w:spacing w:val="-10"/>
                      <w:sz w:val="18"/>
                      <w:szCs w:val="18"/>
                      <w:highlight w:val="none"/>
                      <w:lang w:val="en-US" w:eastAsia="zh-CN"/>
                    </w:rPr>
                    <w:t>1</w:t>
                  </w:r>
                </w:p>
              </w:tc>
              <w:tc>
                <w:tcPr>
                  <w:tcW w:w="3457" w:type="dxa"/>
                  <w:tcBorders>
                    <w:tl2br w:val="nil"/>
                    <w:tr2bl w:val="nil"/>
                  </w:tcBorders>
                  <w:vAlign w:val="center"/>
                </w:tcPr>
                <w:p w14:paraId="4374CEB3">
                  <w:pPr>
                    <w:widowControl/>
                    <w:jc w:val="center"/>
                    <w:rPr>
                      <w:rFonts w:hint="eastAsia"/>
                      <w:color w:val="auto"/>
                      <w:spacing w:val="-10"/>
                      <w:sz w:val="18"/>
                      <w:szCs w:val="18"/>
                      <w:highlight w:val="none"/>
                      <w:lang w:val="en-US" w:eastAsia="zh-CN"/>
                    </w:rPr>
                  </w:pPr>
                  <w:r>
                    <w:rPr>
                      <w:rFonts w:hint="eastAsia"/>
                      <w:color w:val="auto"/>
                      <w:spacing w:val="-10"/>
                      <w:sz w:val="18"/>
                      <w:szCs w:val="18"/>
                      <w:highlight w:val="none"/>
                    </w:rPr>
                    <w:t>位于</w:t>
                  </w:r>
                  <w:r>
                    <w:rPr>
                      <w:rFonts w:hint="eastAsia"/>
                      <w:color w:val="auto"/>
                      <w:spacing w:val="-10"/>
                      <w:sz w:val="18"/>
                      <w:szCs w:val="18"/>
                      <w:highlight w:val="none"/>
                      <w:lang w:val="en-US" w:eastAsia="zh-CN"/>
                    </w:rPr>
                    <w:t>2</w:t>
                  </w:r>
                  <w:r>
                    <w:rPr>
                      <w:rFonts w:hint="eastAsia"/>
                      <w:color w:val="auto"/>
                      <w:spacing w:val="-10"/>
                      <w:sz w:val="18"/>
                      <w:szCs w:val="18"/>
                      <w:highlight w:val="none"/>
                      <w:vertAlign w:val="superscript"/>
                      <w:lang w:val="en-US" w:eastAsia="zh-CN"/>
                    </w:rPr>
                    <w:t>#</w:t>
                  </w:r>
                  <w:r>
                    <w:rPr>
                      <w:rFonts w:hint="eastAsia"/>
                      <w:color w:val="auto"/>
                      <w:spacing w:val="-10"/>
                      <w:sz w:val="18"/>
                      <w:szCs w:val="18"/>
                      <w:highlight w:val="none"/>
                    </w:rPr>
                    <w:t>生产车间内，</w:t>
                  </w:r>
                  <w:r>
                    <w:rPr>
                      <w:rFonts w:hint="eastAsia"/>
                      <w:color w:val="auto"/>
                      <w:spacing w:val="-10"/>
                      <w:sz w:val="18"/>
                      <w:szCs w:val="18"/>
                      <w:highlight w:val="none"/>
                      <w:lang w:val="en-US" w:eastAsia="zh-CN"/>
                    </w:rPr>
                    <w:t>砖</w:t>
                  </w:r>
                  <w:r>
                    <w:rPr>
                      <w:rFonts w:hint="eastAsia" w:ascii="Times New Roman" w:hAnsi="Times New Roman" w:cs="Times New Roman"/>
                      <w:color w:val="auto"/>
                      <w:spacing w:val="-10"/>
                      <w:sz w:val="18"/>
                      <w:szCs w:val="18"/>
                      <w:highlight w:val="none"/>
                      <w:lang w:val="en-US" w:eastAsia="zh-CN"/>
                    </w:rPr>
                    <w:t>混结构，裙角及地面设置2mm高密度聚乙烯（HDPE）膜，膜上、膜下设置“长丝无纺土工布”保护层，保护层以上设置200mm抗渗混凝土</w:t>
                  </w:r>
                </w:p>
              </w:tc>
            </w:tr>
            <w:tr w14:paraId="148201F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83" w:hRule="atLeast"/>
                <w:jc w:val="center"/>
              </w:trPr>
              <w:tc>
                <w:tcPr>
                  <w:tcW w:w="436" w:type="dxa"/>
                  <w:tcBorders>
                    <w:tl2br w:val="nil"/>
                    <w:tr2bl w:val="nil"/>
                  </w:tcBorders>
                  <w:vAlign w:val="center"/>
                </w:tcPr>
                <w:p w14:paraId="6814BAD3">
                  <w:pPr>
                    <w:jc w:val="center"/>
                    <w:rPr>
                      <w:rFonts w:hint="default"/>
                      <w:color w:val="auto"/>
                      <w:spacing w:val="-10"/>
                      <w:sz w:val="18"/>
                      <w:szCs w:val="18"/>
                      <w:highlight w:val="none"/>
                      <w:lang w:val="en-US" w:eastAsia="zh-CN"/>
                    </w:rPr>
                  </w:pPr>
                  <w:r>
                    <w:rPr>
                      <w:rFonts w:hint="eastAsia"/>
                      <w:color w:val="auto"/>
                      <w:spacing w:val="-10"/>
                      <w:sz w:val="18"/>
                      <w:szCs w:val="18"/>
                      <w:highlight w:val="none"/>
                      <w:lang w:val="en-US" w:eastAsia="zh-CN"/>
                    </w:rPr>
                    <w:t>2.6</w:t>
                  </w:r>
                </w:p>
              </w:tc>
              <w:tc>
                <w:tcPr>
                  <w:tcW w:w="1237" w:type="dxa"/>
                  <w:tcBorders>
                    <w:tl2br w:val="nil"/>
                    <w:tr2bl w:val="nil"/>
                  </w:tcBorders>
                  <w:shd w:val="clear" w:color="auto" w:fill="auto"/>
                  <w:vAlign w:val="center"/>
                </w:tcPr>
                <w:p w14:paraId="23383FA1">
                  <w:pPr>
                    <w:jc w:val="center"/>
                    <w:rPr>
                      <w:rFonts w:hint="eastAsia" w:ascii="Times New Roman" w:hAnsi="Times New Roman" w:eastAsia="宋体" w:cs="Times New Roman"/>
                      <w:color w:val="auto"/>
                      <w:spacing w:val="-10"/>
                      <w:kern w:val="2"/>
                      <w:sz w:val="18"/>
                      <w:szCs w:val="18"/>
                      <w:highlight w:val="none"/>
                      <w:lang w:val="en-US" w:eastAsia="zh-CN" w:bidi="ar-SA"/>
                    </w:rPr>
                  </w:pPr>
                  <w:r>
                    <w:rPr>
                      <w:rFonts w:hint="eastAsia"/>
                      <w:color w:val="auto"/>
                      <w:spacing w:val="-10"/>
                      <w:sz w:val="18"/>
                      <w:szCs w:val="18"/>
                      <w:highlight w:val="none"/>
                    </w:rPr>
                    <w:t>洗车</w:t>
                  </w:r>
                  <w:r>
                    <w:rPr>
                      <w:rFonts w:hint="eastAsia"/>
                      <w:color w:val="auto"/>
                      <w:spacing w:val="-10"/>
                      <w:sz w:val="18"/>
                      <w:szCs w:val="18"/>
                      <w:highlight w:val="none"/>
                      <w:lang w:val="en-US" w:eastAsia="zh-CN"/>
                    </w:rPr>
                    <w:t>装置</w:t>
                  </w:r>
                </w:p>
              </w:tc>
              <w:tc>
                <w:tcPr>
                  <w:tcW w:w="1050" w:type="dxa"/>
                  <w:tcBorders>
                    <w:tl2br w:val="nil"/>
                    <w:tr2bl w:val="nil"/>
                  </w:tcBorders>
                  <w:shd w:val="clear" w:color="auto" w:fill="auto"/>
                  <w:vAlign w:val="center"/>
                </w:tcPr>
                <w:p w14:paraId="7883E446">
                  <w:pPr>
                    <w:jc w:val="center"/>
                    <w:rPr>
                      <w:rFonts w:hint="eastAsia" w:ascii="Times New Roman" w:hAnsi="Times New Roman" w:eastAsia="宋体" w:cs="Times New Roman"/>
                      <w:color w:val="auto"/>
                      <w:spacing w:val="-10"/>
                      <w:kern w:val="2"/>
                      <w:sz w:val="18"/>
                      <w:szCs w:val="18"/>
                      <w:highlight w:val="none"/>
                      <w:lang w:val="en-US" w:eastAsia="zh-CN" w:bidi="ar-SA"/>
                    </w:rPr>
                  </w:pPr>
                  <w:r>
                    <w:rPr>
                      <w:rFonts w:hint="eastAsia"/>
                      <w:color w:val="auto"/>
                      <w:spacing w:val="-10"/>
                      <w:sz w:val="18"/>
                      <w:szCs w:val="18"/>
                      <w:highlight w:val="none"/>
                      <w:lang w:val="en-US" w:eastAsia="zh-CN"/>
                    </w:rPr>
                    <w:t>28</w:t>
                  </w:r>
                </w:p>
              </w:tc>
              <w:tc>
                <w:tcPr>
                  <w:tcW w:w="1226" w:type="dxa"/>
                  <w:tcBorders>
                    <w:tl2br w:val="nil"/>
                    <w:tr2bl w:val="nil"/>
                  </w:tcBorders>
                  <w:shd w:val="clear" w:color="auto" w:fill="auto"/>
                  <w:vAlign w:val="center"/>
                </w:tcPr>
                <w:p w14:paraId="598E87B2">
                  <w:pPr>
                    <w:jc w:val="center"/>
                    <w:rPr>
                      <w:rFonts w:hint="eastAsia" w:ascii="Times New Roman" w:hAnsi="Times New Roman" w:eastAsia="宋体" w:cs="Times New Roman"/>
                      <w:color w:val="auto"/>
                      <w:spacing w:val="-10"/>
                      <w:kern w:val="2"/>
                      <w:sz w:val="18"/>
                      <w:szCs w:val="18"/>
                      <w:highlight w:val="none"/>
                      <w:lang w:val="en-US" w:eastAsia="zh-CN" w:bidi="ar-SA"/>
                    </w:rPr>
                  </w:pPr>
                  <w:r>
                    <w:rPr>
                      <w:rFonts w:hint="eastAsia" w:cs="Times New Roman"/>
                      <w:color w:val="auto"/>
                      <w:spacing w:val="-10"/>
                      <w:sz w:val="18"/>
                      <w:szCs w:val="18"/>
                      <w:highlight w:val="none"/>
                      <w:lang w:val="en-US" w:eastAsia="zh-CN"/>
                    </w:rPr>
                    <w:t>8</w:t>
                  </w:r>
                  <w:r>
                    <w:rPr>
                      <w:rFonts w:hint="eastAsia" w:ascii="Times New Roman" w:hAnsi="Times New Roman" w:cs="Times New Roman"/>
                      <w:color w:val="auto"/>
                      <w:spacing w:val="-10"/>
                      <w:sz w:val="18"/>
                      <w:szCs w:val="18"/>
                      <w:highlight w:val="none"/>
                      <w:lang w:val="en-US" w:eastAsia="zh-CN"/>
                    </w:rPr>
                    <w:t>m</w:t>
                  </w:r>
                  <w:r>
                    <w:rPr>
                      <w:rFonts w:hint="default" w:ascii="Times New Roman" w:hAnsi="Times New Roman" w:cs="Times New Roman"/>
                      <w:color w:val="auto"/>
                      <w:spacing w:val="-10"/>
                      <w:sz w:val="18"/>
                      <w:szCs w:val="18"/>
                      <w:highlight w:val="none"/>
                      <w:lang w:val="en-US" w:eastAsia="zh-CN"/>
                    </w:rPr>
                    <w:t>×</w:t>
                  </w:r>
                  <w:r>
                    <w:rPr>
                      <w:rFonts w:hint="eastAsia" w:cs="Times New Roman"/>
                      <w:color w:val="auto"/>
                      <w:spacing w:val="-10"/>
                      <w:sz w:val="18"/>
                      <w:szCs w:val="18"/>
                      <w:highlight w:val="none"/>
                      <w:lang w:val="en-US" w:eastAsia="zh-CN"/>
                    </w:rPr>
                    <w:t>3.5</w:t>
                  </w:r>
                  <w:r>
                    <w:rPr>
                      <w:rFonts w:hint="eastAsia" w:ascii="Times New Roman" w:hAnsi="Times New Roman" w:cs="Times New Roman"/>
                      <w:color w:val="auto"/>
                      <w:spacing w:val="-10"/>
                      <w:sz w:val="18"/>
                      <w:szCs w:val="18"/>
                      <w:highlight w:val="none"/>
                      <w:lang w:val="en-US" w:eastAsia="zh-CN"/>
                    </w:rPr>
                    <w:t>m</w:t>
                  </w:r>
                </w:p>
              </w:tc>
              <w:tc>
                <w:tcPr>
                  <w:tcW w:w="649" w:type="dxa"/>
                  <w:tcBorders>
                    <w:tl2br w:val="nil"/>
                    <w:tr2bl w:val="nil"/>
                  </w:tcBorders>
                  <w:shd w:val="clear" w:color="auto" w:fill="auto"/>
                  <w:vAlign w:val="center"/>
                </w:tcPr>
                <w:p w14:paraId="58AEBEE4">
                  <w:pPr>
                    <w:widowControl/>
                    <w:jc w:val="center"/>
                    <w:rPr>
                      <w:rFonts w:hint="eastAsia" w:ascii="Times New Roman" w:hAnsi="Times New Roman" w:eastAsia="宋体" w:cs="Times New Roman"/>
                      <w:color w:val="auto"/>
                      <w:spacing w:val="-10"/>
                      <w:kern w:val="2"/>
                      <w:sz w:val="18"/>
                      <w:szCs w:val="18"/>
                      <w:highlight w:val="none"/>
                      <w:lang w:val="en-US" w:eastAsia="zh-CN" w:bidi="ar-SA"/>
                    </w:rPr>
                  </w:pPr>
                  <w:r>
                    <w:rPr>
                      <w:rFonts w:hint="eastAsia"/>
                      <w:color w:val="auto"/>
                      <w:spacing w:val="-10"/>
                      <w:sz w:val="18"/>
                      <w:szCs w:val="18"/>
                      <w:highlight w:val="none"/>
                      <w:lang w:val="en-US" w:eastAsia="zh-CN"/>
                    </w:rPr>
                    <w:t>3</w:t>
                  </w:r>
                </w:p>
              </w:tc>
              <w:tc>
                <w:tcPr>
                  <w:tcW w:w="3457" w:type="dxa"/>
                  <w:tcBorders>
                    <w:tl2br w:val="nil"/>
                    <w:tr2bl w:val="nil"/>
                  </w:tcBorders>
                  <w:shd w:val="clear" w:color="auto" w:fill="auto"/>
                  <w:vAlign w:val="center"/>
                </w:tcPr>
                <w:p w14:paraId="7AC85BA2">
                  <w:pPr>
                    <w:widowControl/>
                    <w:jc w:val="center"/>
                    <w:rPr>
                      <w:rFonts w:hint="eastAsia" w:ascii="Times New Roman" w:hAnsi="Times New Roman" w:eastAsia="宋体" w:cs="Times New Roman"/>
                      <w:color w:val="auto"/>
                      <w:spacing w:val="-10"/>
                      <w:kern w:val="2"/>
                      <w:sz w:val="18"/>
                      <w:szCs w:val="18"/>
                      <w:highlight w:val="none"/>
                      <w:lang w:val="en-US" w:eastAsia="zh-CN" w:bidi="ar-SA"/>
                    </w:rPr>
                  </w:pPr>
                  <w:r>
                    <w:rPr>
                      <w:rFonts w:hint="eastAsia" w:ascii="Times New Roman" w:hAnsi="Times New Roman" w:cs="Times New Roman"/>
                      <w:color w:val="auto"/>
                      <w:spacing w:val="-10"/>
                      <w:sz w:val="18"/>
                      <w:szCs w:val="18"/>
                      <w:highlight w:val="none"/>
                      <w:lang w:val="en-US" w:eastAsia="zh-CN"/>
                    </w:rPr>
                    <w:t>抗渗混凝土结构，防渗处理</w:t>
                  </w:r>
                </w:p>
              </w:tc>
            </w:tr>
            <w:tr w14:paraId="03AC060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83" w:hRule="atLeast"/>
                <w:jc w:val="center"/>
              </w:trPr>
              <w:tc>
                <w:tcPr>
                  <w:tcW w:w="436" w:type="dxa"/>
                  <w:tcBorders>
                    <w:tl2br w:val="nil"/>
                    <w:tr2bl w:val="nil"/>
                  </w:tcBorders>
                  <w:shd w:val="clear" w:color="auto" w:fill="auto"/>
                  <w:vAlign w:val="center"/>
                </w:tcPr>
                <w:p w14:paraId="729CA328">
                  <w:pPr>
                    <w:jc w:val="center"/>
                    <w:rPr>
                      <w:rFonts w:hint="eastAsia" w:ascii="Times New Roman" w:hAnsi="Times New Roman" w:eastAsia="宋体" w:cs="Times New Roman"/>
                      <w:color w:val="auto"/>
                      <w:spacing w:val="-10"/>
                      <w:kern w:val="2"/>
                      <w:sz w:val="18"/>
                      <w:szCs w:val="18"/>
                      <w:highlight w:val="none"/>
                      <w:lang w:val="en-US" w:eastAsia="zh-CN" w:bidi="ar-SA"/>
                    </w:rPr>
                  </w:pPr>
                  <w:r>
                    <w:rPr>
                      <w:rFonts w:hint="eastAsia"/>
                      <w:color w:val="auto"/>
                      <w:spacing w:val="-10"/>
                      <w:sz w:val="18"/>
                      <w:szCs w:val="18"/>
                      <w:highlight w:val="none"/>
                      <w:lang w:val="en-US" w:eastAsia="zh-CN"/>
                    </w:rPr>
                    <w:t>3</w:t>
                  </w:r>
                </w:p>
              </w:tc>
              <w:tc>
                <w:tcPr>
                  <w:tcW w:w="1237" w:type="dxa"/>
                  <w:tcBorders>
                    <w:tl2br w:val="nil"/>
                    <w:tr2bl w:val="nil"/>
                  </w:tcBorders>
                  <w:shd w:val="clear" w:color="auto" w:fill="auto"/>
                  <w:vAlign w:val="center"/>
                </w:tcPr>
                <w:p w14:paraId="0C1D3451">
                  <w:pPr>
                    <w:jc w:val="center"/>
                    <w:rPr>
                      <w:rFonts w:hint="eastAsia" w:ascii="Times New Roman" w:hAnsi="Times New Roman" w:eastAsia="宋体" w:cs="Times New Roman"/>
                      <w:color w:val="auto"/>
                      <w:spacing w:val="-10"/>
                      <w:kern w:val="2"/>
                      <w:sz w:val="18"/>
                      <w:szCs w:val="18"/>
                      <w:highlight w:val="none"/>
                      <w:lang w:val="en-US" w:eastAsia="zh-CN" w:bidi="ar-SA"/>
                    </w:rPr>
                  </w:pPr>
                  <w:r>
                    <w:rPr>
                      <w:rFonts w:hint="eastAsia"/>
                      <w:color w:val="auto"/>
                      <w:spacing w:val="-10"/>
                      <w:sz w:val="18"/>
                      <w:szCs w:val="18"/>
                      <w:highlight w:val="none"/>
                    </w:rPr>
                    <w:t>洗车平台</w:t>
                  </w:r>
                </w:p>
              </w:tc>
              <w:tc>
                <w:tcPr>
                  <w:tcW w:w="1050" w:type="dxa"/>
                  <w:tcBorders>
                    <w:tl2br w:val="nil"/>
                    <w:tr2bl w:val="nil"/>
                  </w:tcBorders>
                  <w:shd w:val="clear" w:color="auto" w:fill="auto"/>
                  <w:vAlign w:val="center"/>
                </w:tcPr>
                <w:p w14:paraId="349CB8E6">
                  <w:pPr>
                    <w:jc w:val="center"/>
                    <w:rPr>
                      <w:rFonts w:hint="default" w:ascii="Times New Roman" w:hAnsi="Times New Roman" w:eastAsia="宋体" w:cs="Times New Roman"/>
                      <w:color w:val="auto"/>
                      <w:spacing w:val="-10"/>
                      <w:kern w:val="2"/>
                      <w:sz w:val="18"/>
                      <w:szCs w:val="18"/>
                      <w:highlight w:val="none"/>
                      <w:lang w:val="en-US" w:eastAsia="zh-CN" w:bidi="ar-SA"/>
                    </w:rPr>
                  </w:pPr>
                  <w:r>
                    <w:rPr>
                      <w:rFonts w:hint="eastAsia"/>
                      <w:color w:val="auto"/>
                      <w:spacing w:val="-10"/>
                      <w:sz w:val="18"/>
                      <w:szCs w:val="18"/>
                      <w:highlight w:val="none"/>
                      <w:lang w:val="en-US" w:eastAsia="zh-CN"/>
                    </w:rPr>
                    <w:t>28</w:t>
                  </w:r>
                </w:p>
              </w:tc>
              <w:tc>
                <w:tcPr>
                  <w:tcW w:w="1226" w:type="dxa"/>
                  <w:tcBorders>
                    <w:tl2br w:val="nil"/>
                    <w:tr2bl w:val="nil"/>
                  </w:tcBorders>
                  <w:shd w:val="clear" w:color="auto" w:fill="auto"/>
                  <w:vAlign w:val="center"/>
                </w:tcPr>
                <w:p w14:paraId="73EA49C9">
                  <w:pPr>
                    <w:jc w:val="center"/>
                    <w:rPr>
                      <w:rFonts w:hint="eastAsia" w:ascii="Times New Roman" w:hAnsi="Times New Roman" w:eastAsia="宋体" w:cs="Times New Roman"/>
                      <w:color w:val="auto"/>
                      <w:spacing w:val="-10"/>
                      <w:kern w:val="2"/>
                      <w:sz w:val="18"/>
                      <w:szCs w:val="18"/>
                      <w:highlight w:val="none"/>
                      <w:lang w:val="en-US" w:eastAsia="zh-CN" w:bidi="ar-SA"/>
                    </w:rPr>
                  </w:pPr>
                  <w:r>
                    <w:rPr>
                      <w:rFonts w:hint="eastAsia" w:cs="Times New Roman"/>
                      <w:color w:val="auto"/>
                      <w:spacing w:val="-10"/>
                      <w:sz w:val="18"/>
                      <w:szCs w:val="18"/>
                      <w:highlight w:val="none"/>
                      <w:lang w:val="en-US" w:eastAsia="zh-CN"/>
                    </w:rPr>
                    <w:t>8</w:t>
                  </w:r>
                  <w:r>
                    <w:rPr>
                      <w:rFonts w:hint="eastAsia" w:ascii="Times New Roman" w:hAnsi="Times New Roman" w:cs="Times New Roman"/>
                      <w:color w:val="auto"/>
                      <w:spacing w:val="-10"/>
                      <w:sz w:val="18"/>
                      <w:szCs w:val="18"/>
                      <w:highlight w:val="none"/>
                      <w:lang w:val="en-US" w:eastAsia="zh-CN"/>
                    </w:rPr>
                    <w:t>m</w:t>
                  </w:r>
                  <w:r>
                    <w:rPr>
                      <w:rFonts w:hint="default" w:ascii="Times New Roman" w:hAnsi="Times New Roman" w:cs="Times New Roman"/>
                      <w:color w:val="auto"/>
                      <w:spacing w:val="-10"/>
                      <w:sz w:val="18"/>
                      <w:szCs w:val="18"/>
                      <w:highlight w:val="none"/>
                      <w:lang w:val="en-US" w:eastAsia="zh-CN"/>
                    </w:rPr>
                    <w:t>×</w:t>
                  </w:r>
                  <w:r>
                    <w:rPr>
                      <w:rFonts w:hint="eastAsia" w:cs="Times New Roman"/>
                      <w:color w:val="auto"/>
                      <w:spacing w:val="-10"/>
                      <w:sz w:val="18"/>
                      <w:szCs w:val="18"/>
                      <w:highlight w:val="none"/>
                      <w:lang w:val="en-US" w:eastAsia="zh-CN"/>
                    </w:rPr>
                    <w:t>3.5</w:t>
                  </w:r>
                  <w:r>
                    <w:rPr>
                      <w:rFonts w:hint="eastAsia" w:ascii="Times New Roman" w:hAnsi="Times New Roman" w:cs="Times New Roman"/>
                      <w:color w:val="auto"/>
                      <w:spacing w:val="-10"/>
                      <w:sz w:val="18"/>
                      <w:szCs w:val="18"/>
                      <w:highlight w:val="none"/>
                      <w:lang w:val="en-US" w:eastAsia="zh-CN"/>
                    </w:rPr>
                    <w:t>m</w:t>
                  </w:r>
                </w:p>
              </w:tc>
              <w:tc>
                <w:tcPr>
                  <w:tcW w:w="649" w:type="dxa"/>
                  <w:tcBorders>
                    <w:tl2br w:val="nil"/>
                    <w:tr2bl w:val="nil"/>
                  </w:tcBorders>
                  <w:shd w:val="clear" w:color="auto" w:fill="auto"/>
                  <w:vAlign w:val="center"/>
                </w:tcPr>
                <w:p w14:paraId="5340A79C">
                  <w:pPr>
                    <w:widowControl/>
                    <w:jc w:val="center"/>
                    <w:rPr>
                      <w:rFonts w:hint="eastAsia" w:ascii="Times New Roman" w:hAnsi="Times New Roman" w:eastAsia="宋体" w:cs="Times New Roman"/>
                      <w:color w:val="auto"/>
                      <w:spacing w:val="-10"/>
                      <w:kern w:val="2"/>
                      <w:sz w:val="18"/>
                      <w:szCs w:val="18"/>
                      <w:highlight w:val="none"/>
                      <w:lang w:val="en-US" w:eastAsia="zh-CN" w:bidi="ar-SA"/>
                    </w:rPr>
                  </w:pPr>
                  <w:r>
                    <w:rPr>
                      <w:rFonts w:hint="eastAsia"/>
                      <w:color w:val="auto"/>
                      <w:spacing w:val="-10"/>
                      <w:sz w:val="18"/>
                      <w:szCs w:val="18"/>
                      <w:highlight w:val="none"/>
                      <w:lang w:val="en-US" w:eastAsia="zh-CN"/>
                    </w:rPr>
                    <w:t>3</w:t>
                  </w:r>
                </w:p>
              </w:tc>
              <w:tc>
                <w:tcPr>
                  <w:tcW w:w="3457" w:type="dxa"/>
                  <w:tcBorders>
                    <w:tl2br w:val="nil"/>
                    <w:tr2bl w:val="nil"/>
                  </w:tcBorders>
                  <w:shd w:val="clear" w:color="auto" w:fill="auto"/>
                  <w:vAlign w:val="center"/>
                </w:tcPr>
                <w:p w14:paraId="29D3C961">
                  <w:pPr>
                    <w:widowControl/>
                    <w:jc w:val="center"/>
                    <w:rPr>
                      <w:rFonts w:hint="eastAsia" w:ascii="Times New Roman" w:hAnsi="Times New Roman" w:eastAsia="宋体" w:cs="Times New Roman"/>
                      <w:color w:val="auto"/>
                      <w:spacing w:val="-10"/>
                      <w:kern w:val="2"/>
                      <w:sz w:val="18"/>
                      <w:szCs w:val="18"/>
                      <w:highlight w:val="none"/>
                      <w:lang w:val="en-US" w:eastAsia="zh-CN" w:bidi="ar-SA"/>
                    </w:rPr>
                  </w:pPr>
                  <w:r>
                    <w:rPr>
                      <w:rFonts w:hint="eastAsia" w:ascii="Times New Roman" w:hAnsi="Times New Roman" w:cs="Times New Roman"/>
                      <w:color w:val="auto"/>
                      <w:spacing w:val="-10"/>
                      <w:sz w:val="18"/>
                      <w:szCs w:val="18"/>
                      <w:highlight w:val="none"/>
                      <w:lang w:val="en-US" w:eastAsia="zh-CN"/>
                    </w:rPr>
                    <w:t>抗渗混凝土结构，防渗处理</w:t>
                  </w:r>
                </w:p>
              </w:tc>
            </w:tr>
            <w:tr w14:paraId="1D76EC4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83" w:hRule="atLeast"/>
                <w:jc w:val="center"/>
              </w:trPr>
              <w:tc>
                <w:tcPr>
                  <w:tcW w:w="436" w:type="dxa"/>
                  <w:tcBorders>
                    <w:tl2br w:val="nil"/>
                    <w:tr2bl w:val="nil"/>
                  </w:tcBorders>
                  <w:shd w:val="clear" w:color="auto" w:fill="auto"/>
                  <w:vAlign w:val="center"/>
                </w:tcPr>
                <w:p w14:paraId="3303CF6C">
                  <w:pPr>
                    <w:jc w:val="center"/>
                    <w:rPr>
                      <w:rFonts w:hint="default"/>
                      <w:color w:val="auto"/>
                      <w:spacing w:val="-10"/>
                      <w:sz w:val="18"/>
                      <w:szCs w:val="18"/>
                      <w:highlight w:val="none"/>
                      <w:lang w:val="en-US" w:eastAsia="zh-CN"/>
                    </w:rPr>
                  </w:pPr>
                  <w:r>
                    <w:rPr>
                      <w:rFonts w:hint="eastAsia"/>
                      <w:color w:val="auto"/>
                      <w:spacing w:val="-10"/>
                      <w:sz w:val="18"/>
                      <w:szCs w:val="18"/>
                      <w:highlight w:val="none"/>
                      <w:lang w:val="en-US" w:eastAsia="zh-CN"/>
                    </w:rPr>
                    <w:t>4</w:t>
                  </w:r>
                </w:p>
              </w:tc>
              <w:tc>
                <w:tcPr>
                  <w:tcW w:w="1237" w:type="dxa"/>
                  <w:tcBorders>
                    <w:tl2br w:val="nil"/>
                    <w:tr2bl w:val="nil"/>
                  </w:tcBorders>
                  <w:shd w:val="clear" w:color="auto" w:fill="auto"/>
                  <w:vAlign w:val="center"/>
                </w:tcPr>
                <w:p w14:paraId="67AB77B1">
                  <w:pPr>
                    <w:widowControl/>
                    <w:jc w:val="center"/>
                    <w:rPr>
                      <w:rFonts w:hint="eastAsia" w:ascii="Times New Roman" w:hAnsi="Times New Roman" w:eastAsia="宋体" w:cs="Times New Roman"/>
                      <w:color w:val="auto"/>
                      <w:spacing w:val="-10"/>
                      <w:kern w:val="2"/>
                      <w:sz w:val="18"/>
                      <w:szCs w:val="18"/>
                      <w:highlight w:val="none"/>
                      <w:lang w:val="en-US" w:eastAsia="zh-CN" w:bidi="ar-SA"/>
                    </w:rPr>
                  </w:pPr>
                  <w:r>
                    <w:rPr>
                      <w:rFonts w:hint="eastAsia" w:cs="Times New Roman"/>
                      <w:color w:val="auto"/>
                      <w:spacing w:val="-10"/>
                      <w:sz w:val="18"/>
                      <w:szCs w:val="18"/>
                      <w:highlight w:val="none"/>
                      <w:lang w:val="en-US" w:eastAsia="zh-CN"/>
                    </w:rPr>
                    <w:t>初期雨水收集池</w:t>
                  </w:r>
                </w:p>
              </w:tc>
              <w:tc>
                <w:tcPr>
                  <w:tcW w:w="1050" w:type="dxa"/>
                  <w:tcBorders>
                    <w:tl2br w:val="nil"/>
                    <w:tr2bl w:val="nil"/>
                  </w:tcBorders>
                  <w:shd w:val="clear" w:color="auto" w:fill="auto"/>
                  <w:vAlign w:val="center"/>
                </w:tcPr>
                <w:p w14:paraId="674B9245">
                  <w:pPr>
                    <w:widowControl/>
                    <w:jc w:val="center"/>
                    <w:rPr>
                      <w:rFonts w:hint="default" w:ascii="Times New Roman" w:hAnsi="Times New Roman" w:eastAsia="宋体" w:cs="Times New Roman"/>
                      <w:color w:val="auto"/>
                      <w:spacing w:val="-10"/>
                      <w:kern w:val="2"/>
                      <w:sz w:val="18"/>
                      <w:szCs w:val="18"/>
                      <w:highlight w:val="none"/>
                      <w:lang w:val="en-US" w:eastAsia="zh-CN" w:bidi="ar-SA"/>
                    </w:rPr>
                  </w:pPr>
                  <w:r>
                    <w:rPr>
                      <w:rFonts w:hint="eastAsia" w:cs="Times New Roman"/>
                      <w:color w:val="auto"/>
                      <w:spacing w:val="-10"/>
                      <w:sz w:val="18"/>
                      <w:szCs w:val="18"/>
                      <w:highlight w:val="none"/>
                      <w:lang w:val="en-US" w:eastAsia="zh-CN"/>
                    </w:rPr>
                    <w:t>12</w:t>
                  </w:r>
                </w:p>
              </w:tc>
              <w:tc>
                <w:tcPr>
                  <w:tcW w:w="1226" w:type="dxa"/>
                  <w:tcBorders>
                    <w:tl2br w:val="nil"/>
                    <w:tr2bl w:val="nil"/>
                  </w:tcBorders>
                  <w:shd w:val="clear" w:color="auto" w:fill="auto"/>
                  <w:vAlign w:val="center"/>
                </w:tcPr>
                <w:p w14:paraId="237DD977">
                  <w:pPr>
                    <w:widowControl/>
                    <w:jc w:val="center"/>
                    <w:rPr>
                      <w:rFonts w:hint="eastAsia" w:ascii="Times New Roman" w:hAnsi="Times New Roman" w:eastAsia="宋体" w:cs="Times New Roman"/>
                      <w:color w:val="auto"/>
                      <w:spacing w:val="-10"/>
                      <w:kern w:val="2"/>
                      <w:sz w:val="18"/>
                      <w:szCs w:val="18"/>
                      <w:highlight w:val="none"/>
                      <w:lang w:val="en-US" w:eastAsia="zh-CN" w:bidi="ar-SA"/>
                    </w:rPr>
                  </w:pPr>
                  <w:r>
                    <w:rPr>
                      <w:rFonts w:hint="eastAsia" w:cs="Times New Roman"/>
                      <w:color w:val="auto"/>
                      <w:spacing w:val="-10"/>
                      <w:sz w:val="18"/>
                      <w:szCs w:val="18"/>
                      <w:highlight w:val="none"/>
                      <w:lang w:val="en-US" w:eastAsia="zh-CN"/>
                    </w:rPr>
                    <w:t>3</w:t>
                  </w:r>
                  <w:r>
                    <w:rPr>
                      <w:rFonts w:hint="eastAsia" w:ascii="Times New Roman" w:hAnsi="Times New Roman" w:eastAsia="宋体" w:cs="Times New Roman"/>
                      <w:color w:val="auto"/>
                      <w:spacing w:val="-10"/>
                      <w:sz w:val="18"/>
                      <w:szCs w:val="18"/>
                      <w:highlight w:val="none"/>
                      <w:lang w:val="en-US" w:eastAsia="zh-CN"/>
                    </w:rPr>
                    <w:t>m×</w:t>
                  </w:r>
                  <w:r>
                    <w:rPr>
                      <w:rFonts w:hint="eastAsia" w:cs="Times New Roman"/>
                      <w:color w:val="auto"/>
                      <w:spacing w:val="-10"/>
                      <w:sz w:val="18"/>
                      <w:szCs w:val="18"/>
                      <w:highlight w:val="none"/>
                      <w:lang w:val="en-US" w:eastAsia="zh-CN"/>
                    </w:rPr>
                    <w:t>4</w:t>
                  </w:r>
                  <w:r>
                    <w:rPr>
                      <w:rFonts w:hint="eastAsia" w:ascii="Times New Roman" w:hAnsi="Times New Roman" w:eastAsia="宋体" w:cs="Times New Roman"/>
                      <w:color w:val="auto"/>
                      <w:spacing w:val="-10"/>
                      <w:sz w:val="18"/>
                      <w:szCs w:val="18"/>
                      <w:highlight w:val="none"/>
                      <w:lang w:val="en-US" w:eastAsia="zh-CN"/>
                    </w:rPr>
                    <w:t>m×</w:t>
                  </w:r>
                  <w:r>
                    <w:rPr>
                      <w:rFonts w:hint="eastAsia" w:cs="Times New Roman"/>
                      <w:color w:val="auto"/>
                      <w:spacing w:val="-10"/>
                      <w:sz w:val="18"/>
                      <w:szCs w:val="18"/>
                      <w:highlight w:val="none"/>
                      <w:lang w:val="en-US" w:eastAsia="zh-CN"/>
                    </w:rPr>
                    <w:t>3</w:t>
                  </w:r>
                  <w:r>
                    <w:rPr>
                      <w:rFonts w:hint="eastAsia" w:ascii="Times New Roman" w:hAnsi="Times New Roman" w:eastAsia="宋体" w:cs="Times New Roman"/>
                      <w:color w:val="auto"/>
                      <w:spacing w:val="-10"/>
                      <w:sz w:val="18"/>
                      <w:szCs w:val="18"/>
                      <w:highlight w:val="none"/>
                      <w:lang w:val="en-US" w:eastAsia="zh-CN"/>
                    </w:rPr>
                    <w:t>m</w:t>
                  </w:r>
                </w:p>
              </w:tc>
              <w:tc>
                <w:tcPr>
                  <w:tcW w:w="649" w:type="dxa"/>
                  <w:tcBorders>
                    <w:tl2br w:val="nil"/>
                    <w:tr2bl w:val="nil"/>
                  </w:tcBorders>
                  <w:shd w:val="clear" w:color="auto" w:fill="auto"/>
                  <w:vAlign w:val="center"/>
                </w:tcPr>
                <w:p w14:paraId="00A6905B">
                  <w:pPr>
                    <w:widowControl/>
                    <w:jc w:val="center"/>
                    <w:rPr>
                      <w:rFonts w:hint="eastAsia" w:ascii="Times New Roman" w:hAnsi="Times New Roman" w:eastAsia="宋体" w:cs="Times New Roman"/>
                      <w:color w:val="auto"/>
                      <w:spacing w:val="-10"/>
                      <w:kern w:val="2"/>
                      <w:sz w:val="18"/>
                      <w:szCs w:val="18"/>
                      <w:highlight w:val="none"/>
                      <w:lang w:val="en-US" w:eastAsia="zh-CN" w:bidi="ar-SA"/>
                    </w:rPr>
                  </w:pPr>
                  <w:r>
                    <w:rPr>
                      <w:rFonts w:hint="eastAsia" w:cs="Times New Roman"/>
                      <w:color w:val="auto"/>
                      <w:spacing w:val="-10"/>
                      <w:sz w:val="18"/>
                      <w:szCs w:val="18"/>
                      <w:highlight w:val="none"/>
                      <w:lang w:val="en-US" w:eastAsia="zh-CN"/>
                    </w:rPr>
                    <w:t>1</w:t>
                  </w:r>
                </w:p>
              </w:tc>
              <w:tc>
                <w:tcPr>
                  <w:tcW w:w="3457" w:type="dxa"/>
                  <w:tcBorders>
                    <w:tl2br w:val="nil"/>
                    <w:tr2bl w:val="nil"/>
                  </w:tcBorders>
                  <w:shd w:val="clear" w:color="auto" w:fill="auto"/>
                  <w:vAlign w:val="center"/>
                </w:tcPr>
                <w:p w14:paraId="62AF2EBF">
                  <w:pPr>
                    <w:widowControl/>
                    <w:jc w:val="center"/>
                    <w:rPr>
                      <w:rFonts w:hint="eastAsia" w:ascii="Times New Roman" w:hAnsi="Times New Roman" w:eastAsia="宋体" w:cs="Times New Roman"/>
                      <w:color w:val="auto"/>
                      <w:spacing w:val="-10"/>
                      <w:kern w:val="2"/>
                      <w:sz w:val="18"/>
                      <w:szCs w:val="18"/>
                      <w:highlight w:val="none"/>
                      <w:lang w:val="en-US" w:eastAsia="zh-CN" w:bidi="ar-SA"/>
                    </w:rPr>
                  </w:pPr>
                  <w:r>
                    <w:rPr>
                      <w:rFonts w:hint="eastAsia" w:ascii="Times New Roman" w:hAnsi="Times New Roman" w:cs="Times New Roman"/>
                      <w:color w:val="auto"/>
                      <w:spacing w:val="-10"/>
                      <w:sz w:val="18"/>
                      <w:szCs w:val="18"/>
                      <w:highlight w:val="none"/>
                      <w:lang w:val="en-US" w:eastAsia="zh-CN"/>
                    </w:rPr>
                    <w:t>采用200mm厚</w:t>
                  </w:r>
                  <w:r>
                    <w:rPr>
                      <w:rFonts w:hint="eastAsia" w:cs="Times New Roman"/>
                      <w:color w:val="auto"/>
                      <w:spacing w:val="-10"/>
                      <w:sz w:val="18"/>
                      <w:szCs w:val="18"/>
                      <w:highlight w:val="none"/>
                      <w:lang w:val="en-US" w:eastAsia="zh-CN"/>
                    </w:rPr>
                    <w:t>防</w:t>
                  </w:r>
                  <w:r>
                    <w:rPr>
                      <w:rFonts w:hint="eastAsia" w:ascii="Times New Roman" w:hAnsi="Times New Roman" w:cs="Times New Roman"/>
                      <w:color w:val="auto"/>
                      <w:spacing w:val="-10"/>
                      <w:sz w:val="18"/>
                      <w:szCs w:val="18"/>
                      <w:highlight w:val="none"/>
                      <w:lang w:val="en-US" w:eastAsia="zh-CN"/>
                    </w:rPr>
                    <w:t>渗混凝土</w:t>
                  </w:r>
                  <w:r>
                    <w:rPr>
                      <w:rFonts w:hint="eastAsia"/>
                      <w:color w:val="auto"/>
                      <w:spacing w:val="-10"/>
                      <w:sz w:val="18"/>
                      <w:szCs w:val="18"/>
                      <w:highlight w:val="none"/>
                      <w:lang w:val="en-US" w:eastAsia="zh-CN"/>
                    </w:rPr>
                    <w:t>一体浇筑</w:t>
                  </w:r>
                </w:p>
              </w:tc>
            </w:tr>
            <w:bookmarkEnd w:id="15"/>
          </w:tbl>
          <w:p w14:paraId="626D9C56">
            <w:pPr>
              <w:pStyle w:val="24"/>
              <w:adjustRightInd w:val="0"/>
              <w:snapToGrid w:val="0"/>
              <w:spacing w:before="0" w:beforeAutospacing="0" w:after="0" w:afterAutospacing="0" w:line="440" w:lineRule="exact"/>
              <w:ind w:firstLine="422" w:firstLineChars="200"/>
              <w:rPr>
                <w:rFonts w:hint="default" w:ascii="Times New Roman" w:hAnsi="Times New Roman" w:cs="Times New Roman"/>
                <w:b/>
                <w:bCs/>
                <w:color w:val="auto"/>
                <w:sz w:val="21"/>
                <w:szCs w:val="21"/>
                <w:highlight w:val="none"/>
                <w:lang w:val="en-US" w:eastAsia="zh-CN"/>
              </w:rPr>
            </w:pPr>
            <w:r>
              <w:rPr>
                <w:rFonts w:hint="eastAsia" w:ascii="Times New Roman" w:hAnsi="Times New Roman" w:cs="Times New Roman"/>
                <w:b/>
                <w:bCs/>
                <w:color w:val="auto"/>
                <w:sz w:val="21"/>
                <w:szCs w:val="21"/>
                <w:highlight w:val="none"/>
                <w:lang w:val="en-US" w:eastAsia="zh-CN"/>
              </w:rPr>
              <w:t>4.2存储能力可行性分析</w:t>
            </w:r>
          </w:p>
          <w:p w14:paraId="31F34EAF">
            <w:pPr>
              <w:pStyle w:val="24"/>
              <w:adjustRightInd w:val="0"/>
              <w:snapToGrid w:val="0"/>
              <w:spacing w:before="0" w:beforeAutospacing="0" w:after="0" w:afterAutospacing="0" w:line="440" w:lineRule="exact"/>
              <w:ind w:firstLine="422" w:firstLineChars="200"/>
              <w:rPr>
                <w:rFonts w:hint="default" w:ascii="Times New Roman" w:hAnsi="Times New Roman" w:cs="Times New Roman"/>
                <w:b/>
                <w:bCs/>
                <w:color w:val="auto"/>
                <w:sz w:val="21"/>
                <w:szCs w:val="21"/>
                <w:highlight w:val="none"/>
                <w:lang w:val="en-US" w:eastAsia="zh-CN"/>
              </w:rPr>
            </w:pPr>
            <w:r>
              <w:rPr>
                <w:rFonts w:hint="eastAsia" w:ascii="Times New Roman" w:hAnsi="Times New Roman" w:cs="Times New Roman"/>
                <w:b/>
                <w:bCs/>
                <w:color w:val="auto"/>
                <w:sz w:val="21"/>
                <w:szCs w:val="21"/>
                <w:highlight w:val="none"/>
                <w:lang w:val="en-US" w:eastAsia="zh-CN"/>
              </w:rPr>
              <w:t>（1）1</w:t>
            </w:r>
            <w:r>
              <w:rPr>
                <w:rFonts w:hint="eastAsia" w:ascii="Times New Roman" w:hAnsi="Times New Roman" w:cs="Times New Roman"/>
                <w:b/>
                <w:bCs/>
                <w:color w:val="auto"/>
                <w:sz w:val="21"/>
                <w:szCs w:val="21"/>
                <w:highlight w:val="none"/>
                <w:vertAlign w:val="superscript"/>
                <w:lang w:val="en-US" w:eastAsia="zh-CN"/>
              </w:rPr>
              <w:t>#</w:t>
            </w:r>
            <w:r>
              <w:rPr>
                <w:rFonts w:hint="eastAsia" w:ascii="Times New Roman" w:hAnsi="Times New Roman" w:cs="Times New Roman"/>
                <w:b/>
                <w:bCs/>
                <w:color w:val="auto"/>
                <w:sz w:val="21"/>
                <w:szCs w:val="21"/>
                <w:highlight w:val="none"/>
                <w:lang w:val="en-US" w:eastAsia="zh-CN"/>
              </w:rPr>
              <w:t>生产车间</w:t>
            </w:r>
          </w:p>
          <w:p w14:paraId="0B987B33">
            <w:pPr>
              <w:pStyle w:val="24"/>
              <w:keepNext w:val="0"/>
              <w:keepLines w:val="0"/>
              <w:pageBreakBefore w:val="0"/>
              <w:widowControl/>
              <w:kinsoku/>
              <w:wordWrap/>
              <w:overflowPunct/>
              <w:topLinePunct w:val="0"/>
              <w:autoSpaceDE/>
              <w:autoSpaceDN/>
              <w:bidi w:val="0"/>
              <w:adjustRightInd w:val="0"/>
              <w:snapToGrid w:val="0"/>
              <w:spacing w:before="0" w:beforeAutospacing="0" w:after="0" w:afterAutospacing="0" w:line="420" w:lineRule="exact"/>
              <w:ind w:firstLine="422" w:firstLineChars="200"/>
              <w:textAlignment w:val="auto"/>
              <w:rPr>
                <w:rFonts w:hint="eastAsia" w:ascii="Times New Roman" w:hAnsi="Times New Roman" w:cs="Times New Roman"/>
                <w:color w:val="auto"/>
                <w:sz w:val="21"/>
                <w:szCs w:val="21"/>
                <w:highlight w:val="none"/>
                <w:lang w:val="en-US" w:eastAsia="zh-CN"/>
              </w:rPr>
            </w:pPr>
            <w:r>
              <w:rPr>
                <w:rFonts w:hint="eastAsia" w:ascii="Times New Roman" w:hAnsi="Times New Roman" w:cs="Times New Roman"/>
                <w:b/>
                <w:bCs/>
                <w:color w:val="auto"/>
                <w:sz w:val="21"/>
                <w:szCs w:val="21"/>
                <w:highlight w:val="none"/>
                <w:lang w:val="en-US" w:eastAsia="zh-CN"/>
              </w:rPr>
              <w:t>废钢破碎尾料暂存区库容计算说明：</w:t>
            </w:r>
            <w:r>
              <w:rPr>
                <w:rFonts w:hint="eastAsia" w:ascii="Times New Roman" w:hAnsi="Times New Roman" w:eastAsia="宋体" w:cs="Times New Roman"/>
                <w:color w:val="auto"/>
                <w:sz w:val="21"/>
                <w:szCs w:val="21"/>
                <w:highlight w:val="none"/>
                <w:lang w:val="en-US" w:eastAsia="zh-CN"/>
              </w:rPr>
              <w:t>本项目废钢破碎尾料暂存区为</w:t>
            </w:r>
            <w:r>
              <w:rPr>
                <w:rFonts w:hint="eastAsia" w:ascii="Times New Roman" w:hAnsi="Times New Roman" w:cs="Times New Roman"/>
                <w:color w:val="auto"/>
                <w:sz w:val="21"/>
                <w:szCs w:val="21"/>
                <w:highlight w:val="none"/>
                <w:lang w:val="en-US" w:eastAsia="zh-CN"/>
              </w:rPr>
              <w:t>600m</w:t>
            </w:r>
            <w:r>
              <w:rPr>
                <w:rFonts w:hint="eastAsia" w:ascii="Times New Roman" w:hAnsi="Times New Roman" w:cs="Times New Roman"/>
                <w:color w:val="auto"/>
                <w:sz w:val="21"/>
                <w:szCs w:val="21"/>
                <w:highlight w:val="none"/>
                <w:vertAlign w:val="superscript"/>
                <w:lang w:val="en-US" w:eastAsia="zh-CN"/>
              </w:rPr>
              <w:t>2</w:t>
            </w:r>
            <w:r>
              <w:rPr>
                <w:rFonts w:hint="eastAsia" w:ascii="Times New Roman" w:hAnsi="Times New Roman" w:eastAsia="宋体" w:cs="Times New Roman"/>
                <w:color w:val="auto"/>
                <w:sz w:val="21"/>
                <w:szCs w:val="21"/>
                <w:highlight w:val="none"/>
                <w:lang w:val="en-US" w:eastAsia="zh-CN"/>
              </w:rPr>
              <w:t>，为保证废钢破碎尾料暂存区有效库容达到最大，暂存区内使用装载机对落料进行铲运、平整、堆高。废钢破碎尾料暂存区堆存底部为矩形高</w:t>
            </w:r>
            <w:r>
              <w:rPr>
                <w:rFonts w:hint="eastAsia" w:ascii="Times New Roman" w:hAnsi="Times New Roman" w:cs="Times New Roman"/>
                <w:color w:val="auto"/>
                <w:sz w:val="21"/>
                <w:szCs w:val="21"/>
                <w:highlight w:val="none"/>
                <w:lang w:val="en-US" w:eastAsia="zh-CN"/>
              </w:rPr>
              <w:t>3</w:t>
            </w:r>
            <w:r>
              <w:rPr>
                <w:rFonts w:hint="eastAsia" w:ascii="Times New Roman" w:hAnsi="Times New Roman" w:eastAsia="宋体" w:cs="Times New Roman"/>
                <w:color w:val="auto"/>
                <w:sz w:val="21"/>
                <w:szCs w:val="21"/>
                <w:highlight w:val="none"/>
                <w:lang w:val="en-US" w:eastAsia="zh-CN"/>
              </w:rPr>
              <w:t>m，上部为棱锥型高3m，堆存容积为</w:t>
            </w:r>
            <w:r>
              <w:rPr>
                <w:rFonts w:hint="eastAsia" w:ascii="Times New Roman" w:hAnsi="Times New Roman" w:cs="Times New Roman"/>
                <w:color w:val="auto"/>
                <w:sz w:val="21"/>
                <w:szCs w:val="21"/>
                <w:highlight w:val="none"/>
                <w:lang w:val="en-US" w:eastAsia="zh-CN"/>
              </w:rPr>
              <w:t>600m</w:t>
            </w:r>
            <w:r>
              <w:rPr>
                <w:rFonts w:hint="eastAsia" w:ascii="Times New Roman" w:hAnsi="Times New Roman" w:cs="Times New Roman"/>
                <w:color w:val="auto"/>
                <w:sz w:val="21"/>
                <w:szCs w:val="21"/>
                <w:highlight w:val="none"/>
                <w:vertAlign w:val="superscript"/>
                <w:lang w:val="en-US" w:eastAsia="zh-CN"/>
              </w:rPr>
              <w:t>2</w:t>
            </w:r>
            <w:r>
              <w:rPr>
                <w:rFonts w:hint="eastAsia" w:ascii="Times New Roman" w:hAnsi="Times New Roman" w:eastAsia="宋体" w:cs="Times New Roman"/>
                <w:color w:val="auto"/>
                <w:sz w:val="21"/>
                <w:szCs w:val="21"/>
                <w:highlight w:val="none"/>
                <w:lang w:val="en-US" w:eastAsia="zh-CN"/>
              </w:rPr>
              <w:t>×</w:t>
            </w:r>
            <w:r>
              <w:rPr>
                <w:rFonts w:hint="eastAsia" w:ascii="Times New Roman" w:hAnsi="Times New Roman" w:cs="Times New Roman"/>
                <w:color w:val="auto"/>
                <w:sz w:val="21"/>
                <w:szCs w:val="21"/>
                <w:highlight w:val="none"/>
                <w:lang w:val="en-US" w:eastAsia="zh-CN"/>
              </w:rPr>
              <w:t>3</w:t>
            </w:r>
            <w:r>
              <w:rPr>
                <w:rFonts w:hint="eastAsia" w:ascii="Times New Roman" w:hAnsi="Times New Roman" w:eastAsia="宋体" w:cs="Times New Roman"/>
                <w:color w:val="auto"/>
                <w:sz w:val="21"/>
                <w:szCs w:val="21"/>
                <w:highlight w:val="none"/>
                <w:lang w:val="en-US" w:eastAsia="zh-CN"/>
              </w:rPr>
              <w:t>+</w:t>
            </w:r>
            <w:r>
              <w:rPr>
                <w:rFonts w:hint="eastAsia" w:ascii="Times New Roman" w:hAnsi="Times New Roman" w:cs="Times New Roman"/>
                <w:color w:val="auto"/>
                <w:sz w:val="21"/>
                <w:szCs w:val="21"/>
                <w:highlight w:val="none"/>
                <w:lang w:val="en-US" w:eastAsia="zh-CN"/>
              </w:rPr>
              <w:t>600m</w:t>
            </w:r>
            <w:r>
              <w:rPr>
                <w:rFonts w:hint="eastAsia" w:ascii="Times New Roman" w:hAnsi="Times New Roman" w:cs="Times New Roman"/>
                <w:color w:val="auto"/>
                <w:sz w:val="21"/>
                <w:szCs w:val="21"/>
                <w:highlight w:val="none"/>
                <w:vertAlign w:val="superscript"/>
                <w:lang w:val="en-US" w:eastAsia="zh-CN"/>
              </w:rPr>
              <w:t>2</w:t>
            </w:r>
            <w:r>
              <w:rPr>
                <w:rFonts w:hint="eastAsia" w:ascii="Times New Roman" w:hAnsi="Times New Roman" w:eastAsia="宋体" w:cs="Times New Roman"/>
                <w:color w:val="auto"/>
                <w:sz w:val="21"/>
                <w:szCs w:val="21"/>
                <w:highlight w:val="none"/>
                <w:lang w:val="en-US" w:eastAsia="zh-CN"/>
              </w:rPr>
              <w:t>×3/3=</w:t>
            </w:r>
            <w:r>
              <w:rPr>
                <w:rFonts w:hint="eastAsia" w:ascii="Times New Roman" w:hAnsi="Times New Roman" w:cs="Times New Roman"/>
                <w:color w:val="auto"/>
                <w:sz w:val="21"/>
                <w:szCs w:val="21"/>
                <w:highlight w:val="none"/>
                <w:lang w:val="en-US" w:eastAsia="zh-CN"/>
              </w:rPr>
              <w:t>2400</w:t>
            </w:r>
            <w:r>
              <w:rPr>
                <w:rFonts w:hint="eastAsia" w:ascii="Times New Roman" w:hAnsi="Times New Roman" w:eastAsia="宋体" w:cs="Times New Roman"/>
                <w:color w:val="auto"/>
                <w:sz w:val="21"/>
                <w:szCs w:val="21"/>
                <w:highlight w:val="none"/>
                <w:lang w:val="en-US" w:eastAsia="zh-CN"/>
              </w:rPr>
              <w:t>m</w:t>
            </w:r>
            <w:r>
              <w:rPr>
                <w:rFonts w:hint="eastAsia" w:ascii="Times New Roman" w:hAnsi="Times New Roman" w:eastAsia="宋体" w:cs="Times New Roman"/>
                <w:color w:val="auto"/>
                <w:sz w:val="21"/>
                <w:szCs w:val="21"/>
                <w:highlight w:val="none"/>
                <w:vertAlign w:val="superscript"/>
                <w:lang w:val="en-US" w:eastAsia="zh-CN"/>
              </w:rPr>
              <w:t>3</w:t>
            </w:r>
            <w:r>
              <w:rPr>
                <w:rFonts w:hint="eastAsia" w:ascii="Times New Roman" w:hAnsi="Times New Roman" w:eastAsia="宋体" w:cs="Times New Roman"/>
                <w:color w:val="auto"/>
                <w:sz w:val="21"/>
                <w:szCs w:val="21"/>
                <w:highlight w:val="none"/>
                <w:lang w:val="en-US" w:eastAsia="zh-CN"/>
              </w:rPr>
              <w:t>，废钢破碎尾料堆积密度按</w:t>
            </w:r>
            <w:r>
              <w:rPr>
                <w:rFonts w:hint="eastAsia" w:ascii="Times New Roman" w:hAnsi="Times New Roman" w:cs="Times New Roman"/>
                <w:color w:val="auto"/>
                <w:sz w:val="21"/>
                <w:szCs w:val="21"/>
                <w:highlight w:val="none"/>
                <w:lang w:val="en-US" w:eastAsia="zh-CN"/>
              </w:rPr>
              <w:t>2.8</w:t>
            </w:r>
            <w:r>
              <w:rPr>
                <w:rFonts w:hint="eastAsia" w:ascii="Times New Roman" w:hAnsi="Times New Roman" w:eastAsia="宋体" w:cs="Times New Roman"/>
                <w:color w:val="auto"/>
                <w:sz w:val="21"/>
                <w:szCs w:val="21"/>
                <w:highlight w:val="none"/>
                <w:lang w:val="en-US" w:eastAsia="zh-CN"/>
              </w:rPr>
              <w:t>t/m</w:t>
            </w:r>
            <w:r>
              <w:rPr>
                <w:rFonts w:hint="eastAsia" w:ascii="Times New Roman" w:hAnsi="Times New Roman" w:eastAsia="宋体" w:cs="Times New Roman"/>
                <w:color w:val="auto"/>
                <w:sz w:val="21"/>
                <w:szCs w:val="21"/>
                <w:highlight w:val="none"/>
                <w:vertAlign w:val="superscript"/>
                <w:lang w:val="en-US" w:eastAsia="zh-CN"/>
              </w:rPr>
              <w:t>3</w:t>
            </w:r>
            <w:r>
              <w:rPr>
                <w:rFonts w:hint="eastAsia" w:ascii="Times New Roman" w:hAnsi="Times New Roman" w:cs="Times New Roman"/>
                <w:color w:val="auto"/>
                <w:sz w:val="21"/>
                <w:szCs w:val="21"/>
                <w:highlight w:val="none"/>
                <w:vertAlign w:val="baseline"/>
                <w:lang w:val="en-US" w:eastAsia="zh-CN"/>
              </w:rPr>
              <w:t>计算</w:t>
            </w:r>
            <w:r>
              <w:rPr>
                <w:rFonts w:hint="eastAsia" w:ascii="Times New Roman" w:hAnsi="Times New Roman" w:eastAsia="宋体" w:cs="Times New Roman"/>
                <w:color w:val="auto"/>
                <w:sz w:val="21"/>
                <w:szCs w:val="21"/>
                <w:highlight w:val="none"/>
                <w:lang w:val="en-US" w:eastAsia="zh-CN"/>
              </w:rPr>
              <w:t>，最大存储量为</w:t>
            </w:r>
            <w:r>
              <w:rPr>
                <w:rFonts w:hint="eastAsia" w:ascii="Times New Roman" w:hAnsi="Times New Roman" w:cs="Times New Roman"/>
                <w:color w:val="auto"/>
                <w:sz w:val="21"/>
                <w:szCs w:val="21"/>
                <w:highlight w:val="none"/>
                <w:lang w:val="en-US" w:eastAsia="zh-CN"/>
              </w:rPr>
              <w:t>6720</w:t>
            </w:r>
            <w:r>
              <w:rPr>
                <w:rFonts w:hint="eastAsia" w:ascii="Times New Roman" w:hAnsi="Times New Roman" w:eastAsia="宋体" w:cs="Times New Roman"/>
                <w:color w:val="auto"/>
                <w:sz w:val="21"/>
                <w:szCs w:val="21"/>
                <w:highlight w:val="none"/>
                <w:lang w:val="en-US" w:eastAsia="zh-CN"/>
              </w:rPr>
              <w:t>吨，项目废钢破碎尾料年</w:t>
            </w:r>
            <w:r>
              <w:rPr>
                <w:rFonts w:hint="eastAsia" w:ascii="Times New Roman" w:hAnsi="Times New Roman" w:cs="Times New Roman"/>
                <w:color w:val="auto"/>
                <w:sz w:val="21"/>
                <w:szCs w:val="21"/>
                <w:highlight w:val="none"/>
                <w:lang w:val="en-US" w:eastAsia="zh-CN"/>
              </w:rPr>
              <w:t>用</w:t>
            </w:r>
            <w:r>
              <w:rPr>
                <w:rFonts w:hint="eastAsia" w:ascii="Times New Roman" w:hAnsi="Times New Roman" w:eastAsia="宋体" w:cs="Times New Roman"/>
                <w:color w:val="auto"/>
                <w:sz w:val="21"/>
                <w:szCs w:val="21"/>
                <w:highlight w:val="none"/>
                <w:lang w:val="en-US" w:eastAsia="zh-CN"/>
              </w:rPr>
              <w:t>量为</w:t>
            </w:r>
            <w:r>
              <w:rPr>
                <w:rFonts w:hint="eastAsia" w:ascii="Times New Roman" w:hAnsi="Times New Roman" w:cs="Times New Roman"/>
                <w:color w:val="auto"/>
                <w:sz w:val="21"/>
                <w:szCs w:val="21"/>
                <w:highlight w:val="none"/>
                <w:lang w:val="en-US" w:eastAsia="zh-CN"/>
              </w:rPr>
              <w:t>500000</w:t>
            </w:r>
            <w:r>
              <w:rPr>
                <w:rFonts w:hint="eastAsia" w:ascii="Times New Roman" w:hAnsi="Times New Roman" w:eastAsia="宋体" w:cs="Times New Roman"/>
                <w:color w:val="auto"/>
                <w:sz w:val="21"/>
                <w:szCs w:val="21"/>
                <w:highlight w:val="none"/>
                <w:lang w:val="en-US" w:eastAsia="zh-CN"/>
              </w:rPr>
              <w:t>t，废钢破碎尾料每天</w:t>
            </w:r>
            <w:r>
              <w:rPr>
                <w:rFonts w:hint="eastAsia" w:ascii="Times New Roman" w:hAnsi="Times New Roman" w:cs="Times New Roman"/>
                <w:color w:val="auto"/>
                <w:sz w:val="21"/>
                <w:szCs w:val="21"/>
                <w:highlight w:val="none"/>
                <w:lang w:val="en-US" w:eastAsia="zh-CN"/>
              </w:rPr>
              <w:t>用</w:t>
            </w:r>
            <w:r>
              <w:rPr>
                <w:rFonts w:hint="eastAsia" w:ascii="Times New Roman" w:hAnsi="Times New Roman" w:eastAsia="宋体" w:cs="Times New Roman"/>
                <w:color w:val="auto"/>
                <w:sz w:val="21"/>
                <w:szCs w:val="21"/>
                <w:highlight w:val="none"/>
                <w:lang w:val="en-US" w:eastAsia="zh-CN"/>
              </w:rPr>
              <w:t>量约为</w:t>
            </w:r>
            <w:r>
              <w:rPr>
                <w:rFonts w:hint="eastAsia" w:ascii="Times New Roman" w:hAnsi="Times New Roman" w:cs="Times New Roman"/>
                <w:color w:val="auto"/>
                <w:sz w:val="21"/>
                <w:szCs w:val="21"/>
                <w:highlight w:val="none"/>
                <w:lang w:val="en-US" w:eastAsia="zh-CN"/>
              </w:rPr>
              <w:t>1666.7</w:t>
            </w:r>
            <w:r>
              <w:rPr>
                <w:rFonts w:hint="eastAsia" w:ascii="Times New Roman" w:hAnsi="Times New Roman" w:eastAsia="宋体" w:cs="Times New Roman"/>
                <w:color w:val="auto"/>
                <w:sz w:val="21"/>
                <w:szCs w:val="21"/>
                <w:highlight w:val="none"/>
                <w:lang w:val="en-US" w:eastAsia="zh-CN"/>
              </w:rPr>
              <w:t>t，存储周期为</w:t>
            </w:r>
            <w:r>
              <w:rPr>
                <w:rFonts w:hint="eastAsia" w:ascii="Times New Roman" w:hAnsi="Times New Roman" w:cs="Times New Roman"/>
                <w:color w:val="auto"/>
                <w:sz w:val="21"/>
                <w:szCs w:val="21"/>
                <w:highlight w:val="none"/>
                <w:lang w:val="en-US" w:eastAsia="zh-CN"/>
              </w:rPr>
              <w:t>4</w:t>
            </w:r>
            <w:r>
              <w:rPr>
                <w:rFonts w:hint="eastAsia" w:ascii="Times New Roman" w:hAnsi="Times New Roman" w:eastAsia="宋体" w:cs="Times New Roman"/>
                <w:color w:val="auto"/>
                <w:sz w:val="21"/>
                <w:szCs w:val="21"/>
                <w:highlight w:val="none"/>
                <w:lang w:val="en-US" w:eastAsia="zh-CN"/>
              </w:rPr>
              <w:t>d</w:t>
            </w:r>
            <w:r>
              <w:rPr>
                <w:rFonts w:hint="eastAsia" w:ascii="Times New Roman" w:hAnsi="Times New Roman" w:cs="Times New Roman"/>
                <w:color w:val="auto"/>
                <w:sz w:val="21"/>
                <w:szCs w:val="21"/>
                <w:highlight w:val="none"/>
                <w:lang w:val="en-US" w:eastAsia="zh-CN"/>
              </w:rPr>
              <w:t>。</w:t>
            </w:r>
          </w:p>
          <w:p w14:paraId="6C952EFF">
            <w:pPr>
              <w:pStyle w:val="24"/>
              <w:keepNext w:val="0"/>
              <w:keepLines w:val="0"/>
              <w:pageBreakBefore w:val="0"/>
              <w:widowControl/>
              <w:kinsoku/>
              <w:wordWrap/>
              <w:overflowPunct/>
              <w:topLinePunct w:val="0"/>
              <w:autoSpaceDE/>
              <w:autoSpaceDN/>
              <w:bidi w:val="0"/>
              <w:adjustRightInd w:val="0"/>
              <w:snapToGrid w:val="0"/>
              <w:spacing w:before="0" w:beforeAutospacing="0" w:after="0" w:afterAutospacing="0" w:line="420" w:lineRule="exact"/>
              <w:ind w:firstLine="422" w:firstLineChars="200"/>
              <w:textAlignment w:val="auto"/>
              <w:rPr>
                <w:rFonts w:hint="eastAsia" w:ascii="Times New Roman" w:hAnsi="Times New Roman" w:cs="Times New Roman"/>
                <w:color w:val="auto"/>
                <w:sz w:val="21"/>
                <w:szCs w:val="21"/>
                <w:highlight w:val="none"/>
                <w:lang w:val="en-US" w:eastAsia="zh-CN"/>
              </w:rPr>
            </w:pPr>
            <w:r>
              <w:rPr>
                <w:rFonts w:hint="eastAsia" w:ascii="Times New Roman" w:hAnsi="Times New Roman" w:cs="Times New Roman"/>
                <w:b/>
                <w:bCs/>
                <w:color w:val="auto"/>
                <w:sz w:val="21"/>
                <w:szCs w:val="21"/>
                <w:highlight w:val="none"/>
                <w:lang w:val="en-US" w:eastAsia="zh-CN"/>
              </w:rPr>
              <w:t>废土暂存区库容计算说明：</w:t>
            </w:r>
            <w:r>
              <w:rPr>
                <w:rFonts w:hint="eastAsia" w:ascii="Times New Roman" w:hAnsi="Times New Roman" w:eastAsia="宋体" w:cs="Times New Roman"/>
                <w:color w:val="auto"/>
                <w:sz w:val="21"/>
                <w:szCs w:val="21"/>
                <w:highlight w:val="none"/>
                <w:lang w:val="en-US" w:eastAsia="zh-CN"/>
              </w:rPr>
              <w:t>本项目</w:t>
            </w:r>
            <w:r>
              <w:rPr>
                <w:rFonts w:hint="eastAsia" w:ascii="Times New Roman" w:hAnsi="Times New Roman" w:cs="Times New Roman"/>
                <w:color w:val="auto"/>
                <w:sz w:val="21"/>
                <w:szCs w:val="21"/>
                <w:highlight w:val="none"/>
                <w:lang w:val="en-US" w:eastAsia="zh-CN"/>
              </w:rPr>
              <w:t>废土</w:t>
            </w:r>
            <w:r>
              <w:rPr>
                <w:rFonts w:hint="eastAsia" w:ascii="Times New Roman" w:hAnsi="Times New Roman" w:eastAsia="宋体" w:cs="Times New Roman"/>
                <w:color w:val="auto"/>
                <w:sz w:val="21"/>
                <w:szCs w:val="21"/>
                <w:highlight w:val="none"/>
                <w:lang w:val="en-US" w:eastAsia="zh-CN"/>
              </w:rPr>
              <w:t>暂存区为</w:t>
            </w:r>
            <w:r>
              <w:rPr>
                <w:rFonts w:hint="eastAsia" w:ascii="Times New Roman" w:hAnsi="Times New Roman" w:cs="Times New Roman"/>
                <w:color w:val="auto"/>
                <w:sz w:val="21"/>
                <w:szCs w:val="21"/>
                <w:highlight w:val="none"/>
                <w:lang w:val="en-US" w:eastAsia="zh-CN"/>
              </w:rPr>
              <w:t>420m</w:t>
            </w:r>
            <w:r>
              <w:rPr>
                <w:rFonts w:hint="eastAsia" w:ascii="Times New Roman" w:hAnsi="Times New Roman" w:cs="Times New Roman"/>
                <w:color w:val="auto"/>
                <w:sz w:val="21"/>
                <w:szCs w:val="21"/>
                <w:highlight w:val="none"/>
                <w:vertAlign w:val="superscript"/>
                <w:lang w:val="en-US" w:eastAsia="zh-CN"/>
              </w:rPr>
              <w:t>2</w:t>
            </w:r>
            <w:r>
              <w:rPr>
                <w:rFonts w:hint="eastAsia" w:ascii="Times New Roman" w:hAnsi="Times New Roman" w:eastAsia="宋体" w:cs="Times New Roman"/>
                <w:color w:val="auto"/>
                <w:sz w:val="21"/>
                <w:szCs w:val="21"/>
                <w:highlight w:val="none"/>
                <w:lang w:val="en-US" w:eastAsia="zh-CN"/>
              </w:rPr>
              <w:t>，为保证</w:t>
            </w:r>
            <w:r>
              <w:rPr>
                <w:rFonts w:hint="eastAsia" w:ascii="Times New Roman" w:hAnsi="Times New Roman" w:cs="Times New Roman"/>
                <w:color w:val="auto"/>
                <w:sz w:val="21"/>
                <w:szCs w:val="21"/>
                <w:highlight w:val="none"/>
                <w:lang w:val="en-US" w:eastAsia="zh-CN"/>
              </w:rPr>
              <w:t>废土</w:t>
            </w:r>
            <w:r>
              <w:rPr>
                <w:rFonts w:hint="eastAsia" w:ascii="Times New Roman" w:hAnsi="Times New Roman" w:eastAsia="宋体" w:cs="Times New Roman"/>
                <w:color w:val="auto"/>
                <w:sz w:val="21"/>
                <w:szCs w:val="21"/>
                <w:highlight w:val="none"/>
                <w:lang w:val="en-US" w:eastAsia="zh-CN"/>
              </w:rPr>
              <w:t>暂存区有效库容达到最大，暂存区内使用装载机对落料进行铲运、平整、堆高。</w:t>
            </w:r>
            <w:r>
              <w:rPr>
                <w:rFonts w:hint="eastAsia" w:ascii="Times New Roman" w:hAnsi="Times New Roman" w:cs="Times New Roman"/>
                <w:color w:val="auto"/>
                <w:sz w:val="21"/>
                <w:szCs w:val="21"/>
                <w:highlight w:val="none"/>
                <w:lang w:val="en-US" w:eastAsia="zh-CN"/>
              </w:rPr>
              <w:t>废土</w:t>
            </w:r>
            <w:r>
              <w:rPr>
                <w:rFonts w:hint="eastAsia" w:ascii="Times New Roman" w:hAnsi="Times New Roman" w:eastAsia="宋体" w:cs="Times New Roman"/>
                <w:color w:val="auto"/>
                <w:sz w:val="21"/>
                <w:szCs w:val="21"/>
                <w:highlight w:val="none"/>
                <w:lang w:val="en-US" w:eastAsia="zh-CN"/>
              </w:rPr>
              <w:t>暂存区堆存底部为矩形高</w:t>
            </w:r>
            <w:r>
              <w:rPr>
                <w:rFonts w:hint="eastAsia" w:ascii="Times New Roman" w:hAnsi="Times New Roman" w:cs="Times New Roman"/>
                <w:color w:val="auto"/>
                <w:sz w:val="21"/>
                <w:szCs w:val="21"/>
                <w:highlight w:val="none"/>
                <w:lang w:val="en-US" w:eastAsia="zh-CN"/>
              </w:rPr>
              <w:t>3</w:t>
            </w:r>
            <w:r>
              <w:rPr>
                <w:rFonts w:hint="eastAsia" w:ascii="Times New Roman" w:hAnsi="Times New Roman" w:eastAsia="宋体" w:cs="Times New Roman"/>
                <w:color w:val="auto"/>
                <w:sz w:val="21"/>
                <w:szCs w:val="21"/>
                <w:highlight w:val="none"/>
                <w:lang w:val="en-US" w:eastAsia="zh-CN"/>
              </w:rPr>
              <w:t>m，上部为棱锥型高3m，堆存容积为</w:t>
            </w:r>
            <w:r>
              <w:rPr>
                <w:rFonts w:hint="eastAsia" w:ascii="Times New Roman" w:hAnsi="Times New Roman" w:cs="Times New Roman"/>
                <w:color w:val="auto"/>
                <w:sz w:val="21"/>
                <w:szCs w:val="21"/>
                <w:highlight w:val="none"/>
                <w:lang w:val="en-US" w:eastAsia="zh-CN"/>
              </w:rPr>
              <w:t>420m</w:t>
            </w:r>
            <w:r>
              <w:rPr>
                <w:rFonts w:hint="eastAsia" w:ascii="Times New Roman" w:hAnsi="Times New Roman" w:cs="Times New Roman"/>
                <w:color w:val="auto"/>
                <w:sz w:val="21"/>
                <w:szCs w:val="21"/>
                <w:highlight w:val="none"/>
                <w:vertAlign w:val="superscript"/>
                <w:lang w:val="en-US" w:eastAsia="zh-CN"/>
              </w:rPr>
              <w:t>2</w:t>
            </w:r>
            <w:r>
              <w:rPr>
                <w:rFonts w:hint="eastAsia" w:ascii="Times New Roman" w:hAnsi="Times New Roman" w:eastAsia="宋体" w:cs="Times New Roman"/>
                <w:color w:val="auto"/>
                <w:sz w:val="21"/>
                <w:szCs w:val="21"/>
                <w:highlight w:val="none"/>
                <w:lang w:val="en-US" w:eastAsia="zh-CN"/>
              </w:rPr>
              <w:t>×</w:t>
            </w:r>
            <w:r>
              <w:rPr>
                <w:rFonts w:hint="eastAsia" w:ascii="Times New Roman" w:hAnsi="Times New Roman" w:cs="Times New Roman"/>
                <w:color w:val="auto"/>
                <w:sz w:val="21"/>
                <w:szCs w:val="21"/>
                <w:highlight w:val="none"/>
                <w:lang w:val="en-US" w:eastAsia="zh-CN"/>
              </w:rPr>
              <w:t>3</w:t>
            </w:r>
            <w:r>
              <w:rPr>
                <w:rFonts w:hint="eastAsia" w:ascii="Times New Roman" w:hAnsi="Times New Roman" w:eastAsia="宋体" w:cs="Times New Roman"/>
                <w:color w:val="auto"/>
                <w:sz w:val="21"/>
                <w:szCs w:val="21"/>
                <w:highlight w:val="none"/>
                <w:lang w:val="en-US" w:eastAsia="zh-CN"/>
              </w:rPr>
              <w:t>+</w:t>
            </w:r>
            <w:r>
              <w:rPr>
                <w:rFonts w:hint="eastAsia" w:ascii="Times New Roman" w:hAnsi="Times New Roman" w:cs="Times New Roman"/>
                <w:color w:val="auto"/>
                <w:sz w:val="21"/>
                <w:szCs w:val="21"/>
                <w:highlight w:val="none"/>
                <w:lang w:val="en-US" w:eastAsia="zh-CN"/>
              </w:rPr>
              <w:t>420m</w:t>
            </w:r>
            <w:r>
              <w:rPr>
                <w:rFonts w:hint="eastAsia" w:ascii="Times New Roman" w:hAnsi="Times New Roman" w:cs="Times New Roman"/>
                <w:color w:val="auto"/>
                <w:sz w:val="21"/>
                <w:szCs w:val="21"/>
                <w:highlight w:val="none"/>
                <w:vertAlign w:val="superscript"/>
                <w:lang w:val="en-US" w:eastAsia="zh-CN"/>
              </w:rPr>
              <w:t>2</w:t>
            </w:r>
            <w:r>
              <w:rPr>
                <w:rFonts w:hint="eastAsia" w:ascii="Times New Roman" w:hAnsi="Times New Roman" w:eastAsia="宋体" w:cs="Times New Roman"/>
                <w:color w:val="auto"/>
                <w:sz w:val="21"/>
                <w:szCs w:val="21"/>
                <w:highlight w:val="none"/>
                <w:lang w:val="en-US" w:eastAsia="zh-CN"/>
              </w:rPr>
              <w:t>×3/3=</w:t>
            </w:r>
            <w:r>
              <w:rPr>
                <w:rFonts w:hint="eastAsia" w:ascii="Times New Roman" w:hAnsi="Times New Roman" w:cs="Times New Roman"/>
                <w:color w:val="auto"/>
                <w:sz w:val="21"/>
                <w:szCs w:val="21"/>
                <w:highlight w:val="none"/>
                <w:lang w:val="en-US" w:eastAsia="zh-CN"/>
              </w:rPr>
              <w:t>1680</w:t>
            </w:r>
            <w:r>
              <w:rPr>
                <w:rFonts w:hint="eastAsia" w:ascii="Times New Roman" w:hAnsi="Times New Roman" w:eastAsia="宋体" w:cs="Times New Roman"/>
                <w:color w:val="auto"/>
                <w:sz w:val="21"/>
                <w:szCs w:val="21"/>
                <w:highlight w:val="none"/>
                <w:lang w:val="en-US" w:eastAsia="zh-CN"/>
              </w:rPr>
              <w:t>m</w:t>
            </w:r>
            <w:r>
              <w:rPr>
                <w:rFonts w:hint="eastAsia" w:ascii="Times New Roman" w:hAnsi="Times New Roman" w:eastAsia="宋体" w:cs="Times New Roman"/>
                <w:color w:val="auto"/>
                <w:sz w:val="21"/>
                <w:szCs w:val="21"/>
                <w:highlight w:val="none"/>
                <w:vertAlign w:val="superscript"/>
                <w:lang w:val="en-US" w:eastAsia="zh-CN"/>
              </w:rPr>
              <w:t>3</w:t>
            </w:r>
            <w:r>
              <w:rPr>
                <w:rFonts w:hint="eastAsia" w:ascii="Times New Roman" w:hAnsi="Times New Roman" w:eastAsia="宋体" w:cs="Times New Roman"/>
                <w:color w:val="auto"/>
                <w:sz w:val="21"/>
                <w:szCs w:val="21"/>
                <w:highlight w:val="none"/>
                <w:lang w:val="en-US" w:eastAsia="zh-CN"/>
              </w:rPr>
              <w:t>，</w:t>
            </w:r>
            <w:r>
              <w:rPr>
                <w:rFonts w:hint="eastAsia" w:ascii="Times New Roman" w:hAnsi="Times New Roman" w:cs="Times New Roman"/>
                <w:color w:val="auto"/>
                <w:sz w:val="21"/>
                <w:szCs w:val="21"/>
                <w:highlight w:val="none"/>
                <w:lang w:val="en-US" w:eastAsia="zh-CN"/>
              </w:rPr>
              <w:t>废土</w:t>
            </w:r>
            <w:r>
              <w:rPr>
                <w:rFonts w:hint="eastAsia" w:ascii="Times New Roman" w:hAnsi="Times New Roman" w:eastAsia="宋体" w:cs="Times New Roman"/>
                <w:color w:val="auto"/>
                <w:sz w:val="21"/>
                <w:szCs w:val="21"/>
                <w:highlight w:val="none"/>
                <w:lang w:val="en-US" w:eastAsia="zh-CN"/>
              </w:rPr>
              <w:t>堆积密度按</w:t>
            </w:r>
            <w:r>
              <w:rPr>
                <w:rFonts w:hint="eastAsia" w:ascii="Times New Roman" w:hAnsi="Times New Roman" w:cs="Times New Roman"/>
                <w:color w:val="auto"/>
                <w:sz w:val="21"/>
                <w:szCs w:val="21"/>
                <w:highlight w:val="none"/>
                <w:lang w:val="en-US" w:eastAsia="zh-CN"/>
              </w:rPr>
              <w:t>1.3</w:t>
            </w:r>
            <w:r>
              <w:rPr>
                <w:rFonts w:hint="eastAsia" w:ascii="Times New Roman" w:hAnsi="Times New Roman" w:eastAsia="宋体" w:cs="Times New Roman"/>
                <w:color w:val="auto"/>
                <w:sz w:val="21"/>
                <w:szCs w:val="21"/>
                <w:highlight w:val="none"/>
                <w:lang w:val="en-US" w:eastAsia="zh-CN"/>
              </w:rPr>
              <w:t>t/m</w:t>
            </w:r>
            <w:r>
              <w:rPr>
                <w:rFonts w:hint="eastAsia" w:ascii="Times New Roman" w:hAnsi="Times New Roman" w:eastAsia="宋体" w:cs="Times New Roman"/>
                <w:color w:val="auto"/>
                <w:sz w:val="21"/>
                <w:szCs w:val="21"/>
                <w:highlight w:val="none"/>
                <w:vertAlign w:val="superscript"/>
                <w:lang w:val="en-US" w:eastAsia="zh-CN"/>
              </w:rPr>
              <w:t>3</w:t>
            </w:r>
            <w:r>
              <w:rPr>
                <w:rFonts w:hint="eastAsia" w:ascii="Times New Roman" w:hAnsi="Times New Roman" w:cs="Times New Roman"/>
                <w:color w:val="auto"/>
                <w:sz w:val="21"/>
                <w:szCs w:val="21"/>
                <w:highlight w:val="none"/>
                <w:vertAlign w:val="baseline"/>
                <w:lang w:val="en-US" w:eastAsia="zh-CN"/>
              </w:rPr>
              <w:t>计算</w:t>
            </w:r>
            <w:r>
              <w:rPr>
                <w:rFonts w:hint="eastAsia" w:ascii="Times New Roman" w:hAnsi="Times New Roman" w:eastAsia="宋体" w:cs="Times New Roman"/>
                <w:color w:val="auto"/>
                <w:sz w:val="21"/>
                <w:szCs w:val="21"/>
                <w:highlight w:val="none"/>
                <w:lang w:val="en-US" w:eastAsia="zh-CN"/>
              </w:rPr>
              <w:t>，最大存储量为</w:t>
            </w:r>
            <w:r>
              <w:rPr>
                <w:rFonts w:hint="eastAsia" w:ascii="Times New Roman" w:hAnsi="Times New Roman" w:cs="Times New Roman"/>
                <w:color w:val="auto"/>
                <w:sz w:val="21"/>
                <w:szCs w:val="21"/>
                <w:highlight w:val="none"/>
                <w:lang w:val="en-US" w:eastAsia="zh-CN"/>
              </w:rPr>
              <w:t>2184</w:t>
            </w:r>
            <w:r>
              <w:rPr>
                <w:rFonts w:hint="eastAsia" w:ascii="Times New Roman" w:hAnsi="Times New Roman" w:eastAsia="宋体" w:cs="Times New Roman"/>
                <w:color w:val="auto"/>
                <w:sz w:val="21"/>
                <w:szCs w:val="21"/>
                <w:highlight w:val="none"/>
                <w:lang w:val="en-US" w:eastAsia="zh-CN"/>
              </w:rPr>
              <w:t>吨，项目</w:t>
            </w:r>
            <w:r>
              <w:rPr>
                <w:rFonts w:hint="eastAsia" w:ascii="Times New Roman" w:hAnsi="Times New Roman" w:cs="Times New Roman"/>
                <w:color w:val="auto"/>
                <w:sz w:val="21"/>
                <w:szCs w:val="21"/>
                <w:highlight w:val="none"/>
                <w:lang w:val="en-US" w:eastAsia="zh-CN"/>
              </w:rPr>
              <w:t>废土</w:t>
            </w:r>
            <w:r>
              <w:rPr>
                <w:rFonts w:hint="eastAsia" w:ascii="Times New Roman" w:hAnsi="Times New Roman" w:eastAsia="宋体" w:cs="Times New Roman"/>
                <w:color w:val="auto"/>
                <w:sz w:val="21"/>
                <w:szCs w:val="21"/>
                <w:highlight w:val="none"/>
                <w:lang w:val="en-US" w:eastAsia="zh-CN"/>
              </w:rPr>
              <w:t>年</w:t>
            </w:r>
            <w:r>
              <w:rPr>
                <w:rFonts w:hint="eastAsia" w:ascii="Times New Roman" w:hAnsi="Times New Roman" w:cs="Times New Roman"/>
                <w:color w:val="auto"/>
                <w:sz w:val="21"/>
                <w:szCs w:val="21"/>
                <w:highlight w:val="none"/>
                <w:lang w:val="en-US" w:eastAsia="zh-CN"/>
              </w:rPr>
              <w:t>产量为1665</w:t>
            </w:r>
            <w:r>
              <w:rPr>
                <w:rFonts w:hint="default" w:ascii="Times New Roman" w:hAnsi="Times New Roman" w:cs="Times New Roman"/>
                <w:color w:val="auto"/>
                <w:sz w:val="21"/>
                <w:szCs w:val="21"/>
                <w:highlight w:val="none"/>
                <w:lang w:val="en-US" w:eastAsia="zh-CN"/>
              </w:rPr>
              <w:t>00</w:t>
            </w:r>
            <w:r>
              <w:rPr>
                <w:rFonts w:hint="eastAsia" w:ascii="Times New Roman" w:hAnsi="Times New Roman" w:cs="Times New Roman"/>
                <w:color w:val="auto"/>
                <w:sz w:val="21"/>
                <w:szCs w:val="21"/>
                <w:highlight w:val="none"/>
                <w:lang w:val="en-US" w:eastAsia="zh-CN"/>
              </w:rPr>
              <w:t>t，废土</w:t>
            </w:r>
            <w:r>
              <w:rPr>
                <w:rFonts w:hint="eastAsia" w:ascii="Times New Roman" w:hAnsi="Times New Roman" w:eastAsia="宋体" w:cs="Times New Roman"/>
                <w:color w:val="auto"/>
                <w:sz w:val="21"/>
                <w:szCs w:val="21"/>
                <w:highlight w:val="none"/>
                <w:lang w:val="en-US" w:eastAsia="zh-CN"/>
              </w:rPr>
              <w:t>每天</w:t>
            </w:r>
            <w:r>
              <w:rPr>
                <w:rFonts w:hint="eastAsia" w:ascii="Times New Roman" w:hAnsi="Times New Roman" w:cs="Times New Roman"/>
                <w:color w:val="auto"/>
                <w:sz w:val="21"/>
                <w:szCs w:val="21"/>
                <w:highlight w:val="none"/>
                <w:lang w:val="en-US" w:eastAsia="zh-CN"/>
              </w:rPr>
              <w:t>产</w:t>
            </w:r>
            <w:r>
              <w:rPr>
                <w:rFonts w:hint="eastAsia" w:ascii="Times New Roman" w:hAnsi="Times New Roman" w:eastAsia="宋体" w:cs="Times New Roman"/>
                <w:color w:val="auto"/>
                <w:sz w:val="21"/>
                <w:szCs w:val="21"/>
                <w:highlight w:val="none"/>
                <w:lang w:val="en-US" w:eastAsia="zh-CN"/>
              </w:rPr>
              <w:t>量约为</w:t>
            </w:r>
            <w:r>
              <w:rPr>
                <w:rFonts w:hint="eastAsia" w:ascii="Times New Roman" w:hAnsi="Times New Roman" w:cs="Times New Roman"/>
                <w:color w:val="auto"/>
                <w:sz w:val="21"/>
                <w:szCs w:val="21"/>
                <w:highlight w:val="none"/>
                <w:lang w:val="en-US" w:eastAsia="zh-CN"/>
              </w:rPr>
              <w:t>555</w:t>
            </w:r>
            <w:r>
              <w:rPr>
                <w:rFonts w:hint="eastAsia" w:ascii="Times New Roman" w:hAnsi="Times New Roman" w:eastAsia="宋体" w:cs="Times New Roman"/>
                <w:color w:val="auto"/>
                <w:sz w:val="21"/>
                <w:szCs w:val="21"/>
                <w:highlight w:val="none"/>
                <w:lang w:val="en-US" w:eastAsia="zh-CN"/>
              </w:rPr>
              <w:t>t，存储周期为</w:t>
            </w:r>
            <w:r>
              <w:rPr>
                <w:rFonts w:hint="eastAsia" w:ascii="Times New Roman" w:hAnsi="Times New Roman" w:cs="Times New Roman"/>
                <w:color w:val="auto"/>
                <w:sz w:val="21"/>
                <w:szCs w:val="21"/>
                <w:highlight w:val="none"/>
                <w:lang w:val="en-US" w:eastAsia="zh-CN"/>
              </w:rPr>
              <w:t>3.9</w:t>
            </w:r>
            <w:r>
              <w:rPr>
                <w:rFonts w:hint="eastAsia" w:ascii="Times New Roman" w:hAnsi="Times New Roman" w:eastAsia="宋体" w:cs="Times New Roman"/>
                <w:color w:val="auto"/>
                <w:sz w:val="21"/>
                <w:szCs w:val="21"/>
                <w:highlight w:val="none"/>
                <w:lang w:val="en-US" w:eastAsia="zh-CN"/>
              </w:rPr>
              <w:t>d</w:t>
            </w:r>
            <w:r>
              <w:rPr>
                <w:rFonts w:hint="eastAsia" w:ascii="Times New Roman" w:hAnsi="Times New Roman" w:cs="Times New Roman"/>
                <w:color w:val="auto"/>
                <w:sz w:val="21"/>
                <w:szCs w:val="21"/>
                <w:highlight w:val="none"/>
                <w:lang w:val="en-US" w:eastAsia="zh-CN"/>
              </w:rPr>
              <w:t>。</w:t>
            </w:r>
          </w:p>
          <w:p w14:paraId="6B475418">
            <w:pPr>
              <w:pStyle w:val="24"/>
              <w:adjustRightInd w:val="0"/>
              <w:snapToGrid w:val="0"/>
              <w:spacing w:before="0" w:beforeAutospacing="0" w:after="0" w:afterAutospacing="0" w:line="440" w:lineRule="exact"/>
              <w:ind w:firstLine="422" w:firstLineChars="200"/>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cs="Times New Roman"/>
                <w:b/>
                <w:bCs/>
                <w:color w:val="auto"/>
                <w:sz w:val="21"/>
                <w:szCs w:val="21"/>
                <w:highlight w:val="none"/>
                <w:lang w:val="en-US" w:eastAsia="zh-CN"/>
              </w:rPr>
              <w:t>棉絮、泡沫暂存区库容计算说明：</w:t>
            </w:r>
            <w:r>
              <w:rPr>
                <w:rFonts w:hint="eastAsia" w:ascii="Times New Roman" w:hAnsi="Times New Roman" w:eastAsia="宋体" w:cs="Times New Roman"/>
                <w:color w:val="auto"/>
                <w:sz w:val="21"/>
                <w:szCs w:val="21"/>
                <w:highlight w:val="none"/>
                <w:lang w:val="en-US" w:eastAsia="zh-CN"/>
              </w:rPr>
              <w:t>棉絮、泡沫</w:t>
            </w:r>
            <w:r>
              <w:rPr>
                <w:rFonts w:hint="eastAsia" w:ascii="Times New Roman" w:hAnsi="Times New Roman" w:cs="Times New Roman"/>
                <w:color w:val="auto"/>
                <w:sz w:val="21"/>
                <w:szCs w:val="21"/>
                <w:highlight w:val="none"/>
                <w:lang w:val="en-US" w:eastAsia="zh-CN"/>
              </w:rPr>
              <w:t>暂存</w:t>
            </w:r>
            <w:r>
              <w:rPr>
                <w:rFonts w:hint="eastAsia" w:ascii="Times New Roman" w:hAnsi="Times New Roman" w:eastAsia="宋体" w:cs="Times New Roman"/>
                <w:color w:val="auto"/>
                <w:sz w:val="21"/>
                <w:szCs w:val="21"/>
                <w:highlight w:val="none"/>
                <w:lang w:val="en-US" w:eastAsia="zh-CN"/>
              </w:rPr>
              <w:t>区面积为</w:t>
            </w:r>
            <w:r>
              <w:rPr>
                <w:rFonts w:hint="eastAsia" w:ascii="Times New Roman" w:hAnsi="Times New Roman" w:cs="Times New Roman"/>
                <w:color w:val="auto"/>
                <w:sz w:val="21"/>
                <w:szCs w:val="21"/>
                <w:highlight w:val="none"/>
                <w:lang w:val="en-US" w:eastAsia="zh-CN"/>
              </w:rPr>
              <w:t>450</w:t>
            </w:r>
            <w:r>
              <w:rPr>
                <w:rFonts w:hint="eastAsia" w:ascii="Times New Roman" w:hAnsi="Times New Roman" w:eastAsia="宋体" w:cs="Times New Roman"/>
                <w:color w:val="auto"/>
                <w:sz w:val="21"/>
                <w:szCs w:val="21"/>
                <w:highlight w:val="none"/>
                <w:lang w:val="en-US" w:eastAsia="zh-CN"/>
              </w:rPr>
              <w:t>m</w:t>
            </w:r>
            <w:r>
              <w:rPr>
                <w:rFonts w:hint="default" w:ascii="Times New Roman" w:hAnsi="Times New Roman" w:eastAsia="宋体" w:cs="Times New Roman"/>
                <w:color w:val="auto"/>
                <w:sz w:val="21"/>
                <w:szCs w:val="21"/>
                <w:highlight w:val="none"/>
                <w:vertAlign w:val="superscript"/>
                <w:lang w:val="en-US" w:eastAsia="zh-CN"/>
              </w:rPr>
              <w:t>2</w:t>
            </w:r>
            <w:r>
              <w:rPr>
                <w:rFonts w:hint="eastAsia" w:ascii="Times New Roman" w:hAnsi="Times New Roman" w:eastAsia="宋体" w:cs="Times New Roman"/>
                <w:color w:val="auto"/>
                <w:sz w:val="21"/>
                <w:szCs w:val="21"/>
                <w:highlight w:val="none"/>
                <w:lang w:val="en-US" w:eastAsia="zh-CN"/>
              </w:rPr>
              <w:t>，本项目日生产棉絮、泡沫</w:t>
            </w:r>
            <w:r>
              <w:rPr>
                <w:rFonts w:hint="eastAsia" w:ascii="Times New Roman" w:hAnsi="Times New Roman" w:cs="Times New Roman"/>
                <w:color w:val="auto"/>
                <w:sz w:val="21"/>
                <w:szCs w:val="21"/>
                <w:highlight w:val="none"/>
                <w:lang w:val="en-US" w:eastAsia="zh-CN"/>
              </w:rPr>
              <w:t>416.7t</w:t>
            </w:r>
            <w:r>
              <w:rPr>
                <w:rFonts w:hint="eastAsia" w:ascii="Times New Roman" w:hAnsi="Times New Roman" w:eastAsia="宋体" w:cs="Times New Roman"/>
                <w:color w:val="auto"/>
                <w:sz w:val="21"/>
                <w:szCs w:val="21"/>
                <w:highlight w:val="none"/>
                <w:lang w:val="en-US" w:eastAsia="zh-CN"/>
              </w:rPr>
              <w:t>，本项目采用吨包装堆存棉絮、泡沫，空间占用利用率高，使得有效库容达到最大，同时保证吨包袋不倾倒，吨包袋整齐码放，且只码放二层，根据吨包袋尺寸，则棉絮、泡沫</w:t>
            </w:r>
            <w:r>
              <w:rPr>
                <w:rFonts w:hint="eastAsia" w:ascii="Times New Roman" w:hAnsi="Times New Roman" w:cs="Times New Roman"/>
                <w:color w:val="auto"/>
                <w:sz w:val="21"/>
                <w:szCs w:val="21"/>
                <w:highlight w:val="none"/>
                <w:lang w:val="en-US" w:eastAsia="zh-CN"/>
              </w:rPr>
              <w:t>暂存</w:t>
            </w:r>
            <w:r>
              <w:rPr>
                <w:rFonts w:hint="eastAsia" w:ascii="Times New Roman" w:hAnsi="Times New Roman" w:eastAsia="宋体" w:cs="Times New Roman"/>
                <w:color w:val="auto"/>
                <w:sz w:val="21"/>
                <w:szCs w:val="21"/>
                <w:highlight w:val="none"/>
                <w:lang w:val="en-US" w:eastAsia="zh-CN"/>
              </w:rPr>
              <w:t>区可码放吨包袋</w:t>
            </w:r>
            <w:r>
              <w:rPr>
                <w:rFonts w:hint="eastAsia" w:ascii="Times New Roman" w:hAnsi="Times New Roman" w:cs="Times New Roman"/>
                <w:color w:val="auto"/>
                <w:sz w:val="21"/>
                <w:szCs w:val="21"/>
                <w:highlight w:val="none"/>
                <w:lang w:val="en-US" w:eastAsia="zh-CN"/>
              </w:rPr>
              <w:t>1280</w:t>
            </w:r>
            <w:r>
              <w:rPr>
                <w:rFonts w:hint="eastAsia" w:ascii="Times New Roman" w:hAnsi="Times New Roman" w:eastAsia="宋体" w:cs="Times New Roman"/>
                <w:color w:val="auto"/>
                <w:sz w:val="21"/>
                <w:szCs w:val="21"/>
                <w:highlight w:val="none"/>
                <w:lang w:val="en-US" w:eastAsia="zh-CN"/>
              </w:rPr>
              <w:t>袋，每袋重</w:t>
            </w:r>
            <w:r>
              <w:rPr>
                <w:rFonts w:hint="default" w:ascii="Times New Roman" w:hAnsi="Times New Roman" w:eastAsia="宋体" w:cs="Times New Roman"/>
                <w:color w:val="auto"/>
                <w:sz w:val="21"/>
                <w:szCs w:val="21"/>
                <w:highlight w:val="none"/>
                <w:lang w:val="en-US" w:eastAsia="zh-CN"/>
              </w:rPr>
              <w:t>1</w:t>
            </w:r>
            <w:r>
              <w:rPr>
                <w:rFonts w:hint="eastAsia" w:ascii="Times New Roman" w:hAnsi="Times New Roman" w:eastAsia="宋体" w:cs="Times New Roman"/>
                <w:color w:val="auto"/>
                <w:sz w:val="21"/>
                <w:szCs w:val="21"/>
                <w:highlight w:val="none"/>
                <w:lang w:val="en-US" w:eastAsia="zh-CN"/>
              </w:rPr>
              <w:t>吨，则最大存储量为</w:t>
            </w:r>
            <w:r>
              <w:rPr>
                <w:rFonts w:hint="eastAsia" w:ascii="Times New Roman" w:hAnsi="Times New Roman" w:cs="Times New Roman"/>
                <w:color w:val="auto"/>
                <w:sz w:val="21"/>
                <w:szCs w:val="21"/>
                <w:highlight w:val="none"/>
                <w:lang w:val="en-US" w:eastAsia="zh-CN"/>
              </w:rPr>
              <w:t>1600</w:t>
            </w:r>
            <w:r>
              <w:rPr>
                <w:rFonts w:hint="eastAsia" w:ascii="Times New Roman" w:hAnsi="Times New Roman" w:eastAsia="宋体" w:cs="Times New Roman"/>
                <w:color w:val="auto"/>
                <w:sz w:val="21"/>
                <w:szCs w:val="21"/>
                <w:highlight w:val="none"/>
                <w:lang w:val="en-US" w:eastAsia="zh-CN"/>
              </w:rPr>
              <w:t>吨，则存储周期为</w:t>
            </w:r>
            <w:r>
              <w:rPr>
                <w:rFonts w:hint="eastAsia" w:ascii="Times New Roman" w:hAnsi="Times New Roman" w:cs="Times New Roman"/>
                <w:color w:val="auto"/>
                <w:sz w:val="21"/>
                <w:szCs w:val="21"/>
                <w:highlight w:val="none"/>
                <w:lang w:val="en-US" w:eastAsia="zh-CN"/>
              </w:rPr>
              <w:t>3</w:t>
            </w:r>
            <w:r>
              <w:rPr>
                <w:rFonts w:hint="eastAsia" w:ascii="Times New Roman" w:hAnsi="Times New Roman" w:eastAsia="宋体" w:cs="Times New Roman"/>
                <w:color w:val="auto"/>
                <w:sz w:val="21"/>
                <w:szCs w:val="21"/>
                <w:highlight w:val="none"/>
                <w:lang w:val="en-US" w:eastAsia="zh-CN"/>
              </w:rPr>
              <w:t>d。</w:t>
            </w:r>
          </w:p>
          <w:p w14:paraId="50E4A1B2">
            <w:pPr>
              <w:pStyle w:val="24"/>
              <w:keepNext w:val="0"/>
              <w:keepLines w:val="0"/>
              <w:pageBreakBefore w:val="0"/>
              <w:widowControl/>
              <w:kinsoku/>
              <w:wordWrap/>
              <w:overflowPunct/>
              <w:topLinePunct w:val="0"/>
              <w:autoSpaceDE/>
              <w:autoSpaceDN/>
              <w:bidi w:val="0"/>
              <w:adjustRightInd w:val="0"/>
              <w:snapToGrid w:val="0"/>
              <w:spacing w:before="0" w:beforeAutospacing="0" w:after="0" w:afterAutospacing="0" w:line="420" w:lineRule="exact"/>
              <w:ind w:firstLine="422" w:firstLineChars="200"/>
              <w:textAlignment w:val="auto"/>
              <w:rPr>
                <w:rFonts w:hint="eastAsia" w:ascii="Times New Roman" w:hAnsi="Times New Roman" w:cs="Times New Roman"/>
                <w:color w:val="auto"/>
                <w:sz w:val="21"/>
                <w:szCs w:val="21"/>
                <w:highlight w:val="none"/>
                <w:lang w:val="en-US" w:eastAsia="zh-CN"/>
              </w:rPr>
            </w:pPr>
            <w:r>
              <w:rPr>
                <w:rFonts w:hint="eastAsia" w:ascii="Times New Roman" w:hAnsi="Times New Roman" w:cs="Times New Roman"/>
                <w:b/>
                <w:bCs/>
                <w:color w:val="auto"/>
                <w:sz w:val="21"/>
                <w:szCs w:val="21"/>
                <w:highlight w:val="none"/>
                <w:lang w:val="en-US" w:eastAsia="zh-CN"/>
              </w:rPr>
              <w:t>3</w:t>
            </w:r>
            <w:r>
              <w:rPr>
                <w:rFonts w:hint="eastAsia" w:ascii="Times New Roman" w:hAnsi="Times New Roman" w:cs="Times New Roman"/>
                <w:b/>
                <w:bCs/>
                <w:color w:val="auto"/>
                <w:sz w:val="21"/>
                <w:szCs w:val="21"/>
                <w:highlight w:val="none"/>
                <w:vertAlign w:val="superscript"/>
                <w:lang w:val="en-US" w:eastAsia="zh-CN"/>
              </w:rPr>
              <w:t>#</w:t>
            </w:r>
            <w:r>
              <w:rPr>
                <w:rFonts w:hint="eastAsia" w:ascii="Times New Roman" w:hAnsi="Times New Roman" w:cs="Times New Roman"/>
                <w:b/>
                <w:bCs/>
                <w:color w:val="auto"/>
                <w:sz w:val="21"/>
                <w:szCs w:val="21"/>
                <w:highlight w:val="none"/>
                <w:lang w:val="en-US" w:eastAsia="zh-CN"/>
              </w:rPr>
              <w:t>储料池库容计算说明：</w:t>
            </w:r>
            <w:r>
              <w:rPr>
                <w:rFonts w:hint="eastAsia" w:ascii="Times New Roman" w:hAnsi="Times New Roman" w:cs="Times New Roman"/>
                <w:color w:val="auto"/>
                <w:sz w:val="21"/>
                <w:szCs w:val="21"/>
                <w:highlight w:val="none"/>
                <w:lang w:val="en-US" w:eastAsia="zh-CN"/>
              </w:rPr>
              <w:t>本项目海绵、木屑暂存于3</w:t>
            </w:r>
            <w:r>
              <w:rPr>
                <w:rFonts w:hint="eastAsia" w:ascii="Times New Roman" w:hAnsi="Times New Roman" w:cs="Times New Roman"/>
                <w:color w:val="auto"/>
                <w:sz w:val="21"/>
                <w:szCs w:val="21"/>
                <w:highlight w:val="none"/>
                <w:vertAlign w:val="superscript"/>
                <w:lang w:val="en-US" w:eastAsia="zh-CN"/>
              </w:rPr>
              <w:t>#</w:t>
            </w:r>
            <w:r>
              <w:rPr>
                <w:rFonts w:hint="eastAsia" w:ascii="Times New Roman" w:hAnsi="Times New Roman" w:cs="Times New Roman"/>
                <w:color w:val="auto"/>
                <w:sz w:val="21"/>
                <w:szCs w:val="21"/>
                <w:highlight w:val="none"/>
                <w:lang w:val="en-US" w:eastAsia="zh-CN"/>
              </w:rPr>
              <w:t>储料池，3</w:t>
            </w:r>
            <w:r>
              <w:rPr>
                <w:rFonts w:hint="eastAsia" w:ascii="Times New Roman" w:hAnsi="Times New Roman" w:cs="Times New Roman"/>
                <w:color w:val="auto"/>
                <w:sz w:val="21"/>
                <w:szCs w:val="21"/>
                <w:highlight w:val="none"/>
                <w:vertAlign w:val="superscript"/>
                <w:lang w:val="en-US" w:eastAsia="zh-CN"/>
              </w:rPr>
              <w:t>#</w:t>
            </w:r>
            <w:r>
              <w:rPr>
                <w:rFonts w:hint="eastAsia" w:ascii="Times New Roman" w:hAnsi="Times New Roman" w:cs="Times New Roman"/>
                <w:color w:val="auto"/>
                <w:sz w:val="21"/>
                <w:szCs w:val="21"/>
                <w:highlight w:val="none"/>
                <w:lang w:val="en-US" w:eastAsia="zh-CN"/>
              </w:rPr>
              <w:t>储料池容积为240m</w:t>
            </w:r>
            <w:r>
              <w:rPr>
                <w:rFonts w:hint="eastAsia" w:ascii="Times New Roman" w:hAnsi="Times New Roman" w:cs="Times New Roman"/>
                <w:color w:val="auto"/>
                <w:sz w:val="21"/>
                <w:szCs w:val="21"/>
                <w:highlight w:val="none"/>
                <w:vertAlign w:val="superscript"/>
                <w:lang w:val="en-US" w:eastAsia="zh-CN"/>
              </w:rPr>
              <w:t>3</w:t>
            </w:r>
            <w:r>
              <w:rPr>
                <w:rFonts w:hint="eastAsia" w:ascii="Times New Roman" w:hAnsi="Times New Roman" w:cs="Times New Roman"/>
                <w:color w:val="auto"/>
                <w:sz w:val="21"/>
                <w:szCs w:val="21"/>
                <w:highlight w:val="none"/>
                <w:lang w:val="en-US" w:eastAsia="zh-CN"/>
              </w:rPr>
              <w:t>，海绵、木屑密度按1.0t/m</w:t>
            </w:r>
            <w:r>
              <w:rPr>
                <w:rFonts w:hint="eastAsia" w:ascii="Times New Roman" w:hAnsi="Times New Roman" w:cs="Times New Roman"/>
                <w:color w:val="auto"/>
                <w:sz w:val="21"/>
                <w:szCs w:val="21"/>
                <w:highlight w:val="none"/>
                <w:vertAlign w:val="superscript"/>
                <w:lang w:val="en-US" w:eastAsia="zh-CN"/>
              </w:rPr>
              <w:t>3</w:t>
            </w:r>
            <w:r>
              <w:rPr>
                <w:rFonts w:hint="eastAsia" w:ascii="Times New Roman" w:hAnsi="Times New Roman" w:cs="Times New Roman"/>
                <w:color w:val="auto"/>
                <w:sz w:val="21"/>
                <w:szCs w:val="21"/>
                <w:highlight w:val="none"/>
                <w:lang w:val="en-US" w:eastAsia="zh-CN"/>
              </w:rPr>
              <w:t>计算，最大存储量为240吨，项目海绵、木屑年产生量为50000t，海绵、木屑每天产生量为166.6t，存储周期为1.4d。</w:t>
            </w:r>
          </w:p>
          <w:p w14:paraId="2073E2D3">
            <w:pPr>
              <w:pStyle w:val="24"/>
              <w:keepNext w:val="0"/>
              <w:keepLines w:val="0"/>
              <w:pageBreakBefore w:val="0"/>
              <w:widowControl/>
              <w:kinsoku/>
              <w:wordWrap/>
              <w:overflowPunct/>
              <w:topLinePunct w:val="0"/>
              <w:autoSpaceDE/>
              <w:autoSpaceDN/>
              <w:bidi w:val="0"/>
              <w:adjustRightInd w:val="0"/>
              <w:snapToGrid w:val="0"/>
              <w:spacing w:before="0" w:beforeAutospacing="0" w:after="0" w:afterAutospacing="0" w:line="420" w:lineRule="exact"/>
              <w:ind w:firstLine="422" w:firstLineChars="200"/>
              <w:textAlignment w:val="auto"/>
              <w:rPr>
                <w:rFonts w:hint="eastAsia" w:ascii="Times New Roman" w:hAnsi="Times New Roman" w:cs="Times New Roman"/>
                <w:color w:val="auto"/>
                <w:sz w:val="21"/>
                <w:szCs w:val="21"/>
                <w:highlight w:val="none"/>
                <w:lang w:val="en-US" w:eastAsia="zh-CN"/>
              </w:rPr>
            </w:pPr>
            <w:r>
              <w:rPr>
                <w:rFonts w:hint="eastAsia" w:ascii="Times New Roman" w:hAnsi="Times New Roman" w:cs="Times New Roman"/>
                <w:b/>
                <w:bCs/>
                <w:color w:val="auto"/>
                <w:sz w:val="21"/>
                <w:szCs w:val="21"/>
                <w:highlight w:val="none"/>
                <w:lang w:val="en-US" w:eastAsia="zh-CN"/>
              </w:rPr>
              <w:t>4</w:t>
            </w:r>
            <w:r>
              <w:rPr>
                <w:rFonts w:hint="eastAsia" w:ascii="Times New Roman" w:hAnsi="Times New Roman" w:cs="Times New Roman"/>
                <w:b/>
                <w:bCs/>
                <w:color w:val="auto"/>
                <w:sz w:val="21"/>
                <w:szCs w:val="21"/>
                <w:highlight w:val="none"/>
                <w:vertAlign w:val="superscript"/>
                <w:lang w:val="en-US" w:eastAsia="zh-CN"/>
              </w:rPr>
              <w:t>#</w:t>
            </w:r>
            <w:r>
              <w:rPr>
                <w:rFonts w:hint="eastAsia" w:ascii="Times New Roman" w:hAnsi="Times New Roman" w:cs="Times New Roman"/>
                <w:b/>
                <w:bCs/>
                <w:color w:val="auto"/>
                <w:sz w:val="21"/>
                <w:szCs w:val="21"/>
                <w:highlight w:val="none"/>
                <w:lang w:val="en-US" w:eastAsia="zh-CN"/>
              </w:rPr>
              <w:t>储料池库容计算说明：</w:t>
            </w:r>
            <w:r>
              <w:rPr>
                <w:rFonts w:hint="eastAsia" w:ascii="Times New Roman" w:hAnsi="Times New Roman" w:cs="Times New Roman"/>
                <w:color w:val="auto"/>
                <w:sz w:val="21"/>
                <w:szCs w:val="21"/>
                <w:highlight w:val="none"/>
                <w:lang w:val="en-US" w:eastAsia="zh-CN"/>
              </w:rPr>
              <w:t>本项目橡胶暂存于4</w:t>
            </w:r>
            <w:r>
              <w:rPr>
                <w:rFonts w:hint="eastAsia" w:ascii="Times New Roman" w:hAnsi="Times New Roman" w:cs="Times New Roman"/>
                <w:color w:val="auto"/>
                <w:sz w:val="21"/>
                <w:szCs w:val="21"/>
                <w:highlight w:val="none"/>
                <w:vertAlign w:val="superscript"/>
                <w:lang w:val="en-US" w:eastAsia="zh-CN"/>
              </w:rPr>
              <w:t>#</w:t>
            </w:r>
            <w:r>
              <w:rPr>
                <w:rFonts w:hint="eastAsia" w:ascii="Times New Roman" w:hAnsi="Times New Roman" w:cs="Times New Roman"/>
                <w:color w:val="auto"/>
                <w:sz w:val="21"/>
                <w:szCs w:val="21"/>
                <w:highlight w:val="none"/>
                <w:lang w:val="en-US" w:eastAsia="zh-CN"/>
              </w:rPr>
              <w:t>储料池，4</w:t>
            </w:r>
            <w:r>
              <w:rPr>
                <w:rFonts w:hint="eastAsia" w:ascii="Times New Roman" w:hAnsi="Times New Roman" w:cs="Times New Roman"/>
                <w:color w:val="auto"/>
                <w:sz w:val="21"/>
                <w:szCs w:val="21"/>
                <w:highlight w:val="none"/>
                <w:vertAlign w:val="superscript"/>
                <w:lang w:val="en-US" w:eastAsia="zh-CN"/>
              </w:rPr>
              <w:t>#</w:t>
            </w:r>
            <w:r>
              <w:rPr>
                <w:rFonts w:hint="eastAsia" w:ascii="Times New Roman" w:hAnsi="Times New Roman" w:cs="Times New Roman"/>
                <w:color w:val="auto"/>
                <w:sz w:val="21"/>
                <w:szCs w:val="21"/>
                <w:highlight w:val="none"/>
                <w:lang w:val="en-US" w:eastAsia="zh-CN"/>
              </w:rPr>
              <w:t>储料池容积为240m</w:t>
            </w:r>
            <w:r>
              <w:rPr>
                <w:rFonts w:hint="eastAsia" w:ascii="Times New Roman" w:hAnsi="Times New Roman" w:cs="Times New Roman"/>
                <w:color w:val="auto"/>
                <w:sz w:val="21"/>
                <w:szCs w:val="21"/>
                <w:highlight w:val="none"/>
                <w:vertAlign w:val="superscript"/>
                <w:lang w:val="en-US" w:eastAsia="zh-CN"/>
              </w:rPr>
              <w:t>3</w:t>
            </w:r>
            <w:r>
              <w:rPr>
                <w:rFonts w:hint="eastAsia" w:ascii="Times New Roman" w:hAnsi="Times New Roman" w:cs="Times New Roman"/>
                <w:color w:val="auto"/>
                <w:sz w:val="21"/>
                <w:szCs w:val="21"/>
                <w:highlight w:val="none"/>
                <w:lang w:val="en-US" w:eastAsia="zh-CN"/>
              </w:rPr>
              <w:t>，橡胶密度按1.5t/m</w:t>
            </w:r>
            <w:r>
              <w:rPr>
                <w:rFonts w:hint="eastAsia" w:ascii="Times New Roman" w:hAnsi="Times New Roman" w:cs="Times New Roman"/>
                <w:color w:val="auto"/>
                <w:sz w:val="21"/>
                <w:szCs w:val="21"/>
                <w:highlight w:val="none"/>
                <w:vertAlign w:val="superscript"/>
                <w:lang w:val="en-US" w:eastAsia="zh-CN"/>
              </w:rPr>
              <w:t>3</w:t>
            </w:r>
            <w:r>
              <w:rPr>
                <w:rFonts w:hint="eastAsia" w:ascii="Times New Roman" w:hAnsi="Times New Roman" w:cs="Times New Roman"/>
                <w:color w:val="auto"/>
                <w:sz w:val="21"/>
                <w:szCs w:val="21"/>
                <w:highlight w:val="none"/>
                <w:lang w:val="en-US" w:eastAsia="zh-CN"/>
              </w:rPr>
              <w:t>计算，最大存储量为360吨，项目橡胶年产生量为57200t，橡胶每天产生量为190.6t，存储周期为1.8d。</w:t>
            </w:r>
          </w:p>
          <w:p w14:paraId="77FD9B0C">
            <w:pPr>
              <w:pStyle w:val="24"/>
              <w:keepNext w:val="0"/>
              <w:keepLines w:val="0"/>
              <w:pageBreakBefore w:val="0"/>
              <w:widowControl/>
              <w:kinsoku/>
              <w:wordWrap/>
              <w:overflowPunct/>
              <w:topLinePunct w:val="0"/>
              <w:autoSpaceDE/>
              <w:autoSpaceDN/>
              <w:bidi w:val="0"/>
              <w:adjustRightInd w:val="0"/>
              <w:snapToGrid w:val="0"/>
              <w:spacing w:before="0" w:beforeAutospacing="0" w:after="0" w:afterAutospacing="0" w:line="420" w:lineRule="exact"/>
              <w:ind w:firstLine="422" w:firstLineChars="200"/>
              <w:textAlignment w:val="auto"/>
              <w:rPr>
                <w:rFonts w:hint="eastAsia" w:ascii="Times New Roman" w:hAnsi="Times New Roman" w:cs="Times New Roman"/>
                <w:color w:val="auto"/>
                <w:sz w:val="21"/>
                <w:szCs w:val="21"/>
                <w:highlight w:val="none"/>
                <w:lang w:val="en-US" w:eastAsia="zh-CN"/>
              </w:rPr>
            </w:pPr>
            <w:r>
              <w:rPr>
                <w:rFonts w:hint="eastAsia" w:ascii="Times New Roman" w:hAnsi="Times New Roman" w:cs="Times New Roman"/>
                <w:b/>
                <w:bCs/>
                <w:color w:val="auto"/>
                <w:sz w:val="21"/>
                <w:szCs w:val="21"/>
                <w:highlight w:val="none"/>
                <w:lang w:val="en-US" w:eastAsia="zh-CN"/>
              </w:rPr>
              <w:t>铁料暂存区库容计算说明：</w:t>
            </w:r>
            <w:r>
              <w:rPr>
                <w:rFonts w:hint="eastAsia" w:ascii="Times New Roman" w:hAnsi="Times New Roman" w:eastAsia="宋体" w:cs="Times New Roman"/>
                <w:color w:val="auto"/>
                <w:sz w:val="21"/>
                <w:szCs w:val="21"/>
                <w:highlight w:val="none"/>
                <w:lang w:val="en-US" w:eastAsia="zh-CN"/>
              </w:rPr>
              <w:t>本项目</w:t>
            </w:r>
            <w:r>
              <w:rPr>
                <w:rFonts w:hint="eastAsia" w:ascii="Times New Roman" w:hAnsi="Times New Roman" w:cs="Times New Roman"/>
                <w:color w:val="auto"/>
                <w:sz w:val="21"/>
                <w:szCs w:val="21"/>
                <w:highlight w:val="none"/>
                <w:lang w:val="en-US" w:eastAsia="zh-CN"/>
              </w:rPr>
              <w:t>铁料</w:t>
            </w:r>
            <w:r>
              <w:rPr>
                <w:rFonts w:hint="eastAsia" w:ascii="Times New Roman" w:hAnsi="Times New Roman" w:eastAsia="宋体" w:cs="Times New Roman"/>
                <w:color w:val="auto"/>
                <w:sz w:val="21"/>
                <w:szCs w:val="21"/>
                <w:highlight w:val="none"/>
                <w:lang w:val="en-US" w:eastAsia="zh-CN"/>
              </w:rPr>
              <w:t>暂存区为</w:t>
            </w:r>
            <w:r>
              <w:rPr>
                <w:rFonts w:hint="eastAsia" w:ascii="Times New Roman" w:hAnsi="Times New Roman" w:cs="Times New Roman"/>
                <w:color w:val="auto"/>
                <w:sz w:val="21"/>
                <w:szCs w:val="21"/>
                <w:highlight w:val="none"/>
                <w:lang w:val="en-US" w:eastAsia="zh-CN"/>
              </w:rPr>
              <w:t>40m</w:t>
            </w:r>
            <w:r>
              <w:rPr>
                <w:rFonts w:hint="eastAsia" w:ascii="Times New Roman" w:hAnsi="Times New Roman" w:cs="Times New Roman"/>
                <w:color w:val="auto"/>
                <w:sz w:val="21"/>
                <w:szCs w:val="21"/>
                <w:highlight w:val="none"/>
                <w:vertAlign w:val="superscript"/>
                <w:lang w:val="en-US" w:eastAsia="zh-CN"/>
              </w:rPr>
              <w:t>2</w:t>
            </w:r>
            <w:r>
              <w:rPr>
                <w:rFonts w:hint="eastAsia" w:ascii="Times New Roman" w:hAnsi="Times New Roman" w:eastAsia="宋体" w:cs="Times New Roman"/>
                <w:color w:val="auto"/>
                <w:sz w:val="21"/>
                <w:szCs w:val="21"/>
                <w:highlight w:val="none"/>
                <w:lang w:val="en-US" w:eastAsia="zh-CN"/>
              </w:rPr>
              <w:t>，为保证</w:t>
            </w:r>
            <w:r>
              <w:rPr>
                <w:rFonts w:hint="eastAsia" w:ascii="Times New Roman" w:hAnsi="Times New Roman" w:cs="Times New Roman"/>
                <w:color w:val="auto"/>
                <w:sz w:val="21"/>
                <w:szCs w:val="21"/>
                <w:highlight w:val="none"/>
                <w:lang w:val="en-US" w:eastAsia="zh-CN"/>
              </w:rPr>
              <w:t>铁料</w:t>
            </w:r>
            <w:r>
              <w:rPr>
                <w:rFonts w:hint="eastAsia" w:ascii="Times New Roman" w:hAnsi="Times New Roman" w:eastAsia="宋体" w:cs="Times New Roman"/>
                <w:color w:val="auto"/>
                <w:sz w:val="21"/>
                <w:szCs w:val="21"/>
                <w:highlight w:val="none"/>
                <w:lang w:val="en-US" w:eastAsia="zh-CN"/>
              </w:rPr>
              <w:t>暂存区有效库容达到最大，暂存区内使用装载机对落料进行铲运、平整、堆高。</w:t>
            </w:r>
            <w:r>
              <w:rPr>
                <w:rFonts w:hint="eastAsia" w:ascii="Times New Roman" w:hAnsi="Times New Roman" w:cs="Times New Roman"/>
                <w:color w:val="auto"/>
                <w:sz w:val="21"/>
                <w:szCs w:val="21"/>
                <w:highlight w:val="none"/>
                <w:lang w:val="en-US" w:eastAsia="zh-CN"/>
              </w:rPr>
              <w:t>铁料</w:t>
            </w:r>
            <w:r>
              <w:rPr>
                <w:rFonts w:hint="eastAsia" w:ascii="Times New Roman" w:hAnsi="Times New Roman" w:eastAsia="宋体" w:cs="Times New Roman"/>
                <w:color w:val="auto"/>
                <w:sz w:val="21"/>
                <w:szCs w:val="21"/>
                <w:highlight w:val="none"/>
                <w:lang w:val="en-US" w:eastAsia="zh-CN"/>
              </w:rPr>
              <w:t>暂存区堆存底部为矩形高</w:t>
            </w:r>
            <w:r>
              <w:rPr>
                <w:rFonts w:hint="eastAsia" w:ascii="Times New Roman" w:hAnsi="Times New Roman" w:cs="Times New Roman"/>
                <w:color w:val="auto"/>
                <w:sz w:val="21"/>
                <w:szCs w:val="21"/>
                <w:highlight w:val="none"/>
                <w:lang w:val="en-US" w:eastAsia="zh-CN"/>
              </w:rPr>
              <w:t>3</w:t>
            </w:r>
            <w:r>
              <w:rPr>
                <w:rFonts w:hint="eastAsia" w:ascii="Times New Roman" w:hAnsi="Times New Roman" w:eastAsia="宋体" w:cs="Times New Roman"/>
                <w:color w:val="auto"/>
                <w:sz w:val="21"/>
                <w:szCs w:val="21"/>
                <w:highlight w:val="none"/>
                <w:lang w:val="en-US" w:eastAsia="zh-CN"/>
              </w:rPr>
              <w:t>m，上部为棱锥型高3m，堆存容积为</w:t>
            </w:r>
            <w:r>
              <w:rPr>
                <w:rFonts w:hint="eastAsia" w:ascii="Times New Roman" w:hAnsi="Times New Roman" w:cs="Times New Roman"/>
                <w:color w:val="auto"/>
                <w:sz w:val="21"/>
                <w:szCs w:val="21"/>
                <w:highlight w:val="none"/>
                <w:lang w:val="en-US" w:eastAsia="zh-CN"/>
              </w:rPr>
              <w:t>40m</w:t>
            </w:r>
            <w:r>
              <w:rPr>
                <w:rFonts w:hint="eastAsia" w:ascii="Times New Roman" w:hAnsi="Times New Roman" w:cs="Times New Roman"/>
                <w:color w:val="auto"/>
                <w:sz w:val="21"/>
                <w:szCs w:val="21"/>
                <w:highlight w:val="none"/>
                <w:vertAlign w:val="superscript"/>
                <w:lang w:val="en-US" w:eastAsia="zh-CN"/>
              </w:rPr>
              <w:t>2</w:t>
            </w:r>
            <w:r>
              <w:rPr>
                <w:rFonts w:hint="eastAsia" w:ascii="Times New Roman" w:hAnsi="Times New Roman" w:eastAsia="宋体" w:cs="Times New Roman"/>
                <w:color w:val="auto"/>
                <w:sz w:val="21"/>
                <w:szCs w:val="21"/>
                <w:highlight w:val="none"/>
                <w:lang w:val="en-US" w:eastAsia="zh-CN"/>
              </w:rPr>
              <w:t>×</w:t>
            </w:r>
            <w:r>
              <w:rPr>
                <w:rFonts w:hint="eastAsia" w:ascii="Times New Roman" w:hAnsi="Times New Roman" w:cs="Times New Roman"/>
                <w:color w:val="auto"/>
                <w:sz w:val="21"/>
                <w:szCs w:val="21"/>
                <w:highlight w:val="none"/>
                <w:lang w:val="en-US" w:eastAsia="zh-CN"/>
              </w:rPr>
              <w:t>3</w:t>
            </w:r>
            <w:r>
              <w:rPr>
                <w:rFonts w:hint="eastAsia" w:ascii="Times New Roman" w:hAnsi="Times New Roman" w:eastAsia="宋体" w:cs="Times New Roman"/>
                <w:color w:val="auto"/>
                <w:sz w:val="21"/>
                <w:szCs w:val="21"/>
                <w:highlight w:val="none"/>
                <w:lang w:val="en-US" w:eastAsia="zh-CN"/>
              </w:rPr>
              <w:t>+</w:t>
            </w:r>
            <w:r>
              <w:rPr>
                <w:rFonts w:hint="eastAsia" w:ascii="Times New Roman" w:hAnsi="Times New Roman" w:cs="Times New Roman"/>
                <w:color w:val="auto"/>
                <w:sz w:val="21"/>
                <w:szCs w:val="21"/>
                <w:highlight w:val="none"/>
                <w:lang w:val="en-US" w:eastAsia="zh-CN"/>
              </w:rPr>
              <w:t>40m</w:t>
            </w:r>
            <w:r>
              <w:rPr>
                <w:rFonts w:hint="eastAsia" w:ascii="Times New Roman" w:hAnsi="Times New Roman" w:cs="Times New Roman"/>
                <w:color w:val="auto"/>
                <w:sz w:val="21"/>
                <w:szCs w:val="21"/>
                <w:highlight w:val="none"/>
                <w:vertAlign w:val="superscript"/>
                <w:lang w:val="en-US" w:eastAsia="zh-CN"/>
              </w:rPr>
              <w:t>2</w:t>
            </w:r>
            <w:r>
              <w:rPr>
                <w:rFonts w:hint="eastAsia" w:ascii="Times New Roman" w:hAnsi="Times New Roman" w:eastAsia="宋体" w:cs="Times New Roman"/>
                <w:color w:val="auto"/>
                <w:sz w:val="21"/>
                <w:szCs w:val="21"/>
                <w:highlight w:val="none"/>
                <w:lang w:val="en-US" w:eastAsia="zh-CN"/>
              </w:rPr>
              <w:t>×3/3=</w:t>
            </w:r>
            <w:r>
              <w:rPr>
                <w:rFonts w:hint="eastAsia" w:ascii="Times New Roman" w:hAnsi="Times New Roman" w:cs="Times New Roman"/>
                <w:color w:val="auto"/>
                <w:sz w:val="21"/>
                <w:szCs w:val="21"/>
                <w:highlight w:val="none"/>
                <w:lang w:val="en-US" w:eastAsia="zh-CN"/>
              </w:rPr>
              <w:t>160</w:t>
            </w:r>
            <w:r>
              <w:rPr>
                <w:rFonts w:hint="eastAsia" w:ascii="Times New Roman" w:hAnsi="Times New Roman" w:eastAsia="宋体" w:cs="Times New Roman"/>
                <w:color w:val="auto"/>
                <w:sz w:val="21"/>
                <w:szCs w:val="21"/>
                <w:highlight w:val="none"/>
                <w:lang w:val="en-US" w:eastAsia="zh-CN"/>
              </w:rPr>
              <w:t>m</w:t>
            </w:r>
            <w:r>
              <w:rPr>
                <w:rFonts w:hint="eastAsia" w:ascii="Times New Roman" w:hAnsi="Times New Roman" w:eastAsia="宋体" w:cs="Times New Roman"/>
                <w:color w:val="auto"/>
                <w:sz w:val="21"/>
                <w:szCs w:val="21"/>
                <w:highlight w:val="none"/>
                <w:vertAlign w:val="superscript"/>
                <w:lang w:val="en-US" w:eastAsia="zh-CN"/>
              </w:rPr>
              <w:t>3</w:t>
            </w:r>
            <w:r>
              <w:rPr>
                <w:rFonts w:hint="eastAsia" w:ascii="Times New Roman" w:hAnsi="Times New Roman" w:eastAsia="宋体" w:cs="Times New Roman"/>
                <w:color w:val="auto"/>
                <w:sz w:val="21"/>
                <w:szCs w:val="21"/>
                <w:highlight w:val="none"/>
                <w:lang w:val="en-US" w:eastAsia="zh-CN"/>
              </w:rPr>
              <w:t>，</w:t>
            </w:r>
            <w:r>
              <w:rPr>
                <w:rFonts w:hint="eastAsia" w:ascii="Times New Roman" w:hAnsi="Times New Roman" w:cs="Times New Roman"/>
                <w:color w:val="auto"/>
                <w:sz w:val="21"/>
                <w:szCs w:val="21"/>
                <w:highlight w:val="none"/>
                <w:lang w:val="en-US" w:eastAsia="zh-CN"/>
              </w:rPr>
              <w:t>铁料</w:t>
            </w:r>
            <w:r>
              <w:rPr>
                <w:rFonts w:hint="eastAsia" w:ascii="Times New Roman" w:hAnsi="Times New Roman" w:eastAsia="宋体" w:cs="Times New Roman"/>
                <w:color w:val="auto"/>
                <w:sz w:val="21"/>
                <w:szCs w:val="21"/>
                <w:highlight w:val="none"/>
                <w:lang w:val="en-US" w:eastAsia="zh-CN"/>
              </w:rPr>
              <w:t>堆积密度按</w:t>
            </w:r>
            <w:r>
              <w:rPr>
                <w:rFonts w:hint="eastAsia" w:ascii="Times New Roman" w:hAnsi="Times New Roman" w:cs="Times New Roman"/>
                <w:color w:val="auto"/>
                <w:sz w:val="21"/>
                <w:szCs w:val="21"/>
                <w:highlight w:val="none"/>
                <w:lang w:val="en-US" w:eastAsia="zh-CN"/>
              </w:rPr>
              <w:t>3.5</w:t>
            </w:r>
            <w:r>
              <w:rPr>
                <w:rFonts w:hint="eastAsia" w:ascii="Times New Roman" w:hAnsi="Times New Roman" w:eastAsia="宋体" w:cs="Times New Roman"/>
                <w:color w:val="auto"/>
                <w:sz w:val="21"/>
                <w:szCs w:val="21"/>
                <w:highlight w:val="none"/>
                <w:lang w:val="en-US" w:eastAsia="zh-CN"/>
              </w:rPr>
              <w:t>t/m</w:t>
            </w:r>
            <w:r>
              <w:rPr>
                <w:rFonts w:hint="eastAsia" w:ascii="Times New Roman" w:hAnsi="Times New Roman" w:eastAsia="宋体" w:cs="Times New Roman"/>
                <w:color w:val="auto"/>
                <w:sz w:val="21"/>
                <w:szCs w:val="21"/>
                <w:highlight w:val="none"/>
                <w:vertAlign w:val="superscript"/>
                <w:lang w:val="en-US" w:eastAsia="zh-CN"/>
              </w:rPr>
              <w:t>3</w:t>
            </w:r>
            <w:r>
              <w:rPr>
                <w:rFonts w:hint="eastAsia" w:ascii="Times New Roman" w:hAnsi="Times New Roman" w:cs="Times New Roman"/>
                <w:color w:val="auto"/>
                <w:sz w:val="21"/>
                <w:szCs w:val="21"/>
                <w:highlight w:val="none"/>
                <w:vertAlign w:val="baseline"/>
                <w:lang w:val="en-US" w:eastAsia="zh-CN"/>
              </w:rPr>
              <w:t>计算</w:t>
            </w:r>
            <w:r>
              <w:rPr>
                <w:rFonts w:hint="eastAsia" w:ascii="Times New Roman" w:hAnsi="Times New Roman" w:eastAsia="宋体" w:cs="Times New Roman"/>
                <w:color w:val="auto"/>
                <w:sz w:val="21"/>
                <w:szCs w:val="21"/>
                <w:highlight w:val="none"/>
                <w:lang w:val="en-US" w:eastAsia="zh-CN"/>
              </w:rPr>
              <w:t>，最大存储量为</w:t>
            </w:r>
            <w:r>
              <w:rPr>
                <w:rFonts w:hint="eastAsia" w:ascii="Times New Roman" w:hAnsi="Times New Roman" w:cs="Times New Roman"/>
                <w:color w:val="auto"/>
                <w:sz w:val="21"/>
                <w:szCs w:val="21"/>
                <w:highlight w:val="none"/>
                <w:lang w:val="en-US" w:eastAsia="zh-CN"/>
              </w:rPr>
              <w:t>560</w:t>
            </w:r>
            <w:r>
              <w:rPr>
                <w:rFonts w:hint="eastAsia" w:ascii="Times New Roman" w:hAnsi="Times New Roman" w:eastAsia="宋体" w:cs="Times New Roman"/>
                <w:color w:val="auto"/>
                <w:sz w:val="21"/>
                <w:szCs w:val="21"/>
                <w:highlight w:val="none"/>
                <w:lang w:val="en-US" w:eastAsia="zh-CN"/>
              </w:rPr>
              <w:t>吨，项目</w:t>
            </w:r>
            <w:r>
              <w:rPr>
                <w:rFonts w:hint="eastAsia" w:ascii="Times New Roman" w:hAnsi="Times New Roman" w:cs="Times New Roman"/>
                <w:color w:val="auto"/>
                <w:sz w:val="21"/>
                <w:szCs w:val="21"/>
                <w:highlight w:val="none"/>
                <w:lang w:val="en-US" w:eastAsia="zh-CN"/>
              </w:rPr>
              <w:t>铁料</w:t>
            </w:r>
            <w:r>
              <w:rPr>
                <w:rFonts w:hint="eastAsia" w:ascii="Times New Roman" w:hAnsi="Times New Roman" w:eastAsia="宋体" w:cs="Times New Roman"/>
                <w:color w:val="auto"/>
                <w:sz w:val="21"/>
                <w:szCs w:val="21"/>
                <w:highlight w:val="none"/>
                <w:lang w:val="en-US" w:eastAsia="zh-CN"/>
              </w:rPr>
              <w:t>年</w:t>
            </w:r>
            <w:r>
              <w:rPr>
                <w:rFonts w:hint="eastAsia" w:ascii="Times New Roman" w:hAnsi="Times New Roman" w:cs="Times New Roman"/>
                <w:color w:val="auto"/>
                <w:sz w:val="21"/>
                <w:szCs w:val="21"/>
                <w:highlight w:val="none"/>
                <w:lang w:val="en-US" w:eastAsia="zh-CN"/>
              </w:rPr>
              <w:t>产</w:t>
            </w:r>
            <w:r>
              <w:rPr>
                <w:rFonts w:hint="eastAsia" w:ascii="Times New Roman" w:hAnsi="Times New Roman" w:eastAsia="宋体" w:cs="Times New Roman"/>
                <w:color w:val="auto"/>
                <w:sz w:val="21"/>
                <w:szCs w:val="21"/>
                <w:highlight w:val="none"/>
                <w:lang w:val="en-US" w:eastAsia="zh-CN"/>
              </w:rPr>
              <w:t>量为</w:t>
            </w:r>
            <w:r>
              <w:rPr>
                <w:rFonts w:hint="eastAsia" w:ascii="Times New Roman" w:hAnsi="Times New Roman" w:cs="Times New Roman"/>
                <w:color w:val="auto"/>
                <w:sz w:val="21"/>
                <w:szCs w:val="21"/>
                <w:highlight w:val="none"/>
                <w:lang w:val="en-US" w:eastAsia="zh-CN"/>
              </w:rPr>
              <w:t>21500</w:t>
            </w:r>
            <w:r>
              <w:rPr>
                <w:rFonts w:hint="eastAsia" w:ascii="Times New Roman" w:hAnsi="Times New Roman" w:eastAsia="宋体" w:cs="Times New Roman"/>
                <w:color w:val="auto"/>
                <w:sz w:val="21"/>
                <w:szCs w:val="21"/>
                <w:highlight w:val="none"/>
                <w:lang w:val="en-US" w:eastAsia="zh-CN"/>
              </w:rPr>
              <w:t>t，</w:t>
            </w:r>
            <w:r>
              <w:rPr>
                <w:rFonts w:hint="eastAsia" w:ascii="Times New Roman" w:hAnsi="Times New Roman" w:cs="Times New Roman"/>
                <w:color w:val="auto"/>
                <w:sz w:val="21"/>
                <w:szCs w:val="21"/>
                <w:highlight w:val="none"/>
                <w:lang w:val="en-US" w:eastAsia="zh-CN"/>
              </w:rPr>
              <w:t>铁料</w:t>
            </w:r>
            <w:r>
              <w:rPr>
                <w:rFonts w:hint="eastAsia" w:ascii="Times New Roman" w:hAnsi="Times New Roman" w:eastAsia="宋体" w:cs="Times New Roman"/>
                <w:color w:val="auto"/>
                <w:sz w:val="21"/>
                <w:szCs w:val="21"/>
                <w:highlight w:val="none"/>
                <w:lang w:val="en-US" w:eastAsia="zh-CN"/>
              </w:rPr>
              <w:t>每天</w:t>
            </w:r>
            <w:r>
              <w:rPr>
                <w:rFonts w:hint="eastAsia" w:ascii="Times New Roman" w:hAnsi="Times New Roman" w:cs="Times New Roman"/>
                <w:color w:val="auto"/>
                <w:sz w:val="21"/>
                <w:szCs w:val="21"/>
                <w:highlight w:val="none"/>
                <w:lang w:val="en-US" w:eastAsia="zh-CN"/>
              </w:rPr>
              <w:t>产</w:t>
            </w:r>
            <w:r>
              <w:rPr>
                <w:rFonts w:hint="eastAsia" w:ascii="Times New Roman" w:hAnsi="Times New Roman" w:eastAsia="宋体" w:cs="Times New Roman"/>
                <w:color w:val="auto"/>
                <w:sz w:val="21"/>
                <w:szCs w:val="21"/>
                <w:highlight w:val="none"/>
                <w:lang w:val="en-US" w:eastAsia="zh-CN"/>
              </w:rPr>
              <w:t>量约为</w:t>
            </w:r>
            <w:r>
              <w:rPr>
                <w:rFonts w:hint="eastAsia" w:ascii="Times New Roman" w:hAnsi="Times New Roman" w:cs="Times New Roman"/>
                <w:color w:val="auto"/>
                <w:sz w:val="21"/>
                <w:szCs w:val="21"/>
                <w:highlight w:val="none"/>
                <w:lang w:val="en-US" w:eastAsia="zh-CN"/>
              </w:rPr>
              <w:t>71.6</w:t>
            </w:r>
            <w:r>
              <w:rPr>
                <w:rFonts w:hint="eastAsia" w:ascii="Times New Roman" w:hAnsi="Times New Roman" w:eastAsia="宋体" w:cs="Times New Roman"/>
                <w:color w:val="auto"/>
                <w:sz w:val="21"/>
                <w:szCs w:val="21"/>
                <w:highlight w:val="none"/>
                <w:lang w:val="en-US" w:eastAsia="zh-CN"/>
              </w:rPr>
              <w:t>t，存储周期为</w:t>
            </w:r>
            <w:r>
              <w:rPr>
                <w:rFonts w:hint="eastAsia" w:ascii="Times New Roman" w:hAnsi="Times New Roman" w:cs="Times New Roman"/>
                <w:color w:val="auto"/>
                <w:sz w:val="21"/>
                <w:szCs w:val="21"/>
                <w:highlight w:val="none"/>
                <w:lang w:val="en-US" w:eastAsia="zh-CN"/>
              </w:rPr>
              <w:t>7.8</w:t>
            </w:r>
            <w:r>
              <w:rPr>
                <w:rFonts w:hint="eastAsia" w:ascii="Times New Roman" w:hAnsi="Times New Roman" w:eastAsia="宋体" w:cs="Times New Roman"/>
                <w:color w:val="auto"/>
                <w:sz w:val="21"/>
                <w:szCs w:val="21"/>
                <w:highlight w:val="none"/>
                <w:lang w:val="en-US" w:eastAsia="zh-CN"/>
              </w:rPr>
              <w:t>d</w:t>
            </w:r>
            <w:r>
              <w:rPr>
                <w:rFonts w:hint="eastAsia" w:ascii="Times New Roman" w:hAnsi="Times New Roman" w:cs="Times New Roman"/>
                <w:color w:val="auto"/>
                <w:sz w:val="21"/>
                <w:szCs w:val="21"/>
                <w:highlight w:val="none"/>
                <w:lang w:val="en-US" w:eastAsia="zh-CN"/>
              </w:rPr>
              <w:t>。</w:t>
            </w:r>
          </w:p>
          <w:p w14:paraId="13FAE8F4">
            <w:pPr>
              <w:pStyle w:val="24"/>
              <w:keepNext w:val="0"/>
              <w:keepLines w:val="0"/>
              <w:pageBreakBefore w:val="0"/>
              <w:widowControl/>
              <w:kinsoku/>
              <w:wordWrap/>
              <w:overflowPunct/>
              <w:topLinePunct w:val="0"/>
              <w:autoSpaceDE/>
              <w:autoSpaceDN/>
              <w:bidi w:val="0"/>
              <w:adjustRightInd w:val="0"/>
              <w:snapToGrid w:val="0"/>
              <w:spacing w:before="0" w:beforeAutospacing="0" w:after="0" w:afterAutospacing="0" w:line="420" w:lineRule="exact"/>
              <w:ind w:firstLine="422" w:firstLineChars="200"/>
              <w:textAlignment w:val="auto"/>
              <w:rPr>
                <w:rFonts w:hint="eastAsia" w:ascii="Times New Roman" w:hAnsi="Times New Roman" w:cs="Times New Roman"/>
                <w:b/>
                <w:color w:val="auto"/>
                <w:sz w:val="21"/>
                <w:szCs w:val="21"/>
                <w:highlight w:val="none"/>
                <w:lang w:val="en-US" w:eastAsia="zh-CN"/>
              </w:rPr>
            </w:pPr>
            <w:r>
              <w:rPr>
                <w:rFonts w:hint="eastAsia" w:ascii="Times New Roman" w:hAnsi="Times New Roman" w:cs="Times New Roman"/>
                <w:b/>
                <w:bCs/>
                <w:color w:val="auto"/>
                <w:sz w:val="21"/>
                <w:szCs w:val="21"/>
                <w:highlight w:val="none"/>
                <w:lang w:val="en-US" w:eastAsia="zh-CN"/>
              </w:rPr>
              <w:t>铁粉储料池暂存量计算说明：</w:t>
            </w:r>
            <w:r>
              <w:rPr>
                <w:rFonts w:hint="eastAsia" w:ascii="Times New Roman" w:hAnsi="Times New Roman" w:cs="Times New Roman"/>
                <w:color w:val="auto"/>
                <w:sz w:val="21"/>
                <w:szCs w:val="21"/>
                <w:highlight w:val="none"/>
                <w:lang w:val="en-US" w:eastAsia="zh-CN"/>
              </w:rPr>
              <w:t>本项目摇床分选机分选出铁粉经管道排入铁粉储料池暂存，项目共设铁粉料储料池1座，容积为192m</w:t>
            </w:r>
            <w:r>
              <w:rPr>
                <w:rFonts w:hint="eastAsia" w:ascii="Times New Roman" w:hAnsi="Times New Roman" w:cs="Times New Roman"/>
                <w:color w:val="auto"/>
                <w:sz w:val="21"/>
                <w:szCs w:val="21"/>
                <w:highlight w:val="none"/>
                <w:vertAlign w:val="superscript"/>
                <w:lang w:val="en-US" w:eastAsia="zh-CN"/>
              </w:rPr>
              <w:t>3</w:t>
            </w:r>
            <w:r>
              <w:rPr>
                <w:rFonts w:hint="eastAsia" w:ascii="Times New Roman" w:hAnsi="Times New Roman" w:cs="Times New Roman"/>
                <w:color w:val="auto"/>
                <w:sz w:val="21"/>
                <w:szCs w:val="21"/>
                <w:highlight w:val="none"/>
                <w:lang w:val="en-US" w:eastAsia="zh-CN"/>
              </w:rPr>
              <w:t>，铁粉密度按3.2t/m</w:t>
            </w:r>
            <w:r>
              <w:rPr>
                <w:rFonts w:hint="eastAsia" w:ascii="Times New Roman" w:hAnsi="Times New Roman" w:cs="Times New Roman"/>
                <w:color w:val="auto"/>
                <w:sz w:val="21"/>
                <w:szCs w:val="21"/>
                <w:highlight w:val="none"/>
                <w:vertAlign w:val="superscript"/>
                <w:lang w:val="en-US" w:eastAsia="zh-CN"/>
              </w:rPr>
              <w:t>3</w:t>
            </w:r>
            <w:r>
              <w:rPr>
                <w:rFonts w:hint="eastAsia" w:ascii="Times New Roman" w:hAnsi="Times New Roman" w:cs="Times New Roman"/>
                <w:color w:val="auto"/>
                <w:sz w:val="21"/>
                <w:szCs w:val="21"/>
                <w:highlight w:val="none"/>
                <w:lang w:val="en-US" w:eastAsia="zh-CN"/>
              </w:rPr>
              <w:t>计算，最大存储量为614.4吨，项目铁粉年产生量为42800t，铁粉每天产生量为142.6t，存储周期为4.3d。</w:t>
            </w:r>
          </w:p>
          <w:p w14:paraId="2A4783C3">
            <w:pPr>
              <w:pStyle w:val="24"/>
              <w:keepNext w:val="0"/>
              <w:keepLines w:val="0"/>
              <w:pageBreakBefore w:val="0"/>
              <w:widowControl/>
              <w:kinsoku/>
              <w:wordWrap/>
              <w:overflowPunct/>
              <w:topLinePunct w:val="0"/>
              <w:autoSpaceDE/>
              <w:autoSpaceDN/>
              <w:bidi w:val="0"/>
              <w:adjustRightInd w:val="0"/>
              <w:snapToGrid w:val="0"/>
              <w:spacing w:before="0" w:beforeAutospacing="0" w:after="0" w:afterAutospacing="0" w:line="420" w:lineRule="exact"/>
              <w:ind w:firstLine="422" w:firstLineChars="200"/>
              <w:textAlignment w:val="auto"/>
              <w:rPr>
                <w:rFonts w:hint="eastAsia" w:ascii="Times New Roman" w:hAnsi="Times New Roman" w:cs="Times New Roman"/>
                <w:b/>
                <w:color w:val="auto"/>
                <w:sz w:val="21"/>
                <w:szCs w:val="21"/>
                <w:highlight w:val="none"/>
                <w:lang w:val="en-US" w:eastAsia="zh-CN"/>
              </w:rPr>
            </w:pPr>
            <w:r>
              <w:rPr>
                <w:rFonts w:hint="eastAsia" w:ascii="Times New Roman" w:hAnsi="Times New Roman" w:cs="Times New Roman"/>
                <w:b/>
                <w:bCs/>
                <w:color w:val="auto"/>
                <w:sz w:val="21"/>
                <w:szCs w:val="21"/>
                <w:highlight w:val="none"/>
                <w:lang w:val="en-US" w:eastAsia="zh-CN"/>
              </w:rPr>
              <w:t>金属混合物料储料池暂存量计算说明：</w:t>
            </w:r>
            <w:r>
              <w:rPr>
                <w:rFonts w:hint="eastAsia" w:ascii="Times New Roman" w:hAnsi="Times New Roman" w:cs="Times New Roman"/>
                <w:color w:val="auto"/>
                <w:sz w:val="21"/>
                <w:szCs w:val="21"/>
                <w:highlight w:val="none"/>
                <w:lang w:val="en-US" w:eastAsia="zh-CN"/>
              </w:rPr>
              <w:t>本项目磁选机分选出金属混合物料经管道排入金属混合物料储料池暂存，项目共设金属混合物料储料池1座，容积为72m</w:t>
            </w:r>
            <w:r>
              <w:rPr>
                <w:rFonts w:hint="eastAsia" w:ascii="Times New Roman" w:hAnsi="Times New Roman" w:cs="Times New Roman"/>
                <w:color w:val="auto"/>
                <w:sz w:val="21"/>
                <w:szCs w:val="21"/>
                <w:highlight w:val="none"/>
                <w:vertAlign w:val="superscript"/>
                <w:lang w:val="en-US" w:eastAsia="zh-CN"/>
              </w:rPr>
              <w:t>3</w:t>
            </w:r>
            <w:r>
              <w:rPr>
                <w:rFonts w:hint="eastAsia" w:ascii="Times New Roman" w:hAnsi="Times New Roman" w:cs="Times New Roman"/>
                <w:color w:val="auto"/>
                <w:sz w:val="21"/>
                <w:szCs w:val="21"/>
                <w:highlight w:val="none"/>
                <w:lang w:val="en-US" w:eastAsia="zh-CN"/>
              </w:rPr>
              <w:t>，金属混合物料密度按4.5t/m</w:t>
            </w:r>
            <w:r>
              <w:rPr>
                <w:rFonts w:hint="eastAsia" w:ascii="Times New Roman" w:hAnsi="Times New Roman" w:cs="Times New Roman"/>
                <w:color w:val="auto"/>
                <w:sz w:val="21"/>
                <w:szCs w:val="21"/>
                <w:highlight w:val="none"/>
                <w:vertAlign w:val="superscript"/>
                <w:lang w:val="en-US" w:eastAsia="zh-CN"/>
              </w:rPr>
              <w:t>3</w:t>
            </w:r>
            <w:r>
              <w:rPr>
                <w:rFonts w:hint="eastAsia" w:ascii="Times New Roman" w:hAnsi="Times New Roman" w:cs="Times New Roman"/>
                <w:color w:val="auto"/>
                <w:sz w:val="21"/>
                <w:szCs w:val="21"/>
                <w:highlight w:val="none"/>
                <w:lang w:val="en-US" w:eastAsia="zh-CN"/>
              </w:rPr>
              <w:t>计算，最大存储量为324吨，项目金属混合物料年产生量为7700t，金属混合物料每天产生量为25.6t，存储周期为12.7d。</w:t>
            </w:r>
          </w:p>
          <w:p w14:paraId="5D757D92">
            <w:pPr>
              <w:pStyle w:val="24"/>
              <w:keepNext w:val="0"/>
              <w:keepLines w:val="0"/>
              <w:pageBreakBefore w:val="0"/>
              <w:widowControl/>
              <w:kinsoku/>
              <w:wordWrap/>
              <w:overflowPunct/>
              <w:topLinePunct w:val="0"/>
              <w:autoSpaceDE/>
              <w:autoSpaceDN/>
              <w:bidi w:val="0"/>
              <w:adjustRightInd w:val="0"/>
              <w:snapToGrid w:val="0"/>
              <w:spacing w:before="0" w:beforeAutospacing="0" w:after="0" w:afterAutospacing="0" w:line="420" w:lineRule="exact"/>
              <w:ind w:firstLine="422" w:firstLineChars="200"/>
              <w:textAlignment w:val="auto"/>
              <w:rPr>
                <w:rFonts w:hint="eastAsia" w:ascii="Times New Roman" w:hAnsi="Times New Roman" w:cs="Times New Roman"/>
                <w:color w:val="auto"/>
                <w:sz w:val="21"/>
                <w:szCs w:val="21"/>
                <w:highlight w:val="none"/>
                <w:lang w:val="en-US" w:eastAsia="zh-CN"/>
              </w:rPr>
            </w:pPr>
            <w:r>
              <w:rPr>
                <w:rFonts w:hint="eastAsia" w:ascii="Times New Roman" w:hAnsi="Times New Roman" w:cs="Times New Roman"/>
                <w:b/>
                <w:bCs/>
                <w:color w:val="auto"/>
                <w:sz w:val="21"/>
                <w:szCs w:val="21"/>
                <w:highlight w:val="none"/>
                <w:lang w:val="en-US" w:eastAsia="zh-CN"/>
              </w:rPr>
              <w:t>不锈钢暂存区库容计算说明：</w:t>
            </w:r>
            <w:r>
              <w:rPr>
                <w:rFonts w:hint="eastAsia" w:ascii="Times New Roman" w:hAnsi="Times New Roman" w:eastAsia="宋体" w:cs="Times New Roman"/>
                <w:color w:val="auto"/>
                <w:sz w:val="21"/>
                <w:szCs w:val="21"/>
                <w:highlight w:val="none"/>
                <w:lang w:val="en-US" w:eastAsia="zh-CN"/>
              </w:rPr>
              <w:t>本项目</w:t>
            </w:r>
            <w:r>
              <w:rPr>
                <w:rFonts w:hint="eastAsia" w:ascii="Times New Roman" w:hAnsi="Times New Roman" w:cs="Times New Roman"/>
                <w:color w:val="auto"/>
                <w:sz w:val="21"/>
                <w:szCs w:val="21"/>
                <w:highlight w:val="none"/>
                <w:lang w:val="en-US" w:eastAsia="zh-CN"/>
              </w:rPr>
              <w:t>不锈钢</w:t>
            </w:r>
            <w:r>
              <w:rPr>
                <w:rFonts w:hint="eastAsia" w:ascii="Times New Roman" w:hAnsi="Times New Roman" w:eastAsia="宋体" w:cs="Times New Roman"/>
                <w:color w:val="auto"/>
                <w:sz w:val="21"/>
                <w:szCs w:val="21"/>
                <w:highlight w:val="none"/>
                <w:lang w:val="en-US" w:eastAsia="zh-CN"/>
              </w:rPr>
              <w:t>暂存区为</w:t>
            </w:r>
            <w:r>
              <w:rPr>
                <w:rFonts w:hint="eastAsia" w:ascii="Times New Roman" w:hAnsi="Times New Roman" w:cs="Times New Roman"/>
                <w:color w:val="auto"/>
                <w:sz w:val="21"/>
                <w:szCs w:val="21"/>
                <w:highlight w:val="none"/>
                <w:lang w:val="en-US" w:eastAsia="zh-CN"/>
              </w:rPr>
              <w:t>20m</w:t>
            </w:r>
            <w:r>
              <w:rPr>
                <w:rFonts w:hint="eastAsia" w:ascii="Times New Roman" w:hAnsi="Times New Roman" w:cs="Times New Roman"/>
                <w:color w:val="auto"/>
                <w:sz w:val="21"/>
                <w:szCs w:val="21"/>
                <w:highlight w:val="none"/>
                <w:vertAlign w:val="superscript"/>
                <w:lang w:val="en-US" w:eastAsia="zh-CN"/>
              </w:rPr>
              <w:t>2</w:t>
            </w:r>
            <w:r>
              <w:rPr>
                <w:rFonts w:hint="eastAsia" w:ascii="Times New Roman" w:hAnsi="Times New Roman" w:eastAsia="宋体" w:cs="Times New Roman"/>
                <w:color w:val="auto"/>
                <w:sz w:val="21"/>
                <w:szCs w:val="21"/>
                <w:highlight w:val="none"/>
                <w:lang w:val="en-US" w:eastAsia="zh-CN"/>
              </w:rPr>
              <w:t>，为保证</w:t>
            </w:r>
            <w:r>
              <w:rPr>
                <w:rFonts w:hint="eastAsia" w:ascii="Times New Roman" w:hAnsi="Times New Roman" w:cs="Times New Roman"/>
                <w:color w:val="auto"/>
                <w:sz w:val="21"/>
                <w:szCs w:val="21"/>
                <w:highlight w:val="none"/>
                <w:lang w:val="en-US" w:eastAsia="zh-CN"/>
              </w:rPr>
              <w:t>不锈钢</w:t>
            </w:r>
            <w:r>
              <w:rPr>
                <w:rFonts w:hint="eastAsia" w:ascii="Times New Roman" w:hAnsi="Times New Roman" w:eastAsia="宋体" w:cs="Times New Roman"/>
                <w:color w:val="auto"/>
                <w:sz w:val="21"/>
                <w:szCs w:val="21"/>
                <w:highlight w:val="none"/>
                <w:lang w:val="en-US" w:eastAsia="zh-CN"/>
              </w:rPr>
              <w:t>暂存区有效库容达到最大，暂存区内使用装载机对落料进行铲运、平整、堆高。</w:t>
            </w:r>
            <w:r>
              <w:rPr>
                <w:rFonts w:hint="eastAsia" w:ascii="Times New Roman" w:hAnsi="Times New Roman" w:cs="Times New Roman"/>
                <w:color w:val="auto"/>
                <w:sz w:val="21"/>
                <w:szCs w:val="21"/>
                <w:highlight w:val="none"/>
                <w:lang w:val="en-US" w:eastAsia="zh-CN"/>
              </w:rPr>
              <w:t>不锈钢</w:t>
            </w:r>
            <w:r>
              <w:rPr>
                <w:rFonts w:hint="eastAsia" w:ascii="Times New Roman" w:hAnsi="Times New Roman" w:eastAsia="宋体" w:cs="Times New Roman"/>
                <w:color w:val="auto"/>
                <w:sz w:val="21"/>
                <w:szCs w:val="21"/>
                <w:highlight w:val="none"/>
                <w:lang w:val="en-US" w:eastAsia="zh-CN"/>
              </w:rPr>
              <w:t>暂存区堆存底部为矩形高</w:t>
            </w:r>
            <w:r>
              <w:rPr>
                <w:rFonts w:hint="eastAsia" w:ascii="Times New Roman" w:hAnsi="Times New Roman" w:cs="Times New Roman"/>
                <w:color w:val="auto"/>
                <w:sz w:val="21"/>
                <w:szCs w:val="21"/>
                <w:highlight w:val="none"/>
                <w:lang w:val="en-US" w:eastAsia="zh-CN"/>
              </w:rPr>
              <w:t>3</w:t>
            </w:r>
            <w:r>
              <w:rPr>
                <w:rFonts w:hint="eastAsia" w:ascii="Times New Roman" w:hAnsi="Times New Roman" w:eastAsia="宋体" w:cs="Times New Roman"/>
                <w:color w:val="auto"/>
                <w:sz w:val="21"/>
                <w:szCs w:val="21"/>
                <w:highlight w:val="none"/>
                <w:lang w:val="en-US" w:eastAsia="zh-CN"/>
              </w:rPr>
              <w:t>m，上部为棱锥型高3m，堆存容积为</w:t>
            </w:r>
            <w:r>
              <w:rPr>
                <w:rFonts w:hint="eastAsia" w:ascii="Times New Roman" w:hAnsi="Times New Roman" w:cs="Times New Roman"/>
                <w:color w:val="auto"/>
                <w:sz w:val="21"/>
                <w:szCs w:val="21"/>
                <w:highlight w:val="none"/>
                <w:lang w:val="en-US" w:eastAsia="zh-CN"/>
              </w:rPr>
              <w:t>20m</w:t>
            </w:r>
            <w:r>
              <w:rPr>
                <w:rFonts w:hint="eastAsia" w:ascii="Times New Roman" w:hAnsi="Times New Roman" w:cs="Times New Roman"/>
                <w:color w:val="auto"/>
                <w:sz w:val="21"/>
                <w:szCs w:val="21"/>
                <w:highlight w:val="none"/>
                <w:vertAlign w:val="superscript"/>
                <w:lang w:val="en-US" w:eastAsia="zh-CN"/>
              </w:rPr>
              <w:t>2</w:t>
            </w:r>
            <w:r>
              <w:rPr>
                <w:rFonts w:hint="eastAsia" w:ascii="Times New Roman" w:hAnsi="Times New Roman" w:eastAsia="宋体" w:cs="Times New Roman"/>
                <w:color w:val="auto"/>
                <w:sz w:val="21"/>
                <w:szCs w:val="21"/>
                <w:highlight w:val="none"/>
                <w:lang w:val="en-US" w:eastAsia="zh-CN"/>
              </w:rPr>
              <w:t>×</w:t>
            </w:r>
            <w:r>
              <w:rPr>
                <w:rFonts w:hint="eastAsia" w:ascii="Times New Roman" w:hAnsi="Times New Roman" w:cs="Times New Roman"/>
                <w:color w:val="auto"/>
                <w:sz w:val="21"/>
                <w:szCs w:val="21"/>
                <w:highlight w:val="none"/>
                <w:lang w:val="en-US" w:eastAsia="zh-CN"/>
              </w:rPr>
              <w:t>3</w:t>
            </w:r>
            <w:r>
              <w:rPr>
                <w:rFonts w:hint="eastAsia" w:ascii="Times New Roman" w:hAnsi="Times New Roman" w:eastAsia="宋体" w:cs="Times New Roman"/>
                <w:color w:val="auto"/>
                <w:sz w:val="21"/>
                <w:szCs w:val="21"/>
                <w:highlight w:val="none"/>
                <w:lang w:val="en-US" w:eastAsia="zh-CN"/>
              </w:rPr>
              <w:t>+</w:t>
            </w:r>
            <w:r>
              <w:rPr>
                <w:rFonts w:hint="eastAsia" w:ascii="Times New Roman" w:hAnsi="Times New Roman" w:cs="Times New Roman"/>
                <w:color w:val="auto"/>
                <w:sz w:val="21"/>
                <w:szCs w:val="21"/>
                <w:highlight w:val="none"/>
                <w:lang w:val="en-US" w:eastAsia="zh-CN"/>
              </w:rPr>
              <w:t>20m</w:t>
            </w:r>
            <w:r>
              <w:rPr>
                <w:rFonts w:hint="eastAsia" w:ascii="Times New Roman" w:hAnsi="Times New Roman" w:cs="Times New Roman"/>
                <w:color w:val="auto"/>
                <w:sz w:val="21"/>
                <w:szCs w:val="21"/>
                <w:highlight w:val="none"/>
                <w:vertAlign w:val="superscript"/>
                <w:lang w:val="en-US" w:eastAsia="zh-CN"/>
              </w:rPr>
              <w:t>2</w:t>
            </w:r>
            <w:r>
              <w:rPr>
                <w:rFonts w:hint="eastAsia" w:ascii="Times New Roman" w:hAnsi="Times New Roman" w:eastAsia="宋体" w:cs="Times New Roman"/>
                <w:color w:val="auto"/>
                <w:sz w:val="21"/>
                <w:szCs w:val="21"/>
                <w:highlight w:val="none"/>
                <w:lang w:val="en-US" w:eastAsia="zh-CN"/>
              </w:rPr>
              <w:t>×3/3=</w:t>
            </w:r>
            <w:r>
              <w:rPr>
                <w:rFonts w:hint="eastAsia" w:ascii="Times New Roman" w:hAnsi="Times New Roman" w:cs="Times New Roman"/>
                <w:color w:val="auto"/>
                <w:sz w:val="21"/>
                <w:szCs w:val="21"/>
                <w:highlight w:val="none"/>
                <w:lang w:val="en-US" w:eastAsia="zh-CN"/>
              </w:rPr>
              <w:t>80</w:t>
            </w:r>
            <w:r>
              <w:rPr>
                <w:rFonts w:hint="eastAsia" w:ascii="Times New Roman" w:hAnsi="Times New Roman" w:eastAsia="宋体" w:cs="Times New Roman"/>
                <w:color w:val="auto"/>
                <w:sz w:val="21"/>
                <w:szCs w:val="21"/>
                <w:highlight w:val="none"/>
                <w:lang w:val="en-US" w:eastAsia="zh-CN"/>
              </w:rPr>
              <w:t>m</w:t>
            </w:r>
            <w:r>
              <w:rPr>
                <w:rFonts w:hint="eastAsia" w:ascii="Times New Roman" w:hAnsi="Times New Roman" w:eastAsia="宋体" w:cs="Times New Roman"/>
                <w:color w:val="auto"/>
                <w:sz w:val="21"/>
                <w:szCs w:val="21"/>
                <w:highlight w:val="none"/>
                <w:vertAlign w:val="superscript"/>
                <w:lang w:val="en-US" w:eastAsia="zh-CN"/>
              </w:rPr>
              <w:t>3</w:t>
            </w:r>
            <w:r>
              <w:rPr>
                <w:rFonts w:hint="eastAsia" w:ascii="Times New Roman" w:hAnsi="Times New Roman" w:eastAsia="宋体" w:cs="Times New Roman"/>
                <w:color w:val="auto"/>
                <w:sz w:val="21"/>
                <w:szCs w:val="21"/>
                <w:highlight w:val="none"/>
                <w:lang w:val="en-US" w:eastAsia="zh-CN"/>
              </w:rPr>
              <w:t>，</w:t>
            </w:r>
            <w:r>
              <w:rPr>
                <w:rFonts w:hint="eastAsia" w:ascii="Times New Roman" w:hAnsi="Times New Roman" w:cs="Times New Roman"/>
                <w:color w:val="auto"/>
                <w:sz w:val="21"/>
                <w:szCs w:val="21"/>
                <w:highlight w:val="none"/>
                <w:lang w:val="en-US" w:eastAsia="zh-CN"/>
              </w:rPr>
              <w:t>不锈钢</w:t>
            </w:r>
            <w:r>
              <w:rPr>
                <w:rFonts w:hint="eastAsia" w:ascii="Times New Roman" w:hAnsi="Times New Roman" w:eastAsia="宋体" w:cs="Times New Roman"/>
                <w:color w:val="auto"/>
                <w:sz w:val="21"/>
                <w:szCs w:val="21"/>
                <w:highlight w:val="none"/>
                <w:lang w:val="en-US" w:eastAsia="zh-CN"/>
              </w:rPr>
              <w:t>堆积密度按</w:t>
            </w:r>
            <w:r>
              <w:rPr>
                <w:rFonts w:hint="eastAsia" w:ascii="Times New Roman" w:hAnsi="Times New Roman" w:cs="Times New Roman"/>
                <w:color w:val="auto"/>
                <w:sz w:val="21"/>
                <w:szCs w:val="21"/>
                <w:highlight w:val="none"/>
                <w:lang w:val="en-US" w:eastAsia="zh-CN"/>
              </w:rPr>
              <w:t>5.5</w:t>
            </w:r>
            <w:r>
              <w:rPr>
                <w:rFonts w:hint="eastAsia" w:ascii="Times New Roman" w:hAnsi="Times New Roman" w:eastAsia="宋体" w:cs="Times New Roman"/>
                <w:color w:val="auto"/>
                <w:sz w:val="21"/>
                <w:szCs w:val="21"/>
                <w:highlight w:val="none"/>
                <w:lang w:val="en-US" w:eastAsia="zh-CN"/>
              </w:rPr>
              <w:t>t/m</w:t>
            </w:r>
            <w:r>
              <w:rPr>
                <w:rFonts w:hint="eastAsia" w:ascii="Times New Roman" w:hAnsi="Times New Roman" w:eastAsia="宋体" w:cs="Times New Roman"/>
                <w:color w:val="auto"/>
                <w:sz w:val="21"/>
                <w:szCs w:val="21"/>
                <w:highlight w:val="none"/>
                <w:vertAlign w:val="superscript"/>
                <w:lang w:val="en-US" w:eastAsia="zh-CN"/>
              </w:rPr>
              <w:t>3</w:t>
            </w:r>
            <w:r>
              <w:rPr>
                <w:rFonts w:hint="eastAsia" w:ascii="Times New Roman" w:hAnsi="Times New Roman" w:cs="Times New Roman"/>
                <w:color w:val="auto"/>
                <w:sz w:val="21"/>
                <w:szCs w:val="21"/>
                <w:highlight w:val="none"/>
                <w:vertAlign w:val="baseline"/>
                <w:lang w:val="en-US" w:eastAsia="zh-CN"/>
              </w:rPr>
              <w:t>计算</w:t>
            </w:r>
            <w:r>
              <w:rPr>
                <w:rFonts w:hint="eastAsia" w:ascii="Times New Roman" w:hAnsi="Times New Roman" w:eastAsia="宋体" w:cs="Times New Roman"/>
                <w:color w:val="auto"/>
                <w:sz w:val="21"/>
                <w:szCs w:val="21"/>
                <w:highlight w:val="none"/>
                <w:lang w:val="en-US" w:eastAsia="zh-CN"/>
              </w:rPr>
              <w:t>，最大存储量为</w:t>
            </w:r>
            <w:r>
              <w:rPr>
                <w:rFonts w:hint="eastAsia" w:ascii="Times New Roman" w:hAnsi="Times New Roman" w:cs="Times New Roman"/>
                <w:color w:val="auto"/>
                <w:sz w:val="21"/>
                <w:szCs w:val="21"/>
                <w:highlight w:val="none"/>
                <w:lang w:val="en-US" w:eastAsia="zh-CN"/>
              </w:rPr>
              <w:t>440</w:t>
            </w:r>
            <w:r>
              <w:rPr>
                <w:rFonts w:hint="eastAsia" w:ascii="Times New Roman" w:hAnsi="Times New Roman" w:eastAsia="宋体" w:cs="Times New Roman"/>
                <w:color w:val="auto"/>
                <w:sz w:val="21"/>
                <w:szCs w:val="21"/>
                <w:highlight w:val="none"/>
                <w:lang w:val="en-US" w:eastAsia="zh-CN"/>
              </w:rPr>
              <w:t>吨，项目</w:t>
            </w:r>
            <w:r>
              <w:rPr>
                <w:rFonts w:hint="eastAsia" w:ascii="Times New Roman" w:hAnsi="Times New Roman" w:cs="Times New Roman"/>
                <w:color w:val="auto"/>
                <w:sz w:val="21"/>
                <w:szCs w:val="21"/>
                <w:highlight w:val="none"/>
                <w:lang w:val="en-US" w:eastAsia="zh-CN"/>
              </w:rPr>
              <w:t>不锈钢</w:t>
            </w:r>
            <w:r>
              <w:rPr>
                <w:rFonts w:hint="eastAsia" w:ascii="Times New Roman" w:hAnsi="Times New Roman" w:eastAsia="宋体" w:cs="Times New Roman"/>
                <w:color w:val="auto"/>
                <w:sz w:val="21"/>
                <w:szCs w:val="21"/>
                <w:highlight w:val="none"/>
                <w:lang w:val="en-US" w:eastAsia="zh-CN"/>
              </w:rPr>
              <w:t>年</w:t>
            </w:r>
            <w:r>
              <w:rPr>
                <w:rFonts w:hint="eastAsia" w:ascii="Times New Roman" w:hAnsi="Times New Roman" w:cs="Times New Roman"/>
                <w:color w:val="auto"/>
                <w:sz w:val="21"/>
                <w:szCs w:val="21"/>
                <w:highlight w:val="none"/>
                <w:lang w:val="en-US" w:eastAsia="zh-CN"/>
              </w:rPr>
              <w:t>产</w:t>
            </w:r>
            <w:r>
              <w:rPr>
                <w:rFonts w:hint="eastAsia" w:ascii="Times New Roman" w:hAnsi="Times New Roman" w:eastAsia="宋体" w:cs="Times New Roman"/>
                <w:color w:val="auto"/>
                <w:sz w:val="21"/>
                <w:szCs w:val="21"/>
                <w:highlight w:val="none"/>
                <w:lang w:val="en-US" w:eastAsia="zh-CN"/>
              </w:rPr>
              <w:t>量为</w:t>
            </w:r>
            <w:r>
              <w:rPr>
                <w:rFonts w:hint="eastAsia" w:ascii="Times New Roman" w:hAnsi="Times New Roman" w:cs="Times New Roman"/>
                <w:color w:val="auto"/>
                <w:sz w:val="21"/>
                <w:szCs w:val="21"/>
                <w:highlight w:val="none"/>
                <w:lang w:val="en-US" w:eastAsia="zh-CN"/>
              </w:rPr>
              <w:t>10800</w:t>
            </w:r>
            <w:r>
              <w:rPr>
                <w:rFonts w:hint="eastAsia" w:ascii="Times New Roman" w:hAnsi="Times New Roman" w:eastAsia="宋体" w:cs="Times New Roman"/>
                <w:color w:val="auto"/>
                <w:sz w:val="21"/>
                <w:szCs w:val="21"/>
                <w:highlight w:val="none"/>
                <w:lang w:val="en-US" w:eastAsia="zh-CN"/>
              </w:rPr>
              <w:t>t，</w:t>
            </w:r>
            <w:r>
              <w:rPr>
                <w:rFonts w:hint="eastAsia" w:ascii="Times New Roman" w:hAnsi="Times New Roman" w:cs="Times New Roman"/>
                <w:color w:val="auto"/>
                <w:sz w:val="21"/>
                <w:szCs w:val="21"/>
                <w:highlight w:val="none"/>
                <w:lang w:val="en-US" w:eastAsia="zh-CN"/>
              </w:rPr>
              <w:t>不锈钢</w:t>
            </w:r>
            <w:r>
              <w:rPr>
                <w:rFonts w:hint="eastAsia" w:ascii="Times New Roman" w:hAnsi="Times New Roman" w:eastAsia="宋体" w:cs="Times New Roman"/>
                <w:color w:val="auto"/>
                <w:sz w:val="21"/>
                <w:szCs w:val="21"/>
                <w:highlight w:val="none"/>
                <w:lang w:val="en-US" w:eastAsia="zh-CN"/>
              </w:rPr>
              <w:t>每天</w:t>
            </w:r>
            <w:r>
              <w:rPr>
                <w:rFonts w:hint="eastAsia" w:ascii="Times New Roman" w:hAnsi="Times New Roman" w:cs="Times New Roman"/>
                <w:color w:val="auto"/>
                <w:sz w:val="21"/>
                <w:szCs w:val="21"/>
                <w:highlight w:val="none"/>
                <w:lang w:val="en-US" w:eastAsia="zh-CN"/>
              </w:rPr>
              <w:t>产</w:t>
            </w:r>
            <w:r>
              <w:rPr>
                <w:rFonts w:hint="eastAsia" w:ascii="Times New Roman" w:hAnsi="Times New Roman" w:eastAsia="宋体" w:cs="Times New Roman"/>
                <w:color w:val="auto"/>
                <w:sz w:val="21"/>
                <w:szCs w:val="21"/>
                <w:highlight w:val="none"/>
                <w:lang w:val="en-US" w:eastAsia="zh-CN"/>
              </w:rPr>
              <w:t>量约为</w:t>
            </w:r>
            <w:r>
              <w:rPr>
                <w:rFonts w:hint="eastAsia" w:ascii="Times New Roman" w:hAnsi="Times New Roman" w:cs="Times New Roman"/>
                <w:color w:val="auto"/>
                <w:sz w:val="21"/>
                <w:szCs w:val="21"/>
                <w:highlight w:val="none"/>
                <w:lang w:val="en-US" w:eastAsia="zh-CN"/>
              </w:rPr>
              <w:t>36</w:t>
            </w:r>
            <w:r>
              <w:rPr>
                <w:rFonts w:hint="eastAsia" w:ascii="Times New Roman" w:hAnsi="Times New Roman" w:eastAsia="宋体" w:cs="Times New Roman"/>
                <w:color w:val="auto"/>
                <w:sz w:val="21"/>
                <w:szCs w:val="21"/>
                <w:highlight w:val="none"/>
                <w:lang w:val="en-US" w:eastAsia="zh-CN"/>
              </w:rPr>
              <w:t>t，存储周期为</w:t>
            </w:r>
            <w:r>
              <w:rPr>
                <w:rFonts w:hint="eastAsia" w:ascii="Times New Roman" w:hAnsi="Times New Roman" w:cs="Times New Roman"/>
                <w:color w:val="auto"/>
                <w:sz w:val="21"/>
                <w:szCs w:val="21"/>
                <w:highlight w:val="none"/>
                <w:lang w:val="en-US" w:eastAsia="zh-CN"/>
              </w:rPr>
              <w:t>12.2</w:t>
            </w:r>
            <w:r>
              <w:rPr>
                <w:rFonts w:hint="eastAsia" w:ascii="Times New Roman" w:hAnsi="Times New Roman" w:eastAsia="宋体" w:cs="Times New Roman"/>
                <w:color w:val="auto"/>
                <w:sz w:val="21"/>
                <w:szCs w:val="21"/>
                <w:highlight w:val="none"/>
                <w:lang w:val="en-US" w:eastAsia="zh-CN"/>
              </w:rPr>
              <w:t>d</w:t>
            </w:r>
            <w:r>
              <w:rPr>
                <w:rFonts w:hint="eastAsia" w:ascii="Times New Roman" w:hAnsi="Times New Roman" w:cs="Times New Roman"/>
                <w:color w:val="auto"/>
                <w:sz w:val="21"/>
                <w:szCs w:val="21"/>
                <w:highlight w:val="none"/>
                <w:lang w:val="en-US" w:eastAsia="zh-CN"/>
              </w:rPr>
              <w:t>。</w:t>
            </w:r>
          </w:p>
          <w:p w14:paraId="63CFC820">
            <w:pPr>
              <w:pStyle w:val="24"/>
              <w:keepNext w:val="0"/>
              <w:keepLines w:val="0"/>
              <w:pageBreakBefore w:val="0"/>
              <w:widowControl/>
              <w:kinsoku/>
              <w:wordWrap/>
              <w:overflowPunct/>
              <w:topLinePunct w:val="0"/>
              <w:autoSpaceDE/>
              <w:autoSpaceDN/>
              <w:bidi w:val="0"/>
              <w:adjustRightInd w:val="0"/>
              <w:snapToGrid w:val="0"/>
              <w:spacing w:before="0" w:beforeAutospacing="0" w:after="0" w:afterAutospacing="0" w:line="420" w:lineRule="exact"/>
              <w:ind w:firstLine="422" w:firstLineChars="200"/>
              <w:textAlignment w:val="auto"/>
              <w:rPr>
                <w:rFonts w:hint="eastAsia" w:ascii="Times New Roman" w:hAnsi="Times New Roman" w:cs="Times New Roman"/>
                <w:color w:val="auto"/>
                <w:sz w:val="21"/>
                <w:szCs w:val="21"/>
                <w:highlight w:val="none"/>
                <w:lang w:val="en-US" w:eastAsia="zh-CN"/>
              </w:rPr>
            </w:pPr>
            <w:r>
              <w:rPr>
                <w:rFonts w:hint="eastAsia" w:ascii="Times New Roman" w:hAnsi="Times New Roman" w:cs="Times New Roman"/>
                <w:b/>
                <w:bCs/>
                <w:color w:val="auto"/>
                <w:sz w:val="21"/>
                <w:szCs w:val="21"/>
                <w:highlight w:val="none"/>
                <w:lang w:val="en-US" w:eastAsia="zh-CN"/>
              </w:rPr>
              <w:t>有色金属混合料暂存区库容计算说明：</w:t>
            </w:r>
            <w:r>
              <w:rPr>
                <w:rFonts w:hint="eastAsia" w:ascii="Times New Roman" w:hAnsi="Times New Roman" w:eastAsia="宋体" w:cs="Times New Roman"/>
                <w:color w:val="auto"/>
                <w:sz w:val="21"/>
                <w:szCs w:val="21"/>
                <w:highlight w:val="none"/>
                <w:lang w:val="en-US" w:eastAsia="zh-CN"/>
              </w:rPr>
              <w:t>本项目有色金属混合料暂存区为</w:t>
            </w:r>
            <w:r>
              <w:rPr>
                <w:rFonts w:hint="eastAsia" w:ascii="Times New Roman" w:hAnsi="Times New Roman" w:cs="Times New Roman"/>
                <w:color w:val="auto"/>
                <w:sz w:val="21"/>
                <w:szCs w:val="21"/>
                <w:highlight w:val="none"/>
                <w:lang w:val="en-US" w:eastAsia="zh-CN"/>
              </w:rPr>
              <w:t>20m</w:t>
            </w:r>
            <w:r>
              <w:rPr>
                <w:rFonts w:hint="eastAsia" w:ascii="Times New Roman" w:hAnsi="Times New Roman" w:cs="Times New Roman"/>
                <w:color w:val="auto"/>
                <w:sz w:val="21"/>
                <w:szCs w:val="21"/>
                <w:highlight w:val="none"/>
                <w:vertAlign w:val="superscript"/>
                <w:lang w:val="en-US" w:eastAsia="zh-CN"/>
              </w:rPr>
              <w:t>2</w:t>
            </w:r>
            <w:r>
              <w:rPr>
                <w:rFonts w:hint="eastAsia" w:ascii="Times New Roman" w:hAnsi="Times New Roman" w:eastAsia="宋体" w:cs="Times New Roman"/>
                <w:color w:val="auto"/>
                <w:sz w:val="21"/>
                <w:szCs w:val="21"/>
                <w:highlight w:val="none"/>
                <w:lang w:val="en-US" w:eastAsia="zh-CN"/>
              </w:rPr>
              <w:t>，为保证有色金属混合料暂存区有效库容达到最大，暂存区内使用装载机对落料进行铲运、平整、堆高。有色金属混合料暂存区堆存底部为矩形高</w:t>
            </w:r>
            <w:r>
              <w:rPr>
                <w:rFonts w:hint="eastAsia" w:ascii="Times New Roman" w:hAnsi="Times New Roman" w:cs="Times New Roman"/>
                <w:color w:val="auto"/>
                <w:sz w:val="21"/>
                <w:szCs w:val="21"/>
                <w:highlight w:val="none"/>
                <w:lang w:val="en-US" w:eastAsia="zh-CN"/>
              </w:rPr>
              <w:t>3</w:t>
            </w:r>
            <w:r>
              <w:rPr>
                <w:rFonts w:hint="eastAsia" w:ascii="Times New Roman" w:hAnsi="Times New Roman" w:eastAsia="宋体" w:cs="Times New Roman"/>
                <w:color w:val="auto"/>
                <w:sz w:val="21"/>
                <w:szCs w:val="21"/>
                <w:highlight w:val="none"/>
                <w:lang w:val="en-US" w:eastAsia="zh-CN"/>
              </w:rPr>
              <w:t>m，上部为棱锥型高3m，堆存容积为</w:t>
            </w:r>
            <w:r>
              <w:rPr>
                <w:rFonts w:hint="eastAsia" w:ascii="Times New Roman" w:hAnsi="Times New Roman" w:cs="Times New Roman"/>
                <w:color w:val="auto"/>
                <w:sz w:val="21"/>
                <w:szCs w:val="21"/>
                <w:highlight w:val="none"/>
                <w:lang w:val="en-US" w:eastAsia="zh-CN"/>
              </w:rPr>
              <w:t>20m</w:t>
            </w:r>
            <w:r>
              <w:rPr>
                <w:rFonts w:hint="eastAsia" w:ascii="Times New Roman" w:hAnsi="Times New Roman" w:cs="Times New Roman"/>
                <w:color w:val="auto"/>
                <w:sz w:val="21"/>
                <w:szCs w:val="21"/>
                <w:highlight w:val="none"/>
                <w:vertAlign w:val="superscript"/>
                <w:lang w:val="en-US" w:eastAsia="zh-CN"/>
              </w:rPr>
              <w:t>2</w:t>
            </w:r>
            <w:r>
              <w:rPr>
                <w:rFonts w:hint="eastAsia" w:ascii="Times New Roman" w:hAnsi="Times New Roman" w:eastAsia="宋体" w:cs="Times New Roman"/>
                <w:color w:val="auto"/>
                <w:sz w:val="21"/>
                <w:szCs w:val="21"/>
                <w:highlight w:val="none"/>
                <w:lang w:val="en-US" w:eastAsia="zh-CN"/>
              </w:rPr>
              <w:t>×</w:t>
            </w:r>
            <w:r>
              <w:rPr>
                <w:rFonts w:hint="eastAsia" w:ascii="Times New Roman" w:hAnsi="Times New Roman" w:cs="Times New Roman"/>
                <w:color w:val="auto"/>
                <w:sz w:val="21"/>
                <w:szCs w:val="21"/>
                <w:highlight w:val="none"/>
                <w:lang w:val="en-US" w:eastAsia="zh-CN"/>
              </w:rPr>
              <w:t>3</w:t>
            </w:r>
            <w:r>
              <w:rPr>
                <w:rFonts w:hint="eastAsia" w:ascii="Times New Roman" w:hAnsi="Times New Roman" w:eastAsia="宋体" w:cs="Times New Roman"/>
                <w:color w:val="auto"/>
                <w:sz w:val="21"/>
                <w:szCs w:val="21"/>
                <w:highlight w:val="none"/>
                <w:lang w:val="en-US" w:eastAsia="zh-CN"/>
              </w:rPr>
              <w:t>+</w:t>
            </w:r>
            <w:r>
              <w:rPr>
                <w:rFonts w:hint="eastAsia" w:ascii="Times New Roman" w:hAnsi="Times New Roman" w:cs="Times New Roman"/>
                <w:color w:val="auto"/>
                <w:sz w:val="21"/>
                <w:szCs w:val="21"/>
                <w:highlight w:val="none"/>
                <w:lang w:val="en-US" w:eastAsia="zh-CN"/>
              </w:rPr>
              <w:t>20m</w:t>
            </w:r>
            <w:r>
              <w:rPr>
                <w:rFonts w:hint="eastAsia" w:ascii="Times New Roman" w:hAnsi="Times New Roman" w:cs="Times New Roman"/>
                <w:color w:val="auto"/>
                <w:sz w:val="21"/>
                <w:szCs w:val="21"/>
                <w:highlight w:val="none"/>
                <w:vertAlign w:val="superscript"/>
                <w:lang w:val="en-US" w:eastAsia="zh-CN"/>
              </w:rPr>
              <w:t>2</w:t>
            </w:r>
            <w:r>
              <w:rPr>
                <w:rFonts w:hint="eastAsia" w:ascii="Times New Roman" w:hAnsi="Times New Roman" w:eastAsia="宋体" w:cs="Times New Roman"/>
                <w:color w:val="auto"/>
                <w:sz w:val="21"/>
                <w:szCs w:val="21"/>
                <w:highlight w:val="none"/>
                <w:lang w:val="en-US" w:eastAsia="zh-CN"/>
              </w:rPr>
              <w:t>×3/3=</w:t>
            </w:r>
            <w:r>
              <w:rPr>
                <w:rFonts w:hint="eastAsia" w:ascii="Times New Roman" w:hAnsi="Times New Roman" w:cs="Times New Roman"/>
                <w:color w:val="auto"/>
                <w:sz w:val="21"/>
                <w:szCs w:val="21"/>
                <w:highlight w:val="none"/>
                <w:lang w:val="en-US" w:eastAsia="zh-CN"/>
              </w:rPr>
              <w:t>80</w:t>
            </w:r>
            <w:r>
              <w:rPr>
                <w:rFonts w:hint="eastAsia" w:ascii="Times New Roman" w:hAnsi="Times New Roman" w:eastAsia="宋体" w:cs="Times New Roman"/>
                <w:color w:val="auto"/>
                <w:sz w:val="21"/>
                <w:szCs w:val="21"/>
                <w:highlight w:val="none"/>
                <w:lang w:val="en-US" w:eastAsia="zh-CN"/>
              </w:rPr>
              <w:t>m</w:t>
            </w:r>
            <w:r>
              <w:rPr>
                <w:rFonts w:hint="eastAsia" w:ascii="Times New Roman" w:hAnsi="Times New Roman" w:eastAsia="宋体" w:cs="Times New Roman"/>
                <w:color w:val="auto"/>
                <w:sz w:val="21"/>
                <w:szCs w:val="21"/>
                <w:highlight w:val="none"/>
                <w:vertAlign w:val="superscript"/>
                <w:lang w:val="en-US" w:eastAsia="zh-CN"/>
              </w:rPr>
              <w:t>3</w:t>
            </w:r>
            <w:r>
              <w:rPr>
                <w:rFonts w:hint="eastAsia" w:ascii="Times New Roman" w:hAnsi="Times New Roman" w:eastAsia="宋体" w:cs="Times New Roman"/>
                <w:color w:val="auto"/>
                <w:sz w:val="21"/>
                <w:szCs w:val="21"/>
                <w:highlight w:val="none"/>
                <w:lang w:val="en-US" w:eastAsia="zh-CN"/>
              </w:rPr>
              <w:t>，有色金属混合料堆积密度按</w:t>
            </w:r>
            <w:r>
              <w:rPr>
                <w:rFonts w:hint="eastAsia" w:ascii="Times New Roman" w:hAnsi="Times New Roman" w:cs="Times New Roman"/>
                <w:color w:val="auto"/>
                <w:sz w:val="21"/>
                <w:szCs w:val="21"/>
                <w:highlight w:val="none"/>
                <w:lang w:val="en-US" w:eastAsia="zh-CN"/>
              </w:rPr>
              <w:t>4.5</w:t>
            </w:r>
            <w:r>
              <w:rPr>
                <w:rFonts w:hint="eastAsia" w:ascii="Times New Roman" w:hAnsi="Times New Roman" w:eastAsia="宋体" w:cs="Times New Roman"/>
                <w:color w:val="auto"/>
                <w:sz w:val="21"/>
                <w:szCs w:val="21"/>
                <w:highlight w:val="none"/>
                <w:lang w:val="en-US" w:eastAsia="zh-CN"/>
              </w:rPr>
              <w:t>t/m</w:t>
            </w:r>
            <w:r>
              <w:rPr>
                <w:rFonts w:hint="eastAsia" w:ascii="Times New Roman" w:hAnsi="Times New Roman" w:eastAsia="宋体" w:cs="Times New Roman"/>
                <w:color w:val="auto"/>
                <w:sz w:val="21"/>
                <w:szCs w:val="21"/>
                <w:highlight w:val="none"/>
                <w:vertAlign w:val="superscript"/>
                <w:lang w:val="en-US" w:eastAsia="zh-CN"/>
              </w:rPr>
              <w:t>3</w:t>
            </w:r>
            <w:r>
              <w:rPr>
                <w:rFonts w:hint="eastAsia" w:ascii="Times New Roman" w:hAnsi="Times New Roman" w:cs="Times New Roman"/>
                <w:color w:val="auto"/>
                <w:sz w:val="21"/>
                <w:szCs w:val="21"/>
                <w:highlight w:val="none"/>
                <w:vertAlign w:val="baseline"/>
                <w:lang w:val="en-US" w:eastAsia="zh-CN"/>
              </w:rPr>
              <w:t>计算</w:t>
            </w:r>
            <w:r>
              <w:rPr>
                <w:rFonts w:hint="eastAsia" w:ascii="Times New Roman" w:hAnsi="Times New Roman" w:eastAsia="宋体" w:cs="Times New Roman"/>
                <w:color w:val="auto"/>
                <w:sz w:val="21"/>
                <w:szCs w:val="21"/>
                <w:highlight w:val="none"/>
                <w:lang w:val="en-US" w:eastAsia="zh-CN"/>
              </w:rPr>
              <w:t>，最大存储量为</w:t>
            </w:r>
            <w:r>
              <w:rPr>
                <w:rFonts w:hint="eastAsia" w:ascii="Times New Roman" w:hAnsi="Times New Roman" w:cs="Times New Roman"/>
                <w:color w:val="auto"/>
                <w:sz w:val="21"/>
                <w:szCs w:val="21"/>
                <w:highlight w:val="none"/>
                <w:lang w:val="en-US" w:eastAsia="zh-CN"/>
              </w:rPr>
              <w:t>360</w:t>
            </w:r>
            <w:r>
              <w:rPr>
                <w:rFonts w:hint="eastAsia" w:ascii="Times New Roman" w:hAnsi="Times New Roman" w:eastAsia="宋体" w:cs="Times New Roman"/>
                <w:color w:val="auto"/>
                <w:sz w:val="21"/>
                <w:szCs w:val="21"/>
                <w:highlight w:val="none"/>
                <w:lang w:val="en-US" w:eastAsia="zh-CN"/>
              </w:rPr>
              <w:t>吨，项目有色金属混合料年</w:t>
            </w:r>
            <w:r>
              <w:rPr>
                <w:rFonts w:hint="eastAsia" w:ascii="Times New Roman" w:hAnsi="Times New Roman" w:cs="Times New Roman"/>
                <w:color w:val="auto"/>
                <w:sz w:val="21"/>
                <w:szCs w:val="21"/>
                <w:highlight w:val="none"/>
                <w:lang w:val="en-US" w:eastAsia="zh-CN"/>
              </w:rPr>
              <w:t>产</w:t>
            </w:r>
            <w:r>
              <w:rPr>
                <w:rFonts w:hint="eastAsia" w:ascii="Times New Roman" w:hAnsi="Times New Roman" w:eastAsia="宋体" w:cs="Times New Roman"/>
                <w:color w:val="auto"/>
                <w:sz w:val="21"/>
                <w:szCs w:val="21"/>
                <w:highlight w:val="none"/>
                <w:lang w:val="en-US" w:eastAsia="zh-CN"/>
              </w:rPr>
              <w:t>量为</w:t>
            </w:r>
            <w:r>
              <w:rPr>
                <w:rFonts w:hint="eastAsia" w:ascii="Times New Roman" w:hAnsi="Times New Roman" w:cs="Times New Roman"/>
                <w:color w:val="auto"/>
                <w:sz w:val="21"/>
                <w:szCs w:val="21"/>
                <w:highlight w:val="none"/>
                <w:lang w:val="en-US" w:eastAsia="zh-CN"/>
              </w:rPr>
              <w:t>6700</w:t>
            </w:r>
            <w:r>
              <w:rPr>
                <w:rFonts w:hint="eastAsia" w:ascii="Times New Roman" w:hAnsi="Times New Roman" w:eastAsia="宋体" w:cs="Times New Roman"/>
                <w:color w:val="auto"/>
                <w:sz w:val="21"/>
                <w:szCs w:val="21"/>
                <w:highlight w:val="none"/>
                <w:lang w:val="en-US" w:eastAsia="zh-CN"/>
              </w:rPr>
              <w:t>t，有色金属混合料每天</w:t>
            </w:r>
            <w:r>
              <w:rPr>
                <w:rFonts w:hint="eastAsia" w:ascii="Times New Roman" w:hAnsi="Times New Roman" w:cs="Times New Roman"/>
                <w:color w:val="auto"/>
                <w:sz w:val="21"/>
                <w:szCs w:val="21"/>
                <w:highlight w:val="none"/>
                <w:lang w:val="en-US" w:eastAsia="zh-CN"/>
              </w:rPr>
              <w:t>产</w:t>
            </w:r>
            <w:r>
              <w:rPr>
                <w:rFonts w:hint="eastAsia" w:ascii="Times New Roman" w:hAnsi="Times New Roman" w:eastAsia="宋体" w:cs="Times New Roman"/>
                <w:color w:val="auto"/>
                <w:sz w:val="21"/>
                <w:szCs w:val="21"/>
                <w:highlight w:val="none"/>
                <w:lang w:val="en-US" w:eastAsia="zh-CN"/>
              </w:rPr>
              <w:t>量约为</w:t>
            </w:r>
            <w:r>
              <w:rPr>
                <w:rFonts w:hint="eastAsia" w:ascii="Times New Roman" w:hAnsi="Times New Roman" w:cs="Times New Roman"/>
                <w:color w:val="auto"/>
                <w:sz w:val="21"/>
                <w:szCs w:val="21"/>
                <w:highlight w:val="none"/>
                <w:lang w:val="en-US" w:eastAsia="zh-CN"/>
              </w:rPr>
              <w:t>22.3</w:t>
            </w:r>
            <w:r>
              <w:rPr>
                <w:rFonts w:hint="eastAsia" w:ascii="Times New Roman" w:hAnsi="Times New Roman" w:eastAsia="宋体" w:cs="Times New Roman"/>
                <w:color w:val="auto"/>
                <w:sz w:val="21"/>
                <w:szCs w:val="21"/>
                <w:highlight w:val="none"/>
                <w:lang w:val="en-US" w:eastAsia="zh-CN"/>
              </w:rPr>
              <w:t>t，存储周期为</w:t>
            </w:r>
            <w:r>
              <w:rPr>
                <w:rFonts w:hint="eastAsia" w:ascii="Times New Roman" w:hAnsi="Times New Roman" w:cs="Times New Roman"/>
                <w:color w:val="auto"/>
                <w:sz w:val="21"/>
                <w:szCs w:val="21"/>
                <w:highlight w:val="none"/>
                <w:lang w:val="en-US" w:eastAsia="zh-CN"/>
              </w:rPr>
              <w:t>16.1</w:t>
            </w:r>
            <w:r>
              <w:rPr>
                <w:rFonts w:hint="eastAsia" w:ascii="Times New Roman" w:hAnsi="Times New Roman" w:eastAsia="宋体" w:cs="Times New Roman"/>
                <w:color w:val="auto"/>
                <w:sz w:val="21"/>
                <w:szCs w:val="21"/>
                <w:highlight w:val="none"/>
                <w:lang w:val="en-US" w:eastAsia="zh-CN"/>
              </w:rPr>
              <w:t>d</w:t>
            </w:r>
            <w:r>
              <w:rPr>
                <w:rFonts w:hint="eastAsia" w:ascii="Times New Roman" w:hAnsi="Times New Roman" w:cs="Times New Roman"/>
                <w:color w:val="auto"/>
                <w:sz w:val="21"/>
                <w:szCs w:val="21"/>
                <w:highlight w:val="none"/>
                <w:lang w:val="en-US" w:eastAsia="zh-CN"/>
              </w:rPr>
              <w:t>。</w:t>
            </w:r>
          </w:p>
          <w:p w14:paraId="5EB4F09B">
            <w:pPr>
              <w:pStyle w:val="24"/>
              <w:adjustRightInd w:val="0"/>
              <w:snapToGrid w:val="0"/>
              <w:spacing w:before="0" w:beforeAutospacing="0" w:after="0" w:afterAutospacing="0" w:line="440" w:lineRule="exact"/>
              <w:ind w:firstLine="422" w:firstLineChars="200"/>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cs="Times New Roman"/>
                <w:b/>
                <w:bCs/>
                <w:color w:val="auto"/>
                <w:sz w:val="21"/>
                <w:szCs w:val="21"/>
                <w:highlight w:val="none"/>
                <w:lang w:val="en-US" w:eastAsia="zh-CN"/>
              </w:rPr>
              <w:t>塑料暂存区库容计算说明：</w:t>
            </w:r>
            <w:r>
              <w:rPr>
                <w:rFonts w:hint="eastAsia" w:ascii="Times New Roman" w:hAnsi="Times New Roman" w:eastAsia="宋体" w:cs="Times New Roman"/>
                <w:color w:val="auto"/>
                <w:sz w:val="21"/>
                <w:szCs w:val="21"/>
                <w:highlight w:val="none"/>
                <w:lang w:val="en-US" w:eastAsia="zh-CN"/>
              </w:rPr>
              <w:t>塑料</w:t>
            </w:r>
            <w:r>
              <w:rPr>
                <w:rFonts w:hint="eastAsia" w:ascii="Times New Roman" w:hAnsi="Times New Roman" w:cs="Times New Roman"/>
                <w:color w:val="auto"/>
                <w:sz w:val="21"/>
                <w:szCs w:val="21"/>
                <w:highlight w:val="none"/>
                <w:lang w:val="en-US" w:eastAsia="zh-CN"/>
              </w:rPr>
              <w:t>暂存</w:t>
            </w:r>
            <w:r>
              <w:rPr>
                <w:rFonts w:hint="eastAsia" w:ascii="Times New Roman" w:hAnsi="Times New Roman" w:eastAsia="宋体" w:cs="Times New Roman"/>
                <w:color w:val="auto"/>
                <w:sz w:val="21"/>
                <w:szCs w:val="21"/>
                <w:highlight w:val="none"/>
                <w:lang w:val="en-US" w:eastAsia="zh-CN"/>
              </w:rPr>
              <w:t>区面积为</w:t>
            </w:r>
            <w:r>
              <w:rPr>
                <w:rFonts w:hint="eastAsia" w:ascii="Times New Roman" w:hAnsi="Times New Roman" w:cs="Times New Roman"/>
                <w:color w:val="auto"/>
                <w:sz w:val="21"/>
                <w:szCs w:val="21"/>
                <w:highlight w:val="none"/>
                <w:lang w:val="en-US" w:eastAsia="zh-CN"/>
              </w:rPr>
              <w:t>200</w:t>
            </w:r>
            <w:r>
              <w:rPr>
                <w:rFonts w:hint="eastAsia" w:ascii="Times New Roman" w:hAnsi="Times New Roman" w:eastAsia="宋体" w:cs="Times New Roman"/>
                <w:color w:val="auto"/>
                <w:sz w:val="21"/>
                <w:szCs w:val="21"/>
                <w:highlight w:val="none"/>
                <w:lang w:val="en-US" w:eastAsia="zh-CN"/>
              </w:rPr>
              <w:t>m</w:t>
            </w:r>
            <w:r>
              <w:rPr>
                <w:rFonts w:hint="default" w:ascii="Times New Roman" w:hAnsi="Times New Roman" w:eastAsia="宋体" w:cs="Times New Roman"/>
                <w:color w:val="auto"/>
                <w:sz w:val="21"/>
                <w:szCs w:val="21"/>
                <w:highlight w:val="none"/>
                <w:vertAlign w:val="superscript"/>
                <w:lang w:val="en-US" w:eastAsia="zh-CN"/>
              </w:rPr>
              <w:t>2</w:t>
            </w:r>
            <w:r>
              <w:rPr>
                <w:rFonts w:hint="eastAsia" w:ascii="Times New Roman" w:hAnsi="Times New Roman" w:eastAsia="宋体" w:cs="Times New Roman"/>
                <w:color w:val="auto"/>
                <w:sz w:val="21"/>
                <w:szCs w:val="21"/>
                <w:highlight w:val="none"/>
                <w:lang w:val="en-US" w:eastAsia="zh-CN"/>
              </w:rPr>
              <w:t>，本项目日生产沉水塑料</w:t>
            </w:r>
            <w:r>
              <w:rPr>
                <w:rFonts w:hint="eastAsia" w:ascii="Times New Roman" w:hAnsi="Times New Roman" w:cs="Times New Roman"/>
                <w:color w:val="auto"/>
                <w:sz w:val="21"/>
                <w:szCs w:val="21"/>
                <w:highlight w:val="none"/>
                <w:lang w:val="en-US" w:eastAsia="zh-CN"/>
              </w:rPr>
              <w:t>、轻质塑料190.3t</w:t>
            </w:r>
            <w:r>
              <w:rPr>
                <w:rFonts w:hint="eastAsia" w:ascii="Times New Roman" w:hAnsi="Times New Roman" w:eastAsia="宋体" w:cs="Times New Roman"/>
                <w:color w:val="auto"/>
                <w:sz w:val="21"/>
                <w:szCs w:val="21"/>
                <w:highlight w:val="none"/>
                <w:lang w:val="en-US" w:eastAsia="zh-CN"/>
              </w:rPr>
              <w:t>，本项目采用吨包装堆存沉水塑料</w:t>
            </w:r>
            <w:r>
              <w:rPr>
                <w:rFonts w:hint="eastAsia" w:ascii="Times New Roman" w:hAnsi="Times New Roman" w:cs="Times New Roman"/>
                <w:color w:val="auto"/>
                <w:sz w:val="21"/>
                <w:szCs w:val="21"/>
                <w:highlight w:val="none"/>
                <w:lang w:val="en-US" w:eastAsia="zh-CN"/>
              </w:rPr>
              <w:t>、轻质塑料</w:t>
            </w:r>
            <w:r>
              <w:rPr>
                <w:rFonts w:hint="eastAsia" w:ascii="Times New Roman" w:hAnsi="Times New Roman" w:eastAsia="宋体" w:cs="Times New Roman"/>
                <w:color w:val="auto"/>
                <w:sz w:val="21"/>
                <w:szCs w:val="21"/>
                <w:highlight w:val="none"/>
                <w:lang w:val="en-US" w:eastAsia="zh-CN"/>
              </w:rPr>
              <w:t>，空间占用利用率高，使得有效库容达到最大，同时保证吨包袋不倾倒，吨包袋整齐码放，且只码放二层，根据吨包袋尺寸，则塑料</w:t>
            </w:r>
            <w:r>
              <w:rPr>
                <w:rFonts w:hint="eastAsia" w:ascii="Times New Roman" w:hAnsi="Times New Roman" w:cs="Times New Roman"/>
                <w:color w:val="auto"/>
                <w:sz w:val="21"/>
                <w:szCs w:val="21"/>
                <w:highlight w:val="none"/>
                <w:lang w:val="en-US" w:eastAsia="zh-CN"/>
              </w:rPr>
              <w:t>暂存</w:t>
            </w:r>
            <w:r>
              <w:rPr>
                <w:rFonts w:hint="eastAsia" w:ascii="Times New Roman" w:hAnsi="Times New Roman" w:eastAsia="宋体" w:cs="Times New Roman"/>
                <w:color w:val="auto"/>
                <w:sz w:val="21"/>
                <w:szCs w:val="21"/>
                <w:highlight w:val="none"/>
                <w:lang w:val="en-US" w:eastAsia="zh-CN"/>
              </w:rPr>
              <w:t>区可码放吨包袋</w:t>
            </w:r>
            <w:r>
              <w:rPr>
                <w:rFonts w:hint="eastAsia" w:ascii="Times New Roman" w:hAnsi="Times New Roman" w:cs="Times New Roman"/>
                <w:color w:val="auto"/>
                <w:sz w:val="21"/>
                <w:szCs w:val="21"/>
                <w:highlight w:val="none"/>
                <w:lang w:val="en-US" w:eastAsia="zh-CN"/>
              </w:rPr>
              <w:t>560</w:t>
            </w:r>
            <w:r>
              <w:rPr>
                <w:rFonts w:hint="eastAsia" w:ascii="Times New Roman" w:hAnsi="Times New Roman" w:eastAsia="宋体" w:cs="Times New Roman"/>
                <w:color w:val="auto"/>
                <w:sz w:val="21"/>
                <w:szCs w:val="21"/>
                <w:highlight w:val="none"/>
                <w:lang w:val="en-US" w:eastAsia="zh-CN"/>
              </w:rPr>
              <w:t>袋，每袋重</w:t>
            </w:r>
            <w:r>
              <w:rPr>
                <w:rFonts w:hint="default" w:ascii="Times New Roman" w:hAnsi="Times New Roman" w:eastAsia="宋体" w:cs="Times New Roman"/>
                <w:color w:val="auto"/>
                <w:sz w:val="21"/>
                <w:szCs w:val="21"/>
                <w:highlight w:val="none"/>
                <w:lang w:val="en-US" w:eastAsia="zh-CN"/>
              </w:rPr>
              <w:t>1</w:t>
            </w:r>
            <w:r>
              <w:rPr>
                <w:rFonts w:hint="eastAsia" w:ascii="Times New Roman" w:hAnsi="Times New Roman" w:eastAsia="宋体" w:cs="Times New Roman"/>
                <w:color w:val="auto"/>
                <w:sz w:val="21"/>
                <w:szCs w:val="21"/>
                <w:highlight w:val="none"/>
                <w:lang w:val="en-US" w:eastAsia="zh-CN"/>
              </w:rPr>
              <w:t>吨，则最大存储量为</w:t>
            </w:r>
            <w:r>
              <w:rPr>
                <w:rFonts w:hint="eastAsia" w:ascii="Times New Roman" w:hAnsi="Times New Roman" w:cs="Times New Roman"/>
                <w:color w:val="auto"/>
                <w:sz w:val="21"/>
                <w:szCs w:val="21"/>
                <w:highlight w:val="none"/>
                <w:lang w:val="en-US" w:eastAsia="zh-CN"/>
              </w:rPr>
              <w:t>420</w:t>
            </w:r>
            <w:r>
              <w:rPr>
                <w:rFonts w:hint="eastAsia" w:ascii="Times New Roman" w:hAnsi="Times New Roman" w:eastAsia="宋体" w:cs="Times New Roman"/>
                <w:color w:val="auto"/>
                <w:sz w:val="21"/>
                <w:szCs w:val="21"/>
                <w:highlight w:val="none"/>
                <w:lang w:val="en-US" w:eastAsia="zh-CN"/>
              </w:rPr>
              <w:t>吨，则存储周期为</w:t>
            </w:r>
            <w:r>
              <w:rPr>
                <w:rFonts w:hint="eastAsia" w:ascii="Times New Roman" w:hAnsi="Times New Roman" w:cs="Times New Roman"/>
                <w:color w:val="auto"/>
                <w:sz w:val="21"/>
                <w:szCs w:val="21"/>
                <w:highlight w:val="none"/>
                <w:lang w:val="en-US" w:eastAsia="zh-CN"/>
              </w:rPr>
              <w:t>2.9</w:t>
            </w:r>
            <w:r>
              <w:rPr>
                <w:rFonts w:hint="eastAsia" w:ascii="Times New Roman" w:hAnsi="Times New Roman" w:eastAsia="宋体" w:cs="Times New Roman"/>
                <w:color w:val="auto"/>
                <w:sz w:val="21"/>
                <w:szCs w:val="21"/>
                <w:highlight w:val="none"/>
                <w:lang w:val="en-US" w:eastAsia="zh-CN"/>
              </w:rPr>
              <w:t>d。</w:t>
            </w:r>
          </w:p>
          <w:p w14:paraId="068EF0B5">
            <w:pPr>
              <w:pStyle w:val="24"/>
              <w:adjustRightInd w:val="0"/>
              <w:snapToGrid w:val="0"/>
              <w:spacing w:before="0" w:beforeAutospacing="0" w:after="0" w:afterAutospacing="0" w:line="440" w:lineRule="exact"/>
              <w:ind w:firstLine="422" w:firstLineChars="200"/>
              <w:rPr>
                <w:rFonts w:hint="default" w:ascii="Times New Roman" w:hAnsi="Times New Roman" w:cs="Times New Roman"/>
                <w:b/>
                <w:bCs/>
                <w:color w:val="auto"/>
                <w:sz w:val="21"/>
                <w:szCs w:val="21"/>
                <w:highlight w:val="none"/>
                <w:lang w:val="en-US" w:eastAsia="zh-CN"/>
              </w:rPr>
            </w:pPr>
            <w:r>
              <w:rPr>
                <w:rFonts w:hint="eastAsia" w:ascii="Times New Roman" w:hAnsi="Times New Roman" w:cs="Times New Roman"/>
                <w:b/>
                <w:bCs/>
                <w:color w:val="auto"/>
                <w:sz w:val="21"/>
                <w:szCs w:val="21"/>
                <w:highlight w:val="none"/>
                <w:lang w:val="en-US" w:eastAsia="zh-CN"/>
              </w:rPr>
              <w:t>（2）2</w:t>
            </w:r>
            <w:r>
              <w:rPr>
                <w:rFonts w:hint="eastAsia" w:ascii="Times New Roman" w:hAnsi="Times New Roman" w:cs="Times New Roman"/>
                <w:b/>
                <w:bCs/>
                <w:color w:val="auto"/>
                <w:sz w:val="21"/>
                <w:szCs w:val="21"/>
                <w:highlight w:val="none"/>
                <w:vertAlign w:val="superscript"/>
                <w:lang w:val="en-US" w:eastAsia="zh-CN"/>
              </w:rPr>
              <w:t>#</w:t>
            </w:r>
            <w:r>
              <w:rPr>
                <w:rFonts w:hint="eastAsia" w:ascii="Times New Roman" w:hAnsi="Times New Roman" w:cs="Times New Roman"/>
                <w:b/>
                <w:bCs/>
                <w:color w:val="auto"/>
                <w:sz w:val="21"/>
                <w:szCs w:val="21"/>
                <w:highlight w:val="none"/>
                <w:lang w:val="en-US" w:eastAsia="zh-CN"/>
              </w:rPr>
              <w:t>生产车间</w:t>
            </w:r>
          </w:p>
          <w:p w14:paraId="2A058E0B">
            <w:pPr>
              <w:pStyle w:val="24"/>
              <w:keepNext w:val="0"/>
              <w:keepLines w:val="0"/>
              <w:pageBreakBefore w:val="0"/>
              <w:widowControl/>
              <w:kinsoku/>
              <w:wordWrap/>
              <w:overflowPunct/>
              <w:topLinePunct w:val="0"/>
              <w:autoSpaceDE/>
              <w:autoSpaceDN/>
              <w:bidi w:val="0"/>
              <w:adjustRightInd w:val="0"/>
              <w:snapToGrid w:val="0"/>
              <w:spacing w:before="0" w:beforeAutospacing="0" w:after="0" w:afterAutospacing="0" w:line="420" w:lineRule="exact"/>
              <w:ind w:firstLine="422" w:firstLineChars="200"/>
              <w:textAlignment w:val="auto"/>
              <w:rPr>
                <w:rFonts w:hint="eastAsia" w:ascii="Times New Roman" w:hAnsi="Times New Roman" w:cs="Times New Roman"/>
                <w:color w:val="auto"/>
                <w:sz w:val="21"/>
                <w:szCs w:val="21"/>
                <w:highlight w:val="none"/>
                <w:lang w:val="en-US" w:eastAsia="zh-CN"/>
              </w:rPr>
            </w:pPr>
            <w:r>
              <w:rPr>
                <w:rFonts w:hint="eastAsia" w:ascii="Times New Roman" w:hAnsi="Times New Roman" w:cs="Times New Roman"/>
                <w:b/>
                <w:bCs/>
                <w:color w:val="auto"/>
                <w:sz w:val="21"/>
                <w:szCs w:val="21"/>
                <w:highlight w:val="none"/>
                <w:lang w:val="en-US" w:eastAsia="zh-CN"/>
              </w:rPr>
              <w:t>钢渣暂存区库容计算说明：</w:t>
            </w:r>
            <w:r>
              <w:rPr>
                <w:rFonts w:hint="eastAsia" w:ascii="Times New Roman" w:hAnsi="Times New Roman" w:eastAsia="宋体" w:cs="Times New Roman"/>
                <w:color w:val="auto"/>
                <w:sz w:val="21"/>
                <w:szCs w:val="21"/>
                <w:highlight w:val="none"/>
                <w:lang w:val="en-US" w:eastAsia="zh-CN"/>
              </w:rPr>
              <w:t>本项目钢渣暂存区为</w:t>
            </w:r>
            <w:r>
              <w:rPr>
                <w:rFonts w:hint="eastAsia" w:ascii="Times New Roman" w:hAnsi="Times New Roman" w:cs="Times New Roman"/>
                <w:color w:val="auto"/>
                <w:sz w:val="21"/>
                <w:szCs w:val="21"/>
                <w:highlight w:val="none"/>
                <w:lang w:val="en-US" w:eastAsia="zh-CN"/>
              </w:rPr>
              <w:t>360m</w:t>
            </w:r>
            <w:r>
              <w:rPr>
                <w:rFonts w:hint="eastAsia" w:ascii="Times New Roman" w:hAnsi="Times New Roman" w:cs="Times New Roman"/>
                <w:color w:val="auto"/>
                <w:sz w:val="21"/>
                <w:szCs w:val="21"/>
                <w:highlight w:val="none"/>
                <w:vertAlign w:val="superscript"/>
                <w:lang w:val="en-US" w:eastAsia="zh-CN"/>
              </w:rPr>
              <w:t>2</w:t>
            </w:r>
            <w:r>
              <w:rPr>
                <w:rFonts w:hint="eastAsia" w:ascii="Times New Roman" w:hAnsi="Times New Roman" w:eastAsia="宋体" w:cs="Times New Roman"/>
                <w:color w:val="auto"/>
                <w:sz w:val="21"/>
                <w:szCs w:val="21"/>
                <w:highlight w:val="none"/>
                <w:lang w:val="en-US" w:eastAsia="zh-CN"/>
              </w:rPr>
              <w:t>，为保证转炉钢渣暂存区有效库容达到最大，暂存区内使用装载机对落料进行铲运、平整、堆高。转炉钢渣暂存区堆存底部为矩形高</w:t>
            </w:r>
            <w:r>
              <w:rPr>
                <w:rFonts w:hint="eastAsia" w:ascii="Times New Roman" w:hAnsi="Times New Roman" w:cs="Times New Roman"/>
                <w:color w:val="auto"/>
                <w:sz w:val="21"/>
                <w:szCs w:val="21"/>
                <w:highlight w:val="none"/>
                <w:lang w:val="en-US" w:eastAsia="zh-CN"/>
              </w:rPr>
              <w:t>3</w:t>
            </w:r>
            <w:r>
              <w:rPr>
                <w:rFonts w:hint="eastAsia" w:ascii="Times New Roman" w:hAnsi="Times New Roman" w:eastAsia="宋体" w:cs="Times New Roman"/>
                <w:color w:val="auto"/>
                <w:sz w:val="21"/>
                <w:szCs w:val="21"/>
                <w:highlight w:val="none"/>
                <w:lang w:val="en-US" w:eastAsia="zh-CN"/>
              </w:rPr>
              <w:t>m，上部为棱锥型高3m，堆存容积为</w:t>
            </w:r>
            <w:r>
              <w:rPr>
                <w:rFonts w:hint="eastAsia" w:ascii="Times New Roman" w:hAnsi="Times New Roman" w:cs="Times New Roman"/>
                <w:color w:val="auto"/>
                <w:sz w:val="21"/>
                <w:szCs w:val="21"/>
                <w:highlight w:val="none"/>
                <w:lang w:val="en-US" w:eastAsia="zh-CN"/>
              </w:rPr>
              <w:t>360m</w:t>
            </w:r>
            <w:r>
              <w:rPr>
                <w:rFonts w:hint="eastAsia" w:ascii="Times New Roman" w:hAnsi="Times New Roman" w:cs="Times New Roman"/>
                <w:color w:val="auto"/>
                <w:sz w:val="21"/>
                <w:szCs w:val="21"/>
                <w:highlight w:val="none"/>
                <w:vertAlign w:val="superscript"/>
                <w:lang w:val="en-US" w:eastAsia="zh-CN"/>
              </w:rPr>
              <w:t>2</w:t>
            </w:r>
            <w:r>
              <w:rPr>
                <w:rFonts w:hint="eastAsia" w:ascii="Times New Roman" w:hAnsi="Times New Roman" w:eastAsia="宋体" w:cs="Times New Roman"/>
                <w:color w:val="auto"/>
                <w:sz w:val="21"/>
                <w:szCs w:val="21"/>
                <w:highlight w:val="none"/>
                <w:lang w:val="en-US" w:eastAsia="zh-CN"/>
              </w:rPr>
              <w:t>×</w:t>
            </w:r>
            <w:r>
              <w:rPr>
                <w:rFonts w:hint="eastAsia" w:ascii="Times New Roman" w:hAnsi="Times New Roman" w:cs="Times New Roman"/>
                <w:color w:val="auto"/>
                <w:sz w:val="21"/>
                <w:szCs w:val="21"/>
                <w:highlight w:val="none"/>
                <w:lang w:val="en-US" w:eastAsia="zh-CN"/>
              </w:rPr>
              <w:t>3</w:t>
            </w:r>
            <w:r>
              <w:rPr>
                <w:rFonts w:hint="eastAsia" w:ascii="Times New Roman" w:hAnsi="Times New Roman" w:eastAsia="宋体" w:cs="Times New Roman"/>
                <w:color w:val="auto"/>
                <w:sz w:val="21"/>
                <w:szCs w:val="21"/>
                <w:highlight w:val="none"/>
                <w:lang w:val="en-US" w:eastAsia="zh-CN"/>
              </w:rPr>
              <w:t>+</w:t>
            </w:r>
            <w:r>
              <w:rPr>
                <w:rFonts w:hint="eastAsia" w:ascii="Times New Roman" w:hAnsi="Times New Roman" w:cs="Times New Roman"/>
                <w:color w:val="auto"/>
                <w:sz w:val="21"/>
                <w:szCs w:val="21"/>
                <w:highlight w:val="none"/>
                <w:lang w:val="en-US" w:eastAsia="zh-CN"/>
              </w:rPr>
              <w:t>360m</w:t>
            </w:r>
            <w:r>
              <w:rPr>
                <w:rFonts w:hint="eastAsia" w:ascii="Times New Roman" w:hAnsi="Times New Roman" w:cs="Times New Roman"/>
                <w:color w:val="auto"/>
                <w:sz w:val="21"/>
                <w:szCs w:val="21"/>
                <w:highlight w:val="none"/>
                <w:vertAlign w:val="superscript"/>
                <w:lang w:val="en-US" w:eastAsia="zh-CN"/>
              </w:rPr>
              <w:t>2</w:t>
            </w:r>
            <w:r>
              <w:rPr>
                <w:rFonts w:hint="eastAsia" w:ascii="Times New Roman" w:hAnsi="Times New Roman" w:eastAsia="宋体" w:cs="Times New Roman"/>
                <w:color w:val="auto"/>
                <w:sz w:val="21"/>
                <w:szCs w:val="21"/>
                <w:highlight w:val="none"/>
                <w:lang w:val="en-US" w:eastAsia="zh-CN"/>
              </w:rPr>
              <w:t>×3/3=</w:t>
            </w:r>
            <w:r>
              <w:rPr>
                <w:rFonts w:hint="eastAsia" w:ascii="Times New Roman" w:hAnsi="Times New Roman" w:cs="Times New Roman"/>
                <w:color w:val="auto"/>
                <w:sz w:val="21"/>
                <w:szCs w:val="21"/>
                <w:highlight w:val="none"/>
                <w:lang w:val="en-US" w:eastAsia="zh-CN"/>
              </w:rPr>
              <w:t>1440</w:t>
            </w:r>
            <w:r>
              <w:rPr>
                <w:rFonts w:hint="eastAsia" w:ascii="Times New Roman" w:hAnsi="Times New Roman" w:eastAsia="宋体" w:cs="Times New Roman"/>
                <w:color w:val="auto"/>
                <w:sz w:val="21"/>
                <w:szCs w:val="21"/>
                <w:highlight w:val="none"/>
                <w:lang w:val="en-US" w:eastAsia="zh-CN"/>
              </w:rPr>
              <w:t>m</w:t>
            </w:r>
            <w:r>
              <w:rPr>
                <w:rFonts w:hint="eastAsia" w:ascii="Times New Roman" w:hAnsi="Times New Roman" w:eastAsia="宋体" w:cs="Times New Roman"/>
                <w:color w:val="auto"/>
                <w:sz w:val="21"/>
                <w:szCs w:val="21"/>
                <w:highlight w:val="none"/>
                <w:vertAlign w:val="superscript"/>
                <w:lang w:val="en-US" w:eastAsia="zh-CN"/>
              </w:rPr>
              <w:t>3</w:t>
            </w:r>
            <w:r>
              <w:rPr>
                <w:rFonts w:hint="eastAsia" w:ascii="Times New Roman" w:hAnsi="Times New Roman" w:eastAsia="宋体" w:cs="Times New Roman"/>
                <w:color w:val="auto"/>
                <w:sz w:val="21"/>
                <w:szCs w:val="21"/>
                <w:highlight w:val="none"/>
                <w:lang w:val="en-US" w:eastAsia="zh-CN"/>
              </w:rPr>
              <w:t>，转炉钢渣堆积密度按</w:t>
            </w:r>
            <w:r>
              <w:rPr>
                <w:rFonts w:hint="eastAsia" w:ascii="Times New Roman" w:hAnsi="Times New Roman" w:cs="Times New Roman"/>
                <w:color w:val="auto"/>
                <w:sz w:val="21"/>
                <w:szCs w:val="21"/>
                <w:highlight w:val="none"/>
                <w:lang w:val="en-US" w:eastAsia="zh-CN"/>
              </w:rPr>
              <w:t>1.8</w:t>
            </w:r>
            <w:r>
              <w:rPr>
                <w:rFonts w:hint="eastAsia" w:ascii="Times New Roman" w:hAnsi="Times New Roman" w:eastAsia="宋体" w:cs="Times New Roman"/>
                <w:color w:val="auto"/>
                <w:sz w:val="21"/>
                <w:szCs w:val="21"/>
                <w:highlight w:val="none"/>
                <w:lang w:val="en-US" w:eastAsia="zh-CN"/>
              </w:rPr>
              <w:t>t/m</w:t>
            </w:r>
            <w:r>
              <w:rPr>
                <w:rFonts w:hint="eastAsia" w:ascii="Times New Roman" w:hAnsi="Times New Roman" w:eastAsia="宋体" w:cs="Times New Roman"/>
                <w:color w:val="auto"/>
                <w:sz w:val="21"/>
                <w:szCs w:val="21"/>
                <w:highlight w:val="none"/>
                <w:vertAlign w:val="superscript"/>
                <w:lang w:val="en-US" w:eastAsia="zh-CN"/>
              </w:rPr>
              <w:t>3</w:t>
            </w:r>
            <w:r>
              <w:rPr>
                <w:rFonts w:hint="eastAsia" w:ascii="Times New Roman" w:hAnsi="Times New Roman" w:cs="Times New Roman"/>
                <w:color w:val="auto"/>
                <w:sz w:val="21"/>
                <w:szCs w:val="21"/>
                <w:highlight w:val="none"/>
                <w:vertAlign w:val="baseline"/>
                <w:lang w:val="en-US" w:eastAsia="zh-CN"/>
              </w:rPr>
              <w:t>计算</w:t>
            </w:r>
            <w:r>
              <w:rPr>
                <w:rFonts w:hint="eastAsia" w:ascii="Times New Roman" w:hAnsi="Times New Roman" w:eastAsia="宋体" w:cs="Times New Roman"/>
                <w:color w:val="auto"/>
                <w:sz w:val="21"/>
                <w:szCs w:val="21"/>
                <w:highlight w:val="none"/>
                <w:lang w:val="en-US" w:eastAsia="zh-CN"/>
              </w:rPr>
              <w:t>，最大存储量为</w:t>
            </w:r>
            <w:r>
              <w:rPr>
                <w:rFonts w:hint="eastAsia" w:ascii="Times New Roman" w:hAnsi="Times New Roman" w:cs="Times New Roman"/>
                <w:color w:val="auto"/>
                <w:sz w:val="21"/>
                <w:szCs w:val="21"/>
                <w:highlight w:val="none"/>
                <w:lang w:val="en-US" w:eastAsia="zh-CN"/>
              </w:rPr>
              <w:t>2592</w:t>
            </w:r>
            <w:r>
              <w:rPr>
                <w:rFonts w:hint="eastAsia" w:ascii="Times New Roman" w:hAnsi="Times New Roman" w:eastAsia="宋体" w:cs="Times New Roman"/>
                <w:color w:val="auto"/>
                <w:sz w:val="21"/>
                <w:szCs w:val="21"/>
                <w:highlight w:val="none"/>
                <w:lang w:val="en-US" w:eastAsia="zh-CN"/>
              </w:rPr>
              <w:t>吨，项目转炉钢渣年用量为</w:t>
            </w:r>
            <w:r>
              <w:rPr>
                <w:rFonts w:hint="eastAsia" w:ascii="Times New Roman" w:hAnsi="Times New Roman" w:cs="Times New Roman"/>
                <w:color w:val="auto"/>
                <w:sz w:val="21"/>
                <w:szCs w:val="21"/>
                <w:highlight w:val="none"/>
                <w:lang w:val="en-US" w:eastAsia="zh-CN"/>
              </w:rPr>
              <w:t>200000</w:t>
            </w:r>
            <w:r>
              <w:rPr>
                <w:rFonts w:hint="eastAsia" w:ascii="Times New Roman" w:hAnsi="Times New Roman" w:eastAsia="宋体" w:cs="Times New Roman"/>
                <w:color w:val="auto"/>
                <w:sz w:val="21"/>
                <w:szCs w:val="21"/>
                <w:highlight w:val="none"/>
                <w:lang w:val="en-US" w:eastAsia="zh-CN"/>
              </w:rPr>
              <w:t>t，转炉钢渣每天用量约为</w:t>
            </w:r>
            <w:r>
              <w:rPr>
                <w:rFonts w:hint="eastAsia" w:ascii="Times New Roman" w:hAnsi="Times New Roman" w:cs="Times New Roman"/>
                <w:color w:val="auto"/>
                <w:sz w:val="21"/>
                <w:szCs w:val="21"/>
                <w:highlight w:val="none"/>
                <w:lang w:val="en-US" w:eastAsia="zh-CN"/>
              </w:rPr>
              <w:t>666.7</w:t>
            </w:r>
            <w:r>
              <w:rPr>
                <w:rFonts w:hint="eastAsia" w:ascii="Times New Roman" w:hAnsi="Times New Roman" w:eastAsia="宋体" w:cs="Times New Roman"/>
                <w:color w:val="auto"/>
                <w:sz w:val="21"/>
                <w:szCs w:val="21"/>
                <w:highlight w:val="none"/>
                <w:lang w:val="en-US" w:eastAsia="zh-CN"/>
              </w:rPr>
              <w:t>t，存储周期为</w:t>
            </w:r>
            <w:r>
              <w:rPr>
                <w:rFonts w:hint="eastAsia" w:ascii="Times New Roman" w:hAnsi="Times New Roman" w:cs="Times New Roman"/>
                <w:color w:val="auto"/>
                <w:sz w:val="21"/>
                <w:szCs w:val="21"/>
                <w:highlight w:val="none"/>
                <w:lang w:val="en-US" w:eastAsia="zh-CN"/>
              </w:rPr>
              <w:t>3.9</w:t>
            </w:r>
            <w:r>
              <w:rPr>
                <w:rFonts w:hint="eastAsia" w:ascii="Times New Roman" w:hAnsi="Times New Roman" w:eastAsia="宋体" w:cs="Times New Roman"/>
                <w:color w:val="auto"/>
                <w:sz w:val="21"/>
                <w:szCs w:val="21"/>
                <w:highlight w:val="none"/>
                <w:lang w:val="en-US" w:eastAsia="zh-CN"/>
              </w:rPr>
              <w:t>d</w:t>
            </w:r>
            <w:r>
              <w:rPr>
                <w:rFonts w:hint="eastAsia" w:ascii="Times New Roman" w:hAnsi="Times New Roman" w:cs="Times New Roman"/>
                <w:color w:val="auto"/>
                <w:sz w:val="21"/>
                <w:szCs w:val="21"/>
                <w:highlight w:val="none"/>
                <w:lang w:val="en-US" w:eastAsia="zh-CN"/>
              </w:rPr>
              <w:t>。</w:t>
            </w:r>
          </w:p>
          <w:p w14:paraId="3034032A">
            <w:pPr>
              <w:pStyle w:val="24"/>
              <w:keepNext w:val="0"/>
              <w:keepLines w:val="0"/>
              <w:pageBreakBefore w:val="0"/>
              <w:widowControl/>
              <w:kinsoku/>
              <w:wordWrap/>
              <w:overflowPunct/>
              <w:topLinePunct w:val="0"/>
              <w:autoSpaceDE/>
              <w:autoSpaceDN/>
              <w:bidi w:val="0"/>
              <w:adjustRightInd w:val="0"/>
              <w:snapToGrid w:val="0"/>
              <w:spacing w:before="0" w:beforeAutospacing="0" w:after="0" w:afterAutospacing="0" w:line="420" w:lineRule="exact"/>
              <w:ind w:firstLine="422" w:firstLineChars="200"/>
              <w:textAlignment w:val="auto"/>
              <w:rPr>
                <w:rFonts w:hint="eastAsia"/>
                <w:color w:val="auto"/>
                <w:spacing w:val="-10"/>
                <w:sz w:val="18"/>
                <w:szCs w:val="18"/>
                <w:highlight w:val="none"/>
                <w:lang w:val="en-US" w:eastAsia="zh-CN"/>
              </w:rPr>
            </w:pPr>
            <w:r>
              <w:rPr>
                <w:rFonts w:hint="eastAsia" w:ascii="Times New Roman" w:hAnsi="Times New Roman" w:cs="Times New Roman"/>
                <w:b/>
                <w:bCs/>
                <w:color w:val="auto"/>
                <w:sz w:val="21"/>
                <w:szCs w:val="21"/>
                <w:highlight w:val="none"/>
                <w:lang w:val="en-US" w:eastAsia="zh-CN"/>
              </w:rPr>
              <w:t>磁性钢渣粉暂存区库容计算说明：</w:t>
            </w:r>
            <w:r>
              <w:rPr>
                <w:rFonts w:hint="eastAsia" w:ascii="Times New Roman" w:hAnsi="Times New Roman" w:eastAsia="宋体" w:cs="Times New Roman"/>
                <w:color w:val="auto"/>
                <w:sz w:val="21"/>
                <w:szCs w:val="21"/>
                <w:highlight w:val="none"/>
                <w:lang w:val="en-US" w:eastAsia="zh-CN"/>
              </w:rPr>
              <w:t>本项目磁性钢渣粉暂存区为</w:t>
            </w:r>
            <w:r>
              <w:rPr>
                <w:rFonts w:hint="eastAsia" w:ascii="Times New Roman" w:hAnsi="Times New Roman" w:cs="Times New Roman"/>
                <w:color w:val="auto"/>
                <w:sz w:val="21"/>
                <w:szCs w:val="21"/>
                <w:highlight w:val="none"/>
                <w:lang w:val="en-US" w:eastAsia="zh-CN"/>
              </w:rPr>
              <w:t>60m</w:t>
            </w:r>
            <w:r>
              <w:rPr>
                <w:rFonts w:hint="eastAsia" w:ascii="Times New Roman" w:hAnsi="Times New Roman" w:cs="Times New Roman"/>
                <w:color w:val="auto"/>
                <w:sz w:val="21"/>
                <w:szCs w:val="21"/>
                <w:highlight w:val="none"/>
                <w:vertAlign w:val="superscript"/>
                <w:lang w:val="en-US" w:eastAsia="zh-CN"/>
              </w:rPr>
              <w:t>2</w:t>
            </w:r>
            <w:r>
              <w:rPr>
                <w:rFonts w:hint="eastAsia" w:ascii="Times New Roman" w:hAnsi="Times New Roman" w:eastAsia="宋体" w:cs="Times New Roman"/>
                <w:color w:val="auto"/>
                <w:sz w:val="21"/>
                <w:szCs w:val="21"/>
                <w:highlight w:val="none"/>
                <w:lang w:val="en-US" w:eastAsia="zh-CN"/>
              </w:rPr>
              <w:t>，为保证磁性钢渣粉暂存区有效库容达到最大，暂存区内使用装载机对落料进行铲运、平整、堆高。磁性钢渣粉暂存区堆存底部为矩形高</w:t>
            </w:r>
            <w:r>
              <w:rPr>
                <w:rFonts w:hint="eastAsia" w:ascii="Times New Roman" w:hAnsi="Times New Roman" w:cs="Times New Roman"/>
                <w:color w:val="auto"/>
                <w:sz w:val="21"/>
                <w:szCs w:val="21"/>
                <w:highlight w:val="none"/>
                <w:lang w:val="en-US" w:eastAsia="zh-CN"/>
              </w:rPr>
              <w:t>3</w:t>
            </w:r>
            <w:r>
              <w:rPr>
                <w:rFonts w:hint="eastAsia" w:ascii="Times New Roman" w:hAnsi="Times New Roman" w:eastAsia="宋体" w:cs="Times New Roman"/>
                <w:color w:val="auto"/>
                <w:sz w:val="21"/>
                <w:szCs w:val="21"/>
                <w:highlight w:val="none"/>
                <w:lang w:val="en-US" w:eastAsia="zh-CN"/>
              </w:rPr>
              <w:t>m，上部为棱锥型高3m，堆存容积为</w:t>
            </w:r>
            <w:r>
              <w:rPr>
                <w:rFonts w:hint="eastAsia" w:ascii="Times New Roman" w:hAnsi="Times New Roman" w:cs="Times New Roman"/>
                <w:color w:val="auto"/>
                <w:sz w:val="21"/>
                <w:szCs w:val="21"/>
                <w:highlight w:val="none"/>
                <w:lang w:val="en-US" w:eastAsia="zh-CN"/>
              </w:rPr>
              <w:t>60m</w:t>
            </w:r>
            <w:r>
              <w:rPr>
                <w:rFonts w:hint="eastAsia" w:ascii="Times New Roman" w:hAnsi="Times New Roman" w:cs="Times New Roman"/>
                <w:color w:val="auto"/>
                <w:sz w:val="21"/>
                <w:szCs w:val="21"/>
                <w:highlight w:val="none"/>
                <w:vertAlign w:val="superscript"/>
                <w:lang w:val="en-US" w:eastAsia="zh-CN"/>
              </w:rPr>
              <w:t>2</w:t>
            </w:r>
            <w:r>
              <w:rPr>
                <w:rFonts w:hint="eastAsia" w:ascii="Times New Roman" w:hAnsi="Times New Roman" w:eastAsia="宋体" w:cs="Times New Roman"/>
                <w:color w:val="auto"/>
                <w:sz w:val="21"/>
                <w:szCs w:val="21"/>
                <w:highlight w:val="none"/>
                <w:lang w:val="en-US" w:eastAsia="zh-CN"/>
              </w:rPr>
              <w:t>×</w:t>
            </w:r>
            <w:r>
              <w:rPr>
                <w:rFonts w:hint="eastAsia" w:ascii="Times New Roman" w:hAnsi="Times New Roman" w:cs="Times New Roman"/>
                <w:color w:val="auto"/>
                <w:sz w:val="21"/>
                <w:szCs w:val="21"/>
                <w:highlight w:val="none"/>
                <w:lang w:val="en-US" w:eastAsia="zh-CN"/>
              </w:rPr>
              <w:t>3</w:t>
            </w:r>
            <w:r>
              <w:rPr>
                <w:rFonts w:hint="eastAsia" w:ascii="Times New Roman" w:hAnsi="Times New Roman" w:eastAsia="宋体" w:cs="Times New Roman"/>
                <w:color w:val="auto"/>
                <w:sz w:val="21"/>
                <w:szCs w:val="21"/>
                <w:highlight w:val="none"/>
                <w:lang w:val="en-US" w:eastAsia="zh-CN"/>
              </w:rPr>
              <w:t>+</w:t>
            </w:r>
            <w:r>
              <w:rPr>
                <w:rFonts w:hint="eastAsia" w:ascii="Times New Roman" w:hAnsi="Times New Roman" w:cs="Times New Roman"/>
                <w:color w:val="auto"/>
                <w:sz w:val="21"/>
                <w:szCs w:val="21"/>
                <w:highlight w:val="none"/>
                <w:lang w:val="en-US" w:eastAsia="zh-CN"/>
              </w:rPr>
              <w:t>60m</w:t>
            </w:r>
            <w:r>
              <w:rPr>
                <w:rFonts w:hint="eastAsia" w:ascii="Times New Roman" w:hAnsi="Times New Roman" w:cs="Times New Roman"/>
                <w:color w:val="auto"/>
                <w:sz w:val="21"/>
                <w:szCs w:val="21"/>
                <w:highlight w:val="none"/>
                <w:vertAlign w:val="superscript"/>
                <w:lang w:val="en-US" w:eastAsia="zh-CN"/>
              </w:rPr>
              <w:t>2</w:t>
            </w:r>
            <w:r>
              <w:rPr>
                <w:rFonts w:hint="eastAsia" w:ascii="Times New Roman" w:hAnsi="Times New Roman" w:eastAsia="宋体" w:cs="Times New Roman"/>
                <w:color w:val="auto"/>
                <w:sz w:val="21"/>
                <w:szCs w:val="21"/>
                <w:highlight w:val="none"/>
                <w:lang w:val="en-US" w:eastAsia="zh-CN"/>
              </w:rPr>
              <w:t>×3/3=</w:t>
            </w:r>
            <w:r>
              <w:rPr>
                <w:rFonts w:hint="eastAsia" w:ascii="Times New Roman" w:hAnsi="Times New Roman" w:cs="Times New Roman"/>
                <w:color w:val="auto"/>
                <w:sz w:val="21"/>
                <w:szCs w:val="21"/>
                <w:highlight w:val="none"/>
                <w:lang w:val="en-US" w:eastAsia="zh-CN"/>
              </w:rPr>
              <w:t>240</w:t>
            </w:r>
            <w:r>
              <w:rPr>
                <w:rFonts w:hint="eastAsia" w:ascii="Times New Roman" w:hAnsi="Times New Roman" w:eastAsia="宋体" w:cs="Times New Roman"/>
                <w:color w:val="auto"/>
                <w:sz w:val="21"/>
                <w:szCs w:val="21"/>
                <w:highlight w:val="none"/>
                <w:lang w:val="en-US" w:eastAsia="zh-CN"/>
              </w:rPr>
              <w:t>m</w:t>
            </w:r>
            <w:r>
              <w:rPr>
                <w:rFonts w:hint="eastAsia" w:ascii="Times New Roman" w:hAnsi="Times New Roman" w:eastAsia="宋体" w:cs="Times New Roman"/>
                <w:color w:val="auto"/>
                <w:sz w:val="21"/>
                <w:szCs w:val="21"/>
                <w:highlight w:val="none"/>
                <w:vertAlign w:val="superscript"/>
                <w:lang w:val="en-US" w:eastAsia="zh-CN"/>
              </w:rPr>
              <w:t>3</w:t>
            </w:r>
            <w:r>
              <w:rPr>
                <w:rFonts w:hint="eastAsia" w:ascii="Times New Roman" w:hAnsi="Times New Roman" w:eastAsia="宋体" w:cs="Times New Roman"/>
                <w:color w:val="auto"/>
                <w:sz w:val="21"/>
                <w:szCs w:val="21"/>
                <w:highlight w:val="none"/>
                <w:lang w:val="en-US" w:eastAsia="zh-CN"/>
              </w:rPr>
              <w:t>，磁性钢渣粉堆积密度按</w:t>
            </w:r>
            <w:r>
              <w:rPr>
                <w:rFonts w:hint="eastAsia" w:ascii="Times New Roman" w:hAnsi="Times New Roman" w:cs="Times New Roman"/>
                <w:color w:val="auto"/>
                <w:sz w:val="21"/>
                <w:szCs w:val="21"/>
                <w:highlight w:val="none"/>
                <w:lang w:val="en-US" w:eastAsia="zh-CN"/>
              </w:rPr>
              <w:t>3.2</w:t>
            </w:r>
            <w:r>
              <w:rPr>
                <w:rFonts w:hint="eastAsia" w:ascii="Times New Roman" w:hAnsi="Times New Roman" w:eastAsia="宋体" w:cs="Times New Roman"/>
                <w:color w:val="auto"/>
                <w:sz w:val="21"/>
                <w:szCs w:val="21"/>
                <w:highlight w:val="none"/>
                <w:lang w:val="en-US" w:eastAsia="zh-CN"/>
              </w:rPr>
              <w:t>t/m</w:t>
            </w:r>
            <w:r>
              <w:rPr>
                <w:rFonts w:hint="eastAsia" w:ascii="Times New Roman" w:hAnsi="Times New Roman" w:eastAsia="宋体" w:cs="Times New Roman"/>
                <w:color w:val="auto"/>
                <w:sz w:val="21"/>
                <w:szCs w:val="21"/>
                <w:highlight w:val="none"/>
                <w:vertAlign w:val="superscript"/>
                <w:lang w:val="en-US" w:eastAsia="zh-CN"/>
              </w:rPr>
              <w:t>3</w:t>
            </w:r>
            <w:r>
              <w:rPr>
                <w:rFonts w:hint="eastAsia" w:ascii="Times New Roman" w:hAnsi="Times New Roman" w:cs="Times New Roman"/>
                <w:color w:val="auto"/>
                <w:sz w:val="21"/>
                <w:szCs w:val="21"/>
                <w:highlight w:val="none"/>
                <w:vertAlign w:val="baseline"/>
                <w:lang w:val="en-US" w:eastAsia="zh-CN"/>
              </w:rPr>
              <w:t>计算</w:t>
            </w:r>
            <w:r>
              <w:rPr>
                <w:rFonts w:hint="eastAsia" w:ascii="Times New Roman" w:hAnsi="Times New Roman" w:eastAsia="宋体" w:cs="Times New Roman"/>
                <w:color w:val="auto"/>
                <w:sz w:val="21"/>
                <w:szCs w:val="21"/>
                <w:highlight w:val="none"/>
                <w:lang w:val="en-US" w:eastAsia="zh-CN"/>
              </w:rPr>
              <w:t>，最大存储量为</w:t>
            </w:r>
            <w:r>
              <w:rPr>
                <w:rFonts w:hint="eastAsia" w:ascii="Times New Roman" w:hAnsi="Times New Roman" w:cs="Times New Roman"/>
                <w:color w:val="auto"/>
                <w:sz w:val="21"/>
                <w:szCs w:val="21"/>
                <w:highlight w:val="none"/>
                <w:lang w:val="en-US" w:eastAsia="zh-CN"/>
              </w:rPr>
              <w:t>768</w:t>
            </w:r>
            <w:r>
              <w:rPr>
                <w:rFonts w:hint="eastAsia" w:ascii="Times New Roman" w:hAnsi="Times New Roman" w:eastAsia="宋体" w:cs="Times New Roman"/>
                <w:color w:val="auto"/>
                <w:sz w:val="21"/>
                <w:szCs w:val="21"/>
                <w:highlight w:val="none"/>
                <w:lang w:val="en-US" w:eastAsia="zh-CN"/>
              </w:rPr>
              <w:t>吨，项目磁性钢渣粉年</w:t>
            </w:r>
            <w:r>
              <w:rPr>
                <w:rFonts w:hint="eastAsia" w:ascii="Times New Roman" w:hAnsi="Times New Roman" w:cs="Times New Roman"/>
                <w:color w:val="auto"/>
                <w:sz w:val="21"/>
                <w:szCs w:val="21"/>
                <w:highlight w:val="none"/>
                <w:lang w:val="en-US" w:eastAsia="zh-CN"/>
              </w:rPr>
              <w:t>产</w:t>
            </w:r>
            <w:r>
              <w:rPr>
                <w:rFonts w:hint="eastAsia" w:ascii="Times New Roman" w:hAnsi="Times New Roman" w:eastAsia="宋体" w:cs="Times New Roman"/>
                <w:color w:val="auto"/>
                <w:sz w:val="21"/>
                <w:szCs w:val="21"/>
                <w:highlight w:val="none"/>
                <w:lang w:val="en-US" w:eastAsia="zh-CN"/>
              </w:rPr>
              <w:t>量为</w:t>
            </w:r>
            <w:r>
              <w:rPr>
                <w:rFonts w:hint="eastAsia" w:ascii="Times New Roman" w:hAnsi="Times New Roman" w:cs="Times New Roman"/>
                <w:color w:val="auto"/>
                <w:sz w:val="21"/>
                <w:szCs w:val="21"/>
                <w:highlight w:val="none"/>
                <w:lang w:val="en-US" w:eastAsia="zh-CN"/>
              </w:rPr>
              <w:t>40000</w:t>
            </w:r>
            <w:r>
              <w:rPr>
                <w:rFonts w:hint="eastAsia" w:ascii="Times New Roman" w:hAnsi="Times New Roman" w:eastAsia="宋体" w:cs="Times New Roman"/>
                <w:color w:val="auto"/>
                <w:sz w:val="21"/>
                <w:szCs w:val="21"/>
                <w:highlight w:val="none"/>
                <w:lang w:val="en-US" w:eastAsia="zh-CN"/>
              </w:rPr>
              <w:t>t，磁性钢渣粉每天</w:t>
            </w:r>
            <w:r>
              <w:rPr>
                <w:rFonts w:hint="eastAsia" w:ascii="Times New Roman" w:hAnsi="Times New Roman" w:cs="Times New Roman"/>
                <w:color w:val="auto"/>
                <w:sz w:val="21"/>
                <w:szCs w:val="21"/>
                <w:highlight w:val="none"/>
                <w:lang w:val="en-US" w:eastAsia="zh-CN"/>
              </w:rPr>
              <w:t>产</w:t>
            </w:r>
            <w:r>
              <w:rPr>
                <w:rFonts w:hint="eastAsia" w:ascii="Times New Roman" w:hAnsi="Times New Roman" w:eastAsia="宋体" w:cs="Times New Roman"/>
                <w:color w:val="auto"/>
                <w:sz w:val="21"/>
                <w:szCs w:val="21"/>
                <w:highlight w:val="none"/>
                <w:lang w:val="en-US" w:eastAsia="zh-CN"/>
              </w:rPr>
              <w:t>量约为</w:t>
            </w:r>
            <w:r>
              <w:rPr>
                <w:rFonts w:hint="eastAsia" w:ascii="Times New Roman" w:hAnsi="Times New Roman" w:cs="Times New Roman"/>
                <w:color w:val="auto"/>
                <w:sz w:val="21"/>
                <w:szCs w:val="21"/>
                <w:highlight w:val="none"/>
                <w:lang w:val="en-US" w:eastAsia="zh-CN"/>
              </w:rPr>
              <w:t>133.3</w:t>
            </w:r>
            <w:r>
              <w:rPr>
                <w:rFonts w:hint="eastAsia" w:ascii="Times New Roman" w:hAnsi="Times New Roman" w:eastAsia="宋体" w:cs="Times New Roman"/>
                <w:color w:val="auto"/>
                <w:sz w:val="21"/>
                <w:szCs w:val="21"/>
                <w:highlight w:val="none"/>
                <w:lang w:val="en-US" w:eastAsia="zh-CN"/>
              </w:rPr>
              <w:t>t，存储周期为</w:t>
            </w:r>
            <w:r>
              <w:rPr>
                <w:rFonts w:hint="eastAsia" w:ascii="Times New Roman" w:hAnsi="Times New Roman" w:cs="Times New Roman"/>
                <w:color w:val="auto"/>
                <w:sz w:val="21"/>
                <w:szCs w:val="21"/>
                <w:highlight w:val="none"/>
                <w:lang w:val="en-US" w:eastAsia="zh-CN"/>
              </w:rPr>
              <w:t>5.8</w:t>
            </w:r>
            <w:r>
              <w:rPr>
                <w:rFonts w:hint="eastAsia" w:ascii="Times New Roman" w:hAnsi="Times New Roman" w:eastAsia="宋体" w:cs="Times New Roman"/>
                <w:color w:val="auto"/>
                <w:sz w:val="21"/>
                <w:szCs w:val="21"/>
                <w:highlight w:val="none"/>
                <w:lang w:val="en-US" w:eastAsia="zh-CN"/>
              </w:rPr>
              <w:t>d</w:t>
            </w:r>
            <w:r>
              <w:rPr>
                <w:rFonts w:hint="eastAsia" w:ascii="Times New Roman" w:hAnsi="Times New Roman" w:cs="Times New Roman"/>
                <w:color w:val="auto"/>
                <w:sz w:val="21"/>
                <w:szCs w:val="21"/>
                <w:highlight w:val="none"/>
                <w:lang w:val="en-US" w:eastAsia="zh-CN"/>
              </w:rPr>
              <w:t>。</w:t>
            </w:r>
          </w:p>
          <w:p w14:paraId="53D3F6EF">
            <w:pPr>
              <w:pStyle w:val="24"/>
              <w:keepNext w:val="0"/>
              <w:keepLines w:val="0"/>
              <w:pageBreakBefore w:val="0"/>
              <w:widowControl/>
              <w:kinsoku/>
              <w:wordWrap/>
              <w:overflowPunct/>
              <w:topLinePunct w:val="0"/>
              <w:autoSpaceDE/>
              <w:autoSpaceDN/>
              <w:bidi w:val="0"/>
              <w:adjustRightInd w:val="0"/>
              <w:snapToGrid w:val="0"/>
              <w:spacing w:before="0" w:beforeAutospacing="0" w:after="0" w:afterAutospacing="0" w:line="420" w:lineRule="exact"/>
              <w:ind w:firstLine="422" w:firstLineChars="200"/>
              <w:textAlignment w:val="auto"/>
              <w:rPr>
                <w:rFonts w:hint="eastAsia" w:ascii="Times New Roman" w:hAnsi="Times New Roman" w:cs="Times New Roman"/>
                <w:color w:val="auto"/>
                <w:sz w:val="21"/>
                <w:szCs w:val="21"/>
                <w:highlight w:val="none"/>
                <w:lang w:val="en-US" w:eastAsia="zh-CN"/>
              </w:rPr>
            </w:pPr>
            <w:r>
              <w:rPr>
                <w:rFonts w:hint="eastAsia" w:ascii="Times New Roman" w:hAnsi="Times New Roman" w:cs="Times New Roman"/>
                <w:b/>
                <w:bCs/>
                <w:color w:val="auto"/>
                <w:sz w:val="21"/>
                <w:szCs w:val="21"/>
                <w:highlight w:val="none"/>
                <w:lang w:val="en-US" w:eastAsia="zh-CN"/>
              </w:rPr>
              <w:t>非磁性钢渣粉暂存区库容计算说明：</w:t>
            </w:r>
            <w:r>
              <w:rPr>
                <w:rFonts w:hint="eastAsia" w:ascii="Times New Roman" w:hAnsi="Times New Roman" w:eastAsia="宋体" w:cs="Times New Roman"/>
                <w:color w:val="auto"/>
                <w:sz w:val="21"/>
                <w:szCs w:val="21"/>
                <w:highlight w:val="none"/>
                <w:lang w:val="en-US" w:eastAsia="zh-CN"/>
              </w:rPr>
              <w:t>本项目非磁性钢渣粉暂存区为</w:t>
            </w:r>
            <w:r>
              <w:rPr>
                <w:rFonts w:hint="eastAsia" w:ascii="Times New Roman" w:hAnsi="Times New Roman" w:cs="Times New Roman"/>
                <w:color w:val="auto"/>
                <w:sz w:val="21"/>
                <w:szCs w:val="21"/>
                <w:highlight w:val="none"/>
                <w:lang w:val="en-US" w:eastAsia="zh-CN"/>
              </w:rPr>
              <w:t>240m</w:t>
            </w:r>
            <w:r>
              <w:rPr>
                <w:rFonts w:hint="eastAsia" w:ascii="Times New Roman" w:hAnsi="Times New Roman" w:cs="Times New Roman"/>
                <w:color w:val="auto"/>
                <w:sz w:val="21"/>
                <w:szCs w:val="21"/>
                <w:highlight w:val="none"/>
                <w:vertAlign w:val="superscript"/>
                <w:lang w:val="en-US" w:eastAsia="zh-CN"/>
              </w:rPr>
              <w:t>2</w:t>
            </w:r>
            <w:r>
              <w:rPr>
                <w:rFonts w:hint="eastAsia" w:ascii="Times New Roman" w:hAnsi="Times New Roman" w:eastAsia="宋体" w:cs="Times New Roman"/>
                <w:color w:val="auto"/>
                <w:sz w:val="21"/>
                <w:szCs w:val="21"/>
                <w:highlight w:val="none"/>
                <w:lang w:val="en-US" w:eastAsia="zh-CN"/>
              </w:rPr>
              <w:t>，为保证非磁性钢渣粉暂存区有效库容达到最大，暂存区内使用装载机对落料进行铲运、平整、堆高。非磁性钢渣粉暂存区堆存底部为矩形高</w:t>
            </w:r>
            <w:r>
              <w:rPr>
                <w:rFonts w:hint="eastAsia" w:ascii="Times New Roman" w:hAnsi="Times New Roman" w:cs="Times New Roman"/>
                <w:color w:val="auto"/>
                <w:sz w:val="21"/>
                <w:szCs w:val="21"/>
                <w:highlight w:val="none"/>
                <w:lang w:val="en-US" w:eastAsia="zh-CN"/>
              </w:rPr>
              <w:t>3</w:t>
            </w:r>
            <w:r>
              <w:rPr>
                <w:rFonts w:hint="eastAsia" w:ascii="Times New Roman" w:hAnsi="Times New Roman" w:eastAsia="宋体" w:cs="Times New Roman"/>
                <w:color w:val="auto"/>
                <w:sz w:val="21"/>
                <w:szCs w:val="21"/>
                <w:highlight w:val="none"/>
                <w:lang w:val="en-US" w:eastAsia="zh-CN"/>
              </w:rPr>
              <w:t>m，上部为棱锥型高3m，堆存容积为</w:t>
            </w:r>
            <w:r>
              <w:rPr>
                <w:rFonts w:hint="eastAsia" w:ascii="Times New Roman" w:hAnsi="Times New Roman" w:cs="Times New Roman"/>
                <w:color w:val="auto"/>
                <w:sz w:val="21"/>
                <w:szCs w:val="21"/>
                <w:highlight w:val="none"/>
                <w:lang w:val="en-US" w:eastAsia="zh-CN"/>
              </w:rPr>
              <w:t>240m</w:t>
            </w:r>
            <w:r>
              <w:rPr>
                <w:rFonts w:hint="eastAsia" w:ascii="Times New Roman" w:hAnsi="Times New Roman" w:cs="Times New Roman"/>
                <w:color w:val="auto"/>
                <w:sz w:val="21"/>
                <w:szCs w:val="21"/>
                <w:highlight w:val="none"/>
                <w:vertAlign w:val="superscript"/>
                <w:lang w:val="en-US" w:eastAsia="zh-CN"/>
              </w:rPr>
              <w:t>2</w:t>
            </w:r>
            <w:r>
              <w:rPr>
                <w:rFonts w:hint="eastAsia" w:ascii="Times New Roman" w:hAnsi="Times New Roman" w:eastAsia="宋体" w:cs="Times New Roman"/>
                <w:color w:val="auto"/>
                <w:sz w:val="21"/>
                <w:szCs w:val="21"/>
                <w:highlight w:val="none"/>
                <w:lang w:val="en-US" w:eastAsia="zh-CN"/>
              </w:rPr>
              <w:t>×</w:t>
            </w:r>
            <w:r>
              <w:rPr>
                <w:rFonts w:hint="eastAsia" w:ascii="Times New Roman" w:hAnsi="Times New Roman" w:cs="Times New Roman"/>
                <w:color w:val="auto"/>
                <w:sz w:val="21"/>
                <w:szCs w:val="21"/>
                <w:highlight w:val="none"/>
                <w:lang w:val="en-US" w:eastAsia="zh-CN"/>
              </w:rPr>
              <w:t>3</w:t>
            </w:r>
            <w:r>
              <w:rPr>
                <w:rFonts w:hint="eastAsia" w:ascii="Times New Roman" w:hAnsi="Times New Roman" w:eastAsia="宋体" w:cs="Times New Roman"/>
                <w:color w:val="auto"/>
                <w:sz w:val="21"/>
                <w:szCs w:val="21"/>
                <w:highlight w:val="none"/>
                <w:lang w:val="en-US" w:eastAsia="zh-CN"/>
              </w:rPr>
              <w:t>+</w:t>
            </w:r>
            <w:r>
              <w:rPr>
                <w:rFonts w:hint="eastAsia" w:ascii="Times New Roman" w:hAnsi="Times New Roman" w:cs="Times New Roman"/>
                <w:color w:val="auto"/>
                <w:sz w:val="21"/>
                <w:szCs w:val="21"/>
                <w:highlight w:val="none"/>
                <w:lang w:val="en-US" w:eastAsia="zh-CN"/>
              </w:rPr>
              <w:t>240m</w:t>
            </w:r>
            <w:r>
              <w:rPr>
                <w:rFonts w:hint="eastAsia" w:ascii="Times New Roman" w:hAnsi="Times New Roman" w:cs="Times New Roman"/>
                <w:color w:val="auto"/>
                <w:sz w:val="21"/>
                <w:szCs w:val="21"/>
                <w:highlight w:val="none"/>
                <w:vertAlign w:val="superscript"/>
                <w:lang w:val="en-US" w:eastAsia="zh-CN"/>
              </w:rPr>
              <w:t>2</w:t>
            </w:r>
            <w:r>
              <w:rPr>
                <w:rFonts w:hint="eastAsia" w:ascii="Times New Roman" w:hAnsi="Times New Roman" w:eastAsia="宋体" w:cs="Times New Roman"/>
                <w:color w:val="auto"/>
                <w:sz w:val="21"/>
                <w:szCs w:val="21"/>
                <w:highlight w:val="none"/>
                <w:lang w:val="en-US" w:eastAsia="zh-CN"/>
              </w:rPr>
              <w:t>×3/3=</w:t>
            </w:r>
            <w:r>
              <w:rPr>
                <w:rFonts w:hint="eastAsia" w:ascii="Times New Roman" w:hAnsi="Times New Roman" w:cs="Times New Roman"/>
                <w:color w:val="auto"/>
                <w:sz w:val="21"/>
                <w:szCs w:val="21"/>
                <w:highlight w:val="none"/>
                <w:lang w:val="en-US" w:eastAsia="zh-CN"/>
              </w:rPr>
              <w:t>960</w:t>
            </w:r>
            <w:r>
              <w:rPr>
                <w:rFonts w:hint="eastAsia" w:ascii="Times New Roman" w:hAnsi="Times New Roman" w:eastAsia="宋体" w:cs="Times New Roman"/>
                <w:color w:val="auto"/>
                <w:sz w:val="21"/>
                <w:szCs w:val="21"/>
                <w:highlight w:val="none"/>
                <w:lang w:val="en-US" w:eastAsia="zh-CN"/>
              </w:rPr>
              <w:t>m</w:t>
            </w:r>
            <w:r>
              <w:rPr>
                <w:rFonts w:hint="eastAsia" w:ascii="Times New Roman" w:hAnsi="Times New Roman" w:eastAsia="宋体" w:cs="Times New Roman"/>
                <w:color w:val="auto"/>
                <w:sz w:val="21"/>
                <w:szCs w:val="21"/>
                <w:highlight w:val="none"/>
                <w:vertAlign w:val="superscript"/>
                <w:lang w:val="en-US" w:eastAsia="zh-CN"/>
              </w:rPr>
              <w:t>3</w:t>
            </w:r>
            <w:r>
              <w:rPr>
                <w:rFonts w:hint="eastAsia" w:ascii="Times New Roman" w:hAnsi="Times New Roman" w:eastAsia="宋体" w:cs="Times New Roman"/>
                <w:color w:val="auto"/>
                <w:sz w:val="21"/>
                <w:szCs w:val="21"/>
                <w:highlight w:val="none"/>
                <w:lang w:val="en-US" w:eastAsia="zh-CN"/>
              </w:rPr>
              <w:t>，非磁性钢渣粉堆积密度按</w:t>
            </w:r>
            <w:r>
              <w:rPr>
                <w:rFonts w:hint="eastAsia" w:ascii="Times New Roman" w:hAnsi="Times New Roman" w:cs="Times New Roman"/>
                <w:color w:val="auto"/>
                <w:sz w:val="21"/>
                <w:szCs w:val="21"/>
                <w:highlight w:val="none"/>
                <w:lang w:val="en-US" w:eastAsia="zh-CN"/>
              </w:rPr>
              <w:t>3.2</w:t>
            </w:r>
            <w:r>
              <w:rPr>
                <w:rFonts w:hint="eastAsia" w:ascii="Times New Roman" w:hAnsi="Times New Roman" w:eastAsia="宋体" w:cs="Times New Roman"/>
                <w:color w:val="auto"/>
                <w:sz w:val="21"/>
                <w:szCs w:val="21"/>
                <w:highlight w:val="none"/>
                <w:lang w:val="en-US" w:eastAsia="zh-CN"/>
              </w:rPr>
              <w:t>t/m</w:t>
            </w:r>
            <w:r>
              <w:rPr>
                <w:rFonts w:hint="eastAsia" w:ascii="Times New Roman" w:hAnsi="Times New Roman" w:eastAsia="宋体" w:cs="Times New Roman"/>
                <w:color w:val="auto"/>
                <w:sz w:val="21"/>
                <w:szCs w:val="21"/>
                <w:highlight w:val="none"/>
                <w:vertAlign w:val="superscript"/>
                <w:lang w:val="en-US" w:eastAsia="zh-CN"/>
              </w:rPr>
              <w:t>3</w:t>
            </w:r>
            <w:r>
              <w:rPr>
                <w:rFonts w:hint="eastAsia" w:ascii="Times New Roman" w:hAnsi="Times New Roman" w:cs="Times New Roman"/>
                <w:color w:val="auto"/>
                <w:sz w:val="21"/>
                <w:szCs w:val="21"/>
                <w:highlight w:val="none"/>
                <w:vertAlign w:val="baseline"/>
                <w:lang w:val="en-US" w:eastAsia="zh-CN"/>
              </w:rPr>
              <w:t>计算</w:t>
            </w:r>
            <w:r>
              <w:rPr>
                <w:rFonts w:hint="eastAsia" w:ascii="Times New Roman" w:hAnsi="Times New Roman" w:eastAsia="宋体" w:cs="Times New Roman"/>
                <w:color w:val="auto"/>
                <w:sz w:val="21"/>
                <w:szCs w:val="21"/>
                <w:highlight w:val="none"/>
                <w:lang w:val="en-US" w:eastAsia="zh-CN"/>
              </w:rPr>
              <w:t>，最大存储量为</w:t>
            </w:r>
            <w:r>
              <w:rPr>
                <w:rFonts w:hint="eastAsia" w:ascii="Times New Roman" w:hAnsi="Times New Roman" w:cs="Times New Roman"/>
                <w:color w:val="auto"/>
                <w:sz w:val="21"/>
                <w:szCs w:val="21"/>
                <w:highlight w:val="none"/>
                <w:lang w:val="en-US" w:eastAsia="zh-CN"/>
              </w:rPr>
              <w:t>3072</w:t>
            </w:r>
            <w:r>
              <w:rPr>
                <w:rFonts w:hint="eastAsia" w:ascii="Times New Roman" w:hAnsi="Times New Roman" w:eastAsia="宋体" w:cs="Times New Roman"/>
                <w:color w:val="auto"/>
                <w:sz w:val="21"/>
                <w:szCs w:val="21"/>
                <w:highlight w:val="none"/>
                <w:lang w:val="en-US" w:eastAsia="zh-CN"/>
              </w:rPr>
              <w:t>吨，项目非磁性钢渣粉年</w:t>
            </w:r>
            <w:r>
              <w:rPr>
                <w:rFonts w:hint="eastAsia" w:ascii="Times New Roman" w:hAnsi="Times New Roman" w:cs="Times New Roman"/>
                <w:color w:val="auto"/>
                <w:sz w:val="21"/>
                <w:szCs w:val="21"/>
                <w:highlight w:val="none"/>
                <w:lang w:val="en-US" w:eastAsia="zh-CN"/>
              </w:rPr>
              <w:t>产</w:t>
            </w:r>
            <w:r>
              <w:rPr>
                <w:rFonts w:hint="eastAsia" w:ascii="Times New Roman" w:hAnsi="Times New Roman" w:eastAsia="宋体" w:cs="Times New Roman"/>
                <w:color w:val="auto"/>
                <w:sz w:val="21"/>
                <w:szCs w:val="21"/>
                <w:highlight w:val="none"/>
                <w:lang w:val="en-US" w:eastAsia="zh-CN"/>
              </w:rPr>
              <w:t>量为</w:t>
            </w:r>
            <w:r>
              <w:rPr>
                <w:rFonts w:hint="eastAsia" w:ascii="Times New Roman" w:hAnsi="Times New Roman" w:cs="Times New Roman"/>
                <w:color w:val="auto"/>
                <w:sz w:val="21"/>
                <w:szCs w:val="21"/>
                <w:highlight w:val="none"/>
                <w:lang w:val="en-US" w:eastAsia="zh-CN"/>
              </w:rPr>
              <w:t>164000</w:t>
            </w:r>
            <w:r>
              <w:rPr>
                <w:rFonts w:hint="eastAsia" w:ascii="Times New Roman" w:hAnsi="Times New Roman" w:eastAsia="宋体" w:cs="Times New Roman"/>
                <w:color w:val="auto"/>
                <w:sz w:val="21"/>
                <w:szCs w:val="21"/>
                <w:highlight w:val="none"/>
                <w:lang w:val="en-US" w:eastAsia="zh-CN"/>
              </w:rPr>
              <w:t>t，非磁性钢渣粉每天</w:t>
            </w:r>
            <w:r>
              <w:rPr>
                <w:rFonts w:hint="eastAsia" w:ascii="Times New Roman" w:hAnsi="Times New Roman" w:cs="Times New Roman"/>
                <w:color w:val="auto"/>
                <w:sz w:val="21"/>
                <w:szCs w:val="21"/>
                <w:highlight w:val="none"/>
                <w:lang w:val="en-US" w:eastAsia="zh-CN"/>
              </w:rPr>
              <w:t>产</w:t>
            </w:r>
            <w:r>
              <w:rPr>
                <w:rFonts w:hint="eastAsia" w:ascii="Times New Roman" w:hAnsi="Times New Roman" w:eastAsia="宋体" w:cs="Times New Roman"/>
                <w:color w:val="auto"/>
                <w:sz w:val="21"/>
                <w:szCs w:val="21"/>
                <w:highlight w:val="none"/>
                <w:lang w:val="en-US" w:eastAsia="zh-CN"/>
              </w:rPr>
              <w:t>量约为</w:t>
            </w:r>
            <w:r>
              <w:rPr>
                <w:rFonts w:hint="eastAsia" w:ascii="Times New Roman" w:hAnsi="Times New Roman" w:cs="Times New Roman"/>
                <w:color w:val="auto"/>
                <w:sz w:val="21"/>
                <w:szCs w:val="21"/>
                <w:highlight w:val="none"/>
                <w:lang w:val="en-US" w:eastAsia="zh-CN"/>
              </w:rPr>
              <w:t>546.7</w:t>
            </w:r>
            <w:r>
              <w:rPr>
                <w:rFonts w:hint="eastAsia" w:ascii="Times New Roman" w:hAnsi="Times New Roman" w:eastAsia="宋体" w:cs="Times New Roman"/>
                <w:color w:val="auto"/>
                <w:sz w:val="21"/>
                <w:szCs w:val="21"/>
                <w:highlight w:val="none"/>
                <w:lang w:val="en-US" w:eastAsia="zh-CN"/>
              </w:rPr>
              <w:t>t，存储周期为</w:t>
            </w:r>
            <w:r>
              <w:rPr>
                <w:rFonts w:hint="eastAsia" w:ascii="Times New Roman" w:hAnsi="Times New Roman" w:cs="Times New Roman"/>
                <w:color w:val="auto"/>
                <w:sz w:val="21"/>
                <w:szCs w:val="21"/>
                <w:highlight w:val="none"/>
                <w:lang w:val="en-US" w:eastAsia="zh-CN"/>
              </w:rPr>
              <w:t>5.6</w:t>
            </w:r>
            <w:r>
              <w:rPr>
                <w:rFonts w:hint="eastAsia" w:ascii="Times New Roman" w:hAnsi="Times New Roman" w:eastAsia="宋体" w:cs="Times New Roman"/>
                <w:color w:val="auto"/>
                <w:sz w:val="21"/>
                <w:szCs w:val="21"/>
                <w:highlight w:val="none"/>
                <w:lang w:val="en-US" w:eastAsia="zh-CN"/>
              </w:rPr>
              <w:t>d</w:t>
            </w:r>
            <w:r>
              <w:rPr>
                <w:rFonts w:hint="eastAsia" w:ascii="Times New Roman" w:hAnsi="Times New Roman" w:cs="Times New Roman"/>
                <w:color w:val="auto"/>
                <w:sz w:val="21"/>
                <w:szCs w:val="21"/>
                <w:highlight w:val="none"/>
                <w:lang w:val="en-US" w:eastAsia="zh-CN"/>
              </w:rPr>
              <w:t>。</w:t>
            </w:r>
          </w:p>
          <w:p w14:paraId="03C747E6">
            <w:pPr>
              <w:pStyle w:val="24"/>
              <w:keepNext w:val="0"/>
              <w:keepLines w:val="0"/>
              <w:pageBreakBefore w:val="0"/>
              <w:widowControl/>
              <w:kinsoku/>
              <w:wordWrap/>
              <w:overflowPunct/>
              <w:topLinePunct w:val="0"/>
              <w:autoSpaceDE/>
              <w:autoSpaceDN/>
              <w:bidi w:val="0"/>
              <w:adjustRightInd w:val="0"/>
              <w:snapToGrid w:val="0"/>
              <w:spacing w:before="0" w:beforeAutospacing="0" w:after="0" w:afterAutospacing="0" w:line="420" w:lineRule="exact"/>
              <w:ind w:firstLine="422" w:firstLineChars="200"/>
              <w:textAlignment w:val="auto"/>
              <w:rPr>
                <w:rFonts w:hint="eastAsia" w:ascii="Times New Roman" w:hAnsi="Times New Roman" w:cs="Times New Roman"/>
                <w:b/>
                <w:color w:val="auto"/>
                <w:sz w:val="21"/>
                <w:szCs w:val="21"/>
                <w:highlight w:val="none"/>
                <w:lang w:val="en-US" w:eastAsia="zh-CN"/>
              </w:rPr>
            </w:pPr>
            <w:r>
              <w:rPr>
                <w:rFonts w:hint="eastAsia" w:ascii="Times New Roman" w:hAnsi="Times New Roman" w:cs="Times New Roman"/>
                <w:b/>
                <w:color w:val="auto"/>
                <w:sz w:val="21"/>
                <w:szCs w:val="21"/>
                <w:highlight w:val="none"/>
                <w:lang w:val="en-US" w:eastAsia="zh-CN"/>
              </w:rPr>
              <w:t>5.主要生产设备及设施</w:t>
            </w:r>
          </w:p>
          <w:p w14:paraId="4D9A7357">
            <w:pPr>
              <w:pStyle w:val="24"/>
              <w:adjustRightInd w:val="0"/>
              <w:snapToGrid w:val="0"/>
              <w:spacing w:before="0" w:beforeAutospacing="0" w:after="0" w:afterAutospacing="0" w:line="440" w:lineRule="exact"/>
              <w:ind w:firstLine="422" w:firstLineChars="200"/>
              <w:rPr>
                <w:rFonts w:hint="eastAsia" w:ascii="Times New Roman" w:hAnsi="Times New Roman"/>
                <w:b/>
                <w:bCs/>
                <w:color w:val="auto"/>
                <w:sz w:val="21"/>
                <w:szCs w:val="21"/>
                <w:lang w:val="en-US" w:eastAsia="zh-CN"/>
              </w:rPr>
            </w:pPr>
            <w:r>
              <w:rPr>
                <w:rFonts w:hint="eastAsia" w:ascii="Times New Roman" w:hAnsi="Times New Roman"/>
                <w:b/>
                <w:bCs/>
                <w:color w:val="auto"/>
                <w:sz w:val="21"/>
                <w:szCs w:val="21"/>
                <w:lang w:val="en-US" w:eastAsia="zh-CN"/>
              </w:rPr>
              <w:t>5.1</w:t>
            </w:r>
            <w:r>
              <w:rPr>
                <w:rFonts w:hint="eastAsia" w:ascii="Times New Roman" w:hAnsi="Times New Roman" w:cs="Times New Roman"/>
                <w:b/>
                <w:color w:val="auto"/>
                <w:sz w:val="21"/>
                <w:szCs w:val="21"/>
                <w:lang w:val="en-US" w:eastAsia="zh-CN"/>
              </w:rPr>
              <w:t>生产设备及设施</w:t>
            </w:r>
          </w:p>
          <w:p w14:paraId="51331541">
            <w:pPr>
              <w:pStyle w:val="24"/>
              <w:adjustRightInd w:val="0"/>
              <w:snapToGrid w:val="0"/>
              <w:spacing w:before="0" w:beforeAutospacing="0" w:after="0" w:afterAutospacing="0" w:line="440" w:lineRule="exact"/>
              <w:ind w:firstLine="420" w:firstLineChars="200"/>
              <w:rPr>
                <w:rFonts w:ascii="Times New Roman" w:hAnsi="Times New Roman"/>
                <w:color w:val="auto"/>
                <w:sz w:val="21"/>
                <w:szCs w:val="21"/>
              </w:rPr>
            </w:pPr>
            <w:r>
              <w:rPr>
                <w:rFonts w:hint="eastAsia" w:ascii="Times New Roman" w:hAnsi="Times New Roman"/>
                <w:color w:val="auto"/>
                <w:sz w:val="21"/>
                <w:szCs w:val="21"/>
              </w:rPr>
              <w:t>项目</w:t>
            </w:r>
            <w:r>
              <w:rPr>
                <w:rFonts w:ascii="Times New Roman" w:hAnsi="Times New Roman"/>
                <w:color w:val="auto"/>
                <w:sz w:val="21"/>
                <w:szCs w:val="21"/>
              </w:rPr>
              <w:t>主要生产设备、设施见表</w:t>
            </w:r>
            <w:r>
              <w:rPr>
                <w:rFonts w:hint="eastAsia" w:ascii="Times New Roman" w:hAnsi="Times New Roman"/>
                <w:color w:val="auto"/>
                <w:sz w:val="21"/>
                <w:szCs w:val="21"/>
                <w:lang w:val="en-US" w:eastAsia="zh-CN"/>
              </w:rPr>
              <w:t>8</w:t>
            </w:r>
            <w:r>
              <w:rPr>
                <w:rFonts w:ascii="Times New Roman" w:hAnsi="Times New Roman"/>
                <w:color w:val="auto"/>
                <w:sz w:val="21"/>
                <w:szCs w:val="21"/>
              </w:rPr>
              <w:t>。</w:t>
            </w:r>
          </w:p>
          <w:p w14:paraId="02F758C7">
            <w:pPr>
              <w:pStyle w:val="24"/>
              <w:adjustRightInd w:val="0"/>
              <w:snapToGrid w:val="0"/>
              <w:spacing w:before="0" w:beforeAutospacing="0" w:after="0" w:afterAutospacing="0" w:line="440" w:lineRule="exact"/>
              <w:jc w:val="center"/>
              <w:rPr>
                <w:rFonts w:ascii="Times New Roman" w:hAnsi="Times New Roman"/>
                <w:b/>
                <w:color w:val="auto"/>
                <w:sz w:val="21"/>
                <w:szCs w:val="21"/>
              </w:rPr>
            </w:pPr>
            <w:r>
              <w:rPr>
                <w:rFonts w:hint="eastAsia" w:ascii="Times New Roman" w:hAnsi="Times New Roman"/>
                <w:b/>
                <w:color w:val="auto"/>
                <w:sz w:val="21"/>
                <w:szCs w:val="21"/>
              </w:rPr>
              <w:t>表</w:t>
            </w:r>
            <w:r>
              <w:rPr>
                <w:rFonts w:hint="eastAsia" w:ascii="Times New Roman" w:hAnsi="Times New Roman"/>
                <w:b/>
                <w:color w:val="auto"/>
                <w:sz w:val="21"/>
                <w:szCs w:val="21"/>
                <w:lang w:val="en-US" w:eastAsia="zh-CN"/>
              </w:rPr>
              <w:t>8</w:t>
            </w:r>
            <w:r>
              <w:rPr>
                <w:rFonts w:hint="eastAsia" w:ascii="Times New Roman" w:hAnsi="Times New Roman"/>
                <w:b/>
                <w:color w:val="auto"/>
                <w:sz w:val="21"/>
                <w:szCs w:val="21"/>
              </w:rPr>
              <w:t xml:space="preserve"> 主要生产设备一览表</w:t>
            </w:r>
          </w:p>
          <w:tbl>
            <w:tblPr>
              <w:tblStyle w:val="28"/>
              <w:tblW w:w="5113"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28" w:type="dxa"/>
                <w:bottom w:w="0" w:type="dxa"/>
                <w:right w:w="28" w:type="dxa"/>
              </w:tblCellMar>
            </w:tblPr>
            <w:tblGrid>
              <w:gridCol w:w="443"/>
              <w:gridCol w:w="598"/>
              <w:gridCol w:w="654"/>
              <w:gridCol w:w="1669"/>
              <w:gridCol w:w="2729"/>
              <w:gridCol w:w="530"/>
              <w:gridCol w:w="474"/>
              <w:gridCol w:w="1028"/>
            </w:tblGrid>
            <w:tr w14:paraId="79A42DF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272" w:type="pct"/>
                  <w:tcBorders>
                    <w:tl2br w:val="nil"/>
                    <w:tr2bl w:val="nil"/>
                  </w:tcBorders>
                  <w:vAlign w:val="center"/>
                </w:tcPr>
                <w:p w14:paraId="4207B1E1">
                  <w:pPr>
                    <w:widowControl/>
                    <w:spacing w:line="0" w:lineRule="atLeast"/>
                    <w:jc w:val="center"/>
                    <w:rPr>
                      <w:color w:val="auto"/>
                      <w:spacing w:val="-10"/>
                      <w:sz w:val="18"/>
                      <w:szCs w:val="18"/>
                    </w:rPr>
                  </w:pPr>
                  <w:r>
                    <w:rPr>
                      <w:rFonts w:hint="eastAsia"/>
                      <w:color w:val="auto"/>
                      <w:spacing w:val="-10"/>
                      <w:sz w:val="18"/>
                      <w:szCs w:val="18"/>
                    </w:rPr>
                    <w:t>序号</w:t>
                  </w:r>
                </w:p>
              </w:tc>
              <w:tc>
                <w:tcPr>
                  <w:tcW w:w="1797" w:type="pct"/>
                  <w:gridSpan w:val="3"/>
                  <w:tcBorders>
                    <w:tl2br w:val="nil"/>
                    <w:tr2bl w:val="nil"/>
                  </w:tcBorders>
                  <w:vAlign w:val="center"/>
                </w:tcPr>
                <w:p w14:paraId="52C5CEEA">
                  <w:pPr>
                    <w:widowControl/>
                    <w:spacing w:line="0" w:lineRule="atLeast"/>
                    <w:jc w:val="center"/>
                    <w:rPr>
                      <w:rFonts w:hint="eastAsia" w:ascii="Times New Roman" w:hAnsi="Times New Roman" w:eastAsia="宋体" w:cs="Times New Roman"/>
                      <w:color w:val="auto"/>
                      <w:spacing w:val="-10"/>
                      <w:kern w:val="2"/>
                      <w:sz w:val="18"/>
                      <w:szCs w:val="18"/>
                      <w:lang w:val="en-US" w:eastAsia="zh-CN" w:bidi="ar-SA"/>
                    </w:rPr>
                  </w:pPr>
                  <w:r>
                    <w:rPr>
                      <w:rFonts w:hint="eastAsia"/>
                      <w:color w:val="auto"/>
                      <w:spacing w:val="-10"/>
                      <w:sz w:val="18"/>
                      <w:szCs w:val="18"/>
                    </w:rPr>
                    <w:t>设备名称</w:t>
                  </w:r>
                </w:p>
              </w:tc>
              <w:tc>
                <w:tcPr>
                  <w:tcW w:w="1679" w:type="pct"/>
                  <w:tcBorders>
                    <w:tl2br w:val="nil"/>
                    <w:tr2bl w:val="nil"/>
                  </w:tcBorders>
                  <w:vAlign w:val="center"/>
                </w:tcPr>
                <w:p w14:paraId="625005DB">
                  <w:pPr>
                    <w:widowControl/>
                    <w:spacing w:line="0" w:lineRule="atLeast"/>
                    <w:jc w:val="center"/>
                    <w:rPr>
                      <w:color w:val="auto"/>
                      <w:spacing w:val="-10"/>
                      <w:sz w:val="18"/>
                      <w:szCs w:val="18"/>
                    </w:rPr>
                  </w:pPr>
                  <w:r>
                    <w:rPr>
                      <w:rFonts w:hint="eastAsia"/>
                      <w:color w:val="auto"/>
                      <w:spacing w:val="-10"/>
                      <w:sz w:val="18"/>
                      <w:szCs w:val="18"/>
                    </w:rPr>
                    <w:t>规格</w:t>
                  </w:r>
                  <w:r>
                    <w:rPr>
                      <w:rFonts w:hint="eastAsia"/>
                      <w:color w:val="auto"/>
                      <w:spacing w:val="-10"/>
                      <w:sz w:val="18"/>
                      <w:szCs w:val="18"/>
                      <w:lang w:val="en-US" w:eastAsia="zh-CN"/>
                    </w:rPr>
                    <w:t>及</w:t>
                  </w:r>
                  <w:r>
                    <w:rPr>
                      <w:rFonts w:hint="eastAsia"/>
                      <w:color w:val="auto"/>
                      <w:spacing w:val="-10"/>
                      <w:sz w:val="18"/>
                      <w:szCs w:val="18"/>
                    </w:rPr>
                    <w:t>设备参数</w:t>
                  </w:r>
                </w:p>
              </w:tc>
              <w:tc>
                <w:tcPr>
                  <w:tcW w:w="326" w:type="pct"/>
                  <w:tcBorders>
                    <w:tl2br w:val="nil"/>
                    <w:tr2bl w:val="nil"/>
                  </w:tcBorders>
                  <w:vAlign w:val="center"/>
                </w:tcPr>
                <w:p w14:paraId="384A4D80">
                  <w:pPr>
                    <w:widowControl/>
                    <w:spacing w:line="0" w:lineRule="atLeast"/>
                    <w:jc w:val="center"/>
                    <w:rPr>
                      <w:color w:val="auto"/>
                      <w:spacing w:val="-10"/>
                      <w:sz w:val="18"/>
                      <w:szCs w:val="18"/>
                    </w:rPr>
                  </w:pPr>
                  <w:r>
                    <w:rPr>
                      <w:rFonts w:hint="eastAsia"/>
                      <w:color w:val="auto"/>
                      <w:spacing w:val="-10"/>
                      <w:sz w:val="18"/>
                      <w:szCs w:val="18"/>
                    </w:rPr>
                    <w:t>单位</w:t>
                  </w:r>
                </w:p>
              </w:tc>
              <w:tc>
                <w:tcPr>
                  <w:tcW w:w="291" w:type="pct"/>
                  <w:tcBorders>
                    <w:tl2br w:val="nil"/>
                    <w:tr2bl w:val="nil"/>
                  </w:tcBorders>
                  <w:vAlign w:val="center"/>
                </w:tcPr>
                <w:p w14:paraId="7FCE7AA0">
                  <w:pPr>
                    <w:widowControl/>
                    <w:spacing w:line="0" w:lineRule="atLeast"/>
                    <w:jc w:val="center"/>
                    <w:rPr>
                      <w:color w:val="auto"/>
                      <w:spacing w:val="-10"/>
                      <w:sz w:val="18"/>
                      <w:szCs w:val="18"/>
                    </w:rPr>
                  </w:pPr>
                  <w:r>
                    <w:rPr>
                      <w:rFonts w:hint="eastAsia"/>
                      <w:color w:val="auto"/>
                      <w:spacing w:val="-10"/>
                      <w:sz w:val="18"/>
                      <w:szCs w:val="18"/>
                    </w:rPr>
                    <w:t>数量</w:t>
                  </w:r>
                </w:p>
              </w:tc>
              <w:tc>
                <w:tcPr>
                  <w:tcW w:w="632" w:type="pct"/>
                  <w:tcBorders>
                    <w:tl2br w:val="nil"/>
                    <w:tr2bl w:val="nil"/>
                  </w:tcBorders>
                  <w:vAlign w:val="center"/>
                </w:tcPr>
                <w:p w14:paraId="3F939B36">
                  <w:pPr>
                    <w:widowControl/>
                    <w:spacing w:line="0" w:lineRule="atLeast"/>
                    <w:jc w:val="center"/>
                    <w:rPr>
                      <w:color w:val="auto"/>
                      <w:spacing w:val="-10"/>
                      <w:sz w:val="18"/>
                      <w:szCs w:val="18"/>
                    </w:rPr>
                  </w:pPr>
                  <w:r>
                    <w:rPr>
                      <w:rFonts w:hint="eastAsia"/>
                      <w:color w:val="auto"/>
                      <w:spacing w:val="-10"/>
                      <w:sz w:val="18"/>
                      <w:szCs w:val="18"/>
                    </w:rPr>
                    <w:t>备注</w:t>
                  </w:r>
                </w:p>
              </w:tc>
            </w:tr>
            <w:tr w14:paraId="41F8346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272" w:type="pct"/>
                  <w:tcBorders>
                    <w:tl2br w:val="nil"/>
                    <w:tr2bl w:val="nil"/>
                  </w:tcBorders>
                  <w:vAlign w:val="center"/>
                </w:tcPr>
                <w:p w14:paraId="7A38B734">
                  <w:pPr>
                    <w:widowControl/>
                    <w:spacing w:line="0" w:lineRule="atLeast"/>
                    <w:jc w:val="center"/>
                    <w:rPr>
                      <w:rFonts w:hint="eastAsia" w:eastAsia="宋体"/>
                      <w:color w:val="auto"/>
                      <w:spacing w:val="-10"/>
                      <w:sz w:val="18"/>
                      <w:szCs w:val="18"/>
                      <w:lang w:val="en-US" w:eastAsia="zh-CN"/>
                    </w:rPr>
                  </w:pPr>
                  <w:r>
                    <w:rPr>
                      <w:rFonts w:hint="eastAsia"/>
                      <w:color w:val="auto"/>
                      <w:spacing w:val="-10"/>
                      <w:sz w:val="18"/>
                      <w:szCs w:val="18"/>
                      <w:lang w:val="en-US" w:eastAsia="zh-CN"/>
                    </w:rPr>
                    <w:t>1</w:t>
                  </w:r>
                </w:p>
              </w:tc>
              <w:tc>
                <w:tcPr>
                  <w:tcW w:w="368" w:type="pct"/>
                  <w:vMerge w:val="restart"/>
                  <w:tcBorders>
                    <w:tl2br w:val="nil"/>
                    <w:tr2bl w:val="nil"/>
                  </w:tcBorders>
                  <w:vAlign w:val="center"/>
                </w:tcPr>
                <w:p w14:paraId="2C9A4E81">
                  <w:pPr>
                    <w:widowControl/>
                    <w:spacing w:line="0" w:lineRule="atLeast"/>
                    <w:jc w:val="center"/>
                    <w:rPr>
                      <w:rFonts w:hint="default"/>
                      <w:color w:val="auto"/>
                      <w:spacing w:val="-10"/>
                      <w:sz w:val="18"/>
                      <w:szCs w:val="18"/>
                      <w:lang w:val="en-US" w:eastAsia="zh-CN"/>
                    </w:rPr>
                  </w:pPr>
                  <w:r>
                    <w:rPr>
                      <w:rFonts w:hint="eastAsia"/>
                      <w:color w:val="auto"/>
                      <w:spacing w:val="-10"/>
                      <w:sz w:val="18"/>
                      <w:szCs w:val="18"/>
                      <w:lang w:val="en-US" w:eastAsia="zh-CN"/>
                    </w:rPr>
                    <w:t>废钢破碎尾料处理</w:t>
                  </w:r>
                </w:p>
              </w:tc>
              <w:tc>
                <w:tcPr>
                  <w:tcW w:w="402" w:type="pct"/>
                  <w:vMerge w:val="restart"/>
                  <w:tcBorders>
                    <w:tl2br w:val="nil"/>
                    <w:tr2bl w:val="nil"/>
                  </w:tcBorders>
                  <w:vAlign w:val="center"/>
                </w:tcPr>
                <w:p w14:paraId="0413D6E1">
                  <w:pPr>
                    <w:widowControl/>
                    <w:spacing w:line="0" w:lineRule="atLeast"/>
                    <w:jc w:val="center"/>
                    <w:rPr>
                      <w:rFonts w:hint="eastAsia" w:ascii="Times New Roman" w:hAnsi="Times New Roman" w:eastAsia="宋体" w:cs="Times New Roman"/>
                      <w:color w:val="auto"/>
                      <w:spacing w:val="-10"/>
                      <w:sz w:val="18"/>
                      <w:szCs w:val="18"/>
                      <w:lang w:val="en-US" w:eastAsia="zh-CN"/>
                    </w:rPr>
                  </w:pPr>
                  <w:r>
                    <w:rPr>
                      <w:rFonts w:hint="eastAsia" w:ascii="Times New Roman" w:hAnsi="Times New Roman" w:eastAsia="宋体" w:cs="Times New Roman"/>
                      <w:color w:val="auto"/>
                      <w:spacing w:val="-10"/>
                      <w:sz w:val="18"/>
                      <w:szCs w:val="18"/>
                      <w:lang w:val="en-US" w:eastAsia="zh-CN"/>
                    </w:rPr>
                    <w:t>塑料分选工段</w:t>
                  </w:r>
                </w:p>
              </w:tc>
              <w:tc>
                <w:tcPr>
                  <w:tcW w:w="1027" w:type="pct"/>
                  <w:tcBorders>
                    <w:tl2br w:val="nil"/>
                    <w:tr2bl w:val="nil"/>
                  </w:tcBorders>
                  <w:shd w:val="clear" w:color="auto" w:fill="auto"/>
                  <w:vAlign w:val="center"/>
                </w:tcPr>
                <w:p w14:paraId="29DF7169">
                  <w:pPr>
                    <w:spacing w:line="0" w:lineRule="atLeast"/>
                    <w:jc w:val="center"/>
                    <w:rPr>
                      <w:rFonts w:hint="default" w:ascii="Times New Roman" w:hAnsi="Times New Roman" w:eastAsia="宋体" w:cs="Times New Roman"/>
                      <w:color w:val="auto"/>
                      <w:spacing w:val="-10"/>
                      <w:sz w:val="18"/>
                      <w:szCs w:val="18"/>
                      <w:lang w:val="en-US" w:eastAsia="zh-CN"/>
                    </w:rPr>
                  </w:pPr>
                  <w:r>
                    <w:rPr>
                      <w:rFonts w:hint="eastAsia" w:ascii="Times New Roman" w:hAnsi="Times New Roman" w:eastAsia="宋体" w:cs="Times New Roman"/>
                      <w:color w:val="auto"/>
                      <w:spacing w:val="-10"/>
                      <w:sz w:val="18"/>
                      <w:szCs w:val="18"/>
                      <w:lang w:val="en-US" w:eastAsia="zh-CN"/>
                    </w:rPr>
                    <w:t>上料仓</w:t>
                  </w:r>
                </w:p>
              </w:tc>
              <w:tc>
                <w:tcPr>
                  <w:tcW w:w="1679" w:type="pct"/>
                  <w:tcBorders>
                    <w:tl2br w:val="nil"/>
                    <w:tr2bl w:val="nil"/>
                  </w:tcBorders>
                  <w:shd w:val="clear" w:color="auto" w:fill="auto"/>
                  <w:vAlign w:val="center"/>
                </w:tcPr>
                <w:p w14:paraId="4E685CAB">
                  <w:pPr>
                    <w:spacing w:line="0" w:lineRule="atLeast"/>
                    <w:jc w:val="center"/>
                    <w:rPr>
                      <w:rFonts w:hint="eastAsia" w:ascii="Times New Roman" w:hAnsi="Times New Roman" w:eastAsia="宋体" w:cs="Times New Roman"/>
                      <w:color w:val="auto"/>
                      <w:spacing w:val="-10"/>
                      <w:sz w:val="18"/>
                      <w:szCs w:val="18"/>
                      <w:lang w:val="en-US" w:eastAsia="zh-CN"/>
                    </w:rPr>
                  </w:pPr>
                  <w:r>
                    <w:rPr>
                      <w:rFonts w:hint="eastAsia" w:ascii="Times New Roman" w:hAnsi="Times New Roman" w:eastAsia="宋体" w:cs="Times New Roman"/>
                      <w:color w:val="auto"/>
                      <w:spacing w:val="-10"/>
                      <w:kern w:val="2"/>
                      <w:sz w:val="18"/>
                      <w:szCs w:val="18"/>
                      <w:lang w:val="en-US" w:eastAsia="zh-CN" w:bidi="ar-SA"/>
                    </w:rPr>
                    <w:t>尺寸</w:t>
                  </w:r>
                  <w:r>
                    <w:rPr>
                      <w:rFonts w:hint="eastAsia" w:cs="Times New Roman"/>
                      <w:color w:val="auto"/>
                      <w:spacing w:val="-10"/>
                      <w:kern w:val="2"/>
                      <w:sz w:val="18"/>
                      <w:szCs w:val="18"/>
                      <w:lang w:val="en-US" w:eastAsia="zh-CN" w:bidi="ar-SA"/>
                    </w:rPr>
                    <w:t>：2.5</w:t>
                  </w:r>
                  <w:r>
                    <w:rPr>
                      <w:rFonts w:hint="eastAsia" w:ascii="Times New Roman" w:hAnsi="Times New Roman" w:eastAsia="宋体" w:cs="Times New Roman"/>
                      <w:color w:val="auto"/>
                      <w:spacing w:val="-10"/>
                      <w:kern w:val="2"/>
                      <w:sz w:val="18"/>
                      <w:szCs w:val="18"/>
                      <w:lang w:val="en-US" w:eastAsia="zh-CN" w:bidi="ar-SA"/>
                    </w:rPr>
                    <w:t>m*</w:t>
                  </w:r>
                  <w:r>
                    <w:rPr>
                      <w:rFonts w:hint="eastAsia" w:cs="Times New Roman"/>
                      <w:color w:val="auto"/>
                      <w:spacing w:val="-10"/>
                      <w:kern w:val="2"/>
                      <w:sz w:val="18"/>
                      <w:szCs w:val="18"/>
                      <w:lang w:val="en-US" w:eastAsia="zh-CN" w:bidi="ar-SA"/>
                    </w:rPr>
                    <w:t>2.3</w:t>
                  </w:r>
                  <w:r>
                    <w:rPr>
                      <w:rFonts w:hint="eastAsia" w:ascii="Times New Roman" w:hAnsi="Times New Roman" w:eastAsia="宋体" w:cs="Times New Roman"/>
                      <w:color w:val="auto"/>
                      <w:spacing w:val="-10"/>
                      <w:kern w:val="2"/>
                      <w:sz w:val="18"/>
                      <w:szCs w:val="18"/>
                      <w:lang w:val="en-US" w:eastAsia="zh-CN" w:bidi="ar-SA"/>
                    </w:rPr>
                    <w:t>m</w:t>
                  </w:r>
                </w:p>
              </w:tc>
              <w:tc>
                <w:tcPr>
                  <w:tcW w:w="326" w:type="pct"/>
                  <w:tcBorders>
                    <w:tl2br w:val="nil"/>
                    <w:tr2bl w:val="nil"/>
                  </w:tcBorders>
                  <w:shd w:val="clear" w:color="auto" w:fill="auto"/>
                  <w:vAlign w:val="center"/>
                </w:tcPr>
                <w:p w14:paraId="517E56ED">
                  <w:pPr>
                    <w:spacing w:line="0" w:lineRule="atLeast"/>
                    <w:jc w:val="center"/>
                    <w:rPr>
                      <w:rFonts w:hint="default" w:ascii="Times New Roman" w:hAnsi="Times New Roman" w:eastAsia="宋体" w:cs="Times New Roman"/>
                      <w:color w:val="auto"/>
                      <w:spacing w:val="-10"/>
                      <w:sz w:val="18"/>
                      <w:szCs w:val="18"/>
                      <w:lang w:val="en-US" w:eastAsia="zh-CN"/>
                    </w:rPr>
                  </w:pPr>
                  <w:r>
                    <w:rPr>
                      <w:rFonts w:hint="eastAsia" w:ascii="Times New Roman" w:hAnsi="Times New Roman" w:eastAsia="宋体" w:cs="Times New Roman"/>
                      <w:color w:val="auto"/>
                      <w:spacing w:val="-10"/>
                      <w:sz w:val="18"/>
                      <w:szCs w:val="18"/>
                      <w:lang w:val="en-US" w:eastAsia="zh-CN"/>
                    </w:rPr>
                    <w:t>座</w:t>
                  </w:r>
                </w:p>
              </w:tc>
              <w:tc>
                <w:tcPr>
                  <w:tcW w:w="291" w:type="pct"/>
                  <w:tcBorders>
                    <w:tl2br w:val="nil"/>
                    <w:tr2bl w:val="nil"/>
                  </w:tcBorders>
                  <w:shd w:val="clear" w:color="auto" w:fill="auto"/>
                  <w:vAlign w:val="center"/>
                </w:tcPr>
                <w:p w14:paraId="6C7DD312">
                  <w:pPr>
                    <w:spacing w:line="0" w:lineRule="atLeast"/>
                    <w:jc w:val="center"/>
                    <w:rPr>
                      <w:rFonts w:hint="default" w:ascii="Times New Roman" w:hAnsi="Times New Roman" w:eastAsia="宋体" w:cs="Times New Roman"/>
                      <w:color w:val="auto"/>
                      <w:spacing w:val="-10"/>
                      <w:sz w:val="18"/>
                      <w:szCs w:val="18"/>
                      <w:lang w:val="en-US" w:eastAsia="zh-CN"/>
                    </w:rPr>
                  </w:pPr>
                  <w:r>
                    <w:rPr>
                      <w:rFonts w:hint="eastAsia" w:cs="Times New Roman"/>
                      <w:color w:val="auto"/>
                      <w:spacing w:val="-10"/>
                      <w:sz w:val="18"/>
                      <w:szCs w:val="18"/>
                      <w:lang w:val="en-US" w:eastAsia="zh-CN"/>
                    </w:rPr>
                    <w:t>4</w:t>
                  </w:r>
                </w:p>
              </w:tc>
              <w:tc>
                <w:tcPr>
                  <w:tcW w:w="632" w:type="pct"/>
                  <w:tcBorders>
                    <w:tl2br w:val="nil"/>
                    <w:tr2bl w:val="nil"/>
                  </w:tcBorders>
                  <w:shd w:val="clear" w:color="auto" w:fill="auto"/>
                  <w:vAlign w:val="center"/>
                </w:tcPr>
                <w:p w14:paraId="73C2F5F6">
                  <w:pPr>
                    <w:spacing w:line="0" w:lineRule="atLeast"/>
                    <w:jc w:val="center"/>
                    <w:rPr>
                      <w:rFonts w:hint="default" w:ascii="Times New Roman" w:hAnsi="Times New Roman" w:eastAsia="宋体" w:cs="Times New Roman"/>
                      <w:color w:val="auto"/>
                      <w:spacing w:val="-10"/>
                      <w:kern w:val="2"/>
                      <w:sz w:val="18"/>
                      <w:szCs w:val="18"/>
                      <w:lang w:val="en-US" w:eastAsia="zh-CN" w:bidi="ar-SA"/>
                    </w:rPr>
                  </w:pPr>
                  <w:r>
                    <w:rPr>
                      <w:rFonts w:hint="eastAsia" w:cs="Times New Roman"/>
                      <w:color w:val="auto"/>
                      <w:spacing w:val="-10"/>
                      <w:kern w:val="2"/>
                      <w:sz w:val="18"/>
                      <w:szCs w:val="18"/>
                      <w:lang w:val="en-US" w:eastAsia="zh-CN" w:bidi="ar-SA"/>
                    </w:rPr>
                    <w:t>上料</w:t>
                  </w:r>
                </w:p>
              </w:tc>
            </w:tr>
            <w:tr w14:paraId="237EC74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272" w:type="pct"/>
                  <w:tcBorders>
                    <w:tl2br w:val="nil"/>
                    <w:tr2bl w:val="nil"/>
                  </w:tcBorders>
                  <w:vAlign w:val="center"/>
                </w:tcPr>
                <w:p w14:paraId="66C3F182">
                  <w:pPr>
                    <w:widowControl/>
                    <w:spacing w:line="0" w:lineRule="atLeast"/>
                    <w:jc w:val="center"/>
                    <w:rPr>
                      <w:rFonts w:hint="eastAsia" w:eastAsia="宋体"/>
                      <w:color w:val="auto"/>
                      <w:spacing w:val="-10"/>
                      <w:sz w:val="18"/>
                      <w:szCs w:val="18"/>
                      <w:lang w:val="en-US" w:eastAsia="zh-CN"/>
                    </w:rPr>
                  </w:pPr>
                  <w:r>
                    <w:rPr>
                      <w:rFonts w:hint="eastAsia"/>
                      <w:color w:val="auto"/>
                      <w:spacing w:val="-10"/>
                      <w:sz w:val="18"/>
                      <w:szCs w:val="18"/>
                      <w:lang w:val="en-US" w:eastAsia="zh-CN"/>
                    </w:rPr>
                    <w:t>2</w:t>
                  </w:r>
                </w:p>
              </w:tc>
              <w:tc>
                <w:tcPr>
                  <w:tcW w:w="368" w:type="pct"/>
                  <w:vMerge w:val="continue"/>
                  <w:tcBorders>
                    <w:tl2br w:val="nil"/>
                    <w:tr2bl w:val="nil"/>
                  </w:tcBorders>
                  <w:vAlign w:val="center"/>
                </w:tcPr>
                <w:p w14:paraId="78457F3D">
                  <w:pPr>
                    <w:widowControl/>
                    <w:spacing w:line="0" w:lineRule="atLeast"/>
                    <w:jc w:val="center"/>
                    <w:rPr>
                      <w:rFonts w:hint="eastAsia"/>
                      <w:color w:val="auto"/>
                      <w:spacing w:val="-10"/>
                      <w:sz w:val="18"/>
                      <w:szCs w:val="18"/>
                      <w:lang w:val="en-US" w:eastAsia="zh-CN"/>
                    </w:rPr>
                  </w:pPr>
                </w:p>
              </w:tc>
              <w:tc>
                <w:tcPr>
                  <w:tcW w:w="402" w:type="pct"/>
                  <w:vMerge w:val="continue"/>
                  <w:tcBorders>
                    <w:tl2br w:val="nil"/>
                    <w:tr2bl w:val="nil"/>
                  </w:tcBorders>
                  <w:vAlign w:val="center"/>
                </w:tcPr>
                <w:p w14:paraId="63F195F7">
                  <w:pPr>
                    <w:widowControl/>
                    <w:spacing w:line="0" w:lineRule="atLeast"/>
                    <w:jc w:val="center"/>
                    <w:rPr>
                      <w:rFonts w:hint="eastAsia" w:ascii="Times New Roman" w:hAnsi="Times New Roman" w:eastAsia="宋体" w:cs="Times New Roman"/>
                      <w:color w:val="auto"/>
                      <w:spacing w:val="-10"/>
                      <w:sz w:val="18"/>
                      <w:szCs w:val="18"/>
                      <w:lang w:val="en-US" w:eastAsia="zh-CN"/>
                    </w:rPr>
                  </w:pPr>
                </w:p>
              </w:tc>
              <w:tc>
                <w:tcPr>
                  <w:tcW w:w="1027" w:type="pct"/>
                  <w:tcBorders>
                    <w:tl2br w:val="nil"/>
                    <w:tr2bl w:val="nil"/>
                  </w:tcBorders>
                  <w:shd w:val="clear" w:color="auto" w:fill="auto"/>
                  <w:vAlign w:val="center"/>
                </w:tcPr>
                <w:p w14:paraId="03E9F185">
                  <w:pPr>
                    <w:spacing w:line="0" w:lineRule="atLeast"/>
                    <w:jc w:val="center"/>
                    <w:rPr>
                      <w:rFonts w:hint="eastAsia" w:ascii="Times New Roman" w:hAnsi="Times New Roman" w:eastAsia="宋体" w:cs="Times New Roman"/>
                      <w:color w:val="auto"/>
                      <w:spacing w:val="-10"/>
                      <w:kern w:val="2"/>
                      <w:sz w:val="18"/>
                      <w:szCs w:val="18"/>
                      <w:lang w:val="en-US" w:eastAsia="zh-CN" w:bidi="ar-SA"/>
                    </w:rPr>
                  </w:pPr>
                  <w:r>
                    <w:rPr>
                      <w:rFonts w:hint="eastAsia" w:ascii="Times New Roman" w:hAnsi="Times New Roman" w:eastAsia="宋体" w:cs="Times New Roman"/>
                      <w:color w:val="auto"/>
                      <w:spacing w:val="-10"/>
                      <w:kern w:val="2"/>
                      <w:sz w:val="18"/>
                      <w:szCs w:val="18"/>
                      <w:lang w:val="en-US" w:eastAsia="zh-CN" w:bidi="ar-SA"/>
                    </w:rPr>
                    <w:t>皮带输送机</w:t>
                  </w:r>
                </w:p>
              </w:tc>
              <w:tc>
                <w:tcPr>
                  <w:tcW w:w="1679" w:type="pct"/>
                  <w:tcBorders>
                    <w:tl2br w:val="nil"/>
                    <w:tr2bl w:val="nil"/>
                  </w:tcBorders>
                  <w:shd w:val="clear" w:color="auto" w:fill="auto"/>
                  <w:vAlign w:val="center"/>
                </w:tcPr>
                <w:p w14:paraId="24B27881">
                  <w:pPr>
                    <w:spacing w:line="0" w:lineRule="atLeast"/>
                    <w:jc w:val="center"/>
                    <w:rPr>
                      <w:rFonts w:hint="default" w:ascii="Times New Roman" w:hAnsi="Times New Roman" w:eastAsia="宋体" w:cs="Times New Roman"/>
                      <w:color w:val="auto"/>
                      <w:spacing w:val="-10"/>
                      <w:sz w:val="18"/>
                      <w:szCs w:val="18"/>
                      <w:lang w:val="en-US" w:eastAsia="zh-CN"/>
                    </w:rPr>
                  </w:pPr>
                  <w:r>
                    <w:rPr>
                      <w:rFonts w:hint="default" w:ascii="Times New Roman" w:hAnsi="Times New Roman" w:eastAsia="宋体" w:cs="Times New Roman"/>
                      <w:color w:val="auto"/>
                      <w:spacing w:val="-10"/>
                      <w:sz w:val="18"/>
                      <w:szCs w:val="18"/>
                      <w:lang w:val="en-US" w:eastAsia="zh-CN"/>
                    </w:rPr>
                    <w:t>输送能力60t/h</w:t>
                  </w:r>
                </w:p>
              </w:tc>
              <w:tc>
                <w:tcPr>
                  <w:tcW w:w="326" w:type="pct"/>
                  <w:tcBorders>
                    <w:tl2br w:val="nil"/>
                    <w:tr2bl w:val="nil"/>
                  </w:tcBorders>
                  <w:shd w:val="clear" w:color="auto" w:fill="auto"/>
                  <w:vAlign w:val="center"/>
                </w:tcPr>
                <w:p w14:paraId="521EF881">
                  <w:pPr>
                    <w:spacing w:line="0" w:lineRule="atLeast"/>
                    <w:jc w:val="center"/>
                    <w:rPr>
                      <w:rFonts w:hint="default" w:ascii="Times New Roman" w:hAnsi="Times New Roman" w:eastAsia="宋体" w:cs="Times New Roman"/>
                      <w:color w:val="auto"/>
                      <w:spacing w:val="-10"/>
                      <w:sz w:val="18"/>
                      <w:szCs w:val="18"/>
                      <w:lang w:val="en-US" w:eastAsia="zh-CN"/>
                    </w:rPr>
                  </w:pPr>
                  <w:r>
                    <w:rPr>
                      <w:rFonts w:hint="eastAsia" w:cs="Times New Roman"/>
                      <w:color w:val="auto"/>
                      <w:spacing w:val="-10"/>
                      <w:sz w:val="18"/>
                      <w:szCs w:val="18"/>
                      <w:lang w:val="en-US" w:eastAsia="zh-CN"/>
                    </w:rPr>
                    <w:t>条</w:t>
                  </w:r>
                </w:p>
              </w:tc>
              <w:tc>
                <w:tcPr>
                  <w:tcW w:w="291" w:type="pct"/>
                  <w:tcBorders>
                    <w:tl2br w:val="nil"/>
                    <w:tr2bl w:val="nil"/>
                  </w:tcBorders>
                  <w:shd w:val="clear" w:color="auto" w:fill="auto"/>
                  <w:vAlign w:val="center"/>
                </w:tcPr>
                <w:p w14:paraId="6835CF72">
                  <w:pPr>
                    <w:spacing w:line="0" w:lineRule="atLeast"/>
                    <w:jc w:val="center"/>
                    <w:rPr>
                      <w:rFonts w:hint="default" w:ascii="Times New Roman" w:hAnsi="Times New Roman" w:eastAsia="宋体" w:cs="Times New Roman"/>
                      <w:color w:val="auto"/>
                      <w:spacing w:val="-10"/>
                      <w:sz w:val="18"/>
                      <w:szCs w:val="18"/>
                      <w:lang w:val="en-US" w:eastAsia="zh-CN"/>
                    </w:rPr>
                  </w:pPr>
                  <w:r>
                    <w:rPr>
                      <w:rFonts w:hint="eastAsia" w:cs="Times New Roman"/>
                      <w:color w:val="auto"/>
                      <w:spacing w:val="-10"/>
                      <w:sz w:val="18"/>
                      <w:szCs w:val="18"/>
                      <w:lang w:val="en-US" w:eastAsia="zh-CN"/>
                    </w:rPr>
                    <w:t>6</w:t>
                  </w:r>
                </w:p>
              </w:tc>
              <w:tc>
                <w:tcPr>
                  <w:tcW w:w="632" w:type="pct"/>
                  <w:tcBorders>
                    <w:tl2br w:val="nil"/>
                    <w:tr2bl w:val="nil"/>
                  </w:tcBorders>
                  <w:shd w:val="clear" w:color="auto" w:fill="auto"/>
                  <w:vAlign w:val="center"/>
                </w:tcPr>
                <w:p w14:paraId="36E67040">
                  <w:pPr>
                    <w:spacing w:line="0" w:lineRule="atLeast"/>
                    <w:jc w:val="center"/>
                    <w:rPr>
                      <w:rFonts w:hint="default" w:ascii="Times New Roman" w:hAnsi="Times New Roman" w:eastAsia="宋体" w:cs="Times New Roman"/>
                      <w:color w:val="auto"/>
                      <w:spacing w:val="-10"/>
                      <w:kern w:val="2"/>
                      <w:sz w:val="18"/>
                      <w:szCs w:val="18"/>
                      <w:highlight w:val="none"/>
                      <w:lang w:val="en-US" w:eastAsia="zh-CN" w:bidi="ar-SA"/>
                    </w:rPr>
                  </w:pPr>
                  <w:r>
                    <w:rPr>
                      <w:rFonts w:hint="eastAsia"/>
                      <w:color w:val="auto"/>
                      <w:spacing w:val="-10"/>
                      <w:sz w:val="18"/>
                      <w:szCs w:val="18"/>
                      <w:lang w:val="en-US" w:eastAsia="zh-CN"/>
                    </w:rPr>
                    <w:t>物料转运，封闭式皮带通廊</w:t>
                  </w:r>
                </w:p>
              </w:tc>
            </w:tr>
            <w:tr w14:paraId="19AAA29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272" w:type="pct"/>
                  <w:tcBorders>
                    <w:tl2br w:val="nil"/>
                    <w:tr2bl w:val="nil"/>
                  </w:tcBorders>
                  <w:shd w:val="clear" w:color="auto" w:fill="auto"/>
                  <w:vAlign w:val="center"/>
                </w:tcPr>
                <w:p w14:paraId="5F07A3D4">
                  <w:pPr>
                    <w:widowControl/>
                    <w:spacing w:line="0" w:lineRule="atLeast"/>
                    <w:jc w:val="center"/>
                    <w:rPr>
                      <w:rFonts w:hint="eastAsia" w:ascii="Times New Roman" w:hAnsi="Times New Roman" w:eastAsia="宋体" w:cs="Times New Roman"/>
                      <w:color w:val="auto"/>
                      <w:spacing w:val="-10"/>
                      <w:kern w:val="2"/>
                      <w:sz w:val="18"/>
                      <w:szCs w:val="18"/>
                      <w:lang w:val="en-US" w:eastAsia="zh-CN" w:bidi="ar-SA"/>
                    </w:rPr>
                  </w:pPr>
                  <w:r>
                    <w:rPr>
                      <w:rFonts w:hint="eastAsia"/>
                      <w:color w:val="auto"/>
                      <w:spacing w:val="-10"/>
                      <w:sz w:val="18"/>
                      <w:szCs w:val="18"/>
                      <w:lang w:val="en-US" w:eastAsia="zh-CN"/>
                    </w:rPr>
                    <w:t>3</w:t>
                  </w:r>
                </w:p>
              </w:tc>
              <w:tc>
                <w:tcPr>
                  <w:tcW w:w="368" w:type="pct"/>
                  <w:vMerge w:val="continue"/>
                  <w:tcBorders>
                    <w:tl2br w:val="nil"/>
                    <w:tr2bl w:val="nil"/>
                  </w:tcBorders>
                  <w:vAlign w:val="center"/>
                </w:tcPr>
                <w:p w14:paraId="622C575A">
                  <w:pPr>
                    <w:widowControl/>
                    <w:spacing w:line="0" w:lineRule="atLeast"/>
                    <w:jc w:val="center"/>
                    <w:rPr>
                      <w:rFonts w:hint="eastAsia"/>
                      <w:color w:val="auto"/>
                      <w:spacing w:val="-10"/>
                      <w:sz w:val="18"/>
                      <w:szCs w:val="18"/>
                      <w:lang w:val="en-US" w:eastAsia="zh-CN"/>
                    </w:rPr>
                  </w:pPr>
                </w:p>
              </w:tc>
              <w:tc>
                <w:tcPr>
                  <w:tcW w:w="402" w:type="pct"/>
                  <w:vMerge w:val="continue"/>
                  <w:tcBorders>
                    <w:tl2br w:val="nil"/>
                    <w:tr2bl w:val="nil"/>
                  </w:tcBorders>
                  <w:vAlign w:val="center"/>
                </w:tcPr>
                <w:p w14:paraId="321482B5">
                  <w:pPr>
                    <w:widowControl/>
                    <w:spacing w:line="0" w:lineRule="atLeast"/>
                    <w:jc w:val="center"/>
                    <w:rPr>
                      <w:rFonts w:hint="eastAsia" w:ascii="Times New Roman" w:hAnsi="Times New Roman" w:eastAsia="宋体" w:cs="Times New Roman"/>
                      <w:color w:val="auto"/>
                      <w:spacing w:val="-10"/>
                      <w:sz w:val="18"/>
                      <w:szCs w:val="18"/>
                      <w:lang w:val="en-US" w:eastAsia="zh-CN"/>
                    </w:rPr>
                  </w:pPr>
                </w:p>
              </w:tc>
              <w:tc>
                <w:tcPr>
                  <w:tcW w:w="1027" w:type="pct"/>
                  <w:tcBorders>
                    <w:tl2br w:val="nil"/>
                    <w:tr2bl w:val="nil"/>
                  </w:tcBorders>
                  <w:shd w:val="clear" w:color="auto" w:fill="auto"/>
                  <w:vAlign w:val="center"/>
                </w:tcPr>
                <w:p w14:paraId="1B6B1B26">
                  <w:pPr>
                    <w:spacing w:line="0" w:lineRule="atLeast"/>
                    <w:jc w:val="center"/>
                    <w:rPr>
                      <w:rFonts w:hint="eastAsia"/>
                      <w:color w:val="auto"/>
                      <w:spacing w:val="-10"/>
                      <w:sz w:val="18"/>
                      <w:szCs w:val="18"/>
                      <w:lang w:val="en-US" w:eastAsia="zh-CN"/>
                    </w:rPr>
                  </w:pPr>
                  <w:r>
                    <w:rPr>
                      <w:rFonts w:hint="eastAsia"/>
                      <w:color w:val="auto"/>
                      <w:spacing w:val="-10"/>
                      <w:sz w:val="18"/>
                      <w:szCs w:val="18"/>
                      <w:lang w:val="en-US" w:eastAsia="zh-CN"/>
                    </w:rPr>
                    <w:t>滚筒筛</w:t>
                  </w:r>
                </w:p>
              </w:tc>
              <w:tc>
                <w:tcPr>
                  <w:tcW w:w="1679" w:type="pct"/>
                  <w:tcBorders>
                    <w:tl2br w:val="nil"/>
                    <w:tr2bl w:val="nil"/>
                  </w:tcBorders>
                  <w:shd w:val="clear" w:color="auto" w:fill="auto"/>
                  <w:vAlign w:val="center"/>
                </w:tcPr>
                <w:p w14:paraId="43920EEF">
                  <w:pPr>
                    <w:spacing w:line="0" w:lineRule="atLeast"/>
                    <w:jc w:val="center"/>
                    <w:rPr>
                      <w:rFonts w:hint="default"/>
                      <w:color w:val="auto"/>
                      <w:spacing w:val="-10"/>
                      <w:sz w:val="18"/>
                      <w:szCs w:val="18"/>
                      <w:lang w:val="en-US" w:eastAsia="zh-CN"/>
                    </w:rPr>
                  </w:pPr>
                  <w:r>
                    <w:rPr>
                      <w:rFonts w:hint="eastAsia"/>
                      <w:color w:val="auto"/>
                      <w:spacing w:val="-10"/>
                      <w:sz w:val="18"/>
                      <w:szCs w:val="18"/>
                      <w:lang w:val="en-US" w:eastAsia="zh-CN"/>
                    </w:rPr>
                    <w:t>生产能力50t/h， 筛孔孔径</w:t>
                  </w:r>
                  <w:r>
                    <w:rPr>
                      <w:rFonts w:hint="default"/>
                      <w:color w:val="auto"/>
                      <w:spacing w:val="-10"/>
                      <w:sz w:val="18"/>
                      <w:szCs w:val="18"/>
                      <w:lang w:val="en-US" w:eastAsia="zh-CN"/>
                    </w:rPr>
                    <w:t>1cm</w:t>
                  </w:r>
                </w:p>
              </w:tc>
              <w:tc>
                <w:tcPr>
                  <w:tcW w:w="326" w:type="pct"/>
                  <w:tcBorders>
                    <w:tl2br w:val="nil"/>
                    <w:tr2bl w:val="nil"/>
                  </w:tcBorders>
                  <w:shd w:val="clear" w:color="auto" w:fill="auto"/>
                  <w:vAlign w:val="center"/>
                </w:tcPr>
                <w:p w14:paraId="16459131">
                  <w:pPr>
                    <w:spacing w:line="0" w:lineRule="atLeast"/>
                    <w:jc w:val="center"/>
                    <w:rPr>
                      <w:rFonts w:hint="eastAsia"/>
                      <w:color w:val="auto"/>
                      <w:spacing w:val="-10"/>
                      <w:sz w:val="18"/>
                      <w:szCs w:val="18"/>
                      <w:lang w:val="en-US" w:eastAsia="zh-CN"/>
                    </w:rPr>
                  </w:pPr>
                  <w:r>
                    <w:rPr>
                      <w:rFonts w:hint="eastAsia"/>
                      <w:color w:val="auto"/>
                      <w:spacing w:val="-10"/>
                      <w:sz w:val="18"/>
                      <w:szCs w:val="18"/>
                      <w:lang w:val="en-US" w:eastAsia="zh-CN"/>
                    </w:rPr>
                    <w:t>台</w:t>
                  </w:r>
                </w:p>
              </w:tc>
              <w:tc>
                <w:tcPr>
                  <w:tcW w:w="291" w:type="pct"/>
                  <w:tcBorders>
                    <w:tl2br w:val="nil"/>
                    <w:tr2bl w:val="nil"/>
                  </w:tcBorders>
                  <w:shd w:val="clear" w:color="auto" w:fill="auto"/>
                  <w:vAlign w:val="center"/>
                </w:tcPr>
                <w:p w14:paraId="0D59BF35">
                  <w:pPr>
                    <w:spacing w:line="0" w:lineRule="atLeast"/>
                    <w:jc w:val="center"/>
                    <w:rPr>
                      <w:rFonts w:hint="eastAsia"/>
                      <w:color w:val="auto"/>
                      <w:spacing w:val="-10"/>
                      <w:sz w:val="18"/>
                      <w:szCs w:val="18"/>
                      <w:lang w:val="en-US" w:eastAsia="zh-CN"/>
                    </w:rPr>
                  </w:pPr>
                  <w:r>
                    <w:rPr>
                      <w:rFonts w:hint="eastAsia"/>
                      <w:color w:val="auto"/>
                      <w:spacing w:val="-10"/>
                      <w:sz w:val="18"/>
                      <w:szCs w:val="18"/>
                      <w:lang w:val="en-US" w:eastAsia="zh-CN"/>
                    </w:rPr>
                    <w:t>2</w:t>
                  </w:r>
                </w:p>
              </w:tc>
              <w:tc>
                <w:tcPr>
                  <w:tcW w:w="632" w:type="pct"/>
                  <w:tcBorders>
                    <w:tl2br w:val="nil"/>
                    <w:tr2bl w:val="nil"/>
                  </w:tcBorders>
                  <w:shd w:val="clear" w:color="auto" w:fill="auto"/>
                  <w:vAlign w:val="center"/>
                </w:tcPr>
                <w:p w14:paraId="33DE5093">
                  <w:pPr>
                    <w:spacing w:line="0" w:lineRule="atLeast"/>
                    <w:jc w:val="center"/>
                    <w:rPr>
                      <w:rFonts w:hint="eastAsia"/>
                      <w:color w:val="auto"/>
                      <w:spacing w:val="-10"/>
                      <w:sz w:val="18"/>
                      <w:szCs w:val="18"/>
                      <w:lang w:val="en-US" w:eastAsia="zh-CN"/>
                    </w:rPr>
                  </w:pPr>
                  <w:r>
                    <w:rPr>
                      <w:rFonts w:hint="eastAsia"/>
                      <w:color w:val="auto"/>
                      <w:spacing w:val="-10"/>
                      <w:sz w:val="18"/>
                      <w:szCs w:val="18"/>
                      <w:lang w:val="en-US" w:eastAsia="zh-CN"/>
                    </w:rPr>
                    <w:t>筛分除土</w:t>
                  </w:r>
                </w:p>
              </w:tc>
            </w:tr>
            <w:tr w14:paraId="2425602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272" w:type="pct"/>
                  <w:tcBorders>
                    <w:tl2br w:val="nil"/>
                    <w:tr2bl w:val="nil"/>
                  </w:tcBorders>
                  <w:shd w:val="clear" w:color="auto" w:fill="auto"/>
                  <w:vAlign w:val="center"/>
                </w:tcPr>
                <w:p w14:paraId="565E2459">
                  <w:pPr>
                    <w:widowControl/>
                    <w:spacing w:line="0" w:lineRule="atLeast"/>
                    <w:jc w:val="center"/>
                    <w:rPr>
                      <w:rFonts w:hint="eastAsia" w:ascii="Times New Roman" w:hAnsi="Times New Roman" w:eastAsia="宋体" w:cs="Times New Roman"/>
                      <w:color w:val="auto"/>
                      <w:spacing w:val="-10"/>
                      <w:kern w:val="2"/>
                      <w:sz w:val="18"/>
                      <w:szCs w:val="18"/>
                      <w:lang w:val="en-US" w:eastAsia="zh-CN" w:bidi="ar-SA"/>
                    </w:rPr>
                  </w:pPr>
                  <w:r>
                    <w:rPr>
                      <w:rFonts w:hint="eastAsia"/>
                      <w:color w:val="auto"/>
                      <w:spacing w:val="-10"/>
                      <w:sz w:val="18"/>
                      <w:szCs w:val="18"/>
                      <w:lang w:val="en-US" w:eastAsia="zh-CN"/>
                    </w:rPr>
                    <w:t>4</w:t>
                  </w:r>
                </w:p>
              </w:tc>
              <w:tc>
                <w:tcPr>
                  <w:tcW w:w="368" w:type="pct"/>
                  <w:vMerge w:val="continue"/>
                  <w:tcBorders>
                    <w:tl2br w:val="nil"/>
                    <w:tr2bl w:val="nil"/>
                  </w:tcBorders>
                  <w:vAlign w:val="center"/>
                </w:tcPr>
                <w:p w14:paraId="5FF98AF1">
                  <w:pPr>
                    <w:widowControl/>
                    <w:spacing w:line="0" w:lineRule="atLeast"/>
                    <w:jc w:val="center"/>
                    <w:rPr>
                      <w:rFonts w:hint="eastAsia"/>
                      <w:color w:val="auto"/>
                      <w:spacing w:val="-10"/>
                      <w:sz w:val="18"/>
                      <w:szCs w:val="18"/>
                      <w:lang w:val="en-US" w:eastAsia="zh-CN"/>
                    </w:rPr>
                  </w:pPr>
                </w:p>
              </w:tc>
              <w:tc>
                <w:tcPr>
                  <w:tcW w:w="402" w:type="pct"/>
                  <w:vMerge w:val="continue"/>
                  <w:tcBorders>
                    <w:tl2br w:val="nil"/>
                    <w:tr2bl w:val="nil"/>
                  </w:tcBorders>
                  <w:vAlign w:val="center"/>
                </w:tcPr>
                <w:p w14:paraId="0F7DA587">
                  <w:pPr>
                    <w:widowControl/>
                    <w:spacing w:line="0" w:lineRule="atLeast"/>
                    <w:jc w:val="center"/>
                    <w:rPr>
                      <w:rFonts w:hint="eastAsia" w:ascii="Times New Roman" w:hAnsi="Times New Roman" w:eastAsia="宋体" w:cs="Times New Roman"/>
                      <w:color w:val="auto"/>
                      <w:spacing w:val="-10"/>
                      <w:sz w:val="18"/>
                      <w:szCs w:val="18"/>
                      <w:lang w:val="en-US" w:eastAsia="zh-CN"/>
                    </w:rPr>
                  </w:pPr>
                </w:p>
              </w:tc>
              <w:tc>
                <w:tcPr>
                  <w:tcW w:w="1027" w:type="pct"/>
                  <w:tcBorders>
                    <w:tl2br w:val="nil"/>
                    <w:tr2bl w:val="nil"/>
                  </w:tcBorders>
                  <w:shd w:val="clear" w:color="auto" w:fill="auto"/>
                  <w:vAlign w:val="center"/>
                </w:tcPr>
                <w:p w14:paraId="439459DA">
                  <w:pPr>
                    <w:spacing w:line="0" w:lineRule="atLeast"/>
                    <w:jc w:val="center"/>
                    <w:rPr>
                      <w:rFonts w:hint="eastAsia" w:ascii="Times New Roman" w:hAnsi="Times New Roman" w:eastAsia="宋体" w:cs="Times New Roman"/>
                      <w:color w:val="auto"/>
                      <w:spacing w:val="-10"/>
                      <w:kern w:val="2"/>
                      <w:sz w:val="18"/>
                      <w:szCs w:val="18"/>
                      <w:lang w:val="en-US" w:eastAsia="zh-CN" w:bidi="ar-SA"/>
                    </w:rPr>
                  </w:pPr>
                  <w:r>
                    <w:rPr>
                      <w:rFonts w:hint="eastAsia" w:ascii="Times New Roman" w:hAnsi="Times New Roman" w:eastAsia="宋体" w:cs="Times New Roman"/>
                      <w:color w:val="auto"/>
                      <w:spacing w:val="-10"/>
                      <w:sz w:val="18"/>
                      <w:szCs w:val="18"/>
                      <w:lang w:val="en-US" w:eastAsia="zh-CN"/>
                    </w:rPr>
                    <w:t>漂洗船</w:t>
                  </w:r>
                </w:p>
              </w:tc>
              <w:tc>
                <w:tcPr>
                  <w:tcW w:w="1679" w:type="pct"/>
                  <w:tcBorders>
                    <w:tl2br w:val="nil"/>
                    <w:tr2bl w:val="nil"/>
                  </w:tcBorders>
                  <w:shd w:val="clear" w:color="auto" w:fill="auto"/>
                  <w:vAlign w:val="center"/>
                </w:tcPr>
                <w:p w14:paraId="6669FDB4">
                  <w:pPr>
                    <w:jc w:val="center"/>
                    <w:rPr>
                      <w:rFonts w:hint="default" w:ascii="Times New Roman" w:hAnsi="Times New Roman" w:eastAsia="宋体" w:cs="Times New Roman"/>
                      <w:color w:val="auto"/>
                      <w:spacing w:val="-10"/>
                      <w:kern w:val="2"/>
                      <w:sz w:val="18"/>
                      <w:szCs w:val="18"/>
                      <w:lang w:val="en-US" w:eastAsia="zh-CN" w:bidi="ar-SA"/>
                    </w:rPr>
                  </w:pPr>
                  <w:r>
                    <w:rPr>
                      <w:rFonts w:hint="eastAsia" w:ascii="Times New Roman" w:hAnsi="Times New Roman" w:eastAsia="宋体" w:cs="Times New Roman"/>
                      <w:color w:val="auto"/>
                      <w:spacing w:val="-10"/>
                      <w:sz w:val="18"/>
                      <w:szCs w:val="18"/>
                      <w:lang w:val="en-US" w:eastAsia="zh-CN"/>
                    </w:rPr>
                    <w:t>尺寸2m*8m*1.5m，钢材质，生产能力</w:t>
                  </w:r>
                  <w:r>
                    <w:rPr>
                      <w:rFonts w:hint="eastAsia" w:cs="Times New Roman"/>
                      <w:color w:val="auto"/>
                      <w:spacing w:val="-10"/>
                      <w:sz w:val="18"/>
                      <w:szCs w:val="18"/>
                      <w:lang w:val="en-US" w:eastAsia="zh-CN"/>
                    </w:rPr>
                    <w:t>5</w:t>
                  </w:r>
                  <w:r>
                    <w:rPr>
                      <w:rFonts w:hint="eastAsia" w:ascii="Times New Roman" w:hAnsi="Times New Roman" w:eastAsia="宋体" w:cs="Times New Roman"/>
                      <w:color w:val="auto"/>
                      <w:spacing w:val="-10"/>
                      <w:sz w:val="18"/>
                      <w:szCs w:val="18"/>
                      <w:lang w:val="en-US" w:eastAsia="zh-CN"/>
                    </w:rPr>
                    <w:t>0t/h</w:t>
                  </w:r>
                </w:p>
              </w:tc>
              <w:tc>
                <w:tcPr>
                  <w:tcW w:w="326" w:type="pct"/>
                  <w:tcBorders>
                    <w:tl2br w:val="nil"/>
                    <w:tr2bl w:val="nil"/>
                  </w:tcBorders>
                  <w:shd w:val="clear" w:color="auto" w:fill="auto"/>
                  <w:vAlign w:val="center"/>
                </w:tcPr>
                <w:p w14:paraId="25839E00">
                  <w:pPr>
                    <w:spacing w:line="0" w:lineRule="atLeast"/>
                    <w:jc w:val="center"/>
                    <w:rPr>
                      <w:rFonts w:hint="eastAsia" w:ascii="Times New Roman" w:hAnsi="Times New Roman" w:eastAsia="宋体" w:cs="Times New Roman"/>
                      <w:color w:val="auto"/>
                      <w:spacing w:val="-10"/>
                      <w:kern w:val="2"/>
                      <w:sz w:val="18"/>
                      <w:szCs w:val="18"/>
                      <w:lang w:val="en-US" w:eastAsia="zh-CN" w:bidi="ar-SA"/>
                    </w:rPr>
                  </w:pPr>
                  <w:r>
                    <w:rPr>
                      <w:rFonts w:hint="eastAsia" w:ascii="Times New Roman" w:hAnsi="Times New Roman" w:eastAsia="宋体" w:cs="Times New Roman"/>
                      <w:color w:val="auto"/>
                      <w:spacing w:val="-10"/>
                      <w:kern w:val="2"/>
                      <w:sz w:val="18"/>
                      <w:szCs w:val="18"/>
                      <w:lang w:val="en-US" w:eastAsia="zh-CN" w:bidi="ar-SA"/>
                    </w:rPr>
                    <w:t>台</w:t>
                  </w:r>
                </w:p>
              </w:tc>
              <w:tc>
                <w:tcPr>
                  <w:tcW w:w="291" w:type="pct"/>
                  <w:tcBorders>
                    <w:tl2br w:val="nil"/>
                    <w:tr2bl w:val="nil"/>
                  </w:tcBorders>
                  <w:shd w:val="clear" w:color="auto" w:fill="auto"/>
                  <w:vAlign w:val="center"/>
                </w:tcPr>
                <w:p w14:paraId="4EE09586">
                  <w:pPr>
                    <w:spacing w:line="0" w:lineRule="atLeast"/>
                    <w:jc w:val="center"/>
                    <w:rPr>
                      <w:rFonts w:hint="eastAsia" w:ascii="Times New Roman" w:hAnsi="Times New Roman" w:eastAsia="宋体" w:cs="Times New Roman"/>
                      <w:color w:val="auto"/>
                      <w:spacing w:val="-10"/>
                      <w:kern w:val="2"/>
                      <w:sz w:val="18"/>
                      <w:szCs w:val="18"/>
                      <w:lang w:val="en-US" w:eastAsia="zh-CN" w:bidi="ar-SA"/>
                    </w:rPr>
                  </w:pPr>
                  <w:r>
                    <w:rPr>
                      <w:rFonts w:hint="eastAsia" w:ascii="Times New Roman" w:hAnsi="Times New Roman" w:eastAsia="宋体" w:cs="Times New Roman"/>
                      <w:color w:val="auto"/>
                      <w:spacing w:val="-10"/>
                      <w:kern w:val="2"/>
                      <w:sz w:val="18"/>
                      <w:szCs w:val="18"/>
                      <w:lang w:val="en-US" w:eastAsia="zh-CN" w:bidi="ar-SA"/>
                    </w:rPr>
                    <w:t>6</w:t>
                  </w:r>
                </w:p>
              </w:tc>
              <w:tc>
                <w:tcPr>
                  <w:tcW w:w="632" w:type="pct"/>
                  <w:tcBorders>
                    <w:tl2br w:val="nil"/>
                    <w:tr2bl w:val="nil"/>
                  </w:tcBorders>
                  <w:shd w:val="clear" w:color="auto" w:fill="auto"/>
                  <w:vAlign w:val="center"/>
                </w:tcPr>
                <w:p w14:paraId="79507F09">
                  <w:pPr>
                    <w:spacing w:line="0" w:lineRule="atLeast"/>
                    <w:jc w:val="center"/>
                    <w:rPr>
                      <w:rFonts w:hint="eastAsia" w:ascii="Times New Roman" w:hAnsi="Times New Roman" w:eastAsia="宋体" w:cs="Times New Roman"/>
                      <w:color w:val="auto"/>
                      <w:spacing w:val="-10"/>
                      <w:kern w:val="2"/>
                      <w:sz w:val="18"/>
                      <w:szCs w:val="18"/>
                      <w:lang w:val="en-US" w:eastAsia="zh-CN" w:bidi="ar-SA"/>
                    </w:rPr>
                  </w:pPr>
                  <w:r>
                    <w:rPr>
                      <w:rFonts w:hint="eastAsia"/>
                      <w:color w:val="auto"/>
                      <w:spacing w:val="-10"/>
                      <w:sz w:val="18"/>
                      <w:szCs w:val="18"/>
                      <w:lang w:val="en-US" w:eastAsia="zh-CN"/>
                    </w:rPr>
                    <w:t>物料</w:t>
                  </w:r>
                  <w:r>
                    <w:rPr>
                      <w:rFonts w:hint="eastAsia" w:ascii="Times New Roman" w:hAnsi="Times New Roman" w:eastAsia="宋体" w:cs="Times New Roman"/>
                      <w:color w:val="auto"/>
                      <w:spacing w:val="-10"/>
                      <w:sz w:val="18"/>
                      <w:szCs w:val="18"/>
                      <w:lang w:val="en-US" w:eastAsia="zh-CN"/>
                    </w:rPr>
                    <w:t>漂洗</w:t>
                  </w:r>
                </w:p>
              </w:tc>
            </w:tr>
            <w:tr w14:paraId="06514DE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272" w:type="pct"/>
                  <w:tcBorders>
                    <w:tl2br w:val="nil"/>
                    <w:tr2bl w:val="nil"/>
                  </w:tcBorders>
                  <w:shd w:val="clear" w:color="auto" w:fill="auto"/>
                  <w:vAlign w:val="center"/>
                </w:tcPr>
                <w:p w14:paraId="427EF6E5">
                  <w:pPr>
                    <w:widowControl/>
                    <w:spacing w:line="0" w:lineRule="atLeast"/>
                    <w:jc w:val="center"/>
                    <w:rPr>
                      <w:rFonts w:hint="default" w:ascii="Times New Roman" w:hAnsi="Times New Roman" w:eastAsia="宋体" w:cs="Times New Roman"/>
                      <w:color w:val="auto"/>
                      <w:spacing w:val="-10"/>
                      <w:kern w:val="2"/>
                      <w:sz w:val="18"/>
                      <w:szCs w:val="18"/>
                      <w:lang w:val="en-US" w:eastAsia="zh-CN" w:bidi="ar-SA"/>
                    </w:rPr>
                  </w:pPr>
                  <w:r>
                    <w:rPr>
                      <w:rFonts w:hint="eastAsia"/>
                      <w:color w:val="auto"/>
                      <w:spacing w:val="-10"/>
                      <w:sz w:val="18"/>
                      <w:szCs w:val="18"/>
                      <w:lang w:val="en-US" w:eastAsia="zh-CN"/>
                    </w:rPr>
                    <w:t>5</w:t>
                  </w:r>
                </w:p>
              </w:tc>
              <w:tc>
                <w:tcPr>
                  <w:tcW w:w="368" w:type="pct"/>
                  <w:vMerge w:val="continue"/>
                  <w:tcBorders>
                    <w:tl2br w:val="nil"/>
                    <w:tr2bl w:val="nil"/>
                  </w:tcBorders>
                  <w:vAlign w:val="center"/>
                </w:tcPr>
                <w:p w14:paraId="3CF7C2D5">
                  <w:pPr>
                    <w:widowControl/>
                    <w:spacing w:line="0" w:lineRule="atLeast"/>
                    <w:jc w:val="center"/>
                    <w:rPr>
                      <w:rFonts w:hint="eastAsia"/>
                      <w:color w:val="auto"/>
                      <w:spacing w:val="-10"/>
                      <w:sz w:val="18"/>
                      <w:szCs w:val="18"/>
                      <w:lang w:val="en-US" w:eastAsia="zh-CN"/>
                    </w:rPr>
                  </w:pPr>
                </w:p>
              </w:tc>
              <w:tc>
                <w:tcPr>
                  <w:tcW w:w="402" w:type="pct"/>
                  <w:vMerge w:val="continue"/>
                  <w:tcBorders>
                    <w:tl2br w:val="nil"/>
                    <w:tr2bl w:val="nil"/>
                  </w:tcBorders>
                  <w:vAlign w:val="center"/>
                </w:tcPr>
                <w:p w14:paraId="6C65DA14">
                  <w:pPr>
                    <w:widowControl/>
                    <w:spacing w:line="0" w:lineRule="atLeast"/>
                    <w:jc w:val="center"/>
                    <w:rPr>
                      <w:rFonts w:hint="eastAsia" w:ascii="Times New Roman" w:hAnsi="Times New Roman" w:eastAsia="宋体" w:cs="Times New Roman"/>
                      <w:color w:val="auto"/>
                      <w:spacing w:val="-10"/>
                      <w:sz w:val="18"/>
                      <w:szCs w:val="18"/>
                      <w:lang w:val="en-US" w:eastAsia="zh-CN"/>
                    </w:rPr>
                  </w:pPr>
                </w:p>
              </w:tc>
              <w:tc>
                <w:tcPr>
                  <w:tcW w:w="1027" w:type="pct"/>
                  <w:tcBorders>
                    <w:tl2br w:val="nil"/>
                    <w:tr2bl w:val="nil"/>
                  </w:tcBorders>
                  <w:shd w:val="clear" w:color="auto" w:fill="auto"/>
                  <w:vAlign w:val="center"/>
                </w:tcPr>
                <w:p w14:paraId="06347B85">
                  <w:pPr>
                    <w:spacing w:line="0" w:lineRule="atLeast"/>
                    <w:jc w:val="center"/>
                    <w:rPr>
                      <w:rFonts w:hint="eastAsia" w:ascii="Times New Roman" w:hAnsi="Times New Roman" w:eastAsia="宋体" w:cs="Times New Roman"/>
                      <w:color w:val="auto"/>
                      <w:spacing w:val="-10"/>
                      <w:kern w:val="2"/>
                      <w:sz w:val="18"/>
                      <w:szCs w:val="18"/>
                      <w:lang w:val="en-US" w:eastAsia="zh-CN" w:bidi="ar-SA"/>
                    </w:rPr>
                  </w:pPr>
                  <w:r>
                    <w:rPr>
                      <w:rFonts w:hint="eastAsia" w:cs="Times New Roman"/>
                      <w:color w:val="auto"/>
                      <w:spacing w:val="-10"/>
                      <w:kern w:val="2"/>
                      <w:sz w:val="18"/>
                      <w:szCs w:val="18"/>
                      <w:lang w:val="en-US" w:eastAsia="zh-CN" w:bidi="ar-SA"/>
                    </w:rPr>
                    <w:t>破碎机</w:t>
                  </w:r>
                </w:p>
              </w:tc>
              <w:tc>
                <w:tcPr>
                  <w:tcW w:w="1679" w:type="pct"/>
                  <w:tcBorders>
                    <w:tl2br w:val="nil"/>
                    <w:tr2bl w:val="nil"/>
                  </w:tcBorders>
                  <w:shd w:val="clear" w:color="auto" w:fill="auto"/>
                  <w:vAlign w:val="center"/>
                </w:tcPr>
                <w:p w14:paraId="1A0BB4DD">
                  <w:pPr>
                    <w:spacing w:line="0" w:lineRule="atLeast"/>
                    <w:jc w:val="center"/>
                    <w:rPr>
                      <w:rFonts w:hint="eastAsia" w:ascii="Times New Roman" w:hAnsi="Times New Roman" w:eastAsia="宋体" w:cs="Times New Roman"/>
                      <w:color w:val="auto"/>
                      <w:spacing w:val="-10"/>
                      <w:kern w:val="2"/>
                      <w:sz w:val="18"/>
                      <w:szCs w:val="18"/>
                      <w:lang w:val="en-US" w:eastAsia="zh-CN" w:bidi="ar-SA"/>
                    </w:rPr>
                  </w:pPr>
                  <w:r>
                    <w:rPr>
                      <w:rFonts w:hint="eastAsia" w:ascii="Times New Roman" w:hAnsi="Times New Roman" w:eastAsia="宋体" w:cs="Times New Roman"/>
                      <w:color w:val="auto"/>
                      <w:spacing w:val="-10"/>
                      <w:sz w:val="18"/>
                      <w:szCs w:val="18"/>
                      <w:highlight w:val="none"/>
                      <w:lang w:val="en-US" w:eastAsia="zh-CN"/>
                    </w:rPr>
                    <w:t>生产能力20-40t/h</w:t>
                  </w:r>
                </w:p>
              </w:tc>
              <w:tc>
                <w:tcPr>
                  <w:tcW w:w="326" w:type="pct"/>
                  <w:tcBorders>
                    <w:tl2br w:val="nil"/>
                    <w:tr2bl w:val="nil"/>
                  </w:tcBorders>
                  <w:shd w:val="clear" w:color="auto" w:fill="auto"/>
                  <w:vAlign w:val="center"/>
                </w:tcPr>
                <w:p w14:paraId="7B888116">
                  <w:pPr>
                    <w:spacing w:line="0" w:lineRule="atLeast"/>
                    <w:jc w:val="center"/>
                    <w:rPr>
                      <w:rFonts w:hint="eastAsia" w:ascii="Times New Roman" w:hAnsi="Times New Roman" w:eastAsia="宋体" w:cs="Times New Roman"/>
                      <w:color w:val="auto"/>
                      <w:spacing w:val="-10"/>
                      <w:kern w:val="2"/>
                      <w:sz w:val="18"/>
                      <w:szCs w:val="18"/>
                      <w:lang w:val="en-US" w:eastAsia="zh-CN" w:bidi="ar-SA"/>
                    </w:rPr>
                  </w:pPr>
                  <w:r>
                    <w:rPr>
                      <w:rFonts w:hint="eastAsia" w:ascii="Times New Roman" w:hAnsi="Times New Roman" w:eastAsia="宋体" w:cs="Times New Roman"/>
                      <w:color w:val="auto"/>
                      <w:spacing w:val="-10"/>
                      <w:kern w:val="2"/>
                      <w:sz w:val="18"/>
                      <w:szCs w:val="18"/>
                      <w:lang w:val="en-US" w:eastAsia="zh-CN" w:bidi="ar-SA"/>
                    </w:rPr>
                    <w:t>台</w:t>
                  </w:r>
                </w:p>
              </w:tc>
              <w:tc>
                <w:tcPr>
                  <w:tcW w:w="291" w:type="pct"/>
                  <w:tcBorders>
                    <w:tl2br w:val="nil"/>
                    <w:tr2bl w:val="nil"/>
                  </w:tcBorders>
                  <w:shd w:val="clear" w:color="auto" w:fill="auto"/>
                  <w:vAlign w:val="center"/>
                </w:tcPr>
                <w:p w14:paraId="10F6FECF">
                  <w:pPr>
                    <w:spacing w:line="0" w:lineRule="atLeast"/>
                    <w:jc w:val="center"/>
                    <w:rPr>
                      <w:rFonts w:hint="eastAsia" w:ascii="Times New Roman" w:hAnsi="Times New Roman" w:eastAsia="宋体" w:cs="Times New Roman"/>
                      <w:color w:val="auto"/>
                      <w:spacing w:val="-10"/>
                      <w:kern w:val="2"/>
                      <w:sz w:val="18"/>
                      <w:szCs w:val="18"/>
                      <w:lang w:val="en-US" w:eastAsia="zh-CN" w:bidi="ar-SA"/>
                    </w:rPr>
                  </w:pPr>
                  <w:r>
                    <w:rPr>
                      <w:rFonts w:hint="eastAsia" w:ascii="Times New Roman" w:hAnsi="Times New Roman" w:eastAsia="宋体" w:cs="Times New Roman"/>
                      <w:color w:val="auto"/>
                      <w:spacing w:val="-10"/>
                      <w:kern w:val="2"/>
                      <w:sz w:val="18"/>
                      <w:szCs w:val="18"/>
                      <w:lang w:val="en-US" w:eastAsia="zh-CN" w:bidi="ar-SA"/>
                    </w:rPr>
                    <w:t>2</w:t>
                  </w:r>
                </w:p>
              </w:tc>
              <w:tc>
                <w:tcPr>
                  <w:tcW w:w="632" w:type="pct"/>
                  <w:tcBorders>
                    <w:tl2br w:val="nil"/>
                    <w:tr2bl w:val="nil"/>
                  </w:tcBorders>
                  <w:shd w:val="clear" w:color="auto" w:fill="auto"/>
                  <w:vAlign w:val="center"/>
                </w:tcPr>
                <w:p w14:paraId="70BF7C8A">
                  <w:pPr>
                    <w:spacing w:line="0" w:lineRule="atLeast"/>
                    <w:jc w:val="center"/>
                    <w:rPr>
                      <w:rFonts w:hint="default" w:ascii="Times New Roman" w:hAnsi="Times New Roman" w:eastAsia="宋体" w:cs="Times New Roman"/>
                      <w:color w:val="auto"/>
                      <w:spacing w:val="-10"/>
                      <w:kern w:val="2"/>
                      <w:sz w:val="18"/>
                      <w:szCs w:val="18"/>
                      <w:lang w:val="en-US" w:eastAsia="zh-CN" w:bidi="ar-SA"/>
                    </w:rPr>
                  </w:pPr>
                  <w:r>
                    <w:rPr>
                      <w:rFonts w:hint="eastAsia"/>
                      <w:color w:val="auto"/>
                      <w:spacing w:val="-10"/>
                      <w:sz w:val="18"/>
                      <w:szCs w:val="18"/>
                      <w:lang w:val="en-US" w:eastAsia="zh-CN"/>
                    </w:rPr>
                    <w:t>物料</w:t>
                  </w:r>
                  <w:r>
                    <w:rPr>
                      <w:rFonts w:hint="eastAsia" w:cs="Times New Roman"/>
                      <w:color w:val="auto"/>
                      <w:spacing w:val="-10"/>
                      <w:kern w:val="2"/>
                      <w:sz w:val="18"/>
                      <w:szCs w:val="18"/>
                      <w:lang w:val="en-US" w:eastAsia="zh-CN" w:bidi="ar-SA"/>
                    </w:rPr>
                    <w:t>破碎</w:t>
                  </w:r>
                </w:p>
              </w:tc>
            </w:tr>
            <w:tr w14:paraId="1B36753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272" w:type="pct"/>
                  <w:tcBorders>
                    <w:tl2br w:val="nil"/>
                    <w:tr2bl w:val="nil"/>
                  </w:tcBorders>
                  <w:shd w:val="clear" w:color="auto" w:fill="auto"/>
                  <w:vAlign w:val="center"/>
                </w:tcPr>
                <w:p w14:paraId="13F2FAC7">
                  <w:pPr>
                    <w:widowControl/>
                    <w:spacing w:line="0" w:lineRule="atLeast"/>
                    <w:jc w:val="center"/>
                    <w:rPr>
                      <w:rFonts w:hint="default" w:ascii="Times New Roman" w:hAnsi="Times New Roman" w:eastAsia="宋体" w:cs="Times New Roman"/>
                      <w:color w:val="auto"/>
                      <w:spacing w:val="-10"/>
                      <w:kern w:val="2"/>
                      <w:sz w:val="18"/>
                      <w:szCs w:val="18"/>
                      <w:lang w:val="en-US" w:eastAsia="zh-CN" w:bidi="ar-SA"/>
                    </w:rPr>
                  </w:pPr>
                  <w:r>
                    <w:rPr>
                      <w:rFonts w:hint="eastAsia"/>
                      <w:color w:val="auto"/>
                      <w:spacing w:val="-10"/>
                      <w:sz w:val="18"/>
                      <w:szCs w:val="18"/>
                      <w:lang w:val="en-US" w:eastAsia="zh-CN"/>
                    </w:rPr>
                    <w:t>6</w:t>
                  </w:r>
                </w:p>
              </w:tc>
              <w:tc>
                <w:tcPr>
                  <w:tcW w:w="368" w:type="pct"/>
                  <w:vMerge w:val="continue"/>
                  <w:tcBorders>
                    <w:tl2br w:val="nil"/>
                    <w:tr2bl w:val="nil"/>
                  </w:tcBorders>
                  <w:vAlign w:val="center"/>
                </w:tcPr>
                <w:p w14:paraId="22420E1C">
                  <w:pPr>
                    <w:widowControl/>
                    <w:spacing w:line="0" w:lineRule="atLeast"/>
                    <w:jc w:val="center"/>
                    <w:rPr>
                      <w:rFonts w:hint="eastAsia"/>
                      <w:color w:val="auto"/>
                      <w:spacing w:val="-10"/>
                      <w:sz w:val="18"/>
                      <w:szCs w:val="18"/>
                      <w:lang w:val="en-US" w:eastAsia="zh-CN"/>
                    </w:rPr>
                  </w:pPr>
                </w:p>
              </w:tc>
              <w:tc>
                <w:tcPr>
                  <w:tcW w:w="402" w:type="pct"/>
                  <w:vMerge w:val="continue"/>
                  <w:tcBorders>
                    <w:tl2br w:val="nil"/>
                    <w:tr2bl w:val="nil"/>
                  </w:tcBorders>
                  <w:vAlign w:val="center"/>
                </w:tcPr>
                <w:p w14:paraId="48A2E913">
                  <w:pPr>
                    <w:widowControl/>
                    <w:spacing w:line="0" w:lineRule="atLeast"/>
                    <w:jc w:val="center"/>
                    <w:rPr>
                      <w:rFonts w:hint="eastAsia" w:ascii="Times New Roman" w:hAnsi="Times New Roman" w:eastAsia="宋体" w:cs="Times New Roman"/>
                      <w:color w:val="auto"/>
                      <w:spacing w:val="-10"/>
                      <w:sz w:val="18"/>
                      <w:szCs w:val="18"/>
                      <w:lang w:val="en-US" w:eastAsia="zh-CN"/>
                    </w:rPr>
                  </w:pPr>
                </w:p>
              </w:tc>
              <w:tc>
                <w:tcPr>
                  <w:tcW w:w="1027" w:type="pct"/>
                  <w:tcBorders>
                    <w:tl2br w:val="nil"/>
                    <w:tr2bl w:val="nil"/>
                  </w:tcBorders>
                  <w:shd w:val="clear" w:color="auto" w:fill="auto"/>
                  <w:vAlign w:val="center"/>
                </w:tcPr>
                <w:p w14:paraId="2C85DD3F">
                  <w:pPr>
                    <w:spacing w:line="0" w:lineRule="atLeast"/>
                    <w:jc w:val="center"/>
                    <w:rPr>
                      <w:rFonts w:hint="default" w:cs="Times New Roman"/>
                      <w:color w:val="auto"/>
                      <w:spacing w:val="-10"/>
                      <w:kern w:val="2"/>
                      <w:sz w:val="18"/>
                      <w:szCs w:val="18"/>
                      <w:lang w:val="en-US" w:eastAsia="zh-CN" w:bidi="ar-SA"/>
                    </w:rPr>
                  </w:pPr>
                  <w:r>
                    <w:rPr>
                      <w:rFonts w:hint="eastAsia" w:cs="Times New Roman"/>
                      <w:color w:val="auto"/>
                      <w:spacing w:val="-10"/>
                      <w:kern w:val="2"/>
                      <w:sz w:val="18"/>
                      <w:szCs w:val="18"/>
                      <w:lang w:val="en-US" w:eastAsia="zh-CN" w:bidi="ar-SA"/>
                    </w:rPr>
                    <w:t>甩干机</w:t>
                  </w:r>
                </w:p>
              </w:tc>
              <w:tc>
                <w:tcPr>
                  <w:tcW w:w="1679" w:type="pct"/>
                  <w:tcBorders>
                    <w:tl2br w:val="nil"/>
                    <w:tr2bl w:val="nil"/>
                  </w:tcBorders>
                  <w:shd w:val="clear" w:color="auto" w:fill="auto"/>
                  <w:vAlign w:val="center"/>
                </w:tcPr>
                <w:p w14:paraId="61FC6CF9">
                  <w:pPr>
                    <w:spacing w:line="0" w:lineRule="atLeast"/>
                    <w:jc w:val="center"/>
                    <w:rPr>
                      <w:rFonts w:hint="eastAsia" w:ascii="Times New Roman" w:hAnsi="Times New Roman" w:eastAsia="宋体" w:cs="Times New Roman"/>
                      <w:color w:val="auto"/>
                      <w:spacing w:val="-10"/>
                      <w:kern w:val="2"/>
                      <w:sz w:val="18"/>
                      <w:szCs w:val="18"/>
                      <w:lang w:val="en-US" w:eastAsia="zh-CN" w:bidi="ar-SA"/>
                    </w:rPr>
                  </w:pPr>
                  <w:r>
                    <w:rPr>
                      <w:rFonts w:hint="eastAsia" w:ascii="Times New Roman" w:hAnsi="Times New Roman" w:eastAsia="宋体" w:cs="Times New Roman"/>
                      <w:color w:val="auto"/>
                      <w:spacing w:val="-10"/>
                      <w:kern w:val="2"/>
                      <w:sz w:val="18"/>
                      <w:szCs w:val="18"/>
                      <w:lang w:val="en-US" w:eastAsia="zh-CN" w:bidi="ar-SA"/>
                    </w:rPr>
                    <w:t>生产能力30t/h</w:t>
                  </w:r>
                </w:p>
              </w:tc>
              <w:tc>
                <w:tcPr>
                  <w:tcW w:w="326" w:type="pct"/>
                  <w:tcBorders>
                    <w:tl2br w:val="nil"/>
                    <w:tr2bl w:val="nil"/>
                  </w:tcBorders>
                  <w:shd w:val="clear" w:color="auto" w:fill="auto"/>
                  <w:vAlign w:val="center"/>
                </w:tcPr>
                <w:p w14:paraId="09E939E0">
                  <w:pPr>
                    <w:spacing w:line="0" w:lineRule="atLeast"/>
                    <w:jc w:val="center"/>
                    <w:rPr>
                      <w:rFonts w:hint="eastAsia" w:ascii="Times New Roman" w:hAnsi="Times New Roman" w:eastAsia="宋体" w:cs="Times New Roman"/>
                      <w:color w:val="auto"/>
                      <w:spacing w:val="-10"/>
                      <w:kern w:val="2"/>
                      <w:sz w:val="18"/>
                      <w:szCs w:val="18"/>
                      <w:lang w:val="en-US" w:eastAsia="zh-CN" w:bidi="ar-SA"/>
                    </w:rPr>
                  </w:pPr>
                  <w:r>
                    <w:rPr>
                      <w:rFonts w:hint="eastAsia" w:ascii="Times New Roman" w:hAnsi="Times New Roman" w:eastAsia="宋体" w:cs="Times New Roman"/>
                      <w:color w:val="auto"/>
                      <w:spacing w:val="-10"/>
                      <w:kern w:val="2"/>
                      <w:sz w:val="18"/>
                      <w:szCs w:val="18"/>
                      <w:lang w:val="en-US" w:eastAsia="zh-CN" w:bidi="ar-SA"/>
                    </w:rPr>
                    <w:t>台</w:t>
                  </w:r>
                </w:p>
              </w:tc>
              <w:tc>
                <w:tcPr>
                  <w:tcW w:w="291" w:type="pct"/>
                  <w:tcBorders>
                    <w:tl2br w:val="nil"/>
                    <w:tr2bl w:val="nil"/>
                  </w:tcBorders>
                  <w:shd w:val="clear" w:color="auto" w:fill="auto"/>
                  <w:vAlign w:val="center"/>
                </w:tcPr>
                <w:p w14:paraId="20C7F1BD">
                  <w:pPr>
                    <w:spacing w:line="0" w:lineRule="atLeast"/>
                    <w:jc w:val="center"/>
                    <w:rPr>
                      <w:rFonts w:hint="eastAsia" w:ascii="Times New Roman" w:hAnsi="Times New Roman" w:eastAsia="宋体" w:cs="Times New Roman"/>
                      <w:color w:val="auto"/>
                      <w:spacing w:val="-10"/>
                      <w:kern w:val="2"/>
                      <w:sz w:val="18"/>
                      <w:szCs w:val="18"/>
                      <w:lang w:val="en-US" w:eastAsia="zh-CN" w:bidi="ar-SA"/>
                    </w:rPr>
                  </w:pPr>
                  <w:r>
                    <w:rPr>
                      <w:rFonts w:hint="eastAsia" w:ascii="Times New Roman" w:hAnsi="Times New Roman" w:eastAsia="宋体" w:cs="Times New Roman"/>
                      <w:color w:val="auto"/>
                      <w:spacing w:val="-10"/>
                      <w:kern w:val="2"/>
                      <w:sz w:val="18"/>
                      <w:szCs w:val="18"/>
                      <w:lang w:val="en-US" w:eastAsia="zh-CN" w:bidi="ar-SA"/>
                    </w:rPr>
                    <w:t>4</w:t>
                  </w:r>
                </w:p>
              </w:tc>
              <w:tc>
                <w:tcPr>
                  <w:tcW w:w="632" w:type="pct"/>
                  <w:tcBorders>
                    <w:tl2br w:val="nil"/>
                    <w:tr2bl w:val="nil"/>
                  </w:tcBorders>
                  <w:shd w:val="clear" w:color="auto" w:fill="auto"/>
                  <w:vAlign w:val="center"/>
                </w:tcPr>
                <w:p w14:paraId="4238678A">
                  <w:pPr>
                    <w:spacing w:line="0" w:lineRule="atLeast"/>
                    <w:jc w:val="center"/>
                    <w:rPr>
                      <w:rFonts w:hint="eastAsia" w:eastAsia="宋体"/>
                      <w:color w:val="auto"/>
                      <w:spacing w:val="-10"/>
                      <w:sz w:val="18"/>
                      <w:szCs w:val="18"/>
                      <w:lang w:val="en-US" w:eastAsia="zh-CN"/>
                    </w:rPr>
                  </w:pPr>
                  <w:r>
                    <w:rPr>
                      <w:rFonts w:hint="eastAsia"/>
                      <w:color w:val="auto"/>
                      <w:spacing w:val="-10"/>
                      <w:sz w:val="18"/>
                      <w:szCs w:val="18"/>
                      <w:lang w:val="en-US" w:eastAsia="zh-CN"/>
                    </w:rPr>
                    <w:t>物料脱水</w:t>
                  </w:r>
                </w:p>
              </w:tc>
            </w:tr>
            <w:tr w14:paraId="6D6396C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272" w:type="pct"/>
                  <w:tcBorders>
                    <w:tl2br w:val="nil"/>
                    <w:tr2bl w:val="nil"/>
                  </w:tcBorders>
                  <w:shd w:val="clear" w:color="auto" w:fill="auto"/>
                  <w:vAlign w:val="center"/>
                </w:tcPr>
                <w:p w14:paraId="2427B74A">
                  <w:pPr>
                    <w:widowControl/>
                    <w:spacing w:line="0" w:lineRule="atLeast"/>
                    <w:jc w:val="center"/>
                    <w:rPr>
                      <w:rFonts w:hint="default" w:ascii="Times New Roman" w:hAnsi="Times New Roman" w:eastAsia="宋体" w:cs="Times New Roman"/>
                      <w:color w:val="auto"/>
                      <w:spacing w:val="-10"/>
                      <w:kern w:val="2"/>
                      <w:sz w:val="18"/>
                      <w:szCs w:val="18"/>
                      <w:lang w:val="en-US" w:eastAsia="zh-CN" w:bidi="ar-SA"/>
                    </w:rPr>
                  </w:pPr>
                  <w:r>
                    <w:rPr>
                      <w:rFonts w:hint="eastAsia"/>
                      <w:color w:val="auto"/>
                      <w:spacing w:val="-10"/>
                      <w:sz w:val="18"/>
                      <w:szCs w:val="18"/>
                      <w:lang w:val="en-US" w:eastAsia="zh-CN"/>
                    </w:rPr>
                    <w:t>7</w:t>
                  </w:r>
                </w:p>
              </w:tc>
              <w:tc>
                <w:tcPr>
                  <w:tcW w:w="368" w:type="pct"/>
                  <w:vMerge w:val="continue"/>
                  <w:tcBorders>
                    <w:tl2br w:val="nil"/>
                    <w:tr2bl w:val="nil"/>
                  </w:tcBorders>
                  <w:vAlign w:val="center"/>
                </w:tcPr>
                <w:p w14:paraId="56B6CEEF">
                  <w:pPr>
                    <w:widowControl/>
                    <w:spacing w:line="0" w:lineRule="atLeast"/>
                    <w:jc w:val="center"/>
                    <w:rPr>
                      <w:rFonts w:hint="eastAsia"/>
                      <w:color w:val="auto"/>
                      <w:spacing w:val="-10"/>
                      <w:sz w:val="18"/>
                      <w:szCs w:val="18"/>
                      <w:lang w:val="en-US" w:eastAsia="zh-CN"/>
                    </w:rPr>
                  </w:pPr>
                </w:p>
              </w:tc>
              <w:tc>
                <w:tcPr>
                  <w:tcW w:w="402" w:type="pct"/>
                  <w:vMerge w:val="continue"/>
                  <w:tcBorders>
                    <w:tl2br w:val="nil"/>
                    <w:tr2bl w:val="nil"/>
                  </w:tcBorders>
                  <w:vAlign w:val="center"/>
                </w:tcPr>
                <w:p w14:paraId="216EE1A6">
                  <w:pPr>
                    <w:widowControl/>
                    <w:spacing w:line="0" w:lineRule="atLeast"/>
                    <w:jc w:val="center"/>
                    <w:rPr>
                      <w:rFonts w:hint="eastAsia" w:ascii="Times New Roman" w:hAnsi="Times New Roman" w:eastAsia="宋体" w:cs="Times New Roman"/>
                      <w:color w:val="auto"/>
                      <w:spacing w:val="-10"/>
                      <w:sz w:val="18"/>
                      <w:szCs w:val="18"/>
                      <w:lang w:val="en-US" w:eastAsia="zh-CN"/>
                    </w:rPr>
                  </w:pPr>
                </w:p>
              </w:tc>
              <w:tc>
                <w:tcPr>
                  <w:tcW w:w="1027" w:type="pct"/>
                  <w:tcBorders>
                    <w:tl2br w:val="nil"/>
                    <w:tr2bl w:val="nil"/>
                  </w:tcBorders>
                  <w:shd w:val="clear" w:color="auto" w:fill="auto"/>
                  <w:vAlign w:val="center"/>
                </w:tcPr>
                <w:p w14:paraId="23EFE28F">
                  <w:pPr>
                    <w:spacing w:line="0" w:lineRule="atLeast"/>
                    <w:jc w:val="center"/>
                    <w:rPr>
                      <w:rFonts w:hint="default"/>
                      <w:color w:val="auto"/>
                      <w:spacing w:val="-10"/>
                      <w:sz w:val="18"/>
                      <w:szCs w:val="18"/>
                      <w:lang w:val="en-US" w:eastAsia="zh-CN"/>
                    </w:rPr>
                  </w:pPr>
                  <w:r>
                    <w:rPr>
                      <w:rFonts w:hint="eastAsia"/>
                      <w:color w:val="auto"/>
                      <w:spacing w:val="-10"/>
                      <w:sz w:val="18"/>
                      <w:szCs w:val="18"/>
                      <w:lang w:val="en-US" w:eastAsia="zh-CN"/>
                    </w:rPr>
                    <w:t>空气分选机</w:t>
                  </w:r>
                </w:p>
              </w:tc>
              <w:tc>
                <w:tcPr>
                  <w:tcW w:w="1679" w:type="pct"/>
                  <w:tcBorders>
                    <w:tl2br w:val="nil"/>
                    <w:tr2bl w:val="nil"/>
                  </w:tcBorders>
                  <w:shd w:val="clear" w:color="auto" w:fill="auto"/>
                  <w:vAlign w:val="center"/>
                </w:tcPr>
                <w:p w14:paraId="4813E852">
                  <w:pPr>
                    <w:spacing w:line="0" w:lineRule="atLeast"/>
                    <w:jc w:val="center"/>
                    <w:rPr>
                      <w:rFonts w:hint="default"/>
                      <w:color w:val="auto"/>
                      <w:spacing w:val="-10"/>
                      <w:sz w:val="18"/>
                      <w:szCs w:val="18"/>
                      <w:lang w:val="en-US" w:eastAsia="zh-CN"/>
                    </w:rPr>
                  </w:pPr>
                  <w:r>
                    <w:rPr>
                      <w:rFonts w:hint="eastAsia"/>
                      <w:color w:val="auto"/>
                      <w:spacing w:val="-10"/>
                      <w:sz w:val="18"/>
                      <w:szCs w:val="18"/>
                      <w:lang w:val="en-US" w:eastAsia="zh-CN"/>
                    </w:rPr>
                    <w:t>尺寸2.7m*2.6m*5.8m，15kW，生产能力0-30t/h</w:t>
                  </w:r>
                </w:p>
              </w:tc>
              <w:tc>
                <w:tcPr>
                  <w:tcW w:w="326" w:type="pct"/>
                  <w:tcBorders>
                    <w:tl2br w:val="nil"/>
                    <w:tr2bl w:val="nil"/>
                  </w:tcBorders>
                  <w:shd w:val="clear" w:color="auto" w:fill="auto"/>
                  <w:vAlign w:val="center"/>
                </w:tcPr>
                <w:p w14:paraId="2712D0D2">
                  <w:pPr>
                    <w:spacing w:line="0" w:lineRule="atLeast"/>
                    <w:jc w:val="center"/>
                    <w:rPr>
                      <w:rFonts w:hint="default"/>
                      <w:color w:val="auto"/>
                      <w:spacing w:val="-10"/>
                      <w:sz w:val="18"/>
                      <w:szCs w:val="18"/>
                      <w:lang w:val="en-US" w:eastAsia="zh-CN"/>
                    </w:rPr>
                  </w:pPr>
                  <w:r>
                    <w:rPr>
                      <w:rFonts w:hint="eastAsia"/>
                      <w:color w:val="auto"/>
                      <w:spacing w:val="-10"/>
                      <w:sz w:val="18"/>
                      <w:szCs w:val="18"/>
                      <w:lang w:val="en-US" w:eastAsia="zh-CN"/>
                    </w:rPr>
                    <w:t>台</w:t>
                  </w:r>
                </w:p>
              </w:tc>
              <w:tc>
                <w:tcPr>
                  <w:tcW w:w="291" w:type="pct"/>
                  <w:tcBorders>
                    <w:tl2br w:val="nil"/>
                    <w:tr2bl w:val="nil"/>
                  </w:tcBorders>
                  <w:shd w:val="clear" w:color="auto" w:fill="auto"/>
                  <w:vAlign w:val="center"/>
                </w:tcPr>
                <w:p w14:paraId="5645AB36">
                  <w:pPr>
                    <w:spacing w:line="0" w:lineRule="atLeast"/>
                    <w:jc w:val="center"/>
                    <w:rPr>
                      <w:rFonts w:hint="default"/>
                      <w:color w:val="auto"/>
                      <w:spacing w:val="-10"/>
                      <w:sz w:val="18"/>
                      <w:szCs w:val="18"/>
                      <w:lang w:val="en-US" w:eastAsia="zh-CN"/>
                    </w:rPr>
                  </w:pPr>
                  <w:r>
                    <w:rPr>
                      <w:rFonts w:hint="eastAsia"/>
                      <w:color w:val="auto"/>
                      <w:spacing w:val="-10"/>
                      <w:sz w:val="18"/>
                      <w:szCs w:val="18"/>
                      <w:lang w:val="en-US" w:eastAsia="zh-CN"/>
                    </w:rPr>
                    <w:t>6</w:t>
                  </w:r>
                </w:p>
              </w:tc>
              <w:tc>
                <w:tcPr>
                  <w:tcW w:w="632" w:type="pct"/>
                  <w:tcBorders>
                    <w:tl2br w:val="nil"/>
                    <w:tr2bl w:val="nil"/>
                  </w:tcBorders>
                  <w:shd w:val="clear" w:color="auto" w:fill="auto"/>
                  <w:vAlign w:val="center"/>
                </w:tcPr>
                <w:p w14:paraId="644F7452">
                  <w:pPr>
                    <w:spacing w:line="0" w:lineRule="atLeast"/>
                    <w:jc w:val="center"/>
                    <w:rPr>
                      <w:rFonts w:hint="default"/>
                      <w:color w:val="auto"/>
                      <w:spacing w:val="-10"/>
                      <w:sz w:val="18"/>
                      <w:szCs w:val="18"/>
                      <w:lang w:val="en-US" w:eastAsia="zh-CN"/>
                    </w:rPr>
                  </w:pPr>
                  <w:r>
                    <w:rPr>
                      <w:rFonts w:hint="eastAsia"/>
                      <w:color w:val="auto"/>
                      <w:spacing w:val="-10"/>
                      <w:sz w:val="18"/>
                      <w:szCs w:val="18"/>
                      <w:lang w:val="en-US" w:eastAsia="zh-CN"/>
                    </w:rPr>
                    <w:t>物料空气分选</w:t>
                  </w:r>
                </w:p>
              </w:tc>
            </w:tr>
            <w:tr w14:paraId="0A16BE1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272" w:type="pct"/>
                  <w:tcBorders>
                    <w:tl2br w:val="nil"/>
                    <w:tr2bl w:val="nil"/>
                  </w:tcBorders>
                  <w:shd w:val="clear" w:color="auto" w:fill="auto"/>
                  <w:vAlign w:val="center"/>
                </w:tcPr>
                <w:p w14:paraId="6DF9D128">
                  <w:pPr>
                    <w:widowControl/>
                    <w:spacing w:line="0" w:lineRule="atLeast"/>
                    <w:jc w:val="center"/>
                    <w:rPr>
                      <w:rFonts w:hint="eastAsia" w:ascii="Times New Roman" w:hAnsi="Times New Roman" w:eastAsia="宋体" w:cs="Times New Roman"/>
                      <w:color w:val="auto"/>
                      <w:spacing w:val="-10"/>
                      <w:kern w:val="2"/>
                      <w:sz w:val="18"/>
                      <w:szCs w:val="18"/>
                      <w:lang w:val="en-US" w:eastAsia="zh-CN" w:bidi="ar-SA"/>
                    </w:rPr>
                  </w:pPr>
                  <w:r>
                    <w:rPr>
                      <w:rFonts w:hint="eastAsia"/>
                      <w:color w:val="auto"/>
                      <w:spacing w:val="-10"/>
                      <w:sz w:val="18"/>
                      <w:szCs w:val="18"/>
                      <w:lang w:val="en-US" w:eastAsia="zh-CN"/>
                    </w:rPr>
                    <w:t>8</w:t>
                  </w:r>
                </w:p>
              </w:tc>
              <w:tc>
                <w:tcPr>
                  <w:tcW w:w="368" w:type="pct"/>
                  <w:vMerge w:val="continue"/>
                  <w:tcBorders>
                    <w:tl2br w:val="nil"/>
                    <w:tr2bl w:val="nil"/>
                  </w:tcBorders>
                  <w:vAlign w:val="center"/>
                </w:tcPr>
                <w:p w14:paraId="75D80E4D">
                  <w:pPr>
                    <w:widowControl/>
                    <w:spacing w:line="0" w:lineRule="atLeast"/>
                    <w:jc w:val="center"/>
                    <w:rPr>
                      <w:rFonts w:hint="eastAsia"/>
                      <w:color w:val="auto"/>
                      <w:spacing w:val="-10"/>
                      <w:sz w:val="18"/>
                      <w:szCs w:val="18"/>
                      <w:lang w:val="en-US" w:eastAsia="zh-CN"/>
                    </w:rPr>
                  </w:pPr>
                </w:p>
              </w:tc>
              <w:tc>
                <w:tcPr>
                  <w:tcW w:w="402" w:type="pct"/>
                  <w:vMerge w:val="restart"/>
                  <w:tcBorders>
                    <w:tl2br w:val="nil"/>
                    <w:tr2bl w:val="nil"/>
                  </w:tcBorders>
                  <w:vAlign w:val="center"/>
                </w:tcPr>
                <w:p w14:paraId="5C7B12DC">
                  <w:pPr>
                    <w:widowControl/>
                    <w:spacing w:line="0" w:lineRule="atLeast"/>
                    <w:jc w:val="center"/>
                    <w:rPr>
                      <w:rFonts w:hint="eastAsia" w:ascii="Times New Roman" w:hAnsi="Times New Roman" w:eastAsia="宋体" w:cs="Times New Roman"/>
                      <w:color w:val="auto"/>
                      <w:spacing w:val="-10"/>
                      <w:sz w:val="18"/>
                      <w:szCs w:val="18"/>
                      <w:lang w:val="en-US" w:eastAsia="zh-CN"/>
                    </w:rPr>
                  </w:pPr>
                  <w:r>
                    <w:rPr>
                      <w:rFonts w:hint="eastAsia" w:ascii="Times New Roman" w:hAnsi="Times New Roman" w:eastAsia="宋体" w:cs="Times New Roman"/>
                      <w:color w:val="auto"/>
                      <w:spacing w:val="-10"/>
                      <w:sz w:val="18"/>
                      <w:szCs w:val="18"/>
                      <w:lang w:val="en-US" w:eastAsia="zh-CN"/>
                    </w:rPr>
                    <w:t>金属混合物分选生产工段</w:t>
                  </w:r>
                </w:p>
              </w:tc>
              <w:tc>
                <w:tcPr>
                  <w:tcW w:w="1027" w:type="pct"/>
                  <w:tcBorders>
                    <w:tl2br w:val="nil"/>
                    <w:tr2bl w:val="nil"/>
                  </w:tcBorders>
                  <w:shd w:val="clear" w:color="auto" w:fill="auto"/>
                  <w:vAlign w:val="center"/>
                </w:tcPr>
                <w:p w14:paraId="519E9673">
                  <w:pPr>
                    <w:spacing w:line="0" w:lineRule="atLeast"/>
                    <w:jc w:val="center"/>
                    <w:rPr>
                      <w:rFonts w:hint="eastAsia" w:ascii="Times New Roman" w:hAnsi="Times New Roman" w:eastAsia="宋体" w:cs="Times New Roman"/>
                      <w:color w:val="auto"/>
                      <w:spacing w:val="-10"/>
                      <w:kern w:val="2"/>
                      <w:sz w:val="18"/>
                      <w:szCs w:val="18"/>
                      <w:lang w:val="en-US" w:eastAsia="zh-CN" w:bidi="ar-SA"/>
                    </w:rPr>
                  </w:pPr>
                  <w:r>
                    <w:rPr>
                      <w:rFonts w:hint="eastAsia"/>
                      <w:color w:val="auto"/>
                      <w:spacing w:val="-10"/>
                      <w:sz w:val="18"/>
                      <w:szCs w:val="18"/>
                      <w:lang w:val="en-US" w:eastAsia="zh-CN"/>
                    </w:rPr>
                    <w:t>上料仓</w:t>
                  </w:r>
                </w:p>
              </w:tc>
              <w:tc>
                <w:tcPr>
                  <w:tcW w:w="1679" w:type="pct"/>
                  <w:tcBorders>
                    <w:tl2br w:val="nil"/>
                    <w:tr2bl w:val="nil"/>
                  </w:tcBorders>
                  <w:shd w:val="clear" w:color="auto" w:fill="auto"/>
                  <w:vAlign w:val="center"/>
                </w:tcPr>
                <w:p w14:paraId="1EF816D3">
                  <w:pPr>
                    <w:spacing w:line="0" w:lineRule="atLeast"/>
                    <w:jc w:val="center"/>
                    <w:rPr>
                      <w:rFonts w:hint="eastAsia" w:ascii="Times New Roman" w:hAnsi="Times New Roman" w:eastAsia="宋体" w:cs="Times New Roman"/>
                      <w:color w:val="auto"/>
                      <w:spacing w:val="-10"/>
                      <w:kern w:val="2"/>
                      <w:sz w:val="18"/>
                      <w:szCs w:val="18"/>
                      <w:lang w:val="en-US" w:eastAsia="zh-CN" w:bidi="ar-SA"/>
                    </w:rPr>
                  </w:pPr>
                  <w:r>
                    <w:rPr>
                      <w:rFonts w:hint="eastAsia"/>
                      <w:color w:val="auto"/>
                      <w:spacing w:val="-10"/>
                      <w:sz w:val="18"/>
                      <w:szCs w:val="18"/>
                      <w:lang w:val="en-US" w:eastAsia="zh-CN"/>
                    </w:rPr>
                    <w:t>尺寸：2.5m*2.3m</w:t>
                  </w:r>
                </w:p>
              </w:tc>
              <w:tc>
                <w:tcPr>
                  <w:tcW w:w="326" w:type="pct"/>
                  <w:tcBorders>
                    <w:tl2br w:val="nil"/>
                    <w:tr2bl w:val="nil"/>
                  </w:tcBorders>
                  <w:shd w:val="clear" w:color="auto" w:fill="auto"/>
                  <w:vAlign w:val="center"/>
                </w:tcPr>
                <w:p w14:paraId="4A58AE18">
                  <w:pPr>
                    <w:spacing w:line="0" w:lineRule="atLeast"/>
                    <w:jc w:val="center"/>
                    <w:rPr>
                      <w:rFonts w:hint="eastAsia" w:ascii="Times New Roman" w:hAnsi="Times New Roman" w:eastAsia="宋体" w:cs="Times New Roman"/>
                      <w:color w:val="auto"/>
                      <w:spacing w:val="-10"/>
                      <w:kern w:val="2"/>
                      <w:sz w:val="18"/>
                      <w:szCs w:val="18"/>
                      <w:lang w:val="en-US" w:eastAsia="zh-CN" w:bidi="ar-SA"/>
                    </w:rPr>
                  </w:pPr>
                  <w:r>
                    <w:rPr>
                      <w:rFonts w:hint="eastAsia"/>
                      <w:color w:val="auto"/>
                      <w:spacing w:val="-10"/>
                      <w:sz w:val="18"/>
                      <w:szCs w:val="18"/>
                      <w:lang w:val="en-US" w:eastAsia="zh-CN"/>
                    </w:rPr>
                    <w:t>座</w:t>
                  </w:r>
                </w:p>
              </w:tc>
              <w:tc>
                <w:tcPr>
                  <w:tcW w:w="291" w:type="pct"/>
                  <w:tcBorders>
                    <w:tl2br w:val="nil"/>
                    <w:tr2bl w:val="nil"/>
                  </w:tcBorders>
                  <w:shd w:val="clear" w:color="auto" w:fill="auto"/>
                  <w:vAlign w:val="center"/>
                </w:tcPr>
                <w:p w14:paraId="589C3188">
                  <w:pPr>
                    <w:spacing w:line="0" w:lineRule="atLeast"/>
                    <w:jc w:val="center"/>
                    <w:rPr>
                      <w:rFonts w:hint="eastAsia" w:ascii="Times New Roman" w:hAnsi="Times New Roman" w:eastAsia="宋体" w:cs="Times New Roman"/>
                      <w:color w:val="auto"/>
                      <w:spacing w:val="-10"/>
                      <w:kern w:val="2"/>
                      <w:sz w:val="18"/>
                      <w:szCs w:val="18"/>
                      <w:lang w:val="en-US" w:eastAsia="zh-CN" w:bidi="ar-SA"/>
                    </w:rPr>
                  </w:pPr>
                  <w:r>
                    <w:rPr>
                      <w:rFonts w:hint="eastAsia"/>
                      <w:color w:val="auto"/>
                      <w:spacing w:val="-10"/>
                      <w:sz w:val="18"/>
                      <w:szCs w:val="18"/>
                      <w:lang w:val="en-US" w:eastAsia="zh-CN"/>
                    </w:rPr>
                    <w:t>2</w:t>
                  </w:r>
                </w:p>
              </w:tc>
              <w:tc>
                <w:tcPr>
                  <w:tcW w:w="632" w:type="pct"/>
                  <w:tcBorders>
                    <w:tl2br w:val="nil"/>
                    <w:tr2bl w:val="nil"/>
                  </w:tcBorders>
                  <w:shd w:val="clear" w:color="auto" w:fill="auto"/>
                  <w:vAlign w:val="center"/>
                </w:tcPr>
                <w:p w14:paraId="47CDA185">
                  <w:pPr>
                    <w:spacing w:line="0" w:lineRule="atLeast"/>
                    <w:jc w:val="center"/>
                    <w:rPr>
                      <w:rFonts w:hint="eastAsia" w:ascii="Times New Roman" w:hAnsi="Times New Roman" w:eastAsia="宋体" w:cs="Times New Roman"/>
                      <w:color w:val="auto"/>
                      <w:spacing w:val="-10"/>
                      <w:kern w:val="2"/>
                      <w:sz w:val="18"/>
                      <w:szCs w:val="18"/>
                      <w:lang w:val="en-US" w:eastAsia="zh-CN" w:bidi="ar-SA"/>
                    </w:rPr>
                  </w:pPr>
                  <w:r>
                    <w:rPr>
                      <w:rFonts w:hint="eastAsia"/>
                      <w:color w:val="auto"/>
                      <w:spacing w:val="-10"/>
                      <w:sz w:val="18"/>
                      <w:szCs w:val="18"/>
                      <w:lang w:val="en-US" w:eastAsia="zh-CN"/>
                    </w:rPr>
                    <w:t>金属混合料上料</w:t>
                  </w:r>
                </w:p>
              </w:tc>
            </w:tr>
            <w:tr w14:paraId="1D6C462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272" w:type="pct"/>
                  <w:tcBorders>
                    <w:tl2br w:val="nil"/>
                    <w:tr2bl w:val="nil"/>
                  </w:tcBorders>
                  <w:shd w:val="clear" w:color="auto" w:fill="auto"/>
                  <w:vAlign w:val="center"/>
                </w:tcPr>
                <w:p w14:paraId="780D4EE9">
                  <w:pPr>
                    <w:widowControl/>
                    <w:spacing w:line="0" w:lineRule="atLeast"/>
                    <w:jc w:val="center"/>
                    <w:rPr>
                      <w:rFonts w:hint="default" w:ascii="Times New Roman" w:hAnsi="Times New Roman" w:eastAsia="宋体" w:cs="Times New Roman"/>
                      <w:color w:val="auto"/>
                      <w:spacing w:val="-10"/>
                      <w:kern w:val="2"/>
                      <w:sz w:val="18"/>
                      <w:szCs w:val="18"/>
                      <w:lang w:val="en-US" w:eastAsia="zh-CN" w:bidi="ar-SA"/>
                    </w:rPr>
                  </w:pPr>
                  <w:r>
                    <w:rPr>
                      <w:rFonts w:hint="eastAsia"/>
                      <w:color w:val="auto"/>
                      <w:spacing w:val="-10"/>
                      <w:sz w:val="18"/>
                      <w:szCs w:val="18"/>
                      <w:lang w:val="en-US" w:eastAsia="zh-CN"/>
                    </w:rPr>
                    <w:t>9</w:t>
                  </w:r>
                </w:p>
              </w:tc>
              <w:tc>
                <w:tcPr>
                  <w:tcW w:w="368" w:type="pct"/>
                  <w:vMerge w:val="continue"/>
                  <w:tcBorders>
                    <w:tl2br w:val="nil"/>
                    <w:tr2bl w:val="nil"/>
                  </w:tcBorders>
                  <w:vAlign w:val="center"/>
                </w:tcPr>
                <w:p w14:paraId="11F8D1B0">
                  <w:pPr>
                    <w:widowControl/>
                    <w:spacing w:line="0" w:lineRule="atLeast"/>
                    <w:jc w:val="center"/>
                    <w:rPr>
                      <w:rFonts w:hint="eastAsia"/>
                      <w:color w:val="auto"/>
                      <w:spacing w:val="-10"/>
                      <w:sz w:val="18"/>
                      <w:szCs w:val="18"/>
                      <w:lang w:val="en-US" w:eastAsia="zh-CN"/>
                    </w:rPr>
                  </w:pPr>
                </w:p>
              </w:tc>
              <w:tc>
                <w:tcPr>
                  <w:tcW w:w="402" w:type="pct"/>
                  <w:vMerge w:val="continue"/>
                  <w:tcBorders>
                    <w:tl2br w:val="nil"/>
                    <w:tr2bl w:val="nil"/>
                  </w:tcBorders>
                  <w:vAlign w:val="center"/>
                </w:tcPr>
                <w:p w14:paraId="5A4ACDE3">
                  <w:pPr>
                    <w:widowControl/>
                    <w:spacing w:line="0" w:lineRule="atLeast"/>
                    <w:jc w:val="center"/>
                    <w:rPr>
                      <w:rFonts w:hint="eastAsia" w:ascii="Times New Roman" w:hAnsi="Times New Roman" w:eastAsia="宋体" w:cs="Times New Roman"/>
                      <w:color w:val="auto"/>
                      <w:spacing w:val="-10"/>
                      <w:sz w:val="18"/>
                      <w:szCs w:val="18"/>
                      <w:lang w:val="en-US" w:eastAsia="zh-CN"/>
                    </w:rPr>
                  </w:pPr>
                </w:p>
              </w:tc>
              <w:tc>
                <w:tcPr>
                  <w:tcW w:w="1027" w:type="pct"/>
                  <w:tcBorders>
                    <w:tl2br w:val="nil"/>
                    <w:tr2bl w:val="nil"/>
                  </w:tcBorders>
                  <w:shd w:val="clear" w:color="auto" w:fill="auto"/>
                  <w:vAlign w:val="center"/>
                </w:tcPr>
                <w:p w14:paraId="127BE091">
                  <w:pPr>
                    <w:spacing w:line="0" w:lineRule="atLeast"/>
                    <w:jc w:val="center"/>
                    <w:rPr>
                      <w:rFonts w:hint="default" w:ascii="Times New Roman" w:hAnsi="Times New Roman" w:eastAsia="宋体" w:cs="Times New Roman"/>
                      <w:color w:val="auto"/>
                      <w:spacing w:val="-10"/>
                      <w:kern w:val="2"/>
                      <w:sz w:val="18"/>
                      <w:szCs w:val="18"/>
                      <w:lang w:val="en-US" w:eastAsia="zh-CN" w:bidi="ar-SA"/>
                    </w:rPr>
                  </w:pPr>
                  <w:r>
                    <w:rPr>
                      <w:rFonts w:hint="eastAsia"/>
                      <w:color w:val="auto"/>
                      <w:spacing w:val="-10"/>
                      <w:sz w:val="18"/>
                      <w:szCs w:val="18"/>
                      <w:lang w:val="en-US" w:eastAsia="zh-CN"/>
                    </w:rPr>
                    <w:t>皮带输送机</w:t>
                  </w:r>
                </w:p>
              </w:tc>
              <w:tc>
                <w:tcPr>
                  <w:tcW w:w="1679" w:type="pct"/>
                  <w:tcBorders>
                    <w:tl2br w:val="nil"/>
                    <w:tr2bl w:val="nil"/>
                  </w:tcBorders>
                  <w:shd w:val="clear" w:color="auto" w:fill="auto"/>
                  <w:vAlign w:val="center"/>
                </w:tcPr>
                <w:p w14:paraId="1E8365BB">
                  <w:pPr>
                    <w:spacing w:line="0" w:lineRule="atLeast"/>
                    <w:jc w:val="center"/>
                    <w:rPr>
                      <w:rFonts w:hint="default" w:ascii="Times New Roman" w:hAnsi="Times New Roman" w:eastAsia="宋体" w:cs="Times New Roman"/>
                      <w:color w:val="auto"/>
                      <w:spacing w:val="-10"/>
                      <w:kern w:val="2"/>
                      <w:sz w:val="18"/>
                      <w:szCs w:val="18"/>
                      <w:lang w:val="en-US" w:eastAsia="zh-CN" w:bidi="ar-SA"/>
                    </w:rPr>
                  </w:pPr>
                  <w:r>
                    <w:rPr>
                      <w:rFonts w:hint="default"/>
                      <w:color w:val="auto"/>
                      <w:spacing w:val="-10"/>
                      <w:sz w:val="18"/>
                      <w:szCs w:val="18"/>
                      <w:lang w:val="en-US" w:eastAsia="zh-CN"/>
                    </w:rPr>
                    <w:t>输送能力60t/h</w:t>
                  </w:r>
                </w:p>
              </w:tc>
              <w:tc>
                <w:tcPr>
                  <w:tcW w:w="326" w:type="pct"/>
                  <w:tcBorders>
                    <w:tl2br w:val="nil"/>
                    <w:tr2bl w:val="nil"/>
                  </w:tcBorders>
                  <w:shd w:val="clear" w:color="auto" w:fill="auto"/>
                  <w:vAlign w:val="center"/>
                </w:tcPr>
                <w:p w14:paraId="7E3C5A4D">
                  <w:pPr>
                    <w:spacing w:line="0" w:lineRule="atLeast"/>
                    <w:jc w:val="center"/>
                    <w:rPr>
                      <w:rFonts w:hint="eastAsia" w:ascii="Times New Roman" w:hAnsi="Times New Roman" w:eastAsia="宋体" w:cs="Times New Roman"/>
                      <w:color w:val="auto"/>
                      <w:spacing w:val="-10"/>
                      <w:kern w:val="2"/>
                      <w:sz w:val="18"/>
                      <w:szCs w:val="18"/>
                      <w:lang w:val="en-US" w:eastAsia="zh-CN" w:bidi="ar-SA"/>
                    </w:rPr>
                  </w:pPr>
                  <w:r>
                    <w:rPr>
                      <w:rFonts w:hint="eastAsia"/>
                      <w:color w:val="auto"/>
                      <w:spacing w:val="-10"/>
                      <w:sz w:val="18"/>
                      <w:szCs w:val="18"/>
                      <w:lang w:val="en-US" w:eastAsia="zh-CN"/>
                    </w:rPr>
                    <w:t>条</w:t>
                  </w:r>
                </w:p>
              </w:tc>
              <w:tc>
                <w:tcPr>
                  <w:tcW w:w="291" w:type="pct"/>
                  <w:tcBorders>
                    <w:tl2br w:val="nil"/>
                    <w:tr2bl w:val="nil"/>
                  </w:tcBorders>
                  <w:shd w:val="clear" w:color="auto" w:fill="auto"/>
                  <w:vAlign w:val="center"/>
                </w:tcPr>
                <w:p w14:paraId="506A6A48">
                  <w:pPr>
                    <w:spacing w:line="0" w:lineRule="atLeast"/>
                    <w:jc w:val="center"/>
                    <w:rPr>
                      <w:rFonts w:hint="eastAsia" w:ascii="Times New Roman" w:hAnsi="Times New Roman" w:eastAsia="宋体" w:cs="Times New Roman"/>
                      <w:color w:val="auto"/>
                      <w:spacing w:val="-10"/>
                      <w:kern w:val="2"/>
                      <w:sz w:val="18"/>
                      <w:szCs w:val="18"/>
                      <w:lang w:val="en-US" w:eastAsia="zh-CN" w:bidi="ar-SA"/>
                    </w:rPr>
                  </w:pPr>
                  <w:r>
                    <w:rPr>
                      <w:rFonts w:hint="eastAsia"/>
                      <w:color w:val="auto"/>
                      <w:spacing w:val="-10"/>
                      <w:sz w:val="18"/>
                      <w:szCs w:val="18"/>
                      <w:lang w:val="en-US" w:eastAsia="zh-CN"/>
                    </w:rPr>
                    <w:t>14</w:t>
                  </w:r>
                </w:p>
              </w:tc>
              <w:tc>
                <w:tcPr>
                  <w:tcW w:w="632" w:type="pct"/>
                  <w:tcBorders>
                    <w:tl2br w:val="nil"/>
                    <w:tr2bl w:val="nil"/>
                  </w:tcBorders>
                  <w:shd w:val="clear" w:color="auto" w:fill="auto"/>
                  <w:vAlign w:val="center"/>
                </w:tcPr>
                <w:p w14:paraId="46BA2357">
                  <w:pPr>
                    <w:spacing w:line="0" w:lineRule="atLeast"/>
                    <w:jc w:val="center"/>
                    <w:rPr>
                      <w:rFonts w:hint="default" w:ascii="Times New Roman" w:hAnsi="Times New Roman" w:eastAsia="宋体" w:cs="Times New Roman"/>
                      <w:color w:val="auto"/>
                      <w:spacing w:val="-10"/>
                      <w:kern w:val="2"/>
                      <w:sz w:val="18"/>
                      <w:szCs w:val="18"/>
                      <w:lang w:val="en-US" w:eastAsia="zh-CN" w:bidi="ar-SA"/>
                    </w:rPr>
                  </w:pPr>
                  <w:r>
                    <w:rPr>
                      <w:rFonts w:hint="eastAsia"/>
                      <w:color w:val="auto"/>
                      <w:spacing w:val="-10"/>
                      <w:sz w:val="18"/>
                      <w:szCs w:val="18"/>
                      <w:lang w:val="en-US" w:eastAsia="zh-CN"/>
                    </w:rPr>
                    <w:t>物料转运，封闭式皮带通廊</w:t>
                  </w:r>
                </w:p>
              </w:tc>
            </w:tr>
            <w:tr w14:paraId="33CED70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272" w:type="pct"/>
                  <w:tcBorders>
                    <w:tl2br w:val="nil"/>
                    <w:tr2bl w:val="nil"/>
                  </w:tcBorders>
                  <w:shd w:val="clear" w:color="auto" w:fill="auto"/>
                  <w:vAlign w:val="center"/>
                </w:tcPr>
                <w:p w14:paraId="4C320418">
                  <w:pPr>
                    <w:widowControl/>
                    <w:spacing w:line="0" w:lineRule="atLeast"/>
                    <w:jc w:val="center"/>
                    <w:rPr>
                      <w:rFonts w:hint="eastAsia" w:ascii="Times New Roman" w:hAnsi="Times New Roman" w:eastAsia="宋体" w:cs="Times New Roman"/>
                      <w:color w:val="auto"/>
                      <w:spacing w:val="-10"/>
                      <w:kern w:val="2"/>
                      <w:sz w:val="18"/>
                      <w:szCs w:val="18"/>
                      <w:lang w:val="en-US" w:eastAsia="zh-CN" w:bidi="ar-SA"/>
                    </w:rPr>
                  </w:pPr>
                  <w:r>
                    <w:rPr>
                      <w:rFonts w:hint="eastAsia"/>
                      <w:color w:val="auto"/>
                      <w:spacing w:val="-10"/>
                      <w:sz w:val="18"/>
                      <w:szCs w:val="18"/>
                      <w:lang w:val="en-US" w:eastAsia="zh-CN"/>
                    </w:rPr>
                    <w:t>10</w:t>
                  </w:r>
                </w:p>
              </w:tc>
              <w:tc>
                <w:tcPr>
                  <w:tcW w:w="368" w:type="pct"/>
                  <w:vMerge w:val="continue"/>
                  <w:tcBorders>
                    <w:tl2br w:val="nil"/>
                    <w:tr2bl w:val="nil"/>
                  </w:tcBorders>
                  <w:vAlign w:val="center"/>
                </w:tcPr>
                <w:p w14:paraId="6C5313BA">
                  <w:pPr>
                    <w:widowControl/>
                    <w:spacing w:line="0" w:lineRule="atLeast"/>
                    <w:jc w:val="center"/>
                    <w:rPr>
                      <w:rFonts w:hint="eastAsia"/>
                      <w:color w:val="auto"/>
                      <w:spacing w:val="-10"/>
                      <w:sz w:val="18"/>
                      <w:szCs w:val="18"/>
                      <w:lang w:val="en-US" w:eastAsia="zh-CN"/>
                    </w:rPr>
                  </w:pPr>
                </w:p>
              </w:tc>
              <w:tc>
                <w:tcPr>
                  <w:tcW w:w="402" w:type="pct"/>
                  <w:vMerge w:val="continue"/>
                  <w:tcBorders>
                    <w:tl2br w:val="nil"/>
                    <w:tr2bl w:val="nil"/>
                  </w:tcBorders>
                  <w:vAlign w:val="center"/>
                </w:tcPr>
                <w:p w14:paraId="3B75DA44">
                  <w:pPr>
                    <w:widowControl/>
                    <w:spacing w:line="0" w:lineRule="atLeast"/>
                    <w:jc w:val="center"/>
                    <w:rPr>
                      <w:rFonts w:hint="eastAsia" w:ascii="Times New Roman" w:hAnsi="Times New Roman" w:eastAsia="宋体" w:cs="Times New Roman"/>
                      <w:color w:val="auto"/>
                      <w:spacing w:val="-10"/>
                      <w:sz w:val="18"/>
                      <w:szCs w:val="18"/>
                      <w:lang w:val="en-US" w:eastAsia="zh-CN"/>
                    </w:rPr>
                  </w:pPr>
                </w:p>
              </w:tc>
              <w:tc>
                <w:tcPr>
                  <w:tcW w:w="1027" w:type="pct"/>
                  <w:tcBorders>
                    <w:tl2br w:val="nil"/>
                    <w:tr2bl w:val="nil"/>
                  </w:tcBorders>
                  <w:shd w:val="clear" w:color="auto" w:fill="auto"/>
                  <w:vAlign w:val="center"/>
                </w:tcPr>
                <w:p w14:paraId="2C07A3D7">
                  <w:pPr>
                    <w:spacing w:line="0" w:lineRule="atLeast"/>
                    <w:jc w:val="center"/>
                    <w:rPr>
                      <w:rFonts w:hint="eastAsia" w:ascii="Times New Roman" w:hAnsi="Times New Roman" w:eastAsia="宋体" w:cs="Times New Roman"/>
                      <w:color w:val="auto"/>
                      <w:spacing w:val="-10"/>
                      <w:kern w:val="2"/>
                      <w:sz w:val="18"/>
                      <w:szCs w:val="18"/>
                      <w:lang w:val="en-US" w:eastAsia="zh-CN" w:bidi="ar-SA"/>
                    </w:rPr>
                  </w:pPr>
                  <w:r>
                    <w:rPr>
                      <w:rFonts w:hint="eastAsia"/>
                      <w:color w:val="auto"/>
                      <w:spacing w:val="-10"/>
                      <w:sz w:val="18"/>
                      <w:szCs w:val="18"/>
                      <w:lang w:val="en-US" w:eastAsia="zh-CN"/>
                    </w:rPr>
                    <w:t>滚筒筛</w:t>
                  </w:r>
                </w:p>
              </w:tc>
              <w:tc>
                <w:tcPr>
                  <w:tcW w:w="1679" w:type="pct"/>
                  <w:tcBorders>
                    <w:tl2br w:val="nil"/>
                    <w:tr2bl w:val="nil"/>
                  </w:tcBorders>
                  <w:shd w:val="clear" w:color="auto" w:fill="auto"/>
                  <w:vAlign w:val="center"/>
                </w:tcPr>
                <w:p w14:paraId="3D329F97">
                  <w:pPr>
                    <w:spacing w:line="0" w:lineRule="atLeast"/>
                    <w:jc w:val="center"/>
                    <w:rPr>
                      <w:rFonts w:hint="eastAsia" w:ascii="Times New Roman" w:hAnsi="Times New Roman" w:eastAsia="宋体" w:cs="Times New Roman"/>
                      <w:color w:val="auto"/>
                      <w:spacing w:val="-10"/>
                      <w:kern w:val="2"/>
                      <w:sz w:val="18"/>
                      <w:szCs w:val="18"/>
                      <w:lang w:val="en-US" w:eastAsia="zh-CN" w:bidi="ar-SA"/>
                    </w:rPr>
                  </w:pPr>
                  <w:r>
                    <w:rPr>
                      <w:rFonts w:hint="eastAsia"/>
                      <w:color w:val="auto"/>
                      <w:spacing w:val="-10"/>
                      <w:sz w:val="18"/>
                      <w:szCs w:val="18"/>
                      <w:lang w:val="en-US" w:eastAsia="zh-CN"/>
                    </w:rPr>
                    <w:t>生产能力50t/h， 筛孔孔径</w:t>
                  </w:r>
                  <w:r>
                    <w:rPr>
                      <w:rFonts w:hint="default"/>
                      <w:color w:val="auto"/>
                      <w:spacing w:val="-10"/>
                      <w:sz w:val="18"/>
                      <w:szCs w:val="18"/>
                      <w:lang w:val="en-US" w:eastAsia="zh-CN"/>
                    </w:rPr>
                    <w:t>1cm</w:t>
                  </w:r>
                </w:p>
              </w:tc>
              <w:tc>
                <w:tcPr>
                  <w:tcW w:w="326" w:type="pct"/>
                  <w:tcBorders>
                    <w:tl2br w:val="nil"/>
                    <w:tr2bl w:val="nil"/>
                  </w:tcBorders>
                  <w:shd w:val="clear" w:color="auto" w:fill="auto"/>
                  <w:vAlign w:val="center"/>
                </w:tcPr>
                <w:p w14:paraId="0FB97E10">
                  <w:pPr>
                    <w:spacing w:line="0" w:lineRule="atLeast"/>
                    <w:jc w:val="center"/>
                    <w:rPr>
                      <w:rFonts w:hint="eastAsia" w:ascii="Times New Roman" w:hAnsi="Times New Roman" w:eastAsia="宋体" w:cs="Times New Roman"/>
                      <w:color w:val="auto"/>
                      <w:spacing w:val="-10"/>
                      <w:kern w:val="2"/>
                      <w:sz w:val="18"/>
                      <w:szCs w:val="18"/>
                      <w:lang w:val="en-US" w:eastAsia="zh-CN" w:bidi="ar-SA"/>
                    </w:rPr>
                  </w:pPr>
                  <w:r>
                    <w:rPr>
                      <w:rFonts w:hint="eastAsia"/>
                      <w:color w:val="auto"/>
                      <w:spacing w:val="-10"/>
                      <w:sz w:val="18"/>
                      <w:szCs w:val="18"/>
                      <w:lang w:val="en-US" w:eastAsia="zh-CN"/>
                    </w:rPr>
                    <w:t>台</w:t>
                  </w:r>
                </w:p>
              </w:tc>
              <w:tc>
                <w:tcPr>
                  <w:tcW w:w="291" w:type="pct"/>
                  <w:tcBorders>
                    <w:tl2br w:val="nil"/>
                    <w:tr2bl w:val="nil"/>
                  </w:tcBorders>
                  <w:shd w:val="clear" w:color="auto" w:fill="auto"/>
                  <w:vAlign w:val="center"/>
                </w:tcPr>
                <w:p w14:paraId="52018B13">
                  <w:pPr>
                    <w:spacing w:line="0" w:lineRule="atLeast"/>
                    <w:jc w:val="center"/>
                    <w:rPr>
                      <w:rFonts w:hint="default" w:ascii="Times New Roman" w:hAnsi="Times New Roman" w:eastAsia="宋体" w:cs="Times New Roman"/>
                      <w:color w:val="auto"/>
                      <w:spacing w:val="-10"/>
                      <w:kern w:val="2"/>
                      <w:sz w:val="18"/>
                      <w:szCs w:val="18"/>
                      <w:lang w:val="en-US" w:eastAsia="zh-CN" w:bidi="ar-SA"/>
                    </w:rPr>
                  </w:pPr>
                  <w:r>
                    <w:rPr>
                      <w:rFonts w:hint="eastAsia"/>
                      <w:color w:val="auto"/>
                      <w:spacing w:val="-10"/>
                      <w:sz w:val="18"/>
                      <w:szCs w:val="18"/>
                      <w:lang w:val="en-US" w:eastAsia="zh-CN"/>
                    </w:rPr>
                    <w:t>2</w:t>
                  </w:r>
                </w:p>
              </w:tc>
              <w:tc>
                <w:tcPr>
                  <w:tcW w:w="632" w:type="pct"/>
                  <w:tcBorders>
                    <w:tl2br w:val="nil"/>
                    <w:tr2bl w:val="nil"/>
                  </w:tcBorders>
                  <w:shd w:val="clear" w:color="auto" w:fill="auto"/>
                  <w:vAlign w:val="center"/>
                </w:tcPr>
                <w:p w14:paraId="0B41E259">
                  <w:pPr>
                    <w:spacing w:line="0" w:lineRule="atLeast"/>
                    <w:jc w:val="center"/>
                    <w:rPr>
                      <w:rFonts w:hint="eastAsia" w:ascii="Times New Roman" w:hAnsi="Times New Roman" w:eastAsia="宋体" w:cs="Times New Roman"/>
                      <w:color w:val="auto"/>
                      <w:spacing w:val="-10"/>
                      <w:kern w:val="2"/>
                      <w:sz w:val="18"/>
                      <w:szCs w:val="18"/>
                      <w:lang w:val="en-US" w:eastAsia="zh-CN" w:bidi="ar-SA"/>
                    </w:rPr>
                  </w:pPr>
                  <w:r>
                    <w:rPr>
                      <w:rFonts w:hint="eastAsia"/>
                      <w:color w:val="auto"/>
                      <w:spacing w:val="-10"/>
                      <w:sz w:val="18"/>
                      <w:szCs w:val="18"/>
                      <w:lang w:val="en-US" w:eastAsia="zh-CN"/>
                    </w:rPr>
                    <w:t>金属混合料筛分</w:t>
                  </w:r>
                </w:p>
              </w:tc>
            </w:tr>
          </w:tbl>
          <w:p w14:paraId="2B3B9D69">
            <w:pPr>
              <w:pStyle w:val="24"/>
              <w:adjustRightInd w:val="0"/>
              <w:snapToGrid w:val="0"/>
              <w:spacing w:before="0" w:beforeAutospacing="0" w:after="0" w:afterAutospacing="0" w:line="440" w:lineRule="exact"/>
              <w:jc w:val="center"/>
              <w:rPr>
                <w:rFonts w:ascii="Times New Roman" w:hAnsi="Times New Roman"/>
                <w:b/>
                <w:color w:val="auto"/>
                <w:sz w:val="21"/>
                <w:szCs w:val="21"/>
              </w:rPr>
            </w:pPr>
            <w:r>
              <w:rPr>
                <w:rFonts w:hint="eastAsia" w:ascii="Times New Roman" w:hAnsi="Times New Roman"/>
                <w:b/>
                <w:color w:val="auto"/>
                <w:sz w:val="21"/>
                <w:szCs w:val="21"/>
                <w:lang w:val="en-US" w:eastAsia="zh-CN"/>
              </w:rPr>
              <w:t>续</w:t>
            </w:r>
            <w:r>
              <w:rPr>
                <w:rFonts w:hint="eastAsia" w:ascii="Times New Roman" w:hAnsi="Times New Roman"/>
                <w:b/>
                <w:color w:val="auto"/>
                <w:sz w:val="21"/>
                <w:szCs w:val="21"/>
              </w:rPr>
              <w:t>表</w:t>
            </w:r>
            <w:r>
              <w:rPr>
                <w:rFonts w:hint="eastAsia" w:ascii="Times New Roman" w:hAnsi="Times New Roman"/>
                <w:b/>
                <w:color w:val="auto"/>
                <w:sz w:val="21"/>
                <w:szCs w:val="21"/>
                <w:lang w:val="en-US" w:eastAsia="zh-CN"/>
              </w:rPr>
              <w:t>8</w:t>
            </w:r>
            <w:r>
              <w:rPr>
                <w:rFonts w:hint="eastAsia" w:ascii="Times New Roman" w:hAnsi="Times New Roman"/>
                <w:b/>
                <w:color w:val="auto"/>
                <w:sz w:val="21"/>
                <w:szCs w:val="21"/>
              </w:rPr>
              <w:t xml:space="preserve"> 主要生产设备一览表</w:t>
            </w:r>
          </w:p>
          <w:tbl>
            <w:tblPr>
              <w:tblStyle w:val="28"/>
              <w:tblW w:w="5113"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28" w:type="dxa"/>
                <w:bottom w:w="0" w:type="dxa"/>
                <w:right w:w="28" w:type="dxa"/>
              </w:tblCellMar>
            </w:tblPr>
            <w:tblGrid>
              <w:gridCol w:w="443"/>
              <w:gridCol w:w="598"/>
              <w:gridCol w:w="654"/>
              <w:gridCol w:w="1669"/>
              <w:gridCol w:w="2729"/>
              <w:gridCol w:w="530"/>
              <w:gridCol w:w="474"/>
              <w:gridCol w:w="1028"/>
            </w:tblGrid>
            <w:tr w14:paraId="24D8F64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272" w:type="pct"/>
                  <w:tcBorders>
                    <w:tl2br w:val="nil"/>
                    <w:tr2bl w:val="nil"/>
                  </w:tcBorders>
                  <w:vAlign w:val="center"/>
                </w:tcPr>
                <w:p w14:paraId="6E5A2A6A">
                  <w:pPr>
                    <w:widowControl/>
                    <w:spacing w:line="0" w:lineRule="atLeast"/>
                    <w:jc w:val="center"/>
                    <w:rPr>
                      <w:color w:val="auto"/>
                      <w:spacing w:val="-10"/>
                      <w:sz w:val="18"/>
                      <w:szCs w:val="18"/>
                    </w:rPr>
                  </w:pPr>
                  <w:r>
                    <w:rPr>
                      <w:rFonts w:hint="eastAsia"/>
                      <w:color w:val="auto"/>
                      <w:spacing w:val="-10"/>
                      <w:sz w:val="18"/>
                      <w:szCs w:val="18"/>
                    </w:rPr>
                    <w:t>序号</w:t>
                  </w:r>
                </w:p>
              </w:tc>
              <w:tc>
                <w:tcPr>
                  <w:tcW w:w="1797" w:type="pct"/>
                  <w:gridSpan w:val="3"/>
                  <w:tcBorders>
                    <w:tl2br w:val="nil"/>
                    <w:tr2bl w:val="nil"/>
                  </w:tcBorders>
                  <w:vAlign w:val="center"/>
                </w:tcPr>
                <w:p w14:paraId="4C7E9A66">
                  <w:pPr>
                    <w:widowControl/>
                    <w:spacing w:line="0" w:lineRule="atLeast"/>
                    <w:jc w:val="center"/>
                    <w:rPr>
                      <w:rFonts w:hint="eastAsia" w:ascii="Times New Roman" w:hAnsi="Times New Roman" w:eastAsia="宋体" w:cs="Times New Roman"/>
                      <w:color w:val="auto"/>
                      <w:spacing w:val="-10"/>
                      <w:kern w:val="2"/>
                      <w:sz w:val="18"/>
                      <w:szCs w:val="18"/>
                      <w:lang w:val="en-US" w:eastAsia="zh-CN" w:bidi="ar-SA"/>
                    </w:rPr>
                  </w:pPr>
                  <w:r>
                    <w:rPr>
                      <w:rFonts w:hint="eastAsia"/>
                      <w:color w:val="auto"/>
                      <w:spacing w:val="-10"/>
                      <w:sz w:val="18"/>
                      <w:szCs w:val="18"/>
                    </w:rPr>
                    <w:t>设备名称</w:t>
                  </w:r>
                </w:p>
              </w:tc>
              <w:tc>
                <w:tcPr>
                  <w:tcW w:w="1679" w:type="pct"/>
                  <w:tcBorders>
                    <w:tl2br w:val="nil"/>
                    <w:tr2bl w:val="nil"/>
                  </w:tcBorders>
                  <w:vAlign w:val="center"/>
                </w:tcPr>
                <w:p w14:paraId="07C8FA69">
                  <w:pPr>
                    <w:widowControl/>
                    <w:spacing w:line="0" w:lineRule="atLeast"/>
                    <w:jc w:val="center"/>
                    <w:rPr>
                      <w:color w:val="auto"/>
                      <w:spacing w:val="-10"/>
                      <w:sz w:val="18"/>
                      <w:szCs w:val="18"/>
                    </w:rPr>
                  </w:pPr>
                  <w:r>
                    <w:rPr>
                      <w:rFonts w:hint="eastAsia"/>
                      <w:color w:val="auto"/>
                      <w:spacing w:val="-10"/>
                      <w:sz w:val="18"/>
                      <w:szCs w:val="18"/>
                    </w:rPr>
                    <w:t>规格</w:t>
                  </w:r>
                  <w:r>
                    <w:rPr>
                      <w:rFonts w:hint="eastAsia"/>
                      <w:color w:val="auto"/>
                      <w:spacing w:val="-10"/>
                      <w:sz w:val="18"/>
                      <w:szCs w:val="18"/>
                      <w:lang w:val="en-US" w:eastAsia="zh-CN"/>
                    </w:rPr>
                    <w:t>及</w:t>
                  </w:r>
                  <w:r>
                    <w:rPr>
                      <w:rFonts w:hint="eastAsia"/>
                      <w:color w:val="auto"/>
                      <w:spacing w:val="-10"/>
                      <w:sz w:val="18"/>
                      <w:szCs w:val="18"/>
                    </w:rPr>
                    <w:t>设备参数</w:t>
                  </w:r>
                </w:p>
              </w:tc>
              <w:tc>
                <w:tcPr>
                  <w:tcW w:w="326" w:type="pct"/>
                  <w:tcBorders>
                    <w:tl2br w:val="nil"/>
                    <w:tr2bl w:val="nil"/>
                  </w:tcBorders>
                  <w:vAlign w:val="center"/>
                </w:tcPr>
                <w:p w14:paraId="20D081EF">
                  <w:pPr>
                    <w:widowControl/>
                    <w:spacing w:line="0" w:lineRule="atLeast"/>
                    <w:jc w:val="center"/>
                    <w:rPr>
                      <w:color w:val="auto"/>
                      <w:spacing w:val="-10"/>
                      <w:sz w:val="18"/>
                      <w:szCs w:val="18"/>
                    </w:rPr>
                  </w:pPr>
                  <w:r>
                    <w:rPr>
                      <w:rFonts w:hint="eastAsia"/>
                      <w:color w:val="auto"/>
                      <w:spacing w:val="-10"/>
                      <w:sz w:val="18"/>
                      <w:szCs w:val="18"/>
                    </w:rPr>
                    <w:t>单位</w:t>
                  </w:r>
                </w:p>
              </w:tc>
              <w:tc>
                <w:tcPr>
                  <w:tcW w:w="291" w:type="pct"/>
                  <w:tcBorders>
                    <w:tl2br w:val="nil"/>
                    <w:tr2bl w:val="nil"/>
                  </w:tcBorders>
                  <w:vAlign w:val="center"/>
                </w:tcPr>
                <w:p w14:paraId="0D2E1CA1">
                  <w:pPr>
                    <w:widowControl/>
                    <w:spacing w:line="0" w:lineRule="atLeast"/>
                    <w:jc w:val="center"/>
                    <w:rPr>
                      <w:color w:val="auto"/>
                      <w:spacing w:val="-10"/>
                      <w:sz w:val="18"/>
                      <w:szCs w:val="18"/>
                    </w:rPr>
                  </w:pPr>
                  <w:r>
                    <w:rPr>
                      <w:rFonts w:hint="eastAsia"/>
                      <w:color w:val="auto"/>
                      <w:spacing w:val="-10"/>
                      <w:sz w:val="18"/>
                      <w:szCs w:val="18"/>
                    </w:rPr>
                    <w:t>数量</w:t>
                  </w:r>
                </w:p>
              </w:tc>
              <w:tc>
                <w:tcPr>
                  <w:tcW w:w="632" w:type="pct"/>
                  <w:tcBorders>
                    <w:tl2br w:val="nil"/>
                    <w:tr2bl w:val="nil"/>
                  </w:tcBorders>
                  <w:vAlign w:val="center"/>
                </w:tcPr>
                <w:p w14:paraId="7F579EF7">
                  <w:pPr>
                    <w:widowControl/>
                    <w:spacing w:line="0" w:lineRule="atLeast"/>
                    <w:jc w:val="center"/>
                    <w:rPr>
                      <w:color w:val="auto"/>
                      <w:spacing w:val="-10"/>
                      <w:sz w:val="18"/>
                      <w:szCs w:val="18"/>
                    </w:rPr>
                  </w:pPr>
                  <w:r>
                    <w:rPr>
                      <w:rFonts w:hint="eastAsia"/>
                      <w:color w:val="auto"/>
                      <w:spacing w:val="-10"/>
                      <w:sz w:val="18"/>
                      <w:szCs w:val="18"/>
                    </w:rPr>
                    <w:t>备注</w:t>
                  </w:r>
                </w:p>
              </w:tc>
            </w:tr>
            <w:tr w14:paraId="3CAB92E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272" w:type="pct"/>
                  <w:tcBorders>
                    <w:tl2br w:val="nil"/>
                    <w:tr2bl w:val="nil"/>
                  </w:tcBorders>
                  <w:shd w:val="clear" w:color="auto" w:fill="auto"/>
                  <w:vAlign w:val="center"/>
                </w:tcPr>
                <w:p w14:paraId="1EB03F84">
                  <w:pPr>
                    <w:widowControl/>
                    <w:spacing w:line="0" w:lineRule="atLeast"/>
                    <w:jc w:val="center"/>
                    <w:rPr>
                      <w:rFonts w:hint="eastAsia" w:ascii="Times New Roman" w:hAnsi="Times New Roman" w:eastAsia="宋体" w:cs="Times New Roman"/>
                      <w:color w:val="auto"/>
                      <w:spacing w:val="-10"/>
                      <w:kern w:val="2"/>
                      <w:sz w:val="18"/>
                      <w:szCs w:val="18"/>
                      <w:lang w:val="en-US" w:eastAsia="zh-CN" w:bidi="ar-SA"/>
                    </w:rPr>
                  </w:pPr>
                  <w:r>
                    <w:rPr>
                      <w:rFonts w:hint="eastAsia"/>
                      <w:color w:val="auto"/>
                      <w:spacing w:val="-10"/>
                      <w:sz w:val="18"/>
                      <w:szCs w:val="18"/>
                      <w:lang w:val="en-US" w:eastAsia="zh-CN"/>
                    </w:rPr>
                    <w:t>11</w:t>
                  </w:r>
                </w:p>
              </w:tc>
              <w:tc>
                <w:tcPr>
                  <w:tcW w:w="368" w:type="pct"/>
                  <w:vMerge w:val="restart"/>
                  <w:tcBorders>
                    <w:tl2br w:val="nil"/>
                    <w:tr2bl w:val="nil"/>
                  </w:tcBorders>
                  <w:vAlign w:val="center"/>
                </w:tcPr>
                <w:p w14:paraId="0056325C">
                  <w:pPr>
                    <w:widowControl/>
                    <w:spacing w:line="0" w:lineRule="atLeast"/>
                    <w:jc w:val="center"/>
                    <w:rPr>
                      <w:rFonts w:hint="eastAsia"/>
                      <w:color w:val="auto"/>
                      <w:spacing w:val="-10"/>
                      <w:sz w:val="18"/>
                      <w:szCs w:val="18"/>
                      <w:lang w:val="en-US" w:eastAsia="zh-CN"/>
                    </w:rPr>
                  </w:pPr>
                  <w:r>
                    <w:rPr>
                      <w:rFonts w:hint="eastAsia"/>
                      <w:color w:val="auto"/>
                      <w:spacing w:val="-10"/>
                      <w:sz w:val="18"/>
                      <w:szCs w:val="18"/>
                      <w:lang w:val="en-US" w:eastAsia="zh-CN"/>
                    </w:rPr>
                    <w:t>废钢破碎尾料处理</w:t>
                  </w:r>
                </w:p>
              </w:tc>
              <w:tc>
                <w:tcPr>
                  <w:tcW w:w="402" w:type="pct"/>
                  <w:vMerge w:val="restart"/>
                  <w:tcBorders>
                    <w:tl2br w:val="nil"/>
                    <w:tr2bl w:val="nil"/>
                  </w:tcBorders>
                  <w:vAlign w:val="center"/>
                </w:tcPr>
                <w:p w14:paraId="5F549857">
                  <w:pPr>
                    <w:widowControl/>
                    <w:spacing w:line="0" w:lineRule="atLeast"/>
                    <w:jc w:val="center"/>
                    <w:rPr>
                      <w:rFonts w:hint="eastAsia" w:ascii="Times New Roman" w:hAnsi="Times New Roman" w:eastAsia="宋体" w:cs="Times New Roman"/>
                      <w:color w:val="auto"/>
                      <w:spacing w:val="-10"/>
                      <w:sz w:val="18"/>
                      <w:szCs w:val="18"/>
                      <w:lang w:val="en-US" w:eastAsia="zh-CN"/>
                    </w:rPr>
                  </w:pPr>
                  <w:r>
                    <w:rPr>
                      <w:rFonts w:hint="eastAsia" w:ascii="Times New Roman" w:hAnsi="Times New Roman" w:eastAsia="宋体" w:cs="Times New Roman"/>
                      <w:color w:val="auto"/>
                      <w:spacing w:val="-10"/>
                      <w:sz w:val="18"/>
                      <w:szCs w:val="18"/>
                      <w:lang w:val="en-US" w:eastAsia="zh-CN"/>
                    </w:rPr>
                    <w:t>金属混合物分选生产工段</w:t>
                  </w:r>
                </w:p>
              </w:tc>
              <w:tc>
                <w:tcPr>
                  <w:tcW w:w="1027" w:type="pct"/>
                  <w:tcBorders>
                    <w:tl2br w:val="nil"/>
                    <w:tr2bl w:val="nil"/>
                  </w:tcBorders>
                  <w:shd w:val="clear" w:color="auto" w:fill="auto"/>
                  <w:vAlign w:val="center"/>
                </w:tcPr>
                <w:p w14:paraId="4F258C3B">
                  <w:pPr>
                    <w:spacing w:line="0" w:lineRule="atLeast"/>
                    <w:jc w:val="center"/>
                    <w:rPr>
                      <w:rFonts w:hint="eastAsia" w:ascii="Times New Roman" w:hAnsi="Times New Roman" w:eastAsia="宋体" w:cs="Times New Roman"/>
                      <w:color w:val="auto"/>
                      <w:spacing w:val="-10"/>
                      <w:kern w:val="2"/>
                      <w:sz w:val="18"/>
                      <w:szCs w:val="18"/>
                      <w:lang w:val="en-US" w:eastAsia="zh-CN" w:bidi="ar-SA"/>
                    </w:rPr>
                  </w:pPr>
                  <w:r>
                    <w:rPr>
                      <w:rFonts w:hint="eastAsia"/>
                      <w:color w:val="auto"/>
                      <w:spacing w:val="-10"/>
                      <w:sz w:val="18"/>
                      <w:szCs w:val="18"/>
                      <w:lang w:val="en-US" w:eastAsia="zh-CN"/>
                    </w:rPr>
                    <w:t>球磨机</w:t>
                  </w:r>
                </w:p>
              </w:tc>
              <w:tc>
                <w:tcPr>
                  <w:tcW w:w="1679" w:type="pct"/>
                  <w:tcBorders>
                    <w:tl2br w:val="nil"/>
                    <w:tr2bl w:val="nil"/>
                  </w:tcBorders>
                  <w:shd w:val="clear" w:color="auto" w:fill="auto"/>
                  <w:vAlign w:val="center"/>
                </w:tcPr>
                <w:p w14:paraId="37CF6DE7">
                  <w:pPr>
                    <w:spacing w:line="0" w:lineRule="atLeast"/>
                    <w:jc w:val="center"/>
                    <w:rPr>
                      <w:rFonts w:hint="eastAsia" w:ascii="Times New Roman" w:hAnsi="Times New Roman" w:eastAsia="宋体" w:cs="Times New Roman"/>
                      <w:color w:val="auto"/>
                      <w:spacing w:val="-10"/>
                      <w:kern w:val="2"/>
                      <w:sz w:val="18"/>
                      <w:szCs w:val="18"/>
                      <w:lang w:val="en-US" w:eastAsia="zh-CN" w:bidi="ar-SA"/>
                    </w:rPr>
                  </w:pPr>
                  <w:r>
                    <w:rPr>
                      <w:rFonts w:hint="eastAsia"/>
                      <w:color w:val="auto"/>
                      <w:spacing w:val="-10"/>
                      <w:sz w:val="18"/>
                      <w:szCs w:val="18"/>
                      <w:lang w:val="en-US" w:eastAsia="zh-CN"/>
                    </w:rPr>
                    <w:t>1.5m</w:t>
                  </w:r>
                  <w:r>
                    <w:rPr>
                      <w:rFonts w:hint="default"/>
                      <w:color w:val="auto"/>
                      <w:spacing w:val="-10"/>
                      <w:sz w:val="18"/>
                      <w:szCs w:val="18"/>
                      <w:lang w:val="en-US" w:eastAsia="zh-CN"/>
                    </w:rPr>
                    <w:t>×</w:t>
                  </w:r>
                  <w:r>
                    <w:rPr>
                      <w:rFonts w:hint="eastAsia"/>
                      <w:color w:val="auto"/>
                      <w:spacing w:val="-10"/>
                      <w:sz w:val="18"/>
                      <w:szCs w:val="18"/>
                      <w:lang w:val="en-US" w:eastAsia="zh-CN"/>
                    </w:rPr>
                    <w:t>5.7m，生产能力3.5-6t/h</w:t>
                  </w:r>
                </w:p>
              </w:tc>
              <w:tc>
                <w:tcPr>
                  <w:tcW w:w="326" w:type="pct"/>
                  <w:tcBorders>
                    <w:tl2br w:val="nil"/>
                    <w:tr2bl w:val="nil"/>
                  </w:tcBorders>
                  <w:shd w:val="clear" w:color="auto" w:fill="auto"/>
                  <w:vAlign w:val="center"/>
                </w:tcPr>
                <w:p w14:paraId="175F4A58">
                  <w:pPr>
                    <w:spacing w:line="0" w:lineRule="atLeast"/>
                    <w:jc w:val="center"/>
                    <w:rPr>
                      <w:rFonts w:hint="eastAsia" w:ascii="Times New Roman" w:hAnsi="Times New Roman" w:eastAsia="宋体" w:cs="Times New Roman"/>
                      <w:color w:val="auto"/>
                      <w:spacing w:val="-10"/>
                      <w:kern w:val="2"/>
                      <w:sz w:val="18"/>
                      <w:szCs w:val="18"/>
                      <w:lang w:val="en-US" w:eastAsia="zh-CN" w:bidi="ar-SA"/>
                    </w:rPr>
                  </w:pPr>
                  <w:r>
                    <w:rPr>
                      <w:rFonts w:hint="eastAsia"/>
                      <w:color w:val="auto"/>
                      <w:spacing w:val="-10"/>
                      <w:sz w:val="18"/>
                      <w:szCs w:val="18"/>
                      <w:lang w:val="en-US" w:eastAsia="zh-CN"/>
                    </w:rPr>
                    <w:t>台</w:t>
                  </w:r>
                </w:p>
              </w:tc>
              <w:tc>
                <w:tcPr>
                  <w:tcW w:w="291" w:type="pct"/>
                  <w:tcBorders>
                    <w:tl2br w:val="nil"/>
                    <w:tr2bl w:val="nil"/>
                  </w:tcBorders>
                  <w:shd w:val="clear" w:color="auto" w:fill="auto"/>
                  <w:vAlign w:val="center"/>
                </w:tcPr>
                <w:p w14:paraId="7011CC38">
                  <w:pPr>
                    <w:spacing w:line="0" w:lineRule="atLeast"/>
                    <w:jc w:val="center"/>
                    <w:rPr>
                      <w:rFonts w:hint="eastAsia" w:ascii="Times New Roman" w:hAnsi="Times New Roman" w:eastAsia="宋体" w:cs="Times New Roman"/>
                      <w:color w:val="auto"/>
                      <w:spacing w:val="-10"/>
                      <w:kern w:val="2"/>
                      <w:sz w:val="18"/>
                      <w:szCs w:val="18"/>
                      <w:lang w:val="en-US" w:eastAsia="zh-CN" w:bidi="ar-SA"/>
                    </w:rPr>
                  </w:pPr>
                  <w:r>
                    <w:rPr>
                      <w:rFonts w:hint="eastAsia"/>
                      <w:color w:val="auto"/>
                      <w:spacing w:val="-10"/>
                      <w:sz w:val="18"/>
                      <w:szCs w:val="18"/>
                      <w:lang w:val="en-US" w:eastAsia="zh-CN"/>
                    </w:rPr>
                    <w:t>2</w:t>
                  </w:r>
                </w:p>
              </w:tc>
              <w:tc>
                <w:tcPr>
                  <w:tcW w:w="632" w:type="pct"/>
                  <w:tcBorders>
                    <w:tl2br w:val="nil"/>
                    <w:tr2bl w:val="nil"/>
                  </w:tcBorders>
                  <w:shd w:val="clear" w:color="auto" w:fill="auto"/>
                  <w:vAlign w:val="center"/>
                </w:tcPr>
                <w:p w14:paraId="697E4F03">
                  <w:pPr>
                    <w:spacing w:line="0" w:lineRule="atLeast"/>
                    <w:jc w:val="center"/>
                    <w:rPr>
                      <w:rFonts w:hint="eastAsia" w:ascii="Times New Roman" w:hAnsi="Times New Roman" w:eastAsia="宋体" w:cs="Times New Roman"/>
                      <w:color w:val="auto"/>
                      <w:spacing w:val="-10"/>
                      <w:kern w:val="2"/>
                      <w:sz w:val="18"/>
                      <w:szCs w:val="18"/>
                      <w:lang w:val="en-US" w:eastAsia="zh-CN" w:bidi="ar-SA"/>
                    </w:rPr>
                  </w:pPr>
                  <w:r>
                    <w:rPr>
                      <w:rFonts w:hint="eastAsia"/>
                      <w:color w:val="auto"/>
                      <w:spacing w:val="-10"/>
                      <w:sz w:val="18"/>
                      <w:szCs w:val="18"/>
                      <w:lang w:val="en-US" w:eastAsia="zh-CN"/>
                    </w:rPr>
                    <w:t>金属混合物料研磨</w:t>
                  </w:r>
                </w:p>
              </w:tc>
            </w:tr>
            <w:tr w14:paraId="5DFE1E0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272" w:type="pct"/>
                  <w:tcBorders>
                    <w:tl2br w:val="nil"/>
                    <w:tr2bl w:val="nil"/>
                  </w:tcBorders>
                  <w:shd w:val="clear" w:color="auto" w:fill="auto"/>
                  <w:vAlign w:val="center"/>
                </w:tcPr>
                <w:p w14:paraId="6DE5DC80">
                  <w:pPr>
                    <w:widowControl/>
                    <w:spacing w:line="0" w:lineRule="atLeast"/>
                    <w:jc w:val="center"/>
                    <w:rPr>
                      <w:rFonts w:hint="default"/>
                      <w:color w:val="auto"/>
                      <w:spacing w:val="-10"/>
                      <w:sz w:val="18"/>
                      <w:szCs w:val="18"/>
                      <w:lang w:val="en-US" w:eastAsia="zh-CN"/>
                    </w:rPr>
                  </w:pPr>
                  <w:r>
                    <w:rPr>
                      <w:rFonts w:hint="eastAsia"/>
                      <w:color w:val="auto"/>
                      <w:spacing w:val="-10"/>
                      <w:sz w:val="18"/>
                      <w:szCs w:val="18"/>
                      <w:lang w:val="en-US" w:eastAsia="zh-CN"/>
                    </w:rPr>
                    <w:t>12</w:t>
                  </w:r>
                </w:p>
              </w:tc>
              <w:tc>
                <w:tcPr>
                  <w:tcW w:w="368" w:type="pct"/>
                  <w:vMerge w:val="continue"/>
                  <w:tcBorders>
                    <w:tl2br w:val="nil"/>
                    <w:tr2bl w:val="nil"/>
                  </w:tcBorders>
                  <w:vAlign w:val="center"/>
                </w:tcPr>
                <w:p w14:paraId="2996B877">
                  <w:pPr>
                    <w:widowControl/>
                    <w:spacing w:line="0" w:lineRule="atLeast"/>
                    <w:jc w:val="center"/>
                    <w:rPr>
                      <w:rFonts w:hint="eastAsia"/>
                      <w:color w:val="auto"/>
                      <w:spacing w:val="-10"/>
                      <w:sz w:val="18"/>
                      <w:szCs w:val="18"/>
                      <w:lang w:val="en-US" w:eastAsia="zh-CN"/>
                    </w:rPr>
                  </w:pPr>
                </w:p>
              </w:tc>
              <w:tc>
                <w:tcPr>
                  <w:tcW w:w="402" w:type="pct"/>
                  <w:vMerge w:val="continue"/>
                  <w:tcBorders>
                    <w:tl2br w:val="nil"/>
                    <w:tr2bl w:val="nil"/>
                  </w:tcBorders>
                  <w:vAlign w:val="center"/>
                </w:tcPr>
                <w:p w14:paraId="7ECA240F">
                  <w:pPr>
                    <w:widowControl/>
                    <w:spacing w:line="0" w:lineRule="atLeast"/>
                    <w:jc w:val="center"/>
                    <w:rPr>
                      <w:rFonts w:hint="eastAsia" w:ascii="Times New Roman" w:hAnsi="Times New Roman" w:eastAsia="宋体" w:cs="Times New Roman"/>
                      <w:color w:val="auto"/>
                      <w:spacing w:val="-10"/>
                      <w:sz w:val="18"/>
                      <w:szCs w:val="18"/>
                      <w:lang w:val="en-US" w:eastAsia="zh-CN"/>
                    </w:rPr>
                  </w:pPr>
                </w:p>
              </w:tc>
              <w:tc>
                <w:tcPr>
                  <w:tcW w:w="1027" w:type="pct"/>
                  <w:tcBorders>
                    <w:tl2br w:val="nil"/>
                    <w:tr2bl w:val="nil"/>
                  </w:tcBorders>
                  <w:shd w:val="clear" w:color="auto" w:fill="auto"/>
                  <w:vAlign w:val="center"/>
                </w:tcPr>
                <w:p w14:paraId="5149C114">
                  <w:pPr>
                    <w:spacing w:line="0" w:lineRule="atLeast"/>
                    <w:jc w:val="center"/>
                    <w:rPr>
                      <w:rFonts w:hint="eastAsia" w:ascii="Times New Roman" w:hAnsi="Times New Roman" w:eastAsia="宋体" w:cs="Times New Roman"/>
                      <w:color w:val="auto"/>
                      <w:spacing w:val="-10"/>
                      <w:kern w:val="2"/>
                      <w:sz w:val="18"/>
                      <w:szCs w:val="18"/>
                      <w:lang w:val="en-US" w:eastAsia="zh-CN" w:bidi="ar-SA"/>
                    </w:rPr>
                  </w:pPr>
                  <w:r>
                    <w:rPr>
                      <w:rFonts w:hint="eastAsia"/>
                      <w:color w:val="auto"/>
                      <w:spacing w:val="-10"/>
                      <w:sz w:val="18"/>
                      <w:szCs w:val="18"/>
                      <w:lang w:val="en-US" w:eastAsia="zh-CN"/>
                    </w:rPr>
                    <w:t>磁选机</w:t>
                  </w:r>
                </w:p>
              </w:tc>
              <w:tc>
                <w:tcPr>
                  <w:tcW w:w="1679" w:type="pct"/>
                  <w:tcBorders>
                    <w:tl2br w:val="nil"/>
                    <w:tr2bl w:val="nil"/>
                  </w:tcBorders>
                  <w:shd w:val="clear" w:color="auto" w:fill="auto"/>
                  <w:vAlign w:val="center"/>
                </w:tcPr>
                <w:p w14:paraId="226C8889">
                  <w:pPr>
                    <w:spacing w:line="0" w:lineRule="atLeast"/>
                    <w:jc w:val="center"/>
                    <w:rPr>
                      <w:rFonts w:hint="eastAsia" w:ascii="Times New Roman" w:hAnsi="Times New Roman" w:eastAsia="宋体" w:cs="Times New Roman"/>
                      <w:color w:val="auto"/>
                      <w:spacing w:val="-10"/>
                      <w:kern w:val="2"/>
                      <w:sz w:val="18"/>
                      <w:szCs w:val="18"/>
                      <w:lang w:val="en-US" w:eastAsia="zh-CN" w:bidi="ar-SA"/>
                    </w:rPr>
                  </w:pPr>
                  <w:r>
                    <w:rPr>
                      <w:rFonts w:hint="eastAsia"/>
                      <w:color w:val="auto"/>
                      <w:spacing w:val="-10"/>
                      <w:sz w:val="18"/>
                      <w:szCs w:val="18"/>
                      <w:lang w:val="en-US" w:eastAsia="zh-CN"/>
                    </w:rPr>
                    <w:t>CTB-918，4kW，筒径0.9m、筒长1.8m</w:t>
                  </w:r>
                </w:p>
              </w:tc>
              <w:tc>
                <w:tcPr>
                  <w:tcW w:w="326" w:type="pct"/>
                  <w:tcBorders>
                    <w:tl2br w:val="nil"/>
                    <w:tr2bl w:val="nil"/>
                  </w:tcBorders>
                  <w:shd w:val="clear" w:color="auto" w:fill="auto"/>
                  <w:vAlign w:val="center"/>
                </w:tcPr>
                <w:p w14:paraId="676A6C5A">
                  <w:pPr>
                    <w:spacing w:line="0" w:lineRule="atLeast"/>
                    <w:jc w:val="center"/>
                    <w:rPr>
                      <w:rFonts w:hint="eastAsia" w:ascii="Times New Roman" w:hAnsi="Times New Roman" w:eastAsia="宋体" w:cs="Times New Roman"/>
                      <w:color w:val="auto"/>
                      <w:spacing w:val="-10"/>
                      <w:kern w:val="2"/>
                      <w:sz w:val="18"/>
                      <w:szCs w:val="18"/>
                      <w:lang w:val="en-US" w:eastAsia="zh-CN" w:bidi="ar-SA"/>
                    </w:rPr>
                  </w:pPr>
                  <w:r>
                    <w:rPr>
                      <w:rFonts w:hint="eastAsia"/>
                      <w:color w:val="auto"/>
                      <w:spacing w:val="-10"/>
                      <w:sz w:val="18"/>
                      <w:szCs w:val="18"/>
                      <w:lang w:val="en-US" w:eastAsia="zh-CN"/>
                    </w:rPr>
                    <w:t>台</w:t>
                  </w:r>
                </w:p>
              </w:tc>
              <w:tc>
                <w:tcPr>
                  <w:tcW w:w="291" w:type="pct"/>
                  <w:tcBorders>
                    <w:tl2br w:val="nil"/>
                    <w:tr2bl w:val="nil"/>
                  </w:tcBorders>
                  <w:shd w:val="clear" w:color="auto" w:fill="auto"/>
                  <w:vAlign w:val="center"/>
                </w:tcPr>
                <w:p w14:paraId="659440E2">
                  <w:pPr>
                    <w:spacing w:line="0" w:lineRule="atLeast"/>
                    <w:jc w:val="center"/>
                    <w:rPr>
                      <w:rFonts w:hint="eastAsia" w:ascii="Times New Roman" w:hAnsi="Times New Roman" w:eastAsia="宋体" w:cs="Times New Roman"/>
                      <w:color w:val="auto"/>
                      <w:spacing w:val="-10"/>
                      <w:kern w:val="2"/>
                      <w:sz w:val="18"/>
                      <w:szCs w:val="18"/>
                      <w:lang w:val="en-US" w:eastAsia="zh-CN" w:bidi="ar-SA"/>
                    </w:rPr>
                  </w:pPr>
                  <w:r>
                    <w:rPr>
                      <w:rFonts w:hint="eastAsia"/>
                      <w:color w:val="auto"/>
                      <w:spacing w:val="-10"/>
                      <w:sz w:val="18"/>
                      <w:szCs w:val="18"/>
                      <w:lang w:val="en-US" w:eastAsia="zh-CN"/>
                    </w:rPr>
                    <w:t>2</w:t>
                  </w:r>
                </w:p>
              </w:tc>
              <w:tc>
                <w:tcPr>
                  <w:tcW w:w="632" w:type="pct"/>
                  <w:tcBorders>
                    <w:tl2br w:val="nil"/>
                    <w:tr2bl w:val="nil"/>
                  </w:tcBorders>
                  <w:shd w:val="clear" w:color="auto" w:fill="auto"/>
                  <w:vAlign w:val="center"/>
                </w:tcPr>
                <w:p w14:paraId="04D045E7">
                  <w:pPr>
                    <w:spacing w:line="0" w:lineRule="atLeast"/>
                    <w:jc w:val="center"/>
                    <w:rPr>
                      <w:rFonts w:hint="eastAsia" w:ascii="Times New Roman" w:hAnsi="Times New Roman" w:eastAsia="宋体" w:cs="Times New Roman"/>
                      <w:color w:val="auto"/>
                      <w:spacing w:val="-10"/>
                      <w:kern w:val="2"/>
                      <w:sz w:val="18"/>
                      <w:szCs w:val="18"/>
                      <w:lang w:val="en-US" w:eastAsia="zh-CN" w:bidi="ar-SA"/>
                    </w:rPr>
                  </w:pPr>
                  <w:r>
                    <w:rPr>
                      <w:rFonts w:hint="eastAsia"/>
                      <w:color w:val="auto"/>
                      <w:spacing w:val="-10"/>
                      <w:sz w:val="18"/>
                      <w:szCs w:val="18"/>
                      <w:lang w:val="en-US" w:eastAsia="zh-CN"/>
                    </w:rPr>
                    <w:t>磁选</w:t>
                  </w:r>
                </w:p>
              </w:tc>
            </w:tr>
            <w:tr w14:paraId="379DA02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272" w:type="pct"/>
                  <w:tcBorders>
                    <w:tl2br w:val="nil"/>
                    <w:tr2bl w:val="nil"/>
                  </w:tcBorders>
                  <w:shd w:val="clear" w:color="auto" w:fill="auto"/>
                  <w:vAlign w:val="center"/>
                </w:tcPr>
                <w:p w14:paraId="0BD125B4">
                  <w:pPr>
                    <w:widowControl/>
                    <w:spacing w:line="0" w:lineRule="atLeast"/>
                    <w:jc w:val="center"/>
                    <w:rPr>
                      <w:rFonts w:hint="eastAsia" w:ascii="Times New Roman" w:hAnsi="Times New Roman" w:eastAsia="宋体" w:cs="Times New Roman"/>
                      <w:color w:val="auto"/>
                      <w:spacing w:val="-10"/>
                      <w:kern w:val="2"/>
                      <w:sz w:val="18"/>
                      <w:szCs w:val="18"/>
                      <w:lang w:val="en-US" w:eastAsia="zh-CN" w:bidi="ar-SA"/>
                    </w:rPr>
                  </w:pPr>
                  <w:r>
                    <w:rPr>
                      <w:rFonts w:hint="eastAsia"/>
                      <w:color w:val="auto"/>
                      <w:spacing w:val="-10"/>
                      <w:sz w:val="18"/>
                      <w:szCs w:val="18"/>
                      <w:lang w:val="en-US" w:eastAsia="zh-CN"/>
                    </w:rPr>
                    <w:t>13</w:t>
                  </w:r>
                </w:p>
              </w:tc>
              <w:tc>
                <w:tcPr>
                  <w:tcW w:w="368" w:type="pct"/>
                  <w:vMerge w:val="continue"/>
                  <w:tcBorders>
                    <w:tl2br w:val="nil"/>
                    <w:tr2bl w:val="nil"/>
                  </w:tcBorders>
                  <w:vAlign w:val="center"/>
                </w:tcPr>
                <w:p w14:paraId="344E2C8E">
                  <w:pPr>
                    <w:widowControl/>
                    <w:spacing w:line="0" w:lineRule="atLeast"/>
                    <w:jc w:val="center"/>
                    <w:rPr>
                      <w:rFonts w:hint="eastAsia"/>
                      <w:color w:val="auto"/>
                      <w:spacing w:val="-10"/>
                      <w:sz w:val="18"/>
                      <w:szCs w:val="18"/>
                      <w:lang w:val="en-US" w:eastAsia="zh-CN"/>
                    </w:rPr>
                  </w:pPr>
                </w:p>
              </w:tc>
              <w:tc>
                <w:tcPr>
                  <w:tcW w:w="402" w:type="pct"/>
                  <w:vMerge w:val="continue"/>
                  <w:tcBorders>
                    <w:tl2br w:val="nil"/>
                    <w:tr2bl w:val="nil"/>
                  </w:tcBorders>
                  <w:vAlign w:val="center"/>
                </w:tcPr>
                <w:p w14:paraId="7B72042C">
                  <w:pPr>
                    <w:widowControl/>
                    <w:spacing w:line="0" w:lineRule="atLeast"/>
                    <w:jc w:val="center"/>
                    <w:rPr>
                      <w:rFonts w:hint="eastAsia" w:ascii="Times New Roman" w:hAnsi="Times New Roman" w:eastAsia="宋体" w:cs="Times New Roman"/>
                      <w:color w:val="auto"/>
                      <w:spacing w:val="-10"/>
                      <w:sz w:val="18"/>
                      <w:szCs w:val="18"/>
                      <w:lang w:val="en-US" w:eastAsia="zh-CN"/>
                    </w:rPr>
                  </w:pPr>
                </w:p>
              </w:tc>
              <w:tc>
                <w:tcPr>
                  <w:tcW w:w="1027" w:type="pct"/>
                  <w:tcBorders>
                    <w:tl2br w:val="nil"/>
                    <w:tr2bl w:val="nil"/>
                  </w:tcBorders>
                  <w:shd w:val="clear" w:color="auto" w:fill="auto"/>
                  <w:vAlign w:val="center"/>
                </w:tcPr>
                <w:p w14:paraId="4BC9F68F">
                  <w:pPr>
                    <w:spacing w:line="0" w:lineRule="atLeast"/>
                    <w:jc w:val="center"/>
                    <w:rPr>
                      <w:rFonts w:hint="eastAsia" w:ascii="Times New Roman" w:hAnsi="Times New Roman" w:eastAsia="宋体" w:cs="Times New Roman"/>
                      <w:color w:val="auto"/>
                      <w:spacing w:val="-10"/>
                      <w:kern w:val="2"/>
                      <w:sz w:val="18"/>
                      <w:szCs w:val="18"/>
                      <w:lang w:val="en-US" w:eastAsia="zh-CN" w:bidi="ar-SA"/>
                    </w:rPr>
                  </w:pPr>
                  <w:r>
                    <w:rPr>
                      <w:rFonts w:hint="eastAsia"/>
                      <w:color w:val="auto"/>
                      <w:spacing w:val="-10"/>
                      <w:sz w:val="18"/>
                      <w:szCs w:val="18"/>
                      <w:lang w:val="en-US" w:eastAsia="zh-CN"/>
                    </w:rPr>
                    <w:t>摇床分选机</w:t>
                  </w:r>
                </w:p>
              </w:tc>
              <w:tc>
                <w:tcPr>
                  <w:tcW w:w="1679" w:type="pct"/>
                  <w:tcBorders>
                    <w:tl2br w:val="nil"/>
                    <w:tr2bl w:val="nil"/>
                  </w:tcBorders>
                  <w:shd w:val="clear" w:color="auto" w:fill="auto"/>
                  <w:vAlign w:val="center"/>
                </w:tcPr>
                <w:p w14:paraId="3374EF16">
                  <w:pPr>
                    <w:spacing w:line="0" w:lineRule="atLeast"/>
                    <w:jc w:val="center"/>
                    <w:rPr>
                      <w:rFonts w:hint="eastAsia" w:ascii="Times New Roman" w:hAnsi="Times New Roman" w:eastAsia="宋体" w:cs="Times New Roman"/>
                      <w:color w:val="auto"/>
                      <w:spacing w:val="-10"/>
                      <w:kern w:val="2"/>
                      <w:sz w:val="18"/>
                      <w:szCs w:val="18"/>
                      <w:lang w:val="en-US" w:eastAsia="zh-CN" w:bidi="ar-SA"/>
                    </w:rPr>
                  </w:pPr>
                  <w:r>
                    <w:rPr>
                      <w:rFonts w:hint="eastAsia"/>
                      <w:color w:val="auto"/>
                      <w:spacing w:val="-10"/>
                      <w:sz w:val="18"/>
                      <w:szCs w:val="18"/>
                      <w:lang w:val="en-US" w:eastAsia="zh-CN"/>
                    </w:rPr>
                    <w:t>摇床面积4.5m</w:t>
                  </w:r>
                  <w:r>
                    <w:rPr>
                      <w:rFonts w:hint="eastAsia"/>
                      <w:color w:val="auto"/>
                      <w:spacing w:val="-10"/>
                      <w:sz w:val="18"/>
                      <w:szCs w:val="18"/>
                      <w:vertAlign w:val="superscript"/>
                      <w:lang w:val="en-US" w:eastAsia="zh-CN"/>
                    </w:rPr>
                    <w:t>2</w:t>
                  </w:r>
                </w:p>
              </w:tc>
              <w:tc>
                <w:tcPr>
                  <w:tcW w:w="326" w:type="pct"/>
                  <w:tcBorders>
                    <w:tl2br w:val="nil"/>
                    <w:tr2bl w:val="nil"/>
                  </w:tcBorders>
                  <w:shd w:val="clear" w:color="auto" w:fill="auto"/>
                  <w:vAlign w:val="center"/>
                </w:tcPr>
                <w:p w14:paraId="16894C9F">
                  <w:pPr>
                    <w:spacing w:line="0" w:lineRule="atLeast"/>
                    <w:jc w:val="center"/>
                    <w:rPr>
                      <w:rFonts w:hint="eastAsia" w:ascii="Times New Roman" w:hAnsi="Times New Roman" w:eastAsia="宋体" w:cs="Times New Roman"/>
                      <w:color w:val="auto"/>
                      <w:spacing w:val="-10"/>
                      <w:kern w:val="2"/>
                      <w:sz w:val="18"/>
                      <w:szCs w:val="18"/>
                      <w:lang w:val="en-US" w:eastAsia="zh-CN" w:bidi="ar-SA"/>
                    </w:rPr>
                  </w:pPr>
                  <w:r>
                    <w:rPr>
                      <w:rFonts w:hint="eastAsia"/>
                      <w:color w:val="auto"/>
                      <w:spacing w:val="-10"/>
                      <w:sz w:val="18"/>
                      <w:szCs w:val="18"/>
                      <w:lang w:val="en-US" w:eastAsia="zh-CN"/>
                    </w:rPr>
                    <w:t>台</w:t>
                  </w:r>
                </w:p>
              </w:tc>
              <w:tc>
                <w:tcPr>
                  <w:tcW w:w="291" w:type="pct"/>
                  <w:tcBorders>
                    <w:tl2br w:val="nil"/>
                    <w:tr2bl w:val="nil"/>
                  </w:tcBorders>
                  <w:shd w:val="clear" w:color="auto" w:fill="auto"/>
                  <w:vAlign w:val="center"/>
                </w:tcPr>
                <w:p w14:paraId="2A655526">
                  <w:pPr>
                    <w:spacing w:line="0" w:lineRule="atLeast"/>
                    <w:jc w:val="center"/>
                    <w:rPr>
                      <w:rFonts w:hint="eastAsia" w:ascii="Times New Roman" w:hAnsi="Times New Roman" w:eastAsia="宋体" w:cs="Times New Roman"/>
                      <w:color w:val="auto"/>
                      <w:spacing w:val="-10"/>
                      <w:kern w:val="2"/>
                      <w:sz w:val="18"/>
                      <w:szCs w:val="18"/>
                      <w:lang w:val="en-US" w:eastAsia="zh-CN" w:bidi="ar-SA"/>
                    </w:rPr>
                  </w:pPr>
                  <w:r>
                    <w:rPr>
                      <w:rFonts w:hint="eastAsia"/>
                      <w:color w:val="auto"/>
                      <w:spacing w:val="-10"/>
                      <w:sz w:val="18"/>
                      <w:szCs w:val="18"/>
                      <w:lang w:val="en-US" w:eastAsia="zh-CN"/>
                    </w:rPr>
                    <w:t>4</w:t>
                  </w:r>
                </w:p>
              </w:tc>
              <w:tc>
                <w:tcPr>
                  <w:tcW w:w="632" w:type="pct"/>
                  <w:tcBorders>
                    <w:tl2br w:val="nil"/>
                    <w:tr2bl w:val="nil"/>
                  </w:tcBorders>
                  <w:shd w:val="clear" w:color="auto" w:fill="auto"/>
                  <w:vAlign w:val="center"/>
                </w:tcPr>
                <w:p w14:paraId="2FC20185">
                  <w:pPr>
                    <w:spacing w:line="0" w:lineRule="atLeast"/>
                    <w:jc w:val="center"/>
                    <w:rPr>
                      <w:rFonts w:hint="default" w:ascii="Times New Roman" w:hAnsi="Times New Roman" w:eastAsia="宋体" w:cs="Times New Roman"/>
                      <w:color w:val="auto"/>
                      <w:spacing w:val="-10"/>
                      <w:kern w:val="2"/>
                      <w:sz w:val="18"/>
                      <w:szCs w:val="18"/>
                      <w:lang w:val="en-US" w:eastAsia="zh-CN" w:bidi="ar-SA"/>
                    </w:rPr>
                  </w:pPr>
                  <w:r>
                    <w:rPr>
                      <w:rFonts w:hint="eastAsia"/>
                      <w:color w:val="auto"/>
                      <w:spacing w:val="-10"/>
                      <w:sz w:val="18"/>
                      <w:szCs w:val="18"/>
                      <w:lang w:val="en-US" w:eastAsia="zh-CN"/>
                    </w:rPr>
                    <w:t>重选，分选铁粉</w:t>
                  </w:r>
                </w:p>
              </w:tc>
            </w:tr>
            <w:tr w14:paraId="4BFC7DB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272" w:type="pct"/>
                  <w:tcBorders>
                    <w:tl2br w:val="nil"/>
                    <w:tr2bl w:val="nil"/>
                  </w:tcBorders>
                  <w:shd w:val="clear" w:color="auto" w:fill="auto"/>
                  <w:vAlign w:val="center"/>
                </w:tcPr>
                <w:p w14:paraId="13A72AFC">
                  <w:pPr>
                    <w:widowControl/>
                    <w:spacing w:line="0" w:lineRule="atLeast"/>
                    <w:jc w:val="center"/>
                    <w:rPr>
                      <w:rFonts w:hint="eastAsia" w:ascii="Times New Roman" w:hAnsi="Times New Roman" w:eastAsia="宋体" w:cs="Times New Roman"/>
                      <w:color w:val="auto"/>
                      <w:spacing w:val="-10"/>
                      <w:kern w:val="2"/>
                      <w:sz w:val="18"/>
                      <w:szCs w:val="18"/>
                      <w:lang w:val="en-US" w:eastAsia="zh-CN" w:bidi="ar-SA"/>
                    </w:rPr>
                  </w:pPr>
                  <w:r>
                    <w:rPr>
                      <w:rFonts w:hint="eastAsia"/>
                      <w:color w:val="auto"/>
                      <w:spacing w:val="-10"/>
                      <w:sz w:val="18"/>
                      <w:szCs w:val="18"/>
                      <w:lang w:val="en-US" w:eastAsia="zh-CN"/>
                    </w:rPr>
                    <w:t>14</w:t>
                  </w:r>
                </w:p>
              </w:tc>
              <w:tc>
                <w:tcPr>
                  <w:tcW w:w="368" w:type="pct"/>
                  <w:vMerge w:val="continue"/>
                  <w:tcBorders>
                    <w:tl2br w:val="nil"/>
                    <w:tr2bl w:val="nil"/>
                  </w:tcBorders>
                  <w:vAlign w:val="center"/>
                </w:tcPr>
                <w:p w14:paraId="6E9977C2">
                  <w:pPr>
                    <w:widowControl/>
                    <w:spacing w:line="0" w:lineRule="atLeast"/>
                    <w:jc w:val="center"/>
                    <w:rPr>
                      <w:rFonts w:hint="eastAsia"/>
                      <w:color w:val="auto"/>
                      <w:spacing w:val="-10"/>
                      <w:sz w:val="18"/>
                      <w:szCs w:val="18"/>
                      <w:lang w:val="en-US" w:eastAsia="zh-CN"/>
                    </w:rPr>
                  </w:pPr>
                </w:p>
              </w:tc>
              <w:tc>
                <w:tcPr>
                  <w:tcW w:w="402" w:type="pct"/>
                  <w:vMerge w:val="continue"/>
                  <w:tcBorders>
                    <w:tl2br w:val="nil"/>
                    <w:tr2bl w:val="nil"/>
                  </w:tcBorders>
                  <w:vAlign w:val="center"/>
                </w:tcPr>
                <w:p w14:paraId="523CE6F6">
                  <w:pPr>
                    <w:widowControl/>
                    <w:spacing w:line="0" w:lineRule="atLeast"/>
                    <w:jc w:val="center"/>
                    <w:rPr>
                      <w:rFonts w:hint="eastAsia" w:ascii="Times New Roman" w:hAnsi="Times New Roman" w:eastAsia="宋体" w:cs="Times New Roman"/>
                      <w:color w:val="auto"/>
                      <w:spacing w:val="-10"/>
                      <w:sz w:val="18"/>
                      <w:szCs w:val="18"/>
                      <w:lang w:val="en-US" w:eastAsia="zh-CN"/>
                    </w:rPr>
                  </w:pPr>
                </w:p>
              </w:tc>
              <w:tc>
                <w:tcPr>
                  <w:tcW w:w="1027" w:type="pct"/>
                  <w:tcBorders>
                    <w:tl2br w:val="nil"/>
                    <w:tr2bl w:val="nil"/>
                  </w:tcBorders>
                  <w:shd w:val="clear" w:color="auto" w:fill="auto"/>
                  <w:vAlign w:val="center"/>
                </w:tcPr>
                <w:p w14:paraId="4A22AE3E">
                  <w:pPr>
                    <w:spacing w:line="0" w:lineRule="atLeast"/>
                    <w:jc w:val="center"/>
                    <w:rPr>
                      <w:rFonts w:hint="eastAsia" w:ascii="Times New Roman" w:hAnsi="Times New Roman" w:eastAsia="宋体" w:cs="Times New Roman"/>
                      <w:color w:val="auto"/>
                      <w:spacing w:val="-10"/>
                      <w:kern w:val="2"/>
                      <w:sz w:val="18"/>
                      <w:szCs w:val="18"/>
                      <w:lang w:val="en-US" w:eastAsia="zh-CN" w:bidi="ar-SA"/>
                    </w:rPr>
                  </w:pPr>
                  <w:r>
                    <w:rPr>
                      <w:rFonts w:hint="eastAsia"/>
                      <w:color w:val="auto"/>
                      <w:spacing w:val="-10"/>
                      <w:sz w:val="18"/>
                      <w:szCs w:val="18"/>
                      <w:lang w:val="en-US" w:eastAsia="zh-CN"/>
                    </w:rPr>
                    <w:t>空气分选机</w:t>
                  </w:r>
                </w:p>
              </w:tc>
              <w:tc>
                <w:tcPr>
                  <w:tcW w:w="1679" w:type="pct"/>
                  <w:tcBorders>
                    <w:tl2br w:val="nil"/>
                    <w:tr2bl w:val="nil"/>
                  </w:tcBorders>
                  <w:shd w:val="clear" w:color="auto" w:fill="auto"/>
                  <w:vAlign w:val="center"/>
                </w:tcPr>
                <w:p w14:paraId="6D8BA5EF">
                  <w:pPr>
                    <w:spacing w:line="0" w:lineRule="atLeast"/>
                    <w:jc w:val="center"/>
                    <w:rPr>
                      <w:rFonts w:hint="eastAsia" w:ascii="Times New Roman" w:hAnsi="Times New Roman" w:eastAsia="宋体" w:cs="Times New Roman"/>
                      <w:color w:val="auto"/>
                      <w:spacing w:val="-10"/>
                      <w:kern w:val="2"/>
                      <w:sz w:val="18"/>
                      <w:szCs w:val="18"/>
                      <w:lang w:val="en-US" w:eastAsia="zh-CN" w:bidi="ar-SA"/>
                    </w:rPr>
                  </w:pPr>
                  <w:r>
                    <w:rPr>
                      <w:rFonts w:hint="eastAsia"/>
                      <w:color w:val="auto"/>
                      <w:spacing w:val="-10"/>
                      <w:sz w:val="18"/>
                      <w:szCs w:val="18"/>
                      <w:lang w:val="en-US" w:eastAsia="zh-CN"/>
                    </w:rPr>
                    <w:t>尺寸2.7m*2.6m*5.8m，15kW，生产能力0-30t/h</w:t>
                  </w:r>
                </w:p>
              </w:tc>
              <w:tc>
                <w:tcPr>
                  <w:tcW w:w="326" w:type="pct"/>
                  <w:tcBorders>
                    <w:tl2br w:val="nil"/>
                    <w:tr2bl w:val="nil"/>
                  </w:tcBorders>
                  <w:shd w:val="clear" w:color="auto" w:fill="auto"/>
                  <w:vAlign w:val="center"/>
                </w:tcPr>
                <w:p w14:paraId="73B361C3">
                  <w:pPr>
                    <w:spacing w:line="0" w:lineRule="atLeast"/>
                    <w:jc w:val="center"/>
                    <w:rPr>
                      <w:rFonts w:hint="eastAsia" w:ascii="Times New Roman" w:hAnsi="Times New Roman" w:eastAsia="宋体" w:cs="Times New Roman"/>
                      <w:color w:val="auto"/>
                      <w:spacing w:val="-10"/>
                      <w:kern w:val="2"/>
                      <w:sz w:val="18"/>
                      <w:szCs w:val="18"/>
                      <w:lang w:val="en-US" w:eastAsia="zh-CN" w:bidi="ar-SA"/>
                    </w:rPr>
                  </w:pPr>
                  <w:r>
                    <w:rPr>
                      <w:rFonts w:hint="eastAsia"/>
                      <w:color w:val="auto"/>
                      <w:spacing w:val="-10"/>
                      <w:sz w:val="18"/>
                      <w:szCs w:val="18"/>
                      <w:lang w:val="en-US" w:eastAsia="zh-CN"/>
                    </w:rPr>
                    <w:t>台</w:t>
                  </w:r>
                </w:p>
              </w:tc>
              <w:tc>
                <w:tcPr>
                  <w:tcW w:w="291" w:type="pct"/>
                  <w:tcBorders>
                    <w:tl2br w:val="nil"/>
                    <w:tr2bl w:val="nil"/>
                  </w:tcBorders>
                  <w:shd w:val="clear" w:color="auto" w:fill="auto"/>
                  <w:vAlign w:val="center"/>
                </w:tcPr>
                <w:p w14:paraId="24D63D5D">
                  <w:pPr>
                    <w:spacing w:line="0" w:lineRule="atLeast"/>
                    <w:jc w:val="center"/>
                    <w:rPr>
                      <w:rFonts w:hint="eastAsia" w:ascii="Times New Roman" w:hAnsi="Times New Roman" w:eastAsia="宋体" w:cs="Times New Roman"/>
                      <w:color w:val="auto"/>
                      <w:spacing w:val="-10"/>
                      <w:kern w:val="2"/>
                      <w:sz w:val="18"/>
                      <w:szCs w:val="18"/>
                      <w:lang w:val="en-US" w:eastAsia="zh-CN" w:bidi="ar-SA"/>
                    </w:rPr>
                  </w:pPr>
                  <w:r>
                    <w:rPr>
                      <w:rFonts w:hint="eastAsia"/>
                      <w:color w:val="auto"/>
                      <w:spacing w:val="-10"/>
                      <w:sz w:val="18"/>
                      <w:szCs w:val="18"/>
                      <w:lang w:val="en-US" w:eastAsia="zh-CN"/>
                    </w:rPr>
                    <w:t>2</w:t>
                  </w:r>
                </w:p>
              </w:tc>
              <w:tc>
                <w:tcPr>
                  <w:tcW w:w="632" w:type="pct"/>
                  <w:tcBorders>
                    <w:tl2br w:val="nil"/>
                    <w:tr2bl w:val="nil"/>
                  </w:tcBorders>
                  <w:shd w:val="clear" w:color="auto" w:fill="auto"/>
                  <w:vAlign w:val="center"/>
                </w:tcPr>
                <w:p w14:paraId="47CA4A7E">
                  <w:pPr>
                    <w:spacing w:line="0" w:lineRule="atLeast"/>
                    <w:jc w:val="center"/>
                    <w:rPr>
                      <w:rFonts w:hint="eastAsia" w:ascii="Times New Roman" w:hAnsi="Times New Roman" w:eastAsia="宋体" w:cs="Times New Roman"/>
                      <w:color w:val="auto"/>
                      <w:spacing w:val="-10"/>
                      <w:kern w:val="2"/>
                      <w:sz w:val="18"/>
                      <w:szCs w:val="18"/>
                      <w:lang w:val="en-US" w:eastAsia="zh-CN" w:bidi="ar-SA"/>
                    </w:rPr>
                  </w:pPr>
                  <w:r>
                    <w:rPr>
                      <w:rFonts w:hint="eastAsia"/>
                      <w:color w:val="auto"/>
                      <w:spacing w:val="-10"/>
                      <w:sz w:val="18"/>
                      <w:szCs w:val="18"/>
                      <w:lang w:val="en-US" w:eastAsia="zh-CN"/>
                    </w:rPr>
                    <w:t>物料空气分选</w:t>
                  </w:r>
                </w:p>
              </w:tc>
            </w:tr>
            <w:tr w14:paraId="31A854B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272" w:type="pct"/>
                  <w:tcBorders>
                    <w:tl2br w:val="nil"/>
                    <w:tr2bl w:val="nil"/>
                  </w:tcBorders>
                  <w:shd w:val="clear" w:color="auto" w:fill="auto"/>
                  <w:vAlign w:val="center"/>
                </w:tcPr>
                <w:p w14:paraId="7B46A7D8">
                  <w:pPr>
                    <w:widowControl/>
                    <w:spacing w:line="0" w:lineRule="atLeast"/>
                    <w:jc w:val="center"/>
                    <w:rPr>
                      <w:rFonts w:hint="eastAsia" w:ascii="Times New Roman" w:hAnsi="Times New Roman" w:eastAsia="宋体" w:cs="Times New Roman"/>
                      <w:color w:val="auto"/>
                      <w:spacing w:val="-10"/>
                      <w:kern w:val="2"/>
                      <w:sz w:val="18"/>
                      <w:szCs w:val="18"/>
                      <w:lang w:val="en-US" w:eastAsia="zh-CN" w:bidi="ar-SA"/>
                    </w:rPr>
                  </w:pPr>
                  <w:r>
                    <w:rPr>
                      <w:rFonts w:hint="eastAsia"/>
                      <w:color w:val="auto"/>
                      <w:spacing w:val="-10"/>
                      <w:sz w:val="18"/>
                      <w:szCs w:val="18"/>
                      <w:lang w:val="en-US" w:eastAsia="zh-CN"/>
                    </w:rPr>
                    <w:t>14</w:t>
                  </w:r>
                </w:p>
              </w:tc>
              <w:tc>
                <w:tcPr>
                  <w:tcW w:w="368" w:type="pct"/>
                  <w:vMerge w:val="continue"/>
                  <w:tcBorders>
                    <w:tl2br w:val="nil"/>
                    <w:tr2bl w:val="nil"/>
                  </w:tcBorders>
                  <w:vAlign w:val="center"/>
                </w:tcPr>
                <w:p w14:paraId="0F2ABF33">
                  <w:pPr>
                    <w:widowControl/>
                    <w:spacing w:line="0" w:lineRule="atLeast"/>
                    <w:jc w:val="center"/>
                    <w:rPr>
                      <w:rFonts w:hint="eastAsia"/>
                      <w:color w:val="auto"/>
                      <w:spacing w:val="-10"/>
                      <w:sz w:val="18"/>
                      <w:szCs w:val="18"/>
                      <w:lang w:val="en-US" w:eastAsia="zh-CN"/>
                    </w:rPr>
                  </w:pPr>
                </w:p>
              </w:tc>
              <w:tc>
                <w:tcPr>
                  <w:tcW w:w="402" w:type="pct"/>
                  <w:vMerge w:val="continue"/>
                  <w:tcBorders>
                    <w:tl2br w:val="nil"/>
                    <w:tr2bl w:val="nil"/>
                  </w:tcBorders>
                  <w:vAlign w:val="center"/>
                </w:tcPr>
                <w:p w14:paraId="1ADF1275">
                  <w:pPr>
                    <w:widowControl/>
                    <w:spacing w:line="0" w:lineRule="atLeast"/>
                    <w:jc w:val="center"/>
                    <w:rPr>
                      <w:rFonts w:hint="eastAsia" w:ascii="Times New Roman" w:hAnsi="Times New Roman" w:eastAsia="宋体" w:cs="Times New Roman"/>
                      <w:color w:val="auto"/>
                      <w:spacing w:val="-10"/>
                      <w:sz w:val="18"/>
                      <w:szCs w:val="18"/>
                      <w:lang w:val="en-US" w:eastAsia="zh-CN"/>
                    </w:rPr>
                  </w:pPr>
                </w:p>
              </w:tc>
              <w:tc>
                <w:tcPr>
                  <w:tcW w:w="1027" w:type="pct"/>
                  <w:tcBorders>
                    <w:tl2br w:val="nil"/>
                    <w:tr2bl w:val="nil"/>
                  </w:tcBorders>
                  <w:shd w:val="clear" w:color="auto" w:fill="auto"/>
                  <w:vAlign w:val="center"/>
                </w:tcPr>
                <w:p w14:paraId="1ED932C1">
                  <w:pPr>
                    <w:spacing w:line="0" w:lineRule="atLeast"/>
                    <w:jc w:val="center"/>
                    <w:rPr>
                      <w:rFonts w:hint="eastAsia"/>
                      <w:color w:val="auto"/>
                      <w:spacing w:val="-10"/>
                      <w:sz w:val="18"/>
                      <w:szCs w:val="18"/>
                      <w:lang w:val="en-US" w:eastAsia="zh-CN"/>
                    </w:rPr>
                  </w:pPr>
                  <w:r>
                    <w:rPr>
                      <w:rFonts w:hint="eastAsia"/>
                      <w:color w:val="auto"/>
                      <w:spacing w:val="-10"/>
                      <w:sz w:val="18"/>
                      <w:szCs w:val="18"/>
                      <w:lang w:val="en-US" w:eastAsia="zh-CN"/>
                    </w:rPr>
                    <w:t>磁辊</w:t>
                  </w:r>
                </w:p>
              </w:tc>
              <w:tc>
                <w:tcPr>
                  <w:tcW w:w="1679" w:type="pct"/>
                  <w:tcBorders>
                    <w:tl2br w:val="nil"/>
                    <w:tr2bl w:val="nil"/>
                  </w:tcBorders>
                  <w:shd w:val="clear" w:color="auto" w:fill="auto"/>
                  <w:vAlign w:val="center"/>
                </w:tcPr>
                <w:p w14:paraId="373EEA19">
                  <w:pPr>
                    <w:spacing w:line="0" w:lineRule="atLeast"/>
                    <w:jc w:val="center"/>
                    <w:rPr>
                      <w:rFonts w:hint="eastAsia"/>
                      <w:color w:val="auto"/>
                      <w:spacing w:val="-10"/>
                      <w:sz w:val="18"/>
                      <w:szCs w:val="18"/>
                      <w:lang w:val="en-US" w:eastAsia="zh-CN"/>
                    </w:rPr>
                  </w:pPr>
                  <w:r>
                    <w:rPr>
                      <w:rFonts w:hint="eastAsia"/>
                      <w:color w:val="auto"/>
                      <w:spacing w:val="-10"/>
                      <w:sz w:val="18"/>
                      <w:szCs w:val="18"/>
                      <w:lang w:val="en-US" w:eastAsia="zh-CN"/>
                    </w:rPr>
                    <w:t>直径0.8m</w:t>
                  </w:r>
                </w:p>
              </w:tc>
              <w:tc>
                <w:tcPr>
                  <w:tcW w:w="326" w:type="pct"/>
                  <w:tcBorders>
                    <w:tl2br w:val="nil"/>
                    <w:tr2bl w:val="nil"/>
                  </w:tcBorders>
                  <w:shd w:val="clear" w:color="auto" w:fill="auto"/>
                  <w:vAlign w:val="center"/>
                </w:tcPr>
                <w:p w14:paraId="59F3578D">
                  <w:pPr>
                    <w:spacing w:line="0" w:lineRule="atLeast"/>
                    <w:jc w:val="center"/>
                    <w:rPr>
                      <w:rFonts w:hint="eastAsia"/>
                      <w:color w:val="auto"/>
                      <w:spacing w:val="-10"/>
                      <w:sz w:val="18"/>
                      <w:szCs w:val="18"/>
                      <w:lang w:val="en-US" w:eastAsia="zh-CN"/>
                    </w:rPr>
                  </w:pPr>
                  <w:r>
                    <w:rPr>
                      <w:rFonts w:hint="eastAsia"/>
                      <w:color w:val="auto"/>
                      <w:spacing w:val="-10"/>
                      <w:sz w:val="18"/>
                      <w:szCs w:val="18"/>
                      <w:lang w:val="en-US" w:eastAsia="zh-CN"/>
                    </w:rPr>
                    <w:t>台</w:t>
                  </w:r>
                </w:p>
              </w:tc>
              <w:tc>
                <w:tcPr>
                  <w:tcW w:w="291" w:type="pct"/>
                  <w:tcBorders>
                    <w:tl2br w:val="nil"/>
                    <w:tr2bl w:val="nil"/>
                  </w:tcBorders>
                  <w:shd w:val="clear" w:color="auto" w:fill="auto"/>
                  <w:vAlign w:val="center"/>
                </w:tcPr>
                <w:p w14:paraId="234D22FD">
                  <w:pPr>
                    <w:spacing w:line="0" w:lineRule="atLeast"/>
                    <w:jc w:val="center"/>
                    <w:rPr>
                      <w:rFonts w:hint="eastAsia"/>
                      <w:color w:val="auto"/>
                      <w:spacing w:val="-10"/>
                      <w:sz w:val="18"/>
                      <w:szCs w:val="18"/>
                      <w:lang w:val="en-US" w:eastAsia="zh-CN"/>
                    </w:rPr>
                  </w:pPr>
                  <w:r>
                    <w:rPr>
                      <w:rFonts w:hint="eastAsia"/>
                      <w:color w:val="auto"/>
                      <w:spacing w:val="-10"/>
                      <w:sz w:val="18"/>
                      <w:szCs w:val="18"/>
                      <w:lang w:val="en-US" w:eastAsia="zh-CN"/>
                    </w:rPr>
                    <w:t>2</w:t>
                  </w:r>
                </w:p>
              </w:tc>
              <w:tc>
                <w:tcPr>
                  <w:tcW w:w="632" w:type="pct"/>
                  <w:tcBorders>
                    <w:tl2br w:val="nil"/>
                    <w:tr2bl w:val="nil"/>
                  </w:tcBorders>
                  <w:shd w:val="clear" w:color="auto" w:fill="auto"/>
                  <w:vAlign w:val="center"/>
                </w:tcPr>
                <w:p w14:paraId="6E401148">
                  <w:pPr>
                    <w:spacing w:line="0" w:lineRule="atLeast"/>
                    <w:jc w:val="center"/>
                    <w:rPr>
                      <w:rFonts w:hint="eastAsia"/>
                      <w:color w:val="auto"/>
                      <w:spacing w:val="-10"/>
                      <w:sz w:val="18"/>
                      <w:szCs w:val="18"/>
                      <w:lang w:val="en-US" w:eastAsia="zh-CN"/>
                    </w:rPr>
                  </w:pPr>
                  <w:r>
                    <w:rPr>
                      <w:rFonts w:hint="eastAsia"/>
                      <w:color w:val="auto"/>
                      <w:spacing w:val="-10"/>
                      <w:sz w:val="18"/>
                      <w:szCs w:val="18"/>
                      <w:lang w:val="en-US" w:eastAsia="zh-CN"/>
                    </w:rPr>
                    <w:t>分选铁料</w:t>
                  </w:r>
                </w:p>
              </w:tc>
            </w:tr>
            <w:tr w14:paraId="4EB9AA1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272" w:type="pct"/>
                  <w:tcBorders>
                    <w:tl2br w:val="nil"/>
                    <w:tr2bl w:val="nil"/>
                  </w:tcBorders>
                  <w:shd w:val="clear" w:color="auto" w:fill="auto"/>
                  <w:vAlign w:val="center"/>
                </w:tcPr>
                <w:p w14:paraId="69FEEC40">
                  <w:pPr>
                    <w:widowControl/>
                    <w:spacing w:line="0" w:lineRule="atLeast"/>
                    <w:jc w:val="center"/>
                    <w:rPr>
                      <w:rFonts w:hint="default" w:ascii="Times New Roman" w:hAnsi="Times New Roman" w:eastAsia="宋体" w:cs="Times New Roman"/>
                      <w:color w:val="auto"/>
                      <w:spacing w:val="-10"/>
                      <w:kern w:val="2"/>
                      <w:sz w:val="18"/>
                      <w:szCs w:val="18"/>
                      <w:lang w:val="en-US" w:eastAsia="zh-CN" w:bidi="ar-SA"/>
                    </w:rPr>
                  </w:pPr>
                  <w:r>
                    <w:rPr>
                      <w:rFonts w:hint="eastAsia"/>
                      <w:color w:val="auto"/>
                      <w:spacing w:val="-10"/>
                      <w:sz w:val="18"/>
                      <w:szCs w:val="18"/>
                      <w:lang w:val="en-US" w:eastAsia="zh-CN"/>
                    </w:rPr>
                    <w:t>15</w:t>
                  </w:r>
                </w:p>
              </w:tc>
              <w:tc>
                <w:tcPr>
                  <w:tcW w:w="368" w:type="pct"/>
                  <w:vMerge w:val="continue"/>
                  <w:tcBorders>
                    <w:tl2br w:val="nil"/>
                    <w:tr2bl w:val="nil"/>
                  </w:tcBorders>
                  <w:vAlign w:val="center"/>
                </w:tcPr>
                <w:p w14:paraId="1013175D">
                  <w:pPr>
                    <w:widowControl/>
                    <w:spacing w:line="0" w:lineRule="atLeast"/>
                    <w:jc w:val="center"/>
                    <w:rPr>
                      <w:rFonts w:hint="eastAsia"/>
                      <w:color w:val="auto"/>
                      <w:spacing w:val="-10"/>
                      <w:sz w:val="18"/>
                      <w:szCs w:val="18"/>
                      <w:lang w:val="en-US" w:eastAsia="zh-CN"/>
                    </w:rPr>
                  </w:pPr>
                </w:p>
              </w:tc>
              <w:tc>
                <w:tcPr>
                  <w:tcW w:w="402" w:type="pct"/>
                  <w:vMerge w:val="continue"/>
                  <w:tcBorders>
                    <w:tl2br w:val="nil"/>
                    <w:tr2bl w:val="nil"/>
                  </w:tcBorders>
                  <w:vAlign w:val="center"/>
                </w:tcPr>
                <w:p w14:paraId="75F1AA02">
                  <w:pPr>
                    <w:widowControl/>
                    <w:spacing w:line="0" w:lineRule="atLeast"/>
                    <w:jc w:val="center"/>
                    <w:rPr>
                      <w:rFonts w:hint="eastAsia"/>
                      <w:color w:val="auto"/>
                      <w:spacing w:val="-10"/>
                      <w:sz w:val="18"/>
                      <w:szCs w:val="18"/>
                      <w:lang w:val="en-US" w:eastAsia="zh-CN"/>
                    </w:rPr>
                  </w:pPr>
                </w:p>
              </w:tc>
              <w:tc>
                <w:tcPr>
                  <w:tcW w:w="1027" w:type="pct"/>
                  <w:tcBorders>
                    <w:tl2br w:val="nil"/>
                    <w:tr2bl w:val="nil"/>
                  </w:tcBorders>
                  <w:shd w:val="clear" w:color="auto" w:fill="auto"/>
                  <w:vAlign w:val="center"/>
                </w:tcPr>
                <w:p w14:paraId="63342084">
                  <w:pPr>
                    <w:spacing w:line="0" w:lineRule="atLeast"/>
                    <w:jc w:val="center"/>
                    <w:rPr>
                      <w:rFonts w:hint="default"/>
                      <w:color w:val="auto"/>
                      <w:spacing w:val="-10"/>
                      <w:sz w:val="18"/>
                      <w:szCs w:val="18"/>
                      <w:lang w:val="en-US" w:eastAsia="zh-CN"/>
                    </w:rPr>
                  </w:pPr>
                  <w:r>
                    <w:rPr>
                      <w:rFonts w:hint="eastAsia"/>
                      <w:color w:val="auto"/>
                      <w:spacing w:val="-10"/>
                      <w:sz w:val="18"/>
                      <w:szCs w:val="18"/>
                      <w:lang w:val="en-US" w:eastAsia="zh-CN"/>
                    </w:rPr>
                    <w:t>分钢机</w:t>
                  </w:r>
                </w:p>
              </w:tc>
              <w:tc>
                <w:tcPr>
                  <w:tcW w:w="1679" w:type="pct"/>
                  <w:tcBorders>
                    <w:tl2br w:val="nil"/>
                    <w:tr2bl w:val="nil"/>
                  </w:tcBorders>
                  <w:shd w:val="clear" w:color="auto" w:fill="auto"/>
                  <w:vAlign w:val="center"/>
                </w:tcPr>
                <w:p w14:paraId="0DE1F4D7">
                  <w:pPr>
                    <w:spacing w:line="0" w:lineRule="atLeast"/>
                    <w:jc w:val="center"/>
                    <w:rPr>
                      <w:rFonts w:hint="default"/>
                      <w:color w:val="auto"/>
                      <w:spacing w:val="-10"/>
                      <w:sz w:val="18"/>
                      <w:szCs w:val="18"/>
                      <w:lang w:val="en-US" w:eastAsia="zh-CN"/>
                    </w:rPr>
                  </w:pPr>
                  <w:r>
                    <w:rPr>
                      <w:rFonts w:hint="eastAsia"/>
                      <w:color w:val="auto"/>
                      <w:spacing w:val="-10"/>
                      <w:sz w:val="18"/>
                      <w:szCs w:val="18"/>
                      <w:lang w:val="en-US" w:eastAsia="zh-CN"/>
                    </w:rPr>
                    <w:t>--</w:t>
                  </w:r>
                </w:p>
              </w:tc>
              <w:tc>
                <w:tcPr>
                  <w:tcW w:w="326" w:type="pct"/>
                  <w:tcBorders>
                    <w:tl2br w:val="nil"/>
                    <w:tr2bl w:val="nil"/>
                  </w:tcBorders>
                  <w:shd w:val="clear" w:color="auto" w:fill="auto"/>
                  <w:vAlign w:val="center"/>
                </w:tcPr>
                <w:p w14:paraId="6B0D535F">
                  <w:pPr>
                    <w:spacing w:line="0" w:lineRule="atLeast"/>
                    <w:jc w:val="center"/>
                    <w:rPr>
                      <w:rFonts w:hint="eastAsia"/>
                      <w:color w:val="auto"/>
                      <w:spacing w:val="-10"/>
                      <w:sz w:val="18"/>
                      <w:szCs w:val="18"/>
                      <w:lang w:val="en-US" w:eastAsia="zh-CN"/>
                    </w:rPr>
                  </w:pPr>
                  <w:r>
                    <w:rPr>
                      <w:rFonts w:hint="eastAsia"/>
                      <w:color w:val="auto"/>
                      <w:spacing w:val="-10"/>
                      <w:sz w:val="18"/>
                      <w:szCs w:val="18"/>
                      <w:lang w:val="en-US" w:eastAsia="zh-CN"/>
                    </w:rPr>
                    <w:t>台</w:t>
                  </w:r>
                </w:p>
              </w:tc>
              <w:tc>
                <w:tcPr>
                  <w:tcW w:w="291" w:type="pct"/>
                  <w:tcBorders>
                    <w:tl2br w:val="nil"/>
                    <w:tr2bl w:val="nil"/>
                  </w:tcBorders>
                  <w:shd w:val="clear" w:color="auto" w:fill="auto"/>
                  <w:vAlign w:val="center"/>
                </w:tcPr>
                <w:p w14:paraId="3576D2FA">
                  <w:pPr>
                    <w:spacing w:line="0" w:lineRule="atLeast"/>
                    <w:jc w:val="center"/>
                    <w:rPr>
                      <w:rFonts w:hint="eastAsia"/>
                      <w:color w:val="auto"/>
                      <w:spacing w:val="-10"/>
                      <w:sz w:val="18"/>
                      <w:szCs w:val="18"/>
                      <w:lang w:val="en-US" w:eastAsia="zh-CN"/>
                    </w:rPr>
                  </w:pPr>
                  <w:r>
                    <w:rPr>
                      <w:rFonts w:hint="eastAsia"/>
                      <w:color w:val="auto"/>
                      <w:spacing w:val="-10"/>
                      <w:sz w:val="18"/>
                      <w:szCs w:val="18"/>
                      <w:lang w:val="en-US" w:eastAsia="zh-CN"/>
                    </w:rPr>
                    <w:t>2</w:t>
                  </w:r>
                </w:p>
              </w:tc>
              <w:tc>
                <w:tcPr>
                  <w:tcW w:w="632" w:type="pct"/>
                  <w:tcBorders>
                    <w:tl2br w:val="nil"/>
                    <w:tr2bl w:val="nil"/>
                  </w:tcBorders>
                  <w:shd w:val="clear" w:color="auto" w:fill="auto"/>
                  <w:vAlign w:val="center"/>
                </w:tcPr>
                <w:p w14:paraId="16B171B8">
                  <w:pPr>
                    <w:spacing w:line="0" w:lineRule="atLeast"/>
                    <w:jc w:val="center"/>
                    <w:rPr>
                      <w:rFonts w:hint="default"/>
                      <w:color w:val="auto"/>
                      <w:spacing w:val="-10"/>
                      <w:sz w:val="18"/>
                      <w:szCs w:val="18"/>
                      <w:lang w:val="en-US" w:eastAsia="zh-CN"/>
                    </w:rPr>
                  </w:pPr>
                  <w:r>
                    <w:rPr>
                      <w:rFonts w:hint="eastAsia"/>
                      <w:color w:val="auto"/>
                      <w:spacing w:val="-10"/>
                      <w:sz w:val="18"/>
                      <w:szCs w:val="18"/>
                      <w:lang w:val="en-US" w:eastAsia="zh-CN"/>
                    </w:rPr>
                    <w:t>分选不锈钢</w:t>
                  </w:r>
                </w:p>
              </w:tc>
            </w:tr>
            <w:tr w14:paraId="2024EF5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272" w:type="pct"/>
                  <w:tcBorders>
                    <w:tl2br w:val="nil"/>
                    <w:tr2bl w:val="nil"/>
                  </w:tcBorders>
                  <w:shd w:val="clear" w:color="auto" w:fill="auto"/>
                  <w:vAlign w:val="center"/>
                </w:tcPr>
                <w:p w14:paraId="1717ED1E">
                  <w:pPr>
                    <w:widowControl/>
                    <w:spacing w:line="0" w:lineRule="atLeast"/>
                    <w:jc w:val="center"/>
                    <w:rPr>
                      <w:rFonts w:hint="default" w:ascii="Times New Roman" w:hAnsi="Times New Roman" w:eastAsia="宋体" w:cs="Times New Roman"/>
                      <w:color w:val="auto"/>
                      <w:spacing w:val="-10"/>
                      <w:kern w:val="2"/>
                      <w:sz w:val="18"/>
                      <w:szCs w:val="18"/>
                      <w:lang w:val="en-US" w:eastAsia="zh-CN" w:bidi="ar-SA"/>
                    </w:rPr>
                  </w:pPr>
                  <w:r>
                    <w:rPr>
                      <w:rFonts w:hint="eastAsia"/>
                      <w:color w:val="auto"/>
                      <w:spacing w:val="-10"/>
                      <w:sz w:val="18"/>
                      <w:szCs w:val="18"/>
                      <w:lang w:val="en-US" w:eastAsia="zh-CN"/>
                    </w:rPr>
                    <w:t>16</w:t>
                  </w:r>
                </w:p>
              </w:tc>
              <w:tc>
                <w:tcPr>
                  <w:tcW w:w="368" w:type="pct"/>
                  <w:vMerge w:val="continue"/>
                  <w:tcBorders>
                    <w:tl2br w:val="nil"/>
                    <w:tr2bl w:val="nil"/>
                  </w:tcBorders>
                  <w:vAlign w:val="center"/>
                </w:tcPr>
                <w:p w14:paraId="540C8E77">
                  <w:pPr>
                    <w:widowControl/>
                    <w:spacing w:line="0" w:lineRule="atLeast"/>
                    <w:jc w:val="center"/>
                    <w:rPr>
                      <w:rFonts w:hint="eastAsia"/>
                      <w:color w:val="auto"/>
                      <w:spacing w:val="-10"/>
                      <w:sz w:val="18"/>
                      <w:szCs w:val="18"/>
                      <w:lang w:val="en-US" w:eastAsia="zh-CN"/>
                    </w:rPr>
                  </w:pPr>
                </w:p>
              </w:tc>
              <w:tc>
                <w:tcPr>
                  <w:tcW w:w="402" w:type="pct"/>
                  <w:vMerge w:val="continue"/>
                  <w:tcBorders>
                    <w:tl2br w:val="nil"/>
                    <w:tr2bl w:val="nil"/>
                  </w:tcBorders>
                  <w:vAlign w:val="center"/>
                </w:tcPr>
                <w:p w14:paraId="2F94FD27">
                  <w:pPr>
                    <w:widowControl/>
                    <w:spacing w:line="0" w:lineRule="atLeast"/>
                    <w:jc w:val="center"/>
                    <w:rPr>
                      <w:rFonts w:hint="eastAsia"/>
                      <w:color w:val="auto"/>
                      <w:spacing w:val="-10"/>
                      <w:sz w:val="18"/>
                      <w:szCs w:val="18"/>
                      <w:lang w:val="en-US" w:eastAsia="zh-CN"/>
                    </w:rPr>
                  </w:pPr>
                </w:p>
              </w:tc>
              <w:tc>
                <w:tcPr>
                  <w:tcW w:w="1027" w:type="pct"/>
                  <w:tcBorders>
                    <w:tl2br w:val="nil"/>
                    <w:tr2bl w:val="nil"/>
                  </w:tcBorders>
                  <w:shd w:val="clear" w:color="auto" w:fill="auto"/>
                  <w:vAlign w:val="center"/>
                </w:tcPr>
                <w:p w14:paraId="438BC920">
                  <w:pPr>
                    <w:spacing w:line="0" w:lineRule="atLeast"/>
                    <w:jc w:val="center"/>
                    <w:rPr>
                      <w:rFonts w:hint="eastAsia"/>
                      <w:color w:val="auto"/>
                      <w:spacing w:val="-10"/>
                      <w:sz w:val="18"/>
                      <w:szCs w:val="18"/>
                      <w:lang w:val="en-US" w:eastAsia="zh-CN"/>
                    </w:rPr>
                  </w:pPr>
                  <w:r>
                    <w:rPr>
                      <w:rFonts w:hint="default"/>
                      <w:color w:val="auto"/>
                      <w:spacing w:val="-10"/>
                      <w:sz w:val="18"/>
                      <w:szCs w:val="18"/>
                      <w:lang w:val="en-US" w:eastAsia="zh-CN"/>
                    </w:rPr>
                    <w:t>涡电流分选机</w:t>
                  </w:r>
                </w:p>
              </w:tc>
              <w:tc>
                <w:tcPr>
                  <w:tcW w:w="1679" w:type="pct"/>
                  <w:tcBorders>
                    <w:tl2br w:val="nil"/>
                    <w:tr2bl w:val="nil"/>
                  </w:tcBorders>
                  <w:shd w:val="clear" w:color="auto" w:fill="auto"/>
                  <w:vAlign w:val="center"/>
                </w:tcPr>
                <w:p w14:paraId="6749D1FA">
                  <w:pPr>
                    <w:spacing w:line="0" w:lineRule="atLeast"/>
                    <w:jc w:val="center"/>
                    <w:rPr>
                      <w:rFonts w:hint="default"/>
                      <w:color w:val="auto"/>
                      <w:spacing w:val="-10"/>
                      <w:sz w:val="18"/>
                      <w:szCs w:val="18"/>
                      <w:lang w:val="en-US" w:eastAsia="zh-CN"/>
                    </w:rPr>
                  </w:pPr>
                  <w:r>
                    <w:rPr>
                      <w:rFonts w:hint="eastAsia"/>
                      <w:color w:val="auto"/>
                      <w:spacing w:val="-10"/>
                      <w:sz w:val="18"/>
                      <w:szCs w:val="18"/>
                      <w:lang w:val="en-US" w:eastAsia="zh-CN"/>
                    </w:rPr>
                    <w:t>QY1200型，5.5kW，生产能力5-10t/h</w:t>
                  </w:r>
                </w:p>
              </w:tc>
              <w:tc>
                <w:tcPr>
                  <w:tcW w:w="326" w:type="pct"/>
                  <w:tcBorders>
                    <w:tl2br w:val="nil"/>
                    <w:tr2bl w:val="nil"/>
                  </w:tcBorders>
                  <w:shd w:val="clear" w:color="auto" w:fill="auto"/>
                  <w:vAlign w:val="center"/>
                </w:tcPr>
                <w:p w14:paraId="7A8F885A">
                  <w:pPr>
                    <w:spacing w:line="0" w:lineRule="atLeast"/>
                    <w:jc w:val="center"/>
                    <w:rPr>
                      <w:rFonts w:hint="eastAsia"/>
                      <w:color w:val="auto"/>
                      <w:spacing w:val="-10"/>
                      <w:sz w:val="18"/>
                      <w:szCs w:val="18"/>
                      <w:lang w:val="en-US" w:eastAsia="zh-CN"/>
                    </w:rPr>
                  </w:pPr>
                  <w:r>
                    <w:rPr>
                      <w:rFonts w:hint="eastAsia"/>
                      <w:color w:val="auto"/>
                      <w:spacing w:val="-10"/>
                      <w:sz w:val="18"/>
                      <w:szCs w:val="18"/>
                      <w:lang w:val="en-US" w:eastAsia="zh-CN"/>
                    </w:rPr>
                    <w:t>台</w:t>
                  </w:r>
                </w:p>
              </w:tc>
              <w:tc>
                <w:tcPr>
                  <w:tcW w:w="291" w:type="pct"/>
                  <w:tcBorders>
                    <w:tl2br w:val="nil"/>
                    <w:tr2bl w:val="nil"/>
                  </w:tcBorders>
                  <w:shd w:val="clear" w:color="auto" w:fill="auto"/>
                  <w:vAlign w:val="center"/>
                </w:tcPr>
                <w:p w14:paraId="28FD1509">
                  <w:pPr>
                    <w:spacing w:line="0" w:lineRule="atLeast"/>
                    <w:jc w:val="center"/>
                    <w:rPr>
                      <w:rFonts w:hint="eastAsia"/>
                      <w:color w:val="auto"/>
                      <w:spacing w:val="-10"/>
                      <w:sz w:val="18"/>
                      <w:szCs w:val="18"/>
                      <w:lang w:val="en-US" w:eastAsia="zh-CN"/>
                    </w:rPr>
                  </w:pPr>
                  <w:r>
                    <w:rPr>
                      <w:rFonts w:hint="eastAsia"/>
                      <w:color w:val="auto"/>
                      <w:spacing w:val="-10"/>
                      <w:sz w:val="18"/>
                      <w:szCs w:val="18"/>
                      <w:lang w:val="en-US" w:eastAsia="zh-CN"/>
                    </w:rPr>
                    <w:t>2</w:t>
                  </w:r>
                </w:p>
              </w:tc>
              <w:tc>
                <w:tcPr>
                  <w:tcW w:w="632" w:type="pct"/>
                  <w:tcBorders>
                    <w:tl2br w:val="nil"/>
                    <w:tr2bl w:val="nil"/>
                  </w:tcBorders>
                  <w:shd w:val="clear" w:color="auto" w:fill="auto"/>
                  <w:vAlign w:val="center"/>
                </w:tcPr>
                <w:p w14:paraId="1CBB1768">
                  <w:pPr>
                    <w:spacing w:line="0" w:lineRule="atLeast"/>
                    <w:jc w:val="center"/>
                    <w:rPr>
                      <w:rFonts w:hint="default"/>
                      <w:color w:val="auto"/>
                      <w:spacing w:val="-10"/>
                      <w:sz w:val="18"/>
                      <w:szCs w:val="18"/>
                      <w:lang w:val="en-US" w:eastAsia="zh-CN"/>
                    </w:rPr>
                  </w:pPr>
                  <w:r>
                    <w:rPr>
                      <w:rFonts w:hint="eastAsia"/>
                      <w:color w:val="auto"/>
                      <w:spacing w:val="-10"/>
                      <w:sz w:val="18"/>
                      <w:szCs w:val="18"/>
                      <w:lang w:val="en-US" w:eastAsia="zh-CN"/>
                    </w:rPr>
                    <w:t>分选有色金属</w:t>
                  </w:r>
                </w:p>
              </w:tc>
            </w:tr>
            <w:tr w14:paraId="2DDCF9B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272" w:type="pct"/>
                  <w:tcBorders>
                    <w:tl2br w:val="nil"/>
                    <w:tr2bl w:val="nil"/>
                  </w:tcBorders>
                  <w:shd w:val="clear" w:color="auto" w:fill="auto"/>
                  <w:vAlign w:val="center"/>
                </w:tcPr>
                <w:p w14:paraId="2A3142E4">
                  <w:pPr>
                    <w:widowControl/>
                    <w:spacing w:line="0" w:lineRule="atLeast"/>
                    <w:jc w:val="center"/>
                    <w:rPr>
                      <w:rFonts w:hint="default" w:ascii="Times New Roman" w:hAnsi="Times New Roman" w:eastAsia="宋体" w:cs="Times New Roman"/>
                      <w:color w:val="auto"/>
                      <w:spacing w:val="-10"/>
                      <w:kern w:val="2"/>
                      <w:sz w:val="18"/>
                      <w:szCs w:val="18"/>
                      <w:lang w:val="en-US" w:eastAsia="zh-CN" w:bidi="ar-SA"/>
                    </w:rPr>
                  </w:pPr>
                  <w:r>
                    <w:rPr>
                      <w:rFonts w:hint="eastAsia"/>
                      <w:color w:val="auto"/>
                      <w:spacing w:val="-10"/>
                      <w:sz w:val="18"/>
                      <w:szCs w:val="18"/>
                      <w:lang w:val="en-US" w:eastAsia="zh-CN"/>
                    </w:rPr>
                    <w:t>17</w:t>
                  </w:r>
                </w:p>
              </w:tc>
              <w:tc>
                <w:tcPr>
                  <w:tcW w:w="368" w:type="pct"/>
                  <w:vMerge w:val="continue"/>
                  <w:tcBorders>
                    <w:tl2br w:val="nil"/>
                    <w:tr2bl w:val="nil"/>
                  </w:tcBorders>
                  <w:vAlign w:val="center"/>
                </w:tcPr>
                <w:p w14:paraId="3AB9F3C3">
                  <w:pPr>
                    <w:widowControl/>
                    <w:spacing w:line="0" w:lineRule="atLeast"/>
                    <w:jc w:val="center"/>
                    <w:rPr>
                      <w:rFonts w:hint="eastAsia"/>
                      <w:color w:val="auto"/>
                      <w:spacing w:val="-10"/>
                      <w:sz w:val="18"/>
                      <w:szCs w:val="18"/>
                      <w:lang w:val="en-US" w:eastAsia="zh-CN"/>
                    </w:rPr>
                  </w:pPr>
                </w:p>
              </w:tc>
              <w:tc>
                <w:tcPr>
                  <w:tcW w:w="402" w:type="pct"/>
                  <w:vMerge w:val="continue"/>
                  <w:tcBorders>
                    <w:tl2br w:val="nil"/>
                    <w:tr2bl w:val="nil"/>
                  </w:tcBorders>
                  <w:vAlign w:val="center"/>
                </w:tcPr>
                <w:p w14:paraId="7C6E2F7D">
                  <w:pPr>
                    <w:widowControl/>
                    <w:spacing w:line="0" w:lineRule="atLeast"/>
                    <w:jc w:val="center"/>
                    <w:rPr>
                      <w:rFonts w:hint="eastAsia"/>
                      <w:color w:val="auto"/>
                      <w:spacing w:val="-10"/>
                      <w:sz w:val="18"/>
                      <w:szCs w:val="18"/>
                      <w:lang w:val="en-US" w:eastAsia="zh-CN"/>
                    </w:rPr>
                  </w:pPr>
                </w:p>
              </w:tc>
              <w:tc>
                <w:tcPr>
                  <w:tcW w:w="1027" w:type="pct"/>
                  <w:tcBorders>
                    <w:tl2br w:val="nil"/>
                    <w:tr2bl w:val="nil"/>
                  </w:tcBorders>
                  <w:shd w:val="clear" w:color="auto" w:fill="auto"/>
                  <w:vAlign w:val="center"/>
                </w:tcPr>
                <w:p w14:paraId="7C34CFDB">
                  <w:pPr>
                    <w:spacing w:line="0" w:lineRule="atLeast"/>
                    <w:jc w:val="center"/>
                    <w:rPr>
                      <w:rFonts w:hint="default"/>
                      <w:color w:val="auto"/>
                      <w:spacing w:val="-10"/>
                      <w:sz w:val="18"/>
                      <w:szCs w:val="18"/>
                      <w:lang w:val="en-US" w:eastAsia="zh-CN"/>
                    </w:rPr>
                  </w:pPr>
                  <w:r>
                    <w:rPr>
                      <w:rFonts w:hint="eastAsia"/>
                      <w:color w:val="auto"/>
                      <w:spacing w:val="-10"/>
                      <w:sz w:val="18"/>
                      <w:szCs w:val="18"/>
                      <w:lang w:val="en-US" w:eastAsia="zh-CN"/>
                    </w:rPr>
                    <w:t>高钙机</w:t>
                  </w:r>
                </w:p>
              </w:tc>
              <w:tc>
                <w:tcPr>
                  <w:tcW w:w="1679" w:type="pct"/>
                  <w:tcBorders>
                    <w:tl2br w:val="nil"/>
                    <w:tr2bl w:val="nil"/>
                  </w:tcBorders>
                  <w:shd w:val="clear" w:color="auto" w:fill="auto"/>
                  <w:vAlign w:val="center"/>
                </w:tcPr>
                <w:p w14:paraId="23EA1C08">
                  <w:pPr>
                    <w:spacing w:line="0" w:lineRule="atLeast"/>
                    <w:jc w:val="center"/>
                    <w:rPr>
                      <w:rFonts w:hint="default"/>
                      <w:color w:val="auto"/>
                      <w:spacing w:val="-10"/>
                      <w:sz w:val="18"/>
                      <w:szCs w:val="18"/>
                      <w:lang w:val="en-US" w:eastAsia="zh-CN"/>
                    </w:rPr>
                  </w:pPr>
                  <w:r>
                    <w:rPr>
                      <w:rFonts w:hint="eastAsia"/>
                      <w:color w:val="auto"/>
                      <w:spacing w:val="-10"/>
                      <w:sz w:val="18"/>
                      <w:szCs w:val="18"/>
                      <w:lang w:val="en-US" w:eastAsia="zh-CN"/>
                    </w:rPr>
                    <w:t>尺寸：8m*2m*2m</w:t>
                  </w:r>
                </w:p>
              </w:tc>
              <w:tc>
                <w:tcPr>
                  <w:tcW w:w="326" w:type="pct"/>
                  <w:tcBorders>
                    <w:tl2br w:val="nil"/>
                    <w:tr2bl w:val="nil"/>
                  </w:tcBorders>
                  <w:shd w:val="clear" w:color="auto" w:fill="auto"/>
                  <w:vAlign w:val="center"/>
                </w:tcPr>
                <w:p w14:paraId="699FBCCD">
                  <w:pPr>
                    <w:spacing w:line="0" w:lineRule="atLeast"/>
                    <w:jc w:val="center"/>
                    <w:rPr>
                      <w:rFonts w:hint="eastAsia"/>
                      <w:color w:val="auto"/>
                      <w:spacing w:val="-10"/>
                      <w:sz w:val="18"/>
                      <w:szCs w:val="18"/>
                      <w:lang w:val="en-US" w:eastAsia="zh-CN"/>
                    </w:rPr>
                  </w:pPr>
                  <w:r>
                    <w:rPr>
                      <w:rFonts w:hint="eastAsia"/>
                      <w:color w:val="auto"/>
                      <w:spacing w:val="-10"/>
                      <w:sz w:val="18"/>
                      <w:szCs w:val="18"/>
                      <w:lang w:val="en-US" w:eastAsia="zh-CN"/>
                    </w:rPr>
                    <w:t>台</w:t>
                  </w:r>
                </w:p>
              </w:tc>
              <w:tc>
                <w:tcPr>
                  <w:tcW w:w="291" w:type="pct"/>
                  <w:tcBorders>
                    <w:tl2br w:val="nil"/>
                    <w:tr2bl w:val="nil"/>
                  </w:tcBorders>
                  <w:shd w:val="clear" w:color="auto" w:fill="auto"/>
                  <w:vAlign w:val="center"/>
                </w:tcPr>
                <w:p w14:paraId="5116E5EF">
                  <w:pPr>
                    <w:spacing w:line="0" w:lineRule="atLeast"/>
                    <w:jc w:val="center"/>
                    <w:rPr>
                      <w:rFonts w:hint="eastAsia"/>
                      <w:color w:val="auto"/>
                      <w:spacing w:val="-10"/>
                      <w:sz w:val="18"/>
                      <w:szCs w:val="18"/>
                      <w:lang w:val="en-US" w:eastAsia="zh-CN"/>
                    </w:rPr>
                  </w:pPr>
                  <w:r>
                    <w:rPr>
                      <w:rFonts w:hint="eastAsia"/>
                      <w:color w:val="auto"/>
                      <w:spacing w:val="-10"/>
                      <w:sz w:val="18"/>
                      <w:szCs w:val="18"/>
                      <w:lang w:val="en-US" w:eastAsia="zh-CN"/>
                    </w:rPr>
                    <w:t>2</w:t>
                  </w:r>
                </w:p>
              </w:tc>
              <w:tc>
                <w:tcPr>
                  <w:tcW w:w="632" w:type="pct"/>
                  <w:tcBorders>
                    <w:tl2br w:val="nil"/>
                    <w:tr2bl w:val="nil"/>
                  </w:tcBorders>
                  <w:shd w:val="clear" w:color="auto" w:fill="auto"/>
                  <w:vAlign w:val="center"/>
                </w:tcPr>
                <w:p w14:paraId="7149ED1B">
                  <w:pPr>
                    <w:spacing w:line="0" w:lineRule="atLeast"/>
                    <w:jc w:val="center"/>
                    <w:rPr>
                      <w:rFonts w:hint="default"/>
                      <w:color w:val="auto"/>
                      <w:spacing w:val="-10"/>
                      <w:sz w:val="18"/>
                      <w:szCs w:val="18"/>
                      <w:lang w:val="en-US" w:eastAsia="zh-CN"/>
                    </w:rPr>
                  </w:pPr>
                  <w:r>
                    <w:rPr>
                      <w:rFonts w:hint="eastAsia"/>
                      <w:color w:val="auto"/>
                      <w:spacing w:val="-10"/>
                      <w:sz w:val="18"/>
                      <w:szCs w:val="18"/>
                      <w:lang w:val="en-US" w:eastAsia="zh-CN"/>
                    </w:rPr>
                    <w:t>分选橡胶塑料</w:t>
                  </w:r>
                </w:p>
              </w:tc>
            </w:tr>
            <w:tr w14:paraId="7A5B498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272" w:type="pct"/>
                  <w:tcBorders>
                    <w:tl2br w:val="nil"/>
                    <w:tr2bl w:val="nil"/>
                  </w:tcBorders>
                  <w:shd w:val="clear" w:color="auto" w:fill="auto"/>
                  <w:vAlign w:val="center"/>
                </w:tcPr>
                <w:p w14:paraId="39081BC7">
                  <w:pPr>
                    <w:widowControl/>
                    <w:spacing w:line="0" w:lineRule="atLeast"/>
                    <w:jc w:val="center"/>
                    <w:rPr>
                      <w:rFonts w:hint="default" w:ascii="Times New Roman" w:hAnsi="Times New Roman" w:eastAsia="宋体" w:cs="Times New Roman"/>
                      <w:color w:val="auto"/>
                      <w:spacing w:val="-10"/>
                      <w:kern w:val="2"/>
                      <w:sz w:val="18"/>
                      <w:szCs w:val="18"/>
                      <w:lang w:val="en-US" w:eastAsia="zh-CN" w:bidi="ar-SA"/>
                    </w:rPr>
                  </w:pPr>
                  <w:r>
                    <w:rPr>
                      <w:rFonts w:hint="eastAsia"/>
                      <w:color w:val="auto"/>
                      <w:spacing w:val="-10"/>
                      <w:sz w:val="18"/>
                      <w:szCs w:val="18"/>
                      <w:lang w:val="en-US" w:eastAsia="zh-CN"/>
                    </w:rPr>
                    <w:t>18</w:t>
                  </w:r>
                </w:p>
              </w:tc>
              <w:tc>
                <w:tcPr>
                  <w:tcW w:w="770" w:type="pct"/>
                  <w:gridSpan w:val="2"/>
                  <w:vMerge w:val="restart"/>
                  <w:tcBorders>
                    <w:tl2br w:val="nil"/>
                    <w:tr2bl w:val="nil"/>
                  </w:tcBorders>
                  <w:vAlign w:val="center"/>
                </w:tcPr>
                <w:p w14:paraId="76195998">
                  <w:pPr>
                    <w:widowControl/>
                    <w:spacing w:line="0" w:lineRule="atLeast"/>
                    <w:jc w:val="center"/>
                    <w:rPr>
                      <w:rFonts w:hint="eastAsia"/>
                      <w:color w:val="auto"/>
                      <w:spacing w:val="-10"/>
                      <w:sz w:val="18"/>
                      <w:szCs w:val="18"/>
                      <w:lang w:val="en-US" w:eastAsia="zh-CN"/>
                    </w:rPr>
                  </w:pPr>
                  <w:r>
                    <w:rPr>
                      <w:rFonts w:hint="eastAsia"/>
                      <w:color w:val="auto"/>
                      <w:spacing w:val="-10"/>
                      <w:sz w:val="18"/>
                      <w:szCs w:val="18"/>
                      <w:lang w:val="en-US" w:eastAsia="zh-CN"/>
                    </w:rPr>
                    <w:t>钢渣</w:t>
                  </w:r>
                </w:p>
                <w:p w14:paraId="7BA90EBF">
                  <w:pPr>
                    <w:widowControl/>
                    <w:spacing w:line="0" w:lineRule="atLeast"/>
                    <w:jc w:val="center"/>
                    <w:rPr>
                      <w:rFonts w:hint="default"/>
                      <w:color w:val="auto"/>
                      <w:spacing w:val="-10"/>
                      <w:sz w:val="18"/>
                      <w:szCs w:val="18"/>
                      <w:lang w:val="en-US" w:eastAsia="zh-CN"/>
                    </w:rPr>
                  </w:pPr>
                  <w:r>
                    <w:rPr>
                      <w:rFonts w:hint="eastAsia"/>
                      <w:color w:val="auto"/>
                      <w:spacing w:val="-10"/>
                      <w:sz w:val="18"/>
                      <w:szCs w:val="18"/>
                      <w:lang w:val="en-US" w:eastAsia="zh-CN"/>
                    </w:rPr>
                    <w:t>处理</w:t>
                  </w:r>
                </w:p>
              </w:tc>
              <w:tc>
                <w:tcPr>
                  <w:tcW w:w="1027" w:type="pct"/>
                  <w:tcBorders>
                    <w:tl2br w:val="nil"/>
                    <w:tr2bl w:val="nil"/>
                  </w:tcBorders>
                  <w:shd w:val="clear" w:color="auto" w:fill="auto"/>
                  <w:vAlign w:val="center"/>
                </w:tcPr>
                <w:p w14:paraId="268527AD">
                  <w:pPr>
                    <w:spacing w:line="0" w:lineRule="atLeast"/>
                    <w:jc w:val="center"/>
                    <w:rPr>
                      <w:rFonts w:hint="eastAsia"/>
                      <w:color w:val="auto"/>
                      <w:spacing w:val="-10"/>
                      <w:sz w:val="18"/>
                      <w:szCs w:val="18"/>
                      <w:lang w:val="en-US" w:eastAsia="zh-CN"/>
                    </w:rPr>
                  </w:pPr>
                  <w:r>
                    <w:rPr>
                      <w:rFonts w:hint="eastAsia"/>
                      <w:color w:val="auto"/>
                      <w:spacing w:val="-10"/>
                      <w:sz w:val="18"/>
                      <w:szCs w:val="18"/>
                      <w:lang w:val="en-US" w:eastAsia="zh-CN"/>
                    </w:rPr>
                    <w:t>上料仓</w:t>
                  </w:r>
                </w:p>
              </w:tc>
              <w:tc>
                <w:tcPr>
                  <w:tcW w:w="1679" w:type="pct"/>
                  <w:tcBorders>
                    <w:tl2br w:val="nil"/>
                    <w:tr2bl w:val="nil"/>
                  </w:tcBorders>
                  <w:shd w:val="clear" w:color="auto" w:fill="auto"/>
                  <w:vAlign w:val="center"/>
                </w:tcPr>
                <w:p w14:paraId="39BCDD55">
                  <w:pPr>
                    <w:spacing w:line="0" w:lineRule="atLeast"/>
                    <w:jc w:val="center"/>
                    <w:rPr>
                      <w:rFonts w:hint="eastAsia"/>
                      <w:color w:val="auto"/>
                      <w:spacing w:val="-10"/>
                      <w:sz w:val="18"/>
                      <w:szCs w:val="18"/>
                      <w:lang w:val="en-US" w:eastAsia="zh-CN"/>
                    </w:rPr>
                  </w:pPr>
                  <w:r>
                    <w:rPr>
                      <w:rFonts w:hint="eastAsia"/>
                      <w:color w:val="auto"/>
                      <w:spacing w:val="-10"/>
                      <w:sz w:val="18"/>
                      <w:szCs w:val="18"/>
                      <w:lang w:val="en-US" w:eastAsia="zh-CN"/>
                    </w:rPr>
                    <w:t>尺寸：2.5m*2.3m</w:t>
                  </w:r>
                </w:p>
              </w:tc>
              <w:tc>
                <w:tcPr>
                  <w:tcW w:w="326" w:type="pct"/>
                  <w:tcBorders>
                    <w:tl2br w:val="nil"/>
                    <w:tr2bl w:val="nil"/>
                  </w:tcBorders>
                  <w:shd w:val="clear" w:color="auto" w:fill="auto"/>
                  <w:vAlign w:val="center"/>
                </w:tcPr>
                <w:p w14:paraId="3E14D948">
                  <w:pPr>
                    <w:spacing w:line="0" w:lineRule="atLeast"/>
                    <w:jc w:val="center"/>
                    <w:rPr>
                      <w:rFonts w:hint="eastAsia"/>
                      <w:color w:val="auto"/>
                      <w:spacing w:val="-10"/>
                      <w:sz w:val="18"/>
                      <w:szCs w:val="18"/>
                      <w:lang w:val="en-US" w:eastAsia="zh-CN"/>
                    </w:rPr>
                  </w:pPr>
                  <w:r>
                    <w:rPr>
                      <w:rFonts w:hint="eastAsia"/>
                      <w:color w:val="auto"/>
                      <w:spacing w:val="-10"/>
                      <w:sz w:val="18"/>
                      <w:szCs w:val="18"/>
                      <w:lang w:val="en-US" w:eastAsia="zh-CN"/>
                    </w:rPr>
                    <w:t>座</w:t>
                  </w:r>
                </w:p>
              </w:tc>
              <w:tc>
                <w:tcPr>
                  <w:tcW w:w="291" w:type="pct"/>
                  <w:tcBorders>
                    <w:tl2br w:val="nil"/>
                    <w:tr2bl w:val="nil"/>
                  </w:tcBorders>
                  <w:shd w:val="clear" w:color="auto" w:fill="auto"/>
                  <w:vAlign w:val="center"/>
                </w:tcPr>
                <w:p w14:paraId="14666CF2">
                  <w:pPr>
                    <w:spacing w:line="0" w:lineRule="atLeast"/>
                    <w:jc w:val="center"/>
                    <w:rPr>
                      <w:rFonts w:hint="eastAsia"/>
                      <w:color w:val="auto"/>
                      <w:spacing w:val="-10"/>
                      <w:sz w:val="18"/>
                      <w:szCs w:val="18"/>
                      <w:lang w:val="en-US" w:eastAsia="zh-CN"/>
                    </w:rPr>
                  </w:pPr>
                  <w:r>
                    <w:rPr>
                      <w:rFonts w:hint="eastAsia"/>
                      <w:color w:val="auto"/>
                      <w:spacing w:val="-10"/>
                      <w:sz w:val="18"/>
                      <w:szCs w:val="18"/>
                      <w:lang w:val="en-US" w:eastAsia="zh-CN"/>
                    </w:rPr>
                    <w:t>2</w:t>
                  </w:r>
                </w:p>
              </w:tc>
              <w:tc>
                <w:tcPr>
                  <w:tcW w:w="632" w:type="pct"/>
                  <w:tcBorders>
                    <w:tl2br w:val="nil"/>
                    <w:tr2bl w:val="nil"/>
                  </w:tcBorders>
                  <w:shd w:val="clear" w:color="auto" w:fill="auto"/>
                  <w:vAlign w:val="center"/>
                </w:tcPr>
                <w:p w14:paraId="57626598">
                  <w:pPr>
                    <w:spacing w:line="0" w:lineRule="atLeast"/>
                    <w:jc w:val="center"/>
                    <w:rPr>
                      <w:rFonts w:hint="default"/>
                      <w:color w:val="auto"/>
                      <w:spacing w:val="-10"/>
                      <w:sz w:val="18"/>
                      <w:szCs w:val="18"/>
                      <w:lang w:val="en-US" w:eastAsia="zh-CN"/>
                    </w:rPr>
                  </w:pPr>
                  <w:r>
                    <w:rPr>
                      <w:rFonts w:hint="eastAsia"/>
                      <w:color w:val="auto"/>
                      <w:spacing w:val="-10"/>
                      <w:sz w:val="18"/>
                      <w:szCs w:val="18"/>
                      <w:lang w:val="en-US" w:eastAsia="zh-CN"/>
                    </w:rPr>
                    <w:t>上料</w:t>
                  </w:r>
                </w:p>
              </w:tc>
            </w:tr>
            <w:tr w14:paraId="47866A6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272" w:type="pct"/>
                  <w:tcBorders>
                    <w:tl2br w:val="nil"/>
                    <w:tr2bl w:val="nil"/>
                  </w:tcBorders>
                  <w:shd w:val="clear" w:color="auto" w:fill="auto"/>
                  <w:vAlign w:val="center"/>
                </w:tcPr>
                <w:p w14:paraId="5DB4602D">
                  <w:pPr>
                    <w:widowControl/>
                    <w:spacing w:line="0" w:lineRule="atLeast"/>
                    <w:jc w:val="center"/>
                    <w:rPr>
                      <w:rFonts w:hint="eastAsia" w:ascii="Times New Roman" w:hAnsi="Times New Roman" w:eastAsia="宋体" w:cs="Times New Roman"/>
                      <w:color w:val="auto"/>
                      <w:spacing w:val="-10"/>
                      <w:kern w:val="2"/>
                      <w:sz w:val="18"/>
                      <w:szCs w:val="18"/>
                      <w:lang w:val="en-US" w:eastAsia="zh-CN" w:bidi="ar-SA"/>
                    </w:rPr>
                  </w:pPr>
                  <w:r>
                    <w:rPr>
                      <w:rFonts w:hint="eastAsia"/>
                      <w:color w:val="auto"/>
                      <w:spacing w:val="-10"/>
                      <w:sz w:val="18"/>
                      <w:szCs w:val="18"/>
                      <w:lang w:val="en-US" w:eastAsia="zh-CN"/>
                    </w:rPr>
                    <w:t>19</w:t>
                  </w:r>
                </w:p>
              </w:tc>
              <w:tc>
                <w:tcPr>
                  <w:tcW w:w="770" w:type="pct"/>
                  <w:gridSpan w:val="2"/>
                  <w:vMerge w:val="continue"/>
                  <w:tcBorders>
                    <w:tl2br w:val="nil"/>
                    <w:tr2bl w:val="nil"/>
                  </w:tcBorders>
                  <w:vAlign w:val="center"/>
                </w:tcPr>
                <w:p w14:paraId="56FDA39A">
                  <w:pPr>
                    <w:widowControl/>
                    <w:spacing w:line="0" w:lineRule="atLeast"/>
                    <w:jc w:val="center"/>
                    <w:rPr>
                      <w:rFonts w:hint="eastAsia"/>
                      <w:color w:val="auto"/>
                      <w:spacing w:val="-10"/>
                      <w:sz w:val="18"/>
                      <w:szCs w:val="18"/>
                      <w:lang w:val="en-US" w:eastAsia="zh-CN"/>
                    </w:rPr>
                  </w:pPr>
                </w:p>
              </w:tc>
              <w:tc>
                <w:tcPr>
                  <w:tcW w:w="1027" w:type="pct"/>
                  <w:tcBorders>
                    <w:tl2br w:val="nil"/>
                    <w:tr2bl w:val="nil"/>
                  </w:tcBorders>
                  <w:shd w:val="clear" w:color="auto" w:fill="auto"/>
                  <w:vAlign w:val="center"/>
                </w:tcPr>
                <w:p w14:paraId="7FB99DF5">
                  <w:pPr>
                    <w:spacing w:line="0" w:lineRule="atLeast"/>
                    <w:jc w:val="center"/>
                    <w:rPr>
                      <w:rFonts w:hint="eastAsia"/>
                      <w:color w:val="auto"/>
                      <w:spacing w:val="-10"/>
                      <w:sz w:val="18"/>
                      <w:szCs w:val="18"/>
                      <w:lang w:val="en-US" w:eastAsia="zh-CN"/>
                    </w:rPr>
                  </w:pPr>
                  <w:r>
                    <w:rPr>
                      <w:rFonts w:hint="eastAsia"/>
                      <w:color w:val="auto"/>
                      <w:spacing w:val="-10"/>
                      <w:sz w:val="18"/>
                      <w:szCs w:val="18"/>
                      <w:lang w:val="en-US" w:eastAsia="zh-CN"/>
                    </w:rPr>
                    <w:t>皮带输送机</w:t>
                  </w:r>
                </w:p>
              </w:tc>
              <w:tc>
                <w:tcPr>
                  <w:tcW w:w="1679" w:type="pct"/>
                  <w:tcBorders>
                    <w:tl2br w:val="nil"/>
                    <w:tr2bl w:val="nil"/>
                  </w:tcBorders>
                  <w:shd w:val="clear" w:color="auto" w:fill="auto"/>
                  <w:vAlign w:val="center"/>
                </w:tcPr>
                <w:p w14:paraId="32816430">
                  <w:pPr>
                    <w:spacing w:line="0" w:lineRule="atLeast"/>
                    <w:jc w:val="center"/>
                    <w:rPr>
                      <w:rFonts w:hint="eastAsia"/>
                      <w:color w:val="auto"/>
                      <w:spacing w:val="-10"/>
                      <w:sz w:val="18"/>
                      <w:szCs w:val="18"/>
                      <w:lang w:val="en-US" w:eastAsia="zh-CN"/>
                    </w:rPr>
                  </w:pPr>
                  <w:r>
                    <w:rPr>
                      <w:rFonts w:hint="default"/>
                      <w:color w:val="auto"/>
                      <w:spacing w:val="-10"/>
                      <w:sz w:val="18"/>
                      <w:szCs w:val="18"/>
                      <w:lang w:val="en-US" w:eastAsia="zh-CN"/>
                    </w:rPr>
                    <w:t>输送能力60t/h</w:t>
                  </w:r>
                </w:p>
              </w:tc>
              <w:tc>
                <w:tcPr>
                  <w:tcW w:w="326" w:type="pct"/>
                  <w:tcBorders>
                    <w:tl2br w:val="nil"/>
                    <w:tr2bl w:val="nil"/>
                  </w:tcBorders>
                  <w:shd w:val="clear" w:color="auto" w:fill="auto"/>
                  <w:vAlign w:val="center"/>
                </w:tcPr>
                <w:p w14:paraId="59B32BCF">
                  <w:pPr>
                    <w:spacing w:line="0" w:lineRule="atLeast"/>
                    <w:jc w:val="center"/>
                    <w:rPr>
                      <w:rFonts w:hint="eastAsia"/>
                      <w:color w:val="auto"/>
                      <w:spacing w:val="-10"/>
                      <w:sz w:val="18"/>
                      <w:szCs w:val="18"/>
                      <w:lang w:val="en-US" w:eastAsia="zh-CN"/>
                    </w:rPr>
                  </w:pPr>
                  <w:r>
                    <w:rPr>
                      <w:rFonts w:hint="eastAsia"/>
                      <w:color w:val="auto"/>
                      <w:spacing w:val="-10"/>
                      <w:sz w:val="18"/>
                      <w:szCs w:val="18"/>
                      <w:lang w:val="en-US" w:eastAsia="zh-CN"/>
                    </w:rPr>
                    <w:t>套</w:t>
                  </w:r>
                </w:p>
              </w:tc>
              <w:tc>
                <w:tcPr>
                  <w:tcW w:w="291" w:type="pct"/>
                  <w:tcBorders>
                    <w:tl2br w:val="nil"/>
                    <w:tr2bl w:val="nil"/>
                  </w:tcBorders>
                  <w:shd w:val="clear" w:color="auto" w:fill="auto"/>
                  <w:vAlign w:val="center"/>
                </w:tcPr>
                <w:p w14:paraId="52874B8A">
                  <w:pPr>
                    <w:spacing w:line="0" w:lineRule="atLeast"/>
                    <w:jc w:val="center"/>
                    <w:rPr>
                      <w:rFonts w:hint="default"/>
                      <w:color w:val="auto"/>
                      <w:spacing w:val="-10"/>
                      <w:sz w:val="18"/>
                      <w:szCs w:val="18"/>
                      <w:lang w:val="en-US" w:eastAsia="zh-CN"/>
                    </w:rPr>
                  </w:pPr>
                  <w:r>
                    <w:rPr>
                      <w:rFonts w:hint="eastAsia"/>
                      <w:color w:val="auto"/>
                      <w:spacing w:val="-10"/>
                      <w:sz w:val="18"/>
                      <w:szCs w:val="18"/>
                      <w:lang w:val="en-US" w:eastAsia="zh-CN"/>
                    </w:rPr>
                    <w:t>5</w:t>
                  </w:r>
                </w:p>
              </w:tc>
              <w:tc>
                <w:tcPr>
                  <w:tcW w:w="632" w:type="pct"/>
                  <w:tcBorders>
                    <w:tl2br w:val="nil"/>
                    <w:tr2bl w:val="nil"/>
                  </w:tcBorders>
                  <w:shd w:val="clear" w:color="auto" w:fill="auto"/>
                  <w:vAlign w:val="center"/>
                </w:tcPr>
                <w:p w14:paraId="54B90EC0">
                  <w:pPr>
                    <w:spacing w:line="0" w:lineRule="atLeast"/>
                    <w:jc w:val="center"/>
                    <w:rPr>
                      <w:rFonts w:hint="default"/>
                      <w:color w:val="auto"/>
                      <w:spacing w:val="-10"/>
                      <w:sz w:val="18"/>
                      <w:szCs w:val="18"/>
                      <w:lang w:val="en-US" w:eastAsia="zh-CN"/>
                    </w:rPr>
                  </w:pPr>
                  <w:r>
                    <w:rPr>
                      <w:rFonts w:hint="eastAsia"/>
                      <w:color w:val="auto"/>
                      <w:spacing w:val="-10"/>
                      <w:sz w:val="18"/>
                      <w:szCs w:val="18"/>
                      <w:lang w:val="en-US" w:eastAsia="zh-CN"/>
                    </w:rPr>
                    <w:t>物料转运，封闭式皮带通廊</w:t>
                  </w:r>
                </w:p>
              </w:tc>
            </w:tr>
            <w:tr w14:paraId="1088625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272" w:type="pct"/>
                  <w:tcBorders>
                    <w:tl2br w:val="nil"/>
                    <w:tr2bl w:val="nil"/>
                  </w:tcBorders>
                  <w:shd w:val="clear" w:color="auto" w:fill="auto"/>
                  <w:vAlign w:val="center"/>
                </w:tcPr>
                <w:p w14:paraId="078D67E3">
                  <w:pPr>
                    <w:widowControl/>
                    <w:spacing w:line="0" w:lineRule="atLeast"/>
                    <w:jc w:val="center"/>
                    <w:rPr>
                      <w:rFonts w:hint="default" w:ascii="Times New Roman" w:hAnsi="Times New Roman" w:eastAsia="宋体" w:cs="Times New Roman"/>
                      <w:color w:val="auto"/>
                      <w:spacing w:val="-10"/>
                      <w:kern w:val="2"/>
                      <w:sz w:val="18"/>
                      <w:szCs w:val="18"/>
                      <w:lang w:val="en-US" w:eastAsia="zh-CN" w:bidi="ar-SA"/>
                    </w:rPr>
                  </w:pPr>
                  <w:r>
                    <w:rPr>
                      <w:rFonts w:hint="eastAsia"/>
                      <w:color w:val="auto"/>
                      <w:spacing w:val="-10"/>
                      <w:sz w:val="18"/>
                      <w:szCs w:val="18"/>
                      <w:lang w:val="en-US" w:eastAsia="zh-CN"/>
                    </w:rPr>
                    <w:t>20</w:t>
                  </w:r>
                </w:p>
              </w:tc>
              <w:tc>
                <w:tcPr>
                  <w:tcW w:w="770" w:type="pct"/>
                  <w:gridSpan w:val="2"/>
                  <w:vMerge w:val="continue"/>
                  <w:tcBorders>
                    <w:tl2br w:val="nil"/>
                    <w:tr2bl w:val="nil"/>
                  </w:tcBorders>
                  <w:vAlign w:val="center"/>
                </w:tcPr>
                <w:p w14:paraId="24C35535">
                  <w:pPr>
                    <w:widowControl/>
                    <w:spacing w:line="0" w:lineRule="atLeast"/>
                    <w:jc w:val="center"/>
                    <w:rPr>
                      <w:rFonts w:hint="eastAsia"/>
                      <w:color w:val="auto"/>
                      <w:spacing w:val="-10"/>
                      <w:sz w:val="18"/>
                      <w:szCs w:val="18"/>
                      <w:lang w:val="en-US" w:eastAsia="zh-CN"/>
                    </w:rPr>
                  </w:pPr>
                </w:p>
              </w:tc>
              <w:tc>
                <w:tcPr>
                  <w:tcW w:w="1027" w:type="pct"/>
                  <w:tcBorders>
                    <w:tl2br w:val="nil"/>
                    <w:tr2bl w:val="nil"/>
                  </w:tcBorders>
                  <w:shd w:val="clear" w:color="auto" w:fill="auto"/>
                  <w:vAlign w:val="center"/>
                </w:tcPr>
                <w:p w14:paraId="47511985">
                  <w:pPr>
                    <w:spacing w:line="0" w:lineRule="atLeast"/>
                    <w:jc w:val="center"/>
                    <w:rPr>
                      <w:rFonts w:hint="default"/>
                      <w:color w:val="auto"/>
                      <w:spacing w:val="-10"/>
                      <w:sz w:val="18"/>
                      <w:szCs w:val="18"/>
                      <w:lang w:val="en-US" w:eastAsia="zh-CN"/>
                    </w:rPr>
                  </w:pPr>
                  <w:r>
                    <w:rPr>
                      <w:rFonts w:hint="eastAsia"/>
                      <w:color w:val="auto"/>
                      <w:spacing w:val="-10"/>
                      <w:sz w:val="18"/>
                      <w:szCs w:val="18"/>
                      <w:lang w:val="en-US" w:eastAsia="zh-CN"/>
                    </w:rPr>
                    <w:t>颚式破碎机</w:t>
                  </w:r>
                </w:p>
              </w:tc>
              <w:tc>
                <w:tcPr>
                  <w:tcW w:w="1679" w:type="pct"/>
                  <w:tcBorders>
                    <w:tl2br w:val="nil"/>
                    <w:tr2bl w:val="nil"/>
                  </w:tcBorders>
                  <w:shd w:val="clear" w:color="auto" w:fill="auto"/>
                  <w:vAlign w:val="center"/>
                </w:tcPr>
                <w:p w14:paraId="7A39F91C">
                  <w:pPr>
                    <w:spacing w:line="0" w:lineRule="atLeast"/>
                    <w:jc w:val="center"/>
                    <w:rPr>
                      <w:rFonts w:hint="eastAsia"/>
                      <w:color w:val="auto"/>
                      <w:spacing w:val="-10"/>
                      <w:sz w:val="18"/>
                      <w:szCs w:val="18"/>
                      <w:lang w:val="en-US" w:eastAsia="zh-CN"/>
                    </w:rPr>
                  </w:pPr>
                  <w:r>
                    <w:rPr>
                      <w:rFonts w:hint="eastAsia"/>
                      <w:color w:val="auto"/>
                      <w:spacing w:val="-10"/>
                      <w:sz w:val="18"/>
                      <w:szCs w:val="18"/>
                      <w:lang w:val="en-US" w:eastAsia="zh-CN"/>
                    </w:rPr>
                    <w:t>PE400</w:t>
                  </w:r>
                  <w:r>
                    <w:rPr>
                      <w:rFonts w:hint="default"/>
                      <w:color w:val="auto"/>
                      <w:spacing w:val="-10"/>
                      <w:sz w:val="18"/>
                      <w:szCs w:val="18"/>
                      <w:lang w:val="en-US" w:eastAsia="zh-CN"/>
                    </w:rPr>
                    <w:t>×</w:t>
                  </w:r>
                  <w:r>
                    <w:rPr>
                      <w:rFonts w:hint="eastAsia"/>
                      <w:color w:val="auto"/>
                      <w:spacing w:val="-10"/>
                      <w:sz w:val="18"/>
                      <w:szCs w:val="18"/>
                      <w:lang w:val="en-US" w:eastAsia="zh-CN"/>
                    </w:rPr>
                    <w:t>600，30kW，生产能力16-60t/h</w:t>
                  </w:r>
                </w:p>
              </w:tc>
              <w:tc>
                <w:tcPr>
                  <w:tcW w:w="326" w:type="pct"/>
                  <w:tcBorders>
                    <w:tl2br w:val="nil"/>
                    <w:tr2bl w:val="nil"/>
                  </w:tcBorders>
                  <w:shd w:val="clear" w:color="auto" w:fill="auto"/>
                  <w:vAlign w:val="center"/>
                </w:tcPr>
                <w:p w14:paraId="0068FCC2">
                  <w:pPr>
                    <w:spacing w:line="0" w:lineRule="atLeast"/>
                    <w:jc w:val="center"/>
                    <w:rPr>
                      <w:rFonts w:hint="eastAsia"/>
                      <w:color w:val="auto"/>
                      <w:spacing w:val="-10"/>
                      <w:sz w:val="18"/>
                      <w:szCs w:val="18"/>
                      <w:lang w:val="en-US" w:eastAsia="zh-CN"/>
                    </w:rPr>
                  </w:pPr>
                  <w:r>
                    <w:rPr>
                      <w:rFonts w:hint="eastAsia"/>
                      <w:color w:val="auto"/>
                      <w:spacing w:val="-10"/>
                      <w:sz w:val="18"/>
                      <w:szCs w:val="18"/>
                      <w:lang w:val="en-US" w:eastAsia="zh-CN"/>
                    </w:rPr>
                    <w:t>台</w:t>
                  </w:r>
                </w:p>
              </w:tc>
              <w:tc>
                <w:tcPr>
                  <w:tcW w:w="291" w:type="pct"/>
                  <w:tcBorders>
                    <w:tl2br w:val="nil"/>
                    <w:tr2bl w:val="nil"/>
                  </w:tcBorders>
                  <w:shd w:val="clear" w:color="auto" w:fill="auto"/>
                  <w:vAlign w:val="center"/>
                </w:tcPr>
                <w:p w14:paraId="29338826">
                  <w:pPr>
                    <w:spacing w:line="0" w:lineRule="atLeast"/>
                    <w:jc w:val="center"/>
                    <w:rPr>
                      <w:rFonts w:hint="eastAsia"/>
                      <w:color w:val="auto"/>
                      <w:spacing w:val="-10"/>
                      <w:sz w:val="18"/>
                      <w:szCs w:val="18"/>
                      <w:lang w:val="en-US" w:eastAsia="zh-CN"/>
                    </w:rPr>
                  </w:pPr>
                  <w:r>
                    <w:rPr>
                      <w:rFonts w:hint="eastAsia"/>
                      <w:color w:val="auto"/>
                      <w:spacing w:val="-10"/>
                      <w:sz w:val="18"/>
                      <w:szCs w:val="18"/>
                      <w:lang w:val="en-US" w:eastAsia="zh-CN"/>
                    </w:rPr>
                    <w:t>1</w:t>
                  </w:r>
                </w:p>
              </w:tc>
              <w:tc>
                <w:tcPr>
                  <w:tcW w:w="632" w:type="pct"/>
                  <w:tcBorders>
                    <w:tl2br w:val="nil"/>
                    <w:tr2bl w:val="nil"/>
                  </w:tcBorders>
                  <w:shd w:val="clear" w:color="auto" w:fill="auto"/>
                  <w:vAlign w:val="center"/>
                </w:tcPr>
                <w:p w14:paraId="3DC34457">
                  <w:pPr>
                    <w:spacing w:line="0" w:lineRule="atLeast"/>
                    <w:jc w:val="center"/>
                    <w:rPr>
                      <w:rFonts w:hint="default"/>
                      <w:color w:val="auto"/>
                      <w:spacing w:val="-10"/>
                      <w:sz w:val="18"/>
                      <w:szCs w:val="18"/>
                      <w:lang w:val="en-US" w:eastAsia="zh-CN"/>
                    </w:rPr>
                  </w:pPr>
                  <w:r>
                    <w:rPr>
                      <w:rFonts w:hint="eastAsia"/>
                      <w:color w:val="auto"/>
                      <w:spacing w:val="-10"/>
                      <w:sz w:val="18"/>
                      <w:szCs w:val="18"/>
                      <w:lang w:val="en-US" w:eastAsia="zh-CN"/>
                    </w:rPr>
                    <w:t>物料粗破</w:t>
                  </w:r>
                </w:p>
              </w:tc>
            </w:tr>
            <w:tr w14:paraId="5F885BF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272" w:type="pct"/>
                  <w:tcBorders>
                    <w:tl2br w:val="nil"/>
                    <w:tr2bl w:val="nil"/>
                  </w:tcBorders>
                  <w:shd w:val="clear" w:color="auto" w:fill="auto"/>
                  <w:vAlign w:val="center"/>
                </w:tcPr>
                <w:p w14:paraId="58B4D8EF">
                  <w:pPr>
                    <w:widowControl/>
                    <w:spacing w:line="0" w:lineRule="atLeast"/>
                    <w:jc w:val="center"/>
                    <w:rPr>
                      <w:rFonts w:hint="default" w:ascii="Times New Roman" w:hAnsi="Times New Roman" w:eastAsia="宋体" w:cs="Times New Roman"/>
                      <w:color w:val="auto"/>
                      <w:spacing w:val="-10"/>
                      <w:kern w:val="2"/>
                      <w:sz w:val="18"/>
                      <w:szCs w:val="18"/>
                      <w:lang w:val="en-US" w:eastAsia="zh-CN" w:bidi="ar-SA"/>
                    </w:rPr>
                  </w:pPr>
                  <w:r>
                    <w:rPr>
                      <w:rFonts w:hint="eastAsia"/>
                      <w:color w:val="auto"/>
                      <w:spacing w:val="-10"/>
                      <w:sz w:val="18"/>
                      <w:szCs w:val="18"/>
                      <w:lang w:val="en-US" w:eastAsia="zh-CN"/>
                    </w:rPr>
                    <w:t>21</w:t>
                  </w:r>
                </w:p>
              </w:tc>
              <w:tc>
                <w:tcPr>
                  <w:tcW w:w="770" w:type="pct"/>
                  <w:gridSpan w:val="2"/>
                  <w:vMerge w:val="continue"/>
                  <w:tcBorders>
                    <w:tl2br w:val="nil"/>
                    <w:tr2bl w:val="nil"/>
                  </w:tcBorders>
                  <w:vAlign w:val="center"/>
                </w:tcPr>
                <w:p w14:paraId="3D056E5C">
                  <w:pPr>
                    <w:widowControl/>
                    <w:spacing w:line="0" w:lineRule="atLeast"/>
                    <w:jc w:val="center"/>
                    <w:rPr>
                      <w:rFonts w:hint="eastAsia"/>
                      <w:color w:val="auto"/>
                      <w:spacing w:val="-10"/>
                      <w:sz w:val="18"/>
                      <w:szCs w:val="18"/>
                      <w:lang w:val="en-US" w:eastAsia="zh-CN"/>
                    </w:rPr>
                  </w:pPr>
                </w:p>
              </w:tc>
              <w:tc>
                <w:tcPr>
                  <w:tcW w:w="1027" w:type="pct"/>
                  <w:tcBorders>
                    <w:tl2br w:val="nil"/>
                    <w:tr2bl w:val="nil"/>
                  </w:tcBorders>
                  <w:shd w:val="clear" w:color="auto" w:fill="auto"/>
                  <w:vAlign w:val="center"/>
                </w:tcPr>
                <w:p w14:paraId="1EC0EB38">
                  <w:pPr>
                    <w:spacing w:line="0" w:lineRule="atLeast"/>
                    <w:jc w:val="center"/>
                    <w:rPr>
                      <w:rFonts w:hint="default"/>
                      <w:color w:val="auto"/>
                      <w:spacing w:val="-10"/>
                      <w:sz w:val="18"/>
                      <w:szCs w:val="18"/>
                      <w:lang w:val="en-US" w:eastAsia="zh-CN"/>
                    </w:rPr>
                  </w:pPr>
                  <w:r>
                    <w:rPr>
                      <w:rFonts w:hint="eastAsia"/>
                      <w:color w:val="auto"/>
                      <w:spacing w:val="-10"/>
                      <w:sz w:val="18"/>
                      <w:szCs w:val="18"/>
                      <w:lang w:val="en-US" w:eastAsia="zh-CN"/>
                    </w:rPr>
                    <w:t>锤式破碎机</w:t>
                  </w:r>
                </w:p>
              </w:tc>
              <w:tc>
                <w:tcPr>
                  <w:tcW w:w="1679" w:type="pct"/>
                  <w:tcBorders>
                    <w:tl2br w:val="nil"/>
                    <w:tr2bl w:val="nil"/>
                  </w:tcBorders>
                  <w:shd w:val="clear" w:color="auto" w:fill="auto"/>
                  <w:vAlign w:val="center"/>
                </w:tcPr>
                <w:p w14:paraId="6EF7799D">
                  <w:pPr>
                    <w:spacing w:line="0" w:lineRule="atLeast"/>
                    <w:jc w:val="center"/>
                    <w:rPr>
                      <w:rFonts w:hint="eastAsia"/>
                      <w:color w:val="auto"/>
                      <w:spacing w:val="-10"/>
                      <w:sz w:val="18"/>
                      <w:szCs w:val="18"/>
                      <w:lang w:val="en-US" w:eastAsia="zh-CN"/>
                    </w:rPr>
                  </w:pPr>
                  <w:r>
                    <w:rPr>
                      <w:rFonts w:hint="eastAsia"/>
                      <w:color w:val="auto"/>
                      <w:spacing w:val="-10"/>
                      <w:sz w:val="18"/>
                      <w:szCs w:val="18"/>
                      <w:lang w:val="en-US" w:eastAsia="zh-CN"/>
                    </w:rPr>
                    <w:t>PC800×600，55kW，生产能力20-40t/h</w:t>
                  </w:r>
                </w:p>
              </w:tc>
              <w:tc>
                <w:tcPr>
                  <w:tcW w:w="326" w:type="pct"/>
                  <w:tcBorders>
                    <w:tl2br w:val="nil"/>
                    <w:tr2bl w:val="nil"/>
                  </w:tcBorders>
                  <w:shd w:val="clear" w:color="auto" w:fill="auto"/>
                  <w:vAlign w:val="center"/>
                </w:tcPr>
                <w:p w14:paraId="47709EE6">
                  <w:pPr>
                    <w:spacing w:line="0" w:lineRule="atLeast"/>
                    <w:jc w:val="center"/>
                    <w:rPr>
                      <w:rFonts w:hint="eastAsia"/>
                      <w:color w:val="auto"/>
                      <w:spacing w:val="-10"/>
                      <w:sz w:val="18"/>
                      <w:szCs w:val="18"/>
                      <w:lang w:val="en-US" w:eastAsia="zh-CN"/>
                    </w:rPr>
                  </w:pPr>
                  <w:r>
                    <w:rPr>
                      <w:rFonts w:hint="eastAsia"/>
                      <w:color w:val="auto"/>
                      <w:spacing w:val="-10"/>
                      <w:sz w:val="18"/>
                      <w:szCs w:val="18"/>
                      <w:lang w:val="en-US" w:eastAsia="zh-CN"/>
                    </w:rPr>
                    <w:t>台</w:t>
                  </w:r>
                </w:p>
              </w:tc>
              <w:tc>
                <w:tcPr>
                  <w:tcW w:w="291" w:type="pct"/>
                  <w:tcBorders>
                    <w:tl2br w:val="nil"/>
                    <w:tr2bl w:val="nil"/>
                  </w:tcBorders>
                  <w:shd w:val="clear" w:color="auto" w:fill="auto"/>
                  <w:vAlign w:val="center"/>
                </w:tcPr>
                <w:p w14:paraId="143B7DDC">
                  <w:pPr>
                    <w:spacing w:line="0" w:lineRule="atLeast"/>
                    <w:jc w:val="center"/>
                    <w:rPr>
                      <w:rFonts w:hint="eastAsia"/>
                      <w:color w:val="auto"/>
                      <w:spacing w:val="-10"/>
                      <w:sz w:val="18"/>
                      <w:szCs w:val="18"/>
                      <w:lang w:val="en-US" w:eastAsia="zh-CN"/>
                    </w:rPr>
                  </w:pPr>
                  <w:r>
                    <w:rPr>
                      <w:rFonts w:hint="eastAsia"/>
                      <w:color w:val="auto"/>
                      <w:spacing w:val="-10"/>
                      <w:sz w:val="18"/>
                      <w:szCs w:val="18"/>
                      <w:lang w:val="en-US" w:eastAsia="zh-CN"/>
                    </w:rPr>
                    <w:t>1</w:t>
                  </w:r>
                </w:p>
              </w:tc>
              <w:tc>
                <w:tcPr>
                  <w:tcW w:w="632" w:type="pct"/>
                  <w:tcBorders>
                    <w:tl2br w:val="nil"/>
                    <w:tr2bl w:val="nil"/>
                  </w:tcBorders>
                  <w:shd w:val="clear" w:color="auto" w:fill="auto"/>
                  <w:vAlign w:val="center"/>
                </w:tcPr>
                <w:p w14:paraId="51C7FABC">
                  <w:pPr>
                    <w:spacing w:line="0" w:lineRule="atLeast"/>
                    <w:jc w:val="center"/>
                    <w:rPr>
                      <w:rFonts w:hint="default"/>
                      <w:color w:val="auto"/>
                      <w:spacing w:val="-10"/>
                      <w:sz w:val="18"/>
                      <w:szCs w:val="18"/>
                      <w:lang w:val="en-US" w:eastAsia="zh-CN"/>
                    </w:rPr>
                  </w:pPr>
                  <w:r>
                    <w:rPr>
                      <w:rFonts w:hint="eastAsia"/>
                      <w:color w:val="auto"/>
                      <w:spacing w:val="-10"/>
                      <w:sz w:val="18"/>
                      <w:szCs w:val="18"/>
                      <w:lang w:val="en-US" w:eastAsia="zh-CN"/>
                    </w:rPr>
                    <w:t>物料细破</w:t>
                  </w:r>
                </w:p>
              </w:tc>
            </w:tr>
            <w:tr w14:paraId="3EE85D5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272" w:type="pct"/>
                  <w:tcBorders>
                    <w:tl2br w:val="nil"/>
                    <w:tr2bl w:val="nil"/>
                  </w:tcBorders>
                  <w:shd w:val="clear" w:color="auto" w:fill="auto"/>
                  <w:vAlign w:val="center"/>
                </w:tcPr>
                <w:p w14:paraId="220EE6B8">
                  <w:pPr>
                    <w:widowControl/>
                    <w:spacing w:line="0" w:lineRule="atLeast"/>
                    <w:jc w:val="center"/>
                    <w:rPr>
                      <w:rFonts w:hint="eastAsia" w:ascii="Times New Roman" w:hAnsi="Times New Roman" w:eastAsia="宋体" w:cs="Times New Roman"/>
                      <w:color w:val="auto"/>
                      <w:spacing w:val="-10"/>
                      <w:kern w:val="2"/>
                      <w:sz w:val="18"/>
                      <w:szCs w:val="18"/>
                      <w:lang w:val="en-US" w:eastAsia="zh-CN" w:bidi="ar-SA"/>
                    </w:rPr>
                  </w:pPr>
                  <w:r>
                    <w:rPr>
                      <w:rFonts w:hint="eastAsia"/>
                      <w:color w:val="auto"/>
                      <w:spacing w:val="-10"/>
                      <w:sz w:val="18"/>
                      <w:szCs w:val="18"/>
                      <w:lang w:val="en-US" w:eastAsia="zh-CN"/>
                    </w:rPr>
                    <w:t>22</w:t>
                  </w:r>
                </w:p>
              </w:tc>
              <w:tc>
                <w:tcPr>
                  <w:tcW w:w="770" w:type="pct"/>
                  <w:gridSpan w:val="2"/>
                  <w:vMerge w:val="continue"/>
                  <w:tcBorders>
                    <w:tl2br w:val="nil"/>
                    <w:tr2bl w:val="nil"/>
                  </w:tcBorders>
                  <w:vAlign w:val="center"/>
                </w:tcPr>
                <w:p w14:paraId="734DC274">
                  <w:pPr>
                    <w:widowControl/>
                    <w:spacing w:line="0" w:lineRule="atLeast"/>
                    <w:jc w:val="center"/>
                    <w:rPr>
                      <w:rFonts w:hint="eastAsia"/>
                      <w:color w:val="auto"/>
                      <w:spacing w:val="-10"/>
                      <w:sz w:val="18"/>
                      <w:szCs w:val="18"/>
                      <w:lang w:val="en-US" w:eastAsia="zh-CN"/>
                    </w:rPr>
                  </w:pPr>
                </w:p>
              </w:tc>
              <w:tc>
                <w:tcPr>
                  <w:tcW w:w="1027" w:type="pct"/>
                  <w:tcBorders>
                    <w:tl2br w:val="nil"/>
                    <w:tr2bl w:val="nil"/>
                  </w:tcBorders>
                  <w:shd w:val="clear" w:color="auto" w:fill="auto"/>
                  <w:vAlign w:val="center"/>
                </w:tcPr>
                <w:p w14:paraId="47F4B308">
                  <w:pPr>
                    <w:spacing w:line="0" w:lineRule="atLeast"/>
                    <w:jc w:val="center"/>
                    <w:rPr>
                      <w:rFonts w:hint="default"/>
                      <w:color w:val="auto"/>
                      <w:spacing w:val="-10"/>
                      <w:sz w:val="18"/>
                      <w:szCs w:val="18"/>
                      <w:lang w:val="en-US" w:eastAsia="zh-CN"/>
                    </w:rPr>
                  </w:pPr>
                  <w:r>
                    <w:rPr>
                      <w:rFonts w:hint="eastAsia"/>
                      <w:color w:val="auto"/>
                      <w:spacing w:val="-10"/>
                      <w:sz w:val="18"/>
                      <w:szCs w:val="18"/>
                      <w:lang w:val="en-US" w:eastAsia="zh-CN"/>
                    </w:rPr>
                    <w:t>振动筛</w:t>
                  </w:r>
                </w:p>
              </w:tc>
              <w:tc>
                <w:tcPr>
                  <w:tcW w:w="1679" w:type="pct"/>
                  <w:tcBorders>
                    <w:tl2br w:val="nil"/>
                    <w:tr2bl w:val="nil"/>
                  </w:tcBorders>
                  <w:shd w:val="clear" w:color="auto" w:fill="auto"/>
                  <w:vAlign w:val="center"/>
                </w:tcPr>
                <w:p w14:paraId="54C1C0E2">
                  <w:pPr>
                    <w:spacing w:line="0" w:lineRule="atLeast"/>
                    <w:jc w:val="center"/>
                    <w:rPr>
                      <w:rFonts w:hint="eastAsia"/>
                      <w:color w:val="auto"/>
                      <w:spacing w:val="-10"/>
                      <w:sz w:val="18"/>
                      <w:szCs w:val="18"/>
                      <w:lang w:val="en-US" w:eastAsia="zh-CN"/>
                    </w:rPr>
                  </w:pPr>
                  <w:r>
                    <w:rPr>
                      <w:rFonts w:hint="eastAsia"/>
                      <w:color w:val="auto"/>
                      <w:spacing w:val="-10"/>
                      <w:sz w:val="18"/>
                      <w:szCs w:val="18"/>
                      <w:lang w:val="en-US" w:eastAsia="zh-CN"/>
                    </w:rPr>
                    <w:t>尺寸：2m</w:t>
                  </w:r>
                  <w:r>
                    <w:rPr>
                      <w:rFonts w:hint="default"/>
                      <w:color w:val="auto"/>
                      <w:spacing w:val="-10"/>
                      <w:sz w:val="18"/>
                      <w:szCs w:val="18"/>
                      <w:lang w:val="en-US" w:eastAsia="zh-CN"/>
                    </w:rPr>
                    <w:t>×</w:t>
                  </w:r>
                  <w:r>
                    <w:rPr>
                      <w:rFonts w:hint="eastAsia"/>
                      <w:color w:val="auto"/>
                      <w:spacing w:val="-10"/>
                      <w:sz w:val="18"/>
                      <w:szCs w:val="18"/>
                      <w:lang w:val="en-US" w:eastAsia="zh-CN"/>
                    </w:rPr>
                    <w:t>5m，22kW</w:t>
                  </w:r>
                </w:p>
              </w:tc>
              <w:tc>
                <w:tcPr>
                  <w:tcW w:w="326" w:type="pct"/>
                  <w:tcBorders>
                    <w:tl2br w:val="nil"/>
                    <w:tr2bl w:val="nil"/>
                  </w:tcBorders>
                  <w:shd w:val="clear" w:color="auto" w:fill="auto"/>
                  <w:vAlign w:val="center"/>
                </w:tcPr>
                <w:p w14:paraId="7212E177">
                  <w:pPr>
                    <w:spacing w:line="0" w:lineRule="atLeast"/>
                    <w:jc w:val="center"/>
                    <w:rPr>
                      <w:rFonts w:hint="eastAsia"/>
                      <w:color w:val="auto"/>
                      <w:spacing w:val="-10"/>
                      <w:sz w:val="18"/>
                      <w:szCs w:val="18"/>
                      <w:lang w:val="en-US" w:eastAsia="zh-CN"/>
                    </w:rPr>
                  </w:pPr>
                  <w:r>
                    <w:rPr>
                      <w:rFonts w:hint="eastAsia"/>
                      <w:color w:val="auto"/>
                      <w:spacing w:val="-10"/>
                      <w:sz w:val="18"/>
                      <w:szCs w:val="18"/>
                      <w:lang w:val="en-US" w:eastAsia="zh-CN"/>
                    </w:rPr>
                    <w:t>台</w:t>
                  </w:r>
                </w:p>
              </w:tc>
              <w:tc>
                <w:tcPr>
                  <w:tcW w:w="291" w:type="pct"/>
                  <w:tcBorders>
                    <w:tl2br w:val="nil"/>
                    <w:tr2bl w:val="nil"/>
                  </w:tcBorders>
                  <w:shd w:val="clear" w:color="auto" w:fill="auto"/>
                  <w:vAlign w:val="center"/>
                </w:tcPr>
                <w:p w14:paraId="09453817">
                  <w:pPr>
                    <w:spacing w:line="0" w:lineRule="atLeast"/>
                    <w:jc w:val="center"/>
                    <w:rPr>
                      <w:rFonts w:hint="default"/>
                      <w:color w:val="auto"/>
                      <w:spacing w:val="-10"/>
                      <w:sz w:val="18"/>
                      <w:szCs w:val="18"/>
                      <w:lang w:val="en-US" w:eastAsia="zh-CN"/>
                    </w:rPr>
                  </w:pPr>
                  <w:r>
                    <w:rPr>
                      <w:rFonts w:hint="eastAsia"/>
                      <w:color w:val="auto"/>
                      <w:spacing w:val="-10"/>
                      <w:sz w:val="18"/>
                      <w:szCs w:val="18"/>
                      <w:lang w:val="en-US" w:eastAsia="zh-CN"/>
                    </w:rPr>
                    <w:t>1</w:t>
                  </w:r>
                </w:p>
              </w:tc>
              <w:tc>
                <w:tcPr>
                  <w:tcW w:w="632" w:type="pct"/>
                  <w:tcBorders>
                    <w:tl2br w:val="nil"/>
                    <w:tr2bl w:val="nil"/>
                  </w:tcBorders>
                  <w:shd w:val="clear" w:color="auto" w:fill="auto"/>
                  <w:vAlign w:val="center"/>
                </w:tcPr>
                <w:p w14:paraId="4B0C416C">
                  <w:pPr>
                    <w:spacing w:line="0" w:lineRule="atLeast"/>
                    <w:jc w:val="center"/>
                    <w:rPr>
                      <w:rFonts w:hint="default"/>
                      <w:color w:val="auto"/>
                      <w:spacing w:val="-10"/>
                      <w:sz w:val="18"/>
                      <w:szCs w:val="18"/>
                      <w:lang w:val="en-US" w:eastAsia="zh-CN"/>
                    </w:rPr>
                  </w:pPr>
                  <w:r>
                    <w:rPr>
                      <w:rFonts w:hint="eastAsia"/>
                      <w:color w:val="auto"/>
                      <w:spacing w:val="-10"/>
                      <w:sz w:val="18"/>
                      <w:szCs w:val="18"/>
                      <w:lang w:val="en-US" w:eastAsia="zh-CN"/>
                    </w:rPr>
                    <w:t>物料分级</w:t>
                  </w:r>
                </w:p>
              </w:tc>
            </w:tr>
            <w:tr w14:paraId="328B214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272" w:type="pct"/>
                  <w:tcBorders>
                    <w:tl2br w:val="nil"/>
                    <w:tr2bl w:val="nil"/>
                  </w:tcBorders>
                  <w:shd w:val="clear" w:color="auto" w:fill="auto"/>
                  <w:vAlign w:val="center"/>
                </w:tcPr>
                <w:p w14:paraId="5FF192FE">
                  <w:pPr>
                    <w:widowControl/>
                    <w:spacing w:line="0" w:lineRule="atLeast"/>
                    <w:jc w:val="center"/>
                    <w:rPr>
                      <w:rFonts w:hint="default" w:ascii="Times New Roman" w:hAnsi="Times New Roman" w:eastAsia="宋体" w:cs="Times New Roman"/>
                      <w:color w:val="auto"/>
                      <w:spacing w:val="-10"/>
                      <w:kern w:val="2"/>
                      <w:sz w:val="18"/>
                      <w:szCs w:val="18"/>
                      <w:lang w:val="en-US" w:eastAsia="zh-CN" w:bidi="ar-SA"/>
                    </w:rPr>
                  </w:pPr>
                  <w:r>
                    <w:rPr>
                      <w:rFonts w:hint="eastAsia"/>
                      <w:color w:val="auto"/>
                      <w:spacing w:val="-10"/>
                      <w:sz w:val="18"/>
                      <w:szCs w:val="18"/>
                      <w:lang w:val="en-US" w:eastAsia="zh-CN"/>
                    </w:rPr>
                    <w:t>23</w:t>
                  </w:r>
                </w:p>
              </w:tc>
              <w:tc>
                <w:tcPr>
                  <w:tcW w:w="770" w:type="pct"/>
                  <w:gridSpan w:val="2"/>
                  <w:vMerge w:val="continue"/>
                  <w:tcBorders>
                    <w:tl2br w:val="nil"/>
                    <w:tr2bl w:val="nil"/>
                  </w:tcBorders>
                  <w:vAlign w:val="center"/>
                </w:tcPr>
                <w:p w14:paraId="00120959">
                  <w:pPr>
                    <w:widowControl/>
                    <w:spacing w:line="0" w:lineRule="atLeast"/>
                    <w:jc w:val="center"/>
                    <w:rPr>
                      <w:rFonts w:hint="eastAsia"/>
                      <w:color w:val="auto"/>
                      <w:spacing w:val="-10"/>
                      <w:sz w:val="18"/>
                      <w:szCs w:val="18"/>
                      <w:lang w:val="en-US" w:eastAsia="zh-CN"/>
                    </w:rPr>
                  </w:pPr>
                </w:p>
              </w:tc>
              <w:tc>
                <w:tcPr>
                  <w:tcW w:w="1027" w:type="pct"/>
                  <w:tcBorders>
                    <w:tl2br w:val="nil"/>
                    <w:tr2bl w:val="nil"/>
                  </w:tcBorders>
                  <w:shd w:val="clear" w:color="auto" w:fill="auto"/>
                  <w:vAlign w:val="center"/>
                </w:tcPr>
                <w:p w14:paraId="4B35CC09">
                  <w:pPr>
                    <w:spacing w:line="0" w:lineRule="atLeast"/>
                    <w:jc w:val="center"/>
                    <w:rPr>
                      <w:rFonts w:hint="default"/>
                      <w:color w:val="auto"/>
                      <w:spacing w:val="-10"/>
                      <w:sz w:val="18"/>
                      <w:szCs w:val="18"/>
                      <w:lang w:val="en-US" w:eastAsia="zh-CN"/>
                    </w:rPr>
                  </w:pPr>
                  <w:r>
                    <w:rPr>
                      <w:rFonts w:hint="eastAsia"/>
                      <w:color w:val="auto"/>
                      <w:spacing w:val="-10"/>
                      <w:sz w:val="18"/>
                      <w:szCs w:val="18"/>
                      <w:lang w:val="en-US" w:eastAsia="zh-CN"/>
                    </w:rPr>
                    <w:t>球磨机</w:t>
                  </w:r>
                </w:p>
              </w:tc>
              <w:tc>
                <w:tcPr>
                  <w:tcW w:w="1679" w:type="pct"/>
                  <w:tcBorders>
                    <w:tl2br w:val="nil"/>
                    <w:tr2bl w:val="nil"/>
                  </w:tcBorders>
                  <w:shd w:val="clear" w:color="auto" w:fill="auto"/>
                  <w:vAlign w:val="center"/>
                </w:tcPr>
                <w:p w14:paraId="6F593ECF">
                  <w:pPr>
                    <w:spacing w:line="0" w:lineRule="atLeast"/>
                    <w:jc w:val="center"/>
                    <w:rPr>
                      <w:rFonts w:hint="default"/>
                      <w:color w:val="auto"/>
                      <w:spacing w:val="-10"/>
                      <w:sz w:val="18"/>
                      <w:szCs w:val="18"/>
                      <w:lang w:val="en-US" w:eastAsia="zh-CN"/>
                    </w:rPr>
                  </w:pPr>
                  <w:r>
                    <w:rPr>
                      <w:rFonts w:hint="eastAsia"/>
                      <w:color w:val="auto"/>
                      <w:spacing w:val="-10"/>
                      <w:sz w:val="18"/>
                      <w:szCs w:val="18"/>
                      <w:lang w:val="en-US" w:eastAsia="zh-CN"/>
                    </w:rPr>
                    <w:t>2.1m</w:t>
                  </w:r>
                  <w:r>
                    <w:rPr>
                      <w:rFonts w:hint="default"/>
                      <w:color w:val="auto"/>
                      <w:spacing w:val="-10"/>
                      <w:sz w:val="18"/>
                      <w:szCs w:val="18"/>
                      <w:lang w:val="en-US" w:eastAsia="zh-CN"/>
                    </w:rPr>
                    <w:t>×</w:t>
                  </w:r>
                  <w:r>
                    <w:rPr>
                      <w:rFonts w:hint="eastAsia"/>
                      <w:color w:val="auto"/>
                      <w:spacing w:val="-10"/>
                      <w:sz w:val="18"/>
                      <w:szCs w:val="18"/>
                      <w:lang w:val="en-US" w:eastAsia="zh-CN"/>
                    </w:rPr>
                    <w:t>7m，280kW，生产能力8-48t/h</w:t>
                  </w:r>
                </w:p>
              </w:tc>
              <w:tc>
                <w:tcPr>
                  <w:tcW w:w="326" w:type="pct"/>
                  <w:tcBorders>
                    <w:tl2br w:val="nil"/>
                    <w:tr2bl w:val="nil"/>
                  </w:tcBorders>
                  <w:shd w:val="clear" w:color="auto" w:fill="auto"/>
                  <w:vAlign w:val="center"/>
                </w:tcPr>
                <w:p w14:paraId="45AA2AE3">
                  <w:pPr>
                    <w:spacing w:line="0" w:lineRule="atLeast"/>
                    <w:jc w:val="center"/>
                    <w:rPr>
                      <w:rFonts w:hint="eastAsia"/>
                      <w:color w:val="auto"/>
                      <w:spacing w:val="-10"/>
                      <w:sz w:val="18"/>
                      <w:szCs w:val="18"/>
                      <w:lang w:val="en-US" w:eastAsia="zh-CN"/>
                    </w:rPr>
                  </w:pPr>
                  <w:r>
                    <w:rPr>
                      <w:rFonts w:hint="eastAsia"/>
                      <w:color w:val="auto"/>
                      <w:spacing w:val="-10"/>
                      <w:sz w:val="18"/>
                      <w:szCs w:val="18"/>
                      <w:lang w:val="en-US" w:eastAsia="zh-CN"/>
                    </w:rPr>
                    <w:t>台</w:t>
                  </w:r>
                </w:p>
              </w:tc>
              <w:tc>
                <w:tcPr>
                  <w:tcW w:w="291" w:type="pct"/>
                  <w:tcBorders>
                    <w:tl2br w:val="nil"/>
                    <w:tr2bl w:val="nil"/>
                  </w:tcBorders>
                  <w:shd w:val="clear" w:color="auto" w:fill="auto"/>
                  <w:vAlign w:val="center"/>
                </w:tcPr>
                <w:p w14:paraId="2248FA5F">
                  <w:pPr>
                    <w:spacing w:line="0" w:lineRule="atLeast"/>
                    <w:jc w:val="center"/>
                    <w:rPr>
                      <w:rFonts w:hint="eastAsia"/>
                      <w:color w:val="auto"/>
                      <w:spacing w:val="-10"/>
                      <w:sz w:val="18"/>
                      <w:szCs w:val="18"/>
                      <w:lang w:val="en-US" w:eastAsia="zh-CN"/>
                    </w:rPr>
                  </w:pPr>
                  <w:r>
                    <w:rPr>
                      <w:rFonts w:hint="eastAsia"/>
                      <w:color w:val="auto"/>
                      <w:spacing w:val="-10"/>
                      <w:sz w:val="18"/>
                      <w:szCs w:val="18"/>
                      <w:lang w:val="en-US" w:eastAsia="zh-CN"/>
                    </w:rPr>
                    <w:t>1</w:t>
                  </w:r>
                </w:p>
              </w:tc>
              <w:tc>
                <w:tcPr>
                  <w:tcW w:w="632" w:type="pct"/>
                  <w:tcBorders>
                    <w:tl2br w:val="nil"/>
                    <w:tr2bl w:val="nil"/>
                  </w:tcBorders>
                  <w:shd w:val="clear" w:color="auto" w:fill="auto"/>
                  <w:vAlign w:val="center"/>
                </w:tcPr>
                <w:p w14:paraId="7A847C53">
                  <w:pPr>
                    <w:spacing w:line="0" w:lineRule="atLeast"/>
                    <w:jc w:val="center"/>
                    <w:rPr>
                      <w:rFonts w:hint="eastAsia"/>
                      <w:color w:val="auto"/>
                      <w:spacing w:val="-10"/>
                      <w:sz w:val="18"/>
                      <w:szCs w:val="18"/>
                      <w:lang w:val="en-US" w:eastAsia="zh-CN"/>
                    </w:rPr>
                  </w:pPr>
                  <w:r>
                    <w:rPr>
                      <w:rFonts w:hint="eastAsia"/>
                      <w:color w:val="auto"/>
                      <w:spacing w:val="-10"/>
                      <w:sz w:val="18"/>
                      <w:szCs w:val="18"/>
                      <w:lang w:val="en-US" w:eastAsia="zh-CN"/>
                    </w:rPr>
                    <w:t>物料研磨</w:t>
                  </w:r>
                </w:p>
              </w:tc>
            </w:tr>
            <w:tr w14:paraId="3D67A71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272" w:type="pct"/>
                  <w:tcBorders>
                    <w:tl2br w:val="nil"/>
                    <w:tr2bl w:val="nil"/>
                  </w:tcBorders>
                  <w:shd w:val="clear" w:color="auto" w:fill="auto"/>
                  <w:vAlign w:val="center"/>
                </w:tcPr>
                <w:p w14:paraId="534DC4F1">
                  <w:pPr>
                    <w:widowControl/>
                    <w:spacing w:line="0" w:lineRule="atLeast"/>
                    <w:jc w:val="center"/>
                    <w:rPr>
                      <w:rFonts w:hint="default" w:ascii="Times New Roman" w:hAnsi="Times New Roman" w:eastAsia="宋体" w:cs="Times New Roman"/>
                      <w:color w:val="auto"/>
                      <w:spacing w:val="-10"/>
                      <w:kern w:val="2"/>
                      <w:sz w:val="18"/>
                      <w:szCs w:val="18"/>
                      <w:lang w:val="en-US" w:eastAsia="zh-CN" w:bidi="ar-SA"/>
                    </w:rPr>
                  </w:pPr>
                  <w:r>
                    <w:rPr>
                      <w:rFonts w:hint="eastAsia"/>
                      <w:color w:val="auto"/>
                      <w:spacing w:val="-10"/>
                      <w:sz w:val="18"/>
                      <w:szCs w:val="18"/>
                      <w:lang w:val="en-US" w:eastAsia="zh-CN"/>
                    </w:rPr>
                    <w:t>24</w:t>
                  </w:r>
                </w:p>
              </w:tc>
              <w:tc>
                <w:tcPr>
                  <w:tcW w:w="770" w:type="pct"/>
                  <w:gridSpan w:val="2"/>
                  <w:vMerge w:val="continue"/>
                  <w:tcBorders>
                    <w:tl2br w:val="nil"/>
                    <w:tr2bl w:val="nil"/>
                  </w:tcBorders>
                  <w:vAlign w:val="center"/>
                </w:tcPr>
                <w:p w14:paraId="2BAEF034">
                  <w:pPr>
                    <w:widowControl/>
                    <w:spacing w:line="0" w:lineRule="atLeast"/>
                    <w:jc w:val="center"/>
                    <w:rPr>
                      <w:rFonts w:hint="eastAsia"/>
                      <w:color w:val="auto"/>
                      <w:spacing w:val="-10"/>
                      <w:sz w:val="18"/>
                      <w:szCs w:val="18"/>
                      <w:lang w:val="en-US" w:eastAsia="zh-CN"/>
                    </w:rPr>
                  </w:pPr>
                </w:p>
              </w:tc>
              <w:tc>
                <w:tcPr>
                  <w:tcW w:w="1027" w:type="pct"/>
                  <w:tcBorders>
                    <w:tl2br w:val="nil"/>
                    <w:tr2bl w:val="nil"/>
                  </w:tcBorders>
                  <w:shd w:val="clear" w:color="auto" w:fill="auto"/>
                  <w:vAlign w:val="center"/>
                </w:tcPr>
                <w:p w14:paraId="61491EC4">
                  <w:pPr>
                    <w:spacing w:line="0" w:lineRule="atLeast"/>
                    <w:jc w:val="center"/>
                    <w:rPr>
                      <w:rFonts w:hint="default"/>
                      <w:color w:val="auto"/>
                      <w:spacing w:val="-10"/>
                      <w:sz w:val="18"/>
                      <w:szCs w:val="18"/>
                      <w:lang w:val="en-US" w:eastAsia="zh-CN"/>
                    </w:rPr>
                  </w:pPr>
                  <w:r>
                    <w:rPr>
                      <w:rFonts w:hint="eastAsia"/>
                      <w:color w:val="auto"/>
                      <w:spacing w:val="-10"/>
                      <w:sz w:val="18"/>
                      <w:szCs w:val="18"/>
                      <w:lang w:val="en-US" w:eastAsia="zh-CN"/>
                    </w:rPr>
                    <w:t>磁选机</w:t>
                  </w:r>
                </w:p>
              </w:tc>
              <w:tc>
                <w:tcPr>
                  <w:tcW w:w="1679" w:type="pct"/>
                  <w:tcBorders>
                    <w:tl2br w:val="nil"/>
                    <w:tr2bl w:val="nil"/>
                  </w:tcBorders>
                  <w:shd w:val="clear" w:color="auto" w:fill="auto"/>
                  <w:vAlign w:val="center"/>
                </w:tcPr>
                <w:p w14:paraId="43959637">
                  <w:pPr>
                    <w:spacing w:line="0" w:lineRule="atLeast"/>
                    <w:jc w:val="center"/>
                    <w:rPr>
                      <w:rFonts w:hint="default"/>
                      <w:color w:val="auto"/>
                      <w:spacing w:val="-10"/>
                      <w:sz w:val="18"/>
                      <w:szCs w:val="18"/>
                      <w:lang w:val="en-US" w:eastAsia="zh-CN"/>
                    </w:rPr>
                  </w:pPr>
                  <w:r>
                    <w:rPr>
                      <w:rFonts w:hint="eastAsia"/>
                      <w:color w:val="auto"/>
                      <w:spacing w:val="-10"/>
                      <w:sz w:val="18"/>
                      <w:szCs w:val="18"/>
                      <w:lang w:val="en-US" w:eastAsia="zh-CN"/>
                    </w:rPr>
                    <w:t>CTB-918，4kW，筒径0.9m、筒长1.8m</w:t>
                  </w:r>
                </w:p>
              </w:tc>
              <w:tc>
                <w:tcPr>
                  <w:tcW w:w="326" w:type="pct"/>
                  <w:tcBorders>
                    <w:tl2br w:val="nil"/>
                    <w:tr2bl w:val="nil"/>
                  </w:tcBorders>
                  <w:shd w:val="clear" w:color="auto" w:fill="auto"/>
                  <w:vAlign w:val="center"/>
                </w:tcPr>
                <w:p w14:paraId="2907985F">
                  <w:pPr>
                    <w:spacing w:line="0" w:lineRule="atLeast"/>
                    <w:jc w:val="center"/>
                    <w:rPr>
                      <w:rFonts w:hint="eastAsia"/>
                      <w:color w:val="auto"/>
                      <w:spacing w:val="-10"/>
                      <w:sz w:val="18"/>
                      <w:szCs w:val="18"/>
                      <w:lang w:val="en-US" w:eastAsia="zh-CN"/>
                    </w:rPr>
                  </w:pPr>
                  <w:r>
                    <w:rPr>
                      <w:rFonts w:hint="eastAsia"/>
                      <w:color w:val="auto"/>
                      <w:spacing w:val="-10"/>
                      <w:sz w:val="18"/>
                      <w:szCs w:val="18"/>
                      <w:lang w:val="en-US" w:eastAsia="zh-CN"/>
                    </w:rPr>
                    <w:t>台</w:t>
                  </w:r>
                </w:p>
              </w:tc>
              <w:tc>
                <w:tcPr>
                  <w:tcW w:w="291" w:type="pct"/>
                  <w:tcBorders>
                    <w:tl2br w:val="nil"/>
                    <w:tr2bl w:val="nil"/>
                  </w:tcBorders>
                  <w:shd w:val="clear" w:color="auto" w:fill="auto"/>
                  <w:vAlign w:val="center"/>
                </w:tcPr>
                <w:p w14:paraId="080AE0AE">
                  <w:pPr>
                    <w:spacing w:line="0" w:lineRule="atLeast"/>
                    <w:jc w:val="center"/>
                    <w:rPr>
                      <w:rFonts w:hint="eastAsia"/>
                      <w:color w:val="auto"/>
                      <w:spacing w:val="-10"/>
                      <w:sz w:val="18"/>
                      <w:szCs w:val="18"/>
                      <w:lang w:val="en-US" w:eastAsia="zh-CN"/>
                    </w:rPr>
                  </w:pPr>
                  <w:r>
                    <w:rPr>
                      <w:rFonts w:hint="eastAsia"/>
                      <w:color w:val="auto"/>
                      <w:spacing w:val="-10"/>
                      <w:sz w:val="18"/>
                      <w:szCs w:val="18"/>
                      <w:lang w:val="en-US" w:eastAsia="zh-CN"/>
                    </w:rPr>
                    <w:t>1</w:t>
                  </w:r>
                </w:p>
              </w:tc>
              <w:tc>
                <w:tcPr>
                  <w:tcW w:w="632" w:type="pct"/>
                  <w:tcBorders>
                    <w:tl2br w:val="nil"/>
                    <w:tr2bl w:val="nil"/>
                  </w:tcBorders>
                  <w:shd w:val="clear" w:color="auto" w:fill="auto"/>
                  <w:vAlign w:val="center"/>
                </w:tcPr>
                <w:p w14:paraId="416CAFD7">
                  <w:pPr>
                    <w:spacing w:line="0" w:lineRule="atLeast"/>
                    <w:jc w:val="center"/>
                    <w:rPr>
                      <w:rFonts w:hint="eastAsia"/>
                      <w:color w:val="auto"/>
                      <w:spacing w:val="-10"/>
                      <w:sz w:val="18"/>
                      <w:szCs w:val="18"/>
                      <w:lang w:val="en-US" w:eastAsia="zh-CN"/>
                    </w:rPr>
                  </w:pPr>
                  <w:r>
                    <w:rPr>
                      <w:rFonts w:hint="eastAsia"/>
                      <w:color w:val="auto"/>
                      <w:spacing w:val="-10"/>
                      <w:sz w:val="18"/>
                      <w:szCs w:val="18"/>
                      <w:lang w:val="en-US" w:eastAsia="zh-CN"/>
                    </w:rPr>
                    <w:t>磁选</w:t>
                  </w:r>
                </w:p>
              </w:tc>
            </w:tr>
            <w:tr w14:paraId="31A5D9A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272" w:type="pct"/>
                  <w:tcBorders>
                    <w:tl2br w:val="nil"/>
                    <w:tr2bl w:val="nil"/>
                  </w:tcBorders>
                  <w:shd w:val="clear" w:color="auto" w:fill="auto"/>
                  <w:vAlign w:val="center"/>
                </w:tcPr>
                <w:p w14:paraId="75D44460">
                  <w:pPr>
                    <w:widowControl/>
                    <w:spacing w:line="0" w:lineRule="atLeast"/>
                    <w:jc w:val="center"/>
                    <w:rPr>
                      <w:rFonts w:hint="default" w:ascii="Times New Roman" w:hAnsi="Times New Roman" w:eastAsia="宋体" w:cs="Times New Roman"/>
                      <w:color w:val="auto"/>
                      <w:spacing w:val="-10"/>
                      <w:kern w:val="2"/>
                      <w:sz w:val="18"/>
                      <w:szCs w:val="18"/>
                      <w:lang w:val="en-US" w:eastAsia="zh-CN" w:bidi="ar-SA"/>
                    </w:rPr>
                  </w:pPr>
                  <w:r>
                    <w:rPr>
                      <w:rFonts w:hint="eastAsia"/>
                      <w:color w:val="auto"/>
                      <w:spacing w:val="-10"/>
                      <w:sz w:val="18"/>
                      <w:szCs w:val="18"/>
                      <w:lang w:val="en-US" w:eastAsia="zh-CN"/>
                    </w:rPr>
                    <w:t>25</w:t>
                  </w:r>
                </w:p>
              </w:tc>
              <w:tc>
                <w:tcPr>
                  <w:tcW w:w="770" w:type="pct"/>
                  <w:gridSpan w:val="2"/>
                  <w:vMerge w:val="continue"/>
                  <w:tcBorders>
                    <w:tl2br w:val="nil"/>
                    <w:tr2bl w:val="nil"/>
                  </w:tcBorders>
                  <w:vAlign w:val="center"/>
                </w:tcPr>
                <w:p w14:paraId="4424FC53">
                  <w:pPr>
                    <w:widowControl/>
                    <w:spacing w:line="0" w:lineRule="atLeast"/>
                    <w:jc w:val="center"/>
                    <w:rPr>
                      <w:rFonts w:hint="eastAsia"/>
                      <w:color w:val="auto"/>
                      <w:spacing w:val="-10"/>
                      <w:sz w:val="18"/>
                      <w:szCs w:val="18"/>
                      <w:lang w:val="en-US" w:eastAsia="zh-CN"/>
                    </w:rPr>
                  </w:pPr>
                </w:p>
              </w:tc>
              <w:tc>
                <w:tcPr>
                  <w:tcW w:w="1027" w:type="pct"/>
                  <w:tcBorders>
                    <w:tl2br w:val="nil"/>
                    <w:tr2bl w:val="nil"/>
                  </w:tcBorders>
                  <w:shd w:val="clear" w:color="auto" w:fill="auto"/>
                  <w:vAlign w:val="center"/>
                </w:tcPr>
                <w:p w14:paraId="2C40E07D">
                  <w:pPr>
                    <w:spacing w:line="0" w:lineRule="atLeast"/>
                    <w:jc w:val="center"/>
                    <w:rPr>
                      <w:rFonts w:hint="default"/>
                      <w:color w:val="auto"/>
                      <w:spacing w:val="-10"/>
                      <w:sz w:val="18"/>
                      <w:szCs w:val="18"/>
                      <w:lang w:val="en-US" w:eastAsia="zh-CN"/>
                    </w:rPr>
                  </w:pPr>
                  <w:r>
                    <w:rPr>
                      <w:rFonts w:hint="eastAsia"/>
                      <w:color w:val="auto"/>
                      <w:spacing w:val="-10"/>
                      <w:sz w:val="18"/>
                      <w:szCs w:val="18"/>
                      <w:lang w:val="en-US" w:eastAsia="zh-CN"/>
                    </w:rPr>
                    <w:t>脱水筛</w:t>
                  </w:r>
                </w:p>
              </w:tc>
              <w:tc>
                <w:tcPr>
                  <w:tcW w:w="1679" w:type="pct"/>
                  <w:tcBorders>
                    <w:tl2br w:val="nil"/>
                    <w:tr2bl w:val="nil"/>
                  </w:tcBorders>
                  <w:shd w:val="clear" w:color="auto" w:fill="auto"/>
                  <w:vAlign w:val="center"/>
                </w:tcPr>
                <w:p w14:paraId="0C334788">
                  <w:pPr>
                    <w:spacing w:line="0" w:lineRule="atLeast"/>
                    <w:jc w:val="center"/>
                    <w:rPr>
                      <w:rFonts w:hint="eastAsia"/>
                      <w:color w:val="auto"/>
                      <w:spacing w:val="-10"/>
                      <w:sz w:val="18"/>
                      <w:szCs w:val="18"/>
                      <w:lang w:val="en-US" w:eastAsia="zh-CN"/>
                    </w:rPr>
                  </w:pPr>
                  <w:r>
                    <w:rPr>
                      <w:rFonts w:hint="eastAsia"/>
                      <w:color w:val="auto"/>
                      <w:spacing w:val="-10"/>
                      <w:sz w:val="18"/>
                      <w:szCs w:val="18"/>
                      <w:lang w:val="en-US" w:eastAsia="zh-CN"/>
                    </w:rPr>
                    <w:t>2m×5m，22kW</w:t>
                  </w:r>
                </w:p>
              </w:tc>
              <w:tc>
                <w:tcPr>
                  <w:tcW w:w="326" w:type="pct"/>
                  <w:tcBorders>
                    <w:tl2br w:val="nil"/>
                    <w:tr2bl w:val="nil"/>
                  </w:tcBorders>
                  <w:shd w:val="clear" w:color="auto" w:fill="auto"/>
                  <w:vAlign w:val="center"/>
                </w:tcPr>
                <w:p w14:paraId="0A09493E">
                  <w:pPr>
                    <w:spacing w:line="0" w:lineRule="atLeast"/>
                    <w:jc w:val="center"/>
                    <w:rPr>
                      <w:rFonts w:hint="eastAsia"/>
                      <w:color w:val="auto"/>
                      <w:spacing w:val="-10"/>
                      <w:sz w:val="18"/>
                      <w:szCs w:val="18"/>
                      <w:lang w:val="en-US" w:eastAsia="zh-CN"/>
                    </w:rPr>
                  </w:pPr>
                  <w:r>
                    <w:rPr>
                      <w:rFonts w:hint="eastAsia"/>
                      <w:color w:val="auto"/>
                      <w:spacing w:val="-10"/>
                      <w:sz w:val="18"/>
                      <w:szCs w:val="18"/>
                      <w:lang w:val="en-US" w:eastAsia="zh-CN"/>
                    </w:rPr>
                    <w:t>台</w:t>
                  </w:r>
                </w:p>
              </w:tc>
              <w:tc>
                <w:tcPr>
                  <w:tcW w:w="291" w:type="pct"/>
                  <w:tcBorders>
                    <w:tl2br w:val="nil"/>
                    <w:tr2bl w:val="nil"/>
                  </w:tcBorders>
                  <w:shd w:val="clear" w:color="auto" w:fill="auto"/>
                  <w:vAlign w:val="center"/>
                </w:tcPr>
                <w:p w14:paraId="124F3F25">
                  <w:pPr>
                    <w:spacing w:line="0" w:lineRule="atLeast"/>
                    <w:jc w:val="center"/>
                    <w:rPr>
                      <w:rFonts w:hint="eastAsia"/>
                      <w:color w:val="auto"/>
                      <w:spacing w:val="-10"/>
                      <w:sz w:val="18"/>
                      <w:szCs w:val="18"/>
                      <w:lang w:val="en-US" w:eastAsia="zh-CN"/>
                    </w:rPr>
                  </w:pPr>
                  <w:r>
                    <w:rPr>
                      <w:rFonts w:hint="eastAsia"/>
                      <w:color w:val="auto"/>
                      <w:spacing w:val="-10"/>
                      <w:sz w:val="18"/>
                      <w:szCs w:val="18"/>
                      <w:lang w:val="en-US" w:eastAsia="zh-CN"/>
                    </w:rPr>
                    <w:t>1</w:t>
                  </w:r>
                </w:p>
              </w:tc>
              <w:tc>
                <w:tcPr>
                  <w:tcW w:w="632" w:type="pct"/>
                  <w:tcBorders>
                    <w:tl2br w:val="nil"/>
                    <w:tr2bl w:val="nil"/>
                  </w:tcBorders>
                  <w:shd w:val="clear" w:color="auto" w:fill="auto"/>
                  <w:vAlign w:val="center"/>
                </w:tcPr>
                <w:p w14:paraId="4A857E94">
                  <w:pPr>
                    <w:spacing w:line="0" w:lineRule="atLeast"/>
                    <w:jc w:val="center"/>
                    <w:rPr>
                      <w:rFonts w:hint="eastAsia"/>
                      <w:color w:val="auto"/>
                      <w:spacing w:val="-10"/>
                      <w:sz w:val="18"/>
                      <w:szCs w:val="18"/>
                      <w:lang w:val="en-US" w:eastAsia="zh-CN"/>
                    </w:rPr>
                  </w:pPr>
                  <w:r>
                    <w:rPr>
                      <w:rFonts w:hint="eastAsia"/>
                      <w:color w:val="auto"/>
                      <w:spacing w:val="-10"/>
                      <w:sz w:val="18"/>
                      <w:szCs w:val="18"/>
                      <w:lang w:val="en-US" w:eastAsia="zh-CN"/>
                    </w:rPr>
                    <w:t>脱水</w:t>
                  </w:r>
                </w:p>
              </w:tc>
            </w:tr>
            <w:tr w14:paraId="1D733C3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272" w:type="pct"/>
                  <w:tcBorders>
                    <w:tl2br w:val="nil"/>
                    <w:tr2bl w:val="nil"/>
                  </w:tcBorders>
                  <w:shd w:val="clear" w:color="auto" w:fill="auto"/>
                  <w:vAlign w:val="center"/>
                </w:tcPr>
                <w:p w14:paraId="63BCEB38">
                  <w:pPr>
                    <w:widowControl/>
                    <w:spacing w:line="0" w:lineRule="atLeast"/>
                    <w:jc w:val="center"/>
                    <w:rPr>
                      <w:rFonts w:hint="default" w:ascii="Times New Roman" w:hAnsi="Times New Roman" w:eastAsia="宋体" w:cs="Times New Roman"/>
                      <w:color w:val="auto"/>
                      <w:spacing w:val="-10"/>
                      <w:kern w:val="2"/>
                      <w:sz w:val="18"/>
                      <w:szCs w:val="18"/>
                      <w:lang w:val="en-US" w:eastAsia="zh-CN" w:bidi="ar-SA"/>
                    </w:rPr>
                  </w:pPr>
                  <w:r>
                    <w:rPr>
                      <w:rFonts w:hint="eastAsia"/>
                      <w:color w:val="auto"/>
                      <w:spacing w:val="-10"/>
                      <w:sz w:val="18"/>
                      <w:szCs w:val="18"/>
                      <w:lang w:val="en-US" w:eastAsia="zh-CN"/>
                    </w:rPr>
                    <w:t>26</w:t>
                  </w:r>
                </w:p>
              </w:tc>
              <w:tc>
                <w:tcPr>
                  <w:tcW w:w="770" w:type="pct"/>
                  <w:gridSpan w:val="2"/>
                  <w:vMerge w:val="continue"/>
                  <w:tcBorders>
                    <w:tl2br w:val="nil"/>
                    <w:tr2bl w:val="nil"/>
                  </w:tcBorders>
                  <w:vAlign w:val="center"/>
                </w:tcPr>
                <w:p w14:paraId="7088D9D1">
                  <w:pPr>
                    <w:widowControl/>
                    <w:spacing w:line="0" w:lineRule="atLeast"/>
                    <w:jc w:val="center"/>
                    <w:rPr>
                      <w:rFonts w:hint="eastAsia"/>
                      <w:color w:val="auto"/>
                      <w:spacing w:val="-10"/>
                      <w:sz w:val="18"/>
                      <w:szCs w:val="18"/>
                      <w:lang w:val="en-US" w:eastAsia="zh-CN"/>
                    </w:rPr>
                  </w:pPr>
                </w:p>
              </w:tc>
              <w:tc>
                <w:tcPr>
                  <w:tcW w:w="1027" w:type="pct"/>
                  <w:tcBorders>
                    <w:tl2br w:val="nil"/>
                    <w:tr2bl w:val="nil"/>
                  </w:tcBorders>
                  <w:shd w:val="clear" w:color="auto" w:fill="auto"/>
                  <w:vAlign w:val="center"/>
                </w:tcPr>
                <w:p w14:paraId="1ED9DB8B">
                  <w:pPr>
                    <w:spacing w:line="0" w:lineRule="atLeast"/>
                    <w:jc w:val="center"/>
                    <w:rPr>
                      <w:rFonts w:hint="default"/>
                      <w:color w:val="auto"/>
                      <w:spacing w:val="-10"/>
                      <w:sz w:val="18"/>
                      <w:szCs w:val="18"/>
                      <w:lang w:val="en-US" w:eastAsia="zh-CN"/>
                    </w:rPr>
                  </w:pPr>
                  <w:r>
                    <w:rPr>
                      <w:rFonts w:hint="eastAsia"/>
                      <w:color w:val="auto"/>
                      <w:spacing w:val="-10"/>
                      <w:sz w:val="18"/>
                      <w:szCs w:val="18"/>
                      <w:lang w:val="en-US" w:eastAsia="zh-CN"/>
                    </w:rPr>
                    <w:t>过滤机</w:t>
                  </w:r>
                </w:p>
              </w:tc>
              <w:tc>
                <w:tcPr>
                  <w:tcW w:w="1679" w:type="pct"/>
                  <w:tcBorders>
                    <w:tl2br w:val="nil"/>
                    <w:tr2bl w:val="nil"/>
                  </w:tcBorders>
                  <w:shd w:val="clear" w:color="auto" w:fill="auto"/>
                  <w:vAlign w:val="center"/>
                </w:tcPr>
                <w:p w14:paraId="1462A9A6">
                  <w:pPr>
                    <w:spacing w:line="0" w:lineRule="atLeast"/>
                    <w:jc w:val="center"/>
                    <w:rPr>
                      <w:rFonts w:hint="eastAsia"/>
                      <w:color w:val="auto"/>
                      <w:spacing w:val="-10"/>
                      <w:sz w:val="18"/>
                      <w:szCs w:val="18"/>
                      <w:lang w:val="en-US" w:eastAsia="zh-CN"/>
                    </w:rPr>
                  </w:pPr>
                  <w:r>
                    <w:rPr>
                      <w:rFonts w:hint="eastAsia"/>
                      <w:color w:val="auto"/>
                      <w:spacing w:val="-10"/>
                      <w:sz w:val="18"/>
                      <w:szCs w:val="18"/>
                      <w:lang w:val="en-US" w:eastAsia="zh-CN"/>
                    </w:rPr>
                    <w:t>PG2100，滤盘直径</w:t>
                  </w:r>
                  <w:r>
                    <w:rPr>
                      <w:rFonts w:hint="default"/>
                      <w:color w:val="auto"/>
                      <w:spacing w:val="-10"/>
                      <w:sz w:val="18"/>
                      <w:szCs w:val="18"/>
                      <w:lang w:val="en-US" w:eastAsia="zh-CN"/>
                    </w:rPr>
                    <w:t>2.1m</w:t>
                  </w:r>
                  <w:r>
                    <w:rPr>
                      <w:rFonts w:hint="eastAsia"/>
                      <w:color w:val="auto"/>
                      <w:spacing w:val="-10"/>
                      <w:sz w:val="18"/>
                      <w:szCs w:val="18"/>
                      <w:lang w:val="en-US" w:eastAsia="zh-CN"/>
                    </w:rPr>
                    <w:t xml:space="preserve">，过滤面积 </w:t>
                  </w:r>
                  <w:r>
                    <w:rPr>
                      <w:rFonts w:hint="default"/>
                      <w:color w:val="auto"/>
                      <w:spacing w:val="-10"/>
                      <w:sz w:val="18"/>
                      <w:szCs w:val="18"/>
                      <w:lang w:val="en-US" w:eastAsia="zh-CN"/>
                    </w:rPr>
                    <w:t>15m2</w:t>
                  </w:r>
                  <w:r>
                    <w:rPr>
                      <w:rFonts w:hint="eastAsia"/>
                      <w:color w:val="auto"/>
                      <w:spacing w:val="-10"/>
                      <w:sz w:val="18"/>
                      <w:szCs w:val="18"/>
                      <w:lang w:val="en-US" w:eastAsia="zh-CN"/>
                    </w:rPr>
                    <w:t xml:space="preserve">，生产能力： </w:t>
                  </w:r>
                  <w:r>
                    <w:rPr>
                      <w:rFonts w:hint="default"/>
                      <w:color w:val="auto"/>
                      <w:spacing w:val="-10"/>
                      <w:sz w:val="18"/>
                      <w:szCs w:val="18"/>
                      <w:lang w:val="en-US" w:eastAsia="zh-CN"/>
                    </w:rPr>
                    <w:t>0.7-1.2t/h*m2</w:t>
                  </w:r>
                </w:p>
              </w:tc>
              <w:tc>
                <w:tcPr>
                  <w:tcW w:w="326" w:type="pct"/>
                  <w:tcBorders>
                    <w:tl2br w:val="nil"/>
                    <w:tr2bl w:val="nil"/>
                  </w:tcBorders>
                  <w:shd w:val="clear" w:color="auto" w:fill="auto"/>
                  <w:vAlign w:val="center"/>
                </w:tcPr>
                <w:p w14:paraId="62CB0B65">
                  <w:pPr>
                    <w:spacing w:line="0" w:lineRule="atLeast"/>
                    <w:jc w:val="center"/>
                    <w:rPr>
                      <w:rFonts w:hint="eastAsia"/>
                      <w:color w:val="auto"/>
                      <w:spacing w:val="-10"/>
                      <w:sz w:val="18"/>
                      <w:szCs w:val="18"/>
                      <w:lang w:val="en-US" w:eastAsia="zh-CN"/>
                    </w:rPr>
                  </w:pPr>
                  <w:r>
                    <w:rPr>
                      <w:rFonts w:hint="eastAsia"/>
                      <w:color w:val="auto"/>
                      <w:spacing w:val="-10"/>
                      <w:sz w:val="18"/>
                      <w:szCs w:val="18"/>
                      <w:lang w:val="en-US" w:eastAsia="zh-CN"/>
                    </w:rPr>
                    <w:t>台</w:t>
                  </w:r>
                </w:p>
              </w:tc>
              <w:tc>
                <w:tcPr>
                  <w:tcW w:w="291" w:type="pct"/>
                  <w:tcBorders>
                    <w:tl2br w:val="nil"/>
                    <w:tr2bl w:val="nil"/>
                  </w:tcBorders>
                  <w:shd w:val="clear" w:color="auto" w:fill="auto"/>
                  <w:vAlign w:val="center"/>
                </w:tcPr>
                <w:p w14:paraId="66AAC2D0">
                  <w:pPr>
                    <w:spacing w:line="0" w:lineRule="atLeast"/>
                    <w:jc w:val="center"/>
                    <w:rPr>
                      <w:rFonts w:hint="eastAsia"/>
                      <w:color w:val="auto"/>
                      <w:spacing w:val="-10"/>
                      <w:sz w:val="18"/>
                      <w:szCs w:val="18"/>
                      <w:lang w:val="en-US" w:eastAsia="zh-CN"/>
                    </w:rPr>
                  </w:pPr>
                  <w:r>
                    <w:rPr>
                      <w:rFonts w:hint="eastAsia"/>
                      <w:color w:val="auto"/>
                      <w:spacing w:val="-10"/>
                      <w:sz w:val="18"/>
                      <w:szCs w:val="18"/>
                      <w:lang w:val="en-US" w:eastAsia="zh-CN"/>
                    </w:rPr>
                    <w:t>1</w:t>
                  </w:r>
                </w:p>
              </w:tc>
              <w:tc>
                <w:tcPr>
                  <w:tcW w:w="632" w:type="pct"/>
                  <w:tcBorders>
                    <w:tl2br w:val="nil"/>
                    <w:tr2bl w:val="nil"/>
                  </w:tcBorders>
                  <w:shd w:val="clear" w:color="auto" w:fill="auto"/>
                  <w:vAlign w:val="center"/>
                </w:tcPr>
                <w:p w14:paraId="71127CC6">
                  <w:pPr>
                    <w:spacing w:line="0" w:lineRule="atLeast"/>
                    <w:jc w:val="center"/>
                    <w:rPr>
                      <w:rFonts w:hint="eastAsia"/>
                      <w:color w:val="auto"/>
                      <w:spacing w:val="-10"/>
                      <w:sz w:val="18"/>
                      <w:szCs w:val="18"/>
                      <w:lang w:val="en-US" w:eastAsia="zh-CN"/>
                    </w:rPr>
                  </w:pPr>
                  <w:r>
                    <w:rPr>
                      <w:rFonts w:hint="eastAsia"/>
                      <w:color w:val="auto"/>
                      <w:spacing w:val="-10"/>
                      <w:sz w:val="18"/>
                      <w:szCs w:val="18"/>
                      <w:lang w:val="en-US" w:eastAsia="zh-CN"/>
                    </w:rPr>
                    <w:t>脱水</w:t>
                  </w:r>
                </w:p>
              </w:tc>
            </w:tr>
            <w:tr w14:paraId="03292BE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272" w:type="pct"/>
                  <w:tcBorders>
                    <w:tl2br w:val="nil"/>
                    <w:tr2bl w:val="nil"/>
                  </w:tcBorders>
                  <w:shd w:val="clear" w:color="auto" w:fill="auto"/>
                  <w:vAlign w:val="center"/>
                </w:tcPr>
                <w:p w14:paraId="01252F5E">
                  <w:pPr>
                    <w:widowControl/>
                    <w:spacing w:line="0" w:lineRule="atLeast"/>
                    <w:jc w:val="center"/>
                    <w:rPr>
                      <w:rFonts w:hint="default" w:ascii="Times New Roman" w:hAnsi="Times New Roman" w:eastAsia="宋体" w:cs="Times New Roman"/>
                      <w:color w:val="auto"/>
                      <w:spacing w:val="-10"/>
                      <w:kern w:val="2"/>
                      <w:sz w:val="18"/>
                      <w:szCs w:val="18"/>
                      <w:lang w:val="en-US" w:eastAsia="zh-CN" w:bidi="ar-SA"/>
                    </w:rPr>
                  </w:pPr>
                  <w:r>
                    <w:rPr>
                      <w:rFonts w:hint="eastAsia"/>
                      <w:color w:val="auto"/>
                      <w:spacing w:val="-10"/>
                      <w:sz w:val="18"/>
                      <w:szCs w:val="18"/>
                      <w:lang w:val="en-US" w:eastAsia="zh-CN"/>
                    </w:rPr>
                    <w:t>27</w:t>
                  </w:r>
                </w:p>
              </w:tc>
              <w:tc>
                <w:tcPr>
                  <w:tcW w:w="770" w:type="pct"/>
                  <w:gridSpan w:val="2"/>
                  <w:vMerge w:val="restart"/>
                  <w:tcBorders>
                    <w:tl2br w:val="nil"/>
                    <w:tr2bl w:val="nil"/>
                  </w:tcBorders>
                  <w:vAlign w:val="center"/>
                </w:tcPr>
                <w:p w14:paraId="2414F517">
                  <w:pPr>
                    <w:widowControl/>
                    <w:spacing w:line="0" w:lineRule="atLeast"/>
                    <w:jc w:val="center"/>
                    <w:rPr>
                      <w:rFonts w:hint="eastAsia"/>
                      <w:color w:val="auto"/>
                      <w:spacing w:val="-10"/>
                      <w:sz w:val="18"/>
                      <w:szCs w:val="18"/>
                      <w:lang w:val="en-US" w:eastAsia="zh-CN"/>
                    </w:rPr>
                  </w:pPr>
                  <w:r>
                    <w:rPr>
                      <w:rFonts w:hint="eastAsia"/>
                      <w:color w:val="auto"/>
                      <w:spacing w:val="-10"/>
                      <w:sz w:val="18"/>
                      <w:szCs w:val="18"/>
                      <w:lang w:val="en-US" w:eastAsia="zh-CN"/>
                    </w:rPr>
                    <w:t>废水</w:t>
                  </w:r>
                </w:p>
                <w:p w14:paraId="43667CE1">
                  <w:pPr>
                    <w:widowControl/>
                    <w:spacing w:line="0" w:lineRule="atLeast"/>
                    <w:jc w:val="center"/>
                    <w:rPr>
                      <w:rFonts w:hint="eastAsia"/>
                      <w:color w:val="auto"/>
                      <w:spacing w:val="-10"/>
                      <w:sz w:val="18"/>
                      <w:szCs w:val="18"/>
                      <w:lang w:val="en-US" w:eastAsia="zh-CN"/>
                    </w:rPr>
                  </w:pPr>
                  <w:r>
                    <w:rPr>
                      <w:rFonts w:hint="eastAsia"/>
                      <w:color w:val="auto"/>
                      <w:spacing w:val="-10"/>
                      <w:sz w:val="18"/>
                      <w:szCs w:val="18"/>
                      <w:lang w:val="en-US" w:eastAsia="zh-CN"/>
                    </w:rPr>
                    <w:t>处理</w:t>
                  </w:r>
                </w:p>
              </w:tc>
              <w:tc>
                <w:tcPr>
                  <w:tcW w:w="1027" w:type="pct"/>
                  <w:tcBorders>
                    <w:tl2br w:val="nil"/>
                    <w:tr2bl w:val="nil"/>
                  </w:tcBorders>
                  <w:shd w:val="clear" w:color="auto" w:fill="auto"/>
                  <w:vAlign w:val="center"/>
                </w:tcPr>
                <w:p w14:paraId="3BB3EB10">
                  <w:pPr>
                    <w:spacing w:line="0" w:lineRule="atLeast"/>
                    <w:jc w:val="center"/>
                    <w:rPr>
                      <w:rFonts w:hint="eastAsia"/>
                      <w:color w:val="auto"/>
                      <w:spacing w:val="-10"/>
                      <w:sz w:val="18"/>
                      <w:szCs w:val="18"/>
                      <w:lang w:val="en-US" w:eastAsia="zh-CN"/>
                    </w:rPr>
                  </w:pPr>
                  <w:r>
                    <w:rPr>
                      <w:rFonts w:hint="eastAsia"/>
                      <w:color w:val="auto"/>
                      <w:spacing w:val="-10"/>
                      <w:sz w:val="18"/>
                      <w:szCs w:val="18"/>
                      <w:lang w:val="en-US" w:eastAsia="zh-CN"/>
                    </w:rPr>
                    <w:t>浓缩罐</w:t>
                  </w:r>
                </w:p>
              </w:tc>
              <w:tc>
                <w:tcPr>
                  <w:tcW w:w="1679" w:type="pct"/>
                  <w:tcBorders>
                    <w:tl2br w:val="nil"/>
                    <w:tr2bl w:val="nil"/>
                  </w:tcBorders>
                  <w:shd w:val="clear" w:color="auto" w:fill="auto"/>
                  <w:vAlign w:val="center"/>
                </w:tcPr>
                <w:p w14:paraId="0A936725">
                  <w:pPr>
                    <w:spacing w:line="0" w:lineRule="atLeast"/>
                    <w:jc w:val="center"/>
                    <w:rPr>
                      <w:rFonts w:hint="eastAsia"/>
                      <w:color w:val="auto"/>
                      <w:spacing w:val="-10"/>
                      <w:sz w:val="18"/>
                      <w:szCs w:val="18"/>
                      <w:lang w:val="en-US" w:eastAsia="zh-CN"/>
                    </w:rPr>
                  </w:pPr>
                  <w:r>
                    <w:rPr>
                      <w:rFonts w:hint="eastAsia"/>
                      <w:color w:val="auto"/>
                      <w:spacing w:val="-10"/>
                      <w:sz w:val="18"/>
                      <w:szCs w:val="18"/>
                      <w:lang w:val="en-US" w:eastAsia="zh-CN"/>
                    </w:rPr>
                    <w:t>碳钢防腐结构，直径8m，高9m，椎高6m</w:t>
                  </w:r>
                </w:p>
              </w:tc>
              <w:tc>
                <w:tcPr>
                  <w:tcW w:w="326" w:type="pct"/>
                  <w:tcBorders>
                    <w:tl2br w:val="nil"/>
                    <w:tr2bl w:val="nil"/>
                  </w:tcBorders>
                  <w:shd w:val="clear" w:color="auto" w:fill="auto"/>
                  <w:vAlign w:val="center"/>
                </w:tcPr>
                <w:p w14:paraId="282E901F">
                  <w:pPr>
                    <w:spacing w:line="0" w:lineRule="atLeast"/>
                    <w:jc w:val="center"/>
                    <w:rPr>
                      <w:rFonts w:hint="eastAsia"/>
                      <w:color w:val="auto"/>
                      <w:spacing w:val="-10"/>
                      <w:sz w:val="18"/>
                      <w:szCs w:val="18"/>
                      <w:lang w:val="en-US" w:eastAsia="zh-CN"/>
                    </w:rPr>
                  </w:pPr>
                  <w:r>
                    <w:rPr>
                      <w:rFonts w:hint="eastAsia"/>
                      <w:color w:val="auto"/>
                      <w:spacing w:val="-10"/>
                      <w:sz w:val="18"/>
                      <w:szCs w:val="18"/>
                      <w:lang w:val="en-US" w:eastAsia="zh-CN"/>
                    </w:rPr>
                    <w:t>座</w:t>
                  </w:r>
                </w:p>
              </w:tc>
              <w:tc>
                <w:tcPr>
                  <w:tcW w:w="291" w:type="pct"/>
                  <w:tcBorders>
                    <w:tl2br w:val="nil"/>
                    <w:tr2bl w:val="nil"/>
                  </w:tcBorders>
                  <w:shd w:val="clear" w:color="auto" w:fill="auto"/>
                  <w:vAlign w:val="center"/>
                </w:tcPr>
                <w:p w14:paraId="6A175D77">
                  <w:pPr>
                    <w:spacing w:line="0" w:lineRule="atLeast"/>
                    <w:jc w:val="center"/>
                    <w:rPr>
                      <w:rFonts w:hint="eastAsia"/>
                      <w:color w:val="auto"/>
                      <w:spacing w:val="-10"/>
                      <w:sz w:val="18"/>
                      <w:szCs w:val="18"/>
                      <w:lang w:val="en-US" w:eastAsia="zh-CN"/>
                    </w:rPr>
                  </w:pPr>
                  <w:r>
                    <w:rPr>
                      <w:rFonts w:hint="eastAsia"/>
                      <w:color w:val="auto"/>
                      <w:spacing w:val="-10"/>
                      <w:sz w:val="18"/>
                      <w:szCs w:val="18"/>
                      <w:lang w:val="en-US" w:eastAsia="zh-CN"/>
                    </w:rPr>
                    <w:t>1</w:t>
                  </w:r>
                </w:p>
              </w:tc>
              <w:tc>
                <w:tcPr>
                  <w:tcW w:w="632" w:type="pct"/>
                  <w:tcBorders>
                    <w:tl2br w:val="nil"/>
                    <w:tr2bl w:val="nil"/>
                  </w:tcBorders>
                  <w:shd w:val="clear" w:color="auto" w:fill="auto"/>
                  <w:vAlign w:val="center"/>
                </w:tcPr>
                <w:p w14:paraId="2294CD90">
                  <w:pPr>
                    <w:spacing w:line="0" w:lineRule="atLeast"/>
                    <w:jc w:val="center"/>
                    <w:rPr>
                      <w:rFonts w:hint="eastAsia"/>
                      <w:color w:val="auto"/>
                      <w:spacing w:val="-10"/>
                      <w:sz w:val="18"/>
                      <w:szCs w:val="18"/>
                      <w:lang w:val="en-US" w:eastAsia="zh-CN"/>
                    </w:rPr>
                  </w:pPr>
                  <w:r>
                    <w:rPr>
                      <w:rFonts w:hint="eastAsia"/>
                      <w:color w:val="auto"/>
                      <w:spacing w:val="-10"/>
                      <w:sz w:val="18"/>
                      <w:szCs w:val="18"/>
                      <w:lang w:val="en-US" w:eastAsia="zh-CN"/>
                    </w:rPr>
                    <w:t>浓缩</w:t>
                  </w:r>
                </w:p>
              </w:tc>
            </w:tr>
            <w:tr w14:paraId="276FA94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272" w:type="pct"/>
                  <w:tcBorders>
                    <w:tl2br w:val="nil"/>
                    <w:tr2bl w:val="nil"/>
                  </w:tcBorders>
                  <w:shd w:val="clear" w:color="auto" w:fill="auto"/>
                  <w:vAlign w:val="center"/>
                </w:tcPr>
                <w:p w14:paraId="361CE449">
                  <w:pPr>
                    <w:widowControl/>
                    <w:spacing w:line="0" w:lineRule="atLeast"/>
                    <w:jc w:val="center"/>
                    <w:rPr>
                      <w:rFonts w:hint="default" w:ascii="Times New Roman" w:hAnsi="Times New Roman" w:eastAsia="宋体" w:cs="Times New Roman"/>
                      <w:color w:val="auto"/>
                      <w:spacing w:val="-10"/>
                      <w:kern w:val="2"/>
                      <w:sz w:val="18"/>
                      <w:szCs w:val="18"/>
                      <w:lang w:val="en-US" w:eastAsia="zh-CN" w:bidi="ar-SA"/>
                    </w:rPr>
                  </w:pPr>
                  <w:r>
                    <w:rPr>
                      <w:rFonts w:hint="eastAsia"/>
                      <w:color w:val="auto"/>
                      <w:spacing w:val="-10"/>
                      <w:sz w:val="18"/>
                      <w:szCs w:val="18"/>
                      <w:lang w:val="en-US" w:eastAsia="zh-CN"/>
                    </w:rPr>
                    <w:t>28</w:t>
                  </w:r>
                </w:p>
              </w:tc>
              <w:tc>
                <w:tcPr>
                  <w:tcW w:w="770" w:type="pct"/>
                  <w:gridSpan w:val="2"/>
                  <w:vMerge w:val="continue"/>
                  <w:tcBorders>
                    <w:tl2br w:val="nil"/>
                    <w:tr2bl w:val="nil"/>
                  </w:tcBorders>
                  <w:vAlign w:val="center"/>
                </w:tcPr>
                <w:p w14:paraId="44A20CB7">
                  <w:pPr>
                    <w:widowControl/>
                    <w:spacing w:line="0" w:lineRule="atLeast"/>
                    <w:jc w:val="center"/>
                    <w:rPr>
                      <w:rFonts w:hint="eastAsia"/>
                      <w:color w:val="auto"/>
                      <w:spacing w:val="-10"/>
                      <w:sz w:val="18"/>
                      <w:szCs w:val="18"/>
                      <w:lang w:val="en-US" w:eastAsia="zh-CN"/>
                    </w:rPr>
                  </w:pPr>
                </w:p>
              </w:tc>
              <w:tc>
                <w:tcPr>
                  <w:tcW w:w="1027" w:type="pct"/>
                  <w:tcBorders>
                    <w:tl2br w:val="nil"/>
                    <w:tr2bl w:val="nil"/>
                  </w:tcBorders>
                  <w:shd w:val="clear" w:color="auto" w:fill="auto"/>
                  <w:vAlign w:val="center"/>
                </w:tcPr>
                <w:p w14:paraId="4B410B08">
                  <w:pPr>
                    <w:spacing w:line="0" w:lineRule="atLeast"/>
                    <w:jc w:val="center"/>
                    <w:rPr>
                      <w:rFonts w:hint="eastAsia"/>
                      <w:color w:val="auto"/>
                      <w:spacing w:val="-10"/>
                      <w:sz w:val="18"/>
                      <w:szCs w:val="18"/>
                      <w:lang w:val="en-US" w:eastAsia="zh-CN"/>
                    </w:rPr>
                  </w:pPr>
                  <w:r>
                    <w:rPr>
                      <w:rFonts w:hint="eastAsia"/>
                      <w:color w:val="auto"/>
                      <w:spacing w:val="-10"/>
                      <w:sz w:val="18"/>
                      <w:szCs w:val="18"/>
                      <w:lang w:val="en-US" w:eastAsia="zh-CN"/>
                    </w:rPr>
                    <w:t>板框压滤机</w:t>
                  </w:r>
                </w:p>
              </w:tc>
              <w:tc>
                <w:tcPr>
                  <w:tcW w:w="1679" w:type="pct"/>
                  <w:tcBorders>
                    <w:tl2br w:val="nil"/>
                    <w:tr2bl w:val="nil"/>
                  </w:tcBorders>
                  <w:shd w:val="clear" w:color="auto" w:fill="auto"/>
                  <w:vAlign w:val="center"/>
                </w:tcPr>
                <w:p w14:paraId="4E48B029">
                  <w:pPr>
                    <w:spacing w:line="0" w:lineRule="atLeast"/>
                    <w:jc w:val="center"/>
                    <w:rPr>
                      <w:rFonts w:hint="eastAsia"/>
                      <w:color w:val="auto"/>
                      <w:spacing w:val="-10"/>
                      <w:sz w:val="18"/>
                      <w:szCs w:val="18"/>
                      <w:lang w:val="en-US" w:eastAsia="zh-CN"/>
                    </w:rPr>
                  </w:pPr>
                  <w:r>
                    <w:rPr>
                      <w:rFonts w:hint="eastAsia"/>
                      <w:color w:val="auto"/>
                      <w:spacing w:val="-10"/>
                      <w:sz w:val="18"/>
                      <w:szCs w:val="18"/>
                      <w:lang w:val="en-US" w:eastAsia="zh-CN"/>
                    </w:rPr>
                    <w:t>250m</w:t>
                  </w:r>
                  <w:r>
                    <w:rPr>
                      <w:rFonts w:hint="eastAsia"/>
                      <w:color w:val="auto"/>
                      <w:spacing w:val="-10"/>
                      <w:sz w:val="18"/>
                      <w:szCs w:val="18"/>
                      <w:vertAlign w:val="superscript"/>
                      <w:lang w:val="en-US" w:eastAsia="zh-CN"/>
                    </w:rPr>
                    <w:t>2</w:t>
                  </w:r>
                </w:p>
              </w:tc>
              <w:tc>
                <w:tcPr>
                  <w:tcW w:w="326" w:type="pct"/>
                  <w:tcBorders>
                    <w:tl2br w:val="nil"/>
                    <w:tr2bl w:val="nil"/>
                  </w:tcBorders>
                  <w:shd w:val="clear" w:color="auto" w:fill="auto"/>
                  <w:vAlign w:val="center"/>
                </w:tcPr>
                <w:p w14:paraId="6856BEE4">
                  <w:pPr>
                    <w:spacing w:line="0" w:lineRule="atLeast"/>
                    <w:jc w:val="center"/>
                    <w:rPr>
                      <w:rFonts w:hint="eastAsia"/>
                      <w:color w:val="auto"/>
                      <w:spacing w:val="-10"/>
                      <w:sz w:val="18"/>
                      <w:szCs w:val="18"/>
                      <w:lang w:val="en-US" w:eastAsia="zh-CN"/>
                    </w:rPr>
                  </w:pPr>
                  <w:r>
                    <w:rPr>
                      <w:rFonts w:hint="eastAsia"/>
                      <w:color w:val="auto"/>
                      <w:spacing w:val="-10"/>
                      <w:sz w:val="18"/>
                      <w:szCs w:val="18"/>
                      <w:lang w:val="en-US" w:eastAsia="zh-CN"/>
                    </w:rPr>
                    <w:t>台</w:t>
                  </w:r>
                </w:p>
              </w:tc>
              <w:tc>
                <w:tcPr>
                  <w:tcW w:w="291" w:type="pct"/>
                  <w:tcBorders>
                    <w:tl2br w:val="nil"/>
                    <w:tr2bl w:val="nil"/>
                  </w:tcBorders>
                  <w:shd w:val="clear" w:color="auto" w:fill="auto"/>
                  <w:vAlign w:val="center"/>
                </w:tcPr>
                <w:p w14:paraId="2A611CD0">
                  <w:pPr>
                    <w:spacing w:line="0" w:lineRule="atLeast"/>
                    <w:jc w:val="center"/>
                    <w:rPr>
                      <w:rFonts w:hint="eastAsia"/>
                      <w:color w:val="auto"/>
                      <w:spacing w:val="-10"/>
                      <w:sz w:val="18"/>
                      <w:szCs w:val="18"/>
                      <w:lang w:val="en-US" w:eastAsia="zh-CN"/>
                    </w:rPr>
                  </w:pPr>
                  <w:r>
                    <w:rPr>
                      <w:rFonts w:hint="eastAsia"/>
                      <w:color w:val="auto"/>
                      <w:spacing w:val="-10"/>
                      <w:sz w:val="18"/>
                      <w:szCs w:val="18"/>
                      <w:lang w:val="en-US" w:eastAsia="zh-CN"/>
                    </w:rPr>
                    <w:t>2</w:t>
                  </w:r>
                </w:p>
              </w:tc>
              <w:tc>
                <w:tcPr>
                  <w:tcW w:w="632" w:type="pct"/>
                  <w:tcBorders>
                    <w:tl2br w:val="nil"/>
                    <w:tr2bl w:val="nil"/>
                  </w:tcBorders>
                  <w:shd w:val="clear" w:color="auto" w:fill="auto"/>
                  <w:vAlign w:val="center"/>
                </w:tcPr>
                <w:p w14:paraId="047431CC">
                  <w:pPr>
                    <w:spacing w:line="0" w:lineRule="atLeast"/>
                    <w:jc w:val="center"/>
                    <w:rPr>
                      <w:rFonts w:hint="eastAsia"/>
                      <w:color w:val="auto"/>
                      <w:spacing w:val="-10"/>
                      <w:sz w:val="18"/>
                      <w:szCs w:val="18"/>
                      <w:lang w:val="en-US" w:eastAsia="zh-CN"/>
                    </w:rPr>
                  </w:pPr>
                  <w:r>
                    <w:rPr>
                      <w:rFonts w:hint="eastAsia"/>
                      <w:color w:val="auto"/>
                      <w:spacing w:val="-10"/>
                      <w:sz w:val="18"/>
                      <w:szCs w:val="18"/>
                      <w:lang w:val="en-US" w:eastAsia="zh-CN"/>
                    </w:rPr>
                    <w:t>污泥脱水</w:t>
                  </w:r>
                </w:p>
              </w:tc>
            </w:tr>
            <w:tr w14:paraId="579BC5D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272" w:type="pct"/>
                  <w:tcBorders>
                    <w:tl2br w:val="nil"/>
                    <w:tr2bl w:val="nil"/>
                  </w:tcBorders>
                  <w:shd w:val="clear" w:color="auto" w:fill="auto"/>
                  <w:vAlign w:val="center"/>
                </w:tcPr>
                <w:p w14:paraId="27A3B77F">
                  <w:pPr>
                    <w:widowControl/>
                    <w:spacing w:line="0" w:lineRule="atLeast"/>
                    <w:jc w:val="center"/>
                    <w:rPr>
                      <w:rFonts w:hint="eastAsia" w:ascii="Times New Roman" w:hAnsi="Times New Roman" w:eastAsia="宋体" w:cs="Times New Roman"/>
                      <w:color w:val="auto"/>
                      <w:spacing w:val="-10"/>
                      <w:kern w:val="2"/>
                      <w:sz w:val="18"/>
                      <w:szCs w:val="18"/>
                      <w:lang w:val="en-US" w:eastAsia="zh-CN" w:bidi="ar-SA"/>
                    </w:rPr>
                  </w:pPr>
                  <w:r>
                    <w:rPr>
                      <w:rFonts w:hint="eastAsia"/>
                      <w:color w:val="auto"/>
                      <w:spacing w:val="-10"/>
                      <w:sz w:val="18"/>
                      <w:szCs w:val="18"/>
                      <w:lang w:val="en-US" w:eastAsia="zh-CN"/>
                    </w:rPr>
                    <w:t>29</w:t>
                  </w:r>
                </w:p>
              </w:tc>
              <w:tc>
                <w:tcPr>
                  <w:tcW w:w="770" w:type="pct"/>
                  <w:gridSpan w:val="2"/>
                  <w:vMerge w:val="restart"/>
                  <w:tcBorders>
                    <w:tl2br w:val="nil"/>
                    <w:tr2bl w:val="nil"/>
                  </w:tcBorders>
                  <w:shd w:val="clear" w:color="auto" w:fill="auto"/>
                  <w:vAlign w:val="center"/>
                </w:tcPr>
                <w:p w14:paraId="4E2385BD">
                  <w:pPr>
                    <w:widowControl/>
                    <w:spacing w:line="0" w:lineRule="atLeast"/>
                    <w:jc w:val="center"/>
                    <w:rPr>
                      <w:rFonts w:hint="eastAsia"/>
                      <w:color w:val="auto"/>
                      <w:spacing w:val="-10"/>
                      <w:sz w:val="18"/>
                      <w:szCs w:val="18"/>
                      <w:lang w:val="en-US" w:eastAsia="zh-CN"/>
                    </w:rPr>
                  </w:pPr>
                  <w:r>
                    <w:rPr>
                      <w:rFonts w:hint="eastAsia"/>
                      <w:color w:val="auto"/>
                      <w:spacing w:val="-10"/>
                      <w:sz w:val="18"/>
                      <w:szCs w:val="18"/>
                      <w:lang w:val="en-US" w:eastAsia="zh-CN"/>
                    </w:rPr>
                    <w:t>废气</w:t>
                  </w:r>
                </w:p>
                <w:p w14:paraId="08BF04B4">
                  <w:pPr>
                    <w:widowControl/>
                    <w:spacing w:line="0" w:lineRule="atLeast"/>
                    <w:jc w:val="center"/>
                    <w:rPr>
                      <w:rFonts w:hint="eastAsia" w:ascii="Times New Roman" w:hAnsi="Times New Roman" w:eastAsia="宋体" w:cs="Times New Roman"/>
                      <w:color w:val="auto"/>
                      <w:spacing w:val="-10"/>
                      <w:kern w:val="2"/>
                      <w:sz w:val="18"/>
                      <w:szCs w:val="18"/>
                      <w:lang w:val="en-US" w:eastAsia="zh-CN" w:bidi="ar-SA"/>
                    </w:rPr>
                  </w:pPr>
                  <w:r>
                    <w:rPr>
                      <w:rFonts w:hint="eastAsia"/>
                      <w:color w:val="auto"/>
                      <w:spacing w:val="-10"/>
                      <w:sz w:val="18"/>
                      <w:szCs w:val="18"/>
                      <w:lang w:val="en-US" w:eastAsia="zh-CN"/>
                    </w:rPr>
                    <w:t>处理</w:t>
                  </w:r>
                </w:p>
              </w:tc>
              <w:tc>
                <w:tcPr>
                  <w:tcW w:w="1027" w:type="pct"/>
                  <w:tcBorders>
                    <w:tl2br w:val="nil"/>
                    <w:tr2bl w:val="nil"/>
                  </w:tcBorders>
                  <w:shd w:val="clear" w:color="auto" w:fill="auto"/>
                  <w:vAlign w:val="center"/>
                </w:tcPr>
                <w:p w14:paraId="4A339F78">
                  <w:pPr>
                    <w:spacing w:line="0" w:lineRule="atLeast"/>
                    <w:jc w:val="center"/>
                    <w:rPr>
                      <w:rFonts w:hint="eastAsia" w:ascii="Times New Roman" w:hAnsi="Times New Roman" w:eastAsia="宋体" w:cs="Times New Roman"/>
                      <w:color w:val="auto"/>
                      <w:spacing w:val="-10"/>
                      <w:kern w:val="2"/>
                      <w:sz w:val="18"/>
                      <w:szCs w:val="18"/>
                      <w:lang w:val="en-US" w:eastAsia="zh-CN" w:bidi="ar-SA"/>
                    </w:rPr>
                  </w:pPr>
                  <w:r>
                    <w:rPr>
                      <w:rFonts w:hint="eastAsia"/>
                      <w:color w:val="auto"/>
                      <w:spacing w:val="-10"/>
                      <w:sz w:val="18"/>
                      <w:szCs w:val="18"/>
                      <w:lang w:val="en-US" w:eastAsia="zh-CN"/>
                    </w:rPr>
                    <w:t>布袋除尘器</w:t>
                  </w:r>
                </w:p>
              </w:tc>
              <w:tc>
                <w:tcPr>
                  <w:tcW w:w="1679" w:type="pct"/>
                  <w:tcBorders>
                    <w:tl2br w:val="nil"/>
                    <w:tr2bl w:val="nil"/>
                  </w:tcBorders>
                  <w:shd w:val="clear" w:color="auto" w:fill="auto"/>
                  <w:vAlign w:val="center"/>
                </w:tcPr>
                <w:p w14:paraId="7BD0D09A">
                  <w:pPr>
                    <w:spacing w:line="0" w:lineRule="atLeast"/>
                    <w:jc w:val="center"/>
                    <w:rPr>
                      <w:rFonts w:hint="eastAsia" w:ascii="Times New Roman" w:hAnsi="Times New Roman" w:eastAsia="宋体" w:cs="Times New Roman"/>
                      <w:color w:val="auto"/>
                      <w:spacing w:val="-10"/>
                      <w:kern w:val="2"/>
                      <w:sz w:val="18"/>
                      <w:szCs w:val="18"/>
                      <w:lang w:val="en-US" w:eastAsia="zh-CN" w:bidi="ar-SA"/>
                    </w:rPr>
                  </w:pPr>
                  <w:r>
                    <w:rPr>
                      <w:rFonts w:hint="eastAsia"/>
                      <w:color w:val="auto"/>
                      <w:spacing w:val="-10"/>
                      <w:sz w:val="18"/>
                      <w:szCs w:val="18"/>
                      <w:lang w:val="en-US" w:eastAsia="zh-CN"/>
                    </w:rPr>
                    <w:t>50000m</w:t>
                  </w:r>
                  <w:r>
                    <w:rPr>
                      <w:rFonts w:hint="eastAsia"/>
                      <w:color w:val="auto"/>
                      <w:spacing w:val="-10"/>
                      <w:sz w:val="18"/>
                      <w:szCs w:val="18"/>
                      <w:vertAlign w:val="superscript"/>
                      <w:lang w:val="en-US" w:eastAsia="zh-CN"/>
                    </w:rPr>
                    <w:t>3</w:t>
                  </w:r>
                  <w:r>
                    <w:rPr>
                      <w:rFonts w:hint="eastAsia"/>
                      <w:color w:val="auto"/>
                      <w:spacing w:val="-10"/>
                      <w:sz w:val="18"/>
                      <w:szCs w:val="18"/>
                      <w:lang w:val="en-US" w:eastAsia="zh-CN"/>
                    </w:rPr>
                    <w:t>/h</w:t>
                  </w:r>
                </w:p>
              </w:tc>
              <w:tc>
                <w:tcPr>
                  <w:tcW w:w="326" w:type="pct"/>
                  <w:tcBorders>
                    <w:tl2br w:val="nil"/>
                    <w:tr2bl w:val="nil"/>
                  </w:tcBorders>
                  <w:shd w:val="clear" w:color="auto" w:fill="auto"/>
                  <w:vAlign w:val="center"/>
                </w:tcPr>
                <w:p w14:paraId="5310A390">
                  <w:pPr>
                    <w:spacing w:line="0" w:lineRule="atLeast"/>
                    <w:jc w:val="center"/>
                    <w:rPr>
                      <w:rFonts w:hint="eastAsia" w:ascii="Times New Roman" w:hAnsi="Times New Roman" w:eastAsia="宋体" w:cs="Times New Roman"/>
                      <w:color w:val="auto"/>
                      <w:spacing w:val="-10"/>
                      <w:kern w:val="2"/>
                      <w:sz w:val="18"/>
                      <w:szCs w:val="18"/>
                      <w:lang w:val="en-US" w:eastAsia="zh-CN" w:bidi="ar-SA"/>
                    </w:rPr>
                  </w:pPr>
                  <w:r>
                    <w:rPr>
                      <w:rFonts w:hint="eastAsia"/>
                      <w:color w:val="auto"/>
                      <w:spacing w:val="-10"/>
                      <w:sz w:val="18"/>
                      <w:szCs w:val="18"/>
                      <w:lang w:val="en-US" w:eastAsia="zh-CN"/>
                    </w:rPr>
                    <w:t>台</w:t>
                  </w:r>
                </w:p>
              </w:tc>
              <w:tc>
                <w:tcPr>
                  <w:tcW w:w="291" w:type="pct"/>
                  <w:tcBorders>
                    <w:tl2br w:val="nil"/>
                    <w:tr2bl w:val="nil"/>
                  </w:tcBorders>
                  <w:shd w:val="clear" w:color="auto" w:fill="auto"/>
                  <w:vAlign w:val="center"/>
                </w:tcPr>
                <w:p w14:paraId="6361B896">
                  <w:pPr>
                    <w:spacing w:line="0" w:lineRule="atLeast"/>
                    <w:jc w:val="center"/>
                    <w:rPr>
                      <w:rFonts w:hint="eastAsia" w:ascii="Times New Roman" w:hAnsi="Times New Roman" w:eastAsia="宋体" w:cs="Times New Roman"/>
                      <w:color w:val="auto"/>
                      <w:spacing w:val="-10"/>
                      <w:kern w:val="2"/>
                      <w:sz w:val="18"/>
                      <w:szCs w:val="18"/>
                      <w:lang w:val="en-US" w:eastAsia="zh-CN" w:bidi="ar-SA"/>
                    </w:rPr>
                  </w:pPr>
                  <w:r>
                    <w:rPr>
                      <w:rFonts w:hint="eastAsia"/>
                      <w:color w:val="auto"/>
                      <w:spacing w:val="-10"/>
                      <w:sz w:val="18"/>
                      <w:szCs w:val="18"/>
                      <w:lang w:val="en-US" w:eastAsia="zh-CN"/>
                    </w:rPr>
                    <w:t>1</w:t>
                  </w:r>
                </w:p>
              </w:tc>
              <w:tc>
                <w:tcPr>
                  <w:tcW w:w="632" w:type="pct"/>
                  <w:tcBorders>
                    <w:tl2br w:val="nil"/>
                    <w:tr2bl w:val="nil"/>
                  </w:tcBorders>
                  <w:shd w:val="clear" w:color="auto" w:fill="auto"/>
                  <w:vAlign w:val="center"/>
                </w:tcPr>
                <w:p w14:paraId="728DB992">
                  <w:pPr>
                    <w:spacing w:line="0" w:lineRule="atLeast"/>
                    <w:jc w:val="center"/>
                    <w:rPr>
                      <w:rFonts w:hint="eastAsia" w:ascii="Times New Roman" w:hAnsi="Times New Roman" w:eastAsia="宋体" w:cs="Times New Roman"/>
                      <w:color w:val="auto"/>
                      <w:spacing w:val="-10"/>
                      <w:kern w:val="2"/>
                      <w:sz w:val="18"/>
                      <w:szCs w:val="18"/>
                      <w:lang w:val="en-US" w:eastAsia="zh-CN" w:bidi="ar-SA"/>
                    </w:rPr>
                  </w:pPr>
                  <w:r>
                    <w:rPr>
                      <w:rFonts w:hint="eastAsia"/>
                      <w:color w:val="auto"/>
                      <w:spacing w:val="-10"/>
                      <w:sz w:val="18"/>
                      <w:szCs w:val="18"/>
                      <w:lang w:val="en-US" w:eastAsia="zh-CN"/>
                    </w:rPr>
                    <w:t>除尘</w:t>
                  </w:r>
                </w:p>
              </w:tc>
            </w:tr>
            <w:tr w14:paraId="5182324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272" w:type="pct"/>
                  <w:tcBorders>
                    <w:tl2br w:val="nil"/>
                    <w:tr2bl w:val="nil"/>
                  </w:tcBorders>
                  <w:shd w:val="clear" w:color="auto" w:fill="auto"/>
                  <w:vAlign w:val="center"/>
                </w:tcPr>
                <w:p w14:paraId="7BCF4E04">
                  <w:pPr>
                    <w:widowControl/>
                    <w:spacing w:line="0" w:lineRule="atLeast"/>
                    <w:jc w:val="center"/>
                    <w:rPr>
                      <w:rFonts w:hint="eastAsia" w:ascii="Times New Roman" w:hAnsi="Times New Roman" w:eastAsia="宋体" w:cs="Times New Roman"/>
                      <w:color w:val="auto"/>
                      <w:spacing w:val="-10"/>
                      <w:kern w:val="2"/>
                      <w:sz w:val="18"/>
                      <w:szCs w:val="18"/>
                      <w:lang w:val="en-US" w:eastAsia="zh-CN" w:bidi="ar-SA"/>
                    </w:rPr>
                  </w:pPr>
                  <w:r>
                    <w:rPr>
                      <w:rFonts w:hint="eastAsia"/>
                      <w:color w:val="auto"/>
                      <w:spacing w:val="-10"/>
                      <w:sz w:val="18"/>
                      <w:szCs w:val="18"/>
                      <w:lang w:val="en-US" w:eastAsia="zh-CN"/>
                    </w:rPr>
                    <w:t>30</w:t>
                  </w:r>
                </w:p>
              </w:tc>
              <w:tc>
                <w:tcPr>
                  <w:tcW w:w="770" w:type="pct"/>
                  <w:gridSpan w:val="2"/>
                  <w:vMerge w:val="continue"/>
                  <w:tcBorders>
                    <w:tl2br w:val="nil"/>
                    <w:tr2bl w:val="nil"/>
                  </w:tcBorders>
                  <w:vAlign w:val="center"/>
                </w:tcPr>
                <w:p w14:paraId="1306CD0B">
                  <w:pPr>
                    <w:widowControl/>
                    <w:spacing w:line="0" w:lineRule="atLeast"/>
                    <w:jc w:val="center"/>
                    <w:rPr>
                      <w:rFonts w:hint="eastAsia"/>
                      <w:color w:val="auto"/>
                      <w:spacing w:val="-10"/>
                      <w:sz w:val="18"/>
                      <w:szCs w:val="18"/>
                    </w:rPr>
                  </w:pPr>
                </w:p>
              </w:tc>
              <w:tc>
                <w:tcPr>
                  <w:tcW w:w="1027" w:type="pct"/>
                  <w:tcBorders>
                    <w:tl2br w:val="nil"/>
                    <w:tr2bl w:val="nil"/>
                  </w:tcBorders>
                  <w:shd w:val="clear" w:color="auto" w:fill="auto"/>
                  <w:vAlign w:val="center"/>
                </w:tcPr>
                <w:p w14:paraId="4AC975B6">
                  <w:pPr>
                    <w:spacing w:line="0" w:lineRule="atLeast"/>
                    <w:jc w:val="center"/>
                    <w:rPr>
                      <w:rFonts w:hint="eastAsia" w:ascii="Times New Roman" w:hAnsi="Times New Roman" w:eastAsia="宋体" w:cs="Times New Roman"/>
                      <w:color w:val="auto"/>
                      <w:spacing w:val="-10"/>
                      <w:kern w:val="2"/>
                      <w:sz w:val="18"/>
                      <w:szCs w:val="18"/>
                      <w:lang w:val="en-US" w:eastAsia="zh-CN" w:bidi="ar-SA"/>
                    </w:rPr>
                  </w:pPr>
                  <w:r>
                    <w:rPr>
                      <w:rFonts w:hint="eastAsia"/>
                      <w:color w:val="auto"/>
                      <w:spacing w:val="-10"/>
                      <w:sz w:val="18"/>
                      <w:szCs w:val="18"/>
                      <w:lang w:val="en-US" w:eastAsia="zh-CN"/>
                    </w:rPr>
                    <w:t>布袋除尘器</w:t>
                  </w:r>
                </w:p>
              </w:tc>
              <w:tc>
                <w:tcPr>
                  <w:tcW w:w="1679" w:type="pct"/>
                  <w:tcBorders>
                    <w:tl2br w:val="nil"/>
                    <w:tr2bl w:val="nil"/>
                  </w:tcBorders>
                  <w:shd w:val="clear" w:color="auto" w:fill="auto"/>
                  <w:vAlign w:val="center"/>
                </w:tcPr>
                <w:p w14:paraId="7437EA33">
                  <w:pPr>
                    <w:spacing w:line="0" w:lineRule="atLeast"/>
                    <w:jc w:val="center"/>
                    <w:rPr>
                      <w:rFonts w:hint="eastAsia" w:ascii="Times New Roman" w:hAnsi="Times New Roman" w:eastAsia="宋体" w:cs="Times New Roman"/>
                      <w:color w:val="auto"/>
                      <w:spacing w:val="-10"/>
                      <w:kern w:val="2"/>
                      <w:sz w:val="18"/>
                      <w:szCs w:val="18"/>
                      <w:lang w:val="en-US" w:eastAsia="zh-CN" w:bidi="ar-SA"/>
                    </w:rPr>
                  </w:pPr>
                  <w:r>
                    <w:rPr>
                      <w:rFonts w:hint="eastAsia"/>
                      <w:color w:val="auto"/>
                      <w:spacing w:val="-10"/>
                      <w:sz w:val="18"/>
                      <w:szCs w:val="18"/>
                      <w:lang w:val="en-US" w:eastAsia="zh-CN"/>
                    </w:rPr>
                    <w:t>50000m</w:t>
                  </w:r>
                  <w:r>
                    <w:rPr>
                      <w:rFonts w:hint="eastAsia"/>
                      <w:color w:val="auto"/>
                      <w:spacing w:val="-10"/>
                      <w:sz w:val="18"/>
                      <w:szCs w:val="18"/>
                      <w:vertAlign w:val="superscript"/>
                      <w:lang w:val="en-US" w:eastAsia="zh-CN"/>
                    </w:rPr>
                    <w:t>3</w:t>
                  </w:r>
                  <w:r>
                    <w:rPr>
                      <w:rFonts w:hint="eastAsia"/>
                      <w:color w:val="auto"/>
                      <w:spacing w:val="-10"/>
                      <w:sz w:val="18"/>
                      <w:szCs w:val="18"/>
                      <w:lang w:val="en-US" w:eastAsia="zh-CN"/>
                    </w:rPr>
                    <w:t>/h</w:t>
                  </w:r>
                </w:p>
              </w:tc>
              <w:tc>
                <w:tcPr>
                  <w:tcW w:w="326" w:type="pct"/>
                  <w:tcBorders>
                    <w:tl2br w:val="nil"/>
                    <w:tr2bl w:val="nil"/>
                  </w:tcBorders>
                  <w:shd w:val="clear" w:color="auto" w:fill="auto"/>
                  <w:vAlign w:val="center"/>
                </w:tcPr>
                <w:p w14:paraId="2177CE2E">
                  <w:pPr>
                    <w:spacing w:line="0" w:lineRule="atLeast"/>
                    <w:jc w:val="center"/>
                    <w:rPr>
                      <w:rFonts w:hint="eastAsia" w:ascii="Times New Roman" w:hAnsi="Times New Roman" w:eastAsia="宋体" w:cs="Times New Roman"/>
                      <w:color w:val="auto"/>
                      <w:spacing w:val="-10"/>
                      <w:kern w:val="2"/>
                      <w:sz w:val="18"/>
                      <w:szCs w:val="18"/>
                      <w:lang w:val="en-US" w:eastAsia="zh-CN" w:bidi="ar-SA"/>
                    </w:rPr>
                  </w:pPr>
                  <w:r>
                    <w:rPr>
                      <w:rFonts w:hint="eastAsia"/>
                      <w:color w:val="auto"/>
                      <w:spacing w:val="-10"/>
                      <w:sz w:val="18"/>
                      <w:szCs w:val="18"/>
                      <w:lang w:val="en-US" w:eastAsia="zh-CN"/>
                    </w:rPr>
                    <w:t>台</w:t>
                  </w:r>
                </w:p>
              </w:tc>
              <w:tc>
                <w:tcPr>
                  <w:tcW w:w="291" w:type="pct"/>
                  <w:tcBorders>
                    <w:tl2br w:val="nil"/>
                    <w:tr2bl w:val="nil"/>
                  </w:tcBorders>
                  <w:shd w:val="clear" w:color="auto" w:fill="auto"/>
                  <w:vAlign w:val="center"/>
                </w:tcPr>
                <w:p w14:paraId="3B10EADC">
                  <w:pPr>
                    <w:spacing w:line="0" w:lineRule="atLeast"/>
                    <w:jc w:val="center"/>
                    <w:rPr>
                      <w:rFonts w:hint="eastAsia" w:ascii="Times New Roman" w:hAnsi="Times New Roman" w:eastAsia="宋体" w:cs="Times New Roman"/>
                      <w:color w:val="auto"/>
                      <w:spacing w:val="-10"/>
                      <w:kern w:val="2"/>
                      <w:sz w:val="18"/>
                      <w:szCs w:val="18"/>
                      <w:lang w:val="en-US" w:eastAsia="zh-CN" w:bidi="ar-SA"/>
                    </w:rPr>
                  </w:pPr>
                  <w:r>
                    <w:rPr>
                      <w:rFonts w:hint="eastAsia"/>
                      <w:color w:val="auto"/>
                      <w:spacing w:val="-10"/>
                      <w:sz w:val="18"/>
                      <w:szCs w:val="18"/>
                      <w:lang w:val="en-US" w:eastAsia="zh-CN"/>
                    </w:rPr>
                    <w:t>1</w:t>
                  </w:r>
                </w:p>
              </w:tc>
              <w:tc>
                <w:tcPr>
                  <w:tcW w:w="632" w:type="pct"/>
                  <w:tcBorders>
                    <w:tl2br w:val="nil"/>
                    <w:tr2bl w:val="nil"/>
                  </w:tcBorders>
                  <w:shd w:val="clear" w:color="auto" w:fill="auto"/>
                  <w:vAlign w:val="center"/>
                </w:tcPr>
                <w:p w14:paraId="629840A0">
                  <w:pPr>
                    <w:spacing w:line="0" w:lineRule="atLeast"/>
                    <w:jc w:val="center"/>
                    <w:rPr>
                      <w:rFonts w:hint="eastAsia" w:ascii="Times New Roman" w:hAnsi="Times New Roman" w:eastAsia="宋体" w:cs="Times New Roman"/>
                      <w:color w:val="auto"/>
                      <w:spacing w:val="-10"/>
                      <w:kern w:val="2"/>
                      <w:sz w:val="18"/>
                      <w:szCs w:val="18"/>
                      <w:lang w:val="en-US" w:eastAsia="zh-CN" w:bidi="ar-SA"/>
                    </w:rPr>
                  </w:pPr>
                  <w:r>
                    <w:rPr>
                      <w:rFonts w:hint="eastAsia"/>
                      <w:color w:val="auto"/>
                      <w:spacing w:val="-10"/>
                      <w:sz w:val="18"/>
                      <w:szCs w:val="18"/>
                      <w:lang w:val="en-US" w:eastAsia="zh-CN"/>
                    </w:rPr>
                    <w:t>除尘</w:t>
                  </w:r>
                </w:p>
              </w:tc>
            </w:tr>
            <w:tr w14:paraId="34E2730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272" w:type="pct"/>
                  <w:tcBorders>
                    <w:tl2br w:val="nil"/>
                    <w:tr2bl w:val="nil"/>
                  </w:tcBorders>
                  <w:shd w:val="clear" w:color="auto" w:fill="auto"/>
                  <w:vAlign w:val="center"/>
                </w:tcPr>
                <w:p w14:paraId="0DAE26FE">
                  <w:pPr>
                    <w:widowControl/>
                    <w:spacing w:line="0" w:lineRule="atLeast"/>
                    <w:jc w:val="center"/>
                    <w:rPr>
                      <w:rFonts w:hint="eastAsia" w:ascii="Times New Roman" w:hAnsi="Times New Roman" w:eastAsia="宋体" w:cs="Times New Roman"/>
                      <w:color w:val="auto"/>
                      <w:spacing w:val="-10"/>
                      <w:kern w:val="2"/>
                      <w:sz w:val="18"/>
                      <w:szCs w:val="18"/>
                      <w:lang w:val="en-US" w:eastAsia="zh-CN" w:bidi="ar-SA"/>
                    </w:rPr>
                  </w:pPr>
                  <w:r>
                    <w:rPr>
                      <w:rFonts w:hint="eastAsia"/>
                      <w:color w:val="auto"/>
                      <w:spacing w:val="-10"/>
                      <w:sz w:val="18"/>
                      <w:szCs w:val="18"/>
                      <w:lang w:val="en-US" w:eastAsia="zh-CN"/>
                    </w:rPr>
                    <w:t>31</w:t>
                  </w:r>
                </w:p>
              </w:tc>
              <w:tc>
                <w:tcPr>
                  <w:tcW w:w="770" w:type="pct"/>
                  <w:gridSpan w:val="2"/>
                  <w:vMerge w:val="continue"/>
                  <w:tcBorders>
                    <w:tl2br w:val="nil"/>
                    <w:tr2bl w:val="nil"/>
                  </w:tcBorders>
                  <w:vAlign w:val="center"/>
                </w:tcPr>
                <w:p w14:paraId="63D6EF9A">
                  <w:pPr>
                    <w:widowControl/>
                    <w:spacing w:line="0" w:lineRule="atLeast"/>
                    <w:jc w:val="center"/>
                    <w:rPr>
                      <w:rFonts w:hint="eastAsia"/>
                      <w:color w:val="auto"/>
                      <w:spacing w:val="-10"/>
                      <w:sz w:val="18"/>
                      <w:szCs w:val="18"/>
                    </w:rPr>
                  </w:pPr>
                </w:p>
              </w:tc>
              <w:tc>
                <w:tcPr>
                  <w:tcW w:w="1027" w:type="pct"/>
                  <w:tcBorders>
                    <w:tl2br w:val="nil"/>
                    <w:tr2bl w:val="nil"/>
                  </w:tcBorders>
                  <w:shd w:val="clear" w:color="auto" w:fill="auto"/>
                  <w:vAlign w:val="center"/>
                </w:tcPr>
                <w:p w14:paraId="5D2E905B">
                  <w:pPr>
                    <w:spacing w:line="0" w:lineRule="atLeast"/>
                    <w:jc w:val="center"/>
                    <w:rPr>
                      <w:rFonts w:hint="eastAsia" w:ascii="Times New Roman" w:hAnsi="Times New Roman" w:eastAsia="宋体" w:cs="Times New Roman"/>
                      <w:color w:val="auto"/>
                      <w:spacing w:val="-10"/>
                      <w:kern w:val="2"/>
                      <w:sz w:val="18"/>
                      <w:szCs w:val="18"/>
                      <w:lang w:val="en-US" w:eastAsia="zh-CN" w:bidi="ar-SA"/>
                    </w:rPr>
                  </w:pPr>
                  <w:r>
                    <w:rPr>
                      <w:rFonts w:hint="eastAsia"/>
                      <w:color w:val="auto"/>
                      <w:spacing w:val="-10"/>
                      <w:sz w:val="18"/>
                      <w:szCs w:val="18"/>
                      <w:lang w:val="en-US" w:eastAsia="zh-CN"/>
                    </w:rPr>
                    <w:t>空压机</w:t>
                  </w:r>
                </w:p>
              </w:tc>
              <w:tc>
                <w:tcPr>
                  <w:tcW w:w="1679" w:type="pct"/>
                  <w:tcBorders>
                    <w:tl2br w:val="nil"/>
                    <w:tr2bl w:val="nil"/>
                  </w:tcBorders>
                  <w:shd w:val="clear" w:color="auto" w:fill="auto"/>
                  <w:vAlign w:val="center"/>
                </w:tcPr>
                <w:p w14:paraId="59EF18DA">
                  <w:pPr>
                    <w:spacing w:line="0" w:lineRule="atLeast"/>
                    <w:jc w:val="center"/>
                    <w:rPr>
                      <w:rFonts w:hint="eastAsia" w:ascii="Times New Roman" w:hAnsi="Times New Roman" w:eastAsia="宋体" w:cs="Times New Roman"/>
                      <w:color w:val="auto"/>
                      <w:spacing w:val="-10"/>
                      <w:kern w:val="2"/>
                      <w:sz w:val="18"/>
                      <w:szCs w:val="18"/>
                      <w:lang w:val="en-US" w:eastAsia="zh-CN" w:bidi="ar-SA"/>
                    </w:rPr>
                  </w:pPr>
                  <w:r>
                    <w:rPr>
                      <w:rFonts w:hint="eastAsia"/>
                      <w:color w:val="auto"/>
                      <w:spacing w:val="-10"/>
                      <w:sz w:val="18"/>
                      <w:szCs w:val="18"/>
                      <w:lang w:val="en-US" w:eastAsia="zh-CN"/>
                    </w:rPr>
                    <w:t>--</w:t>
                  </w:r>
                </w:p>
              </w:tc>
              <w:tc>
                <w:tcPr>
                  <w:tcW w:w="326" w:type="pct"/>
                  <w:tcBorders>
                    <w:tl2br w:val="nil"/>
                    <w:tr2bl w:val="nil"/>
                  </w:tcBorders>
                  <w:shd w:val="clear" w:color="auto" w:fill="auto"/>
                  <w:vAlign w:val="center"/>
                </w:tcPr>
                <w:p w14:paraId="70509280">
                  <w:pPr>
                    <w:spacing w:line="0" w:lineRule="atLeast"/>
                    <w:jc w:val="center"/>
                    <w:rPr>
                      <w:rFonts w:hint="eastAsia" w:ascii="Times New Roman" w:hAnsi="Times New Roman" w:eastAsia="宋体" w:cs="Times New Roman"/>
                      <w:color w:val="auto"/>
                      <w:spacing w:val="-10"/>
                      <w:kern w:val="2"/>
                      <w:sz w:val="18"/>
                      <w:szCs w:val="18"/>
                      <w:lang w:val="en-US" w:eastAsia="zh-CN" w:bidi="ar-SA"/>
                    </w:rPr>
                  </w:pPr>
                  <w:r>
                    <w:rPr>
                      <w:rFonts w:hint="eastAsia"/>
                      <w:color w:val="auto"/>
                      <w:spacing w:val="-10"/>
                      <w:sz w:val="18"/>
                      <w:szCs w:val="18"/>
                      <w:lang w:val="en-US" w:eastAsia="zh-CN"/>
                    </w:rPr>
                    <w:t>台</w:t>
                  </w:r>
                </w:p>
              </w:tc>
              <w:tc>
                <w:tcPr>
                  <w:tcW w:w="291" w:type="pct"/>
                  <w:tcBorders>
                    <w:tl2br w:val="nil"/>
                    <w:tr2bl w:val="nil"/>
                  </w:tcBorders>
                  <w:shd w:val="clear" w:color="auto" w:fill="auto"/>
                  <w:vAlign w:val="center"/>
                </w:tcPr>
                <w:p w14:paraId="1EA5AC63">
                  <w:pPr>
                    <w:spacing w:line="0" w:lineRule="atLeast"/>
                    <w:jc w:val="center"/>
                    <w:rPr>
                      <w:rFonts w:hint="eastAsia" w:ascii="Times New Roman" w:hAnsi="Times New Roman" w:eastAsia="宋体" w:cs="Times New Roman"/>
                      <w:color w:val="auto"/>
                      <w:spacing w:val="-10"/>
                      <w:kern w:val="2"/>
                      <w:sz w:val="18"/>
                      <w:szCs w:val="18"/>
                      <w:lang w:val="en-US" w:eastAsia="zh-CN" w:bidi="ar-SA"/>
                    </w:rPr>
                  </w:pPr>
                  <w:r>
                    <w:rPr>
                      <w:rFonts w:hint="eastAsia"/>
                      <w:color w:val="auto"/>
                      <w:spacing w:val="-10"/>
                      <w:sz w:val="18"/>
                      <w:szCs w:val="18"/>
                      <w:lang w:val="en-US" w:eastAsia="zh-CN"/>
                    </w:rPr>
                    <w:t>2</w:t>
                  </w:r>
                </w:p>
              </w:tc>
              <w:tc>
                <w:tcPr>
                  <w:tcW w:w="632" w:type="pct"/>
                  <w:tcBorders>
                    <w:tl2br w:val="nil"/>
                    <w:tr2bl w:val="nil"/>
                  </w:tcBorders>
                  <w:shd w:val="clear" w:color="auto" w:fill="auto"/>
                  <w:vAlign w:val="center"/>
                </w:tcPr>
                <w:p w14:paraId="2023C9CE">
                  <w:pPr>
                    <w:spacing w:line="0" w:lineRule="atLeast"/>
                    <w:jc w:val="center"/>
                    <w:rPr>
                      <w:rFonts w:hint="eastAsia" w:ascii="Times New Roman" w:hAnsi="Times New Roman" w:eastAsia="宋体" w:cs="Times New Roman"/>
                      <w:color w:val="auto"/>
                      <w:spacing w:val="-10"/>
                      <w:kern w:val="2"/>
                      <w:sz w:val="18"/>
                      <w:szCs w:val="18"/>
                      <w:lang w:val="en-US" w:eastAsia="zh-CN" w:bidi="ar-SA"/>
                    </w:rPr>
                  </w:pPr>
                  <w:r>
                    <w:rPr>
                      <w:rFonts w:hint="eastAsia"/>
                      <w:color w:val="auto"/>
                      <w:spacing w:val="-10"/>
                      <w:sz w:val="18"/>
                      <w:szCs w:val="18"/>
                      <w:lang w:val="en-US" w:eastAsia="zh-CN"/>
                    </w:rPr>
                    <w:t>除尘</w:t>
                  </w:r>
                </w:p>
              </w:tc>
            </w:tr>
            <w:tr w14:paraId="054C592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272" w:type="pct"/>
                  <w:tcBorders>
                    <w:tl2br w:val="nil"/>
                    <w:tr2bl w:val="nil"/>
                  </w:tcBorders>
                  <w:shd w:val="clear" w:color="auto" w:fill="auto"/>
                  <w:vAlign w:val="center"/>
                </w:tcPr>
                <w:p w14:paraId="56BA731E">
                  <w:pPr>
                    <w:widowControl/>
                    <w:spacing w:line="0" w:lineRule="atLeast"/>
                    <w:jc w:val="center"/>
                    <w:rPr>
                      <w:rFonts w:hint="default" w:ascii="Times New Roman" w:hAnsi="Times New Roman" w:eastAsia="宋体" w:cs="Times New Roman"/>
                      <w:color w:val="auto"/>
                      <w:spacing w:val="-10"/>
                      <w:kern w:val="2"/>
                      <w:sz w:val="18"/>
                      <w:szCs w:val="18"/>
                      <w:lang w:val="en-US" w:eastAsia="zh-CN" w:bidi="ar-SA"/>
                    </w:rPr>
                  </w:pPr>
                  <w:r>
                    <w:rPr>
                      <w:rFonts w:hint="eastAsia"/>
                      <w:color w:val="auto"/>
                      <w:spacing w:val="-10"/>
                      <w:sz w:val="18"/>
                      <w:szCs w:val="18"/>
                      <w:lang w:val="en-US" w:eastAsia="zh-CN"/>
                    </w:rPr>
                    <w:t>32</w:t>
                  </w:r>
                </w:p>
              </w:tc>
              <w:tc>
                <w:tcPr>
                  <w:tcW w:w="770" w:type="pct"/>
                  <w:gridSpan w:val="2"/>
                  <w:vMerge w:val="restart"/>
                  <w:tcBorders>
                    <w:tl2br w:val="nil"/>
                    <w:tr2bl w:val="nil"/>
                  </w:tcBorders>
                  <w:vAlign w:val="center"/>
                </w:tcPr>
                <w:p w14:paraId="0BC294E4">
                  <w:pPr>
                    <w:widowControl/>
                    <w:spacing w:line="0" w:lineRule="atLeast"/>
                    <w:jc w:val="center"/>
                    <w:rPr>
                      <w:rFonts w:hint="eastAsia"/>
                      <w:color w:val="auto"/>
                      <w:spacing w:val="-10"/>
                      <w:sz w:val="18"/>
                      <w:szCs w:val="18"/>
                      <w:lang w:val="en-US" w:eastAsia="zh-CN"/>
                    </w:rPr>
                  </w:pPr>
                  <w:r>
                    <w:rPr>
                      <w:rFonts w:hint="eastAsia"/>
                      <w:color w:val="auto"/>
                      <w:spacing w:val="-10"/>
                      <w:sz w:val="18"/>
                      <w:szCs w:val="18"/>
                      <w:lang w:val="en-US" w:eastAsia="zh-CN"/>
                    </w:rPr>
                    <w:t>其他</w:t>
                  </w:r>
                </w:p>
              </w:tc>
              <w:tc>
                <w:tcPr>
                  <w:tcW w:w="1027" w:type="pct"/>
                  <w:tcBorders>
                    <w:tl2br w:val="nil"/>
                    <w:tr2bl w:val="nil"/>
                  </w:tcBorders>
                  <w:shd w:val="clear" w:color="auto" w:fill="auto"/>
                  <w:vAlign w:val="center"/>
                </w:tcPr>
                <w:p w14:paraId="1D6EA107">
                  <w:pPr>
                    <w:spacing w:line="0" w:lineRule="atLeast"/>
                    <w:jc w:val="center"/>
                    <w:rPr>
                      <w:rFonts w:hint="default"/>
                      <w:color w:val="auto"/>
                      <w:spacing w:val="-10"/>
                      <w:sz w:val="18"/>
                      <w:szCs w:val="18"/>
                      <w:lang w:val="en-US" w:eastAsia="zh-CN"/>
                    </w:rPr>
                  </w:pPr>
                  <w:r>
                    <w:rPr>
                      <w:rFonts w:hint="eastAsia"/>
                      <w:color w:val="auto"/>
                      <w:spacing w:val="-10"/>
                      <w:sz w:val="18"/>
                      <w:szCs w:val="18"/>
                      <w:lang w:val="en-US" w:eastAsia="zh-CN"/>
                    </w:rPr>
                    <w:t>管道泵</w:t>
                  </w:r>
                </w:p>
              </w:tc>
              <w:tc>
                <w:tcPr>
                  <w:tcW w:w="1679" w:type="pct"/>
                  <w:tcBorders>
                    <w:tl2br w:val="nil"/>
                    <w:tr2bl w:val="nil"/>
                  </w:tcBorders>
                  <w:shd w:val="clear" w:color="auto" w:fill="auto"/>
                  <w:vAlign w:val="center"/>
                </w:tcPr>
                <w:p w14:paraId="7915CD3B">
                  <w:pPr>
                    <w:spacing w:line="0" w:lineRule="atLeast"/>
                    <w:jc w:val="center"/>
                    <w:rPr>
                      <w:rFonts w:hint="default"/>
                      <w:color w:val="auto"/>
                      <w:spacing w:val="-10"/>
                      <w:sz w:val="18"/>
                      <w:szCs w:val="18"/>
                      <w:lang w:val="en-US" w:eastAsia="zh-CN"/>
                    </w:rPr>
                  </w:pPr>
                  <w:r>
                    <w:rPr>
                      <w:rFonts w:hint="eastAsia"/>
                      <w:color w:val="auto"/>
                      <w:spacing w:val="-10"/>
                      <w:sz w:val="18"/>
                      <w:szCs w:val="18"/>
                      <w:lang w:val="en-US" w:eastAsia="zh-CN"/>
                    </w:rPr>
                    <w:t>30型</w:t>
                  </w:r>
                </w:p>
              </w:tc>
              <w:tc>
                <w:tcPr>
                  <w:tcW w:w="326" w:type="pct"/>
                  <w:tcBorders>
                    <w:tl2br w:val="nil"/>
                    <w:tr2bl w:val="nil"/>
                  </w:tcBorders>
                  <w:shd w:val="clear" w:color="auto" w:fill="auto"/>
                  <w:vAlign w:val="center"/>
                </w:tcPr>
                <w:p w14:paraId="01FA5EEA">
                  <w:pPr>
                    <w:spacing w:line="0" w:lineRule="atLeast"/>
                    <w:jc w:val="center"/>
                    <w:rPr>
                      <w:rFonts w:hint="eastAsia"/>
                      <w:color w:val="auto"/>
                      <w:spacing w:val="-10"/>
                      <w:sz w:val="18"/>
                      <w:szCs w:val="18"/>
                      <w:lang w:val="en-US" w:eastAsia="zh-CN"/>
                    </w:rPr>
                  </w:pPr>
                  <w:r>
                    <w:rPr>
                      <w:rFonts w:hint="eastAsia"/>
                      <w:color w:val="auto"/>
                      <w:spacing w:val="-10"/>
                      <w:sz w:val="18"/>
                      <w:szCs w:val="18"/>
                      <w:lang w:val="en-US" w:eastAsia="zh-CN"/>
                    </w:rPr>
                    <w:t>台</w:t>
                  </w:r>
                </w:p>
              </w:tc>
              <w:tc>
                <w:tcPr>
                  <w:tcW w:w="291" w:type="pct"/>
                  <w:tcBorders>
                    <w:tl2br w:val="nil"/>
                    <w:tr2bl w:val="nil"/>
                  </w:tcBorders>
                  <w:shd w:val="clear" w:color="auto" w:fill="auto"/>
                  <w:vAlign w:val="center"/>
                </w:tcPr>
                <w:p w14:paraId="20263DE2">
                  <w:pPr>
                    <w:spacing w:line="0" w:lineRule="atLeast"/>
                    <w:jc w:val="center"/>
                    <w:rPr>
                      <w:rFonts w:hint="eastAsia"/>
                      <w:color w:val="auto"/>
                      <w:spacing w:val="-10"/>
                      <w:sz w:val="18"/>
                      <w:szCs w:val="18"/>
                      <w:lang w:val="en-US" w:eastAsia="zh-CN"/>
                    </w:rPr>
                  </w:pPr>
                  <w:r>
                    <w:rPr>
                      <w:rFonts w:hint="eastAsia"/>
                      <w:color w:val="auto"/>
                      <w:spacing w:val="-10"/>
                      <w:sz w:val="18"/>
                      <w:szCs w:val="18"/>
                      <w:lang w:val="en-US" w:eastAsia="zh-CN"/>
                    </w:rPr>
                    <w:t>1</w:t>
                  </w:r>
                </w:p>
              </w:tc>
              <w:tc>
                <w:tcPr>
                  <w:tcW w:w="632" w:type="pct"/>
                  <w:tcBorders>
                    <w:tl2br w:val="nil"/>
                    <w:tr2bl w:val="nil"/>
                  </w:tcBorders>
                  <w:shd w:val="clear" w:color="auto" w:fill="auto"/>
                  <w:vAlign w:val="center"/>
                </w:tcPr>
                <w:p w14:paraId="64E46FD9">
                  <w:pPr>
                    <w:spacing w:line="0" w:lineRule="atLeast"/>
                    <w:jc w:val="center"/>
                    <w:rPr>
                      <w:rFonts w:hint="default"/>
                      <w:color w:val="auto"/>
                      <w:spacing w:val="-10"/>
                      <w:sz w:val="18"/>
                      <w:szCs w:val="18"/>
                      <w:lang w:val="en-US" w:eastAsia="zh-CN"/>
                    </w:rPr>
                  </w:pPr>
                  <w:r>
                    <w:rPr>
                      <w:rFonts w:hint="eastAsia"/>
                      <w:color w:val="auto"/>
                      <w:spacing w:val="-10"/>
                      <w:sz w:val="18"/>
                      <w:szCs w:val="18"/>
                      <w:lang w:val="en-US" w:eastAsia="zh-CN"/>
                    </w:rPr>
                    <w:t>--</w:t>
                  </w:r>
                </w:p>
              </w:tc>
            </w:tr>
            <w:tr w14:paraId="700624C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158" w:hRule="atLeast"/>
                <w:jc w:val="center"/>
              </w:trPr>
              <w:tc>
                <w:tcPr>
                  <w:tcW w:w="272" w:type="pct"/>
                  <w:tcBorders>
                    <w:tl2br w:val="nil"/>
                    <w:tr2bl w:val="nil"/>
                  </w:tcBorders>
                  <w:shd w:val="clear" w:color="auto" w:fill="auto"/>
                  <w:vAlign w:val="center"/>
                </w:tcPr>
                <w:p w14:paraId="11247C8A">
                  <w:pPr>
                    <w:widowControl/>
                    <w:spacing w:line="0" w:lineRule="atLeast"/>
                    <w:jc w:val="center"/>
                    <w:rPr>
                      <w:rFonts w:hint="eastAsia" w:ascii="Times New Roman" w:hAnsi="Times New Roman" w:eastAsia="宋体" w:cs="Times New Roman"/>
                      <w:color w:val="auto"/>
                      <w:spacing w:val="-10"/>
                      <w:kern w:val="2"/>
                      <w:sz w:val="18"/>
                      <w:szCs w:val="18"/>
                      <w:lang w:val="en-US" w:eastAsia="zh-CN" w:bidi="ar-SA"/>
                    </w:rPr>
                  </w:pPr>
                  <w:r>
                    <w:rPr>
                      <w:rFonts w:hint="eastAsia"/>
                      <w:color w:val="auto"/>
                      <w:spacing w:val="-10"/>
                      <w:sz w:val="18"/>
                      <w:szCs w:val="18"/>
                      <w:lang w:val="en-US" w:eastAsia="zh-CN"/>
                    </w:rPr>
                    <w:t>33</w:t>
                  </w:r>
                </w:p>
              </w:tc>
              <w:tc>
                <w:tcPr>
                  <w:tcW w:w="770" w:type="pct"/>
                  <w:gridSpan w:val="2"/>
                  <w:vMerge w:val="continue"/>
                  <w:tcBorders>
                    <w:tl2br w:val="nil"/>
                    <w:tr2bl w:val="nil"/>
                  </w:tcBorders>
                  <w:vAlign w:val="center"/>
                </w:tcPr>
                <w:p w14:paraId="703B6329">
                  <w:pPr>
                    <w:widowControl/>
                    <w:spacing w:line="0" w:lineRule="atLeast"/>
                    <w:jc w:val="center"/>
                    <w:rPr>
                      <w:rFonts w:hint="eastAsia"/>
                      <w:color w:val="auto"/>
                      <w:spacing w:val="-10"/>
                      <w:sz w:val="18"/>
                      <w:szCs w:val="18"/>
                      <w:lang w:val="en-US" w:eastAsia="zh-CN"/>
                    </w:rPr>
                  </w:pPr>
                </w:p>
              </w:tc>
              <w:tc>
                <w:tcPr>
                  <w:tcW w:w="1027" w:type="pct"/>
                  <w:tcBorders>
                    <w:tl2br w:val="nil"/>
                    <w:tr2bl w:val="nil"/>
                  </w:tcBorders>
                  <w:shd w:val="clear" w:color="auto" w:fill="auto"/>
                  <w:vAlign w:val="center"/>
                </w:tcPr>
                <w:p w14:paraId="0554CAF1">
                  <w:pPr>
                    <w:spacing w:line="0" w:lineRule="atLeast"/>
                    <w:jc w:val="center"/>
                    <w:rPr>
                      <w:rFonts w:hint="eastAsia"/>
                      <w:color w:val="auto"/>
                      <w:spacing w:val="-10"/>
                      <w:sz w:val="18"/>
                      <w:szCs w:val="18"/>
                      <w:lang w:val="en-US" w:eastAsia="zh-CN"/>
                    </w:rPr>
                  </w:pPr>
                  <w:r>
                    <w:rPr>
                      <w:rFonts w:hint="eastAsia"/>
                      <w:color w:val="auto"/>
                      <w:spacing w:val="-10"/>
                      <w:sz w:val="18"/>
                      <w:szCs w:val="18"/>
                      <w:lang w:val="en-US" w:eastAsia="zh-CN"/>
                    </w:rPr>
                    <w:t>渣浆泵</w:t>
                  </w:r>
                </w:p>
              </w:tc>
              <w:tc>
                <w:tcPr>
                  <w:tcW w:w="1679" w:type="pct"/>
                  <w:tcBorders>
                    <w:tl2br w:val="nil"/>
                    <w:tr2bl w:val="nil"/>
                  </w:tcBorders>
                  <w:shd w:val="clear" w:color="auto" w:fill="auto"/>
                  <w:vAlign w:val="center"/>
                </w:tcPr>
                <w:p w14:paraId="07449B04">
                  <w:pPr>
                    <w:spacing w:line="0" w:lineRule="atLeast"/>
                    <w:jc w:val="center"/>
                    <w:rPr>
                      <w:rFonts w:hint="eastAsia"/>
                      <w:color w:val="auto"/>
                      <w:spacing w:val="-10"/>
                      <w:sz w:val="18"/>
                      <w:szCs w:val="18"/>
                      <w:lang w:val="en-US" w:eastAsia="zh-CN"/>
                    </w:rPr>
                  </w:pPr>
                  <w:r>
                    <w:rPr>
                      <w:rFonts w:hint="eastAsia"/>
                      <w:color w:val="auto"/>
                      <w:spacing w:val="-10"/>
                      <w:sz w:val="18"/>
                      <w:szCs w:val="18"/>
                      <w:lang w:val="en-US" w:eastAsia="zh-CN"/>
                    </w:rPr>
                    <w:t>7寸</w:t>
                  </w:r>
                </w:p>
              </w:tc>
              <w:tc>
                <w:tcPr>
                  <w:tcW w:w="326" w:type="pct"/>
                  <w:tcBorders>
                    <w:tl2br w:val="nil"/>
                    <w:tr2bl w:val="nil"/>
                  </w:tcBorders>
                  <w:shd w:val="clear" w:color="auto" w:fill="auto"/>
                  <w:vAlign w:val="center"/>
                </w:tcPr>
                <w:p w14:paraId="0E4BF122">
                  <w:pPr>
                    <w:spacing w:line="0" w:lineRule="atLeast"/>
                    <w:jc w:val="center"/>
                    <w:rPr>
                      <w:rFonts w:hint="eastAsia"/>
                      <w:color w:val="auto"/>
                      <w:spacing w:val="-10"/>
                      <w:sz w:val="18"/>
                      <w:szCs w:val="18"/>
                      <w:lang w:val="en-US" w:eastAsia="zh-CN"/>
                    </w:rPr>
                  </w:pPr>
                  <w:r>
                    <w:rPr>
                      <w:rFonts w:hint="eastAsia"/>
                      <w:color w:val="auto"/>
                      <w:spacing w:val="-10"/>
                      <w:sz w:val="18"/>
                      <w:szCs w:val="18"/>
                      <w:lang w:val="en-US" w:eastAsia="zh-CN"/>
                    </w:rPr>
                    <w:t>台</w:t>
                  </w:r>
                </w:p>
              </w:tc>
              <w:tc>
                <w:tcPr>
                  <w:tcW w:w="291" w:type="pct"/>
                  <w:tcBorders>
                    <w:tl2br w:val="nil"/>
                    <w:tr2bl w:val="nil"/>
                  </w:tcBorders>
                  <w:shd w:val="clear" w:color="auto" w:fill="auto"/>
                  <w:vAlign w:val="center"/>
                </w:tcPr>
                <w:p w14:paraId="03C00D89">
                  <w:pPr>
                    <w:spacing w:line="0" w:lineRule="atLeast"/>
                    <w:jc w:val="center"/>
                    <w:rPr>
                      <w:rFonts w:hint="eastAsia"/>
                      <w:color w:val="auto"/>
                      <w:spacing w:val="-10"/>
                      <w:sz w:val="18"/>
                      <w:szCs w:val="18"/>
                      <w:lang w:val="en-US" w:eastAsia="zh-CN"/>
                    </w:rPr>
                  </w:pPr>
                  <w:r>
                    <w:rPr>
                      <w:rFonts w:hint="eastAsia"/>
                      <w:color w:val="auto"/>
                      <w:spacing w:val="-10"/>
                      <w:sz w:val="18"/>
                      <w:szCs w:val="18"/>
                      <w:lang w:val="en-US" w:eastAsia="zh-CN"/>
                    </w:rPr>
                    <w:t>3</w:t>
                  </w:r>
                </w:p>
              </w:tc>
              <w:tc>
                <w:tcPr>
                  <w:tcW w:w="632" w:type="pct"/>
                  <w:tcBorders>
                    <w:tl2br w:val="nil"/>
                    <w:tr2bl w:val="nil"/>
                  </w:tcBorders>
                  <w:shd w:val="clear" w:color="auto" w:fill="auto"/>
                  <w:vAlign w:val="center"/>
                </w:tcPr>
                <w:p w14:paraId="28FA5035">
                  <w:pPr>
                    <w:spacing w:line="0" w:lineRule="atLeast"/>
                    <w:jc w:val="center"/>
                    <w:rPr>
                      <w:rFonts w:hint="eastAsia"/>
                      <w:color w:val="auto"/>
                      <w:spacing w:val="-10"/>
                      <w:sz w:val="18"/>
                      <w:szCs w:val="18"/>
                      <w:lang w:val="en-US" w:eastAsia="zh-CN"/>
                    </w:rPr>
                  </w:pPr>
                  <w:r>
                    <w:rPr>
                      <w:rFonts w:hint="eastAsia"/>
                      <w:color w:val="auto"/>
                      <w:spacing w:val="-10"/>
                      <w:sz w:val="18"/>
                      <w:szCs w:val="18"/>
                      <w:lang w:val="en-US" w:eastAsia="zh-CN"/>
                    </w:rPr>
                    <w:t>--</w:t>
                  </w:r>
                </w:p>
              </w:tc>
            </w:tr>
            <w:tr w14:paraId="0AF3120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272" w:type="pct"/>
                  <w:tcBorders>
                    <w:tl2br w:val="nil"/>
                    <w:tr2bl w:val="nil"/>
                  </w:tcBorders>
                  <w:shd w:val="clear" w:color="auto" w:fill="auto"/>
                  <w:vAlign w:val="center"/>
                </w:tcPr>
                <w:p w14:paraId="6073F2DA">
                  <w:pPr>
                    <w:widowControl/>
                    <w:spacing w:line="0" w:lineRule="atLeast"/>
                    <w:jc w:val="center"/>
                    <w:rPr>
                      <w:rFonts w:hint="eastAsia" w:ascii="Times New Roman" w:hAnsi="Times New Roman" w:eastAsia="宋体" w:cs="Times New Roman"/>
                      <w:color w:val="auto"/>
                      <w:spacing w:val="-10"/>
                      <w:kern w:val="2"/>
                      <w:sz w:val="18"/>
                      <w:szCs w:val="18"/>
                      <w:lang w:val="en-US" w:eastAsia="zh-CN" w:bidi="ar-SA"/>
                    </w:rPr>
                  </w:pPr>
                  <w:r>
                    <w:rPr>
                      <w:rFonts w:hint="eastAsia" w:cs="Times New Roman"/>
                      <w:color w:val="auto"/>
                      <w:spacing w:val="-10"/>
                      <w:kern w:val="2"/>
                      <w:sz w:val="18"/>
                      <w:szCs w:val="18"/>
                      <w:lang w:val="en-US" w:eastAsia="zh-CN" w:bidi="ar-SA"/>
                    </w:rPr>
                    <w:t>34</w:t>
                  </w:r>
                </w:p>
              </w:tc>
              <w:tc>
                <w:tcPr>
                  <w:tcW w:w="770" w:type="pct"/>
                  <w:gridSpan w:val="2"/>
                  <w:vMerge w:val="continue"/>
                  <w:tcBorders>
                    <w:tl2br w:val="nil"/>
                    <w:tr2bl w:val="nil"/>
                  </w:tcBorders>
                  <w:vAlign w:val="center"/>
                </w:tcPr>
                <w:p w14:paraId="6731E531">
                  <w:pPr>
                    <w:widowControl/>
                    <w:spacing w:line="0" w:lineRule="atLeast"/>
                    <w:jc w:val="center"/>
                    <w:rPr>
                      <w:rFonts w:hint="eastAsia"/>
                      <w:color w:val="auto"/>
                      <w:spacing w:val="-10"/>
                      <w:sz w:val="18"/>
                      <w:szCs w:val="18"/>
                      <w:lang w:val="en-US" w:eastAsia="zh-CN"/>
                    </w:rPr>
                  </w:pPr>
                </w:p>
              </w:tc>
              <w:tc>
                <w:tcPr>
                  <w:tcW w:w="1027" w:type="pct"/>
                  <w:tcBorders>
                    <w:tl2br w:val="nil"/>
                    <w:tr2bl w:val="nil"/>
                  </w:tcBorders>
                  <w:shd w:val="clear" w:color="auto" w:fill="auto"/>
                  <w:vAlign w:val="center"/>
                </w:tcPr>
                <w:p w14:paraId="515AD95B">
                  <w:pPr>
                    <w:spacing w:line="0" w:lineRule="atLeast"/>
                    <w:jc w:val="center"/>
                    <w:rPr>
                      <w:rFonts w:hint="default"/>
                      <w:color w:val="auto"/>
                      <w:spacing w:val="-10"/>
                      <w:sz w:val="18"/>
                      <w:szCs w:val="18"/>
                      <w:lang w:val="en-US" w:eastAsia="zh-CN"/>
                    </w:rPr>
                  </w:pPr>
                  <w:r>
                    <w:rPr>
                      <w:rFonts w:hint="eastAsia"/>
                      <w:color w:val="auto"/>
                      <w:spacing w:val="-10"/>
                      <w:sz w:val="18"/>
                      <w:szCs w:val="18"/>
                      <w:lang w:val="en-US" w:eastAsia="zh-CN"/>
                    </w:rPr>
                    <w:t>清水泵</w:t>
                  </w:r>
                </w:p>
              </w:tc>
              <w:tc>
                <w:tcPr>
                  <w:tcW w:w="1679" w:type="pct"/>
                  <w:tcBorders>
                    <w:tl2br w:val="nil"/>
                    <w:tr2bl w:val="nil"/>
                  </w:tcBorders>
                  <w:shd w:val="clear" w:color="auto" w:fill="auto"/>
                  <w:vAlign w:val="center"/>
                </w:tcPr>
                <w:p w14:paraId="588954A4">
                  <w:pPr>
                    <w:spacing w:line="0" w:lineRule="atLeast"/>
                    <w:jc w:val="center"/>
                    <w:rPr>
                      <w:rFonts w:hint="eastAsia"/>
                      <w:color w:val="auto"/>
                      <w:spacing w:val="-10"/>
                      <w:sz w:val="18"/>
                      <w:szCs w:val="18"/>
                      <w:lang w:val="en-US" w:eastAsia="zh-CN"/>
                    </w:rPr>
                  </w:pPr>
                  <w:r>
                    <w:rPr>
                      <w:rFonts w:hint="eastAsia"/>
                      <w:color w:val="auto"/>
                      <w:spacing w:val="-10"/>
                      <w:sz w:val="18"/>
                      <w:szCs w:val="18"/>
                      <w:lang w:val="en-US" w:eastAsia="zh-CN"/>
                    </w:rPr>
                    <w:t>50-100</w:t>
                  </w:r>
                </w:p>
              </w:tc>
              <w:tc>
                <w:tcPr>
                  <w:tcW w:w="326" w:type="pct"/>
                  <w:tcBorders>
                    <w:tl2br w:val="nil"/>
                    <w:tr2bl w:val="nil"/>
                  </w:tcBorders>
                  <w:shd w:val="clear" w:color="auto" w:fill="auto"/>
                  <w:vAlign w:val="center"/>
                </w:tcPr>
                <w:p w14:paraId="6971F65B">
                  <w:pPr>
                    <w:spacing w:line="0" w:lineRule="atLeast"/>
                    <w:jc w:val="center"/>
                    <w:rPr>
                      <w:rFonts w:hint="eastAsia"/>
                      <w:color w:val="auto"/>
                      <w:spacing w:val="-10"/>
                      <w:sz w:val="18"/>
                      <w:szCs w:val="18"/>
                      <w:lang w:val="en-US" w:eastAsia="zh-CN"/>
                    </w:rPr>
                  </w:pPr>
                  <w:r>
                    <w:rPr>
                      <w:rFonts w:hint="eastAsia"/>
                      <w:color w:val="auto"/>
                      <w:spacing w:val="-10"/>
                      <w:sz w:val="18"/>
                      <w:szCs w:val="18"/>
                      <w:lang w:val="en-US" w:eastAsia="zh-CN"/>
                    </w:rPr>
                    <w:t>台</w:t>
                  </w:r>
                </w:p>
              </w:tc>
              <w:tc>
                <w:tcPr>
                  <w:tcW w:w="291" w:type="pct"/>
                  <w:tcBorders>
                    <w:tl2br w:val="nil"/>
                    <w:tr2bl w:val="nil"/>
                  </w:tcBorders>
                  <w:shd w:val="clear" w:color="auto" w:fill="auto"/>
                  <w:vAlign w:val="center"/>
                </w:tcPr>
                <w:p w14:paraId="7C51A33A">
                  <w:pPr>
                    <w:spacing w:line="0" w:lineRule="atLeast"/>
                    <w:jc w:val="center"/>
                    <w:rPr>
                      <w:rFonts w:hint="eastAsia"/>
                      <w:color w:val="auto"/>
                      <w:spacing w:val="-10"/>
                      <w:sz w:val="18"/>
                      <w:szCs w:val="18"/>
                      <w:lang w:val="en-US" w:eastAsia="zh-CN"/>
                    </w:rPr>
                  </w:pPr>
                  <w:r>
                    <w:rPr>
                      <w:rFonts w:hint="eastAsia"/>
                      <w:color w:val="auto"/>
                      <w:spacing w:val="-10"/>
                      <w:sz w:val="18"/>
                      <w:szCs w:val="18"/>
                      <w:lang w:val="en-US" w:eastAsia="zh-CN"/>
                    </w:rPr>
                    <w:t>1</w:t>
                  </w:r>
                </w:p>
              </w:tc>
              <w:tc>
                <w:tcPr>
                  <w:tcW w:w="632" w:type="pct"/>
                  <w:tcBorders>
                    <w:tl2br w:val="nil"/>
                    <w:tr2bl w:val="nil"/>
                  </w:tcBorders>
                  <w:shd w:val="clear" w:color="auto" w:fill="auto"/>
                  <w:vAlign w:val="center"/>
                </w:tcPr>
                <w:p w14:paraId="0BBF29D5">
                  <w:pPr>
                    <w:spacing w:line="0" w:lineRule="atLeast"/>
                    <w:jc w:val="center"/>
                    <w:rPr>
                      <w:rFonts w:hint="eastAsia"/>
                      <w:color w:val="auto"/>
                      <w:spacing w:val="-10"/>
                      <w:sz w:val="18"/>
                      <w:szCs w:val="18"/>
                      <w:lang w:val="en-US" w:eastAsia="zh-CN"/>
                    </w:rPr>
                  </w:pPr>
                  <w:r>
                    <w:rPr>
                      <w:rFonts w:hint="eastAsia"/>
                      <w:color w:val="auto"/>
                      <w:spacing w:val="-10"/>
                      <w:sz w:val="18"/>
                      <w:szCs w:val="18"/>
                      <w:lang w:val="en-US" w:eastAsia="zh-CN"/>
                    </w:rPr>
                    <w:t>--</w:t>
                  </w:r>
                </w:p>
              </w:tc>
            </w:tr>
            <w:tr w14:paraId="30E7C5C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272" w:type="pct"/>
                  <w:tcBorders>
                    <w:tl2br w:val="nil"/>
                    <w:tr2bl w:val="nil"/>
                  </w:tcBorders>
                  <w:shd w:val="clear" w:color="auto" w:fill="auto"/>
                  <w:vAlign w:val="center"/>
                </w:tcPr>
                <w:p w14:paraId="58411C5C">
                  <w:pPr>
                    <w:widowControl/>
                    <w:spacing w:line="0" w:lineRule="atLeast"/>
                    <w:jc w:val="center"/>
                    <w:rPr>
                      <w:rFonts w:hint="default" w:ascii="Times New Roman" w:hAnsi="Times New Roman" w:eastAsia="宋体" w:cs="Times New Roman"/>
                      <w:color w:val="auto"/>
                      <w:spacing w:val="-10"/>
                      <w:kern w:val="2"/>
                      <w:sz w:val="18"/>
                      <w:szCs w:val="18"/>
                      <w:lang w:val="en-US" w:eastAsia="zh-CN" w:bidi="ar-SA"/>
                    </w:rPr>
                  </w:pPr>
                  <w:r>
                    <w:rPr>
                      <w:rFonts w:hint="eastAsia"/>
                      <w:color w:val="auto"/>
                      <w:spacing w:val="-10"/>
                      <w:sz w:val="18"/>
                      <w:szCs w:val="18"/>
                      <w:lang w:val="en-US" w:eastAsia="zh-CN"/>
                    </w:rPr>
                    <w:t>35</w:t>
                  </w:r>
                </w:p>
              </w:tc>
              <w:tc>
                <w:tcPr>
                  <w:tcW w:w="770" w:type="pct"/>
                  <w:gridSpan w:val="2"/>
                  <w:vMerge w:val="continue"/>
                  <w:tcBorders>
                    <w:tl2br w:val="nil"/>
                    <w:tr2bl w:val="nil"/>
                  </w:tcBorders>
                  <w:vAlign w:val="center"/>
                </w:tcPr>
                <w:p w14:paraId="2D7C6332">
                  <w:pPr>
                    <w:widowControl/>
                    <w:spacing w:line="0" w:lineRule="atLeast"/>
                    <w:jc w:val="center"/>
                    <w:rPr>
                      <w:rFonts w:hint="eastAsia"/>
                      <w:color w:val="auto"/>
                      <w:spacing w:val="-10"/>
                      <w:sz w:val="18"/>
                      <w:szCs w:val="18"/>
                      <w:lang w:val="en-US" w:eastAsia="zh-CN"/>
                    </w:rPr>
                  </w:pPr>
                </w:p>
              </w:tc>
              <w:tc>
                <w:tcPr>
                  <w:tcW w:w="1027" w:type="pct"/>
                  <w:tcBorders>
                    <w:tl2br w:val="nil"/>
                    <w:tr2bl w:val="nil"/>
                  </w:tcBorders>
                  <w:shd w:val="clear" w:color="auto" w:fill="auto"/>
                  <w:vAlign w:val="center"/>
                </w:tcPr>
                <w:p w14:paraId="6569ECBE">
                  <w:pPr>
                    <w:spacing w:line="0" w:lineRule="atLeast"/>
                    <w:jc w:val="center"/>
                    <w:rPr>
                      <w:rFonts w:hint="default"/>
                      <w:color w:val="auto"/>
                      <w:spacing w:val="-10"/>
                      <w:sz w:val="18"/>
                      <w:szCs w:val="18"/>
                      <w:lang w:val="en-US" w:eastAsia="zh-CN"/>
                    </w:rPr>
                  </w:pPr>
                  <w:r>
                    <w:rPr>
                      <w:rFonts w:hint="eastAsia"/>
                      <w:color w:val="auto"/>
                      <w:spacing w:val="-10"/>
                      <w:sz w:val="18"/>
                      <w:szCs w:val="18"/>
                      <w:lang w:val="en-US" w:eastAsia="zh-CN"/>
                    </w:rPr>
                    <w:t>地磅</w:t>
                  </w:r>
                </w:p>
              </w:tc>
              <w:tc>
                <w:tcPr>
                  <w:tcW w:w="1679" w:type="pct"/>
                  <w:tcBorders>
                    <w:tl2br w:val="nil"/>
                    <w:tr2bl w:val="nil"/>
                  </w:tcBorders>
                  <w:shd w:val="clear" w:color="auto" w:fill="auto"/>
                  <w:vAlign w:val="center"/>
                </w:tcPr>
                <w:p w14:paraId="4E56F7B0">
                  <w:pPr>
                    <w:spacing w:line="0" w:lineRule="atLeast"/>
                    <w:jc w:val="center"/>
                    <w:rPr>
                      <w:rFonts w:hint="default"/>
                      <w:color w:val="auto"/>
                      <w:spacing w:val="-10"/>
                      <w:sz w:val="18"/>
                      <w:szCs w:val="18"/>
                      <w:lang w:val="en-US" w:eastAsia="zh-CN"/>
                    </w:rPr>
                  </w:pPr>
                  <w:r>
                    <w:rPr>
                      <w:rFonts w:hint="eastAsia"/>
                      <w:color w:val="auto"/>
                      <w:spacing w:val="-10"/>
                      <w:sz w:val="18"/>
                      <w:szCs w:val="18"/>
                      <w:lang w:val="en-US" w:eastAsia="zh-CN"/>
                    </w:rPr>
                    <w:t>200t</w:t>
                  </w:r>
                </w:p>
              </w:tc>
              <w:tc>
                <w:tcPr>
                  <w:tcW w:w="326" w:type="pct"/>
                  <w:tcBorders>
                    <w:tl2br w:val="nil"/>
                    <w:tr2bl w:val="nil"/>
                  </w:tcBorders>
                  <w:shd w:val="clear" w:color="auto" w:fill="auto"/>
                  <w:vAlign w:val="center"/>
                </w:tcPr>
                <w:p w14:paraId="4C9B49C9">
                  <w:pPr>
                    <w:spacing w:line="0" w:lineRule="atLeast"/>
                    <w:jc w:val="center"/>
                    <w:rPr>
                      <w:rFonts w:hint="eastAsia"/>
                      <w:color w:val="auto"/>
                      <w:spacing w:val="-10"/>
                      <w:sz w:val="18"/>
                      <w:szCs w:val="18"/>
                      <w:lang w:val="en-US" w:eastAsia="zh-CN"/>
                    </w:rPr>
                  </w:pPr>
                  <w:r>
                    <w:rPr>
                      <w:rFonts w:hint="eastAsia"/>
                      <w:color w:val="auto"/>
                      <w:spacing w:val="-10"/>
                      <w:sz w:val="18"/>
                      <w:szCs w:val="18"/>
                      <w:lang w:val="en-US" w:eastAsia="zh-CN"/>
                    </w:rPr>
                    <w:t>台</w:t>
                  </w:r>
                </w:p>
              </w:tc>
              <w:tc>
                <w:tcPr>
                  <w:tcW w:w="291" w:type="pct"/>
                  <w:tcBorders>
                    <w:tl2br w:val="nil"/>
                    <w:tr2bl w:val="nil"/>
                  </w:tcBorders>
                  <w:shd w:val="clear" w:color="auto" w:fill="auto"/>
                  <w:vAlign w:val="center"/>
                </w:tcPr>
                <w:p w14:paraId="500BA1FC">
                  <w:pPr>
                    <w:spacing w:line="0" w:lineRule="atLeast"/>
                    <w:jc w:val="center"/>
                    <w:rPr>
                      <w:rFonts w:hint="eastAsia"/>
                      <w:color w:val="auto"/>
                      <w:spacing w:val="-10"/>
                      <w:sz w:val="18"/>
                      <w:szCs w:val="18"/>
                      <w:lang w:val="en-US" w:eastAsia="zh-CN"/>
                    </w:rPr>
                  </w:pPr>
                  <w:r>
                    <w:rPr>
                      <w:rFonts w:hint="eastAsia"/>
                      <w:color w:val="auto"/>
                      <w:spacing w:val="-10"/>
                      <w:sz w:val="18"/>
                      <w:szCs w:val="18"/>
                      <w:lang w:val="en-US" w:eastAsia="zh-CN"/>
                    </w:rPr>
                    <w:t>1</w:t>
                  </w:r>
                </w:p>
              </w:tc>
              <w:tc>
                <w:tcPr>
                  <w:tcW w:w="632" w:type="pct"/>
                  <w:tcBorders>
                    <w:tl2br w:val="nil"/>
                    <w:tr2bl w:val="nil"/>
                  </w:tcBorders>
                  <w:shd w:val="clear" w:color="auto" w:fill="auto"/>
                  <w:vAlign w:val="center"/>
                </w:tcPr>
                <w:p w14:paraId="46A54E7E">
                  <w:pPr>
                    <w:spacing w:line="0" w:lineRule="atLeast"/>
                    <w:jc w:val="center"/>
                    <w:rPr>
                      <w:rFonts w:hint="default"/>
                      <w:color w:val="auto"/>
                      <w:spacing w:val="-10"/>
                      <w:sz w:val="18"/>
                      <w:szCs w:val="18"/>
                      <w:lang w:val="en-US" w:eastAsia="zh-CN"/>
                    </w:rPr>
                  </w:pPr>
                  <w:r>
                    <w:rPr>
                      <w:rFonts w:hint="eastAsia"/>
                      <w:color w:val="auto"/>
                      <w:spacing w:val="-10"/>
                      <w:sz w:val="18"/>
                      <w:szCs w:val="18"/>
                      <w:lang w:val="en-US" w:eastAsia="zh-CN"/>
                    </w:rPr>
                    <w:t>--</w:t>
                  </w:r>
                </w:p>
              </w:tc>
            </w:tr>
            <w:tr w14:paraId="1A2A2B4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272" w:type="pct"/>
                  <w:tcBorders>
                    <w:tl2br w:val="nil"/>
                    <w:tr2bl w:val="nil"/>
                  </w:tcBorders>
                  <w:shd w:val="clear" w:color="auto" w:fill="auto"/>
                  <w:vAlign w:val="center"/>
                </w:tcPr>
                <w:p w14:paraId="6E6BAD3B">
                  <w:pPr>
                    <w:widowControl/>
                    <w:spacing w:line="0" w:lineRule="atLeast"/>
                    <w:jc w:val="center"/>
                    <w:rPr>
                      <w:rFonts w:hint="default" w:ascii="Times New Roman" w:hAnsi="Times New Roman" w:eastAsia="宋体" w:cs="Times New Roman"/>
                      <w:color w:val="auto"/>
                      <w:spacing w:val="-10"/>
                      <w:kern w:val="2"/>
                      <w:sz w:val="18"/>
                      <w:szCs w:val="18"/>
                      <w:lang w:val="en-US" w:eastAsia="zh-CN" w:bidi="ar-SA"/>
                    </w:rPr>
                  </w:pPr>
                  <w:r>
                    <w:rPr>
                      <w:rFonts w:hint="eastAsia" w:cs="Times New Roman"/>
                      <w:color w:val="auto"/>
                      <w:spacing w:val="-10"/>
                      <w:kern w:val="2"/>
                      <w:sz w:val="18"/>
                      <w:szCs w:val="18"/>
                      <w:lang w:val="en-US" w:eastAsia="zh-CN" w:bidi="ar-SA"/>
                    </w:rPr>
                    <w:t>36</w:t>
                  </w:r>
                </w:p>
              </w:tc>
              <w:tc>
                <w:tcPr>
                  <w:tcW w:w="770" w:type="pct"/>
                  <w:gridSpan w:val="2"/>
                  <w:vMerge w:val="restart"/>
                  <w:tcBorders>
                    <w:tl2br w:val="nil"/>
                    <w:tr2bl w:val="nil"/>
                  </w:tcBorders>
                  <w:vAlign w:val="center"/>
                </w:tcPr>
                <w:p w14:paraId="622D9631">
                  <w:pPr>
                    <w:widowControl/>
                    <w:spacing w:line="0" w:lineRule="atLeast"/>
                    <w:jc w:val="center"/>
                    <w:rPr>
                      <w:rFonts w:hint="eastAsia"/>
                      <w:color w:val="auto"/>
                      <w:spacing w:val="-10"/>
                      <w:sz w:val="18"/>
                      <w:szCs w:val="18"/>
                      <w:lang w:val="en-US" w:eastAsia="zh-CN"/>
                    </w:rPr>
                  </w:pPr>
                  <w:r>
                    <w:rPr>
                      <w:rFonts w:hint="eastAsia"/>
                      <w:color w:val="auto"/>
                      <w:spacing w:val="-10"/>
                      <w:sz w:val="18"/>
                      <w:szCs w:val="18"/>
                      <w:lang w:val="en-US" w:eastAsia="zh-CN"/>
                    </w:rPr>
                    <w:t>其他</w:t>
                  </w:r>
                </w:p>
              </w:tc>
              <w:tc>
                <w:tcPr>
                  <w:tcW w:w="1027" w:type="pct"/>
                  <w:tcBorders>
                    <w:tl2br w:val="nil"/>
                    <w:tr2bl w:val="nil"/>
                  </w:tcBorders>
                  <w:shd w:val="clear" w:color="auto" w:fill="auto"/>
                  <w:vAlign w:val="center"/>
                </w:tcPr>
                <w:p w14:paraId="3AEFF2DD">
                  <w:pPr>
                    <w:jc w:val="center"/>
                    <w:rPr>
                      <w:rFonts w:hint="eastAsia" w:ascii="Times New Roman" w:hAnsi="Times New Roman" w:eastAsia="宋体" w:cs="Times New Roman"/>
                      <w:color w:val="auto"/>
                      <w:spacing w:val="-10"/>
                      <w:kern w:val="2"/>
                      <w:sz w:val="18"/>
                      <w:szCs w:val="18"/>
                      <w:lang w:val="en-US" w:eastAsia="zh-CN" w:bidi="ar-SA"/>
                    </w:rPr>
                  </w:pPr>
                  <w:r>
                    <w:rPr>
                      <w:rFonts w:hint="eastAsia" w:ascii="Times New Roman" w:hAnsi="Times New Roman" w:eastAsia="宋体" w:cs="Times New Roman"/>
                      <w:color w:val="auto"/>
                      <w:spacing w:val="-10"/>
                      <w:sz w:val="18"/>
                      <w:szCs w:val="18"/>
                      <w:lang w:val="en-US" w:eastAsia="zh-CN"/>
                    </w:rPr>
                    <w:t>湿扫车</w:t>
                  </w:r>
                </w:p>
              </w:tc>
              <w:tc>
                <w:tcPr>
                  <w:tcW w:w="1679" w:type="pct"/>
                  <w:tcBorders>
                    <w:tl2br w:val="nil"/>
                    <w:tr2bl w:val="nil"/>
                  </w:tcBorders>
                  <w:shd w:val="clear" w:color="auto" w:fill="auto"/>
                  <w:vAlign w:val="center"/>
                </w:tcPr>
                <w:p w14:paraId="5B013864">
                  <w:pPr>
                    <w:jc w:val="center"/>
                    <w:rPr>
                      <w:rFonts w:hint="default" w:ascii="Times New Roman" w:hAnsi="Times New Roman" w:eastAsia="宋体" w:cs="Times New Roman"/>
                      <w:color w:val="auto"/>
                      <w:spacing w:val="-10"/>
                      <w:kern w:val="2"/>
                      <w:sz w:val="18"/>
                      <w:szCs w:val="18"/>
                      <w:lang w:val="en-US" w:eastAsia="zh-CN" w:bidi="ar-SA"/>
                    </w:rPr>
                  </w:pPr>
                  <w:r>
                    <w:rPr>
                      <w:rFonts w:hint="eastAsia" w:ascii="Times New Roman" w:hAnsi="Times New Roman" w:eastAsia="宋体" w:cs="Times New Roman"/>
                      <w:color w:val="auto"/>
                      <w:spacing w:val="-10"/>
                      <w:kern w:val="2"/>
                      <w:sz w:val="18"/>
                      <w:szCs w:val="18"/>
                      <w:lang w:val="en-US" w:eastAsia="zh-CN" w:bidi="ar-SA"/>
                    </w:rPr>
                    <w:t>--</w:t>
                  </w:r>
                </w:p>
              </w:tc>
              <w:tc>
                <w:tcPr>
                  <w:tcW w:w="326" w:type="pct"/>
                  <w:tcBorders>
                    <w:tl2br w:val="nil"/>
                    <w:tr2bl w:val="nil"/>
                  </w:tcBorders>
                  <w:shd w:val="clear" w:color="auto" w:fill="auto"/>
                  <w:vAlign w:val="center"/>
                </w:tcPr>
                <w:p w14:paraId="658977AC">
                  <w:pPr>
                    <w:spacing w:line="0" w:lineRule="atLeast"/>
                    <w:jc w:val="center"/>
                    <w:rPr>
                      <w:rFonts w:hint="eastAsia" w:ascii="Times New Roman" w:hAnsi="Times New Roman" w:eastAsia="宋体" w:cs="Times New Roman"/>
                      <w:color w:val="auto"/>
                      <w:spacing w:val="-10"/>
                      <w:kern w:val="2"/>
                      <w:sz w:val="18"/>
                      <w:szCs w:val="18"/>
                      <w:lang w:val="en-US" w:eastAsia="zh-CN" w:bidi="ar-SA"/>
                    </w:rPr>
                  </w:pPr>
                  <w:r>
                    <w:rPr>
                      <w:rFonts w:hint="eastAsia"/>
                      <w:color w:val="auto"/>
                      <w:spacing w:val="-10"/>
                      <w:sz w:val="18"/>
                      <w:szCs w:val="18"/>
                    </w:rPr>
                    <w:t>台</w:t>
                  </w:r>
                </w:p>
              </w:tc>
              <w:tc>
                <w:tcPr>
                  <w:tcW w:w="291" w:type="pct"/>
                  <w:tcBorders>
                    <w:tl2br w:val="nil"/>
                    <w:tr2bl w:val="nil"/>
                  </w:tcBorders>
                  <w:shd w:val="clear" w:color="auto" w:fill="auto"/>
                  <w:vAlign w:val="center"/>
                </w:tcPr>
                <w:p w14:paraId="048F18B6">
                  <w:pPr>
                    <w:spacing w:line="0" w:lineRule="atLeast"/>
                    <w:jc w:val="center"/>
                    <w:rPr>
                      <w:rFonts w:hint="eastAsia" w:ascii="Times New Roman" w:hAnsi="Times New Roman" w:eastAsia="宋体" w:cs="Times New Roman"/>
                      <w:color w:val="auto"/>
                      <w:spacing w:val="-10"/>
                      <w:kern w:val="2"/>
                      <w:sz w:val="18"/>
                      <w:szCs w:val="18"/>
                      <w:lang w:val="en-US" w:eastAsia="zh-CN" w:bidi="ar-SA"/>
                    </w:rPr>
                  </w:pPr>
                  <w:r>
                    <w:rPr>
                      <w:rFonts w:hint="eastAsia" w:eastAsia="宋体"/>
                      <w:color w:val="auto"/>
                      <w:spacing w:val="-10"/>
                      <w:sz w:val="18"/>
                      <w:szCs w:val="18"/>
                      <w:lang w:val="en-US" w:eastAsia="zh-CN"/>
                    </w:rPr>
                    <w:t>1</w:t>
                  </w:r>
                </w:p>
              </w:tc>
              <w:tc>
                <w:tcPr>
                  <w:tcW w:w="632" w:type="pct"/>
                  <w:vMerge w:val="restart"/>
                  <w:tcBorders>
                    <w:tl2br w:val="nil"/>
                    <w:tr2bl w:val="nil"/>
                  </w:tcBorders>
                  <w:shd w:val="clear" w:color="auto" w:fill="auto"/>
                  <w:vAlign w:val="center"/>
                </w:tcPr>
                <w:p w14:paraId="02F4B01D">
                  <w:pPr>
                    <w:spacing w:line="0" w:lineRule="atLeast"/>
                    <w:jc w:val="center"/>
                    <w:rPr>
                      <w:rFonts w:hint="eastAsia" w:ascii="Times New Roman" w:hAnsi="Times New Roman" w:eastAsia="宋体" w:cs="Times New Roman"/>
                      <w:color w:val="auto"/>
                      <w:spacing w:val="-10"/>
                      <w:kern w:val="2"/>
                      <w:sz w:val="18"/>
                      <w:szCs w:val="18"/>
                      <w:lang w:val="en-US" w:eastAsia="zh-CN" w:bidi="ar-SA"/>
                    </w:rPr>
                  </w:pPr>
                  <w:r>
                    <w:rPr>
                      <w:rFonts w:hint="default" w:ascii="Times New Roman" w:hAnsi="Times New Roman" w:eastAsia="宋体" w:cs="Times New Roman"/>
                      <w:color w:val="auto"/>
                      <w:spacing w:val="-10"/>
                      <w:kern w:val="2"/>
                      <w:sz w:val="18"/>
                      <w:szCs w:val="18"/>
                      <w:highlight w:val="none"/>
                      <w:lang w:val="en-US" w:eastAsia="zh-CN" w:bidi="ar-SA"/>
                    </w:rPr>
                    <w:t>使用国</w:t>
                  </w:r>
                  <w:r>
                    <w:rPr>
                      <w:rFonts w:hint="eastAsia" w:cs="Times New Roman"/>
                      <w:color w:val="auto"/>
                      <w:spacing w:val="-10"/>
                      <w:kern w:val="2"/>
                      <w:sz w:val="18"/>
                      <w:szCs w:val="18"/>
                      <w:highlight w:val="none"/>
                      <w:lang w:val="en-US" w:eastAsia="zh-CN" w:bidi="ar-SA"/>
                    </w:rPr>
                    <w:t>四</w:t>
                  </w:r>
                  <w:r>
                    <w:rPr>
                      <w:rFonts w:hint="default" w:ascii="Times New Roman" w:hAnsi="Times New Roman" w:eastAsia="宋体" w:cs="Times New Roman"/>
                      <w:color w:val="auto"/>
                      <w:spacing w:val="-10"/>
                      <w:kern w:val="2"/>
                      <w:sz w:val="18"/>
                      <w:szCs w:val="18"/>
                      <w:highlight w:val="none"/>
                      <w:lang w:val="en-US" w:eastAsia="zh-CN" w:bidi="ar-SA"/>
                    </w:rPr>
                    <w:t>及以上排放标准机械，以防止尾气超标污染</w:t>
                  </w:r>
                  <w:r>
                    <w:rPr>
                      <w:rFonts w:hint="eastAsia" w:ascii="Times New Roman" w:hAnsi="Times New Roman" w:eastAsia="宋体" w:cs="Times New Roman"/>
                      <w:color w:val="auto"/>
                      <w:spacing w:val="-10"/>
                      <w:kern w:val="2"/>
                      <w:sz w:val="18"/>
                      <w:szCs w:val="18"/>
                      <w:highlight w:val="none"/>
                      <w:lang w:val="en-US" w:eastAsia="zh-CN" w:bidi="ar-SA"/>
                    </w:rPr>
                    <w:t>，并进行环保登记备案</w:t>
                  </w:r>
                </w:p>
              </w:tc>
            </w:tr>
            <w:tr w14:paraId="7C341D8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272" w:type="pct"/>
                  <w:tcBorders>
                    <w:tl2br w:val="nil"/>
                    <w:tr2bl w:val="nil"/>
                  </w:tcBorders>
                  <w:shd w:val="clear" w:color="auto" w:fill="auto"/>
                  <w:vAlign w:val="center"/>
                </w:tcPr>
                <w:p w14:paraId="60BD6565">
                  <w:pPr>
                    <w:widowControl/>
                    <w:spacing w:line="0" w:lineRule="atLeast"/>
                    <w:jc w:val="center"/>
                    <w:rPr>
                      <w:rFonts w:hint="default" w:ascii="Times New Roman" w:hAnsi="Times New Roman" w:eastAsia="宋体" w:cs="Times New Roman"/>
                      <w:color w:val="auto"/>
                      <w:spacing w:val="-10"/>
                      <w:kern w:val="2"/>
                      <w:sz w:val="18"/>
                      <w:szCs w:val="18"/>
                      <w:lang w:val="en-US" w:eastAsia="zh-CN" w:bidi="ar-SA"/>
                    </w:rPr>
                  </w:pPr>
                  <w:r>
                    <w:rPr>
                      <w:rFonts w:hint="eastAsia" w:cs="Times New Roman"/>
                      <w:color w:val="auto"/>
                      <w:spacing w:val="-10"/>
                      <w:kern w:val="2"/>
                      <w:sz w:val="18"/>
                      <w:szCs w:val="18"/>
                      <w:lang w:val="en-US" w:eastAsia="zh-CN" w:bidi="ar-SA"/>
                    </w:rPr>
                    <w:t>37</w:t>
                  </w:r>
                </w:p>
              </w:tc>
              <w:tc>
                <w:tcPr>
                  <w:tcW w:w="770" w:type="pct"/>
                  <w:gridSpan w:val="2"/>
                  <w:vMerge w:val="continue"/>
                  <w:tcBorders>
                    <w:tl2br w:val="nil"/>
                    <w:tr2bl w:val="nil"/>
                  </w:tcBorders>
                  <w:vAlign w:val="center"/>
                </w:tcPr>
                <w:p w14:paraId="66901E09">
                  <w:pPr>
                    <w:widowControl/>
                    <w:spacing w:line="0" w:lineRule="atLeast"/>
                    <w:jc w:val="center"/>
                    <w:rPr>
                      <w:rFonts w:hint="eastAsia"/>
                      <w:color w:val="auto"/>
                      <w:spacing w:val="-10"/>
                      <w:sz w:val="18"/>
                      <w:szCs w:val="18"/>
                      <w:lang w:val="en-US" w:eastAsia="zh-CN"/>
                    </w:rPr>
                  </w:pPr>
                </w:p>
              </w:tc>
              <w:tc>
                <w:tcPr>
                  <w:tcW w:w="1027" w:type="pct"/>
                  <w:tcBorders>
                    <w:tl2br w:val="nil"/>
                    <w:tr2bl w:val="nil"/>
                  </w:tcBorders>
                  <w:shd w:val="clear" w:color="auto" w:fill="auto"/>
                  <w:vAlign w:val="center"/>
                </w:tcPr>
                <w:p w14:paraId="219A19A8">
                  <w:pPr>
                    <w:jc w:val="center"/>
                    <w:rPr>
                      <w:rFonts w:hint="eastAsia" w:ascii="Times New Roman" w:hAnsi="Times New Roman" w:eastAsia="宋体" w:cs="Times New Roman"/>
                      <w:color w:val="auto"/>
                      <w:spacing w:val="-10"/>
                      <w:kern w:val="2"/>
                      <w:sz w:val="18"/>
                      <w:szCs w:val="18"/>
                      <w:lang w:val="en-US" w:eastAsia="zh-CN" w:bidi="ar-SA"/>
                    </w:rPr>
                  </w:pPr>
                  <w:r>
                    <w:rPr>
                      <w:rFonts w:hint="eastAsia" w:ascii="Times New Roman" w:hAnsi="Times New Roman" w:eastAsia="宋体" w:cs="Times New Roman"/>
                      <w:color w:val="auto"/>
                      <w:spacing w:val="-10"/>
                      <w:sz w:val="18"/>
                      <w:szCs w:val="18"/>
                      <w:lang w:val="en-US" w:eastAsia="zh-CN"/>
                    </w:rPr>
                    <w:t>洒水车</w:t>
                  </w:r>
                </w:p>
              </w:tc>
              <w:tc>
                <w:tcPr>
                  <w:tcW w:w="1679" w:type="pct"/>
                  <w:tcBorders>
                    <w:tl2br w:val="nil"/>
                    <w:tr2bl w:val="nil"/>
                  </w:tcBorders>
                  <w:shd w:val="clear" w:color="auto" w:fill="auto"/>
                  <w:vAlign w:val="center"/>
                </w:tcPr>
                <w:p w14:paraId="53675689">
                  <w:pPr>
                    <w:jc w:val="center"/>
                    <w:rPr>
                      <w:rFonts w:hint="eastAsia" w:ascii="Times New Roman" w:hAnsi="Times New Roman" w:eastAsia="宋体" w:cs="Times New Roman"/>
                      <w:color w:val="auto"/>
                      <w:spacing w:val="-10"/>
                      <w:kern w:val="2"/>
                      <w:sz w:val="18"/>
                      <w:szCs w:val="18"/>
                      <w:lang w:val="en-US" w:eastAsia="zh-CN" w:bidi="ar-SA"/>
                    </w:rPr>
                  </w:pPr>
                  <w:r>
                    <w:rPr>
                      <w:rFonts w:hint="eastAsia" w:ascii="Times New Roman" w:hAnsi="Times New Roman" w:eastAsia="宋体" w:cs="Times New Roman"/>
                      <w:color w:val="auto"/>
                      <w:spacing w:val="-10"/>
                      <w:kern w:val="2"/>
                      <w:sz w:val="18"/>
                      <w:szCs w:val="18"/>
                      <w:lang w:val="en-US" w:eastAsia="zh-CN" w:bidi="ar-SA"/>
                    </w:rPr>
                    <w:t>--</w:t>
                  </w:r>
                </w:p>
              </w:tc>
              <w:tc>
                <w:tcPr>
                  <w:tcW w:w="326" w:type="pct"/>
                  <w:tcBorders>
                    <w:tl2br w:val="nil"/>
                    <w:tr2bl w:val="nil"/>
                  </w:tcBorders>
                  <w:shd w:val="clear" w:color="auto" w:fill="auto"/>
                  <w:vAlign w:val="center"/>
                </w:tcPr>
                <w:p w14:paraId="10438928">
                  <w:pPr>
                    <w:spacing w:line="0" w:lineRule="atLeast"/>
                    <w:jc w:val="center"/>
                    <w:rPr>
                      <w:rFonts w:hint="eastAsia" w:ascii="Times New Roman" w:hAnsi="Times New Roman" w:eastAsia="宋体" w:cs="Times New Roman"/>
                      <w:color w:val="auto"/>
                      <w:spacing w:val="-10"/>
                      <w:kern w:val="2"/>
                      <w:sz w:val="18"/>
                      <w:szCs w:val="18"/>
                      <w:lang w:val="en-US" w:eastAsia="zh-CN" w:bidi="ar-SA"/>
                    </w:rPr>
                  </w:pPr>
                  <w:r>
                    <w:rPr>
                      <w:rFonts w:hint="eastAsia"/>
                      <w:color w:val="auto"/>
                      <w:spacing w:val="-10"/>
                      <w:sz w:val="18"/>
                      <w:szCs w:val="18"/>
                    </w:rPr>
                    <w:t>台</w:t>
                  </w:r>
                </w:p>
              </w:tc>
              <w:tc>
                <w:tcPr>
                  <w:tcW w:w="291" w:type="pct"/>
                  <w:tcBorders>
                    <w:tl2br w:val="nil"/>
                    <w:tr2bl w:val="nil"/>
                  </w:tcBorders>
                  <w:shd w:val="clear" w:color="auto" w:fill="auto"/>
                  <w:vAlign w:val="center"/>
                </w:tcPr>
                <w:p w14:paraId="040ADA21">
                  <w:pPr>
                    <w:spacing w:line="0" w:lineRule="atLeast"/>
                    <w:jc w:val="center"/>
                    <w:rPr>
                      <w:rFonts w:hint="eastAsia" w:ascii="Times New Roman" w:hAnsi="Times New Roman" w:eastAsia="宋体" w:cs="Times New Roman"/>
                      <w:color w:val="auto"/>
                      <w:spacing w:val="-10"/>
                      <w:kern w:val="2"/>
                      <w:sz w:val="18"/>
                      <w:szCs w:val="18"/>
                      <w:lang w:val="en-US" w:eastAsia="zh-CN" w:bidi="ar-SA"/>
                    </w:rPr>
                  </w:pPr>
                  <w:r>
                    <w:rPr>
                      <w:rFonts w:hint="eastAsia" w:eastAsia="宋体"/>
                      <w:color w:val="auto"/>
                      <w:spacing w:val="-10"/>
                      <w:sz w:val="18"/>
                      <w:szCs w:val="18"/>
                      <w:lang w:val="en-US" w:eastAsia="zh-CN"/>
                    </w:rPr>
                    <w:t>1</w:t>
                  </w:r>
                </w:p>
              </w:tc>
              <w:tc>
                <w:tcPr>
                  <w:tcW w:w="632" w:type="pct"/>
                  <w:vMerge w:val="continue"/>
                  <w:tcBorders>
                    <w:tl2br w:val="nil"/>
                    <w:tr2bl w:val="nil"/>
                  </w:tcBorders>
                  <w:shd w:val="clear" w:color="auto" w:fill="auto"/>
                  <w:vAlign w:val="center"/>
                </w:tcPr>
                <w:p w14:paraId="7B923F65">
                  <w:pPr>
                    <w:spacing w:line="0" w:lineRule="atLeast"/>
                    <w:jc w:val="center"/>
                    <w:rPr>
                      <w:rFonts w:hint="default" w:ascii="Times New Roman" w:hAnsi="Times New Roman" w:eastAsia="宋体" w:cs="Times New Roman"/>
                      <w:color w:val="auto"/>
                      <w:spacing w:val="-10"/>
                      <w:kern w:val="2"/>
                      <w:sz w:val="18"/>
                      <w:szCs w:val="18"/>
                      <w:highlight w:val="none"/>
                      <w:lang w:val="en-US" w:eastAsia="zh-CN" w:bidi="ar-SA"/>
                    </w:rPr>
                  </w:pPr>
                </w:p>
              </w:tc>
            </w:tr>
            <w:tr w14:paraId="7734C33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272" w:type="pct"/>
                  <w:tcBorders>
                    <w:tl2br w:val="nil"/>
                    <w:tr2bl w:val="nil"/>
                  </w:tcBorders>
                  <w:shd w:val="clear" w:color="auto" w:fill="auto"/>
                  <w:vAlign w:val="center"/>
                </w:tcPr>
                <w:p w14:paraId="6B7D5ED7">
                  <w:pPr>
                    <w:widowControl/>
                    <w:spacing w:line="0" w:lineRule="atLeast"/>
                    <w:jc w:val="center"/>
                    <w:rPr>
                      <w:rFonts w:hint="default" w:ascii="Times New Roman" w:hAnsi="Times New Roman" w:eastAsia="宋体" w:cs="Times New Roman"/>
                      <w:color w:val="auto"/>
                      <w:spacing w:val="-10"/>
                      <w:kern w:val="2"/>
                      <w:sz w:val="18"/>
                      <w:szCs w:val="18"/>
                      <w:lang w:val="en-US" w:eastAsia="zh-CN" w:bidi="ar-SA"/>
                    </w:rPr>
                  </w:pPr>
                  <w:r>
                    <w:rPr>
                      <w:rFonts w:hint="eastAsia" w:cs="Times New Roman"/>
                      <w:color w:val="auto"/>
                      <w:spacing w:val="-10"/>
                      <w:kern w:val="2"/>
                      <w:sz w:val="18"/>
                      <w:szCs w:val="18"/>
                      <w:lang w:val="en-US" w:eastAsia="zh-CN" w:bidi="ar-SA"/>
                    </w:rPr>
                    <w:t>38</w:t>
                  </w:r>
                </w:p>
              </w:tc>
              <w:tc>
                <w:tcPr>
                  <w:tcW w:w="770" w:type="pct"/>
                  <w:gridSpan w:val="2"/>
                  <w:vMerge w:val="continue"/>
                  <w:tcBorders>
                    <w:tl2br w:val="nil"/>
                    <w:tr2bl w:val="nil"/>
                  </w:tcBorders>
                  <w:vAlign w:val="center"/>
                </w:tcPr>
                <w:p w14:paraId="777EA2AF">
                  <w:pPr>
                    <w:widowControl/>
                    <w:spacing w:line="0" w:lineRule="atLeast"/>
                    <w:jc w:val="center"/>
                    <w:rPr>
                      <w:rFonts w:hint="eastAsia"/>
                      <w:color w:val="auto"/>
                      <w:spacing w:val="-10"/>
                      <w:sz w:val="18"/>
                      <w:szCs w:val="18"/>
                      <w:lang w:val="en-US" w:eastAsia="zh-CN"/>
                    </w:rPr>
                  </w:pPr>
                </w:p>
              </w:tc>
              <w:tc>
                <w:tcPr>
                  <w:tcW w:w="1027" w:type="pct"/>
                  <w:tcBorders>
                    <w:tl2br w:val="nil"/>
                    <w:tr2bl w:val="nil"/>
                  </w:tcBorders>
                  <w:shd w:val="clear" w:color="auto" w:fill="auto"/>
                  <w:vAlign w:val="center"/>
                </w:tcPr>
                <w:p w14:paraId="60060769">
                  <w:pPr>
                    <w:jc w:val="center"/>
                    <w:rPr>
                      <w:rFonts w:hint="eastAsia" w:ascii="Times New Roman" w:hAnsi="Times New Roman" w:eastAsia="宋体" w:cs="Times New Roman"/>
                      <w:color w:val="auto"/>
                      <w:spacing w:val="-10"/>
                      <w:kern w:val="2"/>
                      <w:sz w:val="18"/>
                      <w:szCs w:val="18"/>
                      <w:lang w:val="en-US" w:eastAsia="zh-CN" w:bidi="ar-SA"/>
                    </w:rPr>
                  </w:pPr>
                  <w:r>
                    <w:rPr>
                      <w:rFonts w:hint="eastAsia" w:cs="Times New Roman"/>
                      <w:color w:val="auto"/>
                      <w:spacing w:val="-10"/>
                      <w:sz w:val="18"/>
                      <w:szCs w:val="18"/>
                      <w:lang w:val="en-US" w:eastAsia="zh-CN"/>
                    </w:rPr>
                    <w:t>叉车</w:t>
                  </w:r>
                </w:p>
              </w:tc>
              <w:tc>
                <w:tcPr>
                  <w:tcW w:w="1679" w:type="pct"/>
                  <w:tcBorders>
                    <w:tl2br w:val="nil"/>
                    <w:tr2bl w:val="nil"/>
                  </w:tcBorders>
                  <w:shd w:val="clear" w:color="auto" w:fill="auto"/>
                  <w:vAlign w:val="center"/>
                </w:tcPr>
                <w:p w14:paraId="5929342F">
                  <w:pPr>
                    <w:widowControl/>
                    <w:spacing w:line="0" w:lineRule="atLeast"/>
                    <w:jc w:val="center"/>
                    <w:rPr>
                      <w:rFonts w:hint="default" w:ascii="Times New Roman" w:hAnsi="Times New Roman" w:eastAsia="宋体" w:cs="Times New Roman"/>
                      <w:color w:val="auto"/>
                      <w:spacing w:val="-10"/>
                      <w:sz w:val="18"/>
                      <w:szCs w:val="18"/>
                      <w:lang w:val="en-US" w:eastAsia="zh-CN"/>
                    </w:rPr>
                  </w:pPr>
                  <w:r>
                    <w:rPr>
                      <w:rFonts w:hint="eastAsia" w:ascii="Times New Roman" w:hAnsi="Times New Roman" w:eastAsia="宋体" w:cs="Times New Roman"/>
                      <w:color w:val="auto"/>
                      <w:spacing w:val="-10"/>
                      <w:sz w:val="18"/>
                      <w:szCs w:val="18"/>
                      <w:lang w:val="en-US" w:eastAsia="zh-CN"/>
                    </w:rPr>
                    <w:t>龙工FD30T，燃油车</w:t>
                  </w:r>
                </w:p>
              </w:tc>
              <w:tc>
                <w:tcPr>
                  <w:tcW w:w="326" w:type="pct"/>
                  <w:tcBorders>
                    <w:tl2br w:val="nil"/>
                    <w:tr2bl w:val="nil"/>
                  </w:tcBorders>
                  <w:shd w:val="clear" w:color="auto" w:fill="auto"/>
                  <w:vAlign w:val="center"/>
                </w:tcPr>
                <w:p w14:paraId="7EC25005">
                  <w:pPr>
                    <w:spacing w:line="0" w:lineRule="atLeast"/>
                    <w:jc w:val="center"/>
                    <w:rPr>
                      <w:rFonts w:hint="eastAsia" w:ascii="Times New Roman" w:hAnsi="Times New Roman" w:eastAsia="宋体" w:cs="Times New Roman"/>
                      <w:color w:val="auto"/>
                      <w:spacing w:val="-10"/>
                      <w:kern w:val="2"/>
                      <w:sz w:val="18"/>
                      <w:szCs w:val="18"/>
                      <w:lang w:val="en-US" w:eastAsia="zh-CN" w:bidi="ar-SA"/>
                    </w:rPr>
                  </w:pPr>
                  <w:r>
                    <w:rPr>
                      <w:rFonts w:hint="eastAsia"/>
                      <w:color w:val="auto"/>
                      <w:spacing w:val="-10"/>
                      <w:sz w:val="18"/>
                      <w:szCs w:val="18"/>
                    </w:rPr>
                    <w:t>台</w:t>
                  </w:r>
                </w:p>
              </w:tc>
              <w:tc>
                <w:tcPr>
                  <w:tcW w:w="291" w:type="pct"/>
                  <w:tcBorders>
                    <w:tl2br w:val="nil"/>
                    <w:tr2bl w:val="nil"/>
                  </w:tcBorders>
                  <w:shd w:val="clear" w:color="auto" w:fill="auto"/>
                  <w:vAlign w:val="center"/>
                </w:tcPr>
                <w:p w14:paraId="5382B6CD">
                  <w:pPr>
                    <w:spacing w:line="0" w:lineRule="atLeast"/>
                    <w:jc w:val="center"/>
                    <w:rPr>
                      <w:rFonts w:hint="eastAsia" w:ascii="Times New Roman" w:hAnsi="Times New Roman" w:eastAsia="宋体" w:cs="Times New Roman"/>
                      <w:color w:val="auto"/>
                      <w:spacing w:val="-10"/>
                      <w:kern w:val="2"/>
                      <w:sz w:val="18"/>
                      <w:szCs w:val="18"/>
                      <w:lang w:val="en-US" w:eastAsia="zh-CN" w:bidi="ar-SA"/>
                    </w:rPr>
                  </w:pPr>
                  <w:r>
                    <w:rPr>
                      <w:rFonts w:hint="eastAsia" w:eastAsia="宋体"/>
                      <w:color w:val="auto"/>
                      <w:spacing w:val="-10"/>
                      <w:sz w:val="18"/>
                      <w:szCs w:val="18"/>
                      <w:lang w:val="en-US" w:eastAsia="zh-CN"/>
                    </w:rPr>
                    <w:t>1</w:t>
                  </w:r>
                </w:p>
              </w:tc>
              <w:tc>
                <w:tcPr>
                  <w:tcW w:w="632" w:type="pct"/>
                  <w:vMerge w:val="continue"/>
                  <w:tcBorders>
                    <w:tl2br w:val="nil"/>
                    <w:tr2bl w:val="nil"/>
                  </w:tcBorders>
                  <w:shd w:val="clear" w:color="auto" w:fill="auto"/>
                  <w:vAlign w:val="center"/>
                </w:tcPr>
                <w:p w14:paraId="0CF63C1C">
                  <w:pPr>
                    <w:spacing w:line="0" w:lineRule="atLeast"/>
                    <w:jc w:val="center"/>
                    <w:rPr>
                      <w:rFonts w:hint="eastAsia" w:ascii="Times New Roman" w:hAnsi="Times New Roman" w:eastAsia="宋体" w:cs="Times New Roman"/>
                      <w:color w:val="auto"/>
                      <w:spacing w:val="-10"/>
                      <w:kern w:val="2"/>
                      <w:sz w:val="18"/>
                      <w:szCs w:val="18"/>
                      <w:lang w:val="en-US" w:eastAsia="zh-CN" w:bidi="ar-SA"/>
                    </w:rPr>
                  </w:pPr>
                </w:p>
              </w:tc>
            </w:tr>
            <w:tr w14:paraId="381A361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272" w:type="pct"/>
                  <w:tcBorders>
                    <w:tl2br w:val="nil"/>
                    <w:tr2bl w:val="nil"/>
                  </w:tcBorders>
                  <w:shd w:val="clear" w:color="auto" w:fill="auto"/>
                  <w:vAlign w:val="center"/>
                </w:tcPr>
                <w:p w14:paraId="3BCB8583">
                  <w:pPr>
                    <w:widowControl/>
                    <w:spacing w:line="0" w:lineRule="atLeast"/>
                    <w:jc w:val="center"/>
                    <w:rPr>
                      <w:rFonts w:hint="default" w:ascii="Times New Roman" w:hAnsi="Times New Roman" w:eastAsia="宋体" w:cs="Times New Roman"/>
                      <w:color w:val="auto"/>
                      <w:spacing w:val="-10"/>
                      <w:kern w:val="2"/>
                      <w:sz w:val="18"/>
                      <w:szCs w:val="18"/>
                      <w:lang w:val="en-US" w:eastAsia="zh-CN" w:bidi="ar-SA"/>
                    </w:rPr>
                  </w:pPr>
                  <w:r>
                    <w:rPr>
                      <w:rFonts w:hint="eastAsia"/>
                      <w:color w:val="auto"/>
                      <w:spacing w:val="-10"/>
                      <w:sz w:val="18"/>
                      <w:szCs w:val="18"/>
                      <w:lang w:val="en-US" w:eastAsia="zh-CN"/>
                    </w:rPr>
                    <w:t>39</w:t>
                  </w:r>
                </w:p>
              </w:tc>
              <w:tc>
                <w:tcPr>
                  <w:tcW w:w="770" w:type="pct"/>
                  <w:gridSpan w:val="2"/>
                  <w:vMerge w:val="continue"/>
                  <w:tcBorders>
                    <w:tl2br w:val="nil"/>
                    <w:tr2bl w:val="nil"/>
                  </w:tcBorders>
                  <w:vAlign w:val="center"/>
                </w:tcPr>
                <w:p w14:paraId="65B5CF33">
                  <w:pPr>
                    <w:widowControl/>
                    <w:spacing w:line="0" w:lineRule="atLeast"/>
                    <w:jc w:val="center"/>
                    <w:rPr>
                      <w:rFonts w:hint="eastAsia"/>
                      <w:color w:val="auto"/>
                      <w:spacing w:val="-10"/>
                      <w:sz w:val="18"/>
                      <w:szCs w:val="18"/>
                      <w:lang w:val="en-US" w:eastAsia="zh-CN"/>
                    </w:rPr>
                  </w:pPr>
                </w:p>
              </w:tc>
              <w:tc>
                <w:tcPr>
                  <w:tcW w:w="1027" w:type="pct"/>
                  <w:tcBorders>
                    <w:tl2br w:val="nil"/>
                    <w:tr2bl w:val="nil"/>
                  </w:tcBorders>
                  <w:shd w:val="clear" w:color="auto" w:fill="auto"/>
                  <w:vAlign w:val="center"/>
                </w:tcPr>
                <w:p w14:paraId="6E54C0E7">
                  <w:pPr>
                    <w:jc w:val="center"/>
                    <w:rPr>
                      <w:rFonts w:hint="eastAsia" w:ascii="Times New Roman" w:hAnsi="Times New Roman" w:eastAsia="宋体" w:cs="Times New Roman"/>
                      <w:color w:val="auto"/>
                      <w:spacing w:val="-10"/>
                      <w:sz w:val="18"/>
                      <w:szCs w:val="18"/>
                      <w:lang w:val="en-US" w:eastAsia="zh-CN"/>
                    </w:rPr>
                  </w:pPr>
                  <w:r>
                    <w:rPr>
                      <w:rFonts w:hint="eastAsia" w:ascii="Times New Roman" w:hAnsi="Times New Roman" w:eastAsia="宋体" w:cs="Times New Roman"/>
                      <w:color w:val="auto"/>
                      <w:spacing w:val="-10"/>
                      <w:sz w:val="18"/>
                      <w:szCs w:val="18"/>
                      <w:lang w:val="en-US" w:eastAsia="zh-CN"/>
                    </w:rPr>
                    <w:t>装载机</w:t>
                  </w:r>
                </w:p>
              </w:tc>
              <w:tc>
                <w:tcPr>
                  <w:tcW w:w="1679" w:type="pct"/>
                  <w:tcBorders>
                    <w:tl2br w:val="nil"/>
                    <w:tr2bl w:val="nil"/>
                  </w:tcBorders>
                  <w:shd w:val="clear" w:color="auto" w:fill="auto"/>
                  <w:vAlign w:val="center"/>
                </w:tcPr>
                <w:p w14:paraId="67455DE3">
                  <w:pPr>
                    <w:widowControl/>
                    <w:spacing w:line="0" w:lineRule="atLeast"/>
                    <w:jc w:val="center"/>
                    <w:rPr>
                      <w:rFonts w:hint="default" w:ascii="Times New Roman" w:hAnsi="Times New Roman" w:eastAsia="宋体" w:cs="Times New Roman"/>
                      <w:color w:val="auto"/>
                      <w:spacing w:val="-10"/>
                      <w:sz w:val="18"/>
                      <w:szCs w:val="18"/>
                      <w:lang w:val="en-US" w:eastAsia="zh-CN"/>
                    </w:rPr>
                  </w:pPr>
                  <w:r>
                    <w:rPr>
                      <w:rFonts w:hint="eastAsia" w:ascii="Times New Roman" w:hAnsi="Times New Roman" w:eastAsia="宋体" w:cs="Times New Roman"/>
                      <w:color w:val="auto"/>
                      <w:spacing w:val="-10"/>
                      <w:sz w:val="18"/>
                      <w:szCs w:val="18"/>
                      <w:lang w:val="en-US" w:eastAsia="zh-CN"/>
                    </w:rPr>
                    <w:t>徐工LW180FM，燃油车</w:t>
                  </w:r>
                </w:p>
              </w:tc>
              <w:tc>
                <w:tcPr>
                  <w:tcW w:w="326" w:type="pct"/>
                  <w:tcBorders>
                    <w:tl2br w:val="nil"/>
                    <w:tr2bl w:val="nil"/>
                  </w:tcBorders>
                  <w:shd w:val="clear" w:color="auto" w:fill="auto"/>
                  <w:vAlign w:val="center"/>
                </w:tcPr>
                <w:p w14:paraId="7B691195">
                  <w:pPr>
                    <w:spacing w:line="0" w:lineRule="atLeast"/>
                    <w:jc w:val="center"/>
                    <w:rPr>
                      <w:rFonts w:hint="eastAsia" w:ascii="Times New Roman" w:hAnsi="Times New Roman" w:eastAsia="宋体" w:cs="Times New Roman"/>
                      <w:color w:val="auto"/>
                      <w:spacing w:val="-10"/>
                      <w:kern w:val="2"/>
                      <w:sz w:val="18"/>
                      <w:szCs w:val="18"/>
                      <w:lang w:val="en-US" w:eastAsia="zh-CN" w:bidi="ar-SA"/>
                    </w:rPr>
                  </w:pPr>
                  <w:r>
                    <w:rPr>
                      <w:rFonts w:hint="eastAsia"/>
                      <w:color w:val="auto"/>
                      <w:spacing w:val="-10"/>
                      <w:sz w:val="18"/>
                      <w:szCs w:val="18"/>
                    </w:rPr>
                    <w:t>台</w:t>
                  </w:r>
                </w:p>
              </w:tc>
              <w:tc>
                <w:tcPr>
                  <w:tcW w:w="291" w:type="pct"/>
                  <w:tcBorders>
                    <w:tl2br w:val="nil"/>
                    <w:tr2bl w:val="nil"/>
                  </w:tcBorders>
                  <w:shd w:val="clear" w:color="auto" w:fill="auto"/>
                  <w:vAlign w:val="center"/>
                </w:tcPr>
                <w:p w14:paraId="73FB32B4">
                  <w:pPr>
                    <w:spacing w:line="0" w:lineRule="atLeast"/>
                    <w:jc w:val="center"/>
                    <w:rPr>
                      <w:rFonts w:hint="eastAsia" w:ascii="Times New Roman" w:hAnsi="Times New Roman" w:eastAsia="宋体" w:cs="Times New Roman"/>
                      <w:color w:val="auto"/>
                      <w:spacing w:val="-10"/>
                      <w:kern w:val="2"/>
                      <w:sz w:val="18"/>
                      <w:szCs w:val="18"/>
                      <w:lang w:val="en-US" w:eastAsia="zh-CN" w:bidi="ar-SA"/>
                    </w:rPr>
                  </w:pPr>
                  <w:r>
                    <w:rPr>
                      <w:rFonts w:hint="eastAsia"/>
                      <w:color w:val="auto"/>
                      <w:spacing w:val="-10"/>
                      <w:sz w:val="18"/>
                      <w:szCs w:val="18"/>
                      <w:lang w:val="en-US" w:eastAsia="zh-CN"/>
                    </w:rPr>
                    <w:t>3</w:t>
                  </w:r>
                </w:p>
              </w:tc>
              <w:tc>
                <w:tcPr>
                  <w:tcW w:w="632" w:type="pct"/>
                  <w:vMerge w:val="continue"/>
                  <w:tcBorders>
                    <w:tl2br w:val="nil"/>
                    <w:tr2bl w:val="nil"/>
                  </w:tcBorders>
                  <w:shd w:val="clear" w:color="auto" w:fill="auto"/>
                  <w:vAlign w:val="center"/>
                </w:tcPr>
                <w:p w14:paraId="576B3D74">
                  <w:pPr>
                    <w:spacing w:line="0" w:lineRule="atLeast"/>
                    <w:jc w:val="center"/>
                    <w:rPr>
                      <w:rFonts w:hint="eastAsia" w:ascii="Times New Roman" w:hAnsi="Times New Roman" w:eastAsia="宋体" w:cs="Times New Roman"/>
                      <w:color w:val="auto"/>
                      <w:spacing w:val="-10"/>
                      <w:kern w:val="2"/>
                      <w:sz w:val="18"/>
                      <w:szCs w:val="18"/>
                      <w:lang w:val="en-US" w:eastAsia="zh-CN" w:bidi="ar-SA"/>
                    </w:rPr>
                  </w:pPr>
                </w:p>
              </w:tc>
            </w:tr>
          </w:tbl>
          <w:p w14:paraId="6CA376DE">
            <w:pPr>
              <w:pStyle w:val="24"/>
              <w:adjustRightInd w:val="0"/>
              <w:snapToGrid w:val="0"/>
              <w:spacing w:before="0" w:beforeAutospacing="0" w:after="0" w:afterAutospacing="0" w:line="440" w:lineRule="exact"/>
              <w:ind w:firstLine="422" w:firstLineChars="200"/>
              <w:rPr>
                <w:rFonts w:hint="default" w:ascii="Times New Roman" w:hAnsi="Times New Roman"/>
                <w:b/>
                <w:bCs/>
                <w:color w:val="auto"/>
                <w:sz w:val="21"/>
                <w:szCs w:val="21"/>
                <w:lang w:val="en-US" w:eastAsia="zh-CN"/>
              </w:rPr>
            </w:pPr>
            <w:r>
              <w:rPr>
                <w:rFonts w:hint="eastAsia" w:ascii="Times New Roman" w:hAnsi="Times New Roman"/>
                <w:b/>
                <w:bCs/>
                <w:color w:val="auto"/>
                <w:sz w:val="21"/>
                <w:szCs w:val="21"/>
                <w:lang w:val="en-US" w:eastAsia="zh-CN"/>
              </w:rPr>
              <w:t>5.2</w:t>
            </w:r>
            <w:r>
              <w:rPr>
                <w:rFonts w:hint="eastAsia" w:ascii="Times New Roman" w:hAnsi="Times New Roman" w:cs="Times New Roman"/>
                <w:b/>
                <w:color w:val="auto"/>
                <w:sz w:val="21"/>
                <w:szCs w:val="21"/>
                <w:lang w:val="en-US" w:eastAsia="zh-CN"/>
              </w:rPr>
              <w:t>生产设备生产时间核算</w:t>
            </w:r>
          </w:p>
          <w:p w14:paraId="01D66290">
            <w:pPr>
              <w:pStyle w:val="24"/>
              <w:adjustRightInd w:val="0"/>
              <w:snapToGrid w:val="0"/>
              <w:spacing w:before="0" w:beforeAutospacing="0" w:after="0" w:afterAutospacing="0" w:line="440" w:lineRule="exact"/>
              <w:jc w:val="center"/>
              <w:rPr>
                <w:rFonts w:hint="eastAsia" w:ascii="Times New Roman" w:hAnsi="Times New Roman" w:cs="Times New Roman"/>
                <w:b/>
                <w:color w:val="auto"/>
                <w:sz w:val="21"/>
                <w:szCs w:val="21"/>
                <w:lang w:val="zh-CN"/>
              </w:rPr>
            </w:pPr>
          </w:p>
          <w:p w14:paraId="7C60C55E">
            <w:pPr>
              <w:pStyle w:val="24"/>
              <w:adjustRightInd w:val="0"/>
              <w:snapToGrid w:val="0"/>
              <w:spacing w:before="0" w:beforeAutospacing="0" w:after="0" w:afterAutospacing="0" w:line="440" w:lineRule="exact"/>
              <w:jc w:val="center"/>
              <w:rPr>
                <w:rFonts w:hint="eastAsia" w:ascii="Times New Roman" w:hAnsi="Times New Roman" w:cs="Times New Roman"/>
                <w:b/>
                <w:color w:val="auto"/>
                <w:sz w:val="21"/>
                <w:szCs w:val="21"/>
                <w:lang w:val="zh-CN"/>
              </w:rPr>
            </w:pPr>
          </w:p>
          <w:p w14:paraId="27004AAB">
            <w:pPr>
              <w:pStyle w:val="24"/>
              <w:adjustRightInd w:val="0"/>
              <w:snapToGrid w:val="0"/>
              <w:spacing w:before="0" w:beforeAutospacing="0" w:after="0" w:afterAutospacing="0" w:line="440" w:lineRule="exact"/>
              <w:jc w:val="center"/>
              <w:rPr>
                <w:rFonts w:hint="eastAsia" w:ascii="Times New Roman" w:hAnsi="Times New Roman" w:cs="Times New Roman"/>
                <w:b/>
                <w:color w:val="auto"/>
                <w:sz w:val="21"/>
                <w:szCs w:val="21"/>
                <w:lang w:val="zh-CN"/>
              </w:rPr>
            </w:pPr>
            <w:r>
              <w:rPr>
                <w:rFonts w:hint="eastAsia" w:ascii="Times New Roman" w:hAnsi="Times New Roman" w:cs="Times New Roman"/>
                <w:b/>
                <w:color w:val="auto"/>
                <w:sz w:val="21"/>
                <w:szCs w:val="21"/>
                <w:lang w:val="zh-CN"/>
              </w:rPr>
              <w:t>表</w:t>
            </w:r>
            <w:r>
              <w:rPr>
                <w:rFonts w:hint="eastAsia" w:ascii="Times New Roman" w:hAnsi="Times New Roman" w:cs="Times New Roman"/>
                <w:b/>
                <w:color w:val="auto"/>
                <w:sz w:val="21"/>
                <w:szCs w:val="21"/>
                <w:lang w:val="en-US" w:eastAsia="zh-CN"/>
              </w:rPr>
              <w:t>9</w:t>
            </w:r>
            <w:r>
              <w:rPr>
                <w:rFonts w:hint="eastAsia" w:ascii="Times New Roman" w:hAnsi="Times New Roman" w:cs="Times New Roman"/>
                <w:b/>
                <w:color w:val="auto"/>
                <w:sz w:val="21"/>
                <w:szCs w:val="21"/>
                <w:lang w:val="zh-CN"/>
              </w:rPr>
              <w:t xml:space="preserve"> 项目</w:t>
            </w:r>
            <w:r>
              <w:rPr>
                <w:rFonts w:hint="eastAsia" w:ascii="Times New Roman" w:hAnsi="Times New Roman" w:cs="Times New Roman"/>
                <w:b/>
                <w:color w:val="auto"/>
                <w:sz w:val="21"/>
                <w:szCs w:val="21"/>
                <w:lang w:val="en-US" w:eastAsia="zh-CN"/>
              </w:rPr>
              <w:t>主要设备生产时间</w:t>
            </w:r>
            <w:r>
              <w:rPr>
                <w:rFonts w:hint="eastAsia" w:ascii="Times New Roman" w:hAnsi="Times New Roman" w:cs="Times New Roman"/>
                <w:b/>
                <w:color w:val="auto"/>
                <w:sz w:val="21"/>
                <w:szCs w:val="21"/>
                <w:lang w:val="zh-CN"/>
              </w:rPr>
              <w:t>核算表</w:t>
            </w:r>
          </w:p>
          <w:tbl>
            <w:tblPr>
              <w:tblStyle w:val="29"/>
              <w:tblW w:w="8068" w:type="dxa"/>
              <w:tblInd w:w="-7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558"/>
              <w:gridCol w:w="880"/>
              <w:gridCol w:w="913"/>
              <w:gridCol w:w="1049"/>
              <w:gridCol w:w="891"/>
              <w:gridCol w:w="1348"/>
              <w:gridCol w:w="1500"/>
              <w:gridCol w:w="929"/>
            </w:tblGrid>
            <w:tr w14:paraId="4AE6BA1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89" w:hRule="atLeast"/>
              </w:trPr>
              <w:tc>
                <w:tcPr>
                  <w:tcW w:w="558" w:type="dxa"/>
                  <w:tcBorders>
                    <w:tl2br w:val="nil"/>
                    <w:tr2bl w:val="nil"/>
                  </w:tcBorders>
                  <w:vAlign w:val="center"/>
                </w:tcPr>
                <w:p w14:paraId="4AD0CF03">
                  <w:pPr>
                    <w:spacing w:line="0" w:lineRule="atLeast"/>
                    <w:jc w:val="center"/>
                    <w:rPr>
                      <w:rFonts w:hint="default" w:ascii="Times New Roman" w:hAnsi="Times New Roman" w:cs="Times New Roman"/>
                      <w:color w:val="auto"/>
                      <w:spacing w:val="-10"/>
                      <w:sz w:val="18"/>
                      <w:szCs w:val="18"/>
                      <w:lang w:val="en-US" w:eastAsia="zh-CN"/>
                    </w:rPr>
                  </w:pPr>
                  <w:r>
                    <w:rPr>
                      <w:rFonts w:hint="eastAsia" w:ascii="Times New Roman" w:hAnsi="Times New Roman" w:cs="Times New Roman"/>
                      <w:color w:val="auto"/>
                      <w:spacing w:val="-10"/>
                      <w:sz w:val="18"/>
                      <w:szCs w:val="18"/>
                      <w:lang w:val="en-US" w:eastAsia="zh-CN"/>
                    </w:rPr>
                    <w:t>序号</w:t>
                  </w:r>
                </w:p>
              </w:tc>
              <w:tc>
                <w:tcPr>
                  <w:tcW w:w="1793" w:type="dxa"/>
                  <w:gridSpan w:val="2"/>
                  <w:tcBorders>
                    <w:tl2br w:val="nil"/>
                    <w:tr2bl w:val="nil"/>
                  </w:tcBorders>
                  <w:vAlign w:val="center"/>
                </w:tcPr>
                <w:p w14:paraId="0238063B">
                  <w:pPr>
                    <w:spacing w:line="0" w:lineRule="atLeast"/>
                    <w:jc w:val="center"/>
                    <w:rPr>
                      <w:rFonts w:hint="default" w:ascii="Times New Roman" w:hAnsi="Times New Roman" w:cs="Times New Roman"/>
                      <w:color w:val="auto"/>
                      <w:spacing w:val="-10"/>
                      <w:sz w:val="18"/>
                      <w:szCs w:val="18"/>
                      <w:lang w:val="en-US" w:eastAsia="zh-CN"/>
                    </w:rPr>
                  </w:pPr>
                  <w:r>
                    <w:rPr>
                      <w:rFonts w:hint="eastAsia"/>
                      <w:color w:val="auto"/>
                      <w:spacing w:val="-10"/>
                      <w:sz w:val="18"/>
                      <w:szCs w:val="18"/>
                    </w:rPr>
                    <w:t>设备名称</w:t>
                  </w:r>
                </w:p>
              </w:tc>
              <w:tc>
                <w:tcPr>
                  <w:tcW w:w="1049" w:type="dxa"/>
                  <w:tcBorders>
                    <w:tl2br w:val="nil"/>
                    <w:tr2bl w:val="nil"/>
                  </w:tcBorders>
                  <w:vAlign w:val="center"/>
                </w:tcPr>
                <w:p w14:paraId="3EEEDA8F">
                  <w:pPr>
                    <w:spacing w:line="0" w:lineRule="atLeast"/>
                    <w:jc w:val="center"/>
                    <w:rPr>
                      <w:rFonts w:hint="default" w:ascii="Times New Roman" w:hAnsi="Times New Roman" w:cs="Times New Roman"/>
                      <w:color w:val="auto"/>
                      <w:spacing w:val="-10"/>
                      <w:sz w:val="18"/>
                      <w:szCs w:val="18"/>
                      <w:lang w:val="en-US" w:eastAsia="zh-CN"/>
                    </w:rPr>
                  </w:pPr>
                  <w:r>
                    <w:rPr>
                      <w:rFonts w:hint="eastAsia"/>
                      <w:color w:val="auto"/>
                      <w:spacing w:val="-10"/>
                      <w:sz w:val="18"/>
                      <w:szCs w:val="18"/>
                    </w:rPr>
                    <w:t>规格型号</w:t>
                  </w:r>
                </w:p>
              </w:tc>
              <w:tc>
                <w:tcPr>
                  <w:tcW w:w="891" w:type="dxa"/>
                  <w:tcBorders>
                    <w:tl2br w:val="nil"/>
                    <w:tr2bl w:val="nil"/>
                  </w:tcBorders>
                  <w:vAlign w:val="center"/>
                </w:tcPr>
                <w:p w14:paraId="3F06C0FA">
                  <w:pPr>
                    <w:spacing w:line="0" w:lineRule="atLeast"/>
                    <w:jc w:val="center"/>
                    <w:rPr>
                      <w:rFonts w:hint="default" w:ascii="Times New Roman" w:hAnsi="Times New Roman" w:cs="Times New Roman"/>
                      <w:color w:val="auto"/>
                      <w:spacing w:val="-10"/>
                      <w:sz w:val="18"/>
                      <w:szCs w:val="18"/>
                      <w:lang w:val="en-US" w:eastAsia="zh-CN"/>
                    </w:rPr>
                  </w:pPr>
                  <w:r>
                    <w:rPr>
                      <w:rFonts w:hint="eastAsia" w:ascii="Times New Roman" w:hAnsi="Times New Roman" w:cs="Times New Roman"/>
                      <w:color w:val="auto"/>
                      <w:spacing w:val="-10"/>
                      <w:sz w:val="18"/>
                      <w:szCs w:val="18"/>
                      <w:lang w:val="en-US" w:eastAsia="zh-CN"/>
                    </w:rPr>
                    <w:t>生产能力</w:t>
                  </w:r>
                </w:p>
              </w:tc>
              <w:tc>
                <w:tcPr>
                  <w:tcW w:w="1348" w:type="dxa"/>
                  <w:tcBorders>
                    <w:tl2br w:val="nil"/>
                    <w:tr2bl w:val="nil"/>
                  </w:tcBorders>
                  <w:vAlign w:val="center"/>
                </w:tcPr>
                <w:p w14:paraId="54CD41C1">
                  <w:pPr>
                    <w:spacing w:line="0" w:lineRule="atLeast"/>
                    <w:jc w:val="center"/>
                    <w:rPr>
                      <w:rFonts w:hint="default" w:ascii="Times New Roman" w:hAnsi="Times New Roman" w:cs="Times New Roman"/>
                      <w:color w:val="auto"/>
                      <w:spacing w:val="-10"/>
                      <w:sz w:val="18"/>
                      <w:szCs w:val="18"/>
                      <w:lang w:val="en-US" w:eastAsia="zh-CN"/>
                    </w:rPr>
                  </w:pPr>
                  <w:r>
                    <w:rPr>
                      <w:rFonts w:hint="eastAsia" w:ascii="Times New Roman" w:hAnsi="Times New Roman" w:cs="Times New Roman"/>
                      <w:color w:val="auto"/>
                      <w:spacing w:val="-10"/>
                      <w:sz w:val="18"/>
                      <w:szCs w:val="18"/>
                      <w:lang w:val="en-US" w:eastAsia="zh-CN"/>
                    </w:rPr>
                    <w:t>物料量</w:t>
                  </w:r>
                </w:p>
              </w:tc>
              <w:tc>
                <w:tcPr>
                  <w:tcW w:w="1500" w:type="dxa"/>
                  <w:tcBorders>
                    <w:tl2br w:val="nil"/>
                    <w:tr2bl w:val="nil"/>
                  </w:tcBorders>
                  <w:vAlign w:val="center"/>
                </w:tcPr>
                <w:p w14:paraId="30A9E7CC">
                  <w:pPr>
                    <w:spacing w:line="0" w:lineRule="atLeast"/>
                    <w:jc w:val="center"/>
                    <w:rPr>
                      <w:rFonts w:hint="default" w:ascii="Times New Roman" w:hAnsi="Times New Roman" w:cs="Times New Roman"/>
                      <w:color w:val="auto"/>
                      <w:spacing w:val="-10"/>
                      <w:sz w:val="18"/>
                      <w:szCs w:val="18"/>
                      <w:lang w:val="en-US" w:eastAsia="zh-CN"/>
                    </w:rPr>
                  </w:pPr>
                  <w:r>
                    <w:rPr>
                      <w:rFonts w:hint="eastAsia" w:ascii="Times New Roman" w:hAnsi="Times New Roman" w:cs="Times New Roman"/>
                      <w:color w:val="auto"/>
                      <w:spacing w:val="-10"/>
                      <w:sz w:val="18"/>
                      <w:szCs w:val="18"/>
                      <w:lang w:val="en-US" w:eastAsia="zh-CN"/>
                    </w:rPr>
                    <w:t>本评价取生产能力</w:t>
                  </w:r>
                </w:p>
              </w:tc>
              <w:tc>
                <w:tcPr>
                  <w:tcW w:w="929" w:type="dxa"/>
                  <w:tcBorders>
                    <w:tl2br w:val="nil"/>
                    <w:tr2bl w:val="nil"/>
                  </w:tcBorders>
                  <w:vAlign w:val="center"/>
                </w:tcPr>
                <w:p w14:paraId="23D93F66">
                  <w:pPr>
                    <w:spacing w:line="0" w:lineRule="atLeast"/>
                    <w:jc w:val="center"/>
                    <w:rPr>
                      <w:rFonts w:hint="default" w:ascii="Times New Roman" w:hAnsi="Times New Roman" w:cs="Times New Roman"/>
                      <w:color w:val="auto"/>
                      <w:spacing w:val="-10"/>
                      <w:sz w:val="18"/>
                      <w:szCs w:val="18"/>
                      <w:lang w:val="en-US" w:eastAsia="zh-CN"/>
                    </w:rPr>
                  </w:pPr>
                  <w:r>
                    <w:rPr>
                      <w:rFonts w:hint="eastAsia" w:ascii="Times New Roman" w:hAnsi="Times New Roman" w:cs="Times New Roman"/>
                      <w:color w:val="auto"/>
                      <w:spacing w:val="-10"/>
                      <w:sz w:val="18"/>
                      <w:szCs w:val="18"/>
                      <w:lang w:val="en-US" w:eastAsia="zh-CN"/>
                    </w:rPr>
                    <w:t>运行时间</w:t>
                  </w:r>
                </w:p>
              </w:tc>
            </w:tr>
            <w:tr w14:paraId="2A8A6F4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89" w:hRule="atLeast"/>
              </w:trPr>
              <w:tc>
                <w:tcPr>
                  <w:tcW w:w="558" w:type="dxa"/>
                  <w:vMerge w:val="restart"/>
                  <w:tcBorders>
                    <w:tl2br w:val="nil"/>
                    <w:tr2bl w:val="nil"/>
                  </w:tcBorders>
                  <w:vAlign w:val="center"/>
                </w:tcPr>
                <w:p w14:paraId="4E3ED478">
                  <w:pPr>
                    <w:spacing w:line="0" w:lineRule="atLeast"/>
                    <w:jc w:val="center"/>
                    <w:rPr>
                      <w:rFonts w:hint="default" w:ascii="Times New Roman" w:hAnsi="Times New Roman" w:cs="Times New Roman"/>
                      <w:color w:val="auto"/>
                      <w:spacing w:val="-10"/>
                      <w:sz w:val="18"/>
                      <w:szCs w:val="18"/>
                      <w:lang w:val="en-US" w:eastAsia="zh-CN"/>
                    </w:rPr>
                  </w:pPr>
                  <w:r>
                    <w:rPr>
                      <w:rFonts w:hint="eastAsia" w:ascii="Times New Roman" w:hAnsi="Times New Roman" w:cs="Times New Roman"/>
                      <w:color w:val="auto"/>
                      <w:spacing w:val="-10"/>
                      <w:sz w:val="18"/>
                      <w:szCs w:val="18"/>
                      <w:lang w:val="en-US" w:eastAsia="zh-CN"/>
                    </w:rPr>
                    <w:t>1</w:t>
                  </w:r>
                </w:p>
              </w:tc>
              <w:tc>
                <w:tcPr>
                  <w:tcW w:w="880" w:type="dxa"/>
                  <w:vMerge w:val="restart"/>
                  <w:tcBorders>
                    <w:tl2br w:val="nil"/>
                    <w:tr2bl w:val="nil"/>
                  </w:tcBorders>
                  <w:vAlign w:val="center"/>
                </w:tcPr>
                <w:p w14:paraId="1036444E">
                  <w:pPr>
                    <w:spacing w:line="0" w:lineRule="atLeast"/>
                    <w:jc w:val="center"/>
                    <w:rPr>
                      <w:rFonts w:hint="default" w:eastAsia="宋体"/>
                      <w:color w:val="auto"/>
                      <w:spacing w:val="-10"/>
                      <w:sz w:val="18"/>
                      <w:szCs w:val="18"/>
                      <w:lang w:val="en-US" w:eastAsia="zh-CN"/>
                    </w:rPr>
                  </w:pPr>
                  <w:r>
                    <w:rPr>
                      <w:rFonts w:hint="eastAsia"/>
                      <w:color w:val="auto"/>
                      <w:spacing w:val="-10"/>
                      <w:sz w:val="18"/>
                      <w:szCs w:val="18"/>
                      <w:lang w:val="en-US" w:eastAsia="zh-CN"/>
                    </w:rPr>
                    <w:t>钢渣处理生产线</w:t>
                  </w:r>
                </w:p>
              </w:tc>
              <w:tc>
                <w:tcPr>
                  <w:tcW w:w="913" w:type="dxa"/>
                  <w:tcBorders>
                    <w:tl2br w:val="nil"/>
                    <w:tr2bl w:val="nil"/>
                  </w:tcBorders>
                  <w:shd w:val="clear" w:color="auto" w:fill="auto"/>
                  <w:vAlign w:val="center"/>
                </w:tcPr>
                <w:p w14:paraId="7FB81C5B">
                  <w:pPr>
                    <w:spacing w:line="0" w:lineRule="atLeast"/>
                    <w:jc w:val="center"/>
                    <w:rPr>
                      <w:rFonts w:hint="eastAsia" w:ascii="Times New Roman" w:hAnsi="Times New Roman" w:eastAsia="宋体" w:cs="Times New Roman"/>
                      <w:color w:val="auto"/>
                      <w:spacing w:val="-10"/>
                      <w:kern w:val="2"/>
                      <w:sz w:val="18"/>
                      <w:szCs w:val="18"/>
                      <w:lang w:val="en-US" w:eastAsia="zh-CN" w:bidi="ar-SA"/>
                    </w:rPr>
                  </w:pPr>
                  <w:r>
                    <w:rPr>
                      <w:rFonts w:hint="eastAsia" w:cs="Times New Roman"/>
                      <w:color w:val="auto"/>
                      <w:spacing w:val="-10"/>
                      <w:kern w:val="2"/>
                      <w:sz w:val="18"/>
                      <w:szCs w:val="18"/>
                      <w:lang w:val="en-US" w:eastAsia="zh-CN" w:bidi="ar-SA"/>
                    </w:rPr>
                    <w:t>鄂破机</w:t>
                  </w:r>
                </w:p>
              </w:tc>
              <w:tc>
                <w:tcPr>
                  <w:tcW w:w="1049" w:type="dxa"/>
                  <w:tcBorders>
                    <w:tl2br w:val="nil"/>
                    <w:tr2bl w:val="nil"/>
                  </w:tcBorders>
                  <w:shd w:val="clear" w:color="auto" w:fill="auto"/>
                  <w:vAlign w:val="center"/>
                </w:tcPr>
                <w:p w14:paraId="11B29F44">
                  <w:pPr>
                    <w:jc w:val="center"/>
                    <w:rPr>
                      <w:rFonts w:hint="eastAsia" w:ascii="Times New Roman" w:hAnsi="Times New Roman" w:eastAsia="宋体" w:cs="Times New Roman"/>
                      <w:color w:val="auto"/>
                      <w:spacing w:val="-10"/>
                      <w:kern w:val="2"/>
                      <w:sz w:val="18"/>
                      <w:szCs w:val="18"/>
                      <w:lang w:val="en-US" w:eastAsia="zh-CN" w:bidi="ar-SA"/>
                    </w:rPr>
                  </w:pPr>
                  <w:r>
                    <w:rPr>
                      <w:rFonts w:hint="eastAsia"/>
                      <w:color w:val="auto"/>
                      <w:spacing w:val="-10"/>
                      <w:sz w:val="18"/>
                      <w:szCs w:val="18"/>
                      <w:highlight w:val="none"/>
                      <w:lang w:val="en-US" w:eastAsia="zh-CN"/>
                    </w:rPr>
                    <w:t>PE4</w:t>
                  </w:r>
                  <w:r>
                    <w:rPr>
                      <w:rFonts w:hint="eastAsia"/>
                      <w:color w:val="auto"/>
                      <w:spacing w:val="-10"/>
                      <w:sz w:val="18"/>
                      <w:szCs w:val="18"/>
                      <w:highlight w:val="none"/>
                    </w:rPr>
                    <w:t>00</w:t>
                  </w:r>
                  <w:r>
                    <w:rPr>
                      <w:color w:val="auto"/>
                      <w:spacing w:val="-10"/>
                      <w:sz w:val="18"/>
                      <w:szCs w:val="18"/>
                      <w:highlight w:val="none"/>
                    </w:rPr>
                    <w:t>×</w:t>
                  </w:r>
                  <w:r>
                    <w:rPr>
                      <w:rFonts w:hint="eastAsia"/>
                      <w:color w:val="auto"/>
                      <w:spacing w:val="-10"/>
                      <w:sz w:val="18"/>
                      <w:szCs w:val="18"/>
                      <w:highlight w:val="none"/>
                      <w:lang w:val="en-US" w:eastAsia="zh-CN"/>
                    </w:rPr>
                    <w:t>60</w:t>
                  </w:r>
                  <w:r>
                    <w:rPr>
                      <w:rFonts w:hint="eastAsia"/>
                      <w:color w:val="auto"/>
                      <w:spacing w:val="-10"/>
                      <w:sz w:val="18"/>
                      <w:szCs w:val="18"/>
                      <w:highlight w:val="none"/>
                    </w:rPr>
                    <w:t>0</w:t>
                  </w:r>
                </w:p>
              </w:tc>
              <w:tc>
                <w:tcPr>
                  <w:tcW w:w="891" w:type="dxa"/>
                  <w:tcBorders>
                    <w:tl2br w:val="nil"/>
                    <w:tr2bl w:val="nil"/>
                  </w:tcBorders>
                  <w:vAlign w:val="center"/>
                </w:tcPr>
                <w:p w14:paraId="24B573F1">
                  <w:pPr>
                    <w:spacing w:line="0" w:lineRule="atLeast"/>
                    <w:jc w:val="center"/>
                    <w:rPr>
                      <w:rFonts w:hint="eastAsia" w:ascii="Times New Roman" w:hAnsi="Times New Roman" w:cs="Times New Roman"/>
                      <w:color w:val="auto"/>
                      <w:spacing w:val="-10"/>
                      <w:sz w:val="18"/>
                      <w:szCs w:val="18"/>
                      <w:highlight w:val="none"/>
                      <w:lang w:val="en-US" w:eastAsia="zh-CN"/>
                    </w:rPr>
                  </w:pPr>
                  <w:r>
                    <w:rPr>
                      <w:rFonts w:hint="eastAsia" w:cs="Times New Roman"/>
                      <w:color w:val="auto"/>
                      <w:spacing w:val="-10"/>
                      <w:sz w:val="18"/>
                      <w:szCs w:val="18"/>
                      <w:highlight w:val="none"/>
                      <w:lang w:val="en-US" w:eastAsia="zh-CN"/>
                    </w:rPr>
                    <w:t>16</w:t>
                  </w:r>
                  <w:r>
                    <w:rPr>
                      <w:rFonts w:hint="eastAsia" w:ascii="Times New Roman" w:hAnsi="Times New Roman" w:eastAsia="宋体" w:cs="Times New Roman"/>
                      <w:color w:val="auto"/>
                      <w:spacing w:val="-10"/>
                      <w:sz w:val="18"/>
                      <w:szCs w:val="18"/>
                      <w:highlight w:val="none"/>
                      <w:lang w:val="en-US" w:eastAsia="zh-CN"/>
                    </w:rPr>
                    <w:t>-</w:t>
                  </w:r>
                  <w:r>
                    <w:rPr>
                      <w:rFonts w:hint="eastAsia" w:cs="Times New Roman"/>
                      <w:color w:val="auto"/>
                      <w:spacing w:val="-10"/>
                      <w:sz w:val="18"/>
                      <w:szCs w:val="18"/>
                      <w:highlight w:val="none"/>
                      <w:lang w:val="en-US" w:eastAsia="zh-CN"/>
                    </w:rPr>
                    <w:t>60</w:t>
                  </w:r>
                  <w:r>
                    <w:rPr>
                      <w:rFonts w:hint="eastAsia" w:ascii="Times New Roman" w:hAnsi="Times New Roman" w:eastAsia="宋体" w:cs="Times New Roman"/>
                      <w:color w:val="auto"/>
                      <w:spacing w:val="-10"/>
                      <w:sz w:val="18"/>
                      <w:szCs w:val="18"/>
                      <w:highlight w:val="none"/>
                      <w:lang w:val="en-US" w:eastAsia="zh-CN"/>
                    </w:rPr>
                    <w:t>t/h</w:t>
                  </w:r>
                </w:p>
              </w:tc>
              <w:tc>
                <w:tcPr>
                  <w:tcW w:w="1348" w:type="dxa"/>
                  <w:tcBorders>
                    <w:tl2br w:val="nil"/>
                    <w:tr2bl w:val="nil"/>
                  </w:tcBorders>
                  <w:vAlign w:val="center"/>
                </w:tcPr>
                <w:p w14:paraId="30365E8A">
                  <w:pPr>
                    <w:spacing w:line="0" w:lineRule="atLeast"/>
                    <w:jc w:val="center"/>
                    <w:rPr>
                      <w:rFonts w:hint="default" w:ascii="Times New Roman" w:hAnsi="Times New Roman" w:cs="Times New Roman"/>
                      <w:color w:val="auto"/>
                      <w:spacing w:val="-10"/>
                      <w:sz w:val="18"/>
                      <w:szCs w:val="18"/>
                      <w:lang w:val="en-US" w:eastAsia="zh-CN"/>
                    </w:rPr>
                  </w:pPr>
                  <w:r>
                    <w:rPr>
                      <w:rFonts w:hint="eastAsia" w:ascii="Times New Roman" w:hAnsi="Times New Roman" w:cs="Times New Roman"/>
                      <w:color w:val="auto"/>
                      <w:spacing w:val="-10"/>
                      <w:sz w:val="18"/>
                      <w:szCs w:val="18"/>
                      <w:lang w:val="en-US" w:eastAsia="zh-CN"/>
                    </w:rPr>
                    <w:t>钢渣</w:t>
                  </w:r>
                  <w:r>
                    <w:rPr>
                      <w:rFonts w:hint="eastAsia" w:cs="Times New Roman"/>
                      <w:color w:val="auto"/>
                      <w:spacing w:val="-10"/>
                      <w:sz w:val="18"/>
                      <w:szCs w:val="18"/>
                      <w:lang w:val="en-US" w:eastAsia="zh-CN"/>
                    </w:rPr>
                    <w:t>：2</w:t>
                  </w:r>
                  <w:r>
                    <w:rPr>
                      <w:rFonts w:hint="eastAsia" w:ascii="Times New Roman" w:hAnsi="Times New Roman" w:cs="Times New Roman"/>
                      <w:color w:val="auto"/>
                      <w:spacing w:val="-10"/>
                      <w:sz w:val="18"/>
                      <w:szCs w:val="18"/>
                      <w:lang w:val="en-US" w:eastAsia="zh-CN"/>
                    </w:rPr>
                    <w:t>0万t/a</w:t>
                  </w:r>
                </w:p>
              </w:tc>
              <w:tc>
                <w:tcPr>
                  <w:tcW w:w="1500" w:type="dxa"/>
                  <w:tcBorders>
                    <w:tl2br w:val="nil"/>
                    <w:tr2bl w:val="nil"/>
                  </w:tcBorders>
                  <w:vAlign w:val="center"/>
                </w:tcPr>
                <w:p w14:paraId="6924BF02">
                  <w:pPr>
                    <w:spacing w:line="0" w:lineRule="atLeast"/>
                    <w:jc w:val="center"/>
                    <w:rPr>
                      <w:rFonts w:hint="default" w:ascii="Times New Roman" w:hAnsi="Times New Roman" w:cs="Times New Roman"/>
                      <w:color w:val="auto"/>
                      <w:spacing w:val="-10"/>
                      <w:sz w:val="18"/>
                      <w:szCs w:val="18"/>
                      <w:lang w:val="en-US" w:eastAsia="zh-CN"/>
                    </w:rPr>
                  </w:pPr>
                  <w:r>
                    <w:rPr>
                      <w:rFonts w:hint="eastAsia" w:cs="Times New Roman"/>
                      <w:color w:val="auto"/>
                      <w:spacing w:val="-10"/>
                      <w:sz w:val="18"/>
                      <w:szCs w:val="18"/>
                      <w:lang w:val="en-US" w:eastAsia="zh-CN"/>
                    </w:rPr>
                    <w:t>27.8</w:t>
                  </w:r>
                  <w:r>
                    <w:rPr>
                      <w:rFonts w:hint="eastAsia" w:ascii="Times New Roman" w:hAnsi="Times New Roman" w:cs="Times New Roman"/>
                      <w:color w:val="auto"/>
                      <w:spacing w:val="-10"/>
                      <w:sz w:val="18"/>
                      <w:szCs w:val="18"/>
                      <w:lang w:val="en-US" w:eastAsia="zh-CN"/>
                    </w:rPr>
                    <w:t>t/h</w:t>
                  </w:r>
                </w:p>
              </w:tc>
              <w:tc>
                <w:tcPr>
                  <w:tcW w:w="929" w:type="dxa"/>
                  <w:tcBorders>
                    <w:tl2br w:val="nil"/>
                    <w:tr2bl w:val="nil"/>
                  </w:tcBorders>
                  <w:vAlign w:val="center"/>
                </w:tcPr>
                <w:p w14:paraId="731365D5">
                  <w:pPr>
                    <w:spacing w:line="0" w:lineRule="atLeast"/>
                    <w:jc w:val="center"/>
                    <w:rPr>
                      <w:rFonts w:hint="default" w:ascii="Times New Roman" w:hAnsi="Times New Roman" w:cs="Times New Roman"/>
                      <w:color w:val="auto"/>
                      <w:spacing w:val="-10"/>
                      <w:sz w:val="18"/>
                      <w:szCs w:val="18"/>
                      <w:lang w:val="en-US" w:eastAsia="zh-CN"/>
                    </w:rPr>
                  </w:pPr>
                  <w:r>
                    <w:rPr>
                      <w:rFonts w:hint="eastAsia" w:ascii="Times New Roman" w:hAnsi="Times New Roman" w:cs="Times New Roman"/>
                      <w:color w:val="auto"/>
                      <w:spacing w:val="-10"/>
                      <w:sz w:val="18"/>
                      <w:szCs w:val="18"/>
                      <w:lang w:val="en-US" w:eastAsia="zh-CN"/>
                    </w:rPr>
                    <w:t>7200h</w:t>
                  </w:r>
                </w:p>
              </w:tc>
            </w:tr>
            <w:tr w14:paraId="6E44501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89" w:hRule="atLeast"/>
              </w:trPr>
              <w:tc>
                <w:tcPr>
                  <w:tcW w:w="558" w:type="dxa"/>
                  <w:vMerge w:val="continue"/>
                  <w:tcBorders>
                    <w:tl2br w:val="nil"/>
                    <w:tr2bl w:val="nil"/>
                  </w:tcBorders>
                  <w:vAlign w:val="center"/>
                </w:tcPr>
                <w:p w14:paraId="0E41B8D9">
                  <w:pPr>
                    <w:spacing w:line="0" w:lineRule="atLeast"/>
                    <w:jc w:val="center"/>
                    <w:rPr>
                      <w:rFonts w:hint="eastAsia" w:ascii="Times New Roman" w:hAnsi="Times New Roman" w:cs="Times New Roman"/>
                      <w:color w:val="auto"/>
                      <w:spacing w:val="-10"/>
                      <w:sz w:val="18"/>
                      <w:szCs w:val="18"/>
                      <w:lang w:val="en-US" w:eastAsia="zh-CN"/>
                    </w:rPr>
                  </w:pPr>
                </w:p>
              </w:tc>
              <w:tc>
                <w:tcPr>
                  <w:tcW w:w="880" w:type="dxa"/>
                  <w:vMerge w:val="continue"/>
                  <w:tcBorders>
                    <w:tl2br w:val="nil"/>
                    <w:tr2bl w:val="nil"/>
                  </w:tcBorders>
                  <w:vAlign w:val="center"/>
                </w:tcPr>
                <w:p w14:paraId="4B6A0D19">
                  <w:pPr>
                    <w:spacing w:line="0" w:lineRule="atLeast"/>
                    <w:jc w:val="center"/>
                    <w:rPr>
                      <w:rFonts w:hint="eastAsia"/>
                      <w:color w:val="auto"/>
                      <w:spacing w:val="-10"/>
                      <w:sz w:val="18"/>
                      <w:szCs w:val="18"/>
                    </w:rPr>
                  </w:pPr>
                </w:p>
              </w:tc>
              <w:tc>
                <w:tcPr>
                  <w:tcW w:w="913" w:type="dxa"/>
                  <w:tcBorders>
                    <w:tl2br w:val="nil"/>
                    <w:tr2bl w:val="nil"/>
                  </w:tcBorders>
                  <w:vAlign w:val="center"/>
                </w:tcPr>
                <w:p w14:paraId="0785AC0E">
                  <w:pPr>
                    <w:spacing w:line="0" w:lineRule="atLeast"/>
                    <w:jc w:val="center"/>
                    <w:rPr>
                      <w:rFonts w:hint="eastAsia" w:eastAsia="宋体"/>
                      <w:color w:val="auto"/>
                      <w:spacing w:val="-10"/>
                      <w:sz w:val="18"/>
                      <w:szCs w:val="18"/>
                      <w:lang w:val="en-US" w:eastAsia="zh-CN"/>
                    </w:rPr>
                  </w:pPr>
                  <w:r>
                    <w:rPr>
                      <w:rFonts w:hint="eastAsia"/>
                      <w:color w:val="auto"/>
                      <w:spacing w:val="-10"/>
                      <w:sz w:val="18"/>
                      <w:szCs w:val="18"/>
                      <w:lang w:val="en-US" w:eastAsia="zh-CN"/>
                    </w:rPr>
                    <w:t>球磨机</w:t>
                  </w:r>
                </w:p>
              </w:tc>
              <w:tc>
                <w:tcPr>
                  <w:tcW w:w="1049" w:type="dxa"/>
                  <w:tcBorders>
                    <w:tl2br w:val="nil"/>
                    <w:tr2bl w:val="nil"/>
                  </w:tcBorders>
                  <w:shd w:val="clear" w:color="auto" w:fill="auto"/>
                  <w:vAlign w:val="center"/>
                </w:tcPr>
                <w:p w14:paraId="19B0DF54">
                  <w:pPr>
                    <w:jc w:val="center"/>
                    <w:rPr>
                      <w:rFonts w:hint="eastAsia" w:ascii="Times New Roman" w:hAnsi="Times New Roman" w:eastAsia="宋体" w:cs="Times New Roman"/>
                      <w:color w:val="auto"/>
                      <w:spacing w:val="-10"/>
                      <w:kern w:val="2"/>
                      <w:sz w:val="18"/>
                      <w:szCs w:val="18"/>
                      <w:lang w:val="en-US" w:eastAsia="zh-CN" w:bidi="ar-SA"/>
                    </w:rPr>
                  </w:pPr>
                  <w:r>
                    <w:rPr>
                      <w:rFonts w:hint="eastAsia"/>
                      <w:color w:val="auto"/>
                      <w:spacing w:val="-10"/>
                      <w:sz w:val="18"/>
                      <w:szCs w:val="18"/>
                      <w:lang w:val="en-US" w:eastAsia="zh-CN"/>
                    </w:rPr>
                    <w:t>2.1m</w:t>
                  </w:r>
                  <w:r>
                    <w:rPr>
                      <w:color w:val="auto"/>
                      <w:spacing w:val="-10"/>
                      <w:sz w:val="18"/>
                      <w:szCs w:val="18"/>
                    </w:rPr>
                    <w:t>×</w:t>
                  </w:r>
                  <w:r>
                    <w:rPr>
                      <w:rFonts w:hint="eastAsia"/>
                      <w:color w:val="auto"/>
                      <w:spacing w:val="-10"/>
                      <w:sz w:val="18"/>
                      <w:szCs w:val="18"/>
                      <w:lang w:val="en-US" w:eastAsia="zh-CN"/>
                    </w:rPr>
                    <w:t>7m</w:t>
                  </w:r>
                </w:p>
              </w:tc>
              <w:tc>
                <w:tcPr>
                  <w:tcW w:w="891" w:type="dxa"/>
                  <w:tcBorders>
                    <w:tl2br w:val="nil"/>
                    <w:tr2bl w:val="nil"/>
                  </w:tcBorders>
                  <w:shd w:val="clear" w:color="auto" w:fill="auto"/>
                  <w:vAlign w:val="center"/>
                </w:tcPr>
                <w:p w14:paraId="7D381A5A">
                  <w:pPr>
                    <w:jc w:val="center"/>
                    <w:rPr>
                      <w:rFonts w:hint="eastAsia" w:ascii="Times New Roman" w:hAnsi="Times New Roman" w:eastAsia="宋体" w:cs="Times New Roman"/>
                      <w:color w:val="auto"/>
                      <w:spacing w:val="-10"/>
                      <w:kern w:val="2"/>
                      <w:sz w:val="18"/>
                      <w:szCs w:val="18"/>
                      <w:highlight w:val="none"/>
                      <w:lang w:val="en-US" w:eastAsia="zh-CN" w:bidi="ar-SA"/>
                    </w:rPr>
                  </w:pPr>
                  <w:r>
                    <w:rPr>
                      <w:rFonts w:hint="eastAsia" w:ascii="Times New Roman" w:hAnsi="Times New Roman" w:eastAsia="宋体" w:cs="Times New Roman"/>
                      <w:color w:val="auto"/>
                      <w:spacing w:val="-10"/>
                      <w:sz w:val="18"/>
                      <w:szCs w:val="18"/>
                      <w:highlight w:val="none"/>
                      <w:lang w:val="en-US" w:eastAsia="zh-CN"/>
                    </w:rPr>
                    <w:t>8-48t/h</w:t>
                  </w:r>
                </w:p>
              </w:tc>
              <w:tc>
                <w:tcPr>
                  <w:tcW w:w="1348" w:type="dxa"/>
                  <w:tcBorders>
                    <w:tl2br w:val="nil"/>
                    <w:tr2bl w:val="nil"/>
                  </w:tcBorders>
                  <w:vAlign w:val="center"/>
                </w:tcPr>
                <w:p w14:paraId="186B04AB">
                  <w:pPr>
                    <w:spacing w:line="0" w:lineRule="atLeast"/>
                    <w:jc w:val="center"/>
                    <w:rPr>
                      <w:rFonts w:hint="default" w:ascii="Times New Roman" w:hAnsi="Times New Roman" w:cs="Times New Roman"/>
                      <w:color w:val="auto"/>
                      <w:spacing w:val="-10"/>
                      <w:sz w:val="18"/>
                      <w:szCs w:val="18"/>
                      <w:lang w:val="en-US" w:eastAsia="zh-CN"/>
                    </w:rPr>
                  </w:pPr>
                  <w:r>
                    <w:rPr>
                      <w:rFonts w:hint="eastAsia" w:cs="Times New Roman"/>
                      <w:color w:val="auto"/>
                      <w:spacing w:val="-10"/>
                      <w:sz w:val="18"/>
                      <w:szCs w:val="18"/>
                      <w:lang w:val="en-US" w:eastAsia="zh-CN"/>
                    </w:rPr>
                    <w:t>铁砂：4.6</w:t>
                  </w:r>
                  <w:r>
                    <w:rPr>
                      <w:rFonts w:hint="eastAsia" w:ascii="Times New Roman" w:hAnsi="Times New Roman" w:cs="Times New Roman"/>
                      <w:color w:val="auto"/>
                      <w:spacing w:val="-10"/>
                      <w:sz w:val="18"/>
                      <w:szCs w:val="18"/>
                      <w:lang w:val="en-US" w:eastAsia="zh-CN"/>
                    </w:rPr>
                    <w:t>万t/a</w:t>
                  </w:r>
                </w:p>
              </w:tc>
              <w:tc>
                <w:tcPr>
                  <w:tcW w:w="1500" w:type="dxa"/>
                  <w:tcBorders>
                    <w:tl2br w:val="nil"/>
                    <w:tr2bl w:val="nil"/>
                  </w:tcBorders>
                  <w:vAlign w:val="center"/>
                </w:tcPr>
                <w:p w14:paraId="56DEC26C">
                  <w:pPr>
                    <w:spacing w:line="0" w:lineRule="atLeast"/>
                    <w:jc w:val="center"/>
                    <w:rPr>
                      <w:rFonts w:hint="default" w:ascii="Times New Roman" w:hAnsi="Times New Roman" w:cs="Times New Roman"/>
                      <w:color w:val="auto"/>
                      <w:spacing w:val="-10"/>
                      <w:sz w:val="18"/>
                      <w:szCs w:val="18"/>
                      <w:lang w:val="en-US" w:eastAsia="zh-CN"/>
                    </w:rPr>
                  </w:pPr>
                  <w:r>
                    <w:rPr>
                      <w:rFonts w:hint="eastAsia" w:cs="Times New Roman"/>
                      <w:color w:val="auto"/>
                      <w:spacing w:val="-10"/>
                      <w:sz w:val="18"/>
                      <w:szCs w:val="18"/>
                      <w:lang w:val="en-US" w:eastAsia="zh-CN"/>
                    </w:rPr>
                    <w:t>23</w:t>
                  </w:r>
                  <w:r>
                    <w:rPr>
                      <w:rFonts w:hint="eastAsia" w:ascii="Times New Roman" w:hAnsi="Times New Roman" w:cs="Times New Roman"/>
                      <w:color w:val="auto"/>
                      <w:spacing w:val="-10"/>
                      <w:sz w:val="18"/>
                      <w:szCs w:val="18"/>
                      <w:lang w:val="en-US" w:eastAsia="zh-CN"/>
                    </w:rPr>
                    <w:t>t/h</w:t>
                  </w:r>
                </w:p>
              </w:tc>
              <w:tc>
                <w:tcPr>
                  <w:tcW w:w="929" w:type="dxa"/>
                  <w:tcBorders>
                    <w:tl2br w:val="nil"/>
                    <w:tr2bl w:val="nil"/>
                  </w:tcBorders>
                  <w:vAlign w:val="center"/>
                </w:tcPr>
                <w:p w14:paraId="7CE6D490">
                  <w:pPr>
                    <w:spacing w:line="0" w:lineRule="atLeast"/>
                    <w:jc w:val="center"/>
                    <w:rPr>
                      <w:rFonts w:hint="default" w:ascii="Times New Roman" w:hAnsi="Times New Roman" w:cs="Times New Roman"/>
                      <w:color w:val="auto"/>
                      <w:spacing w:val="-10"/>
                      <w:sz w:val="18"/>
                      <w:szCs w:val="18"/>
                      <w:lang w:val="en-US" w:eastAsia="zh-CN"/>
                    </w:rPr>
                  </w:pPr>
                  <w:r>
                    <w:rPr>
                      <w:rFonts w:hint="eastAsia" w:cs="Times New Roman"/>
                      <w:color w:val="auto"/>
                      <w:spacing w:val="-10"/>
                      <w:sz w:val="18"/>
                      <w:szCs w:val="18"/>
                      <w:lang w:val="en-US" w:eastAsia="zh-CN"/>
                    </w:rPr>
                    <w:t>20</w:t>
                  </w:r>
                  <w:r>
                    <w:rPr>
                      <w:rFonts w:hint="eastAsia" w:ascii="Times New Roman" w:hAnsi="Times New Roman" w:cs="Times New Roman"/>
                      <w:color w:val="auto"/>
                      <w:spacing w:val="-10"/>
                      <w:sz w:val="18"/>
                      <w:szCs w:val="18"/>
                      <w:lang w:val="en-US" w:eastAsia="zh-CN"/>
                    </w:rPr>
                    <w:t>00h</w:t>
                  </w:r>
                </w:p>
              </w:tc>
            </w:tr>
            <w:tr w14:paraId="0762248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2" w:hRule="atLeast"/>
              </w:trPr>
              <w:tc>
                <w:tcPr>
                  <w:tcW w:w="558" w:type="dxa"/>
                  <w:tcBorders>
                    <w:tl2br w:val="nil"/>
                    <w:tr2bl w:val="nil"/>
                  </w:tcBorders>
                  <w:vAlign w:val="center"/>
                </w:tcPr>
                <w:p w14:paraId="5F4D6DF2">
                  <w:pPr>
                    <w:spacing w:line="0" w:lineRule="atLeast"/>
                    <w:jc w:val="center"/>
                    <w:rPr>
                      <w:rFonts w:hint="default" w:ascii="Times New Roman" w:hAnsi="Times New Roman" w:cs="Times New Roman"/>
                      <w:color w:val="auto"/>
                      <w:spacing w:val="-10"/>
                      <w:sz w:val="18"/>
                      <w:szCs w:val="18"/>
                      <w:lang w:val="en-US" w:eastAsia="zh-CN"/>
                    </w:rPr>
                  </w:pPr>
                  <w:r>
                    <w:rPr>
                      <w:rFonts w:hint="eastAsia" w:ascii="Times New Roman" w:hAnsi="Times New Roman" w:cs="Times New Roman"/>
                      <w:color w:val="auto"/>
                      <w:spacing w:val="-10"/>
                      <w:sz w:val="18"/>
                      <w:szCs w:val="18"/>
                      <w:lang w:val="en-US" w:eastAsia="zh-CN"/>
                    </w:rPr>
                    <w:t>2</w:t>
                  </w:r>
                </w:p>
              </w:tc>
              <w:tc>
                <w:tcPr>
                  <w:tcW w:w="880" w:type="dxa"/>
                  <w:tcBorders>
                    <w:tl2br w:val="nil"/>
                    <w:tr2bl w:val="nil"/>
                  </w:tcBorders>
                  <w:vAlign w:val="center"/>
                </w:tcPr>
                <w:p w14:paraId="280167C7">
                  <w:pPr>
                    <w:spacing w:line="0" w:lineRule="atLeast"/>
                    <w:jc w:val="center"/>
                    <w:rPr>
                      <w:rFonts w:hint="default" w:ascii="Times New Roman" w:hAnsi="Times New Roman" w:eastAsia="宋体" w:cs="Times New Roman"/>
                      <w:color w:val="auto"/>
                      <w:spacing w:val="-10"/>
                      <w:kern w:val="2"/>
                      <w:sz w:val="18"/>
                      <w:szCs w:val="18"/>
                      <w:lang w:val="en-US" w:eastAsia="zh-CN" w:bidi="ar-SA"/>
                    </w:rPr>
                  </w:pPr>
                  <w:r>
                    <w:rPr>
                      <w:rFonts w:hint="eastAsia" w:cs="Times New Roman"/>
                      <w:color w:val="auto"/>
                      <w:spacing w:val="-10"/>
                      <w:kern w:val="2"/>
                      <w:sz w:val="18"/>
                      <w:szCs w:val="18"/>
                      <w:lang w:val="en-US" w:eastAsia="zh-CN" w:bidi="ar-SA"/>
                    </w:rPr>
                    <w:t>1</w:t>
                  </w:r>
                  <w:r>
                    <w:rPr>
                      <w:rFonts w:hint="eastAsia" w:cs="Times New Roman"/>
                      <w:color w:val="auto"/>
                      <w:spacing w:val="-10"/>
                      <w:kern w:val="2"/>
                      <w:sz w:val="18"/>
                      <w:szCs w:val="18"/>
                      <w:vertAlign w:val="superscript"/>
                      <w:lang w:val="en-US" w:eastAsia="zh-CN" w:bidi="ar-SA"/>
                    </w:rPr>
                    <w:t>#</w:t>
                  </w:r>
                  <w:r>
                    <w:rPr>
                      <w:rFonts w:hint="eastAsia"/>
                      <w:color w:val="auto"/>
                      <w:spacing w:val="-10"/>
                      <w:sz w:val="18"/>
                      <w:szCs w:val="18"/>
                      <w:lang w:val="en-US" w:eastAsia="zh-CN"/>
                    </w:rPr>
                    <w:t>废钢破碎尾料处理生产线</w:t>
                  </w:r>
                </w:p>
              </w:tc>
              <w:tc>
                <w:tcPr>
                  <w:tcW w:w="913" w:type="dxa"/>
                  <w:tcBorders>
                    <w:tl2br w:val="nil"/>
                    <w:tr2bl w:val="nil"/>
                  </w:tcBorders>
                  <w:shd w:val="clear" w:color="auto" w:fill="auto"/>
                  <w:vAlign w:val="center"/>
                </w:tcPr>
                <w:p w14:paraId="5E97B462">
                  <w:pPr>
                    <w:spacing w:line="0" w:lineRule="atLeast"/>
                    <w:jc w:val="center"/>
                    <w:rPr>
                      <w:rFonts w:hint="default" w:ascii="Times New Roman" w:hAnsi="Times New Roman" w:eastAsia="宋体" w:cs="Times New Roman"/>
                      <w:color w:val="auto"/>
                      <w:spacing w:val="-10"/>
                      <w:kern w:val="2"/>
                      <w:sz w:val="18"/>
                      <w:szCs w:val="18"/>
                      <w:lang w:val="en-US" w:eastAsia="zh-CN" w:bidi="ar-SA"/>
                    </w:rPr>
                  </w:pPr>
                  <w:r>
                    <w:rPr>
                      <w:rFonts w:hint="eastAsia" w:cs="Times New Roman"/>
                      <w:color w:val="auto"/>
                      <w:spacing w:val="-10"/>
                      <w:kern w:val="2"/>
                      <w:sz w:val="18"/>
                      <w:szCs w:val="18"/>
                      <w:lang w:val="en-US" w:eastAsia="zh-CN" w:bidi="ar-SA"/>
                    </w:rPr>
                    <w:t>空气分选机</w:t>
                  </w:r>
                </w:p>
              </w:tc>
              <w:tc>
                <w:tcPr>
                  <w:tcW w:w="1049" w:type="dxa"/>
                  <w:tcBorders>
                    <w:tl2br w:val="nil"/>
                    <w:tr2bl w:val="nil"/>
                  </w:tcBorders>
                  <w:shd w:val="clear" w:color="auto" w:fill="auto"/>
                  <w:vAlign w:val="center"/>
                </w:tcPr>
                <w:p w14:paraId="3F2808E9">
                  <w:pPr>
                    <w:jc w:val="center"/>
                    <w:rPr>
                      <w:rFonts w:hint="default" w:ascii="Times New Roman" w:hAnsi="Times New Roman" w:eastAsia="宋体" w:cs="Times New Roman"/>
                      <w:color w:val="auto"/>
                      <w:spacing w:val="-10"/>
                      <w:kern w:val="2"/>
                      <w:sz w:val="18"/>
                      <w:szCs w:val="18"/>
                      <w:lang w:val="en-US" w:eastAsia="zh-CN" w:bidi="ar-SA"/>
                    </w:rPr>
                  </w:pPr>
                  <w:r>
                    <w:rPr>
                      <w:rFonts w:hint="eastAsia" w:ascii="Times New Roman" w:hAnsi="Times New Roman" w:eastAsia="宋体" w:cs="Times New Roman"/>
                      <w:color w:val="auto"/>
                      <w:spacing w:val="-10"/>
                      <w:sz w:val="18"/>
                      <w:szCs w:val="18"/>
                      <w:lang w:val="en-US" w:eastAsia="zh-CN"/>
                    </w:rPr>
                    <w:t>尺寸2m*8m*1.5m</w:t>
                  </w:r>
                </w:p>
              </w:tc>
              <w:tc>
                <w:tcPr>
                  <w:tcW w:w="891" w:type="dxa"/>
                  <w:tcBorders>
                    <w:tl2br w:val="nil"/>
                    <w:tr2bl w:val="nil"/>
                  </w:tcBorders>
                  <w:shd w:val="clear" w:color="auto" w:fill="auto"/>
                  <w:vAlign w:val="center"/>
                </w:tcPr>
                <w:p w14:paraId="6DCACA08">
                  <w:pPr>
                    <w:jc w:val="center"/>
                    <w:rPr>
                      <w:rFonts w:hint="default" w:ascii="Times New Roman" w:hAnsi="Times New Roman" w:eastAsia="宋体" w:cs="Times New Roman"/>
                      <w:color w:val="auto"/>
                      <w:spacing w:val="-10"/>
                      <w:kern w:val="2"/>
                      <w:sz w:val="18"/>
                      <w:szCs w:val="18"/>
                      <w:lang w:val="en-US" w:eastAsia="zh-CN" w:bidi="ar-SA"/>
                    </w:rPr>
                  </w:pPr>
                  <w:r>
                    <w:rPr>
                      <w:rFonts w:hint="eastAsia" w:cs="Times New Roman"/>
                      <w:color w:val="auto"/>
                      <w:spacing w:val="-10"/>
                      <w:sz w:val="18"/>
                      <w:szCs w:val="18"/>
                      <w:lang w:val="en-US" w:eastAsia="zh-CN"/>
                    </w:rPr>
                    <w:t>0-3</w:t>
                  </w:r>
                  <w:r>
                    <w:rPr>
                      <w:rFonts w:hint="eastAsia" w:ascii="Times New Roman" w:hAnsi="Times New Roman" w:eastAsia="宋体" w:cs="Times New Roman"/>
                      <w:color w:val="auto"/>
                      <w:spacing w:val="-10"/>
                      <w:sz w:val="18"/>
                      <w:szCs w:val="18"/>
                      <w:lang w:val="en-US" w:eastAsia="zh-CN"/>
                    </w:rPr>
                    <w:t>0t/h</w:t>
                  </w:r>
                </w:p>
              </w:tc>
              <w:tc>
                <w:tcPr>
                  <w:tcW w:w="1348" w:type="dxa"/>
                  <w:tcBorders>
                    <w:tl2br w:val="nil"/>
                    <w:tr2bl w:val="nil"/>
                  </w:tcBorders>
                  <w:vAlign w:val="center"/>
                </w:tcPr>
                <w:p w14:paraId="5C2239AE">
                  <w:pPr>
                    <w:spacing w:line="0" w:lineRule="atLeast"/>
                    <w:jc w:val="center"/>
                    <w:rPr>
                      <w:rFonts w:hint="default" w:ascii="Times New Roman" w:hAnsi="Times New Roman" w:cs="Times New Roman"/>
                      <w:color w:val="auto"/>
                      <w:spacing w:val="-10"/>
                      <w:sz w:val="18"/>
                      <w:szCs w:val="18"/>
                      <w:lang w:val="en-US" w:eastAsia="zh-CN"/>
                    </w:rPr>
                  </w:pPr>
                  <w:r>
                    <w:rPr>
                      <w:rFonts w:hint="eastAsia" w:cs="Times New Roman"/>
                      <w:color w:val="auto"/>
                      <w:spacing w:val="-10"/>
                      <w:sz w:val="18"/>
                      <w:szCs w:val="18"/>
                      <w:lang w:val="en-US" w:eastAsia="zh-CN"/>
                    </w:rPr>
                    <w:t>除土后废钢破碎尾料：16.675</w:t>
                  </w:r>
                  <w:r>
                    <w:rPr>
                      <w:rFonts w:hint="eastAsia" w:ascii="Times New Roman" w:hAnsi="Times New Roman" w:cs="Times New Roman"/>
                      <w:color w:val="auto"/>
                      <w:spacing w:val="-10"/>
                      <w:sz w:val="18"/>
                      <w:szCs w:val="18"/>
                      <w:lang w:val="en-US" w:eastAsia="zh-CN"/>
                    </w:rPr>
                    <w:t>万t/a</w:t>
                  </w:r>
                </w:p>
              </w:tc>
              <w:tc>
                <w:tcPr>
                  <w:tcW w:w="1500" w:type="dxa"/>
                  <w:tcBorders>
                    <w:tl2br w:val="nil"/>
                    <w:tr2bl w:val="nil"/>
                  </w:tcBorders>
                  <w:vAlign w:val="center"/>
                </w:tcPr>
                <w:p w14:paraId="31F9B94A">
                  <w:pPr>
                    <w:spacing w:line="0" w:lineRule="atLeast"/>
                    <w:jc w:val="center"/>
                    <w:rPr>
                      <w:rFonts w:hint="default" w:ascii="Times New Roman" w:hAnsi="Times New Roman" w:cs="Times New Roman"/>
                      <w:color w:val="auto"/>
                      <w:spacing w:val="-10"/>
                      <w:sz w:val="18"/>
                      <w:szCs w:val="18"/>
                      <w:lang w:val="en-US" w:eastAsia="zh-CN"/>
                    </w:rPr>
                  </w:pPr>
                  <w:r>
                    <w:rPr>
                      <w:rFonts w:hint="eastAsia" w:cs="Times New Roman"/>
                      <w:color w:val="auto"/>
                      <w:spacing w:val="-10"/>
                      <w:sz w:val="18"/>
                      <w:szCs w:val="18"/>
                      <w:lang w:val="en-US" w:eastAsia="zh-CN"/>
                    </w:rPr>
                    <w:t>23.2</w:t>
                  </w:r>
                  <w:r>
                    <w:rPr>
                      <w:rFonts w:hint="eastAsia" w:ascii="Times New Roman" w:hAnsi="Times New Roman" w:eastAsia="宋体" w:cs="Times New Roman"/>
                      <w:color w:val="auto"/>
                      <w:spacing w:val="-10"/>
                      <w:sz w:val="18"/>
                      <w:szCs w:val="18"/>
                      <w:lang w:val="en-US" w:eastAsia="zh-CN"/>
                    </w:rPr>
                    <w:t>t/h</w:t>
                  </w:r>
                </w:p>
              </w:tc>
              <w:tc>
                <w:tcPr>
                  <w:tcW w:w="929" w:type="dxa"/>
                  <w:tcBorders>
                    <w:tl2br w:val="nil"/>
                    <w:tr2bl w:val="nil"/>
                  </w:tcBorders>
                  <w:vAlign w:val="center"/>
                </w:tcPr>
                <w:p w14:paraId="1E42BFE1">
                  <w:pPr>
                    <w:spacing w:line="0" w:lineRule="atLeast"/>
                    <w:jc w:val="center"/>
                    <w:rPr>
                      <w:rFonts w:hint="default" w:ascii="Times New Roman" w:hAnsi="Times New Roman" w:cs="Times New Roman"/>
                      <w:color w:val="auto"/>
                      <w:spacing w:val="-10"/>
                      <w:sz w:val="18"/>
                      <w:szCs w:val="18"/>
                      <w:lang w:val="en-US" w:eastAsia="zh-CN"/>
                    </w:rPr>
                  </w:pPr>
                  <w:r>
                    <w:rPr>
                      <w:rFonts w:hint="eastAsia" w:cs="Times New Roman"/>
                      <w:color w:val="auto"/>
                      <w:spacing w:val="-10"/>
                      <w:sz w:val="18"/>
                      <w:szCs w:val="18"/>
                      <w:lang w:val="en-US" w:eastAsia="zh-CN"/>
                    </w:rPr>
                    <w:t>72</w:t>
                  </w:r>
                  <w:r>
                    <w:rPr>
                      <w:rFonts w:hint="eastAsia" w:ascii="Times New Roman" w:hAnsi="Times New Roman" w:cs="Times New Roman"/>
                      <w:color w:val="auto"/>
                      <w:spacing w:val="-10"/>
                      <w:sz w:val="18"/>
                      <w:szCs w:val="18"/>
                      <w:lang w:val="en-US" w:eastAsia="zh-CN"/>
                    </w:rPr>
                    <w:t>00h</w:t>
                  </w:r>
                </w:p>
              </w:tc>
            </w:tr>
            <w:tr w14:paraId="040D9DD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558" w:type="dxa"/>
                  <w:tcBorders>
                    <w:tl2br w:val="nil"/>
                    <w:tr2bl w:val="nil"/>
                  </w:tcBorders>
                  <w:vAlign w:val="center"/>
                </w:tcPr>
                <w:p w14:paraId="695718F4">
                  <w:pPr>
                    <w:spacing w:line="0" w:lineRule="atLeast"/>
                    <w:jc w:val="center"/>
                    <w:rPr>
                      <w:rFonts w:hint="default" w:ascii="Times New Roman" w:hAnsi="Times New Roman" w:cs="Times New Roman"/>
                      <w:color w:val="auto"/>
                      <w:spacing w:val="-10"/>
                      <w:sz w:val="18"/>
                      <w:szCs w:val="18"/>
                      <w:lang w:val="en-US" w:eastAsia="zh-CN"/>
                    </w:rPr>
                  </w:pPr>
                  <w:r>
                    <w:rPr>
                      <w:rFonts w:hint="eastAsia" w:cs="Times New Roman"/>
                      <w:color w:val="auto"/>
                      <w:spacing w:val="-10"/>
                      <w:sz w:val="18"/>
                      <w:szCs w:val="18"/>
                      <w:lang w:val="en-US" w:eastAsia="zh-CN"/>
                    </w:rPr>
                    <w:t>3</w:t>
                  </w:r>
                </w:p>
              </w:tc>
              <w:tc>
                <w:tcPr>
                  <w:tcW w:w="880" w:type="dxa"/>
                  <w:tcBorders>
                    <w:tl2br w:val="nil"/>
                    <w:tr2bl w:val="nil"/>
                  </w:tcBorders>
                  <w:vAlign w:val="center"/>
                </w:tcPr>
                <w:p w14:paraId="29C86575">
                  <w:pPr>
                    <w:spacing w:line="0" w:lineRule="atLeast"/>
                    <w:jc w:val="center"/>
                    <w:rPr>
                      <w:rFonts w:hint="eastAsia" w:ascii="Times New Roman" w:hAnsi="Times New Roman" w:eastAsia="宋体" w:cs="Times New Roman"/>
                      <w:color w:val="auto"/>
                      <w:spacing w:val="-10"/>
                      <w:kern w:val="2"/>
                      <w:sz w:val="18"/>
                      <w:szCs w:val="18"/>
                      <w:lang w:val="en-US" w:eastAsia="zh-CN" w:bidi="ar-SA"/>
                    </w:rPr>
                  </w:pPr>
                  <w:r>
                    <w:rPr>
                      <w:rFonts w:hint="eastAsia" w:cs="Times New Roman"/>
                      <w:color w:val="auto"/>
                      <w:spacing w:val="-10"/>
                      <w:kern w:val="2"/>
                      <w:sz w:val="18"/>
                      <w:szCs w:val="18"/>
                      <w:lang w:val="en-US" w:eastAsia="zh-CN" w:bidi="ar-SA"/>
                    </w:rPr>
                    <w:t>2</w:t>
                  </w:r>
                  <w:r>
                    <w:rPr>
                      <w:rFonts w:hint="eastAsia" w:cs="Times New Roman"/>
                      <w:color w:val="auto"/>
                      <w:spacing w:val="-10"/>
                      <w:kern w:val="2"/>
                      <w:sz w:val="18"/>
                      <w:szCs w:val="18"/>
                      <w:vertAlign w:val="superscript"/>
                      <w:lang w:val="en-US" w:eastAsia="zh-CN" w:bidi="ar-SA"/>
                    </w:rPr>
                    <w:t>#</w:t>
                  </w:r>
                  <w:r>
                    <w:rPr>
                      <w:rFonts w:hint="eastAsia"/>
                      <w:color w:val="auto"/>
                      <w:spacing w:val="-10"/>
                      <w:sz w:val="18"/>
                      <w:szCs w:val="18"/>
                      <w:lang w:val="en-US" w:eastAsia="zh-CN"/>
                    </w:rPr>
                    <w:t>废钢破碎尾料处理生产线</w:t>
                  </w:r>
                </w:p>
              </w:tc>
              <w:tc>
                <w:tcPr>
                  <w:tcW w:w="913" w:type="dxa"/>
                  <w:tcBorders>
                    <w:tl2br w:val="nil"/>
                    <w:tr2bl w:val="nil"/>
                  </w:tcBorders>
                  <w:shd w:val="clear" w:color="auto" w:fill="auto"/>
                  <w:vAlign w:val="center"/>
                </w:tcPr>
                <w:p w14:paraId="7CD49630">
                  <w:pPr>
                    <w:spacing w:line="0" w:lineRule="atLeast"/>
                    <w:jc w:val="center"/>
                    <w:rPr>
                      <w:rFonts w:hint="eastAsia" w:ascii="Times New Roman" w:hAnsi="Times New Roman" w:eastAsia="宋体" w:cs="Times New Roman"/>
                      <w:color w:val="auto"/>
                      <w:spacing w:val="-10"/>
                      <w:kern w:val="2"/>
                      <w:sz w:val="18"/>
                      <w:szCs w:val="18"/>
                      <w:lang w:val="en-US" w:eastAsia="zh-CN" w:bidi="ar-SA"/>
                    </w:rPr>
                  </w:pPr>
                  <w:r>
                    <w:rPr>
                      <w:rFonts w:hint="eastAsia" w:cs="Times New Roman"/>
                      <w:color w:val="auto"/>
                      <w:spacing w:val="-10"/>
                      <w:kern w:val="2"/>
                      <w:sz w:val="18"/>
                      <w:szCs w:val="18"/>
                      <w:lang w:val="en-US" w:eastAsia="zh-CN" w:bidi="ar-SA"/>
                    </w:rPr>
                    <w:t>空气分选机</w:t>
                  </w:r>
                </w:p>
              </w:tc>
              <w:tc>
                <w:tcPr>
                  <w:tcW w:w="1049" w:type="dxa"/>
                  <w:tcBorders>
                    <w:tl2br w:val="nil"/>
                    <w:tr2bl w:val="nil"/>
                  </w:tcBorders>
                  <w:shd w:val="clear" w:color="auto" w:fill="auto"/>
                  <w:vAlign w:val="center"/>
                </w:tcPr>
                <w:p w14:paraId="0DA32498">
                  <w:pPr>
                    <w:jc w:val="center"/>
                    <w:rPr>
                      <w:rFonts w:hint="eastAsia" w:ascii="Times New Roman" w:hAnsi="Times New Roman" w:eastAsia="宋体" w:cs="Times New Roman"/>
                      <w:color w:val="auto"/>
                      <w:spacing w:val="-10"/>
                      <w:kern w:val="2"/>
                      <w:sz w:val="18"/>
                      <w:szCs w:val="18"/>
                      <w:lang w:val="en-US" w:eastAsia="zh-CN" w:bidi="ar-SA"/>
                    </w:rPr>
                  </w:pPr>
                  <w:r>
                    <w:rPr>
                      <w:rFonts w:hint="eastAsia" w:ascii="Times New Roman" w:hAnsi="Times New Roman" w:eastAsia="宋体" w:cs="Times New Roman"/>
                      <w:color w:val="auto"/>
                      <w:spacing w:val="-10"/>
                      <w:sz w:val="18"/>
                      <w:szCs w:val="18"/>
                      <w:lang w:val="en-US" w:eastAsia="zh-CN"/>
                    </w:rPr>
                    <w:t>尺寸2m*8m*1.5m</w:t>
                  </w:r>
                </w:p>
              </w:tc>
              <w:tc>
                <w:tcPr>
                  <w:tcW w:w="891" w:type="dxa"/>
                  <w:tcBorders>
                    <w:tl2br w:val="nil"/>
                    <w:tr2bl w:val="nil"/>
                  </w:tcBorders>
                  <w:shd w:val="clear" w:color="auto" w:fill="auto"/>
                  <w:vAlign w:val="center"/>
                </w:tcPr>
                <w:p w14:paraId="2C5B1393">
                  <w:pPr>
                    <w:spacing w:line="0" w:lineRule="atLeast"/>
                    <w:jc w:val="center"/>
                    <w:rPr>
                      <w:rFonts w:hint="eastAsia" w:ascii="Times New Roman" w:hAnsi="Times New Roman" w:eastAsia="宋体" w:cs="Times New Roman"/>
                      <w:color w:val="auto"/>
                      <w:spacing w:val="-10"/>
                      <w:kern w:val="2"/>
                      <w:sz w:val="18"/>
                      <w:szCs w:val="18"/>
                      <w:lang w:val="en-US" w:eastAsia="zh-CN" w:bidi="ar-SA"/>
                    </w:rPr>
                  </w:pPr>
                  <w:r>
                    <w:rPr>
                      <w:rFonts w:hint="eastAsia" w:cs="Times New Roman"/>
                      <w:color w:val="auto"/>
                      <w:spacing w:val="-10"/>
                      <w:sz w:val="18"/>
                      <w:szCs w:val="18"/>
                      <w:lang w:val="en-US" w:eastAsia="zh-CN"/>
                    </w:rPr>
                    <w:t>0-3</w:t>
                  </w:r>
                  <w:r>
                    <w:rPr>
                      <w:rFonts w:hint="eastAsia" w:ascii="Times New Roman" w:hAnsi="Times New Roman" w:eastAsia="宋体" w:cs="Times New Roman"/>
                      <w:color w:val="auto"/>
                      <w:spacing w:val="-10"/>
                      <w:sz w:val="18"/>
                      <w:szCs w:val="18"/>
                      <w:lang w:val="en-US" w:eastAsia="zh-CN"/>
                    </w:rPr>
                    <w:t>0t/h</w:t>
                  </w:r>
                </w:p>
              </w:tc>
              <w:tc>
                <w:tcPr>
                  <w:tcW w:w="1348" w:type="dxa"/>
                  <w:tcBorders>
                    <w:tl2br w:val="nil"/>
                    <w:tr2bl w:val="nil"/>
                  </w:tcBorders>
                  <w:shd w:val="clear" w:color="auto" w:fill="auto"/>
                  <w:vAlign w:val="center"/>
                </w:tcPr>
                <w:p w14:paraId="433F9685">
                  <w:pPr>
                    <w:spacing w:line="0" w:lineRule="atLeast"/>
                    <w:jc w:val="center"/>
                    <w:rPr>
                      <w:rFonts w:hint="eastAsia" w:ascii="Times New Roman" w:hAnsi="Times New Roman" w:eastAsia="宋体" w:cs="Times New Roman"/>
                      <w:color w:val="auto"/>
                      <w:spacing w:val="-10"/>
                      <w:kern w:val="2"/>
                      <w:sz w:val="18"/>
                      <w:szCs w:val="18"/>
                      <w:lang w:val="en-US" w:eastAsia="zh-CN" w:bidi="ar-SA"/>
                    </w:rPr>
                  </w:pPr>
                  <w:r>
                    <w:rPr>
                      <w:rFonts w:hint="eastAsia" w:cs="Times New Roman"/>
                      <w:color w:val="auto"/>
                      <w:spacing w:val="-10"/>
                      <w:sz w:val="18"/>
                      <w:szCs w:val="18"/>
                      <w:lang w:val="en-US" w:eastAsia="zh-CN"/>
                    </w:rPr>
                    <w:t>除土后废钢破碎尾料：16.675</w:t>
                  </w:r>
                  <w:r>
                    <w:rPr>
                      <w:rFonts w:hint="eastAsia" w:ascii="Times New Roman" w:hAnsi="Times New Roman" w:cs="Times New Roman"/>
                      <w:color w:val="auto"/>
                      <w:spacing w:val="-10"/>
                      <w:sz w:val="18"/>
                      <w:szCs w:val="18"/>
                      <w:lang w:val="en-US" w:eastAsia="zh-CN"/>
                    </w:rPr>
                    <w:t>万t/a</w:t>
                  </w:r>
                </w:p>
              </w:tc>
              <w:tc>
                <w:tcPr>
                  <w:tcW w:w="1500" w:type="dxa"/>
                  <w:tcBorders>
                    <w:tl2br w:val="nil"/>
                    <w:tr2bl w:val="nil"/>
                  </w:tcBorders>
                  <w:shd w:val="clear" w:color="auto" w:fill="auto"/>
                  <w:vAlign w:val="center"/>
                </w:tcPr>
                <w:p w14:paraId="7BE582FC">
                  <w:pPr>
                    <w:spacing w:line="0" w:lineRule="atLeast"/>
                    <w:jc w:val="center"/>
                    <w:rPr>
                      <w:rFonts w:hint="eastAsia" w:ascii="Times New Roman" w:hAnsi="Times New Roman" w:eastAsia="宋体" w:cs="Times New Roman"/>
                      <w:color w:val="auto"/>
                      <w:spacing w:val="-10"/>
                      <w:kern w:val="2"/>
                      <w:sz w:val="18"/>
                      <w:szCs w:val="18"/>
                      <w:lang w:val="en-US" w:eastAsia="zh-CN" w:bidi="ar-SA"/>
                    </w:rPr>
                  </w:pPr>
                  <w:r>
                    <w:rPr>
                      <w:rFonts w:hint="eastAsia" w:cs="Times New Roman"/>
                      <w:color w:val="auto"/>
                      <w:spacing w:val="-10"/>
                      <w:sz w:val="18"/>
                      <w:szCs w:val="18"/>
                      <w:lang w:val="en-US" w:eastAsia="zh-CN"/>
                    </w:rPr>
                    <w:t>23.2</w:t>
                  </w:r>
                  <w:r>
                    <w:rPr>
                      <w:rFonts w:hint="eastAsia" w:ascii="Times New Roman" w:hAnsi="Times New Roman" w:eastAsia="宋体" w:cs="Times New Roman"/>
                      <w:color w:val="auto"/>
                      <w:spacing w:val="-10"/>
                      <w:sz w:val="18"/>
                      <w:szCs w:val="18"/>
                      <w:lang w:val="en-US" w:eastAsia="zh-CN"/>
                    </w:rPr>
                    <w:t>t/h</w:t>
                  </w:r>
                </w:p>
              </w:tc>
              <w:tc>
                <w:tcPr>
                  <w:tcW w:w="929" w:type="dxa"/>
                  <w:tcBorders>
                    <w:tl2br w:val="nil"/>
                    <w:tr2bl w:val="nil"/>
                  </w:tcBorders>
                  <w:shd w:val="clear" w:color="auto" w:fill="auto"/>
                  <w:vAlign w:val="center"/>
                </w:tcPr>
                <w:p w14:paraId="37749F42">
                  <w:pPr>
                    <w:spacing w:line="0" w:lineRule="atLeast"/>
                    <w:jc w:val="center"/>
                    <w:rPr>
                      <w:rFonts w:hint="eastAsia" w:ascii="Times New Roman" w:hAnsi="Times New Roman" w:eastAsia="宋体" w:cs="Times New Roman"/>
                      <w:color w:val="auto"/>
                      <w:spacing w:val="-10"/>
                      <w:kern w:val="2"/>
                      <w:sz w:val="18"/>
                      <w:szCs w:val="18"/>
                      <w:lang w:val="en-US" w:eastAsia="zh-CN" w:bidi="ar-SA"/>
                    </w:rPr>
                  </w:pPr>
                  <w:r>
                    <w:rPr>
                      <w:rFonts w:hint="eastAsia" w:cs="Times New Roman"/>
                      <w:color w:val="auto"/>
                      <w:spacing w:val="-10"/>
                      <w:sz w:val="18"/>
                      <w:szCs w:val="18"/>
                      <w:lang w:val="en-US" w:eastAsia="zh-CN"/>
                    </w:rPr>
                    <w:t>72</w:t>
                  </w:r>
                  <w:r>
                    <w:rPr>
                      <w:rFonts w:hint="eastAsia" w:ascii="Times New Roman" w:hAnsi="Times New Roman" w:cs="Times New Roman"/>
                      <w:color w:val="auto"/>
                      <w:spacing w:val="-10"/>
                      <w:sz w:val="18"/>
                      <w:szCs w:val="18"/>
                      <w:lang w:val="en-US" w:eastAsia="zh-CN"/>
                    </w:rPr>
                    <w:t>00h</w:t>
                  </w:r>
                </w:p>
              </w:tc>
            </w:tr>
          </w:tbl>
          <w:p w14:paraId="0A111438">
            <w:pPr>
              <w:pStyle w:val="24"/>
              <w:keepNext w:val="0"/>
              <w:keepLines w:val="0"/>
              <w:pageBreakBefore w:val="0"/>
              <w:widowControl/>
              <w:kinsoku/>
              <w:wordWrap/>
              <w:overflowPunct/>
              <w:topLinePunct w:val="0"/>
              <w:autoSpaceDE/>
              <w:autoSpaceDN/>
              <w:bidi w:val="0"/>
              <w:adjustRightInd w:val="0"/>
              <w:snapToGrid w:val="0"/>
              <w:spacing w:before="0" w:beforeAutospacing="0" w:after="0" w:afterAutospacing="0" w:line="420" w:lineRule="exact"/>
              <w:ind w:firstLine="422" w:firstLineChars="200"/>
              <w:textAlignment w:val="auto"/>
              <w:rPr>
                <w:rFonts w:hint="eastAsia" w:ascii="Times New Roman" w:hAnsi="Times New Roman" w:cs="Times New Roman"/>
                <w:b/>
                <w:color w:val="auto"/>
                <w:sz w:val="21"/>
                <w:szCs w:val="21"/>
                <w:lang w:val="en-US" w:eastAsia="zh-CN"/>
              </w:rPr>
            </w:pPr>
            <w:r>
              <w:rPr>
                <w:rFonts w:hint="eastAsia" w:ascii="Times New Roman" w:hAnsi="Times New Roman" w:cs="Times New Roman"/>
                <w:b/>
                <w:color w:val="auto"/>
                <w:sz w:val="21"/>
                <w:szCs w:val="21"/>
                <w:lang w:val="en-US" w:eastAsia="zh-CN"/>
              </w:rPr>
              <w:t>6.主要原辅料和能源消耗</w:t>
            </w:r>
          </w:p>
          <w:p w14:paraId="45BD12F9">
            <w:pPr>
              <w:adjustRightInd w:val="0"/>
              <w:spacing w:line="440" w:lineRule="exact"/>
              <w:ind w:firstLine="422" w:firstLineChars="200"/>
              <w:outlineLvl w:val="2"/>
              <w:rPr>
                <w:rFonts w:hint="default" w:ascii="Times New Roman" w:hAnsi="Times New Roman" w:eastAsia="宋体" w:cs="Times New Roman"/>
                <w:color w:val="auto"/>
                <w:szCs w:val="21"/>
                <w:lang w:val="en-US" w:eastAsia="zh-CN"/>
              </w:rPr>
            </w:pPr>
            <w:r>
              <w:rPr>
                <w:rFonts w:hint="eastAsia" w:cs="Times New Roman"/>
                <w:b/>
                <w:bCs/>
                <w:color w:val="auto"/>
                <w:szCs w:val="21"/>
                <w:lang w:val="en-US" w:eastAsia="zh-CN"/>
              </w:rPr>
              <w:t>6.1</w:t>
            </w:r>
            <w:r>
              <w:rPr>
                <w:rFonts w:hint="eastAsia" w:ascii="Times New Roman" w:hAnsi="Times New Roman" w:cs="Times New Roman"/>
                <w:b/>
                <w:bCs/>
                <w:color w:val="auto"/>
                <w:sz w:val="21"/>
                <w:szCs w:val="21"/>
                <w:lang w:val="en-US" w:eastAsia="zh-CN"/>
              </w:rPr>
              <w:t>原辅料和能源消耗量</w:t>
            </w:r>
          </w:p>
          <w:p w14:paraId="3DBEC9E7">
            <w:pPr>
              <w:adjustRightInd w:val="0"/>
              <w:spacing w:line="440" w:lineRule="exact"/>
              <w:ind w:firstLine="420" w:firstLineChars="200"/>
              <w:outlineLvl w:val="2"/>
              <w:rPr>
                <w:rFonts w:hint="eastAsia" w:ascii="Times New Roman" w:hAnsi="Times New Roman" w:eastAsia="宋体" w:cs="Times New Roman"/>
                <w:color w:val="auto"/>
                <w:szCs w:val="21"/>
              </w:rPr>
            </w:pPr>
            <w:r>
              <w:rPr>
                <w:rFonts w:hint="eastAsia" w:ascii="Times New Roman" w:hAnsi="Times New Roman" w:eastAsia="宋体" w:cs="Times New Roman"/>
                <w:color w:val="auto"/>
                <w:szCs w:val="21"/>
                <w:lang w:val="en-US" w:eastAsia="zh-CN"/>
              </w:rPr>
              <w:t>本项目主要原辅材料及能源消耗量祥见下表</w:t>
            </w:r>
            <w:r>
              <w:rPr>
                <w:rFonts w:hint="eastAsia" w:ascii="Times New Roman" w:hAnsi="Times New Roman" w:eastAsia="宋体" w:cs="Times New Roman"/>
                <w:color w:val="auto"/>
                <w:szCs w:val="21"/>
              </w:rPr>
              <w:t>。</w:t>
            </w:r>
          </w:p>
          <w:p w14:paraId="50ABEDF5">
            <w:pPr>
              <w:pStyle w:val="24"/>
              <w:adjustRightInd w:val="0"/>
              <w:snapToGrid w:val="0"/>
              <w:spacing w:before="0" w:beforeAutospacing="0" w:after="0" w:afterAutospacing="0" w:line="440" w:lineRule="exact"/>
              <w:jc w:val="center"/>
              <w:rPr>
                <w:rFonts w:ascii="Times New Roman" w:hAnsi="Times New Roman"/>
                <w:b/>
                <w:color w:val="auto"/>
                <w:sz w:val="21"/>
                <w:szCs w:val="21"/>
              </w:rPr>
            </w:pPr>
            <w:r>
              <w:rPr>
                <w:rFonts w:hint="eastAsia" w:ascii="Times New Roman" w:hAnsi="Times New Roman"/>
                <w:b/>
                <w:color w:val="auto"/>
                <w:sz w:val="21"/>
                <w:szCs w:val="21"/>
              </w:rPr>
              <w:t>表</w:t>
            </w:r>
            <w:r>
              <w:rPr>
                <w:rFonts w:hint="eastAsia" w:ascii="Times New Roman" w:hAnsi="Times New Roman"/>
                <w:b/>
                <w:color w:val="auto"/>
                <w:sz w:val="21"/>
                <w:szCs w:val="21"/>
                <w:lang w:val="en-US" w:eastAsia="zh-CN"/>
              </w:rPr>
              <w:t>10</w:t>
            </w:r>
            <w:r>
              <w:rPr>
                <w:rFonts w:hint="eastAsia" w:ascii="Times New Roman" w:hAnsi="Times New Roman"/>
                <w:b/>
                <w:color w:val="auto"/>
                <w:sz w:val="21"/>
                <w:szCs w:val="21"/>
              </w:rPr>
              <w:t xml:space="preserve"> 项目原辅材料消耗一览表</w:t>
            </w:r>
          </w:p>
          <w:tbl>
            <w:tblPr>
              <w:tblStyle w:val="28"/>
              <w:tblW w:w="5011"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28" w:type="dxa"/>
                <w:bottom w:w="0" w:type="dxa"/>
                <w:right w:w="28" w:type="dxa"/>
              </w:tblCellMar>
            </w:tblPr>
            <w:tblGrid>
              <w:gridCol w:w="539"/>
              <w:gridCol w:w="922"/>
              <w:gridCol w:w="787"/>
              <w:gridCol w:w="769"/>
              <w:gridCol w:w="765"/>
              <w:gridCol w:w="1500"/>
              <w:gridCol w:w="2681"/>
            </w:tblGrid>
            <w:tr w14:paraId="2D43F54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338" w:type="pct"/>
                  <w:tcBorders>
                    <w:tl2br w:val="nil"/>
                    <w:tr2bl w:val="nil"/>
                  </w:tcBorders>
                  <w:vAlign w:val="center"/>
                </w:tcPr>
                <w:p w14:paraId="2F7678A3">
                  <w:pPr>
                    <w:widowControl/>
                    <w:spacing w:line="0" w:lineRule="atLeast"/>
                    <w:jc w:val="center"/>
                    <w:rPr>
                      <w:color w:val="auto"/>
                      <w:spacing w:val="-10"/>
                      <w:sz w:val="18"/>
                      <w:szCs w:val="18"/>
                    </w:rPr>
                  </w:pPr>
                  <w:r>
                    <w:rPr>
                      <w:rFonts w:hint="eastAsia"/>
                      <w:color w:val="auto"/>
                      <w:spacing w:val="-10"/>
                      <w:sz w:val="18"/>
                      <w:szCs w:val="18"/>
                    </w:rPr>
                    <w:t>序号</w:t>
                  </w:r>
                </w:p>
              </w:tc>
              <w:tc>
                <w:tcPr>
                  <w:tcW w:w="578" w:type="pct"/>
                  <w:tcBorders>
                    <w:tl2br w:val="nil"/>
                    <w:tr2bl w:val="nil"/>
                  </w:tcBorders>
                  <w:vAlign w:val="center"/>
                </w:tcPr>
                <w:p w14:paraId="545B333C">
                  <w:pPr>
                    <w:widowControl/>
                    <w:spacing w:line="0" w:lineRule="atLeast"/>
                    <w:jc w:val="center"/>
                    <w:rPr>
                      <w:color w:val="auto"/>
                      <w:spacing w:val="-10"/>
                      <w:sz w:val="18"/>
                      <w:szCs w:val="18"/>
                    </w:rPr>
                  </w:pPr>
                  <w:r>
                    <w:rPr>
                      <w:rFonts w:hint="eastAsia"/>
                      <w:color w:val="auto"/>
                      <w:spacing w:val="-10"/>
                      <w:sz w:val="18"/>
                      <w:szCs w:val="18"/>
                    </w:rPr>
                    <w:t>名称</w:t>
                  </w:r>
                </w:p>
              </w:tc>
              <w:tc>
                <w:tcPr>
                  <w:tcW w:w="494" w:type="pct"/>
                  <w:tcBorders>
                    <w:tl2br w:val="nil"/>
                    <w:tr2bl w:val="nil"/>
                  </w:tcBorders>
                  <w:vAlign w:val="center"/>
                </w:tcPr>
                <w:p w14:paraId="22287535">
                  <w:pPr>
                    <w:widowControl/>
                    <w:spacing w:line="0" w:lineRule="atLeast"/>
                    <w:jc w:val="center"/>
                    <w:rPr>
                      <w:color w:val="auto"/>
                      <w:spacing w:val="-10"/>
                      <w:sz w:val="18"/>
                      <w:szCs w:val="18"/>
                    </w:rPr>
                  </w:pPr>
                  <w:r>
                    <w:rPr>
                      <w:rFonts w:hint="eastAsia"/>
                      <w:color w:val="auto"/>
                      <w:spacing w:val="-10"/>
                      <w:sz w:val="18"/>
                      <w:szCs w:val="18"/>
                    </w:rPr>
                    <w:t>单位</w:t>
                  </w:r>
                </w:p>
              </w:tc>
              <w:tc>
                <w:tcPr>
                  <w:tcW w:w="482" w:type="pct"/>
                  <w:tcBorders>
                    <w:tl2br w:val="nil"/>
                    <w:tr2bl w:val="nil"/>
                  </w:tcBorders>
                  <w:vAlign w:val="center"/>
                </w:tcPr>
                <w:p w14:paraId="52BA9BE9">
                  <w:pPr>
                    <w:widowControl/>
                    <w:spacing w:line="0" w:lineRule="atLeast"/>
                    <w:jc w:val="center"/>
                    <w:rPr>
                      <w:color w:val="auto"/>
                      <w:spacing w:val="-10"/>
                      <w:sz w:val="18"/>
                      <w:szCs w:val="18"/>
                    </w:rPr>
                  </w:pPr>
                  <w:r>
                    <w:rPr>
                      <w:rFonts w:hint="eastAsia"/>
                      <w:color w:val="auto"/>
                      <w:spacing w:val="-10"/>
                      <w:sz w:val="18"/>
                      <w:szCs w:val="18"/>
                    </w:rPr>
                    <w:t>消耗量</w:t>
                  </w:r>
                </w:p>
              </w:tc>
              <w:tc>
                <w:tcPr>
                  <w:tcW w:w="480" w:type="pct"/>
                  <w:tcBorders>
                    <w:tl2br w:val="nil"/>
                    <w:tr2bl w:val="nil"/>
                  </w:tcBorders>
                  <w:vAlign w:val="center"/>
                </w:tcPr>
                <w:p w14:paraId="7FF2B5B8">
                  <w:pPr>
                    <w:widowControl/>
                    <w:spacing w:line="0" w:lineRule="atLeast"/>
                    <w:jc w:val="center"/>
                    <w:rPr>
                      <w:color w:val="auto"/>
                      <w:spacing w:val="-10"/>
                      <w:sz w:val="18"/>
                      <w:szCs w:val="18"/>
                    </w:rPr>
                  </w:pPr>
                  <w:r>
                    <w:rPr>
                      <w:rFonts w:hint="eastAsia"/>
                      <w:color w:val="auto"/>
                      <w:spacing w:val="-10"/>
                      <w:sz w:val="18"/>
                      <w:szCs w:val="18"/>
                    </w:rPr>
                    <w:t>包装形式</w:t>
                  </w:r>
                </w:p>
              </w:tc>
              <w:tc>
                <w:tcPr>
                  <w:tcW w:w="941" w:type="pct"/>
                  <w:tcBorders>
                    <w:tl2br w:val="nil"/>
                    <w:tr2bl w:val="nil"/>
                  </w:tcBorders>
                  <w:vAlign w:val="center"/>
                </w:tcPr>
                <w:p w14:paraId="361A29E4">
                  <w:pPr>
                    <w:widowControl/>
                    <w:spacing w:line="0" w:lineRule="atLeast"/>
                    <w:jc w:val="center"/>
                    <w:rPr>
                      <w:rFonts w:hint="eastAsia" w:ascii="Times New Roman" w:hAnsi="Times New Roman" w:eastAsia="宋体" w:cs="Times New Roman"/>
                      <w:color w:val="auto"/>
                      <w:spacing w:val="-10"/>
                      <w:sz w:val="18"/>
                      <w:szCs w:val="18"/>
                    </w:rPr>
                  </w:pPr>
                  <w:r>
                    <w:rPr>
                      <w:rFonts w:hint="default" w:ascii="Times New Roman" w:hAnsi="Times New Roman" w:eastAsia="宋体" w:cs="Times New Roman"/>
                      <w:color w:val="auto"/>
                      <w:spacing w:val="-10"/>
                      <w:sz w:val="18"/>
                      <w:szCs w:val="18"/>
                      <w:lang w:val="en-US" w:eastAsia="zh-CN"/>
                    </w:rPr>
                    <w:t>来源</w:t>
                  </w:r>
                </w:p>
              </w:tc>
              <w:tc>
                <w:tcPr>
                  <w:tcW w:w="1683" w:type="pct"/>
                  <w:tcBorders>
                    <w:tl2br w:val="nil"/>
                    <w:tr2bl w:val="nil"/>
                  </w:tcBorders>
                  <w:vAlign w:val="center"/>
                </w:tcPr>
                <w:p w14:paraId="0088A7EE">
                  <w:pPr>
                    <w:widowControl/>
                    <w:spacing w:line="0" w:lineRule="atLeast"/>
                    <w:jc w:val="center"/>
                    <w:rPr>
                      <w:rFonts w:hint="eastAsia" w:ascii="Times New Roman" w:hAnsi="Times New Roman" w:eastAsia="宋体" w:cs="Times New Roman"/>
                      <w:color w:val="auto"/>
                      <w:spacing w:val="-10"/>
                      <w:sz w:val="18"/>
                      <w:szCs w:val="18"/>
                    </w:rPr>
                  </w:pPr>
                  <w:r>
                    <w:rPr>
                      <w:rFonts w:hint="eastAsia" w:ascii="Times New Roman" w:hAnsi="Times New Roman" w:eastAsia="宋体" w:cs="Times New Roman"/>
                      <w:color w:val="auto"/>
                      <w:spacing w:val="-10"/>
                      <w:sz w:val="18"/>
                      <w:szCs w:val="18"/>
                    </w:rPr>
                    <w:t>备注</w:t>
                  </w:r>
                </w:p>
              </w:tc>
            </w:tr>
            <w:tr w14:paraId="2C5968F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338" w:type="pct"/>
                  <w:tcBorders>
                    <w:tl2br w:val="nil"/>
                    <w:tr2bl w:val="nil"/>
                  </w:tcBorders>
                  <w:shd w:val="clear" w:color="auto" w:fill="auto"/>
                  <w:vAlign w:val="center"/>
                </w:tcPr>
                <w:p w14:paraId="34F1730D">
                  <w:pPr>
                    <w:widowControl/>
                    <w:spacing w:line="0" w:lineRule="atLeast"/>
                    <w:jc w:val="center"/>
                    <w:rPr>
                      <w:rFonts w:hint="eastAsia" w:ascii="Times New Roman" w:hAnsi="Times New Roman" w:eastAsia="宋体" w:cs="Times New Roman"/>
                      <w:color w:val="auto"/>
                      <w:spacing w:val="-10"/>
                      <w:sz w:val="18"/>
                      <w:szCs w:val="18"/>
                      <w:lang w:val="en-US" w:eastAsia="zh-CN"/>
                    </w:rPr>
                  </w:pPr>
                  <w:r>
                    <w:rPr>
                      <w:rFonts w:hint="default" w:ascii="Times New Roman" w:hAnsi="Times New Roman" w:eastAsia="宋体" w:cs="Times New Roman"/>
                      <w:color w:val="auto"/>
                      <w:spacing w:val="-10"/>
                      <w:sz w:val="18"/>
                      <w:szCs w:val="18"/>
                    </w:rPr>
                    <w:t>1</w:t>
                  </w:r>
                </w:p>
              </w:tc>
              <w:tc>
                <w:tcPr>
                  <w:tcW w:w="578" w:type="pct"/>
                  <w:tcBorders>
                    <w:tl2br w:val="nil"/>
                    <w:tr2bl w:val="nil"/>
                  </w:tcBorders>
                  <w:shd w:val="clear" w:color="auto" w:fill="auto"/>
                  <w:vAlign w:val="center"/>
                </w:tcPr>
                <w:p w14:paraId="321C927B">
                  <w:pPr>
                    <w:widowControl/>
                    <w:spacing w:line="0" w:lineRule="atLeast"/>
                    <w:jc w:val="center"/>
                    <w:rPr>
                      <w:rFonts w:hint="eastAsia" w:ascii="Times New Roman" w:hAnsi="Times New Roman" w:eastAsia="宋体" w:cs="Times New Roman"/>
                      <w:color w:val="auto"/>
                      <w:spacing w:val="-10"/>
                      <w:sz w:val="18"/>
                      <w:szCs w:val="18"/>
                      <w:lang w:val="en-US" w:eastAsia="zh-CN"/>
                    </w:rPr>
                  </w:pPr>
                  <w:r>
                    <w:rPr>
                      <w:rFonts w:hint="default" w:ascii="Times New Roman" w:hAnsi="Times New Roman" w:eastAsia="宋体" w:cs="Times New Roman"/>
                      <w:color w:val="auto"/>
                      <w:spacing w:val="-10"/>
                      <w:sz w:val="18"/>
                      <w:szCs w:val="18"/>
                      <w:lang w:val="en-US" w:eastAsia="zh-CN"/>
                    </w:rPr>
                    <w:t>废钢破碎尾料</w:t>
                  </w:r>
                </w:p>
              </w:tc>
              <w:tc>
                <w:tcPr>
                  <w:tcW w:w="494" w:type="pct"/>
                  <w:tcBorders>
                    <w:tl2br w:val="nil"/>
                    <w:tr2bl w:val="nil"/>
                  </w:tcBorders>
                  <w:shd w:val="clear" w:color="auto" w:fill="auto"/>
                  <w:vAlign w:val="center"/>
                </w:tcPr>
                <w:p w14:paraId="020D2D86">
                  <w:pPr>
                    <w:widowControl/>
                    <w:spacing w:line="0" w:lineRule="atLeast"/>
                    <w:jc w:val="center"/>
                    <w:rPr>
                      <w:rFonts w:hint="eastAsia" w:ascii="Times New Roman" w:hAnsi="Times New Roman" w:eastAsia="宋体" w:cs="Times New Roman"/>
                      <w:color w:val="auto"/>
                      <w:spacing w:val="-10"/>
                      <w:sz w:val="18"/>
                      <w:szCs w:val="18"/>
                      <w:lang w:val="en-US" w:eastAsia="zh-CN"/>
                    </w:rPr>
                  </w:pPr>
                  <w:r>
                    <w:rPr>
                      <w:rFonts w:hint="default" w:ascii="Times New Roman" w:hAnsi="Times New Roman" w:eastAsia="宋体" w:cs="Times New Roman"/>
                      <w:color w:val="auto"/>
                      <w:spacing w:val="-10"/>
                      <w:sz w:val="18"/>
                      <w:szCs w:val="18"/>
                    </w:rPr>
                    <w:t>万t/a</w:t>
                  </w:r>
                </w:p>
              </w:tc>
              <w:tc>
                <w:tcPr>
                  <w:tcW w:w="482" w:type="pct"/>
                  <w:tcBorders>
                    <w:tl2br w:val="nil"/>
                    <w:tr2bl w:val="nil"/>
                  </w:tcBorders>
                  <w:shd w:val="clear" w:color="auto" w:fill="auto"/>
                  <w:vAlign w:val="center"/>
                </w:tcPr>
                <w:p w14:paraId="19397A09">
                  <w:pPr>
                    <w:widowControl/>
                    <w:spacing w:line="0" w:lineRule="atLeast"/>
                    <w:jc w:val="center"/>
                    <w:rPr>
                      <w:rFonts w:hint="eastAsia" w:ascii="Times New Roman" w:hAnsi="Times New Roman" w:eastAsia="宋体" w:cs="Times New Roman"/>
                      <w:color w:val="auto"/>
                      <w:spacing w:val="-10"/>
                      <w:sz w:val="18"/>
                      <w:szCs w:val="18"/>
                      <w:lang w:val="en-US" w:eastAsia="zh-CN"/>
                    </w:rPr>
                  </w:pPr>
                  <w:r>
                    <w:rPr>
                      <w:rFonts w:hint="default" w:ascii="Times New Roman" w:hAnsi="Times New Roman" w:eastAsia="宋体" w:cs="Times New Roman"/>
                      <w:color w:val="auto"/>
                      <w:spacing w:val="-10"/>
                      <w:sz w:val="18"/>
                      <w:szCs w:val="18"/>
                      <w:lang w:val="en-US" w:eastAsia="zh-CN"/>
                    </w:rPr>
                    <w:t>50</w:t>
                  </w:r>
                </w:p>
              </w:tc>
              <w:tc>
                <w:tcPr>
                  <w:tcW w:w="480" w:type="pct"/>
                  <w:tcBorders>
                    <w:tl2br w:val="nil"/>
                    <w:tr2bl w:val="nil"/>
                  </w:tcBorders>
                  <w:shd w:val="clear" w:color="auto" w:fill="auto"/>
                  <w:vAlign w:val="center"/>
                </w:tcPr>
                <w:p w14:paraId="71EE7E67">
                  <w:pPr>
                    <w:widowControl/>
                    <w:spacing w:line="0" w:lineRule="atLeast"/>
                    <w:jc w:val="center"/>
                    <w:rPr>
                      <w:rFonts w:hint="eastAsia" w:ascii="Times New Roman" w:hAnsi="Times New Roman" w:eastAsia="宋体" w:cs="Times New Roman"/>
                      <w:color w:val="auto"/>
                      <w:spacing w:val="-10"/>
                      <w:sz w:val="18"/>
                      <w:szCs w:val="18"/>
                      <w:lang w:val="en-US" w:eastAsia="zh-CN"/>
                    </w:rPr>
                  </w:pPr>
                  <w:r>
                    <w:rPr>
                      <w:rFonts w:hint="default" w:ascii="Times New Roman" w:hAnsi="Times New Roman" w:eastAsia="宋体" w:cs="Times New Roman"/>
                      <w:color w:val="auto"/>
                      <w:spacing w:val="-10"/>
                      <w:sz w:val="18"/>
                      <w:szCs w:val="18"/>
                      <w:lang w:val="en-US" w:eastAsia="zh-CN"/>
                    </w:rPr>
                    <w:t>散装</w:t>
                  </w:r>
                </w:p>
              </w:tc>
              <w:tc>
                <w:tcPr>
                  <w:tcW w:w="941" w:type="pct"/>
                  <w:tcBorders>
                    <w:tl2br w:val="nil"/>
                    <w:tr2bl w:val="nil"/>
                  </w:tcBorders>
                  <w:shd w:val="clear" w:color="auto" w:fill="auto"/>
                  <w:vAlign w:val="center"/>
                </w:tcPr>
                <w:p w14:paraId="5D3EC723">
                  <w:pPr>
                    <w:widowControl/>
                    <w:spacing w:line="0" w:lineRule="atLeast"/>
                    <w:jc w:val="center"/>
                    <w:rPr>
                      <w:rFonts w:hint="eastAsia" w:ascii="Times New Roman" w:hAnsi="Times New Roman" w:eastAsia="宋体" w:cs="Times New Roman"/>
                      <w:color w:val="auto"/>
                      <w:spacing w:val="-10"/>
                      <w:sz w:val="18"/>
                      <w:szCs w:val="18"/>
                      <w:lang w:val="en-US" w:eastAsia="zh-CN"/>
                    </w:rPr>
                  </w:pPr>
                  <w:r>
                    <w:rPr>
                      <w:rFonts w:hint="default" w:ascii="Times New Roman" w:hAnsi="Times New Roman" w:eastAsia="宋体" w:cs="Times New Roman"/>
                      <w:color w:val="auto"/>
                      <w:spacing w:val="-10"/>
                      <w:sz w:val="18"/>
                      <w:szCs w:val="18"/>
                      <w:lang w:val="en-US" w:eastAsia="zh-CN"/>
                    </w:rPr>
                    <w:t>从唐山地区周边钢厂外购</w:t>
                  </w:r>
                </w:p>
              </w:tc>
              <w:tc>
                <w:tcPr>
                  <w:tcW w:w="1683" w:type="pct"/>
                  <w:tcBorders>
                    <w:tl2br w:val="nil"/>
                    <w:tr2bl w:val="nil"/>
                  </w:tcBorders>
                  <w:shd w:val="clear" w:color="auto" w:fill="auto"/>
                  <w:vAlign w:val="center"/>
                </w:tcPr>
                <w:p w14:paraId="2F3B2D65">
                  <w:pPr>
                    <w:widowControl/>
                    <w:spacing w:line="0" w:lineRule="atLeast"/>
                    <w:jc w:val="center"/>
                    <w:rPr>
                      <w:rFonts w:hint="eastAsia" w:ascii="Times New Roman" w:hAnsi="Times New Roman" w:eastAsia="宋体" w:cs="Times New Roman"/>
                      <w:color w:val="auto"/>
                      <w:spacing w:val="-10"/>
                      <w:sz w:val="18"/>
                      <w:szCs w:val="18"/>
                      <w:lang w:val="en-US" w:eastAsia="zh-CN"/>
                    </w:rPr>
                  </w:pPr>
                  <w:r>
                    <w:rPr>
                      <w:rFonts w:hint="default" w:ascii="Times New Roman" w:hAnsi="Times New Roman" w:eastAsia="宋体" w:cs="Times New Roman"/>
                      <w:color w:val="auto"/>
                      <w:spacing w:val="-10"/>
                      <w:sz w:val="18"/>
                      <w:szCs w:val="18"/>
                      <w:lang w:val="en-US" w:eastAsia="zh-CN"/>
                    </w:rPr>
                    <w:t>原料直径在10cm以下，物料状态为块状及粉状混合物，主要成分为塑料、橡胶、铁、有色金属、不锈钢及泥砂等含水率为5%左右，</w:t>
                  </w:r>
                  <w:r>
                    <w:rPr>
                      <w:rFonts w:hint="eastAsia" w:ascii="Times New Roman" w:hAnsi="Times New Roman" w:eastAsia="宋体" w:cs="Times New Roman"/>
                      <w:color w:val="auto"/>
                      <w:spacing w:val="-10"/>
                      <w:sz w:val="18"/>
                      <w:szCs w:val="18"/>
                      <w:lang w:val="en-US" w:eastAsia="zh-CN"/>
                    </w:rPr>
                    <w:t>堆存于</w:t>
                  </w:r>
                  <w:r>
                    <w:rPr>
                      <w:rFonts w:hint="default" w:ascii="Times New Roman" w:hAnsi="Times New Roman" w:eastAsia="宋体" w:cs="Times New Roman"/>
                      <w:color w:val="auto"/>
                      <w:spacing w:val="-10"/>
                      <w:sz w:val="18"/>
                      <w:szCs w:val="18"/>
                      <w:lang w:val="en-US" w:eastAsia="zh-CN"/>
                    </w:rPr>
                    <w:t>废钢破碎尾料暂存区</w:t>
                  </w:r>
                  <w:r>
                    <w:rPr>
                      <w:rFonts w:hint="eastAsia" w:ascii="Times New Roman" w:hAnsi="Times New Roman" w:eastAsia="宋体" w:cs="Times New Roman"/>
                      <w:color w:val="auto"/>
                      <w:spacing w:val="-10"/>
                      <w:sz w:val="18"/>
                      <w:szCs w:val="18"/>
                      <w:lang w:val="en-US" w:eastAsia="zh-CN"/>
                    </w:rPr>
                    <w:t>，暂存区地面采用200mm厚防渗混凝土进行防渗。属于一般固废，固废代码为900-099-S59。</w:t>
                  </w:r>
                </w:p>
              </w:tc>
            </w:tr>
            <w:tr w14:paraId="07861B4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338" w:type="pct"/>
                  <w:tcBorders>
                    <w:tl2br w:val="nil"/>
                    <w:tr2bl w:val="nil"/>
                  </w:tcBorders>
                  <w:shd w:val="clear" w:color="auto" w:fill="auto"/>
                  <w:vAlign w:val="center"/>
                </w:tcPr>
                <w:p w14:paraId="7357DBEF">
                  <w:pPr>
                    <w:widowControl/>
                    <w:spacing w:line="0" w:lineRule="atLeast"/>
                    <w:jc w:val="center"/>
                    <w:rPr>
                      <w:rFonts w:hint="eastAsia" w:ascii="Times New Roman" w:hAnsi="Times New Roman" w:eastAsia="宋体" w:cs="Times New Roman"/>
                      <w:color w:val="auto"/>
                      <w:spacing w:val="-10"/>
                      <w:sz w:val="18"/>
                      <w:szCs w:val="18"/>
                      <w:lang w:val="en-US" w:eastAsia="zh-CN"/>
                    </w:rPr>
                  </w:pPr>
                  <w:r>
                    <w:rPr>
                      <w:rFonts w:hint="default" w:ascii="Times New Roman" w:hAnsi="Times New Roman" w:eastAsia="宋体" w:cs="Times New Roman"/>
                      <w:color w:val="auto"/>
                      <w:spacing w:val="-10"/>
                      <w:sz w:val="18"/>
                      <w:szCs w:val="18"/>
                    </w:rPr>
                    <w:t>2</w:t>
                  </w:r>
                </w:p>
              </w:tc>
              <w:tc>
                <w:tcPr>
                  <w:tcW w:w="578" w:type="pct"/>
                  <w:tcBorders>
                    <w:tl2br w:val="nil"/>
                    <w:tr2bl w:val="nil"/>
                  </w:tcBorders>
                  <w:vAlign w:val="center"/>
                </w:tcPr>
                <w:p w14:paraId="36434061">
                  <w:pPr>
                    <w:widowControl/>
                    <w:spacing w:line="0" w:lineRule="atLeast"/>
                    <w:jc w:val="center"/>
                    <w:rPr>
                      <w:rFonts w:hint="eastAsia" w:ascii="Times New Roman" w:hAnsi="Times New Roman" w:eastAsia="宋体" w:cs="Times New Roman"/>
                      <w:color w:val="auto"/>
                      <w:spacing w:val="-10"/>
                      <w:sz w:val="18"/>
                      <w:szCs w:val="18"/>
                    </w:rPr>
                  </w:pPr>
                  <w:r>
                    <w:rPr>
                      <w:rFonts w:hint="default" w:ascii="Times New Roman" w:hAnsi="Times New Roman" w:eastAsia="宋体" w:cs="Times New Roman"/>
                      <w:color w:val="auto"/>
                      <w:spacing w:val="-10"/>
                      <w:sz w:val="18"/>
                      <w:szCs w:val="18"/>
                      <w:lang w:val="en-US" w:eastAsia="zh-CN"/>
                    </w:rPr>
                    <w:t>转炉</w:t>
                  </w:r>
                  <w:r>
                    <w:rPr>
                      <w:rFonts w:hint="default" w:ascii="Times New Roman" w:hAnsi="Times New Roman" w:eastAsia="宋体" w:cs="Times New Roman"/>
                      <w:color w:val="auto"/>
                      <w:spacing w:val="-10"/>
                      <w:sz w:val="18"/>
                      <w:szCs w:val="18"/>
                    </w:rPr>
                    <w:t>钢渣</w:t>
                  </w:r>
                </w:p>
              </w:tc>
              <w:tc>
                <w:tcPr>
                  <w:tcW w:w="494" w:type="pct"/>
                  <w:tcBorders>
                    <w:tl2br w:val="nil"/>
                    <w:tr2bl w:val="nil"/>
                  </w:tcBorders>
                  <w:vAlign w:val="center"/>
                </w:tcPr>
                <w:p w14:paraId="21F8B109">
                  <w:pPr>
                    <w:widowControl/>
                    <w:spacing w:line="0" w:lineRule="atLeast"/>
                    <w:jc w:val="center"/>
                    <w:rPr>
                      <w:rFonts w:hint="eastAsia" w:ascii="Times New Roman" w:hAnsi="Times New Roman" w:eastAsia="宋体" w:cs="Times New Roman"/>
                      <w:color w:val="auto"/>
                      <w:spacing w:val="-10"/>
                      <w:sz w:val="18"/>
                      <w:szCs w:val="18"/>
                    </w:rPr>
                  </w:pPr>
                  <w:r>
                    <w:rPr>
                      <w:rFonts w:hint="default" w:ascii="Times New Roman" w:hAnsi="Times New Roman" w:eastAsia="宋体" w:cs="Times New Roman"/>
                      <w:color w:val="auto"/>
                      <w:spacing w:val="-10"/>
                      <w:sz w:val="18"/>
                      <w:szCs w:val="18"/>
                    </w:rPr>
                    <w:t>万t/a</w:t>
                  </w:r>
                </w:p>
              </w:tc>
              <w:tc>
                <w:tcPr>
                  <w:tcW w:w="482" w:type="pct"/>
                  <w:tcBorders>
                    <w:tl2br w:val="nil"/>
                    <w:tr2bl w:val="nil"/>
                  </w:tcBorders>
                  <w:vAlign w:val="center"/>
                </w:tcPr>
                <w:p w14:paraId="55BC0A60">
                  <w:pPr>
                    <w:widowControl/>
                    <w:spacing w:line="0" w:lineRule="atLeast"/>
                    <w:jc w:val="center"/>
                    <w:rPr>
                      <w:rFonts w:hint="default" w:ascii="Times New Roman" w:hAnsi="Times New Roman" w:eastAsia="宋体" w:cs="Times New Roman"/>
                      <w:color w:val="auto"/>
                      <w:spacing w:val="-10"/>
                      <w:sz w:val="18"/>
                      <w:szCs w:val="18"/>
                      <w:lang w:val="en-US" w:eastAsia="zh-CN"/>
                    </w:rPr>
                  </w:pPr>
                  <w:r>
                    <w:rPr>
                      <w:rFonts w:hint="default" w:ascii="Times New Roman" w:hAnsi="Times New Roman" w:eastAsia="宋体" w:cs="Times New Roman"/>
                      <w:color w:val="auto"/>
                      <w:spacing w:val="-10"/>
                      <w:sz w:val="18"/>
                      <w:szCs w:val="18"/>
                      <w:lang w:val="en-US" w:eastAsia="zh-CN"/>
                    </w:rPr>
                    <w:t>20</w:t>
                  </w:r>
                </w:p>
              </w:tc>
              <w:tc>
                <w:tcPr>
                  <w:tcW w:w="480" w:type="pct"/>
                  <w:tcBorders>
                    <w:tl2br w:val="nil"/>
                    <w:tr2bl w:val="nil"/>
                  </w:tcBorders>
                  <w:vAlign w:val="center"/>
                </w:tcPr>
                <w:p w14:paraId="5CFC8308">
                  <w:pPr>
                    <w:widowControl/>
                    <w:spacing w:line="0" w:lineRule="atLeast"/>
                    <w:jc w:val="center"/>
                    <w:rPr>
                      <w:rFonts w:hint="eastAsia" w:ascii="Times New Roman" w:hAnsi="Times New Roman" w:eastAsia="宋体" w:cs="Times New Roman"/>
                      <w:color w:val="auto"/>
                      <w:spacing w:val="-10"/>
                      <w:sz w:val="18"/>
                      <w:szCs w:val="18"/>
                      <w:lang w:eastAsia="zh-CN"/>
                    </w:rPr>
                  </w:pPr>
                  <w:r>
                    <w:rPr>
                      <w:rFonts w:hint="default" w:ascii="Times New Roman" w:hAnsi="Times New Roman" w:eastAsia="宋体" w:cs="Times New Roman"/>
                      <w:color w:val="auto"/>
                      <w:spacing w:val="-10"/>
                      <w:sz w:val="18"/>
                      <w:szCs w:val="18"/>
                      <w:lang w:val="en-US" w:eastAsia="zh-CN"/>
                    </w:rPr>
                    <w:t>散装</w:t>
                  </w:r>
                </w:p>
              </w:tc>
              <w:tc>
                <w:tcPr>
                  <w:tcW w:w="941" w:type="pct"/>
                  <w:tcBorders>
                    <w:tl2br w:val="nil"/>
                    <w:tr2bl w:val="nil"/>
                  </w:tcBorders>
                  <w:vAlign w:val="center"/>
                </w:tcPr>
                <w:p w14:paraId="6A37CF9C">
                  <w:pPr>
                    <w:widowControl/>
                    <w:spacing w:line="0" w:lineRule="atLeast"/>
                    <w:jc w:val="center"/>
                    <w:rPr>
                      <w:rFonts w:hint="eastAsia" w:ascii="Times New Roman" w:hAnsi="Times New Roman" w:eastAsia="宋体" w:cs="Times New Roman"/>
                      <w:color w:val="auto"/>
                      <w:spacing w:val="-10"/>
                      <w:sz w:val="18"/>
                      <w:szCs w:val="18"/>
                      <w:lang w:val="en-US" w:eastAsia="zh-CN"/>
                    </w:rPr>
                  </w:pPr>
                  <w:r>
                    <w:rPr>
                      <w:rFonts w:hint="default" w:ascii="Times New Roman" w:hAnsi="Times New Roman" w:eastAsia="宋体" w:cs="Times New Roman"/>
                      <w:color w:val="auto"/>
                      <w:spacing w:val="-10"/>
                      <w:sz w:val="18"/>
                      <w:szCs w:val="18"/>
                      <w:lang w:val="en-US" w:eastAsia="zh-CN"/>
                    </w:rPr>
                    <w:t>从唐山地区周边钢厂外购</w:t>
                  </w:r>
                </w:p>
              </w:tc>
              <w:tc>
                <w:tcPr>
                  <w:tcW w:w="1683" w:type="pct"/>
                  <w:tcBorders>
                    <w:tl2br w:val="nil"/>
                    <w:tr2bl w:val="nil"/>
                  </w:tcBorders>
                  <w:vAlign w:val="center"/>
                </w:tcPr>
                <w:p w14:paraId="1CEB10F4">
                  <w:pPr>
                    <w:widowControl/>
                    <w:spacing w:line="0" w:lineRule="atLeast"/>
                    <w:jc w:val="center"/>
                    <w:rPr>
                      <w:rFonts w:hint="eastAsia" w:ascii="Times New Roman" w:hAnsi="Times New Roman" w:eastAsia="宋体" w:cs="Times New Roman"/>
                      <w:color w:val="auto"/>
                      <w:spacing w:val="-10"/>
                      <w:sz w:val="18"/>
                      <w:szCs w:val="18"/>
                      <w:lang w:val="en-US" w:eastAsia="zh-CN"/>
                    </w:rPr>
                  </w:pPr>
                  <w:r>
                    <w:rPr>
                      <w:rFonts w:hint="default" w:ascii="Times New Roman" w:hAnsi="Times New Roman" w:eastAsia="宋体" w:cs="Times New Roman"/>
                      <w:color w:val="auto"/>
                      <w:spacing w:val="-10"/>
                      <w:sz w:val="18"/>
                      <w:szCs w:val="18"/>
                      <w:lang w:val="en-US" w:eastAsia="zh-CN"/>
                    </w:rPr>
                    <w:t>含水率5%左右，粒径30～40cm，具有较大的内部摩擦角，和较强的水硬性，随碱度由低到高呈褐灰色到灰黑色，质地坚硬、密实。主要成分为SiO2、Al2O3、CaO、MgO、Fe等。转炉钢渣为一般固废，固废代码为312-001-S01。</w:t>
                  </w:r>
                </w:p>
              </w:tc>
            </w:tr>
            <w:tr w14:paraId="7D7A5C9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338" w:type="pct"/>
                  <w:tcBorders>
                    <w:tl2br w:val="nil"/>
                    <w:tr2bl w:val="nil"/>
                  </w:tcBorders>
                  <w:shd w:val="clear" w:color="auto" w:fill="auto"/>
                  <w:vAlign w:val="center"/>
                </w:tcPr>
                <w:p w14:paraId="2045EFD9">
                  <w:pPr>
                    <w:widowControl/>
                    <w:spacing w:line="0" w:lineRule="atLeast"/>
                    <w:jc w:val="center"/>
                    <w:rPr>
                      <w:rFonts w:hint="default" w:ascii="Times New Roman" w:hAnsi="Times New Roman" w:eastAsia="宋体" w:cs="Times New Roman"/>
                      <w:color w:val="auto"/>
                      <w:spacing w:val="-10"/>
                      <w:kern w:val="2"/>
                      <w:sz w:val="18"/>
                      <w:szCs w:val="18"/>
                      <w:lang w:val="en-US" w:eastAsia="zh-CN" w:bidi="ar-SA"/>
                    </w:rPr>
                  </w:pPr>
                  <w:r>
                    <w:rPr>
                      <w:rFonts w:hint="default" w:ascii="Times New Roman" w:hAnsi="Times New Roman" w:eastAsia="宋体" w:cs="Times New Roman"/>
                      <w:color w:val="auto"/>
                      <w:spacing w:val="-10"/>
                      <w:sz w:val="18"/>
                      <w:szCs w:val="18"/>
                      <w:lang w:val="en-US" w:eastAsia="zh-CN"/>
                    </w:rPr>
                    <w:t>3</w:t>
                  </w:r>
                </w:p>
              </w:tc>
              <w:tc>
                <w:tcPr>
                  <w:tcW w:w="578" w:type="pct"/>
                  <w:tcBorders>
                    <w:tl2br w:val="nil"/>
                    <w:tr2bl w:val="nil"/>
                  </w:tcBorders>
                  <w:shd w:val="clear" w:color="auto" w:fill="auto"/>
                  <w:vAlign w:val="center"/>
                </w:tcPr>
                <w:p w14:paraId="41484684">
                  <w:pPr>
                    <w:widowControl/>
                    <w:spacing w:line="0" w:lineRule="atLeast"/>
                    <w:jc w:val="center"/>
                    <w:rPr>
                      <w:rFonts w:hint="default" w:ascii="Times New Roman" w:hAnsi="Times New Roman" w:eastAsia="宋体" w:cs="Times New Roman"/>
                      <w:color w:val="auto"/>
                      <w:spacing w:val="-10"/>
                      <w:kern w:val="2"/>
                      <w:sz w:val="18"/>
                      <w:szCs w:val="18"/>
                      <w:lang w:val="en-US" w:eastAsia="zh-CN" w:bidi="ar-SA"/>
                    </w:rPr>
                  </w:pPr>
                  <w:r>
                    <w:rPr>
                      <w:rFonts w:hint="default" w:ascii="Times New Roman" w:hAnsi="Times New Roman" w:eastAsia="宋体" w:cs="Times New Roman"/>
                      <w:color w:val="auto"/>
                      <w:spacing w:val="-10"/>
                      <w:sz w:val="18"/>
                      <w:szCs w:val="18"/>
                      <w:lang w:val="en-US" w:eastAsia="zh-CN"/>
                    </w:rPr>
                    <w:t>工业盐</w:t>
                  </w:r>
                </w:p>
              </w:tc>
              <w:tc>
                <w:tcPr>
                  <w:tcW w:w="494" w:type="pct"/>
                  <w:tcBorders>
                    <w:tl2br w:val="nil"/>
                    <w:tr2bl w:val="nil"/>
                  </w:tcBorders>
                  <w:shd w:val="clear" w:color="auto" w:fill="auto"/>
                  <w:vAlign w:val="center"/>
                </w:tcPr>
                <w:p w14:paraId="7EC60AE1">
                  <w:pPr>
                    <w:widowControl/>
                    <w:spacing w:line="0" w:lineRule="atLeast"/>
                    <w:jc w:val="center"/>
                    <w:rPr>
                      <w:rFonts w:hint="default" w:ascii="Times New Roman" w:hAnsi="Times New Roman" w:eastAsia="宋体" w:cs="Times New Roman"/>
                      <w:color w:val="auto"/>
                      <w:spacing w:val="-10"/>
                      <w:kern w:val="2"/>
                      <w:sz w:val="18"/>
                      <w:szCs w:val="18"/>
                      <w:lang w:val="en-US" w:eastAsia="zh-CN" w:bidi="ar-SA"/>
                    </w:rPr>
                  </w:pPr>
                  <w:r>
                    <w:rPr>
                      <w:rFonts w:hint="default" w:ascii="Times New Roman" w:hAnsi="Times New Roman" w:eastAsia="宋体" w:cs="Times New Roman"/>
                      <w:color w:val="auto"/>
                      <w:spacing w:val="-10"/>
                      <w:sz w:val="18"/>
                      <w:szCs w:val="18"/>
                      <w:lang w:val="en-US" w:eastAsia="zh-CN"/>
                    </w:rPr>
                    <w:t>t/a</w:t>
                  </w:r>
                </w:p>
              </w:tc>
              <w:tc>
                <w:tcPr>
                  <w:tcW w:w="482" w:type="pct"/>
                  <w:tcBorders>
                    <w:tl2br w:val="nil"/>
                    <w:tr2bl w:val="nil"/>
                  </w:tcBorders>
                  <w:shd w:val="clear" w:color="auto" w:fill="auto"/>
                  <w:vAlign w:val="center"/>
                </w:tcPr>
                <w:p w14:paraId="163CBC08">
                  <w:pPr>
                    <w:widowControl/>
                    <w:spacing w:line="0" w:lineRule="atLeast"/>
                    <w:jc w:val="center"/>
                    <w:rPr>
                      <w:rFonts w:hint="default" w:ascii="Times New Roman" w:hAnsi="Times New Roman" w:eastAsia="宋体" w:cs="Times New Roman"/>
                      <w:color w:val="auto"/>
                      <w:spacing w:val="-10"/>
                      <w:kern w:val="2"/>
                      <w:sz w:val="18"/>
                      <w:szCs w:val="18"/>
                      <w:lang w:val="en-US" w:eastAsia="zh-CN" w:bidi="ar-SA"/>
                    </w:rPr>
                  </w:pPr>
                  <w:r>
                    <w:rPr>
                      <w:rFonts w:hint="default" w:ascii="Times New Roman" w:hAnsi="Times New Roman" w:eastAsia="宋体" w:cs="Times New Roman"/>
                      <w:color w:val="auto"/>
                      <w:spacing w:val="-10"/>
                      <w:sz w:val="18"/>
                      <w:szCs w:val="18"/>
                      <w:lang w:val="en-US" w:eastAsia="zh-CN"/>
                    </w:rPr>
                    <w:t>1</w:t>
                  </w:r>
                </w:p>
              </w:tc>
              <w:tc>
                <w:tcPr>
                  <w:tcW w:w="480" w:type="pct"/>
                  <w:tcBorders>
                    <w:tl2br w:val="nil"/>
                    <w:tr2bl w:val="nil"/>
                  </w:tcBorders>
                  <w:shd w:val="clear" w:color="auto" w:fill="auto"/>
                  <w:vAlign w:val="center"/>
                </w:tcPr>
                <w:p w14:paraId="54D4AFFE">
                  <w:pPr>
                    <w:widowControl/>
                    <w:spacing w:line="0" w:lineRule="atLeast"/>
                    <w:jc w:val="center"/>
                    <w:rPr>
                      <w:rFonts w:hint="default" w:ascii="Times New Roman" w:hAnsi="Times New Roman" w:eastAsia="宋体" w:cs="Times New Roman"/>
                      <w:color w:val="auto"/>
                      <w:spacing w:val="-10"/>
                      <w:kern w:val="2"/>
                      <w:sz w:val="18"/>
                      <w:szCs w:val="18"/>
                      <w:lang w:val="en-US" w:eastAsia="zh-CN" w:bidi="ar-SA"/>
                    </w:rPr>
                  </w:pPr>
                  <w:r>
                    <w:rPr>
                      <w:rFonts w:hint="default" w:ascii="Times New Roman" w:hAnsi="Times New Roman" w:eastAsia="宋体" w:cs="Times New Roman"/>
                      <w:color w:val="auto"/>
                      <w:spacing w:val="-10"/>
                      <w:sz w:val="18"/>
                      <w:szCs w:val="18"/>
                      <w:lang w:val="en-US" w:eastAsia="zh-CN"/>
                    </w:rPr>
                    <w:t>袋装</w:t>
                  </w:r>
                </w:p>
              </w:tc>
              <w:tc>
                <w:tcPr>
                  <w:tcW w:w="941" w:type="pct"/>
                  <w:tcBorders>
                    <w:tl2br w:val="nil"/>
                    <w:tr2bl w:val="nil"/>
                  </w:tcBorders>
                  <w:shd w:val="clear" w:color="auto" w:fill="auto"/>
                  <w:vAlign w:val="center"/>
                </w:tcPr>
                <w:p w14:paraId="4F442017">
                  <w:pPr>
                    <w:widowControl/>
                    <w:spacing w:line="0" w:lineRule="atLeast"/>
                    <w:jc w:val="center"/>
                    <w:rPr>
                      <w:rFonts w:hint="default" w:ascii="Times New Roman" w:hAnsi="Times New Roman" w:eastAsia="宋体" w:cs="Times New Roman"/>
                      <w:color w:val="auto"/>
                      <w:spacing w:val="-10"/>
                      <w:kern w:val="2"/>
                      <w:sz w:val="18"/>
                      <w:szCs w:val="18"/>
                      <w:lang w:val="en-US" w:eastAsia="zh-CN" w:bidi="ar-SA"/>
                    </w:rPr>
                  </w:pPr>
                  <w:r>
                    <w:rPr>
                      <w:rFonts w:hint="default" w:ascii="Times New Roman" w:hAnsi="Times New Roman" w:eastAsia="宋体" w:cs="Times New Roman"/>
                      <w:color w:val="auto"/>
                      <w:spacing w:val="-10"/>
                      <w:sz w:val="18"/>
                      <w:szCs w:val="18"/>
                      <w:lang w:val="en-US" w:eastAsia="zh-CN"/>
                    </w:rPr>
                    <w:t>外购</w:t>
                  </w:r>
                </w:p>
              </w:tc>
              <w:tc>
                <w:tcPr>
                  <w:tcW w:w="1683" w:type="pct"/>
                  <w:tcBorders>
                    <w:tl2br w:val="nil"/>
                    <w:tr2bl w:val="nil"/>
                  </w:tcBorders>
                  <w:shd w:val="clear" w:color="auto" w:fill="auto"/>
                  <w:vAlign w:val="center"/>
                </w:tcPr>
                <w:p w14:paraId="03C80EFD">
                  <w:pPr>
                    <w:widowControl/>
                    <w:spacing w:line="0" w:lineRule="atLeast"/>
                    <w:jc w:val="center"/>
                    <w:rPr>
                      <w:rFonts w:hint="default" w:ascii="Times New Roman" w:hAnsi="Times New Roman" w:eastAsia="宋体" w:cs="Times New Roman"/>
                      <w:color w:val="auto"/>
                      <w:spacing w:val="-10"/>
                      <w:kern w:val="2"/>
                      <w:sz w:val="18"/>
                      <w:szCs w:val="18"/>
                      <w:lang w:val="en-US" w:eastAsia="zh-CN" w:bidi="ar-SA"/>
                    </w:rPr>
                  </w:pPr>
                  <w:r>
                    <w:rPr>
                      <w:rFonts w:hint="default" w:ascii="Times New Roman" w:hAnsi="Times New Roman" w:eastAsia="宋体" w:cs="Times New Roman"/>
                      <w:color w:val="auto"/>
                      <w:spacing w:val="-10"/>
                      <w:sz w:val="18"/>
                      <w:szCs w:val="18"/>
                      <w:lang w:val="en-US" w:eastAsia="zh-CN"/>
                    </w:rPr>
                    <w:t>成分为氯化钠，用于一次、三次漂洗</w:t>
                  </w:r>
                </w:p>
              </w:tc>
            </w:tr>
            <w:tr w14:paraId="7F9639F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338" w:type="pct"/>
                  <w:tcBorders>
                    <w:tl2br w:val="nil"/>
                    <w:tr2bl w:val="nil"/>
                  </w:tcBorders>
                  <w:shd w:val="clear" w:color="auto" w:fill="auto"/>
                  <w:vAlign w:val="center"/>
                </w:tcPr>
                <w:p w14:paraId="4DD4D68E">
                  <w:pPr>
                    <w:widowControl/>
                    <w:spacing w:line="0" w:lineRule="atLeast"/>
                    <w:jc w:val="center"/>
                    <w:rPr>
                      <w:rFonts w:hint="default" w:ascii="Times New Roman" w:hAnsi="Times New Roman" w:eastAsia="宋体" w:cs="Times New Roman"/>
                      <w:color w:val="auto"/>
                      <w:spacing w:val="-10"/>
                      <w:kern w:val="2"/>
                      <w:sz w:val="18"/>
                      <w:szCs w:val="18"/>
                      <w:lang w:val="en-US" w:eastAsia="zh-CN" w:bidi="ar-SA"/>
                    </w:rPr>
                  </w:pPr>
                  <w:r>
                    <w:rPr>
                      <w:rFonts w:hint="default" w:ascii="Times New Roman" w:hAnsi="Times New Roman" w:eastAsia="宋体" w:cs="Times New Roman"/>
                      <w:color w:val="auto"/>
                      <w:spacing w:val="-10"/>
                      <w:sz w:val="18"/>
                      <w:szCs w:val="18"/>
                      <w:lang w:val="en-US" w:eastAsia="zh-CN"/>
                    </w:rPr>
                    <w:t>4</w:t>
                  </w:r>
                </w:p>
              </w:tc>
              <w:tc>
                <w:tcPr>
                  <w:tcW w:w="578" w:type="pct"/>
                  <w:tcBorders>
                    <w:tl2br w:val="nil"/>
                    <w:tr2bl w:val="nil"/>
                  </w:tcBorders>
                  <w:shd w:val="clear" w:color="auto" w:fill="auto"/>
                  <w:vAlign w:val="center"/>
                </w:tcPr>
                <w:p w14:paraId="3BA01DE5">
                  <w:pPr>
                    <w:widowControl/>
                    <w:spacing w:line="0" w:lineRule="atLeast"/>
                    <w:jc w:val="center"/>
                    <w:rPr>
                      <w:rFonts w:hint="default" w:ascii="Times New Roman" w:hAnsi="Times New Roman" w:eastAsia="宋体" w:cs="Times New Roman"/>
                      <w:color w:val="auto"/>
                      <w:spacing w:val="-10"/>
                      <w:kern w:val="2"/>
                      <w:sz w:val="18"/>
                      <w:szCs w:val="18"/>
                      <w:lang w:val="en-US" w:eastAsia="zh-CN" w:bidi="ar-SA"/>
                    </w:rPr>
                  </w:pPr>
                  <w:r>
                    <w:rPr>
                      <w:rFonts w:hint="default" w:ascii="Times New Roman" w:hAnsi="Times New Roman" w:eastAsia="宋体" w:cs="Times New Roman"/>
                      <w:color w:val="auto"/>
                      <w:spacing w:val="-10"/>
                      <w:sz w:val="18"/>
                      <w:szCs w:val="18"/>
                      <w:lang w:val="en-US" w:eastAsia="zh-CN"/>
                    </w:rPr>
                    <w:t>双飞粉</w:t>
                  </w:r>
                </w:p>
              </w:tc>
              <w:tc>
                <w:tcPr>
                  <w:tcW w:w="494" w:type="pct"/>
                  <w:tcBorders>
                    <w:tl2br w:val="nil"/>
                    <w:tr2bl w:val="nil"/>
                  </w:tcBorders>
                  <w:shd w:val="clear" w:color="auto" w:fill="auto"/>
                  <w:vAlign w:val="center"/>
                </w:tcPr>
                <w:p w14:paraId="1A0F6360">
                  <w:pPr>
                    <w:widowControl/>
                    <w:spacing w:line="0" w:lineRule="atLeast"/>
                    <w:jc w:val="center"/>
                    <w:rPr>
                      <w:rFonts w:hint="default" w:ascii="Times New Roman" w:hAnsi="Times New Roman" w:eastAsia="宋体" w:cs="Times New Roman"/>
                      <w:color w:val="auto"/>
                      <w:spacing w:val="-10"/>
                      <w:kern w:val="2"/>
                      <w:sz w:val="18"/>
                      <w:szCs w:val="18"/>
                      <w:lang w:val="en-US" w:eastAsia="zh-CN" w:bidi="ar-SA"/>
                    </w:rPr>
                  </w:pPr>
                  <w:r>
                    <w:rPr>
                      <w:rFonts w:hint="default" w:ascii="Times New Roman" w:hAnsi="Times New Roman" w:eastAsia="宋体" w:cs="Times New Roman"/>
                      <w:color w:val="auto"/>
                      <w:spacing w:val="-10"/>
                      <w:sz w:val="18"/>
                      <w:szCs w:val="18"/>
                      <w:lang w:val="en-US" w:eastAsia="zh-CN"/>
                    </w:rPr>
                    <w:t>t/a</w:t>
                  </w:r>
                </w:p>
              </w:tc>
              <w:tc>
                <w:tcPr>
                  <w:tcW w:w="482" w:type="pct"/>
                  <w:tcBorders>
                    <w:tl2br w:val="nil"/>
                    <w:tr2bl w:val="nil"/>
                  </w:tcBorders>
                  <w:shd w:val="clear" w:color="auto" w:fill="auto"/>
                  <w:vAlign w:val="center"/>
                </w:tcPr>
                <w:p w14:paraId="6150E0C0">
                  <w:pPr>
                    <w:widowControl/>
                    <w:spacing w:line="0" w:lineRule="atLeast"/>
                    <w:jc w:val="center"/>
                    <w:rPr>
                      <w:rFonts w:hint="default" w:ascii="Times New Roman" w:hAnsi="Times New Roman" w:eastAsia="宋体" w:cs="Times New Roman"/>
                      <w:color w:val="auto"/>
                      <w:spacing w:val="-10"/>
                      <w:kern w:val="2"/>
                      <w:sz w:val="18"/>
                      <w:szCs w:val="18"/>
                      <w:lang w:val="en-US" w:eastAsia="zh-CN" w:bidi="ar-SA"/>
                    </w:rPr>
                  </w:pPr>
                  <w:r>
                    <w:rPr>
                      <w:rFonts w:hint="default" w:ascii="Times New Roman" w:hAnsi="Times New Roman" w:eastAsia="宋体" w:cs="Times New Roman"/>
                      <w:color w:val="auto"/>
                      <w:spacing w:val="-10"/>
                      <w:sz w:val="18"/>
                      <w:szCs w:val="18"/>
                      <w:lang w:val="en-US" w:eastAsia="zh-CN"/>
                    </w:rPr>
                    <w:t>0.5</w:t>
                  </w:r>
                </w:p>
              </w:tc>
              <w:tc>
                <w:tcPr>
                  <w:tcW w:w="480" w:type="pct"/>
                  <w:tcBorders>
                    <w:tl2br w:val="nil"/>
                    <w:tr2bl w:val="nil"/>
                  </w:tcBorders>
                  <w:shd w:val="clear" w:color="auto" w:fill="auto"/>
                  <w:vAlign w:val="center"/>
                </w:tcPr>
                <w:p w14:paraId="22DD2836">
                  <w:pPr>
                    <w:widowControl/>
                    <w:spacing w:line="0" w:lineRule="atLeast"/>
                    <w:jc w:val="center"/>
                    <w:rPr>
                      <w:rFonts w:hint="default" w:ascii="Times New Roman" w:hAnsi="Times New Roman" w:eastAsia="宋体" w:cs="Times New Roman"/>
                      <w:color w:val="auto"/>
                      <w:spacing w:val="-10"/>
                      <w:kern w:val="2"/>
                      <w:sz w:val="18"/>
                      <w:szCs w:val="18"/>
                      <w:lang w:val="en-US" w:eastAsia="zh-CN" w:bidi="ar-SA"/>
                    </w:rPr>
                  </w:pPr>
                  <w:r>
                    <w:rPr>
                      <w:rFonts w:hint="default" w:ascii="Times New Roman" w:hAnsi="Times New Roman" w:eastAsia="宋体" w:cs="Times New Roman"/>
                      <w:color w:val="auto"/>
                      <w:spacing w:val="-10"/>
                      <w:sz w:val="18"/>
                      <w:szCs w:val="18"/>
                      <w:lang w:val="en-US" w:eastAsia="zh-CN"/>
                    </w:rPr>
                    <w:t>袋装</w:t>
                  </w:r>
                </w:p>
              </w:tc>
              <w:tc>
                <w:tcPr>
                  <w:tcW w:w="941" w:type="pct"/>
                  <w:tcBorders>
                    <w:tl2br w:val="nil"/>
                    <w:tr2bl w:val="nil"/>
                  </w:tcBorders>
                  <w:shd w:val="clear" w:color="auto" w:fill="auto"/>
                  <w:vAlign w:val="center"/>
                </w:tcPr>
                <w:p w14:paraId="5D3452F2">
                  <w:pPr>
                    <w:widowControl/>
                    <w:spacing w:line="0" w:lineRule="atLeast"/>
                    <w:jc w:val="center"/>
                    <w:rPr>
                      <w:rFonts w:hint="default" w:ascii="Times New Roman" w:hAnsi="Times New Roman" w:eastAsia="宋体" w:cs="Times New Roman"/>
                      <w:color w:val="auto"/>
                      <w:spacing w:val="-10"/>
                      <w:kern w:val="2"/>
                      <w:sz w:val="18"/>
                      <w:szCs w:val="18"/>
                      <w:lang w:val="en-US" w:eastAsia="zh-CN" w:bidi="ar-SA"/>
                    </w:rPr>
                  </w:pPr>
                  <w:r>
                    <w:rPr>
                      <w:rFonts w:hint="default" w:ascii="Times New Roman" w:hAnsi="Times New Roman" w:eastAsia="宋体" w:cs="Times New Roman"/>
                      <w:color w:val="auto"/>
                      <w:spacing w:val="-10"/>
                      <w:sz w:val="18"/>
                      <w:szCs w:val="18"/>
                      <w:lang w:val="en-US" w:eastAsia="zh-CN"/>
                    </w:rPr>
                    <w:t>外购</w:t>
                  </w:r>
                </w:p>
              </w:tc>
              <w:tc>
                <w:tcPr>
                  <w:tcW w:w="1683" w:type="pct"/>
                  <w:tcBorders>
                    <w:tl2br w:val="nil"/>
                    <w:tr2bl w:val="nil"/>
                  </w:tcBorders>
                  <w:shd w:val="clear" w:color="auto" w:fill="auto"/>
                  <w:vAlign w:val="center"/>
                </w:tcPr>
                <w:p w14:paraId="541032DB">
                  <w:pPr>
                    <w:widowControl/>
                    <w:spacing w:line="0" w:lineRule="atLeast"/>
                    <w:jc w:val="center"/>
                    <w:rPr>
                      <w:rFonts w:hint="default" w:ascii="Times New Roman" w:hAnsi="Times New Roman" w:eastAsia="宋体" w:cs="Times New Roman"/>
                      <w:color w:val="auto"/>
                      <w:spacing w:val="-10"/>
                      <w:kern w:val="2"/>
                      <w:sz w:val="18"/>
                      <w:szCs w:val="18"/>
                      <w:lang w:val="en-US" w:eastAsia="zh-CN" w:bidi="ar-SA"/>
                    </w:rPr>
                  </w:pPr>
                  <w:r>
                    <w:rPr>
                      <w:rFonts w:hint="default" w:ascii="Times New Roman" w:hAnsi="Times New Roman" w:eastAsia="宋体" w:cs="Times New Roman"/>
                      <w:color w:val="auto"/>
                      <w:spacing w:val="-10"/>
                      <w:sz w:val="18"/>
                      <w:szCs w:val="18"/>
                      <w:lang w:val="en-US" w:eastAsia="zh-CN"/>
                    </w:rPr>
                    <w:t>钙与镁的碳酸盐，25kg/袋</w:t>
                  </w:r>
                  <w:r>
                    <w:rPr>
                      <w:rFonts w:hint="eastAsia" w:ascii="Times New Roman" w:hAnsi="Times New Roman" w:eastAsia="宋体" w:cs="Times New Roman"/>
                      <w:color w:val="auto"/>
                      <w:spacing w:val="-10"/>
                      <w:sz w:val="18"/>
                      <w:szCs w:val="18"/>
                      <w:lang w:val="en-US" w:eastAsia="zh-CN"/>
                    </w:rPr>
                    <w:t>，用来增强水的浮力</w:t>
                  </w:r>
                </w:p>
              </w:tc>
            </w:tr>
            <w:tr w14:paraId="45FD296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338" w:type="pct"/>
                  <w:tcBorders>
                    <w:tl2br w:val="nil"/>
                    <w:tr2bl w:val="nil"/>
                  </w:tcBorders>
                  <w:shd w:val="clear" w:color="auto" w:fill="auto"/>
                  <w:vAlign w:val="center"/>
                </w:tcPr>
                <w:p w14:paraId="2CA010B0">
                  <w:pPr>
                    <w:widowControl/>
                    <w:spacing w:line="0" w:lineRule="atLeast"/>
                    <w:jc w:val="center"/>
                    <w:rPr>
                      <w:rFonts w:hint="default" w:ascii="Times New Roman" w:hAnsi="Times New Roman" w:eastAsia="宋体" w:cs="Times New Roman"/>
                      <w:color w:val="auto"/>
                      <w:spacing w:val="-10"/>
                      <w:kern w:val="2"/>
                      <w:sz w:val="18"/>
                      <w:szCs w:val="18"/>
                      <w:lang w:val="en-US" w:eastAsia="zh-CN" w:bidi="ar-SA"/>
                    </w:rPr>
                  </w:pPr>
                  <w:r>
                    <w:rPr>
                      <w:rFonts w:hint="default" w:ascii="Times New Roman" w:hAnsi="Times New Roman" w:eastAsia="宋体" w:cs="Times New Roman"/>
                      <w:color w:val="auto"/>
                      <w:spacing w:val="-10"/>
                      <w:sz w:val="18"/>
                      <w:szCs w:val="18"/>
                      <w:lang w:val="en-US" w:eastAsia="zh-CN"/>
                    </w:rPr>
                    <w:t>5</w:t>
                  </w:r>
                </w:p>
              </w:tc>
              <w:tc>
                <w:tcPr>
                  <w:tcW w:w="578" w:type="pct"/>
                  <w:tcBorders>
                    <w:tl2br w:val="nil"/>
                    <w:tr2bl w:val="nil"/>
                  </w:tcBorders>
                  <w:shd w:val="clear" w:color="auto" w:fill="auto"/>
                  <w:vAlign w:val="center"/>
                </w:tcPr>
                <w:p w14:paraId="1B358FA1">
                  <w:pPr>
                    <w:widowControl/>
                    <w:spacing w:line="0" w:lineRule="atLeast"/>
                    <w:jc w:val="center"/>
                    <w:rPr>
                      <w:rFonts w:hint="default" w:ascii="Times New Roman" w:hAnsi="Times New Roman" w:eastAsia="宋体" w:cs="Times New Roman"/>
                      <w:color w:val="auto"/>
                      <w:spacing w:val="-10"/>
                      <w:kern w:val="2"/>
                      <w:sz w:val="18"/>
                      <w:szCs w:val="18"/>
                      <w:lang w:val="en-US" w:eastAsia="zh-CN" w:bidi="ar-SA"/>
                    </w:rPr>
                  </w:pPr>
                  <w:r>
                    <w:rPr>
                      <w:rFonts w:hint="default" w:ascii="Times New Roman" w:hAnsi="Times New Roman" w:eastAsia="宋体" w:cs="Times New Roman"/>
                      <w:color w:val="auto"/>
                      <w:spacing w:val="-10"/>
                      <w:sz w:val="18"/>
                      <w:szCs w:val="18"/>
                      <w:lang w:val="en-US" w:eastAsia="zh-CN"/>
                    </w:rPr>
                    <w:t>混凝剂</w:t>
                  </w:r>
                </w:p>
              </w:tc>
              <w:tc>
                <w:tcPr>
                  <w:tcW w:w="494" w:type="pct"/>
                  <w:tcBorders>
                    <w:tl2br w:val="nil"/>
                    <w:tr2bl w:val="nil"/>
                  </w:tcBorders>
                  <w:shd w:val="clear" w:color="auto" w:fill="auto"/>
                  <w:vAlign w:val="center"/>
                </w:tcPr>
                <w:p w14:paraId="6E83999B">
                  <w:pPr>
                    <w:widowControl/>
                    <w:spacing w:line="0" w:lineRule="atLeast"/>
                    <w:jc w:val="center"/>
                    <w:rPr>
                      <w:rFonts w:hint="default" w:ascii="Times New Roman" w:hAnsi="Times New Roman" w:eastAsia="宋体" w:cs="Times New Roman"/>
                      <w:color w:val="auto"/>
                      <w:spacing w:val="-10"/>
                      <w:kern w:val="2"/>
                      <w:sz w:val="18"/>
                      <w:szCs w:val="18"/>
                      <w:lang w:val="en-US" w:eastAsia="zh-CN" w:bidi="ar-SA"/>
                    </w:rPr>
                  </w:pPr>
                  <w:r>
                    <w:rPr>
                      <w:rFonts w:hint="default" w:ascii="Times New Roman" w:hAnsi="Times New Roman" w:eastAsia="宋体" w:cs="Times New Roman"/>
                      <w:color w:val="auto"/>
                      <w:spacing w:val="-10"/>
                      <w:sz w:val="18"/>
                      <w:szCs w:val="18"/>
                      <w:lang w:val="en-US" w:eastAsia="zh-CN"/>
                    </w:rPr>
                    <w:t>t/a</w:t>
                  </w:r>
                </w:p>
              </w:tc>
              <w:tc>
                <w:tcPr>
                  <w:tcW w:w="482" w:type="pct"/>
                  <w:tcBorders>
                    <w:tl2br w:val="nil"/>
                    <w:tr2bl w:val="nil"/>
                  </w:tcBorders>
                  <w:shd w:val="clear" w:color="auto" w:fill="auto"/>
                  <w:vAlign w:val="center"/>
                </w:tcPr>
                <w:p w14:paraId="7D9B9B2D">
                  <w:pPr>
                    <w:widowControl/>
                    <w:spacing w:line="0" w:lineRule="atLeast"/>
                    <w:jc w:val="center"/>
                    <w:rPr>
                      <w:rFonts w:hint="default" w:ascii="Times New Roman" w:hAnsi="Times New Roman" w:eastAsia="宋体" w:cs="Times New Roman"/>
                      <w:color w:val="auto"/>
                      <w:spacing w:val="-10"/>
                      <w:kern w:val="2"/>
                      <w:sz w:val="18"/>
                      <w:szCs w:val="18"/>
                      <w:lang w:val="en-US" w:eastAsia="zh-CN" w:bidi="ar-SA"/>
                    </w:rPr>
                  </w:pPr>
                  <w:r>
                    <w:rPr>
                      <w:rFonts w:hint="default" w:ascii="Times New Roman" w:hAnsi="Times New Roman" w:eastAsia="宋体" w:cs="Times New Roman"/>
                      <w:color w:val="auto"/>
                      <w:spacing w:val="-10"/>
                      <w:sz w:val="18"/>
                      <w:szCs w:val="18"/>
                      <w:lang w:val="en-US" w:eastAsia="zh-CN"/>
                    </w:rPr>
                    <w:t>0.75</w:t>
                  </w:r>
                </w:p>
              </w:tc>
              <w:tc>
                <w:tcPr>
                  <w:tcW w:w="480" w:type="pct"/>
                  <w:tcBorders>
                    <w:tl2br w:val="nil"/>
                    <w:tr2bl w:val="nil"/>
                  </w:tcBorders>
                  <w:shd w:val="clear" w:color="auto" w:fill="auto"/>
                  <w:vAlign w:val="center"/>
                </w:tcPr>
                <w:p w14:paraId="11836D92">
                  <w:pPr>
                    <w:widowControl/>
                    <w:spacing w:line="0" w:lineRule="atLeast"/>
                    <w:jc w:val="center"/>
                    <w:rPr>
                      <w:rFonts w:hint="default" w:ascii="Times New Roman" w:hAnsi="Times New Roman" w:eastAsia="宋体" w:cs="Times New Roman"/>
                      <w:color w:val="auto"/>
                      <w:spacing w:val="-10"/>
                      <w:kern w:val="2"/>
                      <w:sz w:val="18"/>
                      <w:szCs w:val="18"/>
                      <w:lang w:val="en-US" w:eastAsia="zh-CN" w:bidi="ar-SA"/>
                    </w:rPr>
                  </w:pPr>
                  <w:r>
                    <w:rPr>
                      <w:rFonts w:hint="default" w:ascii="Times New Roman" w:hAnsi="Times New Roman" w:eastAsia="宋体" w:cs="Times New Roman"/>
                      <w:color w:val="auto"/>
                      <w:spacing w:val="-10"/>
                      <w:sz w:val="18"/>
                      <w:szCs w:val="18"/>
                      <w:lang w:val="en-US" w:eastAsia="zh-CN"/>
                    </w:rPr>
                    <w:t>袋装</w:t>
                  </w:r>
                </w:p>
              </w:tc>
              <w:tc>
                <w:tcPr>
                  <w:tcW w:w="941" w:type="pct"/>
                  <w:tcBorders>
                    <w:tl2br w:val="nil"/>
                    <w:tr2bl w:val="nil"/>
                  </w:tcBorders>
                  <w:shd w:val="clear" w:color="auto" w:fill="auto"/>
                  <w:vAlign w:val="center"/>
                </w:tcPr>
                <w:p w14:paraId="516382D5">
                  <w:pPr>
                    <w:widowControl/>
                    <w:spacing w:line="0" w:lineRule="atLeast"/>
                    <w:jc w:val="center"/>
                    <w:rPr>
                      <w:rFonts w:hint="default" w:ascii="Times New Roman" w:hAnsi="Times New Roman" w:eastAsia="宋体" w:cs="Times New Roman"/>
                      <w:color w:val="auto"/>
                      <w:spacing w:val="-10"/>
                      <w:kern w:val="2"/>
                      <w:sz w:val="18"/>
                      <w:szCs w:val="18"/>
                      <w:lang w:val="en-US" w:eastAsia="zh-CN" w:bidi="ar-SA"/>
                    </w:rPr>
                  </w:pPr>
                  <w:r>
                    <w:rPr>
                      <w:rFonts w:hint="default" w:ascii="Times New Roman" w:hAnsi="Times New Roman" w:eastAsia="宋体" w:cs="Times New Roman"/>
                      <w:color w:val="auto"/>
                      <w:spacing w:val="-10"/>
                      <w:sz w:val="18"/>
                      <w:szCs w:val="18"/>
                      <w:lang w:val="en-US" w:eastAsia="zh-CN"/>
                    </w:rPr>
                    <w:t>外购</w:t>
                  </w:r>
                </w:p>
              </w:tc>
              <w:tc>
                <w:tcPr>
                  <w:tcW w:w="1683" w:type="pct"/>
                  <w:tcBorders>
                    <w:tl2br w:val="nil"/>
                    <w:tr2bl w:val="nil"/>
                  </w:tcBorders>
                  <w:shd w:val="clear" w:color="auto" w:fill="auto"/>
                  <w:vAlign w:val="center"/>
                </w:tcPr>
                <w:p w14:paraId="42319310">
                  <w:pPr>
                    <w:widowControl/>
                    <w:spacing w:line="0" w:lineRule="atLeast"/>
                    <w:jc w:val="center"/>
                    <w:rPr>
                      <w:rFonts w:hint="default" w:ascii="Times New Roman" w:hAnsi="Times New Roman" w:eastAsia="宋体" w:cs="Times New Roman"/>
                      <w:color w:val="auto"/>
                      <w:spacing w:val="-10"/>
                      <w:kern w:val="2"/>
                      <w:sz w:val="18"/>
                      <w:szCs w:val="18"/>
                      <w:lang w:val="en-US" w:eastAsia="zh-CN" w:bidi="ar-SA"/>
                    </w:rPr>
                  </w:pPr>
                  <w:r>
                    <w:rPr>
                      <w:rFonts w:hint="default" w:ascii="Times New Roman" w:hAnsi="Times New Roman" w:eastAsia="宋体" w:cs="Times New Roman"/>
                      <w:color w:val="auto"/>
                      <w:spacing w:val="-10"/>
                      <w:sz w:val="18"/>
                      <w:szCs w:val="18"/>
                      <w:lang w:val="en-US" w:eastAsia="zh-CN"/>
                    </w:rPr>
                    <w:t>聚合氯化铝（PAC），25kg/袋</w:t>
                  </w:r>
                </w:p>
              </w:tc>
            </w:tr>
            <w:tr w14:paraId="153AFF8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338" w:type="pct"/>
                  <w:tcBorders>
                    <w:tl2br w:val="nil"/>
                    <w:tr2bl w:val="nil"/>
                  </w:tcBorders>
                  <w:vAlign w:val="center"/>
                </w:tcPr>
                <w:p w14:paraId="34746240">
                  <w:pPr>
                    <w:widowControl/>
                    <w:spacing w:line="0" w:lineRule="atLeast"/>
                    <w:jc w:val="center"/>
                    <w:rPr>
                      <w:rFonts w:hint="eastAsia" w:ascii="Times New Roman" w:hAnsi="Times New Roman" w:eastAsia="宋体" w:cs="Times New Roman"/>
                      <w:color w:val="auto"/>
                      <w:spacing w:val="-10"/>
                      <w:sz w:val="18"/>
                      <w:szCs w:val="18"/>
                    </w:rPr>
                  </w:pPr>
                  <w:r>
                    <w:rPr>
                      <w:rFonts w:hint="default" w:ascii="Times New Roman" w:hAnsi="Times New Roman" w:eastAsia="宋体" w:cs="Times New Roman"/>
                      <w:color w:val="auto"/>
                      <w:spacing w:val="-10"/>
                      <w:sz w:val="18"/>
                      <w:szCs w:val="18"/>
                      <w:lang w:val="en-US" w:eastAsia="zh-CN"/>
                    </w:rPr>
                    <w:t>6</w:t>
                  </w:r>
                </w:p>
              </w:tc>
              <w:tc>
                <w:tcPr>
                  <w:tcW w:w="578" w:type="pct"/>
                  <w:tcBorders>
                    <w:tl2br w:val="nil"/>
                    <w:tr2bl w:val="nil"/>
                  </w:tcBorders>
                  <w:vAlign w:val="center"/>
                </w:tcPr>
                <w:p w14:paraId="5E2B696A">
                  <w:pPr>
                    <w:widowControl/>
                    <w:spacing w:line="0" w:lineRule="atLeast"/>
                    <w:jc w:val="center"/>
                    <w:rPr>
                      <w:rFonts w:hint="default" w:ascii="Times New Roman" w:hAnsi="Times New Roman" w:eastAsia="宋体" w:cs="Times New Roman"/>
                      <w:color w:val="auto"/>
                      <w:spacing w:val="-10"/>
                      <w:sz w:val="18"/>
                      <w:szCs w:val="18"/>
                      <w:lang w:val="en-US" w:eastAsia="zh-CN"/>
                    </w:rPr>
                  </w:pPr>
                  <w:r>
                    <w:rPr>
                      <w:rFonts w:hint="default" w:ascii="Times New Roman" w:hAnsi="Times New Roman" w:eastAsia="宋体" w:cs="Times New Roman"/>
                      <w:color w:val="auto"/>
                      <w:spacing w:val="-10"/>
                      <w:sz w:val="18"/>
                      <w:szCs w:val="18"/>
                      <w:lang w:val="en-US" w:eastAsia="zh-CN"/>
                    </w:rPr>
                    <w:t>絮凝剂</w:t>
                  </w:r>
                </w:p>
              </w:tc>
              <w:tc>
                <w:tcPr>
                  <w:tcW w:w="494" w:type="pct"/>
                  <w:tcBorders>
                    <w:tl2br w:val="nil"/>
                    <w:tr2bl w:val="nil"/>
                  </w:tcBorders>
                  <w:vAlign w:val="center"/>
                </w:tcPr>
                <w:p w14:paraId="68D60307">
                  <w:pPr>
                    <w:widowControl/>
                    <w:spacing w:line="0" w:lineRule="atLeast"/>
                    <w:jc w:val="center"/>
                    <w:rPr>
                      <w:rFonts w:hint="eastAsia" w:ascii="Times New Roman" w:hAnsi="Times New Roman" w:eastAsia="宋体" w:cs="Times New Roman"/>
                      <w:color w:val="auto"/>
                      <w:spacing w:val="-10"/>
                      <w:sz w:val="18"/>
                      <w:szCs w:val="18"/>
                      <w:lang w:val="en-US" w:eastAsia="zh-CN"/>
                    </w:rPr>
                  </w:pPr>
                  <w:r>
                    <w:rPr>
                      <w:rFonts w:hint="default" w:ascii="Times New Roman" w:hAnsi="Times New Roman" w:eastAsia="宋体" w:cs="Times New Roman"/>
                      <w:color w:val="auto"/>
                      <w:spacing w:val="-10"/>
                      <w:sz w:val="18"/>
                      <w:szCs w:val="18"/>
                      <w:lang w:val="en-US" w:eastAsia="zh-CN"/>
                    </w:rPr>
                    <w:t>t/a</w:t>
                  </w:r>
                </w:p>
              </w:tc>
              <w:tc>
                <w:tcPr>
                  <w:tcW w:w="482" w:type="pct"/>
                  <w:tcBorders>
                    <w:tl2br w:val="nil"/>
                    <w:tr2bl w:val="nil"/>
                  </w:tcBorders>
                  <w:vAlign w:val="center"/>
                </w:tcPr>
                <w:p w14:paraId="1D15663E">
                  <w:pPr>
                    <w:widowControl/>
                    <w:spacing w:line="0" w:lineRule="atLeast"/>
                    <w:jc w:val="center"/>
                    <w:rPr>
                      <w:rFonts w:hint="default" w:ascii="Times New Roman" w:hAnsi="Times New Roman" w:eastAsia="宋体" w:cs="Times New Roman"/>
                      <w:color w:val="auto"/>
                      <w:spacing w:val="-10"/>
                      <w:sz w:val="18"/>
                      <w:szCs w:val="18"/>
                      <w:lang w:val="en-US" w:eastAsia="zh-CN"/>
                    </w:rPr>
                  </w:pPr>
                  <w:r>
                    <w:rPr>
                      <w:rFonts w:hint="default" w:ascii="Times New Roman" w:hAnsi="Times New Roman" w:eastAsia="宋体" w:cs="Times New Roman"/>
                      <w:color w:val="auto"/>
                      <w:spacing w:val="-10"/>
                      <w:sz w:val="18"/>
                      <w:szCs w:val="18"/>
                      <w:lang w:val="en-US" w:eastAsia="zh-CN"/>
                    </w:rPr>
                    <w:t>0.75</w:t>
                  </w:r>
                </w:p>
              </w:tc>
              <w:tc>
                <w:tcPr>
                  <w:tcW w:w="480" w:type="pct"/>
                  <w:tcBorders>
                    <w:tl2br w:val="nil"/>
                    <w:tr2bl w:val="nil"/>
                  </w:tcBorders>
                  <w:vAlign w:val="center"/>
                </w:tcPr>
                <w:p w14:paraId="34704843">
                  <w:pPr>
                    <w:widowControl/>
                    <w:spacing w:line="0" w:lineRule="atLeast"/>
                    <w:jc w:val="center"/>
                    <w:rPr>
                      <w:rFonts w:hint="eastAsia" w:ascii="Times New Roman" w:hAnsi="Times New Roman" w:eastAsia="宋体" w:cs="Times New Roman"/>
                      <w:color w:val="auto"/>
                      <w:spacing w:val="-10"/>
                      <w:sz w:val="18"/>
                      <w:szCs w:val="18"/>
                      <w:lang w:val="en-US" w:eastAsia="zh-CN"/>
                    </w:rPr>
                  </w:pPr>
                  <w:r>
                    <w:rPr>
                      <w:rFonts w:hint="default" w:ascii="Times New Roman" w:hAnsi="Times New Roman" w:eastAsia="宋体" w:cs="Times New Roman"/>
                      <w:color w:val="auto"/>
                      <w:spacing w:val="-10"/>
                      <w:sz w:val="18"/>
                      <w:szCs w:val="18"/>
                      <w:lang w:val="en-US" w:eastAsia="zh-CN"/>
                    </w:rPr>
                    <w:t>袋装</w:t>
                  </w:r>
                </w:p>
              </w:tc>
              <w:tc>
                <w:tcPr>
                  <w:tcW w:w="941" w:type="pct"/>
                  <w:tcBorders>
                    <w:tl2br w:val="nil"/>
                    <w:tr2bl w:val="nil"/>
                  </w:tcBorders>
                  <w:vAlign w:val="center"/>
                </w:tcPr>
                <w:p w14:paraId="2B660B62">
                  <w:pPr>
                    <w:widowControl/>
                    <w:spacing w:line="0" w:lineRule="atLeast"/>
                    <w:jc w:val="center"/>
                    <w:rPr>
                      <w:rFonts w:hint="eastAsia" w:ascii="Times New Roman" w:hAnsi="Times New Roman" w:eastAsia="宋体" w:cs="Times New Roman"/>
                      <w:color w:val="auto"/>
                      <w:spacing w:val="-10"/>
                      <w:sz w:val="18"/>
                      <w:szCs w:val="18"/>
                    </w:rPr>
                  </w:pPr>
                  <w:r>
                    <w:rPr>
                      <w:rFonts w:hint="default" w:ascii="Times New Roman" w:hAnsi="Times New Roman" w:eastAsia="宋体" w:cs="Times New Roman"/>
                      <w:color w:val="auto"/>
                      <w:spacing w:val="-10"/>
                      <w:sz w:val="18"/>
                      <w:szCs w:val="18"/>
                      <w:lang w:val="en-US" w:eastAsia="zh-CN"/>
                    </w:rPr>
                    <w:t>外购</w:t>
                  </w:r>
                </w:p>
              </w:tc>
              <w:tc>
                <w:tcPr>
                  <w:tcW w:w="1683" w:type="pct"/>
                  <w:tcBorders>
                    <w:tl2br w:val="nil"/>
                    <w:tr2bl w:val="nil"/>
                  </w:tcBorders>
                  <w:vAlign w:val="center"/>
                </w:tcPr>
                <w:p w14:paraId="28DDB639">
                  <w:pPr>
                    <w:widowControl/>
                    <w:spacing w:line="0" w:lineRule="atLeast"/>
                    <w:jc w:val="center"/>
                    <w:rPr>
                      <w:rFonts w:hint="eastAsia" w:ascii="Times New Roman" w:hAnsi="Times New Roman" w:eastAsia="宋体" w:cs="Times New Roman"/>
                      <w:color w:val="auto"/>
                      <w:spacing w:val="-10"/>
                      <w:sz w:val="18"/>
                      <w:szCs w:val="18"/>
                      <w:lang w:val="en-US" w:eastAsia="zh-CN"/>
                    </w:rPr>
                  </w:pPr>
                  <w:r>
                    <w:rPr>
                      <w:rFonts w:hint="default" w:ascii="Times New Roman" w:hAnsi="Times New Roman" w:eastAsia="宋体" w:cs="Times New Roman"/>
                      <w:color w:val="auto"/>
                      <w:spacing w:val="-10"/>
                      <w:sz w:val="18"/>
                      <w:szCs w:val="18"/>
                      <w:lang w:val="en-US" w:eastAsia="zh-CN"/>
                    </w:rPr>
                    <w:t>聚丙烯酰胺（PAM），25kg/袋</w:t>
                  </w:r>
                </w:p>
              </w:tc>
            </w:tr>
            <w:tr w14:paraId="29B22A4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338" w:type="pct"/>
                  <w:tcBorders>
                    <w:tl2br w:val="nil"/>
                    <w:tr2bl w:val="nil"/>
                  </w:tcBorders>
                  <w:vAlign w:val="center"/>
                </w:tcPr>
                <w:p w14:paraId="1C7FF692">
                  <w:pPr>
                    <w:widowControl/>
                    <w:spacing w:line="0" w:lineRule="atLeast"/>
                    <w:jc w:val="center"/>
                    <w:rPr>
                      <w:rFonts w:hint="eastAsia" w:ascii="Times New Roman" w:hAnsi="Times New Roman" w:eastAsia="宋体" w:cs="Times New Roman"/>
                      <w:color w:val="auto"/>
                      <w:spacing w:val="-10"/>
                      <w:sz w:val="18"/>
                      <w:szCs w:val="18"/>
                    </w:rPr>
                  </w:pPr>
                  <w:r>
                    <w:rPr>
                      <w:rFonts w:hint="default" w:ascii="Times New Roman" w:hAnsi="Times New Roman" w:eastAsia="宋体" w:cs="Times New Roman"/>
                      <w:color w:val="auto"/>
                      <w:spacing w:val="-10"/>
                      <w:sz w:val="18"/>
                      <w:szCs w:val="18"/>
                      <w:lang w:val="en-US" w:eastAsia="zh-CN"/>
                    </w:rPr>
                    <w:t>7</w:t>
                  </w:r>
                </w:p>
              </w:tc>
              <w:tc>
                <w:tcPr>
                  <w:tcW w:w="578" w:type="pct"/>
                  <w:tcBorders>
                    <w:tl2br w:val="nil"/>
                    <w:tr2bl w:val="nil"/>
                  </w:tcBorders>
                  <w:vAlign w:val="center"/>
                </w:tcPr>
                <w:p w14:paraId="0E6F7386">
                  <w:pPr>
                    <w:widowControl/>
                    <w:spacing w:line="0" w:lineRule="atLeast"/>
                    <w:jc w:val="center"/>
                    <w:rPr>
                      <w:rFonts w:hint="default" w:ascii="Times New Roman" w:hAnsi="Times New Roman" w:eastAsia="宋体" w:cs="Times New Roman"/>
                      <w:color w:val="auto"/>
                      <w:spacing w:val="-10"/>
                      <w:sz w:val="18"/>
                      <w:szCs w:val="18"/>
                      <w:lang w:val="en-US" w:eastAsia="zh-CN"/>
                    </w:rPr>
                  </w:pPr>
                  <w:r>
                    <w:rPr>
                      <w:rFonts w:hint="default" w:ascii="Times New Roman" w:hAnsi="Times New Roman" w:eastAsia="宋体" w:cs="Times New Roman"/>
                      <w:color w:val="auto"/>
                      <w:spacing w:val="-10"/>
                      <w:sz w:val="18"/>
                      <w:szCs w:val="18"/>
                      <w:lang w:val="en-US" w:eastAsia="zh-CN"/>
                    </w:rPr>
                    <w:t>钢球</w:t>
                  </w:r>
                </w:p>
              </w:tc>
              <w:tc>
                <w:tcPr>
                  <w:tcW w:w="494" w:type="pct"/>
                  <w:tcBorders>
                    <w:tl2br w:val="nil"/>
                    <w:tr2bl w:val="nil"/>
                  </w:tcBorders>
                  <w:vAlign w:val="center"/>
                </w:tcPr>
                <w:p w14:paraId="1C31FE2B">
                  <w:pPr>
                    <w:widowControl/>
                    <w:spacing w:line="0" w:lineRule="atLeast"/>
                    <w:jc w:val="center"/>
                    <w:rPr>
                      <w:rFonts w:hint="eastAsia" w:ascii="Times New Roman" w:hAnsi="Times New Roman" w:eastAsia="宋体" w:cs="Times New Roman"/>
                      <w:color w:val="auto"/>
                      <w:spacing w:val="-10"/>
                      <w:sz w:val="18"/>
                      <w:szCs w:val="18"/>
                      <w:lang w:val="en-US" w:eastAsia="zh-CN"/>
                    </w:rPr>
                  </w:pPr>
                  <w:r>
                    <w:rPr>
                      <w:rFonts w:hint="default" w:ascii="Times New Roman" w:hAnsi="Times New Roman" w:eastAsia="宋体" w:cs="Times New Roman"/>
                      <w:color w:val="auto"/>
                      <w:spacing w:val="-10"/>
                      <w:sz w:val="18"/>
                      <w:szCs w:val="18"/>
                      <w:lang w:val="en-US" w:eastAsia="zh-CN"/>
                    </w:rPr>
                    <w:t>t/a</w:t>
                  </w:r>
                </w:p>
              </w:tc>
              <w:tc>
                <w:tcPr>
                  <w:tcW w:w="482" w:type="pct"/>
                  <w:tcBorders>
                    <w:tl2br w:val="nil"/>
                    <w:tr2bl w:val="nil"/>
                  </w:tcBorders>
                  <w:vAlign w:val="center"/>
                </w:tcPr>
                <w:p w14:paraId="0B4FC11D">
                  <w:pPr>
                    <w:widowControl/>
                    <w:spacing w:line="0" w:lineRule="atLeast"/>
                    <w:jc w:val="center"/>
                    <w:rPr>
                      <w:rFonts w:hint="default" w:ascii="Times New Roman" w:hAnsi="Times New Roman" w:eastAsia="宋体" w:cs="Times New Roman"/>
                      <w:color w:val="auto"/>
                      <w:spacing w:val="-10"/>
                      <w:sz w:val="18"/>
                      <w:szCs w:val="18"/>
                      <w:lang w:val="en-US" w:eastAsia="zh-CN"/>
                    </w:rPr>
                  </w:pPr>
                  <w:r>
                    <w:rPr>
                      <w:rFonts w:hint="default" w:ascii="Times New Roman" w:hAnsi="Times New Roman" w:eastAsia="宋体" w:cs="Times New Roman"/>
                      <w:color w:val="auto"/>
                      <w:spacing w:val="-10"/>
                      <w:sz w:val="18"/>
                      <w:szCs w:val="18"/>
                      <w:lang w:val="en-US" w:eastAsia="zh-CN"/>
                    </w:rPr>
                    <w:t>20</w:t>
                  </w:r>
                </w:p>
              </w:tc>
              <w:tc>
                <w:tcPr>
                  <w:tcW w:w="480" w:type="pct"/>
                  <w:tcBorders>
                    <w:tl2br w:val="nil"/>
                    <w:tr2bl w:val="nil"/>
                  </w:tcBorders>
                  <w:vAlign w:val="center"/>
                </w:tcPr>
                <w:p w14:paraId="7BE2C81E">
                  <w:pPr>
                    <w:widowControl/>
                    <w:spacing w:line="0" w:lineRule="atLeast"/>
                    <w:jc w:val="center"/>
                    <w:rPr>
                      <w:rFonts w:hint="default" w:ascii="Times New Roman" w:hAnsi="Times New Roman" w:eastAsia="宋体" w:cs="Times New Roman"/>
                      <w:color w:val="auto"/>
                      <w:spacing w:val="-10"/>
                      <w:sz w:val="18"/>
                      <w:szCs w:val="18"/>
                      <w:lang w:val="en-US" w:eastAsia="zh-CN"/>
                    </w:rPr>
                  </w:pPr>
                  <w:r>
                    <w:rPr>
                      <w:rFonts w:hint="default" w:ascii="Times New Roman" w:hAnsi="Times New Roman" w:eastAsia="宋体" w:cs="Times New Roman"/>
                      <w:color w:val="auto"/>
                      <w:spacing w:val="-10"/>
                      <w:sz w:val="18"/>
                      <w:szCs w:val="18"/>
                      <w:lang w:val="en-US" w:eastAsia="zh-CN"/>
                    </w:rPr>
                    <w:t>散装</w:t>
                  </w:r>
                </w:p>
              </w:tc>
              <w:tc>
                <w:tcPr>
                  <w:tcW w:w="941" w:type="pct"/>
                  <w:tcBorders>
                    <w:tl2br w:val="nil"/>
                    <w:tr2bl w:val="nil"/>
                  </w:tcBorders>
                  <w:vAlign w:val="center"/>
                </w:tcPr>
                <w:p w14:paraId="1E7F5E8E">
                  <w:pPr>
                    <w:widowControl/>
                    <w:spacing w:line="0" w:lineRule="atLeast"/>
                    <w:jc w:val="center"/>
                    <w:rPr>
                      <w:rFonts w:hint="eastAsia" w:ascii="Times New Roman" w:hAnsi="Times New Roman" w:eastAsia="宋体" w:cs="Times New Roman"/>
                      <w:color w:val="auto"/>
                      <w:spacing w:val="-10"/>
                      <w:sz w:val="18"/>
                      <w:szCs w:val="18"/>
                    </w:rPr>
                  </w:pPr>
                  <w:r>
                    <w:rPr>
                      <w:rFonts w:hint="default" w:ascii="Times New Roman" w:hAnsi="Times New Roman" w:eastAsia="宋体" w:cs="Times New Roman"/>
                      <w:color w:val="auto"/>
                      <w:spacing w:val="-10"/>
                      <w:sz w:val="18"/>
                      <w:szCs w:val="18"/>
                      <w:lang w:val="en-US" w:eastAsia="zh-CN"/>
                    </w:rPr>
                    <w:t>外购</w:t>
                  </w:r>
                </w:p>
              </w:tc>
              <w:tc>
                <w:tcPr>
                  <w:tcW w:w="1683" w:type="pct"/>
                  <w:tcBorders>
                    <w:tl2br w:val="nil"/>
                    <w:tr2bl w:val="nil"/>
                  </w:tcBorders>
                  <w:vAlign w:val="center"/>
                </w:tcPr>
                <w:p w14:paraId="0A26CAC9">
                  <w:pPr>
                    <w:widowControl/>
                    <w:spacing w:line="0" w:lineRule="atLeast"/>
                    <w:jc w:val="center"/>
                    <w:rPr>
                      <w:rFonts w:hint="eastAsia" w:ascii="Times New Roman" w:hAnsi="Times New Roman" w:eastAsia="宋体" w:cs="Times New Roman"/>
                      <w:color w:val="auto"/>
                      <w:spacing w:val="-10"/>
                      <w:sz w:val="18"/>
                      <w:szCs w:val="18"/>
                      <w:lang w:val="en-US" w:eastAsia="zh-CN"/>
                    </w:rPr>
                  </w:pPr>
                  <w:r>
                    <w:rPr>
                      <w:rFonts w:hint="default" w:ascii="Times New Roman" w:hAnsi="Times New Roman" w:eastAsia="宋体" w:cs="Times New Roman"/>
                      <w:color w:val="auto"/>
                      <w:spacing w:val="-10"/>
                      <w:sz w:val="18"/>
                      <w:szCs w:val="18"/>
                      <w:lang w:val="en-US" w:eastAsia="zh-CN"/>
                    </w:rPr>
                    <w:t>球磨机的介质</w:t>
                  </w:r>
                </w:p>
              </w:tc>
            </w:tr>
            <w:tr w14:paraId="207DC0C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338" w:type="pct"/>
                  <w:tcBorders>
                    <w:tl2br w:val="nil"/>
                    <w:tr2bl w:val="nil"/>
                  </w:tcBorders>
                  <w:vAlign w:val="center"/>
                </w:tcPr>
                <w:p w14:paraId="5F6498A7">
                  <w:pPr>
                    <w:widowControl/>
                    <w:spacing w:line="0" w:lineRule="atLeast"/>
                    <w:jc w:val="center"/>
                    <w:rPr>
                      <w:rFonts w:hint="eastAsia" w:ascii="Times New Roman" w:hAnsi="Times New Roman" w:eastAsia="宋体" w:cs="Times New Roman"/>
                      <w:color w:val="auto"/>
                      <w:spacing w:val="-10"/>
                      <w:sz w:val="18"/>
                      <w:szCs w:val="18"/>
                    </w:rPr>
                  </w:pPr>
                  <w:r>
                    <w:rPr>
                      <w:rFonts w:hint="default" w:ascii="Times New Roman" w:hAnsi="Times New Roman" w:eastAsia="宋体" w:cs="Times New Roman"/>
                      <w:color w:val="auto"/>
                      <w:spacing w:val="-10"/>
                      <w:sz w:val="18"/>
                      <w:szCs w:val="18"/>
                      <w:lang w:val="en-US" w:eastAsia="zh-CN"/>
                    </w:rPr>
                    <w:t>8</w:t>
                  </w:r>
                </w:p>
              </w:tc>
              <w:tc>
                <w:tcPr>
                  <w:tcW w:w="578" w:type="pct"/>
                  <w:tcBorders>
                    <w:tl2br w:val="nil"/>
                    <w:tr2bl w:val="nil"/>
                  </w:tcBorders>
                  <w:vAlign w:val="center"/>
                </w:tcPr>
                <w:p w14:paraId="4F55C590">
                  <w:pPr>
                    <w:widowControl/>
                    <w:spacing w:line="0" w:lineRule="atLeast"/>
                    <w:jc w:val="center"/>
                    <w:rPr>
                      <w:rFonts w:hint="default" w:ascii="Times New Roman" w:hAnsi="Times New Roman" w:eastAsia="宋体" w:cs="Times New Roman"/>
                      <w:color w:val="auto"/>
                      <w:spacing w:val="-10"/>
                      <w:sz w:val="18"/>
                      <w:szCs w:val="18"/>
                      <w:lang w:val="en-US" w:eastAsia="zh-CN"/>
                    </w:rPr>
                  </w:pPr>
                  <w:r>
                    <w:rPr>
                      <w:rFonts w:hint="default" w:ascii="Times New Roman" w:hAnsi="Times New Roman" w:eastAsia="宋体" w:cs="Times New Roman"/>
                      <w:color w:val="auto"/>
                      <w:spacing w:val="-10"/>
                      <w:sz w:val="18"/>
                      <w:szCs w:val="18"/>
                      <w:lang w:val="en-US" w:eastAsia="zh-CN"/>
                    </w:rPr>
                    <w:t>布袋</w:t>
                  </w:r>
                </w:p>
              </w:tc>
              <w:tc>
                <w:tcPr>
                  <w:tcW w:w="494" w:type="pct"/>
                  <w:tcBorders>
                    <w:tl2br w:val="nil"/>
                    <w:tr2bl w:val="nil"/>
                  </w:tcBorders>
                  <w:vAlign w:val="center"/>
                </w:tcPr>
                <w:p w14:paraId="4DEFF8FC">
                  <w:pPr>
                    <w:widowControl/>
                    <w:spacing w:line="0" w:lineRule="atLeast"/>
                    <w:jc w:val="center"/>
                    <w:rPr>
                      <w:rFonts w:hint="eastAsia" w:ascii="Times New Roman" w:hAnsi="Times New Roman" w:eastAsia="宋体" w:cs="Times New Roman"/>
                      <w:color w:val="auto"/>
                      <w:spacing w:val="-10"/>
                      <w:sz w:val="18"/>
                      <w:szCs w:val="18"/>
                      <w:lang w:val="en-US" w:eastAsia="zh-CN"/>
                    </w:rPr>
                  </w:pPr>
                  <w:r>
                    <w:rPr>
                      <w:rFonts w:hint="default" w:ascii="Times New Roman" w:hAnsi="Times New Roman" w:eastAsia="宋体" w:cs="Times New Roman"/>
                      <w:color w:val="auto"/>
                      <w:spacing w:val="-10"/>
                      <w:sz w:val="18"/>
                      <w:szCs w:val="18"/>
                      <w:lang w:val="en-US" w:eastAsia="zh-CN"/>
                    </w:rPr>
                    <w:t>t/a</w:t>
                  </w:r>
                </w:p>
              </w:tc>
              <w:tc>
                <w:tcPr>
                  <w:tcW w:w="482" w:type="pct"/>
                  <w:tcBorders>
                    <w:tl2br w:val="nil"/>
                    <w:tr2bl w:val="nil"/>
                  </w:tcBorders>
                  <w:vAlign w:val="center"/>
                </w:tcPr>
                <w:p w14:paraId="5B6F90D8">
                  <w:pPr>
                    <w:widowControl/>
                    <w:spacing w:line="0" w:lineRule="atLeast"/>
                    <w:jc w:val="center"/>
                    <w:rPr>
                      <w:rFonts w:hint="eastAsia" w:ascii="Times New Roman" w:hAnsi="Times New Roman" w:eastAsia="宋体" w:cs="Times New Roman"/>
                      <w:color w:val="auto"/>
                      <w:spacing w:val="-10"/>
                      <w:sz w:val="18"/>
                      <w:szCs w:val="18"/>
                      <w:lang w:val="en-US" w:eastAsia="zh-CN"/>
                    </w:rPr>
                  </w:pPr>
                  <w:r>
                    <w:rPr>
                      <w:rFonts w:hint="default" w:ascii="Times New Roman" w:hAnsi="Times New Roman" w:eastAsia="宋体" w:cs="Times New Roman"/>
                      <w:color w:val="auto"/>
                      <w:spacing w:val="-10"/>
                      <w:sz w:val="18"/>
                      <w:szCs w:val="18"/>
                      <w:lang w:val="en-US" w:eastAsia="zh-CN"/>
                    </w:rPr>
                    <w:t>0.05</w:t>
                  </w:r>
                </w:p>
              </w:tc>
              <w:tc>
                <w:tcPr>
                  <w:tcW w:w="480" w:type="pct"/>
                  <w:tcBorders>
                    <w:tl2br w:val="nil"/>
                    <w:tr2bl w:val="nil"/>
                  </w:tcBorders>
                  <w:vAlign w:val="center"/>
                </w:tcPr>
                <w:p w14:paraId="6ADEB5B0">
                  <w:pPr>
                    <w:widowControl/>
                    <w:spacing w:line="0" w:lineRule="atLeast"/>
                    <w:jc w:val="center"/>
                    <w:rPr>
                      <w:rFonts w:hint="default" w:ascii="Times New Roman" w:hAnsi="Times New Roman" w:eastAsia="宋体" w:cs="Times New Roman"/>
                      <w:color w:val="auto"/>
                      <w:spacing w:val="-10"/>
                      <w:sz w:val="18"/>
                      <w:szCs w:val="18"/>
                      <w:lang w:val="en-US" w:eastAsia="zh-CN"/>
                    </w:rPr>
                  </w:pPr>
                  <w:r>
                    <w:rPr>
                      <w:rFonts w:hint="default" w:ascii="Times New Roman" w:hAnsi="Times New Roman" w:eastAsia="宋体" w:cs="Times New Roman"/>
                      <w:color w:val="auto"/>
                      <w:spacing w:val="-10"/>
                      <w:sz w:val="18"/>
                      <w:szCs w:val="18"/>
                      <w:lang w:val="en-US" w:eastAsia="zh-CN"/>
                    </w:rPr>
                    <w:t>/</w:t>
                  </w:r>
                </w:p>
              </w:tc>
              <w:tc>
                <w:tcPr>
                  <w:tcW w:w="941" w:type="pct"/>
                  <w:tcBorders>
                    <w:tl2br w:val="nil"/>
                    <w:tr2bl w:val="nil"/>
                  </w:tcBorders>
                  <w:vAlign w:val="center"/>
                </w:tcPr>
                <w:p w14:paraId="6D8230FA">
                  <w:pPr>
                    <w:widowControl/>
                    <w:spacing w:line="0" w:lineRule="atLeast"/>
                    <w:jc w:val="center"/>
                    <w:rPr>
                      <w:rFonts w:hint="eastAsia" w:ascii="Times New Roman" w:hAnsi="Times New Roman" w:eastAsia="宋体" w:cs="Times New Roman"/>
                      <w:color w:val="auto"/>
                      <w:spacing w:val="-10"/>
                      <w:sz w:val="18"/>
                      <w:szCs w:val="18"/>
                    </w:rPr>
                  </w:pPr>
                  <w:r>
                    <w:rPr>
                      <w:rFonts w:hint="default" w:ascii="Times New Roman" w:hAnsi="Times New Roman" w:eastAsia="宋体" w:cs="Times New Roman"/>
                      <w:color w:val="auto"/>
                      <w:spacing w:val="-10"/>
                      <w:sz w:val="18"/>
                      <w:szCs w:val="18"/>
                      <w:lang w:val="en-US" w:eastAsia="zh-CN"/>
                    </w:rPr>
                    <w:t>外购</w:t>
                  </w:r>
                </w:p>
              </w:tc>
              <w:tc>
                <w:tcPr>
                  <w:tcW w:w="1683" w:type="pct"/>
                  <w:tcBorders>
                    <w:tl2br w:val="nil"/>
                    <w:tr2bl w:val="nil"/>
                  </w:tcBorders>
                  <w:vAlign w:val="center"/>
                </w:tcPr>
                <w:p w14:paraId="50B129D8">
                  <w:pPr>
                    <w:widowControl/>
                    <w:spacing w:line="0" w:lineRule="atLeast"/>
                    <w:jc w:val="center"/>
                    <w:rPr>
                      <w:rFonts w:hint="eastAsia" w:ascii="Times New Roman" w:hAnsi="Times New Roman" w:eastAsia="宋体" w:cs="Times New Roman"/>
                      <w:color w:val="auto"/>
                      <w:spacing w:val="-10"/>
                      <w:sz w:val="18"/>
                      <w:szCs w:val="18"/>
                      <w:lang w:val="en-US" w:eastAsia="zh-CN"/>
                    </w:rPr>
                  </w:pPr>
                  <w:r>
                    <w:rPr>
                      <w:rFonts w:hint="default" w:ascii="Times New Roman" w:hAnsi="Times New Roman" w:eastAsia="宋体" w:cs="Times New Roman"/>
                      <w:color w:val="auto"/>
                      <w:spacing w:val="-10"/>
                      <w:sz w:val="18"/>
                      <w:szCs w:val="18"/>
                      <w:lang w:val="en-US" w:eastAsia="zh-CN"/>
                    </w:rPr>
                    <w:t>脉冲布袋除尘器除尘灰更换滤材布袋</w:t>
                  </w:r>
                </w:p>
              </w:tc>
            </w:tr>
            <w:tr w14:paraId="3B57BAD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338" w:type="pct"/>
                  <w:tcBorders>
                    <w:tl2br w:val="nil"/>
                    <w:tr2bl w:val="nil"/>
                  </w:tcBorders>
                  <w:vAlign w:val="center"/>
                </w:tcPr>
                <w:p w14:paraId="6DBBD718">
                  <w:pPr>
                    <w:widowControl/>
                    <w:spacing w:line="0" w:lineRule="atLeast"/>
                    <w:jc w:val="center"/>
                    <w:rPr>
                      <w:rFonts w:hint="eastAsia" w:ascii="Times New Roman" w:hAnsi="Times New Roman" w:eastAsia="宋体" w:cs="Times New Roman"/>
                      <w:color w:val="auto"/>
                      <w:spacing w:val="-10"/>
                      <w:sz w:val="18"/>
                      <w:szCs w:val="18"/>
                    </w:rPr>
                  </w:pPr>
                  <w:r>
                    <w:rPr>
                      <w:rFonts w:hint="default" w:ascii="Times New Roman" w:hAnsi="Times New Roman" w:eastAsia="宋体" w:cs="Times New Roman"/>
                      <w:color w:val="auto"/>
                      <w:spacing w:val="-10"/>
                      <w:sz w:val="18"/>
                      <w:szCs w:val="18"/>
                      <w:lang w:val="en-US" w:eastAsia="zh-CN"/>
                    </w:rPr>
                    <w:t>9</w:t>
                  </w:r>
                </w:p>
              </w:tc>
              <w:tc>
                <w:tcPr>
                  <w:tcW w:w="578" w:type="pct"/>
                  <w:tcBorders>
                    <w:tl2br w:val="nil"/>
                    <w:tr2bl w:val="nil"/>
                  </w:tcBorders>
                  <w:vAlign w:val="center"/>
                </w:tcPr>
                <w:p w14:paraId="75E49AAD">
                  <w:pPr>
                    <w:widowControl/>
                    <w:spacing w:line="0" w:lineRule="atLeast"/>
                    <w:jc w:val="center"/>
                    <w:rPr>
                      <w:rFonts w:hint="default" w:ascii="Times New Roman" w:hAnsi="Times New Roman" w:eastAsia="宋体" w:cs="Times New Roman"/>
                      <w:color w:val="auto"/>
                      <w:spacing w:val="-10"/>
                      <w:sz w:val="18"/>
                      <w:szCs w:val="18"/>
                      <w:lang w:val="en-US" w:eastAsia="zh-CN"/>
                    </w:rPr>
                  </w:pPr>
                  <w:r>
                    <w:rPr>
                      <w:rFonts w:hint="default" w:ascii="Times New Roman" w:hAnsi="Times New Roman" w:eastAsia="宋体" w:cs="Times New Roman"/>
                      <w:color w:val="auto"/>
                      <w:spacing w:val="-10"/>
                      <w:sz w:val="18"/>
                      <w:szCs w:val="18"/>
                      <w:lang w:val="en-US" w:eastAsia="zh-CN"/>
                    </w:rPr>
                    <w:t>滤布</w:t>
                  </w:r>
                </w:p>
              </w:tc>
              <w:tc>
                <w:tcPr>
                  <w:tcW w:w="494" w:type="pct"/>
                  <w:tcBorders>
                    <w:tl2br w:val="nil"/>
                    <w:tr2bl w:val="nil"/>
                  </w:tcBorders>
                  <w:vAlign w:val="center"/>
                </w:tcPr>
                <w:p w14:paraId="219BAEF4">
                  <w:pPr>
                    <w:widowControl/>
                    <w:spacing w:line="0" w:lineRule="atLeast"/>
                    <w:jc w:val="center"/>
                    <w:rPr>
                      <w:rFonts w:hint="eastAsia" w:ascii="Times New Roman" w:hAnsi="Times New Roman" w:eastAsia="宋体" w:cs="Times New Roman"/>
                      <w:color w:val="auto"/>
                      <w:spacing w:val="-10"/>
                      <w:sz w:val="18"/>
                      <w:szCs w:val="18"/>
                      <w:lang w:val="en-US" w:eastAsia="zh-CN"/>
                    </w:rPr>
                  </w:pPr>
                  <w:r>
                    <w:rPr>
                      <w:rFonts w:hint="default" w:ascii="Times New Roman" w:hAnsi="Times New Roman" w:eastAsia="宋体" w:cs="Times New Roman"/>
                      <w:color w:val="auto"/>
                      <w:spacing w:val="-10"/>
                      <w:sz w:val="18"/>
                      <w:szCs w:val="18"/>
                      <w:lang w:val="en-US" w:eastAsia="zh-CN"/>
                    </w:rPr>
                    <w:t>t/a</w:t>
                  </w:r>
                </w:p>
              </w:tc>
              <w:tc>
                <w:tcPr>
                  <w:tcW w:w="482" w:type="pct"/>
                  <w:tcBorders>
                    <w:tl2br w:val="nil"/>
                    <w:tr2bl w:val="nil"/>
                  </w:tcBorders>
                  <w:vAlign w:val="center"/>
                </w:tcPr>
                <w:p w14:paraId="2FB65393">
                  <w:pPr>
                    <w:widowControl/>
                    <w:spacing w:line="0" w:lineRule="atLeast"/>
                    <w:jc w:val="center"/>
                    <w:rPr>
                      <w:rFonts w:hint="default" w:ascii="Times New Roman" w:hAnsi="Times New Roman" w:eastAsia="宋体" w:cs="Times New Roman"/>
                      <w:color w:val="auto"/>
                      <w:spacing w:val="-10"/>
                      <w:sz w:val="18"/>
                      <w:szCs w:val="18"/>
                      <w:lang w:val="en-US" w:eastAsia="zh-CN"/>
                    </w:rPr>
                  </w:pPr>
                  <w:r>
                    <w:rPr>
                      <w:rFonts w:hint="default" w:ascii="Times New Roman" w:hAnsi="Times New Roman" w:eastAsia="宋体" w:cs="Times New Roman"/>
                      <w:color w:val="auto"/>
                      <w:spacing w:val="-10"/>
                      <w:sz w:val="18"/>
                      <w:szCs w:val="18"/>
                      <w:lang w:val="en-US" w:eastAsia="zh-CN"/>
                    </w:rPr>
                    <w:t>0.8</w:t>
                  </w:r>
                </w:p>
              </w:tc>
              <w:tc>
                <w:tcPr>
                  <w:tcW w:w="480" w:type="pct"/>
                  <w:tcBorders>
                    <w:tl2br w:val="nil"/>
                    <w:tr2bl w:val="nil"/>
                  </w:tcBorders>
                  <w:vAlign w:val="center"/>
                </w:tcPr>
                <w:p w14:paraId="4F62C02C">
                  <w:pPr>
                    <w:widowControl/>
                    <w:spacing w:line="0" w:lineRule="atLeast"/>
                    <w:jc w:val="center"/>
                    <w:rPr>
                      <w:rFonts w:hint="eastAsia" w:ascii="Times New Roman" w:hAnsi="Times New Roman" w:eastAsia="宋体" w:cs="Times New Roman"/>
                      <w:color w:val="auto"/>
                      <w:spacing w:val="-10"/>
                      <w:sz w:val="18"/>
                      <w:szCs w:val="18"/>
                      <w:lang w:val="en-US" w:eastAsia="zh-CN"/>
                    </w:rPr>
                  </w:pPr>
                  <w:r>
                    <w:rPr>
                      <w:rFonts w:hint="eastAsia" w:ascii="Times New Roman" w:hAnsi="Times New Roman" w:eastAsia="宋体" w:cs="Times New Roman"/>
                      <w:color w:val="auto"/>
                      <w:spacing w:val="-10"/>
                      <w:sz w:val="18"/>
                      <w:szCs w:val="18"/>
                      <w:lang w:val="en-US" w:eastAsia="zh-CN"/>
                    </w:rPr>
                    <w:t>/</w:t>
                  </w:r>
                </w:p>
              </w:tc>
              <w:tc>
                <w:tcPr>
                  <w:tcW w:w="941" w:type="pct"/>
                  <w:tcBorders>
                    <w:tl2br w:val="nil"/>
                    <w:tr2bl w:val="nil"/>
                  </w:tcBorders>
                  <w:vAlign w:val="center"/>
                </w:tcPr>
                <w:p w14:paraId="3B13581D">
                  <w:pPr>
                    <w:widowControl/>
                    <w:spacing w:line="0" w:lineRule="atLeast"/>
                    <w:jc w:val="center"/>
                    <w:rPr>
                      <w:rFonts w:hint="eastAsia" w:ascii="Times New Roman" w:hAnsi="Times New Roman" w:eastAsia="宋体" w:cs="Times New Roman"/>
                      <w:color w:val="auto"/>
                      <w:spacing w:val="-10"/>
                      <w:sz w:val="18"/>
                      <w:szCs w:val="18"/>
                    </w:rPr>
                  </w:pPr>
                  <w:r>
                    <w:rPr>
                      <w:rFonts w:hint="default" w:ascii="Times New Roman" w:hAnsi="Times New Roman" w:eastAsia="宋体" w:cs="Times New Roman"/>
                      <w:color w:val="auto"/>
                      <w:spacing w:val="-10"/>
                      <w:sz w:val="18"/>
                      <w:szCs w:val="18"/>
                      <w:lang w:val="en-US" w:eastAsia="zh-CN"/>
                    </w:rPr>
                    <w:t>外购</w:t>
                  </w:r>
                </w:p>
              </w:tc>
              <w:tc>
                <w:tcPr>
                  <w:tcW w:w="1683" w:type="pct"/>
                  <w:tcBorders>
                    <w:tl2br w:val="nil"/>
                    <w:tr2bl w:val="nil"/>
                  </w:tcBorders>
                  <w:vAlign w:val="center"/>
                </w:tcPr>
                <w:p w14:paraId="277F0697">
                  <w:pPr>
                    <w:widowControl/>
                    <w:spacing w:line="0" w:lineRule="atLeast"/>
                    <w:jc w:val="center"/>
                    <w:rPr>
                      <w:rFonts w:hint="eastAsia" w:ascii="Times New Roman" w:hAnsi="Times New Roman" w:eastAsia="宋体" w:cs="Times New Roman"/>
                      <w:color w:val="auto"/>
                      <w:spacing w:val="-10"/>
                      <w:sz w:val="18"/>
                      <w:szCs w:val="18"/>
                      <w:lang w:val="en-US" w:eastAsia="zh-CN"/>
                    </w:rPr>
                  </w:pPr>
                  <w:r>
                    <w:rPr>
                      <w:rFonts w:hint="default" w:ascii="Times New Roman" w:hAnsi="Times New Roman" w:eastAsia="宋体" w:cs="Times New Roman"/>
                      <w:color w:val="auto"/>
                      <w:spacing w:val="-10"/>
                      <w:sz w:val="18"/>
                      <w:szCs w:val="18"/>
                      <w:lang w:val="en-US" w:eastAsia="zh-CN"/>
                    </w:rPr>
                    <w:t>板框压滤机更换滤材滤布</w:t>
                  </w:r>
                </w:p>
              </w:tc>
            </w:tr>
            <w:tr w14:paraId="0980A3F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338" w:type="pct"/>
                  <w:tcBorders>
                    <w:tl2br w:val="nil"/>
                    <w:tr2bl w:val="nil"/>
                  </w:tcBorders>
                  <w:vAlign w:val="center"/>
                </w:tcPr>
                <w:p w14:paraId="552DD75C">
                  <w:pPr>
                    <w:widowControl/>
                    <w:spacing w:line="0" w:lineRule="atLeast"/>
                    <w:jc w:val="center"/>
                    <w:rPr>
                      <w:rFonts w:hint="default" w:ascii="Times New Roman" w:hAnsi="Times New Roman" w:eastAsia="宋体" w:cs="Times New Roman"/>
                      <w:color w:val="auto"/>
                      <w:spacing w:val="-10"/>
                      <w:sz w:val="18"/>
                      <w:szCs w:val="18"/>
                      <w:lang w:val="en-US" w:eastAsia="zh-CN"/>
                    </w:rPr>
                  </w:pPr>
                  <w:r>
                    <w:rPr>
                      <w:rFonts w:hint="default" w:ascii="Times New Roman" w:hAnsi="Times New Roman" w:eastAsia="宋体" w:cs="Times New Roman"/>
                      <w:color w:val="auto"/>
                      <w:spacing w:val="-10"/>
                      <w:sz w:val="18"/>
                      <w:szCs w:val="18"/>
                      <w:lang w:val="en-US" w:eastAsia="zh-CN"/>
                    </w:rPr>
                    <w:t>10</w:t>
                  </w:r>
                </w:p>
              </w:tc>
              <w:tc>
                <w:tcPr>
                  <w:tcW w:w="578" w:type="pct"/>
                  <w:tcBorders>
                    <w:tl2br w:val="nil"/>
                    <w:tr2bl w:val="nil"/>
                  </w:tcBorders>
                  <w:vAlign w:val="center"/>
                </w:tcPr>
                <w:p w14:paraId="271791D5">
                  <w:pPr>
                    <w:widowControl/>
                    <w:spacing w:line="0" w:lineRule="atLeast"/>
                    <w:jc w:val="center"/>
                    <w:rPr>
                      <w:rFonts w:hint="default" w:ascii="Times New Roman" w:hAnsi="Times New Roman" w:eastAsia="宋体" w:cs="Times New Roman"/>
                      <w:color w:val="auto"/>
                      <w:spacing w:val="-10"/>
                      <w:sz w:val="18"/>
                      <w:szCs w:val="18"/>
                      <w:lang w:val="en-US" w:eastAsia="zh-CN"/>
                    </w:rPr>
                  </w:pPr>
                  <w:r>
                    <w:rPr>
                      <w:rFonts w:hint="default" w:ascii="Times New Roman" w:hAnsi="Times New Roman" w:eastAsia="宋体" w:cs="Times New Roman"/>
                      <w:color w:val="auto"/>
                      <w:spacing w:val="-10"/>
                      <w:sz w:val="18"/>
                      <w:szCs w:val="18"/>
                    </w:rPr>
                    <w:t>润滑油</w:t>
                  </w:r>
                </w:p>
              </w:tc>
              <w:tc>
                <w:tcPr>
                  <w:tcW w:w="494" w:type="pct"/>
                  <w:tcBorders>
                    <w:tl2br w:val="nil"/>
                    <w:tr2bl w:val="nil"/>
                  </w:tcBorders>
                  <w:vAlign w:val="center"/>
                </w:tcPr>
                <w:p w14:paraId="12D683DB">
                  <w:pPr>
                    <w:widowControl/>
                    <w:spacing w:line="0" w:lineRule="atLeast"/>
                    <w:jc w:val="center"/>
                    <w:rPr>
                      <w:rFonts w:hint="default" w:ascii="Times New Roman" w:hAnsi="Times New Roman" w:eastAsia="宋体" w:cs="Times New Roman"/>
                      <w:color w:val="auto"/>
                      <w:spacing w:val="-10"/>
                      <w:sz w:val="18"/>
                      <w:szCs w:val="18"/>
                      <w:lang w:val="en-US" w:eastAsia="zh-CN"/>
                    </w:rPr>
                  </w:pPr>
                  <w:r>
                    <w:rPr>
                      <w:rFonts w:hint="default" w:ascii="Times New Roman" w:hAnsi="Times New Roman" w:eastAsia="宋体" w:cs="Times New Roman"/>
                      <w:color w:val="auto"/>
                      <w:spacing w:val="-10"/>
                      <w:sz w:val="18"/>
                      <w:szCs w:val="18"/>
                    </w:rPr>
                    <w:t>t/a</w:t>
                  </w:r>
                </w:p>
              </w:tc>
              <w:tc>
                <w:tcPr>
                  <w:tcW w:w="482" w:type="pct"/>
                  <w:tcBorders>
                    <w:tl2br w:val="nil"/>
                    <w:tr2bl w:val="nil"/>
                  </w:tcBorders>
                  <w:vAlign w:val="center"/>
                </w:tcPr>
                <w:p w14:paraId="3AA39684">
                  <w:pPr>
                    <w:widowControl/>
                    <w:spacing w:line="0" w:lineRule="atLeast"/>
                    <w:jc w:val="center"/>
                    <w:rPr>
                      <w:rFonts w:hint="default" w:ascii="Times New Roman" w:hAnsi="Times New Roman" w:eastAsia="宋体" w:cs="Times New Roman"/>
                      <w:color w:val="auto"/>
                      <w:spacing w:val="-10"/>
                      <w:sz w:val="18"/>
                      <w:szCs w:val="18"/>
                      <w:lang w:val="en-US" w:eastAsia="zh-CN"/>
                    </w:rPr>
                  </w:pPr>
                  <w:r>
                    <w:rPr>
                      <w:rFonts w:hint="default" w:ascii="Times New Roman" w:hAnsi="Times New Roman" w:eastAsia="宋体" w:cs="Times New Roman"/>
                      <w:color w:val="auto"/>
                      <w:spacing w:val="-10"/>
                      <w:sz w:val="18"/>
                      <w:szCs w:val="18"/>
                    </w:rPr>
                    <w:t>0.2</w:t>
                  </w:r>
                </w:p>
              </w:tc>
              <w:tc>
                <w:tcPr>
                  <w:tcW w:w="480" w:type="pct"/>
                  <w:tcBorders>
                    <w:tl2br w:val="nil"/>
                    <w:tr2bl w:val="nil"/>
                  </w:tcBorders>
                  <w:vAlign w:val="center"/>
                </w:tcPr>
                <w:p w14:paraId="2FBAAB87">
                  <w:pPr>
                    <w:widowControl/>
                    <w:spacing w:line="0" w:lineRule="atLeast"/>
                    <w:jc w:val="center"/>
                    <w:rPr>
                      <w:rFonts w:hint="eastAsia" w:ascii="Times New Roman" w:hAnsi="Times New Roman" w:eastAsia="宋体" w:cs="Times New Roman"/>
                      <w:color w:val="auto"/>
                      <w:spacing w:val="-10"/>
                      <w:sz w:val="18"/>
                      <w:szCs w:val="18"/>
                      <w:lang w:val="en-US" w:eastAsia="zh-CN"/>
                    </w:rPr>
                  </w:pPr>
                  <w:r>
                    <w:rPr>
                      <w:rFonts w:hint="default" w:ascii="Times New Roman" w:hAnsi="Times New Roman" w:eastAsia="宋体" w:cs="Times New Roman"/>
                      <w:color w:val="auto"/>
                      <w:spacing w:val="-10"/>
                      <w:sz w:val="18"/>
                      <w:szCs w:val="18"/>
                    </w:rPr>
                    <w:t>桶装</w:t>
                  </w:r>
                </w:p>
              </w:tc>
              <w:tc>
                <w:tcPr>
                  <w:tcW w:w="941" w:type="pct"/>
                  <w:tcBorders>
                    <w:tl2br w:val="nil"/>
                    <w:tr2bl w:val="nil"/>
                  </w:tcBorders>
                  <w:vAlign w:val="center"/>
                </w:tcPr>
                <w:p w14:paraId="3FDC63B5">
                  <w:pPr>
                    <w:widowControl/>
                    <w:spacing w:line="0" w:lineRule="atLeast"/>
                    <w:jc w:val="center"/>
                    <w:rPr>
                      <w:rFonts w:hint="default" w:ascii="Times New Roman" w:hAnsi="Times New Roman" w:eastAsia="宋体" w:cs="Times New Roman"/>
                      <w:color w:val="auto"/>
                      <w:spacing w:val="-10"/>
                      <w:sz w:val="18"/>
                      <w:szCs w:val="18"/>
                      <w:lang w:val="en-US" w:eastAsia="zh-CN"/>
                    </w:rPr>
                  </w:pPr>
                  <w:r>
                    <w:rPr>
                      <w:rFonts w:hint="default" w:ascii="Times New Roman" w:hAnsi="Times New Roman" w:eastAsia="宋体" w:cs="Times New Roman"/>
                      <w:color w:val="auto"/>
                      <w:spacing w:val="-10"/>
                      <w:sz w:val="18"/>
                      <w:szCs w:val="18"/>
                      <w:lang w:val="en-US" w:eastAsia="zh-CN"/>
                    </w:rPr>
                    <w:t>外购</w:t>
                  </w:r>
                </w:p>
              </w:tc>
              <w:tc>
                <w:tcPr>
                  <w:tcW w:w="1683" w:type="pct"/>
                  <w:tcBorders>
                    <w:tl2br w:val="nil"/>
                    <w:tr2bl w:val="nil"/>
                  </w:tcBorders>
                  <w:vAlign w:val="center"/>
                </w:tcPr>
                <w:p w14:paraId="04CAB9B4">
                  <w:pPr>
                    <w:widowControl/>
                    <w:spacing w:line="0" w:lineRule="atLeast"/>
                    <w:jc w:val="center"/>
                    <w:rPr>
                      <w:rFonts w:hint="default" w:ascii="Times New Roman" w:hAnsi="Times New Roman" w:eastAsia="宋体" w:cs="Times New Roman"/>
                      <w:color w:val="auto"/>
                      <w:spacing w:val="-10"/>
                      <w:sz w:val="18"/>
                      <w:szCs w:val="18"/>
                      <w:lang w:val="en-US" w:eastAsia="zh-CN"/>
                    </w:rPr>
                  </w:pPr>
                  <w:r>
                    <w:rPr>
                      <w:rFonts w:hint="default" w:ascii="Times New Roman" w:hAnsi="Times New Roman" w:eastAsia="宋体" w:cs="Times New Roman"/>
                      <w:color w:val="auto"/>
                      <w:spacing w:val="-10"/>
                      <w:sz w:val="18"/>
                      <w:szCs w:val="18"/>
                      <w:lang w:val="en-US" w:eastAsia="zh-CN"/>
                    </w:rPr>
                    <w:t>用于机械设备维修保养</w:t>
                  </w:r>
                </w:p>
              </w:tc>
            </w:tr>
            <w:tr w14:paraId="555DF84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338" w:type="pct"/>
                  <w:tcBorders>
                    <w:tl2br w:val="nil"/>
                    <w:tr2bl w:val="nil"/>
                  </w:tcBorders>
                  <w:vAlign w:val="center"/>
                </w:tcPr>
                <w:p w14:paraId="04BFC6F9">
                  <w:pPr>
                    <w:widowControl/>
                    <w:spacing w:line="0" w:lineRule="atLeast"/>
                    <w:jc w:val="center"/>
                    <w:rPr>
                      <w:rFonts w:hint="default" w:ascii="Times New Roman" w:hAnsi="Times New Roman" w:eastAsia="宋体" w:cs="Times New Roman"/>
                      <w:color w:val="auto"/>
                      <w:spacing w:val="-10"/>
                      <w:sz w:val="18"/>
                      <w:szCs w:val="18"/>
                      <w:lang w:val="en-US" w:eastAsia="zh-CN"/>
                    </w:rPr>
                  </w:pPr>
                  <w:r>
                    <w:rPr>
                      <w:rFonts w:hint="default" w:ascii="Times New Roman" w:hAnsi="Times New Roman" w:eastAsia="宋体" w:cs="Times New Roman"/>
                      <w:color w:val="auto"/>
                      <w:spacing w:val="-10"/>
                      <w:sz w:val="18"/>
                      <w:szCs w:val="18"/>
                      <w:lang w:val="en-US" w:eastAsia="zh-CN"/>
                    </w:rPr>
                    <w:t>11</w:t>
                  </w:r>
                </w:p>
              </w:tc>
              <w:tc>
                <w:tcPr>
                  <w:tcW w:w="578" w:type="pct"/>
                  <w:tcBorders>
                    <w:tl2br w:val="nil"/>
                    <w:tr2bl w:val="nil"/>
                  </w:tcBorders>
                  <w:vAlign w:val="center"/>
                </w:tcPr>
                <w:p w14:paraId="30603D03">
                  <w:pPr>
                    <w:widowControl/>
                    <w:spacing w:line="0" w:lineRule="atLeast"/>
                    <w:jc w:val="center"/>
                    <w:rPr>
                      <w:rFonts w:hint="default" w:ascii="Times New Roman" w:hAnsi="Times New Roman" w:eastAsia="宋体" w:cs="Times New Roman"/>
                      <w:color w:val="auto"/>
                      <w:spacing w:val="-10"/>
                      <w:sz w:val="18"/>
                      <w:szCs w:val="18"/>
                      <w:lang w:val="en-US" w:eastAsia="zh-CN"/>
                    </w:rPr>
                  </w:pPr>
                  <w:r>
                    <w:rPr>
                      <w:rFonts w:hint="default" w:ascii="Times New Roman" w:hAnsi="Times New Roman" w:eastAsia="宋体" w:cs="Times New Roman"/>
                      <w:color w:val="auto"/>
                      <w:spacing w:val="-10"/>
                      <w:sz w:val="18"/>
                      <w:szCs w:val="18"/>
                    </w:rPr>
                    <w:t>液压油</w:t>
                  </w:r>
                </w:p>
              </w:tc>
              <w:tc>
                <w:tcPr>
                  <w:tcW w:w="494" w:type="pct"/>
                  <w:tcBorders>
                    <w:tl2br w:val="nil"/>
                    <w:tr2bl w:val="nil"/>
                  </w:tcBorders>
                  <w:vAlign w:val="center"/>
                </w:tcPr>
                <w:p w14:paraId="23BC0DE9">
                  <w:pPr>
                    <w:widowControl/>
                    <w:spacing w:line="0" w:lineRule="atLeast"/>
                    <w:jc w:val="center"/>
                    <w:rPr>
                      <w:rFonts w:hint="default" w:ascii="Times New Roman" w:hAnsi="Times New Roman" w:eastAsia="宋体" w:cs="Times New Roman"/>
                      <w:color w:val="auto"/>
                      <w:spacing w:val="-10"/>
                      <w:sz w:val="18"/>
                      <w:szCs w:val="18"/>
                      <w:lang w:val="en-US" w:eastAsia="zh-CN"/>
                    </w:rPr>
                  </w:pPr>
                  <w:r>
                    <w:rPr>
                      <w:rFonts w:hint="default" w:ascii="Times New Roman" w:hAnsi="Times New Roman" w:eastAsia="宋体" w:cs="Times New Roman"/>
                      <w:color w:val="auto"/>
                      <w:spacing w:val="-10"/>
                      <w:sz w:val="18"/>
                      <w:szCs w:val="18"/>
                    </w:rPr>
                    <w:t>t/a</w:t>
                  </w:r>
                </w:p>
              </w:tc>
              <w:tc>
                <w:tcPr>
                  <w:tcW w:w="482" w:type="pct"/>
                  <w:tcBorders>
                    <w:tl2br w:val="nil"/>
                    <w:tr2bl w:val="nil"/>
                  </w:tcBorders>
                  <w:vAlign w:val="center"/>
                </w:tcPr>
                <w:p w14:paraId="6CC0D545">
                  <w:pPr>
                    <w:widowControl/>
                    <w:spacing w:line="0" w:lineRule="atLeast"/>
                    <w:jc w:val="center"/>
                    <w:rPr>
                      <w:rFonts w:hint="default" w:ascii="Times New Roman" w:hAnsi="Times New Roman" w:eastAsia="宋体" w:cs="Times New Roman"/>
                      <w:color w:val="auto"/>
                      <w:spacing w:val="-10"/>
                      <w:sz w:val="18"/>
                      <w:szCs w:val="18"/>
                      <w:lang w:val="en-US" w:eastAsia="zh-CN"/>
                    </w:rPr>
                  </w:pPr>
                  <w:r>
                    <w:rPr>
                      <w:rFonts w:hint="default" w:ascii="Times New Roman" w:hAnsi="Times New Roman" w:eastAsia="宋体" w:cs="Times New Roman"/>
                      <w:color w:val="auto"/>
                      <w:spacing w:val="-10"/>
                      <w:sz w:val="18"/>
                      <w:szCs w:val="18"/>
                      <w:lang w:val="en-US" w:eastAsia="zh-CN"/>
                    </w:rPr>
                    <w:t>0.2</w:t>
                  </w:r>
                </w:p>
              </w:tc>
              <w:tc>
                <w:tcPr>
                  <w:tcW w:w="480" w:type="pct"/>
                  <w:tcBorders>
                    <w:tl2br w:val="nil"/>
                    <w:tr2bl w:val="nil"/>
                  </w:tcBorders>
                  <w:vAlign w:val="center"/>
                </w:tcPr>
                <w:p w14:paraId="092E52ED">
                  <w:pPr>
                    <w:widowControl/>
                    <w:spacing w:line="0" w:lineRule="atLeast"/>
                    <w:jc w:val="center"/>
                    <w:rPr>
                      <w:rFonts w:hint="eastAsia" w:ascii="Times New Roman" w:hAnsi="Times New Roman" w:eastAsia="宋体" w:cs="Times New Roman"/>
                      <w:color w:val="auto"/>
                      <w:spacing w:val="-10"/>
                      <w:sz w:val="18"/>
                      <w:szCs w:val="18"/>
                      <w:lang w:val="en-US" w:eastAsia="zh-CN"/>
                    </w:rPr>
                  </w:pPr>
                  <w:r>
                    <w:rPr>
                      <w:rFonts w:hint="default" w:ascii="Times New Roman" w:hAnsi="Times New Roman" w:eastAsia="宋体" w:cs="Times New Roman"/>
                      <w:color w:val="auto"/>
                      <w:spacing w:val="-10"/>
                      <w:sz w:val="18"/>
                      <w:szCs w:val="18"/>
                    </w:rPr>
                    <w:t>桶装</w:t>
                  </w:r>
                </w:p>
              </w:tc>
              <w:tc>
                <w:tcPr>
                  <w:tcW w:w="941" w:type="pct"/>
                  <w:tcBorders>
                    <w:tl2br w:val="nil"/>
                    <w:tr2bl w:val="nil"/>
                  </w:tcBorders>
                  <w:vAlign w:val="center"/>
                </w:tcPr>
                <w:p w14:paraId="1AD5AB88">
                  <w:pPr>
                    <w:widowControl/>
                    <w:spacing w:line="0" w:lineRule="atLeast"/>
                    <w:jc w:val="center"/>
                    <w:rPr>
                      <w:rFonts w:hint="default" w:ascii="Times New Roman" w:hAnsi="Times New Roman" w:eastAsia="宋体" w:cs="Times New Roman"/>
                      <w:color w:val="auto"/>
                      <w:spacing w:val="-10"/>
                      <w:sz w:val="18"/>
                      <w:szCs w:val="18"/>
                      <w:lang w:val="en-US" w:eastAsia="zh-CN"/>
                    </w:rPr>
                  </w:pPr>
                  <w:r>
                    <w:rPr>
                      <w:rFonts w:hint="default" w:ascii="Times New Roman" w:hAnsi="Times New Roman" w:eastAsia="宋体" w:cs="Times New Roman"/>
                      <w:color w:val="auto"/>
                      <w:spacing w:val="-10"/>
                      <w:sz w:val="18"/>
                      <w:szCs w:val="18"/>
                      <w:lang w:val="en-US" w:eastAsia="zh-CN"/>
                    </w:rPr>
                    <w:t>外购</w:t>
                  </w:r>
                </w:p>
              </w:tc>
              <w:tc>
                <w:tcPr>
                  <w:tcW w:w="1683" w:type="pct"/>
                  <w:tcBorders>
                    <w:tl2br w:val="nil"/>
                    <w:tr2bl w:val="nil"/>
                  </w:tcBorders>
                  <w:vAlign w:val="center"/>
                </w:tcPr>
                <w:p w14:paraId="5C5DCCD1">
                  <w:pPr>
                    <w:widowControl/>
                    <w:spacing w:line="0" w:lineRule="atLeast"/>
                    <w:jc w:val="center"/>
                    <w:rPr>
                      <w:rFonts w:hint="default" w:ascii="Times New Roman" w:hAnsi="Times New Roman" w:eastAsia="宋体" w:cs="Times New Roman"/>
                      <w:color w:val="auto"/>
                      <w:spacing w:val="-10"/>
                      <w:sz w:val="18"/>
                      <w:szCs w:val="18"/>
                      <w:lang w:val="en-US" w:eastAsia="zh-CN"/>
                    </w:rPr>
                  </w:pPr>
                  <w:r>
                    <w:rPr>
                      <w:rFonts w:hint="default" w:ascii="Times New Roman" w:hAnsi="Times New Roman" w:eastAsia="宋体" w:cs="Times New Roman"/>
                      <w:color w:val="auto"/>
                      <w:spacing w:val="-10"/>
                      <w:sz w:val="18"/>
                      <w:szCs w:val="18"/>
                      <w:lang w:val="en-US" w:eastAsia="zh-CN"/>
                    </w:rPr>
                    <w:t>用于机械设备维修保养</w:t>
                  </w:r>
                </w:p>
              </w:tc>
            </w:tr>
            <w:tr w14:paraId="01D8755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338" w:type="pct"/>
                  <w:tcBorders>
                    <w:tl2br w:val="nil"/>
                    <w:tr2bl w:val="nil"/>
                  </w:tcBorders>
                  <w:vAlign w:val="center"/>
                </w:tcPr>
                <w:p w14:paraId="1B5BDDFB">
                  <w:pPr>
                    <w:widowControl/>
                    <w:spacing w:line="0" w:lineRule="atLeast"/>
                    <w:jc w:val="center"/>
                    <w:rPr>
                      <w:rFonts w:hint="default" w:ascii="Times New Roman" w:hAnsi="Times New Roman" w:eastAsia="宋体" w:cs="Times New Roman"/>
                      <w:color w:val="auto"/>
                      <w:spacing w:val="-10"/>
                      <w:sz w:val="18"/>
                      <w:szCs w:val="18"/>
                      <w:lang w:val="en-US" w:eastAsia="zh-CN"/>
                    </w:rPr>
                  </w:pPr>
                  <w:r>
                    <w:rPr>
                      <w:rFonts w:hint="eastAsia" w:ascii="Times New Roman" w:hAnsi="Times New Roman" w:eastAsia="宋体" w:cs="Times New Roman"/>
                      <w:color w:val="auto"/>
                      <w:spacing w:val="-10"/>
                      <w:sz w:val="18"/>
                      <w:szCs w:val="18"/>
                      <w:lang w:val="en-US" w:eastAsia="zh-CN"/>
                    </w:rPr>
                    <w:t>12</w:t>
                  </w:r>
                </w:p>
              </w:tc>
              <w:tc>
                <w:tcPr>
                  <w:tcW w:w="578" w:type="pct"/>
                  <w:tcBorders>
                    <w:tl2br w:val="nil"/>
                    <w:tr2bl w:val="nil"/>
                  </w:tcBorders>
                  <w:vAlign w:val="center"/>
                </w:tcPr>
                <w:p w14:paraId="4ADC88A6">
                  <w:pPr>
                    <w:widowControl/>
                    <w:spacing w:line="0" w:lineRule="atLeast"/>
                    <w:jc w:val="center"/>
                    <w:rPr>
                      <w:rFonts w:hint="default" w:ascii="Times New Roman" w:hAnsi="Times New Roman" w:eastAsia="宋体" w:cs="Times New Roman"/>
                      <w:color w:val="auto"/>
                      <w:spacing w:val="-10"/>
                      <w:sz w:val="18"/>
                      <w:szCs w:val="18"/>
                      <w:lang w:val="en-US" w:eastAsia="zh-CN"/>
                    </w:rPr>
                  </w:pPr>
                  <w:r>
                    <w:rPr>
                      <w:rFonts w:hint="eastAsia" w:cs="Times New Roman"/>
                      <w:color w:val="auto"/>
                      <w:spacing w:val="-10"/>
                      <w:sz w:val="18"/>
                      <w:szCs w:val="18"/>
                      <w:lang w:val="en-US" w:eastAsia="zh-CN"/>
                    </w:rPr>
                    <w:t>中水</w:t>
                  </w:r>
                </w:p>
              </w:tc>
              <w:tc>
                <w:tcPr>
                  <w:tcW w:w="494" w:type="pct"/>
                  <w:tcBorders>
                    <w:tl2br w:val="nil"/>
                    <w:tr2bl w:val="nil"/>
                  </w:tcBorders>
                  <w:shd w:val="clear" w:color="auto" w:fill="auto"/>
                  <w:vAlign w:val="center"/>
                </w:tcPr>
                <w:p w14:paraId="2D3A1550">
                  <w:pPr>
                    <w:widowControl/>
                    <w:spacing w:line="0" w:lineRule="atLeast"/>
                    <w:jc w:val="center"/>
                    <w:rPr>
                      <w:rFonts w:hint="default" w:ascii="Times New Roman" w:hAnsi="Times New Roman" w:eastAsia="宋体" w:cs="Times New Roman"/>
                      <w:color w:val="auto"/>
                      <w:spacing w:val="-10"/>
                      <w:sz w:val="18"/>
                      <w:szCs w:val="18"/>
                      <w:lang w:val="en-US" w:eastAsia="zh-CN"/>
                    </w:rPr>
                  </w:pPr>
                  <w:r>
                    <w:rPr>
                      <w:rFonts w:hint="eastAsia" w:ascii="Times New Roman" w:hAnsi="Times New Roman" w:eastAsia="宋体" w:cs="Times New Roman"/>
                      <w:color w:val="auto"/>
                      <w:spacing w:val="-10"/>
                      <w:sz w:val="18"/>
                      <w:szCs w:val="18"/>
                      <w:lang w:val="en-US" w:eastAsia="zh-CN"/>
                    </w:rPr>
                    <w:t>t/a</w:t>
                  </w:r>
                </w:p>
              </w:tc>
              <w:tc>
                <w:tcPr>
                  <w:tcW w:w="482" w:type="pct"/>
                  <w:tcBorders>
                    <w:tl2br w:val="nil"/>
                    <w:tr2bl w:val="nil"/>
                  </w:tcBorders>
                  <w:vAlign w:val="center"/>
                </w:tcPr>
                <w:p w14:paraId="62A95707">
                  <w:pPr>
                    <w:widowControl/>
                    <w:spacing w:line="0" w:lineRule="atLeast"/>
                    <w:jc w:val="center"/>
                    <w:rPr>
                      <w:rFonts w:hint="default" w:ascii="Times New Roman" w:hAnsi="Times New Roman" w:eastAsia="宋体" w:cs="Times New Roman"/>
                      <w:color w:val="auto"/>
                      <w:spacing w:val="-10"/>
                      <w:sz w:val="18"/>
                      <w:szCs w:val="18"/>
                      <w:lang w:val="en-US" w:eastAsia="zh-CN"/>
                    </w:rPr>
                  </w:pPr>
                  <w:r>
                    <w:rPr>
                      <w:rFonts w:hint="eastAsia" w:cs="Times New Roman"/>
                      <w:color w:val="auto"/>
                      <w:spacing w:val="-10"/>
                      <w:sz w:val="18"/>
                      <w:szCs w:val="18"/>
                      <w:lang w:val="en-US" w:eastAsia="zh-CN"/>
                    </w:rPr>
                    <w:t>24540</w:t>
                  </w:r>
                </w:p>
              </w:tc>
              <w:tc>
                <w:tcPr>
                  <w:tcW w:w="480" w:type="pct"/>
                  <w:tcBorders>
                    <w:tl2br w:val="nil"/>
                    <w:tr2bl w:val="nil"/>
                  </w:tcBorders>
                  <w:vAlign w:val="center"/>
                </w:tcPr>
                <w:p w14:paraId="39475B82">
                  <w:pPr>
                    <w:widowControl/>
                    <w:spacing w:line="0" w:lineRule="atLeast"/>
                    <w:jc w:val="center"/>
                    <w:rPr>
                      <w:rFonts w:hint="eastAsia" w:ascii="Times New Roman" w:hAnsi="Times New Roman" w:eastAsia="宋体" w:cs="Times New Roman"/>
                      <w:color w:val="auto"/>
                      <w:spacing w:val="-10"/>
                      <w:sz w:val="18"/>
                      <w:szCs w:val="18"/>
                      <w:lang w:val="en-US" w:eastAsia="zh-CN"/>
                    </w:rPr>
                  </w:pPr>
                  <w:r>
                    <w:rPr>
                      <w:rFonts w:hint="eastAsia" w:ascii="Times New Roman" w:hAnsi="Times New Roman" w:eastAsia="宋体" w:cs="Times New Roman"/>
                      <w:color w:val="auto"/>
                      <w:spacing w:val="-10"/>
                      <w:sz w:val="18"/>
                      <w:szCs w:val="18"/>
                      <w:lang w:val="en-US" w:eastAsia="zh-CN"/>
                    </w:rPr>
                    <w:t>/</w:t>
                  </w:r>
                </w:p>
              </w:tc>
              <w:tc>
                <w:tcPr>
                  <w:tcW w:w="941" w:type="pct"/>
                  <w:tcBorders>
                    <w:tl2br w:val="nil"/>
                    <w:tr2bl w:val="nil"/>
                  </w:tcBorders>
                  <w:vAlign w:val="center"/>
                </w:tcPr>
                <w:p w14:paraId="59A8976F">
                  <w:pPr>
                    <w:widowControl/>
                    <w:spacing w:line="0" w:lineRule="atLeast"/>
                    <w:jc w:val="center"/>
                    <w:rPr>
                      <w:rFonts w:hint="default" w:ascii="Times New Roman" w:hAnsi="Times New Roman" w:eastAsia="宋体" w:cs="Times New Roman"/>
                      <w:color w:val="auto"/>
                      <w:spacing w:val="-10"/>
                      <w:sz w:val="18"/>
                      <w:szCs w:val="18"/>
                      <w:lang w:val="en-US" w:eastAsia="zh-CN"/>
                    </w:rPr>
                  </w:pPr>
                  <w:r>
                    <w:rPr>
                      <w:rFonts w:hint="eastAsia" w:ascii="Times New Roman" w:hAnsi="Times New Roman" w:eastAsia="宋体" w:cs="Times New Roman"/>
                      <w:color w:val="auto"/>
                      <w:spacing w:val="-10"/>
                      <w:sz w:val="18"/>
                      <w:szCs w:val="18"/>
                      <w:lang w:val="en-US" w:eastAsia="zh-CN"/>
                    </w:rPr>
                    <w:t>唐山市古冶区宏源污水处理厂</w:t>
                  </w:r>
                </w:p>
              </w:tc>
              <w:tc>
                <w:tcPr>
                  <w:tcW w:w="1683" w:type="pct"/>
                  <w:tcBorders>
                    <w:tl2br w:val="nil"/>
                    <w:tr2bl w:val="nil"/>
                  </w:tcBorders>
                  <w:vAlign w:val="center"/>
                </w:tcPr>
                <w:p w14:paraId="3D0FEA71">
                  <w:pPr>
                    <w:widowControl/>
                    <w:spacing w:line="0" w:lineRule="atLeast"/>
                    <w:jc w:val="center"/>
                    <w:rPr>
                      <w:rFonts w:hint="default" w:ascii="Times New Roman" w:hAnsi="Times New Roman" w:eastAsia="宋体" w:cs="Times New Roman"/>
                      <w:color w:val="auto"/>
                      <w:spacing w:val="-10"/>
                      <w:sz w:val="18"/>
                      <w:szCs w:val="18"/>
                      <w:lang w:val="en-US" w:eastAsia="zh-CN"/>
                    </w:rPr>
                  </w:pPr>
                  <w:r>
                    <w:rPr>
                      <w:rFonts w:hint="eastAsia" w:cs="Times New Roman"/>
                      <w:color w:val="auto"/>
                      <w:spacing w:val="-10"/>
                      <w:sz w:val="18"/>
                      <w:szCs w:val="18"/>
                      <w:lang w:val="en-US" w:eastAsia="zh-CN"/>
                    </w:rPr>
                    <w:t>/</w:t>
                  </w:r>
                </w:p>
              </w:tc>
            </w:tr>
            <w:tr w14:paraId="33ECD50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338" w:type="pct"/>
                  <w:tcBorders>
                    <w:tl2br w:val="nil"/>
                    <w:tr2bl w:val="nil"/>
                  </w:tcBorders>
                  <w:vAlign w:val="center"/>
                </w:tcPr>
                <w:p w14:paraId="1F74E8E4">
                  <w:pPr>
                    <w:widowControl/>
                    <w:spacing w:line="0" w:lineRule="atLeast"/>
                    <w:jc w:val="center"/>
                    <w:rPr>
                      <w:rFonts w:hint="default" w:ascii="Times New Roman" w:hAnsi="Times New Roman" w:eastAsia="宋体" w:cs="Times New Roman"/>
                      <w:color w:val="auto"/>
                      <w:spacing w:val="-10"/>
                      <w:sz w:val="18"/>
                      <w:szCs w:val="18"/>
                      <w:lang w:val="en-US" w:eastAsia="zh-CN"/>
                    </w:rPr>
                  </w:pPr>
                  <w:r>
                    <w:rPr>
                      <w:rFonts w:hint="eastAsia" w:cs="Times New Roman"/>
                      <w:color w:val="auto"/>
                      <w:spacing w:val="-10"/>
                      <w:sz w:val="18"/>
                      <w:szCs w:val="18"/>
                      <w:lang w:val="en-US" w:eastAsia="zh-CN"/>
                    </w:rPr>
                    <w:t>13</w:t>
                  </w:r>
                </w:p>
              </w:tc>
              <w:tc>
                <w:tcPr>
                  <w:tcW w:w="578" w:type="pct"/>
                  <w:tcBorders>
                    <w:tl2br w:val="nil"/>
                    <w:tr2bl w:val="nil"/>
                  </w:tcBorders>
                  <w:vAlign w:val="center"/>
                </w:tcPr>
                <w:p w14:paraId="79CE65EC">
                  <w:pPr>
                    <w:widowControl/>
                    <w:spacing w:line="0" w:lineRule="atLeast"/>
                    <w:jc w:val="center"/>
                    <w:rPr>
                      <w:rFonts w:hint="default" w:cs="Times New Roman"/>
                      <w:color w:val="auto"/>
                      <w:spacing w:val="-10"/>
                      <w:sz w:val="18"/>
                      <w:szCs w:val="18"/>
                      <w:lang w:val="en-US" w:eastAsia="zh-CN"/>
                    </w:rPr>
                  </w:pPr>
                  <w:r>
                    <w:rPr>
                      <w:rFonts w:hint="eastAsia" w:cs="Times New Roman"/>
                      <w:color w:val="auto"/>
                      <w:spacing w:val="-10"/>
                      <w:sz w:val="18"/>
                      <w:szCs w:val="18"/>
                      <w:lang w:val="en-US" w:eastAsia="zh-CN"/>
                    </w:rPr>
                    <w:t>桶装水</w:t>
                  </w:r>
                </w:p>
              </w:tc>
              <w:tc>
                <w:tcPr>
                  <w:tcW w:w="494" w:type="pct"/>
                  <w:tcBorders>
                    <w:tl2br w:val="nil"/>
                    <w:tr2bl w:val="nil"/>
                  </w:tcBorders>
                  <w:shd w:val="clear" w:color="auto" w:fill="auto"/>
                  <w:vAlign w:val="center"/>
                </w:tcPr>
                <w:p w14:paraId="078AA1AB">
                  <w:pPr>
                    <w:widowControl/>
                    <w:spacing w:line="0" w:lineRule="atLeast"/>
                    <w:jc w:val="center"/>
                    <w:rPr>
                      <w:rFonts w:hint="eastAsia" w:ascii="Times New Roman" w:hAnsi="Times New Roman" w:eastAsia="宋体" w:cs="Times New Roman"/>
                      <w:color w:val="auto"/>
                      <w:spacing w:val="-10"/>
                      <w:sz w:val="18"/>
                      <w:szCs w:val="18"/>
                      <w:lang w:val="en-US" w:eastAsia="zh-CN"/>
                    </w:rPr>
                  </w:pPr>
                  <w:r>
                    <w:rPr>
                      <w:rFonts w:hint="eastAsia" w:ascii="Times New Roman" w:hAnsi="Times New Roman" w:eastAsia="宋体" w:cs="Times New Roman"/>
                      <w:color w:val="auto"/>
                      <w:spacing w:val="-10"/>
                      <w:sz w:val="18"/>
                      <w:szCs w:val="18"/>
                      <w:lang w:val="en-US" w:eastAsia="zh-CN"/>
                    </w:rPr>
                    <w:t>t/a</w:t>
                  </w:r>
                </w:p>
              </w:tc>
              <w:tc>
                <w:tcPr>
                  <w:tcW w:w="482" w:type="pct"/>
                  <w:tcBorders>
                    <w:tl2br w:val="nil"/>
                    <w:tr2bl w:val="nil"/>
                  </w:tcBorders>
                  <w:vAlign w:val="center"/>
                </w:tcPr>
                <w:p w14:paraId="387DA514">
                  <w:pPr>
                    <w:widowControl/>
                    <w:spacing w:line="0" w:lineRule="atLeast"/>
                    <w:jc w:val="center"/>
                    <w:rPr>
                      <w:rFonts w:hint="default" w:cs="Times New Roman"/>
                      <w:color w:val="auto"/>
                      <w:spacing w:val="-10"/>
                      <w:sz w:val="18"/>
                      <w:szCs w:val="18"/>
                      <w:lang w:val="en-US" w:eastAsia="zh-CN"/>
                    </w:rPr>
                  </w:pPr>
                  <w:r>
                    <w:rPr>
                      <w:rFonts w:hint="eastAsia" w:cs="Times New Roman"/>
                      <w:color w:val="auto"/>
                      <w:spacing w:val="-10"/>
                      <w:sz w:val="18"/>
                      <w:szCs w:val="18"/>
                      <w:lang w:val="en-US" w:eastAsia="zh-CN"/>
                    </w:rPr>
                    <w:t>45</w:t>
                  </w:r>
                </w:p>
              </w:tc>
              <w:tc>
                <w:tcPr>
                  <w:tcW w:w="480" w:type="pct"/>
                  <w:tcBorders>
                    <w:tl2br w:val="nil"/>
                    <w:tr2bl w:val="nil"/>
                  </w:tcBorders>
                  <w:vAlign w:val="center"/>
                </w:tcPr>
                <w:p w14:paraId="21CF0EBB">
                  <w:pPr>
                    <w:widowControl/>
                    <w:spacing w:line="0" w:lineRule="atLeast"/>
                    <w:jc w:val="center"/>
                    <w:rPr>
                      <w:rFonts w:hint="default" w:ascii="Times New Roman" w:hAnsi="Times New Roman" w:eastAsia="宋体" w:cs="Times New Roman"/>
                      <w:color w:val="auto"/>
                      <w:spacing w:val="-10"/>
                      <w:sz w:val="18"/>
                      <w:szCs w:val="18"/>
                      <w:lang w:val="en-US" w:eastAsia="zh-CN"/>
                    </w:rPr>
                  </w:pPr>
                  <w:r>
                    <w:rPr>
                      <w:rFonts w:hint="eastAsia" w:cs="Times New Roman"/>
                      <w:color w:val="auto"/>
                      <w:spacing w:val="-10"/>
                      <w:sz w:val="18"/>
                      <w:szCs w:val="18"/>
                      <w:lang w:val="en-US" w:eastAsia="zh-CN"/>
                    </w:rPr>
                    <w:t>/</w:t>
                  </w:r>
                </w:p>
              </w:tc>
              <w:tc>
                <w:tcPr>
                  <w:tcW w:w="941" w:type="pct"/>
                  <w:tcBorders>
                    <w:tl2br w:val="nil"/>
                    <w:tr2bl w:val="nil"/>
                  </w:tcBorders>
                  <w:vAlign w:val="center"/>
                </w:tcPr>
                <w:p w14:paraId="717FFFF4">
                  <w:pPr>
                    <w:widowControl/>
                    <w:spacing w:line="0" w:lineRule="atLeast"/>
                    <w:jc w:val="center"/>
                    <w:rPr>
                      <w:rFonts w:hint="default" w:cs="Times New Roman"/>
                      <w:color w:val="auto"/>
                      <w:spacing w:val="-10"/>
                      <w:sz w:val="18"/>
                      <w:szCs w:val="18"/>
                      <w:lang w:val="en-US" w:eastAsia="zh-CN"/>
                    </w:rPr>
                  </w:pPr>
                  <w:r>
                    <w:rPr>
                      <w:rFonts w:hint="eastAsia" w:cs="Times New Roman"/>
                      <w:color w:val="auto"/>
                      <w:spacing w:val="-10"/>
                      <w:sz w:val="18"/>
                      <w:szCs w:val="18"/>
                      <w:lang w:val="en-US" w:eastAsia="zh-CN"/>
                    </w:rPr>
                    <w:t>外购</w:t>
                  </w:r>
                </w:p>
              </w:tc>
              <w:tc>
                <w:tcPr>
                  <w:tcW w:w="1683" w:type="pct"/>
                  <w:tcBorders>
                    <w:tl2br w:val="nil"/>
                    <w:tr2bl w:val="nil"/>
                  </w:tcBorders>
                  <w:vAlign w:val="center"/>
                </w:tcPr>
                <w:p w14:paraId="4BFE5C1F">
                  <w:pPr>
                    <w:widowControl/>
                    <w:spacing w:line="0" w:lineRule="atLeast"/>
                    <w:jc w:val="center"/>
                    <w:rPr>
                      <w:rFonts w:hint="default" w:ascii="Times New Roman" w:hAnsi="Times New Roman" w:eastAsia="宋体" w:cs="Times New Roman"/>
                      <w:color w:val="auto"/>
                      <w:spacing w:val="-10"/>
                      <w:sz w:val="18"/>
                      <w:szCs w:val="18"/>
                      <w:lang w:val="en-US" w:eastAsia="zh-CN"/>
                    </w:rPr>
                  </w:pPr>
                  <w:r>
                    <w:rPr>
                      <w:rFonts w:hint="eastAsia" w:cs="Times New Roman"/>
                      <w:color w:val="auto"/>
                      <w:spacing w:val="-10"/>
                      <w:sz w:val="18"/>
                      <w:szCs w:val="18"/>
                      <w:lang w:val="en-US" w:eastAsia="zh-CN"/>
                    </w:rPr>
                    <w:t>/</w:t>
                  </w:r>
                </w:p>
              </w:tc>
            </w:tr>
            <w:tr w14:paraId="2625235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338" w:type="pct"/>
                  <w:tcBorders>
                    <w:tl2br w:val="nil"/>
                    <w:tr2bl w:val="nil"/>
                  </w:tcBorders>
                  <w:vAlign w:val="center"/>
                </w:tcPr>
                <w:p w14:paraId="743BCA50">
                  <w:pPr>
                    <w:widowControl/>
                    <w:spacing w:line="0" w:lineRule="atLeast"/>
                    <w:jc w:val="center"/>
                    <w:rPr>
                      <w:rFonts w:hint="default" w:ascii="Times New Roman" w:hAnsi="Times New Roman" w:eastAsia="宋体" w:cs="Times New Roman"/>
                      <w:color w:val="auto"/>
                      <w:spacing w:val="-10"/>
                      <w:sz w:val="18"/>
                      <w:szCs w:val="18"/>
                      <w:lang w:val="en-US" w:eastAsia="zh-CN"/>
                    </w:rPr>
                  </w:pPr>
                  <w:r>
                    <w:rPr>
                      <w:rFonts w:hint="eastAsia" w:cs="Times New Roman"/>
                      <w:color w:val="auto"/>
                      <w:spacing w:val="-10"/>
                      <w:sz w:val="18"/>
                      <w:szCs w:val="18"/>
                      <w:lang w:val="en-US" w:eastAsia="zh-CN"/>
                    </w:rPr>
                    <w:t>14</w:t>
                  </w:r>
                </w:p>
              </w:tc>
              <w:tc>
                <w:tcPr>
                  <w:tcW w:w="578" w:type="pct"/>
                  <w:tcBorders>
                    <w:tl2br w:val="nil"/>
                    <w:tr2bl w:val="nil"/>
                  </w:tcBorders>
                  <w:vAlign w:val="center"/>
                </w:tcPr>
                <w:p w14:paraId="44C78973">
                  <w:pPr>
                    <w:widowControl/>
                    <w:spacing w:line="0" w:lineRule="atLeast"/>
                    <w:jc w:val="center"/>
                    <w:rPr>
                      <w:rFonts w:hint="eastAsia" w:ascii="Times New Roman" w:hAnsi="Times New Roman" w:eastAsia="宋体" w:cs="Times New Roman"/>
                      <w:color w:val="auto"/>
                      <w:spacing w:val="-10"/>
                      <w:sz w:val="18"/>
                      <w:szCs w:val="18"/>
                      <w:lang w:val="en-US" w:eastAsia="zh-CN"/>
                    </w:rPr>
                  </w:pPr>
                  <w:r>
                    <w:rPr>
                      <w:rFonts w:hint="eastAsia" w:ascii="Times New Roman" w:hAnsi="Times New Roman" w:eastAsia="宋体" w:cs="Times New Roman"/>
                      <w:color w:val="auto"/>
                      <w:spacing w:val="-10"/>
                      <w:sz w:val="18"/>
                      <w:szCs w:val="18"/>
                      <w:lang w:val="en-US" w:eastAsia="zh-CN"/>
                    </w:rPr>
                    <w:t>电</w:t>
                  </w:r>
                </w:p>
              </w:tc>
              <w:tc>
                <w:tcPr>
                  <w:tcW w:w="494" w:type="pct"/>
                  <w:tcBorders>
                    <w:tl2br w:val="nil"/>
                    <w:tr2bl w:val="nil"/>
                  </w:tcBorders>
                  <w:shd w:val="clear" w:color="auto" w:fill="auto"/>
                  <w:vAlign w:val="center"/>
                </w:tcPr>
                <w:p w14:paraId="4A55A240">
                  <w:pPr>
                    <w:widowControl/>
                    <w:spacing w:line="0" w:lineRule="atLeast"/>
                    <w:jc w:val="center"/>
                    <w:rPr>
                      <w:rFonts w:hint="default" w:ascii="Times New Roman" w:hAnsi="Times New Roman" w:eastAsia="宋体" w:cs="Times New Roman"/>
                      <w:color w:val="auto"/>
                      <w:spacing w:val="-10"/>
                      <w:sz w:val="18"/>
                      <w:szCs w:val="18"/>
                      <w:lang w:val="en-US" w:eastAsia="zh-CN"/>
                    </w:rPr>
                  </w:pPr>
                  <w:r>
                    <w:rPr>
                      <w:rFonts w:hint="eastAsia" w:ascii="Times New Roman" w:hAnsi="Times New Roman" w:eastAsia="宋体" w:cs="Times New Roman"/>
                      <w:color w:val="auto"/>
                      <w:spacing w:val="-10"/>
                      <w:sz w:val="18"/>
                      <w:szCs w:val="18"/>
                      <w:lang w:val="en-US" w:eastAsia="zh-CN"/>
                    </w:rPr>
                    <w:t>万kWh/a</w:t>
                  </w:r>
                </w:p>
              </w:tc>
              <w:tc>
                <w:tcPr>
                  <w:tcW w:w="482" w:type="pct"/>
                  <w:tcBorders>
                    <w:tl2br w:val="nil"/>
                    <w:tr2bl w:val="nil"/>
                  </w:tcBorders>
                  <w:vAlign w:val="center"/>
                </w:tcPr>
                <w:p w14:paraId="10CD463D">
                  <w:pPr>
                    <w:widowControl/>
                    <w:spacing w:line="0" w:lineRule="atLeast"/>
                    <w:jc w:val="center"/>
                    <w:rPr>
                      <w:rFonts w:hint="default" w:ascii="Times New Roman" w:hAnsi="Times New Roman" w:eastAsia="宋体" w:cs="Times New Roman"/>
                      <w:color w:val="auto"/>
                      <w:spacing w:val="-10"/>
                      <w:sz w:val="18"/>
                      <w:szCs w:val="18"/>
                      <w:lang w:val="en-US" w:eastAsia="zh-CN"/>
                    </w:rPr>
                  </w:pPr>
                  <w:r>
                    <w:rPr>
                      <w:rFonts w:hint="eastAsia" w:ascii="Times New Roman" w:hAnsi="Times New Roman" w:eastAsia="宋体" w:cs="Times New Roman"/>
                      <w:color w:val="auto"/>
                      <w:spacing w:val="-10"/>
                      <w:sz w:val="18"/>
                      <w:szCs w:val="18"/>
                      <w:lang w:val="en-US" w:eastAsia="zh-CN"/>
                    </w:rPr>
                    <w:t>2</w:t>
                  </w:r>
                  <w:r>
                    <w:rPr>
                      <w:rFonts w:hint="eastAsia" w:cs="Times New Roman"/>
                      <w:color w:val="auto"/>
                      <w:spacing w:val="-10"/>
                      <w:sz w:val="18"/>
                      <w:szCs w:val="18"/>
                      <w:lang w:val="en-US" w:eastAsia="zh-CN"/>
                    </w:rPr>
                    <w:t>1</w:t>
                  </w:r>
                  <w:r>
                    <w:rPr>
                      <w:rFonts w:hint="eastAsia" w:ascii="Times New Roman" w:hAnsi="Times New Roman" w:eastAsia="宋体" w:cs="Times New Roman"/>
                      <w:color w:val="auto"/>
                      <w:spacing w:val="-10"/>
                      <w:sz w:val="18"/>
                      <w:szCs w:val="18"/>
                      <w:lang w:val="en-US" w:eastAsia="zh-CN"/>
                    </w:rPr>
                    <w:t>0</w:t>
                  </w:r>
                </w:p>
              </w:tc>
              <w:tc>
                <w:tcPr>
                  <w:tcW w:w="480" w:type="pct"/>
                  <w:tcBorders>
                    <w:tl2br w:val="nil"/>
                    <w:tr2bl w:val="nil"/>
                  </w:tcBorders>
                  <w:vAlign w:val="center"/>
                </w:tcPr>
                <w:p w14:paraId="2BD7BE96">
                  <w:pPr>
                    <w:widowControl/>
                    <w:spacing w:line="0" w:lineRule="atLeast"/>
                    <w:jc w:val="center"/>
                    <w:rPr>
                      <w:rFonts w:hint="eastAsia" w:ascii="Times New Roman" w:hAnsi="Times New Roman" w:eastAsia="宋体" w:cs="Times New Roman"/>
                      <w:color w:val="auto"/>
                      <w:spacing w:val="-10"/>
                      <w:sz w:val="18"/>
                      <w:szCs w:val="18"/>
                      <w:lang w:val="en-US" w:eastAsia="zh-CN"/>
                    </w:rPr>
                  </w:pPr>
                  <w:r>
                    <w:rPr>
                      <w:rFonts w:hint="eastAsia" w:ascii="Times New Roman" w:hAnsi="Times New Roman" w:eastAsia="宋体" w:cs="Times New Roman"/>
                      <w:color w:val="auto"/>
                      <w:spacing w:val="-10"/>
                      <w:sz w:val="18"/>
                      <w:szCs w:val="18"/>
                      <w:lang w:val="en-US" w:eastAsia="zh-CN"/>
                    </w:rPr>
                    <w:t>/</w:t>
                  </w:r>
                </w:p>
              </w:tc>
              <w:tc>
                <w:tcPr>
                  <w:tcW w:w="941" w:type="pct"/>
                  <w:tcBorders>
                    <w:tl2br w:val="nil"/>
                    <w:tr2bl w:val="nil"/>
                  </w:tcBorders>
                  <w:vAlign w:val="center"/>
                </w:tcPr>
                <w:p w14:paraId="016C3E78">
                  <w:pPr>
                    <w:widowControl/>
                    <w:spacing w:line="0" w:lineRule="atLeast"/>
                    <w:jc w:val="center"/>
                    <w:rPr>
                      <w:rFonts w:hint="default" w:ascii="Times New Roman" w:hAnsi="Times New Roman" w:eastAsia="宋体" w:cs="Times New Roman"/>
                      <w:color w:val="auto"/>
                      <w:spacing w:val="-10"/>
                      <w:sz w:val="18"/>
                      <w:szCs w:val="18"/>
                      <w:lang w:val="en-US" w:eastAsia="zh-CN"/>
                    </w:rPr>
                  </w:pPr>
                  <w:r>
                    <w:rPr>
                      <w:rFonts w:hint="eastAsia" w:ascii="Times New Roman" w:hAnsi="Times New Roman" w:eastAsia="宋体" w:cs="Times New Roman"/>
                      <w:color w:val="auto"/>
                      <w:spacing w:val="-10"/>
                      <w:sz w:val="18"/>
                      <w:szCs w:val="18"/>
                      <w:lang w:val="en-US" w:eastAsia="zh-CN"/>
                    </w:rPr>
                    <w:t>当地电网</w:t>
                  </w:r>
                </w:p>
              </w:tc>
              <w:tc>
                <w:tcPr>
                  <w:tcW w:w="1683" w:type="pct"/>
                  <w:tcBorders>
                    <w:tl2br w:val="nil"/>
                    <w:tr2bl w:val="nil"/>
                  </w:tcBorders>
                  <w:vAlign w:val="center"/>
                </w:tcPr>
                <w:p w14:paraId="38BB3098">
                  <w:pPr>
                    <w:widowControl/>
                    <w:spacing w:line="0" w:lineRule="atLeast"/>
                    <w:jc w:val="center"/>
                    <w:rPr>
                      <w:rFonts w:hint="eastAsia" w:ascii="Times New Roman" w:hAnsi="Times New Roman" w:eastAsia="宋体" w:cs="Times New Roman"/>
                      <w:color w:val="auto"/>
                      <w:spacing w:val="-10"/>
                      <w:sz w:val="18"/>
                      <w:szCs w:val="18"/>
                      <w:lang w:val="en-US" w:eastAsia="zh-CN"/>
                    </w:rPr>
                  </w:pPr>
                  <w:r>
                    <w:rPr>
                      <w:rFonts w:hint="eastAsia" w:ascii="Times New Roman" w:hAnsi="Times New Roman" w:eastAsia="宋体" w:cs="Times New Roman"/>
                      <w:color w:val="auto"/>
                      <w:spacing w:val="-10"/>
                      <w:sz w:val="18"/>
                      <w:szCs w:val="18"/>
                      <w:lang w:val="en-US" w:eastAsia="zh-CN"/>
                    </w:rPr>
                    <w:t>/</w:t>
                  </w:r>
                </w:p>
              </w:tc>
            </w:tr>
            <w:tr w14:paraId="47D1A4A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338" w:type="pct"/>
                  <w:tcBorders>
                    <w:tl2br w:val="nil"/>
                    <w:tr2bl w:val="nil"/>
                  </w:tcBorders>
                  <w:vAlign w:val="center"/>
                </w:tcPr>
                <w:p w14:paraId="4259E1B7">
                  <w:pPr>
                    <w:widowControl/>
                    <w:spacing w:line="0" w:lineRule="atLeast"/>
                    <w:jc w:val="center"/>
                    <w:rPr>
                      <w:rFonts w:hint="default" w:cs="Times New Roman"/>
                      <w:color w:val="auto"/>
                      <w:spacing w:val="-10"/>
                      <w:sz w:val="18"/>
                      <w:szCs w:val="18"/>
                      <w:lang w:val="en-US" w:eastAsia="zh-CN"/>
                    </w:rPr>
                  </w:pPr>
                  <w:r>
                    <w:rPr>
                      <w:rFonts w:hint="eastAsia" w:cs="Times New Roman"/>
                      <w:color w:val="auto"/>
                      <w:spacing w:val="-10"/>
                      <w:sz w:val="18"/>
                      <w:szCs w:val="18"/>
                      <w:lang w:val="en-US" w:eastAsia="zh-CN"/>
                    </w:rPr>
                    <w:t>15</w:t>
                  </w:r>
                </w:p>
              </w:tc>
              <w:tc>
                <w:tcPr>
                  <w:tcW w:w="578" w:type="pct"/>
                  <w:tcBorders>
                    <w:tl2br w:val="nil"/>
                    <w:tr2bl w:val="nil"/>
                  </w:tcBorders>
                  <w:vAlign w:val="center"/>
                </w:tcPr>
                <w:p w14:paraId="14009AF2">
                  <w:pPr>
                    <w:widowControl/>
                    <w:spacing w:line="0" w:lineRule="atLeast"/>
                    <w:jc w:val="center"/>
                    <w:rPr>
                      <w:rFonts w:hint="default" w:ascii="Times New Roman" w:hAnsi="Times New Roman" w:eastAsia="宋体" w:cs="Times New Roman"/>
                      <w:color w:val="auto"/>
                      <w:spacing w:val="-10"/>
                      <w:sz w:val="18"/>
                      <w:szCs w:val="18"/>
                      <w:lang w:val="en-US" w:eastAsia="zh-CN"/>
                    </w:rPr>
                  </w:pPr>
                  <w:r>
                    <w:rPr>
                      <w:rFonts w:hint="eastAsia" w:cs="Times New Roman"/>
                      <w:color w:val="auto"/>
                      <w:spacing w:val="-10"/>
                      <w:sz w:val="18"/>
                      <w:szCs w:val="18"/>
                      <w:lang w:val="en-US" w:eastAsia="zh-CN"/>
                    </w:rPr>
                    <w:t>吨包袋</w:t>
                  </w:r>
                </w:p>
              </w:tc>
              <w:tc>
                <w:tcPr>
                  <w:tcW w:w="494" w:type="pct"/>
                  <w:tcBorders>
                    <w:tl2br w:val="nil"/>
                    <w:tr2bl w:val="nil"/>
                  </w:tcBorders>
                  <w:shd w:val="clear" w:color="auto" w:fill="auto"/>
                  <w:vAlign w:val="center"/>
                </w:tcPr>
                <w:p w14:paraId="605B1D28">
                  <w:pPr>
                    <w:widowControl/>
                    <w:spacing w:line="0" w:lineRule="atLeast"/>
                    <w:jc w:val="center"/>
                    <w:rPr>
                      <w:rFonts w:hint="default" w:cs="Times New Roman"/>
                      <w:color w:val="auto"/>
                      <w:spacing w:val="-10"/>
                      <w:sz w:val="18"/>
                      <w:szCs w:val="18"/>
                      <w:lang w:val="en-US" w:eastAsia="zh-CN"/>
                    </w:rPr>
                  </w:pPr>
                  <w:r>
                    <w:rPr>
                      <w:rFonts w:hint="eastAsia" w:cs="Times New Roman"/>
                      <w:color w:val="auto"/>
                      <w:spacing w:val="-10"/>
                      <w:sz w:val="18"/>
                      <w:szCs w:val="18"/>
                      <w:lang w:val="en-US" w:eastAsia="zh-CN"/>
                    </w:rPr>
                    <w:t>个</w:t>
                  </w:r>
                </w:p>
              </w:tc>
              <w:tc>
                <w:tcPr>
                  <w:tcW w:w="482" w:type="pct"/>
                  <w:tcBorders>
                    <w:tl2br w:val="nil"/>
                    <w:tr2bl w:val="nil"/>
                  </w:tcBorders>
                  <w:vAlign w:val="center"/>
                </w:tcPr>
                <w:p w14:paraId="5D0CA004">
                  <w:pPr>
                    <w:widowControl/>
                    <w:spacing w:line="0" w:lineRule="atLeast"/>
                    <w:jc w:val="center"/>
                    <w:rPr>
                      <w:rFonts w:hint="default" w:cs="Times New Roman"/>
                      <w:color w:val="auto"/>
                      <w:spacing w:val="-10"/>
                      <w:sz w:val="18"/>
                      <w:szCs w:val="18"/>
                      <w:lang w:val="en-US" w:eastAsia="zh-CN"/>
                    </w:rPr>
                  </w:pPr>
                  <w:r>
                    <w:rPr>
                      <w:rFonts w:hint="eastAsia" w:cs="Times New Roman"/>
                      <w:color w:val="auto"/>
                      <w:spacing w:val="-10"/>
                      <w:sz w:val="18"/>
                      <w:szCs w:val="18"/>
                      <w:lang w:val="en-US" w:eastAsia="zh-CN"/>
                    </w:rPr>
                    <w:t>57100</w:t>
                  </w:r>
                </w:p>
              </w:tc>
              <w:tc>
                <w:tcPr>
                  <w:tcW w:w="480" w:type="pct"/>
                  <w:tcBorders>
                    <w:tl2br w:val="nil"/>
                    <w:tr2bl w:val="nil"/>
                  </w:tcBorders>
                  <w:vAlign w:val="center"/>
                </w:tcPr>
                <w:p w14:paraId="33C947DE">
                  <w:pPr>
                    <w:widowControl/>
                    <w:spacing w:line="0" w:lineRule="atLeast"/>
                    <w:jc w:val="center"/>
                    <w:rPr>
                      <w:rFonts w:hint="default" w:cs="Times New Roman"/>
                      <w:color w:val="auto"/>
                      <w:spacing w:val="-10"/>
                      <w:sz w:val="18"/>
                      <w:szCs w:val="18"/>
                      <w:lang w:val="en-US" w:eastAsia="zh-CN"/>
                    </w:rPr>
                  </w:pPr>
                  <w:r>
                    <w:rPr>
                      <w:rFonts w:hint="eastAsia" w:cs="Times New Roman"/>
                      <w:color w:val="auto"/>
                      <w:spacing w:val="-10"/>
                      <w:sz w:val="18"/>
                      <w:szCs w:val="18"/>
                      <w:lang w:val="en-US" w:eastAsia="zh-CN"/>
                    </w:rPr>
                    <w:t>/</w:t>
                  </w:r>
                </w:p>
              </w:tc>
              <w:tc>
                <w:tcPr>
                  <w:tcW w:w="941" w:type="pct"/>
                  <w:tcBorders>
                    <w:tl2br w:val="nil"/>
                    <w:tr2bl w:val="nil"/>
                  </w:tcBorders>
                  <w:vAlign w:val="center"/>
                </w:tcPr>
                <w:p w14:paraId="4CD15B34">
                  <w:pPr>
                    <w:widowControl/>
                    <w:spacing w:line="0" w:lineRule="atLeast"/>
                    <w:jc w:val="center"/>
                    <w:rPr>
                      <w:rFonts w:hint="eastAsia" w:cs="Times New Roman"/>
                      <w:color w:val="auto"/>
                      <w:spacing w:val="-10"/>
                      <w:sz w:val="18"/>
                      <w:szCs w:val="18"/>
                      <w:lang w:val="en-US" w:eastAsia="zh-CN"/>
                    </w:rPr>
                  </w:pPr>
                  <w:r>
                    <w:rPr>
                      <w:rFonts w:hint="eastAsia" w:cs="Times New Roman"/>
                      <w:color w:val="auto"/>
                      <w:spacing w:val="-10"/>
                      <w:sz w:val="18"/>
                      <w:szCs w:val="18"/>
                      <w:lang w:val="en-US" w:eastAsia="zh-CN"/>
                    </w:rPr>
                    <w:t>外购</w:t>
                  </w:r>
                </w:p>
              </w:tc>
              <w:tc>
                <w:tcPr>
                  <w:tcW w:w="1683" w:type="pct"/>
                  <w:tcBorders>
                    <w:tl2br w:val="nil"/>
                    <w:tr2bl w:val="nil"/>
                  </w:tcBorders>
                  <w:vAlign w:val="center"/>
                </w:tcPr>
                <w:p w14:paraId="72E3817B">
                  <w:pPr>
                    <w:widowControl/>
                    <w:spacing w:line="0" w:lineRule="atLeast"/>
                    <w:jc w:val="center"/>
                    <w:rPr>
                      <w:rFonts w:hint="eastAsia" w:cs="Times New Roman"/>
                      <w:color w:val="auto"/>
                      <w:spacing w:val="-10"/>
                      <w:sz w:val="18"/>
                      <w:szCs w:val="18"/>
                      <w:lang w:val="en-US" w:eastAsia="zh-CN"/>
                    </w:rPr>
                  </w:pPr>
                  <w:r>
                    <w:rPr>
                      <w:rFonts w:hint="eastAsia" w:cs="Times New Roman"/>
                      <w:color w:val="auto"/>
                      <w:spacing w:val="-10"/>
                      <w:sz w:val="18"/>
                      <w:szCs w:val="18"/>
                      <w:lang w:val="en-US" w:eastAsia="zh-CN"/>
                    </w:rPr>
                    <w:t>规格：90</w:t>
                  </w:r>
                  <w:r>
                    <w:rPr>
                      <w:color w:val="auto"/>
                      <w:spacing w:val="-10"/>
                      <w:sz w:val="18"/>
                      <w:szCs w:val="18"/>
                      <w:highlight w:val="none"/>
                    </w:rPr>
                    <w:t>×</w:t>
                  </w:r>
                  <w:r>
                    <w:rPr>
                      <w:rFonts w:hint="eastAsia" w:cs="Times New Roman"/>
                      <w:color w:val="auto"/>
                      <w:spacing w:val="-10"/>
                      <w:sz w:val="18"/>
                      <w:szCs w:val="18"/>
                      <w:lang w:val="en-US" w:eastAsia="zh-CN"/>
                    </w:rPr>
                    <w:t>90</w:t>
                  </w:r>
                  <w:r>
                    <w:rPr>
                      <w:color w:val="auto"/>
                      <w:spacing w:val="-10"/>
                      <w:sz w:val="18"/>
                      <w:szCs w:val="18"/>
                      <w:highlight w:val="none"/>
                    </w:rPr>
                    <w:t>×</w:t>
                  </w:r>
                  <w:r>
                    <w:rPr>
                      <w:rFonts w:hint="eastAsia" w:cs="Times New Roman"/>
                      <w:color w:val="auto"/>
                      <w:spacing w:val="-10"/>
                      <w:sz w:val="18"/>
                      <w:szCs w:val="18"/>
                      <w:lang w:val="en-US" w:eastAsia="zh-CN"/>
                    </w:rPr>
                    <w:t>110cm，PP材质、内</w:t>
                  </w:r>
                </w:p>
                <w:p w14:paraId="30B7FD58">
                  <w:pPr>
                    <w:widowControl/>
                    <w:spacing w:line="0" w:lineRule="atLeast"/>
                    <w:jc w:val="center"/>
                    <w:rPr>
                      <w:rFonts w:hint="eastAsia" w:cs="Times New Roman"/>
                      <w:color w:val="auto"/>
                      <w:spacing w:val="-10"/>
                      <w:sz w:val="18"/>
                      <w:szCs w:val="18"/>
                      <w:lang w:val="en-US" w:eastAsia="zh-CN"/>
                    </w:rPr>
                  </w:pPr>
                  <w:r>
                    <w:rPr>
                      <w:rFonts w:hint="eastAsia" w:cs="Times New Roman"/>
                      <w:color w:val="auto"/>
                      <w:spacing w:val="-10"/>
                      <w:sz w:val="18"/>
                      <w:szCs w:val="18"/>
                      <w:lang w:val="en-US" w:eastAsia="zh-CN"/>
                    </w:rPr>
                    <w:t>衬牛皮纸</w:t>
                  </w:r>
                </w:p>
              </w:tc>
            </w:tr>
          </w:tbl>
          <w:p w14:paraId="507A148D">
            <w:pPr>
              <w:adjustRightInd w:val="0"/>
              <w:spacing w:line="440" w:lineRule="exact"/>
              <w:ind w:firstLine="420" w:firstLineChars="200"/>
              <w:outlineLvl w:val="2"/>
              <w:rPr>
                <w:rFonts w:hint="eastAsia"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备注：本项目使用的双飞粉也叫</w:t>
            </w:r>
            <w:r>
              <w:rPr>
                <w:rFonts w:hint="eastAsia" w:cs="Times New Roman"/>
                <w:color w:val="auto"/>
                <w:szCs w:val="21"/>
                <w:highlight w:val="none"/>
                <w:lang w:val="en-US" w:eastAsia="zh-CN"/>
              </w:rPr>
              <w:t>“</w:t>
            </w:r>
            <w:r>
              <w:rPr>
                <w:rFonts w:hint="eastAsia" w:ascii="Times New Roman" w:hAnsi="Times New Roman" w:eastAsia="宋体" w:cs="Times New Roman"/>
                <w:color w:val="auto"/>
                <w:szCs w:val="21"/>
                <w:highlight w:val="none"/>
                <w:lang w:val="en-US" w:eastAsia="zh-CN"/>
              </w:rPr>
              <w:t>钙镁粉</w:t>
            </w:r>
            <w:r>
              <w:rPr>
                <w:rFonts w:hint="eastAsia" w:cs="Times New Roman"/>
                <w:color w:val="auto"/>
                <w:szCs w:val="21"/>
                <w:highlight w:val="none"/>
                <w:lang w:val="en-US" w:eastAsia="zh-CN"/>
              </w:rPr>
              <w:t>”</w:t>
            </w:r>
            <w:r>
              <w:rPr>
                <w:rFonts w:hint="eastAsia" w:ascii="Times New Roman" w:hAnsi="Times New Roman" w:eastAsia="宋体" w:cs="Times New Roman"/>
                <w:color w:val="auto"/>
                <w:szCs w:val="21"/>
                <w:highlight w:val="none"/>
                <w:lang w:val="en-US" w:eastAsia="zh-CN"/>
              </w:rPr>
              <w:t>，主要成分是钙与镁的碳酸盐，通常用作填料，本项目起到增强水的浮力，不含有毒有害物质。</w:t>
            </w:r>
          </w:p>
          <w:p w14:paraId="52B97C39">
            <w:pPr>
              <w:pStyle w:val="24"/>
              <w:keepNext w:val="0"/>
              <w:keepLines w:val="0"/>
              <w:pageBreakBefore w:val="0"/>
              <w:widowControl/>
              <w:kinsoku/>
              <w:wordWrap/>
              <w:overflowPunct/>
              <w:topLinePunct w:val="0"/>
              <w:autoSpaceDE/>
              <w:autoSpaceDN/>
              <w:bidi w:val="0"/>
              <w:adjustRightInd w:val="0"/>
              <w:snapToGrid w:val="0"/>
              <w:spacing w:before="0" w:beforeAutospacing="0" w:after="0" w:afterAutospacing="0" w:line="430" w:lineRule="exact"/>
              <w:ind w:firstLine="422" w:firstLineChars="200"/>
              <w:textAlignment w:val="auto"/>
              <w:rPr>
                <w:rFonts w:hint="eastAsia" w:ascii="Times New Roman" w:hAnsi="Times New Roman" w:eastAsia="宋体" w:cs="Times New Roman"/>
                <w:b/>
                <w:color w:val="auto"/>
                <w:sz w:val="21"/>
                <w:szCs w:val="21"/>
                <w:lang w:val="en-US" w:eastAsia="zh-CN"/>
              </w:rPr>
            </w:pPr>
            <w:r>
              <w:rPr>
                <w:rFonts w:hint="eastAsia" w:ascii="Times New Roman" w:hAnsi="Times New Roman" w:cs="Times New Roman"/>
                <w:b/>
                <w:color w:val="auto"/>
                <w:sz w:val="21"/>
                <w:szCs w:val="21"/>
                <w:lang w:val="en-US" w:eastAsia="zh-CN"/>
              </w:rPr>
              <w:t>6.2</w:t>
            </w:r>
            <w:r>
              <w:rPr>
                <w:rFonts w:hint="eastAsia" w:ascii="Times New Roman" w:hAnsi="Times New Roman" w:eastAsia="宋体" w:cs="Times New Roman"/>
                <w:b/>
                <w:color w:val="auto"/>
                <w:sz w:val="21"/>
                <w:szCs w:val="21"/>
                <w:lang w:val="en-US" w:eastAsia="zh-CN"/>
              </w:rPr>
              <w:t xml:space="preserve">项目主要原材料来源 </w:t>
            </w:r>
          </w:p>
          <w:p w14:paraId="420E78BC">
            <w:pPr>
              <w:adjustRightInd w:val="0"/>
              <w:spacing w:line="440" w:lineRule="exact"/>
              <w:ind w:firstLine="420" w:firstLineChars="200"/>
              <w:outlineLvl w:val="2"/>
              <w:rPr>
                <w:rFonts w:hint="eastAsia"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 xml:space="preserve">（1）废钢破碎尾料 </w:t>
            </w:r>
          </w:p>
          <w:p w14:paraId="34E2C0D6">
            <w:pPr>
              <w:adjustRightInd w:val="0"/>
              <w:spacing w:line="440" w:lineRule="exact"/>
              <w:ind w:firstLine="420" w:firstLineChars="200"/>
              <w:outlineLvl w:val="2"/>
              <w:rPr>
                <w:rFonts w:hint="eastAsia"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①废钢破碎尾料的来源</w:t>
            </w:r>
          </w:p>
          <w:p w14:paraId="70B2A127">
            <w:pPr>
              <w:adjustRightInd w:val="0"/>
              <w:spacing w:line="440" w:lineRule="exact"/>
              <w:ind w:firstLine="420" w:firstLineChars="200"/>
              <w:outlineLvl w:val="2"/>
              <w:rPr>
                <w:rFonts w:hint="eastAsia"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本项目废钢破碎尾料是废钢破碎后的副产品，主要来自唐山地区周边钢厂</w:t>
            </w:r>
            <w:r>
              <w:rPr>
                <w:rFonts w:hint="eastAsia" w:cs="Times New Roman"/>
                <w:color w:val="auto"/>
                <w:szCs w:val="21"/>
                <w:highlight w:val="none"/>
                <w:lang w:val="en-US" w:eastAsia="zh-CN"/>
              </w:rPr>
              <w:t>，</w:t>
            </w:r>
            <w:r>
              <w:rPr>
                <w:rFonts w:hint="eastAsia" w:ascii="Times New Roman" w:hAnsi="Times New Roman" w:eastAsia="宋体" w:cs="Times New Roman"/>
                <w:color w:val="auto"/>
                <w:szCs w:val="21"/>
                <w:highlight w:val="none"/>
                <w:lang w:val="en-US" w:eastAsia="zh-CN"/>
              </w:rPr>
              <w:t>不涉及化工等有毒有害物质，本项目保证外购原料中不含放射性物质、含油、含漆废料。本项目所用原料直径在</w:t>
            </w:r>
            <w:r>
              <w:rPr>
                <w:rFonts w:hint="default" w:ascii="Times New Roman" w:hAnsi="Times New Roman" w:eastAsia="宋体" w:cs="Times New Roman"/>
                <w:color w:val="auto"/>
                <w:szCs w:val="21"/>
                <w:highlight w:val="none"/>
                <w:lang w:val="en-US" w:eastAsia="zh-CN"/>
              </w:rPr>
              <w:t>10cm</w:t>
            </w:r>
            <w:r>
              <w:rPr>
                <w:rFonts w:hint="eastAsia" w:ascii="Times New Roman" w:hAnsi="Times New Roman" w:eastAsia="宋体" w:cs="Times New Roman"/>
                <w:color w:val="auto"/>
                <w:szCs w:val="21"/>
                <w:highlight w:val="none"/>
                <w:lang w:val="en-US" w:eastAsia="zh-CN"/>
              </w:rPr>
              <w:t>以下，物料状态为块状及粉状混合物，废钢破碎尾料主要组成见下表。</w:t>
            </w:r>
          </w:p>
          <w:p w14:paraId="3D6A9C4C">
            <w:pPr>
              <w:keepNext w:val="0"/>
              <w:keepLines w:val="0"/>
              <w:pageBreakBefore w:val="0"/>
              <w:widowControl w:val="0"/>
              <w:tabs>
                <w:tab w:val="left" w:pos="1180"/>
              </w:tabs>
              <w:kinsoku/>
              <w:wordWrap/>
              <w:overflowPunct/>
              <w:topLinePunct w:val="0"/>
              <w:autoSpaceDE/>
              <w:autoSpaceDN/>
              <w:bidi w:val="0"/>
              <w:adjustRightInd/>
              <w:snapToGrid/>
              <w:spacing w:line="420" w:lineRule="exact"/>
              <w:ind w:firstLine="0" w:firstLineChars="0"/>
              <w:jc w:val="center"/>
              <w:textAlignment w:val="auto"/>
              <w:rPr>
                <w:rFonts w:hint="eastAsia"/>
                <w:color w:val="auto"/>
                <w:highlight w:val="none"/>
                <w:lang w:val="en-US" w:eastAsia="zh-CN"/>
              </w:rPr>
            </w:pPr>
            <w:r>
              <w:rPr>
                <w:rFonts w:hint="eastAsia" w:ascii="Times New Roman" w:hAnsi="Times New Roman" w:eastAsia="宋体" w:cs="Times New Roman"/>
                <w:b/>
                <w:color w:val="auto"/>
                <w:sz w:val="21"/>
                <w:szCs w:val="21"/>
                <w:highlight w:val="none"/>
                <w:lang w:val="en-US" w:eastAsia="zh-CN"/>
              </w:rPr>
              <w:t>表</w:t>
            </w:r>
            <w:r>
              <w:rPr>
                <w:rFonts w:hint="eastAsia" w:cs="Times New Roman"/>
                <w:b/>
                <w:color w:val="auto"/>
                <w:sz w:val="21"/>
                <w:szCs w:val="21"/>
                <w:highlight w:val="none"/>
                <w:lang w:val="en-US" w:eastAsia="zh-CN"/>
              </w:rPr>
              <w:t>11</w:t>
            </w:r>
            <w:r>
              <w:rPr>
                <w:rFonts w:hint="default" w:ascii="Times New Roman" w:hAnsi="Times New Roman" w:eastAsia="宋体" w:cs="Times New Roman"/>
                <w:b/>
                <w:color w:val="auto"/>
                <w:sz w:val="21"/>
                <w:szCs w:val="21"/>
                <w:highlight w:val="none"/>
                <w:lang w:val="en-US" w:eastAsia="zh-CN"/>
              </w:rPr>
              <w:t xml:space="preserve"> </w:t>
            </w:r>
            <w:r>
              <w:rPr>
                <w:rFonts w:hint="eastAsia" w:ascii="Times New Roman" w:hAnsi="Times New Roman" w:eastAsia="宋体" w:cs="Times New Roman"/>
                <w:b/>
                <w:color w:val="auto"/>
                <w:sz w:val="21"/>
                <w:szCs w:val="21"/>
                <w:highlight w:val="none"/>
                <w:lang w:val="en-US" w:eastAsia="zh-CN"/>
              </w:rPr>
              <w:t>废钢破碎尾料原料组成成分一览表</w:t>
            </w:r>
          </w:p>
          <w:tbl>
            <w:tblPr>
              <w:tblStyle w:val="28"/>
              <w:tblW w:w="7994"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26"/>
              <w:gridCol w:w="1218"/>
              <w:gridCol w:w="6150"/>
            </w:tblGrid>
            <w:tr w14:paraId="53CE610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26" w:type="dxa"/>
                  <w:tcBorders>
                    <w:tl2br w:val="nil"/>
                    <w:tr2bl w:val="nil"/>
                  </w:tcBorders>
                  <w:noWrap w:val="0"/>
                  <w:tcMar>
                    <w:top w:w="0" w:type="dxa"/>
                    <w:left w:w="51" w:type="dxa"/>
                    <w:bottom w:w="0" w:type="dxa"/>
                    <w:right w:w="51" w:type="dxa"/>
                  </w:tcMar>
                  <w:vAlign w:val="center"/>
                </w:tcPr>
                <w:p w14:paraId="5B478021">
                  <w:pPr>
                    <w:widowControl/>
                    <w:spacing w:line="0" w:lineRule="atLeast"/>
                    <w:jc w:val="center"/>
                    <w:rPr>
                      <w:rFonts w:hint="eastAsia" w:ascii="Times New Roman" w:hAnsi="Times New Roman" w:eastAsia="宋体" w:cs="Times New Roman"/>
                      <w:color w:val="auto"/>
                      <w:spacing w:val="-10"/>
                      <w:sz w:val="18"/>
                      <w:szCs w:val="18"/>
                      <w:highlight w:val="none"/>
                      <w:lang w:eastAsia="zh-CN"/>
                    </w:rPr>
                  </w:pPr>
                  <w:r>
                    <w:rPr>
                      <w:rFonts w:hint="eastAsia" w:ascii="Times New Roman" w:hAnsi="Times New Roman" w:eastAsia="宋体" w:cs="Times New Roman"/>
                      <w:color w:val="auto"/>
                      <w:spacing w:val="-10"/>
                      <w:sz w:val="18"/>
                      <w:szCs w:val="18"/>
                      <w:highlight w:val="none"/>
                      <w:lang w:val="en-US" w:eastAsia="zh-CN"/>
                    </w:rPr>
                    <w:t>序号</w:t>
                  </w:r>
                </w:p>
              </w:tc>
              <w:tc>
                <w:tcPr>
                  <w:tcW w:w="1218" w:type="dxa"/>
                  <w:tcBorders>
                    <w:tl2br w:val="nil"/>
                    <w:tr2bl w:val="nil"/>
                  </w:tcBorders>
                  <w:noWrap w:val="0"/>
                  <w:tcMar>
                    <w:top w:w="0" w:type="dxa"/>
                    <w:left w:w="51" w:type="dxa"/>
                    <w:bottom w:w="0" w:type="dxa"/>
                    <w:right w:w="51" w:type="dxa"/>
                  </w:tcMar>
                  <w:vAlign w:val="center"/>
                </w:tcPr>
                <w:p w14:paraId="455C4F2B">
                  <w:pPr>
                    <w:widowControl/>
                    <w:spacing w:line="0" w:lineRule="atLeast"/>
                    <w:jc w:val="center"/>
                    <w:rPr>
                      <w:rFonts w:ascii="Times New Roman" w:hAnsi="Times New Roman" w:eastAsia="宋体" w:cs="Times New Roman"/>
                      <w:color w:val="auto"/>
                      <w:spacing w:val="-10"/>
                      <w:sz w:val="18"/>
                      <w:szCs w:val="18"/>
                      <w:highlight w:val="none"/>
                      <w:lang w:val="en-US" w:eastAsia="zh-CN"/>
                    </w:rPr>
                  </w:pPr>
                  <w:r>
                    <w:rPr>
                      <w:rFonts w:hint="eastAsia" w:cs="Times New Roman"/>
                      <w:color w:val="auto"/>
                      <w:spacing w:val="-10"/>
                      <w:sz w:val="18"/>
                      <w:szCs w:val="18"/>
                      <w:highlight w:val="none"/>
                      <w:lang w:val="en-US" w:eastAsia="zh-CN"/>
                    </w:rPr>
                    <w:t>物料</w:t>
                  </w:r>
                </w:p>
              </w:tc>
              <w:tc>
                <w:tcPr>
                  <w:tcW w:w="6150" w:type="dxa"/>
                  <w:tcBorders>
                    <w:tl2br w:val="nil"/>
                    <w:tr2bl w:val="nil"/>
                  </w:tcBorders>
                  <w:noWrap w:val="0"/>
                  <w:tcMar>
                    <w:top w:w="0" w:type="dxa"/>
                    <w:left w:w="51" w:type="dxa"/>
                    <w:bottom w:w="0" w:type="dxa"/>
                    <w:right w:w="51" w:type="dxa"/>
                  </w:tcMar>
                  <w:vAlign w:val="center"/>
                </w:tcPr>
                <w:p w14:paraId="63FB1665">
                  <w:pPr>
                    <w:widowControl/>
                    <w:spacing w:line="0" w:lineRule="atLeast"/>
                    <w:jc w:val="center"/>
                    <w:rPr>
                      <w:rFonts w:hint="default" w:ascii="Times New Roman" w:hAnsi="Times New Roman" w:eastAsia="宋体" w:cs="Times New Roman"/>
                      <w:color w:val="auto"/>
                      <w:spacing w:val="-10"/>
                      <w:sz w:val="18"/>
                      <w:szCs w:val="18"/>
                      <w:highlight w:val="none"/>
                      <w:lang w:val="en-US" w:eastAsia="zh-CN"/>
                    </w:rPr>
                  </w:pPr>
                  <w:r>
                    <w:rPr>
                      <w:rFonts w:hint="eastAsia" w:ascii="Times New Roman" w:hAnsi="Times New Roman" w:eastAsia="宋体" w:cs="Times New Roman"/>
                      <w:color w:val="auto"/>
                      <w:spacing w:val="-10"/>
                      <w:sz w:val="18"/>
                      <w:szCs w:val="18"/>
                      <w:highlight w:val="none"/>
                      <w:lang w:val="en-US" w:eastAsia="zh-CN"/>
                    </w:rPr>
                    <w:t>主要组成</w:t>
                  </w:r>
                  <w:r>
                    <w:rPr>
                      <w:rFonts w:hint="eastAsia" w:cs="Times New Roman"/>
                      <w:color w:val="auto"/>
                      <w:spacing w:val="-10"/>
                      <w:sz w:val="18"/>
                      <w:szCs w:val="18"/>
                      <w:highlight w:val="none"/>
                      <w:lang w:val="en-US" w:eastAsia="zh-CN"/>
                    </w:rPr>
                    <w:t>及占比</w:t>
                  </w:r>
                </w:p>
              </w:tc>
            </w:tr>
            <w:tr w14:paraId="3A72D33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26" w:type="dxa"/>
                  <w:tcBorders>
                    <w:tl2br w:val="nil"/>
                    <w:tr2bl w:val="nil"/>
                  </w:tcBorders>
                  <w:noWrap w:val="0"/>
                  <w:tcMar>
                    <w:top w:w="0" w:type="dxa"/>
                    <w:left w:w="51" w:type="dxa"/>
                    <w:bottom w:w="0" w:type="dxa"/>
                    <w:right w:w="51" w:type="dxa"/>
                  </w:tcMar>
                  <w:vAlign w:val="center"/>
                </w:tcPr>
                <w:p w14:paraId="0259880D">
                  <w:pPr>
                    <w:widowControl/>
                    <w:spacing w:line="0" w:lineRule="atLeast"/>
                    <w:jc w:val="center"/>
                    <w:rPr>
                      <w:rFonts w:hint="eastAsia" w:ascii="Times New Roman" w:hAnsi="Times New Roman" w:eastAsia="宋体" w:cs="Times New Roman"/>
                      <w:color w:val="auto"/>
                      <w:spacing w:val="-10"/>
                      <w:sz w:val="18"/>
                      <w:szCs w:val="18"/>
                      <w:highlight w:val="none"/>
                    </w:rPr>
                  </w:pPr>
                  <w:r>
                    <w:rPr>
                      <w:rFonts w:hint="eastAsia" w:ascii="Times New Roman" w:hAnsi="Times New Roman" w:eastAsia="宋体" w:cs="Times New Roman"/>
                      <w:color w:val="auto"/>
                      <w:spacing w:val="-10"/>
                      <w:sz w:val="18"/>
                      <w:szCs w:val="18"/>
                      <w:highlight w:val="none"/>
                      <w:lang w:val="en-US" w:eastAsia="zh-CN"/>
                    </w:rPr>
                    <w:t>1</w:t>
                  </w:r>
                </w:p>
              </w:tc>
              <w:tc>
                <w:tcPr>
                  <w:tcW w:w="1218" w:type="dxa"/>
                  <w:tcBorders>
                    <w:tl2br w:val="nil"/>
                    <w:tr2bl w:val="nil"/>
                  </w:tcBorders>
                  <w:noWrap w:val="0"/>
                  <w:tcMar>
                    <w:top w:w="0" w:type="dxa"/>
                    <w:left w:w="51" w:type="dxa"/>
                    <w:bottom w:w="0" w:type="dxa"/>
                    <w:right w:w="51" w:type="dxa"/>
                  </w:tcMar>
                  <w:vAlign w:val="center"/>
                </w:tcPr>
                <w:p w14:paraId="055D606D">
                  <w:pPr>
                    <w:widowControl/>
                    <w:spacing w:line="0" w:lineRule="atLeast"/>
                    <w:jc w:val="center"/>
                    <w:rPr>
                      <w:rFonts w:ascii="Times New Roman" w:hAnsi="Times New Roman" w:eastAsia="宋体" w:cs="Times New Roman"/>
                      <w:color w:val="auto"/>
                      <w:spacing w:val="-10"/>
                      <w:sz w:val="18"/>
                      <w:szCs w:val="18"/>
                      <w:highlight w:val="none"/>
                      <w:lang w:val="en-US" w:eastAsia="zh-CN"/>
                    </w:rPr>
                  </w:pPr>
                  <w:r>
                    <w:rPr>
                      <w:rFonts w:hint="eastAsia" w:ascii="Times New Roman" w:hAnsi="Times New Roman" w:eastAsia="宋体" w:cs="Times New Roman"/>
                      <w:color w:val="auto"/>
                      <w:spacing w:val="-10"/>
                      <w:sz w:val="18"/>
                      <w:szCs w:val="18"/>
                      <w:highlight w:val="none"/>
                      <w:lang w:val="en-US" w:eastAsia="zh-CN"/>
                    </w:rPr>
                    <w:t>废钢破碎尾料</w:t>
                  </w:r>
                </w:p>
              </w:tc>
              <w:tc>
                <w:tcPr>
                  <w:tcW w:w="6150" w:type="dxa"/>
                  <w:tcBorders>
                    <w:tl2br w:val="nil"/>
                    <w:tr2bl w:val="nil"/>
                  </w:tcBorders>
                  <w:noWrap w:val="0"/>
                  <w:tcMar>
                    <w:top w:w="0" w:type="dxa"/>
                    <w:left w:w="51" w:type="dxa"/>
                    <w:bottom w:w="0" w:type="dxa"/>
                    <w:right w:w="51" w:type="dxa"/>
                  </w:tcMar>
                  <w:vAlign w:val="center"/>
                </w:tcPr>
                <w:p w14:paraId="006E1EBC">
                  <w:pPr>
                    <w:widowControl/>
                    <w:spacing w:line="0" w:lineRule="atLeast"/>
                    <w:jc w:val="center"/>
                    <w:rPr>
                      <w:rFonts w:hint="eastAsia" w:ascii="Times New Roman" w:hAnsi="Times New Roman" w:eastAsia="宋体" w:cs="Times New Roman"/>
                      <w:color w:val="auto"/>
                      <w:spacing w:val="-10"/>
                      <w:sz w:val="18"/>
                      <w:szCs w:val="18"/>
                      <w:highlight w:val="none"/>
                      <w:lang w:val="en-US" w:eastAsia="zh-CN"/>
                    </w:rPr>
                  </w:pPr>
                  <w:r>
                    <w:rPr>
                      <w:rFonts w:hint="eastAsia" w:ascii="Times New Roman" w:hAnsi="Times New Roman" w:eastAsia="宋体" w:cs="Times New Roman"/>
                      <w:color w:val="auto"/>
                      <w:spacing w:val="-10"/>
                      <w:sz w:val="18"/>
                      <w:szCs w:val="18"/>
                      <w:highlight w:val="none"/>
                      <w:lang w:val="en-US" w:eastAsia="zh-CN"/>
                    </w:rPr>
                    <w:t>铁</w:t>
                  </w:r>
                  <w:r>
                    <w:rPr>
                      <w:rFonts w:hint="eastAsia" w:cs="Times New Roman"/>
                      <w:color w:val="auto"/>
                      <w:spacing w:val="-10"/>
                      <w:sz w:val="18"/>
                      <w:szCs w:val="18"/>
                      <w:highlight w:val="none"/>
                      <w:lang w:val="en-US" w:eastAsia="zh-CN"/>
                    </w:rPr>
                    <w:t>占比约13%，</w:t>
                  </w:r>
                  <w:r>
                    <w:rPr>
                      <w:rFonts w:hint="eastAsia" w:ascii="Times New Roman" w:hAnsi="Times New Roman" w:eastAsia="宋体" w:cs="Times New Roman"/>
                      <w:color w:val="auto"/>
                      <w:spacing w:val="-10"/>
                      <w:sz w:val="18"/>
                      <w:szCs w:val="18"/>
                      <w:highlight w:val="none"/>
                      <w:lang w:val="en-US" w:eastAsia="zh-CN"/>
                    </w:rPr>
                    <w:t>有色金属</w:t>
                  </w:r>
                  <w:r>
                    <w:rPr>
                      <w:rFonts w:hint="eastAsia" w:cs="Times New Roman"/>
                      <w:color w:val="auto"/>
                      <w:spacing w:val="-10"/>
                      <w:sz w:val="18"/>
                      <w:szCs w:val="18"/>
                      <w:highlight w:val="none"/>
                      <w:lang w:val="en-US" w:eastAsia="zh-CN"/>
                    </w:rPr>
                    <w:t>占比约3%，</w:t>
                  </w:r>
                  <w:r>
                    <w:rPr>
                      <w:rFonts w:hint="eastAsia" w:ascii="Times New Roman" w:hAnsi="Times New Roman" w:eastAsia="宋体" w:cs="Times New Roman"/>
                      <w:color w:val="auto"/>
                      <w:spacing w:val="-10"/>
                      <w:sz w:val="18"/>
                      <w:szCs w:val="18"/>
                      <w:highlight w:val="none"/>
                      <w:lang w:val="en-US" w:eastAsia="zh-CN"/>
                    </w:rPr>
                    <w:t>不锈钢</w:t>
                  </w:r>
                  <w:r>
                    <w:rPr>
                      <w:rFonts w:hint="eastAsia" w:cs="Times New Roman"/>
                      <w:color w:val="auto"/>
                      <w:spacing w:val="-10"/>
                      <w:sz w:val="18"/>
                      <w:szCs w:val="18"/>
                      <w:highlight w:val="none"/>
                      <w:lang w:val="en-US" w:eastAsia="zh-CN"/>
                    </w:rPr>
                    <w:t>占比约2.2%，</w:t>
                  </w:r>
                  <w:r>
                    <w:rPr>
                      <w:rFonts w:hint="eastAsia" w:ascii="Times New Roman" w:hAnsi="Times New Roman" w:eastAsia="宋体" w:cs="Times New Roman"/>
                      <w:color w:val="auto"/>
                      <w:spacing w:val="-10"/>
                      <w:sz w:val="18"/>
                      <w:szCs w:val="18"/>
                      <w:highlight w:val="none"/>
                      <w:lang w:val="en-US" w:eastAsia="zh-CN"/>
                    </w:rPr>
                    <w:t>橡胶</w:t>
                  </w:r>
                  <w:r>
                    <w:rPr>
                      <w:rFonts w:hint="eastAsia" w:cs="Times New Roman"/>
                      <w:color w:val="auto"/>
                      <w:spacing w:val="-10"/>
                      <w:sz w:val="18"/>
                      <w:szCs w:val="18"/>
                      <w:highlight w:val="none"/>
                      <w:lang w:val="en-US" w:eastAsia="zh-CN"/>
                    </w:rPr>
                    <w:t>占比约11.5%，</w:t>
                  </w:r>
                  <w:r>
                    <w:rPr>
                      <w:rFonts w:hint="eastAsia" w:ascii="Times New Roman" w:hAnsi="Times New Roman" w:eastAsia="宋体" w:cs="Times New Roman"/>
                      <w:color w:val="auto"/>
                      <w:spacing w:val="-10"/>
                      <w:sz w:val="18"/>
                      <w:szCs w:val="18"/>
                      <w:highlight w:val="none"/>
                      <w:lang w:val="en-US" w:eastAsia="zh-CN"/>
                    </w:rPr>
                    <w:t>塑料</w:t>
                  </w:r>
                  <w:r>
                    <w:rPr>
                      <w:rFonts w:hint="eastAsia" w:cs="Times New Roman"/>
                      <w:color w:val="auto"/>
                      <w:spacing w:val="-10"/>
                      <w:sz w:val="18"/>
                      <w:szCs w:val="18"/>
                      <w:highlight w:val="none"/>
                      <w:lang w:val="en-US" w:eastAsia="zh-CN"/>
                    </w:rPr>
                    <w:t>占比约11.5%，</w:t>
                  </w:r>
                  <w:r>
                    <w:rPr>
                      <w:rFonts w:hint="eastAsia" w:ascii="Times New Roman" w:hAnsi="Times New Roman" w:eastAsia="宋体" w:cs="Times New Roman"/>
                      <w:color w:val="auto"/>
                      <w:spacing w:val="-10"/>
                      <w:sz w:val="18"/>
                      <w:szCs w:val="18"/>
                      <w:highlight w:val="none"/>
                      <w:lang w:val="en-US" w:eastAsia="zh-CN"/>
                    </w:rPr>
                    <w:t>泥土</w:t>
                  </w:r>
                  <w:r>
                    <w:rPr>
                      <w:rFonts w:hint="eastAsia" w:cs="Times New Roman"/>
                      <w:color w:val="auto"/>
                      <w:spacing w:val="-10"/>
                      <w:sz w:val="18"/>
                      <w:szCs w:val="18"/>
                      <w:highlight w:val="none"/>
                      <w:lang w:val="en-US" w:eastAsia="zh-CN"/>
                    </w:rPr>
                    <w:t>占比约33.3%，棉絮、泡沫、</w:t>
                  </w:r>
                  <w:r>
                    <w:rPr>
                      <w:rFonts w:hint="eastAsia" w:ascii="Times New Roman" w:hAnsi="Times New Roman" w:eastAsia="宋体" w:cs="Times New Roman"/>
                      <w:color w:val="auto"/>
                      <w:spacing w:val="-10"/>
                      <w:sz w:val="18"/>
                      <w:szCs w:val="18"/>
                      <w:highlight w:val="none"/>
                      <w:lang w:val="en-US" w:eastAsia="zh-CN"/>
                    </w:rPr>
                    <w:t>木屑、海绵等其他废料</w:t>
                  </w:r>
                  <w:r>
                    <w:rPr>
                      <w:rFonts w:hint="eastAsia" w:cs="Times New Roman"/>
                      <w:color w:val="auto"/>
                      <w:spacing w:val="-10"/>
                      <w:sz w:val="18"/>
                      <w:szCs w:val="18"/>
                      <w:highlight w:val="none"/>
                      <w:lang w:val="en-US" w:eastAsia="zh-CN"/>
                    </w:rPr>
                    <w:t>占比约25.5%</w:t>
                  </w:r>
                </w:p>
              </w:tc>
            </w:tr>
          </w:tbl>
          <w:p w14:paraId="08A600BD">
            <w:pPr>
              <w:adjustRightInd w:val="0"/>
              <w:spacing w:line="440" w:lineRule="exact"/>
              <w:ind w:firstLine="420" w:firstLineChars="200"/>
              <w:outlineLvl w:val="2"/>
              <w:rPr>
                <w:rFonts w:hint="eastAsia"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 xml:space="preserve">②来源管控要求 </w:t>
            </w:r>
          </w:p>
          <w:p w14:paraId="567FDF75">
            <w:pPr>
              <w:adjustRightInd w:val="0"/>
              <w:spacing w:line="440" w:lineRule="exact"/>
              <w:ind w:firstLine="420" w:firstLineChars="200"/>
              <w:outlineLvl w:val="2"/>
              <w:rPr>
                <w:rFonts w:hint="eastAsia"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 xml:space="preserve">为确保有效控制本项目原料废钢破碎尾料中的有害成分，本项目采取严格的管理措施： </w:t>
            </w:r>
          </w:p>
          <w:p w14:paraId="0858E804">
            <w:pPr>
              <w:adjustRightInd w:val="0"/>
              <w:spacing w:line="440" w:lineRule="exact"/>
              <w:ind w:firstLine="420" w:firstLineChars="200"/>
              <w:outlineLvl w:val="2"/>
              <w:rPr>
                <w:rFonts w:hint="eastAsia"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A.源头控制：原料采购环节，建设单位与供应单位签订合作协议，合作协议中应结合《废钢铁标准》（</w:t>
            </w:r>
            <w:r>
              <w:rPr>
                <w:rFonts w:hint="default" w:ascii="Times New Roman" w:hAnsi="Times New Roman" w:eastAsia="宋体" w:cs="Times New Roman"/>
                <w:color w:val="auto"/>
                <w:szCs w:val="21"/>
                <w:highlight w:val="none"/>
                <w:lang w:val="en-US" w:eastAsia="zh-CN"/>
              </w:rPr>
              <w:t>GB4223-2017</w:t>
            </w:r>
            <w:r>
              <w:rPr>
                <w:rFonts w:hint="eastAsia" w:ascii="Times New Roman" w:hAnsi="Times New Roman" w:eastAsia="宋体" w:cs="Times New Roman"/>
                <w:color w:val="auto"/>
                <w:szCs w:val="21"/>
                <w:highlight w:val="none"/>
                <w:lang w:val="en-US" w:eastAsia="zh-CN"/>
              </w:rPr>
              <w:t xml:space="preserve">）中的相关要求，对废钢铁原料的成分进行严格的要求，不得含有有毒有害、危险废物，并列明违约责任和补偿措施； </w:t>
            </w:r>
          </w:p>
          <w:p w14:paraId="4038C112">
            <w:pPr>
              <w:adjustRightInd w:val="0"/>
              <w:spacing w:line="440" w:lineRule="exact"/>
              <w:ind w:firstLine="420" w:firstLineChars="200"/>
              <w:outlineLvl w:val="2"/>
              <w:rPr>
                <w:rFonts w:hint="eastAsia"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B.入场控制：原料运输卸料环节，建设单位严格按照操作规程，本项目的原料废钢破碎尾料已由原料供应商采用辐射检测仪进行辐射检测，用以排除放射性物质。</w:t>
            </w:r>
          </w:p>
          <w:p w14:paraId="233F0F51">
            <w:pPr>
              <w:adjustRightInd w:val="0"/>
              <w:spacing w:line="440" w:lineRule="exact"/>
              <w:ind w:firstLine="420" w:firstLineChars="200"/>
              <w:outlineLvl w:val="2"/>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（2）转炉钢渣</w:t>
            </w:r>
          </w:p>
          <w:p w14:paraId="2209FCF8">
            <w:pPr>
              <w:adjustRightInd w:val="0"/>
              <w:spacing w:line="440" w:lineRule="exact"/>
              <w:ind w:firstLine="420" w:firstLineChars="200"/>
              <w:outlineLvl w:val="2"/>
              <w:rPr>
                <w:rFonts w:hint="eastAsia"/>
                <w:color w:val="auto"/>
                <w:highlight w:val="none"/>
                <w:lang w:val="en-US" w:eastAsia="zh-CN"/>
              </w:rPr>
            </w:pPr>
            <w:r>
              <w:rPr>
                <w:rFonts w:hint="eastAsia" w:ascii="Times New Roman" w:hAnsi="Times New Roman" w:eastAsia="宋体" w:cs="Times New Roman"/>
                <w:color w:val="auto"/>
                <w:szCs w:val="21"/>
                <w:highlight w:val="none"/>
                <w:lang w:val="en-US" w:eastAsia="zh-CN"/>
              </w:rPr>
              <w:t>本项目转炉钢渣主要来自唐山地区周边钢厂，转炉钢渣中不含砷、铜、铅等重金属，根据《固体废物分类与代码目录》（生态环境部公告 2024年 第4号），转炉钢渣为一般固废，固废代码为312-001-S01。本项目对转炉钢渣进厂进行严格的要求，本项目保证外购转炉钢渣不含辐射物质的一般工业固体废物，不得为危险废物。</w:t>
            </w:r>
          </w:p>
          <w:p w14:paraId="05ED9C7A">
            <w:pPr>
              <w:keepNext w:val="0"/>
              <w:keepLines w:val="0"/>
              <w:pageBreakBefore w:val="0"/>
              <w:widowControl w:val="0"/>
              <w:tabs>
                <w:tab w:val="left" w:pos="1180"/>
              </w:tabs>
              <w:kinsoku/>
              <w:wordWrap/>
              <w:overflowPunct/>
              <w:topLinePunct w:val="0"/>
              <w:autoSpaceDE/>
              <w:autoSpaceDN/>
              <w:bidi w:val="0"/>
              <w:adjustRightInd/>
              <w:snapToGrid/>
              <w:spacing w:line="420" w:lineRule="exact"/>
              <w:ind w:firstLine="0" w:firstLineChars="0"/>
              <w:jc w:val="center"/>
              <w:textAlignment w:val="auto"/>
              <w:rPr>
                <w:rFonts w:hint="default" w:ascii="Times New Roman" w:hAnsi="Times New Roman" w:eastAsia="宋体" w:cs="Times New Roman"/>
                <w:b/>
                <w:color w:val="auto"/>
                <w:sz w:val="21"/>
                <w:szCs w:val="21"/>
                <w:highlight w:val="none"/>
                <w:lang w:val="en-US" w:eastAsia="zh-CN"/>
              </w:rPr>
            </w:pPr>
            <w:r>
              <w:rPr>
                <w:rFonts w:hint="default" w:ascii="Times New Roman" w:hAnsi="Times New Roman" w:eastAsia="宋体" w:cs="Times New Roman"/>
                <w:b/>
                <w:color w:val="auto"/>
                <w:sz w:val="21"/>
                <w:szCs w:val="21"/>
                <w:highlight w:val="none"/>
                <w:lang w:val="en-US" w:eastAsia="zh-CN"/>
              </w:rPr>
              <w:t>表</w:t>
            </w:r>
            <w:r>
              <w:rPr>
                <w:rFonts w:hint="eastAsia" w:cs="Times New Roman"/>
                <w:b/>
                <w:color w:val="auto"/>
                <w:sz w:val="21"/>
                <w:szCs w:val="21"/>
                <w:highlight w:val="none"/>
                <w:lang w:val="en-US" w:eastAsia="zh-CN"/>
              </w:rPr>
              <w:t>12</w:t>
            </w:r>
            <w:r>
              <w:rPr>
                <w:rFonts w:hint="eastAsia" w:ascii="Times New Roman" w:hAnsi="Times New Roman" w:eastAsia="宋体" w:cs="Times New Roman"/>
                <w:b/>
                <w:color w:val="auto"/>
                <w:sz w:val="21"/>
                <w:szCs w:val="21"/>
                <w:highlight w:val="none"/>
                <w:lang w:val="en-US" w:eastAsia="zh-CN"/>
              </w:rPr>
              <w:t xml:space="preserve">  转炉</w:t>
            </w:r>
            <w:r>
              <w:rPr>
                <w:rFonts w:hint="default" w:ascii="Times New Roman" w:hAnsi="Times New Roman" w:eastAsia="宋体" w:cs="Times New Roman"/>
                <w:b/>
                <w:color w:val="auto"/>
                <w:sz w:val="21"/>
                <w:szCs w:val="21"/>
                <w:highlight w:val="none"/>
                <w:lang w:val="en-US" w:eastAsia="zh-CN"/>
              </w:rPr>
              <w:t>钢渣主要成分</w:t>
            </w:r>
            <w:r>
              <w:rPr>
                <w:rFonts w:hint="eastAsia" w:ascii="Times New Roman" w:hAnsi="Times New Roman" w:eastAsia="宋体" w:cs="Times New Roman"/>
                <w:b/>
                <w:color w:val="auto"/>
                <w:sz w:val="21"/>
                <w:szCs w:val="21"/>
                <w:highlight w:val="none"/>
                <w:lang w:val="en-US" w:eastAsia="zh-CN"/>
              </w:rPr>
              <w:t>一览</w:t>
            </w:r>
            <w:r>
              <w:rPr>
                <w:rFonts w:hint="default" w:ascii="Times New Roman" w:hAnsi="Times New Roman" w:eastAsia="宋体" w:cs="Times New Roman"/>
                <w:b/>
                <w:color w:val="auto"/>
                <w:sz w:val="21"/>
                <w:szCs w:val="21"/>
                <w:highlight w:val="none"/>
                <w:lang w:val="en-US" w:eastAsia="zh-CN"/>
              </w:rPr>
              <w:t>表</w:t>
            </w:r>
          </w:p>
          <w:tbl>
            <w:tblPr>
              <w:tblStyle w:val="28"/>
              <w:tblW w:w="7994"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837"/>
              <w:gridCol w:w="795"/>
              <w:gridCol w:w="795"/>
              <w:gridCol w:w="795"/>
              <w:gridCol w:w="795"/>
              <w:gridCol w:w="795"/>
              <w:gridCol w:w="795"/>
              <w:gridCol w:w="795"/>
              <w:gridCol w:w="795"/>
              <w:gridCol w:w="797"/>
            </w:tblGrid>
            <w:tr w14:paraId="516050A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37" w:type="dxa"/>
                  <w:tcBorders>
                    <w:tl2br w:val="nil"/>
                    <w:tr2bl w:val="nil"/>
                  </w:tcBorders>
                  <w:noWrap w:val="0"/>
                  <w:tcMar>
                    <w:top w:w="0" w:type="dxa"/>
                    <w:left w:w="51" w:type="dxa"/>
                    <w:bottom w:w="0" w:type="dxa"/>
                    <w:right w:w="51" w:type="dxa"/>
                  </w:tcMar>
                  <w:vAlign w:val="center"/>
                </w:tcPr>
                <w:p w14:paraId="1D8DA602">
                  <w:pPr>
                    <w:widowControl/>
                    <w:spacing w:line="0" w:lineRule="atLeast"/>
                    <w:jc w:val="center"/>
                    <w:rPr>
                      <w:rFonts w:ascii="Times New Roman" w:hAnsi="Times New Roman" w:eastAsia="宋体" w:cs="Times New Roman"/>
                      <w:color w:val="auto"/>
                      <w:spacing w:val="-10"/>
                      <w:sz w:val="18"/>
                      <w:szCs w:val="18"/>
                      <w:highlight w:val="none"/>
                    </w:rPr>
                  </w:pPr>
                  <w:r>
                    <w:rPr>
                      <w:rFonts w:ascii="Times New Roman" w:hAnsi="Times New Roman" w:eastAsia="宋体" w:cs="Times New Roman"/>
                      <w:color w:val="auto"/>
                      <w:spacing w:val="-10"/>
                      <w:sz w:val="18"/>
                      <w:szCs w:val="18"/>
                      <w:highlight w:val="none"/>
                    </w:rPr>
                    <w:t>原料</w:t>
                  </w:r>
                </w:p>
              </w:tc>
              <w:tc>
                <w:tcPr>
                  <w:tcW w:w="795" w:type="dxa"/>
                  <w:tcBorders>
                    <w:tl2br w:val="nil"/>
                    <w:tr2bl w:val="nil"/>
                  </w:tcBorders>
                  <w:noWrap w:val="0"/>
                  <w:tcMar>
                    <w:top w:w="0" w:type="dxa"/>
                    <w:left w:w="51" w:type="dxa"/>
                    <w:bottom w:w="0" w:type="dxa"/>
                    <w:right w:w="51" w:type="dxa"/>
                  </w:tcMar>
                  <w:vAlign w:val="center"/>
                </w:tcPr>
                <w:p w14:paraId="61AA755C">
                  <w:pPr>
                    <w:widowControl/>
                    <w:spacing w:line="0" w:lineRule="atLeast"/>
                    <w:jc w:val="center"/>
                    <w:rPr>
                      <w:rFonts w:ascii="Times New Roman" w:hAnsi="Times New Roman" w:eastAsia="宋体" w:cs="Times New Roman"/>
                      <w:color w:val="auto"/>
                      <w:spacing w:val="-10"/>
                      <w:sz w:val="18"/>
                      <w:szCs w:val="18"/>
                      <w:highlight w:val="none"/>
                    </w:rPr>
                  </w:pPr>
                  <w:r>
                    <w:rPr>
                      <w:rFonts w:ascii="Times New Roman" w:hAnsi="Times New Roman" w:eastAsia="宋体" w:cs="Times New Roman"/>
                      <w:color w:val="auto"/>
                      <w:spacing w:val="-10"/>
                      <w:sz w:val="18"/>
                      <w:szCs w:val="18"/>
                      <w:highlight w:val="none"/>
                    </w:rPr>
                    <w:t>Fe</w:t>
                  </w:r>
                </w:p>
              </w:tc>
              <w:tc>
                <w:tcPr>
                  <w:tcW w:w="795" w:type="dxa"/>
                  <w:tcBorders>
                    <w:tl2br w:val="nil"/>
                    <w:tr2bl w:val="nil"/>
                  </w:tcBorders>
                  <w:noWrap w:val="0"/>
                  <w:tcMar>
                    <w:top w:w="0" w:type="dxa"/>
                    <w:left w:w="51" w:type="dxa"/>
                    <w:bottom w:w="0" w:type="dxa"/>
                    <w:right w:w="51" w:type="dxa"/>
                  </w:tcMar>
                  <w:vAlign w:val="center"/>
                </w:tcPr>
                <w:p w14:paraId="77677BCC">
                  <w:pPr>
                    <w:widowControl/>
                    <w:spacing w:line="0" w:lineRule="atLeast"/>
                    <w:jc w:val="center"/>
                    <w:rPr>
                      <w:rFonts w:ascii="Times New Roman" w:hAnsi="Times New Roman" w:eastAsia="宋体" w:cs="Times New Roman"/>
                      <w:color w:val="auto"/>
                      <w:spacing w:val="-10"/>
                      <w:kern w:val="2"/>
                      <w:sz w:val="18"/>
                      <w:szCs w:val="18"/>
                      <w:highlight w:val="none"/>
                      <w:lang w:val="en-US" w:eastAsia="zh-CN" w:bidi="ar-SA"/>
                    </w:rPr>
                  </w:pPr>
                  <w:r>
                    <w:rPr>
                      <w:rFonts w:ascii="Times New Roman" w:hAnsi="Times New Roman" w:eastAsia="宋体" w:cs="Times New Roman"/>
                      <w:color w:val="auto"/>
                      <w:spacing w:val="-10"/>
                      <w:sz w:val="18"/>
                      <w:szCs w:val="18"/>
                      <w:highlight w:val="none"/>
                    </w:rPr>
                    <w:t>SiO</w:t>
                  </w:r>
                  <w:r>
                    <w:rPr>
                      <w:rFonts w:ascii="Times New Roman" w:hAnsi="Times New Roman" w:eastAsia="宋体" w:cs="Times New Roman"/>
                      <w:color w:val="auto"/>
                      <w:spacing w:val="-10"/>
                      <w:sz w:val="18"/>
                      <w:szCs w:val="18"/>
                      <w:highlight w:val="none"/>
                      <w:vertAlign w:val="subscript"/>
                    </w:rPr>
                    <w:t>2</w:t>
                  </w:r>
                </w:p>
              </w:tc>
              <w:tc>
                <w:tcPr>
                  <w:tcW w:w="795" w:type="dxa"/>
                  <w:tcBorders>
                    <w:tl2br w:val="nil"/>
                    <w:tr2bl w:val="nil"/>
                  </w:tcBorders>
                  <w:noWrap w:val="0"/>
                  <w:tcMar>
                    <w:top w:w="0" w:type="dxa"/>
                    <w:left w:w="51" w:type="dxa"/>
                    <w:bottom w:w="0" w:type="dxa"/>
                    <w:right w:w="51" w:type="dxa"/>
                  </w:tcMar>
                  <w:vAlign w:val="center"/>
                </w:tcPr>
                <w:p w14:paraId="40EA152E">
                  <w:pPr>
                    <w:widowControl/>
                    <w:spacing w:line="0" w:lineRule="atLeast"/>
                    <w:jc w:val="center"/>
                    <w:rPr>
                      <w:rFonts w:ascii="Times New Roman" w:hAnsi="Times New Roman" w:eastAsia="宋体" w:cs="Times New Roman"/>
                      <w:color w:val="auto"/>
                      <w:spacing w:val="-10"/>
                      <w:kern w:val="2"/>
                      <w:sz w:val="18"/>
                      <w:szCs w:val="18"/>
                      <w:highlight w:val="none"/>
                      <w:lang w:val="en-US" w:eastAsia="zh-CN" w:bidi="ar-SA"/>
                    </w:rPr>
                  </w:pPr>
                  <w:r>
                    <w:rPr>
                      <w:rFonts w:ascii="Times New Roman" w:hAnsi="Times New Roman" w:eastAsia="宋体" w:cs="Times New Roman"/>
                      <w:color w:val="auto"/>
                      <w:spacing w:val="-10"/>
                      <w:sz w:val="18"/>
                      <w:szCs w:val="18"/>
                      <w:highlight w:val="none"/>
                    </w:rPr>
                    <w:t>Al</w:t>
                  </w:r>
                  <w:r>
                    <w:rPr>
                      <w:rFonts w:ascii="Times New Roman" w:hAnsi="Times New Roman" w:eastAsia="宋体" w:cs="Times New Roman"/>
                      <w:color w:val="auto"/>
                      <w:spacing w:val="-10"/>
                      <w:sz w:val="18"/>
                      <w:szCs w:val="18"/>
                      <w:highlight w:val="none"/>
                      <w:vertAlign w:val="subscript"/>
                    </w:rPr>
                    <w:t>2</w:t>
                  </w:r>
                  <w:r>
                    <w:rPr>
                      <w:rFonts w:ascii="Times New Roman" w:hAnsi="Times New Roman" w:eastAsia="宋体" w:cs="Times New Roman"/>
                      <w:color w:val="auto"/>
                      <w:spacing w:val="-10"/>
                      <w:sz w:val="18"/>
                      <w:szCs w:val="18"/>
                      <w:highlight w:val="none"/>
                    </w:rPr>
                    <w:t>O</w:t>
                  </w:r>
                  <w:r>
                    <w:rPr>
                      <w:rFonts w:ascii="Times New Roman" w:hAnsi="Times New Roman" w:eastAsia="宋体" w:cs="Times New Roman"/>
                      <w:color w:val="auto"/>
                      <w:spacing w:val="-10"/>
                      <w:sz w:val="18"/>
                      <w:szCs w:val="18"/>
                      <w:highlight w:val="none"/>
                      <w:vertAlign w:val="subscript"/>
                    </w:rPr>
                    <w:t>3</w:t>
                  </w:r>
                </w:p>
              </w:tc>
              <w:tc>
                <w:tcPr>
                  <w:tcW w:w="795" w:type="dxa"/>
                  <w:tcBorders>
                    <w:tl2br w:val="nil"/>
                    <w:tr2bl w:val="nil"/>
                  </w:tcBorders>
                  <w:noWrap w:val="0"/>
                  <w:tcMar>
                    <w:top w:w="0" w:type="dxa"/>
                    <w:left w:w="51" w:type="dxa"/>
                    <w:bottom w:w="0" w:type="dxa"/>
                    <w:right w:w="51" w:type="dxa"/>
                  </w:tcMar>
                  <w:vAlign w:val="center"/>
                </w:tcPr>
                <w:p w14:paraId="024D98F1">
                  <w:pPr>
                    <w:widowControl/>
                    <w:spacing w:line="0" w:lineRule="atLeast"/>
                    <w:jc w:val="center"/>
                    <w:rPr>
                      <w:rFonts w:ascii="Times New Roman" w:hAnsi="Times New Roman" w:eastAsia="宋体" w:cs="Times New Roman"/>
                      <w:color w:val="auto"/>
                      <w:spacing w:val="-10"/>
                      <w:kern w:val="2"/>
                      <w:sz w:val="18"/>
                      <w:szCs w:val="18"/>
                      <w:highlight w:val="none"/>
                      <w:lang w:val="en-US" w:eastAsia="zh-CN" w:bidi="ar-SA"/>
                    </w:rPr>
                  </w:pPr>
                  <w:r>
                    <w:rPr>
                      <w:rFonts w:ascii="Times New Roman" w:hAnsi="Times New Roman" w:eastAsia="宋体" w:cs="Times New Roman"/>
                      <w:color w:val="auto"/>
                      <w:spacing w:val="-10"/>
                      <w:sz w:val="18"/>
                      <w:szCs w:val="18"/>
                      <w:highlight w:val="none"/>
                    </w:rPr>
                    <w:t>CaO</w:t>
                  </w:r>
                </w:p>
              </w:tc>
              <w:tc>
                <w:tcPr>
                  <w:tcW w:w="795" w:type="dxa"/>
                  <w:tcBorders>
                    <w:tl2br w:val="nil"/>
                    <w:tr2bl w:val="nil"/>
                  </w:tcBorders>
                  <w:noWrap w:val="0"/>
                  <w:tcMar>
                    <w:top w:w="0" w:type="dxa"/>
                    <w:left w:w="51" w:type="dxa"/>
                    <w:bottom w:w="0" w:type="dxa"/>
                    <w:right w:w="51" w:type="dxa"/>
                  </w:tcMar>
                  <w:vAlign w:val="center"/>
                </w:tcPr>
                <w:p w14:paraId="2FF00110">
                  <w:pPr>
                    <w:widowControl/>
                    <w:spacing w:line="0" w:lineRule="atLeast"/>
                    <w:jc w:val="center"/>
                    <w:rPr>
                      <w:rFonts w:hint="default" w:ascii="Times New Roman" w:hAnsi="Times New Roman" w:eastAsia="宋体" w:cs="Times New Roman"/>
                      <w:color w:val="auto"/>
                      <w:spacing w:val="-10"/>
                      <w:sz w:val="18"/>
                      <w:szCs w:val="18"/>
                      <w:highlight w:val="none"/>
                      <w:lang w:val="en-US" w:eastAsia="zh-CN"/>
                    </w:rPr>
                  </w:pPr>
                  <w:r>
                    <w:rPr>
                      <w:rFonts w:hint="eastAsia" w:cs="Times New Roman"/>
                      <w:color w:val="auto"/>
                      <w:spacing w:val="-10"/>
                      <w:sz w:val="18"/>
                      <w:szCs w:val="18"/>
                      <w:highlight w:val="none"/>
                      <w:lang w:val="en-US" w:eastAsia="zh-CN"/>
                    </w:rPr>
                    <w:t>MnO</w:t>
                  </w:r>
                </w:p>
              </w:tc>
              <w:tc>
                <w:tcPr>
                  <w:tcW w:w="795" w:type="dxa"/>
                  <w:tcBorders>
                    <w:tl2br w:val="nil"/>
                    <w:tr2bl w:val="nil"/>
                  </w:tcBorders>
                  <w:noWrap w:val="0"/>
                  <w:tcMar>
                    <w:top w:w="0" w:type="dxa"/>
                    <w:left w:w="51" w:type="dxa"/>
                    <w:bottom w:w="0" w:type="dxa"/>
                    <w:right w:w="51" w:type="dxa"/>
                  </w:tcMar>
                  <w:vAlign w:val="center"/>
                </w:tcPr>
                <w:p w14:paraId="1BDE632E">
                  <w:pPr>
                    <w:widowControl/>
                    <w:spacing w:line="0" w:lineRule="atLeast"/>
                    <w:jc w:val="center"/>
                    <w:rPr>
                      <w:rFonts w:ascii="Times New Roman" w:hAnsi="Times New Roman" w:eastAsia="宋体" w:cs="Times New Roman"/>
                      <w:color w:val="auto"/>
                      <w:spacing w:val="-10"/>
                      <w:sz w:val="18"/>
                      <w:szCs w:val="18"/>
                      <w:highlight w:val="none"/>
                    </w:rPr>
                  </w:pPr>
                  <w:r>
                    <w:rPr>
                      <w:rFonts w:hint="eastAsia" w:cs="Times New Roman"/>
                      <w:color w:val="auto"/>
                      <w:spacing w:val="-10"/>
                      <w:sz w:val="18"/>
                      <w:szCs w:val="18"/>
                      <w:highlight w:val="none"/>
                      <w:lang w:val="en-US" w:eastAsia="zh-CN"/>
                    </w:rPr>
                    <w:t>MgO</w:t>
                  </w:r>
                </w:p>
              </w:tc>
              <w:tc>
                <w:tcPr>
                  <w:tcW w:w="795" w:type="dxa"/>
                  <w:tcBorders>
                    <w:tl2br w:val="nil"/>
                    <w:tr2bl w:val="nil"/>
                  </w:tcBorders>
                  <w:noWrap w:val="0"/>
                  <w:tcMar>
                    <w:top w:w="0" w:type="dxa"/>
                    <w:left w:w="51" w:type="dxa"/>
                    <w:bottom w:w="0" w:type="dxa"/>
                    <w:right w:w="51" w:type="dxa"/>
                  </w:tcMar>
                  <w:vAlign w:val="center"/>
                </w:tcPr>
                <w:p w14:paraId="36F0CE28">
                  <w:pPr>
                    <w:widowControl/>
                    <w:spacing w:line="0" w:lineRule="atLeast"/>
                    <w:jc w:val="center"/>
                    <w:rPr>
                      <w:rFonts w:hint="default" w:ascii="Times New Roman" w:hAnsi="Times New Roman" w:eastAsia="宋体" w:cs="Times New Roman"/>
                      <w:color w:val="auto"/>
                      <w:spacing w:val="-10"/>
                      <w:sz w:val="18"/>
                      <w:szCs w:val="18"/>
                      <w:highlight w:val="none"/>
                      <w:lang w:val="en-US" w:eastAsia="zh-CN"/>
                    </w:rPr>
                  </w:pPr>
                  <w:r>
                    <w:rPr>
                      <w:rFonts w:hint="eastAsia" w:cs="Times New Roman"/>
                      <w:color w:val="auto"/>
                      <w:spacing w:val="-10"/>
                      <w:sz w:val="18"/>
                      <w:szCs w:val="18"/>
                      <w:highlight w:val="none"/>
                      <w:lang w:val="en-US" w:eastAsia="zh-CN"/>
                    </w:rPr>
                    <w:t>P</w:t>
                  </w:r>
                  <w:r>
                    <w:rPr>
                      <w:rFonts w:hint="eastAsia" w:cs="Times New Roman"/>
                      <w:color w:val="auto"/>
                      <w:spacing w:val="-10"/>
                      <w:sz w:val="18"/>
                      <w:szCs w:val="18"/>
                      <w:highlight w:val="none"/>
                      <w:vertAlign w:val="subscript"/>
                      <w:lang w:val="en-US" w:eastAsia="zh-CN"/>
                    </w:rPr>
                    <w:t>2</w:t>
                  </w:r>
                  <w:r>
                    <w:rPr>
                      <w:rFonts w:hint="eastAsia" w:cs="Times New Roman"/>
                      <w:color w:val="auto"/>
                      <w:spacing w:val="-10"/>
                      <w:sz w:val="18"/>
                      <w:szCs w:val="18"/>
                      <w:highlight w:val="none"/>
                      <w:lang w:val="en-US" w:eastAsia="zh-CN"/>
                    </w:rPr>
                    <w:t>O</w:t>
                  </w:r>
                  <w:r>
                    <w:rPr>
                      <w:rFonts w:hint="eastAsia" w:cs="Times New Roman"/>
                      <w:color w:val="auto"/>
                      <w:spacing w:val="-10"/>
                      <w:sz w:val="18"/>
                      <w:szCs w:val="18"/>
                      <w:highlight w:val="none"/>
                      <w:vertAlign w:val="subscript"/>
                      <w:lang w:val="en-US" w:eastAsia="zh-CN"/>
                    </w:rPr>
                    <w:t>5</w:t>
                  </w:r>
                </w:p>
              </w:tc>
              <w:tc>
                <w:tcPr>
                  <w:tcW w:w="795" w:type="dxa"/>
                  <w:tcBorders>
                    <w:tl2br w:val="nil"/>
                    <w:tr2bl w:val="nil"/>
                  </w:tcBorders>
                  <w:noWrap w:val="0"/>
                  <w:tcMar>
                    <w:top w:w="0" w:type="dxa"/>
                    <w:left w:w="51" w:type="dxa"/>
                    <w:bottom w:w="0" w:type="dxa"/>
                    <w:right w:w="51" w:type="dxa"/>
                  </w:tcMar>
                  <w:vAlign w:val="center"/>
                </w:tcPr>
                <w:p w14:paraId="28D36326">
                  <w:pPr>
                    <w:widowControl/>
                    <w:spacing w:line="0" w:lineRule="atLeast"/>
                    <w:jc w:val="center"/>
                    <w:rPr>
                      <w:rFonts w:hint="default" w:ascii="Times New Roman" w:hAnsi="Times New Roman" w:eastAsia="宋体" w:cs="Times New Roman"/>
                      <w:color w:val="auto"/>
                      <w:spacing w:val="-10"/>
                      <w:sz w:val="18"/>
                      <w:szCs w:val="18"/>
                      <w:highlight w:val="none"/>
                      <w:lang w:val="en-US" w:eastAsia="zh-CN"/>
                    </w:rPr>
                  </w:pPr>
                  <w:r>
                    <w:rPr>
                      <w:rFonts w:hint="eastAsia" w:cs="Times New Roman"/>
                      <w:color w:val="auto"/>
                      <w:spacing w:val="-10"/>
                      <w:sz w:val="18"/>
                      <w:szCs w:val="18"/>
                      <w:highlight w:val="none"/>
                      <w:lang w:val="en-US" w:eastAsia="zh-CN"/>
                    </w:rPr>
                    <w:t>碱性物质</w:t>
                  </w:r>
                </w:p>
              </w:tc>
              <w:tc>
                <w:tcPr>
                  <w:tcW w:w="797" w:type="dxa"/>
                  <w:tcBorders>
                    <w:tl2br w:val="nil"/>
                    <w:tr2bl w:val="nil"/>
                  </w:tcBorders>
                  <w:noWrap w:val="0"/>
                  <w:tcMar>
                    <w:top w:w="0" w:type="dxa"/>
                    <w:left w:w="51" w:type="dxa"/>
                    <w:bottom w:w="0" w:type="dxa"/>
                    <w:right w:w="51" w:type="dxa"/>
                  </w:tcMar>
                  <w:vAlign w:val="center"/>
                </w:tcPr>
                <w:p w14:paraId="7176D59B">
                  <w:pPr>
                    <w:widowControl/>
                    <w:spacing w:line="0" w:lineRule="atLeast"/>
                    <w:jc w:val="center"/>
                    <w:rPr>
                      <w:rFonts w:hint="eastAsia" w:cs="Times New Roman"/>
                      <w:color w:val="auto"/>
                      <w:spacing w:val="-10"/>
                      <w:sz w:val="18"/>
                      <w:szCs w:val="18"/>
                      <w:highlight w:val="none"/>
                      <w:lang w:val="en-US" w:eastAsia="zh-CN"/>
                    </w:rPr>
                  </w:pPr>
                  <w:r>
                    <w:rPr>
                      <w:rFonts w:hint="eastAsia" w:cs="Times New Roman"/>
                      <w:color w:val="auto"/>
                      <w:spacing w:val="-10"/>
                      <w:sz w:val="18"/>
                      <w:szCs w:val="18"/>
                      <w:highlight w:val="none"/>
                      <w:lang w:val="en-US" w:eastAsia="zh-CN"/>
                    </w:rPr>
                    <w:t>H</w:t>
                  </w:r>
                  <w:r>
                    <w:rPr>
                      <w:rFonts w:hint="eastAsia" w:cs="Times New Roman"/>
                      <w:color w:val="auto"/>
                      <w:spacing w:val="-10"/>
                      <w:sz w:val="18"/>
                      <w:szCs w:val="18"/>
                      <w:highlight w:val="none"/>
                      <w:vertAlign w:val="subscript"/>
                      <w:lang w:val="en-US" w:eastAsia="zh-CN"/>
                    </w:rPr>
                    <w:t>2</w:t>
                  </w:r>
                  <w:r>
                    <w:rPr>
                      <w:rFonts w:hint="eastAsia" w:cs="Times New Roman"/>
                      <w:color w:val="auto"/>
                      <w:spacing w:val="-10"/>
                      <w:sz w:val="18"/>
                      <w:szCs w:val="18"/>
                      <w:highlight w:val="none"/>
                      <w:lang w:val="en-US" w:eastAsia="zh-CN"/>
                    </w:rPr>
                    <w:t>O</w:t>
                  </w:r>
                </w:p>
              </w:tc>
            </w:tr>
            <w:tr w14:paraId="7A69DC3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37" w:type="dxa"/>
                  <w:tcBorders>
                    <w:tl2br w:val="nil"/>
                    <w:tr2bl w:val="nil"/>
                  </w:tcBorders>
                  <w:noWrap w:val="0"/>
                  <w:tcMar>
                    <w:top w:w="0" w:type="dxa"/>
                    <w:left w:w="51" w:type="dxa"/>
                    <w:bottom w:w="0" w:type="dxa"/>
                    <w:right w:w="51" w:type="dxa"/>
                  </w:tcMar>
                  <w:vAlign w:val="center"/>
                </w:tcPr>
                <w:p w14:paraId="7F6BE529">
                  <w:pPr>
                    <w:widowControl/>
                    <w:spacing w:line="0" w:lineRule="atLeast"/>
                    <w:jc w:val="center"/>
                    <w:rPr>
                      <w:rFonts w:hint="eastAsia" w:ascii="Times New Roman" w:hAnsi="Times New Roman" w:eastAsia="宋体" w:cs="Times New Roman"/>
                      <w:color w:val="auto"/>
                      <w:spacing w:val="-10"/>
                      <w:sz w:val="18"/>
                      <w:szCs w:val="18"/>
                      <w:highlight w:val="none"/>
                    </w:rPr>
                  </w:pPr>
                  <w:r>
                    <w:rPr>
                      <w:rFonts w:hint="eastAsia" w:cs="Times New Roman"/>
                      <w:color w:val="auto"/>
                      <w:spacing w:val="-10"/>
                      <w:sz w:val="18"/>
                      <w:szCs w:val="18"/>
                      <w:highlight w:val="none"/>
                      <w:lang w:val="en-US" w:eastAsia="zh-CN"/>
                    </w:rPr>
                    <w:t>转炉</w:t>
                  </w:r>
                  <w:r>
                    <w:rPr>
                      <w:rFonts w:ascii="Times New Roman" w:hAnsi="Times New Roman" w:eastAsia="宋体" w:cs="Times New Roman"/>
                      <w:color w:val="auto"/>
                      <w:spacing w:val="-10"/>
                      <w:sz w:val="18"/>
                      <w:szCs w:val="18"/>
                      <w:highlight w:val="none"/>
                    </w:rPr>
                    <w:t>钢渣</w:t>
                  </w:r>
                </w:p>
              </w:tc>
              <w:tc>
                <w:tcPr>
                  <w:tcW w:w="795" w:type="dxa"/>
                  <w:tcBorders>
                    <w:tl2br w:val="nil"/>
                    <w:tr2bl w:val="nil"/>
                  </w:tcBorders>
                  <w:noWrap w:val="0"/>
                  <w:tcMar>
                    <w:top w:w="0" w:type="dxa"/>
                    <w:left w:w="51" w:type="dxa"/>
                    <w:bottom w:w="0" w:type="dxa"/>
                    <w:right w:w="51" w:type="dxa"/>
                  </w:tcMar>
                  <w:vAlign w:val="center"/>
                </w:tcPr>
                <w:p w14:paraId="3ADCF977">
                  <w:pPr>
                    <w:widowControl/>
                    <w:spacing w:line="0" w:lineRule="atLeast"/>
                    <w:jc w:val="center"/>
                    <w:rPr>
                      <w:rFonts w:ascii="Times New Roman" w:hAnsi="Times New Roman" w:eastAsia="宋体" w:cs="Times New Roman"/>
                      <w:color w:val="auto"/>
                      <w:spacing w:val="-10"/>
                      <w:sz w:val="18"/>
                      <w:szCs w:val="18"/>
                      <w:highlight w:val="none"/>
                    </w:rPr>
                  </w:pPr>
                  <w:r>
                    <w:rPr>
                      <w:rFonts w:hint="eastAsia" w:cs="Times New Roman"/>
                      <w:color w:val="auto"/>
                      <w:spacing w:val="-10"/>
                      <w:sz w:val="18"/>
                      <w:szCs w:val="18"/>
                      <w:highlight w:val="none"/>
                      <w:lang w:val="en-US" w:eastAsia="zh-CN"/>
                    </w:rPr>
                    <w:t>10.1</w:t>
                  </w:r>
                  <w:r>
                    <w:rPr>
                      <w:rFonts w:ascii="Times New Roman" w:hAnsi="Times New Roman" w:eastAsia="宋体" w:cs="Times New Roman"/>
                      <w:color w:val="auto"/>
                      <w:spacing w:val="-10"/>
                      <w:sz w:val="18"/>
                      <w:szCs w:val="18"/>
                      <w:highlight w:val="none"/>
                    </w:rPr>
                    <w:t>%</w:t>
                  </w:r>
                </w:p>
              </w:tc>
              <w:tc>
                <w:tcPr>
                  <w:tcW w:w="795" w:type="dxa"/>
                  <w:tcBorders>
                    <w:tl2br w:val="nil"/>
                    <w:tr2bl w:val="nil"/>
                  </w:tcBorders>
                  <w:noWrap w:val="0"/>
                  <w:tcMar>
                    <w:top w:w="0" w:type="dxa"/>
                    <w:left w:w="51" w:type="dxa"/>
                    <w:bottom w:w="0" w:type="dxa"/>
                    <w:right w:w="51" w:type="dxa"/>
                  </w:tcMar>
                  <w:vAlign w:val="center"/>
                </w:tcPr>
                <w:p w14:paraId="0774406F">
                  <w:pPr>
                    <w:widowControl/>
                    <w:spacing w:line="0" w:lineRule="atLeast"/>
                    <w:jc w:val="center"/>
                    <w:rPr>
                      <w:rFonts w:ascii="Times New Roman" w:hAnsi="Times New Roman" w:eastAsia="宋体" w:cs="Times New Roman"/>
                      <w:color w:val="auto"/>
                      <w:spacing w:val="-10"/>
                      <w:kern w:val="2"/>
                      <w:sz w:val="18"/>
                      <w:szCs w:val="18"/>
                      <w:highlight w:val="none"/>
                      <w:lang w:val="en-US" w:eastAsia="zh-CN" w:bidi="ar-SA"/>
                    </w:rPr>
                  </w:pPr>
                  <w:r>
                    <w:rPr>
                      <w:rFonts w:hint="eastAsia" w:cs="Times New Roman"/>
                      <w:color w:val="auto"/>
                      <w:spacing w:val="-10"/>
                      <w:sz w:val="18"/>
                      <w:szCs w:val="18"/>
                      <w:highlight w:val="none"/>
                      <w:lang w:val="en-US" w:eastAsia="zh-CN"/>
                    </w:rPr>
                    <w:t>25.3</w:t>
                  </w:r>
                  <w:r>
                    <w:rPr>
                      <w:rFonts w:ascii="Times New Roman" w:hAnsi="Times New Roman" w:eastAsia="宋体" w:cs="Times New Roman"/>
                      <w:color w:val="auto"/>
                      <w:spacing w:val="-10"/>
                      <w:sz w:val="18"/>
                      <w:szCs w:val="18"/>
                      <w:highlight w:val="none"/>
                    </w:rPr>
                    <w:t>%</w:t>
                  </w:r>
                </w:p>
              </w:tc>
              <w:tc>
                <w:tcPr>
                  <w:tcW w:w="795" w:type="dxa"/>
                  <w:tcBorders>
                    <w:tl2br w:val="nil"/>
                    <w:tr2bl w:val="nil"/>
                  </w:tcBorders>
                  <w:noWrap w:val="0"/>
                  <w:tcMar>
                    <w:top w:w="0" w:type="dxa"/>
                    <w:left w:w="51" w:type="dxa"/>
                    <w:bottom w:w="0" w:type="dxa"/>
                    <w:right w:w="51" w:type="dxa"/>
                  </w:tcMar>
                  <w:vAlign w:val="center"/>
                </w:tcPr>
                <w:p w14:paraId="1E92CBC4">
                  <w:pPr>
                    <w:widowControl/>
                    <w:spacing w:line="0" w:lineRule="atLeast"/>
                    <w:jc w:val="center"/>
                    <w:rPr>
                      <w:rFonts w:hint="eastAsia" w:ascii="Times New Roman" w:hAnsi="Times New Roman" w:eastAsia="宋体" w:cs="Times New Roman"/>
                      <w:color w:val="auto"/>
                      <w:spacing w:val="-10"/>
                      <w:kern w:val="2"/>
                      <w:sz w:val="18"/>
                      <w:szCs w:val="18"/>
                      <w:highlight w:val="none"/>
                      <w:lang w:val="en-US" w:eastAsia="zh-CN" w:bidi="ar-SA"/>
                    </w:rPr>
                  </w:pPr>
                  <w:r>
                    <w:rPr>
                      <w:rFonts w:hint="eastAsia" w:cs="Times New Roman"/>
                      <w:color w:val="auto"/>
                      <w:spacing w:val="-10"/>
                      <w:sz w:val="18"/>
                      <w:szCs w:val="18"/>
                      <w:highlight w:val="none"/>
                      <w:lang w:val="en-US" w:eastAsia="zh-CN"/>
                    </w:rPr>
                    <w:t>8</w:t>
                  </w:r>
                  <w:r>
                    <w:rPr>
                      <w:rFonts w:ascii="Times New Roman" w:hAnsi="Times New Roman" w:eastAsia="宋体" w:cs="Times New Roman"/>
                      <w:color w:val="auto"/>
                      <w:spacing w:val="-10"/>
                      <w:sz w:val="18"/>
                      <w:szCs w:val="18"/>
                      <w:highlight w:val="none"/>
                    </w:rPr>
                    <w:t>%</w:t>
                  </w:r>
                </w:p>
              </w:tc>
              <w:tc>
                <w:tcPr>
                  <w:tcW w:w="795" w:type="dxa"/>
                  <w:tcBorders>
                    <w:tl2br w:val="nil"/>
                    <w:tr2bl w:val="nil"/>
                  </w:tcBorders>
                  <w:noWrap w:val="0"/>
                  <w:tcMar>
                    <w:top w:w="0" w:type="dxa"/>
                    <w:left w:w="51" w:type="dxa"/>
                    <w:bottom w:w="0" w:type="dxa"/>
                    <w:right w:w="51" w:type="dxa"/>
                  </w:tcMar>
                  <w:vAlign w:val="center"/>
                </w:tcPr>
                <w:p w14:paraId="34CDC82F">
                  <w:pPr>
                    <w:widowControl/>
                    <w:spacing w:line="0" w:lineRule="atLeast"/>
                    <w:jc w:val="center"/>
                    <w:rPr>
                      <w:rFonts w:ascii="Times New Roman" w:hAnsi="Times New Roman" w:eastAsia="宋体" w:cs="Times New Roman"/>
                      <w:color w:val="auto"/>
                      <w:spacing w:val="-10"/>
                      <w:kern w:val="2"/>
                      <w:sz w:val="18"/>
                      <w:szCs w:val="18"/>
                      <w:highlight w:val="none"/>
                      <w:lang w:val="en-US" w:eastAsia="zh-CN" w:bidi="ar-SA"/>
                    </w:rPr>
                  </w:pPr>
                  <w:r>
                    <w:rPr>
                      <w:rFonts w:hint="eastAsia" w:cs="Times New Roman"/>
                      <w:color w:val="auto"/>
                      <w:spacing w:val="-10"/>
                      <w:sz w:val="18"/>
                      <w:szCs w:val="18"/>
                      <w:highlight w:val="none"/>
                      <w:lang w:val="en-US" w:eastAsia="zh-CN"/>
                    </w:rPr>
                    <w:t>26.7</w:t>
                  </w:r>
                  <w:r>
                    <w:rPr>
                      <w:rFonts w:ascii="Times New Roman" w:hAnsi="Times New Roman" w:eastAsia="宋体" w:cs="Times New Roman"/>
                      <w:color w:val="auto"/>
                      <w:spacing w:val="-10"/>
                      <w:sz w:val="18"/>
                      <w:szCs w:val="18"/>
                      <w:highlight w:val="none"/>
                    </w:rPr>
                    <w:t>%</w:t>
                  </w:r>
                </w:p>
              </w:tc>
              <w:tc>
                <w:tcPr>
                  <w:tcW w:w="795" w:type="dxa"/>
                  <w:tcBorders>
                    <w:tl2br w:val="nil"/>
                    <w:tr2bl w:val="nil"/>
                  </w:tcBorders>
                  <w:noWrap w:val="0"/>
                  <w:tcMar>
                    <w:top w:w="0" w:type="dxa"/>
                    <w:left w:w="51" w:type="dxa"/>
                    <w:bottom w:w="0" w:type="dxa"/>
                    <w:right w:w="51" w:type="dxa"/>
                  </w:tcMar>
                  <w:vAlign w:val="center"/>
                </w:tcPr>
                <w:p w14:paraId="47C6394E">
                  <w:pPr>
                    <w:widowControl/>
                    <w:spacing w:line="0" w:lineRule="atLeast"/>
                    <w:jc w:val="center"/>
                    <w:rPr>
                      <w:rFonts w:hint="default" w:ascii="Times New Roman" w:hAnsi="Times New Roman" w:eastAsia="宋体" w:cs="Times New Roman"/>
                      <w:color w:val="auto"/>
                      <w:spacing w:val="-10"/>
                      <w:sz w:val="18"/>
                      <w:szCs w:val="18"/>
                      <w:highlight w:val="none"/>
                      <w:lang w:val="en-US" w:eastAsia="zh-CN"/>
                    </w:rPr>
                  </w:pPr>
                  <w:r>
                    <w:rPr>
                      <w:rFonts w:hint="eastAsia" w:cs="Times New Roman"/>
                      <w:color w:val="auto"/>
                      <w:spacing w:val="-10"/>
                      <w:sz w:val="18"/>
                      <w:szCs w:val="18"/>
                      <w:highlight w:val="none"/>
                      <w:lang w:val="en-US" w:eastAsia="zh-CN"/>
                    </w:rPr>
                    <w:t>7%</w:t>
                  </w:r>
                </w:p>
              </w:tc>
              <w:tc>
                <w:tcPr>
                  <w:tcW w:w="795" w:type="dxa"/>
                  <w:tcBorders>
                    <w:tl2br w:val="nil"/>
                    <w:tr2bl w:val="nil"/>
                  </w:tcBorders>
                  <w:noWrap w:val="0"/>
                  <w:tcMar>
                    <w:top w:w="0" w:type="dxa"/>
                    <w:left w:w="51" w:type="dxa"/>
                    <w:bottom w:w="0" w:type="dxa"/>
                    <w:right w:w="51" w:type="dxa"/>
                  </w:tcMar>
                  <w:vAlign w:val="center"/>
                </w:tcPr>
                <w:p w14:paraId="48373BF9">
                  <w:pPr>
                    <w:widowControl/>
                    <w:spacing w:line="0" w:lineRule="atLeast"/>
                    <w:jc w:val="center"/>
                    <w:rPr>
                      <w:rFonts w:hint="default" w:ascii="Times New Roman" w:hAnsi="Times New Roman" w:eastAsia="宋体" w:cs="Times New Roman"/>
                      <w:color w:val="auto"/>
                      <w:spacing w:val="-10"/>
                      <w:sz w:val="18"/>
                      <w:szCs w:val="18"/>
                      <w:highlight w:val="none"/>
                      <w:lang w:val="en-US" w:eastAsia="zh-CN"/>
                    </w:rPr>
                  </w:pPr>
                  <w:r>
                    <w:rPr>
                      <w:rFonts w:hint="eastAsia" w:cs="Times New Roman"/>
                      <w:color w:val="auto"/>
                      <w:spacing w:val="-10"/>
                      <w:sz w:val="18"/>
                      <w:szCs w:val="18"/>
                      <w:highlight w:val="none"/>
                      <w:lang w:val="en-US" w:eastAsia="zh-CN"/>
                    </w:rPr>
                    <w:t>8.8%</w:t>
                  </w:r>
                </w:p>
              </w:tc>
              <w:tc>
                <w:tcPr>
                  <w:tcW w:w="795" w:type="dxa"/>
                  <w:tcBorders>
                    <w:tl2br w:val="nil"/>
                    <w:tr2bl w:val="nil"/>
                  </w:tcBorders>
                  <w:noWrap w:val="0"/>
                  <w:tcMar>
                    <w:top w:w="0" w:type="dxa"/>
                    <w:left w:w="51" w:type="dxa"/>
                    <w:bottom w:w="0" w:type="dxa"/>
                    <w:right w:w="51" w:type="dxa"/>
                  </w:tcMar>
                  <w:vAlign w:val="center"/>
                </w:tcPr>
                <w:p w14:paraId="671A2130">
                  <w:pPr>
                    <w:widowControl/>
                    <w:spacing w:line="0" w:lineRule="atLeast"/>
                    <w:jc w:val="center"/>
                    <w:rPr>
                      <w:rFonts w:hint="default" w:ascii="Times New Roman" w:hAnsi="Times New Roman" w:eastAsia="宋体" w:cs="Times New Roman"/>
                      <w:color w:val="auto"/>
                      <w:spacing w:val="-10"/>
                      <w:sz w:val="18"/>
                      <w:szCs w:val="18"/>
                      <w:highlight w:val="none"/>
                      <w:lang w:val="en-US" w:eastAsia="zh-CN"/>
                    </w:rPr>
                  </w:pPr>
                  <w:r>
                    <w:rPr>
                      <w:rFonts w:hint="eastAsia" w:cs="Times New Roman"/>
                      <w:color w:val="auto"/>
                      <w:spacing w:val="-10"/>
                      <w:sz w:val="18"/>
                      <w:szCs w:val="18"/>
                      <w:highlight w:val="none"/>
                      <w:lang w:val="en-US" w:eastAsia="zh-CN"/>
                    </w:rPr>
                    <w:t>3%</w:t>
                  </w:r>
                </w:p>
              </w:tc>
              <w:tc>
                <w:tcPr>
                  <w:tcW w:w="795" w:type="dxa"/>
                  <w:tcBorders>
                    <w:tl2br w:val="nil"/>
                    <w:tr2bl w:val="nil"/>
                  </w:tcBorders>
                  <w:noWrap w:val="0"/>
                  <w:tcMar>
                    <w:top w:w="0" w:type="dxa"/>
                    <w:left w:w="51" w:type="dxa"/>
                    <w:bottom w:w="0" w:type="dxa"/>
                    <w:right w:w="51" w:type="dxa"/>
                  </w:tcMar>
                  <w:vAlign w:val="center"/>
                </w:tcPr>
                <w:p w14:paraId="52FF37EF">
                  <w:pPr>
                    <w:widowControl/>
                    <w:spacing w:line="0" w:lineRule="atLeast"/>
                    <w:jc w:val="center"/>
                    <w:rPr>
                      <w:rFonts w:hint="default" w:ascii="Times New Roman" w:hAnsi="Times New Roman" w:eastAsia="宋体" w:cs="Times New Roman"/>
                      <w:color w:val="auto"/>
                      <w:spacing w:val="-10"/>
                      <w:sz w:val="18"/>
                      <w:szCs w:val="18"/>
                      <w:highlight w:val="none"/>
                      <w:lang w:val="en-US" w:eastAsia="zh-CN"/>
                    </w:rPr>
                  </w:pPr>
                  <w:r>
                    <w:rPr>
                      <w:rFonts w:hint="eastAsia" w:cs="Times New Roman"/>
                      <w:color w:val="auto"/>
                      <w:spacing w:val="-10"/>
                      <w:sz w:val="18"/>
                      <w:szCs w:val="18"/>
                      <w:highlight w:val="none"/>
                      <w:lang w:val="en-US" w:eastAsia="zh-CN"/>
                    </w:rPr>
                    <w:t>3.9%</w:t>
                  </w:r>
                </w:p>
              </w:tc>
              <w:tc>
                <w:tcPr>
                  <w:tcW w:w="797" w:type="dxa"/>
                  <w:tcBorders>
                    <w:tl2br w:val="nil"/>
                    <w:tr2bl w:val="nil"/>
                  </w:tcBorders>
                  <w:noWrap w:val="0"/>
                  <w:tcMar>
                    <w:top w:w="0" w:type="dxa"/>
                    <w:left w:w="51" w:type="dxa"/>
                    <w:bottom w:w="0" w:type="dxa"/>
                    <w:right w:w="51" w:type="dxa"/>
                  </w:tcMar>
                  <w:vAlign w:val="center"/>
                </w:tcPr>
                <w:p w14:paraId="5200B6ED">
                  <w:pPr>
                    <w:widowControl/>
                    <w:spacing w:line="0" w:lineRule="atLeast"/>
                    <w:jc w:val="center"/>
                    <w:rPr>
                      <w:rFonts w:hint="eastAsia" w:cs="Times New Roman"/>
                      <w:color w:val="auto"/>
                      <w:spacing w:val="-10"/>
                      <w:sz w:val="18"/>
                      <w:szCs w:val="18"/>
                      <w:highlight w:val="none"/>
                      <w:lang w:val="en-US" w:eastAsia="zh-CN"/>
                    </w:rPr>
                  </w:pPr>
                  <w:r>
                    <w:rPr>
                      <w:rFonts w:hint="eastAsia" w:cs="Times New Roman"/>
                      <w:color w:val="auto"/>
                      <w:spacing w:val="-10"/>
                      <w:sz w:val="18"/>
                      <w:szCs w:val="18"/>
                      <w:highlight w:val="none"/>
                      <w:lang w:val="en-US" w:eastAsia="zh-CN"/>
                    </w:rPr>
                    <w:t>5</w:t>
                  </w:r>
                  <w:r>
                    <w:rPr>
                      <w:rFonts w:ascii="Times New Roman" w:hAnsi="Times New Roman" w:eastAsia="宋体" w:cs="Times New Roman"/>
                      <w:color w:val="auto"/>
                      <w:spacing w:val="-10"/>
                      <w:sz w:val="18"/>
                      <w:szCs w:val="18"/>
                      <w:highlight w:val="none"/>
                    </w:rPr>
                    <w:t>%</w:t>
                  </w:r>
                </w:p>
              </w:tc>
            </w:tr>
          </w:tbl>
          <w:p w14:paraId="1C62E5E2">
            <w:pPr>
              <w:pStyle w:val="24"/>
              <w:keepNext w:val="0"/>
              <w:keepLines w:val="0"/>
              <w:pageBreakBefore w:val="0"/>
              <w:widowControl/>
              <w:kinsoku/>
              <w:wordWrap/>
              <w:overflowPunct/>
              <w:topLinePunct w:val="0"/>
              <w:autoSpaceDE/>
              <w:autoSpaceDN/>
              <w:bidi w:val="0"/>
              <w:adjustRightInd w:val="0"/>
              <w:snapToGrid w:val="0"/>
              <w:spacing w:before="0" w:beforeAutospacing="0" w:after="0" w:afterAutospacing="0" w:line="420" w:lineRule="exact"/>
              <w:ind w:firstLine="422" w:firstLineChars="200"/>
              <w:textAlignment w:val="auto"/>
              <w:rPr>
                <w:rFonts w:hint="default" w:ascii="Times New Roman" w:hAnsi="Times New Roman" w:cs="Times New Roman"/>
                <w:b/>
                <w:color w:val="auto"/>
                <w:sz w:val="21"/>
                <w:szCs w:val="21"/>
                <w:lang w:val="en-US" w:eastAsia="zh-CN"/>
              </w:rPr>
            </w:pPr>
            <w:r>
              <w:rPr>
                <w:rFonts w:hint="eastAsia" w:ascii="Times New Roman" w:hAnsi="Times New Roman" w:cs="Times New Roman"/>
                <w:b/>
                <w:color w:val="auto"/>
                <w:sz w:val="21"/>
                <w:szCs w:val="21"/>
                <w:lang w:val="en-US" w:eastAsia="zh-CN"/>
              </w:rPr>
              <w:t>7.物料平衡及铁元素平衡</w:t>
            </w:r>
          </w:p>
          <w:p w14:paraId="2DA64EE2">
            <w:pPr>
              <w:pStyle w:val="24"/>
              <w:keepNext w:val="0"/>
              <w:keepLines w:val="0"/>
              <w:pageBreakBefore w:val="0"/>
              <w:widowControl/>
              <w:kinsoku/>
              <w:wordWrap/>
              <w:overflowPunct/>
              <w:topLinePunct w:val="0"/>
              <w:autoSpaceDE/>
              <w:autoSpaceDN/>
              <w:bidi w:val="0"/>
              <w:adjustRightInd w:val="0"/>
              <w:snapToGrid w:val="0"/>
              <w:spacing w:before="0" w:beforeAutospacing="0" w:after="0" w:afterAutospacing="0" w:line="420" w:lineRule="exact"/>
              <w:ind w:firstLine="422" w:firstLineChars="200"/>
              <w:textAlignment w:val="auto"/>
              <w:rPr>
                <w:rFonts w:hint="default" w:ascii="Times New Roman" w:hAnsi="Times New Roman" w:cs="Times New Roman"/>
                <w:b/>
                <w:color w:val="auto"/>
                <w:sz w:val="21"/>
                <w:szCs w:val="21"/>
                <w:lang w:val="en-US" w:eastAsia="zh-CN"/>
              </w:rPr>
            </w:pPr>
            <w:r>
              <w:rPr>
                <w:rFonts w:hint="eastAsia" w:ascii="Times New Roman" w:hAnsi="Times New Roman" w:cs="Times New Roman"/>
                <w:b/>
                <w:color w:val="auto"/>
                <w:sz w:val="21"/>
                <w:szCs w:val="21"/>
                <w:lang w:val="en-US" w:eastAsia="zh-CN"/>
              </w:rPr>
              <w:t>7.1物料平衡</w:t>
            </w:r>
          </w:p>
          <w:p w14:paraId="20442FAE">
            <w:pPr>
              <w:adjustRightInd w:val="0"/>
              <w:spacing w:line="440" w:lineRule="exact"/>
              <w:ind w:firstLine="420" w:firstLineChars="200"/>
              <w:outlineLvl w:val="2"/>
              <w:rPr>
                <w:rFonts w:hint="eastAsia"/>
                <w:color w:val="auto"/>
                <w:szCs w:val="21"/>
              </w:rPr>
            </w:pPr>
            <w:r>
              <w:rPr>
                <w:rFonts w:hint="eastAsia"/>
                <w:color w:val="auto"/>
                <w:szCs w:val="21"/>
              </w:rPr>
              <w:t>本项目物料平衡见</w:t>
            </w:r>
            <w:r>
              <w:rPr>
                <w:rFonts w:hint="eastAsia"/>
                <w:color w:val="auto"/>
                <w:szCs w:val="21"/>
                <w:lang w:val="en-US" w:eastAsia="zh-CN"/>
              </w:rPr>
              <w:t>下表</w:t>
            </w:r>
            <w:r>
              <w:rPr>
                <w:rFonts w:hint="eastAsia"/>
                <w:color w:val="auto"/>
                <w:szCs w:val="21"/>
              </w:rPr>
              <w:t>。</w:t>
            </w:r>
          </w:p>
          <w:p w14:paraId="53E14DE3">
            <w:pPr>
              <w:keepNext w:val="0"/>
              <w:keepLines w:val="0"/>
              <w:pageBreakBefore w:val="0"/>
              <w:widowControl w:val="0"/>
              <w:tabs>
                <w:tab w:val="left" w:pos="1180"/>
              </w:tabs>
              <w:kinsoku/>
              <w:wordWrap/>
              <w:overflowPunct/>
              <w:topLinePunct w:val="0"/>
              <w:autoSpaceDE/>
              <w:autoSpaceDN/>
              <w:bidi w:val="0"/>
              <w:adjustRightInd/>
              <w:snapToGrid/>
              <w:spacing w:line="420" w:lineRule="exact"/>
              <w:ind w:firstLine="0" w:firstLineChars="0"/>
              <w:jc w:val="center"/>
              <w:textAlignment w:val="auto"/>
              <w:rPr>
                <w:b/>
                <w:color w:val="auto"/>
                <w:sz w:val="21"/>
                <w:szCs w:val="21"/>
                <w:highlight w:val="none"/>
              </w:rPr>
            </w:pPr>
            <w:r>
              <w:rPr>
                <w:b/>
                <w:color w:val="auto"/>
                <w:sz w:val="21"/>
                <w:szCs w:val="21"/>
                <w:highlight w:val="none"/>
              </w:rPr>
              <w:t>表</w:t>
            </w:r>
            <w:r>
              <w:rPr>
                <w:rFonts w:hint="eastAsia"/>
                <w:b/>
                <w:color w:val="auto"/>
                <w:sz w:val="21"/>
                <w:szCs w:val="21"/>
                <w:highlight w:val="none"/>
                <w:lang w:val="en-US" w:eastAsia="zh-CN"/>
              </w:rPr>
              <w:t xml:space="preserve">13  </w:t>
            </w:r>
            <w:r>
              <w:rPr>
                <w:b/>
                <w:color w:val="auto"/>
                <w:sz w:val="21"/>
                <w:szCs w:val="21"/>
                <w:highlight w:val="none"/>
              </w:rPr>
              <w:t>项目物料平衡表</w:t>
            </w:r>
          </w:p>
          <w:tbl>
            <w:tblPr>
              <w:tblStyle w:val="28"/>
              <w:tblW w:w="8074"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552"/>
              <w:gridCol w:w="419"/>
              <w:gridCol w:w="1082"/>
              <w:gridCol w:w="745"/>
              <w:gridCol w:w="631"/>
              <w:gridCol w:w="767"/>
              <w:gridCol w:w="474"/>
              <w:gridCol w:w="1218"/>
              <w:gridCol w:w="801"/>
              <w:gridCol w:w="620"/>
              <w:gridCol w:w="765"/>
            </w:tblGrid>
            <w:tr w14:paraId="050F7A3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2" w:hRule="exact"/>
                <w:jc w:val="center"/>
              </w:trPr>
              <w:tc>
                <w:tcPr>
                  <w:tcW w:w="552" w:type="dxa"/>
                  <w:vMerge w:val="restart"/>
                  <w:tcBorders>
                    <w:tl2br w:val="nil"/>
                    <w:tr2bl w:val="nil"/>
                  </w:tcBorders>
                  <w:noWrap w:val="0"/>
                  <w:vAlign w:val="center"/>
                </w:tcPr>
                <w:p w14:paraId="65A4A969">
                  <w:pPr>
                    <w:widowControl/>
                    <w:spacing w:line="0" w:lineRule="atLeast"/>
                    <w:jc w:val="center"/>
                    <w:rPr>
                      <w:rFonts w:hint="eastAsia" w:ascii="Times New Roman" w:hAnsi="Times New Roman" w:eastAsia="宋体" w:cs="Times New Roman"/>
                      <w:color w:val="auto"/>
                      <w:spacing w:val="-10"/>
                      <w:sz w:val="18"/>
                      <w:szCs w:val="18"/>
                      <w:highlight w:val="none"/>
                      <w:lang w:val="en-US" w:eastAsia="zh-CN"/>
                    </w:rPr>
                  </w:pPr>
                  <w:r>
                    <w:rPr>
                      <w:rFonts w:hint="eastAsia" w:cs="Times New Roman"/>
                      <w:color w:val="auto"/>
                      <w:spacing w:val="-10"/>
                      <w:sz w:val="18"/>
                      <w:szCs w:val="18"/>
                      <w:highlight w:val="none"/>
                      <w:lang w:val="en-US" w:eastAsia="zh-CN"/>
                    </w:rPr>
                    <w:t>工序</w:t>
                  </w:r>
                </w:p>
              </w:tc>
              <w:tc>
                <w:tcPr>
                  <w:tcW w:w="3644" w:type="dxa"/>
                  <w:gridSpan w:val="5"/>
                  <w:tcBorders>
                    <w:tl2br w:val="nil"/>
                    <w:tr2bl w:val="nil"/>
                  </w:tcBorders>
                  <w:noWrap w:val="0"/>
                  <w:vAlign w:val="center"/>
                </w:tcPr>
                <w:p w14:paraId="228C8A11">
                  <w:pPr>
                    <w:widowControl/>
                    <w:spacing w:line="0" w:lineRule="atLeast"/>
                    <w:jc w:val="center"/>
                    <w:rPr>
                      <w:rFonts w:hint="eastAsia" w:ascii="Times New Roman" w:hAnsi="Times New Roman" w:cs="Times New Roman"/>
                      <w:color w:val="auto"/>
                      <w:spacing w:val="-10"/>
                      <w:sz w:val="18"/>
                      <w:szCs w:val="18"/>
                      <w:highlight w:val="none"/>
                      <w:lang w:val="en-US" w:eastAsia="zh-CN"/>
                    </w:rPr>
                  </w:pPr>
                  <w:r>
                    <w:rPr>
                      <w:rFonts w:hint="eastAsia" w:ascii="Times New Roman" w:hAnsi="Times New Roman" w:cs="Times New Roman"/>
                      <w:color w:val="auto"/>
                      <w:spacing w:val="-10"/>
                      <w:sz w:val="18"/>
                      <w:szCs w:val="18"/>
                      <w:highlight w:val="none"/>
                      <w:lang w:val="en-US" w:eastAsia="zh-CN"/>
                    </w:rPr>
                    <w:t>收入项</w:t>
                  </w:r>
                  <w:r>
                    <w:rPr>
                      <w:rFonts w:hint="eastAsia" w:ascii="Times New Roman" w:hAnsi="Times New Roman" w:eastAsia="宋体" w:cs="Times New Roman"/>
                      <w:color w:val="auto"/>
                      <w:spacing w:val="-10"/>
                      <w:sz w:val="18"/>
                      <w:szCs w:val="18"/>
                      <w:highlight w:val="none"/>
                      <w:lang w:val="en-US" w:eastAsia="zh-CN"/>
                    </w:rPr>
                    <w:t>（t/a）</w:t>
                  </w:r>
                </w:p>
              </w:tc>
              <w:tc>
                <w:tcPr>
                  <w:tcW w:w="3878" w:type="dxa"/>
                  <w:gridSpan w:val="5"/>
                  <w:tcBorders>
                    <w:tl2br w:val="nil"/>
                    <w:tr2bl w:val="nil"/>
                  </w:tcBorders>
                  <w:noWrap w:val="0"/>
                  <w:vAlign w:val="center"/>
                </w:tcPr>
                <w:p w14:paraId="5E0D2354">
                  <w:pPr>
                    <w:widowControl/>
                    <w:spacing w:line="0" w:lineRule="atLeast"/>
                    <w:jc w:val="center"/>
                    <w:rPr>
                      <w:rFonts w:hint="default" w:ascii="Times New Roman" w:hAnsi="Times New Roman" w:eastAsia="宋体" w:cs="Times New Roman"/>
                      <w:color w:val="auto"/>
                      <w:spacing w:val="-10"/>
                      <w:sz w:val="18"/>
                      <w:szCs w:val="18"/>
                      <w:highlight w:val="none"/>
                      <w:lang w:val="en-US" w:eastAsia="zh-CN"/>
                    </w:rPr>
                  </w:pPr>
                  <w:r>
                    <w:rPr>
                      <w:rFonts w:hint="eastAsia" w:ascii="Times New Roman" w:hAnsi="Times New Roman" w:cs="Times New Roman"/>
                      <w:color w:val="auto"/>
                      <w:spacing w:val="-10"/>
                      <w:sz w:val="18"/>
                      <w:szCs w:val="18"/>
                      <w:highlight w:val="none"/>
                      <w:lang w:val="en-US" w:eastAsia="zh-CN"/>
                    </w:rPr>
                    <w:t>支出项</w:t>
                  </w:r>
                  <w:r>
                    <w:rPr>
                      <w:rFonts w:hint="eastAsia" w:ascii="Times New Roman" w:hAnsi="Times New Roman" w:eastAsia="宋体" w:cs="Times New Roman"/>
                      <w:color w:val="auto"/>
                      <w:spacing w:val="-10"/>
                      <w:sz w:val="18"/>
                      <w:szCs w:val="18"/>
                      <w:highlight w:val="none"/>
                      <w:lang w:val="en-US" w:eastAsia="zh-CN"/>
                    </w:rPr>
                    <w:t>（t/a）</w:t>
                  </w:r>
                </w:p>
              </w:tc>
            </w:tr>
            <w:tr w14:paraId="7B64482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52" w:type="dxa"/>
                  <w:vMerge w:val="continue"/>
                  <w:tcBorders>
                    <w:tl2br w:val="nil"/>
                    <w:tr2bl w:val="nil"/>
                  </w:tcBorders>
                  <w:noWrap w:val="0"/>
                  <w:vAlign w:val="center"/>
                </w:tcPr>
                <w:p w14:paraId="1FAC7715">
                  <w:pPr>
                    <w:widowControl/>
                    <w:spacing w:line="0" w:lineRule="atLeast"/>
                    <w:jc w:val="center"/>
                    <w:rPr>
                      <w:rFonts w:hint="eastAsia" w:ascii="Times New Roman" w:hAnsi="Times New Roman" w:eastAsia="宋体" w:cs="Times New Roman"/>
                      <w:color w:val="auto"/>
                      <w:spacing w:val="-10"/>
                      <w:sz w:val="18"/>
                      <w:szCs w:val="18"/>
                      <w:highlight w:val="none"/>
                      <w:lang w:val="en-US" w:eastAsia="zh-CN"/>
                    </w:rPr>
                  </w:pPr>
                </w:p>
              </w:tc>
              <w:tc>
                <w:tcPr>
                  <w:tcW w:w="419" w:type="dxa"/>
                  <w:tcBorders>
                    <w:tl2br w:val="nil"/>
                    <w:tr2bl w:val="nil"/>
                  </w:tcBorders>
                  <w:noWrap w:val="0"/>
                  <w:vAlign w:val="center"/>
                </w:tcPr>
                <w:p w14:paraId="12A68798">
                  <w:pPr>
                    <w:widowControl/>
                    <w:spacing w:line="0" w:lineRule="atLeast"/>
                    <w:jc w:val="center"/>
                    <w:rPr>
                      <w:rFonts w:hint="eastAsia" w:ascii="Times New Roman" w:hAnsi="Times New Roman" w:cs="Times New Roman"/>
                      <w:color w:val="auto"/>
                      <w:spacing w:val="-10"/>
                      <w:sz w:val="18"/>
                      <w:szCs w:val="18"/>
                      <w:highlight w:val="none"/>
                      <w:lang w:val="en-US" w:eastAsia="zh-CN"/>
                    </w:rPr>
                  </w:pPr>
                  <w:r>
                    <w:rPr>
                      <w:rFonts w:hint="eastAsia" w:ascii="Times New Roman" w:hAnsi="Times New Roman" w:cs="Times New Roman"/>
                      <w:color w:val="auto"/>
                      <w:spacing w:val="-10"/>
                      <w:sz w:val="18"/>
                      <w:szCs w:val="18"/>
                      <w:highlight w:val="none"/>
                      <w:lang w:val="en-US" w:eastAsia="zh-CN"/>
                    </w:rPr>
                    <w:t>序号</w:t>
                  </w:r>
                </w:p>
              </w:tc>
              <w:tc>
                <w:tcPr>
                  <w:tcW w:w="1082" w:type="dxa"/>
                  <w:tcBorders>
                    <w:tl2br w:val="nil"/>
                    <w:tr2bl w:val="nil"/>
                  </w:tcBorders>
                  <w:noWrap w:val="0"/>
                  <w:vAlign w:val="center"/>
                </w:tcPr>
                <w:p w14:paraId="4DB801FF">
                  <w:pPr>
                    <w:widowControl/>
                    <w:spacing w:line="0" w:lineRule="atLeast"/>
                    <w:jc w:val="center"/>
                    <w:rPr>
                      <w:rFonts w:hint="eastAsia" w:ascii="Times New Roman" w:hAnsi="Times New Roman" w:eastAsia="宋体" w:cs="Times New Roman"/>
                      <w:color w:val="auto"/>
                      <w:spacing w:val="-10"/>
                      <w:sz w:val="18"/>
                      <w:szCs w:val="18"/>
                      <w:highlight w:val="none"/>
                      <w:lang w:val="en-US" w:eastAsia="zh-CN"/>
                    </w:rPr>
                  </w:pPr>
                  <w:r>
                    <w:rPr>
                      <w:rFonts w:hint="eastAsia" w:ascii="Times New Roman" w:hAnsi="Times New Roman" w:eastAsia="宋体" w:cs="Times New Roman"/>
                      <w:color w:val="auto"/>
                      <w:spacing w:val="-10"/>
                      <w:sz w:val="18"/>
                      <w:szCs w:val="18"/>
                      <w:highlight w:val="none"/>
                      <w:lang w:val="en-US" w:eastAsia="zh-CN"/>
                    </w:rPr>
                    <w:t>名称</w:t>
                  </w:r>
                </w:p>
              </w:tc>
              <w:tc>
                <w:tcPr>
                  <w:tcW w:w="745" w:type="dxa"/>
                  <w:tcBorders>
                    <w:tl2br w:val="nil"/>
                    <w:tr2bl w:val="nil"/>
                  </w:tcBorders>
                  <w:noWrap w:val="0"/>
                  <w:vAlign w:val="center"/>
                </w:tcPr>
                <w:p w14:paraId="21D2810E">
                  <w:pPr>
                    <w:widowControl/>
                    <w:spacing w:line="0" w:lineRule="atLeast"/>
                    <w:jc w:val="center"/>
                    <w:rPr>
                      <w:rFonts w:hint="eastAsia" w:ascii="Times New Roman" w:hAnsi="Times New Roman" w:eastAsia="宋体" w:cs="Times New Roman"/>
                      <w:color w:val="auto"/>
                      <w:spacing w:val="-10"/>
                      <w:sz w:val="18"/>
                      <w:szCs w:val="18"/>
                      <w:highlight w:val="none"/>
                      <w:lang w:val="en-US" w:eastAsia="zh-CN"/>
                    </w:rPr>
                  </w:pPr>
                  <w:r>
                    <w:rPr>
                      <w:rFonts w:hint="eastAsia" w:cs="Times New Roman"/>
                      <w:color w:val="auto"/>
                      <w:spacing w:val="-10"/>
                      <w:sz w:val="18"/>
                      <w:szCs w:val="18"/>
                      <w:highlight w:val="none"/>
                      <w:lang w:val="en-US" w:eastAsia="zh-CN"/>
                    </w:rPr>
                    <w:t>数</w:t>
                  </w:r>
                  <w:r>
                    <w:rPr>
                      <w:rFonts w:hint="eastAsia" w:ascii="Times New Roman" w:hAnsi="Times New Roman" w:eastAsia="宋体" w:cs="Times New Roman"/>
                      <w:color w:val="auto"/>
                      <w:spacing w:val="-10"/>
                      <w:sz w:val="18"/>
                      <w:szCs w:val="18"/>
                      <w:highlight w:val="none"/>
                      <w:lang w:val="en-US" w:eastAsia="zh-CN"/>
                    </w:rPr>
                    <w:t>量</w:t>
                  </w:r>
                </w:p>
              </w:tc>
              <w:tc>
                <w:tcPr>
                  <w:tcW w:w="631" w:type="dxa"/>
                  <w:tcBorders>
                    <w:tl2br w:val="nil"/>
                    <w:tr2bl w:val="nil"/>
                  </w:tcBorders>
                  <w:noWrap w:val="0"/>
                  <w:vAlign w:val="center"/>
                </w:tcPr>
                <w:p w14:paraId="7B95ED07">
                  <w:pPr>
                    <w:widowControl/>
                    <w:spacing w:line="0" w:lineRule="atLeast"/>
                    <w:jc w:val="center"/>
                    <w:rPr>
                      <w:rFonts w:hint="default" w:cs="Times New Roman"/>
                      <w:color w:val="auto"/>
                      <w:spacing w:val="-10"/>
                      <w:sz w:val="18"/>
                      <w:szCs w:val="18"/>
                      <w:highlight w:val="none"/>
                      <w:lang w:val="en-US" w:eastAsia="zh-CN"/>
                    </w:rPr>
                  </w:pPr>
                  <w:r>
                    <w:rPr>
                      <w:rFonts w:hint="eastAsia" w:cs="Times New Roman"/>
                      <w:color w:val="auto"/>
                      <w:spacing w:val="-10"/>
                      <w:sz w:val="18"/>
                      <w:szCs w:val="18"/>
                      <w:highlight w:val="none"/>
                      <w:lang w:val="en-US" w:eastAsia="zh-CN"/>
                    </w:rPr>
                    <w:t>含水（%）</w:t>
                  </w:r>
                </w:p>
              </w:tc>
              <w:tc>
                <w:tcPr>
                  <w:tcW w:w="767" w:type="dxa"/>
                  <w:tcBorders>
                    <w:tl2br w:val="nil"/>
                    <w:tr2bl w:val="nil"/>
                  </w:tcBorders>
                  <w:noWrap w:val="0"/>
                  <w:vAlign w:val="center"/>
                </w:tcPr>
                <w:p w14:paraId="14D1C214">
                  <w:pPr>
                    <w:widowControl/>
                    <w:spacing w:line="0" w:lineRule="atLeast"/>
                    <w:jc w:val="center"/>
                    <w:rPr>
                      <w:rFonts w:hint="default" w:cs="Times New Roman"/>
                      <w:color w:val="auto"/>
                      <w:spacing w:val="-10"/>
                      <w:sz w:val="18"/>
                      <w:szCs w:val="18"/>
                      <w:highlight w:val="none"/>
                      <w:lang w:val="en-US" w:eastAsia="zh-CN"/>
                    </w:rPr>
                  </w:pPr>
                  <w:r>
                    <w:rPr>
                      <w:rFonts w:hint="eastAsia" w:cs="Times New Roman"/>
                      <w:color w:val="auto"/>
                      <w:spacing w:val="-10"/>
                      <w:sz w:val="18"/>
                      <w:szCs w:val="18"/>
                      <w:highlight w:val="none"/>
                      <w:lang w:val="en-US" w:eastAsia="zh-CN"/>
                    </w:rPr>
                    <w:t>干重</w:t>
                  </w:r>
                </w:p>
              </w:tc>
              <w:tc>
                <w:tcPr>
                  <w:tcW w:w="474" w:type="dxa"/>
                  <w:tcBorders>
                    <w:tl2br w:val="nil"/>
                    <w:tr2bl w:val="nil"/>
                  </w:tcBorders>
                  <w:noWrap w:val="0"/>
                  <w:vAlign w:val="center"/>
                </w:tcPr>
                <w:p w14:paraId="0261A2A8">
                  <w:pPr>
                    <w:widowControl/>
                    <w:spacing w:line="0" w:lineRule="atLeast"/>
                    <w:jc w:val="center"/>
                    <w:rPr>
                      <w:rFonts w:hint="eastAsia" w:ascii="Times New Roman" w:hAnsi="Times New Roman" w:eastAsia="宋体" w:cs="Times New Roman"/>
                      <w:color w:val="auto"/>
                      <w:spacing w:val="-10"/>
                      <w:sz w:val="18"/>
                      <w:szCs w:val="18"/>
                      <w:highlight w:val="none"/>
                      <w:lang w:val="en-US" w:eastAsia="zh-CN"/>
                    </w:rPr>
                  </w:pPr>
                  <w:r>
                    <w:rPr>
                      <w:rFonts w:hint="eastAsia" w:ascii="Times New Roman" w:hAnsi="Times New Roman" w:cs="Times New Roman"/>
                      <w:color w:val="auto"/>
                      <w:spacing w:val="-10"/>
                      <w:sz w:val="18"/>
                      <w:szCs w:val="18"/>
                      <w:highlight w:val="none"/>
                      <w:lang w:val="en-US" w:eastAsia="zh-CN"/>
                    </w:rPr>
                    <w:t>序号</w:t>
                  </w:r>
                </w:p>
              </w:tc>
              <w:tc>
                <w:tcPr>
                  <w:tcW w:w="1218" w:type="dxa"/>
                  <w:tcBorders>
                    <w:tl2br w:val="nil"/>
                    <w:tr2bl w:val="nil"/>
                  </w:tcBorders>
                  <w:noWrap w:val="0"/>
                  <w:vAlign w:val="center"/>
                </w:tcPr>
                <w:p w14:paraId="5A97BFE6">
                  <w:pPr>
                    <w:widowControl/>
                    <w:spacing w:line="0" w:lineRule="atLeast"/>
                    <w:jc w:val="center"/>
                    <w:rPr>
                      <w:rFonts w:hint="eastAsia" w:ascii="Times New Roman" w:hAnsi="Times New Roman" w:eastAsia="宋体" w:cs="Times New Roman"/>
                      <w:color w:val="auto"/>
                      <w:spacing w:val="-10"/>
                      <w:sz w:val="18"/>
                      <w:szCs w:val="18"/>
                      <w:highlight w:val="none"/>
                      <w:lang w:val="en-US" w:eastAsia="zh-CN"/>
                    </w:rPr>
                  </w:pPr>
                  <w:r>
                    <w:rPr>
                      <w:rFonts w:hint="eastAsia" w:ascii="Times New Roman" w:hAnsi="Times New Roman" w:eastAsia="宋体" w:cs="Times New Roman"/>
                      <w:color w:val="auto"/>
                      <w:spacing w:val="-10"/>
                      <w:sz w:val="18"/>
                      <w:szCs w:val="18"/>
                      <w:highlight w:val="none"/>
                      <w:lang w:val="en-US" w:eastAsia="zh-CN"/>
                    </w:rPr>
                    <w:t>名称</w:t>
                  </w:r>
                </w:p>
              </w:tc>
              <w:tc>
                <w:tcPr>
                  <w:tcW w:w="801" w:type="dxa"/>
                  <w:tcBorders>
                    <w:tl2br w:val="nil"/>
                    <w:tr2bl w:val="nil"/>
                  </w:tcBorders>
                  <w:noWrap w:val="0"/>
                  <w:vAlign w:val="center"/>
                </w:tcPr>
                <w:p w14:paraId="61E85815">
                  <w:pPr>
                    <w:widowControl/>
                    <w:spacing w:line="0" w:lineRule="atLeast"/>
                    <w:jc w:val="center"/>
                    <w:rPr>
                      <w:rFonts w:hint="eastAsia" w:ascii="Times New Roman" w:hAnsi="Times New Roman" w:eastAsia="宋体" w:cs="Times New Roman"/>
                      <w:color w:val="auto"/>
                      <w:spacing w:val="-10"/>
                      <w:sz w:val="18"/>
                      <w:szCs w:val="18"/>
                      <w:highlight w:val="none"/>
                      <w:lang w:val="en-US" w:eastAsia="zh-CN"/>
                    </w:rPr>
                  </w:pPr>
                  <w:r>
                    <w:rPr>
                      <w:rFonts w:hint="eastAsia" w:cs="Times New Roman"/>
                      <w:color w:val="auto"/>
                      <w:spacing w:val="-10"/>
                      <w:sz w:val="18"/>
                      <w:szCs w:val="18"/>
                      <w:highlight w:val="none"/>
                      <w:lang w:val="en-US" w:eastAsia="zh-CN"/>
                    </w:rPr>
                    <w:t>数</w:t>
                  </w:r>
                  <w:r>
                    <w:rPr>
                      <w:rFonts w:hint="eastAsia" w:ascii="Times New Roman" w:hAnsi="Times New Roman" w:eastAsia="宋体" w:cs="Times New Roman"/>
                      <w:color w:val="auto"/>
                      <w:spacing w:val="-10"/>
                      <w:sz w:val="18"/>
                      <w:szCs w:val="18"/>
                      <w:highlight w:val="none"/>
                      <w:lang w:val="en-US" w:eastAsia="zh-CN"/>
                    </w:rPr>
                    <w:t>量</w:t>
                  </w:r>
                </w:p>
              </w:tc>
              <w:tc>
                <w:tcPr>
                  <w:tcW w:w="620" w:type="dxa"/>
                  <w:tcBorders>
                    <w:tl2br w:val="nil"/>
                    <w:tr2bl w:val="nil"/>
                  </w:tcBorders>
                  <w:noWrap w:val="0"/>
                  <w:vAlign w:val="center"/>
                </w:tcPr>
                <w:p w14:paraId="47C47B17">
                  <w:pPr>
                    <w:widowControl/>
                    <w:spacing w:line="0" w:lineRule="atLeast"/>
                    <w:jc w:val="center"/>
                    <w:rPr>
                      <w:rFonts w:hint="eastAsia" w:ascii="Times New Roman" w:hAnsi="Times New Roman" w:eastAsia="宋体" w:cs="Times New Roman"/>
                      <w:color w:val="auto"/>
                      <w:spacing w:val="-10"/>
                      <w:kern w:val="2"/>
                      <w:sz w:val="18"/>
                      <w:szCs w:val="18"/>
                      <w:highlight w:val="none"/>
                      <w:lang w:val="en-US" w:eastAsia="zh-CN" w:bidi="ar-SA"/>
                    </w:rPr>
                  </w:pPr>
                  <w:r>
                    <w:rPr>
                      <w:rFonts w:hint="eastAsia" w:cs="Times New Roman"/>
                      <w:color w:val="auto"/>
                      <w:spacing w:val="-10"/>
                      <w:sz w:val="18"/>
                      <w:szCs w:val="18"/>
                      <w:highlight w:val="none"/>
                      <w:lang w:val="en-US" w:eastAsia="zh-CN"/>
                    </w:rPr>
                    <w:t>含水（%）</w:t>
                  </w:r>
                </w:p>
              </w:tc>
              <w:tc>
                <w:tcPr>
                  <w:tcW w:w="765" w:type="dxa"/>
                  <w:tcBorders>
                    <w:tl2br w:val="nil"/>
                    <w:tr2bl w:val="nil"/>
                  </w:tcBorders>
                  <w:noWrap w:val="0"/>
                  <w:vAlign w:val="center"/>
                </w:tcPr>
                <w:p w14:paraId="549FAD49">
                  <w:pPr>
                    <w:widowControl/>
                    <w:spacing w:line="0" w:lineRule="atLeast"/>
                    <w:jc w:val="center"/>
                    <w:rPr>
                      <w:rFonts w:hint="eastAsia" w:ascii="Times New Roman" w:hAnsi="Times New Roman" w:eastAsia="宋体" w:cs="Times New Roman"/>
                      <w:color w:val="auto"/>
                      <w:spacing w:val="-10"/>
                      <w:kern w:val="2"/>
                      <w:sz w:val="18"/>
                      <w:szCs w:val="18"/>
                      <w:highlight w:val="none"/>
                      <w:lang w:val="en-US" w:eastAsia="zh-CN" w:bidi="ar-SA"/>
                    </w:rPr>
                  </w:pPr>
                  <w:r>
                    <w:rPr>
                      <w:rFonts w:hint="eastAsia" w:cs="Times New Roman"/>
                      <w:color w:val="auto"/>
                      <w:spacing w:val="-10"/>
                      <w:sz w:val="18"/>
                      <w:szCs w:val="18"/>
                      <w:highlight w:val="none"/>
                      <w:lang w:val="en-US" w:eastAsia="zh-CN"/>
                    </w:rPr>
                    <w:t>干重</w:t>
                  </w:r>
                </w:p>
              </w:tc>
            </w:tr>
            <w:tr w14:paraId="775A8FE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2" w:hRule="exact"/>
                <w:jc w:val="center"/>
              </w:trPr>
              <w:tc>
                <w:tcPr>
                  <w:tcW w:w="552" w:type="dxa"/>
                  <w:vMerge w:val="restart"/>
                  <w:tcBorders>
                    <w:tl2br w:val="nil"/>
                    <w:tr2bl w:val="nil"/>
                  </w:tcBorders>
                  <w:noWrap w:val="0"/>
                  <w:vAlign w:val="center"/>
                </w:tcPr>
                <w:p w14:paraId="531D3D06">
                  <w:pPr>
                    <w:widowControl/>
                    <w:spacing w:line="0" w:lineRule="atLeast"/>
                    <w:jc w:val="center"/>
                    <w:rPr>
                      <w:rFonts w:hint="default" w:ascii="Times New Roman" w:hAnsi="Times New Roman" w:eastAsia="宋体" w:cs="Times New Roman"/>
                      <w:color w:val="auto"/>
                      <w:spacing w:val="-10"/>
                      <w:sz w:val="18"/>
                      <w:szCs w:val="18"/>
                      <w:highlight w:val="none"/>
                      <w:lang w:val="en-US" w:eastAsia="zh-CN"/>
                    </w:rPr>
                  </w:pPr>
                  <w:r>
                    <w:rPr>
                      <w:rFonts w:hint="eastAsia" w:cs="Times New Roman"/>
                      <w:color w:val="auto"/>
                      <w:spacing w:val="-10"/>
                      <w:sz w:val="18"/>
                      <w:szCs w:val="18"/>
                      <w:highlight w:val="none"/>
                      <w:lang w:val="en-US" w:eastAsia="zh-CN"/>
                    </w:rPr>
                    <w:t>钢渣处理生产线</w:t>
                  </w:r>
                </w:p>
              </w:tc>
              <w:tc>
                <w:tcPr>
                  <w:tcW w:w="419" w:type="dxa"/>
                  <w:tcBorders>
                    <w:tl2br w:val="nil"/>
                    <w:tr2bl w:val="nil"/>
                  </w:tcBorders>
                  <w:noWrap w:val="0"/>
                  <w:vAlign w:val="center"/>
                </w:tcPr>
                <w:p w14:paraId="34A163DD">
                  <w:pPr>
                    <w:widowControl/>
                    <w:spacing w:line="0" w:lineRule="atLeast"/>
                    <w:jc w:val="center"/>
                    <w:rPr>
                      <w:rFonts w:hint="eastAsia" w:ascii="Times New Roman" w:hAnsi="Times New Roman" w:eastAsia="宋体" w:cs="Times New Roman"/>
                      <w:color w:val="auto"/>
                      <w:spacing w:val="-10"/>
                      <w:kern w:val="2"/>
                      <w:sz w:val="18"/>
                      <w:szCs w:val="18"/>
                      <w:highlight w:val="none"/>
                      <w:lang w:val="en-US" w:eastAsia="zh-CN" w:bidi="ar-SA"/>
                    </w:rPr>
                  </w:pPr>
                  <w:r>
                    <w:rPr>
                      <w:rFonts w:hint="eastAsia" w:ascii="Times New Roman" w:hAnsi="Times New Roman" w:cs="Times New Roman"/>
                      <w:color w:val="auto"/>
                      <w:spacing w:val="-10"/>
                      <w:sz w:val="18"/>
                      <w:szCs w:val="18"/>
                      <w:highlight w:val="none"/>
                      <w:lang w:val="en-US" w:eastAsia="zh-CN"/>
                    </w:rPr>
                    <w:t>1</w:t>
                  </w:r>
                </w:p>
              </w:tc>
              <w:tc>
                <w:tcPr>
                  <w:tcW w:w="1082" w:type="dxa"/>
                  <w:tcBorders>
                    <w:tl2br w:val="nil"/>
                    <w:tr2bl w:val="nil"/>
                  </w:tcBorders>
                  <w:noWrap w:val="0"/>
                  <w:vAlign w:val="center"/>
                </w:tcPr>
                <w:p w14:paraId="600ED038">
                  <w:pPr>
                    <w:widowControl/>
                    <w:spacing w:line="0" w:lineRule="atLeast"/>
                    <w:jc w:val="center"/>
                    <w:rPr>
                      <w:rFonts w:hint="eastAsia" w:cs="Times New Roman"/>
                      <w:color w:val="auto"/>
                      <w:spacing w:val="-10"/>
                      <w:sz w:val="18"/>
                      <w:szCs w:val="18"/>
                      <w:highlight w:val="none"/>
                      <w:lang w:val="en-US" w:eastAsia="zh-CN"/>
                    </w:rPr>
                  </w:pPr>
                  <w:r>
                    <w:rPr>
                      <w:rFonts w:hint="eastAsia" w:cs="Times New Roman"/>
                      <w:color w:val="auto"/>
                      <w:spacing w:val="-10"/>
                      <w:sz w:val="18"/>
                      <w:szCs w:val="18"/>
                      <w:highlight w:val="none"/>
                      <w:lang w:val="en-US" w:eastAsia="zh-CN"/>
                    </w:rPr>
                    <w:t>转炉钢渣</w:t>
                  </w:r>
                </w:p>
              </w:tc>
              <w:tc>
                <w:tcPr>
                  <w:tcW w:w="745" w:type="dxa"/>
                  <w:tcBorders>
                    <w:tl2br w:val="nil"/>
                    <w:tr2bl w:val="nil"/>
                  </w:tcBorders>
                  <w:noWrap w:val="0"/>
                  <w:vAlign w:val="center"/>
                </w:tcPr>
                <w:p w14:paraId="3691EDEC">
                  <w:pPr>
                    <w:widowControl/>
                    <w:spacing w:line="0" w:lineRule="atLeast"/>
                    <w:jc w:val="center"/>
                    <w:rPr>
                      <w:rFonts w:hint="default" w:ascii="Times New Roman" w:hAnsi="Times New Roman" w:eastAsia="宋体" w:cs="Times New Roman"/>
                      <w:color w:val="auto"/>
                      <w:spacing w:val="-10"/>
                      <w:sz w:val="18"/>
                      <w:szCs w:val="18"/>
                      <w:highlight w:val="none"/>
                      <w:lang w:val="en-US" w:eastAsia="zh-CN"/>
                    </w:rPr>
                  </w:pPr>
                  <w:r>
                    <w:rPr>
                      <w:rFonts w:hint="eastAsia" w:ascii="Times New Roman" w:hAnsi="Times New Roman" w:eastAsia="宋体" w:cs="Times New Roman"/>
                      <w:color w:val="auto"/>
                      <w:spacing w:val="-10"/>
                      <w:sz w:val="18"/>
                      <w:szCs w:val="18"/>
                      <w:highlight w:val="none"/>
                      <w:lang w:val="en-US" w:eastAsia="zh-CN"/>
                    </w:rPr>
                    <w:t>200000</w:t>
                  </w:r>
                </w:p>
              </w:tc>
              <w:tc>
                <w:tcPr>
                  <w:tcW w:w="631" w:type="dxa"/>
                  <w:tcBorders>
                    <w:tl2br w:val="nil"/>
                    <w:tr2bl w:val="nil"/>
                  </w:tcBorders>
                  <w:noWrap w:val="0"/>
                  <w:vAlign w:val="center"/>
                </w:tcPr>
                <w:p w14:paraId="48D8A607">
                  <w:pPr>
                    <w:widowControl/>
                    <w:spacing w:line="0" w:lineRule="atLeast"/>
                    <w:jc w:val="center"/>
                    <w:rPr>
                      <w:rFonts w:hint="default" w:ascii="Times New Roman" w:hAnsi="Times New Roman" w:eastAsia="宋体" w:cs="Times New Roman"/>
                      <w:color w:val="auto"/>
                      <w:spacing w:val="-10"/>
                      <w:sz w:val="18"/>
                      <w:szCs w:val="18"/>
                      <w:highlight w:val="none"/>
                      <w:lang w:val="en-US" w:eastAsia="zh-CN"/>
                    </w:rPr>
                  </w:pPr>
                  <w:r>
                    <w:rPr>
                      <w:rFonts w:hint="eastAsia" w:ascii="Times New Roman" w:hAnsi="Times New Roman" w:eastAsia="宋体" w:cs="Times New Roman"/>
                      <w:color w:val="auto"/>
                      <w:spacing w:val="-10"/>
                      <w:sz w:val="18"/>
                      <w:szCs w:val="18"/>
                      <w:highlight w:val="none"/>
                      <w:lang w:val="en-US" w:eastAsia="zh-CN"/>
                    </w:rPr>
                    <w:t>5</w:t>
                  </w:r>
                </w:p>
              </w:tc>
              <w:tc>
                <w:tcPr>
                  <w:tcW w:w="767" w:type="dxa"/>
                  <w:tcBorders>
                    <w:tl2br w:val="nil"/>
                    <w:tr2bl w:val="nil"/>
                  </w:tcBorders>
                  <w:noWrap w:val="0"/>
                  <w:vAlign w:val="center"/>
                </w:tcPr>
                <w:p w14:paraId="2820CD78">
                  <w:pPr>
                    <w:widowControl/>
                    <w:spacing w:line="0" w:lineRule="atLeast"/>
                    <w:jc w:val="center"/>
                    <w:rPr>
                      <w:rFonts w:hint="default" w:ascii="Times New Roman" w:hAnsi="Times New Roman" w:eastAsia="宋体" w:cs="Times New Roman"/>
                      <w:color w:val="auto"/>
                      <w:spacing w:val="-10"/>
                      <w:sz w:val="18"/>
                      <w:szCs w:val="18"/>
                      <w:highlight w:val="none"/>
                      <w:lang w:val="en-US" w:eastAsia="zh-CN"/>
                    </w:rPr>
                  </w:pPr>
                  <w:r>
                    <w:rPr>
                      <w:rFonts w:hint="eastAsia" w:ascii="Times New Roman" w:hAnsi="Times New Roman" w:eastAsia="宋体" w:cs="Times New Roman"/>
                      <w:color w:val="auto"/>
                      <w:spacing w:val="-10"/>
                      <w:sz w:val="18"/>
                      <w:szCs w:val="18"/>
                      <w:highlight w:val="none"/>
                      <w:lang w:val="en-US" w:eastAsia="zh-CN"/>
                    </w:rPr>
                    <w:t>190000</w:t>
                  </w:r>
                </w:p>
              </w:tc>
              <w:tc>
                <w:tcPr>
                  <w:tcW w:w="474" w:type="dxa"/>
                  <w:tcBorders>
                    <w:tl2br w:val="nil"/>
                    <w:tr2bl w:val="nil"/>
                  </w:tcBorders>
                  <w:noWrap w:val="0"/>
                  <w:vAlign w:val="center"/>
                </w:tcPr>
                <w:p w14:paraId="3BCEA456">
                  <w:pPr>
                    <w:widowControl/>
                    <w:spacing w:line="0" w:lineRule="atLeast"/>
                    <w:jc w:val="center"/>
                    <w:rPr>
                      <w:rFonts w:hint="default" w:ascii="Times New Roman" w:hAnsi="Times New Roman" w:eastAsia="宋体" w:cs="Times New Roman"/>
                      <w:color w:val="auto"/>
                      <w:spacing w:val="-10"/>
                      <w:sz w:val="18"/>
                      <w:szCs w:val="18"/>
                      <w:highlight w:val="none"/>
                      <w:lang w:val="en-US" w:eastAsia="zh-CN"/>
                    </w:rPr>
                  </w:pPr>
                  <w:r>
                    <w:rPr>
                      <w:rFonts w:hint="eastAsia" w:ascii="Times New Roman" w:hAnsi="Times New Roman" w:cs="Times New Roman"/>
                      <w:color w:val="auto"/>
                      <w:spacing w:val="-10"/>
                      <w:sz w:val="18"/>
                      <w:szCs w:val="18"/>
                      <w:highlight w:val="none"/>
                      <w:lang w:val="en-US" w:eastAsia="zh-CN"/>
                    </w:rPr>
                    <w:t>1</w:t>
                  </w:r>
                </w:p>
              </w:tc>
              <w:tc>
                <w:tcPr>
                  <w:tcW w:w="1218" w:type="dxa"/>
                  <w:tcBorders>
                    <w:tl2br w:val="nil"/>
                    <w:tr2bl w:val="nil"/>
                  </w:tcBorders>
                  <w:noWrap w:val="0"/>
                  <w:vAlign w:val="center"/>
                </w:tcPr>
                <w:p w14:paraId="66579370">
                  <w:pPr>
                    <w:widowControl/>
                    <w:spacing w:line="0" w:lineRule="atLeast"/>
                    <w:jc w:val="center"/>
                    <w:rPr>
                      <w:rFonts w:hint="eastAsia" w:ascii="Times New Roman" w:hAnsi="Times New Roman" w:eastAsia="宋体" w:cs="Times New Roman"/>
                      <w:color w:val="auto"/>
                      <w:spacing w:val="-10"/>
                      <w:kern w:val="2"/>
                      <w:sz w:val="18"/>
                      <w:szCs w:val="18"/>
                      <w:highlight w:val="none"/>
                      <w:lang w:val="en-US" w:eastAsia="zh-CN" w:bidi="ar-SA"/>
                    </w:rPr>
                  </w:pPr>
                  <w:r>
                    <w:rPr>
                      <w:rFonts w:hint="eastAsia" w:ascii="Times New Roman" w:hAnsi="Times New Roman" w:eastAsia="宋体" w:cs="Times New Roman"/>
                      <w:color w:val="auto"/>
                      <w:spacing w:val="-10"/>
                      <w:kern w:val="2"/>
                      <w:sz w:val="18"/>
                      <w:szCs w:val="18"/>
                      <w:highlight w:val="none"/>
                      <w:lang w:val="en-US" w:eastAsia="zh-CN" w:bidi="ar-SA"/>
                    </w:rPr>
                    <w:t>磁性钢渣粉</w:t>
                  </w:r>
                </w:p>
              </w:tc>
              <w:tc>
                <w:tcPr>
                  <w:tcW w:w="801" w:type="dxa"/>
                  <w:tcBorders>
                    <w:tl2br w:val="nil"/>
                    <w:tr2bl w:val="nil"/>
                  </w:tcBorders>
                  <w:noWrap w:val="0"/>
                  <w:vAlign w:val="center"/>
                </w:tcPr>
                <w:p w14:paraId="172EC141">
                  <w:pPr>
                    <w:widowControl/>
                    <w:spacing w:line="0" w:lineRule="atLeast"/>
                    <w:jc w:val="center"/>
                    <w:rPr>
                      <w:rFonts w:hint="default" w:ascii="Times New Roman" w:hAnsi="Times New Roman" w:eastAsia="宋体" w:cs="Times New Roman"/>
                      <w:color w:val="auto"/>
                      <w:spacing w:val="-10"/>
                      <w:sz w:val="18"/>
                      <w:szCs w:val="18"/>
                      <w:highlight w:val="none"/>
                      <w:lang w:val="en-US" w:eastAsia="zh-CN"/>
                    </w:rPr>
                  </w:pPr>
                  <w:r>
                    <w:rPr>
                      <w:rFonts w:hint="default" w:ascii="Times New Roman" w:hAnsi="Times New Roman" w:eastAsia="宋体" w:cs="Times New Roman"/>
                      <w:color w:val="auto"/>
                      <w:spacing w:val="-10"/>
                      <w:sz w:val="18"/>
                      <w:szCs w:val="18"/>
                      <w:highlight w:val="none"/>
                      <w:lang w:val="en-US" w:eastAsia="zh-CN"/>
                    </w:rPr>
                    <w:t>40000</w:t>
                  </w:r>
                </w:p>
              </w:tc>
              <w:tc>
                <w:tcPr>
                  <w:tcW w:w="620" w:type="dxa"/>
                  <w:tcBorders>
                    <w:tl2br w:val="nil"/>
                    <w:tr2bl w:val="nil"/>
                  </w:tcBorders>
                  <w:noWrap w:val="0"/>
                  <w:vAlign w:val="center"/>
                </w:tcPr>
                <w:p w14:paraId="5D577C5D">
                  <w:pPr>
                    <w:widowControl/>
                    <w:spacing w:line="0" w:lineRule="atLeast"/>
                    <w:jc w:val="center"/>
                    <w:rPr>
                      <w:rFonts w:hint="default" w:ascii="Times New Roman" w:hAnsi="Times New Roman" w:eastAsia="宋体" w:cs="Times New Roman"/>
                      <w:color w:val="auto"/>
                      <w:spacing w:val="-10"/>
                      <w:sz w:val="18"/>
                      <w:szCs w:val="18"/>
                      <w:highlight w:val="none"/>
                      <w:lang w:val="en-US" w:eastAsia="zh-CN"/>
                    </w:rPr>
                  </w:pPr>
                  <w:r>
                    <w:rPr>
                      <w:rFonts w:hint="default" w:ascii="Times New Roman" w:hAnsi="Times New Roman" w:eastAsia="宋体" w:cs="Times New Roman"/>
                      <w:color w:val="auto"/>
                      <w:spacing w:val="-10"/>
                      <w:sz w:val="18"/>
                      <w:szCs w:val="18"/>
                      <w:highlight w:val="none"/>
                      <w:lang w:val="en-US" w:eastAsia="zh-CN"/>
                    </w:rPr>
                    <w:t>12</w:t>
                  </w:r>
                </w:p>
              </w:tc>
              <w:tc>
                <w:tcPr>
                  <w:tcW w:w="765" w:type="dxa"/>
                  <w:tcBorders>
                    <w:tl2br w:val="nil"/>
                    <w:tr2bl w:val="nil"/>
                  </w:tcBorders>
                  <w:noWrap w:val="0"/>
                  <w:vAlign w:val="center"/>
                </w:tcPr>
                <w:p w14:paraId="3313F7D5">
                  <w:pPr>
                    <w:widowControl/>
                    <w:spacing w:line="0" w:lineRule="atLeast"/>
                    <w:jc w:val="center"/>
                    <w:rPr>
                      <w:rFonts w:hint="default" w:ascii="Times New Roman" w:hAnsi="Times New Roman" w:eastAsia="宋体" w:cs="Times New Roman"/>
                      <w:color w:val="auto"/>
                      <w:spacing w:val="-10"/>
                      <w:sz w:val="18"/>
                      <w:szCs w:val="18"/>
                      <w:highlight w:val="none"/>
                      <w:lang w:val="en-US" w:eastAsia="zh-CN"/>
                    </w:rPr>
                  </w:pPr>
                  <w:r>
                    <w:rPr>
                      <w:rFonts w:hint="eastAsia" w:ascii="Times New Roman" w:hAnsi="Times New Roman" w:eastAsia="宋体" w:cs="Times New Roman"/>
                      <w:color w:val="auto"/>
                      <w:spacing w:val="-10"/>
                      <w:sz w:val="18"/>
                      <w:szCs w:val="18"/>
                      <w:lang w:val="en-US" w:eastAsia="zh-CN"/>
                    </w:rPr>
                    <w:t>35200</w:t>
                  </w:r>
                </w:p>
              </w:tc>
            </w:tr>
            <w:tr w14:paraId="60014D7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52" w:type="dxa"/>
                  <w:vMerge w:val="continue"/>
                  <w:tcBorders>
                    <w:tl2br w:val="nil"/>
                    <w:tr2bl w:val="nil"/>
                  </w:tcBorders>
                  <w:noWrap w:val="0"/>
                  <w:vAlign w:val="center"/>
                </w:tcPr>
                <w:p w14:paraId="5DAB595E">
                  <w:pPr>
                    <w:widowControl/>
                    <w:spacing w:line="0" w:lineRule="atLeast"/>
                    <w:jc w:val="center"/>
                    <w:rPr>
                      <w:rFonts w:hint="default" w:ascii="Times New Roman" w:hAnsi="Times New Roman" w:eastAsia="宋体" w:cs="Times New Roman"/>
                      <w:color w:val="auto"/>
                      <w:spacing w:val="-10"/>
                      <w:sz w:val="18"/>
                      <w:szCs w:val="18"/>
                      <w:highlight w:val="none"/>
                      <w:lang w:val="en-US" w:eastAsia="zh-CN"/>
                    </w:rPr>
                  </w:pPr>
                </w:p>
              </w:tc>
              <w:tc>
                <w:tcPr>
                  <w:tcW w:w="419" w:type="dxa"/>
                  <w:tcBorders>
                    <w:tl2br w:val="nil"/>
                    <w:tr2bl w:val="nil"/>
                  </w:tcBorders>
                  <w:noWrap w:val="0"/>
                  <w:vAlign w:val="center"/>
                </w:tcPr>
                <w:p w14:paraId="03AB852F">
                  <w:pPr>
                    <w:widowControl/>
                    <w:spacing w:line="0" w:lineRule="atLeast"/>
                    <w:jc w:val="center"/>
                    <w:rPr>
                      <w:rFonts w:hint="eastAsia" w:ascii="Times New Roman" w:hAnsi="Times New Roman" w:eastAsia="宋体" w:cs="Times New Roman"/>
                      <w:color w:val="auto"/>
                      <w:spacing w:val="-10"/>
                      <w:kern w:val="2"/>
                      <w:sz w:val="18"/>
                      <w:szCs w:val="18"/>
                      <w:highlight w:val="none"/>
                      <w:lang w:val="en-US" w:eastAsia="zh-CN" w:bidi="ar-SA"/>
                    </w:rPr>
                  </w:pPr>
                  <w:r>
                    <w:rPr>
                      <w:rFonts w:hint="eastAsia" w:cs="Times New Roman"/>
                      <w:color w:val="auto"/>
                      <w:spacing w:val="-10"/>
                      <w:sz w:val="18"/>
                      <w:szCs w:val="18"/>
                      <w:highlight w:val="none"/>
                      <w:lang w:val="en-US" w:eastAsia="zh-CN"/>
                    </w:rPr>
                    <w:t>2</w:t>
                  </w:r>
                </w:p>
              </w:tc>
              <w:tc>
                <w:tcPr>
                  <w:tcW w:w="1082" w:type="dxa"/>
                  <w:tcBorders>
                    <w:tl2br w:val="nil"/>
                    <w:tr2bl w:val="nil"/>
                  </w:tcBorders>
                  <w:noWrap w:val="0"/>
                  <w:vAlign w:val="center"/>
                </w:tcPr>
                <w:p w14:paraId="24324D33">
                  <w:pPr>
                    <w:widowControl/>
                    <w:spacing w:line="0" w:lineRule="atLeast"/>
                    <w:jc w:val="center"/>
                    <w:rPr>
                      <w:rFonts w:hint="eastAsia" w:cs="Times New Roman"/>
                      <w:color w:val="auto"/>
                      <w:spacing w:val="-10"/>
                      <w:sz w:val="18"/>
                      <w:szCs w:val="18"/>
                      <w:highlight w:val="none"/>
                      <w:lang w:val="en-US" w:eastAsia="zh-CN"/>
                    </w:rPr>
                  </w:pPr>
                  <w:r>
                    <w:rPr>
                      <w:rFonts w:hint="eastAsia" w:cs="Times New Roman"/>
                      <w:color w:val="auto"/>
                      <w:spacing w:val="-10"/>
                      <w:sz w:val="18"/>
                      <w:szCs w:val="18"/>
                      <w:highlight w:val="none"/>
                      <w:lang w:val="en-US" w:eastAsia="zh-CN"/>
                    </w:rPr>
                    <w:t>钢球</w:t>
                  </w:r>
                </w:p>
              </w:tc>
              <w:tc>
                <w:tcPr>
                  <w:tcW w:w="745" w:type="dxa"/>
                  <w:tcBorders>
                    <w:tl2br w:val="nil"/>
                    <w:tr2bl w:val="nil"/>
                  </w:tcBorders>
                  <w:noWrap w:val="0"/>
                  <w:vAlign w:val="center"/>
                </w:tcPr>
                <w:p w14:paraId="618273CA">
                  <w:pPr>
                    <w:widowControl/>
                    <w:spacing w:line="0" w:lineRule="atLeast"/>
                    <w:jc w:val="center"/>
                    <w:rPr>
                      <w:rFonts w:hint="default" w:ascii="Times New Roman" w:hAnsi="Times New Roman" w:eastAsia="宋体" w:cs="Times New Roman"/>
                      <w:color w:val="auto"/>
                      <w:spacing w:val="-10"/>
                      <w:sz w:val="18"/>
                      <w:szCs w:val="18"/>
                      <w:highlight w:val="none"/>
                      <w:lang w:val="en-US" w:eastAsia="zh-CN"/>
                    </w:rPr>
                  </w:pPr>
                  <w:r>
                    <w:rPr>
                      <w:rFonts w:hint="eastAsia" w:ascii="Times New Roman" w:hAnsi="Times New Roman" w:eastAsia="宋体" w:cs="Times New Roman"/>
                      <w:color w:val="auto"/>
                      <w:spacing w:val="-10"/>
                      <w:sz w:val="18"/>
                      <w:szCs w:val="18"/>
                      <w:highlight w:val="none"/>
                      <w:lang w:val="en-US" w:eastAsia="zh-CN"/>
                    </w:rPr>
                    <w:t>15</w:t>
                  </w:r>
                </w:p>
              </w:tc>
              <w:tc>
                <w:tcPr>
                  <w:tcW w:w="631" w:type="dxa"/>
                  <w:tcBorders>
                    <w:tl2br w:val="nil"/>
                    <w:tr2bl w:val="nil"/>
                  </w:tcBorders>
                  <w:noWrap w:val="0"/>
                  <w:vAlign w:val="center"/>
                </w:tcPr>
                <w:p w14:paraId="126E6E64">
                  <w:pPr>
                    <w:widowControl/>
                    <w:spacing w:line="0" w:lineRule="atLeast"/>
                    <w:jc w:val="center"/>
                    <w:rPr>
                      <w:rFonts w:hint="default" w:ascii="Times New Roman" w:hAnsi="Times New Roman" w:eastAsia="宋体" w:cs="Times New Roman"/>
                      <w:color w:val="auto"/>
                      <w:spacing w:val="-10"/>
                      <w:sz w:val="18"/>
                      <w:szCs w:val="18"/>
                      <w:highlight w:val="none"/>
                      <w:lang w:val="en-US" w:eastAsia="zh-CN"/>
                    </w:rPr>
                  </w:pPr>
                  <w:r>
                    <w:rPr>
                      <w:rFonts w:hint="eastAsia" w:ascii="Times New Roman" w:hAnsi="Times New Roman" w:eastAsia="宋体" w:cs="Times New Roman"/>
                      <w:color w:val="auto"/>
                      <w:spacing w:val="-10"/>
                      <w:sz w:val="18"/>
                      <w:szCs w:val="18"/>
                      <w:highlight w:val="none"/>
                      <w:lang w:val="en-US" w:eastAsia="zh-CN"/>
                    </w:rPr>
                    <w:t>0</w:t>
                  </w:r>
                </w:p>
              </w:tc>
              <w:tc>
                <w:tcPr>
                  <w:tcW w:w="767" w:type="dxa"/>
                  <w:tcBorders>
                    <w:tl2br w:val="nil"/>
                    <w:tr2bl w:val="nil"/>
                  </w:tcBorders>
                  <w:noWrap w:val="0"/>
                  <w:vAlign w:val="center"/>
                </w:tcPr>
                <w:p w14:paraId="6F45C44D">
                  <w:pPr>
                    <w:widowControl/>
                    <w:spacing w:line="0" w:lineRule="atLeast"/>
                    <w:jc w:val="center"/>
                    <w:rPr>
                      <w:rFonts w:hint="default" w:ascii="Times New Roman" w:hAnsi="Times New Roman" w:eastAsia="宋体" w:cs="Times New Roman"/>
                      <w:color w:val="auto"/>
                      <w:spacing w:val="-10"/>
                      <w:sz w:val="18"/>
                      <w:szCs w:val="18"/>
                      <w:highlight w:val="none"/>
                      <w:lang w:val="en-US" w:eastAsia="zh-CN"/>
                    </w:rPr>
                  </w:pPr>
                  <w:r>
                    <w:rPr>
                      <w:rFonts w:hint="eastAsia" w:ascii="Times New Roman" w:hAnsi="Times New Roman" w:eastAsia="宋体" w:cs="Times New Roman"/>
                      <w:color w:val="auto"/>
                      <w:spacing w:val="-10"/>
                      <w:sz w:val="18"/>
                      <w:szCs w:val="18"/>
                      <w:highlight w:val="none"/>
                      <w:lang w:val="en-US" w:eastAsia="zh-CN"/>
                    </w:rPr>
                    <w:t>15</w:t>
                  </w:r>
                </w:p>
              </w:tc>
              <w:tc>
                <w:tcPr>
                  <w:tcW w:w="474" w:type="dxa"/>
                  <w:tcBorders>
                    <w:tl2br w:val="nil"/>
                    <w:tr2bl w:val="nil"/>
                  </w:tcBorders>
                  <w:noWrap w:val="0"/>
                  <w:vAlign w:val="center"/>
                </w:tcPr>
                <w:p w14:paraId="2992B739">
                  <w:pPr>
                    <w:widowControl/>
                    <w:spacing w:line="0" w:lineRule="atLeast"/>
                    <w:jc w:val="center"/>
                    <w:rPr>
                      <w:rFonts w:hint="default" w:ascii="Times New Roman" w:hAnsi="Times New Roman" w:eastAsia="宋体" w:cs="Times New Roman"/>
                      <w:color w:val="auto"/>
                      <w:spacing w:val="-10"/>
                      <w:sz w:val="18"/>
                      <w:szCs w:val="18"/>
                      <w:highlight w:val="none"/>
                      <w:lang w:val="en-US" w:eastAsia="zh-CN"/>
                    </w:rPr>
                  </w:pPr>
                  <w:r>
                    <w:rPr>
                      <w:rFonts w:hint="eastAsia" w:ascii="Times New Roman" w:hAnsi="Times New Roman" w:cs="Times New Roman"/>
                      <w:color w:val="auto"/>
                      <w:spacing w:val="-10"/>
                      <w:sz w:val="18"/>
                      <w:szCs w:val="18"/>
                      <w:highlight w:val="none"/>
                      <w:lang w:val="en-US" w:eastAsia="zh-CN"/>
                    </w:rPr>
                    <w:t>2</w:t>
                  </w:r>
                </w:p>
              </w:tc>
              <w:tc>
                <w:tcPr>
                  <w:tcW w:w="1218" w:type="dxa"/>
                  <w:tcBorders>
                    <w:tl2br w:val="nil"/>
                    <w:tr2bl w:val="nil"/>
                  </w:tcBorders>
                  <w:noWrap w:val="0"/>
                  <w:vAlign w:val="center"/>
                </w:tcPr>
                <w:p w14:paraId="6EFC06B1">
                  <w:pPr>
                    <w:widowControl/>
                    <w:spacing w:line="0" w:lineRule="atLeast"/>
                    <w:jc w:val="center"/>
                    <w:rPr>
                      <w:rFonts w:hint="default" w:ascii="Times New Roman" w:hAnsi="Times New Roman" w:eastAsia="宋体" w:cs="Times New Roman"/>
                      <w:color w:val="auto"/>
                      <w:spacing w:val="-10"/>
                      <w:kern w:val="2"/>
                      <w:sz w:val="18"/>
                      <w:szCs w:val="18"/>
                      <w:highlight w:val="none"/>
                      <w:lang w:val="en-US" w:eastAsia="zh-CN" w:bidi="ar-SA"/>
                    </w:rPr>
                  </w:pPr>
                  <w:r>
                    <w:rPr>
                      <w:rFonts w:hint="eastAsia" w:ascii="Times New Roman" w:hAnsi="Times New Roman" w:eastAsia="宋体" w:cs="Times New Roman"/>
                      <w:color w:val="auto"/>
                      <w:spacing w:val="-10"/>
                      <w:kern w:val="2"/>
                      <w:sz w:val="18"/>
                      <w:szCs w:val="18"/>
                      <w:highlight w:val="none"/>
                      <w:lang w:val="en-US" w:eastAsia="zh-CN" w:bidi="ar-SA"/>
                    </w:rPr>
                    <w:t>废钢渣</w:t>
                  </w:r>
                </w:p>
              </w:tc>
              <w:tc>
                <w:tcPr>
                  <w:tcW w:w="801" w:type="dxa"/>
                  <w:tcBorders>
                    <w:tl2br w:val="nil"/>
                    <w:tr2bl w:val="nil"/>
                  </w:tcBorders>
                  <w:noWrap w:val="0"/>
                  <w:vAlign w:val="center"/>
                </w:tcPr>
                <w:p w14:paraId="7C4B2E08">
                  <w:pPr>
                    <w:widowControl/>
                    <w:spacing w:line="0" w:lineRule="atLeast"/>
                    <w:jc w:val="center"/>
                    <w:rPr>
                      <w:rFonts w:hint="default" w:ascii="Times New Roman" w:hAnsi="Times New Roman" w:eastAsia="宋体" w:cs="Times New Roman"/>
                      <w:color w:val="auto"/>
                      <w:spacing w:val="-10"/>
                      <w:sz w:val="18"/>
                      <w:szCs w:val="18"/>
                      <w:highlight w:val="none"/>
                      <w:lang w:val="en-US" w:eastAsia="zh-CN"/>
                    </w:rPr>
                  </w:pPr>
                  <w:r>
                    <w:rPr>
                      <w:rFonts w:hint="default" w:ascii="Times New Roman" w:hAnsi="Times New Roman" w:eastAsia="宋体" w:cs="Times New Roman"/>
                      <w:color w:val="auto"/>
                      <w:spacing w:val="-10"/>
                      <w:sz w:val="18"/>
                      <w:szCs w:val="18"/>
                      <w:highlight w:val="none"/>
                      <w:lang w:val="en-US" w:eastAsia="zh-CN"/>
                    </w:rPr>
                    <w:t>1</w:t>
                  </w:r>
                  <w:r>
                    <w:rPr>
                      <w:rFonts w:hint="eastAsia" w:cs="Times New Roman"/>
                      <w:color w:val="auto"/>
                      <w:spacing w:val="-10"/>
                      <w:sz w:val="18"/>
                      <w:szCs w:val="18"/>
                      <w:highlight w:val="none"/>
                      <w:lang w:val="en-US" w:eastAsia="zh-CN"/>
                    </w:rPr>
                    <w:t>6</w:t>
                  </w:r>
                  <w:r>
                    <w:rPr>
                      <w:rFonts w:hint="default" w:ascii="Times New Roman" w:hAnsi="Times New Roman" w:eastAsia="宋体" w:cs="Times New Roman"/>
                      <w:color w:val="auto"/>
                      <w:spacing w:val="-10"/>
                      <w:sz w:val="18"/>
                      <w:szCs w:val="18"/>
                      <w:highlight w:val="none"/>
                      <w:lang w:val="en-US" w:eastAsia="zh-CN"/>
                    </w:rPr>
                    <w:t>4000</w:t>
                  </w:r>
                </w:p>
              </w:tc>
              <w:tc>
                <w:tcPr>
                  <w:tcW w:w="620" w:type="dxa"/>
                  <w:tcBorders>
                    <w:tl2br w:val="nil"/>
                    <w:tr2bl w:val="nil"/>
                  </w:tcBorders>
                  <w:noWrap w:val="0"/>
                  <w:vAlign w:val="center"/>
                </w:tcPr>
                <w:p w14:paraId="5A624A29">
                  <w:pPr>
                    <w:widowControl/>
                    <w:spacing w:line="0" w:lineRule="atLeast"/>
                    <w:jc w:val="center"/>
                    <w:rPr>
                      <w:rFonts w:hint="default" w:ascii="Times New Roman" w:hAnsi="Times New Roman" w:eastAsia="宋体" w:cs="Times New Roman"/>
                      <w:color w:val="auto"/>
                      <w:spacing w:val="-10"/>
                      <w:sz w:val="18"/>
                      <w:szCs w:val="18"/>
                      <w:highlight w:val="none"/>
                      <w:lang w:val="en-US" w:eastAsia="zh-CN"/>
                    </w:rPr>
                  </w:pPr>
                  <w:r>
                    <w:rPr>
                      <w:rFonts w:hint="eastAsia" w:cs="Times New Roman"/>
                      <w:color w:val="auto"/>
                      <w:spacing w:val="-10"/>
                      <w:sz w:val="18"/>
                      <w:szCs w:val="18"/>
                      <w:highlight w:val="none"/>
                      <w:lang w:val="en-US" w:eastAsia="zh-CN"/>
                    </w:rPr>
                    <w:t>12</w:t>
                  </w:r>
                </w:p>
              </w:tc>
              <w:tc>
                <w:tcPr>
                  <w:tcW w:w="765" w:type="dxa"/>
                  <w:tcBorders>
                    <w:tl2br w:val="nil"/>
                    <w:tr2bl w:val="nil"/>
                  </w:tcBorders>
                  <w:noWrap w:val="0"/>
                  <w:vAlign w:val="center"/>
                </w:tcPr>
                <w:p w14:paraId="030B8CBA">
                  <w:pPr>
                    <w:widowControl/>
                    <w:spacing w:line="0" w:lineRule="atLeast"/>
                    <w:jc w:val="center"/>
                    <w:rPr>
                      <w:rFonts w:hint="default" w:ascii="Times New Roman" w:hAnsi="Times New Roman" w:eastAsia="宋体" w:cs="Times New Roman"/>
                      <w:color w:val="auto"/>
                      <w:spacing w:val="-10"/>
                      <w:sz w:val="18"/>
                      <w:szCs w:val="18"/>
                      <w:highlight w:val="none"/>
                      <w:lang w:val="en-US" w:eastAsia="zh-CN"/>
                    </w:rPr>
                  </w:pPr>
                  <w:r>
                    <w:rPr>
                      <w:rFonts w:hint="eastAsia" w:ascii="Times New Roman" w:hAnsi="Times New Roman" w:eastAsia="宋体" w:cs="Times New Roman"/>
                      <w:color w:val="auto"/>
                      <w:spacing w:val="-10"/>
                      <w:sz w:val="18"/>
                      <w:szCs w:val="18"/>
                      <w:lang w:val="en-US" w:eastAsia="zh-CN"/>
                    </w:rPr>
                    <w:t>144320</w:t>
                  </w:r>
                </w:p>
              </w:tc>
            </w:tr>
            <w:tr w14:paraId="16FB3B7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2" w:hRule="exact"/>
                <w:jc w:val="center"/>
              </w:trPr>
              <w:tc>
                <w:tcPr>
                  <w:tcW w:w="552" w:type="dxa"/>
                  <w:vMerge w:val="continue"/>
                  <w:tcBorders>
                    <w:tl2br w:val="nil"/>
                    <w:tr2bl w:val="nil"/>
                  </w:tcBorders>
                  <w:noWrap w:val="0"/>
                  <w:vAlign w:val="center"/>
                </w:tcPr>
                <w:p w14:paraId="1189C9AF">
                  <w:pPr>
                    <w:widowControl/>
                    <w:spacing w:line="0" w:lineRule="atLeast"/>
                    <w:jc w:val="center"/>
                    <w:rPr>
                      <w:rFonts w:hint="eastAsia" w:ascii="Times New Roman" w:hAnsi="Times New Roman" w:eastAsia="宋体" w:cs="Times New Roman"/>
                      <w:color w:val="auto"/>
                      <w:spacing w:val="-10"/>
                      <w:sz w:val="18"/>
                      <w:szCs w:val="18"/>
                      <w:highlight w:val="none"/>
                      <w:lang w:val="en-US" w:eastAsia="zh-CN"/>
                    </w:rPr>
                  </w:pPr>
                </w:p>
              </w:tc>
              <w:tc>
                <w:tcPr>
                  <w:tcW w:w="419" w:type="dxa"/>
                  <w:tcBorders>
                    <w:tl2br w:val="nil"/>
                    <w:tr2bl w:val="nil"/>
                  </w:tcBorders>
                  <w:noWrap w:val="0"/>
                  <w:vAlign w:val="center"/>
                </w:tcPr>
                <w:p w14:paraId="61C02CA3">
                  <w:pPr>
                    <w:widowControl/>
                    <w:spacing w:line="0" w:lineRule="atLeast"/>
                    <w:jc w:val="center"/>
                    <w:rPr>
                      <w:rFonts w:hint="eastAsia" w:ascii="Times New Roman" w:hAnsi="Times New Roman" w:eastAsia="宋体" w:cs="Times New Roman"/>
                      <w:color w:val="auto"/>
                      <w:spacing w:val="-10"/>
                      <w:kern w:val="2"/>
                      <w:sz w:val="18"/>
                      <w:szCs w:val="18"/>
                      <w:highlight w:val="none"/>
                      <w:lang w:val="en-US" w:eastAsia="zh-CN" w:bidi="ar-SA"/>
                    </w:rPr>
                  </w:pPr>
                  <w:r>
                    <w:rPr>
                      <w:rFonts w:hint="eastAsia" w:cs="Times New Roman"/>
                      <w:color w:val="auto"/>
                      <w:spacing w:val="-10"/>
                      <w:kern w:val="2"/>
                      <w:sz w:val="18"/>
                      <w:szCs w:val="18"/>
                      <w:highlight w:val="none"/>
                      <w:lang w:val="en-US" w:eastAsia="zh-CN" w:bidi="ar-SA"/>
                    </w:rPr>
                    <w:t>--</w:t>
                  </w:r>
                </w:p>
              </w:tc>
              <w:tc>
                <w:tcPr>
                  <w:tcW w:w="1082" w:type="dxa"/>
                  <w:tcBorders>
                    <w:tl2br w:val="nil"/>
                    <w:tr2bl w:val="nil"/>
                  </w:tcBorders>
                  <w:noWrap w:val="0"/>
                  <w:vAlign w:val="center"/>
                </w:tcPr>
                <w:p w14:paraId="5B9840F5">
                  <w:pPr>
                    <w:widowControl/>
                    <w:spacing w:line="0" w:lineRule="atLeast"/>
                    <w:jc w:val="center"/>
                    <w:rPr>
                      <w:rFonts w:hint="eastAsia" w:ascii="Times New Roman" w:hAnsi="Times New Roman" w:eastAsia="宋体" w:cs="Times New Roman"/>
                      <w:color w:val="auto"/>
                      <w:spacing w:val="-10"/>
                      <w:kern w:val="2"/>
                      <w:sz w:val="18"/>
                      <w:szCs w:val="18"/>
                      <w:highlight w:val="none"/>
                      <w:lang w:val="en-US" w:eastAsia="zh-CN" w:bidi="ar-SA"/>
                    </w:rPr>
                  </w:pPr>
                  <w:r>
                    <w:rPr>
                      <w:rFonts w:hint="eastAsia" w:cs="Times New Roman"/>
                      <w:color w:val="auto"/>
                      <w:spacing w:val="-10"/>
                      <w:kern w:val="2"/>
                      <w:sz w:val="18"/>
                      <w:szCs w:val="18"/>
                      <w:highlight w:val="none"/>
                      <w:lang w:val="en-US" w:eastAsia="zh-CN" w:bidi="ar-SA"/>
                    </w:rPr>
                    <w:t>--</w:t>
                  </w:r>
                </w:p>
              </w:tc>
              <w:tc>
                <w:tcPr>
                  <w:tcW w:w="745" w:type="dxa"/>
                  <w:tcBorders>
                    <w:tl2br w:val="nil"/>
                    <w:tr2bl w:val="nil"/>
                  </w:tcBorders>
                  <w:noWrap w:val="0"/>
                  <w:vAlign w:val="center"/>
                </w:tcPr>
                <w:p w14:paraId="7AF6BF01">
                  <w:pPr>
                    <w:widowControl/>
                    <w:spacing w:line="0" w:lineRule="atLeast"/>
                    <w:jc w:val="center"/>
                    <w:rPr>
                      <w:rFonts w:hint="eastAsia" w:ascii="Times New Roman" w:hAnsi="Times New Roman" w:eastAsia="宋体" w:cs="Times New Roman"/>
                      <w:color w:val="auto"/>
                      <w:spacing w:val="-10"/>
                      <w:kern w:val="2"/>
                      <w:sz w:val="18"/>
                      <w:szCs w:val="18"/>
                      <w:highlight w:val="none"/>
                      <w:lang w:val="en-US" w:eastAsia="zh-CN" w:bidi="ar-SA"/>
                    </w:rPr>
                  </w:pPr>
                  <w:r>
                    <w:rPr>
                      <w:rFonts w:hint="eastAsia" w:cs="Times New Roman"/>
                      <w:color w:val="auto"/>
                      <w:spacing w:val="-10"/>
                      <w:sz w:val="18"/>
                      <w:szCs w:val="18"/>
                      <w:highlight w:val="none"/>
                      <w:lang w:val="en-US" w:eastAsia="zh-CN"/>
                    </w:rPr>
                    <w:t>--</w:t>
                  </w:r>
                </w:p>
              </w:tc>
              <w:tc>
                <w:tcPr>
                  <w:tcW w:w="631" w:type="dxa"/>
                  <w:tcBorders>
                    <w:tl2br w:val="nil"/>
                    <w:tr2bl w:val="nil"/>
                  </w:tcBorders>
                  <w:noWrap w:val="0"/>
                  <w:vAlign w:val="center"/>
                </w:tcPr>
                <w:p w14:paraId="19EA6EA6">
                  <w:pPr>
                    <w:widowControl/>
                    <w:spacing w:line="0" w:lineRule="atLeast"/>
                    <w:jc w:val="center"/>
                    <w:rPr>
                      <w:rFonts w:hint="eastAsia" w:ascii="Times New Roman" w:hAnsi="Times New Roman" w:eastAsia="宋体" w:cs="Times New Roman"/>
                      <w:color w:val="auto"/>
                      <w:spacing w:val="-10"/>
                      <w:kern w:val="2"/>
                      <w:sz w:val="18"/>
                      <w:szCs w:val="18"/>
                      <w:highlight w:val="none"/>
                      <w:lang w:val="en-US" w:eastAsia="zh-CN" w:bidi="ar-SA"/>
                    </w:rPr>
                  </w:pPr>
                  <w:r>
                    <w:rPr>
                      <w:rFonts w:hint="eastAsia" w:cs="Times New Roman"/>
                      <w:color w:val="auto"/>
                      <w:spacing w:val="-10"/>
                      <w:sz w:val="18"/>
                      <w:szCs w:val="18"/>
                      <w:highlight w:val="none"/>
                      <w:lang w:val="en-US" w:eastAsia="zh-CN"/>
                    </w:rPr>
                    <w:t>--</w:t>
                  </w:r>
                </w:p>
              </w:tc>
              <w:tc>
                <w:tcPr>
                  <w:tcW w:w="767" w:type="dxa"/>
                  <w:tcBorders>
                    <w:tl2br w:val="nil"/>
                    <w:tr2bl w:val="nil"/>
                  </w:tcBorders>
                  <w:noWrap w:val="0"/>
                  <w:vAlign w:val="center"/>
                </w:tcPr>
                <w:p w14:paraId="0D6CC295">
                  <w:pPr>
                    <w:widowControl/>
                    <w:spacing w:line="0" w:lineRule="atLeast"/>
                    <w:jc w:val="center"/>
                    <w:rPr>
                      <w:rFonts w:hint="eastAsia" w:ascii="Times New Roman" w:hAnsi="Times New Roman" w:eastAsia="宋体" w:cs="Times New Roman"/>
                      <w:color w:val="auto"/>
                      <w:spacing w:val="-10"/>
                      <w:kern w:val="2"/>
                      <w:sz w:val="18"/>
                      <w:szCs w:val="18"/>
                      <w:highlight w:val="none"/>
                      <w:lang w:val="en-US" w:eastAsia="zh-CN" w:bidi="ar-SA"/>
                    </w:rPr>
                  </w:pPr>
                  <w:r>
                    <w:rPr>
                      <w:rFonts w:hint="eastAsia" w:cs="Times New Roman"/>
                      <w:color w:val="auto"/>
                      <w:spacing w:val="-10"/>
                      <w:sz w:val="18"/>
                      <w:szCs w:val="18"/>
                      <w:highlight w:val="none"/>
                      <w:lang w:val="en-US" w:eastAsia="zh-CN"/>
                    </w:rPr>
                    <w:t>--</w:t>
                  </w:r>
                </w:p>
              </w:tc>
              <w:tc>
                <w:tcPr>
                  <w:tcW w:w="474" w:type="dxa"/>
                  <w:tcBorders>
                    <w:tl2br w:val="nil"/>
                    <w:tr2bl w:val="nil"/>
                  </w:tcBorders>
                  <w:shd w:val="clear" w:color="auto" w:fill="auto"/>
                  <w:noWrap w:val="0"/>
                  <w:vAlign w:val="center"/>
                </w:tcPr>
                <w:p w14:paraId="3588800B">
                  <w:pPr>
                    <w:widowControl/>
                    <w:spacing w:line="0" w:lineRule="atLeast"/>
                    <w:jc w:val="center"/>
                    <w:rPr>
                      <w:rFonts w:hint="default" w:ascii="Times New Roman" w:hAnsi="Times New Roman" w:eastAsia="宋体" w:cs="Times New Roman"/>
                      <w:color w:val="auto"/>
                      <w:spacing w:val="-10"/>
                      <w:kern w:val="2"/>
                      <w:sz w:val="18"/>
                      <w:szCs w:val="18"/>
                      <w:highlight w:val="none"/>
                      <w:lang w:val="en-US" w:eastAsia="zh-CN" w:bidi="ar-SA"/>
                    </w:rPr>
                  </w:pPr>
                  <w:r>
                    <w:rPr>
                      <w:rFonts w:hint="eastAsia" w:ascii="Times New Roman" w:hAnsi="Times New Roman" w:cs="Times New Roman"/>
                      <w:color w:val="auto"/>
                      <w:spacing w:val="-10"/>
                      <w:sz w:val="18"/>
                      <w:szCs w:val="18"/>
                      <w:highlight w:val="none"/>
                      <w:lang w:val="en-US" w:eastAsia="zh-CN"/>
                    </w:rPr>
                    <w:t>3</w:t>
                  </w:r>
                </w:p>
              </w:tc>
              <w:tc>
                <w:tcPr>
                  <w:tcW w:w="1218" w:type="dxa"/>
                  <w:tcBorders>
                    <w:tl2br w:val="nil"/>
                    <w:tr2bl w:val="nil"/>
                  </w:tcBorders>
                  <w:noWrap w:val="0"/>
                  <w:vAlign w:val="center"/>
                </w:tcPr>
                <w:p w14:paraId="771EA5DD">
                  <w:pPr>
                    <w:widowControl/>
                    <w:spacing w:line="0" w:lineRule="atLeast"/>
                    <w:jc w:val="center"/>
                    <w:rPr>
                      <w:rFonts w:hint="eastAsia" w:ascii="Times New Roman" w:hAnsi="Times New Roman" w:eastAsia="宋体" w:cs="Times New Roman"/>
                      <w:color w:val="auto"/>
                      <w:spacing w:val="-10"/>
                      <w:kern w:val="2"/>
                      <w:sz w:val="18"/>
                      <w:szCs w:val="18"/>
                      <w:highlight w:val="none"/>
                      <w:lang w:val="en-US" w:eastAsia="zh-CN" w:bidi="ar-SA"/>
                    </w:rPr>
                  </w:pPr>
                  <w:r>
                    <w:rPr>
                      <w:rFonts w:hint="eastAsia" w:ascii="Times New Roman" w:hAnsi="Times New Roman" w:eastAsia="宋体" w:cs="Times New Roman"/>
                      <w:color w:val="auto"/>
                      <w:spacing w:val="-10"/>
                      <w:kern w:val="2"/>
                      <w:sz w:val="18"/>
                      <w:szCs w:val="18"/>
                      <w:highlight w:val="none"/>
                      <w:lang w:val="en-US" w:eastAsia="zh-CN" w:bidi="ar-SA"/>
                    </w:rPr>
                    <w:t>废钢球</w:t>
                  </w:r>
                </w:p>
              </w:tc>
              <w:tc>
                <w:tcPr>
                  <w:tcW w:w="801" w:type="dxa"/>
                  <w:tcBorders>
                    <w:tl2br w:val="nil"/>
                    <w:tr2bl w:val="nil"/>
                  </w:tcBorders>
                  <w:noWrap w:val="0"/>
                  <w:vAlign w:val="center"/>
                </w:tcPr>
                <w:p w14:paraId="38E1B9F0">
                  <w:pPr>
                    <w:widowControl/>
                    <w:spacing w:line="0" w:lineRule="atLeast"/>
                    <w:jc w:val="center"/>
                    <w:rPr>
                      <w:rFonts w:hint="default" w:ascii="Times New Roman" w:hAnsi="Times New Roman" w:eastAsia="宋体" w:cs="Times New Roman"/>
                      <w:color w:val="auto"/>
                      <w:spacing w:val="-10"/>
                      <w:sz w:val="18"/>
                      <w:szCs w:val="18"/>
                      <w:highlight w:val="none"/>
                      <w:lang w:val="en-US" w:eastAsia="zh-CN"/>
                    </w:rPr>
                  </w:pPr>
                  <w:r>
                    <w:rPr>
                      <w:rFonts w:hint="default" w:ascii="Times New Roman" w:hAnsi="Times New Roman" w:eastAsia="宋体" w:cs="Times New Roman"/>
                      <w:color w:val="auto"/>
                      <w:spacing w:val="-10"/>
                      <w:sz w:val="18"/>
                      <w:szCs w:val="18"/>
                      <w:highlight w:val="none"/>
                      <w:lang w:val="en-US" w:eastAsia="zh-CN"/>
                    </w:rPr>
                    <w:t>3</w:t>
                  </w:r>
                </w:p>
              </w:tc>
              <w:tc>
                <w:tcPr>
                  <w:tcW w:w="620" w:type="dxa"/>
                  <w:tcBorders>
                    <w:tl2br w:val="nil"/>
                    <w:tr2bl w:val="nil"/>
                  </w:tcBorders>
                  <w:noWrap w:val="0"/>
                  <w:vAlign w:val="center"/>
                </w:tcPr>
                <w:p w14:paraId="135FA615">
                  <w:pPr>
                    <w:widowControl/>
                    <w:spacing w:line="0" w:lineRule="atLeast"/>
                    <w:jc w:val="center"/>
                    <w:rPr>
                      <w:rFonts w:hint="default" w:ascii="Times New Roman" w:hAnsi="Times New Roman" w:eastAsia="宋体" w:cs="Times New Roman"/>
                      <w:color w:val="auto"/>
                      <w:spacing w:val="-10"/>
                      <w:sz w:val="18"/>
                      <w:szCs w:val="18"/>
                      <w:highlight w:val="none"/>
                      <w:lang w:val="en-US" w:eastAsia="zh-CN"/>
                    </w:rPr>
                  </w:pPr>
                  <w:r>
                    <w:rPr>
                      <w:rFonts w:hint="default" w:ascii="Times New Roman" w:hAnsi="Times New Roman" w:eastAsia="宋体" w:cs="Times New Roman"/>
                      <w:color w:val="auto"/>
                      <w:spacing w:val="-10"/>
                      <w:sz w:val="18"/>
                      <w:szCs w:val="18"/>
                      <w:highlight w:val="none"/>
                      <w:lang w:val="en-US" w:eastAsia="zh-CN"/>
                    </w:rPr>
                    <w:t>0</w:t>
                  </w:r>
                </w:p>
              </w:tc>
              <w:tc>
                <w:tcPr>
                  <w:tcW w:w="765" w:type="dxa"/>
                  <w:tcBorders>
                    <w:tl2br w:val="nil"/>
                    <w:tr2bl w:val="nil"/>
                  </w:tcBorders>
                  <w:noWrap w:val="0"/>
                  <w:vAlign w:val="center"/>
                </w:tcPr>
                <w:p w14:paraId="7581942A">
                  <w:pPr>
                    <w:widowControl/>
                    <w:spacing w:line="0" w:lineRule="atLeast"/>
                    <w:jc w:val="center"/>
                    <w:rPr>
                      <w:rFonts w:hint="default" w:ascii="Times New Roman" w:hAnsi="Times New Roman" w:eastAsia="宋体" w:cs="Times New Roman"/>
                      <w:color w:val="auto"/>
                      <w:spacing w:val="-10"/>
                      <w:sz w:val="18"/>
                      <w:szCs w:val="18"/>
                      <w:highlight w:val="none"/>
                      <w:lang w:val="en-US" w:eastAsia="zh-CN"/>
                    </w:rPr>
                  </w:pPr>
                  <w:r>
                    <w:rPr>
                      <w:rFonts w:hint="eastAsia" w:ascii="Times New Roman" w:hAnsi="Times New Roman" w:eastAsia="宋体" w:cs="Times New Roman"/>
                      <w:color w:val="auto"/>
                      <w:spacing w:val="-10"/>
                      <w:sz w:val="18"/>
                      <w:szCs w:val="18"/>
                      <w:lang w:val="en-US" w:eastAsia="zh-CN"/>
                    </w:rPr>
                    <w:t>3</w:t>
                  </w:r>
                </w:p>
              </w:tc>
            </w:tr>
            <w:tr w14:paraId="29753C3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2" w:hRule="exact"/>
                <w:jc w:val="center"/>
              </w:trPr>
              <w:tc>
                <w:tcPr>
                  <w:tcW w:w="552" w:type="dxa"/>
                  <w:vMerge w:val="continue"/>
                  <w:tcBorders>
                    <w:tl2br w:val="nil"/>
                    <w:tr2bl w:val="nil"/>
                  </w:tcBorders>
                  <w:noWrap w:val="0"/>
                  <w:vAlign w:val="center"/>
                </w:tcPr>
                <w:p w14:paraId="6FB44CFB">
                  <w:pPr>
                    <w:widowControl/>
                    <w:spacing w:line="0" w:lineRule="atLeast"/>
                    <w:jc w:val="center"/>
                    <w:rPr>
                      <w:rFonts w:hint="eastAsia" w:ascii="Times New Roman" w:hAnsi="Times New Roman" w:eastAsia="宋体" w:cs="Times New Roman"/>
                      <w:color w:val="auto"/>
                      <w:spacing w:val="-10"/>
                      <w:sz w:val="18"/>
                      <w:szCs w:val="18"/>
                      <w:highlight w:val="none"/>
                      <w:lang w:val="en-US" w:eastAsia="zh-CN"/>
                    </w:rPr>
                  </w:pPr>
                </w:p>
              </w:tc>
              <w:tc>
                <w:tcPr>
                  <w:tcW w:w="419" w:type="dxa"/>
                  <w:tcBorders>
                    <w:tl2br w:val="nil"/>
                    <w:tr2bl w:val="nil"/>
                  </w:tcBorders>
                  <w:noWrap w:val="0"/>
                  <w:vAlign w:val="center"/>
                </w:tcPr>
                <w:p w14:paraId="2F21AC61">
                  <w:pPr>
                    <w:widowControl/>
                    <w:spacing w:line="0" w:lineRule="atLeast"/>
                    <w:jc w:val="center"/>
                    <w:rPr>
                      <w:rFonts w:hint="eastAsia" w:ascii="Times New Roman" w:hAnsi="Times New Roman" w:eastAsia="宋体" w:cs="Times New Roman"/>
                      <w:color w:val="auto"/>
                      <w:spacing w:val="-10"/>
                      <w:kern w:val="2"/>
                      <w:sz w:val="18"/>
                      <w:szCs w:val="18"/>
                      <w:highlight w:val="none"/>
                      <w:lang w:val="en-US" w:eastAsia="zh-CN" w:bidi="ar-SA"/>
                    </w:rPr>
                  </w:pPr>
                  <w:r>
                    <w:rPr>
                      <w:rFonts w:hint="eastAsia" w:cs="Times New Roman"/>
                      <w:color w:val="auto"/>
                      <w:spacing w:val="-10"/>
                      <w:kern w:val="2"/>
                      <w:sz w:val="18"/>
                      <w:szCs w:val="18"/>
                      <w:highlight w:val="none"/>
                      <w:lang w:val="en-US" w:eastAsia="zh-CN" w:bidi="ar-SA"/>
                    </w:rPr>
                    <w:t>--</w:t>
                  </w:r>
                </w:p>
              </w:tc>
              <w:tc>
                <w:tcPr>
                  <w:tcW w:w="1082" w:type="dxa"/>
                  <w:tcBorders>
                    <w:tl2br w:val="nil"/>
                    <w:tr2bl w:val="nil"/>
                  </w:tcBorders>
                  <w:noWrap w:val="0"/>
                  <w:vAlign w:val="center"/>
                </w:tcPr>
                <w:p w14:paraId="1321C050">
                  <w:pPr>
                    <w:widowControl/>
                    <w:spacing w:line="0" w:lineRule="atLeast"/>
                    <w:jc w:val="center"/>
                    <w:rPr>
                      <w:rFonts w:hint="eastAsia" w:ascii="Times New Roman" w:hAnsi="Times New Roman" w:eastAsia="宋体" w:cs="Times New Roman"/>
                      <w:color w:val="auto"/>
                      <w:spacing w:val="-10"/>
                      <w:kern w:val="2"/>
                      <w:sz w:val="18"/>
                      <w:szCs w:val="18"/>
                      <w:highlight w:val="none"/>
                      <w:lang w:val="en-US" w:eastAsia="zh-CN" w:bidi="ar-SA"/>
                    </w:rPr>
                  </w:pPr>
                  <w:r>
                    <w:rPr>
                      <w:rFonts w:hint="eastAsia" w:cs="Times New Roman"/>
                      <w:color w:val="auto"/>
                      <w:spacing w:val="-10"/>
                      <w:kern w:val="2"/>
                      <w:sz w:val="18"/>
                      <w:szCs w:val="18"/>
                      <w:highlight w:val="none"/>
                      <w:lang w:val="en-US" w:eastAsia="zh-CN" w:bidi="ar-SA"/>
                    </w:rPr>
                    <w:t>--</w:t>
                  </w:r>
                </w:p>
              </w:tc>
              <w:tc>
                <w:tcPr>
                  <w:tcW w:w="745" w:type="dxa"/>
                  <w:tcBorders>
                    <w:tl2br w:val="nil"/>
                    <w:tr2bl w:val="nil"/>
                  </w:tcBorders>
                  <w:noWrap w:val="0"/>
                  <w:vAlign w:val="center"/>
                </w:tcPr>
                <w:p w14:paraId="31E5A314">
                  <w:pPr>
                    <w:widowControl/>
                    <w:spacing w:line="0" w:lineRule="atLeast"/>
                    <w:jc w:val="center"/>
                    <w:rPr>
                      <w:rFonts w:hint="eastAsia" w:ascii="Times New Roman" w:hAnsi="Times New Roman" w:eastAsia="宋体" w:cs="Times New Roman"/>
                      <w:color w:val="auto"/>
                      <w:spacing w:val="-10"/>
                      <w:kern w:val="2"/>
                      <w:sz w:val="18"/>
                      <w:szCs w:val="18"/>
                      <w:highlight w:val="none"/>
                      <w:lang w:val="en-US" w:eastAsia="zh-CN" w:bidi="ar-SA"/>
                    </w:rPr>
                  </w:pPr>
                  <w:r>
                    <w:rPr>
                      <w:rFonts w:hint="eastAsia" w:cs="Times New Roman"/>
                      <w:color w:val="auto"/>
                      <w:spacing w:val="-10"/>
                      <w:sz w:val="18"/>
                      <w:szCs w:val="18"/>
                      <w:highlight w:val="none"/>
                      <w:lang w:val="en-US" w:eastAsia="zh-CN"/>
                    </w:rPr>
                    <w:t>--</w:t>
                  </w:r>
                </w:p>
              </w:tc>
              <w:tc>
                <w:tcPr>
                  <w:tcW w:w="631" w:type="dxa"/>
                  <w:tcBorders>
                    <w:tl2br w:val="nil"/>
                    <w:tr2bl w:val="nil"/>
                  </w:tcBorders>
                  <w:noWrap w:val="0"/>
                  <w:vAlign w:val="center"/>
                </w:tcPr>
                <w:p w14:paraId="565A66FA">
                  <w:pPr>
                    <w:widowControl/>
                    <w:spacing w:line="0" w:lineRule="atLeast"/>
                    <w:jc w:val="center"/>
                    <w:rPr>
                      <w:rFonts w:hint="eastAsia" w:ascii="Times New Roman" w:hAnsi="Times New Roman" w:eastAsia="宋体" w:cs="Times New Roman"/>
                      <w:color w:val="auto"/>
                      <w:spacing w:val="-10"/>
                      <w:kern w:val="2"/>
                      <w:sz w:val="18"/>
                      <w:szCs w:val="18"/>
                      <w:highlight w:val="none"/>
                      <w:lang w:val="en-US" w:eastAsia="zh-CN" w:bidi="ar-SA"/>
                    </w:rPr>
                  </w:pPr>
                  <w:r>
                    <w:rPr>
                      <w:rFonts w:hint="eastAsia" w:cs="Times New Roman"/>
                      <w:color w:val="auto"/>
                      <w:spacing w:val="-10"/>
                      <w:sz w:val="18"/>
                      <w:szCs w:val="18"/>
                      <w:highlight w:val="none"/>
                      <w:lang w:val="en-US" w:eastAsia="zh-CN"/>
                    </w:rPr>
                    <w:t>--</w:t>
                  </w:r>
                </w:p>
              </w:tc>
              <w:tc>
                <w:tcPr>
                  <w:tcW w:w="767" w:type="dxa"/>
                  <w:tcBorders>
                    <w:tl2br w:val="nil"/>
                    <w:tr2bl w:val="nil"/>
                  </w:tcBorders>
                  <w:noWrap w:val="0"/>
                  <w:vAlign w:val="center"/>
                </w:tcPr>
                <w:p w14:paraId="3B754B35">
                  <w:pPr>
                    <w:widowControl/>
                    <w:spacing w:line="0" w:lineRule="atLeast"/>
                    <w:jc w:val="center"/>
                    <w:rPr>
                      <w:rFonts w:hint="eastAsia" w:ascii="Times New Roman" w:hAnsi="Times New Roman" w:eastAsia="宋体" w:cs="Times New Roman"/>
                      <w:color w:val="auto"/>
                      <w:spacing w:val="-10"/>
                      <w:kern w:val="2"/>
                      <w:sz w:val="18"/>
                      <w:szCs w:val="18"/>
                      <w:highlight w:val="none"/>
                      <w:lang w:val="en-US" w:eastAsia="zh-CN" w:bidi="ar-SA"/>
                    </w:rPr>
                  </w:pPr>
                  <w:r>
                    <w:rPr>
                      <w:rFonts w:hint="eastAsia" w:cs="Times New Roman"/>
                      <w:color w:val="auto"/>
                      <w:spacing w:val="-10"/>
                      <w:sz w:val="18"/>
                      <w:szCs w:val="18"/>
                      <w:highlight w:val="none"/>
                      <w:lang w:val="en-US" w:eastAsia="zh-CN"/>
                    </w:rPr>
                    <w:t>--</w:t>
                  </w:r>
                </w:p>
              </w:tc>
              <w:tc>
                <w:tcPr>
                  <w:tcW w:w="474" w:type="dxa"/>
                  <w:tcBorders>
                    <w:tl2br w:val="nil"/>
                    <w:tr2bl w:val="nil"/>
                  </w:tcBorders>
                  <w:shd w:val="clear" w:color="auto" w:fill="auto"/>
                  <w:noWrap w:val="0"/>
                  <w:vAlign w:val="center"/>
                </w:tcPr>
                <w:p w14:paraId="6DE618F1">
                  <w:pPr>
                    <w:widowControl/>
                    <w:spacing w:line="0" w:lineRule="atLeast"/>
                    <w:jc w:val="center"/>
                    <w:rPr>
                      <w:rFonts w:hint="default" w:ascii="Times New Roman" w:hAnsi="Times New Roman" w:eastAsia="宋体" w:cs="Times New Roman"/>
                      <w:color w:val="auto"/>
                      <w:spacing w:val="-10"/>
                      <w:kern w:val="2"/>
                      <w:sz w:val="18"/>
                      <w:szCs w:val="18"/>
                      <w:highlight w:val="none"/>
                      <w:lang w:val="en-US" w:eastAsia="zh-CN" w:bidi="ar-SA"/>
                    </w:rPr>
                  </w:pPr>
                  <w:r>
                    <w:rPr>
                      <w:rFonts w:hint="eastAsia" w:ascii="Times New Roman" w:hAnsi="Times New Roman" w:cs="Times New Roman"/>
                      <w:color w:val="auto"/>
                      <w:spacing w:val="-10"/>
                      <w:sz w:val="18"/>
                      <w:szCs w:val="18"/>
                      <w:highlight w:val="none"/>
                      <w:lang w:val="en-US" w:eastAsia="zh-CN"/>
                    </w:rPr>
                    <w:t>4</w:t>
                  </w:r>
                </w:p>
              </w:tc>
              <w:tc>
                <w:tcPr>
                  <w:tcW w:w="1218" w:type="dxa"/>
                  <w:tcBorders>
                    <w:tl2br w:val="nil"/>
                    <w:tr2bl w:val="nil"/>
                  </w:tcBorders>
                  <w:noWrap w:val="0"/>
                  <w:vAlign w:val="center"/>
                </w:tcPr>
                <w:p w14:paraId="63F8CE2D">
                  <w:pPr>
                    <w:widowControl/>
                    <w:spacing w:line="0" w:lineRule="atLeast"/>
                    <w:jc w:val="center"/>
                    <w:rPr>
                      <w:rFonts w:hint="eastAsia" w:ascii="Times New Roman" w:hAnsi="Times New Roman" w:eastAsia="宋体" w:cs="Times New Roman"/>
                      <w:color w:val="auto"/>
                      <w:spacing w:val="-10"/>
                      <w:kern w:val="2"/>
                      <w:sz w:val="18"/>
                      <w:szCs w:val="18"/>
                      <w:highlight w:val="none"/>
                      <w:lang w:val="en-US" w:eastAsia="zh-CN" w:bidi="ar-SA"/>
                    </w:rPr>
                  </w:pPr>
                  <w:r>
                    <w:rPr>
                      <w:rFonts w:hint="eastAsia" w:ascii="Times New Roman" w:hAnsi="Times New Roman" w:eastAsia="宋体" w:cs="Times New Roman"/>
                      <w:color w:val="auto"/>
                      <w:spacing w:val="-10"/>
                      <w:kern w:val="2"/>
                      <w:sz w:val="18"/>
                      <w:szCs w:val="18"/>
                      <w:highlight w:val="none"/>
                      <w:lang w:val="en-US" w:eastAsia="zh-CN" w:bidi="ar-SA"/>
                    </w:rPr>
                    <w:t>除尘灰</w:t>
                  </w:r>
                </w:p>
              </w:tc>
              <w:tc>
                <w:tcPr>
                  <w:tcW w:w="801" w:type="dxa"/>
                  <w:tcBorders>
                    <w:tl2br w:val="nil"/>
                    <w:tr2bl w:val="nil"/>
                  </w:tcBorders>
                  <w:noWrap w:val="0"/>
                  <w:vAlign w:val="center"/>
                </w:tcPr>
                <w:p w14:paraId="00861BD5">
                  <w:pPr>
                    <w:widowControl/>
                    <w:spacing w:line="0" w:lineRule="atLeast"/>
                    <w:jc w:val="center"/>
                    <w:rPr>
                      <w:rFonts w:hint="default" w:ascii="Times New Roman" w:hAnsi="Times New Roman" w:eastAsia="宋体" w:cs="Times New Roman"/>
                      <w:color w:val="auto"/>
                      <w:spacing w:val="-10"/>
                      <w:sz w:val="18"/>
                      <w:szCs w:val="18"/>
                      <w:highlight w:val="none"/>
                      <w:lang w:val="en-US" w:eastAsia="zh-CN"/>
                    </w:rPr>
                  </w:pPr>
                  <w:r>
                    <w:rPr>
                      <w:rFonts w:hint="default" w:ascii="Times New Roman" w:hAnsi="Times New Roman" w:eastAsia="宋体" w:cs="Times New Roman"/>
                      <w:color w:val="auto"/>
                      <w:spacing w:val="-10"/>
                      <w:sz w:val="18"/>
                      <w:szCs w:val="18"/>
                      <w:highlight w:val="none"/>
                      <w:lang w:val="en-US" w:eastAsia="zh-CN"/>
                    </w:rPr>
                    <w:t>124.146</w:t>
                  </w:r>
                </w:p>
              </w:tc>
              <w:tc>
                <w:tcPr>
                  <w:tcW w:w="620" w:type="dxa"/>
                  <w:tcBorders>
                    <w:tl2br w:val="nil"/>
                    <w:tr2bl w:val="nil"/>
                  </w:tcBorders>
                  <w:noWrap w:val="0"/>
                  <w:vAlign w:val="center"/>
                </w:tcPr>
                <w:p w14:paraId="609EA075">
                  <w:pPr>
                    <w:widowControl/>
                    <w:spacing w:line="0" w:lineRule="atLeast"/>
                    <w:jc w:val="center"/>
                    <w:rPr>
                      <w:rFonts w:hint="default" w:ascii="Times New Roman" w:hAnsi="Times New Roman" w:eastAsia="宋体" w:cs="Times New Roman"/>
                      <w:color w:val="auto"/>
                      <w:spacing w:val="-10"/>
                      <w:sz w:val="18"/>
                      <w:szCs w:val="18"/>
                      <w:highlight w:val="none"/>
                      <w:lang w:val="en-US" w:eastAsia="zh-CN"/>
                    </w:rPr>
                  </w:pPr>
                  <w:r>
                    <w:rPr>
                      <w:rFonts w:hint="default" w:ascii="Times New Roman" w:hAnsi="Times New Roman" w:eastAsia="宋体" w:cs="Times New Roman"/>
                      <w:color w:val="auto"/>
                      <w:spacing w:val="-10"/>
                      <w:sz w:val="18"/>
                      <w:szCs w:val="18"/>
                      <w:highlight w:val="none"/>
                      <w:lang w:val="en-US" w:eastAsia="zh-CN"/>
                    </w:rPr>
                    <w:t>5</w:t>
                  </w:r>
                </w:p>
              </w:tc>
              <w:tc>
                <w:tcPr>
                  <w:tcW w:w="765" w:type="dxa"/>
                  <w:tcBorders>
                    <w:tl2br w:val="nil"/>
                    <w:tr2bl w:val="nil"/>
                  </w:tcBorders>
                  <w:noWrap w:val="0"/>
                  <w:vAlign w:val="center"/>
                </w:tcPr>
                <w:p w14:paraId="438425F9">
                  <w:pPr>
                    <w:widowControl/>
                    <w:spacing w:line="0" w:lineRule="atLeast"/>
                    <w:jc w:val="center"/>
                    <w:rPr>
                      <w:rFonts w:hint="default" w:ascii="Times New Roman" w:hAnsi="Times New Roman" w:eastAsia="宋体" w:cs="Times New Roman"/>
                      <w:color w:val="auto"/>
                      <w:spacing w:val="-10"/>
                      <w:sz w:val="18"/>
                      <w:szCs w:val="18"/>
                      <w:highlight w:val="none"/>
                      <w:lang w:val="en-US" w:eastAsia="zh-CN"/>
                    </w:rPr>
                  </w:pPr>
                  <w:r>
                    <w:rPr>
                      <w:rFonts w:hint="eastAsia" w:ascii="Times New Roman" w:hAnsi="Times New Roman" w:eastAsia="宋体" w:cs="Times New Roman"/>
                      <w:color w:val="auto"/>
                      <w:spacing w:val="-10"/>
                      <w:sz w:val="18"/>
                      <w:szCs w:val="18"/>
                      <w:lang w:val="en-US" w:eastAsia="zh-CN"/>
                    </w:rPr>
                    <w:t>117.9</w:t>
                  </w:r>
                </w:p>
              </w:tc>
            </w:tr>
            <w:tr w14:paraId="35D4200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2" w:hRule="exact"/>
                <w:jc w:val="center"/>
              </w:trPr>
              <w:tc>
                <w:tcPr>
                  <w:tcW w:w="552" w:type="dxa"/>
                  <w:vMerge w:val="continue"/>
                  <w:tcBorders>
                    <w:tl2br w:val="nil"/>
                    <w:tr2bl w:val="nil"/>
                  </w:tcBorders>
                  <w:noWrap w:val="0"/>
                  <w:vAlign w:val="center"/>
                </w:tcPr>
                <w:p w14:paraId="7DD561D9">
                  <w:pPr>
                    <w:widowControl/>
                    <w:spacing w:line="0" w:lineRule="atLeast"/>
                    <w:jc w:val="center"/>
                    <w:rPr>
                      <w:rFonts w:hint="eastAsia" w:ascii="Times New Roman" w:hAnsi="Times New Roman" w:eastAsia="宋体" w:cs="Times New Roman"/>
                      <w:color w:val="auto"/>
                      <w:spacing w:val="-10"/>
                      <w:sz w:val="18"/>
                      <w:szCs w:val="18"/>
                      <w:highlight w:val="none"/>
                      <w:lang w:val="en-US" w:eastAsia="zh-CN"/>
                    </w:rPr>
                  </w:pPr>
                </w:p>
              </w:tc>
              <w:tc>
                <w:tcPr>
                  <w:tcW w:w="419" w:type="dxa"/>
                  <w:tcBorders>
                    <w:tl2br w:val="nil"/>
                    <w:tr2bl w:val="nil"/>
                  </w:tcBorders>
                  <w:noWrap w:val="0"/>
                  <w:vAlign w:val="center"/>
                </w:tcPr>
                <w:p w14:paraId="152A220E">
                  <w:pPr>
                    <w:widowControl/>
                    <w:spacing w:line="0" w:lineRule="atLeast"/>
                    <w:jc w:val="center"/>
                    <w:rPr>
                      <w:rFonts w:hint="eastAsia" w:ascii="Times New Roman" w:hAnsi="Times New Roman" w:eastAsia="宋体" w:cs="Times New Roman"/>
                      <w:color w:val="auto"/>
                      <w:spacing w:val="-10"/>
                      <w:kern w:val="2"/>
                      <w:sz w:val="18"/>
                      <w:szCs w:val="18"/>
                      <w:highlight w:val="none"/>
                      <w:lang w:val="en-US" w:eastAsia="zh-CN" w:bidi="ar-SA"/>
                    </w:rPr>
                  </w:pPr>
                  <w:r>
                    <w:rPr>
                      <w:rFonts w:hint="eastAsia" w:cs="Times New Roman"/>
                      <w:color w:val="auto"/>
                      <w:spacing w:val="-10"/>
                      <w:kern w:val="2"/>
                      <w:sz w:val="18"/>
                      <w:szCs w:val="18"/>
                      <w:highlight w:val="none"/>
                      <w:lang w:val="en-US" w:eastAsia="zh-CN" w:bidi="ar-SA"/>
                    </w:rPr>
                    <w:t>--</w:t>
                  </w:r>
                </w:p>
              </w:tc>
              <w:tc>
                <w:tcPr>
                  <w:tcW w:w="1082" w:type="dxa"/>
                  <w:tcBorders>
                    <w:tl2br w:val="nil"/>
                    <w:tr2bl w:val="nil"/>
                  </w:tcBorders>
                  <w:noWrap w:val="0"/>
                  <w:vAlign w:val="center"/>
                </w:tcPr>
                <w:p w14:paraId="0CEBB97D">
                  <w:pPr>
                    <w:widowControl/>
                    <w:spacing w:line="0" w:lineRule="atLeast"/>
                    <w:jc w:val="center"/>
                    <w:rPr>
                      <w:rFonts w:hint="eastAsia" w:ascii="Times New Roman" w:hAnsi="Times New Roman" w:eastAsia="宋体" w:cs="Times New Roman"/>
                      <w:color w:val="auto"/>
                      <w:spacing w:val="-10"/>
                      <w:kern w:val="2"/>
                      <w:sz w:val="18"/>
                      <w:szCs w:val="18"/>
                      <w:highlight w:val="none"/>
                      <w:lang w:val="en-US" w:eastAsia="zh-CN" w:bidi="ar-SA"/>
                    </w:rPr>
                  </w:pPr>
                  <w:r>
                    <w:rPr>
                      <w:rFonts w:hint="eastAsia" w:cs="Times New Roman"/>
                      <w:color w:val="auto"/>
                      <w:spacing w:val="-10"/>
                      <w:kern w:val="2"/>
                      <w:sz w:val="18"/>
                      <w:szCs w:val="18"/>
                      <w:highlight w:val="none"/>
                      <w:lang w:val="en-US" w:eastAsia="zh-CN" w:bidi="ar-SA"/>
                    </w:rPr>
                    <w:t>--</w:t>
                  </w:r>
                </w:p>
              </w:tc>
              <w:tc>
                <w:tcPr>
                  <w:tcW w:w="745" w:type="dxa"/>
                  <w:tcBorders>
                    <w:tl2br w:val="nil"/>
                    <w:tr2bl w:val="nil"/>
                  </w:tcBorders>
                  <w:noWrap w:val="0"/>
                  <w:vAlign w:val="center"/>
                </w:tcPr>
                <w:p w14:paraId="3D74487A">
                  <w:pPr>
                    <w:widowControl/>
                    <w:spacing w:line="0" w:lineRule="atLeast"/>
                    <w:jc w:val="center"/>
                    <w:rPr>
                      <w:rFonts w:hint="eastAsia" w:ascii="Times New Roman" w:hAnsi="Times New Roman" w:eastAsia="宋体" w:cs="Times New Roman"/>
                      <w:color w:val="auto"/>
                      <w:spacing w:val="-10"/>
                      <w:kern w:val="2"/>
                      <w:sz w:val="18"/>
                      <w:szCs w:val="18"/>
                      <w:highlight w:val="none"/>
                      <w:lang w:val="en-US" w:eastAsia="zh-CN" w:bidi="ar-SA"/>
                    </w:rPr>
                  </w:pPr>
                  <w:r>
                    <w:rPr>
                      <w:rFonts w:hint="eastAsia" w:cs="Times New Roman"/>
                      <w:color w:val="auto"/>
                      <w:spacing w:val="-10"/>
                      <w:sz w:val="18"/>
                      <w:szCs w:val="18"/>
                      <w:highlight w:val="none"/>
                      <w:lang w:val="en-US" w:eastAsia="zh-CN"/>
                    </w:rPr>
                    <w:t>--</w:t>
                  </w:r>
                </w:p>
              </w:tc>
              <w:tc>
                <w:tcPr>
                  <w:tcW w:w="631" w:type="dxa"/>
                  <w:tcBorders>
                    <w:tl2br w:val="nil"/>
                    <w:tr2bl w:val="nil"/>
                  </w:tcBorders>
                  <w:noWrap w:val="0"/>
                  <w:vAlign w:val="center"/>
                </w:tcPr>
                <w:p w14:paraId="45B29720">
                  <w:pPr>
                    <w:widowControl/>
                    <w:spacing w:line="0" w:lineRule="atLeast"/>
                    <w:jc w:val="center"/>
                    <w:rPr>
                      <w:rFonts w:hint="eastAsia" w:ascii="Times New Roman" w:hAnsi="Times New Roman" w:eastAsia="宋体" w:cs="Times New Roman"/>
                      <w:color w:val="auto"/>
                      <w:spacing w:val="-10"/>
                      <w:kern w:val="2"/>
                      <w:sz w:val="18"/>
                      <w:szCs w:val="18"/>
                      <w:highlight w:val="none"/>
                      <w:lang w:val="en-US" w:eastAsia="zh-CN" w:bidi="ar-SA"/>
                    </w:rPr>
                  </w:pPr>
                  <w:r>
                    <w:rPr>
                      <w:rFonts w:hint="eastAsia" w:cs="Times New Roman"/>
                      <w:color w:val="auto"/>
                      <w:spacing w:val="-10"/>
                      <w:sz w:val="18"/>
                      <w:szCs w:val="18"/>
                      <w:highlight w:val="none"/>
                      <w:lang w:val="en-US" w:eastAsia="zh-CN"/>
                    </w:rPr>
                    <w:t>--</w:t>
                  </w:r>
                </w:p>
              </w:tc>
              <w:tc>
                <w:tcPr>
                  <w:tcW w:w="767" w:type="dxa"/>
                  <w:tcBorders>
                    <w:tl2br w:val="nil"/>
                    <w:tr2bl w:val="nil"/>
                  </w:tcBorders>
                  <w:noWrap w:val="0"/>
                  <w:vAlign w:val="center"/>
                </w:tcPr>
                <w:p w14:paraId="7D3721C3">
                  <w:pPr>
                    <w:widowControl/>
                    <w:spacing w:line="0" w:lineRule="atLeast"/>
                    <w:jc w:val="center"/>
                    <w:rPr>
                      <w:rFonts w:hint="eastAsia" w:ascii="Times New Roman" w:hAnsi="Times New Roman" w:eastAsia="宋体" w:cs="Times New Roman"/>
                      <w:color w:val="auto"/>
                      <w:spacing w:val="-10"/>
                      <w:kern w:val="2"/>
                      <w:sz w:val="18"/>
                      <w:szCs w:val="18"/>
                      <w:highlight w:val="none"/>
                      <w:lang w:val="en-US" w:eastAsia="zh-CN" w:bidi="ar-SA"/>
                    </w:rPr>
                  </w:pPr>
                  <w:r>
                    <w:rPr>
                      <w:rFonts w:hint="eastAsia" w:cs="Times New Roman"/>
                      <w:color w:val="auto"/>
                      <w:spacing w:val="-10"/>
                      <w:sz w:val="18"/>
                      <w:szCs w:val="18"/>
                      <w:highlight w:val="none"/>
                      <w:lang w:val="en-US" w:eastAsia="zh-CN"/>
                    </w:rPr>
                    <w:t>--</w:t>
                  </w:r>
                </w:p>
              </w:tc>
              <w:tc>
                <w:tcPr>
                  <w:tcW w:w="474" w:type="dxa"/>
                  <w:tcBorders>
                    <w:tl2br w:val="nil"/>
                    <w:tr2bl w:val="nil"/>
                  </w:tcBorders>
                  <w:shd w:val="clear" w:color="auto" w:fill="auto"/>
                  <w:noWrap w:val="0"/>
                  <w:vAlign w:val="center"/>
                </w:tcPr>
                <w:p w14:paraId="6D65ADC4">
                  <w:pPr>
                    <w:widowControl/>
                    <w:spacing w:line="0" w:lineRule="atLeast"/>
                    <w:jc w:val="center"/>
                    <w:rPr>
                      <w:rFonts w:hint="default" w:ascii="Times New Roman" w:hAnsi="Times New Roman" w:eastAsia="宋体" w:cs="Times New Roman"/>
                      <w:color w:val="auto"/>
                      <w:spacing w:val="-10"/>
                      <w:kern w:val="2"/>
                      <w:sz w:val="18"/>
                      <w:szCs w:val="18"/>
                      <w:highlight w:val="none"/>
                      <w:lang w:val="en-US" w:eastAsia="zh-CN" w:bidi="ar-SA"/>
                    </w:rPr>
                  </w:pPr>
                  <w:r>
                    <w:rPr>
                      <w:rFonts w:hint="eastAsia" w:cs="Times New Roman"/>
                      <w:color w:val="auto"/>
                      <w:spacing w:val="-10"/>
                      <w:sz w:val="18"/>
                      <w:szCs w:val="18"/>
                      <w:highlight w:val="none"/>
                      <w:lang w:val="en-US" w:eastAsia="zh-CN"/>
                    </w:rPr>
                    <w:t>5</w:t>
                  </w:r>
                </w:p>
              </w:tc>
              <w:tc>
                <w:tcPr>
                  <w:tcW w:w="1218" w:type="dxa"/>
                  <w:tcBorders>
                    <w:tl2br w:val="nil"/>
                    <w:tr2bl w:val="nil"/>
                  </w:tcBorders>
                  <w:noWrap w:val="0"/>
                  <w:vAlign w:val="center"/>
                </w:tcPr>
                <w:p w14:paraId="0D7A904B">
                  <w:pPr>
                    <w:widowControl/>
                    <w:spacing w:line="0" w:lineRule="atLeast"/>
                    <w:jc w:val="center"/>
                    <w:rPr>
                      <w:rFonts w:hint="eastAsia" w:ascii="Times New Roman" w:hAnsi="Times New Roman" w:eastAsia="宋体" w:cs="Times New Roman"/>
                      <w:color w:val="auto"/>
                      <w:spacing w:val="-10"/>
                      <w:kern w:val="2"/>
                      <w:sz w:val="18"/>
                      <w:szCs w:val="18"/>
                      <w:highlight w:val="none"/>
                      <w:lang w:val="en-US" w:eastAsia="zh-CN" w:bidi="ar-SA"/>
                    </w:rPr>
                  </w:pPr>
                  <w:r>
                    <w:rPr>
                      <w:rFonts w:hint="eastAsia" w:ascii="Times New Roman" w:hAnsi="Times New Roman" w:eastAsia="宋体" w:cs="Times New Roman"/>
                      <w:color w:val="auto"/>
                      <w:spacing w:val="-10"/>
                      <w:kern w:val="2"/>
                      <w:sz w:val="18"/>
                      <w:szCs w:val="18"/>
                      <w:highlight w:val="none"/>
                      <w:lang w:val="en-US" w:eastAsia="zh-CN" w:bidi="ar-SA"/>
                    </w:rPr>
                    <w:t>外排颗粒物</w:t>
                  </w:r>
                </w:p>
              </w:tc>
              <w:tc>
                <w:tcPr>
                  <w:tcW w:w="801" w:type="dxa"/>
                  <w:tcBorders>
                    <w:tl2br w:val="nil"/>
                    <w:tr2bl w:val="nil"/>
                  </w:tcBorders>
                  <w:noWrap w:val="0"/>
                  <w:vAlign w:val="center"/>
                </w:tcPr>
                <w:p w14:paraId="58DAD484">
                  <w:pPr>
                    <w:widowControl/>
                    <w:spacing w:line="0" w:lineRule="atLeast"/>
                    <w:jc w:val="center"/>
                    <w:rPr>
                      <w:rFonts w:hint="default" w:ascii="Times New Roman" w:hAnsi="Times New Roman" w:eastAsia="宋体" w:cs="Times New Roman"/>
                      <w:color w:val="auto"/>
                      <w:spacing w:val="-10"/>
                      <w:sz w:val="18"/>
                      <w:szCs w:val="18"/>
                      <w:highlight w:val="none"/>
                      <w:lang w:val="en-US" w:eastAsia="zh-CN"/>
                    </w:rPr>
                  </w:pPr>
                  <w:r>
                    <w:rPr>
                      <w:rFonts w:hint="eastAsia" w:cs="Times New Roman"/>
                      <w:color w:val="auto"/>
                      <w:spacing w:val="-10"/>
                      <w:sz w:val="18"/>
                      <w:szCs w:val="18"/>
                      <w:highlight w:val="none"/>
                      <w:lang w:val="en-US" w:eastAsia="zh-CN"/>
                    </w:rPr>
                    <w:t>1.465</w:t>
                  </w:r>
                </w:p>
              </w:tc>
              <w:tc>
                <w:tcPr>
                  <w:tcW w:w="620" w:type="dxa"/>
                  <w:tcBorders>
                    <w:tl2br w:val="nil"/>
                    <w:tr2bl w:val="nil"/>
                  </w:tcBorders>
                  <w:noWrap w:val="0"/>
                  <w:vAlign w:val="center"/>
                </w:tcPr>
                <w:p w14:paraId="5D2DC7A5">
                  <w:pPr>
                    <w:widowControl/>
                    <w:spacing w:line="0" w:lineRule="atLeast"/>
                    <w:jc w:val="center"/>
                    <w:rPr>
                      <w:rFonts w:hint="default" w:ascii="Times New Roman" w:hAnsi="Times New Roman" w:eastAsia="宋体" w:cs="Times New Roman"/>
                      <w:color w:val="auto"/>
                      <w:spacing w:val="-10"/>
                      <w:sz w:val="18"/>
                      <w:szCs w:val="18"/>
                      <w:highlight w:val="none"/>
                      <w:lang w:val="en-US" w:eastAsia="zh-CN"/>
                    </w:rPr>
                  </w:pPr>
                  <w:r>
                    <w:rPr>
                      <w:rFonts w:hint="default" w:ascii="Times New Roman" w:hAnsi="Times New Roman" w:eastAsia="宋体" w:cs="Times New Roman"/>
                      <w:color w:val="auto"/>
                      <w:spacing w:val="-10"/>
                      <w:sz w:val="18"/>
                      <w:szCs w:val="18"/>
                      <w:highlight w:val="none"/>
                      <w:lang w:val="en-US" w:eastAsia="zh-CN"/>
                    </w:rPr>
                    <w:t>5</w:t>
                  </w:r>
                </w:p>
              </w:tc>
              <w:tc>
                <w:tcPr>
                  <w:tcW w:w="765" w:type="dxa"/>
                  <w:tcBorders>
                    <w:tl2br w:val="nil"/>
                    <w:tr2bl w:val="nil"/>
                  </w:tcBorders>
                  <w:noWrap w:val="0"/>
                  <w:vAlign w:val="center"/>
                </w:tcPr>
                <w:p w14:paraId="4FEA683C">
                  <w:pPr>
                    <w:widowControl/>
                    <w:spacing w:line="0" w:lineRule="atLeast"/>
                    <w:jc w:val="center"/>
                    <w:rPr>
                      <w:rFonts w:hint="default" w:ascii="Times New Roman" w:hAnsi="Times New Roman" w:eastAsia="宋体" w:cs="Times New Roman"/>
                      <w:color w:val="auto"/>
                      <w:spacing w:val="-10"/>
                      <w:sz w:val="18"/>
                      <w:szCs w:val="18"/>
                      <w:highlight w:val="none"/>
                      <w:lang w:val="en-US" w:eastAsia="zh-CN"/>
                    </w:rPr>
                  </w:pPr>
                  <w:r>
                    <w:rPr>
                      <w:rFonts w:hint="eastAsia" w:ascii="Times New Roman" w:hAnsi="Times New Roman" w:eastAsia="宋体" w:cs="Times New Roman"/>
                      <w:color w:val="auto"/>
                      <w:spacing w:val="-10"/>
                      <w:sz w:val="18"/>
                      <w:szCs w:val="18"/>
                      <w:lang w:val="en-US" w:eastAsia="zh-CN"/>
                    </w:rPr>
                    <w:t>1.4</w:t>
                  </w:r>
                </w:p>
              </w:tc>
            </w:tr>
            <w:tr w14:paraId="15525FA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2" w:hRule="exact"/>
                <w:jc w:val="center"/>
              </w:trPr>
              <w:tc>
                <w:tcPr>
                  <w:tcW w:w="552" w:type="dxa"/>
                  <w:vMerge w:val="continue"/>
                  <w:tcBorders>
                    <w:tl2br w:val="nil"/>
                    <w:tr2bl w:val="nil"/>
                  </w:tcBorders>
                  <w:noWrap w:val="0"/>
                  <w:vAlign w:val="center"/>
                </w:tcPr>
                <w:p w14:paraId="632F96B4">
                  <w:pPr>
                    <w:widowControl/>
                    <w:spacing w:line="0" w:lineRule="atLeast"/>
                    <w:jc w:val="center"/>
                    <w:rPr>
                      <w:rFonts w:hint="eastAsia" w:ascii="Times New Roman" w:hAnsi="Times New Roman" w:eastAsia="宋体" w:cs="Times New Roman"/>
                      <w:color w:val="auto"/>
                      <w:spacing w:val="-10"/>
                      <w:sz w:val="18"/>
                      <w:szCs w:val="18"/>
                      <w:highlight w:val="none"/>
                      <w:lang w:val="en-US" w:eastAsia="zh-CN"/>
                    </w:rPr>
                  </w:pPr>
                </w:p>
              </w:tc>
              <w:tc>
                <w:tcPr>
                  <w:tcW w:w="419" w:type="dxa"/>
                  <w:tcBorders>
                    <w:tl2br w:val="nil"/>
                    <w:tr2bl w:val="nil"/>
                  </w:tcBorders>
                  <w:shd w:val="clear" w:color="auto" w:fill="auto"/>
                  <w:noWrap w:val="0"/>
                  <w:vAlign w:val="center"/>
                </w:tcPr>
                <w:p w14:paraId="3B574CC4">
                  <w:pPr>
                    <w:widowControl/>
                    <w:spacing w:line="0" w:lineRule="atLeast"/>
                    <w:jc w:val="center"/>
                    <w:rPr>
                      <w:rFonts w:hint="eastAsia" w:ascii="Times New Roman" w:hAnsi="Times New Roman" w:eastAsia="宋体" w:cs="Times New Roman"/>
                      <w:color w:val="auto"/>
                      <w:spacing w:val="-10"/>
                      <w:kern w:val="2"/>
                      <w:sz w:val="18"/>
                      <w:szCs w:val="18"/>
                      <w:highlight w:val="none"/>
                      <w:lang w:val="en-US" w:eastAsia="zh-CN" w:bidi="ar-SA"/>
                    </w:rPr>
                  </w:pPr>
                  <w:r>
                    <w:rPr>
                      <w:rFonts w:hint="eastAsia" w:cs="Times New Roman"/>
                      <w:color w:val="auto"/>
                      <w:spacing w:val="-10"/>
                      <w:kern w:val="2"/>
                      <w:sz w:val="18"/>
                      <w:szCs w:val="18"/>
                      <w:highlight w:val="none"/>
                      <w:lang w:val="en-US" w:eastAsia="zh-CN" w:bidi="ar-SA"/>
                    </w:rPr>
                    <w:t>--</w:t>
                  </w:r>
                </w:p>
              </w:tc>
              <w:tc>
                <w:tcPr>
                  <w:tcW w:w="1082" w:type="dxa"/>
                  <w:tcBorders>
                    <w:tl2br w:val="nil"/>
                    <w:tr2bl w:val="nil"/>
                  </w:tcBorders>
                  <w:shd w:val="clear" w:color="auto" w:fill="auto"/>
                  <w:noWrap w:val="0"/>
                  <w:vAlign w:val="center"/>
                </w:tcPr>
                <w:p w14:paraId="236CE527">
                  <w:pPr>
                    <w:widowControl/>
                    <w:spacing w:line="0" w:lineRule="atLeast"/>
                    <w:jc w:val="center"/>
                    <w:rPr>
                      <w:rFonts w:hint="eastAsia" w:ascii="Times New Roman" w:hAnsi="Times New Roman" w:eastAsia="宋体" w:cs="Times New Roman"/>
                      <w:color w:val="auto"/>
                      <w:spacing w:val="-10"/>
                      <w:kern w:val="2"/>
                      <w:sz w:val="18"/>
                      <w:szCs w:val="18"/>
                      <w:highlight w:val="none"/>
                      <w:lang w:val="en-US" w:eastAsia="zh-CN" w:bidi="ar-SA"/>
                    </w:rPr>
                  </w:pPr>
                  <w:r>
                    <w:rPr>
                      <w:rFonts w:hint="eastAsia" w:cs="Times New Roman"/>
                      <w:color w:val="auto"/>
                      <w:spacing w:val="-10"/>
                      <w:kern w:val="2"/>
                      <w:sz w:val="18"/>
                      <w:szCs w:val="18"/>
                      <w:highlight w:val="none"/>
                      <w:lang w:val="en-US" w:eastAsia="zh-CN" w:bidi="ar-SA"/>
                    </w:rPr>
                    <w:t>--</w:t>
                  </w:r>
                </w:p>
              </w:tc>
              <w:tc>
                <w:tcPr>
                  <w:tcW w:w="745" w:type="dxa"/>
                  <w:tcBorders>
                    <w:tl2br w:val="nil"/>
                    <w:tr2bl w:val="nil"/>
                  </w:tcBorders>
                  <w:shd w:val="clear" w:color="auto" w:fill="auto"/>
                  <w:noWrap w:val="0"/>
                  <w:vAlign w:val="center"/>
                </w:tcPr>
                <w:p w14:paraId="3ACBAA7B">
                  <w:pPr>
                    <w:widowControl/>
                    <w:spacing w:line="0" w:lineRule="atLeast"/>
                    <w:jc w:val="center"/>
                    <w:rPr>
                      <w:rFonts w:hint="eastAsia" w:ascii="Times New Roman" w:hAnsi="Times New Roman" w:eastAsia="宋体" w:cs="Times New Roman"/>
                      <w:color w:val="auto"/>
                      <w:spacing w:val="-10"/>
                      <w:kern w:val="2"/>
                      <w:sz w:val="18"/>
                      <w:szCs w:val="18"/>
                      <w:highlight w:val="none"/>
                      <w:lang w:val="en-US" w:eastAsia="zh-CN" w:bidi="ar-SA"/>
                    </w:rPr>
                  </w:pPr>
                  <w:r>
                    <w:rPr>
                      <w:rFonts w:hint="eastAsia" w:cs="Times New Roman"/>
                      <w:color w:val="auto"/>
                      <w:spacing w:val="-10"/>
                      <w:sz w:val="18"/>
                      <w:szCs w:val="18"/>
                      <w:highlight w:val="none"/>
                      <w:lang w:val="en-US" w:eastAsia="zh-CN"/>
                    </w:rPr>
                    <w:t>--</w:t>
                  </w:r>
                </w:p>
              </w:tc>
              <w:tc>
                <w:tcPr>
                  <w:tcW w:w="631" w:type="dxa"/>
                  <w:tcBorders>
                    <w:tl2br w:val="nil"/>
                    <w:tr2bl w:val="nil"/>
                  </w:tcBorders>
                  <w:shd w:val="clear" w:color="auto" w:fill="auto"/>
                  <w:noWrap w:val="0"/>
                  <w:vAlign w:val="center"/>
                </w:tcPr>
                <w:p w14:paraId="239ED885">
                  <w:pPr>
                    <w:widowControl/>
                    <w:spacing w:line="0" w:lineRule="atLeast"/>
                    <w:jc w:val="center"/>
                    <w:rPr>
                      <w:rFonts w:hint="eastAsia" w:ascii="Times New Roman" w:hAnsi="Times New Roman" w:eastAsia="宋体" w:cs="Times New Roman"/>
                      <w:color w:val="auto"/>
                      <w:spacing w:val="-10"/>
                      <w:kern w:val="2"/>
                      <w:sz w:val="18"/>
                      <w:szCs w:val="18"/>
                      <w:highlight w:val="none"/>
                      <w:lang w:val="en-US" w:eastAsia="zh-CN" w:bidi="ar-SA"/>
                    </w:rPr>
                  </w:pPr>
                  <w:r>
                    <w:rPr>
                      <w:rFonts w:hint="eastAsia" w:cs="Times New Roman"/>
                      <w:color w:val="auto"/>
                      <w:spacing w:val="-10"/>
                      <w:sz w:val="18"/>
                      <w:szCs w:val="18"/>
                      <w:highlight w:val="none"/>
                      <w:lang w:val="en-US" w:eastAsia="zh-CN"/>
                    </w:rPr>
                    <w:t>--</w:t>
                  </w:r>
                </w:p>
              </w:tc>
              <w:tc>
                <w:tcPr>
                  <w:tcW w:w="767" w:type="dxa"/>
                  <w:tcBorders>
                    <w:tl2br w:val="nil"/>
                    <w:tr2bl w:val="nil"/>
                  </w:tcBorders>
                  <w:shd w:val="clear" w:color="auto" w:fill="auto"/>
                  <w:noWrap w:val="0"/>
                  <w:vAlign w:val="center"/>
                </w:tcPr>
                <w:p w14:paraId="26D857C9">
                  <w:pPr>
                    <w:widowControl/>
                    <w:spacing w:line="0" w:lineRule="atLeast"/>
                    <w:jc w:val="center"/>
                    <w:rPr>
                      <w:rFonts w:hint="eastAsia" w:ascii="Times New Roman" w:hAnsi="Times New Roman" w:eastAsia="宋体" w:cs="Times New Roman"/>
                      <w:color w:val="auto"/>
                      <w:spacing w:val="-10"/>
                      <w:kern w:val="2"/>
                      <w:sz w:val="18"/>
                      <w:szCs w:val="18"/>
                      <w:highlight w:val="none"/>
                      <w:lang w:val="en-US" w:eastAsia="zh-CN" w:bidi="ar-SA"/>
                    </w:rPr>
                  </w:pPr>
                  <w:r>
                    <w:rPr>
                      <w:rFonts w:hint="eastAsia" w:cs="Times New Roman"/>
                      <w:color w:val="auto"/>
                      <w:spacing w:val="-10"/>
                      <w:sz w:val="18"/>
                      <w:szCs w:val="18"/>
                      <w:highlight w:val="none"/>
                      <w:lang w:val="en-US" w:eastAsia="zh-CN"/>
                    </w:rPr>
                    <w:t>--</w:t>
                  </w:r>
                </w:p>
              </w:tc>
              <w:tc>
                <w:tcPr>
                  <w:tcW w:w="474" w:type="dxa"/>
                  <w:tcBorders>
                    <w:tl2br w:val="nil"/>
                    <w:tr2bl w:val="nil"/>
                  </w:tcBorders>
                  <w:shd w:val="clear" w:color="auto" w:fill="auto"/>
                  <w:noWrap w:val="0"/>
                  <w:vAlign w:val="center"/>
                </w:tcPr>
                <w:p w14:paraId="21DFE08E">
                  <w:pPr>
                    <w:widowControl/>
                    <w:spacing w:line="0" w:lineRule="atLeast"/>
                    <w:jc w:val="center"/>
                    <w:rPr>
                      <w:rFonts w:hint="default" w:ascii="Times New Roman" w:hAnsi="Times New Roman" w:eastAsia="宋体" w:cs="Times New Roman"/>
                      <w:color w:val="auto"/>
                      <w:spacing w:val="-10"/>
                      <w:kern w:val="2"/>
                      <w:sz w:val="18"/>
                      <w:szCs w:val="18"/>
                      <w:highlight w:val="none"/>
                      <w:lang w:val="en-US" w:eastAsia="zh-CN" w:bidi="ar-SA"/>
                    </w:rPr>
                  </w:pPr>
                  <w:r>
                    <w:rPr>
                      <w:rFonts w:hint="eastAsia" w:cs="Times New Roman"/>
                      <w:color w:val="auto"/>
                      <w:spacing w:val="-10"/>
                      <w:sz w:val="18"/>
                      <w:szCs w:val="18"/>
                      <w:highlight w:val="none"/>
                      <w:lang w:val="en-US" w:eastAsia="zh-CN"/>
                    </w:rPr>
                    <w:t>6</w:t>
                  </w:r>
                </w:p>
              </w:tc>
              <w:tc>
                <w:tcPr>
                  <w:tcW w:w="1218" w:type="dxa"/>
                  <w:tcBorders>
                    <w:tl2br w:val="nil"/>
                    <w:tr2bl w:val="nil"/>
                  </w:tcBorders>
                  <w:noWrap w:val="0"/>
                  <w:vAlign w:val="center"/>
                </w:tcPr>
                <w:p w14:paraId="0414D881">
                  <w:pPr>
                    <w:widowControl/>
                    <w:spacing w:line="0" w:lineRule="atLeast"/>
                    <w:jc w:val="center"/>
                    <w:rPr>
                      <w:rFonts w:hint="eastAsia" w:ascii="Times New Roman" w:hAnsi="Times New Roman" w:eastAsia="宋体" w:cs="Times New Roman"/>
                      <w:color w:val="auto"/>
                      <w:spacing w:val="-10"/>
                      <w:kern w:val="2"/>
                      <w:sz w:val="18"/>
                      <w:szCs w:val="18"/>
                      <w:highlight w:val="none"/>
                      <w:lang w:val="en-US" w:eastAsia="zh-CN" w:bidi="ar-SA"/>
                    </w:rPr>
                  </w:pPr>
                  <w:r>
                    <w:rPr>
                      <w:rFonts w:hint="eastAsia" w:ascii="Times New Roman" w:hAnsi="Times New Roman" w:eastAsia="宋体" w:cs="Times New Roman"/>
                      <w:color w:val="auto"/>
                      <w:spacing w:val="-10"/>
                      <w:kern w:val="2"/>
                      <w:sz w:val="18"/>
                      <w:szCs w:val="18"/>
                      <w:highlight w:val="none"/>
                      <w:lang w:val="en-US" w:eastAsia="zh-CN" w:bidi="ar-SA"/>
                    </w:rPr>
                    <w:t>沉降灰</w:t>
                  </w:r>
                </w:p>
              </w:tc>
              <w:tc>
                <w:tcPr>
                  <w:tcW w:w="801" w:type="dxa"/>
                  <w:tcBorders>
                    <w:tl2br w:val="nil"/>
                    <w:tr2bl w:val="nil"/>
                  </w:tcBorders>
                  <w:noWrap w:val="0"/>
                  <w:vAlign w:val="center"/>
                </w:tcPr>
                <w:p w14:paraId="37CF2DC6">
                  <w:pPr>
                    <w:widowControl/>
                    <w:spacing w:line="0" w:lineRule="atLeast"/>
                    <w:jc w:val="center"/>
                    <w:rPr>
                      <w:rFonts w:hint="default" w:ascii="Times New Roman" w:hAnsi="Times New Roman" w:eastAsia="宋体" w:cs="Times New Roman"/>
                      <w:color w:val="auto"/>
                      <w:spacing w:val="-10"/>
                      <w:sz w:val="18"/>
                      <w:szCs w:val="18"/>
                      <w:highlight w:val="none"/>
                      <w:lang w:val="en-US" w:eastAsia="zh-CN"/>
                    </w:rPr>
                  </w:pPr>
                  <w:r>
                    <w:rPr>
                      <w:rFonts w:hint="eastAsia" w:ascii="Times New Roman" w:hAnsi="Times New Roman" w:eastAsia="宋体" w:cs="Times New Roman"/>
                      <w:color w:val="auto"/>
                      <w:spacing w:val="-10"/>
                      <w:sz w:val="18"/>
                      <w:szCs w:val="18"/>
                      <w:highlight w:val="none"/>
                      <w:lang w:val="en-US" w:eastAsia="zh-CN"/>
                    </w:rPr>
                    <w:t>14.289</w:t>
                  </w:r>
                </w:p>
              </w:tc>
              <w:tc>
                <w:tcPr>
                  <w:tcW w:w="620" w:type="dxa"/>
                  <w:tcBorders>
                    <w:tl2br w:val="nil"/>
                    <w:tr2bl w:val="nil"/>
                  </w:tcBorders>
                  <w:noWrap w:val="0"/>
                  <w:vAlign w:val="center"/>
                </w:tcPr>
                <w:p w14:paraId="125B32A2">
                  <w:pPr>
                    <w:widowControl/>
                    <w:spacing w:line="0" w:lineRule="atLeast"/>
                    <w:jc w:val="center"/>
                    <w:rPr>
                      <w:rFonts w:hint="eastAsia" w:ascii="Times New Roman" w:hAnsi="Times New Roman" w:eastAsia="宋体" w:cs="Times New Roman"/>
                      <w:color w:val="auto"/>
                      <w:spacing w:val="-10"/>
                      <w:sz w:val="18"/>
                      <w:szCs w:val="18"/>
                      <w:highlight w:val="none"/>
                      <w:lang w:val="en-US" w:eastAsia="zh-CN"/>
                    </w:rPr>
                  </w:pPr>
                  <w:r>
                    <w:rPr>
                      <w:rFonts w:hint="default" w:ascii="Times New Roman" w:hAnsi="Times New Roman" w:eastAsia="宋体" w:cs="Times New Roman"/>
                      <w:color w:val="auto"/>
                      <w:spacing w:val="-10"/>
                      <w:sz w:val="18"/>
                      <w:szCs w:val="18"/>
                      <w:highlight w:val="none"/>
                      <w:lang w:val="en-US" w:eastAsia="zh-CN"/>
                    </w:rPr>
                    <w:t>5</w:t>
                  </w:r>
                </w:p>
              </w:tc>
              <w:tc>
                <w:tcPr>
                  <w:tcW w:w="765" w:type="dxa"/>
                  <w:tcBorders>
                    <w:tl2br w:val="nil"/>
                    <w:tr2bl w:val="nil"/>
                  </w:tcBorders>
                  <w:noWrap w:val="0"/>
                  <w:vAlign w:val="center"/>
                </w:tcPr>
                <w:p w14:paraId="440ADBED">
                  <w:pPr>
                    <w:widowControl/>
                    <w:spacing w:line="0" w:lineRule="atLeast"/>
                    <w:jc w:val="center"/>
                    <w:rPr>
                      <w:rFonts w:hint="eastAsia" w:ascii="Times New Roman" w:hAnsi="Times New Roman" w:eastAsia="宋体" w:cs="Times New Roman"/>
                      <w:color w:val="auto"/>
                      <w:spacing w:val="-10"/>
                      <w:sz w:val="18"/>
                      <w:szCs w:val="18"/>
                      <w:highlight w:val="none"/>
                      <w:lang w:val="en-US" w:eastAsia="zh-CN"/>
                    </w:rPr>
                  </w:pPr>
                  <w:r>
                    <w:rPr>
                      <w:rFonts w:hint="eastAsia" w:ascii="Times New Roman" w:hAnsi="Times New Roman" w:eastAsia="宋体" w:cs="Times New Roman"/>
                      <w:color w:val="auto"/>
                      <w:spacing w:val="-10"/>
                      <w:sz w:val="18"/>
                      <w:szCs w:val="18"/>
                      <w:lang w:val="en-US" w:eastAsia="zh-CN"/>
                    </w:rPr>
                    <w:t>13.6</w:t>
                  </w:r>
                </w:p>
              </w:tc>
            </w:tr>
            <w:tr w14:paraId="10915AD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2" w:hRule="exact"/>
                <w:jc w:val="center"/>
              </w:trPr>
              <w:tc>
                <w:tcPr>
                  <w:tcW w:w="552" w:type="dxa"/>
                  <w:vMerge w:val="continue"/>
                  <w:tcBorders>
                    <w:tl2br w:val="nil"/>
                    <w:tr2bl w:val="nil"/>
                  </w:tcBorders>
                  <w:noWrap w:val="0"/>
                  <w:vAlign w:val="center"/>
                </w:tcPr>
                <w:p w14:paraId="7AA10FFF">
                  <w:pPr>
                    <w:widowControl/>
                    <w:spacing w:line="0" w:lineRule="atLeast"/>
                    <w:jc w:val="center"/>
                    <w:rPr>
                      <w:rFonts w:hint="eastAsia" w:ascii="Times New Roman" w:hAnsi="Times New Roman" w:eastAsia="宋体" w:cs="Times New Roman"/>
                      <w:color w:val="auto"/>
                      <w:spacing w:val="-10"/>
                      <w:sz w:val="18"/>
                      <w:szCs w:val="18"/>
                      <w:highlight w:val="none"/>
                      <w:lang w:val="en-US" w:eastAsia="zh-CN"/>
                    </w:rPr>
                  </w:pPr>
                </w:p>
              </w:tc>
              <w:tc>
                <w:tcPr>
                  <w:tcW w:w="419" w:type="dxa"/>
                  <w:tcBorders>
                    <w:tl2br w:val="nil"/>
                    <w:tr2bl w:val="nil"/>
                  </w:tcBorders>
                  <w:noWrap w:val="0"/>
                  <w:vAlign w:val="center"/>
                </w:tcPr>
                <w:p w14:paraId="3BA4BE88">
                  <w:pPr>
                    <w:widowControl/>
                    <w:spacing w:line="0" w:lineRule="atLeast"/>
                    <w:jc w:val="center"/>
                    <w:rPr>
                      <w:rFonts w:hint="eastAsia" w:ascii="Times New Roman" w:hAnsi="Times New Roman" w:eastAsia="宋体" w:cs="Times New Roman"/>
                      <w:color w:val="auto"/>
                      <w:spacing w:val="-10"/>
                      <w:kern w:val="2"/>
                      <w:sz w:val="18"/>
                      <w:szCs w:val="18"/>
                      <w:highlight w:val="none"/>
                      <w:lang w:val="en-US" w:eastAsia="zh-CN" w:bidi="ar-SA"/>
                    </w:rPr>
                  </w:pPr>
                  <w:r>
                    <w:rPr>
                      <w:rFonts w:hint="eastAsia" w:cs="Times New Roman"/>
                      <w:color w:val="auto"/>
                      <w:spacing w:val="-10"/>
                      <w:kern w:val="2"/>
                      <w:sz w:val="18"/>
                      <w:szCs w:val="18"/>
                      <w:highlight w:val="none"/>
                      <w:lang w:val="en-US" w:eastAsia="zh-CN" w:bidi="ar-SA"/>
                    </w:rPr>
                    <w:t>--</w:t>
                  </w:r>
                </w:p>
              </w:tc>
              <w:tc>
                <w:tcPr>
                  <w:tcW w:w="1082" w:type="dxa"/>
                  <w:tcBorders>
                    <w:tl2br w:val="nil"/>
                    <w:tr2bl w:val="nil"/>
                  </w:tcBorders>
                  <w:noWrap w:val="0"/>
                  <w:vAlign w:val="center"/>
                </w:tcPr>
                <w:p w14:paraId="3D5FB810">
                  <w:pPr>
                    <w:widowControl/>
                    <w:spacing w:line="0" w:lineRule="atLeast"/>
                    <w:jc w:val="center"/>
                    <w:rPr>
                      <w:rFonts w:hint="eastAsia" w:ascii="Times New Roman" w:hAnsi="Times New Roman" w:eastAsia="宋体" w:cs="Times New Roman"/>
                      <w:color w:val="auto"/>
                      <w:spacing w:val="-10"/>
                      <w:kern w:val="2"/>
                      <w:sz w:val="18"/>
                      <w:szCs w:val="18"/>
                      <w:highlight w:val="none"/>
                      <w:lang w:val="en-US" w:eastAsia="zh-CN" w:bidi="ar-SA"/>
                    </w:rPr>
                  </w:pPr>
                  <w:r>
                    <w:rPr>
                      <w:rFonts w:hint="eastAsia" w:cs="Times New Roman"/>
                      <w:color w:val="auto"/>
                      <w:spacing w:val="-10"/>
                      <w:kern w:val="2"/>
                      <w:sz w:val="18"/>
                      <w:szCs w:val="18"/>
                      <w:highlight w:val="none"/>
                      <w:lang w:val="en-US" w:eastAsia="zh-CN" w:bidi="ar-SA"/>
                    </w:rPr>
                    <w:t>--</w:t>
                  </w:r>
                </w:p>
              </w:tc>
              <w:tc>
                <w:tcPr>
                  <w:tcW w:w="745" w:type="dxa"/>
                  <w:tcBorders>
                    <w:tl2br w:val="nil"/>
                    <w:tr2bl w:val="nil"/>
                  </w:tcBorders>
                  <w:noWrap w:val="0"/>
                  <w:vAlign w:val="center"/>
                </w:tcPr>
                <w:p w14:paraId="65EE9467">
                  <w:pPr>
                    <w:widowControl/>
                    <w:spacing w:line="0" w:lineRule="atLeast"/>
                    <w:jc w:val="center"/>
                    <w:rPr>
                      <w:rFonts w:hint="eastAsia" w:ascii="Times New Roman" w:hAnsi="Times New Roman" w:eastAsia="宋体" w:cs="Times New Roman"/>
                      <w:color w:val="auto"/>
                      <w:spacing w:val="-10"/>
                      <w:kern w:val="2"/>
                      <w:sz w:val="18"/>
                      <w:szCs w:val="18"/>
                      <w:highlight w:val="none"/>
                      <w:lang w:val="en-US" w:eastAsia="zh-CN" w:bidi="ar-SA"/>
                    </w:rPr>
                  </w:pPr>
                  <w:r>
                    <w:rPr>
                      <w:rFonts w:hint="eastAsia" w:cs="Times New Roman"/>
                      <w:color w:val="auto"/>
                      <w:spacing w:val="-10"/>
                      <w:sz w:val="18"/>
                      <w:szCs w:val="18"/>
                      <w:highlight w:val="none"/>
                      <w:lang w:val="en-US" w:eastAsia="zh-CN"/>
                    </w:rPr>
                    <w:t>--</w:t>
                  </w:r>
                </w:p>
              </w:tc>
              <w:tc>
                <w:tcPr>
                  <w:tcW w:w="631" w:type="dxa"/>
                  <w:tcBorders>
                    <w:tl2br w:val="nil"/>
                    <w:tr2bl w:val="nil"/>
                  </w:tcBorders>
                  <w:noWrap w:val="0"/>
                  <w:vAlign w:val="center"/>
                </w:tcPr>
                <w:p w14:paraId="0A301BDC">
                  <w:pPr>
                    <w:widowControl/>
                    <w:spacing w:line="0" w:lineRule="atLeast"/>
                    <w:jc w:val="center"/>
                    <w:rPr>
                      <w:rFonts w:hint="eastAsia" w:ascii="Times New Roman" w:hAnsi="Times New Roman" w:eastAsia="宋体" w:cs="Times New Roman"/>
                      <w:color w:val="auto"/>
                      <w:spacing w:val="-10"/>
                      <w:kern w:val="2"/>
                      <w:sz w:val="18"/>
                      <w:szCs w:val="18"/>
                      <w:highlight w:val="none"/>
                      <w:lang w:val="en-US" w:eastAsia="zh-CN" w:bidi="ar-SA"/>
                    </w:rPr>
                  </w:pPr>
                  <w:r>
                    <w:rPr>
                      <w:rFonts w:hint="eastAsia" w:cs="Times New Roman"/>
                      <w:color w:val="auto"/>
                      <w:spacing w:val="-10"/>
                      <w:sz w:val="18"/>
                      <w:szCs w:val="18"/>
                      <w:highlight w:val="none"/>
                      <w:lang w:val="en-US" w:eastAsia="zh-CN"/>
                    </w:rPr>
                    <w:t>--</w:t>
                  </w:r>
                </w:p>
              </w:tc>
              <w:tc>
                <w:tcPr>
                  <w:tcW w:w="767" w:type="dxa"/>
                  <w:tcBorders>
                    <w:tl2br w:val="nil"/>
                    <w:tr2bl w:val="nil"/>
                  </w:tcBorders>
                  <w:noWrap w:val="0"/>
                  <w:vAlign w:val="center"/>
                </w:tcPr>
                <w:p w14:paraId="28100BBA">
                  <w:pPr>
                    <w:widowControl/>
                    <w:spacing w:line="0" w:lineRule="atLeast"/>
                    <w:jc w:val="center"/>
                    <w:rPr>
                      <w:rFonts w:hint="eastAsia" w:ascii="Times New Roman" w:hAnsi="Times New Roman" w:eastAsia="宋体" w:cs="Times New Roman"/>
                      <w:color w:val="auto"/>
                      <w:spacing w:val="-10"/>
                      <w:kern w:val="2"/>
                      <w:sz w:val="18"/>
                      <w:szCs w:val="18"/>
                      <w:highlight w:val="none"/>
                      <w:lang w:val="en-US" w:eastAsia="zh-CN" w:bidi="ar-SA"/>
                    </w:rPr>
                  </w:pPr>
                  <w:r>
                    <w:rPr>
                      <w:rFonts w:hint="eastAsia" w:cs="Times New Roman"/>
                      <w:color w:val="auto"/>
                      <w:spacing w:val="-10"/>
                      <w:sz w:val="18"/>
                      <w:szCs w:val="18"/>
                      <w:highlight w:val="none"/>
                      <w:lang w:val="en-US" w:eastAsia="zh-CN"/>
                    </w:rPr>
                    <w:t>--</w:t>
                  </w:r>
                </w:p>
              </w:tc>
              <w:tc>
                <w:tcPr>
                  <w:tcW w:w="474" w:type="dxa"/>
                  <w:tcBorders>
                    <w:tl2br w:val="nil"/>
                    <w:tr2bl w:val="nil"/>
                  </w:tcBorders>
                  <w:shd w:val="clear" w:color="auto" w:fill="auto"/>
                  <w:noWrap w:val="0"/>
                  <w:vAlign w:val="center"/>
                </w:tcPr>
                <w:p w14:paraId="6DFDDF5E">
                  <w:pPr>
                    <w:widowControl/>
                    <w:spacing w:line="0" w:lineRule="atLeast"/>
                    <w:jc w:val="center"/>
                    <w:rPr>
                      <w:rFonts w:hint="default" w:ascii="Times New Roman" w:hAnsi="Times New Roman" w:eastAsia="宋体" w:cs="Times New Roman"/>
                      <w:color w:val="auto"/>
                      <w:spacing w:val="-10"/>
                      <w:kern w:val="2"/>
                      <w:sz w:val="18"/>
                      <w:szCs w:val="18"/>
                      <w:highlight w:val="none"/>
                      <w:lang w:val="en-US" w:eastAsia="zh-CN" w:bidi="ar-SA"/>
                    </w:rPr>
                  </w:pPr>
                  <w:r>
                    <w:rPr>
                      <w:rFonts w:hint="eastAsia" w:cs="Times New Roman"/>
                      <w:color w:val="auto"/>
                      <w:spacing w:val="-10"/>
                      <w:sz w:val="18"/>
                      <w:szCs w:val="18"/>
                      <w:highlight w:val="none"/>
                      <w:lang w:val="en-US" w:eastAsia="zh-CN"/>
                    </w:rPr>
                    <w:t>7</w:t>
                  </w:r>
                </w:p>
              </w:tc>
              <w:tc>
                <w:tcPr>
                  <w:tcW w:w="1218" w:type="dxa"/>
                  <w:tcBorders>
                    <w:tl2br w:val="nil"/>
                    <w:tr2bl w:val="nil"/>
                  </w:tcBorders>
                  <w:noWrap w:val="0"/>
                  <w:vAlign w:val="center"/>
                </w:tcPr>
                <w:p w14:paraId="593F5678">
                  <w:pPr>
                    <w:widowControl/>
                    <w:spacing w:line="0" w:lineRule="atLeast"/>
                    <w:jc w:val="center"/>
                    <w:rPr>
                      <w:rFonts w:hint="eastAsia" w:ascii="Times New Roman" w:hAnsi="Times New Roman" w:eastAsia="宋体" w:cs="Times New Roman"/>
                      <w:color w:val="auto"/>
                      <w:spacing w:val="-10"/>
                      <w:kern w:val="2"/>
                      <w:sz w:val="18"/>
                      <w:szCs w:val="18"/>
                      <w:highlight w:val="none"/>
                      <w:lang w:val="en-US" w:eastAsia="zh-CN" w:bidi="ar-SA"/>
                    </w:rPr>
                  </w:pPr>
                  <w:r>
                    <w:rPr>
                      <w:rFonts w:hint="eastAsia" w:ascii="Times New Roman" w:hAnsi="Times New Roman" w:eastAsia="宋体" w:cs="Times New Roman"/>
                      <w:color w:val="auto"/>
                      <w:spacing w:val="-10"/>
                      <w:kern w:val="2"/>
                      <w:sz w:val="18"/>
                      <w:szCs w:val="18"/>
                      <w:highlight w:val="none"/>
                      <w:lang w:val="en-US" w:eastAsia="zh-CN" w:bidi="ar-SA"/>
                    </w:rPr>
                    <w:t>污泥、泥饼</w:t>
                  </w:r>
                </w:p>
              </w:tc>
              <w:tc>
                <w:tcPr>
                  <w:tcW w:w="801" w:type="dxa"/>
                  <w:tcBorders>
                    <w:tl2br w:val="nil"/>
                    <w:tr2bl w:val="nil"/>
                  </w:tcBorders>
                  <w:noWrap w:val="0"/>
                  <w:vAlign w:val="center"/>
                </w:tcPr>
                <w:p w14:paraId="5067F4FE">
                  <w:pPr>
                    <w:widowControl/>
                    <w:spacing w:line="0" w:lineRule="atLeast"/>
                    <w:jc w:val="center"/>
                    <w:rPr>
                      <w:rFonts w:hint="default" w:ascii="Times New Roman" w:hAnsi="Times New Roman" w:eastAsia="宋体" w:cs="Times New Roman"/>
                      <w:color w:val="auto"/>
                      <w:spacing w:val="-10"/>
                      <w:sz w:val="18"/>
                      <w:szCs w:val="18"/>
                      <w:highlight w:val="none"/>
                      <w:lang w:val="en-US" w:eastAsia="zh-CN"/>
                    </w:rPr>
                  </w:pPr>
                  <w:r>
                    <w:rPr>
                      <w:rFonts w:hint="eastAsia" w:ascii="Times New Roman" w:hAnsi="Times New Roman" w:eastAsia="宋体" w:cs="Times New Roman"/>
                      <w:color w:val="auto"/>
                      <w:spacing w:val="-10"/>
                      <w:sz w:val="18"/>
                      <w:szCs w:val="18"/>
                      <w:highlight w:val="none"/>
                      <w:lang w:val="en-US" w:eastAsia="zh-CN"/>
                    </w:rPr>
                    <w:t>12187.2</w:t>
                  </w:r>
                </w:p>
              </w:tc>
              <w:tc>
                <w:tcPr>
                  <w:tcW w:w="620" w:type="dxa"/>
                  <w:tcBorders>
                    <w:tl2br w:val="nil"/>
                    <w:tr2bl w:val="nil"/>
                  </w:tcBorders>
                  <w:noWrap w:val="0"/>
                  <w:vAlign w:val="center"/>
                </w:tcPr>
                <w:p w14:paraId="3C85FA31">
                  <w:pPr>
                    <w:widowControl/>
                    <w:spacing w:line="0" w:lineRule="atLeast"/>
                    <w:jc w:val="center"/>
                    <w:rPr>
                      <w:rFonts w:hint="default" w:ascii="Times New Roman" w:hAnsi="Times New Roman" w:eastAsia="宋体" w:cs="Times New Roman"/>
                      <w:color w:val="auto"/>
                      <w:spacing w:val="-10"/>
                      <w:sz w:val="18"/>
                      <w:szCs w:val="18"/>
                      <w:highlight w:val="none"/>
                      <w:lang w:val="en-US" w:eastAsia="zh-CN"/>
                    </w:rPr>
                  </w:pPr>
                  <w:r>
                    <w:rPr>
                      <w:rFonts w:hint="default" w:ascii="Times New Roman" w:hAnsi="Times New Roman" w:eastAsia="宋体" w:cs="Times New Roman"/>
                      <w:color w:val="auto"/>
                      <w:spacing w:val="-10"/>
                      <w:sz w:val="18"/>
                      <w:szCs w:val="18"/>
                      <w:highlight w:val="none"/>
                      <w:lang w:val="en-US" w:eastAsia="zh-CN"/>
                    </w:rPr>
                    <w:t>15</w:t>
                  </w:r>
                </w:p>
              </w:tc>
              <w:tc>
                <w:tcPr>
                  <w:tcW w:w="765" w:type="dxa"/>
                  <w:tcBorders>
                    <w:tl2br w:val="nil"/>
                    <w:tr2bl w:val="nil"/>
                  </w:tcBorders>
                  <w:noWrap w:val="0"/>
                  <w:vAlign w:val="center"/>
                </w:tcPr>
                <w:p w14:paraId="617971A4">
                  <w:pPr>
                    <w:widowControl/>
                    <w:spacing w:line="0" w:lineRule="atLeast"/>
                    <w:jc w:val="center"/>
                    <w:rPr>
                      <w:rFonts w:hint="default" w:ascii="Times New Roman" w:hAnsi="Times New Roman" w:eastAsia="宋体" w:cs="Times New Roman"/>
                      <w:color w:val="auto"/>
                      <w:spacing w:val="-10"/>
                      <w:sz w:val="18"/>
                      <w:szCs w:val="18"/>
                      <w:highlight w:val="none"/>
                      <w:lang w:val="en-US" w:eastAsia="zh-CN"/>
                    </w:rPr>
                  </w:pPr>
                  <w:r>
                    <w:rPr>
                      <w:rFonts w:hint="eastAsia" w:ascii="Times New Roman" w:hAnsi="Times New Roman" w:eastAsia="宋体" w:cs="Times New Roman"/>
                      <w:color w:val="auto"/>
                      <w:spacing w:val="-10"/>
                      <w:sz w:val="18"/>
                      <w:szCs w:val="18"/>
                      <w:lang w:val="en-US" w:eastAsia="zh-CN"/>
                    </w:rPr>
                    <w:t>10359.1</w:t>
                  </w:r>
                </w:p>
              </w:tc>
            </w:tr>
            <w:tr w14:paraId="61ED244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2" w:hRule="exact"/>
                <w:jc w:val="center"/>
              </w:trPr>
              <w:tc>
                <w:tcPr>
                  <w:tcW w:w="552" w:type="dxa"/>
                  <w:vMerge w:val="continue"/>
                  <w:tcBorders>
                    <w:tl2br w:val="nil"/>
                    <w:tr2bl w:val="nil"/>
                  </w:tcBorders>
                  <w:noWrap w:val="0"/>
                  <w:vAlign w:val="center"/>
                </w:tcPr>
                <w:p w14:paraId="3C2ACB98">
                  <w:pPr>
                    <w:widowControl/>
                    <w:spacing w:line="0" w:lineRule="atLeast"/>
                    <w:jc w:val="center"/>
                    <w:rPr>
                      <w:rFonts w:hint="eastAsia" w:ascii="Times New Roman" w:hAnsi="Times New Roman" w:eastAsia="宋体" w:cs="Times New Roman"/>
                      <w:color w:val="auto"/>
                      <w:spacing w:val="-10"/>
                      <w:sz w:val="18"/>
                      <w:szCs w:val="18"/>
                      <w:highlight w:val="none"/>
                      <w:lang w:val="en-US" w:eastAsia="zh-CN"/>
                    </w:rPr>
                  </w:pPr>
                </w:p>
              </w:tc>
              <w:tc>
                <w:tcPr>
                  <w:tcW w:w="2877" w:type="dxa"/>
                  <w:gridSpan w:val="4"/>
                  <w:tcBorders>
                    <w:tl2br w:val="nil"/>
                    <w:tr2bl w:val="nil"/>
                  </w:tcBorders>
                  <w:noWrap w:val="0"/>
                  <w:vAlign w:val="center"/>
                </w:tcPr>
                <w:p w14:paraId="41ED6B9E">
                  <w:pPr>
                    <w:widowControl/>
                    <w:spacing w:line="0" w:lineRule="atLeast"/>
                    <w:jc w:val="center"/>
                    <w:rPr>
                      <w:rFonts w:hint="eastAsia" w:ascii="Times New Roman" w:hAnsi="Times New Roman" w:eastAsia="宋体" w:cs="Times New Roman"/>
                      <w:color w:val="auto"/>
                      <w:spacing w:val="-10"/>
                      <w:sz w:val="18"/>
                      <w:szCs w:val="18"/>
                      <w:highlight w:val="none"/>
                      <w:lang w:val="en-US" w:eastAsia="zh-CN"/>
                    </w:rPr>
                  </w:pPr>
                  <w:r>
                    <w:rPr>
                      <w:rFonts w:hint="eastAsia" w:ascii="Times New Roman" w:hAnsi="Times New Roman" w:cs="Times New Roman"/>
                      <w:color w:val="auto"/>
                      <w:spacing w:val="-10"/>
                      <w:sz w:val="18"/>
                      <w:szCs w:val="18"/>
                      <w:highlight w:val="none"/>
                      <w:lang w:val="en-US" w:eastAsia="zh-CN"/>
                    </w:rPr>
                    <w:t>合计</w:t>
                  </w:r>
                </w:p>
              </w:tc>
              <w:tc>
                <w:tcPr>
                  <w:tcW w:w="767" w:type="dxa"/>
                  <w:tcBorders>
                    <w:tl2br w:val="nil"/>
                    <w:tr2bl w:val="nil"/>
                  </w:tcBorders>
                  <w:noWrap w:val="0"/>
                  <w:vAlign w:val="center"/>
                </w:tcPr>
                <w:p w14:paraId="79FEFC42">
                  <w:pPr>
                    <w:widowControl/>
                    <w:spacing w:line="0" w:lineRule="atLeast"/>
                    <w:jc w:val="center"/>
                    <w:rPr>
                      <w:rFonts w:hint="default" w:ascii="Times New Roman" w:hAnsi="Times New Roman" w:eastAsia="宋体" w:cs="Times New Roman"/>
                      <w:color w:val="auto"/>
                      <w:spacing w:val="-10"/>
                      <w:sz w:val="18"/>
                      <w:szCs w:val="18"/>
                      <w:highlight w:val="none"/>
                      <w:lang w:val="en-US" w:eastAsia="zh-CN"/>
                    </w:rPr>
                  </w:pPr>
                  <w:r>
                    <w:rPr>
                      <w:rFonts w:hint="eastAsia" w:ascii="Times New Roman" w:hAnsi="Times New Roman" w:eastAsia="宋体" w:cs="Times New Roman"/>
                      <w:color w:val="auto"/>
                      <w:spacing w:val="-10"/>
                      <w:sz w:val="18"/>
                      <w:szCs w:val="18"/>
                      <w:highlight w:val="none"/>
                      <w:lang w:val="en-US" w:eastAsia="zh-CN"/>
                    </w:rPr>
                    <w:t>190015</w:t>
                  </w:r>
                </w:p>
              </w:tc>
              <w:tc>
                <w:tcPr>
                  <w:tcW w:w="3113" w:type="dxa"/>
                  <w:gridSpan w:val="4"/>
                  <w:tcBorders>
                    <w:tl2br w:val="nil"/>
                    <w:tr2bl w:val="nil"/>
                  </w:tcBorders>
                  <w:noWrap w:val="0"/>
                  <w:vAlign w:val="center"/>
                </w:tcPr>
                <w:p w14:paraId="2D277A13">
                  <w:pPr>
                    <w:widowControl/>
                    <w:spacing w:line="0" w:lineRule="atLeast"/>
                    <w:jc w:val="center"/>
                    <w:rPr>
                      <w:rFonts w:hint="default" w:ascii="Times New Roman" w:hAnsi="Times New Roman" w:eastAsia="宋体" w:cs="Times New Roman"/>
                      <w:color w:val="auto"/>
                      <w:spacing w:val="-10"/>
                      <w:sz w:val="18"/>
                      <w:szCs w:val="18"/>
                      <w:highlight w:val="none"/>
                      <w:lang w:val="en-US" w:eastAsia="zh-CN"/>
                    </w:rPr>
                  </w:pPr>
                  <w:r>
                    <w:rPr>
                      <w:rFonts w:hint="eastAsia" w:ascii="Times New Roman" w:hAnsi="Times New Roman" w:eastAsia="宋体" w:cs="Times New Roman"/>
                      <w:color w:val="auto"/>
                      <w:spacing w:val="-10"/>
                      <w:sz w:val="18"/>
                      <w:szCs w:val="18"/>
                      <w:highlight w:val="none"/>
                      <w:lang w:val="en-US" w:eastAsia="zh-CN"/>
                    </w:rPr>
                    <w:t>合计</w:t>
                  </w:r>
                </w:p>
              </w:tc>
              <w:tc>
                <w:tcPr>
                  <w:tcW w:w="765" w:type="dxa"/>
                  <w:tcBorders>
                    <w:tl2br w:val="nil"/>
                    <w:tr2bl w:val="nil"/>
                  </w:tcBorders>
                  <w:noWrap w:val="0"/>
                  <w:vAlign w:val="center"/>
                </w:tcPr>
                <w:p w14:paraId="7615150F">
                  <w:pPr>
                    <w:widowControl/>
                    <w:spacing w:line="0" w:lineRule="atLeast"/>
                    <w:jc w:val="center"/>
                    <w:rPr>
                      <w:rFonts w:hint="default" w:ascii="Times New Roman" w:hAnsi="Times New Roman" w:eastAsia="宋体" w:cs="Times New Roman"/>
                      <w:color w:val="auto"/>
                      <w:spacing w:val="-10"/>
                      <w:sz w:val="18"/>
                      <w:szCs w:val="18"/>
                      <w:highlight w:val="none"/>
                      <w:lang w:val="en-US" w:eastAsia="zh-CN"/>
                    </w:rPr>
                  </w:pPr>
                  <w:r>
                    <w:rPr>
                      <w:rFonts w:hint="eastAsia" w:ascii="Times New Roman" w:hAnsi="Times New Roman" w:eastAsia="宋体" w:cs="Times New Roman"/>
                      <w:color w:val="auto"/>
                      <w:spacing w:val="-10"/>
                      <w:sz w:val="18"/>
                      <w:szCs w:val="18"/>
                      <w:lang w:val="en-US" w:eastAsia="zh-CN"/>
                    </w:rPr>
                    <w:t>190015</w:t>
                  </w:r>
                </w:p>
              </w:tc>
            </w:tr>
            <w:tr w14:paraId="0BFD25A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52" w:type="dxa"/>
                  <w:vMerge w:val="restart"/>
                  <w:tcBorders>
                    <w:tl2br w:val="nil"/>
                    <w:tr2bl w:val="nil"/>
                  </w:tcBorders>
                  <w:noWrap w:val="0"/>
                  <w:vAlign w:val="center"/>
                </w:tcPr>
                <w:p w14:paraId="6D53278A">
                  <w:pPr>
                    <w:widowControl/>
                    <w:spacing w:line="0" w:lineRule="atLeast"/>
                    <w:jc w:val="center"/>
                    <w:rPr>
                      <w:rFonts w:hint="default" w:ascii="Times New Roman" w:hAnsi="Times New Roman" w:eastAsia="宋体" w:cs="Times New Roman"/>
                      <w:color w:val="auto"/>
                      <w:spacing w:val="-10"/>
                      <w:sz w:val="18"/>
                      <w:szCs w:val="18"/>
                      <w:highlight w:val="none"/>
                      <w:lang w:val="en-US" w:eastAsia="zh-CN"/>
                    </w:rPr>
                  </w:pPr>
                  <w:r>
                    <w:rPr>
                      <w:rFonts w:hint="eastAsia" w:cs="Times New Roman"/>
                      <w:color w:val="auto"/>
                      <w:spacing w:val="-10"/>
                      <w:sz w:val="18"/>
                      <w:szCs w:val="18"/>
                      <w:highlight w:val="none"/>
                      <w:lang w:val="en-US" w:eastAsia="zh-CN"/>
                    </w:rPr>
                    <w:t>废钢破碎尾料处理生产线</w:t>
                  </w:r>
                </w:p>
              </w:tc>
              <w:tc>
                <w:tcPr>
                  <w:tcW w:w="419" w:type="dxa"/>
                  <w:tcBorders>
                    <w:tl2br w:val="nil"/>
                    <w:tr2bl w:val="nil"/>
                  </w:tcBorders>
                  <w:noWrap w:val="0"/>
                  <w:vAlign w:val="center"/>
                </w:tcPr>
                <w:p w14:paraId="560146E3">
                  <w:pPr>
                    <w:widowControl/>
                    <w:spacing w:line="0" w:lineRule="atLeast"/>
                    <w:jc w:val="center"/>
                    <w:rPr>
                      <w:rFonts w:hint="eastAsia" w:ascii="Times New Roman" w:hAnsi="Times New Roman" w:eastAsia="宋体" w:cs="Times New Roman"/>
                      <w:color w:val="auto"/>
                      <w:spacing w:val="-10"/>
                      <w:sz w:val="18"/>
                      <w:szCs w:val="18"/>
                      <w:highlight w:val="none"/>
                      <w:lang w:val="en-US" w:eastAsia="zh-CN"/>
                    </w:rPr>
                  </w:pPr>
                  <w:r>
                    <w:rPr>
                      <w:rFonts w:hint="eastAsia" w:ascii="Times New Roman" w:hAnsi="Times New Roman" w:cs="Times New Roman"/>
                      <w:color w:val="auto"/>
                      <w:spacing w:val="-10"/>
                      <w:sz w:val="18"/>
                      <w:szCs w:val="18"/>
                      <w:highlight w:val="none"/>
                      <w:lang w:val="en-US" w:eastAsia="zh-CN"/>
                    </w:rPr>
                    <w:t>1</w:t>
                  </w:r>
                </w:p>
              </w:tc>
              <w:tc>
                <w:tcPr>
                  <w:tcW w:w="1082" w:type="dxa"/>
                  <w:tcBorders>
                    <w:tl2br w:val="nil"/>
                    <w:tr2bl w:val="nil"/>
                  </w:tcBorders>
                  <w:noWrap w:val="0"/>
                  <w:vAlign w:val="center"/>
                </w:tcPr>
                <w:p w14:paraId="5BD0A1DF">
                  <w:pPr>
                    <w:widowControl/>
                    <w:spacing w:line="0" w:lineRule="atLeast"/>
                    <w:jc w:val="center"/>
                    <w:rPr>
                      <w:rFonts w:hint="default" w:ascii="Times New Roman" w:hAnsi="Times New Roman" w:eastAsia="宋体" w:cs="Times New Roman"/>
                      <w:color w:val="auto"/>
                      <w:spacing w:val="-10"/>
                      <w:kern w:val="2"/>
                      <w:sz w:val="18"/>
                      <w:szCs w:val="18"/>
                      <w:highlight w:val="none"/>
                      <w:lang w:val="en-US" w:eastAsia="zh-CN" w:bidi="ar-SA"/>
                    </w:rPr>
                  </w:pPr>
                  <w:r>
                    <w:rPr>
                      <w:rFonts w:hint="eastAsia" w:cs="Times New Roman"/>
                      <w:color w:val="auto"/>
                      <w:spacing w:val="-10"/>
                      <w:sz w:val="18"/>
                      <w:szCs w:val="18"/>
                      <w:highlight w:val="none"/>
                      <w:lang w:val="en-US" w:eastAsia="zh-CN"/>
                    </w:rPr>
                    <w:t>废钢破碎尾料</w:t>
                  </w:r>
                </w:p>
              </w:tc>
              <w:tc>
                <w:tcPr>
                  <w:tcW w:w="745" w:type="dxa"/>
                  <w:tcBorders>
                    <w:tl2br w:val="nil"/>
                    <w:tr2bl w:val="nil"/>
                  </w:tcBorders>
                  <w:noWrap w:val="0"/>
                  <w:vAlign w:val="center"/>
                </w:tcPr>
                <w:p w14:paraId="2D6B6E26">
                  <w:pPr>
                    <w:widowControl/>
                    <w:spacing w:line="0" w:lineRule="atLeast"/>
                    <w:jc w:val="center"/>
                    <w:rPr>
                      <w:rFonts w:hint="eastAsia" w:ascii="Times New Roman" w:hAnsi="Times New Roman" w:eastAsia="宋体" w:cs="Times New Roman"/>
                      <w:color w:val="auto"/>
                      <w:spacing w:val="-10"/>
                      <w:kern w:val="2"/>
                      <w:sz w:val="18"/>
                      <w:szCs w:val="18"/>
                      <w:highlight w:val="none"/>
                      <w:lang w:val="en-US" w:eastAsia="zh-CN" w:bidi="ar-SA"/>
                    </w:rPr>
                  </w:pPr>
                  <w:r>
                    <w:rPr>
                      <w:rFonts w:hint="eastAsia" w:cs="Times New Roman"/>
                      <w:color w:val="auto"/>
                      <w:spacing w:val="-10"/>
                      <w:sz w:val="18"/>
                      <w:szCs w:val="18"/>
                      <w:highlight w:val="none"/>
                      <w:lang w:val="en-US" w:eastAsia="zh-CN"/>
                    </w:rPr>
                    <w:t>50</w:t>
                  </w:r>
                  <w:r>
                    <w:rPr>
                      <w:rFonts w:hint="eastAsia" w:ascii="Times New Roman" w:hAnsi="Times New Roman" w:cs="Times New Roman"/>
                      <w:color w:val="auto"/>
                      <w:spacing w:val="-10"/>
                      <w:sz w:val="18"/>
                      <w:szCs w:val="18"/>
                      <w:highlight w:val="none"/>
                      <w:lang w:val="en-US" w:eastAsia="zh-CN"/>
                    </w:rPr>
                    <w:t>0000</w:t>
                  </w:r>
                </w:p>
              </w:tc>
              <w:tc>
                <w:tcPr>
                  <w:tcW w:w="631" w:type="dxa"/>
                  <w:tcBorders>
                    <w:tl2br w:val="nil"/>
                    <w:tr2bl w:val="nil"/>
                  </w:tcBorders>
                  <w:noWrap w:val="0"/>
                  <w:vAlign w:val="center"/>
                </w:tcPr>
                <w:p w14:paraId="71955A7F">
                  <w:pPr>
                    <w:widowControl/>
                    <w:spacing w:line="0" w:lineRule="atLeast"/>
                    <w:jc w:val="center"/>
                    <w:rPr>
                      <w:rFonts w:hint="default" w:ascii="Times New Roman" w:hAnsi="Times New Roman" w:cs="Times New Roman"/>
                      <w:color w:val="auto"/>
                      <w:spacing w:val="-10"/>
                      <w:sz w:val="18"/>
                      <w:szCs w:val="18"/>
                      <w:highlight w:val="none"/>
                      <w:lang w:val="en-US" w:eastAsia="zh-CN"/>
                    </w:rPr>
                  </w:pPr>
                  <w:r>
                    <w:rPr>
                      <w:rFonts w:hint="eastAsia" w:cs="Times New Roman"/>
                      <w:color w:val="auto"/>
                      <w:spacing w:val="-10"/>
                      <w:sz w:val="18"/>
                      <w:szCs w:val="18"/>
                      <w:highlight w:val="none"/>
                      <w:lang w:val="en-US" w:eastAsia="zh-CN"/>
                    </w:rPr>
                    <w:t>12</w:t>
                  </w:r>
                </w:p>
              </w:tc>
              <w:tc>
                <w:tcPr>
                  <w:tcW w:w="767" w:type="dxa"/>
                  <w:tcBorders>
                    <w:tl2br w:val="nil"/>
                    <w:tr2bl w:val="nil"/>
                  </w:tcBorders>
                  <w:noWrap w:val="0"/>
                  <w:vAlign w:val="center"/>
                </w:tcPr>
                <w:p w14:paraId="247AF4D2">
                  <w:pPr>
                    <w:widowControl/>
                    <w:spacing w:line="0" w:lineRule="atLeast"/>
                    <w:jc w:val="center"/>
                    <w:rPr>
                      <w:rFonts w:hint="default" w:ascii="Times New Roman" w:hAnsi="Times New Roman" w:cs="Times New Roman"/>
                      <w:color w:val="auto"/>
                      <w:spacing w:val="-10"/>
                      <w:sz w:val="18"/>
                      <w:szCs w:val="18"/>
                      <w:highlight w:val="none"/>
                      <w:lang w:val="en-US" w:eastAsia="zh-CN"/>
                    </w:rPr>
                  </w:pPr>
                  <w:r>
                    <w:rPr>
                      <w:rFonts w:hint="eastAsia" w:cs="Times New Roman"/>
                      <w:color w:val="auto"/>
                      <w:spacing w:val="-10"/>
                      <w:sz w:val="18"/>
                      <w:szCs w:val="18"/>
                      <w:highlight w:val="none"/>
                      <w:lang w:val="en-US" w:eastAsia="zh-CN"/>
                    </w:rPr>
                    <w:t>440000</w:t>
                  </w:r>
                </w:p>
              </w:tc>
              <w:tc>
                <w:tcPr>
                  <w:tcW w:w="474" w:type="dxa"/>
                  <w:tcBorders>
                    <w:tl2br w:val="nil"/>
                    <w:tr2bl w:val="nil"/>
                  </w:tcBorders>
                  <w:noWrap w:val="0"/>
                  <w:vAlign w:val="center"/>
                </w:tcPr>
                <w:p w14:paraId="134A10E0">
                  <w:pPr>
                    <w:widowControl/>
                    <w:spacing w:line="0" w:lineRule="atLeast"/>
                    <w:jc w:val="center"/>
                    <w:rPr>
                      <w:rFonts w:hint="default" w:ascii="Times New Roman" w:hAnsi="Times New Roman" w:eastAsia="宋体" w:cs="Times New Roman"/>
                      <w:color w:val="auto"/>
                      <w:spacing w:val="-10"/>
                      <w:kern w:val="2"/>
                      <w:sz w:val="18"/>
                      <w:szCs w:val="18"/>
                      <w:highlight w:val="none"/>
                      <w:lang w:val="en-US" w:eastAsia="zh-CN" w:bidi="ar-SA"/>
                    </w:rPr>
                  </w:pPr>
                  <w:r>
                    <w:rPr>
                      <w:rFonts w:hint="eastAsia" w:cs="Times New Roman"/>
                      <w:color w:val="auto"/>
                      <w:spacing w:val="-10"/>
                      <w:kern w:val="2"/>
                      <w:sz w:val="18"/>
                      <w:szCs w:val="18"/>
                      <w:highlight w:val="none"/>
                      <w:lang w:val="en-US" w:eastAsia="zh-CN" w:bidi="ar-SA"/>
                    </w:rPr>
                    <w:t>1</w:t>
                  </w:r>
                </w:p>
              </w:tc>
              <w:tc>
                <w:tcPr>
                  <w:tcW w:w="1218" w:type="dxa"/>
                  <w:tcBorders>
                    <w:tl2br w:val="nil"/>
                    <w:tr2bl w:val="nil"/>
                  </w:tcBorders>
                  <w:shd w:val="clear" w:color="auto" w:fill="auto"/>
                  <w:noWrap w:val="0"/>
                  <w:vAlign w:val="center"/>
                </w:tcPr>
                <w:p w14:paraId="2BA1E1FA">
                  <w:pPr>
                    <w:widowControl/>
                    <w:spacing w:line="0" w:lineRule="atLeast"/>
                    <w:jc w:val="center"/>
                    <w:rPr>
                      <w:rFonts w:hint="default" w:ascii="Times New Roman" w:hAnsi="Times New Roman" w:eastAsia="宋体" w:cs="Times New Roman"/>
                      <w:color w:val="auto"/>
                      <w:spacing w:val="-10"/>
                      <w:kern w:val="2"/>
                      <w:sz w:val="18"/>
                      <w:szCs w:val="18"/>
                      <w:highlight w:val="none"/>
                      <w:lang w:val="en-US" w:eastAsia="zh-CN" w:bidi="ar-SA"/>
                    </w:rPr>
                  </w:pPr>
                  <w:r>
                    <w:rPr>
                      <w:rFonts w:hint="eastAsia" w:ascii="Times New Roman" w:hAnsi="Times New Roman" w:eastAsia="宋体" w:cs="Times New Roman"/>
                      <w:color w:val="auto"/>
                      <w:spacing w:val="-10"/>
                      <w:sz w:val="18"/>
                      <w:szCs w:val="18"/>
                      <w:highlight w:val="none"/>
                      <w:lang w:val="en-US" w:eastAsia="zh-CN"/>
                    </w:rPr>
                    <w:t>有色金属混合料</w:t>
                  </w:r>
                </w:p>
              </w:tc>
              <w:tc>
                <w:tcPr>
                  <w:tcW w:w="801" w:type="dxa"/>
                  <w:tcBorders>
                    <w:tl2br w:val="nil"/>
                    <w:tr2bl w:val="nil"/>
                  </w:tcBorders>
                  <w:shd w:val="clear" w:color="auto" w:fill="auto"/>
                  <w:noWrap w:val="0"/>
                  <w:vAlign w:val="center"/>
                </w:tcPr>
                <w:p w14:paraId="10D9A4EA">
                  <w:pPr>
                    <w:widowControl/>
                    <w:spacing w:line="0" w:lineRule="atLeast"/>
                    <w:jc w:val="center"/>
                    <w:rPr>
                      <w:rFonts w:hint="default" w:ascii="Times New Roman" w:hAnsi="Times New Roman" w:cs="Times New Roman"/>
                      <w:color w:val="auto"/>
                      <w:spacing w:val="-10"/>
                      <w:sz w:val="18"/>
                      <w:szCs w:val="18"/>
                      <w:highlight w:val="none"/>
                      <w:lang w:val="en-US" w:eastAsia="zh-CN"/>
                    </w:rPr>
                  </w:pPr>
                  <w:r>
                    <w:rPr>
                      <w:rFonts w:hint="default" w:ascii="Times New Roman" w:hAnsi="Times New Roman" w:cs="Times New Roman"/>
                      <w:color w:val="auto"/>
                      <w:spacing w:val="-10"/>
                      <w:sz w:val="18"/>
                      <w:szCs w:val="18"/>
                      <w:highlight w:val="none"/>
                      <w:lang w:val="en-US" w:eastAsia="zh-CN"/>
                    </w:rPr>
                    <w:t>6700</w:t>
                  </w:r>
                </w:p>
              </w:tc>
              <w:tc>
                <w:tcPr>
                  <w:tcW w:w="620" w:type="dxa"/>
                  <w:tcBorders>
                    <w:tl2br w:val="nil"/>
                    <w:tr2bl w:val="nil"/>
                  </w:tcBorders>
                  <w:shd w:val="clear" w:color="auto" w:fill="auto"/>
                  <w:noWrap w:val="0"/>
                  <w:vAlign w:val="center"/>
                </w:tcPr>
                <w:p w14:paraId="059956C8">
                  <w:pPr>
                    <w:widowControl/>
                    <w:spacing w:line="0" w:lineRule="atLeast"/>
                    <w:jc w:val="center"/>
                    <w:rPr>
                      <w:rFonts w:hint="default" w:ascii="Times New Roman" w:hAnsi="Times New Roman" w:cs="Times New Roman"/>
                      <w:color w:val="auto"/>
                      <w:spacing w:val="-10"/>
                      <w:sz w:val="18"/>
                      <w:szCs w:val="18"/>
                      <w:highlight w:val="none"/>
                      <w:lang w:val="en-US" w:eastAsia="zh-CN"/>
                    </w:rPr>
                  </w:pPr>
                  <w:r>
                    <w:rPr>
                      <w:rFonts w:hint="default" w:ascii="Times New Roman" w:hAnsi="Times New Roman" w:cs="Times New Roman"/>
                      <w:color w:val="auto"/>
                      <w:spacing w:val="-10"/>
                      <w:sz w:val="18"/>
                      <w:szCs w:val="18"/>
                      <w:highlight w:val="none"/>
                      <w:lang w:val="en-US" w:eastAsia="zh-CN"/>
                    </w:rPr>
                    <w:t>0</w:t>
                  </w:r>
                </w:p>
              </w:tc>
              <w:tc>
                <w:tcPr>
                  <w:tcW w:w="765" w:type="dxa"/>
                  <w:tcBorders>
                    <w:tl2br w:val="nil"/>
                    <w:tr2bl w:val="nil"/>
                  </w:tcBorders>
                  <w:shd w:val="clear" w:color="auto" w:fill="auto"/>
                  <w:noWrap w:val="0"/>
                  <w:vAlign w:val="center"/>
                </w:tcPr>
                <w:p w14:paraId="30EB891E">
                  <w:pPr>
                    <w:widowControl/>
                    <w:spacing w:line="0" w:lineRule="atLeast"/>
                    <w:jc w:val="center"/>
                    <w:rPr>
                      <w:rFonts w:hint="default" w:ascii="Times New Roman" w:hAnsi="Times New Roman" w:eastAsia="宋体" w:cs="Times New Roman"/>
                      <w:color w:val="auto"/>
                      <w:spacing w:val="-10"/>
                      <w:sz w:val="18"/>
                      <w:szCs w:val="18"/>
                      <w:highlight w:val="none"/>
                      <w:lang w:val="en-US" w:eastAsia="zh-CN"/>
                    </w:rPr>
                  </w:pPr>
                  <w:r>
                    <w:rPr>
                      <w:rFonts w:hint="default" w:ascii="Times New Roman" w:hAnsi="Times New Roman" w:eastAsia="宋体" w:cs="Times New Roman"/>
                      <w:color w:val="auto"/>
                      <w:spacing w:val="-10"/>
                      <w:sz w:val="18"/>
                      <w:szCs w:val="18"/>
                      <w:highlight w:val="none"/>
                      <w:lang w:val="en-US" w:eastAsia="zh-CN"/>
                    </w:rPr>
                    <w:t>6700</w:t>
                  </w:r>
                </w:p>
              </w:tc>
            </w:tr>
            <w:tr w14:paraId="6CA5677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52" w:type="dxa"/>
                  <w:vMerge w:val="continue"/>
                  <w:tcBorders>
                    <w:tl2br w:val="nil"/>
                    <w:tr2bl w:val="nil"/>
                  </w:tcBorders>
                  <w:noWrap w:val="0"/>
                  <w:vAlign w:val="center"/>
                </w:tcPr>
                <w:p w14:paraId="5D983F0D">
                  <w:pPr>
                    <w:widowControl/>
                    <w:spacing w:line="0" w:lineRule="atLeast"/>
                    <w:jc w:val="center"/>
                    <w:rPr>
                      <w:rFonts w:hint="eastAsia" w:ascii="Times New Roman" w:hAnsi="Times New Roman" w:eastAsia="宋体" w:cs="Times New Roman"/>
                      <w:color w:val="auto"/>
                      <w:spacing w:val="-10"/>
                      <w:sz w:val="18"/>
                      <w:szCs w:val="18"/>
                      <w:highlight w:val="none"/>
                      <w:lang w:val="en-US" w:eastAsia="zh-CN"/>
                    </w:rPr>
                  </w:pPr>
                </w:p>
              </w:tc>
              <w:tc>
                <w:tcPr>
                  <w:tcW w:w="419" w:type="dxa"/>
                  <w:tcBorders>
                    <w:tl2br w:val="nil"/>
                    <w:tr2bl w:val="nil"/>
                  </w:tcBorders>
                  <w:noWrap w:val="0"/>
                  <w:vAlign w:val="center"/>
                </w:tcPr>
                <w:p w14:paraId="33B80CAF">
                  <w:pPr>
                    <w:widowControl/>
                    <w:spacing w:line="0" w:lineRule="atLeast"/>
                    <w:jc w:val="center"/>
                    <w:rPr>
                      <w:rFonts w:hint="default" w:ascii="Times New Roman" w:hAnsi="Times New Roman" w:eastAsia="宋体" w:cs="Times New Roman"/>
                      <w:color w:val="auto"/>
                      <w:spacing w:val="-10"/>
                      <w:sz w:val="18"/>
                      <w:szCs w:val="18"/>
                      <w:highlight w:val="none"/>
                      <w:lang w:val="en-US" w:eastAsia="zh-CN"/>
                    </w:rPr>
                  </w:pPr>
                  <w:r>
                    <w:rPr>
                      <w:rFonts w:hint="eastAsia" w:cs="Times New Roman"/>
                      <w:color w:val="auto"/>
                      <w:spacing w:val="-10"/>
                      <w:sz w:val="18"/>
                      <w:szCs w:val="18"/>
                      <w:highlight w:val="none"/>
                      <w:lang w:val="en-US" w:eastAsia="zh-CN"/>
                    </w:rPr>
                    <w:t>2</w:t>
                  </w:r>
                </w:p>
              </w:tc>
              <w:tc>
                <w:tcPr>
                  <w:tcW w:w="1082" w:type="dxa"/>
                  <w:tcBorders>
                    <w:tl2br w:val="nil"/>
                    <w:tr2bl w:val="nil"/>
                  </w:tcBorders>
                  <w:noWrap w:val="0"/>
                  <w:vAlign w:val="center"/>
                </w:tcPr>
                <w:p w14:paraId="3CBE3932">
                  <w:pPr>
                    <w:widowControl/>
                    <w:spacing w:line="0" w:lineRule="atLeast"/>
                    <w:jc w:val="center"/>
                    <w:rPr>
                      <w:rFonts w:hint="eastAsia" w:ascii="Times New Roman" w:hAnsi="Times New Roman" w:eastAsia="宋体" w:cs="Times New Roman"/>
                      <w:color w:val="auto"/>
                      <w:spacing w:val="-10"/>
                      <w:kern w:val="2"/>
                      <w:sz w:val="18"/>
                      <w:szCs w:val="18"/>
                      <w:highlight w:val="none"/>
                      <w:lang w:val="en-US" w:eastAsia="zh-CN" w:bidi="ar-SA"/>
                    </w:rPr>
                  </w:pPr>
                  <w:r>
                    <w:rPr>
                      <w:rFonts w:hint="eastAsia" w:ascii="Times New Roman" w:hAnsi="Times New Roman" w:cs="Times New Roman"/>
                      <w:color w:val="auto"/>
                      <w:spacing w:val="-10"/>
                      <w:sz w:val="18"/>
                      <w:szCs w:val="18"/>
                      <w:highlight w:val="none"/>
                      <w:lang w:val="en-US" w:eastAsia="zh-CN"/>
                    </w:rPr>
                    <w:t>钢球</w:t>
                  </w:r>
                </w:p>
              </w:tc>
              <w:tc>
                <w:tcPr>
                  <w:tcW w:w="745" w:type="dxa"/>
                  <w:tcBorders>
                    <w:tl2br w:val="nil"/>
                    <w:tr2bl w:val="nil"/>
                  </w:tcBorders>
                  <w:noWrap w:val="0"/>
                  <w:vAlign w:val="center"/>
                </w:tcPr>
                <w:p w14:paraId="373C7A98">
                  <w:pPr>
                    <w:widowControl/>
                    <w:spacing w:line="0" w:lineRule="atLeast"/>
                    <w:jc w:val="center"/>
                    <w:rPr>
                      <w:rFonts w:hint="eastAsia" w:ascii="Times New Roman" w:hAnsi="Times New Roman" w:eastAsia="宋体" w:cs="Times New Roman"/>
                      <w:color w:val="auto"/>
                      <w:spacing w:val="-10"/>
                      <w:kern w:val="2"/>
                      <w:sz w:val="18"/>
                      <w:szCs w:val="18"/>
                      <w:highlight w:val="none"/>
                      <w:lang w:val="en-US" w:eastAsia="zh-CN" w:bidi="ar-SA"/>
                    </w:rPr>
                  </w:pPr>
                  <w:r>
                    <w:rPr>
                      <w:rFonts w:hint="eastAsia" w:cs="Times New Roman"/>
                      <w:color w:val="auto"/>
                      <w:spacing w:val="-10"/>
                      <w:sz w:val="18"/>
                      <w:szCs w:val="18"/>
                      <w:highlight w:val="none"/>
                      <w:lang w:val="en-US" w:eastAsia="zh-CN"/>
                    </w:rPr>
                    <w:t>5</w:t>
                  </w:r>
                </w:p>
              </w:tc>
              <w:tc>
                <w:tcPr>
                  <w:tcW w:w="631" w:type="dxa"/>
                  <w:tcBorders>
                    <w:tl2br w:val="nil"/>
                    <w:tr2bl w:val="nil"/>
                  </w:tcBorders>
                  <w:noWrap w:val="0"/>
                  <w:vAlign w:val="center"/>
                </w:tcPr>
                <w:p w14:paraId="13E46494">
                  <w:pPr>
                    <w:widowControl/>
                    <w:spacing w:line="0" w:lineRule="atLeast"/>
                    <w:jc w:val="center"/>
                    <w:rPr>
                      <w:rFonts w:hint="default" w:cs="Times New Roman"/>
                      <w:color w:val="auto"/>
                      <w:spacing w:val="-10"/>
                      <w:sz w:val="18"/>
                      <w:szCs w:val="18"/>
                      <w:highlight w:val="none"/>
                      <w:lang w:val="en-US" w:eastAsia="zh-CN"/>
                    </w:rPr>
                  </w:pPr>
                  <w:r>
                    <w:rPr>
                      <w:rFonts w:hint="eastAsia" w:cs="Times New Roman"/>
                      <w:color w:val="auto"/>
                      <w:spacing w:val="-10"/>
                      <w:sz w:val="18"/>
                      <w:szCs w:val="18"/>
                      <w:highlight w:val="none"/>
                      <w:lang w:val="en-US" w:eastAsia="zh-CN"/>
                    </w:rPr>
                    <w:t>0</w:t>
                  </w:r>
                </w:p>
              </w:tc>
              <w:tc>
                <w:tcPr>
                  <w:tcW w:w="767" w:type="dxa"/>
                  <w:tcBorders>
                    <w:tl2br w:val="nil"/>
                    <w:tr2bl w:val="nil"/>
                  </w:tcBorders>
                  <w:noWrap w:val="0"/>
                  <w:vAlign w:val="center"/>
                </w:tcPr>
                <w:p w14:paraId="27314C54">
                  <w:pPr>
                    <w:widowControl/>
                    <w:spacing w:line="0" w:lineRule="atLeast"/>
                    <w:jc w:val="center"/>
                    <w:rPr>
                      <w:rFonts w:hint="default" w:cs="Times New Roman"/>
                      <w:color w:val="auto"/>
                      <w:spacing w:val="-10"/>
                      <w:sz w:val="18"/>
                      <w:szCs w:val="18"/>
                      <w:highlight w:val="none"/>
                      <w:lang w:val="en-US" w:eastAsia="zh-CN"/>
                    </w:rPr>
                  </w:pPr>
                  <w:r>
                    <w:rPr>
                      <w:rFonts w:hint="eastAsia" w:cs="Times New Roman"/>
                      <w:color w:val="auto"/>
                      <w:spacing w:val="-10"/>
                      <w:sz w:val="18"/>
                      <w:szCs w:val="18"/>
                      <w:highlight w:val="none"/>
                      <w:lang w:val="en-US" w:eastAsia="zh-CN"/>
                    </w:rPr>
                    <w:t>5</w:t>
                  </w:r>
                </w:p>
              </w:tc>
              <w:tc>
                <w:tcPr>
                  <w:tcW w:w="474" w:type="dxa"/>
                  <w:tcBorders>
                    <w:tl2br w:val="nil"/>
                    <w:tr2bl w:val="nil"/>
                  </w:tcBorders>
                  <w:noWrap w:val="0"/>
                  <w:vAlign w:val="center"/>
                </w:tcPr>
                <w:p w14:paraId="2A5F9F6F">
                  <w:pPr>
                    <w:widowControl/>
                    <w:spacing w:line="0" w:lineRule="atLeast"/>
                    <w:jc w:val="center"/>
                    <w:rPr>
                      <w:rFonts w:hint="default" w:ascii="Times New Roman" w:hAnsi="Times New Roman" w:eastAsia="宋体" w:cs="Times New Roman"/>
                      <w:color w:val="auto"/>
                      <w:spacing w:val="-10"/>
                      <w:kern w:val="2"/>
                      <w:sz w:val="18"/>
                      <w:szCs w:val="18"/>
                      <w:highlight w:val="none"/>
                      <w:lang w:val="en-US" w:eastAsia="zh-CN" w:bidi="ar-SA"/>
                    </w:rPr>
                  </w:pPr>
                  <w:r>
                    <w:rPr>
                      <w:rFonts w:hint="eastAsia" w:cs="Times New Roman"/>
                      <w:color w:val="auto"/>
                      <w:spacing w:val="-10"/>
                      <w:kern w:val="2"/>
                      <w:sz w:val="18"/>
                      <w:szCs w:val="18"/>
                      <w:highlight w:val="none"/>
                      <w:lang w:val="en-US" w:eastAsia="zh-CN" w:bidi="ar-SA"/>
                    </w:rPr>
                    <w:t>2</w:t>
                  </w:r>
                </w:p>
              </w:tc>
              <w:tc>
                <w:tcPr>
                  <w:tcW w:w="1218" w:type="dxa"/>
                  <w:tcBorders>
                    <w:tl2br w:val="nil"/>
                    <w:tr2bl w:val="nil"/>
                  </w:tcBorders>
                  <w:noWrap w:val="0"/>
                  <w:vAlign w:val="center"/>
                </w:tcPr>
                <w:p w14:paraId="0420FF20">
                  <w:pPr>
                    <w:widowControl/>
                    <w:spacing w:line="0" w:lineRule="atLeast"/>
                    <w:jc w:val="center"/>
                    <w:rPr>
                      <w:rFonts w:hint="default" w:ascii="Times New Roman" w:hAnsi="Times New Roman" w:eastAsia="宋体" w:cs="Times New Roman"/>
                      <w:color w:val="auto"/>
                      <w:spacing w:val="-10"/>
                      <w:kern w:val="2"/>
                      <w:sz w:val="18"/>
                      <w:szCs w:val="18"/>
                      <w:highlight w:val="none"/>
                      <w:lang w:val="en-US" w:eastAsia="zh-CN" w:bidi="ar-SA"/>
                    </w:rPr>
                  </w:pPr>
                  <w:r>
                    <w:rPr>
                      <w:rFonts w:hint="eastAsia" w:ascii="Times New Roman" w:hAnsi="Times New Roman" w:eastAsia="宋体" w:cs="Times New Roman"/>
                      <w:color w:val="auto"/>
                      <w:spacing w:val="-10"/>
                      <w:sz w:val="18"/>
                      <w:szCs w:val="18"/>
                      <w:highlight w:val="none"/>
                      <w:lang w:val="en-US" w:eastAsia="zh-CN"/>
                    </w:rPr>
                    <w:t>铁粉</w:t>
                  </w:r>
                </w:p>
              </w:tc>
              <w:tc>
                <w:tcPr>
                  <w:tcW w:w="801" w:type="dxa"/>
                  <w:tcBorders>
                    <w:tl2br w:val="nil"/>
                    <w:tr2bl w:val="nil"/>
                  </w:tcBorders>
                  <w:noWrap w:val="0"/>
                  <w:vAlign w:val="center"/>
                </w:tcPr>
                <w:p w14:paraId="5D2E4D03">
                  <w:pPr>
                    <w:widowControl/>
                    <w:spacing w:line="0" w:lineRule="atLeast"/>
                    <w:jc w:val="center"/>
                    <w:rPr>
                      <w:rFonts w:hint="default" w:ascii="Times New Roman" w:hAnsi="Times New Roman" w:cs="Times New Roman"/>
                      <w:color w:val="auto"/>
                      <w:spacing w:val="-10"/>
                      <w:sz w:val="18"/>
                      <w:szCs w:val="18"/>
                      <w:highlight w:val="none"/>
                      <w:lang w:val="en-US" w:eastAsia="zh-CN"/>
                    </w:rPr>
                  </w:pPr>
                  <w:r>
                    <w:rPr>
                      <w:rFonts w:hint="default" w:ascii="Times New Roman" w:hAnsi="Times New Roman" w:cs="Times New Roman"/>
                      <w:color w:val="auto"/>
                      <w:spacing w:val="-10"/>
                      <w:sz w:val="18"/>
                      <w:szCs w:val="18"/>
                      <w:highlight w:val="none"/>
                      <w:lang w:val="en-US" w:eastAsia="zh-CN"/>
                    </w:rPr>
                    <w:t>42800</w:t>
                  </w:r>
                </w:p>
              </w:tc>
              <w:tc>
                <w:tcPr>
                  <w:tcW w:w="620" w:type="dxa"/>
                  <w:tcBorders>
                    <w:tl2br w:val="nil"/>
                    <w:tr2bl w:val="nil"/>
                  </w:tcBorders>
                  <w:noWrap w:val="0"/>
                  <w:vAlign w:val="center"/>
                </w:tcPr>
                <w:p w14:paraId="2EBBD418">
                  <w:pPr>
                    <w:widowControl/>
                    <w:spacing w:line="0" w:lineRule="atLeast"/>
                    <w:jc w:val="center"/>
                    <w:rPr>
                      <w:rFonts w:hint="default" w:ascii="Times New Roman" w:hAnsi="Times New Roman" w:cs="Times New Roman"/>
                      <w:color w:val="auto"/>
                      <w:spacing w:val="-10"/>
                      <w:sz w:val="18"/>
                      <w:szCs w:val="18"/>
                      <w:highlight w:val="none"/>
                      <w:lang w:val="en-US" w:eastAsia="zh-CN"/>
                    </w:rPr>
                  </w:pPr>
                  <w:r>
                    <w:rPr>
                      <w:rFonts w:hint="default" w:ascii="Times New Roman" w:hAnsi="Times New Roman" w:cs="Times New Roman"/>
                      <w:color w:val="auto"/>
                      <w:spacing w:val="-10"/>
                      <w:sz w:val="18"/>
                      <w:szCs w:val="18"/>
                      <w:highlight w:val="none"/>
                      <w:lang w:val="en-US" w:eastAsia="zh-CN"/>
                    </w:rPr>
                    <w:t>15</w:t>
                  </w:r>
                </w:p>
              </w:tc>
              <w:tc>
                <w:tcPr>
                  <w:tcW w:w="765" w:type="dxa"/>
                  <w:tcBorders>
                    <w:tl2br w:val="nil"/>
                    <w:tr2bl w:val="nil"/>
                  </w:tcBorders>
                  <w:noWrap w:val="0"/>
                  <w:vAlign w:val="center"/>
                </w:tcPr>
                <w:p w14:paraId="1A1981C1">
                  <w:pPr>
                    <w:widowControl/>
                    <w:spacing w:line="0" w:lineRule="atLeast"/>
                    <w:jc w:val="center"/>
                    <w:rPr>
                      <w:rFonts w:hint="default" w:ascii="Times New Roman" w:hAnsi="Times New Roman" w:eastAsia="宋体" w:cs="Times New Roman"/>
                      <w:color w:val="auto"/>
                      <w:spacing w:val="-10"/>
                      <w:sz w:val="18"/>
                      <w:szCs w:val="18"/>
                      <w:highlight w:val="none"/>
                      <w:lang w:val="en-US" w:eastAsia="zh-CN"/>
                    </w:rPr>
                  </w:pPr>
                  <w:r>
                    <w:rPr>
                      <w:rFonts w:hint="default" w:ascii="Times New Roman" w:hAnsi="Times New Roman" w:eastAsia="宋体" w:cs="Times New Roman"/>
                      <w:color w:val="auto"/>
                      <w:spacing w:val="-10"/>
                      <w:sz w:val="18"/>
                      <w:szCs w:val="18"/>
                      <w:highlight w:val="none"/>
                      <w:lang w:val="en-US" w:eastAsia="zh-CN"/>
                    </w:rPr>
                    <w:t>36380</w:t>
                  </w:r>
                </w:p>
              </w:tc>
            </w:tr>
            <w:tr w14:paraId="23EB1A0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52" w:type="dxa"/>
                  <w:vMerge w:val="continue"/>
                  <w:tcBorders>
                    <w:tl2br w:val="nil"/>
                    <w:tr2bl w:val="nil"/>
                  </w:tcBorders>
                  <w:noWrap w:val="0"/>
                  <w:vAlign w:val="center"/>
                </w:tcPr>
                <w:p w14:paraId="3016E6C9">
                  <w:pPr>
                    <w:widowControl/>
                    <w:spacing w:line="0" w:lineRule="atLeast"/>
                    <w:jc w:val="center"/>
                    <w:rPr>
                      <w:rFonts w:hint="eastAsia" w:ascii="Times New Roman" w:hAnsi="Times New Roman" w:eastAsia="宋体" w:cs="Times New Roman"/>
                      <w:color w:val="auto"/>
                      <w:spacing w:val="-10"/>
                      <w:sz w:val="18"/>
                      <w:szCs w:val="18"/>
                      <w:highlight w:val="none"/>
                      <w:lang w:val="en-US" w:eastAsia="zh-CN"/>
                    </w:rPr>
                  </w:pPr>
                </w:p>
              </w:tc>
              <w:tc>
                <w:tcPr>
                  <w:tcW w:w="419" w:type="dxa"/>
                  <w:tcBorders>
                    <w:tl2br w:val="nil"/>
                    <w:tr2bl w:val="nil"/>
                  </w:tcBorders>
                  <w:shd w:val="clear" w:color="auto" w:fill="auto"/>
                  <w:noWrap w:val="0"/>
                  <w:vAlign w:val="center"/>
                </w:tcPr>
                <w:p w14:paraId="2E802657">
                  <w:pPr>
                    <w:widowControl/>
                    <w:spacing w:line="0" w:lineRule="atLeast"/>
                    <w:jc w:val="center"/>
                    <w:rPr>
                      <w:rFonts w:hint="default" w:ascii="Times New Roman" w:hAnsi="Times New Roman" w:eastAsia="宋体" w:cs="Times New Roman"/>
                      <w:color w:val="auto"/>
                      <w:spacing w:val="-10"/>
                      <w:kern w:val="2"/>
                      <w:sz w:val="18"/>
                      <w:szCs w:val="18"/>
                      <w:highlight w:val="none"/>
                      <w:lang w:val="en-US" w:eastAsia="zh-CN" w:bidi="ar-SA"/>
                    </w:rPr>
                  </w:pPr>
                  <w:r>
                    <w:rPr>
                      <w:rFonts w:hint="eastAsia" w:cs="Times New Roman"/>
                      <w:color w:val="auto"/>
                      <w:spacing w:val="-10"/>
                      <w:kern w:val="2"/>
                      <w:sz w:val="18"/>
                      <w:szCs w:val="18"/>
                      <w:highlight w:val="none"/>
                      <w:lang w:val="en-US" w:eastAsia="zh-CN" w:bidi="ar-SA"/>
                    </w:rPr>
                    <w:t>--</w:t>
                  </w:r>
                </w:p>
              </w:tc>
              <w:tc>
                <w:tcPr>
                  <w:tcW w:w="1082" w:type="dxa"/>
                  <w:tcBorders>
                    <w:tl2br w:val="nil"/>
                    <w:tr2bl w:val="nil"/>
                  </w:tcBorders>
                  <w:shd w:val="clear" w:color="auto" w:fill="auto"/>
                  <w:noWrap w:val="0"/>
                  <w:vAlign w:val="center"/>
                </w:tcPr>
                <w:p w14:paraId="2DFFB8E8">
                  <w:pPr>
                    <w:widowControl/>
                    <w:spacing w:line="0" w:lineRule="atLeast"/>
                    <w:jc w:val="center"/>
                    <w:rPr>
                      <w:rFonts w:hint="default" w:ascii="Times New Roman" w:hAnsi="Times New Roman" w:eastAsia="宋体" w:cs="Times New Roman"/>
                      <w:color w:val="auto"/>
                      <w:spacing w:val="-10"/>
                      <w:kern w:val="2"/>
                      <w:sz w:val="18"/>
                      <w:szCs w:val="18"/>
                      <w:highlight w:val="none"/>
                      <w:lang w:val="en-US" w:eastAsia="zh-CN" w:bidi="ar-SA"/>
                    </w:rPr>
                  </w:pPr>
                  <w:r>
                    <w:rPr>
                      <w:rFonts w:hint="eastAsia" w:cs="Times New Roman"/>
                      <w:color w:val="auto"/>
                      <w:spacing w:val="-10"/>
                      <w:kern w:val="2"/>
                      <w:sz w:val="18"/>
                      <w:szCs w:val="18"/>
                      <w:highlight w:val="none"/>
                      <w:lang w:val="en-US" w:eastAsia="zh-CN" w:bidi="ar-SA"/>
                    </w:rPr>
                    <w:t>--</w:t>
                  </w:r>
                </w:p>
              </w:tc>
              <w:tc>
                <w:tcPr>
                  <w:tcW w:w="745" w:type="dxa"/>
                  <w:tcBorders>
                    <w:tl2br w:val="nil"/>
                    <w:tr2bl w:val="nil"/>
                  </w:tcBorders>
                  <w:shd w:val="clear" w:color="auto" w:fill="auto"/>
                  <w:noWrap w:val="0"/>
                  <w:vAlign w:val="center"/>
                </w:tcPr>
                <w:p w14:paraId="63E401AE">
                  <w:pPr>
                    <w:widowControl/>
                    <w:spacing w:line="0" w:lineRule="atLeast"/>
                    <w:jc w:val="center"/>
                    <w:rPr>
                      <w:rFonts w:hint="default" w:ascii="Times New Roman" w:hAnsi="Times New Roman" w:eastAsia="宋体" w:cs="Times New Roman"/>
                      <w:color w:val="auto"/>
                      <w:spacing w:val="-10"/>
                      <w:kern w:val="2"/>
                      <w:sz w:val="18"/>
                      <w:szCs w:val="18"/>
                      <w:highlight w:val="none"/>
                      <w:lang w:val="en-US" w:eastAsia="zh-CN" w:bidi="ar-SA"/>
                    </w:rPr>
                  </w:pPr>
                  <w:r>
                    <w:rPr>
                      <w:rFonts w:hint="eastAsia" w:cs="Times New Roman"/>
                      <w:color w:val="auto"/>
                      <w:spacing w:val="-10"/>
                      <w:sz w:val="18"/>
                      <w:szCs w:val="18"/>
                      <w:highlight w:val="none"/>
                      <w:lang w:val="en-US" w:eastAsia="zh-CN"/>
                    </w:rPr>
                    <w:t>--</w:t>
                  </w:r>
                </w:p>
              </w:tc>
              <w:tc>
                <w:tcPr>
                  <w:tcW w:w="631" w:type="dxa"/>
                  <w:tcBorders>
                    <w:tl2br w:val="nil"/>
                    <w:tr2bl w:val="nil"/>
                  </w:tcBorders>
                  <w:shd w:val="clear" w:color="auto" w:fill="auto"/>
                  <w:noWrap w:val="0"/>
                  <w:vAlign w:val="center"/>
                </w:tcPr>
                <w:p w14:paraId="67FCAC7D">
                  <w:pPr>
                    <w:widowControl/>
                    <w:spacing w:line="0" w:lineRule="atLeast"/>
                    <w:jc w:val="center"/>
                    <w:rPr>
                      <w:rFonts w:hint="default" w:ascii="Times New Roman" w:hAnsi="Times New Roman" w:eastAsia="宋体" w:cs="Times New Roman"/>
                      <w:color w:val="auto"/>
                      <w:spacing w:val="-10"/>
                      <w:kern w:val="2"/>
                      <w:sz w:val="18"/>
                      <w:szCs w:val="18"/>
                      <w:highlight w:val="none"/>
                      <w:lang w:val="en-US" w:eastAsia="zh-CN" w:bidi="ar-SA"/>
                    </w:rPr>
                  </w:pPr>
                  <w:r>
                    <w:rPr>
                      <w:rFonts w:hint="eastAsia" w:cs="Times New Roman"/>
                      <w:color w:val="auto"/>
                      <w:spacing w:val="-10"/>
                      <w:sz w:val="18"/>
                      <w:szCs w:val="18"/>
                      <w:highlight w:val="none"/>
                      <w:lang w:val="en-US" w:eastAsia="zh-CN"/>
                    </w:rPr>
                    <w:t>--</w:t>
                  </w:r>
                </w:p>
              </w:tc>
              <w:tc>
                <w:tcPr>
                  <w:tcW w:w="767" w:type="dxa"/>
                  <w:tcBorders>
                    <w:tl2br w:val="nil"/>
                    <w:tr2bl w:val="nil"/>
                  </w:tcBorders>
                  <w:shd w:val="clear" w:color="auto" w:fill="auto"/>
                  <w:noWrap w:val="0"/>
                  <w:vAlign w:val="center"/>
                </w:tcPr>
                <w:p w14:paraId="752C4892">
                  <w:pPr>
                    <w:widowControl/>
                    <w:spacing w:line="0" w:lineRule="atLeast"/>
                    <w:jc w:val="center"/>
                    <w:rPr>
                      <w:rFonts w:hint="default" w:ascii="Times New Roman" w:hAnsi="Times New Roman" w:eastAsia="宋体" w:cs="Times New Roman"/>
                      <w:color w:val="auto"/>
                      <w:spacing w:val="-10"/>
                      <w:kern w:val="2"/>
                      <w:sz w:val="18"/>
                      <w:szCs w:val="18"/>
                      <w:highlight w:val="none"/>
                      <w:lang w:val="en-US" w:eastAsia="zh-CN" w:bidi="ar-SA"/>
                    </w:rPr>
                  </w:pPr>
                  <w:r>
                    <w:rPr>
                      <w:rFonts w:hint="eastAsia" w:cs="Times New Roman"/>
                      <w:color w:val="auto"/>
                      <w:spacing w:val="-10"/>
                      <w:sz w:val="18"/>
                      <w:szCs w:val="18"/>
                      <w:highlight w:val="none"/>
                      <w:lang w:val="en-US" w:eastAsia="zh-CN"/>
                    </w:rPr>
                    <w:t>--</w:t>
                  </w:r>
                </w:p>
              </w:tc>
              <w:tc>
                <w:tcPr>
                  <w:tcW w:w="474" w:type="dxa"/>
                  <w:tcBorders>
                    <w:tl2br w:val="nil"/>
                    <w:tr2bl w:val="nil"/>
                  </w:tcBorders>
                  <w:noWrap w:val="0"/>
                  <w:vAlign w:val="center"/>
                </w:tcPr>
                <w:p w14:paraId="3D29DEE1">
                  <w:pPr>
                    <w:widowControl/>
                    <w:spacing w:line="0" w:lineRule="atLeast"/>
                    <w:jc w:val="center"/>
                    <w:rPr>
                      <w:rFonts w:hint="default" w:ascii="Times New Roman" w:hAnsi="Times New Roman" w:cs="Times New Roman"/>
                      <w:color w:val="auto"/>
                      <w:spacing w:val="-10"/>
                      <w:sz w:val="18"/>
                      <w:szCs w:val="18"/>
                      <w:highlight w:val="none"/>
                      <w:lang w:val="en-US" w:eastAsia="zh-CN"/>
                    </w:rPr>
                  </w:pPr>
                  <w:r>
                    <w:rPr>
                      <w:rFonts w:hint="eastAsia" w:cs="Times New Roman"/>
                      <w:color w:val="auto"/>
                      <w:spacing w:val="-10"/>
                      <w:sz w:val="18"/>
                      <w:szCs w:val="18"/>
                      <w:highlight w:val="none"/>
                      <w:lang w:val="en-US" w:eastAsia="zh-CN"/>
                    </w:rPr>
                    <w:t>3</w:t>
                  </w:r>
                </w:p>
              </w:tc>
              <w:tc>
                <w:tcPr>
                  <w:tcW w:w="1218" w:type="dxa"/>
                  <w:tcBorders>
                    <w:tl2br w:val="nil"/>
                    <w:tr2bl w:val="nil"/>
                  </w:tcBorders>
                  <w:shd w:val="clear" w:color="auto" w:fill="auto"/>
                  <w:noWrap w:val="0"/>
                  <w:vAlign w:val="center"/>
                </w:tcPr>
                <w:p w14:paraId="258470D6">
                  <w:pPr>
                    <w:widowControl/>
                    <w:spacing w:line="0" w:lineRule="atLeast"/>
                    <w:jc w:val="center"/>
                    <w:rPr>
                      <w:rFonts w:hint="eastAsia" w:ascii="Times New Roman" w:hAnsi="Times New Roman" w:eastAsia="宋体" w:cs="Times New Roman"/>
                      <w:color w:val="auto"/>
                      <w:spacing w:val="-10"/>
                      <w:kern w:val="2"/>
                      <w:sz w:val="18"/>
                      <w:szCs w:val="18"/>
                      <w:highlight w:val="none"/>
                      <w:lang w:val="en-US" w:eastAsia="zh-CN" w:bidi="ar-SA"/>
                    </w:rPr>
                  </w:pPr>
                  <w:r>
                    <w:rPr>
                      <w:rFonts w:hint="eastAsia" w:cs="Times New Roman"/>
                      <w:color w:val="auto"/>
                      <w:spacing w:val="-10"/>
                      <w:kern w:val="2"/>
                      <w:sz w:val="18"/>
                      <w:szCs w:val="18"/>
                      <w:highlight w:val="none"/>
                      <w:lang w:val="en-US" w:eastAsia="zh-CN" w:bidi="ar-SA"/>
                    </w:rPr>
                    <w:t>铁料</w:t>
                  </w:r>
                </w:p>
              </w:tc>
              <w:tc>
                <w:tcPr>
                  <w:tcW w:w="801" w:type="dxa"/>
                  <w:tcBorders>
                    <w:tl2br w:val="nil"/>
                    <w:tr2bl w:val="nil"/>
                  </w:tcBorders>
                  <w:shd w:val="clear" w:color="auto" w:fill="auto"/>
                  <w:noWrap w:val="0"/>
                  <w:vAlign w:val="center"/>
                </w:tcPr>
                <w:p w14:paraId="16468FF0">
                  <w:pPr>
                    <w:widowControl/>
                    <w:spacing w:line="0" w:lineRule="atLeast"/>
                    <w:jc w:val="center"/>
                    <w:rPr>
                      <w:rFonts w:hint="default" w:ascii="Times New Roman" w:hAnsi="Times New Roman" w:cs="Times New Roman"/>
                      <w:color w:val="auto"/>
                      <w:spacing w:val="-10"/>
                      <w:sz w:val="18"/>
                      <w:szCs w:val="18"/>
                      <w:highlight w:val="none"/>
                      <w:lang w:val="en-US" w:eastAsia="zh-CN"/>
                    </w:rPr>
                  </w:pPr>
                  <w:r>
                    <w:rPr>
                      <w:rFonts w:hint="default" w:ascii="Times New Roman" w:hAnsi="Times New Roman" w:cs="Times New Roman"/>
                      <w:color w:val="auto"/>
                      <w:spacing w:val="-10"/>
                      <w:sz w:val="18"/>
                      <w:szCs w:val="18"/>
                      <w:highlight w:val="none"/>
                      <w:lang w:val="en-US" w:eastAsia="zh-CN"/>
                    </w:rPr>
                    <w:t>21500</w:t>
                  </w:r>
                </w:p>
              </w:tc>
              <w:tc>
                <w:tcPr>
                  <w:tcW w:w="620" w:type="dxa"/>
                  <w:tcBorders>
                    <w:tl2br w:val="nil"/>
                    <w:tr2bl w:val="nil"/>
                  </w:tcBorders>
                  <w:shd w:val="clear" w:color="auto" w:fill="auto"/>
                  <w:noWrap w:val="0"/>
                  <w:vAlign w:val="center"/>
                </w:tcPr>
                <w:p w14:paraId="55AB946A">
                  <w:pPr>
                    <w:widowControl/>
                    <w:spacing w:line="0" w:lineRule="atLeast"/>
                    <w:jc w:val="center"/>
                    <w:rPr>
                      <w:rFonts w:hint="eastAsia" w:ascii="Times New Roman" w:hAnsi="Times New Roman" w:cs="Times New Roman"/>
                      <w:color w:val="auto"/>
                      <w:spacing w:val="-10"/>
                      <w:sz w:val="18"/>
                      <w:szCs w:val="18"/>
                      <w:highlight w:val="none"/>
                      <w:lang w:val="en-US" w:eastAsia="zh-CN"/>
                    </w:rPr>
                  </w:pPr>
                  <w:r>
                    <w:rPr>
                      <w:rFonts w:hint="default" w:ascii="Times New Roman" w:hAnsi="Times New Roman" w:cs="Times New Roman"/>
                      <w:color w:val="auto"/>
                      <w:spacing w:val="-10"/>
                      <w:sz w:val="18"/>
                      <w:szCs w:val="18"/>
                      <w:highlight w:val="none"/>
                      <w:lang w:val="en-US" w:eastAsia="zh-CN"/>
                    </w:rPr>
                    <w:t>0</w:t>
                  </w:r>
                </w:p>
              </w:tc>
              <w:tc>
                <w:tcPr>
                  <w:tcW w:w="765" w:type="dxa"/>
                  <w:tcBorders>
                    <w:tl2br w:val="nil"/>
                    <w:tr2bl w:val="nil"/>
                  </w:tcBorders>
                  <w:shd w:val="clear" w:color="auto" w:fill="auto"/>
                  <w:noWrap w:val="0"/>
                  <w:vAlign w:val="center"/>
                </w:tcPr>
                <w:p w14:paraId="334F4AA1">
                  <w:pPr>
                    <w:widowControl/>
                    <w:spacing w:line="0" w:lineRule="atLeast"/>
                    <w:jc w:val="center"/>
                    <w:rPr>
                      <w:rFonts w:hint="default" w:ascii="Times New Roman" w:hAnsi="Times New Roman" w:eastAsia="宋体" w:cs="Times New Roman"/>
                      <w:color w:val="auto"/>
                      <w:spacing w:val="-10"/>
                      <w:sz w:val="18"/>
                      <w:szCs w:val="18"/>
                      <w:highlight w:val="none"/>
                      <w:lang w:val="en-US" w:eastAsia="zh-CN"/>
                    </w:rPr>
                  </w:pPr>
                  <w:r>
                    <w:rPr>
                      <w:rFonts w:hint="default" w:ascii="Times New Roman" w:hAnsi="Times New Roman" w:eastAsia="宋体" w:cs="Times New Roman"/>
                      <w:color w:val="auto"/>
                      <w:spacing w:val="-10"/>
                      <w:sz w:val="18"/>
                      <w:szCs w:val="18"/>
                      <w:highlight w:val="none"/>
                      <w:lang w:val="en-US" w:eastAsia="zh-CN"/>
                    </w:rPr>
                    <w:t>21500</w:t>
                  </w:r>
                </w:p>
              </w:tc>
            </w:tr>
            <w:tr w14:paraId="14EAE0D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52" w:type="dxa"/>
                  <w:vMerge w:val="continue"/>
                  <w:tcBorders>
                    <w:tl2br w:val="nil"/>
                    <w:tr2bl w:val="nil"/>
                  </w:tcBorders>
                  <w:noWrap w:val="0"/>
                  <w:vAlign w:val="center"/>
                </w:tcPr>
                <w:p w14:paraId="236D1B47">
                  <w:pPr>
                    <w:widowControl/>
                    <w:spacing w:line="0" w:lineRule="atLeast"/>
                    <w:jc w:val="center"/>
                    <w:rPr>
                      <w:rFonts w:hint="eastAsia" w:ascii="Times New Roman" w:hAnsi="Times New Roman" w:eastAsia="宋体" w:cs="Times New Roman"/>
                      <w:color w:val="auto"/>
                      <w:spacing w:val="-10"/>
                      <w:sz w:val="18"/>
                      <w:szCs w:val="18"/>
                      <w:highlight w:val="none"/>
                      <w:lang w:val="en-US" w:eastAsia="zh-CN"/>
                    </w:rPr>
                  </w:pPr>
                </w:p>
              </w:tc>
              <w:tc>
                <w:tcPr>
                  <w:tcW w:w="419" w:type="dxa"/>
                  <w:tcBorders>
                    <w:tl2br w:val="nil"/>
                    <w:tr2bl w:val="nil"/>
                  </w:tcBorders>
                  <w:noWrap w:val="0"/>
                  <w:vAlign w:val="center"/>
                </w:tcPr>
                <w:p w14:paraId="417FAFF1">
                  <w:pPr>
                    <w:widowControl/>
                    <w:spacing w:line="0" w:lineRule="atLeast"/>
                    <w:jc w:val="center"/>
                    <w:rPr>
                      <w:rFonts w:hint="eastAsia" w:ascii="Times New Roman" w:hAnsi="Times New Roman" w:eastAsia="宋体" w:cs="Times New Roman"/>
                      <w:color w:val="auto"/>
                      <w:spacing w:val="-10"/>
                      <w:kern w:val="2"/>
                      <w:sz w:val="18"/>
                      <w:szCs w:val="18"/>
                      <w:highlight w:val="none"/>
                      <w:lang w:val="en-US" w:eastAsia="zh-CN" w:bidi="ar-SA"/>
                    </w:rPr>
                  </w:pPr>
                  <w:r>
                    <w:rPr>
                      <w:rFonts w:hint="eastAsia" w:cs="Times New Roman"/>
                      <w:color w:val="auto"/>
                      <w:spacing w:val="-10"/>
                      <w:kern w:val="2"/>
                      <w:sz w:val="18"/>
                      <w:szCs w:val="18"/>
                      <w:highlight w:val="none"/>
                      <w:lang w:val="en-US" w:eastAsia="zh-CN" w:bidi="ar-SA"/>
                    </w:rPr>
                    <w:t>--</w:t>
                  </w:r>
                </w:p>
              </w:tc>
              <w:tc>
                <w:tcPr>
                  <w:tcW w:w="1082" w:type="dxa"/>
                  <w:tcBorders>
                    <w:tl2br w:val="nil"/>
                    <w:tr2bl w:val="nil"/>
                  </w:tcBorders>
                  <w:noWrap w:val="0"/>
                  <w:vAlign w:val="center"/>
                </w:tcPr>
                <w:p w14:paraId="7BDDE064">
                  <w:pPr>
                    <w:widowControl/>
                    <w:spacing w:line="0" w:lineRule="atLeast"/>
                    <w:jc w:val="center"/>
                    <w:rPr>
                      <w:rFonts w:hint="eastAsia" w:ascii="Times New Roman" w:hAnsi="Times New Roman" w:eastAsia="宋体" w:cs="Times New Roman"/>
                      <w:color w:val="auto"/>
                      <w:spacing w:val="-10"/>
                      <w:kern w:val="2"/>
                      <w:sz w:val="18"/>
                      <w:szCs w:val="18"/>
                      <w:highlight w:val="none"/>
                      <w:lang w:val="en-US" w:eastAsia="zh-CN" w:bidi="ar-SA"/>
                    </w:rPr>
                  </w:pPr>
                  <w:r>
                    <w:rPr>
                      <w:rFonts w:hint="eastAsia" w:cs="Times New Roman"/>
                      <w:color w:val="auto"/>
                      <w:spacing w:val="-10"/>
                      <w:kern w:val="2"/>
                      <w:sz w:val="18"/>
                      <w:szCs w:val="18"/>
                      <w:highlight w:val="none"/>
                      <w:lang w:val="en-US" w:eastAsia="zh-CN" w:bidi="ar-SA"/>
                    </w:rPr>
                    <w:t>--</w:t>
                  </w:r>
                </w:p>
              </w:tc>
              <w:tc>
                <w:tcPr>
                  <w:tcW w:w="745" w:type="dxa"/>
                  <w:tcBorders>
                    <w:tl2br w:val="nil"/>
                    <w:tr2bl w:val="nil"/>
                  </w:tcBorders>
                  <w:noWrap w:val="0"/>
                  <w:vAlign w:val="center"/>
                </w:tcPr>
                <w:p w14:paraId="028E6209">
                  <w:pPr>
                    <w:widowControl/>
                    <w:spacing w:line="0" w:lineRule="atLeast"/>
                    <w:jc w:val="center"/>
                    <w:rPr>
                      <w:rFonts w:hint="eastAsia" w:ascii="Times New Roman" w:hAnsi="Times New Roman" w:eastAsia="宋体" w:cs="Times New Roman"/>
                      <w:color w:val="auto"/>
                      <w:spacing w:val="-10"/>
                      <w:kern w:val="2"/>
                      <w:sz w:val="18"/>
                      <w:szCs w:val="18"/>
                      <w:highlight w:val="none"/>
                      <w:lang w:val="en-US" w:eastAsia="zh-CN" w:bidi="ar-SA"/>
                    </w:rPr>
                  </w:pPr>
                  <w:r>
                    <w:rPr>
                      <w:rFonts w:hint="eastAsia" w:cs="Times New Roman"/>
                      <w:color w:val="auto"/>
                      <w:spacing w:val="-10"/>
                      <w:sz w:val="18"/>
                      <w:szCs w:val="18"/>
                      <w:highlight w:val="none"/>
                      <w:lang w:val="en-US" w:eastAsia="zh-CN"/>
                    </w:rPr>
                    <w:t>--</w:t>
                  </w:r>
                </w:p>
              </w:tc>
              <w:tc>
                <w:tcPr>
                  <w:tcW w:w="631" w:type="dxa"/>
                  <w:tcBorders>
                    <w:tl2br w:val="nil"/>
                    <w:tr2bl w:val="nil"/>
                  </w:tcBorders>
                  <w:noWrap w:val="0"/>
                  <w:vAlign w:val="center"/>
                </w:tcPr>
                <w:p w14:paraId="62139050">
                  <w:pPr>
                    <w:widowControl/>
                    <w:spacing w:line="0" w:lineRule="atLeast"/>
                    <w:jc w:val="center"/>
                    <w:rPr>
                      <w:rFonts w:hint="eastAsia" w:ascii="Times New Roman" w:hAnsi="Times New Roman" w:eastAsia="宋体" w:cs="Times New Roman"/>
                      <w:color w:val="auto"/>
                      <w:spacing w:val="-10"/>
                      <w:kern w:val="2"/>
                      <w:sz w:val="18"/>
                      <w:szCs w:val="18"/>
                      <w:highlight w:val="none"/>
                      <w:lang w:val="en-US" w:eastAsia="zh-CN" w:bidi="ar-SA"/>
                    </w:rPr>
                  </w:pPr>
                  <w:r>
                    <w:rPr>
                      <w:rFonts w:hint="eastAsia" w:cs="Times New Roman"/>
                      <w:color w:val="auto"/>
                      <w:spacing w:val="-10"/>
                      <w:sz w:val="18"/>
                      <w:szCs w:val="18"/>
                      <w:highlight w:val="none"/>
                      <w:lang w:val="en-US" w:eastAsia="zh-CN"/>
                    </w:rPr>
                    <w:t>--</w:t>
                  </w:r>
                </w:p>
              </w:tc>
              <w:tc>
                <w:tcPr>
                  <w:tcW w:w="767" w:type="dxa"/>
                  <w:tcBorders>
                    <w:tl2br w:val="nil"/>
                    <w:tr2bl w:val="nil"/>
                  </w:tcBorders>
                  <w:noWrap w:val="0"/>
                  <w:vAlign w:val="center"/>
                </w:tcPr>
                <w:p w14:paraId="34DE6852">
                  <w:pPr>
                    <w:widowControl/>
                    <w:spacing w:line="0" w:lineRule="atLeast"/>
                    <w:jc w:val="center"/>
                    <w:rPr>
                      <w:rFonts w:hint="eastAsia" w:ascii="Times New Roman" w:hAnsi="Times New Roman" w:eastAsia="宋体" w:cs="Times New Roman"/>
                      <w:color w:val="auto"/>
                      <w:spacing w:val="-10"/>
                      <w:kern w:val="2"/>
                      <w:sz w:val="18"/>
                      <w:szCs w:val="18"/>
                      <w:highlight w:val="none"/>
                      <w:lang w:val="en-US" w:eastAsia="zh-CN" w:bidi="ar-SA"/>
                    </w:rPr>
                  </w:pPr>
                  <w:r>
                    <w:rPr>
                      <w:rFonts w:hint="eastAsia" w:cs="Times New Roman"/>
                      <w:color w:val="auto"/>
                      <w:spacing w:val="-10"/>
                      <w:sz w:val="18"/>
                      <w:szCs w:val="18"/>
                      <w:highlight w:val="none"/>
                      <w:lang w:val="en-US" w:eastAsia="zh-CN"/>
                    </w:rPr>
                    <w:t>--</w:t>
                  </w:r>
                </w:p>
              </w:tc>
              <w:tc>
                <w:tcPr>
                  <w:tcW w:w="474" w:type="dxa"/>
                  <w:tcBorders>
                    <w:tl2br w:val="nil"/>
                    <w:tr2bl w:val="nil"/>
                  </w:tcBorders>
                  <w:noWrap w:val="0"/>
                  <w:vAlign w:val="center"/>
                </w:tcPr>
                <w:p w14:paraId="4D714A50">
                  <w:pPr>
                    <w:widowControl/>
                    <w:spacing w:line="0" w:lineRule="atLeast"/>
                    <w:jc w:val="center"/>
                    <w:rPr>
                      <w:rFonts w:hint="default" w:ascii="Times New Roman" w:hAnsi="Times New Roman" w:eastAsia="宋体" w:cs="Times New Roman"/>
                      <w:color w:val="auto"/>
                      <w:spacing w:val="-10"/>
                      <w:kern w:val="2"/>
                      <w:sz w:val="18"/>
                      <w:szCs w:val="18"/>
                      <w:highlight w:val="none"/>
                      <w:lang w:val="en-US" w:eastAsia="zh-CN" w:bidi="ar-SA"/>
                    </w:rPr>
                  </w:pPr>
                  <w:r>
                    <w:rPr>
                      <w:rFonts w:hint="eastAsia" w:cs="Times New Roman"/>
                      <w:color w:val="auto"/>
                      <w:spacing w:val="-10"/>
                      <w:kern w:val="2"/>
                      <w:sz w:val="18"/>
                      <w:szCs w:val="18"/>
                      <w:highlight w:val="none"/>
                      <w:lang w:val="en-US" w:eastAsia="zh-CN" w:bidi="ar-SA"/>
                    </w:rPr>
                    <w:t>4</w:t>
                  </w:r>
                </w:p>
              </w:tc>
              <w:tc>
                <w:tcPr>
                  <w:tcW w:w="1218" w:type="dxa"/>
                  <w:tcBorders>
                    <w:tl2br w:val="nil"/>
                    <w:tr2bl w:val="nil"/>
                  </w:tcBorders>
                  <w:noWrap w:val="0"/>
                  <w:vAlign w:val="center"/>
                </w:tcPr>
                <w:p w14:paraId="52F81769">
                  <w:pPr>
                    <w:widowControl/>
                    <w:spacing w:line="0" w:lineRule="atLeast"/>
                    <w:jc w:val="center"/>
                    <w:rPr>
                      <w:rFonts w:hint="eastAsia" w:ascii="Times New Roman" w:hAnsi="Times New Roman" w:eastAsia="宋体" w:cs="Times New Roman"/>
                      <w:color w:val="auto"/>
                      <w:spacing w:val="-10"/>
                      <w:kern w:val="2"/>
                      <w:sz w:val="18"/>
                      <w:szCs w:val="18"/>
                      <w:highlight w:val="none"/>
                      <w:lang w:val="en-US" w:eastAsia="zh-CN" w:bidi="ar-SA"/>
                    </w:rPr>
                  </w:pPr>
                  <w:r>
                    <w:rPr>
                      <w:rFonts w:hint="eastAsia" w:ascii="Times New Roman" w:hAnsi="Times New Roman" w:eastAsia="宋体" w:cs="Times New Roman"/>
                      <w:color w:val="auto"/>
                      <w:spacing w:val="-10"/>
                      <w:sz w:val="18"/>
                      <w:szCs w:val="18"/>
                      <w:highlight w:val="none"/>
                      <w:lang w:val="en-US" w:eastAsia="zh-CN"/>
                    </w:rPr>
                    <w:t>不锈钢</w:t>
                  </w:r>
                </w:p>
              </w:tc>
              <w:tc>
                <w:tcPr>
                  <w:tcW w:w="801" w:type="dxa"/>
                  <w:tcBorders>
                    <w:tl2br w:val="nil"/>
                    <w:tr2bl w:val="nil"/>
                  </w:tcBorders>
                  <w:shd w:val="clear" w:color="auto" w:fill="auto"/>
                  <w:noWrap w:val="0"/>
                  <w:vAlign w:val="center"/>
                </w:tcPr>
                <w:p w14:paraId="4EA66707">
                  <w:pPr>
                    <w:widowControl/>
                    <w:spacing w:line="0" w:lineRule="atLeast"/>
                    <w:jc w:val="center"/>
                    <w:rPr>
                      <w:rFonts w:hint="default" w:ascii="Times New Roman" w:hAnsi="Times New Roman" w:cs="Times New Roman"/>
                      <w:color w:val="auto"/>
                      <w:spacing w:val="-10"/>
                      <w:sz w:val="18"/>
                      <w:szCs w:val="18"/>
                      <w:highlight w:val="none"/>
                      <w:lang w:val="en-US" w:eastAsia="zh-CN"/>
                    </w:rPr>
                  </w:pPr>
                  <w:r>
                    <w:rPr>
                      <w:rFonts w:hint="default" w:ascii="Times New Roman" w:hAnsi="Times New Roman" w:cs="Times New Roman"/>
                      <w:color w:val="auto"/>
                      <w:spacing w:val="-10"/>
                      <w:sz w:val="18"/>
                      <w:szCs w:val="18"/>
                      <w:highlight w:val="none"/>
                      <w:lang w:val="en-US" w:eastAsia="zh-CN"/>
                    </w:rPr>
                    <w:t>10800</w:t>
                  </w:r>
                </w:p>
              </w:tc>
              <w:tc>
                <w:tcPr>
                  <w:tcW w:w="620" w:type="dxa"/>
                  <w:tcBorders>
                    <w:tl2br w:val="nil"/>
                    <w:tr2bl w:val="nil"/>
                  </w:tcBorders>
                  <w:noWrap w:val="0"/>
                  <w:vAlign w:val="center"/>
                </w:tcPr>
                <w:p w14:paraId="44730D10">
                  <w:pPr>
                    <w:widowControl/>
                    <w:spacing w:line="0" w:lineRule="atLeast"/>
                    <w:jc w:val="center"/>
                    <w:rPr>
                      <w:rFonts w:hint="default" w:ascii="Times New Roman" w:hAnsi="Times New Roman" w:cs="Times New Roman"/>
                      <w:color w:val="auto"/>
                      <w:spacing w:val="-10"/>
                      <w:sz w:val="18"/>
                      <w:szCs w:val="18"/>
                      <w:highlight w:val="none"/>
                      <w:lang w:val="en-US" w:eastAsia="zh-CN"/>
                    </w:rPr>
                  </w:pPr>
                  <w:r>
                    <w:rPr>
                      <w:rFonts w:hint="default" w:ascii="Times New Roman" w:hAnsi="Times New Roman" w:cs="Times New Roman"/>
                      <w:color w:val="auto"/>
                      <w:spacing w:val="-10"/>
                      <w:sz w:val="18"/>
                      <w:szCs w:val="18"/>
                      <w:highlight w:val="none"/>
                      <w:lang w:val="en-US" w:eastAsia="zh-CN"/>
                    </w:rPr>
                    <w:t>0</w:t>
                  </w:r>
                </w:p>
              </w:tc>
              <w:tc>
                <w:tcPr>
                  <w:tcW w:w="765" w:type="dxa"/>
                  <w:tcBorders>
                    <w:tl2br w:val="nil"/>
                    <w:tr2bl w:val="nil"/>
                  </w:tcBorders>
                  <w:noWrap w:val="0"/>
                  <w:vAlign w:val="center"/>
                </w:tcPr>
                <w:p w14:paraId="42CF5780">
                  <w:pPr>
                    <w:widowControl/>
                    <w:spacing w:line="0" w:lineRule="atLeast"/>
                    <w:jc w:val="center"/>
                    <w:rPr>
                      <w:rFonts w:hint="default" w:ascii="Times New Roman" w:hAnsi="Times New Roman" w:eastAsia="宋体" w:cs="Times New Roman"/>
                      <w:color w:val="auto"/>
                      <w:spacing w:val="-10"/>
                      <w:sz w:val="18"/>
                      <w:szCs w:val="18"/>
                      <w:highlight w:val="none"/>
                      <w:lang w:val="en-US" w:eastAsia="zh-CN"/>
                    </w:rPr>
                  </w:pPr>
                  <w:r>
                    <w:rPr>
                      <w:rFonts w:hint="default" w:ascii="Times New Roman" w:hAnsi="Times New Roman" w:eastAsia="宋体" w:cs="Times New Roman"/>
                      <w:color w:val="auto"/>
                      <w:spacing w:val="-10"/>
                      <w:sz w:val="18"/>
                      <w:szCs w:val="18"/>
                      <w:highlight w:val="none"/>
                      <w:lang w:val="en-US" w:eastAsia="zh-CN"/>
                    </w:rPr>
                    <w:t>10800</w:t>
                  </w:r>
                </w:p>
              </w:tc>
            </w:tr>
            <w:tr w14:paraId="5C8568A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52" w:type="dxa"/>
                  <w:vMerge w:val="continue"/>
                  <w:tcBorders>
                    <w:tl2br w:val="nil"/>
                    <w:tr2bl w:val="nil"/>
                  </w:tcBorders>
                  <w:noWrap w:val="0"/>
                  <w:vAlign w:val="center"/>
                </w:tcPr>
                <w:p w14:paraId="7AF6A5D6">
                  <w:pPr>
                    <w:widowControl/>
                    <w:spacing w:line="0" w:lineRule="atLeast"/>
                    <w:jc w:val="center"/>
                    <w:rPr>
                      <w:rFonts w:hint="eastAsia" w:ascii="Times New Roman" w:hAnsi="Times New Roman" w:eastAsia="宋体" w:cs="Times New Roman"/>
                      <w:color w:val="auto"/>
                      <w:spacing w:val="-10"/>
                      <w:sz w:val="18"/>
                      <w:szCs w:val="18"/>
                      <w:highlight w:val="none"/>
                      <w:lang w:val="en-US" w:eastAsia="zh-CN"/>
                    </w:rPr>
                  </w:pPr>
                </w:p>
              </w:tc>
              <w:tc>
                <w:tcPr>
                  <w:tcW w:w="419" w:type="dxa"/>
                  <w:tcBorders>
                    <w:tl2br w:val="nil"/>
                    <w:tr2bl w:val="nil"/>
                  </w:tcBorders>
                  <w:noWrap w:val="0"/>
                  <w:vAlign w:val="center"/>
                </w:tcPr>
                <w:p w14:paraId="5C484F23">
                  <w:pPr>
                    <w:widowControl/>
                    <w:spacing w:line="0" w:lineRule="atLeast"/>
                    <w:jc w:val="center"/>
                    <w:rPr>
                      <w:rFonts w:hint="eastAsia" w:ascii="Times New Roman" w:hAnsi="Times New Roman" w:eastAsia="宋体" w:cs="Times New Roman"/>
                      <w:color w:val="auto"/>
                      <w:spacing w:val="-10"/>
                      <w:kern w:val="2"/>
                      <w:sz w:val="18"/>
                      <w:szCs w:val="18"/>
                      <w:highlight w:val="none"/>
                      <w:lang w:val="en-US" w:eastAsia="zh-CN" w:bidi="ar-SA"/>
                    </w:rPr>
                  </w:pPr>
                  <w:r>
                    <w:rPr>
                      <w:rFonts w:hint="eastAsia" w:cs="Times New Roman"/>
                      <w:color w:val="auto"/>
                      <w:spacing w:val="-10"/>
                      <w:kern w:val="2"/>
                      <w:sz w:val="18"/>
                      <w:szCs w:val="18"/>
                      <w:highlight w:val="none"/>
                      <w:lang w:val="en-US" w:eastAsia="zh-CN" w:bidi="ar-SA"/>
                    </w:rPr>
                    <w:t>--</w:t>
                  </w:r>
                </w:p>
              </w:tc>
              <w:tc>
                <w:tcPr>
                  <w:tcW w:w="1082" w:type="dxa"/>
                  <w:tcBorders>
                    <w:tl2br w:val="nil"/>
                    <w:tr2bl w:val="nil"/>
                  </w:tcBorders>
                  <w:noWrap w:val="0"/>
                  <w:vAlign w:val="center"/>
                </w:tcPr>
                <w:p w14:paraId="0204534D">
                  <w:pPr>
                    <w:widowControl/>
                    <w:spacing w:line="0" w:lineRule="atLeast"/>
                    <w:jc w:val="center"/>
                    <w:rPr>
                      <w:rFonts w:hint="eastAsia" w:ascii="Times New Roman" w:hAnsi="Times New Roman" w:eastAsia="宋体" w:cs="Times New Roman"/>
                      <w:color w:val="auto"/>
                      <w:spacing w:val="-10"/>
                      <w:kern w:val="2"/>
                      <w:sz w:val="18"/>
                      <w:szCs w:val="18"/>
                      <w:highlight w:val="none"/>
                      <w:lang w:val="en-US" w:eastAsia="zh-CN" w:bidi="ar-SA"/>
                    </w:rPr>
                  </w:pPr>
                  <w:r>
                    <w:rPr>
                      <w:rFonts w:hint="eastAsia" w:cs="Times New Roman"/>
                      <w:color w:val="auto"/>
                      <w:spacing w:val="-10"/>
                      <w:kern w:val="2"/>
                      <w:sz w:val="18"/>
                      <w:szCs w:val="18"/>
                      <w:highlight w:val="none"/>
                      <w:lang w:val="en-US" w:eastAsia="zh-CN" w:bidi="ar-SA"/>
                    </w:rPr>
                    <w:t>--</w:t>
                  </w:r>
                </w:p>
              </w:tc>
              <w:tc>
                <w:tcPr>
                  <w:tcW w:w="745" w:type="dxa"/>
                  <w:tcBorders>
                    <w:tl2br w:val="nil"/>
                    <w:tr2bl w:val="nil"/>
                  </w:tcBorders>
                  <w:noWrap w:val="0"/>
                  <w:vAlign w:val="center"/>
                </w:tcPr>
                <w:p w14:paraId="21F8BB1D">
                  <w:pPr>
                    <w:widowControl/>
                    <w:spacing w:line="0" w:lineRule="atLeast"/>
                    <w:jc w:val="center"/>
                    <w:rPr>
                      <w:rFonts w:hint="eastAsia" w:ascii="Times New Roman" w:hAnsi="Times New Roman" w:eastAsia="宋体" w:cs="Times New Roman"/>
                      <w:color w:val="auto"/>
                      <w:spacing w:val="-10"/>
                      <w:kern w:val="2"/>
                      <w:sz w:val="18"/>
                      <w:szCs w:val="18"/>
                      <w:highlight w:val="none"/>
                      <w:lang w:val="en-US" w:eastAsia="zh-CN" w:bidi="ar-SA"/>
                    </w:rPr>
                  </w:pPr>
                  <w:r>
                    <w:rPr>
                      <w:rFonts w:hint="eastAsia" w:cs="Times New Roman"/>
                      <w:color w:val="auto"/>
                      <w:spacing w:val="-10"/>
                      <w:sz w:val="18"/>
                      <w:szCs w:val="18"/>
                      <w:highlight w:val="none"/>
                      <w:lang w:val="en-US" w:eastAsia="zh-CN"/>
                    </w:rPr>
                    <w:t>--</w:t>
                  </w:r>
                </w:p>
              </w:tc>
              <w:tc>
                <w:tcPr>
                  <w:tcW w:w="631" w:type="dxa"/>
                  <w:tcBorders>
                    <w:tl2br w:val="nil"/>
                    <w:tr2bl w:val="nil"/>
                  </w:tcBorders>
                  <w:noWrap w:val="0"/>
                  <w:vAlign w:val="center"/>
                </w:tcPr>
                <w:p w14:paraId="61FFF615">
                  <w:pPr>
                    <w:widowControl/>
                    <w:spacing w:line="0" w:lineRule="atLeast"/>
                    <w:jc w:val="center"/>
                    <w:rPr>
                      <w:rFonts w:hint="eastAsia" w:ascii="Times New Roman" w:hAnsi="Times New Roman" w:eastAsia="宋体" w:cs="Times New Roman"/>
                      <w:color w:val="auto"/>
                      <w:spacing w:val="-10"/>
                      <w:kern w:val="2"/>
                      <w:sz w:val="18"/>
                      <w:szCs w:val="18"/>
                      <w:highlight w:val="none"/>
                      <w:lang w:val="en-US" w:eastAsia="zh-CN" w:bidi="ar-SA"/>
                    </w:rPr>
                  </w:pPr>
                  <w:r>
                    <w:rPr>
                      <w:rFonts w:hint="eastAsia" w:cs="Times New Roman"/>
                      <w:color w:val="auto"/>
                      <w:spacing w:val="-10"/>
                      <w:sz w:val="18"/>
                      <w:szCs w:val="18"/>
                      <w:highlight w:val="none"/>
                      <w:lang w:val="en-US" w:eastAsia="zh-CN"/>
                    </w:rPr>
                    <w:t>--</w:t>
                  </w:r>
                </w:p>
              </w:tc>
              <w:tc>
                <w:tcPr>
                  <w:tcW w:w="767" w:type="dxa"/>
                  <w:tcBorders>
                    <w:tl2br w:val="nil"/>
                    <w:tr2bl w:val="nil"/>
                  </w:tcBorders>
                  <w:noWrap w:val="0"/>
                  <w:vAlign w:val="center"/>
                </w:tcPr>
                <w:p w14:paraId="6C89CD37">
                  <w:pPr>
                    <w:widowControl/>
                    <w:spacing w:line="0" w:lineRule="atLeast"/>
                    <w:jc w:val="center"/>
                    <w:rPr>
                      <w:rFonts w:hint="eastAsia" w:ascii="Times New Roman" w:hAnsi="Times New Roman" w:eastAsia="宋体" w:cs="Times New Roman"/>
                      <w:color w:val="auto"/>
                      <w:spacing w:val="-10"/>
                      <w:kern w:val="2"/>
                      <w:sz w:val="18"/>
                      <w:szCs w:val="18"/>
                      <w:highlight w:val="none"/>
                      <w:lang w:val="en-US" w:eastAsia="zh-CN" w:bidi="ar-SA"/>
                    </w:rPr>
                  </w:pPr>
                  <w:r>
                    <w:rPr>
                      <w:rFonts w:hint="eastAsia" w:cs="Times New Roman"/>
                      <w:color w:val="auto"/>
                      <w:spacing w:val="-10"/>
                      <w:sz w:val="18"/>
                      <w:szCs w:val="18"/>
                      <w:highlight w:val="none"/>
                      <w:lang w:val="en-US" w:eastAsia="zh-CN"/>
                    </w:rPr>
                    <w:t>--</w:t>
                  </w:r>
                </w:p>
              </w:tc>
              <w:tc>
                <w:tcPr>
                  <w:tcW w:w="474" w:type="dxa"/>
                  <w:tcBorders>
                    <w:tl2br w:val="nil"/>
                    <w:tr2bl w:val="nil"/>
                  </w:tcBorders>
                  <w:noWrap w:val="0"/>
                  <w:vAlign w:val="center"/>
                </w:tcPr>
                <w:p w14:paraId="554153A3">
                  <w:pPr>
                    <w:widowControl/>
                    <w:spacing w:line="0" w:lineRule="atLeast"/>
                    <w:jc w:val="center"/>
                    <w:rPr>
                      <w:rFonts w:hint="default" w:ascii="Times New Roman" w:hAnsi="Times New Roman" w:eastAsia="宋体" w:cs="Times New Roman"/>
                      <w:color w:val="auto"/>
                      <w:spacing w:val="-10"/>
                      <w:kern w:val="2"/>
                      <w:sz w:val="18"/>
                      <w:szCs w:val="18"/>
                      <w:highlight w:val="none"/>
                      <w:lang w:val="en-US" w:eastAsia="zh-CN" w:bidi="ar-SA"/>
                    </w:rPr>
                  </w:pPr>
                  <w:r>
                    <w:rPr>
                      <w:rFonts w:hint="eastAsia" w:cs="Times New Roman"/>
                      <w:color w:val="auto"/>
                      <w:spacing w:val="-10"/>
                      <w:kern w:val="2"/>
                      <w:sz w:val="18"/>
                      <w:szCs w:val="18"/>
                      <w:highlight w:val="none"/>
                      <w:lang w:val="en-US" w:eastAsia="zh-CN" w:bidi="ar-SA"/>
                    </w:rPr>
                    <w:t>5</w:t>
                  </w:r>
                </w:p>
              </w:tc>
              <w:tc>
                <w:tcPr>
                  <w:tcW w:w="1218" w:type="dxa"/>
                  <w:tcBorders>
                    <w:tl2br w:val="nil"/>
                    <w:tr2bl w:val="nil"/>
                  </w:tcBorders>
                  <w:noWrap w:val="0"/>
                  <w:vAlign w:val="center"/>
                </w:tcPr>
                <w:p w14:paraId="01E79B08">
                  <w:pPr>
                    <w:widowControl/>
                    <w:spacing w:line="0" w:lineRule="atLeast"/>
                    <w:jc w:val="center"/>
                    <w:rPr>
                      <w:rFonts w:hint="default" w:ascii="Times New Roman" w:hAnsi="Times New Roman" w:eastAsia="宋体" w:cs="Times New Roman"/>
                      <w:color w:val="auto"/>
                      <w:spacing w:val="-10"/>
                      <w:kern w:val="2"/>
                      <w:sz w:val="18"/>
                      <w:szCs w:val="18"/>
                      <w:highlight w:val="none"/>
                      <w:lang w:val="en-US" w:eastAsia="zh-CN" w:bidi="ar-SA"/>
                    </w:rPr>
                  </w:pPr>
                  <w:r>
                    <w:rPr>
                      <w:rFonts w:hint="eastAsia" w:cs="Times New Roman"/>
                      <w:color w:val="auto"/>
                      <w:spacing w:val="-10"/>
                      <w:kern w:val="2"/>
                      <w:sz w:val="18"/>
                      <w:szCs w:val="18"/>
                      <w:highlight w:val="none"/>
                      <w:lang w:val="en-US" w:eastAsia="zh-CN" w:bidi="ar-SA"/>
                    </w:rPr>
                    <w:t>橡胶</w:t>
                  </w:r>
                </w:p>
              </w:tc>
              <w:tc>
                <w:tcPr>
                  <w:tcW w:w="801" w:type="dxa"/>
                  <w:tcBorders>
                    <w:tl2br w:val="nil"/>
                    <w:tr2bl w:val="nil"/>
                  </w:tcBorders>
                  <w:shd w:val="clear" w:color="auto" w:fill="auto"/>
                  <w:noWrap w:val="0"/>
                  <w:vAlign w:val="center"/>
                </w:tcPr>
                <w:p w14:paraId="28D6FC19">
                  <w:pPr>
                    <w:widowControl/>
                    <w:spacing w:line="0" w:lineRule="atLeast"/>
                    <w:jc w:val="center"/>
                    <w:rPr>
                      <w:rFonts w:hint="default" w:ascii="Times New Roman" w:hAnsi="Times New Roman" w:cs="Times New Roman"/>
                      <w:color w:val="auto"/>
                      <w:spacing w:val="-10"/>
                      <w:sz w:val="18"/>
                      <w:szCs w:val="18"/>
                      <w:highlight w:val="none"/>
                      <w:lang w:val="en-US" w:eastAsia="zh-CN"/>
                    </w:rPr>
                  </w:pPr>
                  <w:r>
                    <w:rPr>
                      <w:rFonts w:hint="default" w:ascii="Times New Roman" w:hAnsi="Times New Roman" w:cs="Times New Roman"/>
                      <w:color w:val="auto"/>
                      <w:spacing w:val="-10"/>
                      <w:sz w:val="18"/>
                      <w:szCs w:val="18"/>
                      <w:highlight w:val="none"/>
                      <w:lang w:val="en-US" w:eastAsia="zh-CN"/>
                    </w:rPr>
                    <w:t>57200</w:t>
                  </w:r>
                </w:p>
              </w:tc>
              <w:tc>
                <w:tcPr>
                  <w:tcW w:w="620" w:type="dxa"/>
                  <w:tcBorders>
                    <w:tl2br w:val="nil"/>
                    <w:tr2bl w:val="nil"/>
                  </w:tcBorders>
                  <w:noWrap w:val="0"/>
                  <w:vAlign w:val="center"/>
                </w:tcPr>
                <w:p w14:paraId="3A274414">
                  <w:pPr>
                    <w:widowControl/>
                    <w:spacing w:line="0" w:lineRule="atLeast"/>
                    <w:jc w:val="center"/>
                    <w:rPr>
                      <w:rFonts w:hint="default" w:ascii="Times New Roman" w:hAnsi="Times New Roman" w:cs="Times New Roman"/>
                      <w:color w:val="auto"/>
                      <w:spacing w:val="-10"/>
                      <w:sz w:val="18"/>
                      <w:szCs w:val="18"/>
                      <w:highlight w:val="none"/>
                      <w:lang w:val="en-US" w:eastAsia="zh-CN"/>
                    </w:rPr>
                  </w:pPr>
                  <w:r>
                    <w:rPr>
                      <w:rFonts w:hint="default" w:ascii="Times New Roman" w:hAnsi="Times New Roman" w:cs="Times New Roman"/>
                      <w:color w:val="auto"/>
                      <w:spacing w:val="-10"/>
                      <w:sz w:val="18"/>
                      <w:szCs w:val="18"/>
                      <w:highlight w:val="none"/>
                      <w:lang w:val="en-US" w:eastAsia="zh-CN"/>
                    </w:rPr>
                    <w:t>1</w:t>
                  </w:r>
                </w:p>
              </w:tc>
              <w:tc>
                <w:tcPr>
                  <w:tcW w:w="765" w:type="dxa"/>
                  <w:tcBorders>
                    <w:tl2br w:val="nil"/>
                    <w:tr2bl w:val="nil"/>
                  </w:tcBorders>
                  <w:noWrap w:val="0"/>
                  <w:vAlign w:val="center"/>
                </w:tcPr>
                <w:p w14:paraId="1832ED04">
                  <w:pPr>
                    <w:widowControl/>
                    <w:spacing w:line="0" w:lineRule="atLeast"/>
                    <w:jc w:val="center"/>
                    <w:rPr>
                      <w:rFonts w:hint="default" w:ascii="Times New Roman" w:hAnsi="Times New Roman" w:eastAsia="宋体" w:cs="Times New Roman"/>
                      <w:color w:val="auto"/>
                      <w:spacing w:val="-10"/>
                      <w:sz w:val="18"/>
                      <w:szCs w:val="18"/>
                      <w:highlight w:val="none"/>
                      <w:lang w:val="en-US" w:eastAsia="zh-CN"/>
                    </w:rPr>
                  </w:pPr>
                  <w:r>
                    <w:rPr>
                      <w:rFonts w:hint="default" w:ascii="Times New Roman" w:hAnsi="Times New Roman" w:eastAsia="宋体" w:cs="Times New Roman"/>
                      <w:color w:val="auto"/>
                      <w:spacing w:val="-10"/>
                      <w:sz w:val="18"/>
                      <w:szCs w:val="18"/>
                      <w:highlight w:val="none"/>
                      <w:lang w:val="en-US" w:eastAsia="zh-CN"/>
                    </w:rPr>
                    <w:t>56628</w:t>
                  </w:r>
                </w:p>
              </w:tc>
            </w:tr>
            <w:tr w14:paraId="1847A40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52" w:type="dxa"/>
                  <w:vMerge w:val="continue"/>
                  <w:tcBorders>
                    <w:tl2br w:val="nil"/>
                    <w:tr2bl w:val="nil"/>
                  </w:tcBorders>
                  <w:noWrap w:val="0"/>
                  <w:vAlign w:val="center"/>
                </w:tcPr>
                <w:p w14:paraId="2593E842">
                  <w:pPr>
                    <w:widowControl/>
                    <w:spacing w:line="0" w:lineRule="atLeast"/>
                    <w:jc w:val="center"/>
                    <w:rPr>
                      <w:rFonts w:hint="eastAsia" w:ascii="Times New Roman" w:hAnsi="Times New Roman" w:eastAsia="宋体" w:cs="Times New Roman"/>
                      <w:color w:val="auto"/>
                      <w:spacing w:val="-10"/>
                      <w:sz w:val="18"/>
                      <w:szCs w:val="18"/>
                      <w:highlight w:val="none"/>
                      <w:lang w:val="en-US" w:eastAsia="zh-CN"/>
                    </w:rPr>
                  </w:pPr>
                </w:p>
              </w:tc>
              <w:tc>
                <w:tcPr>
                  <w:tcW w:w="419" w:type="dxa"/>
                  <w:tcBorders>
                    <w:tl2br w:val="nil"/>
                    <w:tr2bl w:val="nil"/>
                  </w:tcBorders>
                  <w:noWrap w:val="0"/>
                  <w:vAlign w:val="center"/>
                </w:tcPr>
                <w:p w14:paraId="3A4FBB99">
                  <w:pPr>
                    <w:widowControl/>
                    <w:spacing w:line="0" w:lineRule="atLeast"/>
                    <w:jc w:val="center"/>
                    <w:rPr>
                      <w:rFonts w:hint="eastAsia" w:ascii="Times New Roman" w:hAnsi="Times New Roman" w:eastAsia="宋体" w:cs="Times New Roman"/>
                      <w:color w:val="auto"/>
                      <w:spacing w:val="-10"/>
                      <w:kern w:val="2"/>
                      <w:sz w:val="18"/>
                      <w:szCs w:val="18"/>
                      <w:highlight w:val="none"/>
                      <w:lang w:val="en-US" w:eastAsia="zh-CN" w:bidi="ar-SA"/>
                    </w:rPr>
                  </w:pPr>
                  <w:r>
                    <w:rPr>
                      <w:rFonts w:hint="eastAsia" w:cs="Times New Roman"/>
                      <w:color w:val="auto"/>
                      <w:spacing w:val="-10"/>
                      <w:kern w:val="2"/>
                      <w:sz w:val="18"/>
                      <w:szCs w:val="18"/>
                      <w:highlight w:val="none"/>
                      <w:lang w:val="en-US" w:eastAsia="zh-CN" w:bidi="ar-SA"/>
                    </w:rPr>
                    <w:t>--</w:t>
                  </w:r>
                </w:p>
              </w:tc>
              <w:tc>
                <w:tcPr>
                  <w:tcW w:w="1082" w:type="dxa"/>
                  <w:tcBorders>
                    <w:tl2br w:val="nil"/>
                    <w:tr2bl w:val="nil"/>
                  </w:tcBorders>
                  <w:noWrap w:val="0"/>
                  <w:vAlign w:val="center"/>
                </w:tcPr>
                <w:p w14:paraId="2E1A355D">
                  <w:pPr>
                    <w:widowControl/>
                    <w:spacing w:line="0" w:lineRule="atLeast"/>
                    <w:jc w:val="center"/>
                    <w:rPr>
                      <w:rFonts w:hint="eastAsia" w:ascii="Times New Roman" w:hAnsi="Times New Roman" w:eastAsia="宋体" w:cs="Times New Roman"/>
                      <w:color w:val="auto"/>
                      <w:spacing w:val="-10"/>
                      <w:kern w:val="2"/>
                      <w:sz w:val="18"/>
                      <w:szCs w:val="18"/>
                      <w:highlight w:val="none"/>
                      <w:lang w:val="en-US" w:eastAsia="zh-CN" w:bidi="ar-SA"/>
                    </w:rPr>
                  </w:pPr>
                  <w:r>
                    <w:rPr>
                      <w:rFonts w:hint="eastAsia" w:cs="Times New Roman"/>
                      <w:color w:val="auto"/>
                      <w:spacing w:val="-10"/>
                      <w:kern w:val="2"/>
                      <w:sz w:val="18"/>
                      <w:szCs w:val="18"/>
                      <w:highlight w:val="none"/>
                      <w:lang w:val="en-US" w:eastAsia="zh-CN" w:bidi="ar-SA"/>
                    </w:rPr>
                    <w:t>--</w:t>
                  </w:r>
                </w:p>
              </w:tc>
              <w:tc>
                <w:tcPr>
                  <w:tcW w:w="745" w:type="dxa"/>
                  <w:tcBorders>
                    <w:tl2br w:val="nil"/>
                    <w:tr2bl w:val="nil"/>
                  </w:tcBorders>
                  <w:noWrap w:val="0"/>
                  <w:vAlign w:val="center"/>
                </w:tcPr>
                <w:p w14:paraId="072F3D16">
                  <w:pPr>
                    <w:widowControl/>
                    <w:spacing w:line="0" w:lineRule="atLeast"/>
                    <w:jc w:val="center"/>
                    <w:rPr>
                      <w:rFonts w:hint="eastAsia" w:ascii="Times New Roman" w:hAnsi="Times New Roman" w:eastAsia="宋体" w:cs="Times New Roman"/>
                      <w:color w:val="auto"/>
                      <w:spacing w:val="-10"/>
                      <w:kern w:val="2"/>
                      <w:sz w:val="18"/>
                      <w:szCs w:val="18"/>
                      <w:highlight w:val="none"/>
                      <w:lang w:val="en-US" w:eastAsia="zh-CN" w:bidi="ar-SA"/>
                    </w:rPr>
                  </w:pPr>
                  <w:r>
                    <w:rPr>
                      <w:rFonts w:hint="eastAsia" w:cs="Times New Roman"/>
                      <w:color w:val="auto"/>
                      <w:spacing w:val="-10"/>
                      <w:sz w:val="18"/>
                      <w:szCs w:val="18"/>
                      <w:highlight w:val="none"/>
                      <w:lang w:val="en-US" w:eastAsia="zh-CN"/>
                    </w:rPr>
                    <w:t>--</w:t>
                  </w:r>
                </w:p>
              </w:tc>
              <w:tc>
                <w:tcPr>
                  <w:tcW w:w="631" w:type="dxa"/>
                  <w:tcBorders>
                    <w:tl2br w:val="nil"/>
                    <w:tr2bl w:val="nil"/>
                  </w:tcBorders>
                  <w:noWrap w:val="0"/>
                  <w:vAlign w:val="center"/>
                </w:tcPr>
                <w:p w14:paraId="5AD81B12">
                  <w:pPr>
                    <w:widowControl/>
                    <w:spacing w:line="0" w:lineRule="atLeast"/>
                    <w:jc w:val="center"/>
                    <w:rPr>
                      <w:rFonts w:hint="eastAsia" w:ascii="Times New Roman" w:hAnsi="Times New Roman" w:eastAsia="宋体" w:cs="Times New Roman"/>
                      <w:color w:val="auto"/>
                      <w:spacing w:val="-10"/>
                      <w:kern w:val="2"/>
                      <w:sz w:val="18"/>
                      <w:szCs w:val="18"/>
                      <w:highlight w:val="none"/>
                      <w:lang w:val="en-US" w:eastAsia="zh-CN" w:bidi="ar-SA"/>
                    </w:rPr>
                  </w:pPr>
                  <w:r>
                    <w:rPr>
                      <w:rFonts w:hint="eastAsia" w:cs="Times New Roman"/>
                      <w:color w:val="auto"/>
                      <w:spacing w:val="-10"/>
                      <w:sz w:val="18"/>
                      <w:szCs w:val="18"/>
                      <w:highlight w:val="none"/>
                      <w:lang w:val="en-US" w:eastAsia="zh-CN"/>
                    </w:rPr>
                    <w:t>--</w:t>
                  </w:r>
                </w:p>
              </w:tc>
              <w:tc>
                <w:tcPr>
                  <w:tcW w:w="767" w:type="dxa"/>
                  <w:tcBorders>
                    <w:tl2br w:val="nil"/>
                    <w:tr2bl w:val="nil"/>
                  </w:tcBorders>
                  <w:noWrap w:val="0"/>
                  <w:vAlign w:val="center"/>
                </w:tcPr>
                <w:p w14:paraId="31DFA6C5">
                  <w:pPr>
                    <w:widowControl/>
                    <w:spacing w:line="0" w:lineRule="atLeast"/>
                    <w:jc w:val="center"/>
                    <w:rPr>
                      <w:rFonts w:hint="eastAsia" w:ascii="Times New Roman" w:hAnsi="Times New Roman" w:eastAsia="宋体" w:cs="Times New Roman"/>
                      <w:color w:val="auto"/>
                      <w:spacing w:val="-10"/>
                      <w:kern w:val="2"/>
                      <w:sz w:val="18"/>
                      <w:szCs w:val="18"/>
                      <w:highlight w:val="none"/>
                      <w:lang w:val="en-US" w:eastAsia="zh-CN" w:bidi="ar-SA"/>
                    </w:rPr>
                  </w:pPr>
                  <w:r>
                    <w:rPr>
                      <w:rFonts w:hint="eastAsia" w:cs="Times New Roman"/>
                      <w:color w:val="auto"/>
                      <w:spacing w:val="-10"/>
                      <w:sz w:val="18"/>
                      <w:szCs w:val="18"/>
                      <w:highlight w:val="none"/>
                      <w:lang w:val="en-US" w:eastAsia="zh-CN"/>
                    </w:rPr>
                    <w:t>--</w:t>
                  </w:r>
                </w:p>
              </w:tc>
              <w:tc>
                <w:tcPr>
                  <w:tcW w:w="474" w:type="dxa"/>
                  <w:tcBorders>
                    <w:tl2br w:val="nil"/>
                    <w:tr2bl w:val="nil"/>
                  </w:tcBorders>
                  <w:noWrap w:val="0"/>
                  <w:vAlign w:val="center"/>
                </w:tcPr>
                <w:p w14:paraId="581F7561">
                  <w:pPr>
                    <w:widowControl/>
                    <w:spacing w:line="0" w:lineRule="atLeast"/>
                    <w:jc w:val="center"/>
                    <w:rPr>
                      <w:rFonts w:hint="default" w:ascii="Times New Roman" w:hAnsi="Times New Roman" w:eastAsia="宋体" w:cs="Times New Roman"/>
                      <w:color w:val="auto"/>
                      <w:spacing w:val="-10"/>
                      <w:kern w:val="2"/>
                      <w:sz w:val="18"/>
                      <w:szCs w:val="18"/>
                      <w:highlight w:val="none"/>
                      <w:lang w:val="en-US" w:eastAsia="zh-CN" w:bidi="ar-SA"/>
                    </w:rPr>
                  </w:pPr>
                  <w:r>
                    <w:rPr>
                      <w:rFonts w:hint="eastAsia" w:cs="Times New Roman"/>
                      <w:color w:val="auto"/>
                      <w:spacing w:val="-10"/>
                      <w:kern w:val="2"/>
                      <w:sz w:val="18"/>
                      <w:szCs w:val="18"/>
                      <w:highlight w:val="none"/>
                      <w:lang w:val="en-US" w:eastAsia="zh-CN" w:bidi="ar-SA"/>
                    </w:rPr>
                    <w:t>6</w:t>
                  </w:r>
                </w:p>
              </w:tc>
              <w:tc>
                <w:tcPr>
                  <w:tcW w:w="1218" w:type="dxa"/>
                  <w:tcBorders>
                    <w:tl2br w:val="nil"/>
                    <w:tr2bl w:val="nil"/>
                  </w:tcBorders>
                  <w:shd w:val="clear" w:color="auto" w:fill="auto"/>
                  <w:noWrap w:val="0"/>
                  <w:vAlign w:val="center"/>
                </w:tcPr>
                <w:p w14:paraId="55FDD7FB">
                  <w:pPr>
                    <w:widowControl/>
                    <w:jc w:val="center"/>
                    <w:rPr>
                      <w:rFonts w:hint="default" w:ascii="Times New Roman" w:hAnsi="Times New Roman" w:eastAsia="宋体" w:cs="Times New Roman"/>
                      <w:color w:val="auto"/>
                      <w:spacing w:val="-10"/>
                      <w:kern w:val="2"/>
                      <w:sz w:val="18"/>
                      <w:szCs w:val="18"/>
                      <w:highlight w:val="none"/>
                      <w:lang w:val="en-US" w:eastAsia="zh-CN" w:bidi="ar-SA"/>
                    </w:rPr>
                  </w:pPr>
                  <w:r>
                    <w:rPr>
                      <w:rFonts w:hint="eastAsia" w:ascii="Times New Roman" w:hAnsi="Times New Roman" w:eastAsia="宋体" w:cs="Times New Roman"/>
                      <w:color w:val="auto"/>
                      <w:spacing w:val="-10"/>
                      <w:sz w:val="18"/>
                      <w:szCs w:val="18"/>
                      <w:highlight w:val="none"/>
                      <w:lang w:val="en-US" w:eastAsia="zh-CN"/>
                    </w:rPr>
                    <w:t>轻质塑料</w:t>
                  </w:r>
                </w:p>
              </w:tc>
              <w:tc>
                <w:tcPr>
                  <w:tcW w:w="801" w:type="dxa"/>
                  <w:tcBorders>
                    <w:tl2br w:val="nil"/>
                    <w:tr2bl w:val="nil"/>
                  </w:tcBorders>
                  <w:shd w:val="clear" w:color="auto" w:fill="auto"/>
                  <w:noWrap w:val="0"/>
                  <w:vAlign w:val="center"/>
                </w:tcPr>
                <w:p w14:paraId="41C71FDD">
                  <w:pPr>
                    <w:widowControl/>
                    <w:spacing w:line="0" w:lineRule="atLeast"/>
                    <w:jc w:val="center"/>
                    <w:rPr>
                      <w:rFonts w:hint="default" w:ascii="Times New Roman" w:hAnsi="Times New Roman" w:cs="Times New Roman"/>
                      <w:color w:val="auto"/>
                      <w:spacing w:val="-10"/>
                      <w:sz w:val="18"/>
                      <w:szCs w:val="18"/>
                      <w:highlight w:val="none"/>
                      <w:lang w:val="en-US" w:eastAsia="zh-CN"/>
                    </w:rPr>
                  </w:pPr>
                  <w:r>
                    <w:rPr>
                      <w:rFonts w:hint="default" w:ascii="Times New Roman" w:hAnsi="Times New Roman" w:cs="Times New Roman"/>
                      <w:color w:val="auto"/>
                      <w:spacing w:val="-10"/>
                      <w:sz w:val="18"/>
                      <w:szCs w:val="18"/>
                      <w:highlight w:val="none"/>
                      <w:lang w:val="en-US" w:eastAsia="zh-CN"/>
                    </w:rPr>
                    <w:t>47100</w:t>
                  </w:r>
                </w:p>
              </w:tc>
              <w:tc>
                <w:tcPr>
                  <w:tcW w:w="620" w:type="dxa"/>
                  <w:tcBorders>
                    <w:tl2br w:val="nil"/>
                    <w:tr2bl w:val="nil"/>
                  </w:tcBorders>
                  <w:noWrap w:val="0"/>
                  <w:vAlign w:val="center"/>
                </w:tcPr>
                <w:p w14:paraId="736BB4A9">
                  <w:pPr>
                    <w:widowControl/>
                    <w:spacing w:line="0" w:lineRule="atLeast"/>
                    <w:jc w:val="center"/>
                    <w:rPr>
                      <w:rFonts w:hint="default" w:ascii="Times New Roman" w:hAnsi="Times New Roman" w:cs="Times New Roman"/>
                      <w:color w:val="auto"/>
                      <w:spacing w:val="-10"/>
                      <w:sz w:val="18"/>
                      <w:szCs w:val="18"/>
                      <w:highlight w:val="none"/>
                      <w:lang w:val="en-US" w:eastAsia="zh-CN"/>
                    </w:rPr>
                  </w:pPr>
                  <w:r>
                    <w:rPr>
                      <w:rFonts w:hint="default" w:ascii="Times New Roman" w:hAnsi="Times New Roman" w:cs="Times New Roman"/>
                      <w:color w:val="auto"/>
                      <w:spacing w:val="-10"/>
                      <w:sz w:val="18"/>
                      <w:szCs w:val="18"/>
                      <w:highlight w:val="none"/>
                      <w:lang w:val="en-US" w:eastAsia="zh-CN"/>
                    </w:rPr>
                    <w:t>1</w:t>
                  </w:r>
                </w:p>
              </w:tc>
              <w:tc>
                <w:tcPr>
                  <w:tcW w:w="765" w:type="dxa"/>
                  <w:tcBorders>
                    <w:tl2br w:val="nil"/>
                    <w:tr2bl w:val="nil"/>
                  </w:tcBorders>
                  <w:noWrap w:val="0"/>
                  <w:vAlign w:val="center"/>
                </w:tcPr>
                <w:p w14:paraId="1725E435">
                  <w:pPr>
                    <w:widowControl/>
                    <w:spacing w:line="0" w:lineRule="atLeast"/>
                    <w:jc w:val="center"/>
                    <w:rPr>
                      <w:rFonts w:hint="default" w:ascii="Times New Roman" w:hAnsi="Times New Roman" w:eastAsia="宋体" w:cs="Times New Roman"/>
                      <w:color w:val="auto"/>
                      <w:spacing w:val="-10"/>
                      <w:sz w:val="18"/>
                      <w:szCs w:val="18"/>
                      <w:highlight w:val="none"/>
                      <w:lang w:val="en-US" w:eastAsia="zh-CN"/>
                    </w:rPr>
                  </w:pPr>
                  <w:r>
                    <w:rPr>
                      <w:rFonts w:hint="default" w:ascii="Times New Roman" w:hAnsi="Times New Roman" w:eastAsia="宋体" w:cs="Times New Roman"/>
                      <w:color w:val="auto"/>
                      <w:spacing w:val="-10"/>
                      <w:sz w:val="18"/>
                      <w:szCs w:val="18"/>
                      <w:highlight w:val="none"/>
                      <w:lang w:val="en-US" w:eastAsia="zh-CN"/>
                    </w:rPr>
                    <w:t>46629</w:t>
                  </w:r>
                </w:p>
              </w:tc>
            </w:tr>
            <w:tr w14:paraId="79A206D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52" w:type="dxa"/>
                  <w:vMerge w:val="continue"/>
                  <w:tcBorders>
                    <w:tl2br w:val="nil"/>
                    <w:tr2bl w:val="nil"/>
                  </w:tcBorders>
                  <w:noWrap w:val="0"/>
                  <w:vAlign w:val="center"/>
                </w:tcPr>
                <w:p w14:paraId="49B776D3">
                  <w:pPr>
                    <w:widowControl/>
                    <w:spacing w:line="0" w:lineRule="atLeast"/>
                    <w:jc w:val="center"/>
                    <w:rPr>
                      <w:rFonts w:hint="eastAsia" w:ascii="Times New Roman" w:hAnsi="Times New Roman" w:eastAsia="宋体" w:cs="Times New Roman"/>
                      <w:color w:val="auto"/>
                      <w:spacing w:val="-10"/>
                      <w:sz w:val="18"/>
                      <w:szCs w:val="18"/>
                      <w:highlight w:val="none"/>
                      <w:lang w:val="en-US" w:eastAsia="zh-CN"/>
                    </w:rPr>
                  </w:pPr>
                </w:p>
              </w:tc>
              <w:tc>
                <w:tcPr>
                  <w:tcW w:w="419" w:type="dxa"/>
                  <w:tcBorders>
                    <w:tl2br w:val="nil"/>
                    <w:tr2bl w:val="nil"/>
                  </w:tcBorders>
                  <w:shd w:val="clear" w:color="auto" w:fill="auto"/>
                  <w:noWrap w:val="0"/>
                  <w:vAlign w:val="center"/>
                </w:tcPr>
                <w:p w14:paraId="6437A1E9">
                  <w:pPr>
                    <w:widowControl/>
                    <w:spacing w:line="0" w:lineRule="atLeast"/>
                    <w:jc w:val="center"/>
                    <w:rPr>
                      <w:rFonts w:hint="eastAsia" w:ascii="Times New Roman" w:hAnsi="Times New Roman" w:eastAsia="宋体" w:cs="Times New Roman"/>
                      <w:color w:val="auto"/>
                      <w:spacing w:val="-10"/>
                      <w:kern w:val="2"/>
                      <w:sz w:val="18"/>
                      <w:szCs w:val="18"/>
                      <w:highlight w:val="none"/>
                      <w:lang w:val="en-US" w:eastAsia="zh-CN" w:bidi="ar-SA"/>
                    </w:rPr>
                  </w:pPr>
                  <w:r>
                    <w:rPr>
                      <w:rFonts w:hint="eastAsia" w:cs="Times New Roman"/>
                      <w:color w:val="auto"/>
                      <w:spacing w:val="-10"/>
                      <w:kern w:val="2"/>
                      <w:sz w:val="18"/>
                      <w:szCs w:val="18"/>
                      <w:highlight w:val="none"/>
                      <w:lang w:val="en-US" w:eastAsia="zh-CN" w:bidi="ar-SA"/>
                    </w:rPr>
                    <w:t>--</w:t>
                  </w:r>
                </w:p>
              </w:tc>
              <w:tc>
                <w:tcPr>
                  <w:tcW w:w="1082" w:type="dxa"/>
                  <w:tcBorders>
                    <w:tl2br w:val="nil"/>
                    <w:tr2bl w:val="nil"/>
                  </w:tcBorders>
                  <w:shd w:val="clear" w:color="auto" w:fill="auto"/>
                  <w:noWrap w:val="0"/>
                  <w:vAlign w:val="center"/>
                </w:tcPr>
                <w:p w14:paraId="08F2F9A7">
                  <w:pPr>
                    <w:widowControl/>
                    <w:spacing w:line="0" w:lineRule="atLeast"/>
                    <w:jc w:val="center"/>
                    <w:rPr>
                      <w:rFonts w:hint="eastAsia" w:ascii="Times New Roman" w:hAnsi="Times New Roman" w:eastAsia="宋体" w:cs="Times New Roman"/>
                      <w:color w:val="auto"/>
                      <w:spacing w:val="-10"/>
                      <w:kern w:val="2"/>
                      <w:sz w:val="18"/>
                      <w:szCs w:val="18"/>
                      <w:highlight w:val="none"/>
                      <w:lang w:val="en-US" w:eastAsia="zh-CN" w:bidi="ar-SA"/>
                    </w:rPr>
                  </w:pPr>
                  <w:r>
                    <w:rPr>
                      <w:rFonts w:hint="eastAsia" w:cs="Times New Roman"/>
                      <w:color w:val="auto"/>
                      <w:spacing w:val="-10"/>
                      <w:kern w:val="2"/>
                      <w:sz w:val="18"/>
                      <w:szCs w:val="18"/>
                      <w:highlight w:val="none"/>
                      <w:lang w:val="en-US" w:eastAsia="zh-CN" w:bidi="ar-SA"/>
                    </w:rPr>
                    <w:t>--</w:t>
                  </w:r>
                </w:p>
              </w:tc>
              <w:tc>
                <w:tcPr>
                  <w:tcW w:w="745" w:type="dxa"/>
                  <w:tcBorders>
                    <w:tl2br w:val="nil"/>
                    <w:tr2bl w:val="nil"/>
                  </w:tcBorders>
                  <w:shd w:val="clear" w:color="auto" w:fill="auto"/>
                  <w:noWrap w:val="0"/>
                  <w:vAlign w:val="center"/>
                </w:tcPr>
                <w:p w14:paraId="589B937D">
                  <w:pPr>
                    <w:widowControl/>
                    <w:spacing w:line="0" w:lineRule="atLeast"/>
                    <w:jc w:val="center"/>
                    <w:rPr>
                      <w:rFonts w:hint="eastAsia" w:ascii="Times New Roman" w:hAnsi="Times New Roman" w:eastAsia="宋体" w:cs="Times New Roman"/>
                      <w:color w:val="auto"/>
                      <w:spacing w:val="-10"/>
                      <w:kern w:val="2"/>
                      <w:sz w:val="18"/>
                      <w:szCs w:val="18"/>
                      <w:highlight w:val="none"/>
                      <w:lang w:val="en-US" w:eastAsia="zh-CN" w:bidi="ar-SA"/>
                    </w:rPr>
                  </w:pPr>
                  <w:r>
                    <w:rPr>
                      <w:rFonts w:hint="eastAsia" w:cs="Times New Roman"/>
                      <w:color w:val="auto"/>
                      <w:spacing w:val="-10"/>
                      <w:sz w:val="18"/>
                      <w:szCs w:val="18"/>
                      <w:highlight w:val="none"/>
                      <w:lang w:val="en-US" w:eastAsia="zh-CN"/>
                    </w:rPr>
                    <w:t>--</w:t>
                  </w:r>
                </w:p>
              </w:tc>
              <w:tc>
                <w:tcPr>
                  <w:tcW w:w="631" w:type="dxa"/>
                  <w:tcBorders>
                    <w:tl2br w:val="nil"/>
                    <w:tr2bl w:val="nil"/>
                  </w:tcBorders>
                  <w:shd w:val="clear" w:color="auto" w:fill="auto"/>
                  <w:noWrap w:val="0"/>
                  <w:vAlign w:val="center"/>
                </w:tcPr>
                <w:p w14:paraId="42B0D2C0">
                  <w:pPr>
                    <w:widowControl/>
                    <w:spacing w:line="0" w:lineRule="atLeast"/>
                    <w:jc w:val="center"/>
                    <w:rPr>
                      <w:rFonts w:hint="eastAsia" w:ascii="Times New Roman" w:hAnsi="Times New Roman" w:eastAsia="宋体" w:cs="Times New Roman"/>
                      <w:color w:val="auto"/>
                      <w:spacing w:val="-10"/>
                      <w:kern w:val="2"/>
                      <w:sz w:val="18"/>
                      <w:szCs w:val="18"/>
                      <w:highlight w:val="none"/>
                      <w:lang w:val="en-US" w:eastAsia="zh-CN" w:bidi="ar-SA"/>
                    </w:rPr>
                  </w:pPr>
                  <w:r>
                    <w:rPr>
                      <w:rFonts w:hint="eastAsia" w:cs="Times New Roman"/>
                      <w:color w:val="auto"/>
                      <w:spacing w:val="-10"/>
                      <w:sz w:val="18"/>
                      <w:szCs w:val="18"/>
                      <w:highlight w:val="none"/>
                      <w:lang w:val="en-US" w:eastAsia="zh-CN"/>
                    </w:rPr>
                    <w:t>--</w:t>
                  </w:r>
                </w:p>
              </w:tc>
              <w:tc>
                <w:tcPr>
                  <w:tcW w:w="767" w:type="dxa"/>
                  <w:tcBorders>
                    <w:tl2br w:val="nil"/>
                    <w:tr2bl w:val="nil"/>
                  </w:tcBorders>
                  <w:shd w:val="clear" w:color="auto" w:fill="auto"/>
                  <w:noWrap w:val="0"/>
                  <w:vAlign w:val="center"/>
                </w:tcPr>
                <w:p w14:paraId="5CFB26D9">
                  <w:pPr>
                    <w:widowControl/>
                    <w:spacing w:line="0" w:lineRule="atLeast"/>
                    <w:jc w:val="center"/>
                    <w:rPr>
                      <w:rFonts w:hint="eastAsia" w:ascii="Times New Roman" w:hAnsi="Times New Roman" w:eastAsia="宋体" w:cs="Times New Roman"/>
                      <w:color w:val="auto"/>
                      <w:spacing w:val="-10"/>
                      <w:kern w:val="2"/>
                      <w:sz w:val="18"/>
                      <w:szCs w:val="18"/>
                      <w:highlight w:val="none"/>
                      <w:lang w:val="en-US" w:eastAsia="zh-CN" w:bidi="ar-SA"/>
                    </w:rPr>
                  </w:pPr>
                  <w:r>
                    <w:rPr>
                      <w:rFonts w:hint="eastAsia" w:cs="Times New Roman"/>
                      <w:color w:val="auto"/>
                      <w:spacing w:val="-10"/>
                      <w:sz w:val="18"/>
                      <w:szCs w:val="18"/>
                      <w:highlight w:val="none"/>
                      <w:lang w:val="en-US" w:eastAsia="zh-CN"/>
                    </w:rPr>
                    <w:t>--</w:t>
                  </w:r>
                </w:p>
              </w:tc>
              <w:tc>
                <w:tcPr>
                  <w:tcW w:w="474" w:type="dxa"/>
                  <w:tcBorders>
                    <w:tl2br w:val="nil"/>
                    <w:tr2bl w:val="nil"/>
                  </w:tcBorders>
                  <w:noWrap w:val="0"/>
                  <w:vAlign w:val="center"/>
                </w:tcPr>
                <w:p w14:paraId="34E3A0CB">
                  <w:pPr>
                    <w:widowControl/>
                    <w:spacing w:line="0" w:lineRule="atLeast"/>
                    <w:jc w:val="center"/>
                    <w:rPr>
                      <w:rFonts w:hint="default" w:cs="Times New Roman"/>
                      <w:color w:val="auto"/>
                      <w:spacing w:val="-10"/>
                      <w:kern w:val="2"/>
                      <w:sz w:val="18"/>
                      <w:szCs w:val="18"/>
                      <w:highlight w:val="none"/>
                      <w:lang w:val="en-US" w:eastAsia="zh-CN" w:bidi="ar-SA"/>
                    </w:rPr>
                  </w:pPr>
                  <w:r>
                    <w:rPr>
                      <w:rFonts w:hint="eastAsia" w:cs="Times New Roman"/>
                      <w:color w:val="auto"/>
                      <w:spacing w:val="-10"/>
                      <w:kern w:val="2"/>
                      <w:sz w:val="18"/>
                      <w:szCs w:val="18"/>
                      <w:highlight w:val="none"/>
                      <w:lang w:val="en-US" w:eastAsia="zh-CN" w:bidi="ar-SA"/>
                    </w:rPr>
                    <w:t>7</w:t>
                  </w:r>
                </w:p>
              </w:tc>
              <w:tc>
                <w:tcPr>
                  <w:tcW w:w="1218" w:type="dxa"/>
                  <w:tcBorders>
                    <w:tl2br w:val="nil"/>
                    <w:tr2bl w:val="nil"/>
                  </w:tcBorders>
                  <w:shd w:val="clear" w:color="auto" w:fill="auto"/>
                  <w:noWrap w:val="0"/>
                  <w:vAlign w:val="center"/>
                </w:tcPr>
                <w:p w14:paraId="7EA3F301">
                  <w:pPr>
                    <w:widowControl/>
                    <w:jc w:val="center"/>
                    <w:rPr>
                      <w:rFonts w:hint="default" w:ascii="Times New Roman" w:hAnsi="Times New Roman" w:eastAsia="宋体" w:cs="Times New Roman"/>
                      <w:color w:val="auto"/>
                      <w:spacing w:val="-10"/>
                      <w:kern w:val="2"/>
                      <w:sz w:val="18"/>
                      <w:szCs w:val="18"/>
                      <w:highlight w:val="none"/>
                      <w:lang w:val="en-US" w:eastAsia="zh-CN" w:bidi="ar-SA"/>
                    </w:rPr>
                  </w:pPr>
                  <w:r>
                    <w:rPr>
                      <w:rFonts w:hint="eastAsia" w:ascii="Times New Roman" w:hAnsi="Times New Roman" w:eastAsia="宋体" w:cs="Times New Roman"/>
                      <w:color w:val="auto"/>
                      <w:spacing w:val="-10"/>
                      <w:sz w:val="18"/>
                      <w:szCs w:val="18"/>
                      <w:highlight w:val="none"/>
                      <w:lang w:val="en-US" w:eastAsia="zh-CN"/>
                    </w:rPr>
                    <w:t>沉水塑料</w:t>
                  </w:r>
                </w:p>
              </w:tc>
              <w:tc>
                <w:tcPr>
                  <w:tcW w:w="801" w:type="dxa"/>
                  <w:tcBorders>
                    <w:tl2br w:val="nil"/>
                    <w:tr2bl w:val="nil"/>
                  </w:tcBorders>
                  <w:shd w:val="clear" w:color="auto" w:fill="auto"/>
                  <w:noWrap w:val="0"/>
                  <w:vAlign w:val="center"/>
                </w:tcPr>
                <w:p w14:paraId="2EB0034C">
                  <w:pPr>
                    <w:widowControl/>
                    <w:spacing w:line="0" w:lineRule="atLeast"/>
                    <w:jc w:val="center"/>
                    <w:rPr>
                      <w:rFonts w:hint="default" w:ascii="Times New Roman" w:hAnsi="Times New Roman" w:cs="Times New Roman"/>
                      <w:color w:val="auto"/>
                      <w:spacing w:val="-10"/>
                      <w:sz w:val="18"/>
                      <w:szCs w:val="18"/>
                      <w:highlight w:val="none"/>
                      <w:lang w:val="en-US" w:eastAsia="zh-CN"/>
                    </w:rPr>
                  </w:pPr>
                  <w:r>
                    <w:rPr>
                      <w:rFonts w:hint="default" w:ascii="Times New Roman" w:hAnsi="Times New Roman" w:cs="Times New Roman"/>
                      <w:color w:val="auto"/>
                      <w:spacing w:val="-10"/>
                      <w:sz w:val="18"/>
                      <w:szCs w:val="18"/>
                      <w:highlight w:val="none"/>
                      <w:lang w:val="en-US" w:eastAsia="zh-CN"/>
                    </w:rPr>
                    <w:t>10000</w:t>
                  </w:r>
                </w:p>
              </w:tc>
              <w:tc>
                <w:tcPr>
                  <w:tcW w:w="620" w:type="dxa"/>
                  <w:tcBorders>
                    <w:tl2br w:val="nil"/>
                    <w:tr2bl w:val="nil"/>
                  </w:tcBorders>
                  <w:noWrap w:val="0"/>
                  <w:vAlign w:val="center"/>
                </w:tcPr>
                <w:p w14:paraId="4E9DA4E9">
                  <w:pPr>
                    <w:widowControl/>
                    <w:spacing w:line="0" w:lineRule="atLeast"/>
                    <w:jc w:val="center"/>
                    <w:rPr>
                      <w:rFonts w:hint="default" w:ascii="Times New Roman" w:hAnsi="Times New Roman" w:cs="Times New Roman"/>
                      <w:color w:val="auto"/>
                      <w:spacing w:val="-10"/>
                      <w:sz w:val="18"/>
                      <w:szCs w:val="18"/>
                      <w:highlight w:val="none"/>
                      <w:lang w:val="en-US" w:eastAsia="zh-CN"/>
                    </w:rPr>
                  </w:pPr>
                  <w:r>
                    <w:rPr>
                      <w:rFonts w:hint="default" w:ascii="Times New Roman" w:hAnsi="Times New Roman" w:cs="Times New Roman"/>
                      <w:color w:val="auto"/>
                      <w:spacing w:val="-10"/>
                      <w:sz w:val="18"/>
                      <w:szCs w:val="18"/>
                      <w:highlight w:val="none"/>
                      <w:lang w:val="en-US" w:eastAsia="zh-CN"/>
                    </w:rPr>
                    <w:t>1</w:t>
                  </w:r>
                </w:p>
              </w:tc>
              <w:tc>
                <w:tcPr>
                  <w:tcW w:w="765" w:type="dxa"/>
                  <w:tcBorders>
                    <w:tl2br w:val="nil"/>
                    <w:tr2bl w:val="nil"/>
                  </w:tcBorders>
                  <w:noWrap w:val="0"/>
                  <w:vAlign w:val="center"/>
                </w:tcPr>
                <w:p w14:paraId="09D4742B">
                  <w:pPr>
                    <w:widowControl/>
                    <w:spacing w:line="0" w:lineRule="atLeast"/>
                    <w:jc w:val="center"/>
                    <w:rPr>
                      <w:rFonts w:hint="default" w:ascii="Times New Roman" w:hAnsi="Times New Roman" w:eastAsia="宋体" w:cs="Times New Roman"/>
                      <w:color w:val="auto"/>
                      <w:spacing w:val="-10"/>
                      <w:sz w:val="18"/>
                      <w:szCs w:val="18"/>
                      <w:highlight w:val="none"/>
                      <w:lang w:val="en-US" w:eastAsia="zh-CN"/>
                    </w:rPr>
                  </w:pPr>
                  <w:r>
                    <w:rPr>
                      <w:rFonts w:hint="default" w:ascii="Times New Roman" w:hAnsi="Times New Roman" w:eastAsia="宋体" w:cs="Times New Roman"/>
                      <w:color w:val="auto"/>
                      <w:spacing w:val="-10"/>
                      <w:sz w:val="18"/>
                      <w:szCs w:val="18"/>
                      <w:highlight w:val="none"/>
                      <w:lang w:val="en-US" w:eastAsia="zh-CN"/>
                    </w:rPr>
                    <w:t>9900</w:t>
                  </w:r>
                </w:p>
              </w:tc>
            </w:tr>
            <w:tr w14:paraId="5658839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52" w:type="dxa"/>
                  <w:vMerge w:val="continue"/>
                  <w:tcBorders>
                    <w:tl2br w:val="nil"/>
                    <w:tr2bl w:val="nil"/>
                  </w:tcBorders>
                  <w:noWrap w:val="0"/>
                  <w:vAlign w:val="center"/>
                </w:tcPr>
                <w:p w14:paraId="4D3A402E">
                  <w:pPr>
                    <w:widowControl/>
                    <w:spacing w:line="0" w:lineRule="atLeast"/>
                    <w:jc w:val="center"/>
                    <w:rPr>
                      <w:rFonts w:hint="eastAsia" w:ascii="Times New Roman" w:hAnsi="Times New Roman" w:eastAsia="宋体" w:cs="Times New Roman"/>
                      <w:color w:val="auto"/>
                      <w:spacing w:val="-10"/>
                      <w:sz w:val="18"/>
                      <w:szCs w:val="18"/>
                      <w:highlight w:val="none"/>
                      <w:lang w:val="en-US" w:eastAsia="zh-CN"/>
                    </w:rPr>
                  </w:pPr>
                </w:p>
              </w:tc>
              <w:tc>
                <w:tcPr>
                  <w:tcW w:w="419" w:type="dxa"/>
                  <w:tcBorders>
                    <w:tl2br w:val="nil"/>
                    <w:tr2bl w:val="nil"/>
                  </w:tcBorders>
                  <w:shd w:val="clear" w:color="auto" w:fill="auto"/>
                  <w:noWrap w:val="0"/>
                  <w:vAlign w:val="center"/>
                </w:tcPr>
                <w:p w14:paraId="3443F16F">
                  <w:pPr>
                    <w:widowControl/>
                    <w:spacing w:line="0" w:lineRule="atLeast"/>
                    <w:jc w:val="center"/>
                    <w:rPr>
                      <w:rFonts w:hint="eastAsia" w:ascii="Times New Roman" w:hAnsi="Times New Roman" w:eastAsia="宋体" w:cs="Times New Roman"/>
                      <w:color w:val="auto"/>
                      <w:spacing w:val="-10"/>
                      <w:kern w:val="2"/>
                      <w:sz w:val="18"/>
                      <w:szCs w:val="18"/>
                      <w:highlight w:val="none"/>
                      <w:lang w:val="en-US" w:eastAsia="zh-CN" w:bidi="ar-SA"/>
                    </w:rPr>
                  </w:pPr>
                  <w:r>
                    <w:rPr>
                      <w:rFonts w:hint="eastAsia" w:cs="Times New Roman"/>
                      <w:color w:val="auto"/>
                      <w:spacing w:val="-10"/>
                      <w:kern w:val="2"/>
                      <w:sz w:val="18"/>
                      <w:szCs w:val="18"/>
                      <w:highlight w:val="none"/>
                      <w:lang w:val="en-US" w:eastAsia="zh-CN" w:bidi="ar-SA"/>
                    </w:rPr>
                    <w:t>--</w:t>
                  </w:r>
                </w:p>
              </w:tc>
              <w:tc>
                <w:tcPr>
                  <w:tcW w:w="1082" w:type="dxa"/>
                  <w:tcBorders>
                    <w:tl2br w:val="nil"/>
                    <w:tr2bl w:val="nil"/>
                  </w:tcBorders>
                  <w:shd w:val="clear" w:color="auto" w:fill="auto"/>
                  <w:noWrap w:val="0"/>
                  <w:vAlign w:val="center"/>
                </w:tcPr>
                <w:p w14:paraId="49D609C2">
                  <w:pPr>
                    <w:widowControl/>
                    <w:spacing w:line="0" w:lineRule="atLeast"/>
                    <w:jc w:val="center"/>
                    <w:rPr>
                      <w:rFonts w:hint="eastAsia" w:ascii="Times New Roman" w:hAnsi="Times New Roman" w:eastAsia="宋体" w:cs="Times New Roman"/>
                      <w:color w:val="auto"/>
                      <w:spacing w:val="-10"/>
                      <w:kern w:val="2"/>
                      <w:sz w:val="18"/>
                      <w:szCs w:val="18"/>
                      <w:highlight w:val="none"/>
                      <w:lang w:val="en-US" w:eastAsia="zh-CN" w:bidi="ar-SA"/>
                    </w:rPr>
                  </w:pPr>
                  <w:r>
                    <w:rPr>
                      <w:rFonts w:hint="eastAsia" w:cs="Times New Roman"/>
                      <w:color w:val="auto"/>
                      <w:spacing w:val="-10"/>
                      <w:kern w:val="2"/>
                      <w:sz w:val="18"/>
                      <w:szCs w:val="18"/>
                      <w:highlight w:val="none"/>
                      <w:lang w:val="en-US" w:eastAsia="zh-CN" w:bidi="ar-SA"/>
                    </w:rPr>
                    <w:t>--</w:t>
                  </w:r>
                </w:p>
              </w:tc>
              <w:tc>
                <w:tcPr>
                  <w:tcW w:w="745" w:type="dxa"/>
                  <w:tcBorders>
                    <w:tl2br w:val="nil"/>
                    <w:tr2bl w:val="nil"/>
                  </w:tcBorders>
                  <w:shd w:val="clear" w:color="auto" w:fill="auto"/>
                  <w:noWrap w:val="0"/>
                  <w:vAlign w:val="center"/>
                </w:tcPr>
                <w:p w14:paraId="2B9E4230">
                  <w:pPr>
                    <w:widowControl/>
                    <w:spacing w:line="0" w:lineRule="atLeast"/>
                    <w:jc w:val="center"/>
                    <w:rPr>
                      <w:rFonts w:hint="eastAsia" w:ascii="Times New Roman" w:hAnsi="Times New Roman" w:eastAsia="宋体" w:cs="Times New Roman"/>
                      <w:color w:val="auto"/>
                      <w:spacing w:val="-10"/>
                      <w:kern w:val="2"/>
                      <w:sz w:val="18"/>
                      <w:szCs w:val="18"/>
                      <w:highlight w:val="none"/>
                      <w:lang w:val="en-US" w:eastAsia="zh-CN" w:bidi="ar-SA"/>
                    </w:rPr>
                  </w:pPr>
                  <w:r>
                    <w:rPr>
                      <w:rFonts w:hint="eastAsia" w:cs="Times New Roman"/>
                      <w:color w:val="auto"/>
                      <w:spacing w:val="-10"/>
                      <w:sz w:val="18"/>
                      <w:szCs w:val="18"/>
                      <w:highlight w:val="none"/>
                      <w:lang w:val="en-US" w:eastAsia="zh-CN"/>
                    </w:rPr>
                    <w:t>--</w:t>
                  </w:r>
                </w:p>
              </w:tc>
              <w:tc>
                <w:tcPr>
                  <w:tcW w:w="631" w:type="dxa"/>
                  <w:tcBorders>
                    <w:tl2br w:val="nil"/>
                    <w:tr2bl w:val="nil"/>
                  </w:tcBorders>
                  <w:shd w:val="clear" w:color="auto" w:fill="auto"/>
                  <w:noWrap w:val="0"/>
                  <w:vAlign w:val="center"/>
                </w:tcPr>
                <w:p w14:paraId="6A1F5C93">
                  <w:pPr>
                    <w:widowControl/>
                    <w:spacing w:line="0" w:lineRule="atLeast"/>
                    <w:jc w:val="center"/>
                    <w:rPr>
                      <w:rFonts w:hint="eastAsia" w:ascii="Times New Roman" w:hAnsi="Times New Roman" w:eastAsia="宋体" w:cs="Times New Roman"/>
                      <w:color w:val="auto"/>
                      <w:spacing w:val="-10"/>
                      <w:kern w:val="2"/>
                      <w:sz w:val="18"/>
                      <w:szCs w:val="18"/>
                      <w:highlight w:val="none"/>
                      <w:lang w:val="en-US" w:eastAsia="zh-CN" w:bidi="ar-SA"/>
                    </w:rPr>
                  </w:pPr>
                  <w:r>
                    <w:rPr>
                      <w:rFonts w:hint="eastAsia" w:cs="Times New Roman"/>
                      <w:color w:val="auto"/>
                      <w:spacing w:val="-10"/>
                      <w:sz w:val="18"/>
                      <w:szCs w:val="18"/>
                      <w:highlight w:val="none"/>
                      <w:lang w:val="en-US" w:eastAsia="zh-CN"/>
                    </w:rPr>
                    <w:t>--</w:t>
                  </w:r>
                </w:p>
              </w:tc>
              <w:tc>
                <w:tcPr>
                  <w:tcW w:w="767" w:type="dxa"/>
                  <w:tcBorders>
                    <w:tl2br w:val="nil"/>
                    <w:tr2bl w:val="nil"/>
                  </w:tcBorders>
                  <w:shd w:val="clear" w:color="auto" w:fill="auto"/>
                  <w:noWrap w:val="0"/>
                  <w:vAlign w:val="center"/>
                </w:tcPr>
                <w:p w14:paraId="7BBAF0B7">
                  <w:pPr>
                    <w:widowControl/>
                    <w:spacing w:line="0" w:lineRule="atLeast"/>
                    <w:jc w:val="center"/>
                    <w:rPr>
                      <w:rFonts w:hint="eastAsia" w:ascii="Times New Roman" w:hAnsi="Times New Roman" w:eastAsia="宋体" w:cs="Times New Roman"/>
                      <w:color w:val="auto"/>
                      <w:spacing w:val="-10"/>
                      <w:kern w:val="2"/>
                      <w:sz w:val="18"/>
                      <w:szCs w:val="18"/>
                      <w:highlight w:val="none"/>
                      <w:lang w:val="en-US" w:eastAsia="zh-CN" w:bidi="ar-SA"/>
                    </w:rPr>
                  </w:pPr>
                  <w:r>
                    <w:rPr>
                      <w:rFonts w:hint="eastAsia" w:cs="Times New Roman"/>
                      <w:color w:val="auto"/>
                      <w:spacing w:val="-10"/>
                      <w:sz w:val="18"/>
                      <w:szCs w:val="18"/>
                      <w:highlight w:val="none"/>
                      <w:lang w:val="en-US" w:eastAsia="zh-CN"/>
                    </w:rPr>
                    <w:t>--</w:t>
                  </w:r>
                </w:p>
              </w:tc>
              <w:tc>
                <w:tcPr>
                  <w:tcW w:w="474" w:type="dxa"/>
                  <w:tcBorders>
                    <w:tl2br w:val="nil"/>
                    <w:tr2bl w:val="nil"/>
                  </w:tcBorders>
                  <w:noWrap w:val="0"/>
                  <w:vAlign w:val="center"/>
                </w:tcPr>
                <w:p w14:paraId="101E68F9">
                  <w:pPr>
                    <w:widowControl/>
                    <w:spacing w:line="0" w:lineRule="atLeast"/>
                    <w:jc w:val="center"/>
                    <w:rPr>
                      <w:rFonts w:hint="default" w:cs="Times New Roman"/>
                      <w:color w:val="auto"/>
                      <w:spacing w:val="-10"/>
                      <w:kern w:val="2"/>
                      <w:sz w:val="18"/>
                      <w:szCs w:val="18"/>
                      <w:highlight w:val="none"/>
                      <w:lang w:val="en-US" w:eastAsia="zh-CN" w:bidi="ar-SA"/>
                    </w:rPr>
                  </w:pPr>
                  <w:r>
                    <w:rPr>
                      <w:rFonts w:hint="eastAsia" w:cs="Times New Roman"/>
                      <w:color w:val="auto"/>
                      <w:spacing w:val="-10"/>
                      <w:kern w:val="2"/>
                      <w:sz w:val="18"/>
                      <w:szCs w:val="18"/>
                      <w:highlight w:val="none"/>
                      <w:lang w:val="en-US" w:eastAsia="zh-CN" w:bidi="ar-SA"/>
                    </w:rPr>
                    <w:t>8</w:t>
                  </w:r>
                </w:p>
              </w:tc>
              <w:tc>
                <w:tcPr>
                  <w:tcW w:w="1218" w:type="dxa"/>
                  <w:tcBorders>
                    <w:tl2br w:val="nil"/>
                    <w:tr2bl w:val="nil"/>
                  </w:tcBorders>
                  <w:shd w:val="clear" w:color="auto" w:fill="auto"/>
                  <w:noWrap w:val="0"/>
                  <w:vAlign w:val="center"/>
                </w:tcPr>
                <w:p w14:paraId="1969CFEA">
                  <w:pPr>
                    <w:widowControl/>
                    <w:jc w:val="center"/>
                    <w:rPr>
                      <w:rFonts w:hint="default" w:ascii="Times New Roman" w:hAnsi="Times New Roman" w:eastAsia="宋体" w:cs="Times New Roman"/>
                      <w:color w:val="auto"/>
                      <w:spacing w:val="-10"/>
                      <w:kern w:val="2"/>
                      <w:sz w:val="18"/>
                      <w:szCs w:val="18"/>
                      <w:highlight w:val="none"/>
                      <w:lang w:val="en-US" w:eastAsia="zh-CN" w:bidi="ar-SA"/>
                    </w:rPr>
                  </w:pPr>
                  <w:r>
                    <w:rPr>
                      <w:rFonts w:hint="eastAsia" w:ascii="Times New Roman" w:hAnsi="Times New Roman" w:eastAsia="宋体" w:cs="Times New Roman"/>
                      <w:color w:val="auto"/>
                      <w:spacing w:val="-10"/>
                      <w:sz w:val="18"/>
                      <w:szCs w:val="18"/>
                      <w:highlight w:val="none"/>
                      <w:lang w:val="en-US" w:eastAsia="zh-CN"/>
                    </w:rPr>
                    <w:t>金属混合物料</w:t>
                  </w:r>
                </w:p>
              </w:tc>
              <w:tc>
                <w:tcPr>
                  <w:tcW w:w="801" w:type="dxa"/>
                  <w:tcBorders>
                    <w:tl2br w:val="nil"/>
                    <w:tr2bl w:val="nil"/>
                  </w:tcBorders>
                  <w:shd w:val="clear" w:color="auto" w:fill="auto"/>
                  <w:noWrap w:val="0"/>
                  <w:vAlign w:val="center"/>
                </w:tcPr>
                <w:p w14:paraId="421C0684">
                  <w:pPr>
                    <w:widowControl/>
                    <w:spacing w:line="0" w:lineRule="atLeast"/>
                    <w:jc w:val="center"/>
                    <w:rPr>
                      <w:rFonts w:hint="default" w:ascii="Times New Roman" w:hAnsi="Times New Roman" w:cs="Times New Roman"/>
                      <w:color w:val="auto"/>
                      <w:spacing w:val="-10"/>
                      <w:sz w:val="18"/>
                      <w:szCs w:val="18"/>
                      <w:highlight w:val="none"/>
                      <w:lang w:val="en-US" w:eastAsia="zh-CN"/>
                    </w:rPr>
                  </w:pPr>
                  <w:r>
                    <w:rPr>
                      <w:rFonts w:hint="default" w:ascii="Times New Roman" w:hAnsi="Times New Roman" w:cs="Times New Roman"/>
                      <w:color w:val="auto"/>
                      <w:spacing w:val="-10"/>
                      <w:sz w:val="18"/>
                      <w:szCs w:val="18"/>
                      <w:highlight w:val="none"/>
                      <w:lang w:val="en-US" w:eastAsia="zh-CN"/>
                    </w:rPr>
                    <w:t>7700</w:t>
                  </w:r>
                </w:p>
              </w:tc>
              <w:tc>
                <w:tcPr>
                  <w:tcW w:w="620" w:type="dxa"/>
                  <w:tcBorders>
                    <w:tl2br w:val="nil"/>
                    <w:tr2bl w:val="nil"/>
                  </w:tcBorders>
                  <w:noWrap w:val="0"/>
                  <w:vAlign w:val="center"/>
                </w:tcPr>
                <w:p w14:paraId="7F6D5710">
                  <w:pPr>
                    <w:widowControl/>
                    <w:spacing w:line="0" w:lineRule="atLeast"/>
                    <w:jc w:val="center"/>
                    <w:rPr>
                      <w:rFonts w:hint="default" w:ascii="Times New Roman" w:hAnsi="Times New Roman" w:cs="Times New Roman"/>
                      <w:color w:val="auto"/>
                      <w:spacing w:val="-10"/>
                      <w:sz w:val="18"/>
                      <w:szCs w:val="18"/>
                      <w:highlight w:val="none"/>
                      <w:lang w:val="en-US" w:eastAsia="zh-CN"/>
                    </w:rPr>
                  </w:pPr>
                  <w:r>
                    <w:rPr>
                      <w:rFonts w:hint="default" w:ascii="Times New Roman" w:hAnsi="Times New Roman" w:cs="Times New Roman"/>
                      <w:color w:val="auto"/>
                      <w:spacing w:val="-10"/>
                      <w:sz w:val="18"/>
                      <w:szCs w:val="18"/>
                      <w:highlight w:val="none"/>
                      <w:lang w:val="en-US" w:eastAsia="zh-CN"/>
                    </w:rPr>
                    <w:t>15</w:t>
                  </w:r>
                </w:p>
              </w:tc>
              <w:tc>
                <w:tcPr>
                  <w:tcW w:w="765" w:type="dxa"/>
                  <w:tcBorders>
                    <w:tl2br w:val="nil"/>
                    <w:tr2bl w:val="nil"/>
                  </w:tcBorders>
                  <w:noWrap w:val="0"/>
                  <w:vAlign w:val="center"/>
                </w:tcPr>
                <w:p w14:paraId="4639482B">
                  <w:pPr>
                    <w:widowControl/>
                    <w:spacing w:line="0" w:lineRule="atLeast"/>
                    <w:jc w:val="center"/>
                    <w:rPr>
                      <w:rFonts w:hint="default" w:ascii="Times New Roman" w:hAnsi="Times New Roman" w:eastAsia="宋体" w:cs="Times New Roman"/>
                      <w:color w:val="auto"/>
                      <w:spacing w:val="-10"/>
                      <w:sz w:val="18"/>
                      <w:szCs w:val="18"/>
                      <w:highlight w:val="none"/>
                      <w:lang w:val="en-US" w:eastAsia="zh-CN"/>
                    </w:rPr>
                  </w:pPr>
                  <w:r>
                    <w:rPr>
                      <w:rFonts w:hint="default" w:ascii="Times New Roman" w:hAnsi="Times New Roman" w:eastAsia="宋体" w:cs="Times New Roman"/>
                      <w:color w:val="auto"/>
                      <w:spacing w:val="-10"/>
                      <w:sz w:val="18"/>
                      <w:szCs w:val="18"/>
                      <w:highlight w:val="none"/>
                      <w:lang w:val="en-US" w:eastAsia="zh-CN"/>
                    </w:rPr>
                    <w:t>6545</w:t>
                  </w:r>
                </w:p>
              </w:tc>
            </w:tr>
            <w:tr w14:paraId="213AD88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52" w:type="dxa"/>
                  <w:vMerge w:val="continue"/>
                  <w:tcBorders>
                    <w:tl2br w:val="nil"/>
                    <w:tr2bl w:val="nil"/>
                  </w:tcBorders>
                  <w:noWrap w:val="0"/>
                  <w:vAlign w:val="center"/>
                </w:tcPr>
                <w:p w14:paraId="047A5CAB">
                  <w:pPr>
                    <w:widowControl/>
                    <w:spacing w:line="0" w:lineRule="atLeast"/>
                    <w:jc w:val="center"/>
                    <w:rPr>
                      <w:rFonts w:hint="eastAsia" w:ascii="Times New Roman" w:hAnsi="Times New Roman" w:eastAsia="宋体" w:cs="Times New Roman"/>
                      <w:color w:val="auto"/>
                      <w:spacing w:val="-10"/>
                      <w:sz w:val="18"/>
                      <w:szCs w:val="18"/>
                      <w:highlight w:val="none"/>
                      <w:lang w:val="en-US" w:eastAsia="zh-CN"/>
                    </w:rPr>
                  </w:pPr>
                </w:p>
              </w:tc>
              <w:tc>
                <w:tcPr>
                  <w:tcW w:w="419" w:type="dxa"/>
                  <w:tcBorders>
                    <w:tl2br w:val="nil"/>
                    <w:tr2bl w:val="nil"/>
                  </w:tcBorders>
                  <w:noWrap w:val="0"/>
                  <w:vAlign w:val="center"/>
                </w:tcPr>
                <w:p w14:paraId="5E2ED865">
                  <w:pPr>
                    <w:widowControl/>
                    <w:spacing w:line="0" w:lineRule="atLeast"/>
                    <w:jc w:val="center"/>
                    <w:rPr>
                      <w:rFonts w:hint="eastAsia" w:ascii="Times New Roman" w:hAnsi="Times New Roman" w:eastAsia="宋体" w:cs="Times New Roman"/>
                      <w:color w:val="auto"/>
                      <w:spacing w:val="-10"/>
                      <w:kern w:val="2"/>
                      <w:sz w:val="18"/>
                      <w:szCs w:val="18"/>
                      <w:highlight w:val="none"/>
                      <w:lang w:val="en-US" w:eastAsia="zh-CN" w:bidi="ar-SA"/>
                    </w:rPr>
                  </w:pPr>
                  <w:r>
                    <w:rPr>
                      <w:rFonts w:hint="eastAsia" w:cs="Times New Roman"/>
                      <w:color w:val="auto"/>
                      <w:spacing w:val="-10"/>
                      <w:kern w:val="2"/>
                      <w:sz w:val="18"/>
                      <w:szCs w:val="18"/>
                      <w:highlight w:val="none"/>
                      <w:lang w:val="en-US" w:eastAsia="zh-CN" w:bidi="ar-SA"/>
                    </w:rPr>
                    <w:t>--</w:t>
                  </w:r>
                </w:p>
              </w:tc>
              <w:tc>
                <w:tcPr>
                  <w:tcW w:w="1082" w:type="dxa"/>
                  <w:tcBorders>
                    <w:tl2br w:val="nil"/>
                    <w:tr2bl w:val="nil"/>
                  </w:tcBorders>
                  <w:noWrap w:val="0"/>
                  <w:vAlign w:val="center"/>
                </w:tcPr>
                <w:p w14:paraId="16E8FD6B">
                  <w:pPr>
                    <w:widowControl/>
                    <w:spacing w:line="0" w:lineRule="atLeast"/>
                    <w:jc w:val="center"/>
                    <w:rPr>
                      <w:rFonts w:hint="eastAsia" w:ascii="Times New Roman" w:hAnsi="Times New Roman" w:eastAsia="宋体" w:cs="Times New Roman"/>
                      <w:color w:val="auto"/>
                      <w:spacing w:val="-10"/>
                      <w:kern w:val="2"/>
                      <w:sz w:val="18"/>
                      <w:szCs w:val="18"/>
                      <w:highlight w:val="none"/>
                      <w:lang w:val="en-US" w:eastAsia="zh-CN" w:bidi="ar-SA"/>
                    </w:rPr>
                  </w:pPr>
                  <w:r>
                    <w:rPr>
                      <w:rFonts w:hint="eastAsia" w:cs="Times New Roman"/>
                      <w:color w:val="auto"/>
                      <w:spacing w:val="-10"/>
                      <w:kern w:val="2"/>
                      <w:sz w:val="18"/>
                      <w:szCs w:val="18"/>
                      <w:highlight w:val="none"/>
                      <w:lang w:val="en-US" w:eastAsia="zh-CN" w:bidi="ar-SA"/>
                    </w:rPr>
                    <w:t>--</w:t>
                  </w:r>
                </w:p>
              </w:tc>
              <w:tc>
                <w:tcPr>
                  <w:tcW w:w="745" w:type="dxa"/>
                  <w:tcBorders>
                    <w:tl2br w:val="nil"/>
                    <w:tr2bl w:val="nil"/>
                  </w:tcBorders>
                  <w:noWrap w:val="0"/>
                  <w:vAlign w:val="center"/>
                </w:tcPr>
                <w:p w14:paraId="20730701">
                  <w:pPr>
                    <w:widowControl/>
                    <w:spacing w:line="0" w:lineRule="atLeast"/>
                    <w:jc w:val="center"/>
                    <w:rPr>
                      <w:rFonts w:hint="eastAsia" w:ascii="Times New Roman" w:hAnsi="Times New Roman" w:eastAsia="宋体" w:cs="Times New Roman"/>
                      <w:color w:val="auto"/>
                      <w:spacing w:val="-10"/>
                      <w:kern w:val="2"/>
                      <w:sz w:val="18"/>
                      <w:szCs w:val="18"/>
                      <w:highlight w:val="none"/>
                      <w:lang w:val="en-US" w:eastAsia="zh-CN" w:bidi="ar-SA"/>
                    </w:rPr>
                  </w:pPr>
                  <w:r>
                    <w:rPr>
                      <w:rFonts w:hint="eastAsia" w:cs="Times New Roman"/>
                      <w:color w:val="auto"/>
                      <w:spacing w:val="-10"/>
                      <w:sz w:val="18"/>
                      <w:szCs w:val="18"/>
                      <w:highlight w:val="none"/>
                      <w:lang w:val="en-US" w:eastAsia="zh-CN"/>
                    </w:rPr>
                    <w:t>--</w:t>
                  </w:r>
                </w:p>
              </w:tc>
              <w:tc>
                <w:tcPr>
                  <w:tcW w:w="631" w:type="dxa"/>
                  <w:tcBorders>
                    <w:tl2br w:val="nil"/>
                    <w:tr2bl w:val="nil"/>
                  </w:tcBorders>
                  <w:noWrap w:val="0"/>
                  <w:vAlign w:val="center"/>
                </w:tcPr>
                <w:p w14:paraId="5F28B714">
                  <w:pPr>
                    <w:widowControl/>
                    <w:spacing w:line="0" w:lineRule="atLeast"/>
                    <w:jc w:val="center"/>
                    <w:rPr>
                      <w:rFonts w:hint="eastAsia" w:ascii="Times New Roman" w:hAnsi="Times New Roman" w:eastAsia="宋体" w:cs="Times New Roman"/>
                      <w:color w:val="auto"/>
                      <w:spacing w:val="-10"/>
                      <w:kern w:val="2"/>
                      <w:sz w:val="18"/>
                      <w:szCs w:val="18"/>
                      <w:highlight w:val="none"/>
                      <w:lang w:val="en-US" w:eastAsia="zh-CN" w:bidi="ar-SA"/>
                    </w:rPr>
                  </w:pPr>
                  <w:r>
                    <w:rPr>
                      <w:rFonts w:hint="eastAsia" w:cs="Times New Roman"/>
                      <w:color w:val="auto"/>
                      <w:spacing w:val="-10"/>
                      <w:sz w:val="18"/>
                      <w:szCs w:val="18"/>
                      <w:highlight w:val="none"/>
                      <w:lang w:val="en-US" w:eastAsia="zh-CN"/>
                    </w:rPr>
                    <w:t>--</w:t>
                  </w:r>
                </w:p>
              </w:tc>
              <w:tc>
                <w:tcPr>
                  <w:tcW w:w="767" w:type="dxa"/>
                  <w:tcBorders>
                    <w:tl2br w:val="nil"/>
                    <w:tr2bl w:val="nil"/>
                  </w:tcBorders>
                  <w:noWrap w:val="0"/>
                  <w:vAlign w:val="center"/>
                </w:tcPr>
                <w:p w14:paraId="02CD53C3">
                  <w:pPr>
                    <w:widowControl/>
                    <w:spacing w:line="0" w:lineRule="atLeast"/>
                    <w:jc w:val="center"/>
                    <w:rPr>
                      <w:rFonts w:hint="eastAsia" w:ascii="Times New Roman" w:hAnsi="Times New Roman" w:eastAsia="宋体" w:cs="Times New Roman"/>
                      <w:color w:val="auto"/>
                      <w:spacing w:val="-10"/>
                      <w:kern w:val="2"/>
                      <w:sz w:val="18"/>
                      <w:szCs w:val="18"/>
                      <w:highlight w:val="none"/>
                      <w:lang w:val="en-US" w:eastAsia="zh-CN" w:bidi="ar-SA"/>
                    </w:rPr>
                  </w:pPr>
                  <w:r>
                    <w:rPr>
                      <w:rFonts w:hint="eastAsia" w:cs="Times New Roman"/>
                      <w:color w:val="auto"/>
                      <w:spacing w:val="-10"/>
                      <w:sz w:val="18"/>
                      <w:szCs w:val="18"/>
                      <w:highlight w:val="none"/>
                      <w:lang w:val="en-US" w:eastAsia="zh-CN"/>
                    </w:rPr>
                    <w:t>--</w:t>
                  </w:r>
                </w:p>
              </w:tc>
              <w:tc>
                <w:tcPr>
                  <w:tcW w:w="474" w:type="dxa"/>
                  <w:tcBorders>
                    <w:tl2br w:val="nil"/>
                    <w:tr2bl w:val="nil"/>
                  </w:tcBorders>
                  <w:noWrap w:val="0"/>
                  <w:vAlign w:val="center"/>
                </w:tcPr>
                <w:p w14:paraId="198DC759">
                  <w:pPr>
                    <w:widowControl/>
                    <w:spacing w:line="0" w:lineRule="atLeast"/>
                    <w:jc w:val="center"/>
                    <w:rPr>
                      <w:rFonts w:hint="default" w:cs="Times New Roman"/>
                      <w:color w:val="auto"/>
                      <w:spacing w:val="-10"/>
                      <w:kern w:val="2"/>
                      <w:sz w:val="18"/>
                      <w:szCs w:val="18"/>
                      <w:highlight w:val="none"/>
                      <w:lang w:val="en-US" w:eastAsia="zh-CN" w:bidi="ar-SA"/>
                    </w:rPr>
                  </w:pPr>
                  <w:r>
                    <w:rPr>
                      <w:rFonts w:hint="eastAsia" w:cs="Times New Roman"/>
                      <w:color w:val="auto"/>
                      <w:spacing w:val="-10"/>
                      <w:kern w:val="2"/>
                      <w:sz w:val="18"/>
                      <w:szCs w:val="18"/>
                      <w:highlight w:val="none"/>
                      <w:lang w:val="en-US" w:eastAsia="zh-CN" w:bidi="ar-SA"/>
                    </w:rPr>
                    <w:t>9</w:t>
                  </w:r>
                </w:p>
              </w:tc>
              <w:tc>
                <w:tcPr>
                  <w:tcW w:w="1218" w:type="dxa"/>
                  <w:tcBorders>
                    <w:tl2br w:val="nil"/>
                    <w:tr2bl w:val="nil"/>
                  </w:tcBorders>
                  <w:noWrap w:val="0"/>
                  <w:vAlign w:val="center"/>
                </w:tcPr>
                <w:p w14:paraId="483442BF">
                  <w:pPr>
                    <w:widowControl/>
                    <w:spacing w:line="0" w:lineRule="atLeast"/>
                    <w:jc w:val="center"/>
                    <w:rPr>
                      <w:rFonts w:hint="default" w:ascii="Times New Roman" w:hAnsi="Times New Roman" w:eastAsia="宋体" w:cs="Times New Roman"/>
                      <w:color w:val="auto"/>
                      <w:spacing w:val="-10"/>
                      <w:kern w:val="2"/>
                      <w:sz w:val="18"/>
                      <w:szCs w:val="18"/>
                      <w:highlight w:val="none"/>
                      <w:lang w:val="en-US" w:eastAsia="zh-CN" w:bidi="ar-SA"/>
                    </w:rPr>
                  </w:pPr>
                  <w:r>
                    <w:rPr>
                      <w:rFonts w:hint="eastAsia" w:cs="Times New Roman"/>
                      <w:color w:val="auto"/>
                      <w:spacing w:val="-10"/>
                      <w:kern w:val="2"/>
                      <w:sz w:val="18"/>
                      <w:szCs w:val="18"/>
                      <w:highlight w:val="none"/>
                      <w:lang w:val="en-US" w:eastAsia="zh-CN" w:bidi="ar-SA"/>
                    </w:rPr>
                    <w:t>废钢球</w:t>
                  </w:r>
                </w:p>
              </w:tc>
              <w:tc>
                <w:tcPr>
                  <w:tcW w:w="801" w:type="dxa"/>
                  <w:tcBorders>
                    <w:tl2br w:val="nil"/>
                    <w:tr2bl w:val="nil"/>
                  </w:tcBorders>
                  <w:noWrap w:val="0"/>
                  <w:vAlign w:val="center"/>
                </w:tcPr>
                <w:p w14:paraId="7AA73F85">
                  <w:pPr>
                    <w:widowControl/>
                    <w:spacing w:line="0" w:lineRule="atLeast"/>
                    <w:jc w:val="center"/>
                    <w:rPr>
                      <w:rFonts w:hint="default" w:ascii="Times New Roman" w:hAnsi="Times New Roman" w:cs="Times New Roman"/>
                      <w:color w:val="auto"/>
                      <w:spacing w:val="-10"/>
                      <w:sz w:val="18"/>
                      <w:szCs w:val="18"/>
                      <w:highlight w:val="none"/>
                      <w:lang w:val="en-US" w:eastAsia="zh-CN"/>
                    </w:rPr>
                  </w:pPr>
                  <w:r>
                    <w:rPr>
                      <w:rFonts w:hint="default" w:ascii="Times New Roman" w:hAnsi="Times New Roman" w:cs="Times New Roman"/>
                      <w:color w:val="auto"/>
                      <w:spacing w:val="-10"/>
                      <w:sz w:val="18"/>
                      <w:szCs w:val="18"/>
                      <w:highlight w:val="none"/>
                      <w:lang w:val="en-US" w:eastAsia="zh-CN"/>
                    </w:rPr>
                    <w:t>1</w:t>
                  </w:r>
                </w:p>
              </w:tc>
              <w:tc>
                <w:tcPr>
                  <w:tcW w:w="620" w:type="dxa"/>
                  <w:tcBorders>
                    <w:tl2br w:val="nil"/>
                    <w:tr2bl w:val="nil"/>
                  </w:tcBorders>
                  <w:noWrap w:val="0"/>
                  <w:vAlign w:val="center"/>
                </w:tcPr>
                <w:p w14:paraId="41F89B7B">
                  <w:pPr>
                    <w:widowControl/>
                    <w:spacing w:line="0" w:lineRule="atLeast"/>
                    <w:jc w:val="center"/>
                    <w:rPr>
                      <w:rFonts w:hint="eastAsia" w:ascii="Times New Roman" w:hAnsi="Times New Roman" w:cs="Times New Roman"/>
                      <w:color w:val="auto"/>
                      <w:spacing w:val="-10"/>
                      <w:sz w:val="18"/>
                      <w:szCs w:val="18"/>
                      <w:highlight w:val="none"/>
                      <w:lang w:val="en-US" w:eastAsia="zh-CN"/>
                    </w:rPr>
                  </w:pPr>
                  <w:r>
                    <w:rPr>
                      <w:rFonts w:hint="default" w:ascii="Times New Roman" w:hAnsi="Times New Roman" w:cs="Times New Roman"/>
                      <w:color w:val="auto"/>
                      <w:spacing w:val="-10"/>
                      <w:sz w:val="18"/>
                      <w:szCs w:val="18"/>
                      <w:highlight w:val="none"/>
                      <w:lang w:val="en-US" w:eastAsia="zh-CN"/>
                    </w:rPr>
                    <w:t>0</w:t>
                  </w:r>
                </w:p>
              </w:tc>
              <w:tc>
                <w:tcPr>
                  <w:tcW w:w="765" w:type="dxa"/>
                  <w:tcBorders>
                    <w:tl2br w:val="nil"/>
                    <w:tr2bl w:val="nil"/>
                  </w:tcBorders>
                  <w:noWrap w:val="0"/>
                  <w:vAlign w:val="center"/>
                </w:tcPr>
                <w:p w14:paraId="2ED63E93">
                  <w:pPr>
                    <w:widowControl/>
                    <w:spacing w:line="0" w:lineRule="atLeast"/>
                    <w:jc w:val="center"/>
                    <w:rPr>
                      <w:rFonts w:hint="default" w:ascii="Times New Roman" w:hAnsi="Times New Roman" w:eastAsia="宋体" w:cs="Times New Roman"/>
                      <w:color w:val="auto"/>
                      <w:spacing w:val="-10"/>
                      <w:sz w:val="18"/>
                      <w:szCs w:val="18"/>
                      <w:highlight w:val="none"/>
                      <w:lang w:val="en-US" w:eastAsia="zh-CN"/>
                    </w:rPr>
                  </w:pPr>
                  <w:r>
                    <w:rPr>
                      <w:rFonts w:hint="default" w:ascii="Times New Roman" w:hAnsi="Times New Roman" w:eastAsia="宋体" w:cs="Times New Roman"/>
                      <w:color w:val="auto"/>
                      <w:spacing w:val="-10"/>
                      <w:sz w:val="18"/>
                      <w:szCs w:val="18"/>
                      <w:highlight w:val="none"/>
                      <w:lang w:val="en-US" w:eastAsia="zh-CN"/>
                    </w:rPr>
                    <w:t>1</w:t>
                  </w:r>
                </w:p>
              </w:tc>
            </w:tr>
            <w:tr w14:paraId="4C94F3E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552" w:type="dxa"/>
                  <w:vMerge w:val="continue"/>
                  <w:tcBorders>
                    <w:tl2br w:val="nil"/>
                    <w:tr2bl w:val="nil"/>
                  </w:tcBorders>
                  <w:noWrap w:val="0"/>
                  <w:vAlign w:val="center"/>
                </w:tcPr>
                <w:p w14:paraId="5574861E">
                  <w:pPr>
                    <w:widowControl/>
                    <w:spacing w:line="0" w:lineRule="atLeast"/>
                    <w:jc w:val="center"/>
                    <w:rPr>
                      <w:rFonts w:hint="eastAsia" w:ascii="Times New Roman" w:hAnsi="Times New Roman" w:eastAsia="宋体" w:cs="Times New Roman"/>
                      <w:color w:val="auto"/>
                      <w:spacing w:val="-10"/>
                      <w:sz w:val="18"/>
                      <w:szCs w:val="18"/>
                      <w:highlight w:val="none"/>
                      <w:lang w:val="en-US" w:eastAsia="zh-CN"/>
                    </w:rPr>
                  </w:pPr>
                </w:p>
              </w:tc>
              <w:tc>
                <w:tcPr>
                  <w:tcW w:w="419" w:type="dxa"/>
                  <w:tcBorders>
                    <w:tl2br w:val="nil"/>
                    <w:tr2bl w:val="nil"/>
                  </w:tcBorders>
                  <w:shd w:val="clear" w:color="auto" w:fill="auto"/>
                  <w:noWrap w:val="0"/>
                  <w:vAlign w:val="center"/>
                </w:tcPr>
                <w:p w14:paraId="0C39D752">
                  <w:pPr>
                    <w:widowControl/>
                    <w:spacing w:line="0" w:lineRule="atLeast"/>
                    <w:jc w:val="center"/>
                    <w:rPr>
                      <w:rFonts w:hint="eastAsia" w:ascii="Times New Roman" w:hAnsi="Times New Roman" w:eastAsia="宋体" w:cs="Times New Roman"/>
                      <w:color w:val="auto"/>
                      <w:spacing w:val="-10"/>
                      <w:kern w:val="2"/>
                      <w:sz w:val="18"/>
                      <w:szCs w:val="18"/>
                      <w:highlight w:val="none"/>
                      <w:lang w:val="en-US" w:eastAsia="zh-CN" w:bidi="ar-SA"/>
                    </w:rPr>
                  </w:pPr>
                  <w:r>
                    <w:rPr>
                      <w:rFonts w:hint="eastAsia" w:cs="Times New Roman"/>
                      <w:color w:val="auto"/>
                      <w:spacing w:val="-10"/>
                      <w:kern w:val="2"/>
                      <w:sz w:val="18"/>
                      <w:szCs w:val="18"/>
                      <w:highlight w:val="none"/>
                      <w:lang w:val="en-US" w:eastAsia="zh-CN" w:bidi="ar-SA"/>
                    </w:rPr>
                    <w:t>--</w:t>
                  </w:r>
                </w:p>
              </w:tc>
              <w:tc>
                <w:tcPr>
                  <w:tcW w:w="1082" w:type="dxa"/>
                  <w:tcBorders>
                    <w:tl2br w:val="nil"/>
                    <w:tr2bl w:val="nil"/>
                  </w:tcBorders>
                  <w:shd w:val="clear" w:color="auto" w:fill="auto"/>
                  <w:noWrap w:val="0"/>
                  <w:vAlign w:val="center"/>
                </w:tcPr>
                <w:p w14:paraId="44167F21">
                  <w:pPr>
                    <w:widowControl/>
                    <w:spacing w:line="0" w:lineRule="atLeast"/>
                    <w:jc w:val="center"/>
                    <w:rPr>
                      <w:rFonts w:hint="eastAsia" w:ascii="Times New Roman" w:hAnsi="Times New Roman" w:eastAsia="宋体" w:cs="Times New Roman"/>
                      <w:color w:val="auto"/>
                      <w:spacing w:val="-10"/>
                      <w:kern w:val="2"/>
                      <w:sz w:val="18"/>
                      <w:szCs w:val="18"/>
                      <w:highlight w:val="none"/>
                      <w:lang w:val="en-US" w:eastAsia="zh-CN" w:bidi="ar-SA"/>
                    </w:rPr>
                  </w:pPr>
                  <w:r>
                    <w:rPr>
                      <w:rFonts w:hint="eastAsia" w:cs="Times New Roman"/>
                      <w:color w:val="auto"/>
                      <w:spacing w:val="-10"/>
                      <w:kern w:val="2"/>
                      <w:sz w:val="18"/>
                      <w:szCs w:val="18"/>
                      <w:highlight w:val="none"/>
                      <w:lang w:val="en-US" w:eastAsia="zh-CN" w:bidi="ar-SA"/>
                    </w:rPr>
                    <w:t>--</w:t>
                  </w:r>
                </w:p>
              </w:tc>
              <w:tc>
                <w:tcPr>
                  <w:tcW w:w="745" w:type="dxa"/>
                  <w:tcBorders>
                    <w:tl2br w:val="nil"/>
                    <w:tr2bl w:val="nil"/>
                  </w:tcBorders>
                  <w:shd w:val="clear" w:color="auto" w:fill="auto"/>
                  <w:noWrap w:val="0"/>
                  <w:vAlign w:val="center"/>
                </w:tcPr>
                <w:p w14:paraId="24B2A62B">
                  <w:pPr>
                    <w:widowControl/>
                    <w:spacing w:line="0" w:lineRule="atLeast"/>
                    <w:jc w:val="center"/>
                    <w:rPr>
                      <w:rFonts w:hint="eastAsia" w:ascii="Times New Roman" w:hAnsi="Times New Roman" w:eastAsia="宋体" w:cs="Times New Roman"/>
                      <w:color w:val="auto"/>
                      <w:spacing w:val="-10"/>
                      <w:kern w:val="2"/>
                      <w:sz w:val="18"/>
                      <w:szCs w:val="18"/>
                      <w:highlight w:val="none"/>
                      <w:lang w:val="en-US" w:eastAsia="zh-CN" w:bidi="ar-SA"/>
                    </w:rPr>
                  </w:pPr>
                  <w:r>
                    <w:rPr>
                      <w:rFonts w:hint="eastAsia" w:cs="Times New Roman"/>
                      <w:color w:val="auto"/>
                      <w:spacing w:val="-10"/>
                      <w:sz w:val="18"/>
                      <w:szCs w:val="18"/>
                      <w:highlight w:val="none"/>
                      <w:lang w:val="en-US" w:eastAsia="zh-CN"/>
                    </w:rPr>
                    <w:t>--</w:t>
                  </w:r>
                </w:p>
              </w:tc>
              <w:tc>
                <w:tcPr>
                  <w:tcW w:w="631" w:type="dxa"/>
                  <w:tcBorders>
                    <w:tl2br w:val="nil"/>
                    <w:tr2bl w:val="nil"/>
                  </w:tcBorders>
                  <w:shd w:val="clear" w:color="auto" w:fill="auto"/>
                  <w:noWrap w:val="0"/>
                  <w:vAlign w:val="center"/>
                </w:tcPr>
                <w:p w14:paraId="088B1BAF">
                  <w:pPr>
                    <w:widowControl/>
                    <w:spacing w:line="0" w:lineRule="atLeast"/>
                    <w:jc w:val="center"/>
                    <w:rPr>
                      <w:rFonts w:hint="eastAsia" w:ascii="Times New Roman" w:hAnsi="Times New Roman" w:eastAsia="宋体" w:cs="Times New Roman"/>
                      <w:color w:val="auto"/>
                      <w:spacing w:val="-10"/>
                      <w:kern w:val="2"/>
                      <w:sz w:val="18"/>
                      <w:szCs w:val="18"/>
                      <w:highlight w:val="none"/>
                      <w:lang w:val="en-US" w:eastAsia="zh-CN" w:bidi="ar-SA"/>
                    </w:rPr>
                  </w:pPr>
                  <w:r>
                    <w:rPr>
                      <w:rFonts w:hint="eastAsia" w:cs="Times New Roman"/>
                      <w:color w:val="auto"/>
                      <w:spacing w:val="-10"/>
                      <w:sz w:val="18"/>
                      <w:szCs w:val="18"/>
                      <w:highlight w:val="none"/>
                      <w:lang w:val="en-US" w:eastAsia="zh-CN"/>
                    </w:rPr>
                    <w:t>--</w:t>
                  </w:r>
                </w:p>
              </w:tc>
              <w:tc>
                <w:tcPr>
                  <w:tcW w:w="767" w:type="dxa"/>
                  <w:tcBorders>
                    <w:tl2br w:val="nil"/>
                    <w:tr2bl w:val="nil"/>
                  </w:tcBorders>
                  <w:shd w:val="clear" w:color="auto" w:fill="auto"/>
                  <w:noWrap w:val="0"/>
                  <w:vAlign w:val="center"/>
                </w:tcPr>
                <w:p w14:paraId="49C3D609">
                  <w:pPr>
                    <w:widowControl/>
                    <w:spacing w:line="0" w:lineRule="atLeast"/>
                    <w:jc w:val="center"/>
                    <w:rPr>
                      <w:rFonts w:hint="eastAsia" w:ascii="Times New Roman" w:hAnsi="Times New Roman" w:eastAsia="宋体" w:cs="Times New Roman"/>
                      <w:color w:val="auto"/>
                      <w:spacing w:val="-10"/>
                      <w:kern w:val="2"/>
                      <w:sz w:val="18"/>
                      <w:szCs w:val="18"/>
                      <w:highlight w:val="none"/>
                      <w:lang w:val="en-US" w:eastAsia="zh-CN" w:bidi="ar-SA"/>
                    </w:rPr>
                  </w:pPr>
                  <w:r>
                    <w:rPr>
                      <w:rFonts w:hint="eastAsia" w:cs="Times New Roman"/>
                      <w:color w:val="auto"/>
                      <w:spacing w:val="-10"/>
                      <w:sz w:val="18"/>
                      <w:szCs w:val="18"/>
                      <w:highlight w:val="none"/>
                      <w:lang w:val="en-US" w:eastAsia="zh-CN"/>
                    </w:rPr>
                    <w:t>--</w:t>
                  </w:r>
                </w:p>
              </w:tc>
              <w:tc>
                <w:tcPr>
                  <w:tcW w:w="474" w:type="dxa"/>
                  <w:tcBorders>
                    <w:tl2br w:val="nil"/>
                    <w:tr2bl w:val="nil"/>
                  </w:tcBorders>
                  <w:noWrap w:val="0"/>
                  <w:vAlign w:val="center"/>
                </w:tcPr>
                <w:p w14:paraId="50CFE372">
                  <w:pPr>
                    <w:widowControl/>
                    <w:spacing w:line="0" w:lineRule="atLeast"/>
                    <w:jc w:val="center"/>
                    <w:rPr>
                      <w:rFonts w:hint="default" w:cs="Times New Roman"/>
                      <w:color w:val="auto"/>
                      <w:spacing w:val="-10"/>
                      <w:kern w:val="2"/>
                      <w:sz w:val="18"/>
                      <w:szCs w:val="18"/>
                      <w:highlight w:val="none"/>
                      <w:lang w:val="en-US" w:eastAsia="zh-CN" w:bidi="ar-SA"/>
                    </w:rPr>
                  </w:pPr>
                  <w:r>
                    <w:rPr>
                      <w:rFonts w:hint="eastAsia" w:cs="Times New Roman"/>
                      <w:color w:val="auto"/>
                      <w:spacing w:val="-10"/>
                      <w:kern w:val="2"/>
                      <w:sz w:val="18"/>
                      <w:szCs w:val="18"/>
                      <w:highlight w:val="none"/>
                      <w:lang w:val="en-US" w:eastAsia="zh-CN" w:bidi="ar-SA"/>
                    </w:rPr>
                    <w:t>10</w:t>
                  </w:r>
                </w:p>
              </w:tc>
              <w:tc>
                <w:tcPr>
                  <w:tcW w:w="1218" w:type="dxa"/>
                  <w:tcBorders>
                    <w:tl2br w:val="nil"/>
                    <w:tr2bl w:val="nil"/>
                  </w:tcBorders>
                  <w:noWrap w:val="0"/>
                  <w:vAlign w:val="center"/>
                </w:tcPr>
                <w:p w14:paraId="434B8782">
                  <w:pPr>
                    <w:widowControl/>
                    <w:spacing w:line="0" w:lineRule="atLeast"/>
                    <w:jc w:val="center"/>
                    <w:rPr>
                      <w:rFonts w:hint="default" w:ascii="Times New Roman" w:hAnsi="Times New Roman" w:eastAsia="宋体" w:cs="Times New Roman"/>
                      <w:color w:val="auto"/>
                      <w:spacing w:val="-10"/>
                      <w:kern w:val="2"/>
                      <w:sz w:val="18"/>
                      <w:szCs w:val="18"/>
                      <w:highlight w:val="none"/>
                      <w:lang w:val="en-US" w:eastAsia="zh-CN" w:bidi="ar-SA"/>
                    </w:rPr>
                  </w:pPr>
                  <w:r>
                    <w:rPr>
                      <w:rFonts w:hint="eastAsia" w:cs="Times New Roman"/>
                      <w:color w:val="auto"/>
                      <w:spacing w:val="-20"/>
                      <w:sz w:val="18"/>
                      <w:szCs w:val="18"/>
                      <w:highlight w:val="none"/>
                      <w:lang w:val="en-US" w:eastAsia="zh-CN"/>
                    </w:rPr>
                    <w:t>棉絮、泡沫等</w:t>
                  </w:r>
                </w:p>
              </w:tc>
              <w:tc>
                <w:tcPr>
                  <w:tcW w:w="801" w:type="dxa"/>
                  <w:tcBorders>
                    <w:tl2br w:val="nil"/>
                    <w:tr2bl w:val="nil"/>
                  </w:tcBorders>
                  <w:noWrap w:val="0"/>
                  <w:vAlign w:val="center"/>
                </w:tcPr>
                <w:p w14:paraId="09F5FF80">
                  <w:pPr>
                    <w:widowControl/>
                    <w:spacing w:line="0" w:lineRule="atLeast"/>
                    <w:jc w:val="center"/>
                    <w:rPr>
                      <w:rFonts w:hint="default" w:ascii="Times New Roman" w:hAnsi="Times New Roman" w:cs="Times New Roman"/>
                      <w:color w:val="auto"/>
                      <w:spacing w:val="-10"/>
                      <w:sz w:val="18"/>
                      <w:szCs w:val="18"/>
                      <w:highlight w:val="none"/>
                      <w:lang w:val="en-US" w:eastAsia="zh-CN"/>
                    </w:rPr>
                  </w:pPr>
                  <w:r>
                    <w:rPr>
                      <w:rFonts w:hint="default" w:ascii="Times New Roman" w:hAnsi="Times New Roman" w:cs="Times New Roman"/>
                      <w:color w:val="auto"/>
                      <w:spacing w:val="-10"/>
                      <w:sz w:val="18"/>
                      <w:szCs w:val="18"/>
                      <w:highlight w:val="none"/>
                      <w:lang w:val="en-US" w:eastAsia="zh-CN"/>
                    </w:rPr>
                    <w:t>1</w:t>
                  </w:r>
                  <w:r>
                    <w:rPr>
                      <w:rFonts w:hint="eastAsia" w:cs="Times New Roman"/>
                      <w:color w:val="auto"/>
                      <w:spacing w:val="-10"/>
                      <w:sz w:val="18"/>
                      <w:szCs w:val="18"/>
                      <w:highlight w:val="none"/>
                      <w:lang w:val="en-US" w:eastAsia="zh-CN"/>
                    </w:rPr>
                    <w:t>25000</w:t>
                  </w:r>
                </w:p>
              </w:tc>
              <w:tc>
                <w:tcPr>
                  <w:tcW w:w="620" w:type="dxa"/>
                  <w:tcBorders>
                    <w:tl2br w:val="nil"/>
                    <w:tr2bl w:val="nil"/>
                  </w:tcBorders>
                  <w:noWrap w:val="0"/>
                  <w:vAlign w:val="center"/>
                </w:tcPr>
                <w:p w14:paraId="30A523E3">
                  <w:pPr>
                    <w:widowControl/>
                    <w:spacing w:line="0" w:lineRule="atLeast"/>
                    <w:jc w:val="center"/>
                    <w:rPr>
                      <w:rFonts w:hint="default" w:ascii="Times New Roman" w:hAnsi="Times New Roman" w:cs="Times New Roman"/>
                      <w:color w:val="auto"/>
                      <w:spacing w:val="-10"/>
                      <w:sz w:val="18"/>
                      <w:szCs w:val="18"/>
                      <w:highlight w:val="none"/>
                      <w:lang w:val="en-US" w:eastAsia="zh-CN"/>
                    </w:rPr>
                  </w:pPr>
                  <w:r>
                    <w:rPr>
                      <w:rFonts w:hint="eastAsia" w:cs="Times New Roman"/>
                      <w:color w:val="auto"/>
                      <w:spacing w:val="-10"/>
                      <w:sz w:val="18"/>
                      <w:szCs w:val="18"/>
                      <w:highlight w:val="none"/>
                      <w:lang w:val="en-US" w:eastAsia="zh-CN"/>
                    </w:rPr>
                    <w:t>18</w:t>
                  </w:r>
                </w:p>
              </w:tc>
              <w:tc>
                <w:tcPr>
                  <w:tcW w:w="765" w:type="dxa"/>
                  <w:tcBorders>
                    <w:tl2br w:val="nil"/>
                    <w:tr2bl w:val="nil"/>
                  </w:tcBorders>
                  <w:noWrap w:val="0"/>
                  <w:vAlign w:val="center"/>
                </w:tcPr>
                <w:p w14:paraId="605FC73D">
                  <w:pPr>
                    <w:widowControl/>
                    <w:spacing w:line="0" w:lineRule="atLeast"/>
                    <w:jc w:val="center"/>
                    <w:rPr>
                      <w:rFonts w:hint="default" w:ascii="Times New Roman" w:hAnsi="Times New Roman" w:eastAsia="宋体" w:cs="Times New Roman"/>
                      <w:color w:val="auto"/>
                      <w:spacing w:val="-10"/>
                      <w:sz w:val="18"/>
                      <w:szCs w:val="18"/>
                      <w:highlight w:val="none"/>
                      <w:lang w:val="en-US" w:eastAsia="zh-CN"/>
                    </w:rPr>
                  </w:pPr>
                  <w:r>
                    <w:rPr>
                      <w:rFonts w:hint="default" w:ascii="Times New Roman" w:hAnsi="Times New Roman" w:eastAsia="宋体" w:cs="Times New Roman"/>
                      <w:color w:val="auto"/>
                      <w:spacing w:val="-10"/>
                      <w:sz w:val="18"/>
                      <w:szCs w:val="18"/>
                      <w:highlight w:val="none"/>
                      <w:lang w:val="en-US" w:eastAsia="zh-CN"/>
                    </w:rPr>
                    <w:t>102500</w:t>
                  </w:r>
                </w:p>
              </w:tc>
            </w:tr>
            <w:tr w14:paraId="6FA7EA7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552" w:type="dxa"/>
                  <w:vMerge w:val="continue"/>
                  <w:tcBorders>
                    <w:tl2br w:val="nil"/>
                    <w:tr2bl w:val="nil"/>
                  </w:tcBorders>
                  <w:noWrap w:val="0"/>
                  <w:vAlign w:val="center"/>
                </w:tcPr>
                <w:p w14:paraId="5C89BE55">
                  <w:pPr>
                    <w:widowControl/>
                    <w:spacing w:line="0" w:lineRule="atLeast"/>
                    <w:jc w:val="center"/>
                    <w:rPr>
                      <w:rFonts w:hint="eastAsia" w:ascii="Times New Roman" w:hAnsi="Times New Roman" w:eastAsia="宋体" w:cs="Times New Roman"/>
                      <w:color w:val="auto"/>
                      <w:spacing w:val="-10"/>
                      <w:sz w:val="18"/>
                      <w:szCs w:val="18"/>
                      <w:highlight w:val="none"/>
                      <w:lang w:val="en-US" w:eastAsia="zh-CN"/>
                    </w:rPr>
                  </w:pPr>
                </w:p>
              </w:tc>
              <w:tc>
                <w:tcPr>
                  <w:tcW w:w="419" w:type="dxa"/>
                  <w:tcBorders>
                    <w:tl2br w:val="nil"/>
                    <w:tr2bl w:val="nil"/>
                  </w:tcBorders>
                  <w:shd w:val="clear" w:color="auto" w:fill="auto"/>
                  <w:noWrap w:val="0"/>
                  <w:vAlign w:val="center"/>
                </w:tcPr>
                <w:p w14:paraId="794342E6">
                  <w:pPr>
                    <w:widowControl/>
                    <w:spacing w:line="0" w:lineRule="atLeast"/>
                    <w:jc w:val="center"/>
                    <w:rPr>
                      <w:rFonts w:hint="eastAsia" w:ascii="Times New Roman" w:hAnsi="Times New Roman" w:eastAsia="宋体" w:cs="Times New Roman"/>
                      <w:color w:val="auto"/>
                      <w:spacing w:val="-10"/>
                      <w:kern w:val="2"/>
                      <w:sz w:val="18"/>
                      <w:szCs w:val="18"/>
                      <w:highlight w:val="none"/>
                      <w:lang w:val="en-US" w:eastAsia="zh-CN" w:bidi="ar-SA"/>
                    </w:rPr>
                  </w:pPr>
                  <w:r>
                    <w:rPr>
                      <w:rFonts w:hint="eastAsia" w:cs="Times New Roman"/>
                      <w:color w:val="auto"/>
                      <w:spacing w:val="-10"/>
                      <w:kern w:val="2"/>
                      <w:sz w:val="18"/>
                      <w:szCs w:val="18"/>
                      <w:highlight w:val="none"/>
                      <w:lang w:val="en-US" w:eastAsia="zh-CN" w:bidi="ar-SA"/>
                    </w:rPr>
                    <w:t>--</w:t>
                  </w:r>
                </w:p>
              </w:tc>
              <w:tc>
                <w:tcPr>
                  <w:tcW w:w="1082" w:type="dxa"/>
                  <w:tcBorders>
                    <w:tl2br w:val="nil"/>
                    <w:tr2bl w:val="nil"/>
                  </w:tcBorders>
                  <w:shd w:val="clear" w:color="auto" w:fill="auto"/>
                  <w:noWrap w:val="0"/>
                  <w:vAlign w:val="center"/>
                </w:tcPr>
                <w:p w14:paraId="269C7110">
                  <w:pPr>
                    <w:widowControl/>
                    <w:spacing w:line="0" w:lineRule="atLeast"/>
                    <w:jc w:val="center"/>
                    <w:rPr>
                      <w:rFonts w:hint="eastAsia" w:ascii="Times New Roman" w:hAnsi="Times New Roman" w:eastAsia="宋体" w:cs="Times New Roman"/>
                      <w:color w:val="auto"/>
                      <w:spacing w:val="-10"/>
                      <w:kern w:val="2"/>
                      <w:sz w:val="18"/>
                      <w:szCs w:val="18"/>
                      <w:highlight w:val="none"/>
                      <w:lang w:val="en-US" w:eastAsia="zh-CN" w:bidi="ar-SA"/>
                    </w:rPr>
                  </w:pPr>
                  <w:r>
                    <w:rPr>
                      <w:rFonts w:hint="eastAsia" w:cs="Times New Roman"/>
                      <w:color w:val="auto"/>
                      <w:spacing w:val="-10"/>
                      <w:kern w:val="2"/>
                      <w:sz w:val="18"/>
                      <w:szCs w:val="18"/>
                      <w:highlight w:val="none"/>
                      <w:lang w:val="en-US" w:eastAsia="zh-CN" w:bidi="ar-SA"/>
                    </w:rPr>
                    <w:t>--</w:t>
                  </w:r>
                </w:p>
              </w:tc>
              <w:tc>
                <w:tcPr>
                  <w:tcW w:w="745" w:type="dxa"/>
                  <w:tcBorders>
                    <w:tl2br w:val="nil"/>
                    <w:tr2bl w:val="nil"/>
                  </w:tcBorders>
                  <w:shd w:val="clear" w:color="auto" w:fill="auto"/>
                  <w:noWrap w:val="0"/>
                  <w:vAlign w:val="center"/>
                </w:tcPr>
                <w:p w14:paraId="1C3CEB5B">
                  <w:pPr>
                    <w:widowControl/>
                    <w:spacing w:line="0" w:lineRule="atLeast"/>
                    <w:jc w:val="center"/>
                    <w:rPr>
                      <w:rFonts w:hint="eastAsia" w:ascii="Times New Roman" w:hAnsi="Times New Roman" w:eastAsia="宋体" w:cs="Times New Roman"/>
                      <w:color w:val="auto"/>
                      <w:spacing w:val="-10"/>
                      <w:kern w:val="2"/>
                      <w:sz w:val="18"/>
                      <w:szCs w:val="18"/>
                      <w:highlight w:val="none"/>
                      <w:lang w:val="en-US" w:eastAsia="zh-CN" w:bidi="ar-SA"/>
                    </w:rPr>
                  </w:pPr>
                  <w:r>
                    <w:rPr>
                      <w:rFonts w:hint="eastAsia" w:cs="Times New Roman"/>
                      <w:color w:val="auto"/>
                      <w:spacing w:val="-10"/>
                      <w:sz w:val="18"/>
                      <w:szCs w:val="18"/>
                      <w:highlight w:val="none"/>
                      <w:lang w:val="en-US" w:eastAsia="zh-CN"/>
                    </w:rPr>
                    <w:t>--</w:t>
                  </w:r>
                </w:p>
              </w:tc>
              <w:tc>
                <w:tcPr>
                  <w:tcW w:w="631" w:type="dxa"/>
                  <w:tcBorders>
                    <w:tl2br w:val="nil"/>
                    <w:tr2bl w:val="nil"/>
                  </w:tcBorders>
                  <w:shd w:val="clear" w:color="auto" w:fill="auto"/>
                  <w:noWrap w:val="0"/>
                  <w:vAlign w:val="center"/>
                </w:tcPr>
                <w:p w14:paraId="1D5C08F8">
                  <w:pPr>
                    <w:widowControl/>
                    <w:spacing w:line="0" w:lineRule="atLeast"/>
                    <w:jc w:val="center"/>
                    <w:rPr>
                      <w:rFonts w:hint="eastAsia" w:ascii="Times New Roman" w:hAnsi="Times New Roman" w:eastAsia="宋体" w:cs="Times New Roman"/>
                      <w:color w:val="auto"/>
                      <w:spacing w:val="-10"/>
                      <w:kern w:val="2"/>
                      <w:sz w:val="18"/>
                      <w:szCs w:val="18"/>
                      <w:highlight w:val="none"/>
                      <w:lang w:val="en-US" w:eastAsia="zh-CN" w:bidi="ar-SA"/>
                    </w:rPr>
                  </w:pPr>
                  <w:r>
                    <w:rPr>
                      <w:rFonts w:hint="eastAsia" w:cs="Times New Roman"/>
                      <w:color w:val="auto"/>
                      <w:spacing w:val="-10"/>
                      <w:sz w:val="18"/>
                      <w:szCs w:val="18"/>
                      <w:highlight w:val="none"/>
                      <w:lang w:val="en-US" w:eastAsia="zh-CN"/>
                    </w:rPr>
                    <w:t>--</w:t>
                  </w:r>
                </w:p>
              </w:tc>
              <w:tc>
                <w:tcPr>
                  <w:tcW w:w="767" w:type="dxa"/>
                  <w:tcBorders>
                    <w:tl2br w:val="nil"/>
                    <w:tr2bl w:val="nil"/>
                  </w:tcBorders>
                  <w:shd w:val="clear" w:color="auto" w:fill="auto"/>
                  <w:noWrap w:val="0"/>
                  <w:vAlign w:val="center"/>
                </w:tcPr>
                <w:p w14:paraId="68B1E8F1">
                  <w:pPr>
                    <w:widowControl/>
                    <w:spacing w:line="0" w:lineRule="atLeast"/>
                    <w:jc w:val="center"/>
                    <w:rPr>
                      <w:rFonts w:hint="eastAsia" w:ascii="Times New Roman" w:hAnsi="Times New Roman" w:eastAsia="宋体" w:cs="Times New Roman"/>
                      <w:color w:val="auto"/>
                      <w:spacing w:val="-10"/>
                      <w:kern w:val="2"/>
                      <w:sz w:val="18"/>
                      <w:szCs w:val="18"/>
                      <w:highlight w:val="none"/>
                      <w:lang w:val="en-US" w:eastAsia="zh-CN" w:bidi="ar-SA"/>
                    </w:rPr>
                  </w:pPr>
                  <w:r>
                    <w:rPr>
                      <w:rFonts w:hint="eastAsia" w:cs="Times New Roman"/>
                      <w:color w:val="auto"/>
                      <w:spacing w:val="-10"/>
                      <w:sz w:val="18"/>
                      <w:szCs w:val="18"/>
                      <w:highlight w:val="none"/>
                      <w:lang w:val="en-US" w:eastAsia="zh-CN"/>
                    </w:rPr>
                    <w:t>--</w:t>
                  </w:r>
                </w:p>
              </w:tc>
              <w:tc>
                <w:tcPr>
                  <w:tcW w:w="474" w:type="dxa"/>
                  <w:tcBorders>
                    <w:tl2br w:val="nil"/>
                    <w:tr2bl w:val="nil"/>
                  </w:tcBorders>
                  <w:shd w:val="clear" w:color="auto" w:fill="auto"/>
                  <w:noWrap w:val="0"/>
                  <w:vAlign w:val="center"/>
                </w:tcPr>
                <w:p w14:paraId="6947C793">
                  <w:pPr>
                    <w:widowControl/>
                    <w:spacing w:line="0" w:lineRule="atLeast"/>
                    <w:jc w:val="center"/>
                    <w:rPr>
                      <w:rFonts w:hint="default" w:ascii="Times New Roman" w:hAnsi="Times New Roman" w:eastAsia="宋体" w:cs="Times New Roman"/>
                      <w:color w:val="auto"/>
                      <w:spacing w:val="-10"/>
                      <w:kern w:val="2"/>
                      <w:sz w:val="18"/>
                      <w:szCs w:val="18"/>
                      <w:highlight w:val="none"/>
                      <w:lang w:val="en-US" w:eastAsia="zh-CN" w:bidi="ar-SA"/>
                    </w:rPr>
                  </w:pPr>
                  <w:r>
                    <w:rPr>
                      <w:rFonts w:hint="eastAsia" w:cs="Times New Roman"/>
                      <w:color w:val="auto"/>
                      <w:spacing w:val="-10"/>
                      <w:kern w:val="2"/>
                      <w:sz w:val="18"/>
                      <w:szCs w:val="18"/>
                      <w:highlight w:val="none"/>
                      <w:lang w:val="en-US" w:eastAsia="zh-CN" w:bidi="ar-SA"/>
                    </w:rPr>
                    <w:t>12</w:t>
                  </w:r>
                </w:p>
              </w:tc>
              <w:tc>
                <w:tcPr>
                  <w:tcW w:w="1218" w:type="dxa"/>
                  <w:tcBorders>
                    <w:tl2br w:val="nil"/>
                    <w:tr2bl w:val="nil"/>
                  </w:tcBorders>
                  <w:noWrap w:val="0"/>
                  <w:vAlign w:val="center"/>
                </w:tcPr>
                <w:p w14:paraId="59ED5261">
                  <w:pPr>
                    <w:widowControl/>
                    <w:spacing w:line="0" w:lineRule="atLeast"/>
                    <w:jc w:val="center"/>
                    <w:rPr>
                      <w:rFonts w:hint="default" w:cs="Times New Roman"/>
                      <w:color w:val="auto"/>
                      <w:spacing w:val="-20"/>
                      <w:sz w:val="18"/>
                      <w:szCs w:val="18"/>
                      <w:highlight w:val="none"/>
                      <w:lang w:val="en-US" w:eastAsia="zh-CN"/>
                    </w:rPr>
                  </w:pPr>
                  <w:r>
                    <w:rPr>
                      <w:rFonts w:hint="eastAsia" w:cs="Times New Roman"/>
                      <w:color w:val="auto"/>
                      <w:spacing w:val="-20"/>
                      <w:sz w:val="18"/>
                      <w:szCs w:val="18"/>
                      <w:highlight w:val="none"/>
                      <w:lang w:val="en-US" w:eastAsia="zh-CN"/>
                    </w:rPr>
                    <w:t>海绵、木屑等</w:t>
                  </w:r>
                </w:p>
              </w:tc>
              <w:tc>
                <w:tcPr>
                  <w:tcW w:w="801" w:type="dxa"/>
                  <w:tcBorders>
                    <w:tl2br w:val="nil"/>
                    <w:tr2bl w:val="nil"/>
                  </w:tcBorders>
                  <w:noWrap w:val="0"/>
                  <w:vAlign w:val="center"/>
                </w:tcPr>
                <w:p w14:paraId="637DBD49">
                  <w:pPr>
                    <w:widowControl/>
                    <w:spacing w:line="0" w:lineRule="atLeast"/>
                    <w:jc w:val="center"/>
                    <w:rPr>
                      <w:rFonts w:hint="default" w:ascii="Times New Roman" w:hAnsi="Times New Roman" w:cs="Times New Roman"/>
                      <w:color w:val="auto"/>
                      <w:spacing w:val="-10"/>
                      <w:sz w:val="18"/>
                      <w:szCs w:val="18"/>
                      <w:highlight w:val="none"/>
                      <w:lang w:val="en-US" w:eastAsia="zh-CN"/>
                    </w:rPr>
                  </w:pPr>
                  <w:r>
                    <w:rPr>
                      <w:rFonts w:hint="eastAsia" w:cs="Times New Roman"/>
                      <w:color w:val="auto"/>
                      <w:spacing w:val="-10"/>
                      <w:sz w:val="18"/>
                      <w:szCs w:val="18"/>
                      <w:highlight w:val="none"/>
                      <w:lang w:val="en-US" w:eastAsia="zh-CN"/>
                    </w:rPr>
                    <w:t>5000</w:t>
                  </w:r>
                </w:p>
              </w:tc>
              <w:tc>
                <w:tcPr>
                  <w:tcW w:w="620" w:type="dxa"/>
                  <w:tcBorders>
                    <w:tl2br w:val="nil"/>
                    <w:tr2bl w:val="nil"/>
                  </w:tcBorders>
                  <w:noWrap w:val="0"/>
                  <w:vAlign w:val="center"/>
                </w:tcPr>
                <w:p w14:paraId="3650DDBF">
                  <w:pPr>
                    <w:widowControl/>
                    <w:spacing w:line="0" w:lineRule="atLeast"/>
                    <w:jc w:val="center"/>
                    <w:rPr>
                      <w:rFonts w:hint="default" w:ascii="Times New Roman" w:hAnsi="Times New Roman" w:cs="Times New Roman"/>
                      <w:color w:val="auto"/>
                      <w:spacing w:val="-10"/>
                      <w:sz w:val="18"/>
                      <w:szCs w:val="18"/>
                      <w:highlight w:val="none"/>
                      <w:lang w:val="en-US" w:eastAsia="zh-CN"/>
                    </w:rPr>
                  </w:pPr>
                  <w:r>
                    <w:rPr>
                      <w:rFonts w:hint="eastAsia" w:cs="Times New Roman"/>
                      <w:color w:val="auto"/>
                      <w:spacing w:val="-10"/>
                      <w:sz w:val="18"/>
                      <w:szCs w:val="18"/>
                      <w:highlight w:val="none"/>
                      <w:lang w:val="en-US" w:eastAsia="zh-CN"/>
                    </w:rPr>
                    <w:t>18</w:t>
                  </w:r>
                </w:p>
              </w:tc>
              <w:tc>
                <w:tcPr>
                  <w:tcW w:w="765" w:type="dxa"/>
                  <w:tcBorders>
                    <w:tl2br w:val="nil"/>
                    <w:tr2bl w:val="nil"/>
                  </w:tcBorders>
                  <w:noWrap w:val="0"/>
                  <w:vAlign w:val="center"/>
                </w:tcPr>
                <w:p w14:paraId="51F3718E">
                  <w:pPr>
                    <w:widowControl/>
                    <w:spacing w:line="0" w:lineRule="atLeast"/>
                    <w:jc w:val="center"/>
                    <w:rPr>
                      <w:rFonts w:hint="default" w:ascii="Times New Roman" w:hAnsi="Times New Roman" w:eastAsia="宋体" w:cs="Times New Roman"/>
                      <w:color w:val="auto"/>
                      <w:spacing w:val="-10"/>
                      <w:sz w:val="18"/>
                      <w:szCs w:val="18"/>
                      <w:highlight w:val="none"/>
                      <w:lang w:val="en-US" w:eastAsia="zh-CN"/>
                    </w:rPr>
                  </w:pPr>
                  <w:r>
                    <w:rPr>
                      <w:rFonts w:hint="default" w:ascii="Times New Roman" w:hAnsi="Times New Roman" w:eastAsia="宋体" w:cs="Times New Roman"/>
                      <w:color w:val="auto"/>
                      <w:spacing w:val="-10"/>
                      <w:sz w:val="18"/>
                      <w:szCs w:val="18"/>
                      <w:highlight w:val="none"/>
                      <w:lang w:val="en-US" w:eastAsia="zh-CN"/>
                    </w:rPr>
                    <w:t>4100</w:t>
                  </w:r>
                </w:p>
              </w:tc>
            </w:tr>
            <w:tr w14:paraId="5F9D951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2" w:hRule="atLeast"/>
                <w:jc w:val="center"/>
              </w:trPr>
              <w:tc>
                <w:tcPr>
                  <w:tcW w:w="552" w:type="dxa"/>
                  <w:vMerge w:val="continue"/>
                  <w:tcBorders>
                    <w:tl2br w:val="nil"/>
                    <w:tr2bl w:val="nil"/>
                  </w:tcBorders>
                  <w:noWrap w:val="0"/>
                  <w:vAlign w:val="center"/>
                </w:tcPr>
                <w:p w14:paraId="303318A7">
                  <w:pPr>
                    <w:widowControl/>
                    <w:spacing w:line="0" w:lineRule="atLeast"/>
                    <w:jc w:val="center"/>
                    <w:rPr>
                      <w:rFonts w:hint="eastAsia" w:ascii="Times New Roman" w:hAnsi="Times New Roman" w:eastAsia="宋体" w:cs="Times New Roman"/>
                      <w:color w:val="auto"/>
                      <w:spacing w:val="-10"/>
                      <w:sz w:val="18"/>
                      <w:szCs w:val="18"/>
                      <w:highlight w:val="none"/>
                      <w:lang w:val="en-US" w:eastAsia="zh-CN"/>
                    </w:rPr>
                  </w:pPr>
                </w:p>
              </w:tc>
              <w:tc>
                <w:tcPr>
                  <w:tcW w:w="419" w:type="dxa"/>
                  <w:tcBorders>
                    <w:tl2br w:val="nil"/>
                    <w:tr2bl w:val="nil"/>
                  </w:tcBorders>
                  <w:shd w:val="clear" w:color="auto" w:fill="auto"/>
                  <w:noWrap w:val="0"/>
                  <w:vAlign w:val="center"/>
                </w:tcPr>
                <w:p w14:paraId="26A1BE9D">
                  <w:pPr>
                    <w:widowControl/>
                    <w:spacing w:line="0" w:lineRule="atLeast"/>
                    <w:jc w:val="center"/>
                    <w:rPr>
                      <w:rFonts w:hint="eastAsia" w:ascii="Times New Roman" w:hAnsi="Times New Roman" w:eastAsia="宋体" w:cs="Times New Roman"/>
                      <w:color w:val="auto"/>
                      <w:spacing w:val="-10"/>
                      <w:kern w:val="2"/>
                      <w:sz w:val="18"/>
                      <w:szCs w:val="18"/>
                      <w:highlight w:val="none"/>
                      <w:lang w:val="en-US" w:eastAsia="zh-CN" w:bidi="ar-SA"/>
                    </w:rPr>
                  </w:pPr>
                  <w:r>
                    <w:rPr>
                      <w:rFonts w:hint="eastAsia" w:cs="Times New Roman"/>
                      <w:color w:val="auto"/>
                      <w:spacing w:val="-10"/>
                      <w:kern w:val="2"/>
                      <w:sz w:val="18"/>
                      <w:szCs w:val="18"/>
                      <w:highlight w:val="none"/>
                      <w:lang w:val="en-US" w:eastAsia="zh-CN" w:bidi="ar-SA"/>
                    </w:rPr>
                    <w:t>--</w:t>
                  </w:r>
                </w:p>
              </w:tc>
              <w:tc>
                <w:tcPr>
                  <w:tcW w:w="1082" w:type="dxa"/>
                  <w:tcBorders>
                    <w:tl2br w:val="nil"/>
                    <w:tr2bl w:val="nil"/>
                  </w:tcBorders>
                  <w:shd w:val="clear" w:color="auto" w:fill="auto"/>
                  <w:noWrap w:val="0"/>
                  <w:vAlign w:val="center"/>
                </w:tcPr>
                <w:p w14:paraId="0929B7C5">
                  <w:pPr>
                    <w:widowControl/>
                    <w:spacing w:line="0" w:lineRule="atLeast"/>
                    <w:jc w:val="center"/>
                    <w:rPr>
                      <w:rFonts w:hint="eastAsia" w:ascii="Times New Roman" w:hAnsi="Times New Roman" w:eastAsia="宋体" w:cs="Times New Roman"/>
                      <w:color w:val="auto"/>
                      <w:spacing w:val="-10"/>
                      <w:kern w:val="2"/>
                      <w:sz w:val="18"/>
                      <w:szCs w:val="18"/>
                      <w:highlight w:val="none"/>
                      <w:lang w:val="en-US" w:eastAsia="zh-CN" w:bidi="ar-SA"/>
                    </w:rPr>
                  </w:pPr>
                  <w:r>
                    <w:rPr>
                      <w:rFonts w:hint="eastAsia" w:cs="Times New Roman"/>
                      <w:color w:val="auto"/>
                      <w:spacing w:val="-10"/>
                      <w:kern w:val="2"/>
                      <w:sz w:val="18"/>
                      <w:szCs w:val="18"/>
                      <w:highlight w:val="none"/>
                      <w:lang w:val="en-US" w:eastAsia="zh-CN" w:bidi="ar-SA"/>
                    </w:rPr>
                    <w:t>--</w:t>
                  </w:r>
                </w:p>
              </w:tc>
              <w:tc>
                <w:tcPr>
                  <w:tcW w:w="745" w:type="dxa"/>
                  <w:tcBorders>
                    <w:tl2br w:val="nil"/>
                    <w:tr2bl w:val="nil"/>
                  </w:tcBorders>
                  <w:shd w:val="clear" w:color="auto" w:fill="auto"/>
                  <w:noWrap w:val="0"/>
                  <w:vAlign w:val="center"/>
                </w:tcPr>
                <w:p w14:paraId="0D57D939">
                  <w:pPr>
                    <w:widowControl/>
                    <w:spacing w:line="0" w:lineRule="atLeast"/>
                    <w:jc w:val="center"/>
                    <w:rPr>
                      <w:rFonts w:hint="eastAsia" w:ascii="Times New Roman" w:hAnsi="Times New Roman" w:eastAsia="宋体" w:cs="Times New Roman"/>
                      <w:color w:val="auto"/>
                      <w:spacing w:val="-10"/>
                      <w:kern w:val="2"/>
                      <w:sz w:val="18"/>
                      <w:szCs w:val="18"/>
                      <w:highlight w:val="none"/>
                      <w:lang w:val="en-US" w:eastAsia="zh-CN" w:bidi="ar-SA"/>
                    </w:rPr>
                  </w:pPr>
                  <w:r>
                    <w:rPr>
                      <w:rFonts w:hint="eastAsia" w:cs="Times New Roman"/>
                      <w:color w:val="auto"/>
                      <w:spacing w:val="-10"/>
                      <w:sz w:val="18"/>
                      <w:szCs w:val="18"/>
                      <w:highlight w:val="none"/>
                      <w:lang w:val="en-US" w:eastAsia="zh-CN"/>
                    </w:rPr>
                    <w:t>--</w:t>
                  </w:r>
                </w:p>
              </w:tc>
              <w:tc>
                <w:tcPr>
                  <w:tcW w:w="631" w:type="dxa"/>
                  <w:tcBorders>
                    <w:tl2br w:val="nil"/>
                    <w:tr2bl w:val="nil"/>
                  </w:tcBorders>
                  <w:shd w:val="clear" w:color="auto" w:fill="auto"/>
                  <w:noWrap w:val="0"/>
                  <w:vAlign w:val="center"/>
                </w:tcPr>
                <w:p w14:paraId="35EBE940">
                  <w:pPr>
                    <w:widowControl/>
                    <w:spacing w:line="0" w:lineRule="atLeast"/>
                    <w:jc w:val="center"/>
                    <w:rPr>
                      <w:rFonts w:hint="eastAsia" w:ascii="Times New Roman" w:hAnsi="Times New Roman" w:eastAsia="宋体" w:cs="Times New Roman"/>
                      <w:color w:val="auto"/>
                      <w:spacing w:val="-10"/>
                      <w:kern w:val="2"/>
                      <w:sz w:val="18"/>
                      <w:szCs w:val="18"/>
                      <w:highlight w:val="none"/>
                      <w:lang w:val="en-US" w:eastAsia="zh-CN" w:bidi="ar-SA"/>
                    </w:rPr>
                  </w:pPr>
                  <w:r>
                    <w:rPr>
                      <w:rFonts w:hint="eastAsia" w:cs="Times New Roman"/>
                      <w:color w:val="auto"/>
                      <w:spacing w:val="-10"/>
                      <w:sz w:val="18"/>
                      <w:szCs w:val="18"/>
                      <w:highlight w:val="none"/>
                      <w:lang w:val="en-US" w:eastAsia="zh-CN"/>
                    </w:rPr>
                    <w:t>--</w:t>
                  </w:r>
                </w:p>
              </w:tc>
              <w:tc>
                <w:tcPr>
                  <w:tcW w:w="767" w:type="dxa"/>
                  <w:tcBorders>
                    <w:tl2br w:val="nil"/>
                    <w:tr2bl w:val="nil"/>
                  </w:tcBorders>
                  <w:shd w:val="clear" w:color="auto" w:fill="auto"/>
                  <w:noWrap w:val="0"/>
                  <w:vAlign w:val="center"/>
                </w:tcPr>
                <w:p w14:paraId="1146F2A3">
                  <w:pPr>
                    <w:widowControl/>
                    <w:spacing w:line="0" w:lineRule="atLeast"/>
                    <w:jc w:val="center"/>
                    <w:rPr>
                      <w:rFonts w:hint="eastAsia" w:ascii="Times New Roman" w:hAnsi="Times New Roman" w:eastAsia="宋体" w:cs="Times New Roman"/>
                      <w:color w:val="auto"/>
                      <w:spacing w:val="-10"/>
                      <w:kern w:val="2"/>
                      <w:sz w:val="18"/>
                      <w:szCs w:val="18"/>
                      <w:highlight w:val="none"/>
                      <w:lang w:val="en-US" w:eastAsia="zh-CN" w:bidi="ar-SA"/>
                    </w:rPr>
                  </w:pPr>
                  <w:r>
                    <w:rPr>
                      <w:rFonts w:hint="eastAsia" w:cs="Times New Roman"/>
                      <w:color w:val="auto"/>
                      <w:spacing w:val="-10"/>
                      <w:sz w:val="18"/>
                      <w:szCs w:val="18"/>
                      <w:highlight w:val="none"/>
                      <w:lang w:val="en-US" w:eastAsia="zh-CN"/>
                    </w:rPr>
                    <w:t>--</w:t>
                  </w:r>
                </w:p>
              </w:tc>
              <w:tc>
                <w:tcPr>
                  <w:tcW w:w="474" w:type="dxa"/>
                  <w:tcBorders>
                    <w:tl2br w:val="nil"/>
                    <w:tr2bl w:val="nil"/>
                  </w:tcBorders>
                  <w:shd w:val="clear" w:color="auto" w:fill="auto"/>
                  <w:noWrap w:val="0"/>
                  <w:vAlign w:val="center"/>
                </w:tcPr>
                <w:p w14:paraId="1E32EF92">
                  <w:pPr>
                    <w:widowControl/>
                    <w:spacing w:line="0" w:lineRule="atLeast"/>
                    <w:jc w:val="center"/>
                    <w:rPr>
                      <w:rFonts w:hint="eastAsia" w:ascii="Times New Roman" w:hAnsi="Times New Roman" w:eastAsia="宋体" w:cs="Times New Roman"/>
                      <w:color w:val="auto"/>
                      <w:spacing w:val="-10"/>
                      <w:kern w:val="2"/>
                      <w:sz w:val="18"/>
                      <w:szCs w:val="18"/>
                      <w:highlight w:val="none"/>
                      <w:lang w:val="en-US" w:eastAsia="zh-CN" w:bidi="ar-SA"/>
                    </w:rPr>
                  </w:pPr>
                  <w:r>
                    <w:rPr>
                      <w:rFonts w:hint="eastAsia" w:cs="Times New Roman"/>
                      <w:color w:val="auto"/>
                      <w:spacing w:val="-10"/>
                      <w:kern w:val="2"/>
                      <w:sz w:val="18"/>
                      <w:szCs w:val="18"/>
                      <w:highlight w:val="none"/>
                      <w:lang w:val="en-US" w:eastAsia="zh-CN" w:bidi="ar-SA"/>
                    </w:rPr>
                    <w:t>13</w:t>
                  </w:r>
                </w:p>
              </w:tc>
              <w:tc>
                <w:tcPr>
                  <w:tcW w:w="1218" w:type="dxa"/>
                  <w:tcBorders>
                    <w:tl2br w:val="nil"/>
                    <w:tr2bl w:val="nil"/>
                  </w:tcBorders>
                  <w:noWrap w:val="0"/>
                  <w:vAlign w:val="center"/>
                </w:tcPr>
                <w:p w14:paraId="14715979">
                  <w:pPr>
                    <w:widowControl/>
                    <w:spacing w:line="0" w:lineRule="atLeast"/>
                    <w:jc w:val="center"/>
                    <w:rPr>
                      <w:rFonts w:hint="default" w:ascii="Times New Roman" w:hAnsi="Times New Roman" w:eastAsia="宋体" w:cs="Times New Roman"/>
                      <w:color w:val="auto"/>
                      <w:spacing w:val="-20"/>
                      <w:sz w:val="18"/>
                      <w:szCs w:val="18"/>
                      <w:highlight w:val="none"/>
                      <w:lang w:val="en-US" w:eastAsia="zh-CN"/>
                    </w:rPr>
                  </w:pPr>
                  <w:r>
                    <w:rPr>
                      <w:rFonts w:hint="eastAsia" w:cs="Times New Roman"/>
                      <w:color w:val="auto"/>
                      <w:spacing w:val="-20"/>
                      <w:sz w:val="18"/>
                      <w:szCs w:val="18"/>
                      <w:highlight w:val="none"/>
                      <w:lang w:val="en-US" w:eastAsia="zh-CN"/>
                    </w:rPr>
                    <w:t>土</w:t>
                  </w:r>
                </w:p>
              </w:tc>
              <w:tc>
                <w:tcPr>
                  <w:tcW w:w="801" w:type="dxa"/>
                  <w:tcBorders>
                    <w:tl2br w:val="nil"/>
                    <w:tr2bl w:val="nil"/>
                  </w:tcBorders>
                  <w:noWrap w:val="0"/>
                  <w:vAlign w:val="center"/>
                </w:tcPr>
                <w:p w14:paraId="176F012E">
                  <w:pPr>
                    <w:widowControl/>
                    <w:spacing w:line="0" w:lineRule="atLeast"/>
                    <w:jc w:val="center"/>
                    <w:rPr>
                      <w:rFonts w:hint="eastAsia" w:ascii="Times New Roman" w:hAnsi="Times New Roman" w:cs="Times New Roman"/>
                      <w:color w:val="auto"/>
                      <w:spacing w:val="-10"/>
                      <w:sz w:val="18"/>
                      <w:szCs w:val="18"/>
                      <w:highlight w:val="none"/>
                      <w:lang w:val="en-US" w:eastAsia="zh-CN"/>
                    </w:rPr>
                  </w:pPr>
                  <w:r>
                    <w:rPr>
                      <w:rFonts w:hint="eastAsia" w:cs="Times New Roman"/>
                      <w:color w:val="auto"/>
                      <w:spacing w:val="-10"/>
                      <w:sz w:val="18"/>
                      <w:szCs w:val="18"/>
                      <w:highlight w:val="none"/>
                      <w:lang w:val="en-US" w:eastAsia="zh-CN"/>
                    </w:rPr>
                    <w:t>1665</w:t>
                  </w:r>
                  <w:r>
                    <w:rPr>
                      <w:rFonts w:hint="default" w:ascii="Times New Roman" w:hAnsi="Times New Roman" w:cs="Times New Roman"/>
                      <w:color w:val="auto"/>
                      <w:spacing w:val="-10"/>
                      <w:sz w:val="18"/>
                      <w:szCs w:val="18"/>
                      <w:highlight w:val="none"/>
                      <w:lang w:val="en-US" w:eastAsia="zh-CN"/>
                    </w:rPr>
                    <w:t>00</w:t>
                  </w:r>
                </w:p>
              </w:tc>
              <w:tc>
                <w:tcPr>
                  <w:tcW w:w="620" w:type="dxa"/>
                  <w:tcBorders>
                    <w:tl2br w:val="nil"/>
                    <w:tr2bl w:val="nil"/>
                  </w:tcBorders>
                  <w:noWrap w:val="0"/>
                  <w:vAlign w:val="center"/>
                </w:tcPr>
                <w:p w14:paraId="6562401C">
                  <w:pPr>
                    <w:widowControl/>
                    <w:spacing w:line="0" w:lineRule="atLeast"/>
                    <w:jc w:val="center"/>
                    <w:rPr>
                      <w:rFonts w:hint="default" w:ascii="Times New Roman" w:hAnsi="Times New Roman" w:cs="Times New Roman"/>
                      <w:color w:val="auto"/>
                      <w:spacing w:val="-10"/>
                      <w:sz w:val="18"/>
                      <w:szCs w:val="18"/>
                      <w:highlight w:val="none"/>
                      <w:lang w:val="en-US" w:eastAsia="zh-CN"/>
                    </w:rPr>
                  </w:pPr>
                  <w:r>
                    <w:rPr>
                      <w:rFonts w:hint="eastAsia" w:cs="Times New Roman"/>
                      <w:color w:val="auto"/>
                      <w:spacing w:val="-10"/>
                      <w:sz w:val="18"/>
                      <w:szCs w:val="18"/>
                      <w:highlight w:val="none"/>
                      <w:lang w:val="en-US" w:eastAsia="zh-CN"/>
                    </w:rPr>
                    <w:t>18</w:t>
                  </w:r>
                </w:p>
              </w:tc>
              <w:tc>
                <w:tcPr>
                  <w:tcW w:w="765" w:type="dxa"/>
                  <w:tcBorders>
                    <w:tl2br w:val="nil"/>
                    <w:tr2bl w:val="nil"/>
                  </w:tcBorders>
                  <w:noWrap w:val="0"/>
                  <w:vAlign w:val="center"/>
                </w:tcPr>
                <w:p w14:paraId="01F6C9A4">
                  <w:pPr>
                    <w:widowControl/>
                    <w:spacing w:line="0" w:lineRule="atLeast"/>
                    <w:jc w:val="center"/>
                    <w:rPr>
                      <w:rFonts w:hint="eastAsia" w:ascii="Times New Roman" w:hAnsi="Times New Roman" w:eastAsia="宋体" w:cs="Times New Roman"/>
                      <w:color w:val="auto"/>
                      <w:spacing w:val="-10"/>
                      <w:sz w:val="18"/>
                      <w:szCs w:val="18"/>
                      <w:highlight w:val="none"/>
                      <w:lang w:val="en-US" w:eastAsia="zh-CN"/>
                    </w:rPr>
                  </w:pPr>
                  <w:r>
                    <w:rPr>
                      <w:rFonts w:hint="default" w:ascii="Times New Roman" w:hAnsi="Times New Roman" w:eastAsia="宋体" w:cs="Times New Roman"/>
                      <w:color w:val="auto"/>
                      <w:spacing w:val="-10"/>
                      <w:sz w:val="18"/>
                      <w:szCs w:val="18"/>
                      <w:highlight w:val="none"/>
                      <w:lang w:val="en-US" w:eastAsia="zh-CN"/>
                    </w:rPr>
                    <w:t>136530</w:t>
                  </w:r>
                </w:p>
              </w:tc>
            </w:tr>
            <w:tr w14:paraId="0F05139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52" w:type="dxa"/>
                  <w:vMerge w:val="continue"/>
                  <w:tcBorders>
                    <w:tl2br w:val="nil"/>
                    <w:tr2bl w:val="nil"/>
                  </w:tcBorders>
                  <w:noWrap w:val="0"/>
                  <w:vAlign w:val="center"/>
                </w:tcPr>
                <w:p w14:paraId="39D62AFC">
                  <w:pPr>
                    <w:widowControl/>
                    <w:spacing w:line="0" w:lineRule="atLeast"/>
                    <w:jc w:val="center"/>
                    <w:rPr>
                      <w:rFonts w:hint="eastAsia" w:ascii="Times New Roman" w:hAnsi="Times New Roman" w:eastAsia="宋体" w:cs="Times New Roman"/>
                      <w:color w:val="auto"/>
                      <w:spacing w:val="-10"/>
                      <w:sz w:val="18"/>
                      <w:szCs w:val="18"/>
                      <w:highlight w:val="none"/>
                      <w:lang w:val="en-US" w:eastAsia="zh-CN"/>
                    </w:rPr>
                  </w:pPr>
                </w:p>
              </w:tc>
              <w:tc>
                <w:tcPr>
                  <w:tcW w:w="419" w:type="dxa"/>
                  <w:tcBorders>
                    <w:tl2br w:val="nil"/>
                    <w:tr2bl w:val="nil"/>
                  </w:tcBorders>
                  <w:shd w:val="clear" w:color="auto" w:fill="auto"/>
                  <w:noWrap w:val="0"/>
                  <w:vAlign w:val="center"/>
                </w:tcPr>
                <w:p w14:paraId="2BAA4E30">
                  <w:pPr>
                    <w:widowControl/>
                    <w:spacing w:line="0" w:lineRule="atLeast"/>
                    <w:jc w:val="center"/>
                    <w:rPr>
                      <w:rFonts w:hint="eastAsia" w:ascii="Times New Roman" w:hAnsi="Times New Roman" w:eastAsia="宋体" w:cs="Times New Roman"/>
                      <w:color w:val="auto"/>
                      <w:spacing w:val="-10"/>
                      <w:kern w:val="2"/>
                      <w:sz w:val="18"/>
                      <w:szCs w:val="18"/>
                      <w:highlight w:val="none"/>
                      <w:lang w:val="en-US" w:eastAsia="zh-CN" w:bidi="ar-SA"/>
                    </w:rPr>
                  </w:pPr>
                  <w:r>
                    <w:rPr>
                      <w:rFonts w:hint="eastAsia" w:cs="Times New Roman"/>
                      <w:color w:val="auto"/>
                      <w:spacing w:val="-10"/>
                      <w:kern w:val="2"/>
                      <w:sz w:val="18"/>
                      <w:szCs w:val="18"/>
                      <w:highlight w:val="none"/>
                      <w:lang w:val="en-US" w:eastAsia="zh-CN" w:bidi="ar-SA"/>
                    </w:rPr>
                    <w:t>--</w:t>
                  </w:r>
                </w:p>
              </w:tc>
              <w:tc>
                <w:tcPr>
                  <w:tcW w:w="1082" w:type="dxa"/>
                  <w:tcBorders>
                    <w:tl2br w:val="nil"/>
                    <w:tr2bl w:val="nil"/>
                  </w:tcBorders>
                  <w:shd w:val="clear" w:color="auto" w:fill="auto"/>
                  <w:noWrap w:val="0"/>
                  <w:vAlign w:val="center"/>
                </w:tcPr>
                <w:p w14:paraId="31214D86">
                  <w:pPr>
                    <w:widowControl/>
                    <w:spacing w:line="0" w:lineRule="atLeast"/>
                    <w:jc w:val="center"/>
                    <w:rPr>
                      <w:rFonts w:hint="eastAsia" w:ascii="Times New Roman" w:hAnsi="Times New Roman" w:eastAsia="宋体" w:cs="Times New Roman"/>
                      <w:color w:val="auto"/>
                      <w:spacing w:val="-10"/>
                      <w:kern w:val="2"/>
                      <w:sz w:val="18"/>
                      <w:szCs w:val="18"/>
                      <w:highlight w:val="none"/>
                      <w:lang w:val="en-US" w:eastAsia="zh-CN" w:bidi="ar-SA"/>
                    </w:rPr>
                  </w:pPr>
                  <w:r>
                    <w:rPr>
                      <w:rFonts w:hint="eastAsia" w:cs="Times New Roman"/>
                      <w:color w:val="auto"/>
                      <w:spacing w:val="-10"/>
                      <w:kern w:val="2"/>
                      <w:sz w:val="18"/>
                      <w:szCs w:val="18"/>
                      <w:highlight w:val="none"/>
                      <w:lang w:val="en-US" w:eastAsia="zh-CN" w:bidi="ar-SA"/>
                    </w:rPr>
                    <w:t>--</w:t>
                  </w:r>
                </w:p>
              </w:tc>
              <w:tc>
                <w:tcPr>
                  <w:tcW w:w="745" w:type="dxa"/>
                  <w:tcBorders>
                    <w:tl2br w:val="nil"/>
                    <w:tr2bl w:val="nil"/>
                  </w:tcBorders>
                  <w:shd w:val="clear" w:color="auto" w:fill="auto"/>
                  <w:noWrap w:val="0"/>
                  <w:vAlign w:val="center"/>
                </w:tcPr>
                <w:p w14:paraId="326E2397">
                  <w:pPr>
                    <w:widowControl/>
                    <w:spacing w:line="0" w:lineRule="atLeast"/>
                    <w:jc w:val="center"/>
                    <w:rPr>
                      <w:rFonts w:hint="eastAsia" w:ascii="Times New Roman" w:hAnsi="Times New Roman" w:eastAsia="宋体" w:cs="Times New Roman"/>
                      <w:color w:val="auto"/>
                      <w:spacing w:val="-10"/>
                      <w:kern w:val="2"/>
                      <w:sz w:val="18"/>
                      <w:szCs w:val="18"/>
                      <w:highlight w:val="none"/>
                      <w:lang w:val="en-US" w:eastAsia="zh-CN" w:bidi="ar-SA"/>
                    </w:rPr>
                  </w:pPr>
                  <w:r>
                    <w:rPr>
                      <w:rFonts w:hint="eastAsia" w:cs="Times New Roman"/>
                      <w:color w:val="auto"/>
                      <w:spacing w:val="-10"/>
                      <w:sz w:val="18"/>
                      <w:szCs w:val="18"/>
                      <w:highlight w:val="none"/>
                      <w:lang w:val="en-US" w:eastAsia="zh-CN"/>
                    </w:rPr>
                    <w:t>--</w:t>
                  </w:r>
                </w:p>
              </w:tc>
              <w:tc>
                <w:tcPr>
                  <w:tcW w:w="631" w:type="dxa"/>
                  <w:tcBorders>
                    <w:tl2br w:val="nil"/>
                    <w:tr2bl w:val="nil"/>
                  </w:tcBorders>
                  <w:shd w:val="clear" w:color="auto" w:fill="auto"/>
                  <w:noWrap w:val="0"/>
                  <w:vAlign w:val="center"/>
                </w:tcPr>
                <w:p w14:paraId="29EF571D">
                  <w:pPr>
                    <w:widowControl/>
                    <w:spacing w:line="0" w:lineRule="atLeast"/>
                    <w:jc w:val="center"/>
                    <w:rPr>
                      <w:rFonts w:hint="eastAsia" w:ascii="Times New Roman" w:hAnsi="Times New Roman" w:eastAsia="宋体" w:cs="Times New Roman"/>
                      <w:color w:val="auto"/>
                      <w:spacing w:val="-10"/>
                      <w:kern w:val="2"/>
                      <w:sz w:val="18"/>
                      <w:szCs w:val="18"/>
                      <w:highlight w:val="none"/>
                      <w:lang w:val="en-US" w:eastAsia="zh-CN" w:bidi="ar-SA"/>
                    </w:rPr>
                  </w:pPr>
                  <w:r>
                    <w:rPr>
                      <w:rFonts w:hint="eastAsia" w:cs="Times New Roman"/>
                      <w:color w:val="auto"/>
                      <w:spacing w:val="-10"/>
                      <w:sz w:val="18"/>
                      <w:szCs w:val="18"/>
                      <w:highlight w:val="none"/>
                      <w:lang w:val="en-US" w:eastAsia="zh-CN"/>
                    </w:rPr>
                    <w:t>--</w:t>
                  </w:r>
                </w:p>
              </w:tc>
              <w:tc>
                <w:tcPr>
                  <w:tcW w:w="767" w:type="dxa"/>
                  <w:tcBorders>
                    <w:tl2br w:val="nil"/>
                    <w:tr2bl w:val="nil"/>
                  </w:tcBorders>
                  <w:shd w:val="clear" w:color="auto" w:fill="auto"/>
                  <w:noWrap w:val="0"/>
                  <w:vAlign w:val="center"/>
                </w:tcPr>
                <w:p w14:paraId="3D2012FF">
                  <w:pPr>
                    <w:widowControl/>
                    <w:spacing w:line="0" w:lineRule="atLeast"/>
                    <w:jc w:val="center"/>
                    <w:rPr>
                      <w:rFonts w:hint="eastAsia" w:ascii="Times New Roman" w:hAnsi="Times New Roman" w:eastAsia="宋体" w:cs="Times New Roman"/>
                      <w:color w:val="auto"/>
                      <w:spacing w:val="-10"/>
                      <w:kern w:val="2"/>
                      <w:sz w:val="18"/>
                      <w:szCs w:val="18"/>
                      <w:highlight w:val="none"/>
                      <w:lang w:val="en-US" w:eastAsia="zh-CN" w:bidi="ar-SA"/>
                    </w:rPr>
                  </w:pPr>
                  <w:r>
                    <w:rPr>
                      <w:rFonts w:hint="eastAsia" w:cs="Times New Roman"/>
                      <w:color w:val="auto"/>
                      <w:spacing w:val="-10"/>
                      <w:sz w:val="18"/>
                      <w:szCs w:val="18"/>
                      <w:highlight w:val="none"/>
                      <w:lang w:val="en-US" w:eastAsia="zh-CN"/>
                    </w:rPr>
                    <w:t>--</w:t>
                  </w:r>
                </w:p>
              </w:tc>
              <w:tc>
                <w:tcPr>
                  <w:tcW w:w="474" w:type="dxa"/>
                  <w:tcBorders>
                    <w:tl2br w:val="nil"/>
                    <w:tr2bl w:val="nil"/>
                  </w:tcBorders>
                  <w:shd w:val="clear" w:color="auto" w:fill="auto"/>
                  <w:noWrap w:val="0"/>
                  <w:vAlign w:val="center"/>
                </w:tcPr>
                <w:p w14:paraId="1A58BB3D">
                  <w:pPr>
                    <w:widowControl/>
                    <w:spacing w:line="0" w:lineRule="atLeast"/>
                    <w:jc w:val="center"/>
                    <w:rPr>
                      <w:rFonts w:hint="default" w:ascii="Times New Roman" w:hAnsi="Times New Roman" w:eastAsia="宋体" w:cs="Times New Roman"/>
                      <w:color w:val="auto"/>
                      <w:spacing w:val="-10"/>
                      <w:kern w:val="2"/>
                      <w:sz w:val="18"/>
                      <w:szCs w:val="18"/>
                      <w:highlight w:val="none"/>
                      <w:lang w:val="en-US" w:eastAsia="zh-CN" w:bidi="ar-SA"/>
                    </w:rPr>
                  </w:pPr>
                  <w:r>
                    <w:rPr>
                      <w:rFonts w:hint="eastAsia" w:cs="Times New Roman"/>
                      <w:color w:val="auto"/>
                      <w:spacing w:val="-10"/>
                      <w:kern w:val="2"/>
                      <w:sz w:val="18"/>
                      <w:szCs w:val="18"/>
                      <w:highlight w:val="none"/>
                      <w:lang w:val="en-US" w:eastAsia="zh-CN" w:bidi="ar-SA"/>
                    </w:rPr>
                    <w:t>14</w:t>
                  </w:r>
                </w:p>
              </w:tc>
              <w:tc>
                <w:tcPr>
                  <w:tcW w:w="1218" w:type="dxa"/>
                  <w:tcBorders>
                    <w:tl2br w:val="nil"/>
                    <w:tr2bl w:val="nil"/>
                  </w:tcBorders>
                  <w:noWrap w:val="0"/>
                  <w:vAlign w:val="center"/>
                </w:tcPr>
                <w:p w14:paraId="68FCF657">
                  <w:pPr>
                    <w:widowControl/>
                    <w:spacing w:line="0" w:lineRule="atLeast"/>
                    <w:jc w:val="center"/>
                    <w:rPr>
                      <w:rFonts w:hint="default" w:ascii="Times New Roman" w:hAnsi="Times New Roman" w:eastAsia="宋体" w:cs="Times New Roman"/>
                      <w:color w:val="auto"/>
                      <w:spacing w:val="-20"/>
                      <w:sz w:val="18"/>
                      <w:szCs w:val="18"/>
                      <w:highlight w:val="none"/>
                      <w:lang w:val="en-US" w:eastAsia="zh-CN"/>
                    </w:rPr>
                  </w:pPr>
                  <w:r>
                    <w:rPr>
                      <w:rFonts w:hint="eastAsia" w:cs="Times New Roman"/>
                      <w:color w:val="auto"/>
                      <w:spacing w:val="-20"/>
                      <w:sz w:val="18"/>
                      <w:szCs w:val="18"/>
                      <w:highlight w:val="none"/>
                      <w:lang w:val="en-US" w:eastAsia="zh-CN"/>
                    </w:rPr>
                    <w:t>污泥、</w:t>
                  </w:r>
                  <w:r>
                    <w:rPr>
                      <w:rFonts w:hint="eastAsia" w:ascii="Times New Roman" w:hAnsi="Times New Roman" w:eastAsia="宋体" w:cs="Times New Roman"/>
                      <w:color w:val="auto"/>
                      <w:spacing w:val="-20"/>
                      <w:sz w:val="18"/>
                      <w:szCs w:val="18"/>
                      <w:highlight w:val="none"/>
                      <w:lang w:val="en-US" w:eastAsia="zh-CN"/>
                    </w:rPr>
                    <w:t>泥饼</w:t>
                  </w:r>
                </w:p>
              </w:tc>
              <w:tc>
                <w:tcPr>
                  <w:tcW w:w="801" w:type="dxa"/>
                  <w:tcBorders>
                    <w:tl2br w:val="nil"/>
                    <w:tr2bl w:val="nil"/>
                  </w:tcBorders>
                  <w:noWrap w:val="0"/>
                  <w:vAlign w:val="center"/>
                </w:tcPr>
                <w:p w14:paraId="2A288D5F">
                  <w:pPr>
                    <w:widowControl/>
                    <w:spacing w:line="0" w:lineRule="atLeast"/>
                    <w:jc w:val="center"/>
                    <w:rPr>
                      <w:rFonts w:hint="default" w:ascii="Times New Roman" w:hAnsi="Times New Roman" w:eastAsia="宋体" w:cs="Times New Roman"/>
                      <w:color w:val="auto"/>
                      <w:spacing w:val="-20"/>
                      <w:sz w:val="18"/>
                      <w:szCs w:val="18"/>
                      <w:highlight w:val="none"/>
                      <w:lang w:val="en-US" w:eastAsia="zh-CN"/>
                    </w:rPr>
                  </w:pPr>
                  <w:r>
                    <w:rPr>
                      <w:rFonts w:hint="eastAsia" w:cs="Times New Roman"/>
                      <w:color w:val="auto"/>
                      <w:spacing w:val="-20"/>
                      <w:sz w:val="18"/>
                      <w:szCs w:val="18"/>
                      <w:highlight w:val="none"/>
                      <w:lang w:val="en-US" w:eastAsia="zh-CN"/>
                    </w:rPr>
                    <w:t>1719</w:t>
                  </w:r>
                </w:p>
              </w:tc>
              <w:tc>
                <w:tcPr>
                  <w:tcW w:w="620" w:type="dxa"/>
                  <w:tcBorders>
                    <w:tl2br w:val="nil"/>
                    <w:tr2bl w:val="nil"/>
                  </w:tcBorders>
                  <w:noWrap w:val="0"/>
                  <w:vAlign w:val="center"/>
                </w:tcPr>
                <w:p w14:paraId="2D2B0CCA">
                  <w:pPr>
                    <w:widowControl/>
                    <w:spacing w:line="0" w:lineRule="atLeast"/>
                    <w:jc w:val="center"/>
                    <w:rPr>
                      <w:rFonts w:hint="default" w:ascii="Times New Roman" w:hAnsi="Times New Roman" w:eastAsia="宋体" w:cs="Times New Roman"/>
                      <w:color w:val="auto"/>
                      <w:spacing w:val="-20"/>
                      <w:sz w:val="18"/>
                      <w:szCs w:val="18"/>
                      <w:highlight w:val="none"/>
                      <w:lang w:val="en-US" w:eastAsia="zh-CN"/>
                    </w:rPr>
                  </w:pPr>
                  <w:r>
                    <w:rPr>
                      <w:rFonts w:hint="default" w:ascii="Times New Roman" w:hAnsi="Times New Roman" w:eastAsia="宋体" w:cs="Times New Roman"/>
                      <w:color w:val="auto"/>
                      <w:spacing w:val="-20"/>
                      <w:sz w:val="18"/>
                      <w:szCs w:val="18"/>
                      <w:highlight w:val="none"/>
                      <w:lang w:val="en-US" w:eastAsia="zh-CN"/>
                    </w:rPr>
                    <w:t>15</w:t>
                  </w:r>
                </w:p>
              </w:tc>
              <w:tc>
                <w:tcPr>
                  <w:tcW w:w="765" w:type="dxa"/>
                  <w:tcBorders>
                    <w:tl2br w:val="nil"/>
                    <w:tr2bl w:val="nil"/>
                  </w:tcBorders>
                  <w:noWrap w:val="0"/>
                  <w:vAlign w:val="center"/>
                </w:tcPr>
                <w:p w14:paraId="63D080DC">
                  <w:pPr>
                    <w:widowControl/>
                    <w:spacing w:line="0" w:lineRule="atLeast"/>
                    <w:jc w:val="center"/>
                    <w:rPr>
                      <w:rFonts w:hint="default" w:ascii="Times New Roman" w:hAnsi="Times New Roman" w:eastAsia="宋体" w:cs="Times New Roman"/>
                      <w:color w:val="auto"/>
                      <w:spacing w:val="-10"/>
                      <w:sz w:val="18"/>
                      <w:szCs w:val="18"/>
                      <w:highlight w:val="none"/>
                      <w:lang w:val="en-US" w:eastAsia="zh-CN"/>
                    </w:rPr>
                  </w:pPr>
                  <w:r>
                    <w:rPr>
                      <w:rFonts w:hint="default" w:ascii="Times New Roman" w:hAnsi="Times New Roman" w:eastAsia="宋体" w:cs="Times New Roman"/>
                      <w:color w:val="auto"/>
                      <w:spacing w:val="-10"/>
                      <w:sz w:val="18"/>
                      <w:szCs w:val="18"/>
                      <w:highlight w:val="none"/>
                      <w:lang w:val="en-US" w:eastAsia="zh-CN"/>
                    </w:rPr>
                    <w:t>1461.2</w:t>
                  </w:r>
                </w:p>
              </w:tc>
            </w:tr>
            <w:tr w14:paraId="601C347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52" w:type="dxa"/>
                  <w:vMerge w:val="continue"/>
                  <w:tcBorders>
                    <w:tl2br w:val="nil"/>
                    <w:tr2bl w:val="nil"/>
                  </w:tcBorders>
                  <w:noWrap w:val="0"/>
                  <w:vAlign w:val="center"/>
                </w:tcPr>
                <w:p w14:paraId="48B1F9C8">
                  <w:pPr>
                    <w:widowControl/>
                    <w:spacing w:line="0" w:lineRule="atLeast"/>
                    <w:jc w:val="center"/>
                    <w:rPr>
                      <w:rFonts w:hint="eastAsia" w:ascii="Times New Roman" w:hAnsi="Times New Roman" w:eastAsia="宋体" w:cs="Times New Roman"/>
                      <w:color w:val="auto"/>
                      <w:spacing w:val="-10"/>
                      <w:sz w:val="18"/>
                      <w:szCs w:val="18"/>
                      <w:highlight w:val="none"/>
                      <w:lang w:val="en-US" w:eastAsia="zh-CN"/>
                    </w:rPr>
                  </w:pPr>
                </w:p>
              </w:tc>
              <w:tc>
                <w:tcPr>
                  <w:tcW w:w="419" w:type="dxa"/>
                  <w:tcBorders>
                    <w:tl2br w:val="nil"/>
                    <w:tr2bl w:val="nil"/>
                  </w:tcBorders>
                  <w:shd w:val="clear" w:color="auto" w:fill="auto"/>
                  <w:noWrap w:val="0"/>
                  <w:vAlign w:val="center"/>
                </w:tcPr>
                <w:p w14:paraId="58C94B87">
                  <w:pPr>
                    <w:widowControl/>
                    <w:spacing w:line="0" w:lineRule="atLeast"/>
                    <w:jc w:val="center"/>
                    <w:rPr>
                      <w:rFonts w:hint="eastAsia" w:cs="Times New Roman"/>
                      <w:color w:val="auto"/>
                      <w:spacing w:val="-10"/>
                      <w:kern w:val="2"/>
                      <w:sz w:val="18"/>
                      <w:szCs w:val="18"/>
                      <w:highlight w:val="none"/>
                      <w:lang w:val="en-US" w:eastAsia="zh-CN" w:bidi="ar-SA"/>
                    </w:rPr>
                  </w:pPr>
                  <w:r>
                    <w:rPr>
                      <w:rFonts w:hint="eastAsia" w:cs="Times New Roman"/>
                      <w:color w:val="auto"/>
                      <w:spacing w:val="-10"/>
                      <w:kern w:val="2"/>
                      <w:sz w:val="18"/>
                      <w:szCs w:val="18"/>
                      <w:highlight w:val="none"/>
                      <w:lang w:val="en-US" w:eastAsia="zh-CN" w:bidi="ar-SA"/>
                    </w:rPr>
                    <w:t>--</w:t>
                  </w:r>
                </w:p>
              </w:tc>
              <w:tc>
                <w:tcPr>
                  <w:tcW w:w="1082" w:type="dxa"/>
                  <w:tcBorders>
                    <w:tl2br w:val="nil"/>
                    <w:tr2bl w:val="nil"/>
                  </w:tcBorders>
                  <w:shd w:val="clear" w:color="auto" w:fill="auto"/>
                  <w:noWrap w:val="0"/>
                  <w:vAlign w:val="center"/>
                </w:tcPr>
                <w:p w14:paraId="33CFEDD2">
                  <w:pPr>
                    <w:widowControl/>
                    <w:spacing w:line="0" w:lineRule="atLeast"/>
                    <w:jc w:val="center"/>
                    <w:rPr>
                      <w:rFonts w:hint="eastAsia" w:cs="Times New Roman"/>
                      <w:color w:val="auto"/>
                      <w:spacing w:val="-10"/>
                      <w:kern w:val="2"/>
                      <w:sz w:val="18"/>
                      <w:szCs w:val="18"/>
                      <w:highlight w:val="none"/>
                      <w:lang w:val="en-US" w:eastAsia="zh-CN" w:bidi="ar-SA"/>
                    </w:rPr>
                  </w:pPr>
                  <w:r>
                    <w:rPr>
                      <w:rFonts w:hint="eastAsia" w:cs="Times New Roman"/>
                      <w:color w:val="auto"/>
                      <w:spacing w:val="-10"/>
                      <w:kern w:val="2"/>
                      <w:sz w:val="18"/>
                      <w:szCs w:val="18"/>
                      <w:highlight w:val="none"/>
                      <w:lang w:val="en-US" w:eastAsia="zh-CN" w:bidi="ar-SA"/>
                    </w:rPr>
                    <w:t>--</w:t>
                  </w:r>
                </w:p>
              </w:tc>
              <w:tc>
                <w:tcPr>
                  <w:tcW w:w="745" w:type="dxa"/>
                  <w:tcBorders>
                    <w:tl2br w:val="nil"/>
                    <w:tr2bl w:val="nil"/>
                  </w:tcBorders>
                  <w:shd w:val="clear" w:color="auto" w:fill="auto"/>
                  <w:noWrap w:val="0"/>
                  <w:vAlign w:val="center"/>
                </w:tcPr>
                <w:p w14:paraId="4338D651">
                  <w:pPr>
                    <w:widowControl/>
                    <w:spacing w:line="0" w:lineRule="atLeast"/>
                    <w:jc w:val="center"/>
                    <w:rPr>
                      <w:rFonts w:hint="eastAsia" w:cs="Times New Roman"/>
                      <w:color w:val="auto"/>
                      <w:spacing w:val="-10"/>
                      <w:sz w:val="18"/>
                      <w:szCs w:val="18"/>
                      <w:highlight w:val="none"/>
                      <w:lang w:val="en-US" w:eastAsia="zh-CN"/>
                    </w:rPr>
                  </w:pPr>
                  <w:r>
                    <w:rPr>
                      <w:rFonts w:hint="eastAsia" w:cs="Times New Roman"/>
                      <w:color w:val="auto"/>
                      <w:spacing w:val="-10"/>
                      <w:sz w:val="18"/>
                      <w:szCs w:val="18"/>
                      <w:highlight w:val="none"/>
                      <w:lang w:val="en-US" w:eastAsia="zh-CN"/>
                    </w:rPr>
                    <w:t>--</w:t>
                  </w:r>
                </w:p>
              </w:tc>
              <w:tc>
                <w:tcPr>
                  <w:tcW w:w="631" w:type="dxa"/>
                  <w:tcBorders>
                    <w:tl2br w:val="nil"/>
                    <w:tr2bl w:val="nil"/>
                  </w:tcBorders>
                  <w:shd w:val="clear" w:color="auto" w:fill="auto"/>
                  <w:noWrap w:val="0"/>
                  <w:vAlign w:val="center"/>
                </w:tcPr>
                <w:p w14:paraId="72F02305">
                  <w:pPr>
                    <w:widowControl/>
                    <w:spacing w:line="0" w:lineRule="atLeast"/>
                    <w:jc w:val="center"/>
                    <w:rPr>
                      <w:rFonts w:hint="eastAsia" w:cs="Times New Roman"/>
                      <w:color w:val="auto"/>
                      <w:spacing w:val="-10"/>
                      <w:sz w:val="18"/>
                      <w:szCs w:val="18"/>
                      <w:highlight w:val="none"/>
                      <w:lang w:val="en-US" w:eastAsia="zh-CN"/>
                    </w:rPr>
                  </w:pPr>
                  <w:r>
                    <w:rPr>
                      <w:rFonts w:hint="eastAsia" w:cs="Times New Roman"/>
                      <w:color w:val="auto"/>
                      <w:spacing w:val="-10"/>
                      <w:sz w:val="18"/>
                      <w:szCs w:val="18"/>
                      <w:highlight w:val="none"/>
                      <w:lang w:val="en-US" w:eastAsia="zh-CN"/>
                    </w:rPr>
                    <w:t>--</w:t>
                  </w:r>
                </w:p>
              </w:tc>
              <w:tc>
                <w:tcPr>
                  <w:tcW w:w="767" w:type="dxa"/>
                  <w:tcBorders>
                    <w:tl2br w:val="nil"/>
                    <w:tr2bl w:val="nil"/>
                  </w:tcBorders>
                  <w:shd w:val="clear" w:color="auto" w:fill="auto"/>
                  <w:noWrap w:val="0"/>
                  <w:vAlign w:val="center"/>
                </w:tcPr>
                <w:p w14:paraId="41C5160D">
                  <w:pPr>
                    <w:widowControl/>
                    <w:spacing w:line="0" w:lineRule="atLeast"/>
                    <w:jc w:val="center"/>
                    <w:rPr>
                      <w:rFonts w:hint="eastAsia" w:cs="Times New Roman"/>
                      <w:color w:val="auto"/>
                      <w:spacing w:val="-10"/>
                      <w:sz w:val="18"/>
                      <w:szCs w:val="18"/>
                      <w:highlight w:val="none"/>
                      <w:lang w:val="en-US" w:eastAsia="zh-CN"/>
                    </w:rPr>
                  </w:pPr>
                  <w:r>
                    <w:rPr>
                      <w:rFonts w:hint="eastAsia" w:cs="Times New Roman"/>
                      <w:color w:val="auto"/>
                      <w:spacing w:val="-10"/>
                      <w:sz w:val="18"/>
                      <w:szCs w:val="18"/>
                      <w:highlight w:val="none"/>
                      <w:lang w:val="en-US" w:eastAsia="zh-CN"/>
                    </w:rPr>
                    <w:t>--</w:t>
                  </w:r>
                </w:p>
              </w:tc>
              <w:tc>
                <w:tcPr>
                  <w:tcW w:w="474" w:type="dxa"/>
                  <w:tcBorders>
                    <w:tl2br w:val="nil"/>
                    <w:tr2bl w:val="nil"/>
                  </w:tcBorders>
                  <w:shd w:val="clear" w:color="auto" w:fill="auto"/>
                  <w:noWrap w:val="0"/>
                  <w:vAlign w:val="center"/>
                </w:tcPr>
                <w:p w14:paraId="653BC800">
                  <w:pPr>
                    <w:widowControl/>
                    <w:spacing w:line="0" w:lineRule="atLeast"/>
                    <w:jc w:val="center"/>
                    <w:rPr>
                      <w:rFonts w:hint="default" w:ascii="Times New Roman" w:hAnsi="Times New Roman" w:eastAsia="宋体" w:cs="Times New Roman"/>
                      <w:color w:val="auto"/>
                      <w:spacing w:val="-10"/>
                      <w:kern w:val="2"/>
                      <w:sz w:val="18"/>
                      <w:szCs w:val="18"/>
                      <w:highlight w:val="none"/>
                      <w:lang w:val="en-US" w:eastAsia="zh-CN" w:bidi="ar-SA"/>
                    </w:rPr>
                  </w:pPr>
                  <w:r>
                    <w:rPr>
                      <w:rFonts w:hint="eastAsia" w:cs="Times New Roman"/>
                      <w:color w:val="auto"/>
                      <w:spacing w:val="-10"/>
                      <w:kern w:val="2"/>
                      <w:sz w:val="18"/>
                      <w:szCs w:val="18"/>
                      <w:highlight w:val="none"/>
                      <w:lang w:val="en-US" w:eastAsia="zh-CN" w:bidi="ar-SA"/>
                    </w:rPr>
                    <w:t>15</w:t>
                  </w:r>
                </w:p>
              </w:tc>
              <w:tc>
                <w:tcPr>
                  <w:tcW w:w="1218" w:type="dxa"/>
                  <w:tcBorders>
                    <w:tl2br w:val="nil"/>
                    <w:tr2bl w:val="nil"/>
                  </w:tcBorders>
                  <w:noWrap w:val="0"/>
                  <w:vAlign w:val="center"/>
                </w:tcPr>
                <w:p w14:paraId="072BA69C">
                  <w:pPr>
                    <w:widowControl/>
                    <w:spacing w:line="0" w:lineRule="atLeast"/>
                    <w:jc w:val="center"/>
                    <w:rPr>
                      <w:rFonts w:hint="default" w:ascii="Times New Roman" w:hAnsi="Times New Roman" w:eastAsia="宋体" w:cs="Times New Roman"/>
                      <w:color w:val="auto"/>
                      <w:spacing w:val="-20"/>
                      <w:sz w:val="18"/>
                      <w:szCs w:val="18"/>
                      <w:highlight w:val="none"/>
                      <w:lang w:val="en-US" w:eastAsia="zh-CN"/>
                    </w:rPr>
                  </w:pPr>
                  <w:r>
                    <w:rPr>
                      <w:rFonts w:hint="eastAsia" w:ascii="Times New Roman" w:hAnsi="Times New Roman" w:eastAsia="宋体" w:cs="Times New Roman"/>
                      <w:color w:val="auto"/>
                      <w:spacing w:val="-20"/>
                      <w:sz w:val="18"/>
                      <w:szCs w:val="18"/>
                      <w:highlight w:val="none"/>
                      <w:lang w:val="en-US" w:eastAsia="zh-CN"/>
                    </w:rPr>
                    <w:t>除尘灰</w:t>
                  </w:r>
                </w:p>
              </w:tc>
              <w:tc>
                <w:tcPr>
                  <w:tcW w:w="801" w:type="dxa"/>
                  <w:tcBorders>
                    <w:tl2br w:val="nil"/>
                    <w:tr2bl w:val="nil"/>
                  </w:tcBorders>
                  <w:noWrap w:val="0"/>
                  <w:vAlign w:val="center"/>
                </w:tcPr>
                <w:p w14:paraId="0DFBCD00">
                  <w:pPr>
                    <w:widowControl/>
                    <w:spacing w:line="0" w:lineRule="atLeast"/>
                    <w:jc w:val="center"/>
                    <w:rPr>
                      <w:rFonts w:hint="default" w:ascii="Times New Roman" w:hAnsi="Times New Roman" w:eastAsia="宋体" w:cs="Times New Roman"/>
                      <w:color w:val="auto"/>
                      <w:spacing w:val="-20"/>
                      <w:sz w:val="18"/>
                      <w:szCs w:val="18"/>
                      <w:highlight w:val="none"/>
                      <w:lang w:val="en-US" w:eastAsia="zh-CN"/>
                    </w:rPr>
                  </w:pPr>
                  <w:r>
                    <w:rPr>
                      <w:rFonts w:hint="default" w:ascii="Times New Roman" w:hAnsi="Times New Roman" w:eastAsia="宋体" w:cs="Times New Roman"/>
                      <w:color w:val="auto"/>
                      <w:spacing w:val="-20"/>
                      <w:sz w:val="18"/>
                      <w:szCs w:val="18"/>
                      <w:highlight w:val="none"/>
                      <w:lang w:val="en-US" w:eastAsia="zh-CN"/>
                    </w:rPr>
                    <w:t>32</w:t>
                  </w:r>
                  <w:r>
                    <w:rPr>
                      <w:rFonts w:hint="eastAsia" w:cs="Times New Roman"/>
                      <w:color w:val="auto"/>
                      <w:spacing w:val="-20"/>
                      <w:sz w:val="18"/>
                      <w:szCs w:val="18"/>
                      <w:highlight w:val="none"/>
                      <w:lang w:val="en-US" w:eastAsia="zh-CN"/>
                    </w:rPr>
                    <w:t>2.317</w:t>
                  </w:r>
                </w:p>
              </w:tc>
              <w:tc>
                <w:tcPr>
                  <w:tcW w:w="620" w:type="dxa"/>
                  <w:tcBorders>
                    <w:tl2br w:val="nil"/>
                    <w:tr2bl w:val="nil"/>
                  </w:tcBorders>
                  <w:noWrap w:val="0"/>
                  <w:vAlign w:val="center"/>
                </w:tcPr>
                <w:p w14:paraId="472D13AD">
                  <w:pPr>
                    <w:widowControl/>
                    <w:spacing w:line="0" w:lineRule="atLeast"/>
                    <w:jc w:val="center"/>
                    <w:rPr>
                      <w:rFonts w:hint="default" w:ascii="Times New Roman" w:hAnsi="Times New Roman" w:eastAsia="宋体" w:cs="Times New Roman"/>
                      <w:color w:val="auto"/>
                      <w:spacing w:val="-20"/>
                      <w:sz w:val="18"/>
                      <w:szCs w:val="18"/>
                      <w:highlight w:val="none"/>
                      <w:lang w:val="en-US" w:eastAsia="zh-CN"/>
                    </w:rPr>
                  </w:pPr>
                  <w:r>
                    <w:rPr>
                      <w:rFonts w:hint="default" w:ascii="Times New Roman" w:hAnsi="Times New Roman" w:eastAsia="宋体" w:cs="Times New Roman"/>
                      <w:color w:val="auto"/>
                      <w:spacing w:val="-20"/>
                      <w:sz w:val="18"/>
                      <w:szCs w:val="18"/>
                      <w:highlight w:val="none"/>
                      <w:lang w:val="en-US" w:eastAsia="zh-CN"/>
                    </w:rPr>
                    <w:t>5</w:t>
                  </w:r>
                </w:p>
              </w:tc>
              <w:tc>
                <w:tcPr>
                  <w:tcW w:w="765" w:type="dxa"/>
                  <w:tcBorders>
                    <w:tl2br w:val="nil"/>
                    <w:tr2bl w:val="nil"/>
                  </w:tcBorders>
                  <w:noWrap w:val="0"/>
                  <w:vAlign w:val="center"/>
                </w:tcPr>
                <w:p w14:paraId="53D6332E">
                  <w:pPr>
                    <w:widowControl/>
                    <w:spacing w:line="0" w:lineRule="atLeast"/>
                    <w:jc w:val="center"/>
                    <w:rPr>
                      <w:rFonts w:hint="default" w:ascii="Times New Roman" w:hAnsi="Times New Roman" w:eastAsia="宋体" w:cs="Times New Roman"/>
                      <w:color w:val="auto"/>
                      <w:spacing w:val="-10"/>
                      <w:sz w:val="18"/>
                      <w:szCs w:val="18"/>
                      <w:highlight w:val="none"/>
                      <w:lang w:val="en-US" w:eastAsia="zh-CN"/>
                    </w:rPr>
                  </w:pPr>
                  <w:r>
                    <w:rPr>
                      <w:rFonts w:hint="default" w:ascii="Times New Roman" w:hAnsi="Times New Roman" w:eastAsia="宋体" w:cs="Times New Roman"/>
                      <w:color w:val="auto"/>
                      <w:spacing w:val="-10"/>
                      <w:sz w:val="18"/>
                      <w:szCs w:val="18"/>
                      <w:highlight w:val="none"/>
                      <w:lang w:val="en-US" w:eastAsia="zh-CN"/>
                    </w:rPr>
                    <w:t>306.2</w:t>
                  </w:r>
                </w:p>
              </w:tc>
            </w:tr>
            <w:tr w14:paraId="6935361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52" w:type="dxa"/>
                  <w:vMerge w:val="continue"/>
                  <w:tcBorders>
                    <w:tl2br w:val="nil"/>
                    <w:tr2bl w:val="nil"/>
                  </w:tcBorders>
                  <w:noWrap w:val="0"/>
                  <w:vAlign w:val="center"/>
                </w:tcPr>
                <w:p w14:paraId="2B3245F8">
                  <w:pPr>
                    <w:widowControl/>
                    <w:spacing w:line="0" w:lineRule="atLeast"/>
                    <w:jc w:val="center"/>
                    <w:rPr>
                      <w:rFonts w:hint="eastAsia" w:ascii="Times New Roman" w:hAnsi="Times New Roman" w:eastAsia="宋体" w:cs="Times New Roman"/>
                      <w:color w:val="auto"/>
                      <w:spacing w:val="-10"/>
                      <w:sz w:val="18"/>
                      <w:szCs w:val="18"/>
                      <w:highlight w:val="none"/>
                      <w:lang w:val="en-US" w:eastAsia="zh-CN"/>
                    </w:rPr>
                  </w:pPr>
                </w:p>
              </w:tc>
              <w:tc>
                <w:tcPr>
                  <w:tcW w:w="419" w:type="dxa"/>
                  <w:tcBorders>
                    <w:tl2br w:val="nil"/>
                    <w:tr2bl w:val="nil"/>
                  </w:tcBorders>
                  <w:shd w:val="clear" w:color="auto" w:fill="auto"/>
                  <w:noWrap w:val="0"/>
                  <w:vAlign w:val="center"/>
                </w:tcPr>
                <w:p w14:paraId="34AD11C8">
                  <w:pPr>
                    <w:widowControl/>
                    <w:spacing w:line="0" w:lineRule="atLeast"/>
                    <w:jc w:val="center"/>
                    <w:rPr>
                      <w:rFonts w:hint="eastAsia" w:cs="Times New Roman"/>
                      <w:color w:val="auto"/>
                      <w:spacing w:val="-10"/>
                      <w:kern w:val="2"/>
                      <w:sz w:val="18"/>
                      <w:szCs w:val="18"/>
                      <w:highlight w:val="none"/>
                      <w:lang w:val="en-US" w:eastAsia="zh-CN" w:bidi="ar-SA"/>
                    </w:rPr>
                  </w:pPr>
                  <w:r>
                    <w:rPr>
                      <w:rFonts w:hint="eastAsia" w:cs="Times New Roman"/>
                      <w:color w:val="auto"/>
                      <w:spacing w:val="-10"/>
                      <w:kern w:val="2"/>
                      <w:sz w:val="18"/>
                      <w:szCs w:val="18"/>
                      <w:highlight w:val="none"/>
                      <w:lang w:val="en-US" w:eastAsia="zh-CN" w:bidi="ar-SA"/>
                    </w:rPr>
                    <w:t>--</w:t>
                  </w:r>
                </w:p>
              </w:tc>
              <w:tc>
                <w:tcPr>
                  <w:tcW w:w="1082" w:type="dxa"/>
                  <w:tcBorders>
                    <w:tl2br w:val="nil"/>
                    <w:tr2bl w:val="nil"/>
                  </w:tcBorders>
                  <w:shd w:val="clear" w:color="auto" w:fill="auto"/>
                  <w:noWrap w:val="0"/>
                  <w:vAlign w:val="center"/>
                </w:tcPr>
                <w:p w14:paraId="26FAF362">
                  <w:pPr>
                    <w:widowControl/>
                    <w:spacing w:line="0" w:lineRule="atLeast"/>
                    <w:jc w:val="center"/>
                    <w:rPr>
                      <w:rFonts w:hint="eastAsia" w:cs="Times New Roman"/>
                      <w:color w:val="auto"/>
                      <w:spacing w:val="-10"/>
                      <w:kern w:val="2"/>
                      <w:sz w:val="18"/>
                      <w:szCs w:val="18"/>
                      <w:highlight w:val="none"/>
                      <w:lang w:val="en-US" w:eastAsia="zh-CN" w:bidi="ar-SA"/>
                    </w:rPr>
                  </w:pPr>
                  <w:r>
                    <w:rPr>
                      <w:rFonts w:hint="eastAsia" w:cs="Times New Roman"/>
                      <w:color w:val="auto"/>
                      <w:spacing w:val="-10"/>
                      <w:kern w:val="2"/>
                      <w:sz w:val="18"/>
                      <w:szCs w:val="18"/>
                      <w:highlight w:val="none"/>
                      <w:lang w:val="en-US" w:eastAsia="zh-CN" w:bidi="ar-SA"/>
                    </w:rPr>
                    <w:t>--</w:t>
                  </w:r>
                </w:p>
              </w:tc>
              <w:tc>
                <w:tcPr>
                  <w:tcW w:w="745" w:type="dxa"/>
                  <w:tcBorders>
                    <w:tl2br w:val="nil"/>
                    <w:tr2bl w:val="nil"/>
                  </w:tcBorders>
                  <w:shd w:val="clear" w:color="auto" w:fill="auto"/>
                  <w:noWrap w:val="0"/>
                  <w:vAlign w:val="center"/>
                </w:tcPr>
                <w:p w14:paraId="57E3211D">
                  <w:pPr>
                    <w:widowControl/>
                    <w:spacing w:line="0" w:lineRule="atLeast"/>
                    <w:jc w:val="center"/>
                    <w:rPr>
                      <w:rFonts w:hint="eastAsia" w:cs="Times New Roman"/>
                      <w:color w:val="auto"/>
                      <w:spacing w:val="-10"/>
                      <w:sz w:val="18"/>
                      <w:szCs w:val="18"/>
                      <w:highlight w:val="none"/>
                      <w:lang w:val="en-US" w:eastAsia="zh-CN"/>
                    </w:rPr>
                  </w:pPr>
                  <w:r>
                    <w:rPr>
                      <w:rFonts w:hint="eastAsia" w:cs="Times New Roman"/>
                      <w:color w:val="auto"/>
                      <w:spacing w:val="-10"/>
                      <w:sz w:val="18"/>
                      <w:szCs w:val="18"/>
                      <w:highlight w:val="none"/>
                      <w:lang w:val="en-US" w:eastAsia="zh-CN"/>
                    </w:rPr>
                    <w:t>--</w:t>
                  </w:r>
                </w:p>
              </w:tc>
              <w:tc>
                <w:tcPr>
                  <w:tcW w:w="631" w:type="dxa"/>
                  <w:tcBorders>
                    <w:tl2br w:val="nil"/>
                    <w:tr2bl w:val="nil"/>
                  </w:tcBorders>
                  <w:shd w:val="clear" w:color="auto" w:fill="auto"/>
                  <w:noWrap w:val="0"/>
                  <w:vAlign w:val="center"/>
                </w:tcPr>
                <w:p w14:paraId="382D5826">
                  <w:pPr>
                    <w:widowControl/>
                    <w:spacing w:line="0" w:lineRule="atLeast"/>
                    <w:jc w:val="center"/>
                    <w:rPr>
                      <w:rFonts w:hint="eastAsia" w:cs="Times New Roman"/>
                      <w:color w:val="auto"/>
                      <w:spacing w:val="-10"/>
                      <w:sz w:val="18"/>
                      <w:szCs w:val="18"/>
                      <w:highlight w:val="none"/>
                      <w:lang w:val="en-US" w:eastAsia="zh-CN"/>
                    </w:rPr>
                  </w:pPr>
                  <w:r>
                    <w:rPr>
                      <w:rFonts w:hint="eastAsia" w:cs="Times New Roman"/>
                      <w:color w:val="auto"/>
                      <w:spacing w:val="-10"/>
                      <w:sz w:val="18"/>
                      <w:szCs w:val="18"/>
                      <w:highlight w:val="none"/>
                      <w:lang w:val="en-US" w:eastAsia="zh-CN"/>
                    </w:rPr>
                    <w:t>--</w:t>
                  </w:r>
                </w:p>
              </w:tc>
              <w:tc>
                <w:tcPr>
                  <w:tcW w:w="767" w:type="dxa"/>
                  <w:tcBorders>
                    <w:tl2br w:val="nil"/>
                    <w:tr2bl w:val="nil"/>
                  </w:tcBorders>
                  <w:shd w:val="clear" w:color="auto" w:fill="auto"/>
                  <w:noWrap w:val="0"/>
                  <w:vAlign w:val="center"/>
                </w:tcPr>
                <w:p w14:paraId="4E0E8B75">
                  <w:pPr>
                    <w:widowControl/>
                    <w:spacing w:line="0" w:lineRule="atLeast"/>
                    <w:jc w:val="center"/>
                    <w:rPr>
                      <w:rFonts w:hint="eastAsia" w:cs="Times New Roman"/>
                      <w:color w:val="auto"/>
                      <w:spacing w:val="-10"/>
                      <w:sz w:val="18"/>
                      <w:szCs w:val="18"/>
                      <w:highlight w:val="none"/>
                      <w:lang w:val="en-US" w:eastAsia="zh-CN"/>
                    </w:rPr>
                  </w:pPr>
                  <w:r>
                    <w:rPr>
                      <w:rFonts w:hint="eastAsia" w:cs="Times New Roman"/>
                      <w:color w:val="auto"/>
                      <w:spacing w:val="-10"/>
                      <w:sz w:val="18"/>
                      <w:szCs w:val="18"/>
                      <w:highlight w:val="none"/>
                      <w:lang w:val="en-US" w:eastAsia="zh-CN"/>
                    </w:rPr>
                    <w:t>--</w:t>
                  </w:r>
                </w:p>
              </w:tc>
              <w:tc>
                <w:tcPr>
                  <w:tcW w:w="474" w:type="dxa"/>
                  <w:tcBorders>
                    <w:tl2br w:val="nil"/>
                    <w:tr2bl w:val="nil"/>
                  </w:tcBorders>
                  <w:noWrap w:val="0"/>
                  <w:vAlign w:val="center"/>
                </w:tcPr>
                <w:p w14:paraId="01E4C6A1">
                  <w:pPr>
                    <w:widowControl/>
                    <w:spacing w:line="0" w:lineRule="atLeast"/>
                    <w:jc w:val="center"/>
                    <w:rPr>
                      <w:rFonts w:hint="default" w:ascii="Times New Roman" w:hAnsi="Times New Roman" w:eastAsia="宋体" w:cs="Times New Roman"/>
                      <w:color w:val="auto"/>
                      <w:spacing w:val="-10"/>
                      <w:kern w:val="2"/>
                      <w:sz w:val="18"/>
                      <w:szCs w:val="18"/>
                      <w:highlight w:val="none"/>
                      <w:lang w:val="en-US" w:eastAsia="zh-CN" w:bidi="ar-SA"/>
                    </w:rPr>
                  </w:pPr>
                  <w:r>
                    <w:rPr>
                      <w:rFonts w:hint="eastAsia" w:cs="Times New Roman"/>
                      <w:color w:val="auto"/>
                      <w:spacing w:val="-10"/>
                      <w:kern w:val="2"/>
                      <w:sz w:val="18"/>
                      <w:szCs w:val="18"/>
                      <w:highlight w:val="none"/>
                      <w:lang w:val="en-US" w:eastAsia="zh-CN" w:bidi="ar-SA"/>
                    </w:rPr>
                    <w:t>16</w:t>
                  </w:r>
                </w:p>
              </w:tc>
              <w:tc>
                <w:tcPr>
                  <w:tcW w:w="1218" w:type="dxa"/>
                  <w:tcBorders>
                    <w:tl2br w:val="nil"/>
                    <w:tr2bl w:val="nil"/>
                  </w:tcBorders>
                  <w:noWrap w:val="0"/>
                  <w:vAlign w:val="center"/>
                </w:tcPr>
                <w:p w14:paraId="5311EFDC">
                  <w:pPr>
                    <w:widowControl/>
                    <w:spacing w:line="0" w:lineRule="atLeast"/>
                    <w:jc w:val="center"/>
                    <w:rPr>
                      <w:rFonts w:hint="default" w:ascii="Times New Roman" w:hAnsi="Times New Roman" w:eastAsia="宋体" w:cs="Times New Roman"/>
                      <w:color w:val="auto"/>
                      <w:spacing w:val="-20"/>
                      <w:sz w:val="18"/>
                      <w:szCs w:val="18"/>
                      <w:highlight w:val="none"/>
                      <w:lang w:val="en-US" w:eastAsia="zh-CN"/>
                    </w:rPr>
                  </w:pPr>
                  <w:r>
                    <w:rPr>
                      <w:rFonts w:hint="eastAsia" w:ascii="Times New Roman" w:hAnsi="Times New Roman" w:eastAsia="宋体" w:cs="Times New Roman"/>
                      <w:color w:val="auto"/>
                      <w:spacing w:val="-20"/>
                      <w:sz w:val="18"/>
                      <w:szCs w:val="18"/>
                      <w:highlight w:val="none"/>
                      <w:lang w:val="en-US" w:eastAsia="zh-CN"/>
                    </w:rPr>
                    <w:t>沉降灰</w:t>
                  </w:r>
                </w:p>
              </w:tc>
              <w:tc>
                <w:tcPr>
                  <w:tcW w:w="801" w:type="dxa"/>
                  <w:tcBorders>
                    <w:tl2br w:val="nil"/>
                    <w:tr2bl w:val="nil"/>
                  </w:tcBorders>
                  <w:noWrap w:val="0"/>
                  <w:vAlign w:val="center"/>
                </w:tcPr>
                <w:p w14:paraId="35DCD0F7">
                  <w:pPr>
                    <w:widowControl/>
                    <w:spacing w:line="0" w:lineRule="atLeast"/>
                    <w:jc w:val="center"/>
                    <w:rPr>
                      <w:rFonts w:hint="default" w:ascii="Times New Roman" w:hAnsi="Times New Roman" w:eastAsia="宋体" w:cs="Times New Roman"/>
                      <w:color w:val="auto"/>
                      <w:spacing w:val="-20"/>
                      <w:sz w:val="18"/>
                      <w:szCs w:val="18"/>
                      <w:highlight w:val="none"/>
                      <w:lang w:val="en-US" w:eastAsia="zh-CN"/>
                    </w:rPr>
                  </w:pPr>
                  <w:r>
                    <w:rPr>
                      <w:rFonts w:hint="eastAsia" w:cs="Times New Roman"/>
                      <w:color w:val="auto"/>
                      <w:spacing w:val="-20"/>
                      <w:sz w:val="18"/>
                      <w:szCs w:val="18"/>
                      <w:highlight w:val="none"/>
                      <w:lang w:val="en-US" w:eastAsia="zh-CN"/>
                    </w:rPr>
                    <w:t>22.336</w:t>
                  </w:r>
                </w:p>
              </w:tc>
              <w:tc>
                <w:tcPr>
                  <w:tcW w:w="620" w:type="dxa"/>
                  <w:tcBorders>
                    <w:tl2br w:val="nil"/>
                    <w:tr2bl w:val="nil"/>
                  </w:tcBorders>
                  <w:noWrap w:val="0"/>
                  <w:vAlign w:val="center"/>
                </w:tcPr>
                <w:p w14:paraId="4D49C209">
                  <w:pPr>
                    <w:widowControl/>
                    <w:spacing w:line="0" w:lineRule="atLeast"/>
                    <w:jc w:val="center"/>
                    <w:rPr>
                      <w:rFonts w:hint="default" w:ascii="Times New Roman" w:hAnsi="Times New Roman" w:eastAsia="宋体" w:cs="Times New Roman"/>
                      <w:color w:val="auto"/>
                      <w:spacing w:val="-20"/>
                      <w:sz w:val="18"/>
                      <w:szCs w:val="18"/>
                      <w:highlight w:val="none"/>
                      <w:lang w:val="en-US" w:eastAsia="zh-CN"/>
                    </w:rPr>
                  </w:pPr>
                  <w:r>
                    <w:rPr>
                      <w:rFonts w:hint="default" w:ascii="Times New Roman" w:hAnsi="Times New Roman" w:eastAsia="宋体" w:cs="Times New Roman"/>
                      <w:color w:val="auto"/>
                      <w:spacing w:val="-20"/>
                      <w:sz w:val="18"/>
                      <w:szCs w:val="18"/>
                      <w:highlight w:val="none"/>
                      <w:lang w:val="en-US" w:eastAsia="zh-CN"/>
                    </w:rPr>
                    <w:t>5</w:t>
                  </w:r>
                </w:p>
              </w:tc>
              <w:tc>
                <w:tcPr>
                  <w:tcW w:w="765" w:type="dxa"/>
                  <w:tcBorders>
                    <w:tl2br w:val="nil"/>
                    <w:tr2bl w:val="nil"/>
                  </w:tcBorders>
                  <w:noWrap w:val="0"/>
                  <w:vAlign w:val="center"/>
                </w:tcPr>
                <w:p w14:paraId="3578073E">
                  <w:pPr>
                    <w:widowControl/>
                    <w:spacing w:line="0" w:lineRule="atLeast"/>
                    <w:jc w:val="center"/>
                    <w:rPr>
                      <w:rFonts w:hint="default" w:ascii="Times New Roman" w:hAnsi="Times New Roman" w:eastAsia="宋体" w:cs="Times New Roman"/>
                      <w:color w:val="auto"/>
                      <w:spacing w:val="-10"/>
                      <w:sz w:val="18"/>
                      <w:szCs w:val="18"/>
                      <w:highlight w:val="none"/>
                      <w:lang w:val="en-US" w:eastAsia="zh-CN"/>
                    </w:rPr>
                  </w:pPr>
                  <w:r>
                    <w:rPr>
                      <w:rFonts w:hint="default" w:ascii="Times New Roman" w:hAnsi="Times New Roman" w:eastAsia="宋体" w:cs="Times New Roman"/>
                      <w:color w:val="auto"/>
                      <w:spacing w:val="-10"/>
                      <w:sz w:val="18"/>
                      <w:szCs w:val="18"/>
                      <w:highlight w:val="none"/>
                      <w:lang w:val="en-US" w:eastAsia="zh-CN"/>
                    </w:rPr>
                    <w:t>21.2</w:t>
                  </w:r>
                </w:p>
              </w:tc>
            </w:tr>
            <w:tr w14:paraId="5D728A6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52" w:type="dxa"/>
                  <w:vMerge w:val="continue"/>
                  <w:tcBorders>
                    <w:tl2br w:val="nil"/>
                    <w:tr2bl w:val="nil"/>
                  </w:tcBorders>
                  <w:noWrap w:val="0"/>
                  <w:vAlign w:val="center"/>
                </w:tcPr>
                <w:p w14:paraId="5AB67BF2">
                  <w:pPr>
                    <w:widowControl/>
                    <w:spacing w:line="0" w:lineRule="atLeast"/>
                    <w:jc w:val="center"/>
                    <w:rPr>
                      <w:rFonts w:hint="eastAsia" w:ascii="Times New Roman" w:hAnsi="Times New Roman" w:eastAsia="宋体" w:cs="Times New Roman"/>
                      <w:color w:val="auto"/>
                      <w:spacing w:val="-10"/>
                      <w:sz w:val="18"/>
                      <w:szCs w:val="18"/>
                      <w:highlight w:val="none"/>
                      <w:lang w:val="en-US" w:eastAsia="zh-CN"/>
                    </w:rPr>
                  </w:pPr>
                </w:p>
              </w:tc>
              <w:tc>
                <w:tcPr>
                  <w:tcW w:w="419" w:type="dxa"/>
                  <w:tcBorders>
                    <w:tl2br w:val="nil"/>
                    <w:tr2bl w:val="nil"/>
                  </w:tcBorders>
                  <w:shd w:val="clear" w:color="auto" w:fill="auto"/>
                  <w:noWrap w:val="0"/>
                  <w:vAlign w:val="center"/>
                </w:tcPr>
                <w:p w14:paraId="774BD3B8">
                  <w:pPr>
                    <w:widowControl/>
                    <w:spacing w:line="0" w:lineRule="atLeast"/>
                    <w:jc w:val="center"/>
                    <w:rPr>
                      <w:rFonts w:hint="eastAsia" w:cs="Times New Roman"/>
                      <w:color w:val="auto"/>
                      <w:spacing w:val="-10"/>
                      <w:kern w:val="2"/>
                      <w:sz w:val="18"/>
                      <w:szCs w:val="18"/>
                      <w:highlight w:val="none"/>
                      <w:lang w:val="en-US" w:eastAsia="zh-CN" w:bidi="ar-SA"/>
                    </w:rPr>
                  </w:pPr>
                  <w:r>
                    <w:rPr>
                      <w:rFonts w:hint="eastAsia" w:cs="Times New Roman"/>
                      <w:color w:val="auto"/>
                      <w:spacing w:val="-10"/>
                      <w:kern w:val="2"/>
                      <w:sz w:val="18"/>
                      <w:szCs w:val="18"/>
                      <w:highlight w:val="none"/>
                      <w:lang w:val="en-US" w:eastAsia="zh-CN" w:bidi="ar-SA"/>
                    </w:rPr>
                    <w:t>--</w:t>
                  </w:r>
                </w:p>
              </w:tc>
              <w:tc>
                <w:tcPr>
                  <w:tcW w:w="1082" w:type="dxa"/>
                  <w:tcBorders>
                    <w:tl2br w:val="nil"/>
                    <w:tr2bl w:val="nil"/>
                  </w:tcBorders>
                  <w:shd w:val="clear" w:color="auto" w:fill="auto"/>
                  <w:noWrap w:val="0"/>
                  <w:vAlign w:val="center"/>
                </w:tcPr>
                <w:p w14:paraId="2430C614">
                  <w:pPr>
                    <w:widowControl/>
                    <w:spacing w:line="0" w:lineRule="atLeast"/>
                    <w:jc w:val="center"/>
                    <w:rPr>
                      <w:rFonts w:hint="eastAsia" w:cs="Times New Roman"/>
                      <w:color w:val="auto"/>
                      <w:spacing w:val="-10"/>
                      <w:kern w:val="2"/>
                      <w:sz w:val="18"/>
                      <w:szCs w:val="18"/>
                      <w:highlight w:val="none"/>
                      <w:lang w:val="en-US" w:eastAsia="zh-CN" w:bidi="ar-SA"/>
                    </w:rPr>
                  </w:pPr>
                  <w:r>
                    <w:rPr>
                      <w:rFonts w:hint="eastAsia" w:cs="Times New Roman"/>
                      <w:color w:val="auto"/>
                      <w:spacing w:val="-10"/>
                      <w:kern w:val="2"/>
                      <w:sz w:val="18"/>
                      <w:szCs w:val="18"/>
                      <w:highlight w:val="none"/>
                      <w:lang w:val="en-US" w:eastAsia="zh-CN" w:bidi="ar-SA"/>
                    </w:rPr>
                    <w:t>--</w:t>
                  </w:r>
                </w:p>
              </w:tc>
              <w:tc>
                <w:tcPr>
                  <w:tcW w:w="745" w:type="dxa"/>
                  <w:tcBorders>
                    <w:tl2br w:val="nil"/>
                    <w:tr2bl w:val="nil"/>
                  </w:tcBorders>
                  <w:shd w:val="clear" w:color="auto" w:fill="auto"/>
                  <w:noWrap w:val="0"/>
                  <w:vAlign w:val="center"/>
                </w:tcPr>
                <w:p w14:paraId="4AF121C4">
                  <w:pPr>
                    <w:widowControl/>
                    <w:spacing w:line="0" w:lineRule="atLeast"/>
                    <w:jc w:val="center"/>
                    <w:rPr>
                      <w:rFonts w:hint="eastAsia" w:cs="Times New Roman"/>
                      <w:color w:val="auto"/>
                      <w:spacing w:val="-10"/>
                      <w:sz w:val="18"/>
                      <w:szCs w:val="18"/>
                      <w:highlight w:val="none"/>
                      <w:lang w:val="en-US" w:eastAsia="zh-CN"/>
                    </w:rPr>
                  </w:pPr>
                  <w:r>
                    <w:rPr>
                      <w:rFonts w:hint="eastAsia" w:cs="Times New Roman"/>
                      <w:color w:val="auto"/>
                      <w:spacing w:val="-10"/>
                      <w:sz w:val="18"/>
                      <w:szCs w:val="18"/>
                      <w:highlight w:val="none"/>
                      <w:lang w:val="en-US" w:eastAsia="zh-CN"/>
                    </w:rPr>
                    <w:t>--</w:t>
                  </w:r>
                </w:p>
              </w:tc>
              <w:tc>
                <w:tcPr>
                  <w:tcW w:w="631" w:type="dxa"/>
                  <w:tcBorders>
                    <w:tl2br w:val="nil"/>
                    <w:tr2bl w:val="nil"/>
                  </w:tcBorders>
                  <w:shd w:val="clear" w:color="auto" w:fill="auto"/>
                  <w:noWrap w:val="0"/>
                  <w:vAlign w:val="center"/>
                </w:tcPr>
                <w:p w14:paraId="6DAE0607">
                  <w:pPr>
                    <w:widowControl/>
                    <w:spacing w:line="0" w:lineRule="atLeast"/>
                    <w:jc w:val="center"/>
                    <w:rPr>
                      <w:rFonts w:hint="eastAsia" w:cs="Times New Roman"/>
                      <w:color w:val="auto"/>
                      <w:spacing w:val="-10"/>
                      <w:sz w:val="18"/>
                      <w:szCs w:val="18"/>
                      <w:highlight w:val="none"/>
                      <w:lang w:val="en-US" w:eastAsia="zh-CN"/>
                    </w:rPr>
                  </w:pPr>
                  <w:r>
                    <w:rPr>
                      <w:rFonts w:hint="eastAsia" w:cs="Times New Roman"/>
                      <w:color w:val="auto"/>
                      <w:spacing w:val="-10"/>
                      <w:sz w:val="18"/>
                      <w:szCs w:val="18"/>
                      <w:highlight w:val="none"/>
                      <w:lang w:val="en-US" w:eastAsia="zh-CN"/>
                    </w:rPr>
                    <w:t>--</w:t>
                  </w:r>
                </w:p>
              </w:tc>
              <w:tc>
                <w:tcPr>
                  <w:tcW w:w="767" w:type="dxa"/>
                  <w:tcBorders>
                    <w:tl2br w:val="nil"/>
                    <w:tr2bl w:val="nil"/>
                  </w:tcBorders>
                  <w:shd w:val="clear" w:color="auto" w:fill="auto"/>
                  <w:noWrap w:val="0"/>
                  <w:vAlign w:val="center"/>
                </w:tcPr>
                <w:p w14:paraId="03726797">
                  <w:pPr>
                    <w:widowControl/>
                    <w:spacing w:line="0" w:lineRule="atLeast"/>
                    <w:jc w:val="center"/>
                    <w:rPr>
                      <w:rFonts w:hint="eastAsia" w:cs="Times New Roman"/>
                      <w:color w:val="auto"/>
                      <w:spacing w:val="-10"/>
                      <w:sz w:val="18"/>
                      <w:szCs w:val="18"/>
                      <w:highlight w:val="none"/>
                      <w:lang w:val="en-US" w:eastAsia="zh-CN"/>
                    </w:rPr>
                  </w:pPr>
                  <w:r>
                    <w:rPr>
                      <w:rFonts w:hint="eastAsia" w:cs="Times New Roman"/>
                      <w:color w:val="auto"/>
                      <w:spacing w:val="-10"/>
                      <w:sz w:val="18"/>
                      <w:szCs w:val="18"/>
                      <w:highlight w:val="none"/>
                      <w:lang w:val="en-US" w:eastAsia="zh-CN"/>
                    </w:rPr>
                    <w:t>--</w:t>
                  </w:r>
                </w:p>
              </w:tc>
              <w:tc>
                <w:tcPr>
                  <w:tcW w:w="474" w:type="dxa"/>
                  <w:tcBorders>
                    <w:tl2br w:val="nil"/>
                    <w:tr2bl w:val="nil"/>
                  </w:tcBorders>
                  <w:noWrap w:val="0"/>
                  <w:vAlign w:val="center"/>
                </w:tcPr>
                <w:p w14:paraId="03FDA198">
                  <w:pPr>
                    <w:widowControl/>
                    <w:spacing w:line="0" w:lineRule="atLeast"/>
                    <w:jc w:val="center"/>
                    <w:rPr>
                      <w:rFonts w:hint="default" w:cs="Times New Roman"/>
                      <w:color w:val="auto"/>
                      <w:spacing w:val="-10"/>
                      <w:kern w:val="2"/>
                      <w:sz w:val="18"/>
                      <w:szCs w:val="18"/>
                      <w:highlight w:val="none"/>
                      <w:lang w:val="en-US" w:eastAsia="zh-CN" w:bidi="ar-SA"/>
                    </w:rPr>
                  </w:pPr>
                  <w:r>
                    <w:rPr>
                      <w:rFonts w:hint="eastAsia" w:cs="Times New Roman"/>
                      <w:color w:val="auto"/>
                      <w:spacing w:val="-10"/>
                      <w:kern w:val="2"/>
                      <w:sz w:val="18"/>
                      <w:szCs w:val="18"/>
                      <w:highlight w:val="none"/>
                      <w:lang w:val="en-US" w:eastAsia="zh-CN" w:bidi="ar-SA"/>
                    </w:rPr>
                    <w:t>17</w:t>
                  </w:r>
                </w:p>
              </w:tc>
              <w:tc>
                <w:tcPr>
                  <w:tcW w:w="1218" w:type="dxa"/>
                  <w:tcBorders>
                    <w:tl2br w:val="nil"/>
                    <w:tr2bl w:val="nil"/>
                  </w:tcBorders>
                  <w:noWrap w:val="0"/>
                  <w:vAlign w:val="center"/>
                </w:tcPr>
                <w:p w14:paraId="57BBF450">
                  <w:pPr>
                    <w:widowControl/>
                    <w:spacing w:line="0" w:lineRule="atLeast"/>
                    <w:jc w:val="center"/>
                    <w:rPr>
                      <w:rFonts w:hint="default" w:ascii="Times New Roman" w:hAnsi="Times New Roman" w:eastAsia="宋体" w:cs="Times New Roman"/>
                      <w:color w:val="auto"/>
                      <w:spacing w:val="-20"/>
                      <w:sz w:val="18"/>
                      <w:szCs w:val="18"/>
                      <w:highlight w:val="none"/>
                      <w:lang w:val="en-US" w:eastAsia="zh-CN"/>
                    </w:rPr>
                  </w:pPr>
                  <w:r>
                    <w:rPr>
                      <w:rFonts w:hint="eastAsia" w:ascii="Times New Roman" w:hAnsi="Times New Roman" w:eastAsia="宋体" w:cs="Times New Roman"/>
                      <w:color w:val="auto"/>
                      <w:spacing w:val="-20"/>
                      <w:sz w:val="18"/>
                      <w:szCs w:val="18"/>
                      <w:highlight w:val="none"/>
                      <w:lang w:val="en-US" w:eastAsia="zh-CN"/>
                    </w:rPr>
                    <w:t>外排颗粒物</w:t>
                  </w:r>
                </w:p>
              </w:tc>
              <w:tc>
                <w:tcPr>
                  <w:tcW w:w="801" w:type="dxa"/>
                  <w:tcBorders>
                    <w:tl2br w:val="nil"/>
                    <w:tr2bl w:val="nil"/>
                  </w:tcBorders>
                  <w:noWrap w:val="0"/>
                  <w:vAlign w:val="center"/>
                </w:tcPr>
                <w:p w14:paraId="7F536588">
                  <w:pPr>
                    <w:widowControl/>
                    <w:spacing w:line="0" w:lineRule="atLeast"/>
                    <w:jc w:val="center"/>
                    <w:rPr>
                      <w:rFonts w:hint="default" w:ascii="Times New Roman" w:hAnsi="Times New Roman" w:eastAsia="宋体" w:cs="Times New Roman"/>
                      <w:color w:val="auto"/>
                      <w:spacing w:val="-20"/>
                      <w:sz w:val="18"/>
                      <w:szCs w:val="18"/>
                      <w:highlight w:val="none"/>
                      <w:lang w:val="en-US" w:eastAsia="zh-CN"/>
                    </w:rPr>
                  </w:pPr>
                  <w:r>
                    <w:rPr>
                      <w:rFonts w:hint="default" w:ascii="Times New Roman" w:hAnsi="Times New Roman" w:eastAsia="宋体" w:cs="Times New Roman"/>
                      <w:color w:val="auto"/>
                      <w:spacing w:val="-20"/>
                      <w:sz w:val="18"/>
                      <w:szCs w:val="18"/>
                      <w:highlight w:val="none"/>
                      <w:lang w:val="en-US" w:eastAsia="zh-CN"/>
                    </w:rPr>
                    <w:t>3.6</w:t>
                  </w:r>
                  <w:r>
                    <w:rPr>
                      <w:rFonts w:hint="eastAsia" w:cs="Times New Roman"/>
                      <w:color w:val="auto"/>
                      <w:spacing w:val="-20"/>
                      <w:sz w:val="18"/>
                      <w:szCs w:val="18"/>
                      <w:highlight w:val="none"/>
                      <w:lang w:val="en-US" w:eastAsia="zh-CN"/>
                    </w:rPr>
                    <w:t>55</w:t>
                  </w:r>
                </w:p>
              </w:tc>
              <w:tc>
                <w:tcPr>
                  <w:tcW w:w="620" w:type="dxa"/>
                  <w:tcBorders>
                    <w:tl2br w:val="nil"/>
                    <w:tr2bl w:val="nil"/>
                  </w:tcBorders>
                  <w:noWrap w:val="0"/>
                  <w:vAlign w:val="center"/>
                </w:tcPr>
                <w:p w14:paraId="1DB8C151">
                  <w:pPr>
                    <w:widowControl/>
                    <w:spacing w:line="0" w:lineRule="atLeast"/>
                    <w:jc w:val="center"/>
                    <w:rPr>
                      <w:rFonts w:hint="default" w:ascii="Times New Roman" w:hAnsi="Times New Roman" w:eastAsia="宋体" w:cs="Times New Roman"/>
                      <w:color w:val="auto"/>
                      <w:spacing w:val="-20"/>
                      <w:sz w:val="18"/>
                      <w:szCs w:val="18"/>
                      <w:highlight w:val="none"/>
                      <w:lang w:val="en-US" w:eastAsia="zh-CN"/>
                    </w:rPr>
                  </w:pPr>
                  <w:r>
                    <w:rPr>
                      <w:rFonts w:hint="default" w:ascii="Times New Roman" w:hAnsi="Times New Roman" w:eastAsia="宋体" w:cs="Times New Roman"/>
                      <w:color w:val="auto"/>
                      <w:spacing w:val="-20"/>
                      <w:sz w:val="18"/>
                      <w:szCs w:val="18"/>
                      <w:highlight w:val="none"/>
                      <w:lang w:val="en-US" w:eastAsia="zh-CN"/>
                    </w:rPr>
                    <w:t>5</w:t>
                  </w:r>
                </w:p>
              </w:tc>
              <w:tc>
                <w:tcPr>
                  <w:tcW w:w="765" w:type="dxa"/>
                  <w:tcBorders>
                    <w:tl2br w:val="nil"/>
                    <w:tr2bl w:val="nil"/>
                  </w:tcBorders>
                  <w:noWrap w:val="0"/>
                  <w:vAlign w:val="center"/>
                </w:tcPr>
                <w:p w14:paraId="12D921BE">
                  <w:pPr>
                    <w:widowControl/>
                    <w:spacing w:line="0" w:lineRule="atLeast"/>
                    <w:jc w:val="center"/>
                    <w:rPr>
                      <w:rFonts w:hint="default" w:ascii="Times New Roman" w:hAnsi="Times New Roman" w:eastAsia="宋体" w:cs="Times New Roman"/>
                      <w:color w:val="auto"/>
                      <w:spacing w:val="-10"/>
                      <w:sz w:val="18"/>
                      <w:szCs w:val="18"/>
                      <w:highlight w:val="none"/>
                      <w:lang w:val="en-US" w:eastAsia="zh-CN"/>
                    </w:rPr>
                  </w:pPr>
                  <w:r>
                    <w:rPr>
                      <w:rFonts w:hint="default" w:ascii="Times New Roman" w:hAnsi="Times New Roman" w:eastAsia="宋体" w:cs="Times New Roman"/>
                      <w:color w:val="auto"/>
                      <w:spacing w:val="-10"/>
                      <w:sz w:val="18"/>
                      <w:szCs w:val="18"/>
                      <w:highlight w:val="none"/>
                      <w:lang w:val="en-US" w:eastAsia="zh-CN"/>
                    </w:rPr>
                    <w:t>3.4</w:t>
                  </w:r>
                </w:p>
              </w:tc>
            </w:tr>
            <w:tr w14:paraId="36F8E56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52" w:type="dxa"/>
                  <w:vMerge w:val="continue"/>
                  <w:tcBorders>
                    <w:tl2br w:val="nil"/>
                    <w:tr2bl w:val="nil"/>
                  </w:tcBorders>
                  <w:noWrap w:val="0"/>
                  <w:vAlign w:val="center"/>
                </w:tcPr>
                <w:p w14:paraId="131E26D0">
                  <w:pPr>
                    <w:widowControl/>
                    <w:spacing w:line="0" w:lineRule="atLeast"/>
                    <w:jc w:val="center"/>
                    <w:rPr>
                      <w:rFonts w:hint="eastAsia" w:ascii="Times New Roman" w:hAnsi="Times New Roman" w:eastAsia="宋体" w:cs="Times New Roman"/>
                      <w:color w:val="auto"/>
                      <w:spacing w:val="-10"/>
                      <w:sz w:val="18"/>
                      <w:szCs w:val="18"/>
                      <w:highlight w:val="none"/>
                      <w:lang w:val="en-US" w:eastAsia="zh-CN"/>
                    </w:rPr>
                  </w:pPr>
                </w:p>
              </w:tc>
              <w:tc>
                <w:tcPr>
                  <w:tcW w:w="2877" w:type="dxa"/>
                  <w:gridSpan w:val="4"/>
                  <w:tcBorders>
                    <w:tl2br w:val="nil"/>
                    <w:tr2bl w:val="nil"/>
                  </w:tcBorders>
                  <w:noWrap w:val="0"/>
                  <w:vAlign w:val="center"/>
                </w:tcPr>
                <w:p w14:paraId="3B628ADF">
                  <w:pPr>
                    <w:widowControl/>
                    <w:spacing w:line="0" w:lineRule="atLeast"/>
                    <w:jc w:val="center"/>
                    <w:rPr>
                      <w:rFonts w:hint="default" w:ascii="Times New Roman" w:hAnsi="Times New Roman" w:eastAsia="宋体" w:cs="Times New Roman"/>
                      <w:color w:val="auto"/>
                      <w:spacing w:val="-10"/>
                      <w:sz w:val="18"/>
                      <w:szCs w:val="18"/>
                      <w:highlight w:val="none"/>
                      <w:lang w:val="en-US" w:eastAsia="zh-CN"/>
                    </w:rPr>
                  </w:pPr>
                  <w:r>
                    <w:rPr>
                      <w:rFonts w:hint="eastAsia" w:ascii="Times New Roman" w:hAnsi="Times New Roman" w:cs="Times New Roman"/>
                      <w:color w:val="auto"/>
                      <w:spacing w:val="-10"/>
                      <w:sz w:val="18"/>
                      <w:szCs w:val="18"/>
                      <w:highlight w:val="none"/>
                      <w:lang w:val="en-US" w:eastAsia="zh-CN"/>
                    </w:rPr>
                    <w:t>合计</w:t>
                  </w:r>
                </w:p>
              </w:tc>
              <w:tc>
                <w:tcPr>
                  <w:tcW w:w="767" w:type="dxa"/>
                  <w:tcBorders>
                    <w:tl2br w:val="nil"/>
                    <w:tr2bl w:val="nil"/>
                  </w:tcBorders>
                  <w:noWrap w:val="0"/>
                  <w:vAlign w:val="center"/>
                </w:tcPr>
                <w:p w14:paraId="36132478">
                  <w:pPr>
                    <w:widowControl/>
                    <w:spacing w:line="0" w:lineRule="atLeast"/>
                    <w:jc w:val="center"/>
                    <w:rPr>
                      <w:rFonts w:hint="default" w:ascii="Times New Roman" w:hAnsi="Times New Roman" w:eastAsia="宋体" w:cs="Times New Roman"/>
                      <w:color w:val="auto"/>
                      <w:spacing w:val="-10"/>
                      <w:sz w:val="18"/>
                      <w:szCs w:val="18"/>
                      <w:highlight w:val="none"/>
                      <w:lang w:val="en-US" w:eastAsia="zh-CN"/>
                    </w:rPr>
                  </w:pPr>
                  <w:r>
                    <w:rPr>
                      <w:rFonts w:hint="eastAsia" w:cs="Times New Roman"/>
                      <w:color w:val="auto"/>
                      <w:spacing w:val="-10"/>
                      <w:sz w:val="18"/>
                      <w:szCs w:val="18"/>
                      <w:highlight w:val="none"/>
                      <w:lang w:val="en-US" w:eastAsia="zh-CN"/>
                    </w:rPr>
                    <w:t>440005</w:t>
                  </w:r>
                </w:p>
              </w:tc>
              <w:tc>
                <w:tcPr>
                  <w:tcW w:w="3113" w:type="dxa"/>
                  <w:gridSpan w:val="4"/>
                  <w:tcBorders>
                    <w:tl2br w:val="nil"/>
                    <w:tr2bl w:val="nil"/>
                  </w:tcBorders>
                  <w:noWrap w:val="0"/>
                  <w:vAlign w:val="center"/>
                </w:tcPr>
                <w:p w14:paraId="5955DD8C">
                  <w:pPr>
                    <w:widowControl/>
                    <w:spacing w:line="0" w:lineRule="atLeast"/>
                    <w:jc w:val="center"/>
                    <w:rPr>
                      <w:rFonts w:hint="eastAsia" w:ascii="Times New Roman" w:hAnsi="Times New Roman" w:cs="Times New Roman"/>
                      <w:color w:val="auto"/>
                      <w:spacing w:val="-10"/>
                      <w:sz w:val="18"/>
                      <w:szCs w:val="18"/>
                      <w:highlight w:val="none"/>
                      <w:lang w:val="en-US" w:eastAsia="zh-CN"/>
                    </w:rPr>
                  </w:pPr>
                  <w:r>
                    <w:rPr>
                      <w:rFonts w:hint="eastAsia" w:ascii="Times New Roman" w:hAnsi="Times New Roman" w:eastAsia="宋体" w:cs="Times New Roman"/>
                      <w:color w:val="auto"/>
                      <w:spacing w:val="-10"/>
                      <w:sz w:val="18"/>
                      <w:szCs w:val="18"/>
                      <w:highlight w:val="none"/>
                      <w:lang w:val="en-US" w:eastAsia="zh-CN"/>
                    </w:rPr>
                    <w:t>总计</w:t>
                  </w:r>
                </w:p>
              </w:tc>
              <w:tc>
                <w:tcPr>
                  <w:tcW w:w="765" w:type="dxa"/>
                  <w:tcBorders>
                    <w:tl2br w:val="nil"/>
                    <w:tr2bl w:val="nil"/>
                  </w:tcBorders>
                  <w:noWrap w:val="0"/>
                  <w:vAlign w:val="center"/>
                </w:tcPr>
                <w:p w14:paraId="77FD06C7">
                  <w:pPr>
                    <w:widowControl/>
                    <w:spacing w:line="0" w:lineRule="atLeast"/>
                    <w:jc w:val="center"/>
                    <w:rPr>
                      <w:rFonts w:hint="eastAsia" w:ascii="Times New Roman" w:hAnsi="Times New Roman" w:cs="Times New Roman"/>
                      <w:color w:val="auto"/>
                      <w:spacing w:val="-10"/>
                      <w:sz w:val="18"/>
                      <w:szCs w:val="18"/>
                      <w:highlight w:val="none"/>
                      <w:lang w:val="en-US" w:eastAsia="zh-CN"/>
                    </w:rPr>
                  </w:pPr>
                  <w:r>
                    <w:rPr>
                      <w:rFonts w:hint="eastAsia" w:cs="Times New Roman"/>
                      <w:color w:val="auto"/>
                      <w:spacing w:val="-10"/>
                      <w:sz w:val="18"/>
                      <w:szCs w:val="18"/>
                      <w:highlight w:val="none"/>
                      <w:lang w:val="en-US" w:eastAsia="zh-CN"/>
                    </w:rPr>
                    <w:t>440005</w:t>
                  </w:r>
                </w:p>
              </w:tc>
            </w:tr>
          </w:tbl>
          <w:p w14:paraId="13E4711B">
            <w:pPr>
              <w:spacing w:before="240" w:line="480" w:lineRule="atLeast"/>
              <w:ind w:firstLine="420" w:firstLineChars="200"/>
              <w:rPr>
                <w:color w:val="auto"/>
                <w:sz w:val="21"/>
              </w:rPr>
            </w:pPr>
          </w:p>
          <w:p w14:paraId="58FCBB9C">
            <w:pPr>
              <w:spacing w:before="240" w:line="480" w:lineRule="atLeast"/>
              <w:ind w:firstLine="420" w:firstLineChars="200"/>
              <w:rPr>
                <w:color w:val="auto"/>
                <w:sz w:val="21"/>
              </w:rPr>
            </w:pPr>
          </w:p>
          <w:p w14:paraId="6807894A">
            <w:pPr>
              <w:spacing w:before="240" w:line="480" w:lineRule="atLeast"/>
              <w:ind w:firstLine="420" w:firstLineChars="200"/>
              <w:rPr>
                <w:color w:val="auto"/>
                <w:sz w:val="21"/>
              </w:rPr>
            </w:pPr>
          </w:p>
          <w:p w14:paraId="2CB791C4">
            <w:pPr>
              <w:spacing w:before="240" w:line="480" w:lineRule="atLeast"/>
              <w:ind w:firstLine="420" w:firstLineChars="200"/>
              <w:rPr>
                <w:color w:val="auto"/>
                <w:sz w:val="21"/>
              </w:rPr>
            </w:pPr>
          </w:p>
          <w:p w14:paraId="7B50FA3C">
            <w:pPr>
              <w:spacing w:before="240" w:line="480" w:lineRule="atLeast"/>
              <w:ind w:firstLine="420" w:firstLineChars="200"/>
              <w:rPr>
                <w:color w:val="auto"/>
                <w:sz w:val="21"/>
              </w:rPr>
            </w:pPr>
            <w:r>
              <w:rPr>
                <w:color w:val="auto"/>
                <w:sz w:val="21"/>
              </w:rPr>
              <mc:AlternateContent>
                <mc:Choice Requires="wps">
                  <w:drawing>
                    <wp:anchor distT="0" distB="0" distL="114300" distR="114300" simplePos="0" relativeHeight="251804672" behindDoc="0" locked="0" layoutInCell="1" allowOverlap="1">
                      <wp:simplePos x="0" y="0"/>
                      <wp:positionH relativeFrom="column">
                        <wp:posOffset>2540000</wp:posOffset>
                      </wp:positionH>
                      <wp:positionV relativeFrom="paragraph">
                        <wp:posOffset>349250</wp:posOffset>
                      </wp:positionV>
                      <wp:extent cx="1403985" cy="209550"/>
                      <wp:effectExtent l="0" t="0" r="0" b="0"/>
                      <wp:wrapNone/>
                      <wp:docPr id="52" name="文本框 58"/>
                      <wp:cNvGraphicFramePr/>
                      <a:graphic xmlns:a="http://schemas.openxmlformats.org/drawingml/2006/main">
                        <a:graphicData uri="http://schemas.microsoft.com/office/word/2010/wordprocessingShape">
                          <wps:wsp>
                            <wps:cNvSpPr txBox="1"/>
                            <wps:spPr>
                              <a:xfrm>
                                <a:off x="4056380" y="1380490"/>
                                <a:ext cx="1403985" cy="209550"/>
                              </a:xfrm>
                              <a:prstGeom prst="rect">
                                <a:avLst/>
                              </a:prstGeom>
                              <a:noFill/>
                              <a:ln w="6350">
                                <a:noFill/>
                              </a:ln>
                            </wps:spPr>
                            <wps:txbx>
                              <w:txbxContent>
                                <w:p w14:paraId="4FC488E7">
                                  <w:pPr>
                                    <w:spacing w:line="0" w:lineRule="atLeast"/>
                                    <w:jc w:val="center"/>
                                    <w:rPr>
                                      <w:rFonts w:hint="default" w:ascii="Times New Roman" w:hAnsi="Times New Roman" w:eastAsia="宋体" w:cs="Times New Roman"/>
                                      <w:spacing w:val="-10"/>
                                      <w:szCs w:val="21"/>
                                      <w:lang w:val="en-US" w:eastAsia="zh-CN"/>
                                    </w:rPr>
                                  </w:pPr>
                                  <w:r>
                                    <w:rPr>
                                      <w:rFonts w:hint="eastAsia" w:ascii="Times New Roman" w:hAnsi="Times New Roman" w:cs="Times New Roman"/>
                                      <w:spacing w:val="-10"/>
                                      <w:szCs w:val="21"/>
                                      <w:lang w:val="en-US" w:eastAsia="zh-CN"/>
                                    </w:rPr>
                                    <w:t>非磁性钢渣粉</w:t>
                                  </w:r>
                                  <w:r>
                                    <w:rPr>
                                      <w:rFonts w:hint="eastAsia" w:cs="Times New Roman"/>
                                      <w:spacing w:val="-10"/>
                                      <w:szCs w:val="21"/>
                                      <w:lang w:val="en-US" w:eastAsia="zh-CN"/>
                                    </w:rPr>
                                    <w:t>144320</w:t>
                                  </w:r>
                                </w:p>
                                <w:p w14:paraId="69D887AF">
                                  <w:pPr>
                                    <w:spacing w:line="0" w:lineRule="atLeast"/>
                                    <w:jc w:val="center"/>
                                    <w:rPr>
                                      <w:rFonts w:hint="default" w:ascii="Times New Roman" w:hAnsi="Times New Roman" w:eastAsia="宋体" w:cs="Times New Roman"/>
                                      <w:spacing w:val="-10"/>
                                      <w:szCs w:val="21"/>
                                      <w:lang w:val="en-US" w:eastAsia="zh-CN"/>
                                    </w:rPr>
                                  </w:pPr>
                                </w:p>
                              </w:txbxContent>
                            </wps:txbx>
                            <wps:bodyPr lIns="0" tIns="0" rIns="0" bIns="0" upright="1"/>
                          </wps:wsp>
                        </a:graphicData>
                      </a:graphic>
                    </wp:anchor>
                  </w:drawing>
                </mc:Choice>
                <mc:Fallback>
                  <w:pict>
                    <v:shape id="文本框 58" o:spid="_x0000_s1026" o:spt="202" type="#_x0000_t202" style="position:absolute;left:0pt;margin-left:200pt;margin-top:27.5pt;height:16.5pt;width:110.55pt;z-index:251804672;mso-width-relative:page;mso-height-relative:page;" filled="f" stroked="f" coordsize="21600,21600" o:gfxdata="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">
                      <v:fill on="f" focussize="0,0"/>
                      <v:stroke on="f" weight="0.5pt"/>
                      <v:imagedata o:title=""/>
                      <o:lock v:ext="edit" aspectratio="f"/>
                      <v:textbox inset="0mm,0mm,0mm,0mm">
                        <w:txbxContent>
                          <w:p w14:paraId="4FC488E7">
                            <w:pPr>
                              <w:spacing w:line="0" w:lineRule="atLeast"/>
                              <w:jc w:val="center"/>
                              <w:rPr>
                                <w:rFonts w:hint="default" w:ascii="Times New Roman" w:hAnsi="Times New Roman" w:eastAsia="宋体" w:cs="Times New Roman"/>
                                <w:spacing w:val="-10"/>
                                <w:szCs w:val="21"/>
                                <w:lang w:val="en-US" w:eastAsia="zh-CN"/>
                              </w:rPr>
                            </w:pPr>
                            <w:r>
                              <w:rPr>
                                <w:rFonts w:hint="eastAsia" w:ascii="Times New Roman" w:hAnsi="Times New Roman" w:cs="Times New Roman"/>
                                <w:spacing w:val="-10"/>
                                <w:szCs w:val="21"/>
                                <w:lang w:val="en-US" w:eastAsia="zh-CN"/>
                              </w:rPr>
                              <w:t>非磁性钢渣粉</w:t>
                            </w:r>
                            <w:r>
                              <w:rPr>
                                <w:rFonts w:hint="eastAsia" w:cs="Times New Roman"/>
                                <w:spacing w:val="-10"/>
                                <w:szCs w:val="21"/>
                                <w:lang w:val="en-US" w:eastAsia="zh-CN"/>
                              </w:rPr>
                              <w:t>144320</w:t>
                            </w:r>
                          </w:p>
                          <w:p w14:paraId="69D887AF">
                            <w:pPr>
                              <w:spacing w:line="0" w:lineRule="atLeast"/>
                              <w:jc w:val="center"/>
                              <w:rPr>
                                <w:rFonts w:hint="default" w:ascii="Times New Roman" w:hAnsi="Times New Roman" w:eastAsia="宋体" w:cs="Times New Roman"/>
                                <w:spacing w:val="-10"/>
                                <w:szCs w:val="21"/>
                                <w:lang w:val="en-US" w:eastAsia="zh-CN"/>
                              </w:rPr>
                            </w:pPr>
                          </w:p>
                        </w:txbxContent>
                      </v:textbox>
                    </v:shape>
                  </w:pict>
                </mc:Fallback>
              </mc:AlternateContent>
            </w:r>
            <w:r>
              <w:rPr>
                <w:color w:val="auto"/>
                <w:sz w:val="21"/>
              </w:rPr>
              <mc:AlternateContent>
                <mc:Choice Requires="wps">
                  <w:drawing>
                    <wp:anchor distT="0" distB="0" distL="114300" distR="114300" simplePos="0" relativeHeight="251812864" behindDoc="0" locked="0" layoutInCell="1" allowOverlap="1">
                      <wp:simplePos x="0" y="0"/>
                      <wp:positionH relativeFrom="column">
                        <wp:posOffset>2698115</wp:posOffset>
                      </wp:positionH>
                      <wp:positionV relativeFrom="paragraph">
                        <wp:posOffset>64135</wp:posOffset>
                      </wp:positionV>
                      <wp:extent cx="1605280" cy="200025"/>
                      <wp:effectExtent l="0" t="0" r="0" b="0"/>
                      <wp:wrapNone/>
                      <wp:docPr id="58" name="文本框 34"/>
                      <wp:cNvGraphicFramePr/>
                      <a:graphic xmlns:a="http://schemas.openxmlformats.org/drawingml/2006/main">
                        <a:graphicData uri="http://schemas.microsoft.com/office/word/2010/wordprocessingShape">
                          <wps:wsp>
                            <wps:cNvSpPr txBox="1"/>
                            <wps:spPr>
                              <a:xfrm>
                                <a:off x="4146550" y="1156970"/>
                                <a:ext cx="1605280" cy="200025"/>
                              </a:xfrm>
                              <a:prstGeom prst="rect">
                                <a:avLst/>
                              </a:prstGeom>
                              <a:noFill/>
                              <a:ln w="6350">
                                <a:noFill/>
                              </a:ln>
                            </wps:spPr>
                            <wps:txbx>
                              <w:txbxContent>
                                <w:p w14:paraId="1980E799">
                                  <w:pPr>
                                    <w:spacing w:line="0" w:lineRule="atLeast"/>
                                    <w:rPr>
                                      <w:rFonts w:hint="default" w:ascii="Times New Roman" w:hAnsi="Times New Roman" w:eastAsia="宋体" w:cs="Times New Roman"/>
                                      <w:spacing w:val="-10"/>
                                      <w:szCs w:val="21"/>
                                      <w:lang w:val="en-US" w:eastAsia="zh-CN"/>
                                    </w:rPr>
                                  </w:pPr>
                                  <w:r>
                                    <w:rPr>
                                      <w:rFonts w:hint="eastAsia" w:ascii="Times New Roman" w:hAnsi="Times New Roman" w:eastAsia="宋体" w:cs="Times New Roman"/>
                                      <w:spacing w:val="-10"/>
                                      <w:szCs w:val="21"/>
                                      <w:lang w:val="en-US" w:eastAsia="zh-CN"/>
                                    </w:rPr>
                                    <w:t>磁性钢渣粉</w:t>
                                  </w:r>
                                  <w:r>
                                    <w:rPr>
                                      <w:rFonts w:hint="eastAsia" w:cs="Times New Roman"/>
                                      <w:spacing w:val="-10"/>
                                      <w:szCs w:val="21"/>
                                      <w:lang w:val="en-US" w:eastAsia="zh-CN"/>
                                    </w:rPr>
                                    <w:t>35200</w:t>
                                  </w:r>
                                </w:p>
                              </w:txbxContent>
                            </wps:txbx>
                            <wps:bodyPr lIns="0" tIns="0" rIns="0" bIns="0" upright="1"/>
                          </wps:wsp>
                        </a:graphicData>
                      </a:graphic>
                    </wp:anchor>
                  </w:drawing>
                </mc:Choice>
                <mc:Fallback>
                  <w:pict>
                    <v:shape id="文本框 34" o:spid="_x0000_s1026" o:spt="202" type="#_x0000_t202" style="position:absolute;left:0pt;margin-left:212.45pt;margin-top:5.05pt;height:15.75pt;width:126.4pt;z-index:251812864;mso-width-relative:page;mso-height-relative:page;" filled="f" stroked="f" coordsize="21600,21600" o:gfxdata="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&#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BzSLG9YAAAAJAQAADwAAAAAAAAABACAAAAAiAAAAZHJz&#10;L2Rvd25yZXYueG1sUEsBAhQAFAAAAAgAh07iQPlkGW3NAQAAiQMAAA4AAAAAAAAAAQAgAAAAJQEA&#10;AGRycy9lMm9Eb2MueG1sUEsFBgAAAAAGAAYAWQEAAGQFAAAAAA==&#10;">
                      <v:fill on="f" focussize="0,0"/>
                      <v:stroke on="f" weight="0.5pt"/>
                      <v:imagedata o:title=""/>
                      <o:lock v:ext="edit" aspectratio="f"/>
                      <v:textbox inset="0mm,0mm,0mm,0mm">
                        <w:txbxContent>
                          <w:p w14:paraId="1980E799">
                            <w:pPr>
                              <w:spacing w:line="0" w:lineRule="atLeast"/>
                              <w:rPr>
                                <w:rFonts w:hint="default" w:ascii="Times New Roman" w:hAnsi="Times New Roman" w:eastAsia="宋体" w:cs="Times New Roman"/>
                                <w:spacing w:val="-10"/>
                                <w:szCs w:val="21"/>
                                <w:lang w:val="en-US" w:eastAsia="zh-CN"/>
                              </w:rPr>
                            </w:pPr>
                            <w:r>
                              <w:rPr>
                                <w:rFonts w:hint="eastAsia" w:ascii="Times New Roman" w:hAnsi="Times New Roman" w:eastAsia="宋体" w:cs="Times New Roman"/>
                                <w:spacing w:val="-10"/>
                                <w:szCs w:val="21"/>
                                <w:lang w:val="en-US" w:eastAsia="zh-CN"/>
                              </w:rPr>
                              <w:t>磁性钢渣粉</w:t>
                            </w:r>
                            <w:r>
                              <w:rPr>
                                <w:rFonts w:hint="eastAsia" w:cs="Times New Roman"/>
                                <w:spacing w:val="-10"/>
                                <w:szCs w:val="21"/>
                                <w:lang w:val="en-US" w:eastAsia="zh-CN"/>
                              </w:rPr>
                              <w:t>35200</w:t>
                            </w:r>
                          </w:p>
                        </w:txbxContent>
                      </v:textbox>
                    </v:shape>
                  </w:pict>
                </mc:Fallback>
              </mc:AlternateContent>
            </w:r>
            <w:r>
              <w:rPr>
                <w:color w:val="auto"/>
                <w:sz w:val="21"/>
              </w:rPr>
              <mc:AlternateContent>
                <mc:Choice Requires="wps">
                  <w:drawing>
                    <wp:anchor distT="0" distB="0" distL="114300" distR="114300" simplePos="0" relativeHeight="251816960" behindDoc="0" locked="0" layoutInCell="1" allowOverlap="1">
                      <wp:simplePos x="0" y="0"/>
                      <wp:positionH relativeFrom="column">
                        <wp:posOffset>1893570</wp:posOffset>
                      </wp:positionH>
                      <wp:positionV relativeFrom="paragraph">
                        <wp:posOffset>120015</wp:posOffset>
                      </wp:positionV>
                      <wp:extent cx="671830" cy="1840865"/>
                      <wp:effectExtent l="6350" t="6350" r="7620" b="19685"/>
                      <wp:wrapNone/>
                      <wp:docPr id="53" name="矩形 169"/>
                      <wp:cNvGraphicFramePr/>
                      <a:graphic xmlns:a="http://schemas.openxmlformats.org/drawingml/2006/main">
                        <a:graphicData uri="http://schemas.microsoft.com/office/word/2010/wordprocessingShape">
                          <wps:wsp>
                            <wps:cNvSpPr/>
                            <wps:spPr>
                              <a:xfrm>
                                <a:off x="3411855" y="1212850"/>
                                <a:ext cx="671830" cy="1840865"/>
                              </a:xfrm>
                              <a:prstGeom prst="rect">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18175506">
                                  <w:pPr>
                                    <w:jc w:val="center"/>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钢渣处</w:t>
                                  </w:r>
                                </w:p>
                                <w:p w14:paraId="400ED577">
                                  <w:pPr>
                                    <w:jc w:val="center"/>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理生产</w:t>
                                  </w:r>
                                </w:p>
                                <w:p w14:paraId="6197A442">
                                  <w:pPr>
                                    <w:jc w:val="center"/>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线</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矩形 169" o:spid="_x0000_s1026" o:spt="1" style="position:absolute;left:0pt;margin-left:149.1pt;margin-top:9.45pt;height:144.95pt;width:52.9pt;z-index:251816960;v-text-anchor:middle;mso-width-relative:page;mso-height-relative:page;" filled="f" stroked="t" coordsize="21600,21600" o:gfxdata="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">
                      <v:fill on="f" focussize="0,0"/>
                      <v:stroke weight="1pt" color="#000000 [3213]" joinstyle="round"/>
                      <v:imagedata o:title=""/>
                      <o:lock v:ext="edit" aspectratio="f"/>
                      <v:textbox>
                        <w:txbxContent>
                          <w:p w14:paraId="18175506">
                            <w:pPr>
                              <w:jc w:val="center"/>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钢渣处</w:t>
                            </w:r>
                          </w:p>
                          <w:p w14:paraId="400ED577">
                            <w:pPr>
                              <w:jc w:val="center"/>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理生产</w:t>
                            </w:r>
                          </w:p>
                          <w:p w14:paraId="6197A442">
                            <w:pPr>
                              <w:jc w:val="center"/>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线</w:t>
                            </w:r>
                          </w:p>
                        </w:txbxContent>
                      </v:textbox>
                    </v:rect>
                  </w:pict>
                </mc:Fallback>
              </mc:AlternateContent>
            </w:r>
            <w:r>
              <w:rPr>
                <w:color w:val="auto"/>
                <w:sz w:val="21"/>
              </w:rPr>
              <mc:AlternateContent>
                <mc:Choice Requires="wps">
                  <w:drawing>
                    <wp:anchor distT="0" distB="0" distL="114300" distR="114300" simplePos="0" relativeHeight="251811840" behindDoc="0" locked="0" layoutInCell="1" allowOverlap="1">
                      <wp:simplePos x="0" y="0"/>
                      <wp:positionH relativeFrom="column">
                        <wp:posOffset>2566670</wp:posOffset>
                      </wp:positionH>
                      <wp:positionV relativeFrom="paragraph">
                        <wp:posOffset>237490</wp:posOffset>
                      </wp:positionV>
                      <wp:extent cx="1009650" cy="0"/>
                      <wp:effectExtent l="0" t="25400" r="0" b="31750"/>
                      <wp:wrapNone/>
                      <wp:docPr id="59" name="直接连接符 59"/>
                      <wp:cNvGraphicFramePr/>
                      <a:graphic xmlns:a="http://schemas.openxmlformats.org/drawingml/2006/main">
                        <a:graphicData uri="http://schemas.microsoft.com/office/word/2010/wordprocessingShape">
                          <wps:wsp>
                            <wps:cNvCnPr/>
                            <wps:spPr>
                              <a:xfrm>
                                <a:off x="4084955" y="1330325"/>
                                <a:ext cx="1009650" cy="0"/>
                              </a:xfrm>
                              <a:prstGeom prst="line">
                                <a:avLst/>
                              </a:prstGeom>
                              <a:ln w="6350" cap="flat" cmpd="sng">
                                <a:solidFill>
                                  <a:srgbClr val="000000"/>
                                </a:solidFill>
                                <a:prstDash val="solid"/>
                                <a:headEnd type="none" w="med" len="med"/>
                                <a:tailEnd type="stealth" w="sm" len="sm"/>
                              </a:ln>
                            </wps:spPr>
                            <wps:bodyPr upright="1"/>
                          </wps:wsp>
                        </a:graphicData>
                      </a:graphic>
                    </wp:anchor>
                  </w:drawing>
                </mc:Choice>
                <mc:Fallback>
                  <w:pict>
                    <v:line id="_x0000_s1026" o:spid="_x0000_s1026" o:spt="20" style="position:absolute;left:0pt;margin-left:202.1pt;margin-top:18.7pt;height:0pt;width:79.5pt;z-index:251811840;mso-width-relative:page;mso-height-relative:page;" filled="f" stroked="t" coordsize="21600,21600" o:gfxdata="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AoO7Nc2AAAAAkBAAAPAAAAAAAAAAEA&#10;IAAAACIAAABkcnMvZG93bnJldi54bWxQSwECFAAUAAAACACHTuJA1Zo4vw8CAADzAwAADgAAAAAA&#10;AAABACAAAAAnAQAAZHJzL2Uyb0RvYy54bWxQSwUGAAAAAAYABgBZAQAAqAUAAAAA&#10;">
                      <v:fill on="f" focussize="0,0"/>
                      <v:stroke weight="0.5pt" color="#000000" joinstyle="round" endarrow="classic" endarrowwidth="narrow" endarrowlength="short"/>
                      <v:imagedata o:title=""/>
                      <o:lock v:ext="edit" aspectratio="f"/>
                    </v:line>
                  </w:pict>
                </mc:Fallback>
              </mc:AlternateContent>
            </w:r>
            <w:r>
              <w:rPr>
                <w:color w:val="auto"/>
                <w:sz w:val="21"/>
              </w:rPr>
              <mc:AlternateContent>
                <mc:Choice Requires="wps">
                  <w:drawing>
                    <wp:anchor distT="0" distB="0" distL="114300" distR="114300" simplePos="0" relativeHeight="251807744" behindDoc="0" locked="0" layoutInCell="1" allowOverlap="1">
                      <wp:simplePos x="0" y="0"/>
                      <wp:positionH relativeFrom="column">
                        <wp:posOffset>878205</wp:posOffset>
                      </wp:positionH>
                      <wp:positionV relativeFrom="paragraph">
                        <wp:posOffset>279400</wp:posOffset>
                      </wp:positionV>
                      <wp:extent cx="1038225" cy="200025"/>
                      <wp:effectExtent l="0" t="0" r="0" b="0"/>
                      <wp:wrapNone/>
                      <wp:docPr id="65" name="文本框 33"/>
                      <wp:cNvGraphicFramePr/>
                      <a:graphic xmlns:a="http://schemas.openxmlformats.org/drawingml/2006/main">
                        <a:graphicData uri="http://schemas.microsoft.com/office/word/2010/wordprocessingShape">
                          <wps:wsp>
                            <wps:cNvSpPr txBox="1"/>
                            <wps:spPr>
                              <a:xfrm>
                                <a:off x="2396490" y="1372235"/>
                                <a:ext cx="1038225" cy="200025"/>
                              </a:xfrm>
                              <a:prstGeom prst="rect">
                                <a:avLst/>
                              </a:prstGeom>
                              <a:noFill/>
                              <a:ln w="6350">
                                <a:noFill/>
                              </a:ln>
                            </wps:spPr>
                            <wps:txbx>
                              <w:txbxContent>
                                <w:p w14:paraId="16F6B97D">
                                  <w:pPr>
                                    <w:spacing w:line="0" w:lineRule="atLeast"/>
                                    <w:jc w:val="center"/>
                                    <w:rPr>
                                      <w:rFonts w:hint="default" w:ascii="Times New Roman" w:hAnsi="Times New Roman" w:eastAsia="宋体" w:cs="Times New Roman"/>
                                      <w:spacing w:val="-10"/>
                                      <w:szCs w:val="21"/>
                                      <w:lang w:val="en-US" w:eastAsia="zh-CN"/>
                                    </w:rPr>
                                  </w:pPr>
                                  <w:r>
                                    <w:rPr>
                                      <w:rFonts w:hint="default" w:ascii="Times New Roman" w:hAnsi="Times New Roman" w:eastAsia="宋体" w:cs="Times New Roman"/>
                                      <w:spacing w:val="-10"/>
                                      <w:szCs w:val="21"/>
                                      <w:lang w:val="en-US" w:eastAsia="zh-CN"/>
                                    </w:rPr>
                                    <w:t>转炉钢渣</w:t>
                                  </w:r>
                                  <w:r>
                                    <w:rPr>
                                      <w:rFonts w:hint="eastAsia" w:cs="Times New Roman"/>
                                      <w:spacing w:val="-10"/>
                                      <w:szCs w:val="21"/>
                                      <w:lang w:val="en-US" w:eastAsia="zh-CN"/>
                                    </w:rPr>
                                    <w:t>190000</w:t>
                                  </w:r>
                                </w:p>
                              </w:txbxContent>
                            </wps:txbx>
                            <wps:bodyPr lIns="0" tIns="0" rIns="0" bIns="0" upright="1"/>
                          </wps:wsp>
                        </a:graphicData>
                      </a:graphic>
                    </wp:anchor>
                  </w:drawing>
                </mc:Choice>
                <mc:Fallback>
                  <w:pict>
                    <v:shape id="文本框 33" o:spid="_x0000_s1026" o:spt="202" type="#_x0000_t202" style="position:absolute;left:0pt;margin-left:69.15pt;margin-top:22pt;height:15.75pt;width:81.75pt;z-index:251807744;mso-width-relative:page;mso-height-relative:page;" filled="f" stroked="f" coordsize="21600,21600" o:gfxdata="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CiVTPD1wAAAAkBAAAPAAAAAAAAAAEAIAAAACIAAABk&#10;cnMvZG93bnJldi54bWxQSwECFAAUAAAACACHTuJAGCMUis4BAACJAwAADgAAAAAAAAABACAAAAAm&#10;AQAAZHJzL2Uyb0RvYy54bWxQSwUGAAAAAAYABgBZAQAAZgUAAAAA&#10;">
                      <v:fill on="f" focussize="0,0"/>
                      <v:stroke on="f" weight="0.5pt"/>
                      <v:imagedata o:title=""/>
                      <o:lock v:ext="edit" aspectratio="f"/>
                      <v:textbox inset="0mm,0mm,0mm,0mm">
                        <w:txbxContent>
                          <w:p w14:paraId="16F6B97D">
                            <w:pPr>
                              <w:spacing w:line="0" w:lineRule="atLeast"/>
                              <w:jc w:val="center"/>
                              <w:rPr>
                                <w:rFonts w:hint="default" w:ascii="Times New Roman" w:hAnsi="Times New Roman" w:eastAsia="宋体" w:cs="Times New Roman"/>
                                <w:spacing w:val="-10"/>
                                <w:szCs w:val="21"/>
                                <w:lang w:val="en-US" w:eastAsia="zh-CN"/>
                              </w:rPr>
                            </w:pPr>
                            <w:r>
                              <w:rPr>
                                <w:rFonts w:hint="default" w:ascii="Times New Roman" w:hAnsi="Times New Roman" w:eastAsia="宋体" w:cs="Times New Roman"/>
                                <w:spacing w:val="-10"/>
                                <w:szCs w:val="21"/>
                                <w:lang w:val="en-US" w:eastAsia="zh-CN"/>
                              </w:rPr>
                              <w:t>转炉钢渣</w:t>
                            </w:r>
                            <w:r>
                              <w:rPr>
                                <w:rFonts w:hint="eastAsia" w:cs="Times New Roman"/>
                                <w:spacing w:val="-10"/>
                                <w:szCs w:val="21"/>
                                <w:lang w:val="en-US" w:eastAsia="zh-CN"/>
                              </w:rPr>
                              <w:t>190000</w:t>
                            </w:r>
                          </w:p>
                        </w:txbxContent>
                      </v:textbox>
                    </v:shape>
                  </w:pict>
                </mc:Fallback>
              </mc:AlternateContent>
            </w:r>
            <w:r>
              <w:rPr>
                <w:color w:val="auto"/>
                <w:sz w:val="21"/>
              </w:rPr>
              <mc:AlternateContent>
                <mc:Choice Requires="wps">
                  <w:drawing>
                    <wp:anchor distT="0" distB="0" distL="114300" distR="114300" simplePos="0" relativeHeight="251806720" behindDoc="0" locked="0" layoutInCell="1" allowOverlap="1">
                      <wp:simplePos x="0" y="0"/>
                      <wp:positionH relativeFrom="column">
                        <wp:posOffset>954405</wp:posOffset>
                      </wp:positionH>
                      <wp:positionV relativeFrom="paragraph">
                        <wp:posOffset>452755</wp:posOffset>
                      </wp:positionV>
                      <wp:extent cx="933450" cy="0"/>
                      <wp:effectExtent l="0" t="25400" r="0" b="31750"/>
                      <wp:wrapNone/>
                      <wp:docPr id="66" name="直接连接符 65"/>
                      <wp:cNvGraphicFramePr/>
                      <a:graphic xmlns:a="http://schemas.openxmlformats.org/drawingml/2006/main">
                        <a:graphicData uri="http://schemas.microsoft.com/office/word/2010/wordprocessingShape">
                          <wps:wsp>
                            <wps:cNvCnPr/>
                            <wps:spPr>
                              <a:xfrm>
                                <a:off x="2472690" y="1545590"/>
                                <a:ext cx="933450" cy="0"/>
                              </a:xfrm>
                              <a:prstGeom prst="line">
                                <a:avLst/>
                              </a:prstGeom>
                              <a:ln w="6350" cap="flat" cmpd="sng">
                                <a:solidFill>
                                  <a:srgbClr val="000000"/>
                                </a:solidFill>
                                <a:prstDash val="solid"/>
                                <a:headEnd type="none" w="med" len="med"/>
                                <a:tailEnd type="stealth" w="sm" len="sm"/>
                              </a:ln>
                            </wps:spPr>
                            <wps:bodyPr upright="1"/>
                          </wps:wsp>
                        </a:graphicData>
                      </a:graphic>
                    </wp:anchor>
                  </w:drawing>
                </mc:Choice>
                <mc:Fallback>
                  <w:pict>
                    <v:line id="直接连接符 65" o:spid="_x0000_s1026" o:spt="20" style="position:absolute;left:0pt;margin-left:75.15pt;margin-top:35.65pt;height:0pt;width:73.5pt;z-index:251806720;mso-width-relative:page;mso-height-relative:page;" filled="f" stroked="t" coordsize="21600,21600" o:gfxdata="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QkPHN9gAAAAJAQAADwAAAAAAAAABACAAAAAi&#10;AAAAZHJzL2Rvd25yZXYueG1sUEsBAhQAFAAAAAgAh07iQF7PHrsKAgAA8gMAAA4AAAAAAAAAAQAg&#10;AAAAJwEAAGRycy9lMm9Eb2MueG1sUEsFBgAAAAAGAAYAWQEAAKMFAAAAAA==&#10;">
                      <v:fill on="f" focussize="0,0"/>
                      <v:stroke weight="0.5pt" color="#000000" joinstyle="round" endarrow="classic" endarrowwidth="narrow" endarrowlength="short"/>
                      <v:imagedata o:title=""/>
                      <o:lock v:ext="edit" aspectratio="f"/>
                    </v:line>
                  </w:pict>
                </mc:Fallback>
              </mc:AlternateContent>
            </w:r>
          </w:p>
          <w:p w14:paraId="12264B25">
            <w:pPr>
              <w:pStyle w:val="12"/>
              <w:rPr>
                <w:color w:val="auto"/>
              </w:rPr>
            </w:pPr>
            <w:r>
              <w:rPr>
                <w:color w:val="auto"/>
                <w:sz w:val="21"/>
              </w:rPr>
              <mc:AlternateContent>
                <mc:Choice Requires="wps">
                  <w:drawing>
                    <wp:anchor distT="0" distB="0" distL="114300" distR="114300" simplePos="0" relativeHeight="251813888" behindDoc="0" locked="0" layoutInCell="1" allowOverlap="1">
                      <wp:simplePos x="0" y="0"/>
                      <wp:positionH relativeFrom="column">
                        <wp:posOffset>2574290</wp:posOffset>
                      </wp:positionH>
                      <wp:positionV relativeFrom="paragraph">
                        <wp:posOffset>85725</wp:posOffset>
                      </wp:positionV>
                      <wp:extent cx="1009650" cy="0"/>
                      <wp:effectExtent l="0" t="25400" r="0" b="31750"/>
                      <wp:wrapNone/>
                      <wp:docPr id="80" name="直接连接符 44"/>
                      <wp:cNvGraphicFramePr/>
                      <a:graphic xmlns:a="http://schemas.openxmlformats.org/drawingml/2006/main">
                        <a:graphicData uri="http://schemas.microsoft.com/office/word/2010/wordprocessingShape">
                          <wps:wsp>
                            <wps:cNvCnPr/>
                            <wps:spPr>
                              <a:xfrm>
                                <a:off x="4098925" y="1558290"/>
                                <a:ext cx="1009650" cy="0"/>
                              </a:xfrm>
                              <a:prstGeom prst="line">
                                <a:avLst/>
                              </a:prstGeom>
                              <a:ln w="6350" cap="flat" cmpd="sng">
                                <a:solidFill>
                                  <a:srgbClr val="000000"/>
                                </a:solidFill>
                                <a:prstDash val="solid"/>
                                <a:headEnd type="none" w="med" len="med"/>
                                <a:tailEnd type="stealth" w="sm" len="sm"/>
                              </a:ln>
                            </wps:spPr>
                            <wps:bodyPr upright="1"/>
                          </wps:wsp>
                        </a:graphicData>
                      </a:graphic>
                    </wp:anchor>
                  </w:drawing>
                </mc:Choice>
                <mc:Fallback>
                  <w:pict>
                    <v:line id="直接连接符 44" o:spid="_x0000_s1026" o:spt="20" style="position:absolute;left:0pt;margin-left:202.7pt;margin-top:6.75pt;height:0pt;width:79.5pt;z-index:251813888;mso-width-relative:page;mso-height-relative:page;" filled="f" stroked="t" coordsize="21600,21600" o:gfxdata="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BvOQ391wAAAAkBAAAPAAAAAAAAAAEAIAAA&#10;ACIAAABkcnMvZG93bnJldi54bWxQSwECFAAUAAAACACHTuJAZt/ERw0CAADzAwAADgAAAAAAAAAB&#10;ACAAAAAmAQAAZHJzL2Uyb0RvYy54bWxQSwUGAAAAAAYABgBZAQAApQUAAAAA&#10;">
                      <v:fill on="f" focussize="0,0"/>
                      <v:stroke weight="0.5pt" color="#000000" joinstyle="round" endarrow="classic" endarrowwidth="narrow" endarrowlength="short"/>
                      <v:imagedata o:title=""/>
                      <o:lock v:ext="edit" aspectratio="f"/>
                    </v:line>
                  </w:pict>
                </mc:Fallback>
              </mc:AlternateContent>
            </w:r>
            <w:r>
              <w:rPr>
                <w:color w:val="auto"/>
                <w:sz w:val="21"/>
              </w:rPr>
              <mc:AlternateContent>
                <mc:Choice Requires="wps">
                  <w:drawing>
                    <wp:anchor distT="0" distB="0" distL="114300" distR="114300" simplePos="0" relativeHeight="251820032" behindDoc="0" locked="0" layoutInCell="1" allowOverlap="1">
                      <wp:simplePos x="0" y="0"/>
                      <wp:positionH relativeFrom="column">
                        <wp:posOffset>2405380</wp:posOffset>
                      </wp:positionH>
                      <wp:positionV relativeFrom="paragraph">
                        <wp:posOffset>150495</wp:posOffset>
                      </wp:positionV>
                      <wp:extent cx="1074420" cy="209550"/>
                      <wp:effectExtent l="0" t="0" r="0" b="0"/>
                      <wp:wrapNone/>
                      <wp:docPr id="68" name="文本框 173"/>
                      <wp:cNvGraphicFramePr/>
                      <a:graphic xmlns:a="http://schemas.openxmlformats.org/drawingml/2006/main">
                        <a:graphicData uri="http://schemas.microsoft.com/office/word/2010/wordprocessingShape">
                          <wps:wsp>
                            <wps:cNvSpPr txBox="1"/>
                            <wps:spPr>
                              <a:xfrm>
                                <a:off x="4086860" y="1609725"/>
                                <a:ext cx="1074420" cy="209550"/>
                              </a:xfrm>
                              <a:prstGeom prst="rect">
                                <a:avLst/>
                              </a:prstGeom>
                              <a:noFill/>
                              <a:ln w="6350">
                                <a:noFill/>
                              </a:ln>
                            </wps:spPr>
                            <wps:txbx>
                              <w:txbxContent>
                                <w:p w14:paraId="7A9DE18A">
                                  <w:pPr>
                                    <w:spacing w:line="0" w:lineRule="atLeast"/>
                                    <w:jc w:val="center"/>
                                    <w:rPr>
                                      <w:rFonts w:hint="default" w:ascii="Times New Roman" w:hAnsi="Times New Roman" w:eastAsia="宋体" w:cs="Times New Roman"/>
                                      <w:spacing w:val="-10"/>
                                      <w:szCs w:val="21"/>
                                      <w:lang w:val="en-US" w:eastAsia="zh-CN"/>
                                    </w:rPr>
                                  </w:pPr>
                                  <w:r>
                                    <w:rPr>
                                      <w:rFonts w:hint="eastAsia" w:ascii="Times New Roman" w:hAnsi="Times New Roman" w:cs="Times New Roman"/>
                                      <w:spacing w:val="-10"/>
                                      <w:szCs w:val="21"/>
                                      <w:lang w:val="en-US" w:eastAsia="zh-CN"/>
                                    </w:rPr>
                                    <w:t>废钢球</w:t>
                                  </w:r>
                                  <w:r>
                                    <w:rPr>
                                      <w:rFonts w:hint="eastAsia" w:cs="Times New Roman"/>
                                      <w:spacing w:val="-10"/>
                                      <w:szCs w:val="21"/>
                                      <w:lang w:val="en-US" w:eastAsia="zh-CN"/>
                                    </w:rPr>
                                    <w:t>3</w:t>
                                  </w:r>
                                </w:p>
                              </w:txbxContent>
                            </wps:txbx>
                            <wps:bodyPr lIns="0" tIns="0" rIns="0" bIns="0" upright="1"/>
                          </wps:wsp>
                        </a:graphicData>
                      </a:graphic>
                    </wp:anchor>
                  </w:drawing>
                </mc:Choice>
                <mc:Fallback>
                  <w:pict>
                    <v:shape id="文本框 173" o:spid="_x0000_s1026" o:spt="202" type="#_x0000_t202" style="position:absolute;left:0pt;margin-left:189.4pt;margin-top:11.85pt;height:16.5pt;width:84.6pt;z-index:251820032;mso-width-relative:page;mso-height-relative:page;" filled="f" stroked="f" coordsize="21600,21600" o:gfxdata="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">
                      <v:fill on="f" focussize="0,0"/>
                      <v:stroke on="f" weight="0.5pt"/>
                      <v:imagedata o:title=""/>
                      <o:lock v:ext="edit" aspectratio="f"/>
                      <v:textbox inset="0mm,0mm,0mm,0mm">
                        <w:txbxContent>
                          <w:p w14:paraId="7A9DE18A">
                            <w:pPr>
                              <w:spacing w:line="0" w:lineRule="atLeast"/>
                              <w:jc w:val="center"/>
                              <w:rPr>
                                <w:rFonts w:hint="default" w:ascii="Times New Roman" w:hAnsi="Times New Roman" w:eastAsia="宋体" w:cs="Times New Roman"/>
                                <w:spacing w:val="-10"/>
                                <w:szCs w:val="21"/>
                                <w:lang w:val="en-US" w:eastAsia="zh-CN"/>
                              </w:rPr>
                            </w:pPr>
                            <w:r>
                              <w:rPr>
                                <w:rFonts w:hint="eastAsia" w:ascii="Times New Roman" w:hAnsi="Times New Roman" w:cs="Times New Roman"/>
                                <w:spacing w:val="-10"/>
                                <w:szCs w:val="21"/>
                                <w:lang w:val="en-US" w:eastAsia="zh-CN"/>
                              </w:rPr>
                              <w:t>废钢球</w:t>
                            </w:r>
                            <w:r>
                              <w:rPr>
                                <w:rFonts w:hint="eastAsia" w:cs="Times New Roman"/>
                                <w:spacing w:val="-10"/>
                                <w:szCs w:val="21"/>
                                <w:lang w:val="en-US" w:eastAsia="zh-CN"/>
                              </w:rPr>
                              <w:t>3</w:t>
                            </w:r>
                          </w:p>
                        </w:txbxContent>
                      </v:textbox>
                    </v:shape>
                  </w:pict>
                </mc:Fallback>
              </mc:AlternateContent>
            </w:r>
          </w:p>
          <w:p w14:paraId="59099DA8">
            <w:pPr>
              <w:spacing w:before="240" w:line="480" w:lineRule="atLeast"/>
              <w:ind w:firstLine="420" w:firstLineChars="200"/>
              <w:rPr>
                <w:rFonts w:ascii="Times New Roman" w:hAnsi="Times New Roman"/>
                <w:color w:val="auto"/>
              </w:rPr>
            </w:pPr>
            <w:r>
              <w:rPr>
                <w:color w:val="auto"/>
                <w:sz w:val="21"/>
              </w:rPr>
              <mc:AlternateContent>
                <mc:Choice Requires="wps">
                  <w:drawing>
                    <wp:anchor distT="0" distB="0" distL="114300" distR="114300" simplePos="0" relativeHeight="251821056" behindDoc="0" locked="0" layoutInCell="1" allowOverlap="1">
                      <wp:simplePos x="0" y="0"/>
                      <wp:positionH relativeFrom="column">
                        <wp:posOffset>2555875</wp:posOffset>
                      </wp:positionH>
                      <wp:positionV relativeFrom="paragraph">
                        <wp:posOffset>180975</wp:posOffset>
                      </wp:positionV>
                      <wp:extent cx="1009650" cy="0"/>
                      <wp:effectExtent l="0" t="25400" r="0" b="31750"/>
                      <wp:wrapNone/>
                      <wp:docPr id="92" name="直接连接符 175"/>
                      <wp:cNvGraphicFramePr/>
                      <a:graphic xmlns:a="http://schemas.openxmlformats.org/drawingml/2006/main">
                        <a:graphicData uri="http://schemas.microsoft.com/office/word/2010/wordprocessingShape">
                          <wps:wsp>
                            <wps:cNvCnPr/>
                            <wps:spPr>
                              <a:xfrm>
                                <a:off x="4092575" y="1784350"/>
                                <a:ext cx="1009650" cy="0"/>
                              </a:xfrm>
                              <a:prstGeom prst="line">
                                <a:avLst/>
                              </a:prstGeom>
                              <a:ln w="6350" cap="flat" cmpd="sng">
                                <a:solidFill>
                                  <a:srgbClr val="000000"/>
                                </a:solidFill>
                                <a:prstDash val="solid"/>
                                <a:headEnd type="none" w="med" len="med"/>
                                <a:tailEnd type="stealth" w="sm" len="sm"/>
                              </a:ln>
                            </wps:spPr>
                            <wps:bodyPr upright="1"/>
                          </wps:wsp>
                        </a:graphicData>
                      </a:graphic>
                    </wp:anchor>
                  </w:drawing>
                </mc:Choice>
                <mc:Fallback>
                  <w:pict>
                    <v:line id="直接连接符 175" o:spid="_x0000_s1026" o:spt="20" style="position:absolute;left:0pt;margin-left:201.25pt;margin-top:14.25pt;height:0pt;width:79.5pt;z-index:251821056;mso-width-relative:page;mso-height-relative:page;" filled="f" stroked="t" coordsize="21600,21600" o:gfxdata="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oU2I4NcAAAAJAQAADwAAAAAAAAABACAA&#10;AAAiAAAAZHJzL2Rvd25yZXYueG1sUEsBAhQAFAAAAAgAh07iQOXBWVIOAgAA9AMAAA4AAAAAAAAA&#10;AQAgAAAAJgEAAGRycy9lMm9Eb2MueG1sUEsFBgAAAAAGAAYAWQEAAKYFAAAAAA==&#10;">
                      <v:fill on="f" focussize="0,0"/>
                      <v:stroke weight="0.5pt" color="#000000" joinstyle="round" endarrow="classic" endarrowwidth="narrow" endarrowlength="short"/>
                      <v:imagedata o:title=""/>
                      <o:lock v:ext="edit" aspectratio="f"/>
                    </v:line>
                  </w:pict>
                </mc:Fallback>
              </mc:AlternateContent>
            </w:r>
            <w:r>
              <w:rPr>
                <w:color w:val="auto"/>
                <w:sz w:val="21"/>
              </w:rPr>
              <mc:AlternateContent>
                <mc:Choice Requires="wps">
                  <w:drawing>
                    <wp:anchor distT="0" distB="0" distL="114300" distR="114300" simplePos="0" relativeHeight="251815936" behindDoc="0" locked="0" layoutInCell="1" allowOverlap="1">
                      <wp:simplePos x="0" y="0"/>
                      <wp:positionH relativeFrom="column">
                        <wp:posOffset>2587625</wp:posOffset>
                      </wp:positionH>
                      <wp:positionV relativeFrom="paragraph">
                        <wp:posOffset>220345</wp:posOffset>
                      </wp:positionV>
                      <wp:extent cx="904240" cy="209550"/>
                      <wp:effectExtent l="0" t="0" r="0" b="0"/>
                      <wp:wrapNone/>
                      <wp:docPr id="82" name="文本框 79"/>
                      <wp:cNvGraphicFramePr/>
                      <a:graphic xmlns:a="http://schemas.openxmlformats.org/drawingml/2006/main">
                        <a:graphicData uri="http://schemas.microsoft.com/office/word/2010/wordprocessingShape">
                          <wps:wsp>
                            <wps:cNvSpPr txBox="1"/>
                            <wps:spPr>
                              <a:xfrm>
                                <a:off x="4156710" y="1815465"/>
                                <a:ext cx="904240" cy="209550"/>
                              </a:xfrm>
                              <a:prstGeom prst="rect">
                                <a:avLst/>
                              </a:prstGeom>
                              <a:noFill/>
                              <a:ln w="6350">
                                <a:noFill/>
                              </a:ln>
                            </wps:spPr>
                            <wps:txbx>
                              <w:txbxContent>
                                <w:p w14:paraId="6EE1634A">
                                  <w:pPr>
                                    <w:spacing w:line="0" w:lineRule="atLeast"/>
                                    <w:jc w:val="center"/>
                                    <w:rPr>
                                      <w:rFonts w:hint="default" w:ascii="Times New Roman" w:hAnsi="Times New Roman" w:eastAsia="宋体" w:cs="Times New Roman"/>
                                      <w:spacing w:val="-10"/>
                                      <w:szCs w:val="21"/>
                                      <w:lang w:val="en-US" w:eastAsia="zh-CN"/>
                                    </w:rPr>
                                  </w:pPr>
                                  <w:r>
                                    <w:rPr>
                                      <w:rFonts w:hint="eastAsia" w:ascii="Times New Roman" w:hAnsi="Times New Roman" w:cs="Times New Roman"/>
                                      <w:spacing w:val="-10"/>
                                      <w:szCs w:val="21"/>
                                      <w:lang w:val="en-US" w:eastAsia="zh-CN"/>
                                    </w:rPr>
                                    <w:t>除尘灰</w:t>
                                  </w:r>
                                  <w:r>
                                    <w:rPr>
                                      <w:rFonts w:hint="eastAsia" w:cs="Times New Roman"/>
                                      <w:spacing w:val="-10"/>
                                      <w:szCs w:val="21"/>
                                      <w:lang w:val="en-US" w:eastAsia="zh-CN"/>
                                    </w:rPr>
                                    <w:t>117.9</w:t>
                                  </w:r>
                                </w:p>
                              </w:txbxContent>
                            </wps:txbx>
                            <wps:bodyPr lIns="0" tIns="0" rIns="0" bIns="0" upright="1"/>
                          </wps:wsp>
                        </a:graphicData>
                      </a:graphic>
                    </wp:anchor>
                  </w:drawing>
                </mc:Choice>
                <mc:Fallback>
                  <w:pict>
                    <v:shape id="文本框 79" o:spid="_x0000_s1026" o:spt="202" type="#_x0000_t202" style="position:absolute;left:0pt;margin-left:203.75pt;margin-top:17.35pt;height:16.5pt;width:71.2pt;z-index:251815936;mso-width-relative:page;mso-height-relative:page;" filled="f" stroked="f" coordsize="21600,21600" o:gfxdata="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">
                      <v:fill on="f" focussize="0,0"/>
                      <v:stroke on="f" weight="0.5pt"/>
                      <v:imagedata o:title=""/>
                      <o:lock v:ext="edit" aspectratio="f"/>
                      <v:textbox inset="0mm,0mm,0mm,0mm">
                        <w:txbxContent>
                          <w:p w14:paraId="6EE1634A">
                            <w:pPr>
                              <w:spacing w:line="0" w:lineRule="atLeast"/>
                              <w:jc w:val="center"/>
                              <w:rPr>
                                <w:rFonts w:hint="default" w:ascii="Times New Roman" w:hAnsi="Times New Roman" w:eastAsia="宋体" w:cs="Times New Roman"/>
                                <w:spacing w:val="-10"/>
                                <w:szCs w:val="21"/>
                                <w:lang w:val="en-US" w:eastAsia="zh-CN"/>
                              </w:rPr>
                            </w:pPr>
                            <w:r>
                              <w:rPr>
                                <w:rFonts w:hint="eastAsia" w:ascii="Times New Roman" w:hAnsi="Times New Roman" w:cs="Times New Roman"/>
                                <w:spacing w:val="-10"/>
                                <w:szCs w:val="21"/>
                                <w:lang w:val="en-US" w:eastAsia="zh-CN"/>
                              </w:rPr>
                              <w:t>除尘灰</w:t>
                            </w:r>
                            <w:r>
                              <w:rPr>
                                <w:rFonts w:hint="eastAsia" w:cs="Times New Roman"/>
                                <w:spacing w:val="-10"/>
                                <w:szCs w:val="21"/>
                                <w:lang w:val="en-US" w:eastAsia="zh-CN"/>
                              </w:rPr>
                              <w:t>117.9</w:t>
                            </w:r>
                          </w:p>
                        </w:txbxContent>
                      </v:textbox>
                    </v:shape>
                  </w:pict>
                </mc:Fallback>
              </mc:AlternateContent>
            </w:r>
            <w:r>
              <w:rPr>
                <w:color w:val="auto"/>
                <w:sz w:val="21"/>
              </w:rPr>
              <mc:AlternateContent>
                <mc:Choice Requires="wps">
                  <w:drawing>
                    <wp:anchor distT="0" distB="0" distL="114300" distR="114300" simplePos="0" relativeHeight="251814912" behindDoc="0" locked="0" layoutInCell="1" allowOverlap="1">
                      <wp:simplePos x="0" y="0"/>
                      <wp:positionH relativeFrom="column">
                        <wp:posOffset>2580005</wp:posOffset>
                      </wp:positionH>
                      <wp:positionV relativeFrom="paragraph">
                        <wp:posOffset>410845</wp:posOffset>
                      </wp:positionV>
                      <wp:extent cx="1009650" cy="0"/>
                      <wp:effectExtent l="0" t="25400" r="0" b="31750"/>
                      <wp:wrapNone/>
                      <wp:docPr id="101" name="直接连接符 76"/>
                      <wp:cNvGraphicFramePr/>
                      <a:graphic xmlns:a="http://schemas.openxmlformats.org/drawingml/2006/main">
                        <a:graphicData uri="http://schemas.microsoft.com/office/word/2010/wordprocessingShape">
                          <wps:wsp>
                            <wps:cNvCnPr/>
                            <wps:spPr>
                              <a:xfrm>
                                <a:off x="4098290" y="2001520"/>
                                <a:ext cx="1009650" cy="0"/>
                              </a:xfrm>
                              <a:prstGeom prst="line">
                                <a:avLst/>
                              </a:prstGeom>
                              <a:ln w="6350" cap="flat" cmpd="sng">
                                <a:solidFill>
                                  <a:srgbClr val="000000"/>
                                </a:solidFill>
                                <a:prstDash val="solid"/>
                                <a:headEnd type="none" w="med" len="med"/>
                                <a:tailEnd type="stealth" w="sm" len="sm"/>
                              </a:ln>
                            </wps:spPr>
                            <wps:bodyPr upright="1"/>
                          </wps:wsp>
                        </a:graphicData>
                      </a:graphic>
                    </wp:anchor>
                  </w:drawing>
                </mc:Choice>
                <mc:Fallback>
                  <w:pict>
                    <v:line id="直接连接符 76" o:spid="_x0000_s1026" o:spt="20" style="position:absolute;left:0pt;margin-left:203.15pt;margin-top:32.35pt;height:0pt;width:79.5pt;z-index:251814912;mso-width-relative:page;mso-height-relative:page;" filled="f" stroked="t" coordsize="21600,21600" o:gfxdata="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7UiT6NgAAAAJAQAADwAAAAAAAAABACAA&#10;AAAiAAAAZHJzL2Rvd25yZXYueG1sUEsBAhQAFAAAAAgAh07iQE64YbsNAgAA9AMAAA4AAAAAAAAA&#10;AQAgAAAAJwEAAGRycy9lMm9Eb2MueG1sUEsFBgAAAAAGAAYAWQEAAKYFAAAAAA==&#10;">
                      <v:fill on="f" focussize="0,0"/>
                      <v:stroke weight="0.5pt" color="#000000" joinstyle="round" endarrow="classic" endarrowwidth="narrow" endarrowlength="short"/>
                      <v:imagedata o:title=""/>
                      <o:lock v:ext="edit" aspectratio="f"/>
                    </v:line>
                  </w:pict>
                </mc:Fallback>
              </mc:AlternateContent>
            </w:r>
          </w:p>
          <w:p w14:paraId="6CC42D9A">
            <w:pPr>
              <w:spacing w:line="480" w:lineRule="atLeast"/>
              <w:ind w:firstLine="420" w:firstLineChars="200"/>
              <w:rPr>
                <w:rFonts w:ascii="Times New Roman" w:hAnsi="Times New Roman"/>
                <w:color w:val="auto"/>
              </w:rPr>
            </w:pPr>
            <w:r>
              <w:rPr>
                <w:color w:val="auto"/>
                <w:sz w:val="21"/>
              </w:rPr>
              <mc:AlternateContent>
                <mc:Choice Requires="wps">
                  <w:drawing>
                    <wp:anchor distT="0" distB="0" distL="114300" distR="114300" simplePos="0" relativeHeight="251822080" behindDoc="0" locked="0" layoutInCell="1" allowOverlap="1">
                      <wp:simplePos x="0" y="0"/>
                      <wp:positionH relativeFrom="column">
                        <wp:posOffset>2419985</wp:posOffset>
                      </wp:positionH>
                      <wp:positionV relativeFrom="paragraph">
                        <wp:posOffset>27940</wp:posOffset>
                      </wp:positionV>
                      <wp:extent cx="1343660" cy="209550"/>
                      <wp:effectExtent l="0" t="0" r="0" b="0"/>
                      <wp:wrapNone/>
                      <wp:docPr id="104" name="文本框 176"/>
                      <wp:cNvGraphicFramePr/>
                      <a:graphic xmlns:a="http://schemas.openxmlformats.org/drawingml/2006/main">
                        <a:graphicData uri="http://schemas.microsoft.com/office/word/2010/wordprocessingShape">
                          <wps:wsp>
                            <wps:cNvSpPr txBox="1"/>
                            <wps:spPr>
                              <a:xfrm>
                                <a:off x="4020820" y="2277745"/>
                                <a:ext cx="1343660" cy="209550"/>
                              </a:xfrm>
                              <a:prstGeom prst="rect">
                                <a:avLst/>
                              </a:prstGeom>
                              <a:noFill/>
                              <a:ln w="6350">
                                <a:noFill/>
                              </a:ln>
                            </wps:spPr>
                            <wps:txbx>
                              <w:txbxContent>
                                <w:p w14:paraId="06F0F87C">
                                  <w:pPr>
                                    <w:spacing w:line="0" w:lineRule="atLeast"/>
                                    <w:jc w:val="center"/>
                                    <w:rPr>
                                      <w:rFonts w:hint="default" w:ascii="Times New Roman" w:hAnsi="Times New Roman" w:eastAsia="宋体" w:cs="Times New Roman"/>
                                      <w:spacing w:val="-10"/>
                                      <w:szCs w:val="21"/>
                                      <w:lang w:val="en-US" w:eastAsia="zh-CN"/>
                                    </w:rPr>
                                  </w:pPr>
                                  <w:r>
                                    <w:rPr>
                                      <w:rFonts w:hint="eastAsia" w:cs="Times New Roman"/>
                                      <w:spacing w:val="-10"/>
                                      <w:szCs w:val="21"/>
                                      <w:lang w:val="en-US" w:eastAsia="zh-CN"/>
                                    </w:rPr>
                                    <w:t>外排颗粒物1.4</w:t>
                                  </w:r>
                                </w:p>
                              </w:txbxContent>
                            </wps:txbx>
                            <wps:bodyPr lIns="0" tIns="0" rIns="0" bIns="0" upright="1"/>
                          </wps:wsp>
                        </a:graphicData>
                      </a:graphic>
                    </wp:anchor>
                  </w:drawing>
                </mc:Choice>
                <mc:Fallback>
                  <w:pict>
                    <v:shape id="文本框 176" o:spid="_x0000_s1026" o:spt="202" type="#_x0000_t202" style="position:absolute;left:0pt;margin-left:190.55pt;margin-top:2.2pt;height:16.5pt;width:105.8pt;z-index:251822080;mso-width-relative:page;mso-height-relative:page;" filled="f" stroked="f" coordsize="21600,21600" o:gfxdata="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">
                      <v:fill on="f" focussize="0,0"/>
                      <v:stroke on="f" weight="0.5pt"/>
                      <v:imagedata o:title=""/>
                      <o:lock v:ext="edit" aspectratio="f"/>
                      <v:textbox inset="0mm,0mm,0mm,0mm">
                        <w:txbxContent>
                          <w:p w14:paraId="06F0F87C">
                            <w:pPr>
                              <w:spacing w:line="0" w:lineRule="atLeast"/>
                              <w:jc w:val="center"/>
                              <w:rPr>
                                <w:rFonts w:hint="default" w:ascii="Times New Roman" w:hAnsi="Times New Roman" w:eastAsia="宋体" w:cs="Times New Roman"/>
                                <w:spacing w:val="-10"/>
                                <w:szCs w:val="21"/>
                                <w:lang w:val="en-US" w:eastAsia="zh-CN"/>
                              </w:rPr>
                            </w:pPr>
                            <w:r>
                              <w:rPr>
                                <w:rFonts w:hint="eastAsia" w:cs="Times New Roman"/>
                                <w:spacing w:val="-10"/>
                                <w:szCs w:val="21"/>
                                <w:lang w:val="en-US" w:eastAsia="zh-CN"/>
                              </w:rPr>
                              <w:t>外排颗粒物1.4</w:t>
                            </w:r>
                          </w:p>
                        </w:txbxContent>
                      </v:textbox>
                    </v:shape>
                  </w:pict>
                </mc:Fallback>
              </mc:AlternateContent>
            </w:r>
            <w:r>
              <w:rPr>
                <w:color w:val="auto"/>
                <w:sz w:val="21"/>
              </w:rPr>
              <mc:AlternateContent>
                <mc:Choice Requires="wps">
                  <w:drawing>
                    <wp:anchor distT="0" distB="0" distL="114300" distR="114300" simplePos="0" relativeHeight="251819008" behindDoc="0" locked="0" layoutInCell="1" allowOverlap="1">
                      <wp:simplePos x="0" y="0"/>
                      <wp:positionH relativeFrom="column">
                        <wp:posOffset>2569845</wp:posOffset>
                      </wp:positionH>
                      <wp:positionV relativeFrom="paragraph">
                        <wp:posOffset>205740</wp:posOffset>
                      </wp:positionV>
                      <wp:extent cx="1009650" cy="0"/>
                      <wp:effectExtent l="0" t="25400" r="0" b="31750"/>
                      <wp:wrapNone/>
                      <wp:docPr id="109" name="直接连接符 68"/>
                      <wp:cNvGraphicFramePr/>
                      <a:graphic xmlns:a="http://schemas.openxmlformats.org/drawingml/2006/main">
                        <a:graphicData uri="http://schemas.microsoft.com/office/word/2010/wordprocessingShape">
                          <wps:wsp>
                            <wps:cNvCnPr/>
                            <wps:spPr>
                              <a:xfrm>
                                <a:off x="4094480" y="2235200"/>
                                <a:ext cx="1009650" cy="0"/>
                              </a:xfrm>
                              <a:prstGeom prst="line">
                                <a:avLst/>
                              </a:prstGeom>
                              <a:ln w="6350" cap="flat" cmpd="sng">
                                <a:solidFill>
                                  <a:srgbClr val="000000"/>
                                </a:solidFill>
                                <a:prstDash val="solid"/>
                                <a:headEnd type="none" w="med" len="med"/>
                                <a:tailEnd type="stealth" w="sm" len="sm"/>
                              </a:ln>
                            </wps:spPr>
                            <wps:bodyPr upright="1"/>
                          </wps:wsp>
                        </a:graphicData>
                      </a:graphic>
                    </wp:anchor>
                  </w:drawing>
                </mc:Choice>
                <mc:Fallback>
                  <w:pict>
                    <v:line id="直接连接符 68" o:spid="_x0000_s1026" o:spt="20" style="position:absolute;left:0pt;margin-left:202.35pt;margin-top:16.2pt;height:0pt;width:79.5pt;z-index:251819008;mso-width-relative:page;mso-height-relative:page;" filled="f" stroked="t" coordsize="21600,21600" o:gfxdata="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HkD3xTYAAAACQEAAA8AAAAAAAAAAQAg&#10;AAAAIgAAAGRycy9kb3ducmV2LnhtbFBLAQIUABQAAAAIAIdO4kCBDdR2DgIAAPQDAAAOAAAAAAAA&#10;AAEAIAAAACcBAABkcnMvZTJvRG9jLnhtbFBLBQYAAAAABgAGAFkBAACnBQAAAAA=&#10;">
                      <v:fill on="f" focussize="0,0"/>
                      <v:stroke weight="0.5pt" color="#000000" joinstyle="round" endarrow="classic" endarrowwidth="narrow" endarrowlength="short"/>
                      <v:imagedata o:title=""/>
                      <o:lock v:ext="edit" aspectratio="f"/>
                    </v:line>
                  </w:pict>
                </mc:Fallback>
              </mc:AlternateContent>
            </w:r>
            <w:r>
              <w:rPr>
                <w:color w:val="auto"/>
                <w:sz w:val="21"/>
              </w:rPr>
              <mc:AlternateContent>
                <mc:Choice Requires="wps">
                  <w:drawing>
                    <wp:anchor distT="0" distB="0" distL="114300" distR="114300" simplePos="0" relativeHeight="251810816" behindDoc="0" locked="0" layoutInCell="1" allowOverlap="1">
                      <wp:simplePos x="0" y="0"/>
                      <wp:positionH relativeFrom="column">
                        <wp:posOffset>2473325</wp:posOffset>
                      </wp:positionH>
                      <wp:positionV relativeFrom="paragraph">
                        <wp:posOffset>275590</wp:posOffset>
                      </wp:positionV>
                      <wp:extent cx="1038225" cy="189865"/>
                      <wp:effectExtent l="0" t="0" r="0" b="0"/>
                      <wp:wrapNone/>
                      <wp:docPr id="81" name="文本框 162"/>
                      <wp:cNvGraphicFramePr/>
                      <a:graphic xmlns:a="http://schemas.openxmlformats.org/drawingml/2006/main">
                        <a:graphicData uri="http://schemas.microsoft.com/office/word/2010/wordprocessingShape">
                          <wps:wsp>
                            <wps:cNvSpPr txBox="1"/>
                            <wps:spPr>
                              <a:xfrm>
                                <a:off x="4119880" y="2054225"/>
                                <a:ext cx="1038225" cy="189865"/>
                              </a:xfrm>
                              <a:prstGeom prst="rect">
                                <a:avLst/>
                              </a:prstGeom>
                              <a:noFill/>
                              <a:ln w="6350">
                                <a:noFill/>
                              </a:ln>
                            </wps:spPr>
                            <wps:txbx>
                              <w:txbxContent>
                                <w:p w14:paraId="2A840CA4">
                                  <w:pPr>
                                    <w:spacing w:line="0" w:lineRule="atLeast"/>
                                    <w:jc w:val="center"/>
                                    <w:rPr>
                                      <w:rFonts w:hint="default" w:ascii="Times New Roman" w:hAnsi="Times New Roman" w:eastAsia="宋体" w:cs="Times New Roman"/>
                                      <w:spacing w:val="-10"/>
                                      <w:szCs w:val="21"/>
                                      <w:lang w:val="en-US" w:eastAsia="zh-CN"/>
                                    </w:rPr>
                                  </w:pPr>
                                  <w:r>
                                    <w:rPr>
                                      <w:rFonts w:hint="eastAsia" w:ascii="Times New Roman" w:hAnsi="Times New Roman" w:cs="Times New Roman"/>
                                      <w:spacing w:val="-10"/>
                                      <w:szCs w:val="21"/>
                                      <w:lang w:val="en-US" w:eastAsia="zh-CN"/>
                                    </w:rPr>
                                    <w:t>沉降</w:t>
                                  </w:r>
                                  <w:r>
                                    <w:rPr>
                                      <w:rFonts w:hint="default" w:ascii="Times New Roman" w:hAnsi="Times New Roman" w:eastAsia="宋体" w:cs="Times New Roman"/>
                                      <w:spacing w:val="-10"/>
                                      <w:szCs w:val="21"/>
                                      <w:lang w:val="en-US" w:eastAsia="zh-CN"/>
                                    </w:rPr>
                                    <w:t>灰</w:t>
                                  </w:r>
                                  <w:r>
                                    <w:rPr>
                                      <w:rFonts w:hint="eastAsia" w:cs="Times New Roman"/>
                                      <w:spacing w:val="-10"/>
                                      <w:szCs w:val="21"/>
                                      <w:lang w:val="en-US" w:eastAsia="zh-CN"/>
                                    </w:rPr>
                                    <w:t>13.6</w:t>
                                  </w:r>
                                </w:p>
                              </w:txbxContent>
                            </wps:txbx>
                            <wps:bodyPr lIns="0" tIns="0" rIns="0" bIns="0" upright="1"/>
                          </wps:wsp>
                        </a:graphicData>
                      </a:graphic>
                    </wp:anchor>
                  </w:drawing>
                </mc:Choice>
                <mc:Fallback>
                  <w:pict>
                    <v:shape id="文本框 162" o:spid="_x0000_s1026" o:spt="202" type="#_x0000_t202" style="position:absolute;left:0pt;margin-left:194.75pt;margin-top:21.7pt;height:14.95pt;width:81.75pt;z-index:251810816;mso-width-relative:page;mso-height-relative:page;" filled="f" stroked="f" coordsize="21600,21600" o:gfxdata="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">
                      <v:fill on="f" focussize="0,0"/>
                      <v:stroke on="f" weight="0.5pt"/>
                      <v:imagedata o:title=""/>
                      <o:lock v:ext="edit" aspectratio="f"/>
                      <v:textbox inset="0mm,0mm,0mm,0mm">
                        <w:txbxContent>
                          <w:p w14:paraId="2A840CA4">
                            <w:pPr>
                              <w:spacing w:line="0" w:lineRule="atLeast"/>
                              <w:jc w:val="center"/>
                              <w:rPr>
                                <w:rFonts w:hint="default" w:ascii="Times New Roman" w:hAnsi="Times New Roman" w:eastAsia="宋体" w:cs="Times New Roman"/>
                                <w:spacing w:val="-10"/>
                                <w:szCs w:val="21"/>
                                <w:lang w:val="en-US" w:eastAsia="zh-CN"/>
                              </w:rPr>
                            </w:pPr>
                            <w:r>
                              <w:rPr>
                                <w:rFonts w:hint="eastAsia" w:ascii="Times New Roman" w:hAnsi="Times New Roman" w:cs="Times New Roman"/>
                                <w:spacing w:val="-10"/>
                                <w:szCs w:val="21"/>
                                <w:lang w:val="en-US" w:eastAsia="zh-CN"/>
                              </w:rPr>
                              <w:t>沉降</w:t>
                            </w:r>
                            <w:r>
                              <w:rPr>
                                <w:rFonts w:hint="default" w:ascii="Times New Roman" w:hAnsi="Times New Roman" w:eastAsia="宋体" w:cs="Times New Roman"/>
                                <w:spacing w:val="-10"/>
                                <w:szCs w:val="21"/>
                                <w:lang w:val="en-US" w:eastAsia="zh-CN"/>
                              </w:rPr>
                              <w:t>灰</w:t>
                            </w:r>
                            <w:r>
                              <w:rPr>
                                <w:rFonts w:hint="eastAsia" w:cs="Times New Roman"/>
                                <w:spacing w:val="-10"/>
                                <w:szCs w:val="21"/>
                                <w:lang w:val="en-US" w:eastAsia="zh-CN"/>
                              </w:rPr>
                              <w:t>13.6</w:t>
                            </w:r>
                          </w:p>
                        </w:txbxContent>
                      </v:textbox>
                    </v:shape>
                  </w:pict>
                </mc:Fallback>
              </mc:AlternateContent>
            </w:r>
          </w:p>
          <w:p w14:paraId="13BEAFF1">
            <w:pPr>
              <w:tabs>
                <w:tab w:val="left" w:pos="4253"/>
              </w:tabs>
              <w:spacing w:line="480" w:lineRule="exact"/>
              <w:jc w:val="center"/>
              <w:rPr>
                <w:rFonts w:hint="eastAsia"/>
                <w:b/>
                <w:color w:val="auto"/>
                <w:szCs w:val="21"/>
                <w:lang w:bidi="ar"/>
              </w:rPr>
            </w:pPr>
            <w:r>
              <w:rPr>
                <w:color w:val="auto"/>
                <w:sz w:val="21"/>
              </w:rPr>
              <mc:AlternateContent>
                <mc:Choice Requires="wps">
                  <w:drawing>
                    <wp:anchor distT="0" distB="0" distL="114300" distR="114300" simplePos="0" relativeHeight="251823104" behindDoc="0" locked="0" layoutInCell="1" allowOverlap="1">
                      <wp:simplePos x="0" y="0"/>
                      <wp:positionH relativeFrom="column">
                        <wp:posOffset>2569210</wp:posOffset>
                      </wp:positionH>
                      <wp:positionV relativeFrom="paragraph">
                        <wp:posOffset>150495</wp:posOffset>
                      </wp:positionV>
                      <wp:extent cx="1009650" cy="0"/>
                      <wp:effectExtent l="0" t="25400" r="0" b="31750"/>
                      <wp:wrapNone/>
                      <wp:docPr id="108" name="直接连接符 177"/>
                      <wp:cNvGraphicFramePr/>
                      <a:graphic xmlns:a="http://schemas.openxmlformats.org/drawingml/2006/main">
                        <a:graphicData uri="http://schemas.microsoft.com/office/word/2010/wordprocessingShape">
                          <wps:wsp>
                            <wps:cNvCnPr/>
                            <wps:spPr>
                              <a:xfrm>
                                <a:off x="4081780" y="2453640"/>
                                <a:ext cx="1009650" cy="0"/>
                              </a:xfrm>
                              <a:prstGeom prst="line">
                                <a:avLst/>
                              </a:prstGeom>
                              <a:ln w="6350" cap="flat" cmpd="sng">
                                <a:solidFill>
                                  <a:srgbClr val="000000"/>
                                </a:solidFill>
                                <a:prstDash val="solid"/>
                                <a:headEnd type="none" w="med" len="med"/>
                                <a:tailEnd type="stealth" w="sm" len="sm"/>
                              </a:ln>
                            </wps:spPr>
                            <wps:bodyPr upright="1"/>
                          </wps:wsp>
                        </a:graphicData>
                      </a:graphic>
                    </wp:anchor>
                  </w:drawing>
                </mc:Choice>
                <mc:Fallback>
                  <w:pict>
                    <v:line id="直接连接符 177" o:spid="_x0000_s1026" o:spt="20" style="position:absolute;left:0pt;margin-left:202.3pt;margin-top:11.85pt;height:0pt;width:79.5pt;z-index:251823104;mso-width-relative:page;mso-height-relative:page;" filled="f" stroked="t" coordsize="21600,21600" o:gfxdata="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KI8IYNgAAAAJAQAADwAAAAAAAAAB&#10;ACAAAAAiAAAAZHJzL2Rvd25yZXYueG1sUEsBAhQAFAAAAAgAh07iQG8IangQAgAA9QMAAA4AAAAA&#10;AAAAAQAgAAAAJwEAAGRycy9lMm9Eb2MueG1sUEsFBgAAAAAGAAYAWQEAAKkFAAAAAA==&#10;">
                      <v:fill on="f" focussize="0,0"/>
                      <v:stroke weight="0.5pt" color="#000000" joinstyle="round" endarrow="classic" endarrowwidth="narrow" endarrowlength="short"/>
                      <v:imagedata o:title=""/>
                      <o:lock v:ext="edit" aspectratio="f"/>
                    </v:line>
                  </w:pict>
                </mc:Fallback>
              </mc:AlternateContent>
            </w:r>
            <w:r>
              <w:rPr>
                <w:color w:val="auto"/>
                <w:sz w:val="21"/>
              </w:rPr>
              <mc:AlternateContent>
                <mc:Choice Requires="wps">
                  <w:drawing>
                    <wp:anchor distT="0" distB="0" distL="114300" distR="114300" simplePos="0" relativeHeight="251805696" behindDoc="0" locked="0" layoutInCell="1" allowOverlap="1">
                      <wp:simplePos x="0" y="0"/>
                      <wp:positionH relativeFrom="column">
                        <wp:posOffset>2673350</wp:posOffset>
                      </wp:positionH>
                      <wp:positionV relativeFrom="paragraph">
                        <wp:posOffset>258445</wp:posOffset>
                      </wp:positionV>
                      <wp:extent cx="1038225" cy="200025"/>
                      <wp:effectExtent l="0" t="0" r="0" b="0"/>
                      <wp:wrapNone/>
                      <wp:docPr id="169" name="文本框 158"/>
                      <wp:cNvGraphicFramePr/>
                      <a:graphic xmlns:a="http://schemas.openxmlformats.org/drawingml/2006/main">
                        <a:graphicData uri="http://schemas.microsoft.com/office/word/2010/wordprocessingShape">
                          <wps:wsp>
                            <wps:cNvSpPr txBox="1"/>
                            <wps:spPr>
                              <a:xfrm>
                                <a:off x="4019550" y="2489835"/>
                                <a:ext cx="1038225" cy="200025"/>
                              </a:xfrm>
                              <a:prstGeom prst="rect">
                                <a:avLst/>
                              </a:prstGeom>
                              <a:noFill/>
                              <a:ln w="6350">
                                <a:noFill/>
                              </a:ln>
                            </wps:spPr>
                            <wps:txbx>
                              <w:txbxContent>
                                <w:p w14:paraId="3D8296B7">
                                  <w:pPr>
                                    <w:spacing w:line="0" w:lineRule="atLeast"/>
                                    <w:jc w:val="center"/>
                                    <w:rPr>
                                      <w:rFonts w:hint="default" w:ascii="Times New Roman" w:hAnsi="Times New Roman" w:eastAsia="宋体" w:cs="Times New Roman"/>
                                      <w:spacing w:val="-10"/>
                                      <w:szCs w:val="21"/>
                                      <w:lang w:val="en-US" w:eastAsia="zh-CN"/>
                                    </w:rPr>
                                  </w:pPr>
                                  <w:r>
                                    <w:rPr>
                                      <w:rFonts w:hint="eastAsia" w:cs="Times New Roman"/>
                                      <w:spacing w:val="-10"/>
                                      <w:szCs w:val="21"/>
                                      <w:lang w:val="en-US" w:eastAsia="zh-CN"/>
                                    </w:rPr>
                                    <w:t>污泥、</w:t>
                                  </w:r>
                                  <w:r>
                                    <w:rPr>
                                      <w:rFonts w:hint="eastAsia" w:ascii="Times New Roman" w:hAnsi="Times New Roman" w:cs="Times New Roman"/>
                                      <w:spacing w:val="-10"/>
                                      <w:szCs w:val="21"/>
                                      <w:lang w:val="en-US" w:eastAsia="zh-CN"/>
                                    </w:rPr>
                                    <w:t>泥饼</w:t>
                                  </w:r>
                                  <w:r>
                                    <w:rPr>
                                      <w:rFonts w:hint="eastAsia" w:cs="Times New Roman"/>
                                      <w:spacing w:val="-10"/>
                                      <w:szCs w:val="21"/>
                                      <w:lang w:val="en-US" w:eastAsia="zh-CN"/>
                                    </w:rPr>
                                    <w:t>10359.1</w:t>
                                  </w:r>
                                </w:p>
                              </w:txbxContent>
                            </wps:txbx>
                            <wps:bodyPr lIns="0" tIns="0" rIns="0" bIns="0" upright="1"/>
                          </wps:wsp>
                        </a:graphicData>
                      </a:graphic>
                    </wp:anchor>
                  </w:drawing>
                </mc:Choice>
                <mc:Fallback>
                  <w:pict>
                    <v:shape id="文本框 158" o:spid="_x0000_s1026" o:spt="202" type="#_x0000_t202" style="position:absolute;left:0pt;margin-left:210.5pt;margin-top:20.35pt;height:15.75pt;width:81.75pt;z-index:251805696;mso-width-relative:page;mso-height-relative:page;" filled="f" stroked="f" coordsize="21600,21600" o:gfxdata="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">
                      <v:fill on="f" focussize="0,0"/>
                      <v:stroke on="f" weight="0.5pt"/>
                      <v:imagedata o:title=""/>
                      <o:lock v:ext="edit" aspectratio="f"/>
                      <v:textbox inset="0mm,0mm,0mm,0mm">
                        <w:txbxContent>
                          <w:p w14:paraId="3D8296B7">
                            <w:pPr>
                              <w:spacing w:line="0" w:lineRule="atLeast"/>
                              <w:jc w:val="center"/>
                              <w:rPr>
                                <w:rFonts w:hint="default" w:ascii="Times New Roman" w:hAnsi="Times New Roman" w:eastAsia="宋体" w:cs="Times New Roman"/>
                                <w:spacing w:val="-10"/>
                                <w:szCs w:val="21"/>
                                <w:lang w:val="en-US" w:eastAsia="zh-CN"/>
                              </w:rPr>
                            </w:pPr>
                            <w:r>
                              <w:rPr>
                                <w:rFonts w:hint="eastAsia" w:cs="Times New Roman"/>
                                <w:spacing w:val="-10"/>
                                <w:szCs w:val="21"/>
                                <w:lang w:val="en-US" w:eastAsia="zh-CN"/>
                              </w:rPr>
                              <w:t>污泥、</w:t>
                            </w:r>
                            <w:r>
                              <w:rPr>
                                <w:rFonts w:hint="eastAsia" w:ascii="Times New Roman" w:hAnsi="Times New Roman" w:cs="Times New Roman"/>
                                <w:spacing w:val="-10"/>
                                <w:szCs w:val="21"/>
                                <w:lang w:val="en-US" w:eastAsia="zh-CN"/>
                              </w:rPr>
                              <w:t>泥饼</w:t>
                            </w:r>
                            <w:r>
                              <w:rPr>
                                <w:rFonts w:hint="eastAsia" w:cs="Times New Roman"/>
                                <w:spacing w:val="-10"/>
                                <w:szCs w:val="21"/>
                                <w:lang w:val="en-US" w:eastAsia="zh-CN"/>
                              </w:rPr>
                              <w:t>10359.1</w:t>
                            </w:r>
                          </w:p>
                        </w:txbxContent>
                      </v:textbox>
                    </v:shape>
                  </w:pict>
                </mc:Fallback>
              </mc:AlternateContent>
            </w:r>
            <w:r>
              <w:rPr>
                <w:color w:val="auto"/>
                <w:sz w:val="21"/>
              </w:rPr>
              <mc:AlternateContent>
                <mc:Choice Requires="wps">
                  <w:drawing>
                    <wp:anchor distT="0" distB="0" distL="114300" distR="114300" simplePos="0" relativeHeight="251809792" behindDoc="0" locked="0" layoutInCell="1" allowOverlap="1">
                      <wp:simplePos x="0" y="0"/>
                      <wp:positionH relativeFrom="column">
                        <wp:posOffset>864870</wp:posOffset>
                      </wp:positionH>
                      <wp:positionV relativeFrom="paragraph">
                        <wp:posOffset>60325</wp:posOffset>
                      </wp:positionV>
                      <wp:extent cx="1038225" cy="200025"/>
                      <wp:effectExtent l="0" t="0" r="0" b="0"/>
                      <wp:wrapNone/>
                      <wp:docPr id="162" name="文本框 101"/>
                      <wp:cNvGraphicFramePr/>
                      <a:graphic xmlns:a="http://schemas.openxmlformats.org/drawingml/2006/main">
                        <a:graphicData uri="http://schemas.microsoft.com/office/word/2010/wordprocessingShape">
                          <wps:wsp>
                            <wps:cNvSpPr txBox="1"/>
                            <wps:spPr>
                              <a:xfrm>
                                <a:off x="2374265" y="2357755"/>
                                <a:ext cx="1038225" cy="200025"/>
                              </a:xfrm>
                              <a:prstGeom prst="rect">
                                <a:avLst/>
                              </a:prstGeom>
                              <a:noFill/>
                              <a:ln w="6350">
                                <a:noFill/>
                              </a:ln>
                            </wps:spPr>
                            <wps:txbx>
                              <w:txbxContent>
                                <w:p w14:paraId="38BC571F">
                                  <w:pPr>
                                    <w:spacing w:line="0" w:lineRule="atLeast"/>
                                    <w:jc w:val="center"/>
                                    <w:rPr>
                                      <w:rFonts w:hint="default" w:ascii="Times New Roman" w:hAnsi="Times New Roman" w:eastAsia="宋体" w:cs="Times New Roman"/>
                                      <w:spacing w:val="-10"/>
                                      <w:szCs w:val="21"/>
                                      <w:lang w:val="en-US" w:eastAsia="zh-CN"/>
                                    </w:rPr>
                                  </w:pPr>
                                  <w:r>
                                    <w:rPr>
                                      <w:rFonts w:hint="default" w:ascii="Times New Roman" w:hAnsi="Times New Roman" w:eastAsia="宋体" w:cs="Times New Roman"/>
                                      <w:spacing w:val="-10"/>
                                      <w:szCs w:val="21"/>
                                    </w:rPr>
                                    <w:t>钢球</w:t>
                                  </w:r>
                                  <w:r>
                                    <w:rPr>
                                      <w:rFonts w:hint="eastAsia" w:ascii="Times New Roman" w:hAnsi="Times New Roman" w:eastAsia="宋体" w:cs="Times New Roman"/>
                                      <w:spacing w:val="-10"/>
                                      <w:szCs w:val="21"/>
                                      <w:lang w:val="en-US" w:eastAsia="zh-CN"/>
                                    </w:rPr>
                                    <w:t>15</w:t>
                                  </w:r>
                                </w:p>
                              </w:txbxContent>
                            </wps:txbx>
                            <wps:bodyPr lIns="0" tIns="0" rIns="0" bIns="0" upright="1"/>
                          </wps:wsp>
                        </a:graphicData>
                      </a:graphic>
                    </wp:anchor>
                  </w:drawing>
                </mc:Choice>
                <mc:Fallback>
                  <w:pict>
                    <v:shape id="文本框 101" o:spid="_x0000_s1026" o:spt="202" type="#_x0000_t202" style="position:absolute;left:0pt;margin-left:68.1pt;margin-top:4.75pt;height:15.75pt;width:81.75pt;z-index:251809792;mso-width-relative:page;mso-height-relative:page;" filled="f" stroked="f" coordsize="21600,21600" o:gfxdata="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BkERow1wAAAAgBAAAPAAAAAAAAAAEAIAAAACIAAABk&#10;cnMvZG93bnJldi54bWxQSwECFAAUAAAACACHTuJA/gtH1M4BAACLAwAADgAAAAAAAAABACAAAAAm&#10;AQAAZHJzL2Uyb0RvYy54bWxQSwUGAAAAAAYABgBZAQAAZgUAAAAA&#10;">
                      <v:fill on="f" focussize="0,0"/>
                      <v:stroke on="f" weight="0.5pt"/>
                      <v:imagedata o:title=""/>
                      <o:lock v:ext="edit" aspectratio="f"/>
                      <v:textbox inset="0mm,0mm,0mm,0mm">
                        <w:txbxContent>
                          <w:p w14:paraId="38BC571F">
                            <w:pPr>
                              <w:spacing w:line="0" w:lineRule="atLeast"/>
                              <w:jc w:val="center"/>
                              <w:rPr>
                                <w:rFonts w:hint="default" w:ascii="Times New Roman" w:hAnsi="Times New Roman" w:eastAsia="宋体" w:cs="Times New Roman"/>
                                <w:spacing w:val="-10"/>
                                <w:szCs w:val="21"/>
                                <w:lang w:val="en-US" w:eastAsia="zh-CN"/>
                              </w:rPr>
                            </w:pPr>
                            <w:r>
                              <w:rPr>
                                <w:rFonts w:hint="default" w:ascii="Times New Roman" w:hAnsi="Times New Roman" w:eastAsia="宋体" w:cs="Times New Roman"/>
                                <w:spacing w:val="-10"/>
                                <w:szCs w:val="21"/>
                              </w:rPr>
                              <w:t>钢球</w:t>
                            </w:r>
                            <w:r>
                              <w:rPr>
                                <w:rFonts w:hint="eastAsia" w:ascii="Times New Roman" w:hAnsi="Times New Roman" w:eastAsia="宋体" w:cs="Times New Roman"/>
                                <w:spacing w:val="-10"/>
                                <w:szCs w:val="21"/>
                                <w:lang w:val="en-US" w:eastAsia="zh-CN"/>
                              </w:rPr>
                              <w:t>15</w:t>
                            </w:r>
                          </w:p>
                        </w:txbxContent>
                      </v:textbox>
                    </v:shape>
                  </w:pict>
                </mc:Fallback>
              </mc:AlternateContent>
            </w:r>
            <w:r>
              <w:rPr>
                <w:color w:val="auto"/>
                <w:sz w:val="21"/>
              </w:rPr>
              <mc:AlternateContent>
                <mc:Choice Requires="wps">
                  <w:drawing>
                    <wp:anchor distT="0" distB="0" distL="114300" distR="114300" simplePos="0" relativeHeight="251808768" behindDoc="0" locked="0" layoutInCell="1" allowOverlap="1">
                      <wp:simplePos x="0" y="0"/>
                      <wp:positionH relativeFrom="column">
                        <wp:posOffset>951230</wp:posOffset>
                      </wp:positionH>
                      <wp:positionV relativeFrom="paragraph">
                        <wp:posOffset>249555</wp:posOffset>
                      </wp:positionV>
                      <wp:extent cx="933450" cy="0"/>
                      <wp:effectExtent l="0" t="25400" r="0" b="31750"/>
                      <wp:wrapNone/>
                      <wp:docPr id="177" name="直接连接符 80"/>
                      <wp:cNvGraphicFramePr/>
                      <a:graphic xmlns:a="http://schemas.openxmlformats.org/drawingml/2006/main">
                        <a:graphicData uri="http://schemas.microsoft.com/office/word/2010/wordprocessingShape">
                          <wps:wsp>
                            <wps:cNvCnPr/>
                            <wps:spPr>
                              <a:xfrm>
                                <a:off x="2469515" y="2529205"/>
                                <a:ext cx="933450" cy="0"/>
                              </a:xfrm>
                              <a:prstGeom prst="line">
                                <a:avLst/>
                              </a:prstGeom>
                              <a:ln w="6350" cap="flat" cmpd="sng">
                                <a:solidFill>
                                  <a:srgbClr val="000000"/>
                                </a:solidFill>
                                <a:prstDash val="solid"/>
                                <a:headEnd type="none" w="med" len="med"/>
                                <a:tailEnd type="stealth" w="sm" len="sm"/>
                              </a:ln>
                            </wps:spPr>
                            <wps:bodyPr upright="1"/>
                          </wps:wsp>
                        </a:graphicData>
                      </a:graphic>
                    </wp:anchor>
                  </w:drawing>
                </mc:Choice>
                <mc:Fallback>
                  <w:pict>
                    <v:line id="直接连接符 80" o:spid="_x0000_s1026" o:spt="20" style="position:absolute;left:0pt;margin-left:74.9pt;margin-top:19.65pt;height:0pt;width:73.5pt;z-index:251808768;mso-width-relative:page;mso-height-relative:page;" filled="f" stroked="t" coordsize="21600,21600" o:gfxdata="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lqKF71wAAAAkBAAAPAAAAAAAAAAEAIAAA&#10;ACIAAABkcnMvZG93bnJldi54bWxQSwECFAAUAAAACACHTuJAq6zKCw0CAADzAwAADgAAAAAAAAAB&#10;ACAAAAAmAQAAZHJzL2Uyb0RvYy54bWxQSwUGAAAAAAYABgBZAQAApQUAAAAA&#10;">
                      <v:fill on="f" focussize="0,0"/>
                      <v:stroke weight="0.5pt" color="#000000" joinstyle="round" endarrow="classic" endarrowwidth="narrow" endarrowlength="short"/>
                      <v:imagedata o:title=""/>
                      <o:lock v:ext="edit" aspectratio="f"/>
                    </v:line>
                  </w:pict>
                </mc:Fallback>
              </mc:AlternateContent>
            </w:r>
          </w:p>
          <w:p w14:paraId="2B07F945">
            <w:pPr>
              <w:tabs>
                <w:tab w:val="left" w:pos="4253"/>
              </w:tabs>
              <w:spacing w:line="480" w:lineRule="exact"/>
              <w:jc w:val="center"/>
              <w:rPr>
                <w:rFonts w:hint="eastAsia"/>
                <w:b/>
                <w:color w:val="auto"/>
                <w:szCs w:val="21"/>
                <w:lang w:bidi="ar"/>
              </w:rPr>
            </w:pPr>
            <w:r>
              <w:rPr>
                <w:color w:val="auto"/>
                <w:sz w:val="21"/>
              </w:rPr>
              <mc:AlternateContent>
                <mc:Choice Requires="wps">
                  <w:drawing>
                    <wp:anchor distT="0" distB="0" distL="114300" distR="114300" simplePos="0" relativeHeight="251817984" behindDoc="0" locked="0" layoutInCell="1" allowOverlap="1">
                      <wp:simplePos x="0" y="0"/>
                      <wp:positionH relativeFrom="column">
                        <wp:posOffset>2573020</wp:posOffset>
                      </wp:positionH>
                      <wp:positionV relativeFrom="paragraph">
                        <wp:posOffset>135255</wp:posOffset>
                      </wp:positionV>
                      <wp:extent cx="1009650" cy="0"/>
                      <wp:effectExtent l="0" t="25400" r="0" b="31750"/>
                      <wp:wrapNone/>
                      <wp:docPr id="176" name="直接连接符 129"/>
                      <wp:cNvGraphicFramePr/>
                      <a:graphic xmlns:a="http://schemas.openxmlformats.org/drawingml/2006/main">
                        <a:graphicData uri="http://schemas.microsoft.com/office/word/2010/wordprocessingShape">
                          <wps:wsp>
                            <wps:cNvCnPr/>
                            <wps:spPr>
                              <a:xfrm>
                                <a:off x="4085590" y="2674620"/>
                                <a:ext cx="1009650" cy="0"/>
                              </a:xfrm>
                              <a:prstGeom prst="line">
                                <a:avLst/>
                              </a:prstGeom>
                              <a:ln w="6350" cap="flat" cmpd="sng">
                                <a:solidFill>
                                  <a:srgbClr val="000000"/>
                                </a:solidFill>
                                <a:prstDash val="solid"/>
                                <a:headEnd type="none" w="med" len="med"/>
                                <a:tailEnd type="stealth" w="sm" len="sm"/>
                              </a:ln>
                            </wps:spPr>
                            <wps:bodyPr upright="1"/>
                          </wps:wsp>
                        </a:graphicData>
                      </a:graphic>
                    </wp:anchor>
                  </w:drawing>
                </mc:Choice>
                <mc:Fallback>
                  <w:pict>
                    <v:line id="直接连接符 129" o:spid="_x0000_s1026" o:spt="20" style="position:absolute;left:0pt;margin-left:202.6pt;margin-top:10.65pt;height:0pt;width:79.5pt;z-index:251817984;mso-width-relative:page;mso-height-relative:page;" filled="f" stroked="t" coordsize="21600,21600" o:gfxdata="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B81RHP2AAAAAkBAAAPAAAAAAAAAAEA&#10;IAAAACIAAABkcnMvZG93bnJldi54bWxQSwECFAAUAAAACACHTuJAsOEKww8CAAD1AwAADgAAAAAA&#10;AAABACAAAAAnAQAAZHJzL2Uyb0RvYy54bWxQSwUGAAAAAAYABgBZAQAAqAUAAAAA&#10;">
                      <v:fill on="f" focussize="0,0"/>
                      <v:stroke weight="0.5pt" color="#000000" joinstyle="round" endarrow="classic" endarrowwidth="narrow" endarrowlength="short"/>
                      <v:imagedata o:title=""/>
                      <o:lock v:ext="edit" aspectratio="f"/>
                    </v:line>
                  </w:pict>
                </mc:Fallback>
              </mc:AlternateContent>
            </w:r>
          </w:p>
          <w:p w14:paraId="1D42FD01">
            <w:pPr>
              <w:tabs>
                <w:tab w:val="left" w:pos="4253"/>
              </w:tabs>
              <w:spacing w:line="480" w:lineRule="exact"/>
              <w:jc w:val="center"/>
              <w:rPr>
                <w:rFonts w:hint="eastAsia"/>
                <w:b/>
                <w:color w:val="auto"/>
                <w:szCs w:val="21"/>
                <w:lang w:eastAsia="zh-CN" w:bidi="ar"/>
              </w:rPr>
            </w:pPr>
            <w:r>
              <w:rPr>
                <w:rFonts w:hint="eastAsia"/>
                <w:b/>
                <w:color w:val="auto"/>
                <w:szCs w:val="21"/>
                <w:lang w:bidi="ar"/>
              </w:rPr>
              <w:t>图</w:t>
            </w:r>
            <w:r>
              <w:rPr>
                <w:rFonts w:hint="eastAsia"/>
                <w:b/>
                <w:color w:val="auto"/>
                <w:szCs w:val="21"/>
                <w:lang w:val="en-US" w:eastAsia="zh-CN" w:bidi="ar"/>
              </w:rPr>
              <w:t>1</w:t>
            </w:r>
            <w:r>
              <w:rPr>
                <w:rFonts w:hint="eastAsia"/>
                <w:b/>
                <w:color w:val="auto"/>
                <w:szCs w:val="21"/>
                <w:lang w:bidi="ar"/>
              </w:rPr>
              <w:t xml:space="preserve">-1 </w:t>
            </w:r>
            <w:r>
              <w:rPr>
                <w:rFonts w:hint="eastAsia"/>
                <w:b/>
                <w:color w:val="auto"/>
                <w:szCs w:val="21"/>
                <w:lang w:val="en-US" w:eastAsia="zh-CN" w:bidi="ar"/>
              </w:rPr>
              <w:t>钢渣处理生产线</w:t>
            </w:r>
            <w:r>
              <w:rPr>
                <w:rFonts w:hint="eastAsia"/>
                <w:b/>
                <w:color w:val="auto"/>
                <w:szCs w:val="21"/>
                <w:lang w:bidi="ar"/>
              </w:rPr>
              <w:t>物料平衡图  单位：t/a</w:t>
            </w:r>
            <w:r>
              <w:rPr>
                <w:rFonts w:hint="eastAsia"/>
                <w:b/>
                <w:color w:val="auto"/>
                <w:szCs w:val="21"/>
                <w:lang w:eastAsia="zh-CN" w:bidi="ar"/>
              </w:rPr>
              <w:t>（</w:t>
            </w:r>
            <w:r>
              <w:rPr>
                <w:rFonts w:hint="eastAsia"/>
                <w:b/>
                <w:color w:val="auto"/>
                <w:szCs w:val="21"/>
                <w:lang w:val="en-US" w:eastAsia="zh-CN" w:bidi="ar"/>
              </w:rPr>
              <w:t>以干基计</w:t>
            </w:r>
            <w:r>
              <w:rPr>
                <w:rFonts w:hint="eastAsia"/>
                <w:b/>
                <w:color w:val="auto"/>
                <w:szCs w:val="21"/>
                <w:lang w:eastAsia="zh-CN" w:bidi="ar"/>
              </w:rPr>
              <w:t>）</w:t>
            </w:r>
          </w:p>
          <w:p w14:paraId="25829D24">
            <w:pPr>
              <w:spacing w:before="240" w:line="480" w:lineRule="atLeast"/>
              <w:ind w:firstLine="420" w:firstLineChars="200"/>
              <w:rPr>
                <w:color w:val="auto"/>
                <w:sz w:val="21"/>
              </w:rPr>
            </w:pPr>
            <w:r>
              <w:rPr>
                <w:color w:val="auto"/>
                <w:sz w:val="21"/>
              </w:rPr>
              <mc:AlternateContent>
                <mc:Choice Requires="wps">
                  <w:drawing>
                    <wp:anchor distT="0" distB="0" distL="114300" distR="114300" simplePos="0" relativeHeight="251667456" behindDoc="0" locked="0" layoutInCell="1" allowOverlap="1">
                      <wp:simplePos x="0" y="0"/>
                      <wp:positionH relativeFrom="column">
                        <wp:posOffset>2485390</wp:posOffset>
                      </wp:positionH>
                      <wp:positionV relativeFrom="paragraph">
                        <wp:posOffset>250825</wp:posOffset>
                      </wp:positionV>
                      <wp:extent cx="1038225" cy="189865"/>
                      <wp:effectExtent l="0" t="0" r="0" b="0"/>
                      <wp:wrapNone/>
                      <wp:docPr id="516" name="文本框 162"/>
                      <wp:cNvGraphicFramePr/>
                      <a:graphic xmlns:a="http://schemas.openxmlformats.org/drawingml/2006/main">
                        <a:graphicData uri="http://schemas.microsoft.com/office/word/2010/wordprocessingShape">
                          <wps:wsp>
                            <wps:cNvSpPr txBox="1"/>
                            <wps:spPr>
                              <a:xfrm>
                                <a:off x="4147185" y="5810250"/>
                                <a:ext cx="1038225" cy="189865"/>
                              </a:xfrm>
                              <a:prstGeom prst="rect">
                                <a:avLst/>
                              </a:prstGeom>
                              <a:noFill/>
                              <a:ln w="6350">
                                <a:noFill/>
                              </a:ln>
                            </wps:spPr>
                            <wps:txbx>
                              <w:txbxContent>
                                <w:p w14:paraId="3F15BA89">
                                  <w:pPr>
                                    <w:spacing w:line="0" w:lineRule="atLeast"/>
                                    <w:jc w:val="center"/>
                                    <w:rPr>
                                      <w:rFonts w:hint="default" w:ascii="Times New Roman" w:hAnsi="Times New Roman" w:eastAsia="宋体" w:cs="Times New Roman"/>
                                      <w:spacing w:val="-10"/>
                                      <w:szCs w:val="21"/>
                                      <w:lang w:val="en-US" w:eastAsia="zh-CN"/>
                                    </w:rPr>
                                  </w:pPr>
                                  <w:r>
                                    <w:rPr>
                                      <w:rFonts w:hint="eastAsia" w:cs="Times New Roman"/>
                                      <w:spacing w:val="-10"/>
                                      <w:szCs w:val="21"/>
                                      <w:lang w:val="en-US" w:eastAsia="zh-CN"/>
                                    </w:rPr>
                                    <w:t>铁粉36380</w:t>
                                  </w:r>
                                </w:p>
                              </w:txbxContent>
                            </wps:txbx>
                            <wps:bodyPr lIns="0" tIns="0" rIns="0" bIns="0" upright="1"/>
                          </wps:wsp>
                        </a:graphicData>
                      </a:graphic>
                    </wp:anchor>
                  </w:drawing>
                </mc:Choice>
                <mc:Fallback>
                  <w:pict>
                    <v:shape id="文本框 162" o:spid="_x0000_s1026" o:spt="202" type="#_x0000_t202" style="position:absolute;left:0pt;margin-left:195.7pt;margin-top:19.75pt;height:14.95pt;width:81.75pt;z-index:251667456;mso-width-relative:page;mso-height-relative:page;" filled="f" stroked="f" coordsize="21600,21600" o:gfxdata="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">
                      <v:fill on="f" focussize="0,0"/>
                      <v:stroke on="f" weight="0.5pt"/>
                      <v:imagedata o:title=""/>
                      <o:lock v:ext="edit" aspectratio="f"/>
                      <v:textbox inset="0mm,0mm,0mm,0mm">
                        <w:txbxContent>
                          <w:p w14:paraId="3F15BA89">
                            <w:pPr>
                              <w:spacing w:line="0" w:lineRule="atLeast"/>
                              <w:jc w:val="center"/>
                              <w:rPr>
                                <w:rFonts w:hint="default" w:ascii="Times New Roman" w:hAnsi="Times New Roman" w:eastAsia="宋体" w:cs="Times New Roman"/>
                                <w:spacing w:val="-10"/>
                                <w:szCs w:val="21"/>
                                <w:lang w:val="en-US" w:eastAsia="zh-CN"/>
                              </w:rPr>
                            </w:pPr>
                            <w:r>
                              <w:rPr>
                                <w:rFonts w:hint="eastAsia" w:cs="Times New Roman"/>
                                <w:spacing w:val="-10"/>
                                <w:szCs w:val="21"/>
                                <w:lang w:val="en-US" w:eastAsia="zh-CN"/>
                              </w:rPr>
                              <w:t>铁粉36380</w:t>
                            </w:r>
                          </w:p>
                        </w:txbxContent>
                      </v:textbox>
                    </v:shape>
                  </w:pict>
                </mc:Fallback>
              </mc:AlternateContent>
            </w:r>
            <w:r>
              <w:rPr>
                <w:color w:val="auto"/>
                <w:sz w:val="21"/>
              </w:rPr>
              <mc:AlternateContent>
                <mc:Choice Requires="wps">
                  <w:drawing>
                    <wp:anchor distT="0" distB="0" distL="114300" distR="114300" simplePos="0" relativeHeight="251843584" behindDoc="0" locked="0" layoutInCell="1" allowOverlap="1">
                      <wp:simplePos x="0" y="0"/>
                      <wp:positionH relativeFrom="column">
                        <wp:posOffset>2567940</wp:posOffset>
                      </wp:positionH>
                      <wp:positionV relativeFrom="paragraph">
                        <wp:posOffset>418465</wp:posOffset>
                      </wp:positionV>
                      <wp:extent cx="1009650" cy="0"/>
                      <wp:effectExtent l="0" t="25400" r="0" b="31750"/>
                      <wp:wrapNone/>
                      <wp:docPr id="214" name="直接连接符 68"/>
                      <wp:cNvGraphicFramePr/>
                      <a:graphic xmlns:a="http://schemas.openxmlformats.org/drawingml/2006/main">
                        <a:graphicData uri="http://schemas.microsoft.com/office/word/2010/wordprocessingShape">
                          <wps:wsp>
                            <wps:cNvCnPr/>
                            <wps:spPr>
                              <a:xfrm>
                                <a:off x="0" y="0"/>
                                <a:ext cx="1009650" cy="0"/>
                              </a:xfrm>
                              <a:prstGeom prst="line">
                                <a:avLst/>
                              </a:prstGeom>
                              <a:ln w="6350" cap="flat" cmpd="sng">
                                <a:solidFill>
                                  <a:srgbClr val="000000"/>
                                </a:solidFill>
                                <a:prstDash val="solid"/>
                                <a:headEnd type="none" w="med" len="med"/>
                                <a:tailEnd type="stealth" w="sm" len="sm"/>
                              </a:ln>
                            </wps:spPr>
                            <wps:bodyPr upright="1"/>
                          </wps:wsp>
                        </a:graphicData>
                      </a:graphic>
                    </wp:anchor>
                  </w:drawing>
                </mc:Choice>
                <mc:Fallback>
                  <w:pict>
                    <v:line id="直接连接符 68" o:spid="_x0000_s1026" o:spt="20" style="position:absolute;left:0pt;margin-left:202.2pt;margin-top:32.95pt;height:0pt;width:79.5pt;z-index:251843584;mso-width-relative:page;mso-height-relative:page;" filled="f" stroked="t" coordsize="21600,21600" o:gfxdata="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DPg/W92AAAAAkBAAAPAAAAAAAAAAEAIAAAACIAAABkcnMvZG93&#10;bnJldi54bWxQSwECFAAUAAAACACHTuJASIp23gACAADoAwAADgAAAAAAAAABACAAAAAnAQAAZHJz&#10;L2Uyb0RvYy54bWxQSwUGAAAAAAYABgBZAQAAmQUAAAAA&#10;">
                      <v:fill on="f" focussize="0,0"/>
                      <v:stroke weight="0.5pt" color="#000000" joinstyle="round" endarrow="classic" endarrowwidth="narrow" endarrowlength="short"/>
                      <v:imagedata o:title=""/>
                      <o:lock v:ext="edit" aspectratio="f"/>
                    </v:line>
                  </w:pict>
                </mc:Fallback>
              </mc:AlternateContent>
            </w:r>
            <w:r>
              <w:rPr>
                <w:color w:val="auto"/>
                <w:sz w:val="21"/>
              </w:rPr>
              <mc:AlternateContent>
                <mc:Choice Requires="wps">
                  <w:drawing>
                    <wp:anchor distT="0" distB="0" distL="114300" distR="114300" simplePos="0" relativeHeight="251669504" behindDoc="0" locked="0" layoutInCell="1" allowOverlap="1">
                      <wp:simplePos x="0" y="0"/>
                      <wp:positionH relativeFrom="column">
                        <wp:posOffset>2702560</wp:posOffset>
                      </wp:positionH>
                      <wp:positionV relativeFrom="paragraph">
                        <wp:posOffset>4445</wp:posOffset>
                      </wp:positionV>
                      <wp:extent cx="1605280" cy="200025"/>
                      <wp:effectExtent l="0" t="0" r="0" b="0"/>
                      <wp:wrapNone/>
                      <wp:docPr id="518" name="文本框 34"/>
                      <wp:cNvGraphicFramePr/>
                      <a:graphic xmlns:a="http://schemas.openxmlformats.org/drawingml/2006/main">
                        <a:graphicData uri="http://schemas.microsoft.com/office/word/2010/wordprocessingShape">
                          <wps:wsp>
                            <wps:cNvSpPr txBox="1"/>
                            <wps:spPr>
                              <a:xfrm>
                                <a:off x="4263390" y="5097780"/>
                                <a:ext cx="1605280" cy="200025"/>
                              </a:xfrm>
                              <a:prstGeom prst="rect">
                                <a:avLst/>
                              </a:prstGeom>
                              <a:noFill/>
                              <a:ln w="6350">
                                <a:noFill/>
                              </a:ln>
                            </wps:spPr>
                            <wps:txbx>
                              <w:txbxContent>
                                <w:p w14:paraId="10911384">
                                  <w:pPr>
                                    <w:spacing w:line="0" w:lineRule="atLeast"/>
                                    <w:rPr>
                                      <w:rFonts w:hint="default" w:ascii="Times New Roman" w:hAnsi="Times New Roman" w:eastAsia="宋体" w:cs="Times New Roman"/>
                                      <w:spacing w:val="-10"/>
                                      <w:szCs w:val="21"/>
                                      <w:lang w:val="en-US" w:eastAsia="zh-CN"/>
                                    </w:rPr>
                                  </w:pPr>
                                  <w:r>
                                    <w:rPr>
                                      <w:rFonts w:hint="eastAsia" w:cs="Times New Roman"/>
                                      <w:spacing w:val="-10"/>
                                      <w:szCs w:val="21"/>
                                      <w:lang w:val="en-US" w:eastAsia="zh-CN"/>
                                    </w:rPr>
                                    <w:t>铁料21500</w:t>
                                  </w:r>
                                </w:p>
                              </w:txbxContent>
                            </wps:txbx>
                            <wps:bodyPr lIns="0" tIns="0" rIns="0" bIns="0" upright="1"/>
                          </wps:wsp>
                        </a:graphicData>
                      </a:graphic>
                    </wp:anchor>
                  </w:drawing>
                </mc:Choice>
                <mc:Fallback>
                  <w:pict>
                    <v:shape id="文本框 34" o:spid="_x0000_s1026" o:spt="202" type="#_x0000_t202" style="position:absolute;left:0pt;margin-left:212.8pt;margin-top:0.35pt;height:15.75pt;width:126.4pt;z-index:251669504;mso-width-relative:page;mso-height-relative:page;" filled="f" stroked="f" coordsize="21600,21600" o:gfxdata="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">
                      <v:fill on="f" focussize="0,0"/>
                      <v:stroke on="f" weight="0.5pt"/>
                      <v:imagedata o:title=""/>
                      <o:lock v:ext="edit" aspectratio="f"/>
                      <v:textbox inset="0mm,0mm,0mm,0mm">
                        <w:txbxContent>
                          <w:p w14:paraId="10911384">
                            <w:pPr>
                              <w:spacing w:line="0" w:lineRule="atLeast"/>
                              <w:rPr>
                                <w:rFonts w:hint="default" w:ascii="Times New Roman" w:hAnsi="Times New Roman" w:eastAsia="宋体" w:cs="Times New Roman"/>
                                <w:spacing w:val="-10"/>
                                <w:szCs w:val="21"/>
                                <w:lang w:val="en-US" w:eastAsia="zh-CN"/>
                              </w:rPr>
                            </w:pPr>
                            <w:r>
                              <w:rPr>
                                <w:rFonts w:hint="eastAsia" w:cs="Times New Roman"/>
                                <w:spacing w:val="-10"/>
                                <w:szCs w:val="21"/>
                                <w:lang w:val="en-US" w:eastAsia="zh-CN"/>
                              </w:rPr>
                              <w:t>铁料21500</w:t>
                            </w:r>
                          </w:p>
                        </w:txbxContent>
                      </v:textbox>
                    </v:shape>
                  </w:pict>
                </mc:Fallback>
              </mc:AlternateContent>
            </w:r>
            <w:r>
              <w:rPr>
                <w:color w:val="auto"/>
                <w:sz w:val="21"/>
              </w:rPr>
              <mc:AlternateContent>
                <mc:Choice Requires="wps">
                  <w:drawing>
                    <wp:anchor distT="0" distB="0" distL="114300" distR="114300" simplePos="0" relativeHeight="251668480" behindDoc="0" locked="0" layoutInCell="1" allowOverlap="1">
                      <wp:simplePos x="0" y="0"/>
                      <wp:positionH relativeFrom="column">
                        <wp:posOffset>2561590</wp:posOffset>
                      </wp:positionH>
                      <wp:positionV relativeFrom="paragraph">
                        <wp:posOffset>173990</wp:posOffset>
                      </wp:positionV>
                      <wp:extent cx="1009650" cy="0"/>
                      <wp:effectExtent l="0" t="25400" r="0" b="31750"/>
                      <wp:wrapNone/>
                      <wp:docPr id="517" name="直接连接符 59"/>
                      <wp:cNvGraphicFramePr/>
                      <a:graphic xmlns:a="http://schemas.openxmlformats.org/drawingml/2006/main">
                        <a:graphicData uri="http://schemas.microsoft.com/office/word/2010/wordprocessingShape">
                          <wps:wsp>
                            <wps:cNvCnPr/>
                            <wps:spPr>
                              <a:xfrm>
                                <a:off x="4084955" y="5276215"/>
                                <a:ext cx="1009650" cy="0"/>
                              </a:xfrm>
                              <a:prstGeom prst="line">
                                <a:avLst/>
                              </a:prstGeom>
                              <a:ln w="6350" cap="flat" cmpd="sng">
                                <a:solidFill>
                                  <a:srgbClr val="000000"/>
                                </a:solidFill>
                                <a:prstDash val="solid"/>
                                <a:headEnd type="none" w="med" len="med"/>
                                <a:tailEnd type="stealth" w="sm" len="sm"/>
                              </a:ln>
                            </wps:spPr>
                            <wps:bodyPr upright="1"/>
                          </wps:wsp>
                        </a:graphicData>
                      </a:graphic>
                    </wp:anchor>
                  </w:drawing>
                </mc:Choice>
                <mc:Fallback>
                  <w:pict>
                    <v:line id="直接连接符 59" o:spid="_x0000_s1026" o:spt="20" style="position:absolute;left:0pt;margin-left:201.7pt;margin-top:13.7pt;height:0pt;width:79.5pt;z-index:251668480;mso-width-relative:page;mso-height-relative:page;" filled="f" stroked="t" coordsize="21600,21600" o:gfxdata="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pKH909gAAAAJAQAADwAAAAAAAAAB&#10;ACAAAAAiAAAAZHJzL2Rvd25yZXYueG1sUEsBAhQAFAAAAAgAh07iQLcdco8QAgAA9AMAAA4AAAAA&#10;AAAAAQAgAAAAJwEAAGRycy9lMm9Eb2MueG1sUEsFBgAAAAAGAAYAWQEAAKkFAAAAAA==&#10;">
                      <v:fill on="f" focussize="0,0"/>
                      <v:stroke weight="0.5pt" color="#000000" joinstyle="round" endarrow="classic" endarrowwidth="narrow" endarrowlength="short"/>
                      <v:imagedata o:title=""/>
                      <o:lock v:ext="edit" aspectratio="f"/>
                    </v:line>
                  </w:pict>
                </mc:Fallback>
              </mc:AlternateContent>
            </w:r>
            <w:r>
              <w:rPr>
                <w:color w:val="auto"/>
                <w:sz w:val="21"/>
              </w:rPr>
              <mc:AlternateContent>
                <mc:Choice Requires="wps">
                  <w:drawing>
                    <wp:anchor distT="0" distB="0" distL="114300" distR="114300" simplePos="0" relativeHeight="251670528" behindDoc="0" locked="0" layoutInCell="1" allowOverlap="1">
                      <wp:simplePos x="0" y="0"/>
                      <wp:positionH relativeFrom="column">
                        <wp:posOffset>1893570</wp:posOffset>
                      </wp:positionH>
                      <wp:positionV relativeFrom="paragraph">
                        <wp:posOffset>51435</wp:posOffset>
                      </wp:positionV>
                      <wp:extent cx="671830" cy="3976370"/>
                      <wp:effectExtent l="6350" t="6350" r="7620" b="17780"/>
                      <wp:wrapNone/>
                      <wp:docPr id="520" name="矩形 169"/>
                      <wp:cNvGraphicFramePr/>
                      <a:graphic xmlns:a="http://schemas.openxmlformats.org/drawingml/2006/main">
                        <a:graphicData uri="http://schemas.microsoft.com/office/word/2010/wordprocessingShape">
                          <wps:wsp>
                            <wps:cNvSpPr/>
                            <wps:spPr>
                              <a:xfrm>
                                <a:off x="3411855" y="5107940"/>
                                <a:ext cx="671830" cy="3976370"/>
                              </a:xfrm>
                              <a:prstGeom prst="rect">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667D9617">
                                  <w:pPr>
                                    <w:jc w:val="center"/>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废钢破碎尾料处理生</w:t>
                                  </w:r>
                                </w:p>
                                <w:p w14:paraId="68B93AE4">
                                  <w:pPr>
                                    <w:jc w:val="center"/>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产线</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矩形 169" o:spid="_x0000_s1026" o:spt="1" style="position:absolute;left:0pt;margin-left:149.1pt;margin-top:4.05pt;height:313.1pt;width:52.9pt;z-index:251670528;v-text-anchor:middle;mso-width-relative:page;mso-height-relative:page;" filled="f" stroked="t" coordsize="21600,21600" o:gfxdata="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">
                      <v:fill on="f" focussize="0,0"/>
                      <v:stroke weight="1pt" color="#000000 [3213]" joinstyle="round"/>
                      <v:imagedata o:title=""/>
                      <o:lock v:ext="edit" aspectratio="f"/>
                      <v:textbox>
                        <w:txbxContent>
                          <w:p w14:paraId="667D9617">
                            <w:pPr>
                              <w:jc w:val="center"/>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废钢破碎尾料处理生</w:t>
                            </w:r>
                          </w:p>
                          <w:p w14:paraId="68B93AE4">
                            <w:pPr>
                              <w:jc w:val="center"/>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产线</w:t>
                            </w:r>
                          </w:p>
                        </w:txbxContent>
                      </v:textbox>
                    </v:rect>
                  </w:pict>
                </mc:Fallback>
              </mc:AlternateContent>
            </w:r>
          </w:p>
          <w:p w14:paraId="3D3D23E1">
            <w:pPr>
              <w:pStyle w:val="12"/>
              <w:rPr>
                <w:color w:val="auto"/>
              </w:rPr>
            </w:pPr>
            <w:r>
              <w:rPr>
                <w:color w:val="auto"/>
                <w:sz w:val="21"/>
              </w:rPr>
              <mc:AlternateContent>
                <mc:Choice Requires="wps">
                  <w:drawing>
                    <wp:anchor distT="0" distB="0" distL="114300" distR="114300" simplePos="0" relativeHeight="251672576" behindDoc="0" locked="0" layoutInCell="1" allowOverlap="1">
                      <wp:simplePos x="0" y="0"/>
                      <wp:positionH relativeFrom="column">
                        <wp:posOffset>2529205</wp:posOffset>
                      </wp:positionH>
                      <wp:positionV relativeFrom="paragraph">
                        <wp:posOffset>41275</wp:posOffset>
                      </wp:positionV>
                      <wp:extent cx="1471930" cy="209550"/>
                      <wp:effectExtent l="0" t="0" r="0" b="0"/>
                      <wp:wrapNone/>
                      <wp:docPr id="522" name="文本框 176"/>
                      <wp:cNvGraphicFramePr/>
                      <a:graphic xmlns:a="http://schemas.openxmlformats.org/drawingml/2006/main">
                        <a:graphicData uri="http://schemas.microsoft.com/office/word/2010/wordprocessingShape">
                          <wps:wsp>
                            <wps:cNvSpPr txBox="1"/>
                            <wps:spPr>
                              <a:xfrm>
                                <a:off x="4046220" y="6172835"/>
                                <a:ext cx="1471930" cy="209550"/>
                              </a:xfrm>
                              <a:prstGeom prst="rect">
                                <a:avLst/>
                              </a:prstGeom>
                              <a:noFill/>
                              <a:ln w="6350">
                                <a:noFill/>
                              </a:ln>
                            </wps:spPr>
                            <wps:txbx>
                              <w:txbxContent>
                                <w:p w14:paraId="1EB8FD92">
                                  <w:pPr>
                                    <w:spacing w:line="0" w:lineRule="atLeast"/>
                                    <w:jc w:val="center"/>
                                    <w:rPr>
                                      <w:rFonts w:hint="default" w:ascii="Times New Roman" w:hAnsi="Times New Roman" w:eastAsia="宋体" w:cs="Times New Roman"/>
                                      <w:spacing w:val="-10"/>
                                      <w:szCs w:val="21"/>
                                      <w:lang w:val="en-US" w:eastAsia="zh-CN"/>
                                    </w:rPr>
                                  </w:pPr>
                                  <w:r>
                                    <w:rPr>
                                      <w:rFonts w:hint="eastAsia" w:cs="Times New Roman"/>
                                      <w:spacing w:val="-10"/>
                                      <w:szCs w:val="21"/>
                                      <w:lang w:val="en-US" w:eastAsia="zh-CN"/>
                                    </w:rPr>
                                    <w:t>有色金属混合料6700</w:t>
                                  </w:r>
                                </w:p>
                              </w:txbxContent>
                            </wps:txbx>
                            <wps:bodyPr lIns="0" tIns="0" rIns="0" bIns="0" upright="1"/>
                          </wps:wsp>
                        </a:graphicData>
                      </a:graphic>
                    </wp:anchor>
                  </w:drawing>
                </mc:Choice>
                <mc:Fallback>
                  <w:pict>
                    <v:shape id="文本框 176" o:spid="_x0000_s1026" o:spt="202" type="#_x0000_t202" style="position:absolute;left:0pt;margin-left:199.15pt;margin-top:3.25pt;height:16.5pt;width:115.9pt;z-index:251672576;mso-width-relative:page;mso-height-relative:page;" filled="f" stroked="f" coordsize="21600,21600" o:gfxdata="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">
                      <v:fill on="f" focussize="0,0"/>
                      <v:stroke on="f" weight="0.5pt"/>
                      <v:imagedata o:title=""/>
                      <o:lock v:ext="edit" aspectratio="f"/>
                      <v:textbox inset="0mm,0mm,0mm,0mm">
                        <w:txbxContent>
                          <w:p w14:paraId="1EB8FD92">
                            <w:pPr>
                              <w:spacing w:line="0" w:lineRule="atLeast"/>
                              <w:jc w:val="center"/>
                              <w:rPr>
                                <w:rFonts w:hint="default" w:ascii="Times New Roman" w:hAnsi="Times New Roman" w:eastAsia="宋体" w:cs="Times New Roman"/>
                                <w:spacing w:val="-10"/>
                                <w:szCs w:val="21"/>
                                <w:lang w:val="en-US" w:eastAsia="zh-CN"/>
                              </w:rPr>
                            </w:pPr>
                            <w:r>
                              <w:rPr>
                                <w:rFonts w:hint="eastAsia" w:cs="Times New Roman"/>
                                <w:spacing w:val="-10"/>
                                <w:szCs w:val="21"/>
                                <w:lang w:val="en-US" w:eastAsia="zh-CN"/>
                              </w:rPr>
                              <w:t>有色金属混合料6700</w:t>
                            </w:r>
                          </w:p>
                        </w:txbxContent>
                      </v:textbox>
                    </v:shape>
                  </w:pict>
                </mc:Fallback>
              </mc:AlternateContent>
            </w:r>
          </w:p>
          <w:p w14:paraId="4FC030CC">
            <w:pPr>
              <w:spacing w:before="240" w:line="480" w:lineRule="atLeast"/>
              <w:ind w:firstLine="420" w:firstLineChars="200"/>
              <w:rPr>
                <w:rFonts w:ascii="Times New Roman" w:hAnsi="Times New Roman"/>
                <w:color w:val="auto"/>
              </w:rPr>
            </w:pPr>
            <w:r>
              <w:rPr>
                <w:color w:val="auto"/>
                <w:sz w:val="21"/>
              </w:rPr>
              <mc:AlternateContent>
                <mc:Choice Requires="wps">
                  <w:drawing>
                    <wp:anchor distT="0" distB="0" distL="114300" distR="114300" simplePos="0" relativeHeight="251849728" behindDoc="0" locked="0" layoutInCell="1" allowOverlap="1">
                      <wp:simplePos x="0" y="0"/>
                      <wp:positionH relativeFrom="column">
                        <wp:posOffset>2272030</wp:posOffset>
                      </wp:positionH>
                      <wp:positionV relativeFrom="paragraph">
                        <wp:posOffset>400050</wp:posOffset>
                      </wp:positionV>
                      <wp:extent cx="1471930" cy="209550"/>
                      <wp:effectExtent l="0" t="0" r="0" b="0"/>
                      <wp:wrapNone/>
                      <wp:docPr id="26" name="文本框 176"/>
                      <wp:cNvGraphicFramePr/>
                      <a:graphic xmlns:a="http://schemas.openxmlformats.org/drawingml/2006/main">
                        <a:graphicData uri="http://schemas.microsoft.com/office/word/2010/wordprocessingShape">
                          <wps:wsp>
                            <wps:cNvSpPr txBox="1"/>
                            <wps:spPr>
                              <a:xfrm>
                                <a:off x="0" y="0"/>
                                <a:ext cx="1471930" cy="209550"/>
                              </a:xfrm>
                              <a:prstGeom prst="rect">
                                <a:avLst/>
                              </a:prstGeom>
                              <a:noFill/>
                              <a:ln w="6350">
                                <a:noFill/>
                              </a:ln>
                            </wps:spPr>
                            <wps:txbx>
                              <w:txbxContent>
                                <w:p w14:paraId="16B27301">
                                  <w:pPr>
                                    <w:spacing w:line="0" w:lineRule="atLeast"/>
                                    <w:jc w:val="center"/>
                                    <w:rPr>
                                      <w:rFonts w:hint="default" w:ascii="Times New Roman" w:hAnsi="Times New Roman" w:eastAsia="宋体" w:cs="Times New Roman"/>
                                      <w:spacing w:val="-10"/>
                                      <w:szCs w:val="21"/>
                                      <w:lang w:val="en-US" w:eastAsia="zh-CN"/>
                                    </w:rPr>
                                  </w:pPr>
                                  <w:r>
                                    <w:rPr>
                                      <w:rFonts w:hint="eastAsia" w:cs="Times New Roman"/>
                                      <w:spacing w:val="-10"/>
                                      <w:szCs w:val="21"/>
                                      <w:lang w:val="en-US" w:eastAsia="zh-CN"/>
                                    </w:rPr>
                                    <w:t>橡胶56628</w:t>
                                  </w:r>
                                </w:p>
                              </w:txbxContent>
                            </wps:txbx>
                            <wps:bodyPr lIns="0" tIns="0" rIns="0" bIns="0" upright="1"/>
                          </wps:wsp>
                        </a:graphicData>
                      </a:graphic>
                    </wp:anchor>
                  </w:drawing>
                </mc:Choice>
                <mc:Fallback>
                  <w:pict>
                    <v:shape id="文本框 176" o:spid="_x0000_s1026" o:spt="202" type="#_x0000_t202" style="position:absolute;left:0pt;margin-left:178.9pt;margin-top:31.5pt;height:16.5pt;width:115.9pt;z-index:251849728;mso-width-relative:page;mso-height-relative:page;" filled="f" stroked="f" coordsize="21600,21600" o:gfxdata="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">
                      <v:fill on="f" focussize="0,0"/>
                      <v:stroke on="f" weight="0.5pt"/>
                      <v:imagedata o:title=""/>
                      <o:lock v:ext="edit" aspectratio="f"/>
                      <v:textbox inset="0mm,0mm,0mm,0mm">
                        <w:txbxContent>
                          <w:p w14:paraId="16B27301">
                            <w:pPr>
                              <w:spacing w:line="0" w:lineRule="atLeast"/>
                              <w:jc w:val="center"/>
                              <w:rPr>
                                <w:rFonts w:hint="default" w:ascii="Times New Roman" w:hAnsi="Times New Roman" w:eastAsia="宋体" w:cs="Times New Roman"/>
                                <w:spacing w:val="-10"/>
                                <w:szCs w:val="21"/>
                                <w:lang w:val="en-US" w:eastAsia="zh-CN"/>
                              </w:rPr>
                            </w:pPr>
                            <w:r>
                              <w:rPr>
                                <w:rFonts w:hint="eastAsia" w:cs="Times New Roman"/>
                                <w:spacing w:val="-10"/>
                                <w:szCs w:val="21"/>
                                <w:lang w:val="en-US" w:eastAsia="zh-CN"/>
                              </w:rPr>
                              <w:t>橡胶56628</w:t>
                            </w:r>
                          </w:p>
                        </w:txbxContent>
                      </v:textbox>
                    </v:shape>
                  </w:pict>
                </mc:Fallback>
              </mc:AlternateContent>
            </w:r>
            <w:r>
              <w:rPr>
                <w:color w:val="auto"/>
                <w:sz w:val="21"/>
              </w:rPr>
              <mc:AlternateContent>
                <mc:Choice Requires="wps">
                  <w:drawing>
                    <wp:anchor distT="0" distB="0" distL="114300" distR="114300" simplePos="0" relativeHeight="251848704" behindDoc="0" locked="0" layoutInCell="1" allowOverlap="1">
                      <wp:simplePos x="0" y="0"/>
                      <wp:positionH relativeFrom="column">
                        <wp:posOffset>2311400</wp:posOffset>
                      </wp:positionH>
                      <wp:positionV relativeFrom="paragraph">
                        <wp:posOffset>147955</wp:posOffset>
                      </wp:positionV>
                      <wp:extent cx="1471930" cy="209550"/>
                      <wp:effectExtent l="0" t="0" r="0" b="0"/>
                      <wp:wrapNone/>
                      <wp:docPr id="219" name="文本框 176"/>
                      <wp:cNvGraphicFramePr/>
                      <a:graphic xmlns:a="http://schemas.openxmlformats.org/drawingml/2006/main">
                        <a:graphicData uri="http://schemas.microsoft.com/office/word/2010/wordprocessingShape">
                          <wps:wsp>
                            <wps:cNvSpPr txBox="1"/>
                            <wps:spPr>
                              <a:xfrm>
                                <a:off x="0" y="0"/>
                                <a:ext cx="1471930" cy="209550"/>
                              </a:xfrm>
                              <a:prstGeom prst="rect">
                                <a:avLst/>
                              </a:prstGeom>
                              <a:noFill/>
                              <a:ln w="6350">
                                <a:noFill/>
                              </a:ln>
                            </wps:spPr>
                            <wps:txbx>
                              <w:txbxContent>
                                <w:p w14:paraId="64AEA8EE">
                                  <w:pPr>
                                    <w:spacing w:line="0" w:lineRule="atLeast"/>
                                    <w:jc w:val="center"/>
                                    <w:rPr>
                                      <w:rFonts w:hint="default" w:ascii="Times New Roman" w:hAnsi="Times New Roman" w:eastAsia="宋体" w:cs="Times New Roman"/>
                                      <w:spacing w:val="-10"/>
                                      <w:szCs w:val="21"/>
                                      <w:lang w:val="en-US" w:eastAsia="zh-CN"/>
                                    </w:rPr>
                                  </w:pPr>
                                  <w:r>
                                    <w:rPr>
                                      <w:rFonts w:hint="eastAsia" w:cs="Times New Roman"/>
                                      <w:spacing w:val="-10"/>
                                      <w:szCs w:val="21"/>
                                      <w:lang w:val="en-US" w:eastAsia="zh-CN"/>
                                    </w:rPr>
                                    <w:t>不锈钢10800</w:t>
                                  </w:r>
                                </w:p>
                              </w:txbxContent>
                            </wps:txbx>
                            <wps:bodyPr lIns="0" tIns="0" rIns="0" bIns="0" upright="1"/>
                          </wps:wsp>
                        </a:graphicData>
                      </a:graphic>
                    </wp:anchor>
                  </w:drawing>
                </mc:Choice>
                <mc:Fallback>
                  <w:pict>
                    <v:shape id="文本框 176" o:spid="_x0000_s1026" o:spt="202" type="#_x0000_t202" style="position:absolute;left:0pt;margin-left:182pt;margin-top:11.65pt;height:16.5pt;width:115.9pt;z-index:251848704;mso-width-relative:page;mso-height-relative:page;" filled="f" stroked="f" coordsize="21600,21600" o:gfxdata="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">
                      <v:fill on="f" focussize="0,0"/>
                      <v:stroke on="f" weight="0.5pt"/>
                      <v:imagedata o:title=""/>
                      <o:lock v:ext="edit" aspectratio="f"/>
                      <v:textbox inset="0mm,0mm,0mm,0mm">
                        <w:txbxContent>
                          <w:p w14:paraId="64AEA8EE">
                            <w:pPr>
                              <w:spacing w:line="0" w:lineRule="atLeast"/>
                              <w:jc w:val="center"/>
                              <w:rPr>
                                <w:rFonts w:hint="default" w:ascii="Times New Roman" w:hAnsi="Times New Roman" w:eastAsia="宋体" w:cs="Times New Roman"/>
                                <w:spacing w:val="-10"/>
                                <w:szCs w:val="21"/>
                                <w:lang w:val="en-US" w:eastAsia="zh-CN"/>
                              </w:rPr>
                            </w:pPr>
                            <w:r>
                              <w:rPr>
                                <w:rFonts w:hint="eastAsia" w:cs="Times New Roman"/>
                                <w:spacing w:val="-10"/>
                                <w:szCs w:val="21"/>
                                <w:lang w:val="en-US" w:eastAsia="zh-CN"/>
                              </w:rPr>
                              <w:t>不锈钢10800</w:t>
                            </w:r>
                          </w:p>
                        </w:txbxContent>
                      </v:textbox>
                    </v:shape>
                  </w:pict>
                </mc:Fallback>
              </mc:AlternateContent>
            </w:r>
            <w:r>
              <w:rPr>
                <w:color w:val="auto"/>
                <w:sz w:val="21"/>
              </w:rPr>
              <mc:AlternateContent>
                <mc:Choice Requires="wps">
                  <w:drawing>
                    <wp:anchor distT="0" distB="0" distL="114300" distR="114300" simplePos="0" relativeHeight="251666432" behindDoc="0" locked="0" layoutInCell="1" allowOverlap="1">
                      <wp:simplePos x="0" y="0"/>
                      <wp:positionH relativeFrom="column">
                        <wp:posOffset>474345</wp:posOffset>
                      </wp:positionH>
                      <wp:positionV relativeFrom="paragraph">
                        <wp:posOffset>167640</wp:posOffset>
                      </wp:positionV>
                      <wp:extent cx="1674495" cy="200025"/>
                      <wp:effectExtent l="0" t="0" r="0" b="0"/>
                      <wp:wrapNone/>
                      <wp:docPr id="513" name="文本框 33"/>
                      <wp:cNvGraphicFramePr/>
                      <a:graphic xmlns:a="http://schemas.openxmlformats.org/drawingml/2006/main">
                        <a:graphicData uri="http://schemas.microsoft.com/office/word/2010/wordprocessingShape">
                          <wps:wsp>
                            <wps:cNvSpPr txBox="1"/>
                            <wps:spPr>
                              <a:xfrm>
                                <a:off x="2433320" y="5420995"/>
                                <a:ext cx="1674495" cy="200025"/>
                              </a:xfrm>
                              <a:prstGeom prst="rect">
                                <a:avLst/>
                              </a:prstGeom>
                              <a:noFill/>
                              <a:ln w="6350">
                                <a:noFill/>
                              </a:ln>
                            </wps:spPr>
                            <wps:txbx>
                              <w:txbxContent>
                                <w:p w14:paraId="67AD982D">
                                  <w:pPr>
                                    <w:spacing w:line="0" w:lineRule="atLeast"/>
                                    <w:jc w:val="center"/>
                                    <w:rPr>
                                      <w:rFonts w:hint="default" w:ascii="Times New Roman" w:hAnsi="Times New Roman" w:eastAsia="宋体" w:cs="Times New Roman"/>
                                      <w:spacing w:val="-10"/>
                                      <w:szCs w:val="21"/>
                                      <w:lang w:val="en-US" w:eastAsia="zh-CN"/>
                                    </w:rPr>
                                  </w:pPr>
                                  <w:r>
                                    <w:rPr>
                                      <w:rFonts w:hint="eastAsia" w:cs="Times New Roman"/>
                                      <w:spacing w:val="-10"/>
                                      <w:szCs w:val="21"/>
                                      <w:lang w:val="en-US" w:eastAsia="zh-CN"/>
                                    </w:rPr>
                                    <w:t>废钢破碎尾料4400</w:t>
                                  </w:r>
                                  <w:r>
                                    <w:rPr>
                                      <w:rFonts w:hint="default" w:ascii="Times New Roman" w:hAnsi="Times New Roman" w:eastAsia="宋体" w:cs="Times New Roman"/>
                                      <w:spacing w:val="-10"/>
                                      <w:szCs w:val="21"/>
                                      <w:lang w:val="en-US" w:eastAsia="zh-CN"/>
                                    </w:rPr>
                                    <w:t>00</w:t>
                                  </w:r>
                                </w:p>
                              </w:txbxContent>
                            </wps:txbx>
                            <wps:bodyPr lIns="0" tIns="0" rIns="0" bIns="0" upright="1"/>
                          </wps:wsp>
                        </a:graphicData>
                      </a:graphic>
                    </wp:anchor>
                  </w:drawing>
                </mc:Choice>
                <mc:Fallback>
                  <w:pict>
                    <v:shape id="文本框 33" o:spid="_x0000_s1026" o:spt="202" type="#_x0000_t202" style="position:absolute;left:0pt;margin-left:37.35pt;margin-top:13.2pt;height:15.75pt;width:131.85pt;z-index:251666432;mso-width-relative:page;mso-height-relative:page;" filled="f" stroked="f" coordsize="21600,21600" o:gfxdata="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">
                      <v:fill on="f" focussize="0,0"/>
                      <v:stroke on="f" weight="0.5pt"/>
                      <v:imagedata o:title=""/>
                      <o:lock v:ext="edit" aspectratio="f"/>
                      <v:textbox inset="0mm,0mm,0mm,0mm">
                        <w:txbxContent>
                          <w:p w14:paraId="67AD982D">
                            <w:pPr>
                              <w:spacing w:line="0" w:lineRule="atLeast"/>
                              <w:jc w:val="center"/>
                              <w:rPr>
                                <w:rFonts w:hint="default" w:ascii="Times New Roman" w:hAnsi="Times New Roman" w:eastAsia="宋体" w:cs="Times New Roman"/>
                                <w:spacing w:val="-10"/>
                                <w:szCs w:val="21"/>
                                <w:lang w:val="en-US" w:eastAsia="zh-CN"/>
                              </w:rPr>
                            </w:pPr>
                            <w:r>
                              <w:rPr>
                                <w:rFonts w:hint="eastAsia" w:cs="Times New Roman"/>
                                <w:spacing w:val="-10"/>
                                <w:szCs w:val="21"/>
                                <w:lang w:val="en-US" w:eastAsia="zh-CN"/>
                              </w:rPr>
                              <w:t>废钢破碎尾料4400</w:t>
                            </w:r>
                            <w:r>
                              <w:rPr>
                                <w:rFonts w:hint="default" w:ascii="Times New Roman" w:hAnsi="Times New Roman" w:eastAsia="宋体" w:cs="Times New Roman"/>
                                <w:spacing w:val="-10"/>
                                <w:szCs w:val="21"/>
                                <w:lang w:val="en-US" w:eastAsia="zh-CN"/>
                              </w:rPr>
                              <w:t>00</w:t>
                            </w:r>
                          </w:p>
                        </w:txbxContent>
                      </v:textbox>
                    </v:shape>
                  </w:pict>
                </mc:Fallback>
              </mc:AlternateContent>
            </w:r>
            <w:r>
              <w:rPr>
                <w:color w:val="auto"/>
                <w:sz w:val="21"/>
              </w:rPr>
              <mc:AlternateContent>
                <mc:Choice Requires="wps">
                  <w:drawing>
                    <wp:anchor distT="0" distB="0" distL="114300" distR="114300" simplePos="0" relativeHeight="251665408" behindDoc="0" locked="0" layoutInCell="1" allowOverlap="1">
                      <wp:simplePos x="0" y="0"/>
                      <wp:positionH relativeFrom="column">
                        <wp:posOffset>965835</wp:posOffset>
                      </wp:positionH>
                      <wp:positionV relativeFrom="paragraph">
                        <wp:posOffset>367665</wp:posOffset>
                      </wp:positionV>
                      <wp:extent cx="933450" cy="0"/>
                      <wp:effectExtent l="0" t="25400" r="0" b="31750"/>
                      <wp:wrapNone/>
                      <wp:docPr id="512" name="直接连接符 65"/>
                      <wp:cNvGraphicFramePr/>
                      <a:graphic xmlns:a="http://schemas.openxmlformats.org/drawingml/2006/main">
                        <a:graphicData uri="http://schemas.microsoft.com/office/word/2010/wordprocessingShape">
                          <wps:wsp>
                            <wps:cNvCnPr/>
                            <wps:spPr>
                              <a:xfrm>
                                <a:off x="2472690" y="5610225"/>
                                <a:ext cx="933450" cy="0"/>
                              </a:xfrm>
                              <a:prstGeom prst="line">
                                <a:avLst/>
                              </a:prstGeom>
                              <a:ln w="6350" cap="flat" cmpd="sng">
                                <a:solidFill>
                                  <a:srgbClr val="000000"/>
                                </a:solidFill>
                                <a:prstDash val="solid"/>
                                <a:headEnd type="none" w="med" len="med"/>
                                <a:tailEnd type="stealth" w="sm" len="sm"/>
                              </a:ln>
                            </wps:spPr>
                            <wps:bodyPr upright="1"/>
                          </wps:wsp>
                        </a:graphicData>
                      </a:graphic>
                    </wp:anchor>
                  </w:drawing>
                </mc:Choice>
                <mc:Fallback>
                  <w:pict>
                    <v:line id="直接连接符 65" o:spid="_x0000_s1026" o:spt="20" style="position:absolute;left:0pt;margin-left:76.05pt;margin-top:28.95pt;height:0pt;width:73.5pt;z-index:251665408;mso-width-relative:page;mso-height-relative:page;" filled="f" stroked="t" coordsize="21600,21600" o:gfxdata="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KevocLYAAAACQEAAA8AAAAAAAAAAQAg&#10;AAAAIgAAAGRycy9kb3ducmV2LnhtbFBLAQIUABQAAAAIAIdO4kCryGXADgIAAPMDAAAOAAAAAAAA&#10;AAEAIAAAACcBAABkcnMvZTJvRG9jLnhtbFBLBQYAAAAABgAGAFkBAACnBQAAAAA=&#10;">
                      <v:fill on="f" focussize="0,0"/>
                      <v:stroke weight="0.5pt" color="#000000" joinstyle="round" endarrow="classic" endarrowwidth="narrow" endarrowlength="short"/>
                      <v:imagedata o:title=""/>
                      <o:lock v:ext="edit" aspectratio="f"/>
                    </v:line>
                  </w:pict>
                </mc:Fallback>
              </mc:AlternateContent>
            </w:r>
            <w:r>
              <w:rPr>
                <w:color w:val="auto"/>
                <w:sz w:val="21"/>
              </w:rPr>
              <mc:AlternateContent>
                <mc:Choice Requires="wps">
                  <w:drawing>
                    <wp:anchor distT="0" distB="0" distL="114300" distR="114300" simplePos="0" relativeHeight="251844608" behindDoc="0" locked="0" layoutInCell="1" allowOverlap="1">
                      <wp:simplePos x="0" y="0"/>
                      <wp:positionH relativeFrom="column">
                        <wp:posOffset>2576830</wp:posOffset>
                      </wp:positionH>
                      <wp:positionV relativeFrom="paragraph">
                        <wp:posOffset>319405</wp:posOffset>
                      </wp:positionV>
                      <wp:extent cx="1009650" cy="0"/>
                      <wp:effectExtent l="0" t="25400" r="0" b="31750"/>
                      <wp:wrapNone/>
                      <wp:docPr id="215" name="直接连接符 68"/>
                      <wp:cNvGraphicFramePr/>
                      <a:graphic xmlns:a="http://schemas.openxmlformats.org/drawingml/2006/main">
                        <a:graphicData uri="http://schemas.microsoft.com/office/word/2010/wordprocessingShape">
                          <wps:wsp>
                            <wps:cNvCnPr/>
                            <wps:spPr>
                              <a:xfrm>
                                <a:off x="0" y="0"/>
                                <a:ext cx="1009650" cy="0"/>
                              </a:xfrm>
                              <a:prstGeom prst="line">
                                <a:avLst/>
                              </a:prstGeom>
                              <a:ln w="6350" cap="flat" cmpd="sng">
                                <a:solidFill>
                                  <a:srgbClr val="000000"/>
                                </a:solidFill>
                                <a:prstDash val="solid"/>
                                <a:headEnd type="none" w="med" len="med"/>
                                <a:tailEnd type="stealth" w="sm" len="sm"/>
                              </a:ln>
                            </wps:spPr>
                            <wps:bodyPr upright="1"/>
                          </wps:wsp>
                        </a:graphicData>
                      </a:graphic>
                    </wp:anchor>
                  </w:drawing>
                </mc:Choice>
                <mc:Fallback>
                  <w:pict>
                    <v:line id="直接连接符 68" o:spid="_x0000_s1026" o:spt="20" style="position:absolute;left:0pt;margin-left:202.9pt;margin-top:25.15pt;height:0pt;width:79.5pt;z-index:251844608;mso-width-relative:page;mso-height-relative:page;" filled="f" stroked="t" coordsize="21600,21600" o:gfxdata="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MzXw5TXAAAACQEAAA8AAAAAAAAAAQAgAAAAIgAAAGRycy9kb3du&#10;cmV2LnhtbFBLAQIUABQAAAAIAIdO4kCrRKjnAAIAAOgDAAAOAAAAAAAAAAEAIAAAACYBAABkcnMv&#10;ZTJvRG9jLnhtbFBLBQYAAAAABgAGAFkBAACYBQAAAAA=&#10;">
                      <v:fill on="f" focussize="0,0"/>
                      <v:stroke weight="0.5pt" color="#000000" joinstyle="round" endarrow="classic" endarrowwidth="narrow" endarrowlength="short"/>
                      <v:imagedata o:title=""/>
                      <o:lock v:ext="edit" aspectratio="f"/>
                    </v:line>
                  </w:pict>
                </mc:Fallback>
              </mc:AlternateContent>
            </w:r>
            <w:r>
              <w:rPr>
                <w:color w:val="auto"/>
                <w:sz w:val="21"/>
              </w:rPr>
              <mc:AlternateContent>
                <mc:Choice Requires="wps">
                  <w:drawing>
                    <wp:anchor distT="0" distB="0" distL="114300" distR="114300" simplePos="0" relativeHeight="251671552" behindDoc="0" locked="0" layoutInCell="1" allowOverlap="1">
                      <wp:simplePos x="0" y="0"/>
                      <wp:positionH relativeFrom="column">
                        <wp:posOffset>2566035</wp:posOffset>
                      </wp:positionH>
                      <wp:positionV relativeFrom="paragraph">
                        <wp:posOffset>63500</wp:posOffset>
                      </wp:positionV>
                      <wp:extent cx="1009650" cy="0"/>
                      <wp:effectExtent l="0" t="25400" r="0" b="31750"/>
                      <wp:wrapNone/>
                      <wp:docPr id="521" name="直接连接符 68"/>
                      <wp:cNvGraphicFramePr/>
                      <a:graphic xmlns:a="http://schemas.openxmlformats.org/drawingml/2006/main">
                        <a:graphicData uri="http://schemas.microsoft.com/office/word/2010/wordprocessingShape">
                          <wps:wsp>
                            <wps:cNvCnPr/>
                            <wps:spPr>
                              <a:xfrm>
                                <a:off x="4084320" y="5981065"/>
                                <a:ext cx="1009650" cy="0"/>
                              </a:xfrm>
                              <a:prstGeom prst="line">
                                <a:avLst/>
                              </a:prstGeom>
                              <a:ln w="6350" cap="flat" cmpd="sng">
                                <a:solidFill>
                                  <a:srgbClr val="000000"/>
                                </a:solidFill>
                                <a:prstDash val="solid"/>
                                <a:headEnd type="none" w="med" len="med"/>
                                <a:tailEnd type="stealth" w="sm" len="sm"/>
                              </a:ln>
                            </wps:spPr>
                            <wps:bodyPr upright="1"/>
                          </wps:wsp>
                        </a:graphicData>
                      </a:graphic>
                    </wp:anchor>
                  </w:drawing>
                </mc:Choice>
                <mc:Fallback>
                  <w:pict>
                    <v:line id="直接连接符 68" o:spid="_x0000_s1026" o:spt="20" style="position:absolute;left:0pt;margin-left:202.05pt;margin-top:5pt;height:0pt;width:79.5pt;z-index:251671552;mso-width-relative:page;mso-height-relative:page;" filled="f" stroked="t" coordsize="21600,21600" o:gfxdata="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Iw4tbHXAAAACQEAAA8AAAAAAAAAAQAg&#10;AAAAIgAAAGRycy9kb3ducmV2LnhtbFBLAQIUABQAAAAIAIdO4kBy/qYgDwIAAPQDAAAOAAAAAAAA&#10;AAEAIAAAACYBAABkcnMvZTJvRG9jLnhtbFBLBQYAAAAABgAGAFkBAACnBQAAAAA=&#10;">
                      <v:fill on="f" focussize="0,0"/>
                      <v:stroke weight="0.5pt" color="#000000" joinstyle="round" endarrow="classic" endarrowwidth="narrow" endarrowlength="short"/>
                      <v:imagedata o:title=""/>
                      <o:lock v:ext="edit" aspectratio="f"/>
                    </v:line>
                  </w:pict>
                </mc:Fallback>
              </mc:AlternateContent>
            </w:r>
          </w:p>
          <w:p w14:paraId="17EAFFCA">
            <w:pPr>
              <w:spacing w:line="480" w:lineRule="atLeast"/>
              <w:ind w:firstLine="420" w:firstLineChars="200"/>
              <w:rPr>
                <w:rFonts w:ascii="Times New Roman" w:hAnsi="Times New Roman"/>
                <w:color w:val="auto"/>
              </w:rPr>
            </w:pPr>
            <w:r>
              <w:rPr>
                <w:color w:val="auto"/>
                <w:sz w:val="21"/>
              </w:rPr>
              <mc:AlternateContent>
                <mc:Choice Requires="wps">
                  <w:drawing>
                    <wp:anchor distT="0" distB="0" distL="114300" distR="114300" simplePos="0" relativeHeight="251675648" behindDoc="0" locked="0" layoutInCell="1" allowOverlap="1">
                      <wp:simplePos x="0" y="0"/>
                      <wp:positionH relativeFrom="column">
                        <wp:posOffset>2614930</wp:posOffset>
                      </wp:positionH>
                      <wp:positionV relativeFrom="paragraph">
                        <wp:posOffset>192405</wp:posOffset>
                      </wp:positionV>
                      <wp:extent cx="1038225" cy="200025"/>
                      <wp:effectExtent l="0" t="0" r="0" b="0"/>
                      <wp:wrapNone/>
                      <wp:docPr id="525" name="文本框 33"/>
                      <wp:cNvGraphicFramePr/>
                      <a:graphic xmlns:a="http://schemas.openxmlformats.org/drawingml/2006/main">
                        <a:graphicData uri="http://schemas.microsoft.com/office/word/2010/wordprocessingShape">
                          <wps:wsp>
                            <wps:cNvSpPr txBox="1"/>
                            <wps:spPr>
                              <a:xfrm>
                                <a:off x="0" y="0"/>
                                <a:ext cx="1038225" cy="200025"/>
                              </a:xfrm>
                              <a:prstGeom prst="rect">
                                <a:avLst/>
                              </a:prstGeom>
                              <a:noFill/>
                              <a:ln w="6350">
                                <a:noFill/>
                              </a:ln>
                            </wps:spPr>
                            <wps:txbx>
                              <w:txbxContent>
                                <w:p w14:paraId="6DEECD9D">
                                  <w:pPr>
                                    <w:spacing w:line="0" w:lineRule="atLeast"/>
                                    <w:jc w:val="center"/>
                                    <w:rPr>
                                      <w:rFonts w:hint="default" w:ascii="Times New Roman" w:hAnsi="Times New Roman" w:eastAsia="宋体" w:cs="Times New Roman"/>
                                      <w:spacing w:val="-10"/>
                                      <w:szCs w:val="21"/>
                                      <w:lang w:val="en-US" w:eastAsia="zh-CN"/>
                                    </w:rPr>
                                  </w:pPr>
                                  <w:r>
                                    <w:rPr>
                                      <w:rFonts w:hint="eastAsia" w:cs="Times New Roman"/>
                                      <w:spacing w:val="-10"/>
                                      <w:szCs w:val="21"/>
                                      <w:lang w:val="en-US" w:eastAsia="zh-CN"/>
                                    </w:rPr>
                                    <w:t>轻质塑料46629</w:t>
                                  </w:r>
                                </w:p>
                              </w:txbxContent>
                            </wps:txbx>
                            <wps:bodyPr lIns="0" tIns="0" rIns="0" bIns="0" upright="1"/>
                          </wps:wsp>
                        </a:graphicData>
                      </a:graphic>
                    </wp:anchor>
                  </w:drawing>
                </mc:Choice>
                <mc:Fallback>
                  <w:pict>
                    <v:shape id="文本框 33" o:spid="_x0000_s1026" o:spt="202" type="#_x0000_t202" style="position:absolute;left:0pt;margin-left:205.9pt;margin-top:15.15pt;height:15.75pt;width:81.75pt;z-index:251675648;mso-width-relative:page;mso-height-relative:page;" filled="f" stroked="f" coordsize="21600,21600" o:gfxdata="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AN0maW1wAAAAkBAAAPAAAAAAAAAAEAIAAAACIAAABkcnMvZG93bnJldi54&#10;bWxQSwECFAAUAAAACACHTuJAQk0Zu8IBAAB+AwAADgAAAAAAAAABACAAAAAmAQAAZHJzL2Uyb0Rv&#10;Yy54bWxQSwUGAAAAAAYABgBZAQAAWgUAAAAA&#10;">
                      <v:fill on="f" focussize="0,0"/>
                      <v:stroke on="f" weight="0.5pt"/>
                      <v:imagedata o:title=""/>
                      <o:lock v:ext="edit" aspectratio="f"/>
                      <v:textbox inset="0mm,0mm,0mm,0mm">
                        <w:txbxContent>
                          <w:p w14:paraId="6DEECD9D">
                            <w:pPr>
                              <w:spacing w:line="0" w:lineRule="atLeast"/>
                              <w:jc w:val="center"/>
                              <w:rPr>
                                <w:rFonts w:hint="default" w:ascii="Times New Roman" w:hAnsi="Times New Roman" w:eastAsia="宋体" w:cs="Times New Roman"/>
                                <w:spacing w:val="-10"/>
                                <w:szCs w:val="21"/>
                                <w:lang w:val="en-US" w:eastAsia="zh-CN"/>
                              </w:rPr>
                            </w:pPr>
                            <w:r>
                              <w:rPr>
                                <w:rFonts w:hint="eastAsia" w:cs="Times New Roman"/>
                                <w:spacing w:val="-10"/>
                                <w:szCs w:val="21"/>
                                <w:lang w:val="en-US" w:eastAsia="zh-CN"/>
                              </w:rPr>
                              <w:t>轻质塑料46629</w:t>
                            </w:r>
                          </w:p>
                        </w:txbxContent>
                      </v:textbox>
                    </v:shape>
                  </w:pict>
                </mc:Fallback>
              </mc:AlternateContent>
            </w:r>
            <w:r>
              <w:rPr>
                <w:color w:val="auto"/>
                <w:sz w:val="21"/>
              </w:rPr>
              <mc:AlternateContent>
                <mc:Choice Requires="wps">
                  <w:drawing>
                    <wp:anchor distT="0" distB="0" distL="114300" distR="114300" simplePos="0" relativeHeight="251670528" behindDoc="0" locked="0" layoutInCell="1" allowOverlap="1">
                      <wp:simplePos x="0" y="0"/>
                      <wp:positionH relativeFrom="column">
                        <wp:posOffset>2577465</wp:posOffset>
                      </wp:positionH>
                      <wp:positionV relativeFrom="paragraph">
                        <wp:posOffset>110490</wp:posOffset>
                      </wp:positionV>
                      <wp:extent cx="1009650" cy="0"/>
                      <wp:effectExtent l="0" t="25400" r="0" b="31750"/>
                      <wp:wrapNone/>
                      <wp:docPr id="523" name="直接连接符 177"/>
                      <wp:cNvGraphicFramePr/>
                      <a:graphic xmlns:a="http://schemas.openxmlformats.org/drawingml/2006/main">
                        <a:graphicData uri="http://schemas.microsoft.com/office/word/2010/wordprocessingShape">
                          <wps:wsp>
                            <wps:cNvCnPr/>
                            <wps:spPr>
                              <a:xfrm>
                                <a:off x="4081780" y="6348730"/>
                                <a:ext cx="1009650" cy="0"/>
                              </a:xfrm>
                              <a:prstGeom prst="line">
                                <a:avLst/>
                              </a:prstGeom>
                              <a:ln w="6350" cap="flat" cmpd="sng">
                                <a:solidFill>
                                  <a:srgbClr val="000000"/>
                                </a:solidFill>
                                <a:prstDash val="solid"/>
                                <a:headEnd type="none" w="med" len="med"/>
                                <a:tailEnd type="stealth" w="sm" len="sm"/>
                              </a:ln>
                            </wps:spPr>
                            <wps:bodyPr upright="1"/>
                          </wps:wsp>
                        </a:graphicData>
                      </a:graphic>
                    </wp:anchor>
                  </w:drawing>
                </mc:Choice>
                <mc:Fallback>
                  <w:pict>
                    <v:line id="直接连接符 177" o:spid="_x0000_s1026" o:spt="20" style="position:absolute;left:0pt;margin-left:202.95pt;margin-top:8.7pt;height:0pt;width:79.5pt;z-index:251670528;mso-width-relative:page;mso-height-relative:page;" filled="f" stroked="t" coordsize="21600,21600" o:gfxdata="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BxatZa2AAAAAkBAAAPAAAAAAAAAAEA&#10;IAAAACIAAABkcnMvZG93bnJldi54bWxQSwECFAAUAAAACACHTuJAT68vUg8CAAD1AwAADgAAAAAA&#10;AAABACAAAAAnAQAAZHJzL2Uyb0RvYy54bWxQSwUGAAAAAAYABgBZAQAAqAUAAAAA&#10;">
                      <v:fill on="f" focussize="0,0"/>
                      <v:stroke weight="0.5pt" color="#000000" joinstyle="round" endarrow="classic" endarrowwidth="narrow" endarrowlength="short"/>
                      <v:imagedata o:title=""/>
                      <o:lock v:ext="edit" aspectratio="f"/>
                    </v:line>
                  </w:pict>
                </mc:Fallback>
              </mc:AlternateContent>
            </w:r>
          </w:p>
          <w:p w14:paraId="4C271F85">
            <w:pPr>
              <w:tabs>
                <w:tab w:val="left" w:pos="4253"/>
              </w:tabs>
              <w:spacing w:line="480" w:lineRule="exact"/>
              <w:jc w:val="center"/>
              <w:rPr>
                <w:rFonts w:hint="eastAsia"/>
                <w:b/>
                <w:color w:val="auto"/>
                <w:szCs w:val="21"/>
                <w:lang w:bidi="ar"/>
              </w:rPr>
            </w:pPr>
            <w:r>
              <w:rPr>
                <w:color w:val="auto"/>
                <w:sz w:val="21"/>
              </w:rPr>
              <mc:AlternateContent>
                <mc:Choice Requires="wps">
                  <w:drawing>
                    <wp:anchor distT="0" distB="0" distL="114300" distR="114300" simplePos="0" relativeHeight="251674624" behindDoc="0" locked="0" layoutInCell="1" allowOverlap="1">
                      <wp:simplePos x="0" y="0"/>
                      <wp:positionH relativeFrom="column">
                        <wp:posOffset>2527300</wp:posOffset>
                      </wp:positionH>
                      <wp:positionV relativeFrom="paragraph">
                        <wp:posOffset>136525</wp:posOffset>
                      </wp:positionV>
                      <wp:extent cx="1167130" cy="200025"/>
                      <wp:effectExtent l="0" t="0" r="0" b="0"/>
                      <wp:wrapNone/>
                      <wp:docPr id="524" name="文本框 33"/>
                      <wp:cNvGraphicFramePr/>
                      <a:graphic xmlns:a="http://schemas.openxmlformats.org/drawingml/2006/main">
                        <a:graphicData uri="http://schemas.microsoft.com/office/word/2010/wordprocessingShape">
                          <wps:wsp>
                            <wps:cNvSpPr txBox="1"/>
                            <wps:spPr>
                              <a:xfrm>
                                <a:off x="0" y="0"/>
                                <a:ext cx="1167130" cy="200025"/>
                              </a:xfrm>
                              <a:prstGeom prst="rect">
                                <a:avLst/>
                              </a:prstGeom>
                              <a:noFill/>
                              <a:ln w="6350">
                                <a:noFill/>
                              </a:ln>
                            </wps:spPr>
                            <wps:txbx>
                              <w:txbxContent>
                                <w:p w14:paraId="64F94EF6">
                                  <w:pPr>
                                    <w:spacing w:line="0" w:lineRule="atLeast"/>
                                    <w:jc w:val="center"/>
                                    <w:rPr>
                                      <w:rFonts w:hint="default" w:ascii="Times New Roman" w:hAnsi="Times New Roman" w:eastAsia="宋体" w:cs="Times New Roman"/>
                                      <w:spacing w:val="-10"/>
                                      <w:szCs w:val="21"/>
                                      <w:lang w:val="en-US" w:eastAsia="zh-CN"/>
                                    </w:rPr>
                                  </w:pPr>
                                  <w:r>
                                    <w:rPr>
                                      <w:rFonts w:hint="eastAsia" w:cs="Times New Roman"/>
                                      <w:spacing w:val="-10"/>
                                      <w:szCs w:val="21"/>
                                      <w:lang w:val="en-US" w:eastAsia="zh-CN"/>
                                    </w:rPr>
                                    <w:t>沉水塑料9900</w:t>
                                  </w:r>
                                </w:p>
                              </w:txbxContent>
                            </wps:txbx>
                            <wps:bodyPr lIns="0" tIns="0" rIns="0" bIns="0" upright="1"/>
                          </wps:wsp>
                        </a:graphicData>
                      </a:graphic>
                    </wp:anchor>
                  </w:drawing>
                </mc:Choice>
                <mc:Fallback>
                  <w:pict>
                    <v:shape id="文本框 33" o:spid="_x0000_s1026" o:spt="202" type="#_x0000_t202" style="position:absolute;left:0pt;margin-left:199pt;margin-top:10.75pt;height:15.75pt;width:91.9pt;z-index:251674624;mso-width-relative:page;mso-height-relative:page;" filled="f" stroked="f" coordsize="21600,21600" o:gfxdata="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B6/JHnXAAAACQEAAA8AAAAAAAAAAQAgAAAAIgAAAGRycy9kb3ducmV2&#10;LnhtbFBLAQIUABQAAAAIAIdO4kB5t38WxAEAAH4DAAAOAAAAAAAAAAEAIAAAACYBAABkcnMvZTJv&#10;RG9jLnhtbFBLBQYAAAAABgAGAFkBAABcBQAAAAA=&#10;">
                      <v:fill on="f" focussize="0,0"/>
                      <v:stroke on="f" weight="0.5pt"/>
                      <v:imagedata o:title=""/>
                      <o:lock v:ext="edit" aspectratio="f"/>
                      <v:textbox inset="0mm,0mm,0mm,0mm">
                        <w:txbxContent>
                          <w:p w14:paraId="64F94EF6">
                            <w:pPr>
                              <w:spacing w:line="0" w:lineRule="atLeast"/>
                              <w:jc w:val="center"/>
                              <w:rPr>
                                <w:rFonts w:hint="default" w:ascii="Times New Roman" w:hAnsi="Times New Roman" w:eastAsia="宋体" w:cs="Times New Roman"/>
                                <w:spacing w:val="-10"/>
                                <w:szCs w:val="21"/>
                                <w:lang w:val="en-US" w:eastAsia="zh-CN"/>
                              </w:rPr>
                            </w:pPr>
                            <w:r>
                              <w:rPr>
                                <w:rFonts w:hint="eastAsia" w:cs="Times New Roman"/>
                                <w:spacing w:val="-10"/>
                                <w:szCs w:val="21"/>
                                <w:lang w:val="en-US" w:eastAsia="zh-CN"/>
                              </w:rPr>
                              <w:t>沉水塑料9900</w:t>
                            </w:r>
                          </w:p>
                        </w:txbxContent>
                      </v:textbox>
                    </v:shape>
                  </w:pict>
                </mc:Fallback>
              </mc:AlternateContent>
            </w:r>
            <w:r>
              <w:rPr>
                <w:color w:val="auto"/>
                <w:sz w:val="21"/>
              </w:rPr>
              <mc:AlternateContent>
                <mc:Choice Requires="wps">
                  <w:drawing>
                    <wp:anchor distT="0" distB="0" distL="114300" distR="114300" simplePos="0" relativeHeight="251845632" behindDoc="0" locked="0" layoutInCell="1" allowOverlap="1">
                      <wp:simplePos x="0" y="0"/>
                      <wp:positionH relativeFrom="column">
                        <wp:posOffset>2578735</wp:posOffset>
                      </wp:positionH>
                      <wp:positionV relativeFrom="paragraph">
                        <wp:posOffset>59690</wp:posOffset>
                      </wp:positionV>
                      <wp:extent cx="1009650" cy="0"/>
                      <wp:effectExtent l="0" t="25400" r="0" b="31750"/>
                      <wp:wrapNone/>
                      <wp:docPr id="216" name="直接连接符 68"/>
                      <wp:cNvGraphicFramePr/>
                      <a:graphic xmlns:a="http://schemas.openxmlformats.org/drawingml/2006/main">
                        <a:graphicData uri="http://schemas.microsoft.com/office/word/2010/wordprocessingShape">
                          <wps:wsp>
                            <wps:cNvCnPr/>
                            <wps:spPr>
                              <a:xfrm>
                                <a:off x="0" y="0"/>
                                <a:ext cx="1009650" cy="0"/>
                              </a:xfrm>
                              <a:prstGeom prst="line">
                                <a:avLst/>
                              </a:prstGeom>
                              <a:ln w="6350" cap="flat" cmpd="sng">
                                <a:solidFill>
                                  <a:srgbClr val="000000"/>
                                </a:solidFill>
                                <a:prstDash val="solid"/>
                                <a:headEnd type="none" w="med" len="med"/>
                                <a:tailEnd type="stealth" w="sm" len="sm"/>
                              </a:ln>
                            </wps:spPr>
                            <wps:bodyPr upright="1"/>
                          </wps:wsp>
                        </a:graphicData>
                      </a:graphic>
                    </wp:anchor>
                  </w:drawing>
                </mc:Choice>
                <mc:Fallback>
                  <w:pict>
                    <v:line id="直接连接符 68" o:spid="_x0000_s1026" o:spt="20" style="position:absolute;left:0pt;margin-left:203.05pt;margin-top:4.7pt;height:0pt;width:79.5pt;z-index:251845632;mso-width-relative:page;mso-height-relative:page;" filled="f" stroked="t" coordsize="21600,21600" o:gfxdata="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CUO2ht1QAAAAcBAAAPAAAAAAAAAAEAIAAAACIAAABkcnMvZG93bnJl&#10;di54bWxQSwECFAAUAAAACACHTuJAjhfLrQACAADoAwAADgAAAAAAAAABACAAAAAkAQAAZHJzL2Uy&#10;b0RvYy54bWxQSwUGAAAAAAYABgBZAQAAlgUAAAAA&#10;">
                      <v:fill on="f" focussize="0,0"/>
                      <v:stroke weight="0.5pt" color="#000000" joinstyle="round" endarrow="classic" endarrowwidth="narrow" endarrowlength="short"/>
                      <v:imagedata o:title=""/>
                      <o:lock v:ext="edit" aspectratio="f"/>
                    </v:line>
                  </w:pict>
                </mc:Fallback>
              </mc:AlternateContent>
            </w:r>
          </w:p>
          <w:p w14:paraId="6695F13C">
            <w:pPr>
              <w:tabs>
                <w:tab w:val="left" w:pos="4253"/>
              </w:tabs>
              <w:spacing w:line="480" w:lineRule="exact"/>
              <w:jc w:val="center"/>
              <w:rPr>
                <w:rFonts w:hint="eastAsia"/>
                <w:b/>
                <w:color w:val="auto"/>
                <w:szCs w:val="21"/>
                <w:lang w:bidi="ar"/>
              </w:rPr>
            </w:pPr>
            <w:r>
              <w:rPr>
                <w:color w:val="auto"/>
                <w:sz w:val="21"/>
              </w:rPr>
              <mc:AlternateContent>
                <mc:Choice Requires="wps">
                  <w:drawing>
                    <wp:anchor distT="0" distB="0" distL="114300" distR="114300" simplePos="0" relativeHeight="251673600" behindDoc="0" locked="0" layoutInCell="1" allowOverlap="1">
                      <wp:simplePos x="0" y="0"/>
                      <wp:positionH relativeFrom="column">
                        <wp:posOffset>2580005</wp:posOffset>
                      </wp:positionH>
                      <wp:positionV relativeFrom="paragraph">
                        <wp:posOffset>100330</wp:posOffset>
                      </wp:positionV>
                      <wp:extent cx="1281430" cy="212725"/>
                      <wp:effectExtent l="0" t="0" r="0" b="0"/>
                      <wp:wrapNone/>
                      <wp:docPr id="515" name="文本框 101"/>
                      <wp:cNvGraphicFramePr/>
                      <a:graphic xmlns:a="http://schemas.openxmlformats.org/drawingml/2006/main">
                        <a:graphicData uri="http://schemas.microsoft.com/office/word/2010/wordprocessingShape">
                          <wps:wsp>
                            <wps:cNvSpPr txBox="1"/>
                            <wps:spPr>
                              <a:xfrm>
                                <a:off x="2401570" y="5797550"/>
                                <a:ext cx="1281430" cy="212725"/>
                              </a:xfrm>
                              <a:prstGeom prst="rect">
                                <a:avLst/>
                              </a:prstGeom>
                              <a:noFill/>
                              <a:ln w="6350">
                                <a:noFill/>
                              </a:ln>
                            </wps:spPr>
                            <wps:txbx>
                              <w:txbxContent>
                                <w:p w14:paraId="45896289">
                                  <w:pPr>
                                    <w:spacing w:line="0" w:lineRule="atLeast"/>
                                    <w:jc w:val="center"/>
                                    <w:rPr>
                                      <w:rFonts w:hint="default" w:ascii="Times New Roman" w:hAnsi="Times New Roman" w:eastAsia="宋体" w:cs="Times New Roman"/>
                                      <w:spacing w:val="-10"/>
                                      <w:szCs w:val="21"/>
                                      <w:lang w:val="en-US" w:eastAsia="zh-CN"/>
                                    </w:rPr>
                                  </w:pPr>
                                  <w:r>
                                    <w:rPr>
                                      <w:rFonts w:hint="eastAsia" w:cs="Times New Roman"/>
                                      <w:spacing w:val="-10"/>
                                      <w:szCs w:val="21"/>
                                      <w:lang w:val="en-US" w:eastAsia="zh-CN"/>
                                    </w:rPr>
                                    <w:t>金属混合物料6545</w:t>
                                  </w:r>
                                </w:p>
                              </w:txbxContent>
                            </wps:txbx>
                            <wps:bodyPr lIns="0" tIns="0" rIns="0" bIns="0" upright="1"/>
                          </wps:wsp>
                        </a:graphicData>
                      </a:graphic>
                    </wp:anchor>
                  </w:drawing>
                </mc:Choice>
                <mc:Fallback>
                  <w:pict>
                    <v:shape id="文本框 101" o:spid="_x0000_s1026" o:spt="202" type="#_x0000_t202" style="position:absolute;left:0pt;margin-left:203.15pt;margin-top:7.9pt;height:16.75pt;width:100.9pt;z-index:251673600;mso-width-relative:page;mso-height-relative:page;" filled="f" stroked="f" coordsize="21600,21600" o:gfxdata="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">
                      <v:fill on="f" focussize="0,0"/>
                      <v:stroke on="f" weight="0.5pt"/>
                      <v:imagedata o:title=""/>
                      <o:lock v:ext="edit" aspectratio="f"/>
                      <v:textbox inset="0mm,0mm,0mm,0mm">
                        <w:txbxContent>
                          <w:p w14:paraId="45896289">
                            <w:pPr>
                              <w:spacing w:line="0" w:lineRule="atLeast"/>
                              <w:jc w:val="center"/>
                              <w:rPr>
                                <w:rFonts w:hint="default" w:ascii="Times New Roman" w:hAnsi="Times New Roman" w:eastAsia="宋体" w:cs="Times New Roman"/>
                                <w:spacing w:val="-10"/>
                                <w:szCs w:val="21"/>
                                <w:lang w:val="en-US" w:eastAsia="zh-CN"/>
                              </w:rPr>
                            </w:pPr>
                            <w:r>
                              <w:rPr>
                                <w:rFonts w:hint="eastAsia" w:cs="Times New Roman"/>
                                <w:spacing w:val="-10"/>
                                <w:szCs w:val="21"/>
                                <w:lang w:val="en-US" w:eastAsia="zh-CN"/>
                              </w:rPr>
                              <w:t>金属混合物料6545</w:t>
                            </w:r>
                          </w:p>
                        </w:txbxContent>
                      </v:textbox>
                    </v:shape>
                  </w:pict>
                </mc:Fallback>
              </mc:AlternateContent>
            </w:r>
            <w:r>
              <w:rPr>
                <w:color w:val="auto"/>
                <w:sz w:val="21"/>
              </w:rPr>
              <mc:AlternateContent>
                <mc:Choice Requires="wps">
                  <w:drawing>
                    <wp:anchor distT="0" distB="0" distL="114300" distR="114300" simplePos="0" relativeHeight="251847680" behindDoc="0" locked="0" layoutInCell="1" allowOverlap="1">
                      <wp:simplePos x="0" y="0"/>
                      <wp:positionH relativeFrom="column">
                        <wp:posOffset>2583180</wp:posOffset>
                      </wp:positionH>
                      <wp:positionV relativeFrom="paragraph">
                        <wp:posOffset>274955</wp:posOffset>
                      </wp:positionV>
                      <wp:extent cx="1009650" cy="0"/>
                      <wp:effectExtent l="0" t="25400" r="0" b="31750"/>
                      <wp:wrapNone/>
                      <wp:docPr id="218" name="直接连接符 68"/>
                      <wp:cNvGraphicFramePr/>
                      <a:graphic xmlns:a="http://schemas.openxmlformats.org/drawingml/2006/main">
                        <a:graphicData uri="http://schemas.microsoft.com/office/word/2010/wordprocessingShape">
                          <wps:wsp>
                            <wps:cNvCnPr/>
                            <wps:spPr>
                              <a:xfrm>
                                <a:off x="0" y="0"/>
                                <a:ext cx="1009650" cy="0"/>
                              </a:xfrm>
                              <a:prstGeom prst="line">
                                <a:avLst/>
                              </a:prstGeom>
                              <a:ln w="6350" cap="flat" cmpd="sng">
                                <a:solidFill>
                                  <a:srgbClr val="000000"/>
                                </a:solidFill>
                                <a:prstDash val="solid"/>
                                <a:headEnd type="none" w="med" len="med"/>
                                <a:tailEnd type="stealth" w="sm" len="sm"/>
                              </a:ln>
                            </wps:spPr>
                            <wps:bodyPr upright="1"/>
                          </wps:wsp>
                        </a:graphicData>
                      </a:graphic>
                    </wp:anchor>
                  </w:drawing>
                </mc:Choice>
                <mc:Fallback>
                  <w:pict>
                    <v:line id="直接连接符 68" o:spid="_x0000_s1026" o:spt="20" style="position:absolute;left:0pt;margin-left:203.4pt;margin-top:21.65pt;height:0pt;width:79.5pt;z-index:251847680;mso-width-relative:page;mso-height-relative:page;" filled="f" stroked="t" coordsize="21600,21600" o:gfxdata="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CSWCdN2AAAAAkBAAAPAAAAAAAAAAEAIAAAACIAAABkcnMvZG93&#10;bnJldi54bWxQSwECFAAUAAAACACHTuJAncCKLAACAADoAwAADgAAAAAAAAABACAAAAAnAQAAZHJz&#10;L2Uyb0RvYy54bWxQSwUGAAAAAAYABgBZAQAAmQUAAAAA&#10;">
                      <v:fill on="f" focussize="0,0"/>
                      <v:stroke weight="0.5pt" color="#000000" joinstyle="round" endarrow="classic" endarrowwidth="narrow" endarrowlength="short"/>
                      <v:imagedata o:title=""/>
                      <o:lock v:ext="edit" aspectratio="f"/>
                    </v:line>
                  </w:pict>
                </mc:Fallback>
              </mc:AlternateContent>
            </w:r>
            <w:r>
              <w:rPr>
                <w:color w:val="auto"/>
                <w:sz w:val="21"/>
              </w:rPr>
              <mc:AlternateContent>
                <mc:Choice Requires="wps">
                  <w:drawing>
                    <wp:anchor distT="0" distB="0" distL="114300" distR="114300" simplePos="0" relativeHeight="251846656" behindDoc="0" locked="0" layoutInCell="1" allowOverlap="1">
                      <wp:simplePos x="0" y="0"/>
                      <wp:positionH relativeFrom="column">
                        <wp:posOffset>2581275</wp:posOffset>
                      </wp:positionH>
                      <wp:positionV relativeFrom="paragraph">
                        <wp:posOffset>8255</wp:posOffset>
                      </wp:positionV>
                      <wp:extent cx="1009650" cy="0"/>
                      <wp:effectExtent l="0" t="25400" r="0" b="31750"/>
                      <wp:wrapNone/>
                      <wp:docPr id="217" name="直接连接符 68"/>
                      <wp:cNvGraphicFramePr/>
                      <a:graphic xmlns:a="http://schemas.openxmlformats.org/drawingml/2006/main">
                        <a:graphicData uri="http://schemas.microsoft.com/office/word/2010/wordprocessingShape">
                          <wps:wsp>
                            <wps:cNvCnPr/>
                            <wps:spPr>
                              <a:xfrm>
                                <a:off x="0" y="0"/>
                                <a:ext cx="1009650" cy="0"/>
                              </a:xfrm>
                              <a:prstGeom prst="line">
                                <a:avLst/>
                              </a:prstGeom>
                              <a:ln w="6350" cap="flat" cmpd="sng">
                                <a:solidFill>
                                  <a:srgbClr val="000000"/>
                                </a:solidFill>
                                <a:prstDash val="solid"/>
                                <a:headEnd type="none" w="med" len="med"/>
                                <a:tailEnd type="stealth" w="sm" len="sm"/>
                              </a:ln>
                            </wps:spPr>
                            <wps:bodyPr upright="1"/>
                          </wps:wsp>
                        </a:graphicData>
                      </a:graphic>
                    </wp:anchor>
                  </w:drawing>
                </mc:Choice>
                <mc:Fallback>
                  <w:pict>
                    <v:line id="直接连接符 68" o:spid="_x0000_s1026" o:spt="20" style="position:absolute;left:0pt;margin-left:203.25pt;margin-top:0.65pt;height:0pt;width:79.5pt;z-index:251846656;mso-width-relative:page;mso-height-relative:page;" filled="f" stroked="t" coordsize="21600,21600" o:gfxdata="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F01hQrUAAAABwEAAA8AAAAAAAAAAQAgAAAAIgAAAGRycy9kb3ducmV2&#10;LnhtbFBLAQIUABQAAAAIAIdO4kBt2RWUAAIAAOgDAAAOAAAAAAAAAAEAIAAAACMBAABkcnMvZTJv&#10;RG9jLnhtbFBLBQYAAAAABgAGAFkBAACVBQAAAAA=&#10;">
                      <v:fill on="f" focussize="0,0"/>
                      <v:stroke weight="0.5pt" color="#000000" joinstyle="round" endarrow="classic" endarrowwidth="narrow" endarrowlength="short"/>
                      <v:imagedata o:title=""/>
                      <o:lock v:ext="edit" aspectratio="f"/>
                    </v:line>
                  </w:pict>
                </mc:Fallback>
              </mc:AlternateContent>
            </w:r>
          </w:p>
          <w:p w14:paraId="5E7B1972">
            <w:pPr>
              <w:tabs>
                <w:tab w:val="left" w:pos="4253"/>
              </w:tabs>
              <w:spacing w:line="480" w:lineRule="exact"/>
              <w:jc w:val="center"/>
              <w:rPr>
                <w:rFonts w:hint="eastAsia"/>
                <w:b/>
                <w:color w:val="auto"/>
                <w:szCs w:val="21"/>
                <w:lang w:bidi="ar"/>
              </w:rPr>
            </w:pPr>
            <w:r>
              <w:rPr>
                <w:color w:val="auto"/>
                <w:sz w:val="21"/>
              </w:rPr>
              <mc:AlternateContent>
                <mc:Choice Requires="wps">
                  <w:drawing>
                    <wp:anchor distT="0" distB="0" distL="114300" distR="114300" simplePos="0" relativeHeight="251854848" behindDoc="0" locked="0" layoutInCell="1" allowOverlap="1">
                      <wp:simplePos x="0" y="0"/>
                      <wp:positionH relativeFrom="column">
                        <wp:posOffset>2329180</wp:posOffset>
                      </wp:positionH>
                      <wp:positionV relativeFrom="paragraph">
                        <wp:posOffset>298450</wp:posOffset>
                      </wp:positionV>
                      <wp:extent cx="1896745" cy="200025"/>
                      <wp:effectExtent l="0" t="0" r="0" b="0"/>
                      <wp:wrapNone/>
                      <wp:docPr id="34" name="文本框 101"/>
                      <wp:cNvGraphicFramePr/>
                      <a:graphic xmlns:a="http://schemas.openxmlformats.org/drawingml/2006/main">
                        <a:graphicData uri="http://schemas.microsoft.com/office/word/2010/wordprocessingShape">
                          <wps:wsp>
                            <wps:cNvSpPr txBox="1"/>
                            <wps:spPr>
                              <a:xfrm>
                                <a:off x="0" y="0"/>
                                <a:ext cx="1896745" cy="200025"/>
                              </a:xfrm>
                              <a:prstGeom prst="rect">
                                <a:avLst/>
                              </a:prstGeom>
                              <a:noFill/>
                              <a:ln w="6350">
                                <a:noFill/>
                              </a:ln>
                            </wps:spPr>
                            <wps:txbx>
                              <w:txbxContent>
                                <w:p w14:paraId="692B936B">
                                  <w:pPr>
                                    <w:spacing w:line="0" w:lineRule="atLeast"/>
                                    <w:jc w:val="center"/>
                                    <w:rPr>
                                      <w:rFonts w:hint="default" w:cs="Times New Roman"/>
                                      <w:spacing w:val="-10"/>
                                      <w:szCs w:val="21"/>
                                      <w:lang w:val="en-US" w:eastAsia="zh-CN"/>
                                    </w:rPr>
                                  </w:pPr>
                                  <w:r>
                                    <w:rPr>
                                      <w:rFonts w:hint="eastAsia" w:cs="Times New Roman"/>
                                      <w:spacing w:val="-10"/>
                                      <w:szCs w:val="21"/>
                                      <w:lang w:val="en-US" w:eastAsia="zh-CN"/>
                                    </w:rPr>
                                    <w:t>棉絮、泡沫等102500</w:t>
                                  </w:r>
                                </w:p>
                              </w:txbxContent>
                            </wps:txbx>
                            <wps:bodyPr lIns="0" tIns="0" rIns="0" bIns="0" upright="1"/>
                          </wps:wsp>
                        </a:graphicData>
                      </a:graphic>
                    </wp:anchor>
                  </w:drawing>
                </mc:Choice>
                <mc:Fallback>
                  <w:pict>
                    <v:shape id="文本框 101" o:spid="_x0000_s1026" o:spt="202" type="#_x0000_t202" style="position:absolute;left:0pt;margin-left:183.4pt;margin-top:23.5pt;height:15.75pt;width:149.35pt;z-index:251854848;mso-width-relative:page;mso-height-relative:page;" filled="f" stroked="f" coordsize="21600,21600" o:gfxdata="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AKRU2m2QAAAAkBAAAPAAAAAAAAAAEAIAAAACIAAABkcnMvZG93&#10;bnJldi54bWxQSwECFAAUAAAACACHTuJAkBn6yMYBAAB+AwAADgAAAAAAAAABACAAAAAoAQAAZHJz&#10;L2Uyb0RvYy54bWxQSwUGAAAAAAYABgBZAQAAYAUAAAAA&#10;">
                      <v:fill on="f" focussize="0,0"/>
                      <v:stroke on="f" weight="0.5pt"/>
                      <v:imagedata o:title=""/>
                      <o:lock v:ext="edit" aspectratio="f"/>
                      <v:textbox inset="0mm,0mm,0mm,0mm">
                        <w:txbxContent>
                          <w:p w14:paraId="692B936B">
                            <w:pPr>
                              <w:spacing w:line="0" w:lineRule="atLeast"/>
                              <w:jc w:val="center"/>
                              <w:rPr>
                                <w:rFonts w:hint="default" w:cs="Times New Roman"/>
                                <w:spacing w:val="-10"/>
                                <w:szCs w:val="21"/>
                                <w:lang w:val="en-US" w:eastAsia="zh-CN"/>
                              </w:rPr>
                            </w:pPr>
                            <w:r>
                              <w:rPr>
                                <w:rFonts w:hint="eastAsia" w:cs="Times New Roman"/>
                                <w:spacing w:val="-10"/>
                                <w:szCs w:val="21"/>
                                <w:lang w:val="en-US" w:eastAsia="zh-CN"/>
                              </w:rPr>
                              <w:t>棉絮、泡沫等102500</w:t>
                            </w:r>
                          </w:p>
                        </w:txbxContent>
                      </v:textbox>
                    </v:shape>
                  </w:pict>
                </mc:Fallback>
              </mc:AlternateContent>
            </w:r>
            <w:r>
              <w:rPr>
                <w:color w:val="auto"/>
                <w:sz w:val="21"/>
              </w:rPr>
              <mc:AlternateContent>
                <mc:Choice Requires="wps">
                  <w:drawing>
                    <wp:anchor distT="0" distB="0" distL="114300" distR="114300" simplePos="0" relativeHeight="251855872" behindDoc="0" locked="0" layoutInCell="1" allowOverlap="1">
                      <wp:simplePos x="0" y="0"/>
                      <wp:positionH relativeFrom="column">
                        <wp:posOffset>2413635</wp:posOffset>
                      </wp:positionH>
                      <wp:positionV relativeFrom="paragraph">
                        <wp:posOffset>48895</wp:posOffset>
                      </wp:positionV>
                      <wp:extent cx="1074420" cy="209550"/>
                      <wp:effectExtent l="0" t="0" r="0" b="0"/>
                      <wp:wrapNone/>
                      <wp:docPr id="35" name="文本框 173"/>
                      <wp:cNvGraphicFramePr/>
                      <a:graphic xmlns:a="http://schemas.openxmlformats.org/drawingml/2006/main">
                        <a:graphicData uri="http://schemas.microsoft.com/office/word/2010/wordprocessingShape">
                          <wps:wsp>
                            <wps:cNvSpPr txBox="1"/>
                            <wps:spPr>
                              <a:xfrm>
                                <a:off x="0" y="0"/>
                                <a:ext cx="1074420" cy="209550"/>
                              </a:xfrm>
                              <a:prstGeom prst="rect">
                                <a:avLst/>
                              </a:prstGeom>
                              <a:noFill/>
                              <a:ln w="6350">
                                <a:noFill/>
                              </a:ln>
                            </wps:spPr>
                            <wps:txbx>
                              <w:txbxContent>
                                <w:p w14:paraId="6F1253E4">
                                  <w:pPr>
                                    <w:spacing w:line="0" w:lineRule="atLeast"/>
                                    <w:jc w:val="center"/>
                                    <w:rPr>
                                      <w:rFonts w:hint="default" w:ascii="Times New Roman" w:hAnsi="Times New Roman" w:eastAsia="宋体" w:cs="Times New Roman"/>
                                      <w:spacing w:val="-10"/>
                                      <w:szCs w:val="21"/>
                                      <w:lang w:val="en-US" w:eastAsia="zh-CN"/>
                                    </w:rPr>
                                  </w:pPr>
                                  <w:r>
                                    <w:rPr>
                                      <w:rFonts w:hint="eastAsia" w:ascii="Times New Roman" w:hAnsi="Times New Roman" w:cs="Times New Roman"/>
                                      <w:spacing w:val="-10"/>
                                      <w:szCs w:val="21"/>
                                      <w:lang w:val="en-US" w:eastAsia="zh-CN"/>
                                    </w:rPr>
                                    <w:t>废钢球</w:t>
                                  </w:r>
                                  <w:r>
                                    <w:rPr>
                                      <w:rFonts w:hint="eastAsia" w:cs="Times New Roman"/>
                                      <w:spacing w:val="-10"/>
                                      <w:szCs w:val="21"/>
                                      <w:lang w:val="en-US" w:eastAsia="zh-CN"/>
                                    </w:rPr>
                                    <w:t>1</w:t>
                                  </w:r>
                                </w:p>
                              </w:txbxContent>
                            </wps:txbx>
                            <wps:bodyPr lIns="0" tIns="0" rIns="0" bIns="0" upright="1"/>
                          </wps:wsp>
                        </a:graphicData>
                      </a:graphic>
                    </wp:anchor>
                  </w:drawing>
                </mc:Choice>
                <mc:Fallback>
                  <w:pict>
                    <v:shape id="文本框 173" o:spid="_x0000_s1026" o:spt="202" type="#_x0000_t202" style="position:absolute;left:0pt;margin-left:190.05pt;margin-top:3.85pt;height:16.5pt;width:84.6pt;z-index:251855872;mso-width-relative:page;mso-height-relative:page;" filled="f" stroked="f" coordsize="21600,21600" o:gfxdata="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MPzGyHXAAAACAEAAA8AAAAAAAAAAQAgAAAAIgAAAGRycy9kb3ducmV2&#10;LnhtbFBLAQIUABQAAAAIAIdO4kAQJGL0xAEAAH4DAAAOAAAAAAAAAAEAIAAAACYBAABkcnMvZTJv&#10;RG9jLnhtbFBLBQYAAAAABgAGAFkBAABcBQAAAAA=&#10;">
                      <v:fill on="f" focussize="0,0"/>
                      <v:stroke on="f" weight="0.5pt"/>
                      <v:imagedata o:title=""/>
                      <o:lock v:ext="edit" aspectratio="f"/>
                      <v:textbox inset="0mm,0mm,0mm,0mm">
                        <w:txbxContent>
                          <w:p w14:paraId="6F1253E4">
                            <w:pPr>
                              <w:spacing w:line="0" w:lineRule="atLeast"/>
                              <w:jc w:val="center"/>
                              <w:rPr>
                                <w:rFonts w:hint="default" w:ascii="Times New Roman" w:hAnsi="Times New Roman" w:eastAsia="宋体" w:cs="Times New Roman"/>
                                <w:spacing w:val="-10"/>
                                <w:szCs w:val="21"/>
                                <w:lang w:val="en-US" w:eastAsia="zh-CN"/>
                              </w:rPr>
                            </w:pPr>
                            <w:r>
                              <w:rPr>
                                <w:rFonts w:hint="eastAsia" w:ascii="Times New Roman" w:hAnsi="Times New Roman" w:cs="Times New Roman"/>
                                <w:spacing w:val="-10"/>
                                <w:szCs w:val="21"/>
                                <w:lang w:val="en-US" w:eastAsia="zh-CN"/>
                              </w:rPr>
                              <w:t>废钢球</w:t>
                            </w:r>
                            <w:r>
                              <w:rPr>
                                <w:rFonts w:hint="eastAsia" w:cs="Times New Roman"/>
                                <w:spacing w:val="-10"/>
                                <w:szCs w:val="21"/>
                                <w:lang w:val="en-US" w:eastAsia="zh-CN"/>
                              </w:rPr>
                              <w:t>1</w:t>
                            </w:r>
                          </w:p>
                        </w:txbxContent>
                      </v:textbox>
                    </v:shape>
                  </w:pict>
                </mc:Fallback>
              </mc:AlternateContent>
            </w:r>
            <w:r>
              <w:rPr>
                <w:color w:val="auto"/>
                <w:sz w:val="21"/>
              </w:rPr>
              <mc:AlternateContent>
                <mc:Choice Requires="wps">
                  <w:drawing>
                    <wp:anchor distT="0" distB="0" distL="114300" distR="114300" simplePos="0" relativeHeight="251850752" behindDoc="0" locked="0" layoutInCell="1" allowOverlap="1">
                      <wp:simplePos x="0" y="0"/>
                      <wp:positionH relativeFrom="column">
                        <wp:posOffset>2581275</wp:posOffset>
                      </wp:positionH>
                      <wp:positionV relativeFrom="paragraph">
                        <wp:posOffset>219710</wp:posOffset>
                      </wp:positionV>
                      <wp:extent cx="1009650" cy="0"/>
                      <wp:effectExtent l="0" t="25400" r="0" b="31750"/>
                      <wp:wrapNone/>
                      <wp:docPr id="29" name="直接连接符 68"/>
                      <wp:cNvGraphicFramePr/>
                      <a:graphic xmlns:a="http://schemas.openxmlformats.org/drawingml/2006/main">
                        <a:graphicData uri="http://schemas.microsoft.com/office/word/2010/wordprocessingShape">
                          <wps:wsp>
                            <wps:cNvCnPr/>
                            <wps:spPr>
                              <a:xfrm>
                                <a:off x="0" y="0"/>
                                <a:ext cx="1009650" cy="0"/>
                              </a:xfrm>
                              <a:prstGeom prst="line">
                                <a:avLst/>
                              </a:prstGeom>
                              <a:ln w="6350" cap="flat" cmpd="sng">
                                <a:solidFill>
                                  <a:srgbClr val="000000"/>
                                </a:solidFill>
                                <a:prstDash val="solid"/>
                                <a:headEnd type="none" w="med" len="med"/>
                                <a:tailEnd type="stealth" w="sm" len="sm"/>
                              </a:ln>
                            </wps:spPr>
                            <wps:bodyPr upright="1"/>
                          </wps:wsp>
                        </a:graphicData>
                      </a:graphic>
                    </wp:anchor>
                  </w:drawing>
                </mc:Choice>
                <mc:Fallback>
                  <w:pict>
                    <v:line id="直接连接符 68" o:spid="_x0000_s1026" o:spt="20" style="position:absolute;left:0pt;margin-left:203.25pt;margin-top:17.3pt;height:0pt;width:79.5pt;z-index:251850752;mso-width-relative:page;mso-height-relative:page;" filled="f" stroked="t" coordsize="21600,21600" o:gfxdata="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CdXs7HYAAAACQEAAA8AAAAAAAAAAQAgAAAAIgAAAGRycy9kb3du&#10;cmV2LnhtbFBLAQIUABQAAAAIAIdO4kCXiEc9/wEAAOcDAAAOAAAAAAAAAAEAIAAAACcBAABkcnMv&#10;ZTJvRG9jLnhtbFBLBQYAAAAABgAGAFkBAACYBQAAAAA=&#10;">
                      <v:fill on="f" focussize="0,0"/>
                      <v:stroke weight="0.5pt" color="#000000" joinstyle="round" endarrow="classic" endarrowwidth="narrow" endarrowlength="short"/>
                      <v:imagedata o:title=""/>
                      <o:lock v:ext="edit" aspectratio="f"/>
                    </v:line>
                  </w:pict>
                </mc:Fallback>
              </mc:AlternateContent>
            </w:r>
          </w:p>
          <w:p w14:paraId="3DDD9B8A">
            <w:pPr>
              <w:tabs>
                <w:tab w:val="left" w:pos="4253"/>
              </w:tabs>
              <w:spacing w:line="480" w:lineRule="exact"/>
              <w:jc w:val="center"/>
              <w:rPr>
                <w:rFonts w:hint="eastAsia"/>
                <w:b/>
                <w:color w:val="auto"/>
                <w:szCs w:val="21"/>
                <w:lang w:bidi="ar"/>
              </w:rPr>
            </w:pPr>
            <w:r>
              <w:rPr>
                <w:color w:val="auto"/>
                <w:sz w:val="21"/>
              </w:rPr>
              <mc:AlternateContent>
                <mc:Choice Requires="wps">
                  <w:drawing>
                    <wp:anchor distT="0" distB="0" distL="114300" distR="114300" simplePos="0" relativeHeight="251857920" behindDoc="0" locked="0" layoutInCell="1" allowOverlap="1">
                      <wp:simplePos x="0" y="0"/>
                      <wp:positionH relativeFrom="column">
                        <wp:posOffset>2595245</wp:posOffset>
                      </wp:positionH>
                      <wp:positionV relativeFrom="paragraph">
                        <wp:posOffset>254000</wp:posOffset>
                      </wp:positionV>
                      <wp:extent cx="904240" cy="209550"/>
                      <wp:effectExtent l="0" t="0" r="0" b="0"/>
                      <wp:wrapNone/>
                      <wp:docPr id="44" name="文本框 79"/>
                      <wp:cNvGraphicFramePr/>
                      <a:graphic xmlns:a="http://schemas.openxmlformats.org/drawingml/2006/main">
                        <a:graphicData uri="http://schemas.microsoft.com/office/word/2010/wordprocessingShape">
                          <wps:wsp>
                            <wps:cNvSpPr txBox="1"/>
                            <wps:spPr>
                              <a:xfrm>
                                <a:off x="0" y="0"/>
                                <a:ext cx="904240" cy="209550"/>
                              </a:xfrm>
                              <a:prstGeom prst="rect">
                                <a:avLst/>
                              </a:prstGeom>
                              <a:noFill/>
                              <a:ln w="6350">
                                <a:noFill/>
                              </a:ln>
                            </wps:spPr>
                            <wps:txbx>
                              <w:txbxContent>
                                <w:p w14:paraId="00C32D78">
                                  <w:pPr>
                                    <w:spacing w:line="0" w:lineRule="atLeast"/>
                                    <w:jc w:val="center"/>
                                    <w:rPr>
                                      <w:rFonts w:hint="default" w:ascii="Times New Roman" w:hAnsi="Times New Roman" w:eastAsia="宋体" w:cs="Times New Roman"/>
                                      <w:spacing w:val="-10"/>
                                      <w:szCs w:val="21"/>
                                      <w:lang w:val="en-US" w:eastAsia="zh-CN"/>
                                    </w:rPr>
                                  </w:pPr>
                                  <w:r>
                                    <w:rPr>
                                      <w:rFonts w:hint="eastAsia" w:ascii="Times New Roman" w:hAnsi="Times New Roman" w:cs="Times New Roman"/>
                                      <w:spacing w:val="-10"/>
                                      <w:szCs w:val="21"/>
                                      <w:lang w:val="en-US" w:eastAsia="zh-CN"/>
                                    </w:rPr>
                                    <w:t>除尘灰</w:t>
                                  </w:r>
                                  <w:r>
                                    <w:rPr>
                                      <w:rFonts w:hint="eastAsia" w:cs="Times New Roman"/>
                                      <w:spacing w:val="-10"/>
                                      <w:szCs w:val="21"/>
                                      <w:lang w:val="en-US" w:eastAsia="zh-CN"/>
                                    </w:rPr>
                                    <w:t>306.2</w:t>
                                  </w:r>
                                </w:p>
                              </w:txbxContent>
                            </wps:txbx>
                            <wps:bodyPr lIns="0" tIns="0" rIns="0" bIns="0" upright="1"/>
                          </wps:wsp>
                        </a:graphicData>
                      </a:graphic>
                    </wp:anchor>
                  </w:drawing>
                </mc:Choice>
                <mc:Fallback>
                  <w:pict>
                    <v:shape id="文本框 79" o:spid="_x0000_s1026" o:spt="202" type="#_x0000_t202" style="position:absolute;left:0pt;margin-left:204.35pt;margin-top:20pt;height:16.5pt;width:71.2pt;z-index:251857920;mso-width-relative:page;mso-height-relative:page;" filled="f" stroked="f" coordsize="21600,21600" o:gfxdata="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PFC+jnYAAAACQEAAA8AAAAAAAAAAQAgAAAAIgAAAGRycy9kb3ducmV2&#10;LnhtbFBLAQIUABQAAAAIAIdO4kDjApLTwwEAAHwDAAAOAAAAAAAAAAEAIAAAACcBAABkcnMvZTJv&#10;RG9jLnhtbFBLBQYAAAAABgAGAFkBAABcBQAAAAA=&#10;">
                      <v:fill on="f" focussize="0,0"/>
                      <v:stroke on="f" weight="0.5pt"/>
                      <v:imagedata o:title=""/>
                      <o:lock v:ext="edit" aspectratio="f"/>
                      <v:textbox inset="0mm,0mm,0mm,0mm">
                        <w:txbxContent>
                          <w:p w14:paraId="00C32D78">
                            <w:pPr>
                              <w:spacing w:line="0" w:lineRule="atLeast"/>
                              <w:jc w:val="center"/>
                              <w:rPr>
                                <w:rFonts w:hint="default" w:ascii="Times New Roman" w:hAnsi="Times New Roman" w:eastAsia="宋体" w:cs="Times New Roman"/>
                                <w:spacing w:val="-10"/>
                                <w:szCs w:val="21"/>
                                <w:lang w:val="en-US" w:eastAsia="zh-CN"/>
                              </w:rPr>
                            </w:pPr>
                            <w:r>
                              <w:rPr>
                                <w:rFonts w:hint="eastAsia" w:ascii="Times New Roman" w:hAnsi="Times New Roman" w:cs="Times New Roman"/>
                                <w:spacing w:val="-10"/>
                                <w:szCs w:val="21"/>
                                <w:lang w:val="en-US" w:eastAsia="zh-CN"/>
                              </w:rPr>
                              <w:t>除尘灰</w:t>
                            </w:r>
                            <w:r>
                              <w:rPr>
                                <w:rFonts w:hint="eastAsia" w:cs="Times New Roman"/>
                                <w:spacing w:val="-10"/>
                                <w:szCs w:val="21"/>
                                <w:lang w:val="en-US" w:eastAsia="zh-CN"/>
                              </w:rPr>
                              <w:t>306.2</w:t>
                            </w:r>
                          </w:p>
                        </w:txbxContent>
                      </v:textbox>
                    </v:shape>
                  </w:pict>
                </mc:Fallback>
              </mc:AlternateContent>
            </w:r>
            <w:r>
              <w:rPr>
                <w:color w:val="auto"/>
                <w:sz w:val="21"/>
              </w:rPr>
              <mc:AlternateContent>
                <mc:Choice Requires="wps">
                  <w:drawing>
                    <wp:anchor distT="0" distB="0" distL="114300" distR="114300" simplePos="0" relativeHeight="251853824" behindDoc="0" locked="0" layoutInCell="1" allowOverlap="1">
                      <wp:simplePos x="0" y="0"/>
                      <wp:positionH relativeFrom="column">
                        <wp:posOffset>921385</wp:posOffset>
                      </wp:positionH>
                      <wp:positionV relativeFrom="paragraph">
                        <wp:posOffset>40005</wp:posOffset>
                      </wp:positionV>
                      <wp:extent cx="1038225" cy="200025"/>
                      <wp:effectExtent l="0" t="0" r="0" b="0"/>
                      <wp:wrapNone/>
                      <wp:docPr id="33" name="文本框 101"/>
                      <wp:cNvGraphicFramePr/>
                      <a:graphic xmlns:a="http://schemas.openxmlformats.org/drawingml/2006/main">
                        <a:graphicData uri="http://schemas.microsoft.com/office/word/2010/wordprocessingShape">
                          <wps:wsp>
                            <wps:cNvSpPr txBox="1"/>
                            <wps:spPr>
                              <a:xfrm>
                                <a:off x="0" y="0"/>
                                <a:ext cx="1038225" cy="200025"/>
                              </a:xfrm>
                              <a:prstGeom prst="rect">
                                <a:avLst/>
                              </a:prstGeom>
                              <a:noFill/>
                              <a:ln w="6350">
                                <a:noFill/>
                              </a:ln>
                            </wps:spPr>
                            <wps:txbx>
                              <w:txbxContent>
                                <w:p w14:paraId="54DF15FB">
                                  <w:pPr>
                                    <w:spacing w:line="0" w:lineRule="atLeast"/>
                                    <w:jc w:val="center"/>
                                    <w:rPr>
                                      <w:rFonts w:hint="default" w:ascii="Times New Roman" w:hAnsi="Times New Roman" w:eastAsia="宋体" w:cs="Times New Roman"/>
                                      <w:spacing w:val="-10"/>
                                      <w:szCs w:val="21"/>
                                      <w:lang w:val="en-US" w:eastAsia="zh-CN"/>
                                    </w:rPr>
                                  </w:pPr>
                                  <w:r>
                                    <w:rPr>
                                      <w:rFonts w:hint="default" w:ascii="Times New Roman" w:hAnsi="Times New Roman" w:eastAsia="宋体" w:cs="Times New Roman"/>
                                      <w:spacing w:val="-10"/>
                                      <w:szCs w:val="21"/>
                                    </w:rPr>
                                    <w:t>钢球</w:t>
                                  </w:r>
                                  <w:r>
                                    <w:rPr>
                                      <w:rFonts w:hint="eastAsia" w:ascii="Times New Roman" w:hAnsi="Times New Roman" w:eastAsia="宋体" w:cs="Times New Roman"/>
                                      <w:spacing w:val="-10"/>
                                      <w:szCs w:val="21"/>
                                      <w:lang w:val="en-US" w:eastAsia="zh-CN"/>
                                    </w:rPr>
                                    <w:t>5</w:t>
                                  </w:r>
                                </w:p>
                              </w:txbxContent>
                            </wps:txbx>
                            <wps:bodyPr lIns="0" tIns="0" rIns="0" bIns="0" upright="1"/>
                          </wps:wsp>
                        </a:graphicData>
                      </a:graphic>
                    </wp:anchor>
                  </w:drawing>
                </mc:Choice>
                <mc:Fallback>
                  <w:pict>
                    <v:shape id="文本框 101" o:spid="_x0000_s1026" o:spt="202" type="#_x0000_t202" style="position:absolute;left:0pt;margin-left:72.55pt;margin-top:3.15pt;height:15.75pt;width:81.75pt;z-index:251853824;mso-width-relative:page;mso-height-relative:page;" filled="f" stroked="f" coordsize="21600,21600" o:gfxdata="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Auu+UA1gAAAAgBAAAPAAAAAAAAAAEAIAAAACIAAABkcnMvZG93bnJldi54&#10;bWxQSwECFAAUAAAACACHTuJAP+G9esMBAAB+AwAADgAAAAAAAAABACAAAAAlAQAAZHJzL2Uyb0Rv&#10;Yy54bWxQSwUGAAAAAAYABgBZAQAAWgUAAAAA&#10;">
                      <v:fill on="f" focussize="0,0"/>
                      <v:stroke on="f" weight="0.5pt"/>
                      <v:imagedata o:title=""/>
                      <o:lock v:ext="edit" aspectratio="f"/>
                      <v:textbox inset="0mm,0mm,0mm,0mm">
                        <w:txbxContent>
                          <w:p w14:paraId="54DF15FB">
                            <w:pPr>
                              <w:spacing w:line="0" w:lineRule="atLeast"/>
                              <w:jc w:val="center"/>
                              <w:rPr>
                                <w:rFonts w:hint="default" w:ascii="Times New Roman" w:hAnsi="Times New Roman" w:eastAsia="宋体" w:cs="Times New Roman"/>
                                <w:spacing w:val="-10"/>
                                <w:szCs w:val="21"/>
                                <w:lang w:val="en-US" w:eastAsia="zh-CN"/>
                              </w:rPr>
                            </w:pPr>
                            <w:r>
                              <w:rPr>
                                <w:rFonts w:hint="default" w:ascii="Times New Roman" w:hAnsi="Times New Roman" w:eastAsia="宋体" w:cs="Times New Roman"/>
                                <w:spacing w:val="-10"/>
                                <w:szCs w:val="21"/>
                              </w:rPr>
                              <w:t>钢球</w:t>
                            </w:r>
                            <w:r>
                              <w:rPr>
                                <w:rFonts w:hint="eastAsia" w:ascii="Times New Roman" w:hAnsi="Times New Roman" w:eastAsia="宋体" w:cs="Times New Roman"/>
                                <w:spacing w:val="-10"/>
                                <w:szCs w:val="21"/>
                                <w:lang w:val="en-US" w:eastAsia="zh-CN"/>
                              </w:rPr>
                              <w:t>5</w:t>
                            </w:r>
                          </w:p>
                        </w:txbxContent>
                      </v:textbox>
                    </v:shape>
                  </w:pict>
                </mc:Fallback>
              </mc:AlternateContent>
            </w:r>
            <w:r>
              <w:rPr>
                <w:color w:val="auto"/>
                <w:sz w:val="21"/>
              </w:rPr>
              <mc:AlternateContent>
                <mc:Choice Requires="wps">
                  <w:drawing>
                    <wp:anchor distT="0" distB="0" distL="114300" distR="114300" simplePos="0" relativeHeight="251664384" behindDoc="0" locked="0" layoutInCell="1" allowOverlap="1">
                      <wp:simplePos x="0" y="0"/>
                      <wp:positionH relativeFrom="column">
                        <wp:posOffset>973455</wp:posOffset>
                      </wp:positionH>
                      <wp:positionV relativeFrom="paragraph">
                        <wp:posOffset>215265</wp:posOffset>
                      </wp:positionV>
                      <wp:extent cx="933450" cy="0"/>
                      <wp:effectExtent l="0" t="25400" r="0" b="31750"/>
                      <wp:wrapNone/>
                      <wp:docPr id="514" name="直接连接符 80"/>
                      <wp:cNvGraphicFramePr/>
                      <a:graphic xmlns:a="http://schemas.openxmlformats.org/drawingml/2006/main">
                        <a:graphicData uri="http://schemas.microsoft.com/office/word/2010/wordprocessingShape">
                          <wps:wsp>
                            <wps:cNvCnPr/>
                            <wps:spPr>
                              <a:xfrm>
                                <a:off x="2474595" y="6127750"/>
                                <a:ext cx="933450" cy="0"/>
                              </a:xfrm>
                              <a:prstGeom prst="line">
                                <a:avLst/>
                              </a:prstGeom>
                              <a:ln w="6350" cap="flat" cmpd="sng">
                                <a:solidFill>
                                  <a:srgbClr val="000000"/>
                                </a:solidFill>
                                <a:prstDash val="solid"/>
                                <a:headEnd type="none" w="med" len="med"/>
                                <a:tailEnd type="stealth" w="sm" len="sm"/>
                              </a:ln>
                            </wps:spPr>
                            <wps:bodyPr upright="1"/>
                          </wps:wsp>
                        </a:graphicData>
                      </a:graphic>
                    </wp:anchor>
                  </w:drawing>
                </mc:Choice>
                <mc:Fallback>
                  <w:pict>
                    <v:line id="直接连接符 80" o:spid="_x0000_s1026" o:spt="20" style="position:absolute;left:0pt;margin-left:76.65pt;margin-top:16.95pt;height:0pt;width:73.5pt;z-index:251664384;mso-width-relative:page;mso-height-relative:page;" filled="f" stroked="t" coordsize="21600,21600" o:gfxdata="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OJONWNYAAAAJAQAADwAAAAAAAAABACAAAAAi&#10;AAAAZHJzL2Rvd25yZXYueG1sUEsBAhQAFAAAAAgAh07iQMw0ApMMAgAA8wMAAA4AAAAAAAAAAQAg&#10;AAAAJQEAAGRycy9lMm9Eb2MueG1sUEsFBgAAAAAGAAYAWQEAAKMFAAAAAA==&#10;">
                      <v:fill on="f" focussize="0,0"/>
                      <v:stroke weight="0.5pt" color="#000000" joinstyle="round" endarrow="classic" endarrowwidth="narrow" endarrowlength="short"/>
                      <v:imagedata o:title=""/>
                      <o:lock v:ext="edit" aspectratio="f"/>
                    </v:line>
                  </w:pict>
                </mc:Fallback>
              </mc:AlternateContent>
            </w:r>
            <w:r>
              <w:rPr>
                <w:color w:val="auto"/>
                <w:sz w:val="21"/>
              </w:rPr>
              <mc:AlternateContent>
                <mc:Choice Requires="wps">
                  <w:drawing>
                    <wp:anchor distT="0" distB="0" distL="114300" distR="114300" simplePos="0" relativeHeight="251851776" behindDoc="0" locked="0" layoutInCell="1" allowOverlap="1">
                      <wp:simplePos x="0" y="0"/>
                      <wp:positionH relativeFrom="column">
                        <wp:posOffset>2568575</wp:posOffset>
                      </wp:positionH>
                      <wp:positionV relativeFrom="paragraph">
                        <wp:posOffset>173355</wp:posOffset>
                      </wp:positionV>
                      <wp:extent cx="1009650" cy="0"/>
                      <wp:effectExtent l="0" t="25400" r="0" b="31750"/>
                      <wp:wrapNone/>
                      <wp:docPr id="30" name="直接连接符 68"/>
                      <wp:cNvGraphicFramePr/>
                      <a:graphic xmlns:a="http://schemas.openxmlformats.org/drawingml/2006/main">
                        <a:graphicData uri="http://schemas.microsoft.com/office/word/2010/wordprocessingShape">
                          <wps:wsp>
                            <wps:cNvCnPr/>
                            <wps:spPr>
                              <a:xfrm>
                                <a:off x="0" y="0"/>
                                <a:ext cx="1009650" cy="0"/>
                              </a:xfrm>
                              <a:prstGeom prst="line">
                                <a:avLst/>
                              </a:prstGeom>
                              <a:ln w="6350" cap="flat" cmpd="sng">
                                <a:solidFill>
                                  <a:srgbClr val="000000"/>
                                </a:solidFill>
                                <a:prstDash val="solid"/>
                                <a:headEnd type="none" w="med" len="med"/>
                                <a:tailEnd type="stealth" w="sm" len="sm"/>
                              </a:ln>
                            </wps:spPr>
                            <wps:bodyPr upright="1"/>
                          </wps:wsp>
                        </a:graphicData>
                      </a:graphic>
                    </wp:anchor>
                  </w:drawing>
                </mc:Choice>
                <mc:Fallback>
                  <w:pict>
                    <v:line id="直接连接符 68" o:spid="_x0000_s1026" o:spt="20" style="position:absolute;left:0pt;margin-left:202.25pt;margin-top:13.65pt;height:0pt;width:79.5pt;z-index:251851776;mso-width-relative:page;mso-height-relative:page;" filled="f" stroked="t" coordsize="21600,21600" o:gfxdata="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3gJiXNgAAAAJAQAADwAAAAAAAAABACAAAAAiAAAAZHJzL2Rvd25y&#10;ZXYueG1sUEsBAhQAFAAAAAgAh07iQCFaJCj+AQAA5wMAAA4AAAAAAAAAAQAgAAAAJwEAAGRycy9l&#10;Mm9Eb2MueG1sUEsFBgAAAAAGAAYAWQEAAJcFAAAAAA==&#10;">
                      <v:fill on="f" focussize="0,0"/>
                      <v:stroke weight="0.5pt" color="#000000" joinstyle="round" endarrow="classic" endarrowwidth="narrow" endarrowlength="short"/>
                      <v:imagedata o:title=""/>
                      <o:lock v:ext="edit" aspectratio="f"/>
                    </v:line>
                  </w:pict>
                </mc:Fallback>
              </mc:AlternateContent>
            </w:r>
          </w:p>
          <w:p w14:paraId="3427ABD7">
            <w:pPr>
              <w:tabs>
                <w:tab w:val="left" w:pos="4253"/>
              </w:tabs>
              <w:spacing w:line="480" w:lineRule="exact"/>
              <w:jc w:val="center"/>
              <w:rPr>
                <w:rFonts w:hint="eastAsia"/>
                <w:b/>
                <w:color w:val="auto"/>
                <w:szCs w:val="21"/>
                <w:lang w:bidi="ar"/>
              </w:rPr>
            </w:pPr>
            <w:r>
              <w:rPr>
                <w:color w:val="auto"/>
                <w:sz w:val="21"/>
              </w:rPr>
              <mc:AlternateContent>
                <mc:Choice Requires="wps">
                  <w:drawing>
                    <wp:anchor distT="0" distB="0" distL="114300" distR="114300" simplePos="0" relativeHeight="251859968" behindDoc="0" locked="0" layoutInCell="1" allowOverlap="1">
                      <wp:simplePos x="0" y="0"/>
                      <wp:positionH relativeFrom="column">
                        <wp:posOffset>2504440</wp:posOffset>
                      </wp:positionH>
                      <wp:positionV relativeFrom="paragraph">
                        <wp:posOffset>200025</wp:posOffset>
                      </wp:positionV>
                      <wp:extent cx="1038225" cy="189865"/>
                      <wp:effectExtent l="0" t="0" r="0" b="0"/>
                      <wp:wrapNone/>
                      <wp:docPr id="221" name="文本框 162"/>
                      <wp:cNvGraphicFramePr/>
                      <a:graphic xmlns:a="http://schemas.openxmlformats.org/drawingml/2006/main">
                        <a:graphicData uri="http://schemas.microsoft.com/office/word/2010/wordprocessingShape">
                          <wps:wsp>
                            <wps:cNvSpPr txBox="1"/>
                            <wps:spPr>
                              <a:xfrm>
                                <a:off x="0" y="0"/>
                                <a:ext cx="1038225" cy="189865"/>
                              </a:xfrm>
                              <a:prstGeom prst="rect">
                                <a:avLst/>
                              </a:prstGeom>
                              <a:noFill/>
                              <a:ln w="6350">
                                <a:noFill/>
                              </a:ln>
                            </wps:spPr>
                            <wps:txbx>
                              <w:txbxContent>
                                <w:p w14:paraId="2691894E">
                                  <w:pPr>
                                    <w:spacing w:line="0" w:lineRule="atLeast"/>
                                    <w:jc w:val="center"/>
                                    <w:rPr>
                                      <w:rFonts w:hint="default" w:ascii="Times New Roman" w:hAnsi="Times New Roman" w:eastAsia="宋体" w:cs="Times New Roman"/>
                                      <w:spacing w:val="-10"/>
                                      <w:szCs w:val="21"/>
                                      <w:lang w:val="en-US" w:eastAsia="zh-CN"/>
                                    </w:rPr>
                                  </w:pPr>
                                  <w:r>
                                    <w:rPr>
                                      <w:rFonts w:hint="eastAsia" w:ascii="Times New Roman" w:hAnsi="Times New Roman" w:cs="Times New Roman"/>
                                      <w:spacing w:val="-10"/>
                                      <w:szCs w:val="21"/>
                                      <w:lang w:val="en-US" w:eastAsia="zh-CN"/>
                                    </w:rPr>
                                    <w:t>沉降</w:t>
                                  </w:r>
                                  <w:r>
                                    <w:rPr>
                                      <w:rFonts w:hint="default" w:ascii="Times New Roman" w:hAnsi="Times New Roman" w:eastAsia="宋体" w:cs="Times New Roman"/>
                                      <w:spacing w:val="-10"/>
                                      <w:szCs w:val="21"/>
                                      <w:lang w:val="en-US" w:eastAsia="zh-CN"/>
                                    </w:rPr>
                                    <w:t>灰</w:t>
                                  </w:r>
                                  <w:r>
                                    <w:rPr>
                                      <w:rFonts w:hint="eastAsia" w:cs="Times New Roman"/>
                                      <w:spacing w:val="-10"/>
                                      <w:szCs w:val="21"/>
                                      <w:lang w:val="en-US" w:eastAsia="zh-CN"/>
                                    </w:rPr>
                                    <w:t>21.2</w:t>
                                  </w:r>
                                </w:p>
                              </w:txbxContent>
                            </wps:txbx>
                            <wps:bodyPr lIns="0" tIns="0" rIns="0" bIns="0" upright="1"/>
                          </wps:wsp>
                        </a:graphicData>
                      </a:graphic>
                    </wp:anchor>
                  </w:drawing>
                </mc:Choice>
                <mc:Fallback>
                  <w:pict>
                    <v:shape id="文本框 162" o:spid="_x0000_s1026" o:spt="202" type="#_x0000_t202" style="position:absolute;left:0pt;margin-left:197.2pt;margin-top:15.75pt;height:14.95pt;width:81.75pt;z-index:251859968;mso-width-relative:page;mso-height-relative:page;" filled="f" stroked="f" coordsize="21600,21600" o:gfxdata="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">
                      <v:fill on="f" focussize="0,0"/>
                      <v:stroke on="f" weight="0.5pt"/>
                      <v:imagedata o:title=""/>
                      <o:lock v:ext="edit" aspectratio="f"/>
                      <v:textbox inset="0mm,0mm,0mm,0mm">
                        <w:txbxContent>
                          <w:p w14:paraId="2691894E">
                            <w:pPr>
                              <w:spacing w:line="0" w:lineRule="atLeast"/>
                              <w:jc w:val="center"/>
                              <w:rPr>
                                <w:rFonts w:hint="default" w:ascii="Times New Roman" w:hAnsi="Times New Roman" w:eastAsia="宋体" w:cs="Times New Roman"/>
                                <w:spacing w:val="-10"/>
                                <w:szCs w:val="21"/>
                                <w:lang w:val="en-US" w:eastAsia="zh-CN"/>
                              </w:rPr>
                            </w:pPr>
                            <w:r>
                              <w:rPr>
                                <w:rFonts w:hint="eastAsia" w:ascii="Times New Roman" w:hAnsi="Times New Roman" w:cs="Times New Roman"/>
                                <w:spacing w:val="-10"/>
                                <w:szCs w:val="21"/>
                                <w:lang w:val="en-US" w:eastAsia="zh-CN"/>
                              </w:rPr>
                              <w:t>沉降</w:t>
                            </w:r>
                            <w:r>
                              <w:rPr>
                                <w:rFonts w:hint="default" w:ascii="Times New Roman" w:hAnsi="Times New Roman" w:eastAsia="宋体" w:cs="Times New Roman"/>
                                <w:spacing w:val="-10"/>
                                <w:szCs w:val="21"/>
                                <w:lang w:val="en-US" w:eastAsia="zh-CN"/>
                              </w:rPr>
                              <w:t>灰</w:t>
                            </w:r>
                            <w:r>
                              <w:rPr>
                                <w:rFonts w:hint="eastAsia" w:cs="Times New Roman"/>
                                <w:spacing w:val="-10"/>
                                <w:szCs w:val="21"/>
                                <w:lang w:val="en-US" w:eastAsia="zh-CN"/>
                              </w:rPr>
                              <w:t>21.2</w:t>
                            </w:r>
                          </w:p>
                        </w:txbxContent>
                      </v:textbox>
                    </v:shape>
                  </w:pict>
                </mc:Fallback>
              </mc:AlternateContent>
            </w:r>
            <w:r>
              <w:rPr>
                <w:color w:val="auto"/>
                <w:sz w:val="21"/>
              </w:rPr>
              <mc:AlternateContent>
                <mc:Choice Requires="wps">
                  <w:drawing>
                    <wp:anchor distT="0" distB="0" distL="114300" distR="114300" simplePos="0" relativeHeight="251852800" behindDoc="0" locked="0" layoutInCell="1" allowOverlap="1">
                      <wp:simplePos x="0" y="0"/>
                      <wp:positionH relativeFrom="column">
                        <wp:posOffset>2569845</wp:posOffset>
                      </wp:positionH>
                      <wp:positionV relativeFrom="paragraph">
                        <wp:posOffset>111760</wp:posOffset>
                      </wp:positionV>
                      <wp:extent cx="1009650" cy="0"/>
                      <wp:effectExtent l="0" t="25400" r="0" b="31750"/>
                      <wp:wrapNone/>
                      <wp:docPr id="31" name="直接连接符 68"/>
                      <wp:cNvGraphicFramePr/>
                      <a:graphic xmlns:a="http://schemas.openxmlformats.org/drawingml/2006/main">
                        <a:graphicData uri="http://schemas.microsoft.com/office/word/2010/wordprocessingShape">
                          <wps:wsp>
                            <wps:cNvCnPr/>
                            <wps:spPr>
                              <a:xfrm>
                                <a:off x="0" y="0"/>
                                <a:ext cx="1009650" cy="0"/>
                              </a:xfrm>
                              <a:prstGeom prst="line">
                                <a:avLst/>
                              </a:prstGeom>
                              <a:ln w="6350" cap="flat" cmpd="sng">
                                <a:solidFill>
                                  <a:srgbClr val="000000"/>
                                </a:solidFill>
                                <a:prstDash val="solid"/>
                                <a:headEnd type="none" w="med" len="med"/>
                                <a:tailEnd type="stealth" w="sm" len="sm"/>
                              </a:ln>
                            </wps:spPr>
                            <wps:bodyPr upright="1"/>
                          </wps:wsp>
                        </a:graphicData>
                      </a:graphic>
                    </wp:anchor>
                  </w:drawing>
                </mc:Choice>
                <mc:Fallback>
                  <w:pict>
                    <v:line id="直接连接符 68" o:spid="_x0000_s1026" o:spt="20" style="position:absolute;left:0pt;margin-left:202.35pt;margin-top:8.8pt;height:0pt;width:79.5pt;z-index:251852800;mso-width-relative:page;mso-height-relative:page;" filled="f" stroked="t" coordsize="21600,21600" o:gfxdata="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pMd2cNcAAAAJAQAADwAAAAAAAAABACAAAAAiAAAAZHJzL2Rvd25y&#10;ZXYueG1sUEsBAhQAFAAAAAgAh07iQMKU+hH/AQAA5wMAAA4AAAAAAAAAAQAgAAAAJgEAAGRycy9l&#10;Mm9Eb2MueG1sUEsFBgAAAAAGAAYAWQEAAJcFAAAAAA==&#10;">
                      <v:fill on="f" focussize="0,0"/>
                      <v:stroke weight="0.5pt" color="#000000" joinstyle="round" endarrow="classic" endarrowwidth="narrow" endarrowlength="short"/>
                      <v:imagedata o:title=""/>
                      <o:lock v:ext="edit" aspectratio="f"/>
                    </v:line>
                  </w:pict>
                </mc:Fallback>
              </mc:AlternateContent>
            </w:r>
          </w:p>
          <w:p w14:paraId="65A49399">
            <w:pPr>
              <w:tabs>
                <w:tab w:val="left" w:pos="4253"/>
              </w:tabs>
              <w:spacing w:line="480" w:lineRule="exact"/>
              <w:jc w:val="center"/>
              <w:rPr>
                <w:rFonts w:hint="eastAsia"/>
                <w:b/>
                <w:color w:val="auto"/>
                <w:szCs w:val="21"/>
                <w:lang w:bidi="ar"/>
              </w:rPr>
            </w:pPr>
            <w:r>
              <w:rPr>
                <w:color w:val="auto"/>
                <w:sz w:val="21"/>
              </w:rPr>
              <mc:AlternateContent>
                <mc:Choice Requires="wps">
                  <w:drawing>
                    <wp:anchor distT="0" distB="0" distL="114300" distR="114300" simplePos="0" relativeHeight="251858944" behindDoc="0" locked="0" layoutInCell="1" allowOverlap="1">
                      <wp:simplePos x="0" y="0"/>
                      <wp:positionH relativeFrom="column">
                        <wp:posOffset>2432685</wp:posOffset>
                      </wp:positionH>
                      <wp:positionV relativeFrom="paragraph">
                        <wp:posOffset>121285</wp:posOffset>
                      </wp:positionV>
                      <wp:extent cx="1343660" cy="209550"/>
                      <wp:effectExtent l="0" t="0" r="0" b="0"/>
                      <wp:wrapNone/>
                      <wp:docPr id="220" name="文本框 176"/>
                      <wp:cNvGraphicFramePr/>
                      <a:graphic xmlns:a="http://schemas.openxmlformats.org/drawingml/2006/main">
                        <a:graphicData uri="http://schemas.microsoft.com/office/word/2010/wordprocessingShape">
                          <wps:wsp>
                            <wps:cNvSpPr txBox="1"/>
                            <wps:spPr>
                              <a:xfrm>
                                <a:off x="0" y="0"/>
                                <a:ext cx="1343660" cy="209550"/>
                              </a:xfrm>
                              <a:prstGeom prst="rect">
                                <a:avLst/>
                              </a:prstGeom>
                              <a:noFill/>
                              <a:ln w="6350">
                                <a:noFill/>
                              </a:ln>
                            </wps:spPr>
                            <wps:txbx>
                              <w:txbxContent>
                                <w:p w14:paraId="57C95EBC">
                                  <w:pPr>
                                    <w:spacing w:line="0" w:lineRule="atLeast"/>
                                    <w:jc w:val="center"/>
                                    <w:rPr>
                                      <w:rFonts w:hint="default" w:ascii="Times New Roman" w:hAnsi="Times New Roman" w:eastAsia="宋体" w:cs="Times New Roman"/>
                                      <w:spacing w:val="-10"/>
                                      <w:szCs w:val="21"/>
                                      <w:lang w:val="en-US" w:eastAsia="zh-CN"/>
                                    </w:rPr>
                                  </w:pPr>
                                  <w:r>
                                    <w:rPr>
                                      <w:rFonts w:hint="eastAsia" w:cs="Times New Roman"/>
                                      <w:spacing w:val="-10"/>
                                      <w:szCs w:val="21"/>
                                      <w:lang w:val="en-US" w:eastAsia="zh-CN"/>
                                    </w:rPr>
                                    <w:t>外排颗粒物3.4</w:t>
                                  </w:r>
                                </w:p>
                              </w:txbxContent>
                            </wps:txbx>
                            <wps:bodyPr lIns="0" tIns="0" rIns="0" bIns="0" upright="1"/>
                          </wps:wsp>
                        </a:graphicData>
                      </a:graphic>
                    </wp:anchor>
                  </w:drawing>
                </mc:Choice>
                <mc:Fallback>
                  <w:pict>
                    <v:shape id="文本框 176" o:spid="_x0000_s1026" o:spt="202" type="#_x0000_t202" style="position:absolute;left:0pt;margin-left:191.55pt;margin-top:9.55pt;height:16.5pt;width:105.8pt;z-index:251858944;mso-width-relative:page;mso-height-relative:page;" filled="f" stroked="f" coordsize="21600,21600" o:gfxdata="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AMPUFg2AAAAAkBAAAPAAAAAAAAAAEAIAAAACIAAABkcnMvZG93bnJl&#10;di54bWxQSwECFAAUAAAACACHTuJAct9N38QBAAB/AwAADgAAAAAAAAABACAAAAAnAQAAZHJzL2Uy&#10;b0RvYy54bWxQSwUGAAAAAAYABgBZAQAAXQUAAAAA&#10;">
                      <v:fill on="f" focussize="0,0"/>
                      <v:stroke on="f" weight="0.5pt"/>
                      <v:imagedata o:title=""/>
                      <o:lock v:ext="edit" aspectratio="f"/>
                      <v:textbox inset="0mm,0mm,0mm,0mm">
                        <w:txbxContent>
                          <w:p w14:paraId="57C95EBC">
                            <w:pPr>
                              <w:spacing w:line="0" w:lineRule="atLeast"/>
                              <w:jc w:val="center"/>
                              <w:rPr>
                                <w:rFonts w:hint="default" w:ascii="Times New Roman" w:hAnsi="Times New Roman" w:eastAsia="宋体" w:cs="Times New Roman"/>
                                <w:spacing w:val="-10"/>
                                <w:szCs w:val="21"/>
                                <w:lang w:val="en-US" w:eastAsia="zh-CN"/>
                              </w:rPr>
                            </w:pPr>
                            <w:r>
                              <w:rPr>
                                <w:rFonts w:hint="eastAsia" w:cs="Times New Roman"/>
                                <w:spacing w:val="-10"/>
                                <w:szCs w:val="21"/>
                                <w:lang w:val="en-US" w:eastAsia="zh-CN"/>
                              </w:rPr>
                              <w:t>外排颗粒物3.4</w:t>
                            </w:r>
                          </w:p>
                        </w:txbxContent>
                      </v:textbox>
                    </v:shape>
                  </w:pict>
                </mc:Fallback>
              </mc:AlternateContent>
            </w:r>
            <w:r>
              <w:rPr>
                <w:color w:val="auto"/>
                <w:sz w:val="21"/>
              </w:rPr>
              <mc:AlternateContent>
                <mc:Choice Requires="wps">
                  <w:drawing>
                    <wp:anchor distT="0" distB="0" distL="114300" distR="114300" simplePos="0" relativeHeight="251860992" behindDoc="0" locked="0" layoutInCell="1" allowOverlap="1">
                      <wp:simplePos x="0" y="0"/>
                      <wp:positionH relativeFrom="column">
                        <wp:posOffset>2571750</wp:posOffset>
                      </wp:positionH>
                      <wp:positionV relativeFrom="paragraph">
                        <wp:posOffset>60325</wp:posOffset>
                      </wp:positionV>
                      <wp:extent cx="1009650" cy="0"/>
                      <wp:effectExtent l="0" t="25400" r="0" b="31750"/>
                      <wp:wrapNone/>
                      <wp:docPr id="222" name="直接连接符 68"/>
                      <wp:cNvGraphicFramePr/>
                      <a:graphic xmlns:a="http://schemas.openxmlformats.org/drawingml/2006/main">
                        <a:graphicData uri="http://schemas.microsoft.com/office/word/2010/wordprocessingShape">
                          <wps:wsp>
                            <wps:cNvCnPr/>
                            <wps:spPr>
                              <a:xfrm>
                                <a:off x="0" y="0"/>
                                <a:ext cx="1009650" cy="0"/>
                              </a:xfrm>
                              <a:prstGeom prst="line">
                                <a:avLst/>
                              </a:prstGeom>
                              <a:ln w="6350" cap="flat" cmpd="sng">
                                <a:solidFill>
                                  <a:srgbClr val="000000"/>
                                </a:solidFill>
                                <a:prstDash val="solid"/>
                                <a:headEnd type="none" w="med" len="med"/>
                                <a:tailEnd type="stealth" w="sm" len="sm"/>
                              </a:ln>
                            </wps:spPr>
                            <wps:bodyPr upright="1"/>
                          </wps:wsp>
                        </a:graphicData>
                      </a:graphic>
                    </wp:anchor>
                  </w:drawing>
                </mc:Choice>
                <mc:Fallback>
                  <w:pict>
                    <v:line id="直接连接符 68" o:spid="_x0000_s1026" o:spt="20" style="position:absolute;left:0pt;margin-left:202.5pt;margin-top:4.75pt;height:0pt;width:79.5pt;z-index:251860992;mso-width-relative:page;mso-height-relative:page;" filled="f" stroked="t" coordsize="21600,21600" o:gfxdata="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MY6IlNYAAAAHAQAADwAAAAAAAAABACAAAAAiAAAAZHJzL2Rvd25y&#10;ZXYueG1sUEsBAhQAFAAAAAgAh07iQBab/gEAAgAA6AMAAA4AAAAAAAAAAQAgAAAAJQEAAGRycy9l&#10;Mm9Eb2MueG1sUEsFBgAAAAAGAAYAWQEAAJcFAAAAAA==&#10;">
                      <v:fill on="f" focussize="0,0"/>
                      <v:stroke weight="0.5pt" color="#000000" joinstyle="round" endarrow="classic" endarrowwidth="narrow" endarrowlength="short"/>
                      <v:imagedata o:title=""/>
                      <o:lock v:ext="edit" aspectratio="f"/>
                    </v:line>
                  </w:pict>
                </mc:Fallback>
              </mc:AlternateContent>
            </w:r>
          </w:p>
          <w:p w14:paraId="5AE92464">
            <w:pPr>
              <w:tabs>
                <w:tab w:val="left" w:pos="4253"/>
              </w:tabs>
              <w:spacing w:line="480" w:lineRule="exact"/>
              <w:jc w:val="center"/>
              <w:rPr>
                <w:rFonts w:hint="eastAsia"/>
                <w:b/>
                <w:color w:val="auto"/>
                <w:szCs w:val="21"/>
                <w:lang w:bidi="ar"/>
              </w:rPr>
            </w:pPr>
            <w:r>
              <w:rPr>
                <w:color w:val="auto"/>
                <w:sz w:val="21"/>
              </w:rPr>
              <mc:AlternateContent>
                <mc:Choice Requires="wps">
                  <w:drawing>
                    <wp:anchor distT="0" distB="0" distL="114300" distR="114300" simplePos="0" relativeHeight="251856896" behindDoc="0" locked="0" layoutInCell="1" allowOverlap="1">
                      <wp:simplePos x="0" y="0"/>
                      <wp:positionH relativeFrom="column">
                        <wp:posOffset>2447925</wp:posOffset>
                      </wp:positionH>
                      <wp:positionV relativeFrom="paragraph">
                        <wp:posOffset>64135</wp:posOffset>
                      </wp:positionV>
                      <wp:extent cx="1471930" cy="209550"/>
                      <wp:effectExtent l="0" t="0" r="0" b="0"/>
                      <wp:wrapNone/>
                      <wp:docPr id="41" name="文本框 176"/>
                      <wp:cNvGraphicFramePr/>
                      <a:graphic xmlns:a="http://schemas.openxmlformats.org/drawingml/2006/main">
                        <a:graphicData uri="http://schemas.microsoft.com/office/word/2010/wordprocessingShape">
                          <wps:wsp>
                            <wps:cNvSpPr txBox="1"/>
                            <wps:spPr>
                              <a:xfrm>
                                <a:off x="0" y="0"/>
                                <a:ext cx="1471930" cy="209550"/>
                              </a:xfrm>
                              <a:prstGeom prst="rect">
                                <a:avLst/>
                              </a:prstGeom>
                              <a:noFill/>
                              <a:ln w="6350">
                                <a:noFill/>
                              </a:ln>
                            </wps:spPr>
                            <wps:txbx>
                              <w:txbxContent>
                                <w:p w14:paraId="40BBCAA9">
                                  <w:pPr>
                                    <w:spacing w:line="0" w:lineRule="atLeast"/>
                                    <w:jc w:val="center"/>
                                    <w:rPr>
                                      <w:rFonts w:hint="default" w:ascii="Times New Roman" w:hAnsi="Times New Roman" w:eastAsia="宋体" w:cs="Times New Roman"/>
                                      <w:spacing w:val="-10"/>
                                      <w:szCs w:val="21"/>
                                      <w:lang w:val="en-US" w:eastAsia="zh-CN"/>
                                    </w:rPr>
                                  </w:pPr>
                                  <w:r>
                                    <w:rPr>
                                      <w:rFonts w:hint="eastAsia" w:cs="Times New Roman"/>
                                      <w:spacing w:val="-10"/>
                                      <w:szCs w:val="21"/>
                                      <w:lang w:val="en-US" w:eastAsia="zh-CN"/>
                                    </w:rPr>
                                    <w:t>污泥、泥饼1461.2</w:t>
                                  </w:r>
                                </w:p>
                              </w:txbxContent>
                            </wps:txbx>
                            <wps:bodyPr lIns="0" tIns="0" rIns="0" bIns="0" upright="1"/>
                          </wps:wsp>
                        </a:graphicData>
                      </a:graphic>
                    </wp:anchor>
                  </w:drawing>
                </mc:Choice>
                <mc:Fallback>
                  <w:pict>
                    <v:shape id="文本框 176" o:spid="_x0000_s1026" o:spt="202" type="#_x0000_t202" style="position:absolute;left:0pt;margin-left:192.75pt;margin-top:5.05pt;height:16.5pt;width:115.9pt;z-index:251856896;mso-width-relative:page;mso-height-relative:page;" filled="f" stroked="f" coordsize="21600,21600" o:gfxdata="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DPr36Y2AAAAAkBAAAPAAAAAAAAAAEAIAAAACIAAABkcnMvZG93bnJl&#10;di54bWxQSwECFAAUAAAACACHTuJAEgepmMQBAAB+AwAADgAAAAAAAAABACAAAAAnAQAAZHJzL2Uy&#10;b0RvYy54bWxQSwUGAAAAAAYABgBZAQAAXQUAAAAA&#10;">
                      <v:fill on="f" focussize="0,0"/>
                      <v:stroke on="f" weight="0.5pt"/>
                      <v:imagedata o:title=""/>
                      <o:lock v:ext="edit" aspectratio="f"/>
                      <v:textbox inset="0mm,0mm,0mm,0mm">
                        <w:txbxContent>
                          <w:p w14:paraId="40BBCAA9">
                            <w:pPr>
                              <w:spacing w:line="0" w:lineRule="atLeast"/>
                              <w:jc w:val="center"/>
                              <w:rPr>
                                <w:rFonts w:hint="default" w:ascii="Times New Roman" w:hAnsi="Times New Roman" w:eastAsia="宋体" w:cs="Times New Roman"/>
                                <w:spacing w:val="-10"/>
                                <w:szCs w:val="21"/>
                                <w:lang w:val="en-US" w:eastAsia="zh-CN"/>
                              </w:rPr>
                            </w:pPr>
                            <w:r>
                              <w:rPr>
                                <w:rFonts w:hint="eastAsia" w:cs="Times New Roman"/>
                                <w:spacing w:val="-10"/>
                                <w:szCs w:val="21"/>
                                <w:lang w:val="en-US" w:eastAsia="zh-CN"/>
                              </w:rPr>
                              <w:t>污泥、泥饼1461.2</w:t>
                            </w:r>
                          </w:p>
                        </w:txbxContent>
                      </v:textbox>
                    </v:shape>
                  </w:pict>
                </mc:Fallback>
              </mc:AlternateContent>
            </w:r>
            <w:r>
              <w:rPr>
                <w:color w:val="auto"/>
                <w:sz w:val="21"/>
              </w:rPr>
              <mc:AlternateContent>
                <mc:Choice Requires="wps">
                  <w:drawing>
                    <wp:anchor distT="0" distB="0" distL="114300" distR="114300" simplePos="0" relativeHeight="251873280" behindDoc="0" locked="0" layoutInCell="1" allowOverlap="1">
                      <wp:simplePos x="0" y="0"/>
                      <wp:positionH relativeFrom="column">
                        <wp:posOffset>2205355</wp:posOffset>
                      </wp:positionH>
                      <wp:positionV relativeFrom="paragraph">
                        <wp:posOffset>300355</wp:posOffset>
                      </wp:positionV>
                      <wp:extent cx="1471930" cy="209550"/>
                      <wp:effectExtent l="0" t="0" r="0" b="0"/>
                      <wp:wrapNone/>
                      <wp:docPr id="138" name="文本框 176"/>
                      <wp:cNvGraphicFramePr/>
                      <a:graphic xmlns:a="http://schemas.openxmlformats.org/drawingml/2006/main">
                        <a:graphicData uri="http://schemas.microsoft.com/office/word/2010/wordprocessingShape">
                          <wps:wsp>
                            <wps:cNvSpPr txBox="1"/>
                            <wps:spPr>
                              <a:xfrm>
                                <a:off x="0" y="0"/>
                                <a:ext cx="1471930" cy="209550"/>
                              </a:xfrm>
                              <a:prstGeom prst="rect">
                                <a:avLst/>
                              </a:prstGeom>
                              <a:noFill/>
                              <a:ln w="6350">
                                <a:noFill/>
                              </a:ln>
                            </wps:spPr>
                            <wps:txbx>
                              <w:txbxContent>
                                <w:p w14:paraId="5AABA2E0">
                                  <w:pPr>
                                    <w:spacing w:line="0" w:lineRule="atLeast"/>
                                    <w:jc w:val="center"/>
                                    <w:rPr>
                                      <w:rFonts w:hint="default" w:ascii="Times New Roman" w:hAnsi="Times New Roman" w:eastAsia="宋体" w:cs="Times New Roman"/>
                                      <w:spacing w:val="-10"/>
                                      <w:szCs w:val="21"/>
                                      <w:lang w:val="en-US" w:eastAsia="zh-CN"/>
                                    </w:rPr>
                                  </w:pPr>
                                  <w:r>
                                    <w:rPr>
                                      <w:rFonts w:hint="eastAsia" w:cs="Times New Roman"/>
                                      <w:spacing w:val="-10"/>
                                      <w:szCs w:val="21"/>
                                      <w:lang w:val="en-US" w:eastAsia="zh-CN"/>
                                    </w:rPr>
                                    <w:t>土136530</w:t>
                                  </w:r>
                                </w:p>
                              </w:txbxContent>
                            </wps:txbx>
                            <wps:bodyPr lIns="0" tIns="0" rIns="0" bIns="0" upright="1"/>
                          </wps:wsp>
                        </a:graphicData>
                      </a:graphic>
                    </wp:anchor>
                  </w:drawing>
                </mc:Choice>
                <mc:Fallback>
                  <w:pict>
                    <v:shape id="文本框 176" o:spid="_x0000_s1026" o:spt="202" type="#_x0000_t202" style="position:absolute;left:0pt;margin-left:173.65pt;margin-top:23.65pt;height:16.5pt;width:115.9pt;z-index:251873280;mso-width-relative:page;mso-height-relative:page;" filled="f" stroked="f" coordsize="21600,21600" o:gfxdata="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AN1bWvXAAAACQEAAA8AAAAAAAAAAQAgAAAAIgAAAGRycy9kb3ducmV2&#10;LnhtbFBLAQIUABQAAAAIAIdO4kAv7s7cxAEAAH8DAAAOAAAAAAAAAAEAIAAAACYBAABkcnMvZTJv&#10;RG9jLnhtbFBLBQYAAAAABgAGAFkBAABcBQAAAAA=&#10;">
                      <v:fill on="f" focussize="0,0"/>
                      <v:stroke on="f" weight="0.5pt"/>
                      <v:imagedata o:title=""/>
                      <o:lock v:ext="edit" aspectratio="f"/>
                      <v:textbox inset="0mm,0mm,0mm,0mm">
                        <w:txbxContent>
                          <w:p w14:paraId="5AABA2E0">
                            <w:pPr>
                              <w:spacing w:line="0" w:lineRule="atLeast"/>
                              <w:jc w:val="center"/>
                              <w:rPr>
                                <w:rFonts w:hint="default" w:ascii="Times New Roman" w:hAnsi="Times New Roman" w:eastAsia="宋体" w:cs="Times New Roman"/>
                                <w:spacing w:val="-10"/>
                                <w:szCs w:val="21"/>
                                <w:lang w:val="en-US" w:eastAsia="zh-CN"/>
                              </w:rPr>
                            </w:pPr>
                            <w:r>
                              <w:rPr>
                                <w:rFonts w:hint="eastAsia" w:cs="Times New Roman"/>
                                <w:spacing w:val="-10"/>
                                <w:szCs w:val="21"/>
                                <w:lang w:val="en-US" w:eastAsia="zh-CN"/>
                              </w:rPr>
                              <w:t>土136530</w:t>
                            </w:r>
                          </w:p>
                        </w:txbxContent>
                      </v:textbox>
                    </v:shape>
                  </w:pict>
                </mc:Fallback>
              </mc:AlternateContent>
            </w:r>
            <w:r>
              <w:rPr>
                <w:color w:val="auto"/>
                <w:sz w:val="21"/>
              </w:rPr>
              <mc:AlternateContent>
                <mc:Choice Requires="wps">
                  <w:drawing>
                    <wp:anchor distT="0" distB="0" distL="114300" distR="114300" simplePos="0" relativeHeight="251862016" behindDoc="0" locked="0" layoutInCell="1" allowOverlap="1">
                      <wp:simplePos x="0" y="0"/>
                      <wp:positionH relativeFrom="column">
                        <wp:posOffset>2573655</wp:posOffset>
                      </wp:positionH>
                      <wp:positionV relativeFrom="paragraph">
                        <wp:posOffset>243840</wp:posOffset>
                      </wp:positionV>
                      <wp:extent cx="1009650" cy="0"/>
                      <wp:effectExtent l="0" t="25400" r="0" b="31750"/>
                      <wp:wrapNone/>
                      <wp:docPr id="223" name="直接连接符 68"/>
                      <wp:cNvGraphicFramePr/>
                      <a:graphic xmlns:a="http://schemas.openxmlformats.org/drawingml/2006/main">
                        <a:graphicData uri="http://schemas.microsoft.com/office/word/2010/wordprocessingShape">
                          <wps:wsp>
                            <wps:cNvCnPr/>
                            <wps:spPr>
                              <a:xfrm>
                                <a:off x="0" y="0"/>
                                <a:ext cx="1009650" cy="0"/>
                              </a:xfrm>
                              <a:prstGeom prst="line">
                                <a:avLst/>
                              </a:prstGeom>
                              <a:ln w="6350" cap="flat" cmpd="sng">
                                <a:solidFill>
                                  <a:srgbClr val="000000"/>
                                </a:solidFill>
                                <a:prstDash val="solid"/>
                                <a:headEnd type="none" w="med" len="med"/>
                                <a:tailEnd type="stealth" w="sm" len="sm"/>
                              </a:ln>
                            </wps:spPr>
                            <wps:bodyPr upright="1"/>
                          </wps:wsp>
                        </a:graphicData>
                      </a:graphic>
                    </wp:anchor>
                  </w:drawing>
                </mc:Choice>
                <mc:Fallback>
                  <w:pict>
                    <v:line id="直接连接符 68" o:spid="_x0000_s1026" o:spt="20" style="position:absolute;left:0pt;margin-left:202.65pt;margin-top:19.2pt;height:0pt;width:79.5pt;z-index:251862016;mso-width-relative:page;mso-height-relative:page;" filled="f" stroked="t" coordsize="21600,21600" o:gfxdata="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CUd4Mr2AAAAAkBAAAPAAAAAAAAAAEAIAAAACIAAABkcnMvZG93&#10;bnJldi54bWxQSwECFAAUAAAACACHTuJA9VUgOAACAADoAwAADgAAAAAAAAABACAAAAAnAQAAZHJz&#10;L2Uyb0RvYy54bWxQSwUGAAAAAAYABgBZAQAAmQUAAAAA&#10;">
                      <v:fill on="f" focussize="0,0"/>
                      <v:stroke weight="0.5pt" color="#000000" joinstyle="round" endarrow="classic" endarrowwidth="narrow" endarrowlength="short"/>
                      <v:imagedata o:title=""/>
                      <o:lock v:ext="edit" aspectratio="f"/>
                    </v:line>
                  </w:pict>
                </mc:Fallback>
              </mc:AlternateContent>
            </w:r>
            <w:r>
              <w:rPr>
                <w:color w:val="auto"/>
                <w:sz w:val="21"/>
              </w:rPr>
              <mc:AlternateContent>
                <mc:Choice Requires="wps">
                  <w:drawing>
                    <wp:anchor distT="0" distB="0" distL="114300" distR="114300" simplePos="0" relativeHeight="251863040" behindDoc="0" locked="0" layoutInCell="1" allowOverlap="1">
                      <wp:simplePos x="0" y="0"/>
                      <wp:positionH relativeFrom="column">
                        <wp:posOffset>2575560</wp:posOffset>
                      </wp:positionH>
                      <wp:positionV relativeFrom="paragraph">
                        <wp:posOffset>2540</wp:posOffset>
                      </wp:positionV>
                      <wp:extent cx="1009650" cy="0"/>
                      <wp:effectExtent l="0" t="25400" r="0" b="31750"/>
                      <wp:wrapNone/>
                      <wp:docPr id="224" name="直接连接符 68"/>
                      <wp:cNvGraphicFramePr/>
                      <a:graphic xmlns:a="http://schemas.openxmlformats.org/drawingml/2006/main">
                        <a:graphicData uri="http://schemas.microsoft.com/office/word/2010/wordprocessingShape">
                          <wps:wsp>
                            <wps:cNvCnPr/>
                            <wps:spPr>
                              <a:xfrm>
                                <a:off x="0" y="0"/>
                                <a:ext cx="1009650" cy="0"/>
                              </a:xfrm>
                              <a:prstGeom prst="line">
                                <a:avLst/>
                              </a:prstGeom>
                              <a:ln w="6350" cap="flat" cmpd="sng">
                                <a:solidFill>
                                  <a:srgbClr val="000000"/>
                                </a:solidFill>
                                <a:prstDash val="solid"/>
                                <a:headEnd type="none" w="med" len="med"/>
                                <a:tailEnd type="stealth" w="sm" len="sm"/>
                              </a:ln>
                            </wps:spPr>
                            <wps:bodyPr upright="1"/>
                          </wps:wsp>
                        </a:graphicData>
                      </a:graphic>
                    </wp:anchor>
                  </w:drawing>
                </mc:Choice>
                <mc:Fallback>
                  <w:pict>
                    <v:line id="直接连接符 68" o:spid="_x0000_s1026" o:spt="20" style="position:absolute;left:0pt;margin-left:202.8pt;margin-top:0.2pt;height:0pt;width:79.5pt;z-index:251863040;mso-width-relative:page;mso-height-relative:page;" filled="f" stroked="t" coordsize="21600,21600" o:gfxdata="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Jv6k5bUAAAABQEAAA8AAAAAAAAAAQAgAAAAIgAAAGRycy9kb3ducmV2&#10;LnhtbFBLAQIUABQAAAAIAIdO4kBcPTiVAAIAAOgDAAAOAAAAAAAAAAEAIAAAACMBAABkcnMvZTJv&#10;RG9jLnhtbFBLBQYAAAAABgAGAFkBAACVBQAAAAA=&#10;">
                      <v:fill on="f" focussize="0,0"/>
                      <v:stroke weight="0.5pt" color="#000000" joinstyle="round" endarrow="classic" endarrowwidth="narrow" endarrowlength="short"/>
                      <v:imagedata o:title=""/>
                      <o:lock v:ext="edit" aspectratio="f"/>
                    </v:line>
                  </w:pict>
                </mc:Fallback>
              </mc:AlternateContent>
            </w:r>
          </w:p>
          <w:p w14:paraId="3D796C8F">
            <w:pPr>
              <w:tabs>
                <w:tab w:val="left" w:pos="4253"/>
              </w:tabs>
              <w:spacing w:line="480" w:lineRule="exact"/>
              <w:jc w:val="center"/>
              <w:rPr>
                <w:rFonts w:hint="eastAsia"/>
                <w:b/>
                <w:color w:val="auto"/>
                <w:szCs w:val="21"/>
                <w:lang w:bidi="ar"/>
              </w:rPr>
            </w:pPr>
            <w:r>
              <w:rPr>
                <w:color w:val="auto"/>
                <w:sz w:val="21"/>
              </w:rPr>
              <mc:AlternateContent>
                <mc:Choice Requires="wps">
                  <w:drawing>
                    <wp:anchor distT="0" distB="0" distL="114300" distR="114300" simplePos="0" relativeHeight="251877376" behindDoc="0" locked="0" layoutInCell="1" allowOverlap="1">
                      <wp:simplePos x="0" y="0"/>
                      <wp:positionH relativeFrom="column">
                        <wp:posOffset>2444115</wp:posOffset>
                      </wp:positionH>
                      <wp:positionV relativeFrom="paragraph">
                        <wp:posOffset>222250</wp:posOffset>
                      </wp:positionV>
                      <wp:extent cx="1471930" cy="209550"/>
                      <wp:effectExtent l="0" t="0" r="0" b="0"/>
                      <wp:wrapNone/>
                      <wp:docPr id="275" name="文本框 176"/>
                      <wp:cNvGraphicFramePr/>
                      <a:graphic xmlns:a="http://schemas.openxmlformats.org/drawingml/2006/main">
                        <a:graphicData uri="http://schemas.microsoft.com/office/word/2010/wordprocessingShape">
                          <wps:wsp>
                            <wps:cNvSpPr txBox="1"/>
                            <wps:spPr>
                              <a:xfrm>
                                <a:off x="0" y="0"/>
                                <a:ext cx="1471930" cy="209550"/>
                              </a:xfrm>
                              <a:prstGeom prst="rect">
                                <a:avLst/>
                              </a:prstGeom>
                              <a:noFill/>
                              <a:ln w="6350">
                                <a:noFill/>
                              </a:ln>
                            </wps:spPr>
                            <wps:txbx>
                              <w:txbxContent>
                                <w:p w14:paraId="6AD5A216">
                                  <w:pPr>
                                    <w:spacing w:line="0" w:lineRule="atLeast"/>
                                    <w:jc w:val="center"/>
                                    <w:rPr>
                                      <w:rFonts w:hint="default" w:ascii="Times New Roman" w:hAnsi="Times New Roman" w:eastAsia="宋体" w:cs="Times New Roman"/>
                                      <w:spacing w:val="-10"/>
                                      <w:szCs w:val="21"/>
                                      <w:lang w:val="en-US" w:eastAsia="zh-CN"/>
                                    </w:rPr>
                                  </w:pPr>
                                  <w:r>
                                    <w:rPr>
                                      <w:rFonts w:hint="eastAsia" w:cs="Times New Roman"/>
                                      <w:spacing w:val="-10"/>
                                      <w:szCs w:val="21"/>
                                      <w:lang w:val="en-US" w:eastAsia="zh-CN"/>
                                    </w:rPr>
                                    <w:t>海绵、木屑等4100</w:t>
                                  </w:r>
                                </w:p>
                              </w:txbxContent>
                            </wps:txbx>
                            <wps:bodyPr lIns="0" tIns="0" rIns="0" bIns="0" upright="1"/>
                          </wps:wsp>
                        </a:graphicData>
                      </a:graphic>
                    </wp:anchor>
                  </w:drawing>
                </mc:Choice>
                <mc:Fallback>
                  <w:pict>
                    <v:shape id="文本框 176" o:spid="_x0000_s1026" o:spt="202" type="#_x0000_t202" style="position:absolute;left:0pt;margin-left:192.45pt;margin-top:17.5pt;height:16.5pt;width:115.9pt;z-index:251877376;mso-width-relative:page;mso-height-relative:page;" filled="f" stroked="f" coordsize="21600,21600" o:gfxdata="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">
                      <v:fill on="f" focussize="0,0"/>
                      <v:stroke on="f" weight="0.5pt"/>
                      <v:imagedata o:title=""/>
                      <o:lock v:ext="edit" aspectratio="f"/>
                      <v:textbox inset="0mm,0mm,0mm,0mm">
                        <w:txbxContent>
                          <w:p w14:paraId="6AD5A216">
                            <w:pPr>
                              <w:spacing w:line="0" w:lineRule="atLeast"/>
                              <w:jc w:val="center"/>
                              <w:rPr>
                                <w:rFonts w:hint="default" w:ascii="Times New Roman" w:hAnsi="Times New Roman" w:eastAsia="宋体" w:cs="Times New Roman"/>
                                <w:spacing w:val="-10"/>
                                <w:szCs w:val="21"/>
                                <w:lang w:val="en-US" w:eastAsia="zh-CN"/>
                              </w:rPr>
                            </w:pPr>
                            <w:r>
                              <w:rPr>
                                <w:rFonts w:hint="eastAsia" w:cs="Times New Roman"/>
                                <w:spacing w:val="-10"/>
                                <w:szCs w:val="21"/>
                                <w:lang w:val="en-US" w:eastAsia="zh-CN"/>
                              </w:rPr>
                              <w:t>海绵、木屑等4100</w:t>
                            </w:r>
                          </w:p>
                        </w:txbxContent>
                      </v:textbox>
                    </v:shape>
                  </w:pict>
                </mc:Fallback>
              </mc:AlternateContent>
            </w:r>
            <w:r>
              <w:rPr>
                <w:color w:val="auto"/>
                <w:sz w:val="21"/>
              </w:rPr>
              <mc:AlternateContent>
                <mc:Choice Requires="wps">
                  <w:drawing>
                    <wp:anchor distT="0" distB="0" distL="114300" distR="114300" simplePos="0" relativeHeight="251872256" behindDoc="0" locked="0" layoutInCell="1" allowOverlap="1">
                      <wp:simplePos x="0" y="0"/>
                      <wp:positionH relativeFrom="column">
                        <wp:posOffset>2574290</wp:posOffset>
                      </wp:positionH>
                      <wp:positionV relativeFrom="paragraph">
                        <wp:posOffset>167640</wp:posOffset>
                      </wp:positionV>
                      <wp:extent cx="1009650" cy="0"/>
                      <wp:effectExtent l="0" t="25400" r="0" b="31750"/>
                      <wp:wrapNone/>
                      <wp:docPr id="116" name="直接连接符 68"/>
                      <wp:cNvGraphicFramePr/>
                      <a:graphic xmlns:a="http://schemas.openxmlformats.org/drawingml/2006/main">
                        <a:graphicData uri="http://schemas.microsoft.com/office/word/2010/wordprocessingShape">
                          <wps:wsp>
                            <wps:cNvCnPr/>
                            <wps:spPr>
                              <a:xfrm>
                                <a:off x="0" y="0"/>
                                <a:ext cx="1009650" cy="0"/>
                              </a:xfrm>
                              <a:prstGeom prst="line">
                                <a:avLst/>
                              </a:prstGeom>
                              <a:ln w="6350" cap="flat" cmpd="sng">
                                <a:solidFill>
                                  <a:srgbClr val="000000"/>
                                </a:solidFill>
                                <a:prstDash val="solid"/>
                                <a:headEnd type="none" w="med" len="med"/>
                                <a:tailEnd type="stealth" w="sm" len="sm"/>
                              </a:ln>
                            </wps:spPr>
                            <wps:bodyPr upright="1"/>
                          </wps:wsp>
                        </a:graphicData>
                      </a:graphic>
                    </wp:anchor>
                  </w:drawing>
                </mc:Choice>
                <mc:Fallback>
                  <w:pict>
                    <v:line id="直接连接符 68" o:spid="_x0000_s1026" o:spt="20" style="position:absolute;left:0pt;margin-left:202.7pt;margin-top:13.2pt;height:0pt;width:79.5pt;z-index:251872256;mso-width-relative:page;mso-height-relative:page;" filled="f" stroked="t" coordsize="21600,21600" o:gfxdata="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mX5ATNcAAAAJAQAADwAAAAAAAAABACAAAAAiAAAAZHJzL2Rvd25y&#10;ZXYueG1sUEsBAhQAFAAAAAgAh07iQESNWrf/AQAA6AMAAA4AAAAAAAAAAQAgAAAAJgEAAGRycy9l&#10;Mm9Eb2MueG1sUEsFBgAAAAAGAAYAWQEAAJcFAAAAAA==&#10;">
                      <v:fill on="f" focussize="0,0"/>
                      <v:stroke weight="0.5pt" color="#000000" joinstyle="round" endarrow="classic" endarrowwidth="narrow" endarrowlength="short"/>
                      <v:imagedata o:title=""/>
                      <o:lock v:ext="edit" aspectratio="f"/>
                    </v:line>
                  </w:pict>
                </mc:Fallback>
              </mc:AlternateContent>
            </w:r>
          </w:p>
          <w:p w14:paraId="7B217DD3">
            <w:pPr>
              <w:tabs>
                <w:tab w:val="left" w:pos="4253"/>
              </w:tabs>
              <w:spacing w:line="480" w:lineRule="exact"/>
              <w:jc w:val="center"/>
              <w:rPr>
                <w:rFonts w:hint="eastAsia"/>
                <w:b/>
                <w:color w:val="auto"/>
                <w:szCs w:val="21"/>
                <w:lang w:bidi="ar"/>
              </w:rPr>
            </w:pPr>
            <w:r>
              <w:rPr>
                <w:color w:val="auto"/>
                <w:sz w:val="21"/>
              </w:rPr>
              <mc:AlternateContent>
                <mc:Choice Requires="wps">
                  <w:drawing>
                    <wp:anchor distT="0" distB="0" distL="114300" distR="114300" simplePos="0" relativeHeight="251878400" behindDoc="0" locked="0" layoutInCell="1" allowOverlap="1">
                      <wp:simplePos x="0" y="0"/>
                      <wp:positionH relativeFrom="column">
                        <wp:posOffset>2574290</wp:posOffset>
                      </wp:positionH>
                      <wp:positionV relativeFrom="paragraph">
                        <wp:posOffset>99060</wp:posOffset>
                      </wp:positionV>
                      <wp:extent cx="1009650" cy="0"/>
                      <wp:effectExtent l="0" t="25400" r="0" b="31750"/>
                      <wp:wrapNone/>
                      <wp:docPr id="276" name="直接连接符 68"/>
                      <wp:cNvGraphicFramePr/>
                      <a:graphic xmlns:a="http://schemas.openxmlformats.org/drawingml/2006/main">
                        <a:graphicData uri="http://schemas.microsoft.com/office/word/2010/wordprocessingShape">
                          <wps:wsp>
                            <wps:cNvCnPr/>
                            <wps:spPr>
                              <a:xfrm>
                                <a:off x="0" y="0"/>
                                <a:ext cx="1009650" cy="0"/>
                              </a:xfrm>
                              <a:prstGeom prst="line">
                                <a:avLst/>
                              </a:prstGeom>
                              <a:ln w="6350" cap="flat" cmpd="sng">
                                <a:solidFill>
                                  <a:srgbClr val="000000"/>
                                </a:solidFill>
                                <a:prstDash val="solid"/>
                                <a:headEnd type="none" w="med" len="med"/>
                                <a:tailEnd type="stealth" w="sm" len="sm"/>
                              </a:ln>
                            </wps:spPr>
                            <wps:bodyPr upright="1"/>
                          </wps:wsp>
                        </a:graphicData>
                      </a:graphic>
                    </wp:anchor>
                  </w:drawing>
                </mc:Choice>
                <mc:Fallback>
                  <w:pict>
                    <v:line id="直接连接符 68" o:spid="_x0000_s1026" o:spt="20" style="position:absolute;left:0pt;margin-left:202.7pt;margin-top:7.8pt;height:0pt;width:79.5pt;z-index:251878400;mso-width-relative:page;mso-height-relative:page;" filled="f" stroked="t" coordsize="21600,21600" o:gfxdata="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C0nWgrXAAAACQEAAA8AAAAAAAAAAQAgAAAAIgAAAGRycy9kb3du&#10;cmV2LnhtbFBLAQIUABQAAAAIAIdO4kCmeVY7AAIAAOgDAAAOAAAAAAAAAAEAIAAAACYBAABkcnMv&#10;ZTJvRG9jLnhtbFBLBQYAAAAABgAGAFkBAACYBQAAAAA=&#10;">
                      <v:fill on="f" focussize="0,0"/>
                      <v:stroke weight="0.5pt" color="#000000" joinstyle="round" endarrow="classic" endarrowwidth="narrow" endarrowlength="short"/>
                      <v:imagedata o:title=""/>
                      <o:lock v:ext="edit" aspectratio="f"/>
                    </v:line>
                  </w:pict>
                </mc:Fallback>
              </mc:AlternateContent>
            </w:r>
          </w:p>
          <w:p w14:paraId="1C40E45D">
            <w:pPr>
              <w:tabs>
                <w:tab w:val="left" w:pos="4253"/>
              </w:tabs>
              <w:spacing w:line="480" w:lineRule="exact"/>
              <w:jc w:val="center"/>
              <w:rPr>
                <w:rFonts w:hint="eastAsia"/>
                <w:b/>
                <w:color w:val="auto"/>
                <w:szCs w:val="21"/>
                <w:lang w:eastAsia="zh-CN" w:bidi="ar"/>
              </w:rPr>
            </w:pPr>
            <w:r>
              <w:rPr>
                <w:rFonts w:hint="eastAsia"/>
                <w:b/>
                <w:color w:val="auto"/>
                <w:szCs w:val="21"/>
                <w:lang w:bidi="ar"/>
              </w:rPr>
              <w:t>图</w:t>
            </w:r>
            <w:r>
              <w:rPr>
                <w:rFonts w:hint="eastAsia"/>
                <w:b/>
                <w:color w:val="auto"/>
                <w:szCs w:val="21"/>
                <w:lang w:val="en-US" w:eastAsia="zh-CN" w:bidi="ar"/>
              </w:rPr>
              <w:t>1</w:t>
            </w:r>
            <w:r>
              <w:rPr>
                <w:rFonts w:hint="eastAsia"/>
                <w:b/>
                <w:color w:val="auto"/>
                <w:szCs w:val="21"/>
                <w:lang w:bidi="ar"/>
              </w:rPr>
              <w:t>-</w:t>
            </w:r>
            <w:r>
              <w:rPr>
                <w:rFonts w:hint="eastAsia"/>
                <w:b/>
                <w:color w:val="auto"/>
                <w:szCs w:val="21"/>
                <w:lang w:val="en-US" w:eastAsia="zh-CN" w:bidi="ar"/>
              </w:rPr>
              <w:t>2</w:t>
            </w:r>
            <w:r>
              <w:rPr>
                <w:rFonts w:hint="eastAsia"/>
                <w:b/>
                <w:color w:val="auto"/>
                <w:szCs w:val="21"/>
                <w:lang w:bidi="ar"/>
              </w:rPr>
              <w:t xml:space="preserve"> </w:t>
            </w:r>
            <w:r>
              <w:rPr>
                <w:rFonts w:hint="eastAsia"/>
                <w:b/>
                <w:color w:val="auto"/>
                <w:szCs w:val="21"/>
                <w:lang w:val="en-US" w:eastAsia="zh-CN" w:bidi="ar"/>
              </w:rPr>
              <w:t>废钢破碎尾料处理生产线</w:t>
            </w:r>
            <w:r>
              <w:rPr>
                <w:rFonts w:hint="eastAsia"/>
                <w:b/>
                <w:color w:val="auto"/>
                <w:szCs w:val="21"/>
                <w:lang w:bidi="ar"/>
              </w:rPr>
              <w:t>物料平衡图  单位：t/a</w:t>
            </w:r>
            <w:r>
              <w:rPr>
                <w:rFonts w:hint="eastAsia"/>
                <w:b/>
                <w:color w:val="auto"/>
                <w:szCs w:val="21"/>
                <w:lang w:eastAsia="zh-CN" w:bidi="ar"/>
              </w:rPr>
              <w:t>（</w:t>
            </w:r>
            <w:r>
              <w:rPr>
                <w:rFonts w:hint="eastAsia"/>
                <w:b/>
                <w:color w:val="auto"/>
                <w:szCs w:val="21"/>
                <w:lang w:val="en-US" w:eastAsia="zh-CN" w:bidi="ar"/>
              </w:rPr>
              <w:t>以干基计</w:t>
            </w:r>
            <w:r>
              <w:rPr>
                <w:rFonts w:hint="eastAsia"/>
                <w:b/>
                <w:color w:val="auto"/>
                <w:szCs w:val="21"/>
                <w:lang w:eastAsia="zh-CN" w:bidi="ar"/>
              </w:rPr>
              <w:t>）</w:t>
            </w:r>
          </w:p>
          <w:p w14:paraId="7D17DCD5">
            <w:pPr>
              <w:pStyle w:val="24"/>
              <w:adjustRightInd w:val="0"/>
              <w:snapToGrid w:val="0"/>
              <w:spacing w:before="0" w:beforeAutospacing="0" w:after="0" w:afterAutospacing="0" w:line="440" w:lineRule="exact"/>
              <w:ind w:firstLine="422" w:firstLineChars="200"/>
              <w:rPr>
                <w:rFonts w:hint="default" w:ascii="Times New Roman" w:hAnsi="Times New Roman" w:eastAsia="宋体"/>
                <w:b/>
                <w:color w:val="auto"/>
                <w:sz w:val="21"/>
                <w:szCs w:val="21"/>
                <w:lang w:val="en-US" w:eastAsia="zh-CN"/>
              </w:rPr>
            </w:pPr>
            <w:r>
              <w:rPr>
                <w:rFonts w:hint="eastAsia" w:ascii="Times New Roman" w:hAnsi="Times New Roman" w:cs="Times New Roman"/>
                <w:b/>
                <w:color w:val="auto"/>
                <w:sz w:val="21"/>
                <w:szCs w:val="21"/>
                <w:lang w:val="en-US" w:eastAsia="zh-CN"/>
              </w:rPr>
              <w:t>7.2</w:t>
            </w:r>
            <w:r>
              <w:rPr>
                <w:rFonts w:hint="eastAsia" w:ascii="Times New Roman" w:hAnsi="Times New Roman"/>
                <w:b/>
                <w:color w:val="auto"/>
                <w:sz w:val="21"/>
                <w:szCs w:val="21"/>
                <w:lang w:val="en-US" w:eastAsia="zh-CN"/>
              </w:rPr>
              <w:t>铁元素平衡</w:t>
            </w:r>
          </w:p>
          <w:p w14:paraId="0037519D">
            <w:pPr>
              <w:adjustRightInd w:val="0"/>
              <w:spacing w:line="440" w:lineRule="exact"/>
              <w:ind w:firstLine="420" w:firstLineChars="200"/>
              <w:outlineLvl w:val="2"/>
              <w:rPr>
                <w:rFonts w:hint="eastAsia"/>
                <w:color w:val="auto"/>
                <w:szCs w:val="21"/>
              </w:rPr>
            </w:pPr>
            <w:r>
              <w:rPr>
                <w:rFonts w:hint="eastAsia"/>
                <w:color w:val="auto"/>
                <w:szCs w:val="21"/>
              </w:rPr>
              <w:t>本项目物料平衡见</w:t>
            </w:r>
            <w:r>
              <w:rPr>
                <w:rFonts w:hint="eastAsia"/>
                <w:color w:val="auto"/>
                <w:szCs w:val="21"/>
                <w:lang w:val="en-US" w:eastAsia="zh-CN"/>
              </w:rPr>
              <w:t>下表</w:t>
            </w:r>
            <w:r>
              <w:rPr>
                <w:rFonts w:hint="eastAsia"/>
                <w:color w:val="auto"/>
                <w:szCs w:val="21"/>
              </w:rPr>
              <w:t>。</w:t>
            </w:r>
          </w:p>
          <w:p w14:paraId="70044CDB">
            <w:pPr>
              <w:adjustRightInd w:val="0"/>
              <w:spacing w:line="440" w:lineRule="exact"/>
              <w:ind w:firstLine="420" w:firstLineChars="200"/>
              <w:outlineLvl w:val="2"/>
              <w:rPr>
                <w:rFonts w:hint="eastAsia"/>
                <w:color w:val="auto"/>
                <w:szCs w:val="21"/>
              </w:rPr>
            </w:pPr>
          </w:p>
          <w:p w14:paraId="1A9AC607">
            <w:pPr>
              <w:adjustRightInd w:val="0"/>
              <w:spacing w:line="440" w:lineRule="exact"/>
              <w:ind w:firstLine="420" w:firstLineChars="200"/>
              <w:outlineLvl w:val="2"/>
              <w:rPr>
                <w:rFonts w:hint="eastAsia"/>
                <w:color w:val="auto"/>
                <w:szCs w:val="21"/>
              </w:rPr>
            </w:pPr>
          </w:p>
          <w:p w14:paraId="70605630">
            <w:pPr>
              <w:adjustRightInd w:val="0"/>
              <w:spacing w:line="440" w:lineRule="exact"/>
              <w:ind w:firstLine="420" w:firstLineChars="200"/>
              <w:outlineLvl w:val="2"/>
              <w:rPr>
                <w:rFonts w:hint="eastAsia"/>
                <w:color w:val="auto"/>
                <w:szCs w:val="21"/>
              </w:rPr>
            </w:pPr>
          </w:p>
          <w:p w14:paraId="75F32072">
            <w:pPr>
              <w:adjustRightInd w:val="0"/>
              <w:spacing w:line="440" w:lineRule="exact"/>
              <w:ind w:firstLine="420" w:firstLineChars="200"/>
              <w:outlineLvl w:val="2"/>
              <w:rPr>
                <w:rFonts w:hint="eastAsia"/>
                <w:color w:val="auto"/>
                <w:szCs w:val="21"/>
              </w:rPr>
            </w:pPr>
          </w:p>
          <w:p w14:paraId="3BAFA3AD">
            <w:pPr>
              <w:keepNext w:val="0"/>
              <w:keepLines w:val="0"/>
              <w:pageBreakBefore w:val="0"/>
              <w:widowControl w:val="0"/>
              <w:tabs>
                <w:tab w:val="left" w:pos="1180"/>
              </w:tabs>
              <w:kinsoku/>
              <w:wordWrap/>
              <w:overflowPunct/>
              <w:topLinePunct w:val="0"/>
              <w:autoSpaceDE/>
              <w:autoSpaceDN/>
              <w:bidi w:val="0"/>
              <w:adjustRightInd/>
              <w:snapToGrid/>
              <w:spacing w:line="420" w:lineRule="exact"/>
              <w:ind w:firstLine="0" w:firstLineChars="0"/>
              <w:jc w:val="center"/>
              <w:textAlignment w:val="auto"/>
              <w:rPr>
                <w:b/>
                <w:color w:val="auto"/>
                <w:sz w:val="21"/>
                <w:szCs w:val="21"/>
                <w:highlight w:val="none"/>
              </w:rPr>
            </w:pPr>
            <w:r>
              <w:rPr>
                <w:b/>
                <w:color w:val="auto"/>
                <w:sz w:val="21"/>
                <w:szCs w:val="21"/>
                <w:highlight w:val="none"/>
              </w:rPr>
              <w:t>表</w:t>
            </w:r>
            <w:r>
              <w:rPr>
                <w:rFonts w:hint="eastAsia"/>
                <w:b/>
                <w:color w:val="auto"/>
                <w:sz w:val="21"/>
                <w:szCs w:val="21"/>
                <w:highlight w:val="none"/>
                <w:lang w:val="en-US" w:eastAsia="zh-CN"/>
              </w:rPr>
              <w:t xml:space="preserve">14 </w:t>
            </w:r>
            <w:r>
              <w:rPr>
                <w:b/>
                <w:color w:val="auto"/>
                <w:sz w:val="21"/>
                <w:szCs w:val="21"/>
                <w:highlight w:val="none"/>
              </w:rPr>
              <w:t>项目</w:t>
            </w:r>
            <w:r>
              <w:rPr>
                <w:rFonts w:hint="eastAsia"/>
                <w:b/>
                <w:color w:val="auto"/>
                <w:sz w:val="21"/>
                <w:szCs w:val="21"/>
                <w:highlight w:val="none"/>
                <w:lang w:val="en-US" w:eastAsia="zh-CN"/>
              </w:rPr>
              <w:t>铁元素</w:t>
            </w:r>
            <w:r>
              <w:rPr>
                <w:b/>
                <w:color w:val="auto"/>
                <w:sz w:val="21"/>
                <w:szCs w:val="21"/>
                <w:highlight w:val="none"/>
              </w:rPr>
              <w:t>平衡表</w:t>
            </w:r>
          </w:p>
          <w:tbl>
            <w:tblPr>
              <w:tblStyle w:val="28"/>
              <w:tblW w:w="8074"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552"/>
              <w:gridCol w:w="542"/>
              <w:gridCol w:w="808"/>
              <w:gridCol w:w="800"/>
              <w:gridCol w:w="825"/>
              <w:gridCol w:w="775"/>
              <w:gridCol w:w="550"/>
              <w:gridCol w:w="800"/>
              <w:gridCol w:w="850"/>
              <w:gridCol w:w="800"/>
              <w:gridCol w:w="772"/>
            </w:tblGrid>
            <w:tr w14:paraId="2179411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52" w:type="dxa"/>
                  <w:vMerge w:val="restart"/>
                  <w:tcBorders>
                    <w:tl2br w:val="nil"/>
                    <w:tr2bl w:val="nil"/>
                  </w:tcBorders>
                  <w:noWrap w:val="0"/>
                  <w:vAlign w:val="center"/>
                </w:tcPr>
                <w:p w14:paraId="6E2E9381">
                  <w:pPr>
                    <w:widowControl/>
                    <w:spacing w:line="0" w:lineRule="atLeast"/>
                    <w:jc w:val="center"/>
                    <w:rPr>
                      <w:rFonts w:hint="eastAsia" w:ascii="Times New Roman" w:hAnsi="Times New Roman" w:eastAsia="宋体" w:cs="Times New Roman"/>
                      <w:color w:val="auto"/>
                      <w:spacing w:val="-10"/>
                      <w:sz w:val="18"/>
                      <w:szCs w:val="18"/>
                      <w:lang w:val="en-US" w:eastAsia="zh-CN"/>
                    </w:rPr>
                  </w:pPr>
                  <w:r>
                    <w:rPr>
                      <w:rFonts w:hint="eastAsia" w:cs="Times New Roman"/>
                      <w:color w:val="auto"/>
                      <w:spacing w:val="-10"/>
                      <w:sz w:val="18"/>
                      <w:szCs w:val="18"/>
                      <w:lang w:val="en-US" w:eastAsia="zh-CN"/>
                    </w:rPr>
                    <w:t>工序</w:t>
                  </w:r>
                </w:p>
              </w:tc>
              <w:tc>
                <w:tcPr>
                  <w:tcW w:w="3750" w:type="dxa"/>
                  <w:gridSpan w:val="5"/>
                  <w:tcBorders>
                    <w:tl2br w:val="nil"/>
                    <w:tr2bl w:val="nil"/>
                  </w:tcBorders>
                  <w:noWrap w:val="0"/>
                  <w:vAlign w:val="center"/>
                </w:tcPr>
                <w:p w14:paraId="144A94EA">
                  <w:pPr>
                    <w:widowControl/>
                    <w:spacing w:line="0" w:lineRule="atLeast"/>
                    <w:jc w:val="center"/>
                    <w:rPr>
                      <w:rFonts w:hint="eastAsia" w:ascii="Times New Roman" w:hAnsi="Times New Roman" w:cs="Times New Roman"/>
                      <w:color w:val="auto"/>
                      <w:spacing w:val="-10"/>
                      <w:sz w:val="18"/>
                      <w:szCs w:val="18"/>
                      <w:lang w:val="en-US" w:eastAsia="zh-CN"/>
                    </w:rPr>
                  </w:pPr>
                  <w:r>
                    <w:rPr>
                      <w:rFonts w:hint="eastAsia" w:ascii="Times New Roman" w:hAnsi="Times New Roman" w:cs="Times New Roman"/>
                      <w:color w:val="auto"/>
                      <w:spacing w:val="-10"/>
                      <w:sz w:val="18"/>
                      <w:szCs w:val="18"/>
                      <w:lang w:val="en-US" w:eastAsia="zh-CN"/>
                    </w:rPr>
                    <w:t>收入项</w:t>
                  </w:r>
                  <w:r>
                    <w:rPr>
                      <w:rFonts w:hint="eastAsia" w:ascii="Times New Roman" w:hAnsi="Times New Roman" w:eastAsia="宋体" w:cs="Times New Roman"/>
                      <w:color w:val="auto"/>
                      <w:spacing w:val="-10"/>
                      <w:sz w:val="18"/>
                      <w:szCs w:val="18"/>
                      <w:lang w:val="en-US" w:eastAsia="zh-CN"/>
                    </w:rPr>
                    <w:t>（t/a）</w:t>
                  </w:r>
                </w:p>
              </w:tc>
              <w:tc>
                <w:tcPr>
                  <w:tcW w:w="3772" w:type="dxa"/>
                  <w:gridSpan w:val="5"/>
                  <w:tcBorders>
                    <w:tl2br w:val="nil"/>
                    <w:tr2bl w:val="nil"/>
                  </w:tcBorders>
                  <w:noWrap w:val="0"/>
                  <w:vAlign w:val="center"/>
                </w:tcPr>
                <w:p w14:paraId="68EE60C3">
                  <w:pPr>
                    <w:widowControl/>
                    <w:spacing w:line="0" w:lineRule="atLeast"/>
                    <w:jc w:val="center"/>
                    <w:rPr>
                      <w:rFonts w:hint="default" w:ascii="Times New Roman" w:hAnsi="Times New Roman" w:eastAsia="宋体" w:cs="Times New Roman"/>
                      <w:color w:val="auto"/>
                      <w:spacing w:val="-10"/>
                      <w:sz w:val="18"/>
                      <w:szCs w:val="18"/>
                      <w:lang w:val="en-US" w:eastAsia="zh-CN"/>
                    </w:rPr>
                  </w:pPr>
                  <w:r>
                    <w:rPr>
                      <w:rFonts w:hint="eastAsia" w:ascii="Times New Roman" w:hAnsi="Times New Roman" w:cs="Times New Roman"/>
                      <w:color w:val="auto"/>
                      <w:spacing w:val="-10"/>
                      <w:sz w:val="18"/>
                      <w:szCs w:val="18"/>
                      <w:lang w:val="en-US" w:eastAsia="zh-CN"/>
                    </w:rPr>
                    <w:t>支出项</w:t>
                  </w:r>
                  <w:r>
                    <w:rPr>
                      <w:rFonts w:hint="eastAsia" w:ascii="Times New Roman" w:hAnsi="Times New Roman" w:eastAsia="宋体" w:cs="Times New Roman"/>
                      <w:color w:val="auto"/>
                      <w:spacing w:val="-10"/>
                      <w:sz w:val="18"/>
                      <w:szCs w:val="18"/>
                      <w:lang w:val="en-US" w:eastAsia="zh-CN"/>
                    </w:rPr>
                    <w:t>（t/a）</w:t>
                  </w:r>
                </w:p>
              </w:tc>
            </w:tr>
            <w:tr w14:paraId="2FF414F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52" w:type="dxa"/>
                  <w:vMerge w:val="continue"/>
                  <w:tcBorders>
                    <w:tl2br w:val="nil"/>
                    <w:tr2bl w:val="nil"/>
                  </w:tcBorders>
                  <w:noWrap w:val="0"/>
                  <w:vAlign w:val="center"/>
                </w:tcPr>
                <w:p w14:paraId="41FE6FAD">
                  <w:pPr>
                    <w:widowControl/>
                    <w:spacing w:line="0" w:lineRule="atLeast"/>
                    <w:jc w:val="center"/>
                    <w:rPr>
                      <w:rFonts w:hint="eastAsia" w:ascii="Times New Roman" w:hAnsi="Times New Roman" w:eastAsia="宋体" w:cs="Times New Roman"/>
                      <w:color w:val="auto"/>
                      <w:spacing w:val="-10"/>
                      <w:sz w:val="18"/>
                      <w:szCs w:val="18"/>
                      <w:lang w:val="en-US" w:eastAsia="zh-CN"/>
                    </w:rPr>
                  </w:pPr>
                </w:p>
              </w:tc>
              <w:tc>
                <w:tcPr>
                  <w:tcW w:w="542" w:type="dxa"/>
                  <w:tcBorders>
                    <w:tl2br w:val="nil"/>
                    <w:tr2bl w:val="nil"/>
                  </w:tcBorders>
                  <w:noWrap w:val="0"/>
                  <w:vAlign w:val="center"/>
                </w:tcPr>
                <w:p w14:paraId="710EC398">
                  <w:pPr>
                    <w:widowControl/>
                    <w:spacing w:line="0" w:lineRule="atLeast"/>
                    <w:jc w:val="center"/>
                    <w:rPr>
                      <w:rFonts w:hint="eastAsia" w:ascii="Times New Roman" w:hAnsi="Times New Roman" w:cs="Times New Roman"/>
                      <w:color w:val="auto"/>
                      <w:spacing w:val="-10"/>
                      <w:sz w:val="18"/>
                      <w:szCs w:val="18"/>
                      <w:lang w:val="en-US" w:eastAsia="zh-CN"/>
                    </w:rPr>
                  </w:pPr>
                  <w:r>
                    <w:rPr>
                      <w:rFonts w:hint="eastAsia" w:ascii="Times New Roman" w:hAnsi="Times New Roman" w:cs="Times New Roman"/>
                      <w:color w:val="auto"/>
                      <w:spacing w:val="-10"/>
                      <w:sz w:val="18"/>
                      <w:szCs w:val="18"/>
                      <w:lang w:val="en-US" w:eastAsia="zh-CN"/>
                    </w:rPr>
                    <w:t>序号</w:t>
                  </w:r>
                </w:p>
              </w:tc>
              <w:tc>
                <w:tcPr>
                  <w:tcW w:w="808" w:type="dxa"/>
                  <w:tcBorders>
                    <w:tl2br w:val="nil"/>
                    <w:tr2bl w:val="nil"/>
                  </w:tcBorders>
                  <w:noWrap w:val="0"/>
                  <w:vAlign w:val="center"/>
                </w:tcPr>
                <w:p w14:paraId="39FBC8D2">
                  <w:pPr>
                    <w:widowControl/>
                    <w:spacing w:line="0" w:lineRule="atLeast"/>
                    <w:jc w:val="center"/>
                    <w:rPr>
                      <w:rFonts w:hint="eastAsia" w:ascii="Times New Roman" w:hAnsi="Times New Roman" w:eastAsia="宋体" w:cs="Times New Roman"/>
                      <w:color w:val="auto"/>
                      <w:spacing w:val="-10"/>
                      <w:sz w:val="18"/>
                      <w:szCs w:val="18"/>
                      <w:lang w:val="en-US" w:eastAsia="zh-CN"/>
                    </w:rPr>
                  </w:pPr>
                  <w:r>
                    <w:rPr>
                      <w:rFonts w:hint="eastAsia" w:ascii="Times New Roman" w:hAnsi="Times New Roman" w:eastAsia="宋体" w:cs="Times New Roman"/>
                      <w:color w:val="auto"/>
                      <w:spacing w:val="-10"/>
                      <w:sz w:val="18"/>
                      <w:szCs w:val="18"/>
                      <w:lang w:val="en-US" w:eastAsia="zh-CN"/>
                    </w:rPr>
                    <w:t>名称</w:t>
                  </w:r>
                </w:p>
              </w:tc>
              <w:tc>
                <w:tcPr>
                  <w:tcW w:w="800" w:type="dxa"/>
                  <w:tcBorders>
                    <w:tl2br w:val="nil"/>
                    <w:tr2bl w:val="nil"/>
                  </w:tcBorders>
                  <w:noWrap w:val="0"/>
                  <w:vAlign w:val="center"/>
                </w:tcPr>
                <w:p w14:paraId="2AA1B40B">
                  <w:pPr>
                    <w:widowControl/>
                    <w:spacing w:line="0" w:lineRule="atLeast"/>
                    <w:jc w:val="center"/>
                    <w:rPr>
                      <w:rFonts w:hint="eastAsia" w:ascii="Times New Roman" w:hAnsi="Times New Roman" w:eastAsia="宋体" w:cs="Times New Roman"/>
                      <w:color w:val="auto"/>
                      <w:spacing w:val="-10"/>
                      <w:sz w:val="18"/>
                      <w:szCs w:val="18"/>
                      <w:lang w:val="en-US" w:eastAsia="zh-CN"/>
                    </w:rPr>
                  </w:pPr>
                  <w:r>
                    <w:rPr>
                      <w:rFonts w:hint="eastAsia" w:cs="Times New Roman"/>
                      <w:color w:val="auto"/>
                      <w:spacing w:val="-10"/>
                      <w:sz w:val="18"/>
                      <w:szCs w:val="18"/>
                      <w:lang w:val="en-US" w:eastAsia="zh-CN"/>
                    </w:rPr>
                    <w:t>数</w:t>
                  </w:r>
                  <w:r>
                    <w:rPr>
                      <w:rFonts w:hint="eastAsia" w:ascii="Times New Roman" w:hAnsi="Times New Roman" w:eastAsia="宋体" w:cs="Times New Roman"/>
                      <w:color w:val="auto"/>
                      <w:spacing w:val="-10"/>
                      <w:sz w:val="18"/>
                      <w:szCs w:val="18"/>
                      <w:lang w:val="en-US" w:eastAsia="zh-CN"/>
                    </w:rPr>
                    <w:t>量</w:t>
                  </w:r>
                </w:p>
              </w:tc>
              <w:tc>
                <w:tcPr>
                  <w:tcW w:w="825" w:type="dxa"/>
                  <w:tcBorders>
                    <w:tl2br w:val="nil"/>
                    <w:tr2bl w:val="nil"/>
                  </w:tcBorders>
                  <w:noWrap w:val="0"/>
                  <w:vAlign w:val="center"/>
                </w:tcPr>
                <w:p w14:paraId="7BFB2048">
                  <w:pPr>
                    <w:widowControl/>
                    <w:spacing w:line="0" w:lineRule="atLeast"/>
                    <w:jc w:val="center"/>
                    <w:rPr>
                      <w:rFonts w:hint="default" w:cs="Times New Roman"/>
                      <w:color w:val="auto"/>
                      <w:spacing w:val="-10"/>
                      <w:sz w:val="18"/>
                      <w:szCs w:val="18"/>
                      <w:lang w:val="en-US" w:eastAsia="zh-CN"/>
                    </w:rPr>
                  </w:pPr>
                  <w:r>
                    <w:rPr>
                      <w:rFonts w:hint="eastAsia" w:cs="Times New Roman"/>
                      <w:color w:val="auto"/>
                      <w:spacing w:val="-10"/>
                      <w:sz w:val="18"/>
                      <w:szCs w:val="18"/>
                      <w:lang w:val="en-US" w:eastAsia="zh-CN"/>
                    </w:rPr>
                    <w:t>TFe（%）</w:t>
                  </w:r>
                </w:p>
              </w:tc>
              <w:tc>
                <w:tcPr>
                  <w:tcW w:w="775" w:type="dxa"/>
                  <w:tcBorders>
                    <w:tl2br w:val="nil"/>
                    <w:tr2bl w:val="nil"/>
                  </w:tcBorders>
                  <w:noWrap w:val="0"/>
                  <w:vAlign w:val="center"/>
                </w:tcPr>
                <w:p w14:paraId="4BFFCBEC">
                  <w:pPr>
                    <w:widowControl/>
                    <w:spacing w:line="0" w:lineRule="atLeast"/>
                    <w:jc w:val="center"/>
                    <w:rPr>
                      <w:rFonts w:hint="default" w:cs="Times New Roman"/>
                      <w:color w:val="auto"/>
                      <w:spacing w:val="-10"/>
                      <w:sz w:val="18"/>
                      <w:szCs w:val="18"/>
                      <w:lang w:val="en-US" w:eastAsia="zh-CN"/>
                    </w:rPr>
                  </w:pPr>
                  <w:r>
                    <w:rPr>
                      <w:rFonts w:hint="eastAsia" w:cs="Times New Roman"/>
                      <w:color w:val="auto"/>
                      <w:spacing w:val="-10"/>
                      <w:sz w:val="18"/>
                      <w:szCs w:val="18"/>
                      <w:lang w:val="en-US" w:eastAsia="zh-CN"/>
                    </w:rPr>
                    <w:t>铁元素</w:t>
                  </w:r>
                </w:p>
              </w:tc>
              <w:tc>
                <w:tcPr>
                  <w:tcW w:w="550" w:type="dxa"/>
                  <w:tcBorders>
                    <w:tl2br w:val="nil"/>
                    <w:tr2bl w:val="nil"/>
                  </w:tcBorders>
                  <w:noWrap w:val="0"/>
                  <w:vAlign w:val="center"/>
                </w:tcPr>
                <w:p w14:paraId="3C142A01">
                  <w:pPr>
                    <w:widowControl/>
                    <w:spacing w:line="0" w:lineRule="atLeast"/>
                    <w:jc w:val="center"/>
                    <w:rPr>
                      <w:rFonts w:hint="eastAsia" w:cs="Times New Roman"/>
                      <w:color w:val="auto"/>
                      <w:spacing w:val="-10"/>
                      <w:sz w:val="18"/>
                      <w:szCs w:val="18"/>
                      <w:lang w:val="en-US" w:eastAsia="zh-CN"/>
                    </w:rPr>
                  </w:pPr>
                  <w:r>
                    <w:rPr>
                      <w:rFonts w:hint="eastAsia" w:cs="Times New Roman"/>
                      <w:color w:val="auto"/>
                      <w:spacing w:val="-10"/>
                      <w:sz w:val="18"/>
                      <w:szCs w:val="18"/>
                      <w:lang w:val="en-US" w:eastAsia="zh-CN"/>
                    </w:rPr>
                    <w:t>序号</w:t>
                  </w:r>
                </w:p>
              </w:tc>
              <w:tc>
                <w:tcPr>
                  <w:tcW w:w="800" w:type="dxa"/>
                  <w:tcBorders>
                    <w:tl2br w:val="nil"/>
                    <w:tr2bl w:val="nil"/>
                  </w:tcBorders>
                  <w:noWrap w:val="0"/>
                  <w:vAlign w:val="center"/>
                </w:tcPr>
                <w:p w14:paraId="68C50068">
                  <w:pPr>
                    <w:widowControl/>
                    <w:spacing w:line="0" w:lineRule="atLeast"/>
                    <w:jc w:val="center"/>
                    <w:rPr>
                      <w:rFonts w:hint="eastAsia" w:cs="Times New Roman"/>
                      <w:color w:val="auto"/>
                      <w:spacing w:val="-10"/>
                      <w:sz w:val="18"/>
                      <w:szCs w:val="18"/>
                      <w:lang w:val="en-US" w:eastAsia="zh-CN"/>
                    </w:rPr>
                  </w:pPr>
                  <w:r>
                    <w:rPr>
                      <w:rFonts w:hint="eastAsia" w:cs="Times New Roman"/>
                      <w:color w:val="auto"/>
                      <w:spacing w:val="-10"/>
                      <w:sz w:val="18"/>
                      <w:szCs w:val="18"/>
                      <w:lang w:val="en-US" w:eastAsia="zh-CN"/>
                    </w:rPr>
                    <w:t>名称</w:t>
                  </w:r>
                </w:p>
              </w:tc>
              <w:tc>
                <w:tcPr>
                  <w:tcW w:w="850" w:type="dxa"/>
                  <w:tcBorders>
                    <w:tl2br w:val="nil"/>
                    <w:tr2bl w:val="nil"/>
                  </w:tcBorders>
                  <w:noWrap w:val="0"/>
                  <w:vAlign w:val="center"/>
                </w:tcPr>
                <w:p w14:paraId="6AEE9A30">
                  <w:pPr>
                    <w:widowControl/>
                    <w:spacing w:line="0" w:lineRule="atLeast"/>
                    <w:jc w:val="center"/>
                    <w:rPr>
                      <w:rFonts w:hint="eastAsia" w:cs="Times New Roman"/>
                      <w:color w:val="auto"/>
                      <w:spacing w:val="-10"/>
                      <w:sz w:val="18"/>
                      <w:szCs w:val="18"/>
                      <w:lang w:val="en-US" w:eastAsia="zh-CN"/>
                    </w:rPr>
                  </w:pPr>
                  <w:r>
                    <w:rPr>
                      <w:rFonts w:hint="eastAsia" w:cs="Times New Roman"/>
                      <w:color w:val="auto"/>
                      <w:spacing w:val="-10"/>
                      <w:sz w:val="18"/>
                      <w:szCs w:val="18"/>
                      <w:lang w:val="en-US" w:eastAsia="zh-CN"/>
                    </w:rPr>
                    <w:t>数量</w:t>
                  </w:r>
                </w:p>
              </w:tc>
              <w:tc>
                <w:tcPr>
                  <w:tcW w:w="800" w:type="dxa"/>
                  <w:tcBorders>
                    <w:tl2br w:val="nil"/>
                    <w:tr2bl w:val="nil"/>
                  </w:tcBorders>
                  <w:noWrap w:val="0"/>
                  <w:vAlign w:val="center"/>
                </w:tcPr>
                <w:p w14:paraId="02D5046E">
                  <w:pPr>
                    <w:widowControl/>
                    <w:spacing w:line="0" w:lineRule="atLeast"/>
                    <w:jc w:val="center"/>
                    <w:rPr>
                      <w:rFonts w:hint="eastAsia" w:cs="Times New Roman"/>
                      <w:color w:val="auto"/>
                      <w:spacing w:val="-10"/>
                      <w:sz w:val="18"/>
                      <w:szCs w:val="18"/>
                      <w:lang w:val="en-US" w:eastAsia="zh-CN"/>
                    </w:rPr>
                  </w:pPr>
                  <w:r>
                    <w:rPr>
                      <w:rFonts w:hint="eastAsia" w:cs="Times New Roman"/>
                      <w:color w:val="auto"/>
                      <w:spacing w:val="-10"/>
                      <w:sz w:val="18"/>
                      <w:szCs w:val="18"/>
                      <w:lang w:val="en-US" w:eastAsia="zh-CN"/>
                    </w:rPr>
                    <w:t>TFe（%）</w:t>
                  </w:r>
                </w:p>
              </w:tc>
              <w:tc>
                <w:tcPr>
                  <w:tcW w:w="772" w:type="dxa"/>
                  <w:tcBorders>
                    <w:tl2br w:val="nil"/>
                    <w:tr2bl w:val="nil"/>
                  </w:tcBorders>
                  <w:noWrap w:val="0"/>
                  <w:vAlign w:val="center"/>
                </w:tcPr>
                <w:p w14:paraId="65F24A03">
                  <w:pPr>
                    <w:widowControl/>
                    <w:spacing w:line="0" w:lineRule="atLeast"/>
                    <w:jc w:val="center"/>
                    <w:rPr>
                      <w:rFonts w:hint="eastAsia" w:cs="Times New Roman"/>
                      <w:color w:val="auto"/>
                      <w:spacing w:val="-10"/>
                      <w:sz w:val="18"/>
                      <w:szCs w:val="18"/>
                      <w:lang w:val="en-US" w:eastAsia="zh-CN"/>
                    </w:rPr>
                  </w:pPr>
                  <w:r>
                    <w:rPr>
                      <w:rFonts w:hint="eastAsia" w:cs="Times New Roman"/>
                      <w:color w:val="auto"/>
                      <w:spacing w:val="-10"/>
                      <w:sz w:val="18"/>
                      <w:szCs w:val="18"/>
                      <w:lang w:val="en-US" w:eastAsia="zh-CN"/>
                    </w:rPr>
                    <w:t>铁元素</w:t>
                  </w:r>
                </w:p>
              </w:tc>
            </w:tr>
            <w:tr w14:paraId="37A78B5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52" w:type="dxa"/>
                  <w:vMerge w:val="restart"/>
                  <w:tcBorders>
                    <w:tl2br w:val="nil"/>
                    <w:tr2bl w:val="nil"/>
                  </w:tcBorders>
                  <w:noWrap w:val="0"/>
                  <w:vAlign w:val="center"/>
                </w:tcPr>
                <w:p w14:paraId="28824338">
                  <w:pPr>
                    <w:widowControl/>
                    <w:spacing w:line="0" w:lineRule="atLeast"/>
                    <w:jc w:val="center"/>
                    <w:rPr>
                      <w:rFonts w:hint="default" w:ascii="Times New Roman" w:hAnsi="Times New Roman" w:eastAsia="宋体" w:cs="Times New Roman"/>
                      <w:color w:val="auto"/>
                      <w:spacing w:val="-10"/>
                      <w:sz w:val="18"/>
                      <w:szCs w:val="18"/>
                      <w:lang w:val="en-US" w:eastAsia="zh-CN"/>
                    </w:rPr>
                  </w:pPr>
                  <w:r>
                    <w:rPr>
                      <w:rFonts w:hint="eastAsia" w:cs="Times New Roman"/>
                      <w:color w:val="auto"/>
                      <w:spacing w:val="-10"/>
                      <w:sz w:val="18"/>
                      <w:szCs w:val="18"/>
                      <w:lang w:val="en-US" w:eastAsia="zh-CN"/>
                    </w:rPr>
                    <w:t>钢渣处理生产线</w:t>
                  </w:r>
                </w:p>
              </w:tc>
              <w:tc>
                <w:tcPr>
                  <w:tcW w:w="542" w:type="dxa"/>
                  <w:tcBorders>
                    <w:tl2br w:val="nil"/>
                    <w:tr2bl w:val="nil"/>
                  </w:tcBorders>
                  <w:noWrap w:val="0"/>
                  <w:vAlign w:val="center"/>
                </w:tcPr>
                <w:p w14:paraId="341A63F5">
                  <w:pPr>
                    <w:widowControl/>
                    <w:spacing w:line="0" w:lineRule="atLeast"/>
                    <w:jc w:val="center"/>
                    <w:rPr>
                      <w:rFonts w:hint="eastAsia" w:cs="Times New Roman"/>
                      <w:color w:val="auto"/>
                      <w:spacing w:val="-10"/>
                      <w:sz w:val="18"/>
                      <w:szCs w:val="18"/>
                      <w:lang w:val="en-US" w:eastAsia="zh-CN"/>
                    </w:rPr>
                  </w:pPr>
                  <w:r>
                    <w:rPr>
                      <w:rFonts w:hint="eastAsia" w:cs="Times New Roman"/>
                      <w:color w:val="auto"/>
                      <w:spacing w:val="-10"/>
                      <w:sz w:val="18"/>
                      <w:szCs w:val="18"/>
                      <w:lang w:val="en-US" w:eastAsia="zh-CN"/>
                    </w:rPr>
                    <w:t>1</w:t>
                  </w:r>
                </w:p>
              </w:tc>
              <w:tc>
                <w:tcPr>
                  <w:tcW w:w="808" w:type="dxa"/>
                  <w:tcBorders>
                    <w:tl2br w:val="nil"/>
                    <w:tr2bl w:val="nil"/>
                  </w:tcBorders>
                  <w:shd w:val="clear" w:color="auto" w:fill="auto"/>
                  <w:noWrap w:val="0"/>
                  <w:vAlign w:val="center"/>
                </w:tcPr>
                <w:p w14:paraId="14D5DB0D">
                  <w:pPr>
                    <w:widowControl/>
                    <w:spacing w:line="0" w:lineRule="atLeast"/>
                    <w:jc w:val="center"/>
                    <w:rPr>
                      <w:rFonts w:hint="eastAsia" w:ascii="Times New Roman" w:hAnsi="Times New Roman" w:eastAsia="宋体" w:cs="Times New Roman"/>
                      <w:color w:val="auto"/>
                      <w:spacing w:val="-10"/>
                      <w:kern w:val="2"/>
                      <w:sz w:val="18"/>
                      <w:szCs w:val="18"/>
                      <w:lang w:val="en-US" w:eastAsia="zh-CN" w:bidi="ar-SA"/>
                    </w:rPr>
                  </w:pPr>
                  <w:r>
                    <w:rPr>
                      <w:rFonts w:hint="eastAsia" w:cs="Times New Roman"/>
                      <w:color w:val="auto"/>
                      <w:spacing w:val="-10"/>
                      <w:sz w:val="18"/>
                      <w:szCs w:val="18"/>
                      <w:lang w:val="en-US" w:eastAsia="zh-CN"/>
                    </w:rPr>
                    <w:t>转炉钢渣</w:t>
                  </w:r>
                </w:p>
              </w:tc>
              <w:tc>
                <w:tcPr>
                  <w:tcW w:w="800" w:type="dxa"/>
                  <w:tcBorders>
                    <w:tl2br w:val="nil"/>
                    <w:tr2bl w:val="nil"/>
                  </w:tcBorders>
                  <w:shd w:val="clear" w:color="auto" w:fill="auto"/>
                  <w:noWrap w:val="0"/>
                  <w:vAlign w:val="center"/>
                </w:tcPr>
                <w:p w14:paraId="314C6CB4">
                  <w:pPr>
                    <w:widowControl/>
                    <w:spacing w:line="0" w:lineRule="atLeast"/>
                    <w:jc w:val="center"/>
                    <w:rPr>
                      <w:rFonts w:hint="default" w:ascii="Times New Roman" w:hAnsi="Times New Roman" w:eastAsia="宋体" w:cs="Times New Roman"/>
                      <w:color w:val="auto"/>
                      <w:spacing w:val="-10"/>
                      <w:kern w:val="2"/>
                      <w:sz w:val="18"/>
                      <w:szCs w:val="18"/>
                      <w:lang w:val="en-US" w:eastAsia="zh-CN" w:bidi="ar-SA"/>
                    </w:rPr>
                  </w:pPr>
                  <w:r>
                    <w:rPr>
                      <w:rFonts w:hint="eastAsia" w:ascii="Times New Roman" w:hAnsi="Times New Roman" w:eastAsia="宋体" w:cs="Times New Roman"/>
                      <w:color w:val="auto"/>
                      <w:spacing w:val="-10"/>
                      <w:sz w:val="18"/>
                      <w:szCs w:val="18"/>
                      <w:lang w:val="en-US" w:eastAsia="zh-CN"/>
                    </w:rPr>
                    <w:t>200000</w:t>
                  </w:r>
                </w:p>
              </w:tc>
              <w:tc>
                <w:tcPr>
                  <w:tcW w:w="825" w:type="dxa"/>
                  <w:tcBorders>
                    <w:tl2br w:val="nil"/>
                    <w:tr2bl w:val="nil"/>
                  </w:tcBorders>
                  <w:noWrap w:val="0"/>
                  <w:vAlign w:val="center"/>
                </w:tcPr>
                <w:p w14:paraId="6B2A8B32">
                  <w:pPr>
                    <w:widowControl/>
                    <w:spacing w:line="0" w:lineRule="atLeast"/>
                    <w:jc w:val="center"/>
                    <w:rPr>
                      <w:rFonts w:hint="default" w:cs="Times New Roman"/>
                      <w:color w:val="auto"/>
                      <w:spacing w:val="-10"/>
                      <w:sz w:val="18"/>
                      <w:szCs w:val="18"/>
                      <w:lang w:val="en-US" w:eastAsia="zh-CN"/>
                    </w:rPr>
                  </w:pPr>
                  <w:r>
                    <w:rPr>
                      <w:rFonts w:hint="default" w:cs="Times New Roman"/>
                      <w:color w:val="auto"/>
                      <w:spacing w:val="-10"/>
                      <w:sz w:val="18"/>
                      <w:szCs w:val="18"/>
                      <w:lang w:val="en-US" w:eastAsia="zh-CN"/>
                    </w:rPr>
                    <w:t>10.1</w:t>
                  </w:r>
                </w:p>
              </w:tc>
              <w:tc>
                <w:tcPr>
                  <w:tcW w:w="775" w:type="dxa"/>
                  <w:tcBorders>
                    <w:tl2br w:val="nil"/>
                    <w:tr2bl w:val="nil"/>
                  </w:tcBorders>
                  <w:noWrap w:val="0"/>
                  <w:vAlign w:val="center"/>
                </w:tcPr>
                <w:p w14:paraId="573BF953">
                  <w:pPr>
                    <w:widowControl/>
                    <w:spacing w:line="0" w:lineRule="atLeast"/>
                    <w:jc w:val="center"/>
                    <w:rPr>
                      <w:rFonts w:hint="default" w:ascii="Times New Roman" w:hAnsi="Times New Roman" w:eastAsia="宋体" w:cs="Times New Roman"/>
                      <w:color w:val="auto"/>
                      <w:spacing w:val="-10"/>
                      <w:sz w:val="18"/>
                      <w:szCs w:val="18"/>
                      <w:lang w:val="en-US" w:eastAsia="zh-CN"/>
                    </w:rPr>
                  </w:pPr>
                  <w:r>
                    <w:rPr>
                      <w:rFonts w:hint="eastAsia" w:ascii="Times New Roman" w:hAnsi="Times New Roman" w:eastAsia="宋体" w:cs="Times New Roman"/>
                      <w:color w:val="auto"/>
                      <w:spacing w:val="-10"/>
                      <w:sz w:val="18"/>
                      <w:szCs w:val="18"/>
                      <w:lang w:val="en-US" w:eastAsia="zh-CN"/>
                    </w:rPr>
                    <w:t>20200</w:t>
                  </w:r>
                </w:p>
              </w:tc>
              <w:tc>
                <w:tcPr>
                  <w:tcW w:w="550" w:type="dxa"/>
                  <w:tcBorders>
                    <w:tl2br w:val="nil"/>
                    <w:tr2bl w:val="nil"/>
                  </w:tcBorders>
                  <w:noWrap w:val="0"/>
                  <w:vAlign w:val="center"/>
                </w:tcPr>
                <w:p w14:paraId="1522F6E0">
                  <w:pPr>
                    <w:widowControl/>
                    <w:spacing w:line="0" w:lineRule="atLeast"/>
                    <w:jc w:val="center"/>
                    <w:rPr>
                      <w:rFonts w:hint="default" w:cs="Times New Roman"/>
                      <w:color w:val="auto"/>
                      <w:spacing w:val="-10"/>
                      <w:sz w:val="18"/>
                      <w:szCs w:val="18"/>
                      <w:lang w:val="en-US" w:eastAsia="zh-CN"/>
                    </w:rPr>
                  </w:pPr>
                  <w:r>
                    <w:rPr>
                      <w:rFonts w:hint="eastAsia" w:cs="Times New Roman"/>
                      <w:color w:val="auto"/>
                      <w:spacing w:val="-10"/>
                      <w:sz w:val="18"/>
                      <w:szCs w:val="18"/>
                      <w:lang w:val="en-US" w:eastAsia="zh-CN"/>
                    </w:rPr>
                    <w:t>1</w:t>
                  </w:r>
                </w:p>
              </w:tc>
              <w:tc>
                <w:tcPr>
                  <w:tcW w:w="800" w:type="dxa"/>
                  <w:tcBorders>
                    <w:tl2br w:val="nil"/>
                    <w:tr2bl w:val="nil"/>
                  </w:tcBorders>
                  <w:shd w:val="clear" w:color="auto" w:fill="auto"/>
                  <w:noWrap w:val="0"/>
                  <w:vAlign w:val="center"/>
                </w:tcPr>
                <w:p w14:paraId="7C090833">
                  <w:pPr>
                    <w:widowControl/>
                    <w:spacing w:line="0" w:lineRule="atLeast"/>
                    <w:jc w:val="center"/>
                    <w:rPr>
                      <w:rFonts w:hint="eastAsia" w:ascii="Times New Roman" w:hAnsi="Times New Roman" w:eastAsia="宋体" w:cs="Times New Roman"/>
                      <w:color w:val="auto"/>
                      <w:spacing w:val="-10"/>
                      <w:kern w:val="2"/>
                      <w:sz w:val="18"/>
                      <w:szCs w:val="18"/>
                      <w:highlight w:val="none"/>
                      <w:lang w:val="en-US" w:eastAsia="zh-CN" w:bidi="ar-SA"/>
                    </w:rPr>
                  </w:pPr>
                  <w:r>
                    <w:rPr>
                      <w:rFonts w:hint="eastAsia" w:ascii="Times New Roman" w:hAnsi="Times New Roman" w:eastAsia="宋体" w:cs="Times New Roman"/>
                      <w:color w:val="auto"/>
                      <w:spacing w:val="-10"/>
                      <w:sz w:val="18"/>
                      <w:szCs w:val="18"/>
                      <w:lang w:val="en-US" w:eastAsia="zh-CN"/>
                    </w:rPr>
                    <w:t>磁性钢渣粉</w:t>
                  </w:r>
                </w:p>
              </w:tc>
              <w:tc>
                <w:tcPr>
                  <w:tcW w:w="850" w:type="dxa"/>
                  <w:tcBorders>
                    <w:tl2br w:val="nil"/>
                    <w:tr2bl w:val="nil"/>
                  </w:tcBorders>
                  <w:shd w:val="clear" w:color="auto" w:fill="auto"/>
                  <w:noWrap w:val="0"/>
                  <w:vAlign w:val="center"/>
                </w:tcPr>
                <w:p w14:paraId="1F595434">
                  <w:pPr>
                    <w:widowControl/>
                    <w:spacing w:line="0" w:lineRule="atLeast"/>
                    <w:jc w:val="center"/>
                    <w:rPr>
                      <w:rFonts w:hint="default" w:ascii="Times New Roman" w:hAnsi="Times New Roman" w:eastAsia="宋体" w:cs="Times New Roman"/>
                      <w:color w:val="auto"/>
                      <w:spacing w:val="-10"/>
                      <w:sz w:val="18"/>
                      <w:szCs w:val="18"/>
                      <w:lang w:val="en-US" w:eastAsia="zh-CN"/>
                    </w:rPr>
                  </w:pPr>
                  <w:r>
                    <w:rPr>
                      <w:rFonts w:hint="eastAsia" w:ascii="Times New Roman" w:hAnsi="Times New Roman" w:eastAsia="宋体" w:cs="Times New Roman"/>
                      <w:color w:val="auto"/>
                      <w:spacing w:val="-10"/>
                      <w:sz w:val="18"/>
                      <w:szCs w:val="18"/>
                      <w:lang w:val="en-US" w:eastAsia="zh-CN"/>
                    </w:rPr>
                    <w:t>40000</w:t>
                  </w:r>
                </w:p>
              </w:tc>
              <w:tc>
                <w:tcPr>
                  <w:tcW w:w="800" w:type="dxa"/>
                  <w:tcBorders>
                    <w:tl2br w:val="nil"/>
                    <w:tr2bl w:val="nil"/>
                  </w:tcBorders>
                  <w:noWrap w:val="0"/>
                  <w:vAlign w:val="center"/>
                </w:tcPr>
                <w:p w14:paraId="330DD1E2">
                  <w:pPr>
                    <w:widowControl/>
                    <w:spacing w:line="0" w:lineRule="atLeast"/>
                    <w:jc w:val="center"/>
                    <w:rPr>
                      <w:rFonts w:hint="default" w:ascii="Times New Roman" w:hAnsi="Times New Roman" w:eastAsia="宋体" w:cs="Times New Roman"/>
                      <w:color w:val="auto"/>
                      <w:spacing w:val="-10"/>
                      <w:sz w:val="18"/>
                      <w:szCs w:val="18"/>
                      <w:lang w:val="en-US" w:eastAsia="zh-CN"/>
                    </w:rPr>
                  </w:pPr>
                  <w:r>
                    <w:rPr>
                      <w:rFonts w:hint="eastAsia" w:ascii="Times New Roman" w:hAnsi="Times New Roman" w:eastAsia="宋体" w:cs="Times New Roman"/>
                      <w:color w:val="auto"/>
                      <w:spacing w:val="-10"/>
                      <w:sz w:val="18"/>
                      <w:szCs w:val="18"/>
                      <w:lang w:val="en-US" w:eastAsia="zh-CN"/>
                    </w:rPr>
                    <w:t>40</w:t>
                  </w:r>
                </w:p>
              </w:tc>
              <w:tc>
                <w:tcPr>
                  <w:tcW w:w="772" w:type="dxa"/>
                  <w:tcBorders>
                    <w:tl2br w:val="nil"/>
                    <w:tr2bl w:val="nil"/>
                  </w:tcBorders>
                  <w:noWrap w:val="0"/>
                  <w:vAlign w:val="center"/>
                </w:tcPr>
                <w:p w14:paraId="31B3D205">
                  <w:pPr>
                    <w:widowControl/>
                    <w:spacing w:line="0" w:lineRule="atLeast"/>
                    <w:jc w:val="center"/>
                    <w:rPr>
                      <w:rFonts w:hint="default" w:ascii="Times New Roman" w:hAnsi="Times New Roman" w:eastAsia="宋体" w:cs="Times New Roman"/>
                      <w:color w:val="auto"/>
                      <w:spacing w:val="-10"/>
                      <w:sz w:val="18"/>
                      <w:szCs w:val="18"/>
                      <w:lang w:val="en-US" w:eastAsia="zh-CN"/>
                    </w:rPr>
                  </w:pPr>
                  <w:r>
                    <w:rPr>
                      <w:rFonts w:hint="eastAsia" w:ascii="Times New Roman" w:hAnsi="Times New Roman" w:eastAsia="宋体" w:cs="Times New Roman"/>
                      <w:color w:val="auto"/>
                      <w:spacing w:val="-10"/>
                      <w:sz w:val="18"/>
                      <w:szCs w:val="18"/>
                      <w:lang w:val="en-US" w:eastAsia="zh-CN"/>
                    </w:rPr>
                    <w:t>16000</w:t>
                  </w:r>
                </w:p>
              </w:tc>
            </w:tr>
            <w:tr w14:paraId="223B033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52" w:type="dxa"/>
                  <w:vMerge w:val="continue"/>
                  <w:tcBorders>
                    <w:tl2br w:val="nil"/>
                    <w:tr2bl w:val="nil"/>
                  </w:tcBorders>
                  <w:noWrap w:val="0"/>
                  <w:vAlign w:val="center"/>
                </w:tcPr>
                <w:p w14:paraId="5B04585D">
                  <w:pPr>
                    <w:widowControl/>
                    <w:spacing w:line="0" w:lineRule="atLeast"/>
                    <w:jc w:val="center"/>
                    <w:rPr>
                      <w:rFonts w:hint="default" w:ascii="Times New Roman" w:hAnsi="Times New Roman" w:eastAsia="宋体" w:cs="Times New Roman"/>
                      <w:color w:val="auto"/>
                      <w:spacing w:val="-10"/>
                      <w:sz w:val="18"/>
                      <w:szCs w:val="18"/>
                      <w:lang w:val="en-US" w:eastAsia="zh-CN"/>
                    </w:rPr>
                  </w:pPr>
                </w:p>
              </w:tc>
              <w:tc>
                <w:tcPr>
                  <w:tcW w:w="542" w:type="dxa"/>
                  <w:tcBorders>
                    <w:tl2br w:val="nil"/>
                    <w:tr2bl w:val="nil"/>
                  </w:tcBorders>
                  <w:noWrap w:val="0"/>
                  <w:vAlign w:val="center"/>
                </w:tcPr>
                <w:p w14:paraId="68B5BB69">
                  <w:pPr>
                    <w:widowControl/>
                    <w:spacing w:line="0" w:lineRule="atLeast"/>
                    <w:jc w:val="center"/>
                    <w:rPr>
                      <w:rFonts w:hint="eastAsia" w:cs="Times New Roman"/>
                      <w:color w:val="auto"/>
                      <w:spacing w:val="-10"/>
                      <w:sz w:val="18"/>
                      <w:szCs w:val="18"/>
                      <w:lang w:val="en-US" w:eastAsia="zh-CN"/>
                    </w:rPr>
                  </w:pPr>
                  <w:r>
                    <w:rPr>
                      <w:rFonts w:hint="eastAsia" w:cs="Times New Roman"/>
                      <w:color w:val="auto"/>
                      <w:spacing w:val="-10"/>
                      <w:sz w:val="18"/>
                      <w:szCs w:val="18"/>
                      <w:lang w:val="en-US" w:eastAsia="zh-CN"/>
                    </w:rPr>
                    <w:t>2</w:t>
                  </w:r>
                </w:p>
              </w:tc>
              <w:tc>
                <w:tcPr>
                  <w:tcW w:w="808" w:type="dxa"/>
                  <w:tcBorders>
                    <w:tl2br w:val="nil"/>
                    <w:tr2bl w:val="nil"/>
                  </w:tcBorders>
                  <w:shd w:val="clear" w:color="auto" w:fill="auto"/>
                  <w:noWrap w:val="0"/>
                  <w:vAlign w:val="center"/>
                </w:tcPr>
                <w:p w14:paraId="5FF7EC3F">
                  <w:pPr>
                    <w:widowControl/>
                    <w:spacing w:line="0" w:lineRule="atLeast"/>
                    <w:jc w:val="center"/>
                    <w:rPr>
                      <w:rFonts w:hint="eastAsia" w:ascii="Times New Roman" w:hAnsi="Times New Roman" w:eastAsia="宋体" w:cs="Times New Roman"/>
                      <w:color w:val="auto"/>
                      <w:spacing w:val="-10"/>
                      <w:kern w:val="2"/>
                      <w:sz w:val="18"/>
                      <w:szCs w:val="18"/>
                      <w:lang w:val="en-US" w:eastAsia="zh-CN" w:bidi="ar-SA"/>
                    </w:rPr>
                  </w:pPr>
                  <w:r>
                    <w:rPr>
                      <w:rFonts w:hint="eastAsia" w:cs="Times New Roman"/>
                      <w:color w:val="auto"/>
                      <w:spacing w:val="-10"/>
                      <w:sz w:val="18"/>
                      <w:szCs w:val="18"/>
                      <w:lang w:val="en-US" w:eastAsia="zh-CN"/>
                    </w:rPr>
                    <w:t>钢球</w:t>
                  </w:r>
                </w:p>
              </w:tc>
              <w:tc>
                <w:tcPr>
                  <w:tcW w:w="800" w:type="dxa"/>
                  <w:tcBorders>
                    <w:tl2br w:val="nil"/>
                    <w:tr2bl w:val="nil"/>
                  </w:tcBorders>
                  <w:shd w:val="clear" w:color="auto" w:fill="auto"/>
                  <w:noWrap w:val="0"/>
                  <w:vAlign w:val="center"/>
                </w:tcPr>
                <w:p w14:paraId="19C286A9">
                  <w:pPr>
                    <w:widowControl/>
                    <w:spacing w:line="0" w:lineRule="atLeast"/>
                    <w:jc w:val="center"/>
                    <w:rPr>
                      <w:rFonts w:hint="default" w:ascii="Times New Roman" w:hAnsi="Times New Roman" w:eastAsia="宋体" w:cs="Times New Roman"/>
                      <w:color w:val="auto"/>
                      <w:spacing w:val="-10"/>
                      <w:kern w:val="2"/>
                      <w:sz w:val="18"/>
                      <w:szCs w:val="18"/>
                      <w:lang w:val="en-US" w:eastAsia="zh-CN" w:bidi="ar-SA"/>
                    </w:rPr>
                  </w:pPr>
                  <w:r>
                    <w:rPr>
                      <w:rFonts w:hint="eastAsia" w:ascii="Times New Roman" w:hAnsi="Times New Roman" w:eastAsia="宋体" w:cs="Times New Roman"/>
                      <w:color w:val="auto"/>
                      <w:spacing w:val="-10"/>
                      <w:sz w:val="18"/>
                      <w:szCs w:val="18"/>
                      <w:lang w:val="en-US" w:eastAsia="zh-CN"/>
                    </w:rPr>
                    <w:t>15</w:t>
                  </w:r>
                </w:p>
              </w:tc>
              <w:tc>
                <w:tcPr>
                  <w:tcW w:w="825" w:type="dxa"/>
                  <w:tcBorders>
                    <w:tl2br w:val="nil"/>
                    <w:tr2bl w:val="nil"/>
                  </w:tcBorders>
                  <w:noWrap w:val="0"/>
                  <w:vAlign w:val="center"/>
                </w:tcPr>
                <w:p w14:paraId="5333799B">
                  <w:pPr>
                    <w:widowControl/>
                    <w:spacing w:line="0" w:lineRule="atLeast"/>
                    <w:jc w:val="center"/>
                    <w:rPr>
                      <w:rFonts w:hint="default" w:cs="Times New Roman"/>
                      <w:color w:val="auto"/>
                      <w:spacing w:val="-10"/>
                      <w:sz w:val="18"/>
                      <w:szCs w:val="18"/>
                      <w:lang w:val="en-US" w:eastAsia="zh-CN"/>
                    </w:rPr>
                  </w:pPr>
                  <w:r>
                    <w:rPr>
                      <w:rFonts w:hint="default" w:cs="Times New Roman"/>
                      <w:color w:val="auto"/>
                      <w:spacing w:val="-10"/>
                      <w:sz w:val="18"/>
                      <w:szCs w:val="18"/>
                      <w:lang w:val="en-US" w:eastAsia="zh-CN"/>
                    </w:rPr>
                    <w:t>100</w:t>
                  </w:r>
                </w:p>
              </w:tc>
              <w:tc>
                <w:tcPr>
                  <w:tcW w:w="775" w:type="dxa"/>
                  <w:tcBorders>
                    <w:tl2br w:val="nil"/>
                    <w:tr2bl w:val="nil"/>
                  </w:tcBorders>
                  <w:noWrap w:val="0"/>
                  <w:vAlign w:val="center"/>
                </w:tcPr>
                <w:p w14:paraId="3775FD5C">
                  <w:pPr>
                    <w:widowControl/>
                    <w:spacing w:line="0" w:lineRule="atLeast"/>
                    <w:jc w:val="center"/>
                    <w:rPr>
                      <w:rFonts w:hint="default" w:ascii="Times New Roman" w:hAnsi="Times New Roman" w:eastAsia="宋体" w:cs="Times New Roman"/>
                      <w:color w:val="auto"/>
                      <w:spacing w:val="-10"/>
                      <w:sz w:val="18"/>
                      <w:szCs w:val="18"/>
                      <w:lang w:val="en-US" w:eastAsia="zh-CN"/>
                    </w:rPr>
                  </w:pPr>
                  <w:r>
                    <w:rPr>
                      <w:rFonts w:hint="eastAsia" w:ascii="Times New Roman" w:hAnsi="Times New Roman" w:eastAsia="宋体" w:cs="Times New Roman"/>
                      <w:color w:val="auto"/>
                      <w:spacing w:val="-10"/>
                      <w:sz w:val="18"/>
                      <w:szCs w:val="18"/>
                      <w:lang w:val="en-US" w:eastAsia="zh-CN"/>
                    </w:rPr>
                    <w:t>15</w:t>
                  </w:r>
                </w:p>
              </w:tc>
              <w:tc>
                <w:tcPr>
                  <w:tcW w:w="550" w:type="dxa"/>
                  <w:tcBorders>
                    <w:tl2br w:val="nil"/>
                    <w:tr2bl w:val="nil"/>
                  </w:tcBorders>
                  <w:noWrap w:val="0"/>
                  <w:vAlign w:val="center"/>
                </w:tcPr>
                <w:p w14:paraId="3A212A77">
                  <w:pPr>
                    <w:widowControl/>
                    <w:spacing w:line="0" w:lineRule="atLeast"/>
                    <w:jc w:val="center"/>
                    <w:rPr>
                      <w:rFonts w:hint="default" w:cs="Times New Roman"/>
                      <w:color w:val="auto"/>
                      <w:spacing w:val="-10"/>
                      <w:sz w:val="18"/>
                      <w:szCs w:val="18"/>
                      <w:lang w:val="en-US" w:eastAsia="zh-CN"/>
                    </w:rPr>
                  </w:pPr>
                  <w:r>
                    <w:rPr>
                      <w:rFonts w:hint="eastAsia" w:cs="Times New Roman"/>
                      <w:color w:val="auto"/>
                      <w:spacing w:val="-10"/>
                      <w:sz w:val="18"/>
                      <w:szCs w:val="18"/>
                      <w:lang w:val="en-US" w:eastAsia="zh-CN"/>
                    </w:rPr>
                    <w:t>2</w:t>
                  </w:r>
                </w:p>
              </w:tc>
              <w:tc>
                <w:tcPr>
                  <w:tcW w:w="800" w:type="dxa"/>
                  <w:tcBorders>
                    <w:tl2br w:val="nil"/>
                    <w:tr2bl w:val="nil"/>
                  </w:tcBorders>
                  <w:shd w:val="clear" w:color="auto" w:fill="auto"/>
                  <w:noWrap w:val="0"/>
                  <w:vAlign w:val="center"/>
                </w:tcPr>
                <w:p w14:paraId="15E6DF64">
                  <w:pPr>
                    <w:widowControl/>
                    <w:spacing w:line="0" w:lineRule="atLeast"/>
                    <w:jc w:val="center"/>
                    <w:rPr>
                      <w:rFonts w:hint="default" w:ascii="Times New Roman" w:hAnsi="Times New Roman" w:eastAsia="宋体" w:cs="Times New Roman"/>
                      <w:color w:val="auto"/>
                      <w:spacing w:val="-10"/>
                      <w:kern w:val="2"/>
                      <w:sz w:val="18"/>
                      <w:szCs w:val="18"/>
                      <w:highlight w:val="none"/>
                      <w:lang w:val="en-US" w:eastAsia="zh-CN" w:bidi="ar-SA"/>
                    </w:rPr>
                  </w:pPr>
                  <w:r>
                    <w:rPr>
                      <w:rFonts w:hint="eastAsia" w:ascii="Times New Roman" w:hAnsi="Times New Roman" w:eastAsia="宋体" w:cs="Times New Roman"/>
                      <w:color w:val="auto"/>
                      <w:spacing w:val="-10"/>
                      <w:sz w:val="18"/>
                      <w:szCs w:val="18"/>
                      <w:lang w:val="en-US" w:eastAsia="zh-CN"/>
                    </w:rPr>
                    <w:t>非磁性钢渣粉</w:t>
                  </w:r>
                </w:p>
              </w:tc>
              <w:tc>
                <w:tcPr>
                  <w:tcW w:w="850" w:type="dxa"/>
                  <w:tcBorders>
                    <w:tl2br w:val="nil"/>
                    <w:tr2bl w:val="nil"/>
                  </w:tcBorders>
                  <w:shd w:val="clear" w:color="auto" w:fill="auto"/>
                  <w:noWrap w:val="0"/>
                  <w:vAlign w:val="center"/>
                </w:tcPr>
                <w:p w14:paraId="4C41F53E">
                  <w:pPr>
                    <w:widowControl/>
                    <w:spacing w:line="0" w:lineRule="atLeast"/>
                    <w:jc w:val="center"/>
                    <w:rPr>
                      <w:rFonts w:hint="default" w:ascii="Times New Roman" w:hAnsi="Times New Roman" w:eastAsia="宋体" w:cs="Times New Roman"/>
                      <w:color w:val="auto"/>
                      <w:spacing w:val="-10"/>
                      <w:sz w:val="18"/>
                      <w:szCs w:val="18"/>
                      <w:lang w:val="en-US" w:eastAsia="zh-CN"/>
                    </w:rPr>
                  </w:pPr>
                  <w:r>
                    <w:rPr>
                      <w:rFonts w:hint="eastAsia" w:ascii="Times New Roman" w:hAnsi="Times New Roman" w:eastAsia="宋体" w:cs="Times New Roman"/>
                      <w:color w:val="auto"/>
                      <w:spacing w:val="-10"/>
                      <w:sz w:val="18"/>
                      <w:szCs w:val="18"/>
                      <w:lang w:val="en-US" w:eastAsia="zh-CN"/>
                    </w:rPr>
                    <w:t>164000</w:t>
                  </w:r>
                </w:p>
              </w:tc>
              <w:tc>
                <w:tcPr>
                  <w:tcW w:w="800" w:type="dxa"/>
                  <w:tcBorders>
                    <w:tl2br w:val="nil"/>
                    <w:tr2bl w:val="nil"/>
                  </w:tcBorders>
                  <w:noWrap w:val="0"/>
                  <w:vAlign w:val="center"/>
                </w:tcPr>
                <w:p w14:paraId="3D6D828B">
                  <w:pPr>
                    <w:widowControl/>
                    <w:spacing w:line="0" w:lineRule="atLeast"/>
                    <w:jc w:val="center"/>
                    <w:rPr>
                      <w:rFonts w:hint="default" w:ascii="Times New Roman" w:hAnsi="Times New Roman" w:eastAsia="宋体" w:cs="Times New Roman"/>
                      <w:color w:val="auto"/>
                      <w:spacing w:val="-10"/>
                      <w:sz w:val="18"/>
                      <w:szCs w:val="18"/>
                      <w:lang w:val="en-US" w:eastAsia="zh-CN"/>
                    </w:rPr>
                  </w:pPr>
                  <w:r>
                    <w:rPr>
                      <w:rFonts w:hint="eastAsia" w:ascii="Times New Roman" w:hAnsi="Times New Roman" w:eastAsia="宋体" w:cs="Times New Roman"/>
                      <w:color w:val="auto"/>
                      <w:spacing w:val="-10"/>
                      <w:sz w:val="18"/>
                      <w:szCs w:val="18"/>
                      <w:lang w:val="en-US" w:eastAsia="zh-CN"/>
                    </w:rPr>
                    <w:t>2.382</w:t>
                  </w:r>
                </w:p>
              </w:tc>
              <w:tc>
                <w:tcPr>
                  <w:tcW w:w="772" w:type="dxa"/>
                  <w:tcBorders>
                    <w:tl2br w:val="nil"/>
                    <w:tr2bl w:val="nil"/>
                  </w:tcBorders>
                  <w:noWrap w:val="0"/>
                  <w:vAlign w:val="center"/>
                </w:tcPr>
                <w:p w14:paraId="60CB7222">
                  <w:pPr>
                    <w:widowControl/>
                    <w:spacing w:line="0" w:lineRule="atLeast"/>
                    <w:jc w:val="center"/>
                    <w:rPr>
                      <w:rFonts w:hint="eastAsia" w:ascii="Times New Roman" w:hAnsi="Times New Roman" w:eastAsia="宋体" w:cs="Times New Roman"/>
                      <w:color w:val="auto"/>
                      <w:spacing w:val="-10"/>
                      <w:sz w:val="18"/>
                      <w:szCs w:val="18"/>
                      <w:lang w:val="en-US" w:eastAsia="zh-CN"/>
                    </w:rPr>
                  </w:pPr>
                  <w:r>
                    <w:rPr>
                      <w:rFonts w:hint="eastAsia" w:ascii="Times New Roman" w:hAnsi="Times New Roman" w:eastAsia="宋体" w:cs="Times New Roman"/>
                      <w:color w:val="auto"/>
                      <w:spacing w:val="-10"/>
                      <w:sz w:val="18"/>
                      <w:szCs w:val="18"/>
                      <w:lang w:val="en-US" w:eastAsia="zh-CN"/>
                    </w:rPr>
                    <w:t>3906.5</w:t>
                  </w:r>
                </w:p>
              </w:tc>
            </w:tr>
            <w:tr w14:paraId="6ACE05D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52" w:type="dxa"/>
                  <w:vMerge w:val="continue"/>
                  <w:tcBorders>
                    <w:tl2br w:val="nil"/>
                    <w:tr2bl w:val="nil"/>
                  </w:tcBorders>
                  <w:noWrap w:val="0"/>
                  <w:vAlign w:val="center"/>
                </w:tcPr>
                <w:p w14:paraId="08B623AE">
                  <w:pPr>
                    <w:widowControl/>
                    <w:spacing w:line="0" w:lineRule="atLeast"/>
                    <w:jc w:val="center"/>
                    <w:rPr>
                      <w:rFonts w:hint="eastAsia" w:ascii="Times New Roman" w:hAnsi="Times New Roman" w:eastAsia="宋体" w:cs="Times New Roman"/>
                      <w:color w:val="auto"/>
                      <w:spacing w:val="-10"/>
                      <w:sz w:val="18"/>
                      <w:szCs w:val="18"/>
                      <w:lang w:val="en-US" w:eastAsia="zh-CN"/>
                    </w:rPr>
                  </w:pPr>
                </w:p>
              </w:tc>
              <w:tc>
                <w:tcPr>
                  <w:tcW w:w="542" w:type="dxa"/>
                  <w:tcBorders>
                    <w:tl2br w:val="nil"/>
                    <w:tr2bl w:val="nil"/>
                  </w:tcBorders>
                  <w:noWrap w:val="0"/>
                  <w:vAlign w:val="center"/>
                </w:tcPr>
                <w:p w14:paraId="24564196">
                  <w:pPr>
                    <w:widowControl/>
                    <w:spacing w:line="0" w:lineRule="atLeast"/>
                    <w:jc w:val="center"/>
                    <w:rPr>
                      <w:rFonts w:hint="eastAsia" w:ascii="Times New Roman" w:hAnsi="Times New Roman" w:eastAsia="宋体" w:cs="Times New Roman"/>
                      <w:color w:val="auto"/>
                      <w:spacing w:val="-10"/>
                      <w:kern w:val="2"/>
                      <w:sz w:val="18"/>
                      <w:szCs w:val="18"/>
                      <w:lang w:val="en-US" w:eastAsia="zh-CN" w:bidi="ar-SA"/>
                    </w:rPr>
                  </w:pPr>
                  <w:r>
                    <w:rPr>
                      <w:rFonts w:hint="eastAsia" w:cs="Times New Roman"/>
                      <w:color w:val="auto"/>
                      <w:spacing w:val="-10"/>
                      <w:kern w:val="2"/>
                      <w:sz w:val="18"/>
                      <w:szCs w:val="18"/>
                      <w:lang w:val="en-US" w:eastAsia="zh-CN" w:bidi="ar-SA"/>
                    </w:rPr>
                    <w:t>--</w:t>
                  </w:r>
                </w:p>
              </w:tc>
              <w:tc>
                <w:tcPr>
                  <w:tcW w:w="808" w:type="dxa"/>
                  <w:tcBorders>
                    <w:tl2br w:val="nil"/>
                    <w:tr2bl w:val="nil"/>
                  </w:tcBorders>
                  <w:noWrap w:val="0"/>
                  <w:vAlign w:val="center"/>
                </w:tcPr>
                <w:p w14:paraId="69314148">
                  <w:pPr>
                    <w:widowControl/>
                    <w:spacing w:line="0" w:lineRule="atLeast"/>
                    <w:jc w:val="center"/>
                    <w:rPr>
                      <w:rFonts w:hint="eastAsia" w:ascii="Times New Roman" w:hAnsi="Times New Roman" w:eastAsia="宋体" w:cs="Times New Roman"/>
                      <w:color w:val="auto"/>
                      <w:spacing w:val="-10"/>
                      <w:kern w:val="2"/>
                      <w:sz w:val="18"/>
                      <w:szCs w:val="18"/>
                      <w:lang w:val="en-US" w:eastAsia="zh-CN" w:bidi="ar-SA"/>
                    </w:rPr>
                  </w:pPr>
                  <w:r>
                    <w:rPr>
                      <w:rFonts w:hint="eastAsia" w:cs="Times New Roman"/>
                      <w:color w:val="auto"/>
                      <w:spacing w:val="-10"/>
                      <w:kern w:val="2"/>
                      <w:sz w:val="18"/>
                      <w:szCs w:val="18"/>
                      <w:lang w:val="en-US" w:eastAsia="zh-CN" w:bidi="ar-SA"/>
                    </w:rPr>
                    <w:t>--</w:t>
                  </w:r>
                </w:p>
              </w:tc>
              <w:tc>
                <w:tcPr>
                  <w:tcW w:w="800" w:type="dxa"/>
                  <w:tcBorders>
                    <w:tl2br w:val="nil"/>
                    <w:tr2bl w:val="nil"/>
                  </w:tcBorders>
                  <w:noWrap w:val="0"/>
                  <w:vAlign w:val="center"/>
                </w:tcPr>
                <w:p w14:paraId="67FD92CE">
                  <w:pPr>
                    <w:widowControl/>
                    <w:spacing w:line="0" w:lineRule="atLeast"/>
                    <w:jc w:val="center"/>
                    <w:rPr>
                      <w:rFonts w:hint="eastAsia" w:ascii="Times New Roman" w:hAnsi="Times New Roman" w:eastAsia="宋体" w:cs="Times New Roman"/>
                      <w:color w:val="auto"/>
                      <w:spacing w:val="-10"/>
                      <w:kern w:val="2"/>
                      <w:sz w:val="18"/>
                      <w:szCs w:val="18"/>
                      <w:lang w:val="en-US" w:eastAsia="zh-CN" w:bidi="ar-SA"/>
                    </w:rPr>
                  </w:pPr>
                  <w:r>
                    <w:rPr>
                      <w:rFonts w:hint="eastAsia" w:cs="Times New Roman"/>
                      <w:color w:val="auto"/>
                      <w:spacing w:val="-10"/>
                      <w:sz w:val="18"/>
                      <w:szCs w:val="18"/>
                      <w:lang w:val="en-US" w:eastAsia="zh-CN"/>
                    </w:rPr>
                    <w:t>--</w:t>
                  </w:r>
                </w:p>
              </w:tc>
              <w:tc>
                <w:tcPr>
                  <w:tcW w:w="825" w:type="dxa"/>
                  <w:tcBorders>
                    <w:tl2br w:val="nil"/>
                    <w:tr2bl w:val="nil"/>
                  </w:tcBorders>
                  <w:noWrap w:val="0"/>
                  <w:vAlign w:val="center"/>
                </w:tcPr>
                <w:p w14:paraId="59C8958C">
                  <w:pPr>
                    <w:widowControl/>
                    <w:spacing w:line="0" w:lineRule="atLeast"/>
                    <w:jc w:val="center"/>
                    <w:rPr>
                      <w:rFonts w:hint="eastAsia" w:ascii="Times New Roman" w:hAnsi="Times New Roman" w:eastAsia="宋体" w:cs="Times New Roman"/>
                      <w:color w:val="auto"/>
                      <w:spacing w:val="-10"/>
                      <w:kern w:val="2"/>
                      <w:sz w:val="18"/>
                      <w:szCs w:val="18"/>
                      <w:lang w:val="en-US" w:eastAsia="zh-CN" w:bidi="ar-SA"/>
                    </w:rPr>
                  </w:pPr>
                  <w:r>
                    <w:rPr>
                      <w:rFonts w:hint="eastAsia" w:cs="Times New Roman"/>
                      <w:color w:val="auto"/>
                      <w:spacing w:val="-10"/>
                      <w:sz w:val="18"/>
                      <w:szCs w:val="18"/>
                      <w:lang w:val="en-US" w:eastAsia="zh-CN"/>
                    </w:rPr>
                    <w:t>--</w:t>
                  </w:r>
                </w:p>
              </w:tc>
              <w:tc>
                <w:tcPr>
                  <w:tcW w:w="775" w:type="dxa"/>
                  <w:tcBorders>
                    <w:tl2br w:val="nil"/>
                    <w:tr2bl w:val="nil"/>
                  </w:tcBorders>
                  <w:noWrap w:val="0"/>
                  <w:vAlign w:val="center"/>
                </w:tcPr>
                <w:p w14:paraId="305E2D76">
                  <w:pPr>
                    <w:widowControl/>
                    <w:spacing w:line="0" w:lineRule="atLeast"/>
                    <w:jc w:val="center"/>
                    <w:rPr>
                      <w:rFonts w:hint="eastAsia" w:ascii="Times New Roman" w:hAnsi="Times New Roman" w:eastAsia="宋体" w:cs="Times New Roman"/>
                      <w:color w:val="auto"/>
                      <w:spacing w:val="-10"/>
                      <w:sz w:val="18"/>
                      <w:szCs w:val="18"/>
                      <w:lang w:val="en-US" w:eastAsia="zh-CN"/>
                    </w:rPr>
                  </w:pPr>
                  <w:r>
                    <w:rPr>
                      <w:rFonts w:hint="eastAsia" w:ascii="Times New Roman" w:hAnsi="Times New Roman" w:eastAsia="宋体" w:cs="Times New Roman"/>
                      <w:color w:val="auto"/>
                      <w:spacing w:val="-10"/>
                      <w:sz w:val="18"/>
                      <w:szCs w:val="18"/>
                      <w:lang w:val="en-US" w:eastAsia="zh-CN"/>
                    </w:rPr>
                    <w:t>--</w:t>
                  </w:r>
                </w:p>
              </w:tc>
              <w:tc>
                <w:tcPr>
                  <w:tcW w:w="550" w:type="dxa"/>
                  <w:tcBorders>
                    <w:tl2br w:val="nil"/>
                    <w:tr2bl w:val="nil"/>
                  </w:tcBorders>
                  <w:noWrap w:val="0"/>
                  <w:vAlign w:val="center"/>
                </w:tcPr>
                <w:p w14:paraId="2FBA9532">
                  <w:pPr>
                    <w:widowControl/>
                    <w:spacing w:line="0" w:lineRule="atLeast"/>
                    <w:jc w:val="center"/>
                    <w:rPr>
                      <w:rFonts w:hint="default" w:cs="Times New Roman"/>
                      <w:color w:val="auto"/>
                      <w:spacing w:val="-10"/>
                      <w:sz w:val="18"/>
                      <w:szCs w:val="18"/>
                      <w:lang w:val="en-US" w:eastAsia="zh-CN"/>
                    </w:rPr>
                  </w:pPr>
                  <w:r>
                    <w:rPr>
                      <w:rFonts w:hint="eastAsia" w:cs="Times New Roman"/>
                      <w:color w:val="auto"/>
                      <w:spacing w:val="-10"/>
                      <w:sz w:val="18"/>
                      <w:szCs w:val="18"/>
                      <w:lang w:val="en-US" w:eastAsia="zh-CN"/>
                    </w:rPr>
                    <w:t>3</w:t>
                  </w:r>
                </w:p>
              </w:tc>
              <w:tc>
                <w:tcPr>
                  <w:tcW w:w="800" w:type="dxa"/>
                  <w:tcBorders>
                    <w:tl2br w:val="nil"/>
                    <w:tr2bl w:val="nil"/>
                  </w:tcBorders>
                  <w:shd w:val="clear" w:color="auto" w:fill="auto"/>
                  <w:noWrap w:val="0"/>
                  <w:vAlign w:val="center"/>
                </w:tcPr>
                <w:p w14:paraId="2F4D4C51">
                  <w:pPr>
                    <w:widowControl/>
                    <w:spacing w:line="0" w:lineRule="atLeast"/>
                    <w:jc w:val="center"/>
                    <w:rPr>
                      <w:rFonts w:hint="eastAsia" w:ascii="Times New Roman" w:hAnsi="Times New Roman" w:eastAsia="宋体" w:cs="Times New Roman"/>
                      <w:color w:val="auto"/>
                      <w:spacing w:val="-10"/>
                      <w:kern w:val="2"/>
                      <w:sz w:val="18"/>
                      <w:szCs w:val="18"/>
                      <w:highlight w:val="none"/>
                      <w:lang w:val="en-US" w:eastAsia="zh-CN" w:bidi="ar-SA"/>
                    </w:rPr>
                  </w:pPr>
                  <w:r>
                    <w:rPr>
                      <w:rFonts w:hint="eastAsia" w:ascii="Times New Roman" w:hAnsi="Times New Roman" w:eastAsia="宋体" w:cs="Times New Roman"/>
                      <w:color w:val="auto"/>
                      <w:spacing w:val="-10"/>
                      <w:sz w:val="18"/>
                      <w:szCs w:val="18"/>
                      <w:lang w:val="en-US" w:eastAsia="zh-CN"/>
                    </w:rPr>
                    <w:t>废钢球</w:t>
                  </w:r>
                </w:p>
              </w:tc>
              <w:tc>
                <w:tcPr>
                  <w:tcW w:w="850" w:type="dxa"/>
                  <w:tcBorders>
                    <w:tl2br w:val="nil"/>
                    <w:tr2bl w:val="nil"/>
                  </w:tcBorders>
                  <w:shd w:val="clear" w:color="auto" w:fill="auto"/>
                  <w:noWrap w:val="0"/>
                  <w:vAlign w:val="center"/>
                </w:tcPr>
                <w:p w14:paraId="098A82A3">
                  <w:pPr>
                    <w:widowControl/>
                    <w:spacing w:line="0" w:lineRule="atLeast"/>
                    <w:jc w:val="center"/>
                    <w:rPr>
                      <w:rFonts w:hint="default" w:ascii="Times New Roman" w:hAnsi="Times New Roman" w:eastAsia="宋体" w:cs="Times New Roman"/>
                      <w:color w:val="auto"/>
                      <w:spacing w:val="-10"/>
                      <w:sz w:val="18"/>
                      <w:szCs w:val="18"/>
                      <w:lang w:val="en-US" w:eastAsia="zh-CN"/>
                    </w:rPr>
                  </w:pPr>
                  <w:r>
                    <w:rPr>
                      <w:rFonts w:hint="eastAsia" w:ascii="Times New Roman" w:hAnsi="Times New Roman" w:eastAsia="宋体" w:cs="Times New Roman"/>
                      <w:color w:val="auto"/>
                      <w:spacing w:val="-10"/>
                      <w:sz w:val="18"/>
                      <w:szCs w:val="18"/>
                      <w:lang w:val="en-US" w:eastAsia="zh-CN"/>
                    </w:rPr>
                    <w:t>3</w:t>
                  </w:r>
                </w:p>
              </w:tc>
              <w:tc>
                <w:tcPr>
                  <w:tcW w:w="800" w:type="dxa"/>
                  <w:tcBorders>
                    <w:tl2br w:val="nil"/>
                    <w:tr2bl w:val="nil"/>
                  </w:tcBorders>
                  <w:noWrap w:val="0"/>
                  <w:vAlign w:val="center"/>
                </w:tcPr>
                <w:p w14:paraId="27294FDF">
                  <w:pPr>
                    <w:widowControl/>
                    <w:spacing w:line="0" w:lineRule="atLeast"/>
                    <w:jc w:val="center"/>
                    <w:rPr>
                      <w:rFonts w:hint="default" w:ascii="Times New Roman" w:hAnsi="Times New Roman" w:eastAsia="宋体" w:cs="Times New Roman"/>
                      <w:color w:val="auto"/>
                      <w:spacing w:val="-10"/>
                      <w:sz w:val="18"/>
                      <w:szCs w:val="18"/>
                      <w:lang w:val="en-US" w:eastAsia="zh-CN"/>
                    </w:rPr>
                  </w:pPr>
                  <w:r>
                    <w:rPr>
                      <w:rFonts w:hint="eastAsia" w:ascii="Times New Roman" w:hAnsi="Times New Roman" w:eastAsia="宋体" w:cs="Times New Roman"/>
                      <w:color w:val="auto"/>
                      <w:spacing w:val="-10"/>
                      <w:sz w:val="18"/>
                      <w:szCs w:val="18"/>
                      <w:lang w:val="en-US" w:eastAsia="zh-CN"/>
                    </w:rPr>
                    <w:t>100</w:t>
                  </w:r>
                </w:p>
              </w:tc>
              <w:tc>
                <w:tcPr>
                  <w:tcW w:w="772" w:type="dxa"/>
                  <w:tcBorders>
                    <w:tl2br w:val="nil"/>
                    <w:tr2bl w:val="nil"/>
                  </w:tcBorders>
                  <w:noWrap w:val="0"/>
                  <w:vAlign w:val="center"/>
                </w:tcPr>
                <w:p w14:paraId="7718BD7C">
                  <w:pPr>
                    <w:widowControl/>
                    <w:spacing w:line="0" w:lineRule="atLeast"/>
                    <w:jc w:val="center"/>
                    <w:rPr>
                      <w:rFonts w:hint="default" w:ascii="Times New Roman" w:hAnsi="Times New Roman" w:eastAsia="宋体" w:cs="Times New Roman"/>
                      <w:color w:val="auto"/>
                      <w:spacing w:val="-10"/>
                      <w:sz w:val="18"/>
                      <w:szCs w:val="18"/>
                      <w:lang w:val="en-US" w:eastAsia="zh-CN"/>
                    </w:rPr>
                  </w:pPr>
                  <w:r>
                    <w:rPr>
                      <w:rFonts w:hint="eastAsia" w:ascii="Times New Roman" w:hAnsi="Times New Roman" w:eastAsia="宋体" w:cs="Times New Roman"/>
                      <w:color w:val="auto"/>
                      <w:spacing w:val="-10"/>
                      <w:sz w:val="18"/>
                      <w:szCs w:val="18"/>
                      <w:lang w:val="en-US" w:eastAsia="zh-CN"/>
                    </w:rPr>
                    <w:t>3</w:t>
                  </w:r>
                </w:p>
              </w:tc>
            </w:tr>
            <w:tr w14:paraId="35A309A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52" w:type="dxa"/>
                  <w:vMerge w:val="continue"/>
                  <w:tcBorders>
                    <w:tl2br w:val="nil"/>
                    <w:tr2bl w:val="nil"/>
                  </w:tcBorders>
                  <w:noWrap w:val="0"/>
                  <w:vAlign w:val="center"/>
                </w:tcPr>
                <w:p w14:paraId="29F9D32E">
                  <w:pPr>
                    <w:widowControl/>
                    <w:spacing w:line="0" w:lineRule="atLeast"/>
                    <w:jc w:val="center"/>
                    <w:rPr>
                      <w:rFonts w:hint="eastAsia" w:ascii="Times New Roman" w:hAnsi="Times New Roman" w:eastAsia="宋体" w:cs="Times New Roman"/>
                      <w:color w:val="auto"/>
                      <w:spacing w:val="-10"/>
                      <w:sz w:val="18"/>
                      <w:szCs w:val="18"/>
                      <w:lang w:val="en-US" w:eastAsia="zh-CN"/>
                    </w:rPr>
                  </w:pPr>
                </w:p>
              </w:tc>
              <w:tc>
                <w:tcPr>
                  <w:tcW w:w="542" w:type="dxa"/>
                  <w:tcBorders>
                    <w:tl2br w:val="nil"/>
                    <w:tr2bl w:val="nil"/>
                  </w:tcBorders>
                  <w:noWrap w:val="0"/>
                  <w:vAlign w:val="center"/>
                </w:tcPr>
                <w:p w14:paraId="1725149C">
                  <w:pPr>
                    <w:widowControl/>
                    <w:spacing w:line="0" w:lineRule="atLeast"/>
                    <w:jc w:val="center"/>
                    <w:rPr>
                      <w:rFonts w:hint="eastAsia" w:ascii="Times New Roman" w:hAnsi="Times New Roman" w:eastAsia="宋体" w:cs="Times New Roman"/>
                      <w:color w:val="auto"/>
                      <w:spacing w:val="-10"/>
                      <w:kern w:val="2"/>
                      <w:sz w:val="18"/>
                      <w:szCs w:val="18"/>
                      <w:lang w:val="en-US" w:eastAsia="zh-CN" w:bidi="ar-SA"/>
                    </w:rPr>
                  </w:pPr>
                  <w:r>
                    <w:rPr>
                      <w:rFonts w:hint="eastAsia" w:cs="Times New Roman"/>
                      <w:color w:val="auto"/>
                      <w:spacing w:val="-10"/>
                      <w:kern w:val="2"/>
                      <w:sz w:val="18"/>
                      <w:szCs w:val="18"/>
                      <w:lang w:val="en-US" w:eastAsia="zh-CN" w:bidi="ar-SA"/>
                    </w:rPr>
                    <w:t>--</w:t>
                  </w:r>
                </w:p>
              </w:tc>
              <w:tc>
                <w:tcPr>
                  <w:tcW w:w="808" w:type="dxa"/>
                  <w:tcBorders>
                    <w:tl2br w:val="nil"/>
                    <w:tr2bl w:val="nil"/>
                  </w:tcBorders>
                  <w:noWrap w:val="0"/>
                  <w:vAlign w:val="center"/>
                </w:tcPr>
                <w:p w14:paraId="404D68FC">
                  <w:pPr>
                    <w:widowControl/>
                    <w:spacing w:line="0" w:lineRule="atLeast"/>
                    <w:jc w:val="center"/>
                    <w:rPr>
                      <w:rFonts w:hint="eastAsia" w:ascii="Times New Roman" w:hAnsi="Times New Roman" w:eastAsia="宋体" w:cs="Times New Roman"/>
                      <w:color w:val="auto"/>
                      <w:spacing w:val="-10"/>
                      <w:kern w:val="2"/>
                      <w:sz w:val="18"/>
                      <w:szCs w:val="18"/>
                      <w:lang w:val="en-US" w:eastAsia="zh-CN" w:bidi="ar-SA"/>
                    </w:rPr>
                  </w:pPr>
                  <w:r>
                    <w:rPr>
                      <w:rFonts w:hint="eastAsia" w:cs="Times New Roman"/>
                      <w:color w:val="auto"/>
                      <w:spacing w:val="-10"/>
                      <w:kern w:val="2"/>
                      <w:sz w:val="18"/>
                      <w:szCs w:val="18"/>
                      <w:lang w:val="en-US" w:eastAsia="zh-CN" w:bidi="ar-SA"/>
                    </w:rPr>
                    <w:t>--</w:t>
                  </w:r>
                </w:p>
              </w:tc>
              <w:tc>
                <w:tcPr>
                  <w:tcW w:w="800" w:type="dxa"/>
                  <w:tcBorders>
                    <w:tl2br w:val="nil"/>
                    <w:tr2bl w:val="nil"/>
                  </w:tcBorders>
                  <w:noWrap w:val="0"/>
                  <w:vAlign w:val="center"/>
                </w:tcPr>
                <w:p w14:paraId="7AB08EF0">
                  <w:pPr>
                    <w:widowControl/>
                    <w:spacing w:line="0" w:lineRule="atLeast"/>
                    <w:jc w:val="center"/>
                    <w:rPr>
                      <w:rFonts w:hint="eastAsia" w:ascii="Times New Roman" w:hAnsi="Times New Roman" w:eastAsia="宋体" w:cs="Times New Roman"/>
                      <w:color w:val="auto"/>
                      <w:spacing w:val="-10"/>
                      <w:kern w:val="2"/>
                      <w:sz w:val="18"/>
                      <w:szCs w:val="18"/>
                      <w:lang w:val="en-US" w:eastAsia="zh-CN" w:bidi="ar-SA"/>
                    </w:rPr>
                  </w:pPr>
                  <w:r>
                    <w:rPr>
                      <w:rFonts w:hint="eastAsia" w:cs="Times New Roman"/>
                      <w:color w:val="auto"/>
                      <w:spacing w:val="-10"/>
                      <w:sz w:val="18"/>
                      <w:szCs w:val="18"/>
                      <w:lang w:val="en-US" w:eastAsia="zh-CN"/>
                    </w:rPr>
                    <w:t>--</w:t>
                  </w:r>
                </w:p>
              </w:tc>
              <w:tc>
                <w:tcPr>
                  <w:tcW w:w="825" w:type="dxa"/>
                  <w:tcBorders>
                    <w:tl2br w:val="nil"/>
                    <w:tr2bl w:val="nil"/>
                  </w:tcBorders>
                  <w:noWrap w:val="0"/>
                  <w:vAlign w:val="center"/>
                </w:tcPr>
                <w:p w14:paraId="3950BAF7">
                  <w:pPr>
                    <w:widowControl/>
                    <w:spacing w:line="0" w:lineRule="atLeast"/>
                    <w:jc w:val="center"/>
                    <w:rPr>
                      <w:rFonts w:hint="eastAsia" w:ascii="Times New Roman" w:hAnsi="Times New Roman" w:eastAsia="宋体" w:cs="Times New Roman"/>
                      <w:color w:val="auto"/>
                      <w:spacing w:val="-10"/>
                      <w:kern w:val="2"/>
                      <w:sz w:val="18"/>
                      <w:szCs w:val="18"/>
                      <w:lang w:val="en-US" w:eastAsia="zh-CN" w:bidi="ar-SA"/>
                    </w:rPr>
                  </w:pPr>
                  <w:r>
                    <w:rPr>
                      <w:rFonts w:hint="eastAsia" w:cs="Times New Roman"/>
                      <w:color w:val="auto"/>
                      <w:spacing w:val="-10"/>
                      <w:sz w:val="18"/>
                      <w:szCs w:val="18"/>
                      <w:lang w:val="en-US" w:eastAsia="zh-CN"/>
                    </w:rPr>
                    <w:t>--</w:t>
                  </w:r>
                </w:p>
              </w:tc>
              <w:tc>
                <w:tcPr>
                  <w:tcW w:w="775" w:type="dxa"/>
                  <w:tcBorders>
                    <w:tl2br w:val="nil"/>
                    <w:tr2bl w:val="nil"/>
                  </w:tcBorders>
                  <w:noWrap w:val="0"/>
                  <w:vAlign w:val="center"/>
                </w:tcPr>
                <w:p w14:paraId="0B114936">
                  <w:pPr>
                    <w:widowControl/>
                    <w:spacing w:line="0" w:lineRule="atLeast"/>
                    <w:jc w:val="center"/>
                    <w:rPr>
                      <w:rFonts w:hint="eastAsia" w:ascii="Times New Roman" w:hAnsi="Times New Roman" w:eastAsia="宋体" w:cs="Times New Roman"/>
                      <w:color w:val="auto"/>
                      <w:spacing w:val="-10"/>
                      <w:sz w:val="18"/>
                      <w:szCs w:val="18"/>
                      <w:lang w:val="en-US" w:eastAsia="zh-CN"/>
                    </w:rPr>
                  </w:pPr>
                  <w:r>
                    <w:rPr>
                      <w:rFonts w:hint="eastAsia" w:ascii="Times New Roman" w:hAnsi="Times New Roman" w:eastAsia="宋体" w:cs="Times New Roman"/>
                      <w:color w:val="auto"/>
                      <w:spacing w:val="-10"/>
                      <w:sz w:val="18"/>
                      <w:szCs w:val="18"/>
                      <w:lang w:val="en-US" w:eastAsia="zh-CN"/>
                    </w:rPr>
                    <w:t>--</w:t>
                  </w:r>
                </w:p>
              </w:tc>
              <w:tc>
                <w:tcPr>
                  <w:tcW w:w="550" w:type="dxa"/>
                  <w:tcBorders>
                    <w:tl2br w:val="nil"/>
                    <w:tr2bl w:val="nil"/>
                  </w:tcBorders>
                  <w:shd w:val="clear" w:color="auto" w:fill="auto"/>
                  <w:noWrap w:val="0"/>
                  <w:vAlign w:val="center"/>
                </w:tcPr>
                <w:p w14:paraId="2504D8A4">
                  <w:pPr>
                    <w:widowControl/>
                    <w:spacing w:line="0" w:lineRule="atLeast"/>
                    <w:jc w:val="center"/>
                    <w:rPr>
                      <w:rFonts w:hint="default" w:ascii="Times New Roman" w:hAnsi="Times New Roman" w:eastAsia="宋体" w:cs="Times New Roman"/>
                      <w:color w:val="auto"/>
                      <w:spacing w:val="-10"/>
                      <w:kern w:val="2"/>
                      <w:sz w:val="18"/>
                      <w:szCs w:val="18"/>
                      <w:lang w:val="en-US" w:eastAsia="zh-CN" w:bidi="ar-SA"/>
                    </w:rPr>
                  </w:pPr>
                  <w:r>
                    <w:rPr>
                      <w:rFonts w:hint="eastAsia" w:cs="Times New Roman"/>
                      <w:color w:val="auto"/>
                      <w:spacing w:val="-10"/>
                      <w:sz w:val="18"/>
                      <w:szCs w:val="18"/>
                      <w:lang w:val="en-US" w:eastAsia="zh-CN"/>
                    </w:rPr>
                    <w:t>4</w:t>
                  </w:r>
                </w:p>
              </w:tc>
              <w:tc>
                <w:tcPr>
                  <w:tcW w:w="800" w:type="dxa"/>
                  <w:tcBorders>
                    <w:tl2br w:val="nil"/>
                    <w:tr2bl w:val="nil"/>
                  </w:tcBorders>
                  <w:shd w:val="clear" w:color="auto" w:fill="auto"/>
                  <w:noWrap w:val="0"/>
                  <w:vAlign w:val="center"/>
                </w:tcPr>
                <w:p w14:paraId="7F192A60">
                  <w:pPr>
                    <w:widowControl/>
                    <w:spacing w:line="0" w:lineRule="atLeast"/>
                    <w:jc w:val="center"/>
                    <w:rPr>
                      <w:rFonts w:hint="eastAsia" w:ascii="Times New Roman" w:hAnsi="Times New Roman" w:eastAsia="宋体" w:cs="Times New Roman"/>
                      <w:color w:val="auto"/>
                      <w:spacing w:val="-10"/>
                      <w:kern w:val="2"/>
                      <w:sz w:val="18"/>
                      <w:szCs w:val="18"/>
                      <w:highlight w:val="none"/>
                      <w:lang w:val="en-US" w:eastAsia="zh-CN" w:bidi="ar-SA"/>
                    </w:rPr>
                  </w:pPr>
                  <w:r>
                    <w:rPr>
                      <w:rFonts w:hint="eastAsia" w:ascii="Times New Roman" w:hAnsi="Times New Roman" w:eastAsia="宋体" w:cs="Times New Roman"/>
                      <w:color w:val="auto"/>
                      <w:spacing w:val="-10"/>
                      <w:sz w:val="18"/>
                      <w:szCs w:val="18"/>
                      <w:lang w:val="en-US" w:eastAsia="zh-CN"/>
                    </w:rPr>
                    <w:t>除尘灰</w:t>
                  </w:r>
                </w:p>
              </w:tc>
              <w:tc>
                <w:tcPr>
                  <w:tcW w:w="850" w:type="dxa"/>
                  <w:tcBorders>
                    <w:tl2br w:val="nil"/>
                    <w:tr2bl w:val="nil"/>
                  </w:tcBorders>
                  <w:shd w:val="clear" w:color="auto" w:fill="auto"/>
                  <w:noWrap w:val="0"/>
                  <w:vAlign w:val="center"/>
                </w:tcPr>
                <w:p w14:paraId="4CB170D7">
                  <w:pPr>
                    <w:widowControl/>
                    <w:spacing w:line="0" w:lineRule="atLeast"/>
                    <w:jc w:val="center"/>
                    <w:rPr>
                      <w:rFonts w:hint="default" w:ascii="Times New Roman" w:hAnsi="Times New Roman" w:eastAsia="宋体" w:cs="Times New Roman"/>
                      <w:color w:val="auto"/>
                      <w:spacing w:val="-10"/>
                      <w:sz w:val="18"/>
                      <w:szCs w:val="18"/>
                      <w:lang w:val="en-US" w:eastAsia="zh-CN"/>
                    </w:rPr>
                  </w:pPr>
                  <w:r>
                    <w:rPr>
                      <w:rFonts w:hint="eastAsia" w:ascii="Times New Roman" w:hAnsi="Times New Roman" w:eastAsia="宋体" w:cs="Times New Roman"/>
                      <w:color w:val="auto"/>
                      <w:spacing w:val="-10"/>
                      <w:sz w:val="18"/>
                      <w:szCs w:val="18"/>
                      <w:lang w:val="en-US" w:eastAsia="zh-CN"/>
                    </w:rPr>
                    <w:t>124.146</w:t>
                  </w:r>
                </w:p>
              </w:tc>
              <w:tc>
                <w:tcPr>
                  <w:tcW w:w="800" w:type="dxa"/>
                  <w:tcBorders>
                    <w:tl2br w:val="nil"/>
                    <w:tr2bl w:val="nil"/>
                  </w:tcBorders>
                  <w:noWrap w:val="0"/>
                  <w:vAlign w:val="center"/>
                </w:tcPr>
                <w:p w14:paraId="690FF2FC">
                  <w:pPr>
                    <w:widowControl/>
                    <w:spacing w:line="0" w:lineRule="atLeast"/>
                    <w:jc w:val="center"/>
                    <w:rPr>
                      <w:rFonts w:hint="default" w:ascii="Times New Roman" w:hAnsi="Times New Roman" w:eastAsia="宋体" w:cs="Times New Roman"/>
                      <w:color w:val="auto"/>
                      <w:spacing w:val="-10"/>
                      <w:sz w:val="18"/>
                      <w:szCs w:val="18"/>
                      <w:lang w:val="en-US" w:eastAsia="zh-CN"/>
                    </w:rPr>
                  </w:pPr>
                  <w:r>
                    <w:rPr>
                      <w:rFonts w:hint="eastAsia" w:ascii="Times New Roman" w:hAnsi="Times New Roman" w:eastAsia="宋体" w:cs="Times New Roman"/>
                      <w:color w:val="auto"/>
                      <w:spacing w:val="-10"/>
                      <w:sz w:val="18"/>
                      <w:szCs w:val="18"/>
                      <w:lang w:val="en-US" w:eastAsia="zh-CN"/>
                    </w:rPr>
                    <w:t>10.1</w:t>
                  </w:r>
                </w:p>
              </w:tc>
              <w:tc>
                <w:tcPr>
                  <w:tcW w:w="772" w:type="dxa"/>
                  <w:tcBorders>
                    <w:tl2br w:val="nil"/>
                    <w:tr2bl w:val="nil"/>
                  </w:tcBorders>
                  <w:noWrap w:val="0"/>
                  <w:vAlign w:val="center"/>
                </w:tcPr>
                <w:p w14:paraId="16C475AE">
                  <w:pPr>
                    <w:widowControl/>
                    <w:spacing w:line="0" w:lineRule="atLeast"/>
                    <w:jc w:val="center"/>
                    <w:rPr>
                      <w:rFonts w:hint="default" w:ascii="Times New Roman" w:hAnsi="Times New Roman" w:eastAsia="宋体" w:cs="Times New Roman"/>
                      <w:color w:val="auto"/>
                      <w:spacing w:val="-10"/>
                      <w:sz w:val="18"/>
                      <w:szCs w:val="18"/>
                      <w:lang w:val="en-US" w:eastAsia="zh-CN"/>
                    </w:rPr>
                  </w:pPr>
                  <w:r>
                    <w:rPr>
                      <w:rFonts w:hint="eastAsia" w:ascii="Times New Roman" w:hAnsi="Times New Roman" w:eastAsia="宋体" w:cs="Times New Roman"/>
                      <w:color w:val="auto"/>
                      <w:spacing w:val="-10"/>
                      <w:sz w:val="18"/>
                      <w:szCs w:val="18"/>
                      <w:lang w:val="en-US" w:eastAsia="zh-CN"/>
                    </w:rPr>
                    <w:t>12.5</w:t>
                  </w:r>
                </w:p>
              </w:tc>
            </w:tr>
            <w:tr w14:paraId="5DF8925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52" w:type="dxa"/>
                  <w:vMerge w:val="continue"/>
                  <w:tcBorders>
                    <w:tl2br w:val="nil"/>
                    <w:tr2bl w:val="nil"/>
                  </w:tcBorders>
                  <w:noWrap w:val="0"/>
                  <w:vAlign w:val="center"/>
                </w:tcPr>
                <w:p w14:paraId="4B57F59B">
                  <w:pPr>
                    <w:widowControl/>
                    <w:spacing w:line="0" w:lineRule="atLeast"/>
                    <w:jc w:val="center"/>
                    <w:rPr>
                      <w:rFonts w:hint="eastAsia" w:ascii="Times New Roman" w:hAnsi="Times New Roman" w:eastAsia="宋体" w:cs="Times New Roman"/>
                      <w:color w:val="auto"/>
                      <w:spacing w:val="-10"/>
                      <w:sz w:val="18"/>
                      <w:szCs w:val="18"/>
                      <w:lang w:val="en-US" w:eastAsia="zh-CN"/>
                    </w:rPr>
                  </w:pPr>
                </w:p>
              </w:tc>
              <w:tc>
                <w:tcPr>
                  <w:tcW w:w="542" w:type="dxa"/>
                  <w:tcBorders>
                    <w:tl2br w:val="nil"/>
                    <w:tr2bl w:val="nil"/>
                  </w:tcBorders>
                  <w:noWrap w:val="0"/>
                  <w:vAlign w:val="center"/>
                </w:tcPr>
                <w:p w14:paraId="1DE211C2">
                  <w:pPr>
                    <w:widowControl/>
                    <w:spacing w:line="0" w:lineRule="atLeast"/>
                    <w:jc w:val="center"/>
                    <w:rPr>
                      <w:rFonts w:hint="eastAsia" w:ascii="Times New Roman" w:hAnsi="Times New Roman" w:eastAsia="宋体" w:cs="Times New Roman"/>
                      <w:color w:val="auto"/>
                      <w:spacing w:val="-10"/>
                      <w:kern w:val="2"/>
                      <w:sz w:val="18"/>
                      <w:szCs w:val="18"/>
                      <w:lang w:val="en-US" w:eastAsia="zh-CN" w:bidi="ar-SA"/>
                    </w:rPr>
                  </w:pPr>
                  <w:r>
                    <w:rPr>
                      <w:rFonts w:hint="eastAsia" w:cs="Times New Roman"/>
                      <w:color w:val="auto"/>
                      <w:spacing w:val="-10"/>
                      <w:kern w:val="2"/>
                      <w:sz w:val="18"/>
                      <w:szCs w:val="18"/>
                      <w:lang w:val="en-US" w:eastAsia="zh-CN" w:bidi="ar-SA"/>
                    </w:rPr>
                    <w:t>--</w:t>
                  </w:r>
                </w:p>
              </w:tc>
              <w:tc>
                <w:tcPr>
                  <w:tcW w:w="808" w:type="dxa"/>
                  <w:tcBorders>
                    <w:tl2br w:val="nil"/>
                    <w:tr2bl w:val="nil"/>
                  </w:tcBorders>
                  <w:noWrap w:val="0"/>
                  <w:vAlign w:val="center"/>
                </w:tcPr>
                <w:p w14:paraId="5D58D378">
                  <w:pPr>
                    <w:widowControl/>
                    <w:spacing w:line="0" w:lineRule="atLeast"/>
                    <w:jc w:val="center"/>
                    <w:rPr>
                      <w:rFonts w:hint="eastAsia" w:ascii="Times New Roman" w:hAnsi="Times New Roman" w:eastAsia="宋体" w:cs="Times New Roman"/>
                      <w:color w:val="auto"/>
                      <w:spacing w:val="-10"/>
                      <w:kern w:val="2"/>
                      <w:sz w:val="18"/>
                      <w:szCs w:val="18"/>
                      <w:lang w:val="en-US" w:eastAsia="zh-CN" w:bidi="ar-SA"/>
                    </w:rPr>
                  </w:pPr>
                  <w:r>
                    <w:rPr>
                      <w:rFonts w:hint="eastAsia" w:cs="Times New Roman"/>
                      <w:color w:val="auto"/>
                      <w:spacing w:val="-10"/>
                      <w:kern w:val="2"/>
                      <w:sz w:val="18"/>
                      <w:szCs w:val="18"/>
                      <w:lang w:val="en-US" w:eastAsia="zh-CN" w:bidi="ar-SA"/>
                    </w:rPr>
                    <w:t>--</w:t>
                  </w:r>
                </w:p>
              </w:tc>
              <w:tc>
                <w:tcPr>
                  <w:tcW w:w="800" w:type="dxa"/>
                  <w:tcBorders>
                    <w:tl2br w:val="nil"/>
                    <w:tr2bl w:val="nil"/>
                  </w:tcBorders>
                  <w:noWrap w:val="0"/>
                  <w:vAlign w:val="center"/>
                </w:tcPr>
                <w:p w14:paraId="2B70F13B">
                  <w:pPr>
                    <w:widowControl/>
                    <w:spacing w:line="0" w:lineRule="atLeast"/>
                    <w:jc w:val="center"/>
                    <w:rPr>
                      <w:rFonts w:hint="eastAsia" w:ascii="Times New Roman" w:hAnsi="Times New Roman" w:eastAsia="宋体" w:cs="Times New Roman"/>
                      <w:color w:val="auto"/>
                      <w:spacing w:val="-10"/>
                      <w:kern w:val="2"/>
                      <w:sz w:val="18"/>
                      <w:szCs w:val="18"/>
                      <w:lang w:val="en-US" w:eastAsia="zh-CN" w:bidi="ar-SA"/>
                    </w:rPr>
                  </w:pPr>
                  <w:r>
                    <w:rPr>
                      <w:rFonts w:hint="eastAsia" w:cs="Times New Roman"/>
                      <w:color w:val="auto"/>
                      <w:spacing w:val="-10"/>
                      <w:sz w:val="18"/>
                      <w:szCs w:val="18"/>
                      <w:lang w:val="en-US" w:eastAsia="zh-CN"/>
                    </w:rPr>
                    <w:t>--</w:t>
                  </w:r>
                </w:p>
              </w:tc>
              <w:tc>
                <w:tcPr>
                  <w:tcW w:w="825" w:type="dxa"/>
                  <w:tcBorders>
                    <w:tl2br w:val="nil"/>
                    <w:tr2bl w:val="nil"/>
                  </w:tcBorders>
                  <w:noWrap w:val="0"/>
                  <w:vAlign w:val="center"/>
                </w:tcPr>
                <w:p w14:paraId="5BD7D4E7">
                  <w:pPr>
                    <w:widowControl/>
                    <w:spacing w:line="0" w:lineRule="atLeast"/>
                    <w:jc w:val="center"/>
                    <w:rPr>
                      <w:rFonts w:hint="eastAsia" w:ascii="Times New Roman" w:hAnsi="Times New Roman" w:eastAsia="宋体" w:cs="Times New Roman"/>
                      <w:color w:val="auto"/>
                      <w:spacing w:val="-10"/>
                      <w:kern w:val="2"/>
                      <w:sz w:val="18"/>
                      <w:szCs w:val="18"/>
                      <w:lang w:val="en-US" w:eastAsia="zh-CN" w:bidi="ar-SA"/>
                    </w:rPr>
                  </w:pPr>
                  <w:r>
                    <w:rPr>
                      <w:rFonts w:hint="eastAsia" w:cs="Times New Roman"/>
                      <w:color w:val="auto"/>
                      <w:spacing w:val="-10"/>
                      <w:sz w:val="18"/>
                      <w:szCs w:val="18"/>
                      <w:lang w:val="en-US" w:eastAsia="zh-CN"/>
                    </w:rPr>
                    <w:t>--</w:t>
                  </w:r>
                </w:p>
              </w:tc>
              <w:tc>
                <w:tcPr>
                  <w:tcW w:w="775" w:type="dxa"/>
                  <w:tcBorders>
                    <w:tl2br w:val="nil"/>
                    <w:tr2bl w:val="nil"/>
                  </w:tcBorders>
                  <w:noWrap w:val="0"/>
                  <w:vAlign w:val="center"/>
                </w:tcPr>
                <w:p w14:paraId="67159518">
                  <w:pPr>
                    <w:widowControl/>
                    <w:spacing w:line="0" w:lineRule="atLeast"/>
                    <w:jc w:val="center"/>
                    <w:rPr>
                      <w:rFonts w:hint="eastAsia" w:ascii="Times New Roman" w:hAnsi="Times New Roman" w:eastAsia="宋体" w:cs="Times New Roman"/>
                      <w:color w:val="auto"/>
                      <w:spacing w:val="-10"/>
                      <w:sz w:val="18"/>
                      <w:szCs w:val="18"/>
                      <w:lang w:val="en-US" w:eastAsia="zh-CN"/>
                    </w:rPr>
                  </w:pPr>
                  <w:r>
                    <w:rPr>
                      <w:rFonts w:hint="eastAsia" w:ascii="Times New Roman" w:hAnsi="Times New Roman" w:eastAsia="宋体" w:cs="Times New Roman"/>
                      <w:color w:val="auto"/>
                      <w:spacing w:val="-10"/>
                      <w:sz w:val="18"/>
                      <w:szCs w:val="18"/>
                      <w:lang w:val="en-US" w:eastAsia="zh-CN"/>
                    </w:rPr>
                    <w:t>--</w:t>
                  </w:r>
                </w:p>
              </w:tc>
              <w:tc>
                <w:tcPr>
                  <w:tcW w:w="550" w:type="dxa"/>
                  <w:tcBorders>
                    <w:tl2br w:val="nil"/>
                    <w:tr2bl w:val="nil"/>
                  </w:tcBorders>
                  <w:shd w:val="clear" w:color="auto" w:fill="auto"/>
                  <w:noWrap w:val="0"/>
                  <w:vAlign w:val="center"/>
                </w:tcPr>
                <w:p w14:paraId="40383EA7">
                  <w:pPr>
                    <w:widowControl/>
                    <w:spacing w:line="0" w:lineRule="atLeast"/>
                    <w:jc w:val="center"/>
                    <w:rPr>
                      <w:rFonts w:hint="default" w:ascii="Times New Roman" w:hAnsi="Times New Roman" w:eastAsia="宋体" w:cs="Times New Roman"/>
                      <w:color w:val="auto"/>
                      <w:spacing w:val="-10"/>
                      <w:kern w:val="2"/>
                      <w:sz w:val="18"/>
                      <w:szCs w:val="18"/>
                      <w:lang w:val="en-US" w:eastAsia="zh-CN" w:bidi="ar-SA"/>
                    </w:rPr>
                  </w:pPr>
                  <w:r>
                    <w:rPr>
                      <w:rFonts w:hint="eastAsia" w:cs="Times New Roman"/>
                      <w:color w:val="auto"/>
                      <w:spacing w:val="-10"/>
                      <w:sz w:val="18"/>
                      <w:szCs w:val="18"/>
                      <w:lang w:val="en-US" w:eastAsia="zh-CN"/>
                    </w:rPr>
                    <w:t>5</w:t>
                  </w:r>
                </w:p>
              </w:tc>
              <w:tc>
                <w:tcPr>
                  <w:tcW w:w="800" w:type="dxa"/>
                  <w:tcBorders>
                    <w:tl2br w:val="nil"/>
                    <w:tr2bl w:val="nil"/>
                  </w:tcBorders>
                  <w:shd w:val="clear" w:color="auto" w:fill="auto"/>
                  <w:noWrap w:val="0"/>
                  <w:vAlign w:val="center"/>
                </w:tcPr>
                <w:p w14:paraId="4087D534">
                  <w:pPr>
                    <w:widowControl/>
                    <w:spacing w:line="0" w:lineRule="atLeast"/>
                    <w:jc w:val="center"/>
                    <w:rPr>
                      <w:rFonts w:hint="eastAsia" w:ascii="Times New Roman" w:hAnsi="Times New Roman" w:eastAsia="宋体" w:cs="Times New Roman"/>
                      <w:color w:val="auto"/>
                      <w:spacing w:val="-10"/>
                      <w:kern w:val="2"/>
                      <w:sz w:val="18"/>
                      <w:szCs w:val="18"/>
                      <w:highlight w:val="none"/>
                      <w:lang w:val="en-US" w:eastAsia="zh-CN" w:bidi="ar-SA"/>
                    </w:rPr>
                  </w:pPr>
                  <w:r>
                    <w:rPr>
                      <w:rFonts w:hint="eastAsia" w:ascii="Times New Roman" w:hAnsi="Times New Roman" w:eastAsia="宋体" w:cs="Times New Roman"/>
                      <w:color w:val="auto"/>
                      <w:spacing w:val="-10"/>
                      <w:sz w:val="18"/>
                      <w:szCs w:val="18"/>
                      <w:lang w:val="en-US" w:eastAsia="zh-CN"/>
                    </w:rPr>
                    <w:t>外排颗粒物</w:t>
                  </w:r>
                </w:p>
              </w:tc>
              <w:tc>
                <w:tcPr>
                  <w:tcW w:w="850" w:type="dxa"/>
                  <w:tcBorders>
                    <w:tl2br w:val="nil"/>
                    <w:tr2bl w:val="nil"/>
                  </w:tcBorders>
                  <w:shd w:val="clear" w:color="auto" w:fill="auto"/>
                  <w:noWrap w:val="0"/>
                  <w:vAlign w:val="center"/>
                </w:tcPr>
                <w:p w14:paraId="6FC5767F">
                  <w:pPr>
                    <w:widowControl/>
                    <w:spacing w:line="0" w:lineRule="atLeast"/>
                    <w:jc w:val="center"/>
                    <w:rPr>
                      <w:rFonts w:hint="default" w:ascii="Times New Roman" w:hAnsi="Times New Roman" w:eastAsia="宋体" w:cs="Times New Roman"/>
                      <w:color w:val="auto"/>
                      <w:spacing w:val="-10"/>
                      <w:sz w:val="18"/>
                      <w:szCs w:val="18"/>
                      <w:lang w:val="en-US" w:eastAsia="zh-CN"/>
                    </w:rPr>
                  </w:pPr>
                  <w:r>
                    <w:rPr>
                      <w:rFonts w:hint="eastAsia" w:ascii="Times New Roman" w:hAnsi="Times New Roman" w:eastAsia="宋体" w:cs="Times New Roman"/>
                      <w:color w:val="auto"/>
                      <w:spacing w:val="-10"/>
                      <w:sz w:val="18"/>
                      <w:szCs w:val="18"/>
                      <w:lang w:val="en-US" w:eastAsia="zh-CN"/>
                    </w:rPr>
                    <w:t>1.465</w:t>
                  </w:r>
                </w:p>
              </w:tc>
              <w:tc>
                <w:tcPr>
                  <w:tcW w:w="800" w:type="dxa"/>
                  <w:tcBorders>
                    <w:tl2br w:val="nil"/>
                    <w:tr2bl w:val="nil"/>
                  </w:tcBorders>
                  <w:noWrap w:val="0"/>
                  <w:vAlign w:val="center"/>
                </w:tcPr>
                <w:p w14:paraId="71E98168">
                  <w:pPr>
                    <w:widowControl/>
                    <w:spacing w:line="0" w:lineRule="atLeast"/>
                    <w:jc w:val="center"/>
                    <w:rPr>
                      <w:rFonts w:hint="default" w:ascii="Times New Roman" w:hAnsi="Times New Roman" w:eastAsia="宋体" w:cs="Times New Roman"/>
                      <w:color w:val="auto"/>
                      <w:spacing w:val="-10"/>
                      <w:sz w:val="18"/>
                      <w:szCs w:val="18"/>
                      <w:lang w:val="en-US" w:eastAsia="zh-CN"/>
                    </w:rPr>
                  </w:pPr>
                  <w:r>
                    <w:rPr>
                      <w:rFonts w:hint="eastAsia" w:ascii="Times New Roman" w:hAnsi="Times New Roman" w:eastAsia="宋体" w:cs="Times New Roman"/>
                      <w:color w:val="auto"/>
                      <w:spacing w:val="-10"/>
                      <w:sz w:val="18"/>
                      <w:szCs w:val="18"/>
                      <w:lang w:val="en-US" w:eastAsia="zh-CN"/>
                    </w:rPr>
                    <w:t>10.1</w:t>
                  </w:r>
                </w:p>
              </w:tc>
              <w:tc>
                <w:tcPr>
                  <w:tcW w:w="772" w:type="dxa"/>
                  <w:tcBorders>
                    <w:tl2br w:val="nil"/>
                    <w:tr2bl w:val="nil"/>
                  </w:tcBorders>
                  <w:noWrap w:val="0"/>
                  <w:vAlign w:val="center"/>
                </w:tcPr>
                <w:p w14:paraId="3DAB9D26">
                  <w:pPr>
                    <w:widowControl/>
                    <w:spacing w:line="0" w:lineRule="atLeast"/>
                    <w:jc w:val="center"/>
                    <w:rPr>
                      <w:rFonts w:hint="default" w:ascii="Times New Roman" w:hAnsi="Times New Roman" w:eastAsia="宋体" w:cs="Times New Roman"/>
                      <w:color w:val="auto"/>
                      <w:spacing w:val="-10"/>
                      <w:sz w:val="18"/>
                      <w:szCs w:val="18"/>
                      <w:lang w:val="en-US" w:eastAsia="zh-CN"/>
                    </w:rPr>
                  </w:pPr>
                  <w:r>
                    <w:rPr>
                      <w:rFonts w:hint="eastAsia" w:ascii="Times New Roman" w:hAnsi="Times New Roman" w:eastAsia="宋体" w:cs="Times New Roman"/>
                      <w:color w:val="auto"/>
                      <w:spacing w:val="-10"/>
                      <w:sz w:val="18"/>
                      <w:szCs w:val="18"/>
                      <w:lang w:val="en-US" w:eastAsia="zh-CN"/>
                    </w:rPr>
                    <w:t>0.1</w:t>
                  </w:r>
                </w:p>
              </w:tc>
            </w:tr>
            <w:tr w14:paraId="3AFC94C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52" w:type="dxa"/>
                  <w:vMerge w:val="continue"/>
                  <w:tcBorders>
                    <w:tl2br w:val="nil"/>
                    <w:tr2bl w:val="nil"/>
                  </w:tcBorders>
                  <w:noWrap w:val="0"/>
                  <w:vAlign w:val="center"/>
                </w:tcPr>
                <w:p w14:paraId="280701AD">
                  <w:pPr>
                    <w:widowControl/>
                    <w:spacing w:line="0" w:lineRule="atLeast"/>
                    <w:jc w:val="center"/>
                    <w:rPr>
                      <w:rFonts w:hint="eastAsia" w:ascii="Times New Roman" w:hAnsi="Times New Roman" w:eastAsia="宋体" w:cs="Times New Roman"/>
                      <w:color w:val="auto"/>
                      <w:spacing w:val="-10"/>
                      <w:sz w:val="18"/>
                      <w:szCs w:val="18"/>
                      <w:lang w:val="en-US" w:eastAsia="zh-CN"/>
                    </w:rPr>
                  </w:pPr>
                </w:p>
              </w:tc>
              <w:tc>
                <w:tcPr>
                  <w:tcW w:w="542" w:type="dxa"/>
                  <w:tcBorders>
                    <w:tl2br w:val="nil"/>
                    <w:tr2bl w:val="nil"/>
                  </w:tcBorders>
                  <w:noWrap w:val="0"/>
                  <w:vAlign w:val="center"/>
                </w:tcPr>
                <w:p w14:paraId="22990ABF">
                  <w:pPr>
                    <w:widowControl/>
                    <w:spacing w:line="0" w:lineRule="atLeast"/>
                    <w:jc w:val="center"/>
                    <w:rPr>
                      <w:rFonts w:hint="eastAsia" w:ascii="Times New Roman" w:hAnsi="Times New Roman" w:eastAsia="宋体" w:cs="Times New Roman"/>
                      <w:color w:val="auto"/>
                      <w:spacing w:val="-10"/>
                      <w:kern w:val="2"/>
                      <w:sz w:val="18"/>
                      <w:szCs w:val="18"/>
                      <w:lang w:val="en-US" w:eastAsia="zh-CN" w:bidi="ar-SA"/>
                    </w:rPr>
                  </w:pPr>
                  <w:r>
                    <w:rPr>
                      <w:rFonts w:hint="eastAsia" w:cs="Times New Roman"/>
                      <w:color w:val="auto"/>
                      <w:spacing w:val="-10"/>
                      <w:kern w:val="2"/>
                      <w:sz w:val="18"/>
                      <w:szCs w:val="18"/>
                      <w:lang w:val="en-US" w:eastAsia="zh-CN" w:bidi="ar-SA"/>
                    </w:rPr>
                    <w:t>--</w:t>
                  </w:r>
                </w:p>
              </w:tc>
              <w:tc>
                <w:tcPr>
                  <w:tcW w:w="808" w:type="dxa"/>
                  <w:tcBorders>
                    <w:tl2br w:val="nil"/>
                    <w:tr2bl w:val="nil"/>
                  </w:tcBorders>
                  <w:noWrap w:val="0"/>
                  <w:vAlign w:val="center"/>
                </w:tcPr>
                <w:p w14:paraId="5CE541B6">
                  <w:pPr>
                    <w:widowControl/>
                    <w:spacing w:line="0" w:lineRule="atLeast"/>
                    <w:jc w:val="center"/>
                    <w:rPr>
                      <w:rFonts w:hint="eastAsia" w:ascii="Times New Roman" w:hAnsi="Times New Roman" w:eastAsia="宋体" w:cs="Times New Roman"/>
                      <w:color w:val="auto"/>
                      <w:spacing w:val="-10"/>
                      <w:kern w:val="2"/>
                      <w:sz w:val="18"/>
                      <w:szCs w:val="18"/>
                      <w:lang w:val="en-US" w:eastAsia="zh-CN" w:bidi="ar-SA"/>
                    </w:rPr>
                  </w:pPr>
                  <w:r>
                    <w:rPr>
                      <w:rFonts w:hint="eastAsia" w:cs="Times New Roman"/>
                      <w:color w:val="auto"/>
                      <w:spacing w:val="-10"/>
                      <w:kern w:val="2"/>
                      <w:sz w:val="18"/>
                      <w:szCs w:val="18"/>
                      <w:lang w:val="en-US" w:eastAsia="zh-CN" w:bidi="ar-SA"/>
                    </w:rPr>
                    <w:t>--</w:t>
                  </w:r>
                </w:p>
              </w:tc>
              <w:tc>
                <w:tcPr>
                  <w:tcW w:w="800" w:type="dxa"/>
                  <w:tcBorders>
                    <w:tl2br w:val="nil"/>
                    <w:tr2bl w:val="nil"/>
                  </w:tcBorders>
                  <w:noWrap w:val="0"/>
                  <w:vAlign w:val="center"/>
                </w:tcPr>
                <w:p w14:paraId="655B6AE4">
                  <w:pPr>
                    <w:widowControl/>
                    <w:spacing w:line="0" w:lineRule="atLeast"/>
                    <w:jc w:val="center"/>
                    <w:rPr>
                      <w:rFonts w:hint="eastAsia" w:ascii="Times New Roman" w:hAnsi="Times New Roman" w:eastAsia="宋体" w:cs="Times New Roman"/>
                      <w:color w:val="auto"/>
                      <w:spacing w:val="-10"/>
                      <w:kern w:val="2"/>
                      <w:sz w:val="18"/>
                      <w:szCs w:val="18"/>
                      <w:lang w:val="en-US" w:eastAsia="zh-CN" w:bidi="ar-SA"/>
                    </w:rPr>
                  </w:pPr>
                  <w:r>
                    <w:rPr>
                      <w:rFonts w:hint="eastAsia" w:cs="Times New Roman"/>
                      <w:color w:val="auto"/>
                      <w:spacing w:val="-10"/>
                      <w:sz w:val="18"/>
                      <w:szCs w:val="18"/>
                      <w:lang w:val="en-US" w:eastAsia="zh-CN"/>
                    </w:rPr>
                    <w:t>--</w:t>
                  </w:r>
                </w:p>
              </w:tc>
              <w:tc>
                <w:tcPr>
                  <w:tcW w:w="825" w:type="dxa"/>
                  <w:tcBorders>
                    <w:tl2br w:val="nil"/>
                    <w:tr2bl w:val="nil"/>
                  </w:tcBorders>
                  <w:noWrap w:val="0"/>
                  <w:vAlign w:val="center"/>
                </w:tcPr>
                <w:p w14:paraId="4CD37E9F">
                  <w:pPr>
                    <w:widowControl/>
                    <w:spacing w:line="0" w:lineRule="atLeast"/>
                    <w:jc w:val="center"/>
                    <w:rPr>
                      <w:rFonts w:hint="eastAsia" w:ascii="Times New Roman" w:hAnsi="Times New Roman" w:eastAsia="宋体" w:cs="Times New Roman"/>
                      <w:color w:val="auto"/>
                      <w:spacing w:val="-10"/>
                      <w:kern w:val="2"/>
                      <w:sz w:val="18"/>
                      <w:szCs w:val="18"/>
                      <w:lang w:val="en-US" w:eastAsia="zh-CN" w:bidi="ar-SA"/>
                    </w:rPr>
                  </w:pPr>
                  <w:r>
                    <w:rPr>
                      <w:rFonts w:hint="eastAsia" w:cs="Times New Roman"/>
                      <w:color w:val="auto"/>
                      <w:spacing w:val="-10"/>
                      <w:sz w:val="18"/>
                      <w:szCs w:val="18"/>
                      <w:lang w:val="en-US" w:eastAsia="zh-CN"/>
                    </w:rPr>
                    <w:t>--</w:t>
                  </w:r>
                </w:p>
              </w:tc>
              <w:tc>
                <w:tcPr>
                  <w:tcW w:w="775" w:type="dxa"/>
                  <w:tcBorders>
                    <w:tl2br w:val="nil"/>
                    <w:tr2bl w:val="nil"/>
                  </w:tcBorders>
                  <w:noWrap w:val="0"/>
                  <w:vAlign w:val="center"/>
                </w:tcPr>
                <w:p w14:paraId="63A04603">
                  <w:pPr>
                    <w:widowControl/>
                    <w:spacing w:line="0" w:lineRule="atLeast"/>
                    <w:jc w:val="center"/>
                    <w:rPr>
                      <w:rFonts w:hint="eastAsia" w:ascii="Times New Roman" w:hAnsi="Times New Roman" w:eastAsia="宋体" w:cs="Times New Roman"/>
                      <w:color w:val="auto"/>
                      <w:spacing w:val="-10"/>
                      <w:sz w:val="18"/>
                      <w:szCs w:val="18"/>
                      <w:lang w:val="en-US" w:eastAsia="zh-CN"/>
                    </w:rPr>
                  </w:pPr>
                  <w:r>
                    <w:rPr>
                      <w:rFonts w:hint="eastAsia" w:ascii="Times New Roman" w:hAnsi="Times New Roman" w:eastAsia="宋体" w:cs="Times New Roman"/>
                      <w:color w:val="auto"/>
                      <w:spacing w:val="-10"/>
                      <w:sz w:val="18"/>
                      <w:szCs w:val="18"/>
                      <w:lang w:val="en-US" w:eastAsia="zh-CN"/>
                    </w:rPr>
                    <w:t>--</w:t>
                  </w:r>
                </w:p>
              </w:tc>
              <w:tc>
                <w:tcPr>
                  <w:tcW w:w="550" w:type="dxa"/>
                  <w:tcBorders>
                    <w:tl2br w:val="nil"/>
                    <w:tr2bl w:val="nil"/>
                  </w:tcBorders>
                  <w:shd w:val="clear" w:color="auto" w:fill="auto"/>
                  <w:noWrap w:val="0"/>
                  <w:vAlign w:val="center"/>
                </w:tcPr>
                <w:p w14:paraId="6452986F">
                  <w:pPr>
                    <w:widowControl/>
                    <w:spacing w:line="0" w:lineRule="atLeast"/>
                    <w:jc w:val="center"/>
                    <w:rPr>
                      <w:rFonts w:hint="default" w:ascii="Times New Roman" w:hAnsi="Times New Roman" w:eastAsia="宋体" w:cs="Times New Roman"/>
                      <w:color w:val="auto"/>
                      <w:spacing w:val="-10"/>
                      <w:kern w:val="2"/>
                      <w:sz w:val="18"/>
                      <w:szCs w:val="18"/>
                      <w:lang w:val="en-US" w:eastAsia="zh-CN" w:bidi="ar-SA"/>
                    </w:rPr>
                  </w:pPr>
                  <w:r>
                    <w:rPr>
                      <w:rFonts w:hint="eastAsia" w:cs="Times New Roman"/>
                      <w:color w:val="auto"/>
                      <w:spacing w:val="-10"/>
                      <w:sz w:val="18"/>
                      <w:szCs w:val="18"/>
                      <w:lang w:val="en-US" w:eastAsia="zh-CN"/>
                    </w:rPr>
                    <w:t>6</w:t>
                  </w:r>
                </w:p>
              </w:tc>
              <w:tc>
                <w:tcPr>
                  <w:tcW w:w="800" w:type="dxa"/>
                  <w:tcBorders>
                    <w:tl2br w:val="nil"/>
                    <w:tr2bl w:val="nil"/>
                  </w:tcBorders>
                  <w:shd w:val="clear" w:color="auto" w:fill="auto"/>
                  <w:noWrap w:val="0"/>
                  <w:vAlign w:val="center"/>
                </w:tcPr>
                <w:p w14:paraId="180D6E66">
                  <w:pPr>
                    <w:widowControl/>
                    <w:spacing w:line="0" w:lineRule="atLeast"/>
                    <w:jc w:val="center"/>
                    <w:rPr>
                      <w:rFonts w:hint="eastAsia" w:ascii="Times New Roman" w:hAnsi="Times New Roman" w:eastAsia="宋体" w:cs="Times New Roman"/>
                      <w:color w:val="auto"/>
                      <w:spacing w:val="-10"/>
                      <w:kern w:val="2"/>
                      <w:sz w:val="18"/>
                      <w:szCs w:val="18"/>
                      <w:highlight w:val="none"/>
                      <w:lang w:val="en-US" w:eastAsia="zh-CN" w:bidi="ar-SA"/>
                    </w:rPr>
                  </w:pPr>
                  <w:r>
                    <w:rPr>
                      <w:rFonts w:hint="eastAsia" w:ascii="Times New Roman" w:hAnsi="Times New Roman" w:eastAsia="宋体" w:cs="Times New Roman"/>
                      <w:color w:val="auto"/>
                      <w:spacing w:val="-10"/>
                      <w:sz w:val="18"/>
                      <w:szCs w:val="18"/>
                      <w:lang w:val="en-US" w:eastAsia="zh-CN"/>
                    </w:rPr>
                    <w:t>沉降灰</w:t>
                  </w:r>
                </w:p>
              </w:tc>
              <w:tc>
                <w:tcPr>
                  <w:tcW w:w="850" w:type="dxa"/>
                  <w:tcBorders>
                    <w:tl2br w:val="nil"/>
                    <w:tr2bl w:val="nil"/>
                  </w:tcBorders>
                  <w:shd w:val="clear" w:color="auto" w:fill="auto"/>
                  <w:noWrap w:val="0"/>
                  <w:vAlign w:val="center"/>
                </w:tcPr>
                <w:p w14:paraId="04A33D40">
                  <w:pPr>
                    <w:widowControl/>
                    <w:spacing w:line="0" w:lineRule="atLeast"/>
                    <w:jc w:val="center"/>
                    <w:rPr>
                      <w:rFonts w:hint="default" w:ascii="Times New Roman" w:hAnsi="Times New Roman" w:eastAsia="宋体" w:cs="Times New Roman"/>
                      <w:color w:val="auto"/>
                      <w:spacing w:val="-10"/>
                      <w:sz w:val="18"/>
                      <w:szCs w:val="18"/>
                      <w:lang w:val="en-US" w:eastAsia="zh-CN"/>
                    </w:rPr>
                  </w:pPr>
                  <w:r>
                    <w:rPr>
                      <w:rFonts w:hint="eastAsia" w:ascii="Times New Roman" w:hAnsi="Times New Roman" w:eastAsia="宋体" w:cs="Times New Roman"/>
                      <w:color w:val="auto"/>
                      <w:spacing w:val="-10"/>
                      <w:sz w:val="18"/>
                      <w:szCs w:val="18"/>
                      <w:lang w:val="en-US" w:eastAsia="zh-CN"/>
                    </w:rPr>
                    <w:t>14.289</w:t>
                  </w:r>
                </w:p>
              </w:tc>
              <w:tc>
                <w:tcPr>
                  <w:tcW w:w="800" w:type="dxa"/>
                  <w:tcBorders>
                    <w:tl2br w:val="nil"/>
                    <w:tr2bl w:val="nil"/>
                  </w:tcBorders>
                  <w:noWrap w:val="0"/>
                  <w:vAlign w:val="center"/>
                </w:tcPr>
                <w:p w14:paraId="4FBFDB2D">
                  <w:pPr>
                    <w:widowControl/>
                    <w:spacing w:line="0" w:lineRule="atLeast"/>
                    <w:jc w:val="center"/>
                    <w:rPr>
                      <w:rFonts w:hint="default" w:ascii="Times New Roman" w:hAnsi="Times New Roman" w:eastAsia="宋体" w:cs="Times New Roman"/>
                      <w:color w:val="auto"/>
                      <w:spacing w:val="-10"/>
                      <w:sz w:val="18"/>
                      <w:szCs w:val="18"/>
                      <w:lang w:val="en-US" w:eastAsia="zh-CN"/>
                    </w:rPr>
                  </w:pPr>
                  <w:r>
                    <w:rPr>
                      <w:rFonts w:hint="eastAsia" w:ascii="Times New Roman" w:hAnsi="Times New Roman" w:eastAsia="宋体" w:cs="Times New Roman"/>
                      <w:color w:val="auto"/>
                      <w:spacing w:val="-10"/>
                      <w:sz w:val="18"/>
                      <w:szCs w:val="18"/>
                      <w:lang w:val="en-US" w:eastAsia="zh-CN"/>
                    </w:rPr>
                    <w:t>10.1</w:t>
                  </w:r>
                </w:p>
              </w:tc>
              <w:tc>
                <w:tcPr>
                  <w:tcW w:w="772" w:type="dxa"/>
                  <w:tcBorders>
                    <w:tl2br w:val="nil"/>
                    <w:tr2bl w:val="nil"/>
                  </w:tcBorders>
                  <w:noWrap w:val="0"/>
                  <w:vAlign w:val="center"/>
                </w:tcPr>
                <w:p w14:paraId="3D6AA6A4">
                  <w:pPr>
                    <w:widowControl/>
                    <w:spacing w:line="0" w:lineRule="atLeast"/>
                    <w:jc w:val="center"/>
                    <w:rPr>
                      <w:rFonts w:hint="default" w:ascii="Times New Roman" w:hAnsi="Times New Roman" w:eastAsia="宋体" w:cs="Times New Roman"/>
                      <w:color w:val="auto"/>
                      <w:spacing w:val="-10"/>
                      <w:sz w:val="18"/>
                      <w:szCs w:val="18"/>
                      <w:lang w:val="en-US" w:eastAsia="zh-CN"/>
                    </w:rPr>
                  </w:pPr>
                  <w:r>
                    <w:rPr>
                      <w:rFonts w:hint="eastAsia" w:ascii="Times New Roman" w:hAnsi="Times New Roman" w:eastAsia="宋体" w:cs="Times New Roman"/>
                      <w:color w:val="auto"/>
                      <w:spacing w:val="-10"/>
                      <w:sz w:val="18"/>
                      <w:szCs w:val="18"/>
                      <w:lang w:val="en-US" w:eastAsia="zh-CN"/>
                    </w:rPr>
                    <w:t>1.4</w:t>
                  </w:r>
                </w:p>
              </w:tc>
            </w:tr>
            <w:tr w14:paraId="645C57C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52" w:type="dxa"/>
                  <w:vMerge w:val="continue"/>
                  <w:tcBorders>
                    <w:tl2br w:val="nil"/>
                    <w:tr2bl w:val="nil"/>
                  </w:tcBorders>
                  <w:noWrap w:val="0"/>
                  <w:vAlign w:val="center"/>
                </w:tcPr>
                <w:p w14:paraId="0F5F5DD0">
                  <w:pPr>
                    <w:widowControl/>
                    <w:spacing w:line="0" w:lineRule="atLeast"/>
                    <w:jc w:val="center"/>
                    <w:rPr>
                      <w:rFonts w:hint="eastAsia" w:ascii="Times New Roman" w:hAnsi="Times New Roman" w:eastAsia="宋体" w:cs="Times New Roman"/>
                      <w:color w:val="auto"/>
                      <w:spacing w:val="-10"/>
                      <w:sz w:val="18"/>
                      <w:szCs w:val="18"/>
                      <w:lang w:val="en-US" w:eastAsia="zh-CN"/>
                    </w:rPr>
                  </w:pPr>
                </w:p>
              </w:tc>
              <w:tc>
                <w:tcPr>
                  <w:tcW w:w="542" w:type="dxa"/>
                  <w:tcBorders>
                    <w:tl2br w:val="nil"/>
                    <w:tr2bl w:val="nil"/>
                  </w:tcBorders>
                  <w:shd w:val="clear" w:color="auto" w:fill="auto"/>
                  <w:noWrap w:val="0"/>
                  <w:vAlign w:val="center"/>
                </w:tcPr>
                <w:p w14:paraId="69ECAE7F">
                  <w:pPr>
                    <w:widowControl/>
                    <w:spacing w:line="0" w:lineRule="atLeast"/>
                    <w:jc w:val="center"/>
                    <w:rPr>
                      <w:rFonts w:hint="eastAsia" w:ascii="Times New Roman" w:hAnsi="Times New Roman" w:eastAsia="宋体" w:cs="Times New Roman"/>
                      <w:color w:val="auto"/>
                      <w:spacing w:val="-10"/>
                      <w:kern w:val="2"/>
                      <w:sz w:val="18"/>
                      <w:szCs w:val="18"/>
                      <w:lang w:val="en-US" w:eastAsia="zh-CN" w:bidi="ar-SA"/>
                    </w:rPr>
                  </w:pPr>
                  <w:r>
                    <w:rPr>
                      <w:rFonts w:hint="eastAsia" w:cs="Times New Roman"/>
                      <w:color w:val="auto"/>
                      <w:spacing w:val="-10"/>
                      <w:kern w:val="2"/>
                      <w:sz w:val="18"/>
                      <w:szCs w:val="18"/>
                      <w:lang w:val="en-US" w:eastAsia="zh-CN" w:bidi="ar-SA"/>
                    </w:rPr>
                    <w:t>--</w:t>
                  </w:r>
                </w:p>
              </w:tc>
              <w:tc>
                <w:tcPr>
                  <w:tcW w:w="808" w:type="dxa"/>
                  <w:tcBorders>
                    <w:tl2br w:val="nil"/>
                    <w:tr2bl w:val="nil"/>
                  </w:tcBorders>
                  <w:shd w:val="clear" w:color="auto" w:fill="auto"/>
                  <w:noWrap w:val="0"/>
                  <w:vAlign w:val="center"/>
                </w:tcPr>
                <w:p w14:paraId="7CC87FBD">
                  <w:pPr>
                    <w:widowControl/>
                    <w:spacing w:line="0" w:lineRule="atLeast"/>
                    <w:jc w:val="center"/>
                    <w:rPr>
                      <w:rFonts w:hint="eastAsia" w:ascii="Times New Roman" w:hAnsi="Times New Roman" w:eastAsia="宋体" w:cs="Times New Roman"/>
                      <w:color w:val="auto"/>
                      <w:spacing w:val="-10"/>
                      <w:kern w:val="2"/>
                      <w:sz w:val="18"/>
                      <w:szCs w:val="18"/>
                      <w:lang w:val="en-US" w:eastAsia="zh-CN" w:bidi="ar-SA"/>
                    </w:rPr>
                  </w:pPr>
                  <w:r>
                    <w:rPr>
                      <w:rFonts w:hint="eastAsia" w:cs="Times New Roman"/>
                      <w:color w:val="auto"/>
                      <w:spacing w:val="-10"/>
                      <w:kern w:val="2"/>
                      <w:sz w:val="18"/>
                      <w:szCs w:val="18"/>
                      <w:lang w:val="en-US" w:eastAsia="zh-CN" w:bidi="ar-SA"/>
                    </w:rPr>
                    <w:t>--</w:t>
                  </w:r>
                </w:p>
              </w:tc>
              <w:tc>
                <w:tcPr>
                  <w:tcW w:w="800" w:type="dxa"/>
                  <w:tcBorders>
                    <w:tl2br w:val="nil"/>
                    <w:tr2bl w:val="nil"/>
                  </w:tcBorders>
                  <w:shd w:val="clear" w:color="auto" w:fill="auto"/>
                  <w:noWrap w:val="0"/>
                  <w:vAlign w:val="center"/>
                </w:tcPr>
                <w:p w14:paraId="7C98045C">
                  <w:pPr>
                    <w:widowControl/>
                    <w:spacing w:line="0" w:lineRule="atLeast"/>
                    <w:jc w:val="center"/>
                    <w:rPr>
                      <w:rFonts w:hint="eastAsia" w:ascii="Times New Roman" w:hAnsi="Times New Roman" w:eastAsia="宋体" w:cs="Times New Roman"/>
                      <w:color w:val="auto"/>
                      <w:spacing w:val="-10"/>
                      <w:kern w:val="2"/>
                      <w:sz w:val="18"/>
                      <w:szCs w:val="18"/>
                      <w:lang w:val="en-US" w:eastAsia="zh-CN" w:bidi="ar-SA"/>
                    </w:rPr>
                  </w:pPr>
                  <w:r>
                    <w:rPr>
                      <w:rFonts w:hint="eastAsia" w:cs="Times New Roman"/>
                      <w:color w:val="auto"/>
                      <w:spacing w:val="-10"/>
                      <w:sz w:val="18"/>
                      <w:szCs w:val="18"/>
                      <w:lang w:val="en-US" w:eastAsia="zh-CN"/>
                    </w:rPr>
                    <w:t>--</w:t>
                  </w:r>
                </w:p>
              </w:tc>
              <w:tc>
                <w:tcPr>
                  <w:tcW w:w="825" w:type="dxa"/>
                  <w:tcBorders>
                    <w:tl2br w:val="nil"/>
                    <w:tr2bl w:val="nil"/>
                  </w:tcBorders>
                  <w:shd w:val="clear" w:color="auto" w:fill="auto"/>
                  <w:noWrap w:val="0"/>
                  <w:vAlign w:val="center"/>
                </w:tcPr>
                <w:p w14:paraId="4CB7BD56">
                  <w:pPr>
                    <w:widowControl/>
                    <w:spacing w:line="0" w:lineRule="atLeast"/>
                    <w:jc w:val="center"/>
                    <w:rPr>
                      <w:rFonts w:hint="eastAsia" w:ascii="Times New Roman" w:hAnsi="Times New Roman" w:eastAsia="宋体" w:cs="Times New Roman"/>
                      <w:color w:val="auto"/>
                      <w:spacing w:val="-10"/>
                      <w:kern w:val="2"/>
                      <w:sz w:val="18"/>
                      <w:szCs w:val="18"/>
                      <w:lang w:val="en-US" w:eastAsia="zh-CN" w:bidi="ar-SA"/>
                    </w:rPr>
                  </w:pPr>
                  <w:r>
                    <w:rPr>
                      <w:rFonts w:hint="eastAsia" w:cs="Times New Roman"/>
                      <w:color w:val="auto"/>
                      <w:spacing w:val="-10"/>
                      <w:sz w:val="18"/>
                      <w:szCs w:val="18"/>
                      <w:lang w:val="en-US" w:eastAsia="zh-CN"/>
                    </w:rPr>
                    <w:t>--</w:t>
                  </w:r>
                </w:p>
              </w:tc>
              <w:tc>
                <w:tcPr>
                  <w:tcW w:w="775" w:type="dxa"/>
                  <w:tcBorders>
                    <w:tl2br w:val="nil"/>
                    <w:tr2bl w:val="nil"/>
                  </w:tcBorders>
                  <w:shd w:val="clear" w:color="auto" w:fill="auto"/>
                  <w:noWrap w:val="0"/>
                  <w:vAlign w:val="center"/>
                </w:tcPr>
                <w:p w14:paraId="3C6742B0">
                  <w:pPr>
                    <w:widowControl/>
                    <w:spacing w:line="0" w:lineRule="atLeast"/>
                    <w:jc w:val="center"/>
                    <w:rPr>
                      <w:rFonts w:hint="eastAsia" w:ascii="Times New Roman" w:hAnsi="Times New Roman" w:eastAsia="宋体" w:cs="Times New Roman"/>
                      <w:color w:val="auto"/>
                      <w:spacing w:val="-10"/>
                      <w:kern w:val="2"/>
                      <w:sz w:val="18"/>
                      <w:szCs w:val="18"/>
                      <w:lang w:val="en-US" w:eastAsia="zh-CN" w:bidi="ar-SA"/>
                    </w:rPr>
                  </w:pPr>
                  <w:r>
                    <w:rPr>
                      <w:rFonts w:hint="eastAsia" w:ascii="Times New Roman" w:hAnsi="Times New Roman" w:eastAsia="宋体" w:cs="Times New Roman"/>
                      <w:color w:val="auto"/>
                      <w:spacing w:val="-10"/>
                      <w:sz w:val="18"/>
                      <w:szCs w:val="18"/>
                      <w:lang w:val="en-US" w:eastAsia="zh-CN"/>
                    </w:rPr>
                    <w:t>--</w:t>
                  </w:r>
                </w:p>
              </w:tc>
              <w:tc>
                <w:tcPr>
                  <w:tcW w:w="550" w:type="dxa"/>
                  <w:tcBorders>
                    <w:tl2br w:val="nil"/>
                    <w:tr2bl w:val="nil"/>
                  </w:tcBorders>
                  <w:shd w:val="clear" w:color="auto" w:fill="auto"/>
                  <w:noWrap w:val="0"/>
                  <w:vAlign w:val="center"/>
                </w:tcPr>
                <w:p w14:paraId="4D6245DA">
                  <w:pPr>
                    <w:widowControl/>
                    <w:spacing w:line="0" w:lineRule="atLeast"/>
                    <w:jc w:val="center"/>
                    <w:rPr>
                      <w:rFonts w:hint="default" w:ascii="Times New Roman" w:hAnsi="Times New Roman" w:eastAsia="宋体" w:cs="Times New Roman"/>
                      <w:color w:val="auto"/>
                      <w:spacing w:val="-10"/>
                      <w:kern w:val="2"/>
                      <w:sz w:val="18"/>
                      <w:szCs w:val="18"/>
                      <w:lang w:val="en-US" w:eastAsia="zh-CN" w:bidi="ar-SA"/>
                    </w:rPr>
                  </w:pPr>
                  <w:r>
                    <w:rPr>
                      <w:rFonts w:hint="eastAsia" w:cs="Times New Roman"/>
                      <w:color w:val="auto"/>
                      <w:spacing w:val="-10"/>
                      <w:sz w:val="18"/>
                      <w:szCs w:val="18"/>
                      <w:lang w:val="en-US" w:eastAsia="zh-CN"/>
                    </w:rPr>
                    <w:t>7</w:t>
                  </w:r>
                </w:p>
              </w:tc>
              <w:tc>
                <w:tcPr>
                  <w:tcW w:w="800" w:type="dxa"/>
                  <w:tcBorders>
                    <w:tl2br w:val="nil"/>
                    <w:tr2bl w:val="nil"/>
                  </w:tcBorders>
                  <w:shd w:val="clear" w:color="auto" w:fill="auto"/>
                  <w:noWrap w:val="0"/>
                  <w:vAlign w:val="center"/>
                </w:tcPr>
                <w:p w14:paraId="64D11379">
                  <w:pPr>
                    <w:widowControl/>
                    <w:spacing w:line="0" w:lineRule="atLeast"/>
                    <w:jc w:val="center"/>
                    <w:rPr>
                      <w:rFonts w:hint="eastAsia" w:ascii="Times New Roman" w:hAnsi="Times New Roman" w:eastAsia="宋体" w:cs="Times New Roman"/>
                      <w:color w:val="auto"/>
                      <w:spacing w:val="-10"/>
                      <w:kern w:val="2"/>
                      <w:sz w:val="18"/>
                      <w:szCs w:val="18"/>
                      <w:highlight w:val="none"/>
                      <w:lang w:val="en-US" w:eastAsia="zh-CN" w:bidi="ar-SA"/>
                    </w:rPr>
                  </w:pPr>
                  <w:r>
                    <w:rPr>
                      <w:rFonts w:hint="eastAsia" w:ascii="Times New Roman" w:hAnsi="Times New Roman" w:eastAsia="宋体" w:cs="Times New Roman"/>
                      <w:color w:val="auto"/>
                      <w:spacing w:val="-10"/>
                      <w:sz w:val="18"/>
                      <w:szCs w:val="18"/>
                      <w:lang w:val="en-US" w:eastAsia="zh-CN"/>
                    </w:rPr>
                    <w:t>污泥、泥饼</w:t>
                  </w:r>
                </w:p>
              </w:tc>
              <w:tc>
                <w:tcPr>
                  <w:tcW w:w="850" w:type="dxa"/>
                  <w:tcBorders>
                    <w:tl2br w:val="nil"/>
                    <w:tr2bl w:val="nil"/>
                  </w:tcBorders>
                  <w:shd w:val="clear" w:color="auto" w:fill="auto"/>
                  <w:noWrap w:val="0"/>
                  <w:vAlign w:val="center"/>
                </w:tcPr>
                <w:p w14:paraId="618F871C">
                  <w:pPr>
                    <w:widowControl/>
                    <w:spacing w:line="0" w:lineRule="atLeast"/>
                    <w:jc w:val="center"/>
                    <w:rPr>
                      <w:rFonts w:hint="eastAsia" w:ascii="Times New Roman" w:hAnsi="Times New Roman" w:eastAsia="宋体" w:cs="Times New Roman"/>
                      <w:color w:val="auto"/>
                      <w:spacing w:val="-10"/>
                      <w:sz w:val="18"/>
                      <w:szCs w:val="18"/>
                      <w:lang w:val="en-US" w:eastAsia="zh-CN"/>
                    </w:rPr>
                  </w:pPr>
                  <w:r>
                    <w:rPr>
                      <w:rFonts w:hint="eastAsia" w:ascii="Times New Roman" w:hAnsi="Times New Roman" w:eastAsia="宋体" w:cs="Times New Roman"/>
                      <w:color w:val="auto"/>
                      <w:spacing w:val="-10"/>
                      <w:sz w:val="18"/>
                      <w:szCs w:val="18"/>
                      <w:lang w:val="en-US" w:eastAsia="zh-CN"/>
                    </w:rPr>
                    <w:t>12187.2</w:t>
                  </w:r>
                </w:p>
              </w:tc>
              <w:tc>
                <w:tcPr>
                  <w:tcW w:w="800" w:type="dxa"/>
                  <w:tcBorders>
                    <w:tl2br w:val="nil"/>
                    <w:tr2bl w:val="nil"/>
                  </w:tcBorders>
                  <w:noWrap w:val="0"/>
                  <w:vAlign w:val="center"/>
                </w:tcPr>
                <w:p w14:paraId="57A3904C">
                  <w:pPr>
                    <w:widowControl/>
                    <w:spacing w:line="0" w:lineRule="atLeast"/>
                    <w:jc w:val="center"/>
                    <w:rPr>
                      <w:rFonts w:hint="eastAsia" w:ascii="Times New Roman" w:hAnsi="Times New Roman" w:eastAsia="宋体" w:cs="Times New Roman"/>
                      <w:color w:val="auto"/>
                      <w:spacing w:val="-10"/>
                      <w:sz w:val="18"/>
                      <w:szCs w:val="18"/>
                      <w:lang w:val="en-US" w:eastAsia="zh-CN"/>
                    </w:rPr>
                  </w:pPr>
                  <w:r>
                    <w:rPr>
                      <w:rFonts w:hint="eastAsia" w:ascii="Times New Roman" w:hAnsi="Times New Roman" w:eastAsia="宋体" w:cs="Times New Roman"/>
                      <w:color w:val="auto"/>
                      <w:spacing w:val="-10"/>
                      <w:sz w:val="18"/>
                      <w:szCs w:val="18"/>
                      <w:lang w:val="en-US" w:eastAsia="zh-CN"/>
                    </w:rPr>
                    <w:t>2.392</w:t>
                  </w:r>
                </w:p>
              </w:tc>
              <w:tc>
                <w:tcPr>
                  <w:tcW w:w="772" w:type="dxa"/>
                  <w:tcBorders>
                    <w:tl2br w:val="nil"/>
                    <w:tr2bl w:val="nil"/>
                  </w:tcBorders>
                  <w:noWrap w:val="0"/>
                  <w:vAlign w:val="center"/>
                </w:tcPr>
                <w:p w14:paraId="1FDAC834">
                  <w:pPr>
                    <w:widowControl/>
                    <w:spacing w:line="0" w:lineRule="atLeast"/>
                    <w:jc w:val="center"/>
                    <w:rPr>
                      <w:rFonts w:hint="eastAsia" w:ascii="Times New Roman" w:hAnsi="Times New Roman" w:eastAsia="宋体" w:cs="Times New Roman"/>
                      <w:color w:val="auto"/>
                      <w:spacing w:val="-10"/>
                      <w:sz w:val="18"/>
                      <w:szCs w:val="18"/>
                      <w:lang w:val="en-US" w:eastAsia="zh-CN"/>
                    </w:rPr>
                  </w:pPr>
                  <w:r>
                    <w:rPr>
                      <w:rFonts w:hint="eastAsia" w:ascii="Times New Roman" w:hAnsi="Times New Roman" w:eastAsia="宋体" w:cs="Times New Roman"/>
                      <w:color w:val="auto"/>
                      <w:spacing w:val="-10"/>
                      <w:sz w:val="18"/>
                      <w:szCs w:val="18"/>
                      <w:lang w:val="en-US" w:eastAsia="zh-CN"/>
                    </w:rPr>
                    <w:t>291.5</w:t>
                  </w:r>
                </w:p>
              </w:tc>
            </w:tr>
            <w:tr w14:paraId="7F8DF29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52" w:type="dxa"/>
                  <w:vMerge w:val="continue"/>
                  <w:tcBorders>
                    <w:tl2br w:val="nil"/>
                    <w:tr2bl w:val="nil"/>
                  </w:tcBorders>
                  <w:noWrap w:val="0"/>
                  <w:vAlign w:val="center"/>
                </w:tcPr>
                <w:p w14:paraId="49AE9DE4">
                  <w:pPr>
                    <w:widowControl/>
                    <w:spacing w:line="0" w:lineRule="atLeast"/>
                    <w:jc w:val="center"/>
                    <w:rPr>
                      <w:rFonts w:hint="eastAsia" w:ascii="Times New Roman" w:hAnsi="Times New Roman" w:eastAsia="宋体" w:cs="Times New Roman"/>
                      <w:color w:val="auto"/>
                      <w:spacing w:val="-10"/>
                      <w:sz w:val="18"/>
                      <w:szCs w:val="18"/>
                      <w:lang w:val="en-US" w:eastAsia="zh-CN"/>
                    </w:rPr>
                  </w:pPr>
                </w:p>
              </w:tc>
              <w:tc>
                <w:tcPr>
                  <w:tcW w:w="2975" w:type="dxa"/>
                  <w:gridSpan w:val="4"/>
                  <w:tcBorders>
                    <w:tl2br w:val="nil"/>
                    <w:tr2bl w:val="nil"/>
                  </w:tcBorders>
                  <w:noWrap w:val="0"/>
                  <w:vAlign w:val="center"/>
                </w:tcPr>
                <w:p w14:paraId="4BB2E41B">
                  <w:pPr>
                    <w:widowControl/>
                    <w:spacing w:line="0" w:lineRule="atLeast"/>
                    <w:jc w:val="center"/>
                    <w:rPr>
                      <w:rFonts w:hint="eastAsia" w:ascii="Times New Roman" w:hAnsi="Times New Roman" w:eastAsia="宋体" w:cs="Times New Roman"/>
                      <w:color w:val="auto"/>
                      <w:spacing w:val="-10"/>
                      <w:sz w:val="18"/>
                      <w:szCs w:val="18"/>
                      <w:lang w:val="en-US" w:eastAsia="zh-CN"/>
                    </w:rPr>
                  </w:pPr>
                  <w:r>
                    <w:rPr>
                      <w:rFonts w:hint="eastAsia" w:ascii="Times New Roman" w:hAnsi="Times New Roman" w:cs="Times New Roman"/>
                      <w:color w:val="auto"/>
                      <w:spacing w:val="-10"/>
                      <w:sz w:val="18"/>
                      <w:szCs w:val="18"/>
                      <w:lang w:val="en-US" w:eastAsia="zh-CN"/>
                    </w:rPr>
                    <w:t>合计</w:t>
                  </w:r>
                </w:p>
              </w:tc>
              <w:tc>
                <w:tcPr>
                  <w:tcW w:w="775" w:type="dxa"/>
                  <w:tcBorders>
                    <w:tl2br w:val="nil"/>
                    <w:tr2bl w:val="nil"/>
                  </w:tcBorders>
                  <w:noWrap w:val="0"/>
                  <w:vAlign w:val="center"/>
                </w:tcPr>
                <w:p w14:paraId="368F7E42">
                  <w:pPr>
                    <w:widowControl/>
                    <w:spacing w:line="0" w:lineRule="atLeast"/>
                    <w:jc w:val="center"/>
                    <w:rPr>
                      <w:rFonts w:hint="default" w:ascii="Times New Roman" w:hAnsi="Times New Roman" w:eastAsia="宋体" w:cs="Times New Roman"/>
                      <w:color w:val="auto"/>
                      <w:spacing w:val="-10"/>
                      <w:sz w:val="18"/>
                      <w:szCs w:val="18"/>
                      <w:lang w:val="en-US" w:eastAsia="zh-CN"/>
                    </w:rPr>
                  </w:pPr>
                  <w:r>
                    <w:rPr>
                      <w:rFonts w:hint="eastAsia" w:ascii="Times New Roman" w:hAnsi="Times New Roman" w:eastAsia="宋体" w:cs="Times New Roman"/>
                      <w:color w:val="auto"/>
                      <w:spacing w:val="-10"/>
                      <w:sz w:val="18"/>
                      <w:szCs w:val="18"/>
                      <w:lang w:val="en-US" w:eastAsia="zh-CN"/>
                    </w:rPr>
                    <w:t>20215</w:t>
                  </w:r>
                </w:p>
              </w:tc>
              <w:tc>
                <w:tcPr>
                  <w:tcW w:w="3000" w:type="dxa"/>
                  <w:gridSpan w:val="4"/>
                  <w:tcBorders>
                    <w:tl2br w:val="nil"/>
                    <w:tr2bl w:val="nil"/>
                  </w:tcBorders>
                  <w:noWrap w:val="0"/>
                  <w:vAlign w:val="center"/>
                </w:tcPr>
                <w:p w14:paraId="11C172B3">
                  <w:pPr>
                    <w:widowControl/>
                    <w:spacing w:line="0" w:lineRule="atLeast"/>
                    <w:jc w:val="center"/>
                    <w:rPr>
                      <w:rFonts w:hint="eastAsia" w:ascii="Times New Roman" w:hAnsi="Times New Roman" w:eastAsia="宋体" w:cs="Times New Roman"/>
                      <w:color w:val="auto"/>
                      <w:spacing w:val="-10"/>
                      <w:sz w:val="18"/>
                      <w:szCs w:val="18"/>
                      <w:lang w:val="en-US" w:eastAsia="zh-CN"/>
                    </w:rPr>
                  </w:pPr>
                  <w:r>
                    <w:rPr>
                      <w:rFonts w:hint="eastAsia" w:ascii="Times New Roman" w:hAnsi="Times New Roman" w:eastAsia="宋体" w:cs="Times New Roman"/>
                      <w:color w:val="auto"/>
                      <w:spacing w:val="-10"/>
                      <w:sz w:val="18"/>
                      <w:szCs w:val="18"/>
                      <w:lang w:val="en-US" w:eastAsia="zh-CN"/>
                    </w:rPr>
                    <w:t>合计</w:t>
                  </w:r>
                </w:p>
              </w:tc>
              <w:tc>
                <w:tcPr>
                  <w:tcW w:w="772" w:type="dxa"/>
                  <w:tcBorders>
                    <w:tl2br w:val="nil"/>
                    <w:tr2bl w:val="nil"/>
                  </w:tcBorders>
                  <w:noWrap w:val="0"/>
                  <w:vAlign w:val="center"/>
                </w:tcPr>
                <w:p w14:paraId="6E0B8E5E">
                  <w:pPr>
                    <w:widowControl/>
                    <w:spacing w:line="0" w:lineRule="atLeast"/>
                    <w:jc w:val="center"/>
                    <w:rPr>
                      <w:rFonts w:hint="default" w:ascii="Times New Roman" w:hAnsi="Times New Roman" w:eastAsia="宋体" w:cs="Times New Roman"/>
                      <w:color w:val="auto"/>
                      <w:spacing w:val="-10"/>
                      <w:sz w:val="18"/>
                      <w:szCs w:val="18"/>
                      <w:lang w:val="en-US" w:eastAsia="zh-CN"/>
                    </w:rPr>
                  </w:pPr>
                  <w:r>
                    <w:rPr>
                      <w:rFonts w:hint="eastAsia" w:ascii="Times New Roman" w:hAnsi="Times New Roman" w:eastAsia="宋体" w:cs="Times New Roman"/>
                      <w:color w:val="auto"/>
                      <w:spacing w:val="-10"/>
                      <w:sz w:val="18"/>
                      <w:szCs w:val="18"/>
                      <w:lang w:val="en-US" w:eastAsia="zh-CN"/>
                    </w:rPr>
                    <w:t>20215</w:t>
                  </w:r>
                </w:p>
              </w:tc>
            </w:tr>
          </w:tbl>
          <w:p w14:paraId="7E162CE5">
            <w:pPr>
              <w:spacing w:before="240" w:line="480" w:lineRule="atLeast"/>
              <w:ind w:firstLine="420" w:firstLineChars="200"/>
              <w:rPr>
                <w:color w:val="auto"/>
                <w:sz w:val="21"/>
              </w:rPr>
            </w:pPr>
            <w:r>
              <w:rPr>
                <w:color w:val="auto"/>
                <w:sz w:val="21"/>
              </w:rPr>
              <mc:AlternateContent>
                <mc:Choice Requires="wps">
                  <w:drawing>
                    <wp:anchor distT="0" distB="0" distL="114300" distR="114300" simplePos="0" relativeHeight="251824128" behindDoc="0" locked="0" layoutInCell="1" allowOverlap="1">
                      <wp:simplePos x="0" y="0"/>
                      <wp:positionH relativeFrom="column">
                        <wp:posOffset>2526665</wp:posOffset>
                      </wp:positionH>
                      <wp:positionV relativeFrom="paragraph">
                        <wp:posOffset>320675</wp:posOffset>
                      </wp:positionV>
                      <wp:extent cx="1403985" cy="209550"/>
                      <wp:effectExtent l="0" t="0" r="0" b="0"/>
                      <wp:wrapNone/>
                      <wp:docPr id="181" name="文本框 58"/>
                      <wp:cNvGraphicFramePr/>
                      <a:graphic xmlns:a="http://schemas.openxmlformats.org/drawingml/2006/main">
                        <a:graphicData uri="http://schemas.microsoft.com/office/word/2010/wordprocessingShape">
                          <wps:wsp>
                            <wps:cNvSpPr txBox="1"/>
                            <wps:spPr>
                              <a:xfrm>
                                <a:off x="4056380" y="1380490"/>
                                <a:ext cx="1403985" cy="209550"/>
                              </a:xfrm>
                              <a:prstGeom prst="rect">
                                <a:avLst/>
                              </a:prstGeom>
                              <a:noFill/>
                              <a:ln w="6350">
                                <a:noFill/>
                              </a:ln>
                            </wps:spPr>
                            <wps:txbx>
                              <w:txbxContent>
                                <w:p w14:paraId="2E2BEA05">
                                  <w:pPr>
                                    <w:spacing w:line="0" w:lineRule="atLeast"/>
                                    <w:jc w:val="center"/>
                                    <w:rPr>
                                      <w:rFonts w:hint="default" w:ascii="Times New Roman" w:hAnsi="Times New Roman" w:eastAsia="宋体" w:cs="Times New Roman"/>
                                      <w:spacing w:val="-10"/>
                                      <w:szCs w:val="21"/>
                                      <w:lang w:val="en-US" w:eastAsia="zh-CN"/>
                                    </w:rPr>
                                  </w:pPr>
                                  <w:r>
                                    <w:rPr>
                                      <w:rFonts w:hint="eastAsia" w:cs="Times New Roman"/>
                                      <w:spacing w:val="-10"/>
                                      <w:szCs w:val="21"/>
                                      <w:lang w:val="en-US" w:eastAsia="zh-CN"/>
                                    </w:rPr>
                                    <w:t>非磁性钢渣粉3906.5</w:t>
                                  </w:r>
                                </w:p>
                              </w:txbxContent>
                            </wps:txbx>
                            <wps:bodyPr lIns="0" tIns="0" rIns="0" bIns="0" upright="1"/>
                          </wps:wsp>
                        </a:graphicData>
                      </a:graphic>
                    </wp:anchor>
                  </w:drawing>
                </mc:Choice>
                <mc:Fallback>
                  <w:pict>
                    <v:shape id="文本框 58" o:spid="_x0000_s1026" o:spt="202" type="#_x0000_t202" style="position:absolute;left:0pt;margin-left:198.95pt;margin-top:25.25pt;height:16.5pt;width:110.55pt;z-index:251824128;mso-width-relative:page;mso-height-relative:page;" filled="f" stroked="f" coordsize="21600,21600" o:gfxdata="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DKKH5f2AAAAAkBAAAPAAAAAAAAAAEAIAAAACIAAABk&#10;cnMvZG93bnJldi54bWxQSwECFAAUAAAACACHTuJAaGn0js0BAACKAwAADgAAAAAAAAABACAAAAAn&#10;AQAAZHJzL2Uyb0RvYy54bWxQSwUGAAAAAAYABgBZAQAAZgUAAAAA&#10;">
                      <v:fill on="f" focussize="0,0"/>
                      <v:stroke on="f" weight="0.5pt"/>
                      <v:imagedata o:title=""/>
                      <o:lock v:ext="edit" aspectratio="f"/>
                      <v:textbox inset="0mm,0mm,0mm,0mm">
                        <w:txbxContent>
                          <w:p w14:paraId="2E2BEA05">
                            <w:pPr>
                              <w:spacing w:line="0" w:lineRule="atLeast"/>
                              <w:jc w:val="center"/>
                              <w:rPr>
                                <w:rFonts w:hint="default" w:ascii="Times New Roman" w:hAnsi="Times New Roman" w:eastAsia="宋体" w:cs="Times New Roman"/>
                                <w:spacing w:val="-10"/>
                                <w:szCs w:val="21"/>
                                <w:lang w:val="en-US" w:eastAsia="zh-CN"/>
                              </w:rPr>
                            </w:pPr>
                            <w:r>
                              <w:rPr>
                                <w:rFonts w:hint="eastAsia" w:cs="Times New Roman"/>
                                <w:spacing w:val="-10"/>
                                <w:szCs w:val="21"/>
                                <w:lang w:val="en-US" w:eastAsia="zh-CN"/>
                              </w:rPr>
                              <w:t>非磁性钢渣粉3906.5</w:t>
                            </w:r>
                          </w:p>
                        </w:txbxContent>
                      </v:textbox>
                    </v:shape>
                  </w:pict>
                </mc:Fallback>
              </mc:AlternateContent>
            </w:r>
            <w:r>
              <w:rPr>
                <w:color w:val="auto"/>
                <w:sz w:val="21"/>
              </w:rPr>
              <mc:AlternateContent>
                <mc:Choice Requires="wps">
                  <w:drawing>
                    <wp:anchor distT="0" distB="0" distL="114300" distR="114300" simplePos="0" relativeHeight="251832320" behindDoc="0" locked="0" layoutInCell="1" allowOverlap="1">
                      <wp:simplePos x="0" y="0"/>
                      <wp:positionH relativeFrom="column">
                        <wp:posOffset>2698115</wp:posOffset>
                      </wp:positionH>
                      <wp:positionV relativeFrom="paragraph">
                        <wp:posOffset>64135</wp:posOffset>
                      </wp:positionV>
                      <wp:extent cx="1605280" cy="200025"/>
                      <wp:effectExtent l="0" t="0" r="0" b="0"/>
                      <wp:wrapNone/>
                      <wp:docPr id="187" name="文本框 34"/>
                      <wp:cNvGraphicFramePr/>
                      <a:graphic xmlns:a="http://schemas.openxmlformats.org/drawingml/2006/main">
                        <a:graphicData uri="http://schemas.microsoft.com/office/word/2010/wordprocessingShape">
                          <wps:wsp>
                            <wps:cNvSpPr txBox="1"/>
                            <wps:spPr>
                              <a:xfrm>
                                <a:off x="4146550" y="1156970"/>
                                <a:ext cx="1605280" cy="200025"/>
                              </a:xfrm>
                              <a:prstGeom prst="rect">
                                <a:avLst/>
                              </a:prstGeom>
                              <a:noFill/>
                              <a:ln w="6350">
                                <a:noFill/>
                              </a:ln>
                            </wps:spPr>
                            <wps:txbx>
                              <w:txbxContent>
                                <w:p w14:paraId="13BE7888">
                                  <w:pPr>
                                    <w:spacing w:line="0" w:lineRule="atLeast"/>
                                    <w:rPr>
                                      <w:rFonts w:hint="default" w:ascii="Times New Roman" w:hAnsi="Times New Roman" w:eastAsia="宋体" w:cs="Times New Roman"/>
                                      <w:spacing w:val="-10"/>
                                      <w:szCs w:val="21"/>
                                      <w:lang w:val="en-US" w:eastAsia="zh-CN"/>
                                    </w:rPr>
                                  </w:pPr>
                                  <w:r>
                                    <w:rPr>
                                      <w:rFonts w:hint="eastAsia" w:ascii="Times New Roman" w:hAnsi="Times New Roman" w:eastAsia="宋体" w:cs="Times New Roman"/>
                                      <w:spacing w:val="-10"/>
                                      <w:szCs w:val="21"/>
                                      <w:lang w:val="en-US" w:eastAsia="zh-CN"/>
                                    </w:rPr>
                                    <w:t>磁性钢渣粉</w:t>
                                  </w:r>
                                  <w:r>
                                    <w:rPr>
                                      <w:rFonts w:hint="eastAsia" w:cs="Times New Roman"/>
                                      <w:spacing w:val="-10"/>
                                      <w:szCs w:val="21"/>
                                      <w:lang w:val="en-US" w:eastAsia="zh-CN"/>
                                    </w:rPr>
                                    <w:t>16000</w:t>
                                  </w:r>
                                </w:p>
                              </w:txbxContent>
                            </wps:txbx>
                            <wps:bodyPr lIns="0" tIns="0" rIns="0" bIns="0" upright="1"/>
                          </wps:wsp>
                        </a:graphicData>
                      </a:graphic>
                    </wp:anchor>
                  </w:drawing>
                </mc:Choice>
                <mc:Fallback>
                  <w:pict>
                    <v:shape id="文本框 34" o:spid="_x0000_s1026" o:spt="202" type="#_x0000_t202" style="position:absolute;left:0pt;margin-left:212.45pt;margin-top:5.05pt;height:15.75pt;width:126.4pt;z-index:251832320;mso-width-relative:page;mso-height-relative:page;" filled="f" stroked="f" coordsize="21600,21600" o:gfxdata="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&#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BzSLG9YAAAAJAQAADwAAAAAAAAABACAAAAAiAAAAZHJz&#10;L2Rvd25yZXYueG1sUEsBAhQAFAAAAAgAh07iQNsB4S/NAQAAigMAAA4AAAAAAAAAAQAgAAAAJQEA&#10;AGRycy9lMm9Eb2MueG1sUEsFBgAAAAAGAAYAWQEAAGQFAAAAAA==&#10;">
                      <v:fill on="f" focussize="0,0"/>
                      <v:stroke on="f" weight="0.5pt"/>
                      <v:imagedata o:title=""/>
                      <o:lock v:ext="edit" aspectratio="f"/>
                      <v:textbox inset="0mm,0mm,0mm,0mm">
                        <w:txbxContent>
                          <w:p w14:paraId="13BE7888">
                            <w:pPr>
                              <w:spacing w:line="0" w:lineRule="atLeast"/>
                              <w:rPr>
                                <w:rFonts w:hint="default" w:ascii="Times New Roman" w:hAnsi="Times New Roman" w:eastAsia="宋体" w:cs="Times New Roman"/>
                                <w:spacing w:val="-10"/>
                                <w:szCs w:val="21"/>
                                <w:lang w:val="en-US" w:eastAsia="zh-CN"/>
                              </w:rPr>
                            </w:pPr>
                            <w:r>
                              <w:rPr>
                                <w:rFonts w:hint="eastAsia" w:ascii="Times New Roman" w:hAnsi="Times New Roman" w:eastAsia="宋体" w:cs="Times New Roman"/>
                                <w:spacing w:val="-10"/>
                                <w:szCs w:val="21"/>
                                <w:lang w:val="en-US" w:eastAsia="zh-CN"/>
                              </w:rPr>
                              <w:t>磁性钢渣粉</w:t>
                            </w:r>
                            <w:r>
                              <w:rPr>
                                <w:rFonts w:hint="eastAsia" w:cs="Times New Roman"/>
                                <w:spacing w:val="-10"/>
                                <w:szCs w:val="21"/>
                                <w:lang w:val="en-US" w:eastAsia="zh-CN"/>
                              </w:rPr>
                              <w:t>16000</w:t>
                            </w:r>
                          </w:p>
                        </w:txbxContent>
                      </v:textbox>
                    </v:shape>
                  </w:pict>
                </mc:Fallback>
              </mc:AlternateContent>
            </w:r>
            <w:r>
              <w:rPr>
                <w:color w:val="auto"/>
                <w:sz w:val="21"/>
              </w:rPr>
              <mc:AlternateContent>
                <mc:Choice Requires="wps">
                  <w:drawing>
                    <wp:anchor distT="0" distB="0" distL="114300" distR="114300" simplePos="0" relativeHeight="251836416" behindDoc="0" locked="0" layoutInCell="1" allowOverlap="1">
                      <wp:simplePos x="0" y="0"/>
                      <wp:positionH relativeFrom="column">
                        <wp:posOffset>1893570</wp:posOffset>
                      </wp:positionH>
                      <wp:positionV relativeFrom="paragraph">
                        <wp:posOffset>120015</wp:posOffset>
                      </wp:positionV>
                      <wp:extent cx="671830" cy="1842770"/>
                      <wp:effectExtent l="6350" t="6350" r="7620" b="17780"/>
                      <wp:wrapNone/>
                      <wp:docPr id="188" name="矩形 169"/>
                      <wp:cNvGraphicFramePr/>
                      <a:graphic xmlns:a="http://schemas.openxmlformats.org/drawingml/2006/main">
                        <a:graphicData uri="http://schemas.microsoft.com/office/word/2010/wordprocessingShape">
                          <wps:wsp>
                            <wps:cNvSpPr/>
                            <wps:spPr>
                              <a:xfrm>
                                <a:off x="3411855" y="1212850"/>
                                <a:ext cx="671830" cy="1842770"/>
                              </a:xfrm>
                              <a:prstGeom prst="rect">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3CD79AC6">
                                  <w:pPr>
                                    <w:jc w:val="center"/>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钢渣处</w:t>
                                  </w:r>
                                </w:p>
                                <w:p w14:paraId="4D3A5836">
                                  <w:pPr>
                                    <w:jc w:val="center"/>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理生产</w:t>
                                  </w:r>
                                </w:p>
                                <w:p w14:paraId="5FE06B99">
                                  <w:pPr>
                                    <w:jc w:val="center"/>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线</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矩形 169" o:spid="_x0000_s1026" o:spt="1" style="position:absolute;left:0pt;margin-left:149.1pt;margin-top:9.45pt;height:145.1pt;width:52.9pt;z-index:251836416;v-text-anchor:middle;mso-width-relative:page;mso-height-relative:page;" filled="f" stroked="t" coordsize="21600,21600" o:gfxdata="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">
                      <v:fill on="f" focussize="0,0"/>
                      <v:stroke weight="1pt" color="#000000 [3213]" joinstyle="round"/>
                      <v:imagedata o:title=""/>
                      <o:lock v:ext="edit" aspectratio="f"/>
                      <v:textbox>
                        <w:txbxContent>
                          <w:p w14:paraId="3CD79AC6">
                            <w:pPr>
                              <w:jc w:val="center"/>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钢渣处</w:t>
                            </w:r>
                          </w:p>
                          <w:p w14:paraId="4D3A5836">
                            <w:pPr>
                              <w:jc w:val="center"/>
                              <w:rPr>
                                <w:rFonts w:hint="eastAsia"/>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理生产</w:t>
                            </w:r>
                          </w:p>
                          <w:p w14:paraId="5FE06B99">
                            <w:pPr>
                              <w:jc w:val="center"/>
                              <w:rPr>
                                <w:rFonts w:hint="default" w:eastAsia="宋体"/>
                                <w:color w:val="000000" w:themeColor="text1"/>
                                <w:lang w:val="en-US" w:eastAsia="zh-CN"/>
                                <w14:textFill>
                                  <w14:solidFill>
                                    <w14:schemeClr w14:val="tx1"/>
                                  </w14:solidFill>
                                </w14:textFill>
                              </w:rPr>
                            </w:pPr>
                            <w:r>
                              <w:rPr>
                                <w:rFonts w:hint="eastAsia"/>
                                <w:color w:val="000000" w:themeColor="text1"/>
                                <w:lang w:val="en-US" w:eastAsia="zh-CN"/>
                                <w14:textFill>
                                  <w14:solidFill>
                                    <w14:schemeClr w14:val="tx1"/>
                                  </w14:solidFill>
                                </w14:textFill>
                              </w:rPr>
                              <w:t>线</w:t>
                            </w:r>
                          </w:p>
                        </w:txbxContent>
                      </v:textbox>
                    </v:rect>
                  </w:pict>
                </mc:Fallback>
              </mc:AlternateContent>
            </w:r>
            <w:r>
              <w:rPr>
                <w:color w:val="auto"/>
                <w:sz w:val="21"/>
              </w:rPr>
              <mc:AlternateContent>
                <mc:Choice Requires="wps">
                  <w:drawing>
                    <wp:anchor distT="0" distB="0" distL="114300" distR="114300" simplePos="0" relativeHeight="251831296" behindDoc="0" locked="0" layoutInCell="1" allowOverlap="1">
                      <wp:simplePos x="0" y="0"/>
                      <wp:positionH relativeFrom="column">
                        <wp:posOffset>2566670</wp:posOffset>
                      </wp:positionH>
                      <wp:positionV relativeFrom="paragraph">
                        <wp:posOffset>237490</wp:posOffset>
                      </wp:positionV>
                      <wp:extent cx="1009650" cy="0"/>
                      <wp:effectExtent l="0" t="25400" r="0" b="31750"/>
                      <wp:wrapNone/>
                      <wp:docPr id="195" name="直接连接符 195"/>
                      <wp:cNvGraphicFramePr/>
                      <a:graphic xmlns:a="http://schemas.openxmlformats.org/drawingml/2006/main">
                        <a:graphicData uri="http://schemas.microsoft.com/office/word/2010/wordprocessingShape">
                          <wps:wsp>
                            <wps:cNvCnPr/>
                            <wps:spPr>
                              <a:xfrm>
                                <a:off x="4084955" y="1330325"/>
                                <a:ext cx="1009650" cy="0"/>
                              </a:xfrm>
                              <a:prstGeom prst="line">
                                <a:avLst/>
                              </a:prstGeom>
                              <a:ln w="6350" cap="flat" cmpd="sng">
                                <a:solidFill>
                                  <a:srgbClr val="000000"/>
                                </a:solidFill>
                                <a:prstDash val="solid"/>
                                <a:headEnd type="none" w="med" len="med"/>
                                <a:tailEnd type="stealth" w="sm" len="sm"/>
                              </a:ln>
                            </wps:spPr>
                            <wps:bodyPr upright="1"/>
                          </wps:wsp>
                        </a:graphicData>
                      </a:graphic>
                    </wp:anchor>
                  </w:drawing>
                </mc:Choice>
                <mc:Fallback>
                  <w:pict>
                    <v:line id="_x0000_s1026" o:spid="_x0000_s1026" o:spt="20" style="position:absolute;left:0pt;margin-left:202.1pt;margin-top:18.7pt;height:0pt;width:79.5pt;z-index:251831296;mso-width-relative:page;mso-height-relative:page;" filled="f" stroked="t" coordsize="21600,21600" o:gfxdata="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AoO7Nc2AAAAAkBAAAPAAAAAAAAAAEA&#10;IAAAACIAAABkcnMvZG93bnJldi54bWxQSwECFAAUAAAACACHTuJAmvzpKg8CAAD1AwAADgAAAAAA&#10;AAABACAAAAAnAQAAZHJzL2Uyb0RvYy54bWxQSwUGAAAAAAYABgBZAQAAqAUAAAAA&#10;">
                      <v:fill on="f" focussize="0,0"/>
                      <v:stroke weight="0.5pt" color="#000000" joinstyle="round" endarrow="classic" endarrowwidth="narrow" endarrowlength="short"/>
                      <v:imagedata o:title=""/>
                      <o:lock v:ext="edit" aspectratio="f"/>
                    </v:line>
                  </w:pict>
                </mc:Fallback>
              </mc:AlternateContent>
            </w:r>
            <w:r>
              <w:rPr>
                <w:color w:val="auto"/>
                <w:sz w:val="21"/>
              </w:rPr>
              <mc:AlternateContent>
                <mc:Choice Requires="wps">
                  <w:drawing>
                    <wp:anchor distT="0" distB="0" distL="114300" distR="114300" simplePos="0" relativeHeight="251827200" behindDoc="0" locked="0" layoutInCell="1" allowOverlap="1">
                      <wp:simplePos x="0" y="0"/>
                      <wp:positionH relativeFrom="column">
                        <wp:posOffset>878205</wp:posOffset>
                      </wp:positionH>
                      <wp:positionV relativeFrom="paragraph">
                        <wp:posOffset>279400</wp:posOffset>
                      </wp:positionV>
                      <wp:extent cx="1038225" cy="200025"/>
                      <wp:effectExtent l="0" t="0" r="0" b="0"/>
                      <wp:wrapNone/>
                      <wp:docPr id="196" name="文本框 33"/>
                      <wp:cNvGraphicFramePr/>
                      <a:graphic xmlns:a="http://schemas.openxmlformats.org/drawingml/2006/main">
                        <a:graphicData uri="http://schemas.microsoft.com/office/word/2010/wordprocessingShape">
                          <wps:wsp>
                            <wps:cNvSpPr txBox="1"/>
                            <wps:spPr>
                              <a:xfrm>
                                <a:off x="2396490" y="1372235"/>
                                <a:ext cx="1038225" cy="200025"/>
                              </a:xfrm>
                              <a:prstGeom prst="rect">
                                <a:avLst/>
                              </a:prstGeom>
                              <a:noFill/>
                              <a:ln w="6350">
                                <a:noFill/>
                              </a:ln>
                            </wps:spPr>
                            <wps:txbx>
                              <w:txbxContent>
                                <w:p w14:paraId="2588E666">
                                  <w:pPr>
                                    <w:spacing w:line="0" w:lineRule="atLeast"/>
                                    <w:jc w:val="center"/>
                                    <w:rPr>
                                      <w:rFonts w:hint="default" w:ascii="Times New Roman" w:hAnsi="Times New Roman" w:eastAsia="宋体" w:cs="Times New Roman"/>
                                      <w:spacing w:val="-10"/>
                                      <w:szCs w:val="21"/>
                                      <w:lang w:val="en-US" w:eastAsia="zh-CN"/>
                                    </w:rPr>
                                  </w:pPr>
                                  <w:r>
                                    <w:rPr>
                                      <w:rFonts w:hint="default" w:ascii="Times New Roman" w:hAnsi="Times New Roman" w:eastAsia="宋体" w:cs="Times New Roman"/>
                                      <w:spacing w:val="-10"/>
                                      <w:szCs w:val="21"/>
                                      <w:lang w:val="en-US" w:eastAsia="zh-CN"/>
                                    </w:rPr>
                                    <w:t>转炉钢渣</w:t>
                                  </w:r>
                                  <w:r>
                                    <w:rPr>
                                      <w:rFonts w:hint="eastAsia" w:cs="Times New Roman"/>
                                      <w:spacing w:val="-10"/>
                                      <w:szCs w:val="21"/>
                                      <w:lang w:val="en-US" w:eastAsia="zh-CN"/>
                                    </w:rPr>
                                    <w:t>20200</w:t>
                                  </w:r>
                                </w:p>
                              </w:txbxContent>
                            </wps:txbx>
                            <wps:bodyPr lIns="0" tIns="0" rIns="0" bIns="0" upright="1"/>
                          </wps:wsp>
                        </a:graphicData>
                      </a:graphic>
                    </wp:anchor>
                  </w:drawing>
                </mc:Choice>
                <mc:Fallback>
                  <w:pict>
                    <v:shape id="文本框 33" o:spid="_x0000_s1026" o:spt="202" type="#_x0000_t202" style="position:absolute;left:0pt;margin-left:69.15pt;margin-top:22pt;height:15.75pt;width:81.75pt;z-index:251827200;mso-width-relative:page;mso-height-relative:page;" filled="f" stroked="f" coordsize="21600,21600" o:gfxdata="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">
                      <v:fill on="f" focussize="0,0"/>
                      <v:stroke on="f" weight="0.5pt"/>
                      <v:imagedata o:title=""/>
                      <o:lock v:ext="edit" aspectratio="f"/>
                      <v:textbox inset="0mm,0mm,0mm,0mm">
                        <w:txbxContent>
                          <w:p w14:paraId="2588E666">
                            <w:pPr>
                              <w:spacing w:line="0" w:lineRule="atLeast"/>
                              <w:jc w:val="center"/>
                              <w:rPr>
                                <w:rFonts w:hint="default" w:ascii="Times New Roman" w:hAnsi="Times New Roman" w:eastAsia="宋体" w:cs="Times New Roman"/>
                                <w:spacing w:val="-10"/>
                                <w:szCs w:val="21"/>
                                <w:lang w:val="en-US" w:eastAsia="zh-CN"/>
                              </w:rPr>
                            </w:pPr>
                            <w:r>
                              <w:rPr>
                                <w:rFonts w:hint="default" w:ascii="Times New Roman" w:hAnsi="Times New Roman" w:eastAsia="宋体" w:cs="Times New Roman"/>
                                <w:spacing w:val="-10"/>
                                <w:szCs w:val="21"/>
                                <w:lang w:val="en-US" w:eastAsia="zh-CN"/>
                              </w:rPr>
                              <w:t>转炉钢渣</w:t>
                            </w:r>
                            <w:r>
                              <w:rPr>
                                <w:rFonts w:hint="eastAsia" w:cs="Times New Roman"/>
                                <w:spacing w:val="-10"/>
                                <w:szCs w:val="21"/>
                                <w:lang w:val="en-US" w:eastAsia="zh-CN"/>
                              </w:rPr>
                              <w:t>20200</w:t>
                            </w:r>
                          </w:p>
                        </w:txbxContent>
                      </v:textbox>
                    </v:shape>
                  </w:pict>
                </mc:Fallback>
              </mc:AlternateContent>
            </w:r>
            <w:r>
              <w:rPr>
                <w:color w:val="auto"/>
                <w:sz w:val="21"/>
              </w:rPr>
              <mc:AlternateContent>
                <mc:Choice Requires="wps">
                  <w:drawing>
                    <wp:anchor distT="0" distB="0" distL="114300" distR="114300" simplePos="0" relativeHeight="251826176" behindDoc="0" locked="0" layoutInCell="1" allowOverlap="1">
                      <wp:simplePos x="0" y="0"/>
                      <wp:positionH relativeFrom="column">
                        <wp:posOffset>954405</wp:posOffset>
                      </wp:positionH>
                      <wp:positionV relativeFrom="paragraph">
                        <wp:posOffset>452755</wp:posOffset>
                      </wp:positionV>
                      <wp:extent cx="933450" cy="0"/>
                      <wp:effectExtent l="0" t="25400" r="0" b="31750"/>
                      <wp:wrapNone/>
                      <wp:docPr id="198" name="直接连接符 65"/>
                      <wp:cNvGraphicFramePr/>
                      <a:graphic xmlns:a="http://schemas.openxmlformats.org/drawingml/2006/main">
                        <a:graphicData uri="http://schemas.microsoft.com/office/word/2010/wordprocessingShape">
                          <wps:wsp>
                            <wps:cNvCnPr/>
                            <wps:spPr>
                              <a:xfrm>
                                <a:off x="2472690" y="1545590"/>
                                <a:ext cx="933450" cy="0"/>
                              </a:xfrm>
                              <a:prstGeom prst="line">
                                <a:avLst/>
                              </a:prstGeom>
                              <a:ln w="6350" cap="flat" cmpd="sng">
                                <a:solidFill>
                                  <a:srgbClr val="000000"/>
                                </a:solidFill>
                                <a:prstDash val="solid"/>
                                <a:headEnd type="none" w="med" len="med"/>
                                <a:tailEnd type="stealth" w="sm" len="sm"/>
                              </a:ln>
                            </wps:spPr>
                            <wps:bodyPr upright="1"/>
                          </wps:wsp>
                        </a:graphicData>
                      </a:graphic>
                    </wp:anchor>
                  </w:drawing>
                </mc:Choice>
                <mc:Fallback>
                  <w:pict>
                    <v:line id="直接连接符 65" o:spid="_x0000_s1026" o:spt="20" style="position:absolute;left:0pt;margin-left:75.15pt;margin-top:35.65pt;height:0pt;width:73.5pt;z-index:251826176;mso-width-relative:page;mso-height-relative:page;" filled="f" stroked="t" coordsize="21600,21600" o:gfxdata="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EJDxzfYAAAACQEAAA8AAAAAAAAAAQAgAAAA&#10;IgAAAGRycy9kb3ducmV2LnhtbFBLAQIUABQAAAAIAIdO4kBBG5CICwIAAPMDAAAOAAAAAAAAAAEA&#10;IAAAACcBAABkcnMvZTJvRG9jLnhtbFBLBQYAAAAABgAGAFkBAACkBQAAAAA=&#10;">
                      <v:fill on="f" focussize="0,0"/>
                      <v:stroke weight="0.5pt" color="#000000" joinstyle="round" endarrow="classic" endarrowwidth="narrow" endarrowlength="short"/>
                      <v:imagedata o:title=""/>
                      <o:lock v:ext="edit" aspectratio="f"/>
                    </v:line>
                  </w:pict>
                </mc:Fallback>
              </mc:AlternateContent>
            </w:r>
          </w:p>
          <w:p w14:paraId="276177FE">
            <w:pPr>
              <w:pStyle w:val="12"/>
              <w:rPr>
                <w:color w:val="auto"/>
              </w:rPr>
            </w:pPr>
            <w:r>
              <w:rPr>
                <w:color w:val="auto"/>
                <w:sz w:val="21"/>
              </w:rPr>
              <mc:AlternateContent>
                <mc:Choice Requires="wps">
                  <w:drawing>
                    <wp:anchor distT="0" distB="0" distL="114300" distR="114300" simplePos="0" relativeHeight="251833344" behindDoc="0" locked="0" layoutInCell="1" allowOverlap="1">
                      <wp:simplePos x="0" y="0"/>
                      <wp:positionH relativeFrom="column">
                        <wp:posOffset>2580640</wp:posOffset>
                      </wp:positionH>
                      <wp:positionV relativeFrom="paragraph">
                        <wp:posOffset>41910</wp:posOffset>
                      </wp:positionV>
                      <wp:extent cx="1009650" cy="0"/>
                      <wp:effectExtent l="0" t="25400" r="0" b="31750"/>
                      <wp:wrapNone/>
                      <wp:docPr id="200" name="直接连接符 44"/>
                      <wp:cNvGraphicFramePr/>
                      <a:graphic xmlns:a="http://schemas.openxmlformats.org/drawingml/2006/main">
                        <a:graphicData uri="http://schemas.microsoft.com/office/word/2010/wordprocessingShape">
                          <wps:wsp>
                            <wps:cNvCnPr/>
                            <wps:spPr>
                              <a:xfrm>
                                <a:off x="4098925" y="1558290"/>
                                <a:ext cx="1009650" cy="0"/>
                              </a:xfrm>
                              <a:prstGeom prst="line">
                                <a:avLst/>
                              </a:prstGeom>
                              <a:ln w="6350" cap="flat" cmpd="sng">
                                <a:solidFill>
                                  <a:srgbClr val="000000"/>
                                </a:solidFill>
                                <a:prstDash val="solid"/>
                                <a:headEnd type="none" w="med" len="med"/>
                                <a:tailEnd type="stealth" w="sm" len="sm"/>
                              </a:ln>
                            </wps:spPr>
                            <wps:bodyPr upright="1"/>
                          </wps:wsp>
                        </a:graphicData>
                      </a:graphic>
                    </wp:anchor>
                  </w:drawing>
                </mc:Choice>
                <mc:Fallback>
                  <w:pict>
                    <v:line id="直接连接符 44" o:spid="_x0000_s1026" o:spt="20" style="position:absolute;left:0pt;margin-left:203.2pt;margin-top:3.3pt;height:0pt;width:79.5pt;z-index:251833344;mso-width-relative:page;mso-height-relative:page;" filled="f" stroked="t" coordsize="21600,21600" o:gfxdata="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A5b24jVAAAABwEAAA8AAAAAAAAAAQAgAAAA&#10;IgAAAGRycy9kb3ducmV2LnhtbFBLAQIUABQAAAAIAIdO4kBrjqvzDgIAAPQDAAAOAAAAAAAAAAEA&#10;IAAAACQBAABkcnMvZTJvRG9jLnhtbFBLBQYAAAAABgAGAFkBAACkBQAAAAA=&#10;">
                      <v:fill on="f" focussize="0,0"/>
                      <v:stroke weight="0.5pt" color="#000000" joinstyle="round" endarrow="classic" endarrowwidth="narrow" endarrowlength="short"/>
                      <v:imagedata o:title=""/>
                      <o:lock v:ext="edit" aspectratio="f"/>
                    </v:line>
                  </w:pict>
                </mc:Fallback>
              </mc:AlternateContent>
            </w:r>
            <w:r>
              <w:rPr>
                <w:color w:val="auto"/>
                <w:sz w:val="21"/>
              </w:rPr>
              <mc:AlternateContent>
                <mc:Choice Requires="wps">
                  <w:drawing>
                    <wp:anchor distT="0" distB="0" distL="114300" distR="114300" simplePos="0" relativeHeight="251839488" behindDoc="0" locked="0" layoutInCell="1" allowOverlap="1">
                      <wp:simplePos x="0" y="0"/>
                      <wp:positionH relativeFrom="column">
                        <wp:posOffset>2405380</wp:posOffset>
                      </wp:positionH>
                      <wp:positionV relativeFrom="paragraph">
                        <wp:posOffset>116840</wp:posOffset>
                      </wp:positionV>
                      <wp:extent cx="1074420" cy="209550"/>
                      <wp:effectExtent l="0" t="0" r="0" b="0"/>
                      <wp:wrapNone/>
                      <wp:docPr id="199" name="文本框 173"/>
                      <wp:cNvGraphicFramePr/>
                      <a:graphic xmlns:a="http://schemas.openxmlformats.org/drawingml/2006/main">
                        <a:graphicData uri="http://schemas.microsoft.com/office/word/2010/wordprocessingShape">
                          <wps:wsp>
                            <wps:cNvSpPr txBox="1"/>
                            <wps:spPr>
                              <a:xfrm>
                                <a:off x="4086860" y="1609725"/>
                                <a:ext cx="1074420" cy="209550"/>
                              </a:xfrm>
                              <a:prstGeom prst="rect">
                                <a:avLst/>
                              </a:prstGeom>
                              <a:noFill/>
                              <a:ln w="6350">
                                <a:noFill/>
                              </a:ln>
                            </wps:spPr>
                            <wps:txbx>
                              <w:txbxContent>
                                <w:p w14:paraId="6B3000E3">
                                  <w:pPr>
                                    <w:spacing w:line="0" w:lineRule="atLeast"/>
                                    <w:jc w:val="center"/>
                                    <w:rPr>
                                      <w:rFonts w:hint="default" w:ascii="Times New Roman" w:hAnsi="Times New Roman" w:eastAsia="宋体" w:cs="Times New Roman"/>
                                      <w:spacing w:val="-10"/>
                                      <w:szCs w:val="21"/>
                                      <w:lang w:val="en-US" w:eastAsia="zh-CN"/>
                                    </w:rPr>
                                  </w:pPr>
                                  <w:r>
                                    <w:rPr>
                                      <w:rFonts w:hint="eastAsia" w:ascii="Times New Roman" w:hAnsi="Times New Roman" w:cs="Times New Roman"/>
                                      <w:spacing w:val="-10"/>
                                      <w:szCs w:val="21"/>
                                      <w:lang w:val="en-US" w:eastAsia="zh-CN"/>
                                    </w:rPr>
                                    <w:t>废钢球</w:t>
                                  </w:r>
                                  <w:r>
                                    <w:rPr>
                                      <w:rFonts w:hint="eastAsia" w:cs="Times New Roman"/>
                                      <w:spacing w:val="-10"/>
                                      <w:szCs w:val="21"/>
                                      <w:lang w:val="en-US" w:eastAsia="zh-CN"/>
                                    </w:rPr>
                                    <w:t>3</w:t>
                                  </w:r>
                                </w:p>
                              </w:txbxContent>
                            </wps:txbx>
                            <wps:bodyPr lIns="0" tIns="0" rIns="0" bIns="0" upright="1"/>
                          </wps:wsp>
                        </a:graphicData>
                      </a:graphic>
                    </wp:anchor>
                  </w:drawing>
                </mc:Choice>
                <mc:Fallback>
                  <w:pict>
                    <v:shape id="文本框 173" o:spid="_x0000_s1026" o:spt="202" type="#_x0000_t202" style="position:absolute;left:0pt;margin-left:189.4pt;margin-top:9.2pt;height:16.5pt;width:84.6pt;z-index:251839488;mso-width-relative:page;mso-height-relative:page;" filled="f" stroked="f" coordsize="21600,21600" o:gfxdata="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">
                      <v:fill on="f" focussize="0,0"/>
                      <v:stroke on="f" weight="0.5pt"/>
                      <v:imagedata o:title=""/>
                      <o:lock v:ext="edit" aspectratio="f"/>
                      <v:textbox inset="0mm,0mm,0mm,0mm">
                        <w:txbxContent>
                          <w:p w14:paraId="6B3000E3">
                            <w:pPr>
                              <w:spacing w:line="0" w:lineRule="atLeast"/>
                              <w:jc w:val="center"/>
                              <w:rPr>
                                <w:rFonts w:hint="default" w:ascii="Times New Roman" w:hAnsi="Times New Roman" w:eastAsia="宋体" w:cs="Times New Roman"/>
                                <w:spacing w:val="-10"/>
                                <w:szCs w:val="21"/>
                                <w:lang w:val="en-US" w:eastAsia="zh-CN"/>
                              </w:rPr>
                            </w:pPr>
                            <w:r>
                              <w:rPr>
                                <w:rFonts w:hint="eastAsia" w:ascii="Times New Roman" w:hAnsi="Times New Roman" w:cs="Times New Roman"/>
                                <w:spacing w:val="-10"/>
                                <w:szCs w:val="21"/>
                                <w:lang w:val="en-US" w:eastAsia="zh-CN"/>
                              </w:rPr>
                              <w:t>废钢球</w:t>
                            </w:r>
                            <w:r>
                              <w:rPr>
                                <w:rFonts w:hint="eastAsia" w:cs="Times New Roman"/>
                                <w:spacing w:val="-10"/>
                                <w:szCs w:val="21"/>
                                <w:lang w:val="en-US" w:eastAsia="zh-CN"/>
                              </w:rPr>
                              <w:t>3</w:t>
                            </w:r>
                          </w:p>
                        </w:txbxContent>
                      </v:textbox>
                    </v:shape>
                  </w:pict>
                </mc:Fallback>
              </mc:AlternateContent>
            </w:r>
          </w:p>
          <w:p w14:paraId="1BDD8EB9">
            <w:pPr>
              <w:spacing w:before="240" w:line="480" w:lineRule="atLeast"/>
              <w:ind w:firstLine="420" w:firstLineChars="200"/>
              <w:rPr>
                <w:rFonts w:ascii="Times New Roman" w:hAnsi="Times New Roman"/>
                <w:color w:val="auto"/>
              </w:rPr>
            </w:pPr>
            <w:r>
              <w:rPr>
                <w:color w:val="auto"/>
                <w:sz w:val="21"/>
              </w:rPr>
              <mc:AlternateContent>
                <mc:Choice Requires="wps">
                  <w:drawing>
                    <wp:anchor distT="0" distB="0" distL="114300" distR="114300" simplePos="0" relativeHeight="251840512" behindDoc="0" locked="0" layoutInCell="1" allowOverlap="1">
                      <wp:simplePos x="0" y="0"/>
                      <wp:positionH relativeFrom="column">
                        <wp:posOffset>2567940</wp:posOffset>
                      </wp:positionH>
                      <wp:positionV relativeFrom="paragraph">
                        <wp:posOffset>137160</wp:posOffset>
                      </wp:positionV>
                      <wp:extent cx="1009650" cy="0"/>
                      <wp:effectExtent l="0" t="25400" r="0" b="31750"/>
                      <wp:wrapNone/>
                      <wp:docPr id="205" name="直接连接符 175"/>
                      <wp:cNvGraphicFramePr/>
                      <a:graphic xmlns:a="http://schemas.openxmlformats.org/drawingml/2006/main">
                        <a:graphicData uri="http://schemas.microsoft.com/office/word/2010/wordprocessingShape">
                          <wps:wsp>
                            <wps:cNvCnPr/>
                            <wps:spPr>
                              <a:xfrm>
                                <a:off x="4092575" y="1784350"/>
                                <a:ext cx="1009650" cy="0"/>
                              </a:xfrm>
                              <a:prstGeom prst="line">
                                <a:avLst/>
                              </a:prstGeom>
                              <a:ln w="6350" cap="flat" cmpd="sng">
                                <a:solidFill>
                                  <a:srgbClr val="000000"/>
                                </a:solidFill>
                                <a:prstDash val="solid"/>
                                <a:headEnd type="none" w="med" len="med"/>
                                <a:tailEnd type="stealth" w="sm" len="sm"/>
                              </a:ln>
                            </wps:spPr>
                            <wps:bodyPr upright="1"/>
                          </wps:wsp>
                        </a:graphicData>
                      </a:graphic>
                    </wp:anchor>
                  </w:drawing>
                </mc:Choice>
                <mc:Fallback>
                  <w:pict>
                    <v:line id="直接连接符 175" o:spid="_x0000_s1026" o:spt="20" style="position:absolute;left:0pt;margin-left:202.2pt;margin-top:10.8pt;height:0pt;width:79.5pt;z-index:251840512;mso-width-relative:page;mso-height-relative:page;" filled="f" stroked="t" coordsize="21600,21600" o:gfxdata="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BQw4272AAAAAkBAAAPAAAAAAAAAAEA&#10;IAAAACIAAABkcnMvZG93bnJldi54bWxQSwECFAAUAAAACACHTuJAbWZ0rA8CAAD1AwAADgAAAAAA&#10;AAABACAAAAAnAQAAZHJzL2Uyb0RvYy54bWxQSwUGAAAAAAYABgBZAQAAqAUAAAAA&#10;">
                      <v:fill on="f" focussize="0,0"/>
                      <v:stroke weight="0.5pt" color="#000000" joinstyle="round" endarrow="classic" endarrowwidth="narrow" endarrowlength="short"/>
                      <v:imagedata o:title=""/>
                      <o:lock v:ext="edit" aspectratio="f"/>
                    </v:line>
                  </w:pict>
                </mc:Fallback>
              </mc:AlternateContent>
            </w:r>
            <w:r>
              <w:rPr>
                <w:color w:val="auto"/>
                <w:sz w:val="21"/>
              </w:rPr>
              <mc:AlternateContent>
                <mc:Choice Requires="wps">
                  <w:drawing>
                    <wp:anchor distT="0" distB="0" distL="114300" distR="114300" simplePos="0" relativeHeight="251835392" behindDoc="0" locked="0" layoutInCell="1" allowOverlap="1">
                      <wp:simplePos x="0" y="0"/>
                      <wp:positionH relativeFrom="column">
                        <wp:posOffset>2555875</wp:posOffset>
                      </wp:positionH>
                      <wp:positionV relativeFrom="paragraph">
                        <wp:posOffset>191770</wp:posOffset>
                      </wp:positionV>
                      <wp:extent cx="904240" cy="209550"/>
                      <wp:effectExtent l="0" t="0" r="0" b="0"/>
                      <wp:wrapNone/>
                      <wp:docPr id="201" name="文本框 79"/>
                      <wp:cNvGraphicFramePr/>
                      <a:graphic xmlns:a="http://schemas.openxmlformats.org/drawingml/2006/main">
                        <a:graphicData uri="http://schemas.microsoft.com/office/word/2010/wordprocessingShape">
                          <wps:wsp>
                            <wps:cNvSpPr txBox="1"/>
                            <wps:spPr>
                              <a:xfrm>
                                <a:off x="4156710" y="1815465"/>
                                <a:ext cx="904240" cy="209550"/>
                              </a:xfrm>
                              <a:prstGeom prst="rect">
                                <a:avLst/>
                              </a:prstGeom>
                              <a:noFill/>
                              <a:ln w="6350">
                                <a:noFill/>
                              </a:ln>
                            </wps:spPr>
                            <wps:txbx>
                              <w:txbxContent>
                                <w:p w14:paraId="332B59A4">
                                  <w:pPr>
                                    <w:spacing w:line="0" w:lineRule="atLeast"/>
                                    <w:jc w:val="center"/>
                                    <w:rPr>
                                      <w:rFonts w:hint="default" w:ascii="Times New Roman" w:hAnsi="Times New Roman" w:eastAsia="宋体" w:cs="Times New Roman"/>
                                      <w:spacing w:val="-10"/>
                                      <w:szCs w:val="21"/>
                                      <w:lang w:val="en-US" w:eastAsia="zh-CN"/>
                                    </w:rPr>
                                  </w:pPr>
                                  <w:r>
                                    <w:rPr>
                                      <w:rFonts w:hint="eastAsia" w:ascii="Times New Roman" w:hAnsi="Times New Roman" w:cs="Times New Roman"/>
                                      <w:spacing w:val="-10"/>
                                      <w:szCs w:val="21"/>
                                      <w:lang w:val="en-US" w:eastAsia="zh-CN"/>
                                    </w:rPr>
                                    <w:t>除尘灰</w:t>
                                  </w:r>
                                  <w:r>
                                    <w:rPr>
                                      <w:rFonts w:hint="eastAsia" w:cs="Times New Roman"/>
                                      <w:spacing w:val="-10"/>
                                      <w:szCs w:val="21"/>
                                      <w:lang w:val="en-US" w:eastAsia="zh-CN"/>
                                    </w:rPr>
                                    <w:t>12.5</w:t>
                                  </w:r>
                                </w:p>
                              </w:txbxContent>
                            </wps:txbx>
                            <wps:bodyPr lIns="0" tIns="0" rIns="0" bIns="0" upright="1"/>
                          </wps:wsp>
                        </a:graphicData>
                      </a:graphic>
                    </wp:anchor>
                  </w:drawing>
                </mc:Choice>
                <mc:Fallback>
                  <w:pict>
                    <v:shape id="文本框 79" o:spid="_x0000_s1026" o:spt="202" type="#_x0000_t202" style="position:absolute;left:0pt;margin-left:201.25pt;margin-top:15.1pt;height:16.5pt;width:71.2pt;z-index:251835392;mso-width-relative:page;mso-height-relative:page;" filled="f" stroked="f" coordsize="21600,21600" o:gfxdata="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">
                      <v:fill on="f" focussize="0,0"/>
                      <v:stroke on="f" weight="0.5pt"/>
                      <v:imagedata o:title=""/>
                      <o:lock v:ext="edit" aspectratio="f"/>
                      <v:textbox inset="0mm,0mm,0mm,0mm">
                        <w:txbxContent>
                          <w:p w14:paraId="332B59A4">
                            <w:pPr>
                              <w:spacing w:line="0" w:lineRule="atLeast"/>
                              <w:jc w:val="center"/>
                              <w:rPr>
                                <w:rFonts w:hint="default" w:ascii="Times New Roman" w:hAnsi="Times New Roman" w:eastAsia="宋体" w:cs="Times New Roman"/>
                                <w:spacing w:val="-10"/>
                                <w:szCs w:val="21"/>
                                <w:lang w:val="en-US" w:eastAsia="zh-CN"/>
                              </w:rPr>
                            </w:pPr>
                            <w:r>
                              <w:rPr>
                                <w:rFonts w:hint="eastAsia" w:ascii="Times New Roman" w:hAnsi="Times New Roman" w:cs="Times New Roman"/>
                                <w:spacing w:val="-10"/>
                                <w:szCs w:val="21"/>
                                <w:lang w:val="en-US" w:eastAsia="zh-CN"/>
                              </w:rPr>
                              <w:t>除尘灰</w:t>
                            </w:r>
                            <w:r>
                              <w:rPr>
                                <w:rFonts w:hint="eastAsia" w:cs="Times New Roman"/>
                                <w:spacing w:val="-10"/>
                                <w:szCs w:val="21"/>
                                <w:lang w:val="en-US" w:eastAsia="zh-CN"/>
                              </w:rPr>
                              <w:t>12.5</w:t>
                            </w:r>
                          </w:p>
                        </w:txbxContent>
                      </v:textbox>
                    </v:shape>
                  </w:pict>
                </mc:Fallback>
              </mc:AlternateContent>
            </w:r>
            <w:r>
              <w:rPr>
                <w:color w:val="auto"/>
                <w:sz w:val="21"/>
              </w:rPr>
              <mc:AlternateContent>
                <mc:Choice Requires="wps">
                  <w:drawing>
                    <wp:anchor distT="0" distB="0" distL="114300" distR="114300" simplePos="0" relativeHeight="251834368" behindDoc="0" locked="0" layoutInCell="1" allowOverlap="1">
                      <wp:simplePos x="0" y="0"/>
                      <wp:positionH relativeFrom="column">
                        <wp:posOffset>2580005</wp:posOffset>
                      </wp:positionH>
                      <wp:positionV relativeFrom="paragraph">
                        <wp:posOffset>373380</wp:posOffset>
                      </wp:positionV>
                      <wp:extent cx="1009650" cy="0"/>
                      <wp:effectExtent l="0" t="25400" r="0" b="31750"/>
                      <wp:wrapNone/>
                      <wp:docPr id="206" name="直接连接符 76"/>
                      <wp:cNvGraphicFramePr/>
                      <a:graphic xmlns:a="http://schemas.openxmlformats.org/drawingml/2006/main">
                        <a:graphicData uri="http://schemas.microsoft.com/office/word/2010/wordprocessingShape">
                          <wps:wsp>
                            <wps:cNvCnPr/>
                            <wps:spPr>
                              <a:xfrm>
                                <a:off x="4098290" y="2001520"/>
                                <a:ext cx="1009650" cy="0"/>
                              </a:xfrm>
                              <a:prstGeom prst="line">
                                <a:avLst/>
                              </a:prstGeom>
                              <a:ln w="6350" cap="flat" cmpd="sng">
                                <a:solidFill>
                                  <a:srgbClr val="000000"/>
                                </a:solidFill>
                                <a:prstDash val="solid"/>
                                <a:headEnd type="none" w="med" len="med"/>
                                <a:tailEnd type="stealth" w="sm" len="sm"/>
                              </a:ln>
                            </wps:spPr>
                            <wps:bodyPr upright="1"/>
                          </wps:wsp>
                        </a:graphicData>
                      </a:graphic>
                    </wp:anchor>
                  </w:drawing>
                </mc:Choice>
                <mc:Fallback>
                  <w:pict>
                    <v:line id="直接连接符 76" o:spid="_x0000_s1026" o:spt="20" style="position:absolute;left:0pt;margin-left:203.15pt;margin-top:29.4pt;height:0pt;width:79.5pt;z-index:251834368;mso-width-relative:page;mso-height-relative:page;" filled="f" stroked="t" coordsize="21600,21600" o:gfxdata="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MoIKdDXAAAACQEAAA8AAAAAAAAAAQAgAAAA&#10;IgAAAGRycy9kb3ducmV2LnhtbFBLAQIUABQAAAAIAIdO4kCEVxcDDAIAAPQDAAAOAAAAAAAAAAEA&#10;IAAAACYBAABkcnMvZTJvRG9jLnhtbFBLBQYAAAAABgAGAFkBAACkBQAAAAA=&#10;">
                      <v:fill on="f" focussize="0,0"/>
                      <v:stroke weight="0.5pt" color="#000000" joinstyle="round" endarrow="classic" endarrowwidth="narrow" endarrowlength="short"/>
                      <v:imagedata o:title=""/>
                      <o:lock v:ext="edit" aspectratio="f"/>
                    </v:line>
                  </w:pict>
                </mc:Fallback>
              </mc:AlternateContent>
            </w:r>
          </w:p>
          <w:p w14:paraId="14516DCA">
            <w:pPr>
              <w:spacing w:line="480" w:lineRule="atLeast"/>
              <w:ind w:firstLine="420" w:firstLineChars="200"/>
              <w:rPr>
                <w:rFonts w:ascii="Times New Roman" w:hAnsi="Times New Roman"/>
                <w:color w:val="auto"/>
              </w:rPr>
            </w:pPr>
            <w:r>
              <w:rPr>
                <w:color w:val="auto"/>
                <w:sz w:val="21"/>
              </w:rPr>
              <mc:AlternateContent>
                <mc:Choice Requires="wps">
                  <w:drawing>
                    <wp:anchor distT="0" distB="0" distL="114300" distR="114300" simplePos="0" relativeHeight="251841536" behindDoc="0" locked="0" layoutInCell="1" allowOverlap="1">
                      <wp:simplePos x="0" y="0"/>
                      <wp:positionH relativeFrom="column">
                        <wp:posOffset>2419350</wp:posOffset>
                      </wp:positionH>
                      <wp:positionV relativeFrom="paragraph">
                        <wp:posOffset>3810</wp:posOffset>
                      </wp:positionV>
                      <wp:extent cx="1343660" cy="209550"/>
                      <wp:effectExtent l="0" t="0" r="0" b="0"/>
                      <wp:wrapNone/>
                      <wp:docPr id="204" name="文本框 176"/>
                      <wp:cNvGraphicFramePr/>
                      <a:graphic xmlns:a="http://schemas.openxmlformats.org/drawingml/2006/main">
                        <a:graphicData uri="http://schemas.microsoft.com/office/word/2010/wordprocessingShape">
                          <wps:wsp>
                            <wps:cNvSpPr txBox="1"/>
                            <wps:spPr>
                              <a:xfrm>
                                <a:off x="4020820" y="2277745"/>
                                <a:ext cx="1343660" cy="209550"/>
                              </a:xfrm>
                              <a:prstGeom prst="rect">
                                <a:avLst/>
                              </a:prstGeom>
                              <a:noFill/>
                              <a:ln w="6350">
                                <a:noFill/>
                              </a:ln>
                            </wps:spPr>
                            <wps:txbx>
                              <w:txbxContent>
                                <w:p w14:paraId="470B7D87">
                                  <w:pPr>
                                    <w:spacing w:line="0" w:lineRule="atLeast"/>
                                    <w:jc w:val="center"/>
                                    <w:rPr>
                                      <w:rFonts w:hint="default" w:ascii="Times New Roman" w:hAnsi="Times New Roman" w:eastAsia="宋体" w:cs="Times New Roman"/>
                                      <w:spacing w:val="-10"/>
                                      <w:szCs w:val="21"/>
                                      <w:lang w:val="en-US" w:eastAsia="zh-CN"/>
                                    </w:rPr>
                                  </w:pPr>
                                  <w:r>
                                    <w:rPr>
                                      <w:rFonts w:hint="eastAsia" w:cs="Times New Roman"/>
                                      <w:spacing w:val="-10"/>
                                      <w:szCs w:val="21"/>
                                      <w:lang w:val="en-US" w:eastAsia="zh-CN"/>
                                    </w:rPr>
                                    <w:t>外排颗粒物0.1</w:t>
                                  </w:r>
                                </w:p>
                              </w:txbxContent>
                            </wps:txbx>
                            <wps:bodyPr lIns="0" tIns="0" rIns="0" bIns="0" upright="1"/>
                          </wps:wsp>
                        </a:graphicData>
                      </a:graphic>
                    </wp:anchor>
                  </w:drawing>
                </mc:Choice>
                <mc:Fallback>
                  <w:pict>
                    <v:shape id="文本框 176" o:spid="_x0000_s1026" o:spt="202" type="#_x0000_t202" style="position:absolute;left:0pt;margin-left:190.5pt;margin-top:0.3pt;height:16.5pt;width:105.8pt;z-index:251841536;mso-width-relative:page;mso-height-relative:page;" filled="f" stroked="f" coordsize="21600,21600" o:gfxdata="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">
                      <v:fill on="f" focussize="0,0"/>
                      <v:stroke on="f" weight="0.5pt"/>
                      <v:imagedata o:title=""/>
                      <o:lock v:ext="edit" aspectratio="f"/>
                      <v:textbox inset="0mm,0mm,0mm,0mm">
                        <w:txbxContent>
                          <w:p w14:paraId="470B7D87">
                            <w:pPr>
                              <w:spacing w:line="0" w:lineRule="atLeast"/>
                              <w:jc w:val="center"/>
                              <w:rPr>
                                <w:rFonts w:hint="default" w:ascii="Times New Roman" w:hAnsi="Times New Roman" w:eastAsia="宋体" w:cs="Times New Roman"/>
                                <w:spacing w:val="-10"/>
                                <w:szCs w:val="21"/>
                                <w:lang w:val="en-US" w:eastAsia="zh-CN"/>
                              </w:rPr>
                            </w:pPr>
                            <w:r>
                              <w:rPr>
                                <w:rFonts w:hint="eastAsia" w:cs="Times New Roman"/>
                                <w:spacing w:val="-10"/>
                                <w:szCs w:val="21"/>
                                <w:lang w:val="en-US" w:eastAsia="zh-CN"/>
                              </w:rPr>
                              <w:t>外排颗粒物0.1</w:t>
                            </w:r>
                          </w:p>
                        </w:txbxContent>
                      </v:textbox>
                    </v:shape>
                  </w:pict>
                </mc:Fallback>
              </mc:AlternateContent>
            </w:r>
            <w:r>
              <w:rPr>
                <w:color w:val="auto"/>
                <w:sz w:val="21"/>
              </w:rPr>
              <mc:AlternateContent>
                <mc:Choice Requires="wps">
                  <w:drawing>
                    <wp:anchor distT="0" distB="0" distL="114300" distR="114300" simplePos="0" relativeHeight="251838464" behindDoc="0" locked="0" layoutInCell="1" allowOverlap="1">
                      <wp:simplePos x="0" y="0"/>
                      <wp:positionH relativeFrom="column">
                        <wp:posOffset>2588260</wp:posOffset>
                      </wp:positionH>
                      <wp:positionV relativeFrom="paragraph">
                        <wp:posOffset>180975</wp:posOffset>
                      </wp:positionV>
                      <wp:extent cx="1009650" cy="0"/>
                      <wp:effectExtent l="0" t="25400" r="0" b="31750"/>
                      <wp:wrapNone/>
                      <wp:docPr id="209" name="直接连接符 68"/>
                      <wp:cNvGraphicFramePr/>
                      <a:graphic xmlns:a="http://schemas.openxmlformats.org/drawingml/2006/main">
                        <a:graphicData uri="http://schemas.microsoft.com/office/word/2010/wordprocessingShape">
                          <wps:wsp>
                            <wps:cNvCnPr/>
                            <wps:spPr>
                              <a:xfrm>
                                <a:off x="4094480" y="2235200"/>
                                <a:ext cx="1009650" cy="0"/>
                              </a:xfrm>
                              <a:prstGeom prst="line">
                                <a:avLst/>
                              </a:prstGeom>
                              <a:ln w="6350" cap="flat" cmpd="sng">
                                <a:solidFill>
                                  <a:srgbClr val="000000"/>
                                </a:solidFill>
                                <a:prstDash val="solid"/>
                                <a:headEnd type="none" w="med" len="med"/>
                                <a:tailEnd type="stealth" w="sm" len="sm"/>
                              </a:ln>
                            </wps:spPr>
                            <wps:bodyPr upright="1"/>
                          </wps:wsp>
                        </a:graphicData>
                      </a:graphic>
                    </wp:anchor>
                  </w:drawing>
                </mc:Choice>
                <mc:Fallback>
                  <w:pict>
                    <v:line id="直接连接符 68" o:spid="_x0000_s1026" o:spt="20" style="position:absolute;left:0pt;margin-left:203.8pt;margin-top:14.25pt;height:0pt;width:79.5pt;z-index:251838464;mso-width-relative:page;mso-height-relative:page;" filled="f" stroked="t" coordsize="21600,21600" o:gfxdata="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KFgwadgAAAAJAQAADwAAAAAAAAABACAA&#10;AAAiAAAAZHJzL2Rvd25yZXYueG1sUEsBAhQAFAAAAAgAh07iQBi/eOANAgAA9AMAAA4AAAAAAAAA&#10;AQAgAAAAJwEAAGRycy9lMm9Eb2MueG1sUEsFBgAAAAAGAAYAWQEAAKYFAAAAAA==&#10;">
                      <v:fill on="f" focussize="0,0"/>
                      <v:stroke weight="0.5pt" color="#000000" joinstyle="round" endarrow="classic" endarrowwidth="narrow" endarrowlength="short"/>
                      <v:imagedata o:title=""/>
                      <o:lock v:ext="edit" aspectratio="f"/>
                    </v:line>
                  </w:pict>
                </mc:Fallback>
              </mc:AlternateContent>
            </w:r>
            <w:r>
              <w:rPr>
                <w:color w:val="auto"/>
                <w:sz w:val="21"/>
              </w:rPr>
              <mc:AlternateContent>
                <mc:Choice Requires="wps">
                  <w:drawing>
                    <wp:anchor distT="0" distB="0" distL="114300" distR="114300" simplePos="0" relativeHeight="251830272" behindDoc="0" locked="0" layoutInCell="1" allowOverlap="1">
                      <wp:simplePos x="0" y="0"/>
                      <wp:positionH relativeFrom="column">
                        <wp:posOffset>2440940</wp:posOffset>
                      </wp:positionH>
                      <wp:positionV relativeFrom="paragraph">
                        <wp:posOffset>285750</wp:posOffset>
                      </wp:positionV>
                      <wp:extent cx="1038225" cy="189865"/>
                      <wp:effectExtent l="0" t="0" r="0" b="0"/>
                      <wp:wrapNone/>
                      <wp:docPr id="207" name="文本框 162"/>
                      <wp:cNvGraphicFramePr/>
                      <a:graphic xmlns:a="http://schemas.openxmlformats.org/drawingml/2006/main">
                        <a:graphicData uri="http://schemas.microsoft.com/office/word/2010/wordprocessingShape">
                          <wps:wsp>
                            <wps:cNvSpPr txBox="1"/>
                            <wps:spPr>
                              <a:xfrm>
                                <a:off x="4119880" y="2054225"/>
                                <a:ext cx="1038225" cy="189865"/>
                              </a:xfrm>
                              <a:prstGeom prst="rect">
                                <a:avLst/>
                              </a:prstGeom>
                              <a:noFill/>
                              <a:ln w="6350">
                                <a:noFill/>
                              </a:ln>
                            </wps:spPr>
                            <wps:txbx>
                              <w:txbxContent>
                                <w:p w14:paraId="723464DC">
                                  <w:pPr>
                                    <w:spacing w:line="0" w:lineRule="atLeast"/>
                                    <w:jc w:val="center"/>
                                    <w:rPr>
                                      <w:rFonts w:hint="default" w:ascii="Times New Roman" w:hAnsi="Times New Roman" w:eastAsia="宋体" w:cs="Times New Roman"/>
                                      <w:spacing w:val="-10"/>
                                      <w:szCs w:val="21"/>
                                      <w:lang w:val="en-US" w:eastAsia="zh-CN"/>
                                    </w:rPr>
                                  </w:pPr>
                                  <w:r>
                                    <w:rPr>
                                      <w:rFonts w:hint="eastAsia" w:ascii="Times New Roman" w:hAnsi="Times New Roman" w:cs="Times New Roman"/>
                                      <w:spacing w:val="-10"/>
                                      <w:szCs w:val="21"/>
                                      <w:lang w:val="en-US" w:eastAsia="zh-CN"/>
                                    </w:rPr>
                                    <w:t>沉降</w:t>
                                  </w:r>
                                  <w:r>
                                    <w:rPr>
                                      <w:rFonts w:hint="default" w:ascii="Times New Roman" w:hAnsi="Times New Roman" w:eastAsia="宋体" w:cs="Times New Roman"/>
                                      <w:spacing w:val="-10"/>
                                      <w:szCs w:val="21"/>
                                      <w:lang w:val="en-US" w:eastAsia="zh-CN"/>
                                    </w:rPr>
                                    <w:t>灰</w:t>
                                  </w:r>
                                  <w:r>
                                    <w:rPr>
                                      <w:rFonts w:hint="eastAsia" w:cs="Times New Roman"/>
                                      <w:spacing w:val="-10"/>
                                      <w:szCs w:val="21"/>
                                      <w:lang w:val="en-US" w:eastAsia="zh-CN"/>
                                    </w:rPr>
                                    <w:t>1.4</w:t>
                                  </w:r>
                                </w:p>
                              </w:txbxContent>
                            </wps:txbx>
                            <wps:bodyPr lIns="0" tIns="0" rIns="0" bIns="0" upright="1"/>
                          </wps:wsp>
                        </a:graphicData>
                      </a:graphic>
                    </wp:anchor>
                  </w:drawing>
                </mc:Choice>
                <mc:Fallback>
                  <w:pict>
                    <v:shape id="文本框 162" o:spid="_x0000_s1026" o:spt="202" type="#_x0000_t202" style="position:absolute;left:0pt;margin-left:192.2pt;margin-top:22.5pt;height:14.95pt;width:81.75pt;z-index:251830272;mso-width-relative:page;mso-height-relative:page;" filled="f" stroked="f" coordsize="21600,21600" o:gfxdata="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AAAAABkcnMvUEsBAhQAFAAAAAgAh07iQG1tgkDZAAAACQEAAA8AAAAAAAAAAQAgAAAA&#10;IgAAAGRycy9kb3ducmV2LnhtbFBLAQIUABQAAAAIAIdO4kBLo1k10QEAAIsDAAAOAAAAAAAAAAEA&#10;IAAAACgBAABkcnMvZTJvRG9jLnhtbFBLBQYAAAAABgAGAFkBAABrBQAAAAA=&#10;">
                      <v:fill on="f" focussize="0,0"/>
                      <v:stroke on="f" weight="0.5pt"/>
                      <v:imagedata o:title=""/>
                      <o:lock v:ext="edit" aspectratio="f"/>
                      <v:textbox inset="0mm,0mm,0mm,0mm">
                        <w:txbxContent>
                          <w:p w14:paraId="723464DC">
                            <w:pPr>
                              <w:spacing w:line="0" w:lineRule="atLeast"/>
                              <w:jc w:val="center"/>
                              <w:rPr>
                                <w:rFonts w:hint="default" w:ascii="Times New Roman" w:hAnsi="Times New Roman" w:eastAsia="宋体" w:cs="Times New Roman"/>
                                <w:spacing w:val="-10"/>
                                <w:szCs w:val="21"/>
                                <w:lang w:val="en-US" w:eastAsia="zh-CN"/>
                              </w:rPr>
                            </w:pPr>
                            <w:r>
                              <w:rPr>
                                <w:rFonts w:hint="eastAsia" w:ascii="Times New Roman" w:hAnsi="Times New Roman" w:cs="Times New Roman"/>
                                <w:spacing w:val="-10"/>
                                <w:szCs w:val="21"/>
                                <w:lang w:val="en-US" w:eastAsia="zh-CN"/>
                              </w:rPr>
                              <w:t>沉降</w:t>
                            </w:r>
                            <w:r>
                              <w:rPr>
                                <w:rFonts w:hint="default" w:ascii="Times New Roman" w:hAnsi="Times New Roman" w:eastAsia="宋体" w:cs="Times New Roman"/>
                                <w:spacing w:val="-10"/>
                                <w:szCs w:val="21"/>
                                <w:lang w:val="en-US" w:eastAsia="zh-CN"/>
                              </w:rPr>
                              <w:t>灰</w:t>
                            </w:r>
                            <w:r>
                              <w:rPr>
                                <w:rFonts w:hint="eastAsia" w:cs="Times New Roman"/>
                                <w:spacing w:val="-10"/>
                                <w:szCs w:val="21"/>
                                <w:lang w:val="en-US" w:eastAsia="zh-CN"/>
                              </w:rPr>
                              <w:t>1.4</w:t>
                            </w:r>
                          </w:p>
                        </w:txbxContent>
                      </v:textbox>
                    </v:shape>
                  </w:pict>
                </mc:Fallback>
              </mc:AlternateContent>
            </w:r>
            <w:r>
              <w:rPr>
                <w:color w:val="auto"/>
                <w:sz w:val="21"/>
              </w:rPr>
              <mc:AlternateContent>
                <mc:Choice Requires="wps">
                  <w:drawing>
                    <wp:anchor distT="0" distB="0" distL="114300" distR="114300" simplePos="0" relativeHeight="251829248" behindDoc="0" locked="0" layoutInCell="1" allowOverlap="1">
                      <wp:simplePos x="0" y="0"/>
                      <wp:positionH relativeFrom="column">
                        <wp:posOffset>855980</wp:posOffset>
                      </wp:positionH>
                      <wp:positionV relativeFrom="paragraph">
                        <wp:posOffset>197485</wp:posOffset>
                      </wp:positionV>
                      <wp:extent cx="1038225" cy="200025"/>
                      <wp:effectExtent l="0" t="0" r="0" b="0"/>
                      <wp:wrapNone/>
                      <wp:docPr id="210" name="文本框 101"/>
                      <wp:cNvGraphicFramePr/>
                      <a:graphic xmlns:a="http://schemas.openxmlformats.org/drawingml/2006/main">
                        <a:graphicData uri="http://schemas.microsoft.com/office/word/2010/wordprocessingShape">
                          <wps:wsp>
                            <wps:cNvSpPr txBox="1"/>
                            <wps:spPr>
                              <a:xfrm>
                                <a:off x="2374265" y="2357755"/>
                                <a:ext cx="1038225" cy="200025"/>
                              </a:xfrm>
                              <a:prstGeom prst="rect">
                                <a:avLst/>
                              </a:prstGeom>
                              <a:noFill/>
                              <a:ln w="6350">
                                <a:noFill/>
                              </a:ln>
                            </wps:spPr>
                            <wps:txbx>
                              <w:txbxContent>
                                <w:p w14:paraId="49F0902A">
                                  <w:pPr>
                                    <w:spacing w:line="0" w:lineRule="atLeast"/>
                                    <w:jc w:val="center"/>
                                    <w:rPr>
                                      <w:rFonts w:hint="default" w:ascii="Times New Roman" w:hAnsi="Times New Roman" w:eastAsia="宋体" w:cs="Times New Roman"/>
                                      <w:spacing w:val="-10"/>
                                      <w:szCs w:val="21"/>
                                      <w:lang w:val="en-US" w:eastAsia="zh-CN"/>
                                    </w:rPr>
                                  </w:pPr>
                                  <w:r>
                                    <w:rPr>
                                      <w:rFonts w:hint="default" w:ascii="Times New Roman" w:hAnsi="Times New Roman" w:eastAsia="宋体" w:cs="Times New Roman"/>
                                      <w:spacing w:val="-10"/>
                                      <w:szCs w:val="21"/>
                                    </w:rPr>
                                    <w:t>钢球</w:t>
                                  </w:r>
                                  <w:r>
                                    <w:rPr>
                                      <w:rFonts w:hint="eastAsia" w:ascii="Times New Roman" w:hAnsi="Times New Roman" w:eastAsia="宋体" w:cs="Times New Roman"/>
                                      <w:spacing w:val="-10"/>
                                      <w:szCs w:val="21"/>
                                      <w:lang w:val="en-US" w:eastAsia="zh-CN"/>
                                    </w:rPr>
                                    <w:t>15</w:t>
                                  </w:r>
                                </w:p>
                              </w:txbxContent>
                            </wps:txbx>
                            <wps:bodyPr lIns="0" tIns="0" rIns="0" bIns="0" upright="1"/>
                          </wps:wsp>
                        </a:graphicData>
                      </a:graphic>
                    </wp:anchor>
                  </w:drawing>
                </mc:Choice>
                <mc:Fallback>
                  <w:pict>
                    <v:shape id="文本框 101" o:spid="_x0000_s1026" o:spt="202" type="#_x0000_t202" style="position:absolute;left:0pt;margin-left:67.4pt;margin-top:15.55pt;height:15.75pt;width:81.75pt;z-index:251829248;mso-width-relative:page;mso-height-relative:page;" filled="f" stroked="f" coordsize="21600,21600" o:gfxdata="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">
                      <v:fill on="f" focussize="0,0"/>
                      <v:stroke on="f" weight="0.5pt"/>
                      <v:imagedata o:title=""/>
                      <o:lock v:ext="edit" aspectratio="f"/>
                      <v:textbox inset="0mm,0mm,0mm,0mm">
                        <w:txbxContent>
                          <w:p w14:paraId="49F0902A">
                            <w:pPr>
                              <w:spacing w:line="0" w:lineRule="atLeast"/>
                              <w:jc w:val="center"/>
                              <w:rPr>
                                <w:rFonts w:hint="default" w:ascii="Times New Roman" w:hAnsi="Times New Roman" w:eastAsia="宋体" w:cs="Times New Roman"/>
                                <w:spacing w:val="-10"/>
                                <w:szCs w:val="21"/>
                                <w:lang w:val="en-US" w:eastAsia="zh-CN"/>
                              </w:rPr>
                            </w:pPr>
                            <w:r>
                              <w:rPr>
                                <w:rFonts w:hint="default" w:ascii="Times New Roman" w:hAnsi="Times New Roman" w:eastAsia="宋体" w:cs="Times New Roman"/>
                                <w:spacing w:val="-10"/>
                                <w:szCs w:val="21"/>
                              </w:rPr>
                              <w:t>钢球</w:t>
                            </w:r>
                            <w:r>
                              <w:rPr>
                                <w:rFonts w:hint="eastAsia" w:ascii="Times New Roman" w:hAnsi="Times New Roman" w:eastAsia="宋体" w:cs="Times New Roman"/>
                                <w:spacing w:val="-10"/>
                                <w:szCs w:val="21"/>
                                <w:lang w:val="en-US" w:eastAsia="zh-CN"/>
                              </w:rPr>
                              <w:t>15</w:t>
                            </w:r>
                          </w:p>
                        </w:txbxContent>
                      </v:textbox>
                    </v:shape>
                  </w:pict>
                </mc:Fallback>
              </mc:AlternateContent>
            </w:r>
          </w:p>
          <w:p w14:paraId="4E976DA5">
            <w:pPr>
              <w:tabs>
                <w:tab w:val="left" w:pos="4253"/>
              </w:tabs>
              <w:spacing w:line="480" w:lineRule="exact"/>
              <w:jc w:val="center"/>
              <w:rPr>
                <w:rFonts w:hint="eastAsia"/>
                <w:b/>
                <w:color w:val="auto"/>
                <w:szCs w:val="21"/>
                <w:lang w:bidi="ar"/>
              </w:rPr>
            </w:pPr>
            <w:r>
              <w:rPr>
                <w:color w:val="auto"/>
                <w:sz w:val="21"/>
              </w:rPr>
              <mc:AlternateContent>
                <mc:Choice Requires="wps">
                  <w:drawing>
                    <wp:anchor distT="0" distB="0" distL="114300" distR="114300" simplePos="0" relativeHeight="251842560" behindDoc="0" locked="0" layoutInCell="1" allowOverlap="1">
                      <wp:simplePos x="0" y="0"/>
                      <wp:positionH relativeFrom="column">
                        <wp:posOffset>2569845</wp:posOffset>
                      </wp:positionH>
                      <wp:positionV relativeFrom="paragraph">
                        <wp:posOffset>156210</wp:posOffset>
                      </wp:positionV>
                      <wp:extent cx="1009650" cy="0"/>
                      <wp:effectExtent l="0" t="25400" r="0" b="31750"/>
                      <wp:wrapNone/>
                      <wp:docPr id="208" name="直接连接符 177"/>
                      <wp:cNvGraphicFramePr/>
                      <a:graphic xmlns:a="http://schemas.openxmlformats.org/drawingml/2006/main">
                        <a:graphicData uri="http://schemas.microsoft.com/office/word/2010/wordprocessingShape">
                          <wps:wsp>
                            <wps:cNvCnPr/>
                            <wps:spPr>
                              <a:xfrm>
                                <a:off x="4081780" y="2453640"/>
                                <a:ext cx="1009650" cy="0"/>
                              </a:xfrm>
                              <a:prstGeom prst="line">
                                <a:avLst/>
                              </a:prstGeom>
                              <a:ln w="6350" cap="flat" cmpd="sng">
                                <a:solidFill>
                                  <a:srgbClr val="000000"/>
                                </a:solidFill>
                                <a:prstDash val="solid"/>
                                <a:headEnd type="none" w="med" len="med"/>
                                <a:tailEnd type="stealth" w="sm" len="sm"/>
                              </a:ln>
                            </wps:spPr>
                            <wps:bodyPr upright="1"/>
                          </wps:wsp>
                        </a:graphicData>
                      </a:graphic>
                    </wp:anchor>
                  </w:drawing>
                </mc:Choice>
                <mc:Fallback>
                  <w:pict>
                    <v:line id="直接连接符 177" o:spid="_x0000_s1026" o:spt="20" style="position:absolute;left:0pt;margin-left:202.35pt;margin-top:12.3pt;height:0pt;width:79.5pt;z-index:251842560;mso-width-relative:page;mso-height-relative:page;" filled="f" stroked="t" coordsize="21600,21600" o:gfxdata="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CKN0iz2AAAAAkBAAAPAAAAAAAAAAEA&#10;IAAAACIAAABkcnMvZG93bnJldi54bWxQSwECFAAUAAAACACHTuJAPY8v8Q8CAAD1AwAADgAAAAAA&#10;AAABACAAAAAnAQAAZHJzL2Uyb0RvYy54bWxQSwUGAAAAAAYABgBZAQAAqAUAAAAA&#10;">
                      <v:fill on="f" focussize="0,0"/>
                      <v:stroke weight="0.5pt" color="#000000" joinstyle="round" endarrow="classic" endarrowwidth="narrow" endarrowlength="short"/>
                      <v:imagedata o:title=""/>
                      <o:lock v:ext="edit" aspectratio="f"/>
                    </v:line>
                  </w:pict>
                </mc:Fallback>
              </mc:AlternateContent>
            </w:r>
            <w:r>
              <w:rPr>
                <w:color w:val="auto"/>
                <w:sz w:val="21"/>
              </w:rPr>
              <mc:AlternateContent>
                <mc:Choice Requires="wps">
                  <w:drawing>
                    <wp:anchor distT="0" distB="0" distL="114300" distR="114300" simplePos="0" relativeHeight="251825152" behindDoc="0" locked="0" layoutInCell="1" allowOverlap="1">
                      <wp:simplePos x="0" y="0"/>
                      <wp:positionH relativeFrom="column">
                        <wp:posOffset>2607310</wp:posOffset>
                      </wp:positionH>
                      <wp:positionV relativeFrom="paragraph">
                        <wp:posOffset>281940</wp:posOffset>
                      </wp:positionV>
                      <wp:extent cx="1038225" cy="200025"/>
                      <wp:effectExtent l="0" t="0" r="0" b="0"/>
                      <wp:wrapNone/>
                      <wp:docPr id="211" name="文本框 158"/>
                      <wp:cNvGraphicFramePr/>
                      <a:graphic xmlns:a="http://schemas.openxmlformats.org/drawingml/2006/main">
                        <a:graphicData uri="http://schemas.microsoft.com/office/word/2010/wordprocessingShape">
                          <wps:wsp>
                            <wps:cNvSpPr txBox="1"/>
                            <wps:spPr>
                              <a:xfrm>
                                <a:off x="4019550" y="2489835"/>
                                <a:ext cx="1038225" cy="200025"/>
                              </a:xfrm>
                              <a:prstGeom prst="rect">
                                <a:avLst/>
                              </a:prstGeom>
                              <a:noFill/>
                              <a:ln w="6350">
                                <a:noFill/>
                              </a:ln>
                            </wps:spPr>
                            <wps:txbx>
                              <w:txbxContent>
                                <w:p w14:paraId="049F3E3B">
                                  <w:pPr>
                                    <w:spacing w:line="0" w:lineRule="atLeast"/>
                                    <w:jc w:val="center"/>
                                    <w:rPr>
                                      <w:rFonts w:hint="default" w:ascii="Times New Roman" w:hAnsi="Times New Roman" w:eastAsia="宋体" w:cs="Times New Roman"/>
                                      <w:spacing w:val="-10"/>
                                      <w:szCs w:val="21"/>
                                      <w:lang w:val="en-US" w:eastAsia="zh-CN"/>
                                    </w:rPr>
                                  </w:pPr>
                                  <w:r>
                                    <w:rPr>
                                      <w:rFonts w:hint="eastAsia" w:cs="Times New Roman"/>
                                      <w:spacing w:val="-10"/>
                                      <w:szCs w:val="21"/>
                                      <w:lang w:val="en-US" w:eastAsia="zh-CN"/>
                                    </w:rPr>
                                    <w:t>污泥、</w:t>
                                  </w:r>
                                  <w:r>
                                    <w:rPr>
                                      <w:rFonts w:hint="eastAsia" w:ascii="Times New Roman" w:hAnsi="Times New Roman" w:cs="Times New Roman"/>
                                      <w:spacing w:val="-10"/>
                                      <w:szCs w:val="21"/>
                                      <w:lang w:val="en-US" w:eastAsia="zh-CN"/>
                                    </w:rPr>
                                    <w:t>泥饼</w:t>
                                  </w:r>
                                  <w:r>
                                    <w:rPr>
                                      <w:rFonts w:hint="eastAsia" w:cs="Times New Roman"/>
                                      <w:spacing w:val="-10"/>
                                      <w:szCs w:val="21"/>
                                      <w:lang w:val="en-US" w:eastAsia="zh-CN"/>
                                    </w:rPr>
                                    <w:t>291.5</w:t>
                                  </w:r>
                                </w:p>
                              </w:txbxContent>
                            </wps:txbx>
                            <wps:bodyPr lIns="0" tIns="0" rIns="0" bIns="0" upright="1"/>
                          </wps:wsp>
                        </a:graphicData>
                      </a:graphic>
                    </wp:anchor>
                  </w:drawing>
                </mc:Choice>
                <mc:Fallback>
                  <w:pict>
                    <v:shape id="文本框 158" o:spid="_x0000_s1026" o:spt="202" type="#_x0000_t202" style="position:absolute;left:0pt;margin-left:205.3pt;margin-top:22.2pt;height:15.75pt;width:81.75pt;z-index:251825152;mso-width-relative:page;mso-height-relative:page;" filled="f" stroked="f" coordsize="21600,21600" o:gfxdata="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">
                      <v:fill on="f" focussize="0,0"/>
                      <v:stroke on="f" weight="0.5pt"/>
                      <v:imagedata o:title=""/>
                      <o:lock v:ext="edit" aspectratio="f"/>
                      <v:textbox inset="0mm,0mm,0mm,0mm">
                        <w:txbxContent>
                          <w:p w14:paraId="049F3E3B">
                            <w:pPr>
                              <w:spacing w:line="0" w:lineRule="atLeast"/>
                              <w:jc w:val="center"/>
                              <w:rPr>
                                <w:rFonts w:hint="default" w:ascii="Times New Roman" w:hAnsi="Times New Roman" w:eastAsia="宋体" w:cs="Times New Roman"/>
                                <w:spacing w:val="-10"/>
                                <w:szCs w:val="21"/>
                                <w:lang w:val="en-US" w:eastAsia="zh-CN"/>
                              </w:rPr>
                            </w:pPr>
                            <w:r>
                              <w:rPr>
                                <w:rFonts w:hint="eastAsia" w:cs="Times New Roman"/>
                                <w:spacing w:val="-10"/>
                                <w:szCs w:val="21"/>
                                <w:lang w:val="en-US" w:eastAsia="zh-CN"/>
                              </w:rPr>
                              <w:t>污泥、</w:t>
                            </w:r>
                            <w:r>
                              <w:rPr>
                                <w:rFonts w:hint="eastAsia" w:ascii="Times New Roman" w:hAnsi="Times New Roman" w:cs="Times New Roman"/>
                                <w:spacing w:val="-10"/>
                                <w:szCs w:val="21"/>
                                <w:lang w:val="en-US" w:eastAsia="zh-CN"/>
                              </w:rPr>
                              <w:t>泥饼</w:t>
                            </w:r>
                            <w:r>
                              <w:rPr>
                                <w:rFonts w:hint="eastAsia" w:cs="Times New Roman"/>
                                <w:spacing w:val="-10"/>
                                <w:szCs w:val="21"/>
                                <w:lang w:val="en-US" w:eastAsia="zh-CN"/>
                              </w:rPr>
                              <w:t>291.5</w:t>
                            </w:r>
                          </w:p>
                        </w:txbxContent>
                      </v:textbox>
                    </v:shape>
                  </w:pict>
                </mc:Fallback>
              </mc:AlternateContent>
            </w:r>
            <w:r>
              <w:rPr>
                <w:color w:val="auto"/>
                <w:sz w:val="21"/>
              </w:rPr>
              <mc:AlternateContent>
                <mc:Choice Requires="wps">
                  <w:drawing>
                    <wp:anchor distT="0" distB="0" distL="114300" distR="114300" simplePos="0" relativeHeight="251828224" behindDoc="0" locked="0" layoutInCell="1" allowOverlap="1">
                      <wp:simplePos x="0" y="0"/>
                      <wp:positionH relativeFrom="column">
                        <wp:posOffset>951230</wp:posOffset>
                      </wp:positionH>
                      <wp:positionV relativeFrom="paragraph">
                        <wp:posOffset>64135</wp:posOffset>
                      </wp:positionV>
                      <wp:extent cx="933450" cy="0"/>
                      <wp:effectExtent l="0" t="25400" r="0" b="31750"/>
                      <wp:wrapNone/>
                      <wp:docPr id="213" name="直接连接符 80"/>
                      <wp:cNvGraphicFramePr/>
                      <a:graphic xmlns:a="http://schemas.openxmlformats.org/drawingml/2006/main">
                        <a:graphicData uri="http://schemas.microsoft.com/office/word/2010/wordprocessingShape">
                          <wps:wsp>
                            <wps:cNvCnPr/>
                            <wps:spPr>
                              <a:xfrm>
                                <a:off x="2469515" y="2529205"/>
                                <a:ext cx="933450" cy="0"/>
                              </a:xfrm>
                              <a:prstGeom prst="line">
                                <a:avLst/>
                              </a:prstGeom>
                              <a:ln w="6350" cap="flat" cmpd="sng">
                                <a:solidFill>
                                  <a:srgbClr val="000000"/>
                                </a:solidFill>
                                <a:prstDash val="solid"/>
                                <a:headEnd type="none" w="med" len="med"/>
                                <a:tailEnd type="stealth" w="sm" len="sm"/>
                              </a:ln>
                            </wps:spPr>
                            <wps:bodyPr upright="1"/>
                          </wps:wsp>
                        </a:graphicData>
                      </a:graphic>
                    </wp:anchor>
                  </w:drawing>
                </mc:Choice>
                <mc:Fallback>
                  <w:pict>
                    <v:line id="直接连接符 80" o:spid="_x0000_s1026" o:spt="20" style="position:absolute;left:0pt;margin-left:74.9pt;margin-top:5.05pt;height:0pt;width:73.5pt;z-index:251828224;mso-width-relative:page;mso-height-relative:page;" filled="f" stroked="t" coordsize="21600,21600" o:gfxdata="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FKqy37XAAAACQEAAA8AAAAAAAAAAQAgAAAA&#10;IgAAAGRycy9kb3ducmV2LnhtbFBLAQIUABQAAAAIAIdO4kBIVp+ZDAIAAPMDAAAOAAAAAAAAAAEA&#10;IAAAACYBAABkcnMvZTJvRG9jLnhtbFBLBQYAAAAABgAGAFkBAACkBQAAAAA=&#10;">
                      <v:fill on="f" focussize="0,0"/>
                      <v:stroke weight="0.5pt" color="#000000" joinstyle="round" endarrow="classic" endarrowwidth="narrow" endarrowlength="short"/>
                      <v:imagedata o:title=""/>
                      <o:lock v:ext="edit" aspectratio="f"/>
                    </v:line>
                  </w:pict>
                </mc:Fallback>
              </mc:AlternateContent>
            </w:r>
          </w:p>
          <w:p w14:paraId="7A8A1DDF">
            <w:pPr>
              <w:tabs>
                <w:tab w:val="left" w:pos="4253"/>
              </w:tabs>
              <w:spacing w:line="480" w:lineRule="exact"/>
              <w:jc w:val="center"/>
              <w:rPr>
                <w:rFonts w:hint="eastAsia"/>
                <w:b/>
                <w:color w:val="auto"/>
                <w:szCs w:val="21"/>
                <w:lang w:bidi="ar"/>
              </w:rPr>
            </w:pPr>
            <w:r>
              <w:rPr>
                <w:color w:val="auto"/>
                <w:sz w:val="21"/>
              </w:rPr>
              <mc:AlternateContent>
                <mc:Choice Requires="wps">
                  <w:drawing>
                    <wp:anchor distT="0" distB="0" distL="114300" distR="114300" simplePos="0" relativeHeight="251837440" behindDoc="0" locked="0" layoutInCell="1" allowOverlap="1">
                      <wp:simplePos x="0" y="0"/>
                      <wp:positionH relativeFrom="column">
                        <wp:posOffset>2561590</wp:posOffset>
                      </wp:positionH>
                      <wp:positionV relativeFrom="paragraph">
                        <wp:posOffset>147320</wp:posOffset>
                      </wp:positionV>
                      <wp:extent cx="1009650" cy="0"/>
                      <wp:effectExtent l="0" t="25400" r="0" b="31750"/>
                      <wp:wrapNone/>
                      <wp:docPr id="212" name="直接连接符 129"/>
                      <wp:cNvGraphicFramePr/>
                      <a:graphic xmlns:a="http://schemas.openxmlformats.org/drawingml/2006/main">
                        <a:graphicData uri="http://schemas.microsoft.com/office/word/2010/wordprocessingShape">
                          <wps:wsp>
                            <wps:cNvCnPr/>
                            <wps:spPr>
                              <a:xfrm>
                                <a:off x="4085590" y="2674620"/>
                                <a:ext cx="1009650" cy="0"/>
                              </a:xfrm>
                              <a:prstGeom prst="line">
                                <a:avLst/>
                              </a:prstGeom>
                              <a:ln w="6350" cap="flat" cmpd="sng">
                                <a:solidFill>
                                  <a:srgbClr val="000000"/>
                                </a:solidFill>
                                <a:prstDash val="solid"/>
                                <a:headEnd type="none" w="med" len="med"/>
                                <a:tailEnd type="stealth" w="sm" len="sm"/>
                              </a:ln>
                            </wps:spPr>
                            <wps:bodyPr upright="1"/>
                          </wps:wsp>
                        </a:graphicData>
                      </a:graphic>
                    </wp:anchor>
                  </w:drawing>
                </mc:Choice>
                <mc:Fallback>
                  <w:pict>
                    <v:line id="直接连接符 129" o:spid="_x0000_s1026" o:spt="20" style="position:absolute;left:0pt;margin-left:201.7pt;margin-top:11.6pt;height:0pt;width:79.5pt;z-index:251837440;mso-width-relative:page;mso-height-relative:page;" filled="f" stroked="t" coordsize="21600,21600" o:gfxdata="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K3gX6fYAAAACQEAAA8AAAAAAAAAAQAg&#10;AAAAIgAAAGRycy9kb3ducmV2LnhtbFBLAQIUABQAAAAIAIdO4kDIyDHrDgIAAPUDAAAOAAAAAAAA&#10;AAEAIAAAACcBAABkcnMvZTJvRG9jLnhtbFBLBQYAAAAABgAGAFkBAACnBQAAAAA=&#10;">
                      <v:fill on="f" focussize="0,0"/>
                      <v:stroke weight="0.5pt" color="#000000" joinstyle="round" endarrow="classic" endarrowwidth="narrow" endarrowlength="short"/>
                      <v:imagedata o:title=""/>
                      <o:lock v:ext="edit" aspectratio="f"/>
                    </v:line>
                  </w:pict>
                </mc:Fallback>
              </mc:AlternateContent>
            </w:r>
          </w:p>
          <w:p w14:paraId="433513A6">
            <w:pPr>
              <w:tabs>
                <w:tab w:val="left" w:pos="4253"/>
              </w:tabs>
              <w:spacing w:line="480" w:lineRule="exact"/>
              <w:jc w:val="center"/>
              <w:rPr>
                <w:rFonts w:hint="eastAsia" w:eastAsia="宋体"/>
                <w:b/>
                <w:color w:val="auto"/>
                <w:szCs w:val="21"/>
                <w:lang w:eastAsia="zh-CN" w:bidi="ar"/>
              </w:rPr>
            </w:pPr>
            <w:r>
              <w:rPr>
                <w:rFonts w:hint="eastAsia"/>
                <w:b/>
                <w:color w:val="auto"/>
                <w:szCs w:val="21"/>
                <w:lang w:bidi="ar"/>
              </w:rPr>
              <w:t>图</w:t>
            </w:r>
            <w:r>
              <w:rPr>
                <w:rFonts w:hint="eastAsia"/>
                <w:b/>
                <w:color w:val="auto"/>
                <w:szCs w:val="21"/>
                <w:lang w:val="en-US" w:eastAsia="zh-CN" w:bidi="ar"/>
              </w:rPr>
              <w:t>2</w:t>
            </w:r>
            <w:r>
              <w:rPr>
                <w:rFonts w:hint="eastAsia"/>
                <w:b/>
                <w:color w:val="auto"/>
                <w:szCs w:val="21"/>
                <w:lang w:bidi="ar"/>
              </w:rPr>
              <w:t xml:space="preserve"> </w:t>
            </w:r>
            <w:r>
              <w:rPr>
                <w:rFonts w:hint="eastAsia"/>
                <w:b/>
                <w:color w:val="auto"/>
                <w:szCs w:val="21"/>
                <w:lang w:val="en-US" w:eastAsia="zh-CN" w:bidi="ar"/>
              </w:rPr>
              <w:t>钢渣处理生产线铁元素</w:t>
            </w:r>
            <w:r>
              <w:rPr>
                <w:rFonts w:hint="eastAsia"/>
                <w:b/>
                <w:color w:val="auto"/>
                <w:szCs w:val="21"/>
                <w:lang w:bidi="ar"/>
              </w:rPr>
              <w:t>平衡图  单位：t/a</w:t>
            </w:r>
          </w:p>
          <w:p w14:paraId="5B908BEF">
            <w:pPr>
              <w:pStyle w:val="24"/>
              <w:keepNext w:val="0"/>
              <w:keepLines w:val="0"/>
              <w:pageBreakBefore w:val="0"/>
              <w:widowControl/>
              <w:kinsoku/>
              <w:wordWrap/>
              <w:overflowPunct/>
              <w:topLinePunct w:val="0"/>
              <w:autoSpaceDE/>
              <w:autoSpaceDN/>
              <w:bidi w:val="0"/>
              <w:adjustRightInd w:val="0"/>
              <w:snapToGrid w:val="0"/>
              <w:spacing w:before="0" w:beforeAutospacing="0" w:after="0" w:afterAutospacing="0" w:line="420" w:lineRule="exact"/>
              <w:ind w:firstLine="422" w:firstLineChars="200"/>
              <w:textAlignment w:val="auto"/>
              <w:rPr>
                <w:rFonts w:hint="eastAsia" w:ascii="Times New Roman" w:hAnsi="Times New Roman" w:cs="Times New Roman"/>
                <w:b/>
                <w:color w:val="auto"/>
                <w:sz w:val="21"/>
                <w:szCs w:val="21"/>
                <w:lang w:val="en-US" w:eastAsia="zh-CN"/>
              </w:rPr>
            </w:pPr>
            <w:r>
              <w:rPr>
                <w:rFonts w:hint="eastAsia" w:ascii="Times New Roman" w:hAnsi="Times New Roman" w:cs="Times New Roman"/>
                <w:b/>
                <w:color w:val="auto"/>
                <w:sz w:val="21"/>
                <w:szCs w:val="21"/>
                <w:lang w:val="en-US" w:eastAsia="zh-CN"/>
              </w:rPr>
              <w:t>8.给排水</w:t>
            </w:r>
          </w:p>
          <w:p w14:paraId="171CB0AE">
            <w:pPr>
              <w:pStyle w:val="24"/>
              <w:adjustRightInd w:val="0"/>
              <w:snapToGrid w:val="0"/>
              <w:spacing w:before="0" w:beforeAutospacing="0" w:after="0" w:afterAutospacing="0" w:line="440" w:lineRule="exact"/>
              <w:ind w:firstLine="420" w:firstLineChars="200"/>
              <w:rPr>
                <w:rFonts w:ascii="Times New Roman" w:hAnsi="Times New Roman"/>
                <w:color w:val="auto"/>
                <w:sz w:val="21"/>
                <w:szCs w:val="21"/>
              </w:rPr>
            </w:pPr>
            <w:r>
              <w:rPr>
                <w:color w:val="auto"/>
                <w:sz w:val="21"/>
                <w:szCs w:val="21"/>
              </w:rPr>
              <w:t>（</w:t>
            </w:r>
            <w:r>
              <w:rPr>
                <w:rFonts w:hint="eastAsia" w:ascii="Times New Roman" w:hAnsi="Times New Roman"/>
                <w:color w:val="auto"/>
                <w:sz w:val="21"/>
                <w:szCs w:val="21"/>
              </w:rPr>
              <w:t>1</w:t>
            </w:r>
            <w:r>
              <w:rPr>
                <w:color w:val="auto"/>
                <w:sz w:val="21"/>
                <w:szCs w:val="21"/>
              </w:rPr>
              <w:t>）给水</w:t>
            </w:r>
          </w:p>
          <w:p w14:paraId="1F7A8C8C">
            <w:pPr>
              <w:adjustRightInd w:val="0"/>
              <w:spacing w:line="440" w:lineRule="exact"/>
              <w:ind w:firstLine="420" w:firstLineChars="200"/>
              <w:outlineLvl w:val="2"/>
              <w:rPr>
                <w:rFonts w:hint="default" w:eastAsia="宋体"/>
                <w:color w:val="auto"/>
                <w:szCs w:val="21"/>
                <w:highlight w:val="none"/>
                <w:lang w:val="en-US" w:eastAsia="zh-CN"/>
              </w:rPr>
            </w:pPr>
            <w:r>
              <w:rPr>
                <w:rFonts w:hint="eastAsia"/>
                <w:color w:val="auto"/>
                <w:szCs w:val="21"/>
                <w:highlight w:val="none"/>
                <w:lang w:val="en-US" w:eastAsia="zh-CN"/>
              </w:rPr>
              <w:t>本项目生活用水采用桶装水，生产用水采用中水，由唐山市古冶区宏源污水处理厂提供。</w:t>
            </w:r>
            <w:r>
              <w:rPr>
                <w:rFonts w:hint="eastAsia"/>
                <w:color w:val="auto"/>
                <w:szCs w:val="21"/>
                <w:highlight w:val="none"/>
              </w:rPr>
              <w:t>拟建项目用水主要为职工生活用水、生产用水、喷雾抑尘用水、洗车平台用水。</w:t>
            </w:r>
          </w:p>
          <w:p w14:paraId="49B17B6B">
            <w:pPr>
              <w:adjustRightInd w:val="0"/>
              <w:spacing w:line="440" w:lineRule="exact"/>
              <w:ind w:firstLine="420" w:firstLineChars="200"/>
              <w:outlineLvl w:val="2"/>
              <w:rPr>
                <w:rFonts w:hint="default" w:eastAsia="宋体"/>
                <w:color w:val="auto"/>
                <w:szCs w:val="21"/>
                <w:highlight w:val="none"/>
                <w:lang w:val="en-US" w:eastAsia="zh-CN"/>
              </w:rPr>
            </w:pPr>
            <w:r>
              <w:rPr>
                <w:rFonts w:hint="eastAsia" w:ascii="宋体" w:hAnsi="宋体"/>
                <w:color w:val="auto"/>
                <w:szCs w:val="21"/>
                <w:highlight w:val="none"/>
              </w:rPr>
              <w:t>①</w:t>
            </w:r>
            <w:r>
              <w:rPr>
                <w:rFonts w:hint="eastAsia" w:ascii="宋体" w:hAnsi="宋体"/>
                <w:color w:val="auto"/>
                <w:szCs w:val="21"/>
                <w:highlight w:val="none"/>
                <w:lang w:val="en-US" w:eastAsia="zh-CN"/>
              </w:rPr>
              <w:t>生产用水：</w:t>
            </w:r>
            <w:r>
              <w:rPr>
                <w:rFonts w:hint="eastAsia"/>
                <w:color w:val="auto"/>
                <w:szCs w:val="21"/>
                <w:highlight w:val="none"/>
              </w:rPr>
              <w:t>项目生产用水量</w:t>
            </w:r>
            <w:r>
              <w:rPr>
                <w:rFonts w:hint="eastAsia"/>
                <w:color w:val="auto"/>
                <w:szCs w:val="21"/>
                <w:highlight w:val="none"/>
                <w:lang w:val="en-US" w:eastAsia="zh-CN"/>
              </w:rPr>
              <w:t>3168.1</w:t>
            </w:r>
            <w:r>
              <w:rPr>
                <w:rFonts w:hint="eastAsia"/>
                <w:color w:val="auto"/>
                <w:szCs w:val="21"/>
                <w:highlight w:val="none"/>
              </w:rPr>
              <w:t>m</w:t>
            </w:r>
            <w:r>
              <w:rPr>
                <w:rFonts w:hint="eastAsia"/>
                <w:color w:val="auto"/>
                <w:szCs w:val="21"/>
                <w:highlight w:val="none"/>
                <w:vertAlign w:val="superscript"/>
              </w:rPr>
              <w:t>3</w:t>
            </w:r>
            <w:r>
              <w:rPr>
                <w:rFonts w:hint="eastAsia"/>
                <w:color w:val="auto"/>
                <w:szCs w:val="21"/>
                <w:highlight w:val="none"/>
              </w:rPr>
              <w:t>/d，主要用于</w:t>
            </w:r>
            <w:r>
              <w:rPr>
                <w:rFonts w:hint="eastAsia"/>
                <w:color w:val="auto"/>
                <w:szCs w:val="21"/>
                <w:highlight w:val="none"/>
                <w:lang w:val="en-US" w:eastAsia="zh-CN"/>
              </w:rPr>
              <w:t>漂洗、</w:t>
            </w:r>
            <w:r>
              <w:rPr>
                <w:rFonts w:hint="eastAsia"/>
                <w:color w:val="auto"/>
                <w:szCs w:val="21"/>
                <w:highlight w:val="none"/>
              </w:rPr>
              <w:t>球磨、</w:t>
            </w:r>
            <w:r>
              <w:rPr>
                <w:rFonts w:hint="eastAsia"/>
                <w:color w:val="auto"/>
                <w:szCs w:val="21"/>
                <w:highlight w:val="none"/>
                <w:lang w:val="en-US" w:eastAsia="zh-CN"/>
              </w:rPr>
              <w:t>分选</w:t>
            </w:r>
            <w:r>
              <w:rPr>
                <w:rFonts w:hint="eastAsia"/>
                <w:color w:val="auto"/>
                <w:szCs w:val="21"/>
                <w:highlight w:val="none"/>
              </w:rPr>
              <w:t>等工序，其中循环用水</w:t>
            </w:r>
            <w:r>
              <w:rPr>
                <w:rFonts w:hint="eastAsia"/>
                <w:color w:val="auto"/>
                <w:szCs w:val="21"/>
                <w:highlight w:val="none"/>
                <w:lang w:val="en-US" w:eastAsia="zh-CN"/>
              </w:rPr>
              <w:t>3036.6</w:t>
            </w:r>
            <w:r>
              <w:rPr>
                <w:rFonts w:hint="eastAsia"/>
                <w:color w:val="auto"/>
                <w:szCs w:val="21"/>
                <w:highlight w:val="none"/>
              </w:rPr>
              <w:t>m</w:t>
            </w:r>
            <w:r>
              <w:rPr>
                <w:rFonts w:hint="eastAsia"/>
                <w:color w:val="auto"/>
                <w:szCs w:val="21"/>
                <w:highlight w:val="none"/>
                <w:vertAlign w:val="superscript"/>
              </w:rPr>
              <w:t>3</w:t>
            </w:r>
            <w:r>
              <w:rPr>
                <w:rFonts w:hint="eastAsia"/>
                <w:color w:val="auto"/>
                <w:szCs w:val="21"/>
                <w:highlight w:val="none"/>
              </w:rPr>
              <w:t>/d，</w:t>
            </w:r>
            <w:r>
              <w:rPr>
                <w:rFonts w:hint="eastAsia"/>
                <w:color w:val="auto"/>
                <w:szCs w:val="21"/>
                <w:highlight w:val="none"/>
                <w:lang w:val="en-US" w:eastAsia="zh-CN"/>
              </w:rPr>
              <w:t>漂洗、</w:t>
            </w:r>
            <w:r>
              <w:rPr>
                <w:rFonts w:hint="eastAsia"/>
                <w:color w:val="auto"/>
                <w:szCs w:val="21"/>
                <w:highlight w:val="none"/>
              </w:rPr>
              <w:t>球磨、</w:t>
            </w:r>
            <w:r>
              <w:rPr>
                <w:rFonts w:hint="eastAsia"/>
                <w:color w:val="auto"/>
                <w:szCs w:val="21"/>
                <w:highlight w:val="none"/>
                <w:lang w:val="en-US" w:eastAsia="zh-CN"/>
              </w:rPr>
              <w:t>分选等</w:t>
            </w:r>
            <w:r>
              <w:rPr>
                <w:rFonts w:hint="eastAsia"/>
                <w:color w:val="auto"/>
                <w:szCs w:val="21"/>
                <w:highlight w:val="none"/>
              </w:rPr>
              <w:t>工序补充新鲜水</w:t>
            </w:r>
            <w:r>
              <w:rPr>
                <w:rFonts w:hint="eastAsia"/>
                <w:color w:val="auto"/>
                <w:szCs w:val="21"/>
                <w:highlight w:val="none"/>
                <w:lang w:val="en-US" w:eastAsia="zh-CN"/>
              </w:rPr>
              <w:t>76.1</w:t>
            </w:r>
            <w:r>
              <w:rPr>
                <w:rFonts w:hint="eastAsia"/>
                <w:color w:val="auto"/>
                <w:szCs w:val="21"/>
                <w:highlight w:val="none"/>
              </w:rPr>
              <w:t>m</w:t>
            </w:r>
            <w:r>
              <w:rPr>
                <w:rFonts w:hint="eastAsia"/>
                <w:color w:val="auto"/>
                <w:szCs w:val="21"/>
                <w:highlight w:val="none"/>
                <w:vertAlign w:val="superscript"/>
                <w:lang w:val="en-US" w:eastAsia="zh-CN"/>
              </w:rPr>
              <w:t>3</w:t>
            </w:r>
            <w:r>
              <w:rPr>
                <w:rFonts w:hint="eastAsia"/>
                <w:color w:val="auto"/>
                <w:szCs w:val="21"/>
                <w:highlight w:val="none"/>
              </w:rPr>
              <w:t>/d，物料带入水</w:t>
            </w:r>
            <w:r>
              <w:rPr>
                <w:rFonts w:hint="eastAsia"/>
                <w:color w:val="auto"/>
                <w:szCs w:val="21"/>
                <w:highlight w:val="none"/>
                <w:lang w:val="en-US" w:eastAsia="zh-CN"/>
              </w:rPr>
              <w:t>55.4</w:t>
            </w:r>
            <w:r>
              <w:rPr>
                <w:rFonts w:hint="eastAsia"/>
                <w:color w:val="auto"/>
                <w:szCs w:val="21"/>
                <w:highlight w:val="none"/>
              </w:rPr>
              <w:t>m</w:t>
            </w:r>
            <w:r>
              <w:rPr>
                <w:rFonts w:hint="eastAsia"/>
                <w:color w:val="auto"/>
                <w:szCs w:val="21"/>
                <w:highlight w:val="none"/>
                <w:vertAlign w:val="superscript"/>
                <w:lang w:val="en-US" w:eastAsia="zh-CN"/>
              </w:rPr>
              <w:t>3</w:t>
            </w:r>
            <w:r>
              <w:rPr>
                <w:rFonts w:hint="eastAsia"/>
                <w:color w:val="auto"/>
                <w:szCs w:val="21"/>
                <w:highlight w:val="none"/>
              </w:rPr>
              <w:t>/d，重复用水率</w:t>
            </w:r>
            <w:r>
              <w:rPr>
                <w:rFonts w:hint="eastAsia"/>
                <w:color w:val="auto"/>
                <w:szCs w:val="21"/>
                <w:highlight w:val="none"/>
                <w:lang w:val="en-US" w:eastAsia="zh-CN"/>
              </w:rPr>
              <w:t>95.85</w:t>
            </w:r>
            <w:r>
              <w:rPr>
                <w:rFonts w:hint="eastAsia"/>
                <w:color w:val="auto"/>
                <w:szCs w:val="21"/>
                <w:highlight w:val="none"/>
              </w:rPr>
              <w:t>%。</w:t>
            </w:r>
          </w:p>
          <w:p w14:paraId="329344B2">
            <w:pPr>
              <w:adjustRightInd w:val="0"/>
              <w:spacing w:line="440" w:lineRule="exact"/>
              <w:ind w:firstLine="420" w:firstLineChars="200"/>
              <w:outlineLvl w:val="2"/>
              <w:rPr>
                <w:rFonts w:hint="eastAsia"/>
                <w:color w:val="auto"/>
                <w:szCs w:val="21"/>
                <w:highlight w:val="none"/>
              </w:rPr>
            </w:pPr>
            <w:r>
              <w:rPr>
                <w:rFonts w:hint="eastAsia"/>
                <w:color w:val="auto"/>
                <w:szCs w:val="21"/>
                <w:highlight w:val="none"/>
              </w:rPr>
              <w:t>②项目在</w:t>
            </w:r>
            <w:r>
              <w:rPr>
                <w:rFonts w:hint="eastAsia"/>
                <w:color w:val="auto"/>
                <w:szCs w:val="21"/>
                <w:highlight w:val="none"/>
                <w:lang w:val="en-US" w:eastAsia="zh-CN"/>
              </w:rPr>
              <w:t>厂区及车间</w:t>
            </w:r>
            <w:r>
              <w:rPr>
                <w:rFonts w:hint="eastAsia"/>
                <w:color w:val="auto"/>
                <w:szCs w:val="21"/>
                <w:highlight w:val="none"/>
              </w:rPr>
              <w:t>出入口设置洗车平台清洗运输车辆，车辆冲洗用水量为</w:t>
            </w:r>
            <w:r>
              <w:rPr>
                <w:rFonts w:hint="eastAsia"/>
                <w:color w:val="auto"/>
                <w:szCs w:val="21"/>
                <w:highlight w:val="none"/>
                <w:lang w:val="en-US" w:eastAsia="zh-CN"/>
              </w:rPr>
              <w:t>10</w:t>
            </w:r>
            <w:r>
              <w:rPr>
                <w:rFonts w:hint="eastAsia"/>
                <w:color w:val="auto"/>
                <w:szCs w:val="21"/>
                <w:highlight w:val="none"/>
              </w:rPr>
              <w:t>m</w:t>
            </w:r>
            <w:r>
              <w:rPr>
                <w:rFonts w:hint="eastAsia"/>
                <w:color w:val="auto"/>
                <w:szCs w:val="21"/>
                <w:highlight w:val="none"/>
                <w:vertAlign w:val="superscript"/>
              </w:rPr>
              <w:t>3</w:t>
            </w:r>
            <w:r>
              <w:rPr>
                <w:rFonts w:hint="eastAsia"/>
                <w:color w:val="auto"/>
                <w:szCs w:val="21"/>
                <w:highlight w:val="none"/>
              </w:rPr>
              <w:t>/d，洗车平台四周设置防溢座，洗车过程产生的废水经导游入沉淀池内</w:t>
            </w:r>
            <w:r>
              <w:rPr>
                <w:rFonts w:hint="eastAsia"/>
                <w:color w:val="auto"/>
                <w:szCs w:val="21"/>
                <w:highlight w:val="none"/>
                <w:lang w:eastAsia="zh-CN"/>
              </w:rPr>
              <w:t>，</w:t>
            </w:r>
            <w:r>
              <w:rPr>
                <w:rFonts w:hint="eastAsia"/>
                <w:color w:val="auto"/>
                <w:szCs w:val="21"/>
                <w:highlight w:val="none"/>
              </w:rPr>
              <w:t>经沉淀后的洗车废水流入清水池内</w:t>
            </w:r>
            <w:r>
              <w:rPr>
                <w:rFonts w:hint="eastAsia"/>
                <w:color w:val="auto"/>
                <w:szCs w:val="21"/>
                <w:highlight w:val="none"/>
                <w:lang w:eastAsia="zh-CN"/>
              </w:rPr>
              <w:t>，</w:t>
            </w:r>
            <w:r>
              <w:rPr>
                <w:rFonts w:hint="eastAsia"/>
                <w:color w:val="auto"/>
                <w:szCs w:val="21"/>
                <w:highlight w:val="none"/>
              </w:rPr>
              <w:t>清洗沉淀过程随车辆带走及蒸发损耗水量为</w:t>
            </w:r>
            <w:r>
              <w:rPr>
                <w:rFonts w:hint="eastAsia"/>
                <w:color w:val="auto"/>
                <w:szCs w:val="21"/>
                <w:highlight w:val="none"/>
                <w:lang w:val="en-US" w:eastAsia="zh-CN"/>
              </w:rPr>
              <w:t>0.7</w:t>
            </w:r>
            <w:r>
              <w:rPr>
                <w:rFonts w:hint="eastAsia"/>
                <w:color w:val="auto"/>
                <w:szCs w:val="21"/>
                <w:highlight w:val="none"/>
              </w:rPr>
              <w:t>m</w:t>
            </w:r>
            <w:r>
              <w:rPr>
                <w:rFonts w:hint="eastAsia"/>
                <w:color w:val="auto"/>
                <w:szCs w:val="21"/>
                <w:highlight w:val="none"/>
                <w:vertAlign w:val="superscript"/>
              </w:rPr>
              <w:t>3</w:t>
            </w:r>
            <w:r>
              <w:rPr>
                <w:rFonts w:hint="eastAsia"/>
                <w:color w:val="auto"/>
                <w:szCs w:val="21"/>
                <w:highlight w:val="none"/>
              </w:rPr>
              <w:t>/d，循环水量</w:t>
            </w:r>
            <w:r>
              <w:rPr>
                <w:rFonts w:hint="eastAsia"/>
                <w:color w:val="auto"/>
                <w:szCs w:val="21"/>
                <w:highlight w:val="none"/>
                <w:lang w:val="en-US" w:eastAsia="zh-CN"/>
              </w:rPr>
              <w:t>6.3</w:t>
            </w:r>
            <w:r>
              <w:rPr>
                <w:rFonts w:hint="eastAsia"/>
                <w:color w:val="auto"/>
                <w:szCs w:val="21"/>
                <w:highlight w:val="none"/>
              </w:rPr>
              <w:t>m</w:t>
            </w:r>
            <w:r>
              <w:rPr>
                <w:rFonts w:hint="eastAsia"/>
                <w:color w:val="auto"/>
                <w:szCs w:val="21"/>
                <w:highlight w:val="none"/>
                <w:vertAlign w:val="superscript"/>
              </w:rPr>
              <w:t>3</w:t>
            </w:r>
            <w:r>
              <w:rPr>
                <w:rFonts w:hint="eastAsia"/>
                <w:color w:val="auto"/>
                <w:szCs w:val="21"/>
                <w:highlight w:val="none"/>
              </w:rPr>
              <w:t>/d，补充新水量</w:t>
            </w:r>
            <w:r>
              <w:rPr>
                <w:rFonts w:hint="eastAsia"/>
                <w:color w:val="auto"/>
                <w:szCs w:val="21"/>
                <w:highlight w:val="none"/>
                <w:lang w:val="en-US" w:eastAsia="zh-CN"/>
              </w:rPr>
              <w:t>0.7</w:t>
            </w:r>
            <w:r>
              <w:rPr>
                <w:rFonts w:hint="eastAsia"/>
                <w:color w:val="auto"/>
                <w:szCs w:val="21"/>
                <w:highlight w:val="none"/>
              </w:rPr>
              <w:t>m</w:t>
            </w:r>
            <w:r>
              <w:rPr>
                <w:rFonts w:hint="eastAsia"/>
                <w:color w:val="auto"/>
                <w:szCs w:val="21"/>
                <w:highlight w:val="none"/>
                <w:vertAlign w:val="superscript"/>
              </w:rPr>
              <w:t>3</w:t>
            </w:r>
            <w:r>
              <w:rPr>
                <w:rFonts w:hint="eastAsia"/>
                <w:color w:val="auto"/>
                <w:szCs w:val="21"/>
                <w:highlight w:val="none"/>
              </w:rPr>
              <w:t>/d。</w:t>
            </w:r>
          </w:p>
          <w:p w14:paraId="26CFAAF4">
            <w:pPr>
              <w:adjustRightInd w:val="0"/>
              <w:spacing w:line="440" w:lineRule="exact"/>
              <w:ind w:firstLine="420" w:firstLineChars="200"/>
              <w:outlineLvl w:val="2"/>
              <w:rPr>
                <w:rFonts w:hint="eastAsia"/>
                <w:color w:val="auto"/>
                <w:szCs w:val="21"/>
                <w:highlight w:val="none"/>
              </w:rPr>
            </w:pPr>
            <w:r>
              <w:rPr>
                <w:rFonts w:hint="eastAsia"/>
                <w:color w:val="auto"/>
                <w:szCs w:val="21"/>
                <w:highlight w:val="none"/>
              </w:rPr>
              <w:t>③喷雾抑尘用水：原料卸料、</w:t>
            </w:r>
            <w:r>
              <w:rPr>
                <w:rFonts w:hint="eastAsia"/>
                <w:color w:val="auto"/>
                <w:szCs w:val="21"/>
                <w:highlight w:val="none"/>
                <w:lang w:val="en-US" w:eastAsia="zh-CN"/>
              </w:rPr>
              <w:t>堆存、</w:t>
            </w:r>
            <w:r>
              <w:rPr>
                <w:rFonts w:hint="eastAsia"/>
                <w:color w:val="auto"/>
                <w:szCs w:val="21"/>
                <w:highlight w:val="none"/>
              </w:rPr>
              <w:t>厂区</w:t>
            </w:r>
            <w:r>
              <w:rPr>
                <w:rFonts w:hint="eastAsia"/>
                <w:color w:val="auto"/>
                <w:szCs w:val="21"/>
                <w:highlight w:val="none"/>
                <w:lang w:val="en-US" w:eastAsia="zh-CN"/>
              </w:rPr>
              <w:t>内抑尘</w:t>
            </w:r>
            <w:r>
              <w:rPr>
                <w:rFonts w:hint="eastAsia"/>
                <w:color w:val="auto"/>
                <w:szCs w:val="21"/>
                <w:highlight w:val="none"/>
              </w:rPr>
              <w:t>等喷雾抑尘用水为</w:t>
            </w:r>
            <w:r>
              <w:rPr>
                <w:rFonts w:hint="eastAsia"/>
                <w:color w:val="auto"/>
                <w:szCs w:val="21"/>
                <w:highlight w:val="none"/>
                <w:lang w:val="en-US" w:eastAsia="zh-CN"/>
              </w:rPr>
              <w:t>5</w:t>
            </w:r>
            <w:r>
              <w:rPr>
                <w:rFonts w:hint="eastAsia"/>
                <w:color w:val="auto"/>
                <w:szCs w:val="21"/>
                <w:highlight w:val="none"/>
              </w:rPr>
              <w:t>m</w:t>
            </w:r>
            <w:r>
              <w:rPr>
                <w:rFonts w:hint="eastAsia"/>
                <w:color w:val="auto"/>
                <w:szCs w:val="21"/>
                <w:highlight w:val="none"/>
                <w:vertAlign w:val="superscript"/>
              </w:rPr>
              <w:t>3</w:t>
            </w:r>
            <w:r>
              <w:rPr>
                <w:rFonts w:hint="eastAsia"/>
                <w:color w:val="auto"/>
                <w:szCs w:val="21"/>
                <w:highlight w:val="none"/>
              </w:rPr>
              <w:t>/d。</w:t>
            </w:r>
          </w:p>
          <w:p w14:paraId="6F4F052A">
            <w:pPr>
              <w:adjustRightInd w:val="0"/>
              <w:spacing w:line="440" w:lineRule="exact"/>
              <w:ind w:firstLine="420" w:firstLineChars="200"/>
              <w:outlineLvl w:val="2"/>
              <w:rPr>
                <w:rFonts w:hint="eastAsia"/>
                <w:color w:val="auto"/>
                <w:szCs w:val="21"/>
                <w:highlight w:val="none"/>
              </w:rPr>
            </w:pPr>
            <w:r>
              <w:rPr>
                <w:rFonts w:hint="eastAsia"/>
                <w:color w:val="auto"/>
                <w:szCs w:val="21"/>
                <w:highlight w:val="none"/>
              </w:rPr>
              <w:t>④生活用水：拟建项目不设食堂、洗浴，生活用水仅为职工日常生活的盥洗用水。</w:t>
            </w:r>
            <w:r>
              <w:rPr>
                <w:rFonts w:hint="eastAsia"/>
                <w:color w:val="auto"/>
                <w:szCs w:val="21"/>
                <w:highlight w:val="none"/>
                <w:lang w:val="en-US" w:eastAsia="zh-CN"/>
              </w:rPr>
              <w:t>生活用水采用桶装水，</w:t>
            </w:r>
            <w:r>
              <w:rPr>
                <w:rFonts w:hint="eastAsia"/>
                <w:color w:val="auto"/>
                <w:szCs w:val="21"/>
                <w:highlight w:val="none"/>
              </w:rPr>
              <w:t>根据《河北省用水定额》并结合企业实际情况，职工生活用水量按</w:t>
            </w:r>
            <w:r>
              <w:rPr>
                <w:rFonts w:hint="eastAsia"/>
                <w:color w:val="auto"/>
                <w:szCs w:val="21"/>
                <w:highlight w:val="none"/>
                <w:lang w:val="en-US" w:eastAsia="zh-CN"/>
              </w:rPr>
              <w:t>1</w:t>
            </w:r>
            <w:r>
              <w:rPr>
                <w:rFonts w:hint="eastAsia"/>
                <w:color w:val="auto"/>
                <w:szCs w:val="21"/>
                <w:highlight w:val="none"/>
              </w:rPr>
              <w:t>0L/（人·d）计算，拟建项目总劳动定员</w:t>
            </w:r>
            <w:r>
              <w:rPr>
                <w:rFonts w:hint="eastAsia"/>
                <w:color w:val="auto"/>
                <w:szCs w:val="21"/>
                <w:highlight w:val="none"/>
                <w:lang w:val="en-US" w:eastAsia="zh-CN"/>
              </w:rPr>
              <w:t>15</w:t>
            </w:r>
            <w:r>
              <w:rPr>
                <w:rFonts w:hint="eastAsia"/>
                <w:color w:val="auto"/>
                <w:szCs w:val="21"/>
                <w:highlight w:val="none"/>
              </w:rPr>
              <w:t>人，确定本项目职工生活用水量为</w:t>
            </w:r>
            <w:r>
              <w:rPr>
                <w:rFonts w:hint="eastAsia"/>
                <w:color w:val="auto"/>
                <w:szCs w:val="21"/>
                <w:highlight w:val="none"/>
                <w:lang w:val="en-US" w:eastAsia="zh-CN"/>
              </w:rPr>
              <w:t>0.15</w:t>
            </w:r>
            <w:r>
              <w:rPr>
                <w:rFonts w:hint="eastAsia"/>
                <w:color w:val="auto"/>
                <w:szCs w:val="21"/>
                <w:highlight w:val="none"/>
              </w:rPr>
              <w:t>m</w:t>
            </w:r>
            <w:r>
              <w:rPr>
                <w:rFonts w:hint="eastAsia"/>
                <w:color w:val="auto"/>
                <w:szCs w:val="21"/>
                <w:highlight w:val="none"/>
                <w:vertAlign w:val="superscript"/>
              </w:rPr>
              <w:t>3</w:t>
            </w:r>
            <w:r>
              <w:rPr>
                <w:rFonts w:hint="eastAsia"/>
                <w:color w:val="auto"/>
                <w:szCs w:val="21"/>
                <w:highlight w:val="none"/>
              </w:rPr>
              <w:t>/d。</w:t>
            </w:r>
          </w:p>
          <w:p w14:paraId="6AAE753B">
            <w:pPr>
              <w:adjustRightInd w:val="0"/>
              <w:spacing w:line="440" w:lineRule="exact"/>
              <w:ind w:firstLine="420" w:firstLineChars="200"/>
              <w:outlineLvl w:val="2"/>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（2）排水</w:t>
            </w:r>
          </w:p>
          <w:p w14:paraId="3E929858">
            <w:pPr>
              <w:adjustRightInd w:val="0"/>
              <w:spacing w:line="440" w:lineRule="exact"/>
              <w:ind w:firstLine="420" w:firstLineChars="200"/>
              <w:outlineLvl w:val="2"/>
              <w:rPr>
                <w:rFonts w:hint="eastAsia"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Cs w:val="21"/>
                <w:highlight w:val="none"/>
                <w:lang w:val="en-US" w:eastAsia="zh-CN"/>
              </w:rPr>
              <w:t>项目职工生活污水主要为盥洗废水，水质简单，产生量小，全部用于厂区内泼洒抑尘，不外排；喷淋抑尘用水全部损耗，不外排；车辆冲洗废水经沉淀池沉淀后循环利用，不外排</w:t>
            </w:r>
            <w:r>
              <w:rPr>
                <w:rFonts w:hint="eastAsia" w:ascii="Times New Roman" w:hAnsi="Times New Roman" w:eastAsia="宋体" w:cs="Times New Roman"/>
                <w:color w:val="auto"/>
                <w:szCs w:val="21"/>
                <w:highlight w:val="none"/>
                <w:lang w:val="en-US" w:eastAsia="zh-CN"/>
              </w:rPr>
              <w:t>；</w:t>
            </w:r>
            <w:r>
              <w:rPr>
                <w:rFonts w:hint="eastAsia" w:ascii="Times New Roman" w:hAnsi="Times New Roman" w:eastAsia="宋体" w:cs="Times New Roman"/>
                <w:color w:val="auto"/>
                <w:sz w:val="21"/>
                <w:szCs w:val="21"/>
                <w:highlight w:val="none"/>
                <w:lang w:val="en-US" w:eastAsia="zh-CN"/>
              </w:rPr>
              <w:t>各料池产生的溢流水经集水沟收集后，流入污水池，之后由渣浆泵将污水池中污水打入</w:t>
            </w:r>
            <w:r>
              <w:rPr>
                <w:rFonts w:hint="eastAsia" w:ascii="Times New Roman" w:hAnsi="Times New Roman" w:cs="Times New Roman"/>
                <w:color w:val="auto"/>
                <w:sz w:val="21"/>
                <w:szCs w:val="21"/>
                <w:highlight w:val="none"/>
                <w:lang w:val="en-US" w:eastAsia="zh-CN"/>
              </w:rPr>
              <w:t>沉淀池，</w:t>
            </w:r>
            <w:r>
              <w:rPr>
                <w:rFonts w:hint="eastAsia" w:ascii="Times New Roman" w:hAnsi="Times New Roman" w:eastAsia="宋体" w:cs="Times New Roman"/>
                <w:color w:val="auto"/>
                <w:sz w:val="21"/>
                <w:szCs w:val="21"/>
                <w:highlight w:val="none"/>
                <w:lang w:val="en-US" w:eastAsia="zh-CN"/>
              </w:rPr>
              <w:t>废钢破碎尾料分选生产线漂洗船、甩干机、高钙机产生的废水与钢渣处理生产线脱水筛、过滤机产生的废水通过管道进入</w:t>
            </w:r>
            <w:r>
              <w:rPr>
                <w:rFonts w:hint="eastAsia" w:ascii="Times New Roman" w:hAnsi="Times New Roman" w:cs="Times New Roman"/>
                <w:color w:val="auto"/>
                <w:sz w:val="21"/>
                <w:szCs w:val="21"/>
                <w:highlight w:val="none"/>
                <w:lang w:val="en-US" w:eastAsia="zh-CN"/>
              </w:rPr>
              <w:t>沉淀池，废水在沉淀池沉淀后，在由</w:t>
            </w:r>
            <w:r>
              <w:rPr>
                <w:rFonts w:hint="eastAsia" w:ascii="Times New Roman" w:hAnsi="Times New Roman" w:eastAsia="宋体" w:cs="Times New Roman"/>
                <w:color w:val="auto"/>
                <w:sz w:val="21"/>
                <w:szCs w:val="21"/>
                <w:highlight w:val="none"/>
                <w:lang w:val="en-US" w:eastAsia="zh-CN"/>
              </w:rPr>
              <w:t>渣浆泵将</w:t>
            </w:r>
            <w:r>
              <w:rPr>
                <w:rFonts w:hint="eastAsia" w:ascii="Times New Roman" w:hAnsi="Times New Roman" w:cs="Times New Roman"/>
                <w:color w:val="auto"/>
                <w:sz w:val="21"/>
                <w:szCs w:val="21"/>
                <w:highlight w:val="none"/>
                <w:lang w:val="en-US" w:eastAsia="zh-CN"/>
              </w:rPr>
              <w:t>沉淀</w:t>
            </w:r>
            <w:r>
              <w:rPr>
                <w:rFonts w:hint="eastAsia" w:ascii="Times New Roman" w:hAnsi="Times New Roman" w:eastAsia="宋体" w:cs="Times New Roman"/>
                <w:color w:val="auto"/>
                <w:sz w:val="21"/>
                <w:szCs w:val="21"/>
                <w:highlight w:val="none"/>
                <w:lang w:val="en-US" w:eastAsia="zh-CN"/>
              </w:rPr>
              <w:t>池中污水打入浓缩罐</w:t>
            </w:r>
            <w:r>
              <w:rPr>
                <w:rFonts w:hint="eastAsia" w:ascii="Times New Roman" w:hAnsi="Times New Roman" w:cs="Times New Roman"/>
                <w:color w:val="auto"/>
                <w:sz w:val="21"/>
                <w:szCs w:val="21"/>
                <w:highlight w:val="none"/>
                <w:lang w:val="en-US" w:eastAsia="zh-CN"/>
              </w:rPr>
              <w:t>，</w:t>
            </w:r>
            <w:r>
              <w:rPr>
                <w:rFonts w:hint="eastAsia" w:ascii="Times New Roman" w:hAnsi="Times New Roman" w:eastAsia="宋体" w:cs="Times New Roman"/>
                <w:color w:val="auto"/>
                <w:sz w:val="21"/>
                <w:szCs w:val="21"/>
                <w:highlight w:val="none"/>
                <w:lang w:val="en-US" w:eastAsia="zh-CN"/>
              </w:rPr>
              <w:t>以上废水经浓缩罐</w:t>
            </w:r>
            <w:r>
              <w:rPr>
                <w:rFonts w:hint="eastAsia" w:ascii="Times New Roman" w:hAnsi="Times New Roman" w:cs="Times New Roman"/>
                <w:color w:val="auto"/>
                <w:sz w:val="21"/>
                <w:szCs w:val="21"/>
                <w:highlight w:val="none"/>
                <w:lang w:val="en-US" w:eastAsia="zh-CN"/>
              </w:rPr>
              <w:t>加药</w:t>
            </w:r>
            <w:r>
              <w:rPr>
                <w:rFonts w:hint="eastAsia" w:ascii="Times New Roman" w:hAnsi="Times New Roman" w:eastAsia="宋体" w:cs="Times New Roman"/>
                <w:color w:val="auto"/>
                <w:sz w:val="21"/>
                <w:szCs w:val="21"/>
                <w:highlight w:val="none"/>
                <w:lang w:val="en-US" w:eastAsia="zh-CN"/>
              </w:rPr>
              <w:t>浓缩后，上清液进入清水池，</w:t>
            </w:r>
            <w:r>
              <w:rPr>
                <w:rFonts w:hint="eastAsia" w:ascii="Times New Roman" w:hAnsi="Times New Roman" w:cs="Times New Roman"/>
                <w:color w:val="auto"/>
                <w:sz w:val="21"/>
                <w:szCs w:val="21"/>
                <w:highlight w:val="none"/>
                <w:lang w:val="en-US" w:eastAsia="zh-CN"/>
              </w:rPr>
              <w:t>之后经清水泵</w:t>
            </w:r>
            <w:r>
              <w:rPr>
                <w:rFonts w:hint="eastAsia" w:ascii="Times New Roman" w:hAnsi="Times New Roman" w:eastAsia="宋体" w:cs="Times New Roman"/>
                <w:color w:val="auto"/>
                <w:sz w:val="21"/>
                <w:szCs w:val="21"/>
                <w:highlight w:val="none"/>
                <w:lang w:val="en-US" w:eastAsia="zh-CN"/>
              </w:rPr>
              <w:t>回用于生产，底部浆液经渣浆泵打入板框压滤机进行压滤，产生的泥饼暂存于压滤机底部污泥存储料斗内，压滤后的清水进入清水池，</w:t>
            </w:r>
            <w:r>
              <w:rPr>
                <w:rFonts w:hint="eastAsia" w:ascii="Times New Roman" w:hAnsi="Times New Roman" w:cs="Times New Roman"/>
                <w:color w:val="auto"/>
                <w:sz w:val="21"/>
                <w:szCs w:val="21"/>
                <w:highlight w:val="none"/>
                <w:lang w:val="en-US" w:eastAsia="zh-CN"/>
              </w:rPr>
              <w:t>之后经清水泵</w:t>
            </w:r>
            <w:r>
              <w:rPr>
                <w:rFonts w:hint="eastAsia" w:ascii="Times New Roman" w:hAnsi="Times New Roman" w:eastAsia="宋体" w:cs="Times New Roman"/>
                <w:color w:val="auto"/>
                <w:sz w:val="21"/>
                <w:szCs w:val="21"/>
                <w:highlight w:val="none"/>
                <w:lang w:val="en-US" w:eastAsia="zh-CN"/>
              </w:rPr>
              <w:t>回用于生产。</w:t>
            </w:r>
          </w:p>
          <w:p w14:paraId="1F2BBC54">
            <w:pPr>
              <w:pStyle w:val="35"/>
              <w:rPr>
                <w:rFonts w:hint="default"/>
                <w:color w:val="auto"/>
                <w:lang w:val="en-US" w:eastAsia="zh-CN"/>
              </w:rPr>
            </w:pPr>
          </w:p>
          <w:p w14:paraId="6C07B9FA">
            <w:pPr>
              <w:pStyle w:val="35"/>
              <w:rPr>
                <w:rFonts w:hint="default"/>
                <w:color w:val="auto"/>
                <w:lang w:val="en-US" w:eastAsia="zh-CN"/>
              </w:rPr>
            </w:pPr>
          </w:p>
          <w:p w14:paraId="7E587C34">
            <w:pPr>
              <w:pStyle w:val="35"/>
              <w:rPr>
                <w:rFonts w:hint="default"/>
                <w:color w:val="auto"/>
                <w:lang w:val="en-US" w:eastAsia="zh-CN"/>
              </w:rPr>
            </w:pPr>
          </w:p>
          <w:p w14:paraId="493E8D14">
            <w:pPr>
              <w:pStyle w:val="35"/>
              <w:rPr>
                <w:rFonts w:hint="default"/>
                <w:color w:val="auto"/>
                <w:lang w:val="en-US" w:eastAsia="zh-CN"/>
              </w:rPr>
            </w:pPr>
          </w:p>
          <w:p w14:paraId="5683B432">
            <w:pPr>
              <w:tabs>
                <w:tab w:val="left" w:pos="4253"/>
              </w:tabs>
              <w:spacing w:line="480" w:lineRule="exact"/>
              <w:jc w:val="center"/>
              <w:rPr>
                <w:rFonts w:hint="eastAsia"/>
                <w:b/>
                <w:color w:val="auto"/>
                <w:szCs w:val="21"/>
                <w:lang w:bidi="ar"/>
              </w:rPr>
            </w:pPr>
          </w:p>
          <w:p w14:paraId="41F9C88D">
            <w:pPr>
              <w:tabs>
                <w:tab w:val="left" w:pos="4253"/>
              </w:tabs>
              <w:spacing w:line="480" w:lineRule="exact"/>
              <w:jc w:val="center"/>
              <w:rPr>
                <w:rFonts w:hint="eastAsia"/>
                <w:b/>
                <w:color w:val="auto"/>
                <w:szCs w:val="21"/>
                <w:lang w:bidi="ar"/>
              </w:rPr>
            </w:pPr>
          </w:p>
          <w:p w14:paraId="3AA55DF7">
            <w:pPr>
              <w:pStyle w:val="35"/>
              <w:rPr>
                <w:rFonts w:hint="eastAsia"/>
                <w:b/>
                <w:color w:val="auto"/>
                <w:szCs w:val="21"/>
                <w:lang w:bidi="ar"/>
              </w:rPr>
            </w:pPr>
          </w:p>
          <w:p w14:paraId="2E09839F">
            <w:pPr>
              <w:pStyle w:val="35"/>
              <w:rPr>
                <w:rFonts w:hint="eastAsia"/>
                <w:b/>
                <w:color w:val="auto"/>
                <w:szCs w:val="21"/>
                <w:lang w:bidi="ar"/>
              </w:rPr>
            </w:pPr>
          </w:p>
          <w:p w14:paraId="4627CF11">
            <w:pPr>
              <w:pStyle w:val="35"/>
              <w:rPr>
                <w:rFonts w:hint="eastAsia"/>
                <w:b/>
                <w:color w:val="auto"/>
                <w:szCs w:val="21"/>
                <w:lang w:bidi="ar"/>
              </w:rPr>
            </w:pPr>
          </w:p>
          <w:p w14:paraId="7B9E6C27">
            <w:pPr>
              <w:pStyle w:val="35"/>
              <w:rPr>
                <w:rFonts w:hint="eastAsia"/>
                <w:b/>
                <w:color w:val="auto"/>
                <w:szCs w:val="21"/>
                <w:lang w:bidi="ar"/>
              </w:rPr>
            </w:pPr>
          </w:p>
          <w:p w14:paraId="3931C17E">
            <w:pPr>
              <w:pStyle w:val="35"/>
              <w:rPr>
                <w:rFonts w:hint="eastAsia"/>
                <w:b/>
                <w:color w:val="auto"/>
                <w:szCs w:val="21"/>
                <w:lang w:bidi="ar"/>
              </w:rPr>
            </w:pPr>
          </w:p>
          <w:p w14:paraId="6F21FF1D">
            <w:pPr>
              <w:pStyle w:val="35"/>
              <w:rPr>
                <w:rFonts w:hint="eastAsia"/>
                <w:b/>
                <w:color w:val="auto"/>
                <w:szCs w:val="21"/>
                <w:lang w:bidi="ar"/>
              </w:rPr>
            </w:pPr>
          </w:p>
          <w:p w14:paraId="54F689C7">
            <w:pPr>
              <w:pStyle w:val="35"/>
              <w:rPr>
                <w:rFonts w:hint="eastAsia"/>
                <w:b/>
                <w:color w:val="auto"/>
                <w:szCs w:val="21"/>
                <w:lang w:bidi="ar"/>
              </w:rPr>
            </w:pPr>
          </w:p>
          <w:p w14:paraId="45771649">
            <w:pPr>
              <w:pStyle w:val="35"/>
              <w:rPr>
                <w:rFonts w:hint="eastAsia"/>
                <w:b/>
                <w:color w:val="auto"/>
                <w:szCs w:val="21"/>
                <w:lang w:bidi="ar"/>
              </w:rPr>
            </w:pPr>
          </w:p>
          <w:p w14:paraId="4C94F30A">
            <w:pPr>
              <w:pStyle w:val="35"/>
              <w:rPr>
                <w:rFonts w:hint="eastAsia"/>
                <w:b/>
                <w:color w:val="auto"/>
                <w:szCs w:val="21"/>
                <w:lang w:bidi="ar"/>
              </w:rPr>
            </w:pPr>
          </w:p>
          <w:p w14:paraId="2618AB96">
            <w:pPr>
              <w:pStyle w:val="35"/>
              <w:rPr>
                <w:rFonts w:hint="eastAsia"/>
                <w:b/>
                <w:color w:val="auto"/>
                <w:szCs w:val="21"/>
                <w:lang w:bidi="ar"/>
              </w:rPr>
            </w:pPr>
          </w:p>
          <w:p w14:paraId="75CE76C0">
            <w:pPr>
              <w:pStyle w:val="35"/>
              <w:rPr>
                <w:rFonts w:hint="eastAsia"/>
                <w:b/>
                <w:color w:val="auto"/>
                <w:szCs w:val="21"/>
                <w:lang w:bidi="ar"/>
              </w:rPr>
            </w:pPr>
          </w:p>
          <w:p w14:paraId="4AF7E885">
            <w:pPr>
              <w:pStyle w:val="35"/>
              <w:rPr>
                <w:rFonts w:hint="eastAsia"/>
                <w:b/>
                <w:color w:val="auto"/>
                <w:szCs w:val="21"/>
                <w:lang w:bidi="ar"/>
              </w:rPr>
            </w:pPr>
          </w:p>
          <w:p w14:paraId="4E5D7976">
            <w:pPr>
              <w:pStyle w:val="35"/>
              <w:rPr>
                <w:rFonts w:hint="eastAsia"/>
                <w:b/>
                <w:color w:val="auto"/>
                <w:szCs w:val="21"/>
                <w:lang w:bidi="ar"/>
              </w:rPr>
            </w:pPr>
          </w:p>
          <w:p w14:paraId="6391498C">
            <w:pPr>
              <w:pStyle w:val="35"/>
              <w:rPr>
                <w:rFonts w:hint="eastAsia"/>
                <w:b/>
                <w:color w:val="auto"/>
                <w:szCs w:val="21"/>
                <w:lang w:bidi="ar"/>
              </w:rPr>
            </w:pPr>
          </w:p>
          <w:p w14:paraId="4D4C4456">
            <w:pPr>
              <w:pStyle w:val="35"/>
              <w:rPr>
                <w:rFonts w:hint="eastAsia"/>
                <w:b/>
                <w:color w:val="auto"/>
                <w:szCs w:val="21"/>
                <w:lang w:bidi="ar"/>
              </w:rPr>
            </w:pPr>
          </w:p>
          <w:p w14:paraId="0A76EAD1">
            <w:pPr>
              <w:pStyle w:val="35"/>
              <w:rPr>
                <w:rFonts w:hint="eastAsia"/>
                <w:b/>
                <w:color w:val="auto"/>
                <w:szCs w:val="21"/>
                <w:lang w:bidi="ar"/>
              </w:rPr>
            </w:pPr>
          </w:p>
          <w:p w14:paraId="31D15693">
            <w:pPr>
              <w:pStyle w:val="35"/>
              <w:rPr>
                <w:rFonts w:hint="eastAsia"/>
                <w:b/>
                <w:color w:val="auto"/>
                <w:szCs w:val="21"/>
                <w:lang w:bidi="ar"/>
              </w:rPr>
            </w:pPr>
            <w:r>
              <w:rPr>
                <w:color w:val="auto"/>
              </w:rPr>
              <w:drawing>
                <wp:anchor distT="0" distB="0" distL="114300" distR="114300" simplePos="0" relativeHeight="251880448" behindDoc="0" locked="0" layoutInCell="1" allowOverlap="1">
                  <wp:simplePos x="0" y="0"/>
                  <wp:positionH relativeFrom="column">
                    <wp:posOffset>294640</wp:posOffset>
                  </wp:positionH>
                  <wp:positionV relativeFrom="paragraph">
                    <wp:posOffset>29210</wp:posOffset>
                  </wp:positionV>
                  <wp:extent cx="4532630" cy="6318250"/>
                  <wp:effectExtent l="0" t="0" r="1270" b="6350"/>
                  <wp:wrapNone/>
                  <wp:docPr id="33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9" name="图片 1"/>
                          <pic:cNvPicPr>
                            <a:picLocks noChangeAspect="1"/>
                          </pic:cNvPicPr>
                        </pic:nvPicPr>
                        <pic:blipFill>
                          <a:blip r:embed="rId8"/>
                          <a:stretch>
                            <a:fillRect/>
                          </a:stretch>
                        </pic:blipFill>
                        <pic:spPr>
                          <a:xfrm>
                            <a:off x="0" y="0"/>
                            <a:ext cx="4532630" cy="6318250"/>
                          </a:xfrm>
                          <a:prstGeom prst="rect">
                            <a:avLst/>
                          </a:prstGeom>
                          <a:noFill/>
                          <a:ln>
                            <a:noFill/>
                          </a:ln>
                        </pic:spPr>
                      </pic:pic>
                    </a:graphicData>
                  </a:graphic>
                </wp:anchor>
              </w:drawing>
            </w:r>
          </w:p>
          <w:p w14:paraId="43E1158C">
            <w:pPr>
              <w:pStyle w:val="35"/>
              <w:rPr>
                <w:rFonts w:hint="eastAsia"/>
                <w:b/>
                <w:color w:val="auto"/>
                <w:szCs w:val="21"/>
                <w:lang w:bidi="ar"/>
              </w:rPr>
            </w:pPr>
          </w:p>
          <w:p w14:paraId="22ABAEB2">
            <w:pPr>
              <w:pStyle w:val="35"/>
              <w:rPr>
                <w:rFonts w:hint="eastAsia"/>
                <w:b/>
                <w:color w:val="auto"/>
                <w:szCs w:val="21"/>
                <w:lang w:bidi="ar"/>
              </w:rPr>
            </w:pPr>
          </w:p>
          <w:p w14:paraId="15E34420">
            <w:pPr>
              <w:pStyle w:val="35"/>
              <w:rPr>
                <w:rFonts w:hint="eastAsia"/>
                <w:b/>
                <w:color w:val="auto"/>
                <w:szCs w:val="21"/>
                <w:lang w:bidi="ar"/>
              </w:rPr>
            </w:pPr>
          </w:p>
          <w:p w14:paraId="652D9119">
            <w:pPr>
              <w:pStyle w:val="35"/>
              <w:rPr>
                <w:rFonts w:hint="eastAsia"/>
                <w:b/>
                <w:color w:val="auto"/>
                <w:szCs w:val="21"/>
                <w:lang w:bidi="ar"/>
              </w:rPr>
            </w:pPr>
          </w:p>
          <w:p w14:paraId="2E33F3FA">
            <w:pPr>
              <w:pStyle w:val="35"/>
              <w:rPr>
                <w:rFonts w:hint="eastAsia"/>
                <w:b/>
                <w:color w:val="auto"/>
                <w:szCs w:val="21"/>
                <w:lang w:bidi="ar"/>
              </w:rPr>
            </w:pPr>
          </w:p>
          <w:p w14:paraId="701837E8">
            <w:pPr>
              <w:pStyle w:val="35"/>
              <w:rPr>
                <w:rFonts w:hint="eastAsia"/>
                <w:b/>
                <w:color w:val="auto"/>
                <w:szCs w:val="21"/>
                <w:lang w:bidi="ar"/>
              </w:rPr>
            </w:pPr>
          </w:p>
          <w:p w14:paraId="1FED0D35">
            <w:pPr>
              <w:pStyle w:val="35"/>
              <w:rPr>
                <w:rFonts w:hint="eastAsia"/>
                <w:b/>
                <w:color w:val="auto"/>
                <w:szCs w:val="21"/>
                <w:lang w:bidi="ar"/>
              </w:rPr>
            </w:pPr>
          </w:p>
          <w:p w14:paraId="2B91E1FE">
            <w:pPr>
              <w:pStyle w:val="35"/>
              <w:rPr>
                <w:rFonts w:hint="eastAsia"/>
                <w:b/>
                <w:color w:val="auto"/>
                <w:szCs w:val="21"/>
                <w:lang w:bidi="ar"/>
              </w:rPr>
            </w:pPr>
          </w:p>
          <w:p w14:paraId="641917B8">
            <w:pPr>
              <w:pStyle w:val="35"/>
              <w:rPr>
                <w:rFonts w:hint="eastAsia"/>
                <w:b/>
                <w:color w:val="auto"/>
                <w:szCs w:val="21"/>
                <w:lang w:bidi="ar"/>
              </w:rPr>
            </w:pPr>
          </w:p>
          <w:p w14:paraId="5CE925DA">
            <w:pPr>
              <w:pStyle w:val="35"/>
              <w:rPr>
                <w:rFonts w:hint="eastAsia"/>
                <w:b/>
                <w:color w:val="auto"/>
                <w:szCs w:val="21"/>
                <w:lang w:bidi="ar"/>
              </w:rPr>
            </w:pPr>
          </w:p>
          <w:p w14:paraId="0D6CC781">
            <w:pPr>
              <w:pStyle w:val="35"/>
              <w:rPr>
                <w:rFonts w:hint="eastAsia"/>
                <w:b/>
                <w:color w:val="auto"/>
                <w:szCs w:val="21"/>
                <w:lang w:bidi="ar"/>
              </w:rPr>
            </w:pPr>
          </w:p>
          <w:p w14:paraId="5F38ACC8">
            <w:pPr>
              <w:pStyle w:val="35"/>
              <w:rPr>
                <w:rFonts w:hint="eastAsia"/>
                <w:b/>
                <w:color w:val="auto"/>
                <w:szCs w:val="21"/>
                <w:lang w:bidi="ar"/>
              </w:rPr>
            </w:pPr>
          </w:p>
          <w:p w14:paraId="000DB018">
            <w:pPr>
              <w:pStyle w:val="35"/>
              <w:rPr>
                <w:rFonts w:hint="eastAsia"/>
                <w:b/>
                <w:color w:val="auto"/>
                <w:szCs w:val="21"/>
                <w:lang w:bidi="ar"/>
              </w:rPr>
            </w:pPr>
          </w:p>
          <w:p w14:paraId="4E72C802">
            <w:pPr>
              <w:pStyle w:val="35"/>
              <w:rPr>
                <w:rFonts w:hint="eastAsia"/>
                <w:b/>
                <w:color w:val="auto"/>
                <w:szCs w:val="21"/>
                <w:lang w:bidi="ar"/>
              </w:rPr>
            </w:pPr>
          </w:p>
          <w:p w14:paraId="52D62404">
            <w:pPr>
              <w:pStyle w:val="35"/>
              <w:rPr>
                <w:rFonts w:hint="eastAsia"/>
                <w:b/>
                <w:color w:val="auto"/>
                <w:szCs w:val="21"/>
                <w:lang w:bidi="ar"/>
              </w:rPr>
            </w:pPr>
          </w:p>
          <w:p w14:paraId="2D1F512E">
            <w:pPr>
              <w:pStyle w:val="35"/>
              <w:rPr>
                <w:rFonts w:hint="eastAsia"/>
                <w:b/>
                <w:color w:val="auto"/>
                <w:szCs w:val="21"/>
                <w:lang w:bidi="ar"/>
              </w:rPr>
            </w:pPr>
          </w:p>
          <w:p w14:paraId="0B8530D5">
            <w:pPr>
              <w:pStyle w:val="35"/>
              <w:rPr>
                <w:rFonts w:hint="eastAsia"/>
                <w:b/>
                <w:color w:val="auto"/>
                <w:szCs w:val="21"/>
                <w:lang w:bidi="ar"/>
              </w:rPr>
            </w:pPr>
          </w:p>
          <w:p w14:paraId="680EB8DB">
            <w:pPr>
              <w:pStyle w:val="35"/>
              <w:rPr>
                <w:rFonts w:hint="eastAsia"/>
                <w:b/>
                <w:color w:val="auto"/>
                <w:szCs w:val="21"/>
                <w:lang w:bidi="ar"/>
              </w:rPr>
            </w:pPr>
          </w:p>
          <w:p w14:paraId="38B7531B">
            <w:pPr>
              <w:pStyle w:val="35"/>
              <w:rPr>
                <w:rFonts w:hint="eastAsia"/>
                <w:b/>
                <w:color w:val="auto"/>
                <w:szCs w:val="21"/>
                <w:lang w:bidi="ar"/>
              </w:rPr>
            </w:pPr>
          </w:p>
          <w:p w14:paraId="70A31757">
            <w:pPr>
              <w:pStyle w:val="35"/>
              <w:rPr>
                <w:rFonts w:hint="eastAsia"/>
                <w:b/>
                <w:color w:val="auto"/>
                <w:szCs w:val="21"/>
                <w:lang w:bidi="ar"/>
              </w:rPr>
            </w:pPr>
          </w:p>
          <w:p w14:paraId="7F95173E">
            <w:pPr>
              <w:pStyle w:val="35"/>
              <w:rPr>
                <w:rFonts w:hint="eastAsia"/>
                <w:b/>
                <w:color w:val="auto"/>
                <w:szCs w:val="21"/>
                <w:lang w:bidi="ar"/>
              </w:rPr>
            </w:pPr>
          </w:p>
          <w:p w14:paraId="5FFA7927">
            <w:pPr>
              <w:pStyle w:val="35"/>
              <w:rPr>
                <w:rFonts w:hint="eastAsia"/>
                <w:b/>
                <w:color w:val="auto"/>
                <w:szCs w:val="21"/>
                <w:lang w:bidi="ar"/>
              </w:rPr>
            </w:pPr>
          </w:p>
          <w:p w14:paraId="1E949484">
            <w:pPr>
              <w:pStyle w:val="35"/>
              <w:rPr>
                <w:rFonts w:hint="eastAsia"/>
                <w:b/>
                <w:color w:val="auto"/>
                <w:szCs w:val="21"/>
                <w:lang w:bidi="ar"/>
              </w:rPr>
            </w:pPr>
          </w:p>
          <w:p w14:paraId="51533913">
            <w:pPr>
              <w:pStyle w:val="35"/>
              <w:rPr>
                <w:rFonts w:hint="eastAsia"/>
                <w:b/>
                <w:color w:val="auto"/>
                <w:szCs w:val="21"/>
                <w:lang w:bidi="ar"/>
              </w:rPr>
            </w:pPr>
          </w:p>
          <w:p w14:paraId="3BF6719A">
            <w:pPr>
              <w:pStyle w:val="35"/>
              <w:rPr>
                <w:rFonts w:hint="eastAsia"/>
                <w:b/>
                <w:color w:val="auto"/>
                <w:szCs w:val="21"/>
                <w:lang w:bidi="ar"/>
              </w:rPr>
            </w:pPr>
          </w:p>
          <w:p w14:paraId="47DAAEAB">
            <w:pPr>
              <w:pStyle w:val="35"/>
              <w:rPr>
                <w:rFonts w:hint="eastAsia"/>
                <w:b/>
                <w:color w:val="auto"/>
                <w:szCs w:val="21"/>
                <w:lang w:bidi="ar"/>
              </w:rPr>
            </w:pPr>
          </w:p>
          <w:p w14:paraId="31BF5E64">
            <w:pPr>
              <w:pStyle w:val="35"/>
              <w:rPr>
                <w:rFonts w:hint="eastAsia"/>
                <w:b/>
                <w:color w:val="auto"/>
                <w:szCs w:val="21"/>
                <w:lang w:bidi="ar"/>
              </w:rPr>
            </w:pPr>
          </w:p>
          <w:p w14:paraId="2BF6595C">
            <w:pPr>
              <w:pStyle w:val="35"/>
              <w:rPr>
                <w:rFonts w:hint="eastAsia"/>
                <w:b/>
                <w:color w:val="auto"/>
                <w:szCs w:val="21"/>
                <w:lang w:bidi="ar"/>
              </w:rPr>
            </w:pPr>
          </w:p>
          <w:p w14:paraId="2CE76950">
            <w:pPr>
              <w:pStyle w:val="35"/>
              <w:rPr>
                <w:rFonts w:hint="eastAsia"/>
                <w:b/>
                <w:color w:val="auto"/>
                <w:szCs w:val="21"/>
                <w:lang w:bidi="ar"/>
              </w:rPr>
            </w:pPr>
          </w:p>
          <w:p w14:paraId="41FC4E35">
            <w:pPr>
              <w:pStyle w:val="35"/>
              <w:rPr>
                <w:rFonts w:hint="eastAsia"/>
                <w:b/>
                <w:color w:val="auto"/>
                <w:szCs w:val="21"/>
                <w:lang w:bidi="ar"/>
              </w:rPr>
            </w:pPr>
          </w:p>
          <w:p w14:paraId="3CB8035A">
            <w:pPr>
              <w:tabs>
                <w:tab w:val="left" w:pos="4253"/>
              </w:tabs>
              <w:spacing w:line="480" w:lineRule="exact"/>
              <w:jc w:val="center"/>
              <w:rPr>
                <w:b/>
                <w:color w:val="auto"/>
                <w:szCs w:val="21"/>
                <w:highlight w:val="none"/>
                <w:lang w:bidi="ar"/>
              </w:rPr>
            </w:pPr>
            <w:r>
              <w:rPr>
                <w:rFonts w:hint="eastAsia"/>
                <w:b/>
                <w:color w:val="auto"/>
                <w:szCs w:val="21"/>
                <w:highlight w:val="none"/>
                <w:lang w:bidi="ar"/>
              </w:rPr>
              <w:t xml:space="preserve"> 图</w:t>
            </w:r>
            <w:r>
              <w:rPr>
                <w:rFonts w:hint="eastAsia"/>
                <w:b/>
                <w:color w:val="auto"/>
                <w:szCs w:val="21"/>
                <w:highlight w:val="none"/>
                <w:lang w:val="en-US" w:eastAsia="zh-CN" w:bidi="ar"/>
              </w:rPr>
              <w:t>3</w:t>
            </w:r>
            <w:r>
              <w:rPr>
                <w:rFonts w:hint="eastAsia"/>
                <w:b/>
                <w:color w:val="auto"/>
                <w:szCs w:val="21"/>
                <w:highlight w:val="none"/>
                <w:lang w:bidi="ar"/>
              </w:rPr>
              <w:t xml:space="preserve">  拟建项目水平衡图         单位：m</w:t>
            </w:r>
            <w:r>
              <w:rPr>
                <w:rFonts w:hint="eastAsia"/>
                <w:b/>
                <w:color w:val="auto"/>
                <w:szCs w:val="21"/>
                <w:highlight w:val="none"/>
                <w:vertAlign w:val="superscript"/>
                <w:lang w:bidi="ar"/>
              </w:rPr>
              <w:t>3</w:t>
            </w:r>
            <w:r>
              <w:rPr>
                <w:rFonts w:hint="eastAsia"/>
                <w:b/>
                <w:color w:val="auto"/>
                <w:szCs w:val="21"/>
                <w:highlight w:val="none"/>
                <w:lang w:bidi="ar"/>
              </w:rPr>
              <w:t>/d</w:t>
            </w:r>
          </w:p>
          <w:p w14:paraId="544C5497">
            <w:pPr>
              <w:pStyle w:val="24"/>
              <w:keepNext w:val="0"/>
              <w:keepLines w:val="0"/>
              <w:pageBreakBefore w:val="0"/>
              <w:widowControl/>
              <w:kinsoku/>
              <w:wordWrap/>
              <w:overflowPunct/>
              <w:topLinePunct w:val="0"/>
              <w:autoSpaceDE/>
              <w:autoSpaceDN/>
              <w:bidi w:val="0"/>
              <w:adjustRightInd w:val="0"/>
              <w:snapToGrid w:val="0"/>
              <w:spacing w:before="0" w:beforeAutospacing="0" w:after="0" w:afterAutospacing="0" w:line="420" w:lineRule="exact"/>
              <w:ind w:firstLine="422" w:firstLineChars="200"/>
              <w:textAlignment w:val="auto"/>
              <w:rPr>
                <w:rFonts w:hint="eastAsia" w:ascii="Times New Roman" w:hAnsi="Times New Roman" w:cs="Times New Roman"/>
                <w:b/>
                <w:color w:val="auto"/>
                <w:sz w:val="21"/>
                <w:szCs w:val="21"/>
                <w:lang w:val="en-US" w:eastAsia="zh-CN"/>
              </w:rPr>
            </w:pPr>
            <w:r>
              <w:rPr>
                <w:rFonts w:hint="eastAsia" w:ascii="Times New Roman" w:hAnsi="Times New Roman" w:cs="Times New Roman"/>
                <w:b/>
                <w:color w:val="auto"/>
                <w:sz w:val="21"/>
                <w:szCs w:val="21"/>
                <w:lang w:val="en-US" w:eastAsia="zh-CN"/>
              </w:rPr>
              <w:t>9.劳动定员及工作制度</w:t>
            </w:r>
          </w:p>
          <w:p w14:paraId="4C85EF09">
            <w:pPr>
              <w:pStyle w:val="24"/>
              <w:adjustRightInd w:val="0"/>
              <w:snapToGrid w:val="0"/>
              <w:spacing w:before="0" w:beforeAutospacing="0" w:after="0" w:afterAutospacing="0" w:line="440" w:lineRule="exact"/>
              <w:ind w:firstLine="420" w:firstLineChars="200"/>
              <w:rPr>
                <w:rFonts w:ascii="Times New Roman" w:hAnsi="Times New Roman"/>
                <w:color w:val="auto"/>
                <w:sz w:val="21"/>
                <w:szCs w:val="21"/>
              </w:rPr>
            </w:pPr>
            <w:r>
              <w:rPr>
                <w:rFonts w:ascii="Times New Roman" w:hAnsi="Times New Roman"/>
                <w:color w:val="auto"/>
                <w:sz w:val="21"/>
                <w:szCs w:val="21"/>
              </w:rPr>
              <w:t>项目</w:t>
            </w:r>
            <w:r>
              <w:rPr>
                <w:rFonts w:hint="eastAsia" w:ascii="Times New Roman" w:hAnsi="Times New Roman"/>
                <w:color w:val="auto"/>
                <w:sz w:val="21"/>
                <w:szCs w:val="21"/>
                <w:lang w:val="en-US" w:eastAsia="zh-CN"/>
              </w:rPr>
              <w:t>新增</w:t>
            </w:r>
            <w:r>
              <w:rPr>
                <w:rFonts w:ascii="Times New Roman" w:hAnsi="Times New Roman"/>
                <w:color w:val="auto"/>
                <w:sz w:val="21"/>
                <w:szCs w:val="21"/>
              </w:rPr>
              <w:t>劳动定员</w:t>
            </w:r>
            <w:r>
              <w:rPr>
                <w:rFonts w:hint="eastAsia" w:ascii="Times New Roman" w:hAnsi="Times New Roman"/>
                <w:color w:val="auto"/>
                <w:sz w:val="21"/>
                <w:szCs w:val="21"/>
                <w:lang w:val="en-US" w:eastAsia="zh-CN"/>
              </w:rPr>
              <w:t>15</w:t>
            </w:r>
            <w:r>
              <w:rPr>
                <w:rFonts w:ascii="Times New Roman" w:hAnsi="Times New Roman"/>
                <w:color w:val="auto"/>
                <w:sz w:val="21"/>
                <w:szCs w:val="21"/>
              </w:rPr>
              <w:t>人，年工作3</w:t>
            </w:r>
            <w:r>
              <w:rPr>
                <w:rFonts w:hint="eastAsia" w:ascii="Times New Roman" w:hAnsi="Times New Roman"/>
                <w:color w:val="auto"/>
                <w:sz w:val="21"/>
                <w:szCs w:val="21"/>
                <w:lang w:val="en-US" w:eastAsia="zh-CN"/>
              </w:rPr>
              <w:t>0</w:t>
            </w:r>
            <w:r>
              <w:rPr>
                <w:rFonts w:ascii="Times New Roman" w:hAnsi="Times New Roman"/>
                <w:color w:val="auto"/>
                <w:sz w:val="21"/>
                <w:szCs w:val="21"/>
              </w:rPr>
              <w:t>0d，</w:t>
            </w:r>
            <w:r>
              <w:rPr>
                <w:rFonts w:hint="eastAsia" w:ascii="Times New Roman" w:hAnsi="Times New Roman"/>
                <w:color w:val="auto"/>
                <w:sz w:val="21"/>
                <w:szCs w:val="21"/>
              </w:rPr>
              <w:t>实行三班制工作制，</w:t>
            </w:r>
            <w:r>
              <w:rPr>
                <w:rFonts w:ascii="Times New Roman" w:hAnsi="Times New Roman"/>
                <w:color w:val="auto"/>
                <w:sz w:val="21"/>
                <w:szCs w:val="21"/>
              </w:rPr>
              <w:t>每班8h，</w:t>
            </w:r>
            <w:r>
              <w:rPr>
                <w:rFonts w:hint="eastAsia" w:ascii="Times New Roman" w:hAnsi="Times New Roman"/>
                <w:color w:val="auto"/>
                <w:sz w:val="21"/>
                <w:szCs w:val="21"/>
              </w:rPr>
              <w:t>年有效工作时间</w:t>
            </w:r>
            <w:r>
              <w:rPr>
                <w:rFonts w:ascii="Times New Roman" w:hAnsi="Times New Roman"/>
                <w:color w:val="auto"/>
                <w:sz w:val="21"/>
                <w:szCs w:val="21"/>
              </w:rPr>
              <w:t>7</w:t>
            </w:r>
            <w:r>
              <w:rPr>
                <w:rFonts w:hint="eastAsia" w:ascii="Times New Roman" w:hAnsi="Times New Roman"/>
                <w:color w:val="auto"/>
                <w:sz w:val="21"/>
                <w:szCs w:val="21"/>
                <w:lang w:val="en-US" w:eastAsia="zh-CN"/>
              </w:rPr>
              <w:t>20</w:t>
            </w:r>
            <w:r>
              <w:rPr>
                <w:rFonts w:ascii="Times New Roman" w:hAnsi="Times New Roman"/>
                <w:color w:val="auto"/>
                <w:sz w:val="21"/>
                <w:szCs w:val="21"/>
              </w:rPr>
              <w:t>0小时。</w:t>
            </w:r>
          </w:p>
          <w:p w14:paraId="062B96D7">
            <w:pPr>
              <w:pStyle w:val="24"/>
              <w:keepNext w:val="0"/>
              <w:keepLines w:val="0"/>
              <w:pageBreakBefore w:val="0"/>
              <w:widowControl/>
              <w:kinsoku/>
              <w:wordWrap/>
              <w:overflowPunct/>
              <w:topLinePunct w:val="0"/>
              <w:autoSpaceDE/>
              <w:autoSpaceDN/>
              <w:bidi w:val="0"/>
              <w:adjustRightInd w:val="0"/>
              <w:snapToGrid w:val="0"/>
              <w:spacing w:before="0" w:beforeAutospacing="0" w:after="0" w:afterAutospacing="0" w:line="420" w:lineRule="exact"/>
              <w:ind w:firstLine="422" w:firstLineChars="200"/>
              <w:textAlignment w:val="auto"/>
              <w:rPr>
                <w:rFonts w:hint="eastAsia" w:ascii="Times New Roman" w:hAnsi="Times New Roman" w:cs="Times New Roman"/>
                <w:b/>
                <w:color w:val="auto"/>
                <w:sz w:val="21"/>
                <w:szCs w:val="21"/>
                <w:highlight w:val="none"/>
                <w:lang w:val="en-US" w:eastAsia="zh-CN"/>
              </w:rPr>
            </w:pPr>
            <w:r>
              <w:rPr>
                <w:rFonts w:hint="eastAsia" w:ascii="Times New Roman" w:hAnsi="Times New Roman" w:cs="Times New Roman"/>
                <w:b/>
                <w:color w:val="auto"/>
                <w:sz w:val="21"/>
                <w:szCs w:val="21"/>
                <w:highlight w:val="none"/>
                <w:lang w:val="en-US" w:eastAsia="zh-CN"/>
              </w:rPr>
              <w:t>10.拟建项目平面布置</w:t>
            </w:r>
          </w:p>
          <w:p w14:paraId="036CB154">
            <w:pPr>
              <w:pStyle w:val="24"/>
              <w:adjustRightInd w:val="0"/>
              <w:snapToGrid w:val="0"/>
              <w:spacing w:before="0" w:beforeAutospacing="0" w:after="0" w:afterAutospacing="0" w:line="440" w:lineRule="exact"/>
              <w:ind w:firstLine="420" w:firstLineChars="200"/>
              <w:rPr>
                <w:rFonts w:ascii="Times New Roman" w:hAnsi="Times New Roman"/>
                <w:color w:val="auto"/>
                <w:sz w:val="21"/>
                <w:szCs w:val="21"/>
                <w:highlight w:val="none"/>
              </w:rPr>
            </w:pPr>
            <w:r>
              <w:rPr>
                <w:rFonts w:ascii="Times New Roman" w:hAnsi="Times New Roman"/>
                <w:color w:val="auto"/>
                <w:sz w:val="21"/>
                <w:szCs w:val="21"/>
                <w:highlight w:val="none"/>
              </w:rPr>
              <w:t>拟建项目总平面布置为：厂区</w:t>
            </w:r>
            <w:r>
              <w:rPr>
                <w:rFonts w:hint="eastAsia" w:ascii="Times New Roman" w:hAnsi="Times New Roman"/>
                <w:color w:val="auto"/>
                <w:sz w:val="21"/>
                <w:szCs w:val="21"/>
                <w:highlight w:val="none"/>
                <w:lang w:val="en-US" w:eastAsia="zh-CN"/>
              </w:rPr>
              <w:t>南侧</w:t>
            </w:r>
            <w:r>
              <w:rPr>
                <w:rFonts w:ascii="Times New Roman" w:hAnsi="Times New Roman"/>
                <w:color w:val="auto"/>
                <w:sz w:val="21"/>
                <w:szCs w:val="21"/>
                <w:highlight w:val="none"/>
              </w:rPr>
              <w:t>为</w:t>
            </w:r>
            <w:r>
              <w:rPr>
                <w:rFonts w:hint="eastAsia" w:ascii="Times New Roman" w:hAnsi="Times New Roman"/>
                <w:color w:val="auto"/>
                <w:sz w:val="21"/>
                <w:szCs w:val="21"/>
                <w:highlight w:val="none"/>
                <w:lang w:val="en-US" w:eastAsia="zh-CN"/>
              </w:rPr>
              <w:t>1</w:t>
            </w:r>
            <w:r>
              <w:rPr>
                <w:rFonts w:hint="eastAsia" w:ascii="Times New Roman" w:hAnsi="Times New Roman"/>
                <w:color w:val="auto"/>
                <w:sz w:val="21"/>
                <w:szCs w:val="21"/>
                <w:highlight w:val="none"/>
                <w:vertAlign w:val="superscript"/>
                <w:lang w:val="en-US" w:eastAsia="zh-CN"/>
              </w:rPr>
              <w:t>#</w:t>
            </w:r>
            <w:r>
              <w:rPr>
                <w:rFonts w:hint="eastAsia" w:ascii="Times New Roman" w:hAnsi="Times New Roman"/>
                <w:color w:val="auto"/>
                <w:sz w:val="21"/>
                <w:szCs w:val="21"/>
                <w:highlight w:val="none"/>
                <w:lang w:val="en-US" w:eastAsia="zh-CN"/>
              </w:rPr>
              <w:t>生产车间、北侧</w:t>
            </w:r>
            <w:r>
              <w:rPr>
                <w:rFonts w:ascii="Times New Roman" w:hAnsi="Times New Roman"/>
                <w:color w:val="auto"/>
                <w:sz w:val="21"/>
                <w:szCs w:val="21"/>
                <w:highlight w:val="none"/>
              </w:rPr>
              <w:t>为</w:t>
            </w:r>
            <w:r>
              <w:rPr>
                <w:rFonts w:hint="eastAsia" w:ascii="Times New Roman" w:hAnsi="Times New Roman"/>
                <w:color w:val="auto"/>
                <w:sz w:val="21"/>
                <w:szCs w:val="21"/>
                <w:highlight w:val="none"/>
                <w:lang w:val="en-US" w:eastAsia="zh-CN"/>
              </w:rPr>
              <w:t>2</w:t>
            </w:r>
            <w:r>
              <w:rPr>
                <w:rFonts w:hint="eastAsia" w:ascii="Times New Roman" w:hAnsi="Times New Roman"/>
                <w:color w:val="auto"/>
                <w:sz w:val="21"/>
                <w:szCs w:val="21"/>
                <w:highlight w:val="none"/>
                <w:vertAlign w:val="superscript"/>
                <w:lang w:val="en-US" w:eastAsia="zh-CN"/>
              </w:rPr>
              <w:t>#</w:t>
            </w:r>
            <w:r>
              <w:rPr>
                <w:rFonts w:hint="eastAsia" w:ascii="Times New Roman" w:hAnsi="Times New Roman"/>
                <w:color w:val="auto"/>
                <w:sz w:val="21"/>
                <w:szCs w:val="21"/>
                <w:highlight w:val="none"/>
                <w:lang w:val="en-US" w:eastAsia="zh-CN"/>
              </w:rPr>
              <w:t>生产车间</w:t>
            </w:r>
            <w:r>
              <w:rPr>
                <w:rFonts w:ascii="Times New Roman" w:hAnsi="Times New Roman"/>
                <w:color w:val="auto"/>
                <w:sz w:val="21"/>
                <w:szCs w:val="21"/>
                <w:highlight w:val="none"/>
              </w:rPr>
              <w:t>，出入口位于厂区</w:t>
            </w:r>
            <w:r>
              <w:rPr>
                <w:rFonts w:hint="eastAsia" w:ascii="Times New Roman" w:hAnsi="Times New Roman"/>
                <w:color w:val="auto"/>
                <w:sz w:val="21"/>
                <w:szCs w:val="21"/>
                <w:highlight w:val="none"/>
                <w:lang w:val="en-US" w:eastAsia="zh-CN"/>
              </w:rPr>
              <w:t>西侧</w:t>
            </w:r>
            <w:r>
              <w:rPr>
                <w:rFonts w:ascii="Times New Roman" w:hAnsi="Times New Roman"/>
                <w:color w:val="auto"/>
                <w:sz w:val="21"/>
                <w:szCs w:val="21"/>
                <w:highlight w:val="none"/>
              </w:rPr>
              <w:t>。</w:t>
            </w:r>
          </w:p>
        </w:tc>
      </w:tr>
      <w:tr w14:paraId="20892C4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360" w:hRule="atLeast"/>
          <w:jc w:val="center"/>
        </w:trPr>
        <w:tc>
          <w:tcPr>
            <w:tcW w:w="823" w:type="dxa"/>
            <w:vAlign w:val="center"/>
          </w:tcPr>
          <w:p w14:paraId="19DE06B4">
            <w:pPr>
              <w:pStyle w:val="24"/>
              <w:adjustRightInd w:val="0"/>
              <w:snapToGrid w:val="0"/>
              <w:spacing w:before="0" w:beforeAutospacing="0" w:after="0" w:afterAutospacing="0"/>
              <w:jc w:val="center"/>
              <w:rPr>
                <w:rFonts w:cs="宋体"/>
                <w:color w:val="auto"/>
                <w:sz w:val="21"/>
                <w:szCs w:val="21"/>
              </w:rPr>
            </w:pPr>
            <w:r>
              <w:rPr>
                <w:rFonts w:hint="eastAsia" w:cs="宋体"/>
                <w:color w:val="auto"/>
                <w:sz w:val="21"/>
                <w:szCs w:val="21"/>
              </w:rPr>
              <w:t>工艺流程和产排污环节</w:t>
            </w:r>
          </w:p>
        </w:tc>
        <w:tc>
          <w:tcPr>
            <w:tcW w:w="8161" w:type="dxa"/>
          </w:tcPr>
          <w:p w14:paraId="48AA8A7B">
            <w:pPr>
              <w:pStyle w:val="24"/>
              <w:keepNext w:val="0"/>
              <w:keepLines w:val="0"/>
              <w:pageBreakBefore w:val="0"/>
              <w:widowControl/>
              <w:kinsoku/>
              <w:wordWrap/>
              <w:overflowPunct/>
              <w:topLinePunct w:val="0"/>
              <w:autoSpaceDE/>
              <w:autoSpaceDN/>
              <w:bidi w:val="0"/>
              <w:adjustRightInd w:val="0"/>
              <w:snapToGrid w:val="0"/>
              <w:spacing w:before="0" w:beforeAutospacing="0" w:after="0" w:afterAutospacing="0" w:line="430" w:lineRule="exact"/>
              <w:ind w:firstLine="422" w:firstLineChars="200"/>
              <w:textAlignment w:val="auto"/>
              <w:rPr>
                <w:rFonts w:ascii="Times New Roman" w:hAnsi="Times New Roman"/>
                <w:b/>
                <w:color w:val="auto"/>
                <w:sz w:val="21"/>
                <w:szCs w:val="21"/>
              </w:rPr>
            </w:pPr>
            <w:r>
              <w:rPr>
                <w:rFonts w:hint="eastAsia" w:ascii="Times New Roman" w:hAnsi="Times New Roman"/>
                <w:b/>
                <w:color w:val="auto"/>
                <w:sz w:val="21"/>
                <w:szCs w:val="21"/>
              </w:rPr>
              <w:t>1.</w:t>
            </w:r>
            <w:r>
              <w:rPr>
                <w:rFonts w:hint="eastAsia" w:ascii="Times New Roman" w:hAnsi="Times New Roman"/>
                <w:b/>
                <w:color w:val="auto"/>
                <w:sz w:val="21"/>
                <w:szCs w:val="21"/>
                <w:lang w:val="en-US" w:eastAsia="zh-CN"/>
              </w:rPr>
              <w:t>钢渣处理生产线</w:t>
            </w:r>
            <w:r>
              <w:rPr>
                <w:rFonts w:hint="eastAsia" w:ascii="Times New Roman" w:hAnsi="Times New Roman"/>
                <w:b/>
                <w:color w:val="auto"/>
                <w:sz w:val="21"/>
                <w:szCs w:val="21"/>
              </w:rPr>
              <w:t>工艺流程简介</w:t>
            </w:r>
          </w:p>
          <w:p w14:paraId="3EF2B040">
            <w:pPr>
              <w:pStyle w:val="24"/>
              <w:keepNext w:val="0"/>
              <w:keepLines w:val="0"/>
              <w:pageBreakBefore w:val="0"/>
              <w:widowControl/>
              <w:kinsoku/>
              <w:wordWrap/>
              <w:overflowPunct/>
              <w:topLinePunct w:val="0"/>
              <w:autoSpaceDE/>
              <w:autoSpaceDN/>
              <w:bidi w:val="0"/>
              <w:adjustRightInd w:val="0"/>
              <w:snapToGrid w:val="0"/>
              <w:spacing w:before="0" w:beforeAutospacing="0" w:after="0" w:afterAutospacing="0" w:line="440" w:lineRule="exact"/>
              <w:ind w:firstLine="420" w:firstLineChars="200"/>
              <w:textAlignment w:val="auto"/>
              <w:rPr>
                <w:rFonts w:hint="eastAsia" w:ascii="Times New Roman" w:hAnsi="Times New Roman" w:cs="Times New Roman"/>
                <w:color w:val="auto"/>
                <w:sz w:val="21"/>
                <w:szCs w:val="21"/>
              </w:rPr>
            </w:pPr>
            <w:r>
              <w:rPr>
                <w:rFonts w:hint="eastAsia" w:ascii="Times New Roman" w:hAnsi="Times New Roman" w:cs="Times New Roman"/>
                <w:color w:val="auto"/>
                <w:sz w:val="21"/>
                <w:szCs w:val="21"/>
                <w:lang w:eastAsia="zh-CN"/>
              </w:rPr>
              <w:t>（</w:t>
            </w:r>
            <w:r>
              <w:rPr>
                <w:rFonts w:hint="eastAsia" w:ascii="Times New Roman" w:hAnsi="Times New Roman" w:cs="Times New Roman"/>
                <w:color w:val="auto"/>
                <w:sz w:val="21"/>
                <w:szCs w:val="21"/>
                <w:lang w:val="en-US" w:eastAsia="zh-CN"/>
              </w:rPr>
              <w:t>1</w:t>
            </w:r>
            <w:r>
              <w:rPr>
                <w:rFonts w:hint="eastAsia" w:ascii="Times New Roman" w:hAnsi="Times New Roman" w:cs="Times New Roman"/>
                <w:color w:val="auto"/>
                <w:sz w:val="21"/>
                <w:szCs w:val="21"/>
                <w:lang w:eastAsia="zh-CN"/>
              </w:rPr>
              <w:t>）</w:t>
            </w:r>
            <w:r>
              <w:rPr>
                <w:rFonts w:hint="eastAsia" w:ascii="Times New Roman" w:hAnsi="Times New Roman" w:cs="Times New Roman"/>
                <w:color w:val="auto"/>
                <w:sz w:val="21"/>
                <w:szCs w:val="21"/>
              </w:rPr>
              <w:t>原料存储</w:t>
            </w:r>
          </w:p>
          <w:p w14:paraId="51DE146C">
            <w:pPr>
              <w:pStyle w:val="24"/>
              <w:keepNext w:val="0"/>
              <w:keepLines w:val="0"/>
              <w:pageBreakBefore w:val="0"/>
              <w:widowControl/>
              <w:kinsoku/>
              <w:wordWrap/>
              <w:overflowPunct/>
              <w:topLinePunct w:val="0"/>
              <w:autoSpaceDE/>
              <w:autoSpaceDN/>
              <w:bidi w:val="0"/>
              <w:adjustRightInd w:val="0"/>
              <w:snapToGrid w:val="0"/>
              <w:spacing w:before="0" w:beforeAutospacing="0" w:after="0" w:afterAutospacing="0" w:line="440" w:lineRule="exact"/>
              <w:ind w:firstLine="420" w:firstLineChars="200"/>
              <w:textAlignment w:val="auto"/>
              <w:rPr>
                <w:rFonts w:ascii="Times New Roman" w:hAnsi="Times New Roman"/>
                <w:color w:val="auto"/>
                <w:sz w:val="21"/>
                <w:szCs w:val="21"/>
                <w:highlight w:val="none"/>
              </w:rPr>
            </w:pPr>
            <w:r>
              <w:rPr>
                <w:rFonts w:hint="eastAsia" w:ascii="Times New Roman" w:hAnsi="Times New Roman"/>
                <w:color w:val="auto"/>
                <w:sz w:val="21"/>
                <w:szCs w:val="21"/>
                <w:highlight w:val="none"/>
                <w:lang w:val="en-US" w:eastAsia="zh-CN"/>
              </w:rPr>
              <w:t>本项目外购的转炉钢渣均为块状钢渣，粒径为30-40cm。</w:t>
            </w:r>
            <w:r>
              <w:rPr>
                <w:rFonts w:hint="eastAsia" w:ascii="Times New Roman" w:hAnsi="Times New Roman"/>
                <w:color w:val="auto"/>
                <w:sz w:val="21"/>
                <w:szCs w:val="21"/>
              </w:rPr>
              <w:t>原料</w:t>
            </w:r>
            <w:r>
              <w:rPr>
                <w:rFonts w:hint="eastAsia" w:ascii="Times New Roman" w:hAnsi="Times New Roman"/>
                <w:color w:val="auto"/>
                <w:sz w:val="21"/>
                <w:szCs w:val="21"/>
                <w:lang w:val="en-US" w:eastAsia="zh-CN"/>
              </w:rPr>
              <w:t>转炉</w:t>
            </w:r>
            <w:r>
              <w:rPr>
                <w:rFonts w:hint="eastAsia" w:ascii="Times New Roman" w:hAnsi="Times New Roman"/>
                <w:color w:val="auto"/>
                <w:sz w:val="21"/>
                <w:szCs w:val="21"/>
              </w:rPr>
              <w:t>钢渣</w:t>
            </w:r>
            <w:r>
              <w:rPr>
                <w:rFonts w:hint="eastAsia" w:ascii="Times New Roman" w:hAnsi="Times New Roman"/>
                <w:color w:val="auto"/>
                <w:sz w:val="21"/>
                <w:szCs w:val="21"/>
                <w:lang w:val="en-US" w:eastAsia="zh-CN"/>
              </w:rPr>
              <w:t>由汽车运输，</w:t>
            </w:r>
            <w:r>
              <w:rPr>
                <w:rFonts w:hint="eastAsia" w:ascii="Times New Roman" w:hAnsi="Times New Roman" w:cs="Times New Roman"/>
                <w:color w:val="auto"/>
                <w:sz w:val="21"/>
                <w:szCs w:val="21"/>
                <w:lang w:val="en-US" w:eastAsia="zh-CN"/>
              </w:rPr>
              <w:t>转炉</w:t>
            </w:r>
            <w:r>
              <w:rPr>
                <w:rFonts w:hint="eastAsia" w:ascii="Times New Roman" w:hAnsi="Times New Roman" w:eastAsia="宋体" w:cs="Times New Roman"/>
                <w:color w:val="auto"/>
                <w:sz w:val="21"/>
                <w:szCs w:val="21"/>
                <w:lang w:val="en-US" w:eastAsia="zh-CN"/>
              </w:rPr>
              <w:t>钢渣运输车辆装载高度最高点不超过车辆槽帮上沿40cm，两侧边缘低于槽帮上缘10cm，车斗应用苫布覆盖，苫布边缘至少要遮住槽帮上沿以下15cm</w:t>
            </w:r>
            <w:r>
              <w:rPr>
                <w:rFonts w:hint="eastAsia" w:ascii="Times New Roman" w:hAnsi="Times New Roman" w:cs="Times New Roman"/>
                <w:color w:val="auto"/>
                <w:sz w:val="21"/>
                <w:szCs w:val="21"/>
                <w:lang w:val="en-US" w:eastAsia="zh-CN"/>
              </w:rPr>
              <w:t>。汽车进厂后由厂区出入口处的洗车平台进行车身清洗，</w:t>
            </w:r>
            <w:r>
              <w:rPr>
                <w:rFonts w:hint="eastAsia" w:ascii="Times New Roman" w:hAnsi="Times New Roman"/>
                <w:color w:val="auto"/>
                <w:sz w:val="21"/>
                <w:szCs w:val="21"/>
                <w:highlight w:val="none"/>
                <w:lang w:val="en-US" w:eastAsia="zh-CN"/>
              </w:rPr>
              <w:t>以</w:t>
            </w:r>
            <w:r>
              <w:rPr>
                <w:rFonts w:hint="eastAsia" w:ascii="Times New Roman" w:hAnsi="Times New Roman"/>
                <w:color w:val="auto"/>
                <w:sz w:val="21"/>
                <w:szCs w:val="21"/>
                <w:highlight w:val="none"/>
              </w:rPr>
              <w:t>降低车辆运输粉尘</w:t>
            </w:r>
            <w:r>
              <w:rPr>
                <w:rFonts w:hint="eastAsia" w:ascii="Times New Roman" w:hAnsi="Times New Roman"/>
                <w:color w:val="auto"/>
                <w:sz w:val="21"/>
                <w:szCs w:val="21"/>
                <w:highlight w:val="none"/>
                <w:lang w:eastAsia="zh-CN"/>
              </w:rPr>
              <w:t>。</w:t>
            </w:r>
            <w:r>
              <w:rPr>
                <w:rFonts w:hint="eastAsia" w:ascii="Times New Roman" w:hAnsi="Times New Roman"/>
                <w:color w:val="auto"/>
                <w:sz w:val="21"/>
                <w:szCs w:val="21"/>
                <w:highlight w:val="none"/>
                <w:lang w:val="en-US" w:eastAsia="zh-CN"/>
              </w:rPr>
              <w:t>之后</w:t>
            </w:r>
            <w:r>
              <w:rPr>
                <w:rFonts w:hint="eastAsia" w:ascii="Times New Roman" w:hAnsi="Times New Roman"/>
                <w:color w:val="auto"/>
                <w:sz w:val="21"/>
                <w:szCs w:val="21"/>
                <w:highlight w:val="none"/>
              </w:rPr>
              <w:t>原料</w:t>
            </w:r>
            <w:r>
              <w:rPr>
                <w:rFonts w:hint="eastAsia" w:ascii="Times New Roman" w:hAnsi="Times New Roman"/>
                <w:color w:val="auto"/>
                <w:sz w:val="21"/>
                <w:szCs w:val="21"/>
                <w:highlight w:val="none"/>
                <w:lang w:val="en-US" w:eastAsia="zh-CN"/>
              </w:rPr>
              <w:t>转炉</w:t>
            </w:r>
            <w:r>
              <w:rPr>
                <w:rFonts w:hint="eastAsia" w:ascii="Times New Roman" w:hAnsi="Times New Roman"/>
                <w:color w:val="auto"/>
                <w:sz w:val="21"/>
                <w:szCs w:val="21"/>
                <w:highlight w:val="none"/>
              </w:rPr>
              <w:t>钢渣暂存于</w:t>
            </w:r>
            <w:r>
              <w:rPr>
                <w:rFonts w:hint="eastAsia" w:ascii="Times New Roman" w:hAnsi="Times New Roman"/>
                <w:color w:val="auto"/>
                <w:sz w:val="21"/>
                <w:szCs w:val="21"/>
                <w:highlight w:val="none"/>
                <w:lang w:val="en-US" w:eastAsia="zh-CN"/>
              </w:rPr>
              <w:t>2</w:t>
            </w:r>
            <w:r>
              <w:rPr>
                <w:rFonts w:hint="eastAsia" w:ascii="Times New Roman" w:hAnsi="Times New Roman"/>
                <w:color w:val="auto"/>
                <w:sz w:val="21"/>
                <w:szCs w:val="21"/>
                <w:highlight w:val="none"/>
                <w:vertAlign w:val="superscript"/>
                <w:lang w:val="en-US" w:eastAsia="zh-CN"/>
              </w:rPr>
              <w:t>#</w:t>
            </w:r>
            <w:r>
              <w:rPr>
                <w:rFonts w:hint="eastAsia" w:ascii="Times New Roman" w:hAnsi="Times New Roman"/>
                <w:color w:val="auto"/>
                <w:sz w:val="21"/>
                <w:szCs w:val="21"/>
                <w:highlight w:val="none"/>
                <w:lang w:val="en-US" w:eastAsia="zh-CN"/>
              </w:rPr>
              <w:t>生产车间转炉钢渣暂存区</w:t>
            </w:r>
            <w:r>
              <w:rPr>
                <w:rFonts w:hint="eastAsia" w:ascii="Times New Roman" w:hAnsi="Times New Roman"/>
                <w:color w:val="auto"/>
                <w:sz w:val="21"/>
                <w:szCs w:val="21"/>
                <w:highlight w:val="none"/>
              </w:rPr>
              <w:t>内存储备用，</w:t>
            </w:r>
            <w:r>
              <w:rPr>
                <w:rFonts w:hint="eastAsia" w:ascii="Times New Roman" w:hAnsi="Times New Roman"/>
                <w:color w:val="auto"/>
                <w:sz w:val="21"/>
                <w:szCs w:val="21"/>
                <w:highlight w:val="none"/>
                <w:lang w:val="en-US" w:eastAsia="zh-CN"/>
              </w:rPr>
              <w:t>转炉钢渣暂存区</w:t>
            </w:r>
            <w:r>
              <w:rPr>
                <w:rFonts w:hint="eastAsia" w:ascii="Times New Roman" w:hAnsi="Times New Roman"/>
                <w:color w:val="auto"/>
                <w:sz w:val="21"/>
                <w:szCs w:val="21"/>
                <w:highlight w:val="none"/>
              </w:rPr>
              <w:t>顶部安装喷淋抑尘装置，进行喷淋抑尘。</w:t>
            </w:r>
          </w:p>
          <w:p w14:paraId="2FC15B5C">
            <w:pPr>
              <w:pStyle w:val="24"/>
              <w:keepNext w:val="0"/>
              <w:keepLines w:val="0"/>
              <w:pageBreakBefore w:val="0"/>
              <w:widowControl/>
              <w:kinsoku/>
              <w:wordWrap/>
              <w:overflowPunct/>
              <w:topLinePunct w:val="0"/>
              <w:autoSpaceDE/>
              <w:autoSpaceDN/>
              <w:bidi w:val="0"/>
              <w:adjustRightInd w:val="0"/>
              <w:snapToGrid w:val="0"/>
              <w:spacing w:before="0" w:beforeAutospacing="0" w:after="0" w:afterAutospacing="0" w:line="440" w:lineRule="exact"/>
              <w:ind w:firstLine="422" w:firstLineChars="200"/>
              <w:textAlignment w:val="auto"/>
              <w:rPr>
                <w:rFonts w:ascii="Times New Roman" w:hAnsi="Times New Roman"/>
                <w:b/>
                <w:bCs/>
                <w:color w:val="auto"/>
                <w:sz w:val="21"/>
                <w:szCs w:val="21"/>
              </w:rPr>
            </w:pPr>
            <w:r>
              <w:rPr>
                <w:rFonts w:ascii="Times New Roman" w:hAnsi="Times New Roman"/>
                <w:b/>
                <w:bCs/>
                <w:color w:val="auto"/>
                <w:sz w:val="21"/>
                <w:szCs w:val="21"/>
              </w:rPr>
              <w:t>本工序产污节点：</w:t>
            </w:r>
            <w:r>
              <w:rPr>
                <w:rFonts w:hint="eastAsia" w:ascii="Times New Roman" w:hAnsi="Times New Roman"/>
                <w:b/>
                <w:bCs/>
                <w:color w:val="auto"/>
                <w:sz w:val="21"/>
                <w:szCs w:val="21"/>
                <w:lang w:val="en-US" w:eastAsia="zh-CN"/>
              </w:rPr>
              <w:t>转炉</w:t>
            </w:r>
            <w:r>
              <w:rPr>
                <w:rFonts w:hint="eastAsia" w:ascii="Times New Roman" w:hAnsi="Times New Roman"/>
                <w:b/>
                <w:bCs/>
                <w:color w:val="auto"/>
                <w:sz w:val="21"/>
                <w:szCs w:val="21"/>
              </w:rPr>
              <w:t>钢渣装卸、堆存过程中产生的颗粒物；洗车过程中产生的废水；</w:t>
            </w:r>
            <w:r>
              <w:rPr>
                <w:rFonts w:ascii="Times New Roman" w:hAnsi="Times New Roman"/>
                <w:b/>
                <w:bCs/>
                <w:color w:val="auto"/>
                <w:sz w:val="21"/>
                <w:szCs w:val="21"/>
              </w:rPr>
              <w:t>洗车平台沉淀池产生的</w:t>
            </w:r>
            <w:r>
              <w:rPr>
                <w:rFonts w:hint="eastAsia" w:ascii="Times New Roman" w:hAnsi="Times New Roman"/>
                <w:b/>
                <w:bCs/>
                <w:color w:val="auto"/>
                <w:sz w:val="21"/>
                <w:szCs w:val="21"/>
                <w:lang w:val="en-US" w:eastAsia="zh-CN"/>
              </w:rPr>
              <w:t>污泥</w:t>
            </w:r>
            <w:r>
              <w:rPr>
                <w:rFonts w:hint="eastAsia" w:ascii="Times New Roman" w:hAnsi="Times New Roman"/>
                <w:b/>
                <w:bCs/>
                <w:color w:val="auto"/>
                <w:sz w:val="21"/>
                <w:szCs w:val="21"/>
              </w:rPr>
              <w:t>。</w:t>
            </w:r>
          </w:p>
          <w:p w14:paraId="4F3E8380">
            <w:pPr>
              <w:pStyle w:val="24"/>
              <w:keepNext w:val="0"/>
              <w:keepLines w:val="0"/>
              <w:pageBreakBefore w:val="0"/>
              <w:widowControl/>
              <w:kinsoku/>
              <w:wordWrap/>
              <w:overflowPunct/>
              <w:topLinePunct w:val="0"/>
              <w:autoSpaceDE/>
              <w:autoSpaceDN/>
              <w:bidi w:val="0"/>
              <w:adjustRightInd w:val="0"/>
              <w:snapToGrid w:val="0"/>
              <w:spacing w:before="0" w:beforeAutospacing="0" w:after="0" w:afterAutospacing="0" w:line="440" w:lineRule="exact"/>
              <w:ind w:firstLine="420" w:firstLineChars="200"/>
              <w:textAlignment w:val="auto"/>
              <w:rPr>
                <w:rFonts w:hint="eastAsia" w:ascii="Times New Roman" w:hAnsi="Times New Roman"/>
                <w:color w:val="auto"/>
                <w:sz w:val="21"/>
                <w:szCs w:val="21"/>
              </w:rPr>
            </w:pPr>
            <w:r>
              <w:rPr>
                <w:rFonts w:hint="eastAsia" w:ascii="Times New Roman" w:hAnsi="Times New Roman"/>
                <w:color w:val="auto"/>
                <w:sz w:val="21"/>
                <w:szCs w:val="21"/>
              </w:rPr>
              <w:t>（</w:t>
            </w:r>
            <w:r>
              <w:rPr>
                <w:rFonts w:hint="eastAsia" w:ascii="Times New Roman" w:hAnsi="Times New Roman"/>
                <w:color w:val="auto"/>
                <w:sz w:val="21"/>
                <w:szCs w:val="21"/>
                <w:lang w:val="en-US" w:eastAsia="zh-CN"/>
              </w:rPr>
              <w:t>2</w:t>
            </w:r>
            <w:r>
              <w:rPr>
                <w:rFonts w:hint="eastAsia" w:ascii="Times New Roman" w:hAnsi="Times New Roman"/>
                <w:color w:val="auto"/>
                <w:sz w:val="21"/>
                <w:szCs w:val="21"/>
              </w:rPr>
              <w:t>）钢渣上料及破碎</w:t>
            </w:r>
          </w:p>
          <w:p w14:paraId="46A302D8">
            <w:pPr>
              <w:pStyle w:val="24"/>
              <w:keepNext w:val="0"/>
              <w:keepLines w:val="0"/>
              <w:pageBreakBefore w:val="0"/>
              <w:widowControl/>
              <w:kinsoku/>
              <w:wordWrap/>
              <w:overflowPunct/>
              <w:topLinePunct w:val="0"/>
              <w:autoSpaceDE/>
              <w:autoSpaceDN/>
              <w:bidi w:val="0"/>
              <w:adjustRightInd w:val="0"/>
              <w:snapToGrid w:val="0"/>
              <w:spacing w:before="0" w:beforeAutospacing="0" w:after="0" w:afterAutospacing="0" w:line="440" w:lineRule="exact"/>
              <w:ind w:firstLine="420" w:firstLineChars="200"/>
              <w:textAlignment w:val="auto"/>
              <w:rPr>
                <w:rFonts w:ascii="Times New Roman" w:hAnsi="Times New Roman"/>
                <w:color w:val="auto"/>
                <w:sz w:val="21"/>
                <w:szCs w:val="21"/>
              </w:rPr>
            </w:pPr>
            <w:r>
              <w:rPr>
                <w:rFonts w:hint="eastAsia" w:ascii="Times New Roman" w:hAnsi="Times New Roman" w:eastAsia="宋体" w:cs="Times New Roman"/>
                <w:color w:val="auto"/>
                <w:sz w:val="21"/>
                <w:szCs w:val="21"/>
                <w:lang w:val="en-US" w:eastAsia="zh-CN"/>
              </w:rPr>
              <w:t>粒径为30-40cm的</w:t>
            </w:r>
            <w:r>
              <w:rPr>
                <w:rFonts w:hint="eastAsia" w:ascii="Times New Roman" w:hAnsi="Times New Roman"/>
                <w:color w:val="auto"/>
                <w:sz w:val="21"/>
                <w:szCs w:val="21"/>
              </w:rPr>
              <w:t>原料</w:t>
            </w:r>
            <w:r>
              <w:rPr>
                <w:rFonts w:hint="eastAsia" w:ascii="Times New Roman" w:hAnsi="Times New Roman"/>
                <w:color w:val="auto"/>
                <w:sz w:val="21"/>
                <w:szCs w:val="21"/>
                <w:lang w:val="en-US" w:eastAsia="zh-CN"/>
              </w:rPr>
              <w:t>转炉</w:t>
            </w:r>
            <w:r>
              <w:rPr>
                <w:rFonts w:hint="eastAsia" w:ascii="Times New Roman" w:hAnsi="Times New Roman" w:eastAsia="宋体" w:cs="Times New Roman"/>
                <w:color w:val="auto"/>
                <w:sz w:val="21"/>
                <w:szCs w:val="21"/>
              </w:rPr>
              <w:t>钢渣由铲车送至上料地坑中，然后</w:t>
            </w:r>
            <w:r>
              <w:rPr>
                <w:rFonts w:hint="eastAsia" w:ascii="Times New Roman" w:hAnsi="Times New Roman"/>
                <w:color w:val="auto"/>
                <w:sz w:val="21"/>
                <w:szCs w:val="21"/>
              </w:rPr>
              <w:t>钢渣经封闭皮带输送机输送至鄂破机进行粗破。粗破后物料由封闭皮带输送机输送至振动筛进行筛分。</w:t>
            </w:r>
          </w:p>
          <w:p w14:paraId="484C800D">
            <w:pPr>
              <w:pStyle w:val="24"/>
              <w:keepNext w:val="0"/>
              <w:keepLines w:val="0"/>
              <w:pageBreakBefore w:val="0"/>
              <w:widowControl/>
              <w:kinsoku/>
              <w:wordWrap/>
              <w:overflowPunct/>
              <w:topLinePunct w:val="0"/>
              <w:autoSpaceDE/>
              <w:autoSpaceDN/>
              <w:bidi w:val="0"/>
              <w:adjustRightInd w:val="0"/>
              <w:snapToGrid w:val="0"/>
              <w:spacing w:before="0" w:beforeAutospacing="0" w:after="0" w:afterAutospacing="0" w:line="440" w:lineRule="exact"/>
              <w:ind w:firstLine="422" w:firstLineChars="200"/>
              <w:textAlignment w:val="auto"/>
              <w:rPr>
                <w:rFonts w:ascii="Times New Roman" w:hAnsi="Times New Roman"/>
                <w:b/>
                <w:bCs/>
                <w:color w:val="auto"/>
                <w:sz w:val="21"/>
                <w:szCs w:val="21"/>
              </w:rPr>
            </w:pPr>
            <w:r>
              <w:rPr>
                <w:rFonts w:ascii="Times New Roman" w:hAnsi="Times New Roman"/>
                <w:b/>
                <w:bCs/>
                <w:color w:val="auto"/>
                <w:sz w:val="21"/>
                <w:szCs w:val="21"/>
              </w:rPr>
              <w:t>本工序产污节点：</w:t>
            </w:r>
            <w:r>
              <w:rPr>
                <w:rFonts w:hint="eastAsia" w:ascii="Times New Roman" w:hAnsi="Times New Roman"/>
                <w:b/>
                <w:bCs/>
                <w:color w:val="auto"/>
                <w:sz w:val="21"/>
                <w:szCs w:val="21"/>
              </w:rPr>
              <w:t>钢渣上料、鄂破过程中产生的颗粒物；颚式破碎机运行产生的设备噪声。</w:t>
            </w:r>
          </w:p>
          <w:p w14:paraId="52660712">
            <w:pPr>
              <w:pStyle w:val="24"/>
              <w:keepNext w:val="0"/>
              <w:keepLines w:val="0"/>
              <w:pageBreakBefore w:val="0"/>
              <w:widowControl/>
              <w:kinsoku/>
              <w:wordWrap/>
              <w:overflowPunct/>
              <w:topLinePunct w:val="0"/>
              <w:autoSpaceDE/>
              <w:autoSpaceDN/>
              <w:bidi w:val="0"/>
              <w:adjustRightInd w:val="0"/>
              <w:snapToGrid w:val="0"/>
              <w:spacing w:before="0" w:beforeAutospacing="0" w:after="0" w:afterAutospacing="0" w:line="440" w:lineRule="exact"/>
              <w:ind w:firstLine="420" w:firstLineChars="200"/>
              <w:textAlignment w:val="auto"/>
              <w:rPr>
                <w:rFonts w:ascii="Times New Roman" w:hAnsi="Times New Roman"/>
                <w:color w:val="auto"/>
                <w:sz w:val="21"/>
                <w:szCs w:val="21"/>
              </w:rPr>
            </w:pPr>
            <w:r>
              <w:rPr>
                <w:rFonts w:hint="eastAsia" w:ascii="Times New Roman" w:hAnsi="Times New Roman"/>
                <w:color w:val="auto"/>
                <w:sz w:val="21"/>
                <w:szCs w:val="21"/>
              </w:rPr>
              <w:t>（</w:t>
            </w:r>
            <w:r>
              <w:rPr>
                <w:rFonts w:hint="eastAsia" w:ascii="Times New Roman" w:hAnsi="Times New Roman"/>
                <w:color w:val="auto"/>
                <w:sz w:val="21"/>
                <w:szCs w:val="21"/>
                <w:lang w:val="en-US" w:eastAsia="zh-CN"/>
              </w:rPr>
              <w:t>3</w:t>
            </w:r>
            <w:r>
              <w:rPr>
                <w:rFonts w:hint="eastAsia" w:ascii="Times New Roman" w:hAnsi="Times New Roman"/>
                <w:color w:val="auto"/>
                <w:sz w:val="21"/>
                <w:szCs w:val="21"/>
              </w:rPr>
              <w:t>）筛分及锤破</w:t>
            </w:r>
          </w:p>
          <w:p w14:paraId="112720FD">
            <w:pPr>
              <w:pStyle w:val="24"/>
              <w:keepNext w:val="0"/>
              <w:keepLines w:val="0"/>
              <w:pageBreakBefore w:val="0"/>
              <w:widowControl/>
              <w:kinsoku/>
              <w:wordWrap/>
              <w:overflowPunct/>
              <w:topLinePunct w:val="0"/>
              <w:autoSpaceDE/>
              <w:autoSpaceDN/>
              <w:bidi w:val="0"/>
              <w:adjustRightInd w:val="0"/>
              <w:snapToGrid w:val="0"/>
              <w:spacing w:before="0" w:beforeAutospacing="0" w:after="0" w:afterAutospacing="0" w:line="440" w:lineRule="exact"/>
              <w:ind w:firstLine="420" w:firstLineChars="200"/>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粗破后物料进入振动筛（筛孔为25mm）中进行筛分，上层粒径大于</w:t>
            </w:r>
            <w:r>
              <w:rPr>
                <w:rFonts w:hint="eastAsia" w:ascii="Times New Roman" w:hAnsi="Times New Roman" w:eastAsia="宋体" w:cs="Times New Roman"/>
                <w:color w:val="auto"/>
                <w:sz w:val="21"/>
                <w:szCs w:val="21"/>
                <w:lang w:val="en-US" w:eastAsia="zh-CN"/>
              </w:rPr>
              <w:t>等于</w:t>
            </w:r>
            <w:r>
              <w:rPr>
                <w:rFonts w:hint="eastAsia" w:ascii="Times New Roman" w:hAnsi="Times New Roman" w:eastAsia="宋体" w:cs="Times New Roman"/>
                <w:color w:val="auto"/>
                <w:sz w:val="21"/>
                <w:szCs w:val="21"/>
              </w:rPr>
              <w:t>25mm的物料由封闭皮带进入</w:t>
            </w:r>
            <w:r>
              <w:rPr>
                <w:rFonts w:hint="eastAsia" w:ascii="Times New Roman" w:hAnsi="Times New Roman" w:cs="Times New Roman"/>
                <w:color w:val="auto"/>
                <w:sz w:val="21"/>
                <w:szCs w:val="21"/>
                <w:lang w:val="en-US" w:eastAsia="zh-CN"/>
              </w:rPr>
              <w:t>锤式</w:t>
            </w:r>
            <w:r>
              <w:rPr>
                <w:rFonts w:hint="eastAsia" w:ascii="Times New Roman" w:hAnsi="Times New Roman" w:eastAsia="宋体" w:cs="Times New Roman"/>
                <w:color w:val="auto"/>
                <w:sz w:val="21"/>
                <w:szCs w:val="21"/>
              </w:rPr>
              <w:t>破碎机中进行破碎，破碎后再次由</w:t>
            </w:r>
            <w:r>
              <w:rPr>
                <w:rFonts w:hint="eastAsia" w:ascii="Times New Roman" w:hAnsi="Times New Roman" w:eastAsia="宋体" w:cs="Times New Roman"/>
                <w:color w:val="auto"/>
                <w:sz w:val="21"/>
                <w:szCs w:val="21"/>
                <w:lang w:val="en-US" w:eastAsia="zh-CN"/>
              </w:rPr>
              <w:t>封闭式皮带</w:t>
            </w:r>
            <w:r>
              <w:rPr>
                <w:rFonts w:hint="eastAsia" w:ascii="Times New Roman" w:hAnsi="Times New Roman" w:eastAsia="宋体" w:cs="Times New Roman"/>
                <w:color w:val="auto"/>
                <w:sz w:val="21"/>
                <w:szCs w:val="21"/>
              </w:rPr>
              <w:t>输送机输送</w:t>
            </w:r>
            <w:r>
              <w:rPr>
                <w:rFonts w:hint="eastAsia" w:ascii="Times New Roman" w:hAnsi="Times New Roman" w:eastAsia="宋体" w:cs="Times New Roman"/>
                <w:color w:val="auto"/>
                <w:sz w:val="21"/>
                <w:szCs w:val="21"/>
                <w:lang w:val="en-US" w:eastAsia="zh-CN"/>
              </w:rPr>
              <w:t>至</w:t>
            </w:r>
            <w:r>
              <w:rPr>
                <w:rFonts w:hint="eastAsia" w:ascii="Times New Roman" w:hAnsi="Times New Roman" w:eastAsia="宋体" w:cs="Times New Roman"/>
                <w:color w:val="auto"/>
                <w:sz w:val="21"/>
                <w:szCs w:val="21"/>
              </w:rPr>
              <w:t>振动筛</w:t>
            </w:r>
            <w:r>
              <w:rPr>
                <w:rFonts w:hint="eastAsia" w:ascii="Times New Roman" w:hAnsi="Times New Roman" w:eastAsia="宋体" w:cs="Times New Roman"/>
                <w:color w:val="auto"/>
                <w:sz w:val="21"/>
                <w:szCs w:val="21"/>
                <w:lang w:val="en-US" w:eastAsia="zh-CN"/>
              </w:rPr>
              <w:t>中进行筛分</w:t>
            </w:r>
            <w:r>
              <w:rPr>
                <w:rFonts w:hint="eastAsia" w:ascii="Times New Roman" w:hAnsi="Times New Roman" w:eastAsia="宋体" w:cs="Times New Roman"/>
                <w:color w:val="auto"/>
                <w:sz w:val="21"/>
                <w:szCs w:val="21"/>
              </w:rPr>
              <w:t>；下层粒径小于25mm的物料由封闭皮带输送机进行转运，进入下一工序。</w:t>
            </w:r>
          </w:p>
          <w:p w14:paraId="7E052736">
            <w:pPr>
              <w:pStyle w:val="24"/>
              <w:keepNext w:val="0"/>
              <w:keepLines w:val="0"/>
              <w:pageBreakBefore w:val="0"/>
              <w:widowControl/>
              <w:kinsoku/>
              <w:wordWrap/>
              <w:overflowPunct/>
              <w:topLinePunct w:val="0"/>
              <w:autoSpaceDE/>
              <w:autoSpaceDN/>
              <w:bidi w:val="0"/>
              <w:adjustRightInd w:val="0"/>
              <w:snapToGrid w:val="0"/>
              <w:spacing w:before="0" w:beforeAutospacing="0" w:after="0" w:afterAutospacing="0" w:line="440" w:lineRule="exact"/>
              <w:ind w:firstLine="422" w:firstLineChars="200"/>
              <w:textAlignment w:val="auto"/>
              <w:rPr>
                <w:rFonts w:ascii="Times New Roman" w:hAnsi="Times New Roman"/>
                <w:b/>
                <w:bCs/>
                <w:color w:val="auto"/>
                <w:sz w:val="21"/>
                <w:szCs w:val="21"/>
              </w:rPr>
            </w:pPr>
            <w:r>
              <w:rPr>
                <w:rFonts w:ascii="Times New Roman" w:hAnsi="Times New Roman"/>
                <w:b/>
                <w:bCs/>
                <w:color w:val="auto"/>
                <w:sz w:val="21"/>
                <w:szCs w:val="21"/>
              </w:rPr>
              <w:t>本工序产污节点：</w:t>
            </w:r>
            <w:r>
              <w:rPr>
                <w:rFonts w:hint="eastAsia" w:ascii="Times New Roman" w:hAnsi="Times New Roman"/>
                <w:b/>
                <w:bCs/>
                <w:color w:val="auto"/>
                <w:sz w:val="21"/>
                <w:szCs w:val="21"/>
              </w:rPr>
              <w:t>振动筛</w:t>
            </w:r>
            <w:r>
              <w:rPr>
                <w:rFonts w:hint="eastAsia" w:ascii="Times New Roman" w:hAnsi="Times New Roman"/>
                <w:b/>
                <w:bCs/>
                <w:color w:val="auto"/>
                <w:sz w:val="21"/>
                <w:szCs w:val="21"/>
                <w:lang w:val="en-US" w:eastAsia="zh-CN"/>
              </w:rPr>
              <w:t>筛分、锤式破碎机破碎过程</w:t>
            </w:r>
            <w:r>
              <w:rPr>
                <w:rFonts w:hint="eastAsia" w:ascii="Times New Roman" w:hAnsi="Times New Roman"/>
                <w:b/>
                <w:bCs/>
                <w:color w:val="auto"/>
                <w:sz w:val="21"/>
                <w:szCs w:val="21"/>
              </w:rPr>
              <w:t>中产生的颗粒物；振动筛、</w:t>
            </w:r>
            <w:r>
              <w:rPr>
                <w:rFonts w:hint="eastAsia" w:ascii="Times New Roman" w:hAnsi="Times New Roman"/>
                <w:b/>
                <w:bCs/>
                <w:color w:val="auto"/>
                <w:sz w:val="21"/>
                <w:szCs w:val="21"/>
                <w:lang w:val="en-US" w:eastAsia="zh-CN"/>
              </w:rPr>
              <w:t>锤式破碎机</w:t>
            </w:r>
            <w:r>
              <w:rPr>
                <w:rFonts w:hint="eastAsia" w:ascii="Times New Roman" w:hAnsi="Times New Roman"/>
                <w:b/>
                <w:bCs/>
                <w:color w:val="auto"/>
                <w:sz w:val="21"/>
                <w:szCs w:val="21"/>
              </w:rPr>
              <w:t>运行产生的设备噪声。</w:t>
            </w:r>
          </w:p>
          <w:p w14:paraId="3AB0FD73">
            <w:pPr>
              <w:pStyle w:val="24"/>
              <w:keepNext w:val="0"/>
              <w:keepLines w:val="0"/>
              <w:pageBreakBefore w:val="0"/>
              <w:widowControl/>
              <w:kinsoku/>
              <w:wordWrap/>
              <w:overflowPunct/>
              <w:topLinePunct w:val="0"/>
              <w:autoSpaceDE/>
              <w:autoSpaceDN/>
              <w:bidi w:val="0"/>
              <w:adjustRightInd w:val="0"/>
              <w:snapToGrid w:val="0"/>
              <w:spacing w:before="0" w:beforeAutospacing="0" w:after="0" w:afterAutospacing="0" w:line="430" w:lineRule="exact"/>
              <w:ind w:firstLine="420" w:firstLineChars="200"/>
              <w:textAlignment w:val="auto"/>
              <w:rPr>
                <w:rFonts w:hint="default" w:ascii="Times New Roman" w:hAnsi="Times New Roman"/>
                <w:color w:val="auto"/>
                <w:sz w:val="21"/>
                <w:szCs w:val="21"/>
                <w:lang w:val="en-US" w:eastAsia="zh-CN"/>
              </w:rPr>
            </w:pPr>
            <w:r>
              <w:rPr>
                <w:rFonts w:hint="eastAsia" w:ascii="Times New Roman" w:hAnsi="Times New Roman"/>
                <w:color w:val="auto"/>
                <w:sz w:val="21"/>
                <w:szCs w:val="21"/>
              </w:rPr>
              <w:t>（</w:t>
            </w:r>
            <w:r>
              <w:rPr>
                <w:rFonts w:hint="eastAsia" w:ascii="Times New Roman" w:hAnsi="Times New Roman"/>
                <w:color w:val="auto"/>
                <w:sz w:val="21"/>
                <w:szCs w:val="21"/>
                <w:lang w:val="en-US" w:eastAsia="zh-CN"/>
              </w:rPr>
              <w:t>4</w:t>
            </w:r>
            <w:r>
              <w:rPr>
                <w:rFonts w:hint="eastAsia" w:ascii="Times New Roman" w:hAnsi="Times New Roman"/>
                <w:color w:val="auto"/>
                <w:sz w:val="21"/>
                <w:szCs w:val="21"/>
              </w:rPr>
              <w:t>）</w:t>
            </w:r>
            <w:r>
              <w:rPr>
                <w:rFonts w:hint="eastAsia" w:ascii="Times New Roman" w:hAnsi="Times New Roman"/>
                <w:color w:val="auto"/>
                <w:sz w:val="21"/>
                <w:szCs w:val="21"/>
                <w:lang w:val="en-US" w:eastAsia="zh-CN"/>
              </w:rPr>
              <w:t>球磨、磁选</w:t>
            </w:r>
          </w:p>
          <w:p w14:paraId="0D418DC5">
            <w:pPr>
              <w:pStyle w:val="24"/>
              <w:keepNext w:val="0"/>
              <w:keepLines w:val="0"/>
              <w:pageBreakBefore w:val="0"/>
              <w:widowControl/>
              <w:kinsoku/>
              <w:wordWrap/>
              <w:overflowPunct/>
              <w:topLinePunct w:val="0"/>
              <w:autoSpaceDE/>
              <w:autoSpaceDN/>
              <w:bidi w:val="0"/>
              <w:adjustRightInd w:val="0"/>
              <w:snapToGrid w:val="0"/>
              <w:spacing w:before="0" w:beforeAutospacing="0" w:after="0" w:afterAutospacing="0" w:line="420" w:lineRule="exact"/>
              <w:ind w:firstLine="420" w:firstLineChars="200"/>
              <w:textAlignment w:val="auto"/>
              <w:rPr>
                <w:rFonts w:hint="eastAsia" w:ascii="Times New Roman" w:hAnsi="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经振动筛筛分后的筛下物（</w:t>
            </w:r>
            <w:r>
              <w:rPr>
                <w:rFonts w:hint="eastAsia" w:ascii="Times New Roman" w:hAnsi="Times New Roman" w:eastAsia="宋体" w:cs="Times New Roman"/>
                <w:color w:val="auto"/>
                <w:sz w:val="21"/>
                <w:szCs w:val="21"/>
              </w:rPr>
              <w:t>粒径小于25mm</w:t>
            </w:r>
            <w:r>
              <w:rPr>
                <w:rFonts w:hint="eastAsia" w:ascii="Times New Roman" w:hAnsi="Times New Roman" w:eastAsia="宋体" w:cs="Times New Roman"/>
                <w:color w:val="auto"/>
                <w:sz w:val="21"/>
                <w:szCs w:val="21"/>
                <w:lang w:val="en-US" w:eastAsia="zh-CN"/>
              </w:rPr>
              <w:t>）经封闭的皮带输送机</w:t>
            </w:r>
            <w:r>
              <w:rPr>
                <w:rFonts w:hint="eastAsia" w:ascii="Times New Roman" w:hAnsi="Times New Roman" w:eastAsia="宋体" w:cs="Times New Roman"/>
                <w:color w:val="auto"/>
                <w:sz w:val="21"/>
                <w:szCs w:val="21"/>
              </w:rPr>
              <w:t>输送</w:t>
            </w:r>
            <w:r>
              <w:rPr>
                <w:rFonts w:hint="eastAsia" w:ascii="Times New Roman" w:hAnsi="Times New Roman" w:eastAsia="宋体" w:cs="Times New Roman"/>
                <w:color w:val="auto"/>
                <w:sz w:val="21"/>
                <w:szCs w:val="21"/>
                <w:lang w:val="en-US" w:eastAsia="zh-CN"/>
              </w:rPr>
              <w:t>至球磨机中</w:t>
            </w:r>
            <w:r>
              <w:rPr>
                <w:rFonts w:hint="eastAsia" w:ascii="Times New Roman" w:hAnsi="Times New Roman"/>
                <w:color w:val="auto"/>
                <w:sz w:val="21"/>
                <w:szCs w:val="21"/>
              </w:rPr>
              <w:t>，球磨机以钢球作为磨矿介质进行磨矿作业</w:t>
            </w:r>
            <w:r>
              <w:rPr>
                <w:rFonts w:hint="eastAsia" w:ascii="Times New Roman" w:hAnsi="Times New Roman" w:eastAsia="宋体" w:cs="Times New Roman"/>
                <w:color w:val="auto"/>
                <w:sz w:val="21"/>
                <w:szCs w:val="21"/>
                <w:lang w:val="en-US" w:eastAsia="zh-CN"/>
              </w:rPr>
              <w:t>，</w:t>
            </w:r>
            <w:r>
              <w:rPr>
                <w:rFonts w:hint="eastAsia" w:ascii="Times New Roman" w:hAnsi="Times New Roman" w:eastAsia="宋体" w:cs="Times New Roman"/>
                <w:color w:val="auto"/>
                <w:sz w:val="21"/>
                <w:szCs w:val="21"/>
              </w:rPr>
              <w:t>物料进入球磨机的同时，不断给球磨机中注水，</w:t>
            </w:r>
            <w:r>
              <w:rPr>
                <w:rFonts w:hint="eastAsia" w:ascii="Times New Roman" w:hAnsi="Times New Roman" w:eastAsia="宋体" w:cs="Times New Roman"/>
                <w:color w:val="auto"/>
                <w:sz w:val="21"/>
                <w:szCs w:val="21"/>
                <w:lang w:val="en-US" w:eastAsia="zh-CN"/>
              </w:rPr>
              <w:t>原料与水在球磨机中研磨，研磨后的钢渣浆料经矿浆管道</w:t>
            </w:r>
            <w:r>
              <w:rPr>
                <w:rFonts w:hint="eastAsia" w:ascii="Times New Roman" w:hAnsi="Times New Roman"/>
                <w:color w:val="auto"/>
                <w:sz w:val="21"/>
                <w:szCs w:val="21"/>
                <w:lang w:val="en-US" w:eastAsia="zh-CN"/>
              </w:rPr>
              <w:t>进入</w:t>
            </w:r>
            <w:r>
              <w:rPr>
                <w:rFonts w:hint="eastAsia" w:ascii="Times New Roman" w:hAnsi="Times New Roman"/>
                <w:color w:val="auto"/>
                <w:sz w:val="21"/>
                <w:szCs w:val="21"/>
              </w:rPr>
              <w:t>磁选机进行磁选，</w:t>
            </w:r>
            <w:r>
              <w:rPr>
                <w:rFonts w:hint="eastAsia" w:ascii="Times New Roman" w:hAnsi="Times New Roman"/>
                <w:color w:val="auto"/>
                <w:sz w:val="21"/>
                <w:szCs w:val="21"/>
                <w:lang w:val="en-US" w:eastAsia="zh-CN"/>
              </w:rPr>
              <w:t>磁选后物料进入下一工序进行脱水。</w:t>
            </w:r>
          </w:p>
          <w:p w14:paraId="11636EAB">
            <w:pPr>
              <w:pStyle w:val="24"/>
              <w:keepNext w:val="0"/>
              <w:keepLines w:val="0"/>
              <w:pageBreakBefore w:val="0"/>
              <w:widowControl/>
              <w:kinsoku/>
              <w:wordWrap/>
              <w:overflowPunct/>
              <w:topLinePunct w:val="0"/>
              <w:autoSpaceDE/>
              <w:autoSpaceDN/>
              <w:bidi w:val="0"/>
              <w:adjustRightInd w:val="0"/>
              <w:snapToGrid w:val="0"/>
              <w:spacing w:before="0" w:beforeAutospacing="0" w:after="0" w:afterAutospacing="0" w:line="430" w:lineRule="exact"/>
              <w:ind w:firstLine="422" w:firstLineChars="200"/>
              <w:textAlignment w:val="auto"/>
              <w:rPr>
                <w:rFonts w:ascii="Times New Roman" w:hAnsi="Times New Roman"/>
                <w:b/>
                <w:bCs/>
                <w:color w:val="auto"/>
                <w:sz w:val="21"/>
                <w:szCs w:val="21"/>
              </w:rPr>
            </w:pPr>
            <w:r>
              <w:rPr>
                <w:rFonts w:ascii="Times New Roman" w:hAnsi="Times New Roman"/>
                <w:b/>
                <w:bCs/>
                <w:color w:val="auto"/>
                <w:sz w:val="21"/>
                <w:szCs w:val="21"/>
              </w:rPr>
              <w:t>本工序产污节点：</w:t>
            </w:r>
            <w:r>
              <w:rPr>
                <w:rFonts w:hint="eastAsia" w:ascii="Times New Roman" w:hAnsi="Times New Roman"/>
                <w:b/>
                <w:bCs/>
                <w:color w:val="auto"/>
                <w:sz w:val="21"/>
                <w:szCs w:val="21"/>
              </w:rPr>
              <w:t>球磨机</w:t>
            </w:r>
            <w:r>
              <w:rPr>
                <w:rFonts w:hint="eastAsia" w:ascii="Times New Roman" w:hAnsi="Times New Roman"/>
                <w:b/>
                <w:bCs/>
                <w:color w:val="auto"/>
                <w:sz w:val="21"/>
                <w:szCs w:val="21"/>
                <w:lang w:eastAsia="zh-CN"/>
              </w:rPr>
              <w:t>、</w:t>
            </w:r>
            <w:r>
              <w:rPr>
                <w:rFonts w:hint="eastAsia" w:ascii="Times New Roman" w:hAnsi="Times New Roman"/>
                <w:b/>
                <w:bCs/>
                <w:color w:val="auto"/>
                <w:sz w:val="21"/>
                <w:szCs w:val="21"/>
                <w:lang w:val="en-US" w:eastAsia="zh-CN"/>
              </w:rPr>
              <w:t>磁选机</w:t>
            </w:r>
            <w:r>
              <w:rPr>
                <w:rFonts w:hint="eastAsia" w:ascii="Times New Roman" w:hAnsi="Times New Roman"/>
                <w:b/>
                <w:bCs/>
                <w:color w:val="auto"/>
                <w:sz w:val="21"/>
                <w:szCs w:val="21"/>
              </w:rPr>
              <w:t>运行产生的设备噪声；球磨机维护更换产生的废钢球。</w:t>
            </w:r>
          </w:p>
          <w:p w14:paraId="087E64C3">
            <w:pPr>
              <w:pStyle w:val="24"/>
              <w:keepNext w:val="0"/>
              <w:keepLines w:val="0"/>
              <w:pageBreakBefore w:val="0"/>
              <w:widowControl/>
              <w:kinsoku/>
              <w:wordWrap/>
              <w:overflowPunct/>
              <w:topLinePunct w:val="0"/>
              <w:autoSpaceDE/>
              <w:autoSpaceDN/>
              <w:bidi w:val="0"/>
              <w:adjustRightInd w:val="0"/>
              <w:snapToGrid w:val="0"/>
              <w:spacing w:before="0" w:beforeAutospacing="0" w:after="0" w:afterAutospacing="0" w:line="420" w:lineRule="exact"/>
              <w:ind w:firstLine="420" w:firstLineChars="200"/>
              <w:textAlignment w:val="auto"/>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（5）脱水</w:t>
            </w:r>
          </w:p>
          <w:p w14:paraId="5AC805C9">
            <w:pPr>
              <w:pStyle w:val="24"/>
              <w:keepNext w:val="0"/>
              <w:keepLines w:val="0"/>
              <w:pageBreakBefore w:val="0"/>
              <w:widowControl/>
              <w:kinsoku/>
              <w:wordWrap/>
              <w:overflowPunct/>
              <w:topLinePunct w:val="0"/>
              <w:autoSpaceDE/>
              <w:autoSpaceDN/>
              <w:bidi w:val="0"/>
              <w:adjustRightInd w:val="0"/>
              <w:snapToGrid w:val="0"/>
              <w:spacing w:before="0" w:beforeAutospacing="0" w:after="0" w:afterAutospacing="0" w:line="420" w:lineRule="exact"/>
              <w:ind w:firstLine="420" w:firstLineChars="200"/>
              <w:textAlignment w:val="auto"/>
              <w:rPr>
                <w:rFonts w:hint="eastAsia" w:ascii="Times New Roman" w:hAnsi="Times New Roman"/>
                <w:color w:val="auto"/>
                <w:sz w:val="21"/>
                <w:szCs w:val="21"/>
                <w:lang w:eastAsia="zh-CN"/>
              </w:rPr>
            </w:pPr>
            <w:r>
              <w:rPr>
                <w:rFonts w:hint="eastAsia" w:ascii="Times New Roman" w:hAnsi="Times New Roman" w:eastAsia="宋体" w:cs="Times New Roman"/>
                <w:color w:val="auto"/>
                <w:sz w:val="21"/>
                <w:szCs w:val="21"/>
                <w:highlight w:val="none"/>
                <w:lang w:val="en-US" w:eastAsia="zh-CN"/>
              </w:rPr>
              <w:t>磁选后的非磁性物料</w:t>
            </w:r>
            <w:r>
              <w:rPr>
                <w:rFonts w:hint="eastAsia" w:ascii="Times New Roman" w:hAnsi="Times New Roman"/>
                <w:color w:val="auto"/>
                <w:sz w:val="21"/>
                <w:szCs w:val="21"/>
                <w:lang w:val="en-US" w:eastAsia="zh-CN"/>
              </w:rPr>
              <w:t>进入脱水筛进行脱水，脱水后即为</w:t>
            </w:r>
            <w:r>
              <w:rPr>
                <w:rFonts w:hint="eastAsia" w:ascii="Times New Roman" w:hAnsi="Times New Roman"/>
                <w:color w:val="auto"/>
                <w:sz w:val="21"/>
                <w:szCs w:val="21"/>
              </w:rPr>
              <w:t>产</w:t>
            </w:r>
            <w:r>
              <w:rPr>
                <w:rFonts w:hint="eastAsia" w:ascii="Times New Roman" w:hAnsi="Times New Roman" w:eastAsia="宋体" w:cs="Times New Roman"/>
                <w:color w:val="auto"/>
                <w:sz w:val="21"/>
                <w:szCs w:val="21"/>
                <w:lang w:val="en-US" w:eastAsia="zh-CN"/>
              </w:rPr>
              <w:t>品非磁性钢渣粉，含水率在1</w:t>
            </w:r>
            <w:r>
              <w:rPr>
                <w:rFonts w:hint="eastAsia" w:ascii="Times New Roman" w:hAnsi="Times New Roman" w:cs="Times New Roman"/>
                <w:color w:val="auto"/>
                <w:sz w:val="21"/>
                <w:szCs w:val="21"/>
                <w:lang w:val="en-US" w:eastAsia="zh-CN"/>
              </w:rPr>
              <w:t>2</w:t>
            </w:r>
            <w:r>
              <w:rPr>
                <w:rFonts w:hint="eastAsia" w:ascii="Times New Roman" w:hAnsi="Times New Roman" w:eastAsia="宋体" w:cs="Times New Roman"/>
                <w:color w:val="auto"/>
                <w:sz w:val="21"/>
                <w:szCs w:val="21"/>
                <w:lang w:val="en-US" w:eastAsia="zh-CN"/>
              </w:rPr>
              <w:t>%左右，通过皮带输送机输送至</w:t>
            </w:r>
            <w:r>
              <w:rPr>
                <w:rFonts w:hint="eastAsia" w:ascii="Times New Roman" w:hAnsi="Times New Roman"/>
                <w:color w:val="auto"/>
                <w:sz w:val="21"/>
                <w:szCs w:val="21"/>
                <w:highlight w:val="none"/>
                <w:lang w:val="en-US" w:eastAsia="zh-CN"/>
              </w:rPr>
              <w:t>2</w:t>
            </w:r>
            <w:r>
              <w:rPr>
                <w:rFonts w:hint="eastAsia" w:ascii="Times New Roman" w:hAnsi="Times New Roman"/>
                <w:color w:val="auto"/>
                <w:sz w:val="21"/>
                <w:szCs w:val="21"/>
                <w:highlight w:val="none"/>
                <w:vertAlign w:val="superscript"/>
                <w:lang w:val="en-US" w:eastAsia="zh-CN"/>
              </w:rPr>
              <w:t>#</w:t>
            </w:r>
            <w:r>
              <w:rPr>
                <w:rFonts w:hint="eastAsia" w:ascii="Times New Roman" w:hAnsi="Times New Roman"/>
                <w:color w:val="auto"/>
                <w:sz w:val="21"/>
                <w:szCs w:val="21"/>
                <w:highlight w:val="none"/>
                <w:lang w:val="en-US" w:eastAsia="zh-CN"/>
              </w:rPr>
              <w:t>生产车间</w:t>
            </w:r>
            <w:r>
              <w:rPr>
                <w:rFonts w:hint="eastAsia" w:ascii="Times New Roman" w:hAnsi="Times New Roman" w:eastAsia="宋体" w:cs="Times New Roman"/>
                <w:color w:val="auto"/>
                <w:sz w:val="21"/>
                <w:szCs w:val="21"/>
                <w:highlight w:val="none"/>
                <w:lang w:val="en-US" w:eastAsia="zh-CN"/>
              </w:rPr>
              <w:t>非磁性</w:t>
            </w:r>
            <w:r>
              <w:rPr>
                <w:rFonts w:hint="eastAsia" w:ascii="Times New Roman" w:hAnsi="Times New Roman" w:cs="Times New Roman"/>
                <w:color w:val="auto"/>
                <w:sz w:val="21"/>
                <w:szCs w:val="21"/>
                <w:highlight w:val="none"/>
                <w:lang w:val="en-US" w:eastAsia="zh-CN"/>
              </w:rPr>
              <w:t>钢渣粉暂存区</w:t>
            </w:r>
            <w:r>
              <w:rPr>
                <w:rFonts w:hint="eastAsia" w:ascii="Times New Roman" w:hAnsi="Times New Roman" w:eastAsia="宋体" w:cs="Times New Roman"/>
                <w:color w:val="auto"/>
                <w:sz w:val="21"/>
                <w:szCs w:val="21"/>
                <w:highlight w:val="none"/>
                <w:lang w:val="en-US" w:eastAsia="zh-CN"/>
              </w:rPr>
              <w:t>暂存，之后外售；磁选后的磁性物料</w:t>
            </w:r>
            <w:r>
              <w:rPr>
                <w:rFonts w:hint="eastAsia" w:ascii="Times New Roman" w:hAnsi="Times New Roman"/>
                <w:color w:val="auto"/>
                <w:sz w:val="21"/>
                <w:szCs w:val="21"/>
                <w:highlight w:val="none"/>
                <w:lang w:val="en-US" w:eastAsia="zh-CN"/>
              </w:rPr>
              <w:t>进入过滤机进行脱水，脱水</w:t>
            </w:r>
            <w:r>
              <w:rPr>
                <w:rFonts w:hint="eastAsia" w:ascii="Times New Roman" w:hAnsi="Times New Roman"/>
                <w:color w:val="auto"/>
                <w:sz w:val="21"/>
                <w:szCs w:val="21"/>
                <w:highlight w:val="none"/>
              </w:rPr>
              <w:t>后得到的产品</w:t>
            </w:r>
            <w:r>
              <w:rPr>
                <w:rFonts w:hint="eastAsia" w:ascii="Times New Roman" w:hAnsi="Times New Roman"/>
                <w:color w:val="auto"/>
                <w:sz w:val="21"/>
                <w:szCs w:val="21"/>
                <w:highlight w:val="none"/>
                <w:lang w:val="en-US" w:eastAsia="zh-CN"/>
              </w:rPr>
              <w:t>磁性</w:t>
            </w:r>
            <w:r>
              <w:rPr>
                <w:rFonts w:hint="eastAsia" w:ascii="Times New Roman" w:hAnsi="Times New Roman"/>
                <w:color w:val="auto"/>
                <w:sz w:val="21"/>
                <w:szCs w:val="21"/>
                <w:highlight w:val="none"/>
              </w:rPr>
              <w:t>钢渣粉（含水率12%）经皮带机输送至</w:t>
            </w:r>
            <w:r>
              <w:rPr>
                <w:rFonts w:hint="eastAsia" w:ascii="Times New Roman" w:hAnsi="Times New Roman"/>
                <w:color w:val="auto"/>
                <w:sz w:val="21"/>
                <w:szCs w:val="21"/>
                <w:highlight w:val="none"/>
                <w:lang w:val="en-US" w:eastAsia="zh-CN"/>
              </w:rPr>
              <w:t>2</w:t>
            </w:r>
            <w:r>
              <w:rPr>
                <w:rFonts w:hint="eastAsia" w:ascii="Times New Roman" w:hAnsi="Times New Roman"/>
                <w:color w:val="auto"/>
                <w:sz w:val="21"/>
                <w:szCs w:val="21"/>
                <w:highlight w:val="none"/>
                <w:vertAlign w:val="superscript"/>
                <w:lang w:val="en-US" w:eastAsia="zh-CN"/>
              </w:rPr>
              <w:t>#</w:t>
            </w:r>
            <w:r>
              <w:rPr>
                <w:rFonts w:hint="eastAsia" w:ascii="Times New Roman" w:hAnsi="Times New Roman"/>
                <w:color w:val="auto"/>
                <w:sz w:val="21"/>
                <w:szCs w:val="21"/>
                <w:highlight w:val="none"/>
                <w:lang w:val="en-US" w:eastAsia="zh-CN"/>
              </w:rPr>
              <w:t>生产车间</w:t>
            </w:r>
            <w:r>
              <w:rPr>
                <w:rFonts w:hint="eastAsia" w:ascii="Times New Roman" w:hAnsi="Times New Roman" w:eastAsia="宋体" w:cs="Times New Roman"/>
                <w:color w:val="auto"/>
                <w:sz w:val="21"/>
                <w:szCs w:val="21"/>
                <w:highlight w:val="none"/>
                <w:lang w:val="en-US" w:eastAsia="zh-CN"/>
              </w:rPr>
              <w:t>磁性</w:t>
            </w:r>
            <w:r>
              <w:rPr>
                <w:rFonts w:hint="eastAsia" w:ascii="Times New Roman" w:hAnsi="Times New Roman" w:cs="Times New Roman"/>
                <w:color w:val="auto"/>
                <w:sz w:val="21"/>
                <w:szCs w:val="21"/>
                <w:highlight w:val="none"/>
                <w:lang w:val="en-US" w:eastAsia="zh-CN"/>
              </w:rPr>
              <w:t>钢渣粉暂存区</w:t>
            </w:r>
            <w:r>
              <w:rPr>
                <w:rFonts w:hint="eastAsia" w:ascii="Times New Roman" w:hAnsi="Times New Roman" w:eastAsia="宋体" w:cs="Times New Roman"/>
                <w:color w:val="auto"/>
                <w:sz w:val="21"/>
                <w:szCs w:val="21"/>
                <w:highlight w:val="none"/>
                <w:lang w:val="en-US" w:eastAsia="zh-CN"/>
              </w:rPr>
              <w:t>暂存</w:t>
            </w:r>
            <w:r>
              <w:rPr>
                <w:rFonts w:hint="eastAsia" w:ascii="Times New Roman" w:hAnsi="Times New Roman"/>
                <w:color w:val="auto"/>
                <w:sz w:val="21"/>
                <w:szCs w:val="21"/>
                <w:highlight w:val="none"/>
              </w:rPr>
              <w:t>，之后外售</w:t>
            </w:r>
            <w:r>
              <w:rPr>
                <w:rFonts w:hint="eastAsia" w:ascii="Times New Roman" w:hAnsi="Times New Roman"/>
                <w:color w:val="auto"/>
                <w:sz w:val="21"/>
                <w:szCs w:val="21"/>
                <w:highlight w:val="none"/>
                <w:lang w:eastAsia="zh-CN"/>
              </w:rPr>
              <w:t>。</w:t>
            </w:r>
          </w:p>
          <w:p w14:paraId="71AE3E33">
            <w:pPr>
              <w:pStyle w:val="24"/>
              <w:keepNext w:val="0"/>
              <w:keepLines w:val="0"/>
              <w:pageBreakBefore w:val="0"/>
              <w:widowControl/>
              <w:kinsoku/>
              <w:wordWrap/>
              <w:overflowPunct/>
              <w:topLinePunct w:val="0"/>
              <w:autoSpaceDE/>
              <w:autoSpaceDN/>
              <w:bidi w:val="0"/>
              <w:adjustRightInd w:val="0"/>
              <w:snapToGrid w:val="0"/>
              <w:spacing w:before="0" w:beforeAutospacing="0" w:after="0" w:afterAutospacing="0" w:line="430" w:lineRule="exact"/>
              <w:ind w:firstLine="420" w:firstLineChars="200"/>
              <w:textAlignment w:val="auto"/>
              <w:rPr>
                <w:rFonts w:hint="eastAsia" w:ascii="Times New Roman" w:hAnsi="Times New Roman" w:eastAsia="宋体" w:cs="Times New Roman"/>
                <w:b/>
                <w:bCs/>
                <w:color w:val="auto"/>
                <w:sz w:val="21"/>
                <w:szCs w:val="21"/>
                <w:lang w:val="en-US" w:eastAsia="zh-CN"/>
              </w:rPr>
            </w:pPr>
            <w:r>
              <w:rPr>
                <w:color w:val="auto"/>
                <w:sz w:val="21"/>
              </w:rPr>
              <mc:AlternateContent>
                <mc:Choice Requires="wpg">
                  <w:drawing>
                    <wp:anchor distT="0" distB="0" distL="114300" distR="114300" simplePos="0" relativeHeight="251879424" behindDoc="0" locked="0" layoutInCell="1" allowOverlap="1">
                      <wp:simplePos x="0" y="0"/>
                      <wp:positionH relativeFrom="column">
                        <wp:posOffset>593725</wp:posOffset>
                      </wp:positionH>
                      <wp:positionV relativeFrom="paragraph">
                        <wp:posOffset>498475</wp:posOffset>
                      </wp:positionV>
                      <wp:extent cx="3963670" cy="3524250"/>
                      <wp:effectExtent l="0" t="0" r="0" b="0"/>
                      <wp:wrapNone/>
                      <wp:docPr id="333" name="组合 333"/>
                      <wp:cNvGraphicFramePr/>
                      <a:graphic xmlns:a="http://schemas.openxmlformats.org/drawingml/2006/main">
                        <a:graphicData uri="http://schemas.microsoft.com/office/word/2010/wordprocessingGroup">
                          <wpg:wgp>
                            <wpg:cNvGrpSpPr/>
                            <wpg:grpSpPr>
                              <a:xfrm>
                                <a:off x="0" y="0"/>
                                <a:ext cx="3963670" cy="3524250"/>
                                <a:chOff x="5407" y="663799"/>
                                <a:chExt cx="6242" cy="5550"/>
                              </a:xfrm>
                            </wpg:grpSpPr>
                            <wps:wsp>
                              <wps:cNvPr id="226" name="文本框 99"/>
                              <wps:cNvSpPr txBox="1"/>
                              <wps:spPr>
                                <a:xfrm>
                                  <a:off x="5407" y="664255"/>
                                  <a:ext cx="1122" cy="464"/>
                                </a:xfrm>
                                <a:prstGeom prst="rect">
                                  <a:avLst/>
                                </a:prstGeom>
                                <a:noFill/>
                                <a:ln>
                                  <a:noFill/>
                                </a:ln>
                              </wps:spPr>
                              <wps:txbx>
                                <w:txbxContent>
                                  <w:p w14:paraId="3B92A0E6">
                                    <w:pPr>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lang w:val="en-US" w:eastAsia="zh-CN"/>
                                      </w:rPr>
                                      <w:t>转炉</w:t>
                                    </w:r>
                                    <w:r>
                                      <w:rPr>
                                        <w:rFonts w:hint="default" w:ascii="Times New Roman" w:hAnsi="Times New Roman" w:eastAsia="宋体" w:cs="Times New Roman"/>
                                        <w:sz w:val="18"/>
                                        <w:szCs w:val="18"/>
                                      </w:rPr>
                                      <w:t>钢渣</w:t>
                                    </w:r>
                                  </w:p>
                                </w:txbxContent>
                              </wps:txbx>
                              <wps:bodyPr upright="1"/>
                            </wps:wsp>
                            <wps:wsp>
                              <wps:cNvPr id="232" name="直接箭头连接符 103"/>
                              <wps:cNvCnPr/>
                              <wps:spPr>
                                <a:xfrm>
                                  <a:off x="6388" y="664436"/>
                                  <a:ext cx="507" cy="1"/>
                                </a:xfrm>
                                <a:prstGeom prst="straightConnector1">
                                  <a:avLst/>
                                </a:prstGeom>
                                <a:ln w="9525" cap="flat" cmpd="sng">
                                  <a:solidFill>
                                    <a:srgbClr val="000000"/>
                                  </a:solidFill>
                                  <a:prstDash val="solid"/>
                                  <a:round/>
                                  <a:headEnd type="none" w="med" len="med"/>
                                  <a:tailEnd type="arrow" w="med" len="med"/>
                                </a:ln>
                              </wps:spPr>
                              <wps:bodyPr/>
                            </wps:wsp>
                            <wps:wsp>
                              <wps:cNvPr id="237" name="文本框 106"/>
                              <wps:cNvSpPr txBox="1"/>
                              <wps:spPr>
                                <a:xfrm>
                                  <a:off x="6898" y="664241"/>
                                  <a:ext cx="1068" cy="389"/>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27F1575F">
                                    <w:pPr>
                                      <w:keepNext w:val="0"/>
                                      <w:keepLines w:val="0"/>
                                      <w:pageBreakBefore w:val="0"/>
                                      <w:widowControl w:val="0"/>
                                      <w:kinsoku/>
                                      <w:wordWrap/>
                                      <w:overflowPunct/>
                                      <w:topLinePunct w:val="0"/>
                                      <w:bidi w:val="0"/>
                                      <w:adjustRightInd/>
                                      <w:snapToGrid/>
                                      <w:spacing w:line="220" w:lineRule="exact"/>
                                      <w:jc w:val="center"/>
                                      <w:textAlignment w:val="auto"/>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lang w:val="en-US" w:eastAsia="zh-CN"/>
                                      </w:rPr>
                                      <w:t>原料库房</w:t>
                                    </w:r>
                                  </w:p>
                                </w:txbxContent>
                              </wps:txbx>
                              <wps:bodyPr upright="1"/>
                            </wps:wsp>
                            <wps:wsp>
                              <wps:cNvPr id="256" name="文本框 110"/>
                              <wps:cNvSpPr txBox="1"/>
                              <wps:spPr>
                                <a:xfrm>
                                  <a:off x="8478" y="664245"/>
                                  <a:ext cx="885" cy="378"/>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41408362">
                                    <w:pPr>
                                      <w:keepNext w:val="0"/>
                                      <w:keepLines w:val="0"/>
                                      <w:pageBreakBefore w:val="0"/>
                                      <w:widowControl w:val="0"/>
                                      <w:kinsoku/>
                                      <w:wordWrap/>
                                      <w:overflowPunct/>
                                      <w:topLinePunct w:val="0"/>
                                      <w:bidi w:val="0"/>
                                      <w:adjustRightInd/>
                                      <w:snapToGrid/>
                                      <w:spacing w:line="220" w:lineRule="exact"/>
                                      <w:jc w:val="center"/>
                                      <w:textAlignment w:val="auto"/>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lang w:val="en-US" w:eastAsia="zh-CN"/>
                                      </w:rPr>
                                      <w:t>上料仓</w:t>
                                    </w:r>
                                  </w:p>
                                </w:txbxContent>
                              </wps:txbx>
                              <wps:bodyPr upright="1"/>
                            </wps:wsp>
                            <wps:wsp>
                              <wps:cNvPr id="278" name="直接连接符 112"/>
                              <wps:cNvCnPr/>
                              <wps:spPr>
                                <a:xfrm flipH="1">
                                  <a:off x="8897" y="664644"/>
                                  <a:ext cx="1" cy="396"/>
                                </a:xfrm>
                                <a:prstGeom prst="line">
                                  <a:avLst/>
                                </a:prstGeom>
                                <a:ln w="9525" cap="flat" cmpd="sng">
                                  <a:solidFill>
                                    <a:srgbClr val="000000"/>
                                  </a:solidFill>
                                  <a:prstDash val="solid"/>
                                  <a:round/>
                                  <a:headEnd type="none" w="med" len="med"/>
                                  <a:tailEnd type="arrow" w="med" len="med"/>
                                </a:ln>
                              </wps:spPr>
                              <wps:bodyPr upright="1"/>
                            </wps:wsp>
                            <wps:wsp>
                              <wps:cNvPr id="279" name="直接箭头连接符 113"/>
                              <wps:cNvCnPr/>
                              <wps:spPr>
                                <a:xfrm>
                                  <a:off x="7981" y="664436"/>
                                  <a:ext cx="507" cy="1"/>
                                </a:xfrm>
                                <a:prstGeom prst="straightConnector1">
                                  <a:avLst/>
                                </a:prstGeom>
                                <a:ln w="9525" cap="flat" cmpd="sng">
                                  <a:solidFill>
                                    <a:srgbClr val="000000"/>
                                  </a:solidFill>
                                  <a:prstDash val="solid"/>
                                  <a:round/>
                                  <a:headEnd type="none" w="med" len="med"/>
                                  <a:tailEnd type="arrow" w="med" len="med"/>
                                </a:ln>
                              </wps:spPr>
                              <wps:bodyPr/>
                            </wps:wsp>
                            <wps:wsp>
                              <wps:cNvPr id="280" name="文本框 120"/>
                              <wps:cNvSpPr txBox="1"/>
                              <wps:spPr>
                                <a:xfrm>
                                  <a:off x="8472" y="665040"/>
                                  <a:ext cx="884" cy="376"/>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7F17D47C">
                                    <w:pPr>
                                      <w:keepNext w:val="0"/>
                                      <w:keepLines w:val="0"/>
                                      <w:pageBreakBefore w:val="0"/>
                                      <w:widowControl w:val="0"/>
                                      <w:kinsoku/>
                                      <w:wordWrap/>
                                      <w:overflowPunct/>
                                      <w:topLinePunct w:val="0"/>
                                      <w:bidi w:val="0"/>
                                      <w:adjustRightInd/>
                                      <w:snapToGrid/>
                                      <w:spacing w:line="220" w:lineRule="exact"/>
                                      <w:jc w:val="center"/>
                                      <w:textAlignment w:val="auto"/>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lang w:val="en-US" w:eastAsia="zh-CN"/>
                                      </w:rPr>
                                      <w:t>鄂破机</w:t>
                                    </w:r>
                                  </w:p>
                                </w:txbxContent>
                              </wps:txbx>
                              <wps:bodyPr upright="1"/>
                            </wps:wsp>
                            <wps:wsp>
                              <wps:cNvPr id="281" name="直接连接符 121"/>
                              <wps:cNvCnPr/>
                              <wps:spPr>
                                <a:xfrm>
                                  <a:off x="9409" y="665949"/>
                                  <a:ext cx="1108" cy="9"/>
                                </a:xfrm>
                                <a:prstGeom prst="line">
                                  <a:avLst/>
                                </a:prstGeom>
                                <a:ln w="9525" cap="flat" cmpd="sng">
                                  <a:solidFill>
                                    <a:srgbClr val="000000"/>
                                  </a:solidFill>
                                  <a:prstDash val="solid"/>
                                  <a:round/>
                                  <a:headEnd type="none" w="med" len="med"/>
                                  <a:tailEnd type="arrow" w="med" len="med"/>
                                </a:ln>
                              </wps:spPr>
                              <wps:bodyPr upright="1"/>
                            </wps:wsp>
                            <wps:wsp>
                              <wps:cNvPr id="282" name="文本框 122"/>
                              <wps:cNvSpPr txBox="1"/>
                              <wps:spPr>
                                <a:xfrm>
                                  <a:off x="8507" y="665820"/>
                                  <a:ext cx="884" cy="376"/>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5CC2208A">
                                    <w:pPr>
                                      <w:keepNext w:val="0"/>
                                      <w:keepLines w:val="0"/>
                                      <w:pageBreakBefore w:val="0"/>
                                      <w:widowControl w:val="0"/>
                                      <w:kinsoku/>
                                      <w:wordWrap/>
                                      <w:overflowPunct/>
                                      <w:topLinePunct w:val="0"/>
                                      <w:bidi w:val="0"/>
                                      <w:adjustRightInd/>
                                      <w:snapToGrid/>
                                      <w:spacing w:line="220" w:lineRule="exact"/>
                                      <w:jc w:val="center"/>
                                      <w:textAlignment w:val="auto"/>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lang w:val="en-US" w:eastAsia="zh-CN"/>
                                      </w:rPr>
                                      <w:t>振动筛</w:t>
                                    </w:r>
                                  </w:p>
                                </w:txbxContent>
                              </wps:txbx>
                              <wps:bodyPr upright="1"/>
                            </wps:wsp>
                            <wps:wsp>
                              <wps:cNvPr id="283" name="文本框 129"/>
                              <wps:cNvSpPr txBox="1"/>
                              <wps:spPr>
                                <a:xfrm>
                                  <a:off x="8227" y="668901"/>
                                  <a:ext cx="1383" cy="448"/>
                                </a:xfrm>
                                <a:prstGeom prst="rect">
                                  <a:avLst/>
                                </a:prstGeom>
                                <a:noFill/>
                                <a:ln>
                                  <a:noFill/>
                                </a:ln>
                              </wps:spPr>
                              <wps:txbx>
                                <w:txbxContent>
                                  <w:p w14:paraId="678E886C">
                                    <w:pPr>
                                      <w:jc w:val="center"/>
                                      <w:rPr>
                                        <w:rFonts w:hint="default" w:ascii="Times New Roman" w:hAnsi="Times New Roman" w:eastAsia="宋体" w:cs="Times New Roman"/>
                                        <w:b/>
                                        <w:sz w:val="18"/>
                                        <w:szCs w:val="18"/>
                                        <w:lang w:val="en-US" w:eastAsia="zh-CN"/>
                                      </w:rPr>
                                    </w:pPr>
                                    <w:r>
                                      <w:rPr>
                                        <w:rFonts w:hint="eastAsia" w:ascii="Times New Roman" w:hAnsi="Times New Roman" w:eastAsia="宋体" w:cs="Times New Roman"/>
                                        <w:b/>
                                        <w:sz w:val="18"/>
                                        <w:szCs w:val="18"/>
                                        <w:lang w:val="en-US" w:eastAsia="zh-CN"/>
                                      </w:rPr>
                                      <w:t>磁性钢渣粉</w:t>
                                    </w:r>
                                  </w:p>
                                </w:txbxContent>
                              </wps:txbx>
                              <wps:bodyPr upright="1"/>
                            </wps:wsp>
                            <wps:wsp>
                              <wps:cNvPr id="284" name="直接连接符 130"/>
                              <wps:cNvCnPr/>
                              <wps:spPr>
                                <a:xfrm flipH="1">
                                  <a:off x="8926" y="665434"/>
                                  <a:ext cx="1" cy="396"/>
                                </a:xfrm>
                                <a:prstGeom prst="line">
                                  <a:avLst/>
                                </a:prstGeom>
                                <a:ln w="9525" cap="flat" cmpd="sng">
                                  <a:solidFill>
                                    <a:srgbClr val="000000"/>
                                  </a:solidFill>
                                  <a:prstDash val="solid"/>
                                  <a:round/>
                                  <a:headEnd type="none" w="med" len="med"/>
                                  <a:tailEnd type="arrow" w="med" len="med"/>
                                </a:ln>
                              </wps:spPr>
                              <wps:bodyPr upright="1"/>
                            </wps:wsp>
                            <wps:wsp>
                              <wps:cNvPr id="285" name="文本框 131"/>
                              <wps:cNvSpPr txBox="1"/>
                              <wps:spPr>
                                <a:xfrm>
                                  <a:off x="9300" y="665640"/>
                                  <a:ext cx="1323" cy="397"/>
                                </a:xfrm>
                                <a:prstGeom prst="rect">
                                  <a:avLst/>
                                </a:prstGeom>
                                <a:noFill/>
                                <a:ln>
                                  <a:noFill/>
                                </a:ln>
                              </wps:spPr>
                              <wps:txbx>
                                <w:txbxContent>
                                  <w:p w14:paraId="5D749752">
                                    <w:pPr>
                                      <w:jc w:val="center"/>
                                      <w:rPr>
                                        <w:rFonts w:hint="default" w:ascii="Times New Roman" w:hAnsi="Times New Roman" w:eastAsia="宋体" w:cs="Times New Roman"/>
                                        <w:sz w:val="18"/>
                                        <w:szCs w:val="18"/>
                                        <w:lang w:val="en-US"/>
                                      </w:rPr>
                                    </w:pPr>
                                    <w:r>
                                      <w:rPr>
                                        <w:rFonts w:hint="default" w:ascii="Times New Roman" w:hAnsi="Times New Roman" w:eastAsia="宋体" w:cs="Times New Roman"/>
                                        <w:sz w:val="18"/>
                                        <w:szCs w:val="18"/>
                                        <w:lang w:val="en-US" w:eastAsia="zh-CN"/>
                                      </w:rPr>
                                      <w:t>筛上</w:t>
                                    </w:r>
                                  </w:p>
                                </w:txbxContent>
                              </wps:txbx>
                              <wps:bodyPr upright="1"/>
                            </wps:wsp>
                            <wps:wsp>
                              <wps:cNvPr id="286" name="直接连接符 135"/>
                              <wps:cNvCnPr/>
                              <wps:spPr>
                                <a:xfrm flipH="1">
                                  <a:off x="9381" y="666073"/>
                                  <a:ext cx="1100" cy="1"/>
                                </a:xfrm>
                                <a:prstGeom prst="line">
                                  <a:avLst/>
                                </a:prstGeom>
                                <a:ln w="9525" cap="flat" cmpd="sng">
                                  <a:solidFill>
                                    <a:srgbClr val="000000"/>
                                  </a:solidFill>
                                  <a:prstDash val="solid"/>
                                  <a:round/>
                                  <a:headEnd type="none" w="med" len="med"/>
                                  <a:tailEnd type="arrow" w="med" len="med"/>
                                </a:ln>
                              </wps:spPr>
                              <wps:bodyPr upright="1"/>
                            </wps:wsp>
                            <wps:wsp>
                              <wps:cNvPr id="288" name="文本框 137"/>
                              <wps:cNvSpPr txBox="1"/>
                              <wps:spPr>
                                <a:xfrm>
                                  <a:off x="10486" y="665801"/>
                                  <a:ext cx="884" cy="376"/>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7035227B">
                                    <w:pPr>
                                      <w:keepNext w:val="0"/>
                                      <w:keepLines w:val="0"/>
                                      <w:pageBreakBefore w:val="0"/>
                                      <w:widowControl w:val="0"/>
                                      <w:kinsoku/>
                                      <w:wordWrap/>
                                      <w:overflowPunct/>
                                      <w:topLinePunct w:val="0"/>
                                      <w:bidi w:val="0"/>
                                      <w:adjustRightInd/>
                                      <w:snapToGrid/>
                                      <w:spacing w:line="220" w:lineRule="exact"/>
                                      <w:jc w:val="center"/>
                                      <w:textAlignment w:val="auto"/>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lang w:val="en-US" w:eastAsia="zh-CN"/>
                                      </w:rPr>
                                      <w:t>锤破机</w:t>
                                    </w:r>
                                  </w:p>
                                </w:txbxContent>
                              </wps:txbx>
                              <wps:bodyPr upright="1"/>
                            </wps:wsp>
                            <wps:wsp>
                              <wps:cNvPr id="289" name="直接连接符 138"/>
                              <wps:cNvCnPr/>
                              <wps:spPr>
                                <a:xfrm flipH="1">
                                  <a:off x="8929" y="666204"/>
                                  <a:ext cx="1" cy="396"/>
                                </a:xfrm>
                                <a:prstGeom prst="line">
                                  <a:avLst/>
                                </a:prstGeom>
                                <a:ln w="9525" cap="flat" cmpd="sng">
                                  <a:solidFill>
                                    <a:srgbClr val="000000"/>
                                  </a:solidFill>
                                  <a:prstDash val="solid"/>
                                  <a:round/>
                                  <a:headEnd type="none" w="med" len="med"/>
                                  <a:tailEnd type="arrow" w="med" len="med"/>
                                </a:ln>
                              </wps:spPr>
                              <wps:bodyPr upright="1"/>
                            </wps:wsp>
                            <wps:wsp>
                              <wps:cNvPr id="290" name="文本框 139"/>
                              <wps:cNvSpPr txBox="1"/>
                              <wps:spPr>
                                <a:xfrm>
                                  <a:off x="8500" y="668158"/>
                                  <a:ext cx="884" cy="376"/>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5EF86813">
                                    <w:pPr>
                                      <w:keepNext w:val="0"/>
                                      <w:keepLines w:val="0"/>
                                      <w:pageBreakBefore w:val="0"/>
                                      <w:widowControl w:val="0"/>
                                      <w:kinsoku/>
                                      <w:wordWrap/>
                                      <w:overflowPunct/>
                                      <w:topLinePunct w:val="0"/>
                                      <w:bidi w:val="0"/>
                                      <w:adjustRightInd/>
                                      <w:snapToGrid/>
                                      <w:spacing w:line="220" w:lineRule="exact"/>
                                      <w:jc w:val="center"/>
                                      <w:textAlignment w:val="auto"/>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lang w:val="en-US" w:eastAsia="zh-CN"/>
                                      </w:rPr>
                                      <w:t>过滤机</w:t>
                                    </w:r>
                                  </w:p>
                                </w:txbxContent>
                              </wps:txbx>
                              <wps:bodyPr upright="1"/>
                            </wps:wsp>
                            <wps:wsp>
                              <wps:cNvPr id="291" name="文本框 140"/>
                              <wps:cNvSpPr txBox="1"/>
                              <wps:spPr>
                                <a:xfrm>
                                  <a:off x="8377" y="666186"/>
                                  <a:ext cx="672" cy="397"/>
                                </a:xfrm>
                                <a:prstGeom prst="rect">
                                  <a:avLst/>
                                </a:prstGeom>
                                <a:noFill/>
                                <a:ln>
                                  <a:noFill/>
                                </a:ln>
                              </wps:spPr>
                              <wps:txbx>
                                <w:txbxContent>
                                  <w:p w14:paraId="1549BC7E">
                                    <w:pPr>
                                      <w:jc w:val="center"/>
                                      <w:rPr>
                                        <w:rFonts w:hint="default" w:ascii="Times New Roman" w:hAnsi="Times New Roman" w:eastAsia="宋体" w:cs="Times New Roman"/>
                                        <w:sz w:val="18"/>
                                        <w:szCs w:val="18"/>
                                        <w:lang w:val="en-US"/>
                                      </w:rPr>
                                    </w:pPr>
                                    <w:r>
                                      <w:rPr>
                                        <w:rFonts w:hint="default" w:ascii="Times New Roman" w:hAnsi="Times New Roman" w:eastAsia="宋体" w:cs="Times New Roman"/>
                                        <w:sz w:val="18"/>
                                        <w:szCs w:val="18"/>
                                        <w:lang w:val="en-US" w:eastAsia="zh-CN"/>
                                      </w:rPr>
                                      <w:t>筛下</w:t>
                                    </w:r>
                                  </w:p>
                                </w:txbxContent>
                              </wps:txbx>
                              <wps:bodyPr upright="1"/>
                            </wps:wsp>
                            <wps:wsp>
                              <wps:cNvPr id="292" name="文本框 146"/>
                              <wps:cNvSpPr txBox="1"/>
                              <wps:spPr>
                                <a:xfrm>
                                  <a:off x="8499" y="666590"/>
                                  <a:ext cx="884" cy="376"/>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34559D12">
                                    <w:pPr>
                                      <w:keepNext w:val="0"/>
                                      <w:keepLines w:val="0"/>
                                      <w:pageBreakBefore w:val="0"/>
                                      <w:widowControl w:val="0"/>
                                      <w:kinsoku/>
                                      <w:wordWrap/>
                                      <w:overflowPunct/>
                                      <w:topLinePunct w:val="0"/>
                                      <w:bidi w:val="0"/>
                                      <w:adjustRightInd/>
                                      <w:snapToGrid/>
                                      <w:spacing w:line="220" w:lineRule="exact"/>
                                      <w:jc w:val="center"/>
                                      <w:textAlignment w:val="auto"/>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lang w:val="en-US" w:eastAsia="zh-CN"/>
                                      </w:rPr>
                                      <w:t>球磨机</w:t>
                                    </w:r>
                                  </w:p>
                                </w:txbxContent>
                              </wps:txbx>
                              <wps:bodyPr upright="1"/>
                            </wps:wsp>
                            <wps:wsp>
                              <wps:cNvPr id="293" name="直接连接符 151"/>
                              <wps:cNvCnPr/>
                              <wps:spPr>
                                <a:xfrm flipH="1">
                                  <a:off x="8935" y="668539"/>
                                  <a:ext cx="1" cy="396"/>
                                </a:xfrm>
                                <a:prstGeom prst="line">
                                  <a:avLst/>
                                </a:prstGeom>
                                <a:ln w="9525" cap="flat" cmpd="sng">
                                  <a:solidFill>
                                    <a:srgbClr val="000000"/>
                                  </a:solidFill>
                                  <a:prstDash val="solid"/>
                                  <a:round/>
                                  <a:headEnd type="none" w="med" len="med"/>
                                  <a:tailEnd type="arrow" w="med" len="med"/>
                                </a:ln>
                              </wps:spPr>
                              <wps:bodyPr upright="1"/>
                            </wps:wsp>
                            <wps:wsp>
                              <wps:cNvPr id="294" name="直接连接符 152"/>
                              <wps:cNvCnPr/>
                              <wps:spPr>
                                <a:xfrm flipH="1">
                                  <a:off x="8916" y="666973"/>
                                  <a:ext cx="1" cy="396"/>
                                </a:xfrm>
                                <a:prstGeom prst="line">
                                  <a:avLst/>
                                </a:prstGeom>
                                <a:ln w="9525" cap="flat" cmpd="sng">
                                  <a:solidFill>
                                    <a:srgbClr val="000000"/>
                                  </a:solidFill>
                                  <a:prstDash val="solid"/>
                                  <a:round/>
                                  <a:headEnd type="none" w="med" len="med"/>
                                  <a:tailEnd type="arrow" w="med" len="med"/>
                                </a:ln>
                              </wps:spPr>
                              <wps:bodyPr upright="1"/>
                            </wps:wsp>
                            <wps:wsp>
                              <wps:cNvPr id="295" name="文本框 153"/>
                              <wps:cNvSpPr txBox="1"/>
                              <wps:spPr>
                                <a:xfrm>
                                  <a:off x="8501" y="667376"/>
                                  <a:ext cx="884" cy="376"/>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074988E9">
                                    <w:pPr>
                                      <w:keepNext w:val="0"/>
                                      <w:keepLines w:val="0"/>
                                      <w:pageBreakBefore w:val="0"/>
                                      <w:widowControl w:val="0"/>
                                      <w:kinsoku/>
                                      <w:wordWrap/>
                                      <w:overflowPunct/>
                                      <w:topLinePunct w:val="0"/>
                                      <w:bidi w:val="0"/>
                                      <w:adjustRightInd/>
                                      <w:snapToGrid/>
                                      <w:spacing w:line="220" w:lineRule="exact"/>
                                      <w:jc w:val="center"/>
                                      <w:textAlignment w:val="auto"/>
                                      <w:rPr>
                                        <w:rFonts w:hint="default" w:ascii="Times New Roman" w:hAnsi="Times New Roman" w:eastAsia="宋体" w:cs="Times New Roman"/>
                                        <w:sz w:val="18"/>
                                        <w:szCs w:val="18"/>
                                        <w:highlight w:val="none"/>
                                        <w:lang w:val="en-US" w:eastAsia="zh-CN"/>
                                      </w:rPr>
                                    </w:pPr>
                                    <w:r>
                                      <w:rPr>
                                        <w:rFonts w:hint="default" w:ascii="Times New Roman" w:hAnsi="Times New Roman" w:eastAsia="宋体" w:cs="Times New Roman"/>
                                        <w:sz w:val="18"/>
                                        <w:szCs w:val="18"/>
                                        <w:highlight w:val="none"/>
                                        <w:lang w:val="en-US" w:eastAsia="zh-CN"/>
                                      </w:rPr>
                                      <w:t>磁选机</w:t>
                                    </w:r>
                                  </w:p>
                                </w:txbxContent>
                              </wps:txbx>
                              <wps:bodyPr upright="1"/>
                            </wps:wsp>
                            <wps:wsp>
                              <wps:cNvPr id="296" name="直接连接符 156"/>
                              <wps:cNvCnPr/>
                              <wps:spPr>
                                <a:xfrm flipH="1">
                                  <a:off x="8931" y="667758"/>
                                  <a:ext cx="1" cy="396"/>
                                </a:xfrm>
                                <a:prstGeom prst="line">
                                  <a:avLst/>
                                </a:prstGeom>
                                <a:ln w="9525" cap="flat" cmpd="sng">
                                  <a:solidFill>
                                    <a:srgbClr val="000000"/>
                                  </a:solidFill>
                                  <a:prstDash val="solid"/>
                                  <a:round/>
                                  <a:headEnd type="none" w="med" len="med"/>
                                  <a:tailEnd type="arrow" w="med" len="med"/>
                                </a:ln>
                              </wps:spPr>
                              <wps:bodyPr upright="1"/>
                            </wps:wsp>
                            <wps:wsp>
                              <wps:cNvPr id="297" name="文本框 157"/>
                              <wps:cNvSpPr txBox="1"/>
                              <wps:spPr>
                                <a:xfrm>
                                  <a:off x="10267" y="668100"/>
                                  <a:ext cx="1383" cy="448"/>
                                </a:xfrm>
                                <a:prstGeom prst="rect">
                                  <a:avLst/>
                                </a:prstGeom>
                                <a:noFill/>
                                <a:ln>
                                  <a:noFill/>
                                </a:ln>
                              </wps:spPr>
                              <wps:txbx>
                                <w:txbxContent>
                                  <w:p w14:paraId="4D78504A">
                                    <w:pPr>
                                      <w:jc w:val="center"/>
                                      <w:rPr>
                                        <w:rFonts w:hint="default" w:ascii="Times New Roman" w:hAnsi="Times New Roman" w:eastAsia="宋体" w:cs="Times New Roman"/>
                                        <w:b/>
                                        <w:sz w:val="18"/>
                                        <w:szCs w:val="18"/>
                                        <w:lang w:val="en-US" w:eastAsia="zh-CN"/>
                                      </w:rPr>
                                    </w:pPr>
                                    <w:r>
                                      <w:rPr>
                                        <w:rFonts w:hint="eastAsia" w:ascii="Times New Roman" w:hAnsi="Times New Roman" w:eastAsia="宋体" w:cs="Times New Roman"/>
                                        <w:b/>
                                        <w:sz w:val="18"/>
                                        <w:szCs w:val="18"/>
                                        <w:lang w:val="en-US" w:eastAsia="zh-CN"/>
                                      </w:rPr>
                                      <w:t>非磁性</w:t>
                                    </w:r>
                                    <w:r>
                                      <w:rPr>
                                        <w:rFonts w:hint="default" w:ascii="Times New Roman" w:hAnsi="Times New Roman" w:eastAsia="宋体" w:cs="Times New Roman"/>
                                        <w:b/>
                                        <w:sz w:val="18"/>
                                        <w:szCs w:val="18"/>
                                        <w:lang w:val="en-US" w:eastAsia="zh-CN"/>
                                      </w:rPr>
                                      <w:t>钢渣粉</w:t>
                                    </w:r>
                                  </w:p>
                                </w:txbxContent>
                              </wps:txbx>
                              <wps:bodyPr upright="1"/>
                            </wps:wsp>
                            <wps:wsp>
                              <wps:cNvPr id="298" name="文本框 158"/>
                              <wps:cNvSpPr txBox="1"/>
                              <wps:spPr>
                                <a:xfrm>
                                  <a:off x="8353" y="667740"/>
                                  <a:ext cx="672" cy="397"/>
                                </a:xfrm>
                                <a:prstGeom prst="rect">
                                  <a:avLst/>
                                </a:prstGeom>
                                <a:noFill/>
                                <a:ln>
                                  <a:noFill/>
                                </a:ln>
                              </wps:spPr>
                              <wps:txbx>
                                <w:txbxContent>
                                  <w:p w14:paraId="2D611D51">
                                    <w:pPr>
                                      <w:jc w:val="center"/>
                                      <w:rPr>
                                        <w:rFonts w:hint="default" w:ascii="Times New Roman" w:hAnsi="Times New Roman" w:eastAsia="宋体" w:cs="Times New Roman"/>
                                        <w:sz w:val="18"/>
                                        <w:szCs w:val="18"/>
                                        <w:lang w:val="en-US"/>
                                      </w:rPr>
                                    </w:pPr>
                                    <w:r>
                                      <w:rPr>
                                        <w:rFonts w:hint="default" w:ascii="Times New Roman" w:hAnsi="Times New Roman" w:eastAsia="宋体" w:cs="Times New Roman"/>
                                        <w:sz w:val="18"/>
                                        <w:szCs w:val="18"/>
                                        <w:lang w:val="en-US" w:eastAsia="zh-CN"/>
                                      </w:rPr>
                                      <w:t>有磁</w:t>
                                    </w:r>
                                  </w:p>
                                </w:txbxContent>
                              </wps:txbx>
                              <wps:bodyPr upright="1"/>
                            </wps:wsp>
                            <wps:wsp>
                              <wps:cNvPr id="299" name="直接箭头连接符 180"/>
                              <wps:cNvCnPr>
                                <a:endCxn id="183" idx="1"/>
                              </wps:cNvCnPr>
                              <wps:spPr>
                                <a:xfrm flipV="1">
                                  <a:off x="9399" y="667552"/>
                                  <a:ext cx="1097" cy="1"/>
                                </a:xfrm>
                                <a:prstGeom prst="straightConnector1">
                                  <a:avLst/>
                                </a:prstGeom>
                                <a:ln w="9525" cap="flat" cmpd="sng">
                                  <a:solidFill>
                                    <a:srgbClr val="000000"/>
                                  </a:solidFill>
                                  <a:prstDash val="solid"/>
                                  <a:round/>
                                  <a:headEnd type="none" w="med" len="med"/>
                                  <a:tailEnd type="arrow" w="med" len="med"/>
                                </a:ln>
                              </wps:spPr>
                              <wps:bodyPr/>
                            </wps:wsp>
                            <wps:wsp>
                              <wps:cNvPr id="300" name="文本框 182"/>
                              <wps:cNvSpPr txBox="1"/>
                              <wps:spPr>
                                <a:xfrm>
                                  <a:off x="9463" y="667269"/>
                                  <a:ext cx="840" cy="397"/>
                                </a:xfrm>
                                <a:prstGeom prst="rect">
                                  <a:avLst/>
                                </a:prstGeom>
                                <a:noFill/>
                                <a:ln>
                                  <a:noFill/>
                                </a:ln>
                              </wps:spPr>
                              <wps:txbx>
                                <w:txbxContent>
                                  <w:p w14:paraId="2D73B8E9">
                                    <w:pPr>
                                      <w:jc w:val="center"/>
                                      <w:rPr>
                                        <w:rFonts w:hint="default" w:ascii="Times New Roman" w:hAnsi="Times New Roman" w:eastAsia="宋体" w:cs="Times New Roman"/>
                                        <w:sz w:val="18"/>
                                        <w:szCs w:val="18"/>
                                        <w:lang w:val="en-US"/>
                                      </w:rPr>
                                    </w:pPr>
                                    <w:r>
                                      <w:rPr>
                                        <w:rFonts w:hint="eastAsia" w:ascii="Times New Roman" w:hAnsi="Times New Roman" w:eastAsia="宋体" w:cs="Times New Roman"/>
                                        <w:sz w:val="18"/>
                                        <w:szCs w:val="18"/>
                                        <w:lang w:val="en-US" w:eastAsia="zh-CN"/>
                                      </w:rPr>
                                      <w:t>非</w:t>
                                    </w:r>
                                    <w:r>
                                      <w:rPr>
                                        <w:rFonts w:hint="default" w:ascii="Times New Roman" w:hAnsi="Times New Roman" w:eastAsia="宋体" w:cs="Times New Roman"/>
                                        <w:sz w:val="18"/>
                                        <w:szCs w:val="18"/>
                                        <w:lang w:val="en-US" w:eastAsia="zh-CN"/>
                                      </w:rPr>
                                      <w:t>磁</w:t>
                                    </w:r>
                                    <w:r>
                                      <w:rPr>
                                        <w:rFonts w:hint="eastAsia" w:ascii="Times New Roman" w:hAnsi="Times New Roman" w:eastAsia="宋体" w:cs="Times New Roman"/>
                                        <w:sz w:val="18"/>
                                        <w:szCs w:val="18"/>
                                        <w:lang w:val="en-US" w:eastAsia="zh-CN"/>
                                      </w:rPr>
                                      <w:t>性</w:t>
                                    </w:r>
                                  </w:p>
                                </w:txbxContent>
                              </wps:txbx>
                              <wps:bodyPr upright="1"/>
                            </wps:wsp>
                            <wps:wsp>
                              <wps:cNvPr id="301" name="文本框 183"/>
                              <wps:cNvSpPr txBox="1"/>
                              <wps:spPr>
                                <a:xfrm>
                                  <a:off x="10496" y="667364"/>
                                  <a:ext cx="884" cy="376"/>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5EE78385">
                                    <w:pPr>
                                      <w:keepNext w:val="0"/>
                                      <w:keepLines w:val="0"/>
                                      <w:pageBreakBefore w:val="0"/>
                                      <w:widowControl w:val="0"/>
                                      <w:kinsoku/>
                                      <w:wordWrap/>
                                      <w:overflowPunct/>
                                      <w:topLinePunct w:val="0"/>
                                      <w:bidi w:val="0"/>
                                      <w:adjustRightInd/>
                                      <w:snapToGrid/>
                                      <w:spacing w:line="220" w:lineRule="exact"/>
                                      <w:jc w:val="center"/>
                                      <w:textAlignment w:val="auto"/>
                                      <w:rPr>
                                        <w:rFonts w:hint="default" w:ascii="Times New Roman" w:hAnsi="Times New Roman" w:eastAsia="宋体" w:cs="Times New Roman"/>
                                        <w:sz w:val="18"/>
                                        <w:szCs w:val="18"/>
                                        <w:highlight w:val="none"/>
                                        <w:lang w:val="en-US" w:eastAsia="zh-CN"/>
                                      </w:rPr>
                                    </w:pPr>
                                    <w:r>
                                      <w:rPr>
                                        <w:rFonts w:hint="default" w:ascii="Times New Roman" w:hAnsi="Times New Roman" w:eastAsia="宋体" w:cs="Times New Roman"/>
                                        <w:sz w:val="18"/>
                                        <w:szCs w:val="18"/>
                                        <w:highlight w:val="none"/>
                                        <w:lang w:val="en-US" w:eastAsia="zh-CN"/>
                                      </w:rPr>
                                      <w:t>脱水筛</w:t>
                                    </w:r>
                                  </w:p>
                                </w:txbxContent>
                              </wps:txbx>
                              <wps:bodyPr upright="1"/>
                            </wps:wsp>
                            <wps:wsp>
                              <wps:cNvPr id="302" name="直接连接符 184"/>
                              <wps:cNvCnPr/>
                              <wps:spPr>
                                <a:xfrm flipH="1">
                                  <a:off x="10922" y="667753"/>
                                  <a:ext cx="1" cy="396"/>
                                </a:xfrm>
                                <a:prstGeom prst="line">
                                  <a:avLst/>
                                </a:prstGeom>
                                <a:ln w="9525" cap="flat" cmpd="sng">
                                  <a:solidFill>
                                    <a:srgbClr val="000000"/>
                                  </a:solidFill>
                                  <a:prstDash val="solid"/>
                                  <a:round/>
                                  <a:headEnd type="none" w="med" len="med"/>
                                  <a:tailEnd type="arrow" w="med" len="med"/>
                                </a:ln>
                              </wps:spPr>
                              <wps:bodyPr upright="1"/>
                            </wps:wsp>
                            <wps:wsp>
                              <wps:cNvPr id="303" name="矩形 49"/>
                              <wps:cNvSpPr/>
                              <wps:spPr>
                                <a:xfrm>
                                  <a:off x="8636" y="664581"/>
                                  <a:ext cx="1144" cy="336"/>
                                </a:xfrm>
                                <a:prstGeom prst="rect">
                                  <a:avLst/>
                                </a:prstGeom>
                                <a:noFill/>
                                <a:ln>
                                  <a:noFill/>
                                </a:ln>
                              </wps:spPr>
                              <wps:txbx>
                                <w:txbxContent>
                                  <w:p w14:paraId="49C659E0">
                                    <w:pPr>
                                      <w:spacing w:line="0" w:lineRule="atLeast"/>
                                      <w:jc w:val="center"/>
                                      <w:rPr>
                                        <w:rFonts w:hint="eastAsia" w:eastAsia="宋体"/>
                                        <w:sz w:val="15"/>
                                        <w:szCs w:val="15"/>
                                        <w:lang w:val="en-US" w:eastAsia="zh-CN"/>
                                      </w:rPr>
                                    </w:pPr>
                                    <w:r>
                                      <w:rPr>
                                        <w:rFonts w:hint="eastAsia"/>
                                        <w:sz w:val="15"/>
                                        <w:szCs w:val="15"/>
                                      </w:rPr>
                                      <w:t>G、N</w:t>
                                    </w:r>
                                  </w:p>
                                </w:txbxContent>
                              </wps:txbx>
                              <wps:bodyPr wrap="square" upright="1">
                                <a:noAutofit/>
                              </wps:bodyPr>
                            </wps:wsp>
                            <wps:wsp>
                              <wps:cNvPr id="304" name="直接箭头连接符 50"/>
                              <wps:cNvCnPr/>
                              <wps:spPr>
                                <a:xfrm flipV="1">
                                  <a:off x="9189" y="664836"/>
                                  <a:ext cx="0" cy="200"/>
                                </a:xfrm>
                                <a:prstGeom prst="straightConnector1">
                                  <a:avLst/>
                                </a:prstGeom>
                                <a:ln w="9525" cap="flat" cmpd="sng">
                                  <a:solidFill>
                                    <a:srgbClr val="000000"/>
                                  </a:solidFill>
                                  <a:prstDash val="dash"/>
                                  <a:headEnd type="none" w="med" len="med"/>
                                  <a:tailEnd type="arrow" w="sm" len="sm"/>
                                </a:ln>
                              </wps:spPr>
                              <wps:bodyPr/>
                            </wps:wsp>
                            <wpg:grpSp>
                              <wpg:cNvPr id="305" name="组合 189"/>
                              <wpg:cNvGrpSpPr/>
                              <wpg:grpSpPr>
                                <a:xfrm>
                                  <a:off x="7073" y="663802"/>
                                  <a:ext cx="682" cy="443"/>
                                  <a:chOff x="0" y="0"/>
                                  <a:chExt cx="433449" cy="281379"/>
                                </a:xfrm>
                              </wpg:grpSpPr>
                              <wps:wsp>
                                <wps:cNvPr id="306" name="矩形 49"/>
                                <wps:cNvSpPr/>
                                <wps:spPr>
                                  <a:xfrm>
                                    <a:off x="0" y="0"/>
                                    <a:ext cx="433449" cy="213327"/>
                                  </a:xfrm>
                                  <a:prstGeom prst="rect">
                                    <a:avLst/>
                                  </a:prstGeom>
                                  <a:noFill/>
                                  <a:ln>
                                    <a:noFill/>
                                  </a:ln>
                                </wps:spPr>
                                <wps:txbx>
                                  <w:txbxContent>
                                    <w:p w14:paraId="5C2E54BB">
                                      <w:pPr>
                                        <w:spacing w:line="0" w:lineRule="atLeast"/>
                                        <w:jc w:val="center"/>
                                        <w:rPr>
                                          <w:rFonts w:hint="eastAsia" w:eastAsia="宋体"/>
                                          <w:sz w:val="15"/>
                                          <w:szCs w:val="15"/>
                                          <w:lang w:val="en-US" w:eastAsia="zh-CN"/>
                                        </w:rPr>
                                      </w:pPr>
                                      <w:r>
                                        <w:rPr>
                                          <w:rFonts w:hint="eastAsia"/>
                                          <w:sz w:val="15"/>
                                          <w:szCs w:val="15"/>
                                        </w:rPr>
                                        <w:t>G</w:t>
                                      </w:r>
                                    </w:p>
                                  </w:txbxContent>
                                </wps:txbx>
                                <wps:bodyPr wrap="square" upright="1">
                                  <a:noAutofit/>
                                </wps:bodyPr>
                              </wps:wsp>
                              <wps:wsp>
                                <wps:cNvPr id="307" name="直接箭头连接符 50"/>
                                <wps:cNvCnPr/>
                                <wps:spPr>
                                  <a:xfrm flipV="1">
                                    <a:off x="219693" y="154379"/>
                                    <a:ext cx="0" cy="127000"/>
                                  </a:xfrm>
                                  <a:prstGeom prst="straightConnector1">
                                    <a:avLst/>
                                  </a:prstGeom>
                                  <a:ln w="9525" cap="flat" cmpd="sng">
                                    <a:solidFill>
                                      <a:srgbClr val="000000"/>
                                    </a:solidFill>
                                    <a:prstDash val="dash"/>
                                    <a:headEnd type="none" w="med" len="med"/>
                                    <a:tailEnd type="arrow" w="sm" len="sm"/>
                                  </a:ln>
                                </wps:spPr>
                                <wps:bodyPr/>
                              </wps:wsp>
                            </wpg:grpSp>
                            <wpg:grpSp>
                              <wpg:cNvPr id="308" name="组合 318"/>
                              <wpg:cNvGrpSpPr/>
                              <wpg:grpSpPr>
                                <a:xfrm>
                                  <a:off x="8594" y="663799"/>
                                  <a:ext cx="682" cy="443"/>
                                  <a:chOff x="0" y="0"/>
                                  <a:chExt cx="433449" cy="281379"/>
                                </a:xfrm>
                              </wpg:grpSpPr>
                              <wps:wsp>
                                <wps:cNvPr id="309" name="矩形 49"/>
                                <wps:cNvSpPr/>
                                <wps:spPr>
                                  <a:xfrm>
                                    <a:off x="0" y="0"/>
                                    <a:ext cx="433449" cy="213327"/>
                                  </a:xfrm>
                                  <a:prstGeom prst="rect">
                                    <a:avLst/>
                                  </a:prstGeom>
                                  <a:noFill/>
                                  <a:ln>
                                    <a:noFill/>
                                  </a:ln>
                                </wps:spPr>
                                <wps:txbx>
                                  <w:txbxContent>
                                    <w:p w14:paraId="2B9005EB">
                                      <w:pPr>
                                        <w:spacing w:line="0" w:lineRule="atLeast"/>
                                        <w:jc w:val="center"/>
                                        <w:rPr>
                                          <w:rFonts w:hint="eastAsia" w:eastAsia="宋体"/>
                                          <w:sz w:val="15"/>
                                          <w:szCs w:val="15"/>
                                          <w:lang w:val="en-US" w:eastAsia="zh-CN"/>
                                        </w:rPr>
                                      </w:pPr>
                                      <w:r>
                                        <w:rPr>
                                          <w:rFonts w:hint="eastAsia"/>
                                          <w:sz w:val="15"/>
                                          <w:szCs w:val="15"/>
                                        </w:rPr>
                                        <w:t>G</w:t>
                                      </w:r>
                                    </w:p>
                                  </w:txbxContent>
                                </wps:txbx>
                                <wps:bodyPr wrap="square" upright="1">
                                  <a:noAutofit/>
                                </wps:bodyPr>
                              </wps:wsp>
                              <wps:wsp>
                                <wps:cNvPr id="310" name="直接箭头连接符 50"/>
                                <wps:cNvCnPr/>
                                <wps:spPr>
                                  <a:xfrm flipV="1">
                                    <a:off x="219693" y="154379"/>
                                    <a:ext cx="0" cy="127000"/>
                                  </a:xfrm>
                                  <a:prstGeom prst="straightConnector1">
                                    <a:avLst/>
                                  </a:prstGeom>
                                  <a:ln w="9525" cap="flat" cmpd="sng">
                                    <a:solidFill>
                                      <a:srgbClr val="000000"/>
                                    </a:solidFill>
                                    <a:prstDash val="dash"/>
                                    <a:headEnd type="none" w="med" len="med"/>
                                    <a:tailEnd type="arrow" w="sm" len="sm"/>
                                  </a:ln>
                                </wps:spPr>
                                <wps:bodyPr/>
                              </wps:wsp>
                            </wpg:grpSp>
                            <wps:wsp>
                              <wps:cNvPr id="311" name="直接箭头连接符 50"/>
                              <wps:cNvCnPr/>
                              <wps:spPr>
                                <a:xfrm flipV="1">
                                  <a:off x="9208" y="665611"/>
                                  <a:ext cx="0" cy="200"/>
                                </a:xfrm>
                                <a:prstGeom prst="straightConnector1">
                                  <a:avLst/>
                                </a:prstGeom>
                                <a:ln w="9525" cap="flat" cmpd="sng">
                                  <a:solidFill>
                                    <a:srgbClr val="000000"/>
                                  </a:solidFill>
                                  <a:prstDash val="dash"/>
                                  <a:headEnd type="none" w="med" len="med"/>
                                  <a:tailEnd type="arrow" w="sm" len="sm"/>
                                </a:ln>
                              </wps:spPr>
                              <wps:bodyPr/>
                            </wps:wsp>
                            <wps:wsp>
                              <wps:cNvPr id="312" name="矩形 49"/>
                              <wps:cNvSpPr/>
                              <wps:spPr>
                                <a:xfrm>
                                  <a:off x="8651" y="665363"/>
                                  <a:ext cx="1144" cy="336"/>
                                </a:xfrm>
                                <a:prstGeom prst="rect">
                                  <a:avLst/>
                                </a:prstGeom>
                                <a:noFill/>
                                <a:ln>
                                  <a:noFill/>
                                </a:ln>
                              </wps:spPr>
                              <wps:txbx>
                                <w:txbxContent>
                                  <w:p w14:paraId="742FF7FB">
                                    <w:pPr>
                                      <w:spacing w:line="0" w:lineRule="atLeast"/>
                                      <w:jc w:val="center"/>
                                      <w:rPr>
                                        <w:rFonts w:hint="eastAsia" w:eastAsia="宋体"/>
                                        <w:sz w:val="15"/>
                                        <w:szCs w:val="15"/>
                                        <w:lang w:val="en-US" w:eastAsia="zh-CN"/>
                                      </w:rPr>
                                    </w:pPr>
                                    <w:r>
                                      <w:rPr>
                                        <w:rFonts w:hint="eastAsia"/>
                                        <w:sz w:val="15"/>
                                        <w:szCs w:val="15"/>
                                      </w:rPr>
                                      <w:t>G、N</w:t>
                                    </w:r>
                                  </w:p>
                                </w:txbxContent>
                              </wps:txbx>
                              <wps:bodyPr wrap="square" upright="1">
                                <a:noAutofit/>
                              </wps:bodyPr>
                            </wps:wsp>
                            <wps:wsp>
                              <wps:cNvPr id="313" name="直接箭头连接符 50"/>
                              <wps:cNvCnPr/>
                              <wps:spPr>
                                <a:xfrm flipV="1">
                                  <a:off x="10927" y="665599"/>
                                  <a:ext cx="0" cy="200"/>
                                </a:xfrm>
                                <a:prstGeom prst="straightConnector1">
                                  <a:avLst/>
                                </a:prstGeom>
                                <a:ln w="9525" cap="flat" cmpd="sng">
                                  <a:solidFill>
                                    <a:srgbClr val="000000"/>
                                  </a:solidFill>
                                  <a:prstDash val="dash"/>
                                  <a:headEnd type="none" w="med" len="med"/>
                                  <a:tailEnd type="arrow" w="sm" len="sm"/>
                                </a:ln>
                              </wps:spPr>
                              <wps:bodyPr/>
                            </wps:wsp>
                            <wps:wsp>
                              <wps:cNvPr id="314" name="直接箭头连接符 50"/>
                              <wps:cNvCnPr/>
                              <wps:spPr>
                                <a:xfrm flipV="1">
                                  <a:off x="10915" y="667150"/>
                                  <a:ext cx="0" cy="200"/>
                                </a:xfrm>
                                <a:prstGeom prst="straightConnector1">
                                  <a:avLst/>
                                </a:prstGeom>
                                <a:ln w="9525" cap="flat" cmpd="sng">
                                  <a:solidFill>
                                    <a:srgbClr val="000000"/>
                                  </a:solidFill>
                                  <a:prstDash val="dash"/>
                                  <a:headEnd type="none" w="med" len="med"/>
                                  <a:tailEnd type="arrow" w="sm" len="sm"/>
                                </a:ln>
                              </wps:spPr>
                              <wps:bodyPr/>
                            </wps:wsp>
                            <wps:wsp>
                              <wps:cNvPr id="315" name="直接箭头连接符 50"/>
                              <wps:cNvCnPr/>
                              <wps:spPr>
                                <a:xfrm flipV="1">
                                  <a:off x="9172" y="667181"/>
                                  <a:ext cx="0" cy="200"/>
                                </a:xfrm>
                                <a:prstGeom prst="straightConnector1">
                                  <a:avLst/>
                                </a:prstGeom>
                                <a:ln w="9525" cap="flat" cmpd="sng">
                                  <a:solidFill>
                                    <a:srgbClr val="000000"/>
                                  </a:solidFill>
                                  <a:prstDash val="dash"/>
                                  <a:headEnd type="none" w="med" len="med"/>
                                  <a:tailEnd type="arrow" w="sm" len="sm"/>
                                </a:ln>
                              </wps:spPr>
                              <wps:bodyPr/>
                            </wps:wsp>
                            <wps:wsp>
                              <wps:cNvPr id="316" name="直接箭头连接符 50"/>
                              <wps:cNvCnPr/>
                              <wps:spPr>
                                <a:xfrm flipV="1">
                                  <a:off x="9193" y="667977"/>
                                  <a:ext cx="0" cy="200"/>
                                </a:xfrm>
                                <a:prstGeom prst="straightConnector1">
                                  <a:avLst/>
                                </a:prstGeom>
                                <a:ln w="9525" cap="flat" cmpd="sng">
                                  <a:solidFill>
                                    <a:srgbClr val="000000"/>
                                  </a:solidFill>
                                  <a:prstDash val="dash"/>
                                  <a:headEnd type="none" w="med" len="med"/>
                                  <a:tailEnd type="arrow" w="sm" len="sm"/>
                                </a:ln>
                              </wps:spPr>
                              <wps:bodyPr/>
                            </wps:wsp>
                            <wps:wsp>
                              <wps:cNvPr id="317" name="直接箭头连接符 50"/>
                              <wps:cNvCnPr/>
                              <wps:spPr>
                                <a:xfrm flipV="1">
                                  <a:off x="9192" y="666404"/>
                                  <a:ext cx="0" cy="200"/>
                                </a:xfrm>
                                <a:prstGeom prst="straightConnector1">
                                  <a:avLst/>
                                </a:prstGeom>
                                <a:ln w="9525" cap="flat" cmpd="sng">
                                  <a:solidFill>
                                    <a:srgbClr val="000000"/>
                                  </a:solidFill>
                                  <a:prstDash val="dash"/>
                                  <a:headEnd type="none" w="med" len="med"/>
                                  <a:tailEnd type="arrow" w="sm" len="sm"/>
                                </a:ln>
                              </wps:spPr>
                              <wps:bodyPr/>
                            </wps:wsp>
                            <wps:wsp>
                              <wps:cNvPr id="334" name="矩形 49"/>
                              <wps:cNvSpPr/>
                              <wps:spPr>
                                <a:xfrm>
                                  <a:off x="8675" y="666150"/>
                                  <a:ext cx="1144" cy="336"/>
                                </a:xfrm>
                                <a:prstGeom prst="rect">
                                  <a:avLst/>
                                </a:prstGeom>
                                <a:noFill/>
                                <a:ln>
                                  <a:noFill/>
                                </a:ln>
                              </wps:spPr>
                              <wps:txbx>
                                <w:txbxContent>
                                  <w:p w14:paraId="7C887DF6">
                                    <w:pPr>
                                      <w:spacing w:line="0" w:lineRule="atLeast"/>
                                      <w:jc w:val="center"/>
                                      <w:rPr>
                                        <w:rFonts w:hint="default" w:eastAsia="宋体"/>
                                        <w:sz w:val="15"/>
                                        <w:szCs w:val="15"/>
                                        <w:lang w:val="en-US" w:eastAsia="zh-CN"/>
                                      </w:rPr>
                                    </w:pPr>
                                    <w:r>
                                      <w:rPr>
                                        <w:rFonts w:hint="eastAsia"/>
                                        <w:sz w:val="15"/>
                                        <w:szCs w:val="15"/>
                                      </w:rPr>
                                      <w:t>N</w:t>
                                    </w:r>
                                    <w:r>
                                      <w:rPr>
                                        <w:rFonts w:hint="eastAsia"/>
                                        <w:sz w:val="15"/>
                                        <w:szCs w:val="15"/>
                                        <w:lang w:val="en-US" w:eastAsia="zh-CN"/>
                                      </w:rPr>
                                      <w:t>、S</w:t>
                                    </w:r>
                                  </w:p>
                                </w:txbxContent>
                              </wps:txbx>
                              <wps:bodyPr wrap="square" upright="1">
                                <a:noAutofit/>
                              </wps:bodyPr>
                            </wps:wsp>
                            <wps:wsp>
                              <wps:cNvPr id="335" name="矩形 49"/>
                              <wps:cNvSpPr/>
                              <wps:spPr>
                                <a:xfrm>
                                  <a:off x="10373" y="665340"/>
                                  <a:ext cx="1144" cy="336"/>
                                </a:xfrm>
                                <a:prstGeom prst="rect">
                                  <a:avLst/>
                                </a:prstGeom>
                                <a:noFill/>
                                <a:ln>
                                  <a:noFill/>
                                </a:ln>
                              </wps:spPr>
                              <wps:txbx>
                                <w:txbxContent>
                                  <w:p w14:paraId="07463608">
                                    <w:pPr>
                                      <w:spacing w:line="0" w:lineRule="atLeast"/>
                                      <w:jc w:val="center"/>
                                      <w:rPr>
                                        <w:rFonts w:hint="eastAsia" w:eastAsia="宋体"/>
                                        <w:sz w:val="15"/>
                                        <w:szCs w:val="15"/>
                                        <w:lang w:val="en-US" w:eastAsia="zh-CN"/>
                                      </w:rPr>
                                    </w:pPr>
                                    <w:r>
                                      <w:rPr>
                                        <w:rFonts w:hint="eastAsia"/>
                                        <w:sz w:val="15"/>
                                        <w:szCs w:val="15"/>
                                      </w:rPr>
                                      <w:t>G、N</w:t>
                                    </w:r>
                                  </w:p>
                                </w:txbxContent>
                              </wps:txbx>
                              <wps:bodyPr wrap="square" upright="1">
                                <a:noAutofit/>
                              </wps:bodyPr>
                            </wps:wsp>
                            <wps:wsp>
                              <wps:cNvPr id="336" name="矩形 49"/>
                              <wps:cNvSpPr/>
                              <wps:spPr>
                                <a:xfrm>
                                  <a:off x="8615" y="666935"/>
                                  <a:ext cx="1144" cy="336"/>
                                </a:xfrm>
                                <a:prstGeom prst="rect">
                                  <a:avLst/>
                                </a:prstGeom>
                                <a:noFill/>
                                <a:ln>
                                  <a:noFill/>
                                </a:ln>
                              </wps:spPr>
                              <wps:txbx>
                                <w:txbxContent>
                                  <w:p w14:paraId="6AEEA925">
                                    <w:pPr>
                                      <w:spacing w:line="0" w:lineRule="atLeast"/>
                                      <w:jc w:val="center"/>
                                      <w:rPr>
                                        <w:rFonts w:hint="eastAsia" w:eastAsia="宋体"/>
                                        <w:sz w:val="15"/>
                                        <w:szCs w:val="15"/>
                                        <w:lang w:val="en-US" w:eastAsia="zh-CN"/>
                                      </w:rPr>
                                    </w:pPr>
                                    <w:r>
                                      <w:rPr>
                                        <w:rFonts w:hint="eastAsia"/>
                                        <w:sz w:val="15"/>
                                        <w:szCs w:val="15"/>
                                      </w:rPr>
                                      <w:t>N</w:t>
                                    </w:r>
                                  </w:p>
                                </w:txbxContent>
                              </wps:txbx>
                              <wps:bodyPr wrap="square" upright="1">
                                <a:noAutofit/>
                              </wps:bodyPr>
                            </wps:wsp>
                            <wps:wsp>
                              <wps:cNvPr id="337" name="矩形 49"/>
                              <wps:cNvSpPr/>
                              <wps:spPr>
                                <a:xfrm>
                                  <a:off x="10328" y="666891"/>
                                  <a:ext cx="1144" cy="336"/>
                                </a:xfrm>
                                <a:prstGeom prst="rect">
                                  <a:avLst/>
                                </a:prstGeom>
                                <a:noFill/>
                                <a:ln>
                                  <a:noFill/>
                                </a:ln>
                              </wps:spPr>
                              <wps:txbx>
                                <w:txbxContent>
                                  <w:p w14:paraId="358DD5EF">
                                    <w:pPr>
                                      <w:spacing w:line="0" w:lineRule="atLeast"/>
                                      <w:jc w:val="center"/>
                                      <w:rPr>
                                        <w:rFonts w:hint="eastAsia" w:eastAsia="宋体"/>
                                        <w:sz w:val="15"/>
                                        <w:szCs w:val="15"/>
                                        <w:lang w:val="en-US" w:eastAsia="zh-CN"/>
                                      </w:rPr>
                                    </w:pPr>
                                    <w:r>
                                      <w:rPr>
                                        <w:rFonts w:hint="eastAsia"/>
                                        <w:sz w:val="15"/>
                                        <w:szCs w:val="15"/>
                                        <w:lang w:val="en-US" w:eastAsia="zh-CN"/>
                                      </w:rPr>
                                      <w:t>W</w:t>
                                    </w:r>
                                    <w:r>
                                      <w:rPr>
                                        <w:rFonts w:hint="eastAsia"/>
                                        <w:sz w:val="15"/>
                                        <w:szCs w:val="15"/>
                                      </w:rPr>
                                      <w:t>、N</w:t>
                                    </w:r>
                                  </w:p>
                                </w:txbxContent>
                              </wps:txbx>
                              <wps:bodyPr wrap="square" upright="1">
                                <a:noAutofit/>
                              </wps:bodyPr>
                            </wps:wsp>
                            <wps:wsp>
                              <wps:cNvPr id="338" name="矩形 49"/>
                              <wps:cNvSpPr/>
                              <wps:spPr>
                                <a:xfrm>
                                  <a:off x="8685" y="667728"/>
                                  <a:ext cx="1144" cy="336"/>
                                </a:xfrm>
                                <a:prstGeom prst="rect">
                                  <a:avLst/>
                                </a:prstGeom>
                                <a:noFill/>
                                <a:ln>
                                  <a:noFill/>
                                </a:ln>
                              </wps:spPr>
                              <wps:txbx>
                                <w:txbxContent>
                                  <w:p w14:paraId="081F0C46">
                                    <w:pPr>
                                      <w:spacing w:line="0" w:lineRule="atLeast"/>
                                      <w:jc w:val="center"/>
                                      <w:rPr>
                                        <w:rFonts w:hint="eastAsia" w:eastAsia="宋体"/>
                                        <w:sz w:val="15"/>
                                        <w:szCs w:val="15"/>
                                        <w:lang w:val="en-US" w:eastAsia="zh-CN"/>
                                      </w:rPr>
                                    </w:pPr>
                                    <w:r>
                                      <w:rPr>
                                        <w:rFonts w:hint="eastAsia"/>
                                        <w:sz w:val="15"/>
                                        <w:szCs w:val="15"/>
                                        <w:lang w:val="en-US" w:eastAsia="zh-CN"/>
                                      </w:rPr>
                                      <w:t>W</w:t>
                                    </w:r>
                                    <w:r>
                                      <w:rPr>
                                        <w:rFonts w:hint="eastAsia"/>
                                        <w:sz w:val="15"/>
                                        <w:szCs w:val="15"/>
                                      </w:rPr>
                                      <w:t>、N</w:t>
                                    </w:r>
                                  </w:p>
                                </w:txbxContent>
                              </wps:txbx>
                              <wps:bodyPr wrap="square" upright="1">
                                <a:noAutofit/>
                              </wps:bodyPr>
                            </wps:wsp>
                          </wpg:wgp>
                        </a:graphicData>
                      </a:graphic>
                    </wp:anchor>
                  </w:drawing>
                </mc:Choice>
                <mc:Fallback>
                  <w:pict>
                    <v:group id="_x0000_s1026" o:spid="_x0000_s1026" o:spt="203" style="position:absolute;left:0pt;margin-left:46.75pt;margin-top:39.25pt;height:277.5pt;width:312.1pt;z-index:251879424;mso-width-relative:page;mso-height-relative:page;" coordorigin="5407,663799" coordsize="6242,5550" o:gfxdata="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">
                      <o:lock v:ext="edit" aspectratio="f"/>
                      <v:shape id="文本框 99" o:spid="_x0000_s1026" o:spt="202" type="#_x0000_t202" style="position:absolute;left:5407;top:664255;height:464;width:1122;" filled="f" stroked="f" coordsize="21600,21600" o:gfxdata="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Fo7GJ68AAAA&#10;3AAAAA8AAAAAAAAAAQAgAAAAIgAAAGRycy9kb3ducmV2LnhtbFBLAQIUABQAAAAIAIdO4kAzLwWe&#10;OwAAADkAAAAQAAAAAAAAAAEAIAAAAAsBAABkcnMvc2hhcGV4bWwueG1sUEsFBgAAAAAGAAYAWwEA&#10;ALUDAAAAAA==&#10;">
                        <v:fill on="f" focussize="0,0"/>
                        <v:stroke on="f"/>
                        <v:imagedata o:title=""/>
                        <o:lock v:ext="edit" aspectratio="f"/>
                        <v:textbox>
                          <w:txbxContent>
                            <w:p w14:paraId="3B92A0E6">
                              <w:pPr>
                                <w:jc w:val="center"/>
                                <w:rPr>
                                  <w:rFonts w:hint="default" w:ascii="Times New Roman" w:hAnsi="Times New Roman" w:eastAsia="宋体" w:cs="Times New Roman"/>
                                  <w:sz w:val="18"/>
                                  <w:szCs w:val="18"/>
                                </w:rPr>
                              </w:pPr>
                              <w:r>
                                <w:rPr>
                                  <w:rFonts w:hint="default" w:ascii="Times New Roman" w:hAnsi="Times New Roman" w:eastAsia="宋体" w:cs="Times New Roman"/>
                                  <w:sz w:val="18"/>
                                  <w:szCs w:val="18"/>
                                  <w:lang w:val="en-US" w:eastAsia="zh-CN"/>
                                </w:rPr>
                                <w:t>转炉</w:t>
                              </w:r>
                              <w:r>
                                <w:rPr>
                                  <w:rFonts w:hint="default" w:ascii="Times New Roman" w:hAnsi="Times New Roman" w:eastAsia="宋体" w:cs="Times New Roman"/>
                                  <w:sz w:val="18"/>
                                  <w:szCs w:val="18"/>
                                </w:rPr>
                                <w:t>钢渣</w:t>
                              </w:r>
                            </w:p>
                          </w:txbxContent>
                        </v:textbox>
                      </v:shape>
                      <v:shape id="直接箭头连接符 103" o:spid="_x0000_s1026" o:spt="32" type="#_x0000_t32" style="position:absolute;left:6388;top:664436;height:1;width:507;" filled="f" stroked="t" coordsize="21600,21600" o:gfxdata="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lpGD28AAAA&#10;3AAAAA8AAAAAAAAAAQAgAAAAIgAAAGRycy9kb3ducmV2LnhtbFBLAQIUABQAAAAIAIdO4kAzLwWe&#10;OwAAADkAAAAQAAAAAAAAAAEAIAAAAAsBAABkcnMvc2hhcGV4bWwueG1sUEsFBgAAAAAGAAYAWwEA&#10;ALUDAAAAAA==&#10;">
                        <v:fill on="f" focussize="0,0"/>
                        <v:stroke color="#000000" joinstyle="round" endarrow="open"/>
                        <v:imagedata o:title=""/>
                        <o:lock v:ext="edit" aspectratio="f"/>
                      </v:shape>
                      <v:shape id="文本框 106" o:spid="_x0000_s1026" o:spt="202" type="#_x0000_t202" style="position:absolute;left:6898;top:664241;height:389;width:1068;" fillcolor="#FFFFFF" filled="t" stroked="t" coordsize="21600,21600" o:gfxdata="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9S4IHr4A&#10;AADc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14:paraId="27F1575F">
                              <w:pPr>
                                <w:keepNext w:val="0"/>
                                <w:keepLines w:val="0"/>
                                <w:pageBreakBefore w:val="0"/>
                                <w:widowControl w:val="0"/>
                                <w:kinsoku/>
                                <w:wordWrap/>
                                <w:overflowPunct/>
                                <w:topLinePunct w:val="0"/>
                                <w:bidi w:val="0"/>
                                <w:adjustRightInd/>
                                <w:snapToGrid/>
                                <w:spacing w:line="220" w:lineRule="exact"/>
                                <w:jc w:val="center"/>
                                <w:textAlignment w:val="auto"/>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lang w:val="en-US" w:eastAsia="zh-CN"/>
                                </w:rPr>
                                <w:t>原料库房</w:t>
                              </w:r>
                            </w:p>
                          </w:txbxContent>
                        </v:textbox>
                      </v:shape>
                      <v:shape id="文本框 110" o:spid="_x0000_s1026" o:spt="202" type="#_x0000_t202" style="position:absolute;left:8478;top:664245;height:378;width:885;" fillcolor="#FFFFFF" filled="t" stroked="t" coordsize="21600,21600" o:gfxdata="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R71IJb4A&#10;AADc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14:paraId="41408362">
                              <w:pPr>
                                <w:keepNext w:val="0"/>
                                <w:keepLines w:val="0"/>
                                <w:pageBreakBefore w:val="0"/>
                                <w:widowControl w:val="0"/>
                                <w:kinsoku/>
                                <w:wordWrap/>
                                <w:overflowPunct/>
                                <w:topLinePunct w:val="0"/>
                                <w:bidi w:val="0"/>
                                <w:adjustRightInd/>
                                <w:snapToGrid/>
                                <w:spacing w:line="220" w:lineRule="exact"/>
                                <w:jc w:val="center"/>
                                <w:textAlignment w:val="auto"/>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lang w:val="en-US" w:eastAsia="zh-CN"/>
                                </w:rPr>
                                <w:t>上料仓</w:t>
                              </w:r>
                            </w:p>
                          </w:txbxContent>
                        </v:textbox>
                      </v:shape>
                      <v:line id="直接连接符 112" o:spid="_x0000_s1026" o:spt="20" style="position:absolute;left:8897;top:664644;flip:x;height:396;width:1;" filled="f" stroked="t" coordsize="21600,21600" o:gfxdata="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sAiPGugAAANwA&#10;AAAPAAAAAAAAAAEAIAAAACIAAABkcnMvZG93bnJldi54bWxQSwECFAAUAAAACACHTuJAMy8FnjsA&#10;AAA5AAAAEAAAAAAAAAABACAAAAAJAQAAZHJzL3NoYXBleG1sLnhtbFBLBQYAAAAABgAGAFsBAACz&#10;AwAAAAA=&#10;">
                        <v:fill on="f" focussize="0,0"/>
                        <v:stroke color="#000000" joinstyle="round" endarrow="open"/>
                        <v:imagedata o:title=""/>
                        <o:lock v:ext="edit" aspectratio="f"/>
                      </v:line>
                      <v:shape id="直接箭头连接符 113" o:spid="_x0000_s1026" o:spt="32" type="#_x0000_t32" style="position:absolute;left:7981;top:664436;height:1;width:507;" filled="f" stroked="t" coordsize="21600,21600" o:gfxdata="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hpzOMvQAA&#10;ANwAAAAPAAAAAAAAAAEAIAAAACIAAABkcnMvZG93bnJldi54bWxQSwECFAAUAAAACACHTuJAMy8F&#10;njsAAAA5AAAAEAAAAAAAAAABACAAAAAMAQAAZHJzL3NoYXBleG1sLnhtbFBLBQYAAAAABgAGAFsB&#10;AAC2AwAAAAA=&#10;">
                        <v:fill on="f" focussize="0,0"/>
                        <v:stroke color="#000000" joinstyle="round" endarrow="open"/>
                        <v:imagedata o:title=""/>
                        <o:lock v:ext="edit" aspectratio="f"/>
                      </v:shape>
                      <v:shape id="文本框 120" o:spid="_x0000_s1026" o:spt="202" type="#_x0000_t202" style="position:absolute;left:8472;top:665040;height:376;width:884;" fillcolor="#FFFFFF" filled="t" stroked="t" coordsize="21600,21600" o:gfxdata="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2XhZjbsAAADc&#10;AAAADwAAAAAAAAABACAAAAAiAAAAZHJzL2Rvd25yZXYueG1sUEsBAhQAFAAAAAgAh07iQDMvBZ47&#10;AAAAOQAAABAAAAAAAAAAAQAgAAAACgEAAGRycy9zaGFwZXhtbC54bWxQSwUGAAAAAAYABgBbAQAA&#10;tAMAAAAA&#10;">
                        <v:fill on="t" focussize="0,0"/>
                        <v:stroke color="#000000" joinstyle="miter"/>
                        <v:imagedata o:title=""/>
                        <o:lock v:ext="edit" aspectratio="f"/>
                        <v:textbox>
                          <w:txbxContent>
                            <w:p w14:paraId="7F17D47C">
                              <w:pPr>
                                <w:keepNext w:val="0"/>
                                <w:keepLines w:val="0"/>
                                <w:pageBreakBefore w:val="0"/>
                                <w:widowControl w:val="0"/>
                                <w:kinsoku/>
                                <w:wordWrap/>
                                <w:overflowPunct/>
                                <w:topLinePunct w:val="0"/>
                                <w:bidi w:val="0"/>
                                <w:adjustRightInd/>
                                <w:snapToGrid/>
                                <w:spacing w:line="220" w:lineRule="exact"/>
                                <w:jc w:val="center"/>
                                <w:textAlignment w:val="auto"/>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lang w:val="en-US" w:eastAsia="zh-CN"/>
                                </w:rPr>
                                <w:t>鄂破机</w:t>
                              </w:r>
                            </w:p>
                          </w:txbxContent>
                        </v:textbox>
                      </v:shape>
                      <v:line id="直接连接符 121" o:spid="_x0000_s1026" o:spt="20" style="position:absolute;left:9409;top:665949;height:9;width:1108;" filled="f" stroked="t" coordsize="21600,21600" o:gfxdata="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GW+L/e/&#10;AAAA3AAAAA8AAAAAAAAAAQAgAAAAIgAAAGRycy9kb3ducmV2LnhtbFBLAQIUABQAAAAIAIdO4kAz&#10;LwWeOwAAADkAAAAQAAAAAAAAAAEAIAAAAA4BAABkcnMvc2hhcGV4bWwueG1sUEsFBgAAAAAGAAYA&#10;WwEAALgDAAAAAA==&#10;">
                        <v:fill on="f" focussize="0,0"/>
                        <v:stroke color="#000000" joinstyle="round" endarrow="open"/>
                        <v:imagedata o:title=""/>
                        <o:lock v:ext="edit" aspectratio="f"/>
                      </v:line>
                      <v:shape id="文本框 122" o:spid="_x0000_s1026" o:spt="202" type="#_x0000_t202" style="position:absolute;left:8507;top:665820;height:376;width:884;" fillcolor="#FFFFFF" filled="t" stroked="t" coordsize="21600,21600" o:gfxdata="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EbmYmG/&#10;AAAA3AAAAA8AAAAAAAAAAQAgAAAAIgAAAGRycy9kb3ducmV2LnhtbFBLAQIUABQAAAAIAIdO4kAz&#10;LwWeOwAAADkAAAAQAAAAAAAAAAEAIAAAAA4BAABkcnMvc2hhcGV4bWwueG1sUEsFBgAAAAAGAAYA&#10;WwEAALgDAAAAAA==&#10;">
                        <v:fill on="t" focussize="0,0"/>
                        <v:stroke color="#000000" joinstyle="miter"/>
                        <v:imagedata o:title=""/>
                        <o:lock v:ext="edit" aspectratio="f"/>
                        <v:textbox>
                          <w:txbxContent>
                            <w:p w14:paraId="5CC2208A">
                              <w:pPr>
                                <w:keepNext w:val="0"/>
                                <w:keepLines w:val="0"/>
                                <w:pageBreakBefore w:val="0"/>
                                <w:widowControl w:val="0"/>
                                <w:kinsoku/>
                                <w:wordWrap/>
                                <w:overflowPunct/>
                                <w:topLinePunct w:val="0"/>
                                <w:bidi w:val="0"/>
                                <w:adjustRightInd/>
                                <w:snapToGrid/>
                                <w:spacing w:line="220" w:lineRule="exact"/>
                                <w:jc w:val="center"/>
                                <w:textAlignment w:val="auto"/>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lang w:val="en-US" w:eastAsia="zh-CN"/>
                                </w:rPr>
                                <w:t>振动筛</w:t>
                              </w:r>
                            </w:p>
                          </w:txbxContent>
                        </v:textbox>
                      </v:shape>
                      <v:shape id="文本框 129" o:spid="_x0000_s1026" o:spt="202" type="#_x0000_t202" style="position:absolute;left:8227;top:668901;height:448;width:1383;" filled="f" stroked="f" coordsize="21600,21600" o:gfxdata="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bCrkPL4A&#10;AADcAAAADwAAAAAAAAABACAAAAAiAAAAZHJzL2Rvd25yZXYueG1sUEsBAhQAFAAAAAgAh07iQDMv&#10;BZ47AAAAOQAAABAAAAAAAAAAAQAgAAAADQEAAGRycy9zaGFwZXhtbC54bWxQSwUGAAAAAAYABgBb&#10;AQAAtwMAAAAA&#10;">
                        <v:fill on="f" focussize="0,0"/>
                        <v:stroke on="f"/>
                        <v:imagedata o:title=""/>
                        <o:lock v:ext="edit" aspectratio="f"/>
                        <v:textbox>
                          <w:txbxContent>
                            <w:p w14:paraId="678E886C">
                              <w:pPr>
                                <w:jc w:val="center"/>
                                <w:rPr>
                                  <w:rFonts w:hint="default" w:ascii="Times New Roman" w:hAnsi="Times New Roman" w:eastAsia="宋体" w:cs="Times New Roman"/>
                                  <w:b/>
                                  <w:sz w:val="18"/>
                                  <w:szCs w:val="18"/>
                                  <w:lang w:val="en-US" w:eastAsia="zh-CN"/>
                                </w:rPr>
                              </w:pPr>
                              <w:r>
                                <w:rPr>
                                  <w:rFonts w:hint="eastAsia" w:ascii="Times New Roman" w:hAnsi="Times New Roman" w:eastAsia="宋体" w:cs="Times New Roman"/>
                                  <w:b/>
                                  <w:sz w:val="18"/>
                                  <w:szCs w:val="18"/>
                                  <w:lang w:val="en-US" w:eastAsia="zh-CN"/>
                                </w:rPr>
                                <w:t>磁性钢渣粉</w:t>
                              </w:r>
                            </w:p>
                          </w:txbxContent>
                        </v:textbox>
                      </v:shape>
                      <v:line id="直接连接符 130" o:spid="_x0000_s1026" o:spt="20" style="position:absolute;left:8926;top:665434;flip:x;height:396;width:1;" filled="f" stroked="t" coordsize="21600,21600" o:gfxdata="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WJpZ5L4A&#10;AADcAAAADwAAAAAAAAABACAAAAAiAAAAZHJzL2Rvd25yZXYueG1sUEsBAhQAFAAAAAgAh07iQDMv&#10;BZ47AAAAOQAAABAAAAAAAAAAAQAgAAAADQEAAGRycy9zaGFwZXhtbC54bWxQSwUGAAAAAAYABgBb&#10;AQAAtwMAAAAA&#10;">
                        <v:fill on="f" focussize="0,0"/>
                        <v:stroke color="#000000" joinstyle="round" endarrow="open"/>
                        <v:imagedata o:title=""/>
                        <o:lock v:ext="edit" aspectratio="f"/>
                      </v:line>
                      <v:shape id="文本框 131" o:spid="_x0000_s1026" o:spt="202" type="#_x0000_t202" style="position:absolute;left:9300;top:665640;height:397;width:1323;" filled="f" stroked="f" coordsize="21600,21600" o:gfxdata="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jI/Z074A&#10;AADcAAAADwAAAAAAAAABACAAAAAiAAAAZHJzL2Rvd25yZXYueG1sUEsBAhQAFAAAAAgAh07iQDMv&#10;BZ47AAAAOQAAABAAAAAAAAAAAQAgAAAADQEAAGRycy9zaGFwZXhtbC54bWxQSwUGAAAAAAYABgBb&#10;AQAAtwMAAAAA&#10;">
                        <v:fill on="f" focussize="0,0"/>
                        <v:stroke on="f"/>
                        <v:imagedata o:title=""/>
                        <o:lock v:ext="edit" aspectratio="f"/>
                        <v:textbox>
                          <w:txbxContent>
                            <w:p w14:paraId="5D749752">
                              <w:pPr>
                                <w:jc w:val="center"/>
                                <w:rPr>
                                  <w:rFonts w:hint="default" w:ascii="Times New Roman" w:hAnsi="Times New Roman" w:eastAsia="宋体" w:cs="Times New Roman"/>
                                  <w:sz w:val="18"/>
                                  <w:szCs w:val="18"/>
                                  <w:lang w:val="en-US"/>
                                </w:rPr>
                              </w:pPr>
                              <w:r>
                                <w:rPr>
                                  <w:rFonts w:hint="default" w:ascii="Times New Roman" w:hAnsi="Times New Roman" w:eastAsia="宋体" w:cs="Times New Roman"/>
                                  <w:sz w:val="18"/>
                                  <w:szCs w:val="18"/>
                                  <w:lang w:val="en-US" w:eastAsia="zh-CN"/>
                                </w:rPr>
                                <w:t>筛上</w:t>
                              </w:r>
                            </w:p>
                          </w:txbxContent>
                        </v:textbox>
                      </v:shape>
                      <v:line id="直接连接符 135" o:spid="_x0000_s1026" o:spt="20" style="position:absolute;left:9381;top:666073;flip:x;height:1;width:1100;" filled="f" stroked="t" coordsize="21600,21600" o:gfxdata="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HBGIIvQAA&#10;ANwAAAAPAAAAAAAAAAEAIAAAACIAAABkcnMvZG93bnJldi54bWxQSwECFAAUAAAACACHTuJAMy8F&#10;njsAAAA5AAAAEAAAAAAAAAABACAAAAAMAQAAZHJzL3NoYXBleG1sLnhtbFBLBQYAAAAABgAGAFsB&#10;AAC2AwAAAAA=&#10;">
                        <v:fill on="f" focussize="0,0"/>
                        <v:stroke color="#000000" joinstyle="round" endarrow="open"/>
                        <v:imagedata o:title=""/>
                        <o:lock v:ext="edit" aspectratio="f"/>
                      </v:line>
                      <v:shape id="文本框 137" o:spid="_x0000_s1026" o:spt="202" type="#_x0000_t202" style="position:absolute;left:10486;top:665801;height:376;width:884;" fillcolor="#FFFFFF" filled="t" stroked="t" coordsize="21600,21600" o:gfxdata="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Jw5Vi7sAAADc&#10;AAAADwAAAAAAAAABACAAAAAiAAAAZHJzL2Rvd25yZXYueG1sUEsBAhQAFAAAAAgAh07iQDMvBZ47&#10;AAAAOQAAABAAAAAAAAAAAQAgAAAACgEAAGRycy9zaGFwZXhtbC54bWxQSwUGAAAAAAYABgBbAQAA&#10;tAMAAAAA&#10;">
                        <v:fill on="t" focussize="0,0"/>
                        <v:stroke color="#000000" joinstyle="miter"/>
                        <v:imagedata o:title=""/>
                        <o:lock v:ext="edit" aspectratio="f"/>
                        <v:textbox>
                          <w:txbxContent>
                            <w:p w14:paraId="7035227B">
                              <w:pPr>
                                <w:keepNext w:val="0"/>
                                <w:keepLines w:val="0"/>
                                <w:pageBreakBefore w:val="0"/>
                                <w:widowControl w:val="0"/>
                                <w:kinsoku/>
                                <w:wordWrap/>
                                <w:overflowPunct/>
                                <w:topLinePunct w:val="0"/>
                                <w:bidi w:val="0"/>
                                <w:adjustRightInd/>
                                <w:snapToGrid/>
                                <w:spacing w:line="220" w:lineRule="exact"/>
                                <w:jc w:val="center"/>
                                <w:textAlignment w:val="auto"/>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lang w:val="en-US" w:eastAsia="zh-CN"/>
                                </w:rPr>
                                <w:t>锤破机</w:t>
                              </w:r>
                            </w:p>
                          </w:txbxContent>
                        </v:textbox>
                      </v:shape>
                      <v:line id="直接连接符 138" o:spid="_x0000_s1026" o:spt="20" style="position:absolute;left:8929;top:666204;flip:x;height:396;width:1;" filled="f" stroked="t" coordsize="21600,21600" o:gfxdata="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tpv2er4A&#10;AADcAAAADwAAAAAAAAABACAAAAAiAAAAZHJzL2Rvd25yZXYueG1sUEsBAhQAFAAAAAgAh07iQDMv&#10;BZ47AAAAOQAAABAAAAAAAAAAAQAgAAAADQEAAGRycy9zaGFwZXhtbC54bWxQSwUGAAAAAAYABgBb&#10;AQAAtwMAAAAA&#10;">
                        <v:fill on="f" focussize="0,0"/>
                        <v:stroke color="#000000" joinstyle="round" endarrow="open"/>
                        <v:imagedata o:title=""/>
                        <o:lock v:ext="edit" aspectratio="f"/>
                      </v:line>
                      <v:shape id="文本框 139" o:spid="_x0000_s1026" o:spt="202" type="#_x0000_t202" style="position:absolute;left:8500;top:668158;height:376;width:884;" fillcolor="#FFFFFF" filled="t" stroked="t" coordsize="21600,21600" o:gfxdata="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Fyhz1C8AAAA&#10;3AAAAA8AAAAAAAAAAQAgAAAAIgAAAGRycy9kb3ducmV2LnhtbFBLAQIUABQAAAAIAIdO4kAzLwWe&#10;OwAAADkAAAAQAAAAAAAAAAEAIAAAAAsBAABkcnMvc2hhcGV4bWwueG1sUEsFBgAAAAAGAAYAWwEA&#10;ALUDAAAAAA==&#10;">
                        <v:fill on="t" focussize="0,0"/>
                        <v:stroke color="#000000" joinstyle="miter"/>
                        <v:imagedata o:title=""/>
                        <o:lock v:ext="edit" aspectratio="f"/>
                        <v:textbox>
                          <w:txbxContent>
                            <w:p w14:paraId="5EF86813">
                              <w:pPr>
                                <w:keepNext w:val="0"/>
                                <w:keepLines w:val="0"/>
                                <w:pageBreakBefore w:val="0"/>
                                <w:widowControl w:val="0"/>
                                <w:kinsoku/>
                                <w:wordWrap/>
                                <w:overflowPunct/>
                                <w:topLinePunct w:val="0"/>
                                <w:bidi w:val="0"/>
                                <w:adjustRightInd/>
                                <w:snapToGrid/>
                                <w:spacing w:line="220" w:lineRule="exact"/>
                                <w:jc w:val="center"/>
                                <w:textAlignment w:val="auto"/>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lang w:val="en-US" w:eastAsia="zh-CN"/>
                                </w:rPr>
                                <w:t>过滤机</w:t>
                              </w:r>
                            </w:p>
                          </w:txbxContent>
                        </v:textbox>
                      </v:shape>
                      <v:shape id="文本框 140" o:spid="_x0000_s1026" o:spt="202" type="#_x0000_t202" style="position:absolute;left:8377;top:666186;height:397;width:672;" filled="f" stroked="f" coordsize="21600,21600" o:gfxdata="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2bUkNvQAA&#10;ANwAAAAPAAAAAAAAAAEAIAAAACIAAABkcnMvZG93bnJldi54bWxQSwECFAAUAAAACACHTuJAMy8F&#10;njsAAAA5AAAAEAAAAAAAAAABACAAAAAMAQAAZHJzL3NoYXBleG1sLnhtbFBLBQYAAAAABgAGAFsB&#10;AAC2AwAAAAA=&#10;">
                        <v:fill on="f" focussize="0,0"/>
                        <v:stroke on="f"/>
                        <v:imagedata o:title=""/>
                        <o:lock v:ext="edit" aspectratio="f"/>
                        <v:textbox>
                          <w:txbxContent>
                            <w:p w14:paraId="1549BC7E">
                              <w:pPr>
                                <w:jc w:val="center"/>
                                <w:rPr>
                                  <w:rFonts w:hint="default" w:ascii="Times New Roman" w:hAnsi="Times New Roman" w:eastAsia="宋体" w:cs="Times New Roman"/>
                                  <w:sz w:val="18"/>
                                  <w:szCs w:val="18"/>
                                  <w:lang w:val="en-US"/>
                                </w:rPr>
                              </w:pPr>
                              <w:r>
                                <w:rPr>
                                  <w:rFonts w:hint="default" w:ascii="Times New Roman" w:hAnsi="Times New Roman" w:eastAsia="宋体" w:cs="Times New Roman"/>
                                  <w:sz w:val="18"/>
                                  <w:szCs w:val="18"/>
                                  <w:lang w:val="en-US" w:eastAsia="zh-CN"/>
                                </w:rPr>
                                <w:t>筛下</w:t>
                              </w:r>
                            </w:p>
                          </w:txbxContent>
                        </v:textbox>
                      </v:shape>
                      <v:shape id="文本框 146" o:spid="_x0000_s1026" o:spt="202" type="#_x0000_t202" style="position:absolute;left:8499;top:666590;height:376;width:884;" fillcolor="#FFFFFF" filled="t" stroked="t" coordsize="21600,21600" o:gfxdata="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MM/9Ly/&#10;AAAA3AAAAA8AAAAAAAAAAQAgAAAAIgAAAGRycy9kb3ducmV2LnhtbFBLAQIUABQAAAAIAIdO4kAz&#10;LwWeOwAAADkAAAAQAAAAAAAAAAEAIAAAAA4BAABkcnMvc2hhcGV4bWwueG1sUEsFBgAAAAAGAAYA&#10;WwEAALgDAAAAAA==&#10;">
                        <v:fill on="t" focussize="0,0"/>
                        <v:stroke color="#000000" joinstyle="miter"/>
                        <v:imagedata o:title=""/>
                        <o:lock v:ext="edit" aspectratio="f"/>
                        <v:textbox>
                          <w:txbxContent>
                            <w:p w14:paraId="34559D12">
                              <w:pPr>
                                <w:keepNext w:val="0"/>
                                <w:keepLines w:val="0"/>
                                <w:pageBreakBefore w:val="0"/>
                                <w:widowControl w:val="0"/>
                                <w:kinsoku/>
                                <w:wordWrap/>
                                <w:overflowPunct/>
                                <w:topLinePunct w:val="0"/>
                                <w:bidi w:val="0"/>
                                <w:adjustRightInd/>
                                <w:snapToGrid/>
                                <w:spacing w:line="220" w:lineRule="exact"/>
                                <w:jc w:val="center"/>
                                <w:textAlignment w:val="auto"/>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lang w:val="en-US" w:eastAsia="zh-CN"/>
                                </w:rPr>
                                <w:t>球磨机</w:t>
                              </w:r>
                            </w:p>
                          </w:txbxContent>
                        </v:textbox>
                      </v:shape>
                      <v:line id="直接连接符 151" o:spid="_x0000_s1026" o:spt="20" style="position:absolute;left:8935;top:668539;flip:x;height:396;width:1;" filled="f" stroked="t" coordsize="21600,21600" o:gfxdata="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UqpXTb4A&#10;AADcAAAADwAAAAAAAAABACAAAAAiAAAAZHJzL2Rvd25yZXYueG1sUEsBAhQAFAAAAAgAh07iQDMv&#10;BZ47AAAAOQAAABAAAAAAAAAAAQAgAAAADQEAAGRycy9zaGFwZXhtbC54bWxQSwUGAAAAAAYABgBb&#10;AQAAtwMAAAAA&#10;">
                        <v:fill on="f" focussize="0,0"/>
                        <v:stroke color="#000000" joinstyle="round" endarrow="open"/>
                        <v:imagedata o:title=""/>
                        <o:lock v:ext="edit" aspectratio="f"/>
                      </v:line>
                      <v:line id="直接连接符 152" o:spid="_x0000_s1026" o:spt="20" style="position:absolute;left:8916;top:666973;flip:x;height:396;width:1;" filled="f" stroked="t" coordsize="21600,21600" o:gfxdata="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3UPPOb4A&#10;AADcAAAADwAAAAAAAAABACAAAAAiAAAAZHJzL2Rvd25yZXYueG1sUEsBAhQAFAAAAAgAh07iQDMv&#10;BZ47AAAAOQAAABAAAAAAAAAAAQAgAAAADQEAAGRycy9zaGFwZXhtbC54bWxQSwUGAAAAAAYABgBb&#10;AQAAtwMAAAAA&#10;">
                        <v:fill on="f" focussize="0,0"/>
                        <v:stroke color="#000000" joinstyle="round" endarrow="open"/>
                        <v:imagedata o:title=""/>
                        <o:lock v:ext="edit" aspectratio="f"/>
                      </v:line>
                      <v:shape id="文本框 153" o:spid="_x0000_s1026" o:spt="202" type="#_x0000_t202" style="position:absolute;left:8501;top:667376;height:376;width:884;" fillcolor="#FFFFFF" filled="t" stroked="t" coordsize="21600,21600" o:gfxdata="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EzWbMi/&#10;AAAA3AAAAA8AAAAAAAAAAQAgAAAAIgAAAGRycy9kb3ducmV2LnhtbFBLAQIUABQAAAAIAIdO4kAz&#10;LwWeOwAAADkAAAAQAAAAAAAAAAEAIAAAAA4BAABkcnMvc2hhcGV4bWwueG1sUEsFBgAAAAAGAAYA&#10;WwEAALgDAAAAAA==&#10;">
                        <v:fill on="t" focussize="0,0"/>
                        <v:stroke color="#000000" joinstyle="miter"/>
                        <v:imagedata o:title=""/>
                        <o:lock v:ext="edit" aspectratio="f"/>
                        <v:textbox>
                          <w:txbxContent>
                            <w:p w14:paraId="074988E9">
                              <w:pPr>
                                <w:keepNext w:val="0"/>
                                <w:keepLines w:val="0"/>
                                <w:pageBreakBefore w:val="0"/>
                                <w:widowControl w:val="0"/>
                                <w:kinsoku/>
                                <w:wordWrap/>
                                <w:overflowPunct/>
                                <w:topLinePunct w:val="0"/>
                                <w:bidi w:val="0"/>
                                <w:adjustRightInd/>
                                <w:snapToGrid/>
                                <w:spacing w:line="220" w:lineRule="exact"/>
                                <w:jc w:val="center"/>
                                <w:textAlignment w:val="auto"/>
                                <w:rPr>
                                  <w:rFonts w:hint="default" w:ascii="Times New Roman" w:hAnsi="Times New Roman" w:eastAsia="宋体" w:cs="Times New Roman"/>
                                  <w:sz w:val="18"/>
                                  <w:szCs w:val="18"/>
                                  <w:highlight w:val="none"/>
                                  <w:lang w:val="en-US" w:eastAsia="zh-CN"/>
                                </w:rPr>
                              </w:pPr>
                              <w:r>
                                <w:rPr>
                                  <w:rFonts w:hint="default" w:ascii="Times New Roman" w:hAnsi="Times New Roman" w:eastAsia="宋体" w:cs="Times New Roman"/>
                                  <w:sz w:val="18"/>
                                  <w:szCs w:val="18"/>
                                  <w:highlight w:val="none"/>
                                  <w:lang w:val="en-US" w:eastAsia="zh-CN"/>
                                </w:rPr>
                                <w:t>磁选机</w:t>
                              </w:r>
                            </w:p>
                          </w:txbxContent>
                        </v:textbox>
                      </v:shape>
                      <v:line id="直接连接符 156" o:spid="_x0000_s1026" o:spt="20" style="position:absolute;left:8931;top:667758;flip:x;height:396;width:1;" filled="f" stroked="t" coordsize="21600,21600" o:gfxdata="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Qt301b4A&#10;AADcAAAADwAAAAAAAAABACAAAAAiAAAAZHJzL2Rvd25yZXYueG1sUEsBAhQAFAAAAAgAh07iQDMv&#10;BZ47AAAAOQAAABAAAAAAAAAAAQAgAAAADQEAAGRycy9zaGFwZXhtbC54bWxQSwUGAAAAAAYABgBb&#10;AQAAtwMAAAAA&#10;">
                        <v:fill on="f" focussize="0,0"/>
                        <v:stroke color="#000000" joinstyle="round" endarrow="open"/>
                        <v:imagedata o:title=""/>
                        <o:lock v:ext="edit" aspectratio="f"/>
                      </v:line>
                      <v:shape id="文本框 157" o:spid="_x0000_s1026" o:spt="202" type="#_x0000_t202" style="position:absolute;left:10267;top:668100;height:448;width:1383;" filled="f" stroked="f" coordsize="21600,21600" o:gfxdata="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lsh04r4A&#10;AADcAAAADwAAAAAAAAABACAAAAAiAAAAZHJzL2Rvd25yZXYueG1sUEsBAhQAFAAAAAgAh07iQDMv&#10;BZ47AAAAOQAAABAAAAAAAAAAAQAgAAAADQEAAGRycy9zaGFwZXhtbC54bWxQSwUGAAAAAAYABgBb&#10;AQAAtwMAAAAA&#10;">
                        <v:fill on="f" focussize="0,0"/>
                        <v:stroke on="f"/>
                        <v:imagedata o:title=""/>
                        <o:lock v:ext="edit" aspectratio="f"/>
                        <v:textbox>
                          <w:txbxContent>
                            <w:p w14:paraId="4D78504A">
                              <w:pPr>
                                <w:jc w:val="center"/>
                                <w:rPr>
                                  <w:rFonts w:hint="default" w:ascii="Times New Roman" w:hAnsi="Times New Roman" w:eastAsia="宋体" w:cs="Times New Roman"/>
                                  <w:b/>
                                  <w:sz w:val="18"/>
                                  <w:szCs w:val="18"/>
                                  <w:lang w:val="en-US" w:eastAsia="zh-CN"/>
                                </w:rPr>
                              </w:pPr>
                              <w:r>
                                <w:rPr>
                                  <w:rFonts w:hint="eastAsia" w:ascii="Times New Roman" w:hAnsi="Times New Roman" w:eastAsia="宋体" w:cs="Times New Roman"/>
                                  <w:b/>
                                  <w:sz w:val="18"/>
                                  <w:szCs w:val="18"/>
                                  <w:lang w:val="en-US" w:eastAsia="zh-CN"/>
                                </w:rPr>
                                <w:t>非磁性</w:t>
                              </w:r>
                              <w:r>
                                <w:rPr>
                                  <w:rFonts w:hint="default" w:ascii="Times New Roman" w:hAnsi="Times New Roman" w:eastAsia="宋体" w:cs="Times New Roman"/>
                                  <w:b/>
                                  <w:sz w:val="18"/>
                                  <w:szCs w:val="18"/>
                                  <w:lang w:val="en-US" w:eastAsia="zh-CN"/>
                                </w:rPr>
                                <w:t>钢渣粉</w:t>
                              </w:r>
                            </w:p>
                          </w:txbxContent>
                        </v:textbox>
                      </v:shape>
                      <v:shape id="文本框 158" o:spid="_x0000_s1026" o:spt="202" type="#_x0000_t202" style="position:absolute;left:8353;top:667740;height:397;width:672;" filled="f" stroked="f" coordsize="21600,21600" o:gfxdata="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51fgkLsAAADc&#10;AAAADwAAAAAAAAABACAAAAAiAAAAZHJzL2Rvd25yZXYueG1sUEsBAhQAFAAAAAgAh07iQDMvBZ47&#10;AAAAOQAAABAAAAAAAAAAAQAgAAAACgEAAGRycy9zaGFwZXhtbC54bWxQSwUGAAAAAAYABgBbAQAA&#10;tAMAAAAA&#10;">
                        <v:fill on="f" focussize="0,0"/>
                        <v:stroke on="f"/>
                        <v:imagedata o:title=""/>
                        <o:lock v:ext="edit" aspectratio="f"/>
                        <v:textbox>
                          <w:txbxContent>
                            <w:p w14:paraId="2D611D51">
                              <w:pPr>
                                <w:jc w:val="center"/>
                                <w:rPr>
                                  <w:rFonts w:hint="default" w:ascii="Times New Roman" w:hAnsi="Times New Roman" w:eastAsia="宋体" w:cs="Times New Roman"/>
                                  <w:sz w:val="18"/>
                                  <w:szCs w:val="18"/>
                                  <w:lang w:val="en-US"/>
                                </w:rPr>
                              </w:pPr>
                              <w:r>
                                <w:rPr>
                                  <w:rFonts w:hint="default" w:ascii="Times New Roman" w:hAnsi="Times New Roman" w:eastAsia="宋体" w:cs="Times New Roman"/>
                                  <w:sz w:val="18"/>
                                  <w:szCs w:val="18"/>
                                  <w:lang w:val="en-US" w:eastAsia="zh-CN"/>
                                </w:rPr>
                                <w:t>有磁</w:t>
                              </w:r>
                            </w:p>
                          </w:txbxContent>
                        </v:textbox>
                      </v:shape>
                      <v:shape id="直接箭头连接符 180" o:spid="_x0000_s1026" o:spt="32" type="#_x0000_t32" style="position:absolute;left:9399;top:667552;flip:y;height:1;width:1097;" filled="f" stroked="t" coordsize="21600,21600" o:gfxdata="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ICmsyr4A&#10;AADcAAAADwAAAAAAAAABACAAAAAiAAAAZHJzL2Rvd25yZXYueG1sUEsBAhQAFAAAAAgAh07iQDMv&#10;BZ47AAAAOQAAABAAAAAAAAAAAQAgAAAADQEAAGRycy9zaGFwZXhtbC54bWxQSwUGAAAAAAYABgBb&#10;AQAAtwMAAAAA&#10;">
                        <v:fill on="f" focussize="0,0"/>
                        <v:stroke color="#000000" joinstyle="round" endarrow="open"/>
                        <v:imagedata o:title=""/>
                        <o:lock v:ext="edit" aspectratio="f"/>
                      </v:shape>
                      <v:shape id="文本框 182" o:spid="_x0000_s1026" o:spt="202" type="#_x0000_t202" style="position:absolute;left:9463;top:667269;height:397;width:840;" filled="f" stroked="f" coordsize="21600,21600" o:gfxdata="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HynaMugAAANwA&#10;AAAPAAAAAAAAAAEAIAAAACIAAABkcnMvZG93bnJldi54bWxQSwECFAAUAAAACACHTuJAMy8FnjsA&#10;AAA5AAAAEAAAAAAAAAABACAAAAAJAQAAZHJzL3NoYXBleG1sLnhtbFBLBQYAAAAABgAGAFsBAACz&#10;AwAAAAA=&#10;">
                        <v:fill on="f" focussize="0,0"/>
                        <v:stroke on="f"/>
                        <v:imagedata o:title=""/>
                        <o:lock v:ext="edit" aspectratio="f"/>
                        <v:textbox>
                          <w:txbxContent>
                            <w:p w14:paraId="2D73B8E9">
                              <w:pPr>
                                <w:jc w:val="center"/>
                                <w:rPr>
                                  <w:rFonts w:hint="default" w:ascii="Times New Roman" w:hAnsi="Times New Roman" w:eastAsia="宋体" w:cs="Times New Roman"/>
                                  <w:sz w:val="18"/>
                                  <w:szCs w:val="18"/>
                                  <w:lang w:val="en-US"/>
                                </w:rPr>
                              </w:pPr>
                              <w:r>
                                <w:rPr>
                                  <w:rFonts w:hint="eastAsia" w:ascii="Times New Roman" w:hAnsi="Times New Roman" w:eastAsia="宋体" w:cs="Times New Roman"/>
                                  <w:sz w:val="18"/>
                                  <w:szCs w:val="18"/>
                                  <w:lang w:val="en-US" w:eastAsia="zh-CN"/>
                                </w:rPr>
                                <w:t>非</w:t>
                              </w:r>
                              <w:r>
                                <w:rPr>
                                  <w:rFonts w:hint="default" w:ascii="Times New Roman" w:hAnsi="Times New Roman" w:eastAsia="宋体" w:cs="Times New Roman"/>
                                  <w:sz w:val="18"/>
                                  <w:szCs w:val="18"/>
                                  <w:lang w:val="en-US" w:eastAsia="zh-CN"/>
                                </w:rPr>
                                <w:t>磁</w:t>
                              </w:r>
                              <w:r>
                                <w:rPr>
                                  <w:rFonts w:hint="eastAsia" w:ascii="Times New Roman" w:hAnsi="Times New Roman" w:eastAsia="宋体" w:cs="Times New Roman"/>
                                  <w:sz w:val="18"/>
                                  <w:szCs w:val="18"/>
                                  <w:lang w:val="en-US" w:eastAsia="zh-CN"/>
                                </w:rPr>
                                <w:t>性</w:t>
                              </w:r>
                            </w:p>
                          </w:txbxContent>
                        </v:textbox>
                      </v:shape>
                      <v:shape id="文本框 183" o:spid="_x0000_s1026" o:spt="202" type="#_x0000_t202" style="position:absolute;left:10496;top:667364;height:376;width:884;" fillcolor="#FFFFFF" filled="t" stroked="t" coordsize="21600,21600" o:gfxdata="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rQbw0b4A&#10;AADc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14:paraId="5EE78385">
                              <w:pPr>
                                <w:keepNext w:val="0"/>
                                <w:keepLines w:val="0"/>
                                <w:pageBreakBefore w:val="0"/>
                                <w:widowControl w:val="0"/>
                                <w:kinsoku/>
                                <w:wordWrap/>
                                <w:overflowPunct/>
                                <w:topLinePunct w:val="0"/>
                                <w:bidi w:val="0"/>
                                <w:adjustRightInd/>
                                <w:snapToGrid/>
                                <w:spacing w:line="220" w:lineRule="exact"/>
                                <w:jc w:val="center"/>
                                <w:textAlignment w:val="auto"/>
                                <w:rPr>
                                  <w:rFonts w:hint="default" w:ascii="Times New Roman" w:hAnsi="Times New Roman" w:eastAsia="宋体" w:cs="Times New Roman"/>
                                  <w:sz w:val="18"/>
                                  <w:szCs w:val="18"/>
                                  <w:highlight w:val="none"/>
                                  <w:lang w:val="en-US" w:eastAsia="zh-CN"/>
                                </w:rPr>
                              </w:pPr>
                              <w:r>
                                <w:rPr>
                                  <w:rFonts w:hint="default" w:ascii="Times New Roman" w:hAnsi="Times New Roman" w:eastAsia="宋体" w:cs="Times New Roman"/>
                                  <w:sz w:val="18"/>
                                  <w:szCs w:val="18"/>
                                  <w:highlight w:val="none"/>
                                  <w:lang w:val="en-US" w:eastAsia="zh-CN"/>
                                </w:rPr>
                                <w:t>脱水筛</w:t>
                              </w:r>
                            </w:p>
                          </w:txbxContent>
                        </v:textbox>
                      </v:shape>
                      <v:line id="直接连接符 184" o:spid="_x0000_s1026" o:spt="20" style="position:absolute;left:10922;top:667753;flip:x;height:396;width:1;" filled="f" stroked="t" coordsize="21600,21600" o:gfxdata="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ow1ozL4A&#10;AADcAAAADwAAAAAAAAABACAAAAAiAAAAZHJzL2Rvd25yZXYueG1sUEsBAhQAFAAAAAgAh07iQDMv&#10;BZ47AAAAOQAAABAAAAAAAAAAAQAgAAAADQEAAGRycy9zaGFwZXhtbC54bWxQSwUGAAAAAAYABgBb&#10;AQAAtwMAAAAA&#10;">
                        <v:fill on="f" focussize="0,0"/>
                        <v:stroke color="#000000" joinstyle="round" endarrow="open"/>
                        <v:imagedata o:title=""/>
                        <o:lock v:ext="edit" aspectratio="f"/>
                      </v:line>
                      <v:rect id="矩形 49" o:spid="_x0000_s1026" o:spt="1" style="position:absolute;left:8636;top:664581;height:336;width:1144;" filled="f" stroked="f" coordsize="21600,21600" o:gfxdata="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tTpsCb4A&#10;AADcAAAADwAAAAAAAAABACAAAAAiAAAAZHJzL2Rvd25yZXYueG1sUEsBAhQAFAAAAAgAh07iQDMv&#10;BZ47AAAAOQAAABAAAAAAAAAAAQAgAAAADQEAAGRycy9zaGFwZXhtbC54bWxQSwUGAAAAAAYABgBb&#10;AQAAtwMAAAAA&#10;">
                        <v:fill on="f" focussize="0,0"/>
                        <v:stroke on="f"/>
                        <v:imagedata o:title=""/>
                        <o:lock v:ext="edit" aspectratio="f"/>
                        <v:textbox>
                          <w:txbxContent>
                            <w:p w14:paraId="49C659E0">
                              <w:pPr>
                                <w:spacing w:line="0" w:lineRule="atLeast"/>
                                <w:jc w:val="center"/>
                                <w:rPr>
                                  <w:rFonts w:hint="eastAsia" w:eastAsia="宋体"/>
                                  <w:sz w:val="15"/>
                                  <w:szCs w:val="15"/>
                                  <w:lang w:val="en-US" w:eastAsia="zh-CN"/>
                                </w:rPr>
                              </w:pPr>
                              <w:r>
                                <w:rPr>
                                  <w:rFonts w:hint="eastAsia"/>
                                  <w:sz w:val="15"/>
                                  <w:szCs w:val="15"/>
                                </w:rPr>
                                <w:t>G、N</w:t>
                              </w:r>
                            </w:p>
                          </w:txbxContent>
                        </v:textbox>
                      </v:rect>
                      <v:shape id="直接箭头连接符 50" o:spid="_x0000_s1026" o:spt="32" type="#_x0000_t32" style="position:absolute;left:9189;top:664836;flip:y;height:200;width:0;" filled="f" stroked="t" coordsize="21600,21600" o:gfxdata="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G6LGjK/&#10;AAAA3AAAAA8AAAAAAAAAAQAgAAAAIgAAAGRycy9kb3ducmV2LnhtbFBLAQIUABQAAAAIAIdO4kAz&#10;LwWeOwAAADkAAAAQAAAAAAAAAAEAIAAAAA4BAABkcnMvc2hhcGV4bWwueG1sUEsFBgAAAAAGAAYA&#10;WwEAALgDAAAAAA==&#10;">
                        <v:fill on="f" focussize="0,0"/>
                        <v:stroke color="#000000" joinstyle="round" dashstyle="dash" endarrow="open" endarrowwidth="narrow" endarrowlength="short"/>
                        <v:imagedata o:title=""/>
                        <o:lock v:ext="edit" aspectratio="f"/>
                      </v:shape>
                      <v:group id="组合 189" o:spid="_x0000_s1026" o:spt="203" style="position:absolute;left:7073;top:663802;height:443;width:682;" coordsize="433449,281379" o:gfxdata="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AwKVCovwAAANwAAAAPAAAAAAAAAAEAIAAAACIAAABkcnMvZG93bnJldi54&#10;bWxQSwECFAAUAAAACACHTuJAMy8FnjsAAAA5AAAAFQAAAAAAAAABACAAAAAOAQAAZHJzL2dyb3Vw&#10;c2hhcGV4bWwueG1sUEsFBgAAAAAGAAYAYAEAAMsDAAAAAA==&#10;">
                        <o:lock v:ext="edit" aspectratio="f"/>
                        <v:rect id="矩形 49" o:spid="_x0000_s1026" o:spt="1" style="position:absolute;left:0;top:0;height:213327;width:433449;" filled="f" stroked="f" coordsize="21600,21600" o:gfxdata="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pU3Pkb4A&#10;AADcAAAADwAAAAAAAAABACAAAAAiAAAAZHJzL2Rvd25yZXYueG1sUEsBAhQAFAAAAAgAh07iQDMv&#10;BZ47AAAAOQAAABAAAAAAAAAAAQAgAAAADQEAAGRycy9zaGFwZXhtbC54bWxQSwUGAAAAAAYABgBb&#10;AQAAtwMAAAAA&#10;">
                          <v:fill on="f" focussize="0,0"/>
                          <v:stroke on="f"/>
                          <v:imagedata o:title=""/>
                          <o:lock v:ext="edit" aspectratio="f"/>
                          <v:textbox>
                            <w:txbxContent>
                              <w:p w14:paraId="5C2E54BB">
                                <w:pPr>
                                  <w:spacing w:line="0" w:lineRule="atLeast"/>
                                  <w:jc w:val="center"/>
                                  <w:rPr>
                                    <w:rFonts w:hint="eastAsia" w:eastAsia="宋体"/>
                                    <w:sz w:val="15"/>
                                    <w:szCs w:val="15"/>
                                    <w:lang w:val="en-US" w:eastAsia="zh-CN"/>
                                  </w:rPr>
                                </w:pPr>
                                <w:r>
                                  <w:rPr>
                                    <w:rFonts w:hint="eastAsia"/>
                                    <w:sz w:val="15"/>
                                    <w:szCs w:val="15"/>
                                  </w:rPr>
                                  <w:t>G</w:t>
                                </w:r>
                              </w:p>
                            </w:txbxContent>
                          </v:textbox>
                        </v:rect>
                        <v:shape id="直接箭头连接符 50" o:spid="_x0000_s1026" o:spt="32" type="#_x0000_t32" style="position:absolute;left:219693;top:154379;flip:y;height:127000;width:0;" filled="f" stroked="t" coordsize="21600,21600" o:gfxdata="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eWYRFvQAA&#10;ANwAAAAPAAAAAAAAAAEAIAAAACIAAABkcnMvZG93bnJldi54bWxQSwECFAAUAAAACACHTuJAMy8F&#10;njsAAAA5AAAAEAAAAAAAAAABACAAAAAMAQAAZHJzL3NoYXBleG1sLnhtbFBLBQYAAAAABgAGAFsB&#10;AAC2AwAAAAA=&#10;">
                          <v:fill on="f" focussize="0,0"/>
                          <v:stroke color="#000000" joinstyle="round" dashstyle="dash" endarrow="open" endarrowwidth="narrow" endarrowlength="short"/>
                          <v:imagedata o:title=""/>
                          <o:lock v:ext="edit" aspectratio="f"/>
                        </v:shape>
                      </v:group>
                      <v:group id="组合 318" o:spid="_x0000_s1026" o:spt="203" style="position:absolute;left:8594;top:663799;height:443;width:682;" coordsize="433449,281379" o:gfxdata="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">
                        <o:lock v:ext="edit" aspectratio="f"/>
                        <v:rect id="矩形 49" o:spid="_x0000_s1026" o:spt="1" style="position:absolute;left:0;top:0;height:213327;width:433449;" filled="f" stroked="f" coordsize="21600,21600" o:gfxdata="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NTSW+O/&#10;AAAA3AAAAA8AAAAAAAAAAQAgAAAAIgAAAGRycy9kb3ducmV2LnhtbFBLAQIUABQAAAAIAIdO4kAz&#10;LwWeOwAAADkAAAAQAAAAAAAAAAEAIAAAAA4BAABkcnMvc2hhcGV4bWwueG1sUEsFBgAAAAAGAAYA&#10;WwEAALgDAAAAAA==&#10;">
                          <v:fill on="f" focussize="0,0"/>
                          <v:stroke on="f"/>
                          <v:imagedata o:title=""/>
                          <o:lock v:ext="edit" aspectratio="f"/>
                          <v:textbox>
                            <w:txbxContent>
                              <w:p w14:paraId="2B9005EB">
                                <w:pPr>
                                  <w:spacing w:line="0" w:lineRule="atLeast"/>
                                  <w:jc w:val="center"/>
                                  <w:rPr>
                                    <w:rFonts w:hint="eastAsia" w:eastAsia="宋体"/>
                                    <w:sz w:val="15"/>
                                    <w:szCs w:val="15"/>
                                    <w:lang w:val="en-US" w:eastAsia="zh-CN"/>
                                  </w:rPr>
                                </w:pPr>
                                <w:r>
                                  <w:rPr>
                                    <w:rFonts w:hint="eastAsia"/>
                                    <w:sz w:val="15"/>
                                    <w:szCs w:val="15"/>
                                  </w:rPr>
                                  <w:t>G</w:t>
                                </w:r>
                              </w:p>
                            </w:txbxContent>
                          </v:textbox>
                        </v:rect>
                        <v:shape id="直接箭头连接符 50" o:spid="_x0000_s1026" o:spt="32" type="#_x0000_t32" style="position:absolute;left:219693;top:154379;flip:y;height:127000;width:0;" filled="f" stroked="t" coordsize="21600,21600" o:gfxdata="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JRpiuy8AAAA&#10;3AAAAA8AAAAAAAAAAQAgAAAAIgAAAGRycy9kb3ducmV2LnhtbFBLAQIUABQAAAAIAIdO4kAzLwWe&#10;OwAAADkAAAAQAAAAAAAAAAEAIAAAAAsBAABkcnMvc2hhcGV4bWwueG1sUEsFBgAAAAAGAAYAWwEA&#10;ALUDAAAAAA==&#10;">
                          <v:fill on="f" focussize="0,0"/>
                          <v:stroke color="#000000" joinstyle="round" dashstyle="dash" endarrow="open" endarrowwidth="narrow" endarrowlength="short"/>
                          <v:imagedata o:title=""/>
                          <o:lock v:ext="edit" aspectratio="f"/>
                        </v:shape>
                      </v:group>
                      <v:shape id="直接箭头连接符 50" o:spid="_x0000_s1026" o:spt="32" type="#_x0000_t32" style="position:absolute;left:9208;top:665611;flip:y;height:200;width:0;" filled="f" stroked="t" coordsize="21600,21600" o:gfxdata="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PslL3e/&#10;AAAA3AAAAA8AAAAAAAAAAQAgAAAAIgAAAGRycy9kb3ducmV2LnhtbFBLAQIUABQAAAAIAIdO4kAz&#10;LwWeOwAAADkAAAAQAAAAAAAAAAEAIAAAAA4BAABkcnMvc2hhcGV4bWwueG1sUEsFBgAAAAAGAAYA&#10;WwEAALgDAAAAAA==&#10;">
                        <v:fill on="f" focussize="0,0"/>
                        <v:stroke color="#000000" joinstyle="round" dashstyle="dash" endarrow="open" endarrowwidth="narrow" endarrowlength="short"/>
                        <v:imagedata o:title=""/>
                        <o:lock v:ext="edit" aspectratio="f"/>
                      </v:shape>
                      <v:rect id="矩形 49" o:spid="_x0000_s1026" o:spt="1" style="position:absolute;left:8651;top:665363;height:336;width:1144;" filled="f" stroked="f" coordsize="21600,21600" o:gfxdata="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F+vX0+/&#10;AAAA3AAAAA8AAAAAAAAAAQAgAAAAIgAAAGRycy9kb3ducmV2LnhtbFBLAQIUABQAAAAIAIdO4kAz&#10;LwWeOwAAADkAAAAQAAAAAAAAAAEAIAAAAA4BAABkcnMvc2hhcGV4bWwueG1sUEsFBgAAAAAGAAYA&#10;WwEAALgDAAAAAA==&#10;">
                        <v:fill on="f" focussize="0,0"/>
                        <v:stroke on="f"/>
                        <v:imagedata o:title=""/>
                        <o:lock v:ext="edit" aspectratio="f"/>
                        <v:textbox>
                          <w:txbxContent>
                            <w:p w14:paraId="742FF7FB">
                              <w:pPr>
                                <w:spacing w:line="0" w:lineRule="atLeast"/>
                                <w:jc w:val="center"/>
                                <w:rPr>
                                  <w:rFonts w:hint="eastAsia" w:eastAsia="宋体"/>
                                  <w:sz w:val="15"/>
                                  <w:szCs w:val="15"/>
                                  <w:lang w:val="en-US" w:eastAsia="zh-CN"/>
                                </w:rPr>
                              </w:pPr>
                              <w:r>
                                <w:rPr>
                                  <w:rFonts w:hint="eastAsia"/>
                                  <w:sz w:val="15"/>
                                  <w:szCs w:val="15"/>
                                </w:rPr>
                                <w:t>G、N</w:t>
                              </w:r>
                            </w:p>
                          </w:txbxContent>
                        </v:textbox>
                      </v:rect>
                      <v:shape id="直接箭头连接符 50" o:spid="_x0000_s1026" o:spt="32" type="#_x0000_t32" style="position:absolute;left:10927;top:665599;flip:y;height:200;width:0;" filled="f" stroked="t" coordsize="21600,21600" o:gfxdata="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kuxSbvQAA&#10;ANwAAAAPAAAAAAAAAAEAIAAAACIAAABkcnMvZG93bnJldi54bWxQSwECFAAUAAAACACHTuJAMy8F&#10;njsAAAA5AAAAEAAAAAAAAAABACAAAAAMAQAAZHJzL3NoYXBleG1sLnhtbFBLBQYAAAAABgAGAFsB&#10;AAC2AwAAAAA=&#10;">
                        <v:fill on="f" focussize="0,0"/>
                        <v:stroke color="#000000" joinstyle="round" dashstyle="dash" endarrow="open" endarrowwidth="narrow" endarrowlength="short"/>
                        <v:imagedata o:title=""/>
                        <o:lock v:ext="edit" aspectratio="f"/>
                      </v:shape>
                      <v:shape id="直接箭头连接符 50" o:spid="_x0000_s1026" o:spt="32" type="#_x0000_t32" style="position:absolute;left:10915;top:667150;flip:y;height:200;width:0;" filled="f" stroked="t" coordsize="21600,21600" o:gfxdata="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OtSjO+/&#10;AAAA3AAAAA8AAAAAAAAAAQAgAAAAIgAAAGRycy9kb3ducmV2LnhtbFBLAQIUABQAAAAIAIdO4kAz&#10;LwWeOwAAADkAAAAQAAAAAAAAAAEAIAAAAA4BAABkcnMvc2hhcGV4bWwueG1sUEsFBgAAAAAGAAYA&#10;WwEAALgDAAAAAA==&#10;">
                        <v:fill on="f" focussize="0,0"/>
                        <v:stroke color="#000000" joinstyle="round" dashstyle="dash" endarrow="open" endarrowwidth="narrow" endarrowlength="short"/>
                        <v:imagedata o:title=""/>
                        <o:lock v:ext="edit" aspectratio="f"/>
                      </v:shape>
                      <v:shape id="直接箭头连接符 50" o:spid="_x0000_s1026" o:spt="32" type="#_x0000_t32" style="position:absolute;left:9172;top:667181;flip:y;height:200;width:0;" filled="f" stroked="t" coordsize="21600,21600" o:gfxdata="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IQeKXS/&#10;AAAA3AAAAA8AAAAAAAAAAQAgAAAAIgAAAGRycy9kb3ducmV2LnhtbFBLAQIUABQAAAAIAIdO4kAz&#10;LwWeOwAAADkAAAAQAAAAAAAAAAEAIAAAAA4BAABkcnMvc2hhcGV4bWwueG1sUEsFBgAAAAAGAAYA&#10;WwEAALgDAAAAAA==&#10;">
                        <v:fill on="f" focussize="0,0"/>
                        <v:stroke color="#000000" joinstyle="round" dashstyle="dash" endarrow="open" endarrowwidth="narrow" endarrowlength="short"/>
                        <v:imagedata o:title=""/>
                        <o:lock v:ext="edit" aspectratio="f"/>
                      </v:shape>
                      <v:shape id="直接箭头连接符 50" o:spid="_x0000_s1026" o:spt="32" type="#_x0000_t32" style="position:absolute;left:9193;top:667977;flip:y;height:200;width:0;" filled="f" stroked="t" coordsize="21600,21600" o:gfxdata="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HTMtwO/&#10;AAAA3AAAAA8AAAAAAAAAAQAgAAAAIgAAAGRycy9kb3ducmV2LnhtbFBLAQIUABQAAAAIAIdO4kAz&#10;LwWeOwAAADkAAAAQAAAAAAAAAAEAIAAAAA4BAABkcnMvc2hhcGV4bWwueG1sUEsFBgAAAAAGAAYA&#10;WwEAALgDAAAAAA==&#10;">
                        <v:fill on="f" focussize="0,0"/>
                        <v:stroke color="#000000" joinstyle="round" dashstyle="dash" endarrow="open" endarrowwidth="narrow" endarrowlength="short"/>
                        <v:imagedata o:title=""/>
                        <o:lock v:ext="edit" aspectratio="f"/>
                      </v:shape>
                      <v:shape id="直接箭头连接符 50" o:spid="_x0000_s1026" o:spt="32" type="#_x0000_t32" style="position:absolute;left:9192;top:666404;flip:y;height:200;width:0;" filled="f" stroked="t" coordsize="21600,21600" o:gfxdata="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BuAEpi/&#10;AAAA3AAAAA8AAAAAAAAAAQAgAAAAIgAAAGRycy9kb3ducmV2LnhtbFBLAQIUABQAAAAIAIdO4kAz&#10;LwWeOwAAADkAAAAQAAAAAAAAAAEAIAAAAA4BAABkcnMvc2hhcGV4bWwueG1sUEsFBgAAAAAGAAYA&#10;WwEAALgDAAAAAA==&#10;">
                        <v:fill on="f" focussize="0,0"/>
                        <v:stroke color="#000000" joinstyle="round" dashstyle="dash" endarrow="open" endarrowwidth="narrow" endarrowlength="short"/>
                        <v:imagedata o:title=""/>
                        <o:lock v:ext="edit" aspectratio="f"/>
                      </v:shape>
                      <v:rect id="矩形 49" o:spid="_x0000_s1026" o:spt="1" style="position:absolute;left:8675;top:666150;height:336;width:1144;" filled="f" stroked="f" coordsize="21600,21600" o:gfxdata="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PS/PsC/&#10;AAAA3AAAAA8AAAAAAAAAAQAgAAAAIgAAAGRycy9kb3ducmV2LnhtbFBLAQIUABQAAAAIAIdO4kAz&#10;LwWeOwAAADkAAAAQAAAAAAAAAAEAIAAAAA4BAABkcnMvc2hhcGV4bWwueG1sUEsFBgAAAAAGAAYA&#10;WwEAALgDAAAAAA==&#10;">
                        <v:fill on="f" focussize="0,0"/>
                        <v:stroke on="f"/>
                        <v:imagedata o:title=""/>
                        <o:lock v:ext="edit" aspectratio="f"/>
                        <v:textbox>
                          <w:txbxContent>
                            <w:p w14:paraId="7C887DF6">
                              <w:pPr>
                                <w:spacing w:line="0" w:lineRule="atLeast"/>
                                <w:jc w:val="center"/>
                                <w:rPr>
                                  <w:rFonts w:hint="default" w:eastAsia="宋体"/>
                                  <w:sz w:val="15"/>
                                  <w:szCs w:val="15"/>
                                  <w:lang w:val="en-US" w:eastAsia="zh-CN"/>
                                </w:rPr>
                              </w:pPr>
                              <w:r>
                                <w:rPr>
                                  <w:rFonts w:hint="eastAsia"/>
                                  <w:sz w:val="15"/>
                                  <w:szCs w:val="15"/>
                                </w:rPr>
                                <w:t>N</w:t>
                              </w:r>
                              <w:r>
                                <w:rPr>
                                  <w:rFonts w:hint="eastAsia"/>
                                  <w:sz w:val="15"/>
                                  <w:szCs w:val="15"/>
                                  <w:lang w:val="en-US" w:eastAsia="zh-CN"/>
                                </w:rPr>
                                <w:t>、S</w:t>
                              </w:r>
                            </w:p>
                          </w:txbxContent>
                        </v:textbox>
                      </v:rect>
                      <v:rect id="矩形 49" o:spid="_x0000_s1026" o:spt="1" style="position:absolute;left:10373;top:665340;height:336;width:1144;" filled="f" stroked="f" coordsize="21600,21600" o:gfxdata="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Jvzm1u/&#10;AAAA3AAAAA8AAAAAAAAAAQAgAAAAIgAAAGRycy9kb3ducmV2LnhtbFBLAQIUABQAAAAIAIdO4kAz&#10;LwWeOwAAADkAAAAQAAAAAAAAAAEAIAAAAA4BAABkcnMvc2hhcGV4bWwueG1sUEsFBgAAAAAGAAYA&#10;WwEAALgDAAAAAA==&#10;">
                        <v:fill on="f" focussize="0,0"/>
                        <v:stroke on="f"/>
                        <v:imagedata o:title=""/>
                        <o:lock v:ext="edit" aspectratio="f"/>
                        <v:textbox>
                          <w:txbxContent>
                            <w:p w14:paraId="07463608">
                              <w:pPr>
                                <w:spacing w:line="0" w:lineRule="atLeast"/>
                                <w:jc w:val="center"/>
                                <w:rPr>
                                  <w:rFonts w:hint="eastAsia" w:eastAsia="宋体"/>
                                  <w:sz w:val="15"/>
                                  <w:szCs w:val="15"/>
                                  <w:lang w:val="en-US" w:eastAsia="zh-CN"/>
                                </w:rPr>
                              </w:pPr>
                              <w:r>
                                <w:rPr>
                                  <w:rFonts w:hint="eastAsia"/>
                                  <w:sz w:val="15"/>
                                  <w:szCs w:val="15"/>
                                </w:rPr>
                                <w:t>G、N</w:t>
                              </w:r>
                            </w:p>
                          </w:txbxContent>
                        </v:textbox>
                      </v:rect>
                      <v:rect id="矩形 49" o:spid="_x0000_s1026" o:spt="1" style="position:absolute;left:8615;top:666935;height:336;width:1144;" filled="f" stroked="f" coordsize="21600,21600" o:gfxdata="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rIQUsvQAA&#10;ANwAAAAPAAAAAAAAAAEAIAAAACIAAABkcnMvZG93bnJldi54bWxQSwECFAAUAAAACACHTuJAMy8F&#10;njsAAAA5AAAAEAAAAAAAAAABACAAAAAMAQAAZHJzL3NoYXBleG1sLnhtbFBLBQYAAAAABgAGAFsB&#10;AAC2AwAAAAA=&#10;">
                        <v:fill on="f" focussize="0,0"/>
                        <v:stroke on="f"/>
                        <v:imagedata o:title=""/>
                        <o:lock v:ext="edit" aspectratio="f"/>
                        <v:textbox>
                          <w:txbxContent>
                            <w:p w14:paraId="6AEEA925">
                              <w:pPr>
                                <w:spacing w:line="0" w:lineRule="atLeast"/>
                                <w:jc w:val="center"/>
                                <w:rPr>
                                  <w:rFonts w:hint="eastAsia" w:eastAsia="宋体"/>
                                  <w:sz w:val="15"/>
                                  <w:szCs w:val="15"/>
                                  <w:lang w:val="en-US" w:eastAsia="zh-CN"/>
                                </w:rPr>
                              </w:pPr>
                              <w:r>
                                <w:rPr>
                                  <w:rFonts w:hint="eastAsia"/>
                                  <w:sz w:val="15"/>
                                  <w:szCs w:val="15"/>
                                </w:rPr>
                                <w:t>N</w:t>
                              </w:r>
                            </w:p>
                          </w:txbxContent>
                        </v:textbox>
                      </v:rect>
                      <v:rect id="矩形 49" o:spid="_x0000_s1026" o:spt="1" style="position:absolute;left:10328;top:666891;height:336;width:1144;" filled="f" stroked="f" coordsize="21600,21600" o:gfxdata="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ARtoLe/&#10;AAAA3AAAAA8AAAAAAAAAAQAgAAAAIgAAAGRycy9kb3ducmV2LnhtbFBLAQIUABQAAAAIAIdO4kAz&#10;LwWeOwAAADkAAAAQAAAAAAAAAAEAIAAAAA4BAABkcnMvc2hhcGV4bWwueG1sUEsFBgAAAAAGAAYA&#10;WwEAALgDAAAAAA==&#10;">
                        <v:fill on="f" focussize="0,0"/>
                        <v:stroke on="f"/>
                        <v:imagedata o:title=""/>
                        <o:lock v:ext="edit" aspectratio="f"/>
                        <v:textbox>
                          <w:txbxContent>
                            <w:p w14:paraId="358DD5EF">
                              <w:pPr>
                                <w:spacing w:line="0" w:lineRule="atLeast"/>
                                <w:jc w:val="center"/>
                                <w:rPr>
                                  <w:rFonts w:hint="eastAsia" w:eastAsia="宋体"/>
                                  <w:sz w:val="15"/>
                                  <w:szCs w:val="15"/>
                                  <w:lang w:val="en-US" w:eastAsia="zh-CN"/>
                                </w:rPr>
                              </w:pPr>
                              <w:r>
                                <w:rPr>
                                  <w:rFonts w:hint="eastAsia"/>
                                  <w:sz w:val="15"/>
                                  <w:szCs w:val="15"/>
                                  <w:lang w:val="en-US" w:eastAsia="zh-CN"/>
                                </w:rPr>
                                <w:t>W</w:t>
                              </w:r>
                              <w:r>
                                <w:rPr>
                                  <w:rFonts w:hint="eastAsia"/>
                                  <w:sz w:val="15"/>
                                  <w:szCs w:val="15"/>
                                </w:rPr>
                                <w:t>、N</w:t>
                              </w:r>
                            </w:p>
                          </w:txbxContent>
                        </v:textbox>
                      </v:rect>
                      <v:rect id="矩形 49" o:spid="_x0000_s1026" o:spt="1" style="position:absolute;left:8685;top:667728;height:336;width:1144;" filled="f" stroked="f" coordsize="21600,21600" o:gfxdata="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18jTFugAAANwA&#10;AAAPAAAAAAAAAAEAIAAAACIAAABkcnMvZG93bnJldi54bWxQSwECFAAUAAAACACHTuJAMy8FnjsA&#10;AAA5AAAAEAAAAAAAAAABACAAAAAJAQAAZHJzL3NoYXBleG1sLnhtbFBLBQYAAAAABgAGAFsBAACz&#10;AwAAAAA=&#10;">
                        <v:fill on="f" focussize="0,0"/>
                        <v:stroke on="f"/>
                        <v:imagedata o:title=""/>
                        <o:lock v:ext="edit" aspectratio="f"/>
                        <v:textbox>
                          <w:txbxContent>
                            <w:p w14:paraId="081F0C46">
                              <w:pPr>
                                <w:spacing w:line="0" w:lineRule="atLeast"/>
                                <w:jc w:val="center"/>
                                <w:rPr>
                                  <w:rFonts w:hint="eastAsia" w:eastAsia="宋体"/>
                                  <w:sz w:val="15"/>
                                  <w:szCs w:val="15"/>
                                  <w:lang w:val="en-US" w:eastAsia="zh-CN"/>
                                </w:rPr>
                              </w:pPr>
                              <w:r>
                                <w:rPr>
                                  <w:rFonts w:hint="eastAsia"/>
                                  <w:sz w:val="15"/>
                                  <w:szCs w:val="15"/>
                                  <w:lang w:val="en-US" w:eastAsia="zh-CN"/>
                                </w:rPr>
                                <w:t>W</w:t>
                              </w:r>
                              <w:r>
                                <w:rPr>
                                  <w:rFonts w:hint="eastAsia"/>
                                  <w:sz w:val="15"/>
                                  <w:szCs w:val="15"/>
                                </w:rPr>
                                <w:t>、N</w:t>
                              </w:r>
                            </w:p>
                          </w:txbxContent>
                        </v:textbox>
                      </v:rect>
                    </v:group>
                  </w:pict>
                </mc:Fallback>
              </mc:AlternateContent>
            </w:r>
            <w:r>
              <w:rPr>
                <w:rFonts w:hint="eastAsia" w:ascii="Times New Roman" w:hAnsi="Times New Roman" w:eastAsia="宋体" w:cs="Times New Roman"/>
                <w:b/>
                <w:bCs/>
                <w:color w:val="auto"/>
                <w:sz w:val="21"/>
                <w:szCs w:val="21"/>
              </w:rPr>
              <w:t>本工序产污节点：</w:t>
            </w:r>
            <w:r>
              <w:rPr>
                <w:rFonts w:hint="eastAsia" w:ascii="Times New Roman" w:hAnsi="Times New Roman" w:eastAsia="宋体" w:cs="Times New Roman"/>
                <w:b/>
                <w:bCs/>
                <w:color w:val="auto"/>
                <w:sz w:val="21"/>
                <w:szCs w:val="21"/>
                <w:lang w:val="en-US" w:eastAsia="zh-CN"/>
              </w:rPr>
              <w:t>脱水筛脱水、过滤机脱水过程中</w:t>
            </w:r>
            <w:r>
              <w:rPr>
                <w:rFonts w:hint="eastAsia" w:ascii="Times New Roman" w:hAnsi="Times New Roman" w:eastAsia="宋体" w:cs="Times New Roman"/>
                <w:b/>
                <w:bCs/>
                <w:color w:val="auto"/>
                <w:sz w:val="21"/>
                <w:szCs w:val="21"/>
              </w:rPr>
              <w:t>产</w:t>
            </w:r>
            <w:r>
              <w:rPr>
                <w:rFonts w:hint="eastAsia" w:ascii="Times New Roman" w:hAnsi="Times New Roman" w:eastAsia="宋体" w:cs="Times New Roman"/>
                <w:b/>
                <w:bCs/>
                <w:color w:val="auto"/>
                <w:sz w:val="21"/>
                <w:szCs w:val="21"/>
                <w:lang w:val="en-US" w:eastAsia="zh-CN"/>
              </w:rPr>
              <w:t>生废水；脱水筛、过滤机运行产生的设备噪声。</w:t>
            </w:r>
          </w:p>
          <w:p w14:paraId="361ADFFA">
            <w:pPr>
              <w:pStyle w:val="24"/>
              <w:keepNext w:val="0"/>
              <w:keepLines w:val="0"/>
              <w:pageBreakBefore w:val="0"/>
              <w:widowControl/>
              <w:kinsoku/>
              <w:wordWrap/>
              <w:overflowPunct/>
              <w:topLinePunct w:val="0"/>
              <w:autoSpaceDE/>
              <w:autoSpaceDN/>
              <w:bidi w:val="0"/>
              <w:adjustRightInd w:val="0"/>
              <w:snapToGrid w:val="0"/>
              <w:spacing w:before="0" w:beforeAutospacing="0" w:after="0" w:afterAutospacing="0" w:line="440" w:lineRule="exact"/>
              <w:ind w:firstLine="420" w:firstLineChars="200"/>
              <w:textAlignment w:val="auto"/>
              <w:rPr>
                <w:rFonts w:hint="eastAsia" w:ascii="Times New Roman" w:hAnsi="Times New Roman" w:cs="Times New Roman"/>
                <w:color w:val="auto"/>
                <w:sz w:val="21"/>
                <w:szCs w:val="21"/>
                <w:lang w:eastAsia="zh-CN"/>
              </w:rPr>
            </w:pPr>
          </w:p>
          <w:p w14:paraId="654812E4">
            <w:pPr>
              <w:pStyle w:val="24"/>
              <w:keepNext w:val="0"/>
              <w:keepLines w:val="0"/>
              <w:pageBreakBefore w:val="0"/>
              <w:widowControl/>
              <w:kinsoku/>
              <w:wordWrap/>
              <w:overflowPunct/>
              <w:topLinePunct w:val="0"/>
              <w:autoSpaceDE/>
              <w:autoSpaceDN/>
              <w:bidi w:val="0"/>
              <w:adjustRightInd w:val="0"/>
              <w:snapToGrid w:val="0"/>
              <w:spacing w:before="0" w:beforeAutospacing="0" w:after="0" w:afterAutospacing="0" w:line="440" w:lineRule="exact"/>
              <w:ind w:firstLine="420" w:firstLineChars="200"/>
              <w:textAlignment w:val="auto"/>
              <w:rPr>
                <w:rFonts w:hint="eastAsia" w:ascii="Times New Roman" w:hAnsi="Times New Roman" w:cs="Times New Roman"/>
                <w:color w:val="auto"/>
                <w:sz w:val="21"/>
                <w:szCs w:val="21"/>
                <w:lang w:eastAsia="zh-CN"/>
              </w:rPr>
            </w:pPr>
          </w:p>
          <w:p w14:paraId="454AED4D">
            <w:pPr>
              <w:pStyle w:val="24"/>
              <w:keepNext w:val="0"/>
              <w:keepLines w:val="0"/>
              <w:pageBreakBefore w:val="0"/>
              <w:widowControl/>
              <w:kinsoku/>
              <w:wordWrap/>
              <w:overflowPunct/>
              <w:topLinePunct w:val="0"/>
              <w:autoSpaceDE/>
              <w:autoSpaceDN/>
              <w:bidi w:val="0"/>
              <w:adjustRightInd w:val="0"/>
              <w:snapToGrid w:val="0"/>
              <w:spacing w:before="0" w:beforeAutospacing="0" w:after="0" w:afterAutospacing="0" w:line="440" w:lineRule="exact"/>
              <w:ind w:firstLine="420" w:firstLineChars="200"/>
              <w:textAlignment w:val="auto"/>
              <w:rPr>
                <w:rFonts w:hint="eastAsia" w:ascii="Times New Roman" w:hAnsi="Times New Roman" w:cs="Times New Roman"/>
                <w:color w:val="auto"/>
                <w:sz w:val="21"/>
                <w:szCs w:val="21"/>
                <w:lang w:eastAsia="zh-CN"/>
              </w:rPr>
            </w:pPr>
          </w:p>
          <w:p w14:paraId="344D0000">
            <w:pPr>
              <w:pStyle w:val="24"/>
              <w:keepNext w:val="0"/>
              <w:keepLines w:val="0"/>
              <w:pageBreakBefore w:val="0"/>
              <w:widowControl/>
              <w:kinsoku/>
              <w:wordWrap/>
              <w:overflowPunct/>
              <w:topLinePunct w:val="0"/>
              <w:autoSpaceDE/>
              <w:autoSpaceDN/>
              <w:bidi w:val="0"/>
              <w:adjustRightInd w:val="0"/>
              <w:snapToGrid w:val="0"/>
              <w:spacing w:before="0" w:beforeAutospacing="0" w:after="0" w:afterAutospacing="0" w:line="440" w:lineRule="exact"/>
              <w:ind w:firstLine="420" w:firstLineChars="200"/>
              <w:textAlignment w:val="auto"/>
              <w:rPr>
                <w:rFonts w:hint="eastAsia" w:ascii="Times New Roman" w:hAnsi="Times New Roman" w:cs="Times New Roman"/>
                <w:color w:val="auto"/>
                <w:sz w:val="21"/>
                <w:szCs w:val="21"/>
                <w:lang w:eastAsia="zh-CN"/>
              </w:rPr>
            </w:pPr>
          </w:p>
          <w:p w14:paraId="153AC88C">
            <w:pPr>
              <w:pStyle w:val="24"/>
              <w:keepNext w:val="0"/>
              <w:keepLines w:val="0"/>
              <w:pageBreakBefore w:val="0"/>
              <w:widowControl/>
              <w:kinsoku/>
              <w:wordWrap/>
              <w:overflowPunct/>
              <w:topLinePunct w:val="0"/>
              <w:autoSpaceDE/>
              <w:autoSpaceDN/>
              <w:bidi w:val="0"/>
              <w:adjustRightInd w:val="0"/>
              <w:snapToGrid w:val="0"/>
              <w:spacing w:before="0" w:beforeAutospacing="0" w:after="0" w:afterAutospacing="0" w:line="440" w:lineRule="exact"/>
              <w:ind w:firstLine="420" w:firstLineChars="200"/>
              <w:textAlignment w:val="auto"/>
              <w:rPr>
                <w:rFonts w:hint="eastAsia" w:ascii="Times New Roman" w:hAnsi="Times New Roman" w:cs="Times New Roman"/>
                <w:color w:val="auto"/>
                <w:sz w:val="21"/>
                <w:szCs w:val="21"/>
                <w:lang w:eastAsia="zh-CN"/>
              </w:rPr>
            </w:pPr>
          </w:p>
          <w:p w14:paraId="7D72C1A0">
            <w:pPr>
              <w:pStyle w:val="24"/>
              <w:keepNext w:val="0"/>
              <w:keepLines w:val="0"/>
              <w:pageBreakBefore w:val="0"/>
              <w:widowControl/>
              <w:kinsoku/>
              <w:wordWrap/>
              <w:overflowPunct/>
              <w:topLinePunct w:val="0"/>
              <w:autoSpaceDE/>
              <w:autoSpaceDN/>
              <w:bidi w:val="0"/>
              <w:adjustRightInd w:val="0"/>
              <w:snapToGrid w:val="0"/>
              <w:spacing w:before="0" w:beforeAutospacing="0" w:after="0" w:afterAutospacing="0" w:line="440" w:lineRule="exact"/>
              <w:ind w:firstLine="420" w:firstLineChars="200"/>
              <w:textAlignment w:val="auto"/>
              <w:rPr>
                <w:rFonts w:hint="eastAsia" w:ascii="Times New Roman" w:hAnsi="Times New Roman" w:cs="Times New Roman"/>
                <w:color w:val="auto"/>
                <w:sz w:val="21"/>
                <w:szCs w:val="21"/>
                <w:lang w:eastAsia="zh-CN"/>
              </w:rPr>
            </w:pPr>
          </w:p>
          <w:p w14:paraId="2C670CF7">
            <w:pPr>
              <w:pStyle w:val="24"/>
              <w:keepNext w:val="0"/>
              <w:keepLines w:val="0"/>
              <w:pageBreakBefore w:val="0"/>
              <w:widowControl/>
              <w:kinsoku/>
              <w:wordWrap/>
              <w:overflowPunct/>
              <w:topLinePunct w:val="0"/>
              <w:autoSpaceDE/>
              <w:autoSpaceDN/>
              <w:bidi w:val="0"/>
              <w:adjustRightInd w:val="0"/>
              <w:snapToGrid w:val="0"/>
              <w:spacing w:before="0" w:beforeAutospacing="0" w:after="0" w:afterAutospacing="0" w:line="440" w:lineRule="exact"/>
              <w:ind w:firstLine="420" w:firstLineChars="200"/>
              <w:textAlignment w:val="auto"/>
              <w:rPr>
                <w:rFonts w:hint="eastAsia" w:ascii="Times New Roman" w:hAnsi="Times New Roman" w:cs="Times New Roman"/>
                <w:color w:val="auto"/>
                <w:sz w:val="21"/>
                <w:szCs w:val="21"/>
                <w:lang w:eastAsia="zh-CN"/>
              </w:rPr>
            </w:pPr>
          </w:p>
          <w:p w14:paraId="0DE2792F">
            <w:pPr>
              <w:pStyle w:val="24"/>
              <w:keepNext w:val="0"/>
              <w:keepLines w:val="0"/>
              <w:pageBreakBefore w:val="0"/>
              <w:widowControl/>
              <w:kinsoku/>
              <w:wordWrap/>
              <w:overflowPunct/>
              <w:topLinePunct w:val="0"/>
              <w:autoSpaceDE/>
              <w:autoSpaceDN/>
              <w:bidi w:val="0"/>
              <w:adjustRightInd w:val="0"/>
              <w:snapToGrid w:val="0"/>
              <w:spacing w:before="0" w:beforeAutospacing="0" w:after="0" w:afterAutospacing="0" w:line="440" w:lineRule="exact"/>
              <w:ind w:firstLine="420" w:firstLineChars="200"/>
              <w:textAlignment w:val="auto"/>
              <w:rPr>
                <w:rFonts w:hint="eastAsia" w:ascii="Times New Roman" w:hAnsi="Times New Roman" w:cs="Times New Roman"/>
                <w:color w:val="auto"/>
                <w:sz w:val="21"/>
                <w:szCs w:val="21"/>
                <w:lang w:eastAsia="zh-CN"/>
              </w:rPr>
            </w:pPr>
          </w:p>
          <w:p w14:paraId="0BCA335C">
            <w:pPr>
              <w:pStyle w:val="24"/>
              <w:keepNext w:val="0"/>
              <w:keepLines w:val="0"/>
              <w:pageBreakBefore w:val="0"/>
              <w:widowControl/>
              <w:kinsoku/>
              <w:wordWrap/>
              <w:overflowPunct/>
              <w:topLinePunct w:val="0"/>
              <w:autoSpaceDE/>
              <w:autoSpaceDN/>
              <w:bidi w:val="0"/>
              <w:adjustRightInd w:val="0"/>
              <w:snapToGrid w:val="0"/>
              <w:spacing w:before="0" w:beforeAutospacing="0" w:after="0" w:afterAutospacing="0" w:line="440" w:lineRule="exact"/>
              <w:ind w:firstLine="420" w:firstLineChars="200"/>
              <w:textAlignment w:val="auto"/>
              <w:rPr>
                <w:rFonts w:hint="eastAsia" w:ascii="Times New Roman" w:hAnsi="Times New Roman" w:cs="Times New Roman"/>
                <w:color w:val="auto"/>
                <w:sz w:val="21"/>
                <w:szCs w:val="21"/>
                <w:lang w:eastAsia="zh-CN"/>
              </w:rPr>
            </w:pPr>
          </w:p>
          <w:p w14:paraId="502E4056">
            <w:pPr>
              <w:pStyle w:val="24"/>
              <w:keepNext w:val="0"/>
              <w:keepLines w:val="0"/>
              <w:pageBreakBefore w:val="0"/>
              <w:widowControl/>
              <w:kinsoku/>
              <w:wordWrap/>
              <w:overflowPunct/>
              <w:topLinePunct w:val="0"/>
              <w:autoSpaceDE/>
              <w:autoSpaceDN/>
              <w:bidi w:val="0"/>
              <w:adjustRightInd w:val="0"/>
              <w:snapToGrid w:val="0"/>
              <w:spacing w:before="0" w:beforeAutospacing="0" w:after="0" w:afterAutospacing="0" w:line="440" w:lineRule="exact"/>
              <w:ind w:firstLine="420" w:firstLineChars="200"/>
              <w:textAlignment w:val="auto"/>
              <w:rPr>
                <w:rFonts w:hint="eastAsia" w:ascii="Times New Roman" w:hAnsi="Times New Roman" w:cs="Times New Roman"/>
                <w:color w:val="auto"/>
                <w:sz w:val="21"/>
                <w:szCs w:val="21"/>
                <w:lang w:eastAsia="zh-CN"/>
              </w:rPr>
            </w:pPr>
          </w:p>
          <w:p w14:paraId="69FE3FB9">
            <w:pPr>
              <w:pStyle w:val="24"/>
              <w:keepNext w:val="0"/>
              <w:keepLines w:val="0"/>
              <w:pageBreakBefore w:val="0"/>
              <w:widowControl/>
              <w:kinsoku/>
              <w:wordWrap/>
              <w:overflowPunct/>
              <w:topLinePunct w:val="0"/>
              <w:autoSpaceDE/>
              <w:autoSpaceDN/>
              <w:bidi w:val="0"/>
              <w:adjustRightInd w:val="0"/>
              <w:snapToGrid w:val="0"/>
              <w:spacing w:before="0" w:beforeAutospacing="0" w:after="0" w:afterAutospacing="0" w:line="440" w:lineRule="exact"/>
              <w:ind w:firstLine="420" w:firstLineChars="200"/>
              <w:textAlignment w:val="auto"/>
              <w:rPr>
                <w:rFonts w:hint="eastAsia" w:ascii="Times New Roman" w:hAnsi="Times New Roman" w:cs="Times New Roman"/>
                <w:color w:val="auto"/>
                <w:sz w:val="21"/>
                <w:szCs w:val="21"/>
                <w:lang w:eastAsia="zh-CN"/>
              </w:rPr>
            </w:pPr>
          </w:p>
          <w:p w14:paraId="4F8DF781">
            <w:pPr>
              <w:pStyle w:val="24"/>
              <w:keepNext w:val="0"/>
              <w:keepLines w:val="0"/>
              <w:pageBreakBefore w:val="0"/>
              <w:widowControl/>
              <w:kinsoku/>
              <w:wordWrap/>
              <w:overflowPunct/>
              <w:topLinePunct w:val="0"/>
              <w:autoSpaceDE/>
              <w:autoSpaceDN/>
              <w:bidi w:val="0"/>
              <w:adjustRightInd w:val="0"/>
              <w:snapToGrid w:val="0"/>
              <w:spacing w:before="0" w:beforeAutospacing="0" w:after="0" w:afterAutospacing="0" w:line="440" w:lineRule="exact"/>
              <w:ind w:firstLine="420" w:firstLineChars="200"/>
              <w:textAlignment w:val="auto"/>
              <w:rPr>
                <w:rFonts w:hint="eastAsia" w:ascii="Times New Roman" w:hAnsi="Times New Roman" w:cs="Times New Roman"/>
                <w:color w:val="auto"/>
                <w:sz w:val="21"/>
                <w:szCs w:val="21"/>
                <w:lang w:eastAsia="zh-CN"/>
              </w:rPr>
            </w:pPr>
          </w:p>
          <w:p w14:paraId="1A3745C2">
            <w:pPr>
              <w:pStyle w:val="24"/>
              <w:adjustRightInd w:val="0"/>
              <w:snapToGrid w:val="0"/>
              <w:spacing w:before="0" w:beforeAutospacing="0" w:after="0" w:afterAutospacing="0" w:line="440" w:lineRule="exact"/>
              <w:jc w:val="center"/>
              <w:rPr>
                <w:rFonts w:ascii="Times New Roman" w:hAnsi="Times New Roman"/>
                <w:b/>
                <w:color w:val="auto"/>
                <w:sz w:val="21"/>
                <w:szCs w:val="21"/>
                <w:highlight w:val="none"/>
              </w:rPr>
            </w:pPr>
            <w:r>
              <w:rPr>
                <w:rFonts w:hint="eastAsia" w:ascii="Times New Roman" w:hAnsi="Times New Roman"/>
                <w:b/>
                <w:color w:val="auto"/>
                <w:sz w:val="21"/>
                <w:szCs w:val="21"/>
                <w:highlight w:val="none"/>
              </w:rPr>
              <w:t>图</w:t>
            </w:r>
            <w:r>
              <w:rPr>
                <w:rFonts w:hint="eastAsia" w:ascii="Times New Roman" w:hAnsi="Times New Roman"/>
                <w:b/>
                <w:color w:val="auto"/>
                <w:sz w:val="21"/>
                <w:szCs w:val="21"/>
                <w:highlight w:val="none"/>
                <w:lang w:val="en-US" w:eastAsia="zh-CN"/>
              </w:rPr>
              <w:t>4</w:t>
            </w:r>
            <w:r>
              <w:rPr>
                <w:rFonts w:hint="eastAsia" w:ascii="Times New Roman" w:hAnsi="Times New Roman"/>
                <w:b/>
                <w:color w:val="auto"/>
                <w:sz w:val="21"/>
                <w:szCs w:val="21"/>
                <w:highlight w:val="none"/>
              </w:rPr>
              <w:t xml:space="preserve"> </w:t>
            </w:r>
            <w:r>
              <w:rPr>
                <w:rFonts w:hint="eastAsia" w:ascii="Times New Roman" w:hAnsi="Times New Roman"/>
                <w:b/>
                <w:color w:val="auto"/>
                <w:sz w:val="21"/>
                <w:szCs w:val="21"/>
                <w:highlight w:val="none"/>
                <w:lang w:val="en-US" w:eastAsia="zh-CN"/>
              </w:rPr>
              <w:t>钢渣处理</w:t>
            </w:r>
            <w:r>
              <w:rPr>
                <w:rFonts w:ascii="Times New Roman" w:hAnsi="Times New Roman"/>
                <w:b/>
                <w:color w:val="auto"/>
                <w:sz w:val="21"/>
                <w:szCs w:val="21"/>
                <w:highlight w:val="none"/>
              </w:rPr>
              <w:t>生产工艺流程及排污节点图</w:t>
            </w:r>
          </w:p>
          <w:p w14:paraId="08AE44FE">
            <w:pPr>
              <w:pStyle w:val="24"/>
              <w:keepNext w:val="0"/>
              <w:keepLines w:val="0"/>
              <w:pageBreakBefore w:val="0"/>
              <w:widowControl/>
              <w:kinsoku/>
              <w:wordWrap/>
              <w:overflowPunct/>
              <w:topLinePunct w:val="0"/>
              <w:autoSpaceDE/>
              <w:autoSpaceDN/>
              <w:bidi w:val="0"/>
              <w:adjustRightInd w:val="0"/>
              <w:snapToGrid w:val="0"/>
              <w:spacing w:before="0" w:beforeAutospacing="0" w:after="0" w:afterAutospacing="0" w:line="430" w:lineRule="exact"/>
              <w:ind w:firstLine="422" w:firstLineChars="200"/>
              <w:textAlignment w:val="auto"/>
              <w:rPr>
                <w:rFonts w:hint="default" w:ascii="Times New Roman" w:hAnsi="Times New Roman" w:eastAsia="宋体"/>
                <w:b/>
                <w:bCs/>
                <w:color w:val="auto"/>
                <w:sz w:val="21"/>
                <w:szCs w:val="21"/>
                <w:lang w:val="en-US" w:eastAsia="zh-CN"/>
              </w:rPr>
            </w:pPr>
            <w:r>
              <w:rPr>
                <w:rFonts w:hint="eastAsia" w:ascii="Times New Roman" w:hAnsi="Times New Roman"/>
                <w:b/>
                <w:bCs/>
                <w:color w:val="auto"/>
                <w:sz w:val="21"/>
                <w:szCs w:val="21"/>
                <w:lang w:val="en-US" w:eastAsia="zh-CN"/>
              </w:rPr>
              <w:t>2.废钢破碎尾料分选生产线</w:t>
            </w:r>
            <w:r>
              <w:rPr>
                <w:rFonts w:hint="eastAsia" w:ascii="Times New Roman" w:hAnsi="Times New Roman"/>
                <w:b/>
                <w:color w:val="auto"/>
                <w:sz w:val="21"/>
                <w:szCs w:val="21"/>
              </w:rPr>
              <w:t>工艺流程简介</w:t>
            </w:r>
          </w:p>
          <w:p w14:paraId="6DFE104E">
            <w:pPr>
              <w:pStyle w:val="24"/>
              <w:keepNext w:val="0"/>
              <w:keepLines w:val="0"/>
              <w:pageBreakBefore w:val="0"/>
              <w:widowControl/>
              <w:kinsoku/>
              <w:wordWrap/>
              <w:overflowPunct/>
              <w:topLinePunct w:val="0"/>
              <w:autoSpaceDE/>
              <w:autoSpaceDN/>
              <w:bidi w:val="0"/>
              <w:adjustRightInd w:val="0"/>
              <w:snapToGrid w:val="0"/>
              <w:spacing w:before="0" w:beforeAutospacing="0" w:after="0" w:afterAutospacing="0" w:line="420" w:lineRule="exact"/>
              <w:ind w:firstLine="420" w:firstLineChars="200"/>
              <w:textAlignment w:val="auto"/>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本项目建设废钢破碎尾料分选生产线</w:t>
            </w:r>
            <w:r>
              <w:rPr>
                <w:rFonts w:hint="default" w:ascii="Times New Roman" w:hAnsi="Times New Roman" w:eastAsia="宋体" w:cs="Times New Roman"/>
                <w:color w:val="auto"/>
                <w:sz w:val="21"/>
                <w:szCs w:val="21"/>
                <w:highlight w:val="none"/>
                <w:lang w:val="en-US" w:eastAsia="zh-CN"/>
              </w:rPr>
              <w:t>2</w:t>
            </w:r>
            <w:r>
              <w:rPr>
                <w:rFonts w:hint="eastAsia" w:ascii="Times New Roman" w:hAnsi="Times New Roman" w:eastAsia="宋体" w:cs="Times New Roman"/>
                <w:color w:val="auto"/>
                <w:sz w:val="21"/>
                <w:szCs w:val="21"/>
                <w:highlight w:val="none"/>
                <w:lang w:val="en-US" w:eastAsia="zh-CN"/>
              </w:rPr>
              <w:t>条，每条生产线设分为</w:t>
            </w:r>
            <w:r>
              <w:rPr>
                <w:rFonts w:hint="default" w:ascii="Times New Roman" w:hAnsi="Times New Roman" w:eastAsia="宋体" w:cs="Times New Roman"/>
                <w:color w:val="auto"/>
                <w:sz w:val="21"/>
                <w:szCs w:val="21"/>
                <w:highlight w:val="none"/>
                <w:lang w:val="en-US" w:eastAsia="zh-CN"/>
              </w:rPr>
              <w:t>2</w:t>
            </w:r>
            <w:r>
              <w:rPr>
                <w:rFonts w:hint="eastAsia" w:ascii="Times New Roman" w:hAnsi="Times New Roman" w:eastAsia="宋体" w:cs="Times New Roman"/>
                <w:color w:val="auto"/>
                <w:sz w:val="21"/>
                <w:szCs w:val="21"/>
                <w:highlight w:val="none"/>
                <w:lang w:val="en-US" w:eastAsia="zh-CN"/>
              </w:rPr>
              <w:t>个生产工段，分别为塑料、橡胶分选生产工段，金属混合物分选生产工段。由于本项目</w:t>
            </w:r>
            <w:r>
              <w:rPr>
                <w:rFonts w:hint="default" w:ascii="Times New Roman" w:hAnsi="Times New Roman" w:eastAsia="宋体" w:cs="Times New Roman"/>
                <w:color w:val="auto"/>
                <w:sz w:val="21"/>
                <w:szCs w:val="21"/>
                <w:highlight w:val="none"/>
                <w:lang w:val="en-US" w:eastAsia="zh-CN"/>
              </w:rPr>
              <w:t>2</w:t>
            </w:r>
            <w:r>
              <w:rPr>
                <w:rFonts w:hint="eastAsia" w:ascii="Times New Roman" w:hAnsi="Times New Roman" w:eastAsia="宋体" w:cs="Times New Roman"/>
                <w:color w:val="auto"/>
                <w:sz w:val="21"/>
                <w:szCs w:val="21"/>
                <w:highlight w:val="none"/>
                <w:lang w:val="en-US" w:eastAsia="zh-CN"/>
              </w:rPr>
              <w:t>条废钢破碎尾料分选生产线生产工艺及规模均相同，因此本评价以</w:t>
            </w:r>
            <w:r>
              <w:rPr>
                <w:rFonts w:hint="default" w:ascii="Times New Roman" w:hAnsi="Times New Roman" w:eastAsia="宋体" w:cs="Times New Roman"/>
                <w:color w:val="auto"/>
                <w:sz w:val="21"/>
                <w:szCs w:val="21"/>
                <w:highlight w:val="none"/>
                <w:lang w:val="en-US" w:eastAsia="zh-CN"/>
              </w:rPr>
              <w:t>1</w:t>
            </w:r>
            <w:r>
              <w:rPr>
                <w:rFonts w:hint="eastAsia" w:ascii="Times New Roman" w:hAnsi="Times New Roman" w:eastAsia="宋体" w:cs="Times New Roman"/>
                <w:color w:val="auto"/>
                <w:sz w:val="21"/>
                <w:szCs w:val="21"/>
                <w:highlight w:val="none"/>
                <w:lang w:val="en-US" w:eastAsia="zh-CN"/>
              </w:rPr>
              <w:t>条生产线为例进行介绍，具体生产工艺如下：</w:t>
            </w:r>
          </w:p>
          <w:p w14:paraId="0B2FE395">
            <w:pPr>
              <w:pStyle w:val="24"/>
              <w:keepNext w:val="0"/>
              <w:keepLines w:val="0"/>
              <w:pageBreakBefore w:val="0"/>
              <w:widowControl/>
              <w:kinsoku/>
              <w:wordWrap/>
              <w:overflowPunct/>
              <w:topLinePunct w:val="0"/>
              <w:autoSpaceDE/>
              <w:autoSpaceDN/>
              <w:bidi w:val="0"/>
              <w:adjustRightInd w:val="0"/>
              <w:snapToGrid w:val="0"/>
              <w:spacing w:before="0" w:beforeAutospacing="0" w:after="0" w:afterAutospacing="0" w:line="430" w:lineRule="exact"/>
              <w:ind w:firstLine="422" w:firstLineChars="200"/>
              <w:textAlignment w:val="auto"/>
              <w:rPr>
                <w:rFonts w:hint="eastAsia" w:ascii="Times New Roman" w:hAnsi="Times New Roman" w:eastAsia="宋体" w:cs="Times New Roman"/>
                <w:b/>
                <w:bCs/>
                <w:color w:val="auto"/>
                <w:sz w:val="21"/>
                <w:szCs w:val="21"/>
                <w:lang w:val="en-US" w:eastAsia="zh-CN"/>
              </w:rPr>
            </w:pPr>
            <w:r>
              <w:rPr>
                <w:rFonts w:hint="eastAsia" w:ascii="Times New Roman" w:hAnsi="Times New Roman"/>
                <w:b/>
                <w:bCs/>
                <w:color w:val="auto"/>
                <w:sz w:val="21"/>
                <w:szCs w:val="21"/>
                <w:lang w:val="en-US" w:eastAsia="zh-CN"/>
              </w:rPr>
              <w:t>2.1</w:t>
            </w:r>
            <w:r>
              <w:rPr>
                <w:rFonts w:hint="eastAsia" w:ascii="Times New Roman" w:hAnsi="Times New Roman" w:eastAsia="宋体" w:cs="Times New Roman"/>
                <w:b/>
                <w:bCs/>
                <w:color w:val="auto"/>
                <w:sz w:val="21"/>
                <w:szCs w:val="21"/>
                <w:lang w:val="en-US" w:eastAsia="zh-CN"/>
              </w:rPr>
              <w:t>塑料分选工段生产工艺</w:t>
            </w:r>
          </w:p>
          <w:p w14:paraId="2249F15A">
            <w:pPr>
              <w:pStyle w:val="24"/>
              <w:keepNext w:val="0"/>
              <w:keepLines w:val="0"/>
              <w:pageBreakBefore w:val="0"/>
              <w:widowControl/>
              <w:kinsoku/>
              <w:wordWrap/>
              <w:overflowPunct/>
              <w:topLinePunct w:val="0"/>
              <w:autoSpaceDE/>
              <w:autoSpaceDN/>
              <w:bidi w:val="0"/>
              <w:adjustRightInd w:val="0"/>
              <w:snapToGrid w:val="0"/>
              <w:spacing w:before="0" w:beforeAutospacing="0" w:after="0" w:afterAutospacing="0" w:line="420" w:lineRule="exact"/>
              <w:ind w:firstLine="420" w:firstLineChars="200"/>
              <w:textAlignment w:val="auto"/>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①原料进厂</w:t>
            </w:r>
          </w:p>
          <w:p w14:paraId="7D402E2C">
            <w:pPr>
              <w:pStyle w:val="24"/>
              <w:keepNext w:val="0"/>
              <w:keepLines w:val="0"/>
              <w:pageBreakBefore w:val="0"/>
              <w:widowControl/>
              <w:kinsoku/>
              <w:wordWrap/>
              <w:overflowPunct/>
              <w:topLinePunct w:val="0"/>
              <w:autoSpaceDE/>
              <w:autoSpaceDN/>
              <w:bidi w:val="0"/>
              <w:adjustRightInd w:val="0"/>
              <w:snapToGrid w:val="0"/>
              <w:spacing w:before="0" w:beforeAutospacing="0" w:after="0" w:afterAutospacing="0" w:line="420" w:lineRule="exact"/>
              <w:ind w:firstLine="420" w:firstLineChars="200"/>
              <w:textAlignment w:val="auto"/>
              <w:rPr>
                <w:rFonts w:ascii="Times New Roman" w:hAnsi="Times New Roman"/>
                <w:color w:val="auto"/>
                <w:sz w:val="21"/>
                <w:szCs w:val="21"/>
                <w:highlight w:val="none"/>
              </w:rPr>
            </w:pPr>
            <w:r>
              <w:rPr>
                <w:rFonts w:hint="eastAsia" w:ascii="Times New Roman" w:hAnsi="Times New Roman" w:eastAsia="宋体" w:cs="Times New Roman"/>
                <w:color w:val="auto"/>
                <w:sz w:val="21"/>
                <w:szCs w:val="21"/>
                <w:highlight w:val="none"/>
                <w:lang w:val="en-US" w:eastAsia="zh-CN"/>
              </w:rPr>
              <w:t>本项目外购的废钢破碎尾料，粒径小于10cm，含水率5%左右。</w:t>
            </w:r>
            <w:r>
              <w:rPr>
                <w:rFonts w:hint="eastAsia" w:ascii="Times New Roman" w:hAnsi="Times New Roman"/>
                <w:color w:val="auto"/>
                <w:sz w:val="21"/>
                <w:szCs w:val="21"/>
              </w:rPr>
              <w:t>原料</w:t>
            </w:r>
            <w:r>
              <w:rPr>
                <w:rFonts w:hint="eastAsia" w:ascii="Times New Roman" w:hAnsi="Times New Roman" w:eastAsia="宋体" w:cs="Times New Roman"/>
                <w:color w:val="auto"/>
                <w:sz w:val="21"/>
                <w:szCs w:val="21"/>
                <w:highlight w:val="none"/>
                <w:lang w:val="en-US" w:eastAsia="zh-CN"/>
              </w:rPr>
              <w:t>废钢破碎尾料</w:t>
            </w:r>
            <w:r>
              <w:rPr>
                <w:rFonts w:hint="eastAsia" w:ascii="Times New Roman" w:hAnsi="Times New Roman"/>
                <w:color w:val="auto"/>
                <w:sz w:val="21"/>
                <w:szCs w:val="21"/>
                <w:lang w:val="en-US" w:eastAsia="zh-CN"/>
              </w:rPr>
              <w:t>由汽车运输，</w:t>
            </w:r>
            <w:r>
              <w:rPr>
                <w:rFonts w:hint="eastAsia" w:ascii="Times New Roman" w:hAnsi="Times New Roman" w:eastAsia="宋体" w:cs="Times New Roman"/>
                <w:color w:val="auto"/>
                <w:sz w:val="21"/>
                <w:szCs w:val="21"/>
                <w:highlight w:val="none"/>
                <w:lang w:val="en-US" w:eastAsia="zh-CN"/>
              </w:rPr>
              <w:t>废钢破碎尾料</w:t>
            </w:r>
            <w:r>
              <w:rPr>
                <w:rFonts w:hint="eastAsia" w:ascii="Times New Roman" w:hAnsi="Times New Roman" w:eastAsia="宋体" w:cs="Times New Roman"/>
                <w:color w:val="auto"/>
                <w:sz w:val="21"/>
                <w:szCs w:val="21"/>
                <w:lang w:val="en-US" w:eastAsia="zh-CN"/>
              </w:rPr>
              <w:t>运输车辆装载高度最高点不超过车辆槽帮上沿40cm，两侧边缘低于槽帮上缘10cm，车斗应用苫布覆盖，苫布边缘至少要遮住槽帮上沿以下15cm</w:t>
            </w:r>
            <w:r>
              <w:rPr>
                <w:rFonts w:hint="eastAsia" w:ascii="Times New Roman" w:hAnsi="Times New Roman" w:cs="Times New Roman"/>
                <w:color w:val="auto"/>
                <w:sz w:val="21"/>
                <w:szCs w:val="21"/>
                <w:lang w:val="en-US" w:eastAsia="zh-CN"/>
              </w:rPr>
              <w:t>。汽车进厂后由厂区出入</w:t>
            </w:r>
            <w:r>
              <w:rPr>
                <w:rFonts w:hint="eastAsia" w:ascii="Times New Roman" w:hAnsi="Times New Roman" w:cs="Times New Roman"/>
                <w:color w:val="auto"/>
                <w:sz w:val="21"/>
                <w:szCs w:val="21"/>
                <w:highlight w:val="none"/>
                <w:lang w:val="en-US" w:eastAsia="zh-CN"/>
              </w:rPr>
              <w:t>口处的洗车平台进行车身清洗，</w:t>
            </w:r>
            <w:r>
              <w:rPr>
                <w:rFonts w:hint="eastAsia" w:ascii="Times New Roman" w:hAnsi="Times New Roman"/>
                <w:color w:val="auto"/>
                <w:sz w:val="21"/>
                <w:szCs w:val="21"/>
                <w:highlight w:val="none"/>
                <w:lang w:val="en-US" w:eastAsia="zh-CN"/>
              </w:rPr>
              <w:t>以</w:t>
            </w:r>
            <w:r>
              <w:rPr>
                <w:rFonts w:hint="eastAsia" w:ascii="Times New Roman" w:hAnsi="Times New Roman"/>
                <w:color w:val="auto"/>
                <w:sz w:val="21"/>
                <w:szCs w:val="21"/>
                <w:highlight w:val="none"/>
              </w:rPr>
              <w:t>降低车辆运输粉尘</w:t>
            </w:r>
            <w:r>
              <w:rPr>
                <w:rFonts w:hint="eastAsia" w:ascii="Times New Roman" w:hAnsi="Times New Roman"/>
                <w:color w:val="auto"/>
                <w:sz w:val="21"/>
                <w:szCs w:val="21"/>
                <w:highlight w:val="none"/>
                <w:lang w:eastAsia="zh-CN"/>
              </w:rPr>
              <w:t>。</w:t>
            </w:r>
            <w:r>
              <w:rPr>
                <w:rFonts w:hint="eastAsia" w:ascii="Times New Roman" w:hAnsi="Times New Roman"/>
                <w:color w:val="auto"/>
                <w:sz w:val="21"/>
                <w:szCs w:val="21"/>
                <w:highlight w:val="none"/>
                <w:lang w:val="en-US" w:eastAsia="zh-CN"/>
              </w:rPr>
              <w:t>之后</w:t>
            </w:r>
            <w:r>
              <w:rPr>
                <w:rFonts w:hint="eastAsia" w:ascii="Times New Roman" w:hAnsi="Times New Roman" w:eastAsia="宋体" w:cs="Times New Roman"/>
                <w:color w:val="auto"/>
                <w:sz w:val="21"/>
                <w:szCs w:val="21"/>
                <w:highlight w:val="none"/>
                <w:lang w:val="en-US" w:eastAsia="zh-CN"/>
              </w:rPr>
              <w:t>废钢破碎尾料</w:t>
            </w:r>
            <w:r>
              <w:rPr>
                <w:rFonts w:hint="eastAsia" w:ascii="Times New Roman" w:hAnsi="Times New Roman"/>
                <w:color w:val="auto"/>
                <w:sz w:val="21"/>
                <w:szCs w:val="21"/>
                <w:highlight w:val="none"/>
              </w:rPr>
              <w:t>暂存于</w:t>
            </w:r>
            <w:r>
              <w:rPr>
                <w:rFonts w:hint="eastAsia" w:ascii="Times New Roman" w:hAnsi="Times New Roman"/>
                <w:color w:val="auto"/>
                <w:sz w:val="21"/>
                <w:szCs w:val="21"/>
                <w:highlight w:val="none"/>
                <w:lang w:val="en-US" w:eastAsia="zh-CN"/>
              </w:rPr>
              <w:t>1</w:t>
            </w:r>
            <w:r>
              <w:rPr>
                <w:rFonts w:hint="eastAsia" w:ascii="Times New Roman" w:hAnsi="Times New Roman"/>
                <w:color w:val="auto"/>
                <w:sz w:val="21"/>
                <w:szCs w:val="21"/>
                <w:highlight w:val="none"/>
                <w:vertAlign w:val="superscript"/>
                <w:lang w:val="en-US" w:eastAsia="zh-CN"/>
              </w:rPr>
              <w:t>#</w:t>
            </w:r>
            <w:r>
              <w:rPr>
                <w:rFonts w:hint="eastAsia" w:ascii="Times New Roman" w:hAnsi="Times New Roman"/>
                <w:color w:val="auto"/>
                <w:sz w:val="21"/>
                <w:szCs w:val="21"/>
                <w:highlight w:val="none"/>
                <w:lang w:val="en-US" w:eastAsia="zh-CN"/>
              </w:rPr>
              <w:t>生产车间</w:t>
            </w:r>
            <w:r>
              <w:rPr>
                <w:rFonts w:hint="eastAsia" w:ascii="Times New Roman" w:hAnsi="Times New Roman" w:eastAsia="宋体" w:cs="Times New Roman"/>
                <w:color w:val="auto"/>
                <w:sz w:val="21"/>
                <w:szCs w:val="21"/>
                <w:highlight w:val="none"/>
                <w:lang w:val="en-US" w:eastAsia="zh-CN"/>
              </w:rPr>
              <w:t>废钢破碎尾料</w:t>
            </w:r>
            <w:r>
              <w:rPr>
                <w:rFonts w:hint="eastAsia" w:ascii="Times New Roman" w:hAnsi="Times New Roman"/>
                <w:color w:val="auto"/>
                <w:sz w:val="21"/>
                <w:szCs w:val="21"/>
                <w:highlight w:val="none"/>
                <w:lang w:val="en-US" w:eastAsia="zh-CN"/>
              </w:rPr>
              <w:t>暂存区</w:t>
            </w:r>
            <w:r>
              <w:rPr>
                <w:rFonts w:hint="eastAsia" w:ascii="Times New Roman" w:hAnsi="Times New Roman"/>
                <w:color w:val="auto"/>
                <w:sz w:val="21"/>
                <w:szCs w:val="21"/>
                <w:highlight w:val="none"/>
              </w:rPr>
              <w:t>内存储备用，</w:t>
            </w:r>
            <w:r>
              <w:rPr>
                <w:rFonts w:hint="eastAsia" w:ascii="Times New Roman" w:hAnsi="Times New Roman" w:eastAsia="宋体" w:cs="Times New Roman"/>
                <w:color w:val="auto"/>
                <w:sz w:val="21"/>
                <w:szCs w:val="21"/>
                <w:highlight w:val="none"/>
                <w:lang w:val="en-US" w:eastAsia="zh-CN"/>
              </w:rPr>
              <w:t>废钢破碎尾料</w:t>
            </w:r>
            <w:r>
              <w:rPr>
                <w:rFonts w:hint="eastAsia" w:ascii="Times New Roman" w:hAnsi="Times New Roman"/>
                <w:color w:val="auto"/>
                <w:sz w:val="21"/>
                <w:szCs w:val="21"/>
                <w:highlight w:val="none"/>
                <w:lang w:val="en-US" w:eastAsia="zh-CN"/>
              </w:rPr>
              <w:t>暂存区</w:t>
            </w:r>
            <w:r>
              <w:rPr>
                <w:rFonts w:hint="eastAsia" w:ascii="Times New Roman" w:hAnsi="Times New Roman"/>
                <w:color w:val="auto"/>
                <w:sz w:val="21"/>
                <w:szCs w:val="21"/>
                <w:highlight w:val="none"/>
              </w:rPr>
              <w:t>顶部安装喷淋抑尘装置，进行喷淋抑尘。</w:t>
            </w:r>
          </w:p>
          <w:p w14:paraId="029D7DDB">
            <w:pPr>
              <w:pStyle w:val="24"/>
              <w:keepNext w:val="0"/>
              <w:keepLines w:val="0"/>
              <w:pageBreakBefore w:val="0"/>
              <w:widowControl/>
              <w:kinsoku/>
              <w:wordWrap/>
              <w:overflowPunct/>
              <w:topLinePunct w:val="0"/>
              <w:autoSpaceDE/>
              <w:autoSpaceDN/>
              <w:bidi w:val="0"/>
              <w:adjustRightInd w:val="0"/>
              <w:snapToGrid w:val="0"/>
              <w:spacing w:before="0" w:beforeAutospacing="0" w:after="0" w:afterAutospacing="0" w:line="420" w:lineRule="exact"/>
              <w:ind w:firstLine="420" w:firstLineChars="200"/>
              <w:textAlignment w:val="auto"/>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本项目购入废钢破碎尾料为一般工业固废废物，其中包含塑料、橡胶、泥砂、金属等，项目严格控制原料进厂，购入废钢破碎尾料不涉及重金属及有毒有害、辐射类物质。</w:t>
            </w:r>
          </w:p>
          <w:p w14:paraId="4FB75945">
            <w:pPr>
              <w:pStyle w:val="24"/>
              <w:keepNext w:val="0"/>
              <w:keepLines w:val="0"/>
              <w:pageBreakBefore w:val="0"/>
              <w:widowControl/>
              <w:kinsoku/>
              <w:wordWrap/>
              <w:overflowPunct/>
              <w:topLinePunct w:val="0"/>
              <w:autoSpaceDE/>
              <w:autoSpaceDN/>
              <w:bidi w:val="0"/>
              <w:adjustRightInd w:val="0"/>
              <w:snapToGrid w:val="0"/>
              <w:spacing w:before="0" w:beforeAutospacing="0" w:after="0" w:afterAutospacing="0" w:line="440" w:lineRule="exact"/>
              <w:ind w:firstLine="422" w:firstLineChars="200"/>
              <w:textAlignment w:val="auto"/>
              <w:rPr>
                <w:rFonts w:ascii="Times New Roman" w:hAnsi="Times New Roman"/>
                <w:b/>
                <w:bCs/>
                <w:color w:val="auto"/>
                <w:sz w:val="21"/>
                <w:szCs w:val="21"/>
              </w:rPr>
            </w:pPr>
            <w:r>
              <w:rPr>
                <w:rFonts w:ascii="Times New Roman" w:hAnsi="Times New Roman"/>
                <w:b/>
                <w:bCs/>
                <w:color w:val="auto"/>
                <w:sz w:val="21"/>
                <w:szCs w:val="21"/>
              </w:rPr>
              <w:t>本工序产污节</w:t>
            </w:r>
            <w:r>
              <w:rPr>
                <w:rFonts w:ascii="Times New Roman" w:hAnsi="Times New Roman" w:eastAsia="宋体" w:cs="Times New Roman"/>
                <w:b/>
                <w:bCs/>
                <w:color w:val="auto"/>
                <w:sz w:val="21"/>
                <w:szCs w:val="21"/>
              </w:rPr>
              <w:t>点：</w:t>
            </w:r>
            <w:r>
              <w:rPr>
                <w:rFonts w:hint="eastAsia" w:ascii="Times New Roman" w:hAnsi="Times New Roman" w:eastAsia="宋体" w:cs="Times New Roman"/>
                <w:b/>
                <w:bCs/>
                <w:color w:val="auto"/>
                <w:sz w:val="21"/>
                <w:szCs w:val="21"/>
                <w:lang w:val="en-US" w:eastAsia="zh-CN"/>
              </w:rPr>
              <w:t>废钢破碎尾料</w:t>
            </w:r>
            <w:r>
              <w:rPr>
                <w:rFonts w:hint="eastAsia" w:ascii="Times New Roman" w:hAnsi="Times New Roman" w:eastAsia="宋体" w:cs="Times New Roman"/>
                <w:b/>
                <w:bCs/>
                <w:color w:val="auto"/>
                <w:sz w:val="21"/>
                <w:szCs w:val="21"/>
              </w:rPr>
              <w:t>装卸、</w:t>
            </w:r>
            <w:r>
              <w:rPr>
                <w:rFonts w:hint="eastAsia" w:ascii="Times New Roman" w:hAnsi="Times New Roman"/>
                <w:b/>
                <w:bCs/>
                <w:color w:val="auto"/>
                <w:sz w:val="21"/>
                <w:szCs w:val="21"/>
              </w:rPr>
              <w:t>堆存过程中产生的颗粒物；洗车过程中产生的废水；</w:t>
            </w:r>
            <w:r>
              <w:rPr>
                <w:rFonts w:ascii="Times New Roman" w:hAnsi="Times New Roman"/>
                <w:b/>
                <w:bCs/>
                <w:color w:val="auto"/>
                <w:sz w:val="21"/>
                <w:szCs w:val="21"/>
              </w:rPr>
              <w:t>洗车平台沉淀池产生的</w:t>
            </w:r>
            <w:r>
              <w:rPr>
                <w:rFonts w:hint="eastAsia" w:ascii="Times New Roman" w:hAnsi="Times New Roman"/>
                <w:b/>
                <w:bCs/>
                <w:color w:val="auto"/>
                <w:sz w:val="21"/>
                <w:szCs w:val="21"/>
                <w:lang w:val="en-US" w:eastAsia="zh-CN"/>
              </w:rPr>
              <w:t>污泥</w:t>
            </w:r>
            <w:r>
              <w:rPr>
                <w:rFonts w:hint="eastAsia" w:ascii="Times New Roman" w:hAnsi="Times New Roman"/>
                <w:b/>
                <w:bCs/>
                <w:color w:val="auto"/>
                <w:sz w:val="21"/>
                <w:szCs w:val="21"/>
              </w:rPr>
              <w:t>。</w:t>
            </w:r>
          </w:p>
          <w:p w14:paraId="4534A874">
            <w:pPr>
              <w:pStyle w:val="24"/>
              <w:keepNext w:val="0"/>
              <w:keepLines w:val="0"/>
              <w:pageBreakBefore w:val="0"/>
              <w:widowControl/>
              <w:kinsoku/>
              <w:wordWrap/>
              <w:overflowPunct/>
              <w:topLinePunct w:val="0"/>
              <w:autoSpaceDE/>
              <w:autoSpaceDN/>
              <w:bidi w:val="0"/>
              <w:adjustRightInd w:val="0"/>
              <w:snapToGrid w:val="0"/>
              <w:spacing w:before="0" w:beforeAutospacing="0" w:after="0" w:afterAutospacing="0" w:line="430" w:lineRule="exact"/>
              <w:ind w:firstLine="420" w:firstLineChars="200"/>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②上料</w:t>
            </w:r>
            <w:r>
              <w:rPr>
                <w:rFonts w:hint="eastAsia" w:ascii="Times New Roman" w:hAnsi="Times New Roman" w:cs="Times New Roman"/>
                <w:color w:val="auto"/>
                <w:sz w:val="21"/>
                <w:szCs w:val="21"/>
                <w:highlight w:val="none"/>
                <w:lang w:val="en-US" w:eastAsia="zh-CN"/>
              </w:rPr>
              <w:t>、筛分、分选</w:t>
            </w:r>
          </w:p>
          <w:p w14:paraId="398FC8B3">
            <w:pPr>
              <w:pStyle w:val="24"/>
              <w:keepNext w:val="0"/>
              <w:keepLines w:val="0"/>
              <w:pageBreakBefore w:val="0"/>
              <w:widowControl/>
              <w:kinsoku/>
              <w:wordWrap/>
              <w:overflowPunct/>
              <w:topLinePunct w:val="0"/>
              <w:autoSpaceDE/>
              <w:autoSpaceDN/>
              <w:bidi w:val="0"/>
              <w:adjustRightInd w:val="0"/>
              <w:snapToGrid w:val="0"/>
              <w:spacing w:before="0" w:beforeAutospacing="0" w:after="0" w:afterAutospacing="0" w:line="430" w:lineRule="exact"/>
              <w:ind w:firstLine="420" w:firstLineChars="200"/>
              <w:textAlignment w:val="auto"/>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废钢破碎尾料利用铲车输送至</w:t>
            </w:r>
            <w:r>
              <w:rPr>
                <w:rFonts w:hint="eastAsia" w:ascii="Times New Roman" w:hAnsi="Times New Roman" w:cs="Times New Roman"/>
                <w:color w:val="auto"/>
                <w:sz w:val="21"/>
                <w:szCs w:val="21"/>
                <w:highlight w:val="none"/>
                <w:lang w:val="en-US" w:eastAsia="zh-CN"/>
              </w:rPr>
              <w:t>1</w:t>
            </w:r>
            <w:r>
              <w:rPr>
                <w:rFonts w:hint="eastAsia" w:ascii="Times New Roman" w:hAnsi="Times New Roman" w:eastAsia="宋体" w:cs="Times New Roman"/>
                <w:color w:val="auto"/>
                <w:sz w:val="21"/>
                <w:szCs w:val="21"/>
                <w:highlight w:val="none"/>
                <w:vertAlign w:val="superscript"/>
                <w:lang w:val="en-US" w:eastAsia="zh-CN"/>
              </w:rPr>
              <w:t>#</w:t>
            </w:r>
            <w:r>
              <w:rPr>
                <w:rFonts w:hint="eastAsia" w:ascii="Times New Roman" w:hAnsi="Times New Roman" w:eastAsia="宋体" w:cs="Times New Roman"/>
                <w:color w:val="auto"/>
                <w:sz w:val="21"/>
                <w:szCs w:val="21"/>
                <w:highlight w:val="none"/>
                <w:lang w:val="en-US" w:eastAsia="zh-CN"/>
              </w:rPr>
              <w:t>生产车间内的上料仓上料，上料后物料经</w:t>
            </w:r>
            <w:r>
              <w:rPr>
                <w:rFonts w:hint="eastAsia" w:ascii="Times New Roman" w:hAnsi="Times New Roman" w:cs="Times New Roman"/>
                <w:color w:val="auto"/>
                <w:sz w:val="21"/>
                <w:szCs w:val="21"/>
                <w:highlight w:val="none"/>
                <w:lang w:val="en-US" w:eastAsia="zh-CN"/>
              </w:rPr>
              <w:t>封闭式皮带通廊输</w:t>
            </w:r>
            <w:r>
              <w:rPr>
                <w:rFonts w:hint="eastAsia" w:ascii="Times New Roman" w:hAnsi="Times New Roman" w:eastAsia="宋体" w:cs="Times New Roman"/>
                <w:color w:val="auto"/>
                <w:sz w:val="21"/>
                <w:szCs w:val="21"/>
                <w:highlight w:val="none"/>
                <w:lang w:val="en-US" w:eastAsia="zh-CN"/>
              </w:rPr>
              <w:t>送</w:t>
            </w:r>
            <w:r>
              <w:rPr>
                <w:rFonts w:hint="eastAsia" w:ascii="Times New Roman" w:hAnsi="Times New Roman" w:cs="Times New Roman"/>
                <w:color w:val="auto"/>
                <w:sz w:val="21"/>
                <w:szCs w:val="21"/>
                <w:highlight w:val="none"/>
                <w:lang w:val="en-US" w:eastAsia="zh-CN"/>
              </w:rPr>
              <w:t>至滚筒筛</w:t>
            </w:r>
            <w:r>
              <w:rPr>
                <w:rFonts w:hint="eastAsia" w:ascii="Times New Roman" w:hAnsi="Times New Roman" w:eastAsia="宋体" w:cs="Times New Roman"/>
                <w:color w:val="auto"/>
                <w:sz w:val="21"/>
                <w:szCs w:val="21"/>
                <w:highlight w:val="none"/>
                <w:lang w:val="en-US" w:eastAsia="zh-CN"/>
              </w:rPr>
              <w:t>，</w:t>
            </w:r>
            <w:r>
              <w:rPr>
                <w:rFonts w:hint="eastAsia" w:ascii="Times New Roman" w:hAnsi="Times New Roman" w:cs="Times New Roman"/>
                <w:color w:val="auto"/>
                <w:sz w:val="21"/>
                <w:szCs w:val="21"/>
                <w:highlight w:val="none"/>
                <w:lang w:val="en-US" w:eastAsia="zh-CN"/>
              </w:rPr>
              <w:t>将多余的土筛除后，剩余物料经封闭式皮带通廊输</w:t>
            </w:r>
            <w:r>
              <w:rPr>
                <w:rFonts w:hint="eastAsia" w:ascii="Times New Roman" w:hAnsi="Times New Roman" w:eastAsia="宋体" w:cs="Times New Roman"/>
                <w:color w:val="auto"/>
                <w:sz w:val="21"/>
                <w:szCs w:val="21"/>
                <w:highlight w:val="none"/>
                <w:lang w:val="en-US" w:eastAsia="zh-CN"/>
              </w:rPr>
              <w:t>送</w:t>
            </w:r>
            <w:r>
              <w:rPr>
                <w:rFonts w:hint="eastAsia" w:ascii="Times New Roman" w:hAnsi="Times New Roman" w:cs="Times New Roman"/>
                <w:color w:val="auto"/>
                <w:sz w:val="21"/>
                <w:szCs w:val="21"/>
                <w:highlight w:val="none"/>
                <w:lang w:val="en-US" w:eastAsia="zh-CN"/>
              </w:rPr>
              <w:t>至1</w:t>
            </w:r>
            <w:r>
              <w:rPr>
                <w:rFonts w:hint="eastAsia" w:ascii="Times New Roman" w:hAnsi="Times New Roman" w:cs="Times New Roman"/>
                <w:color w:val="auto"/>
                <w:sz w:val="21"/>
                <w:szCs w:val="21"/>
                <w:highlight w:val="none"/>
                <w:vertAlign w:val="superscript"/>
                <w:lang w:val="en-US" w:eastAsia="zh-CN"/>
              </w:rPr>
              <w:t>#</w:t>
            </w:r>
            <w:r>
              <w:rPr>
                <w:rFonts w:hint="eastAsia" w:ascii="Times New Roman" w:hAnsi="Times New Roman" w:cs="Times New Roman"/>
                <w:color w:val="auto"/>
                <w:sz w:val="21"/>
                <w:szCs w:val="21"/>
                <w:highlight w:val="none"/>
                <w:lang w:val="en-US" w:eastAsia="zh-CN"/>
              </w:rPr>
              <w:t>空气分选机</w:t>
            </w:r>
            <w:r>
              <w:rPr>
                <w:rFonts w:hint="eastAsia" w:ascii="Times New Roman" w:hAnsi="Times New Roman" w:eastAsia="宋体" w:cs="Times New Roman"/>
                <w:color w:val="auto"/>
                <w:sz w:val="21"/>
                <w:szCs w:val="21"/>
                <w:highlight w:val="none"/>
                <w:lang w:val="en-US" w:eastAsia="zh-CN"/>
              </w:rPr>
              <w:t>，</w:t>
            </w:r>
            <w:r>
              <w:rPr>
                <w:rFonts w:hint="eastAsia" w:ascii="Times New Roman" w:hAnsi="Times New Roman" w:cs="Times New Roman"/>
                <w:color w:val="auto"/>
                <w:sz w:val="21"/>
                <w:szCs w:val="21"/>
                <w:highlight w:val="none"/>
                <w:lang w:val="en-US" w:eastAsia="zh-CN"/>
              </w:rPr>
              <w:t>分选出物料中</w:t>
            </w:r>
            <w:r>
              <w:rPr>
                <w:rFonts w:hint="eastAsia" w:ascii="Times New Roman" w:hAnsi="Times New Roman" w:eastAsia="宋体" w:cs="Times New Roman"/>
                <w:color w:val="auto"/>
                <w:sz w:val="21"/>
                <w:szCs w:val="21"/>
                <w:highlight w:val="none"/>
                <w:lang w:val="en-US" w:eastAsia="zh-CN"/>
              </w:rPr>
              <w:t>的轻质</w:t>
            </w:r>
            <w:r>
              <w:rPr>
                <w:rFonts w:hint="eastAsia" w:ascii="Times New Roman" w:hAnsi="Times New Roman" w:cs="Times New Roman"/>
                <w:color w:val="auto"/>
                <w:sz w:val="21"/>
                <w:szCs w:val="21"/>
                <w:highlight w:val="none"/>
                <w:lang w:val="en-US" w:eastAsia="zh-CN"/>
              </w:rPr>
              <w:t>废</w:t>
            </w:r>
            <w:r>
              <w:rPr>
                <w:rFonts w:hint="eastAsia" w:ascii="Times New Roman" w:hAnsi="Times New Roman" w:eastAsia="宋体" w:cs="Times New Roman"/>
                <w:color w:val="auto"/>
                <w:sz w:val="21"/>
                <w:szCs w:val="21"/>
                <w:highlight w:val="none"/>
                <w:lang w:val="en-US" w:eastAsia="zh-CN"/>
              </w:rPr>
              <w:t>料</w:t>
            </w:r>
            <w:r>
              <w:rPr>
                <w:rFonts w:hint="eastAsia" w:ascii="Times New Roman" w:hAnsi="Times New Roman" w:cs="Times New Roman"/>
                <w:color w:val="auto"/>
                <w:sz w:val="21"/>
                <w:szCs w:val="21"/>
                <w:highlight w:val="none"/>
                <w:lang w:val="en-US" w:eastAsia="zh-CN"/>
              </w:rPr>
              <w:t>（棉絮、泡沫等）</w:t>
            </w:r>
            <w:r>
              <w:rPr>
                <w:rFonts w:hint="eastAsia" w:ascii="Times New Roman" w:hAnsi="Times New Roman" w:eastAsia="宋体" w:cs="Times New Roman"/>
                <w:color w:val="auto"/>
                <w:sz w:val="21"/>
                <w:szCs w:val="21"/>
                <w:highlight w:val="none"/>
                <w:lang w:val="en-US" w:eastAsia="zh-CN"/>
              </w:rPr>
              <w:t>，人工在空气分选机出料口采用吨包袋称装，叉车运输至</w:t>
            </w:r>
            <w:r>
              <w:rPr>
                <w:rFonts w:hint="eastAsia" w:ascii="Times New Roman" w:hAnsi="Times New Roman" w:cs="Times New Roman"/>
                <w:color w:val="auto"/>
                <w:sz w:val="21"/>
                <w:szCs w:val="21"/>
                <w:highlight w:val="none"/>
                <w:lang w:val="en-US" w:eastAsia="zh-CN"/>
              </w:rPr>
              <w:t>棉絮、泡沫、海绵</w:t>
            </w:r>
            <w:r>
              <w:rPr>
                <w:rFonts w:hint="eastAsia" w:ascii="Times New Roman" w:hAnsi="Times New Roman" w:eastAsia="宋体" w:cs="Times New Roman"/>
                <w:color w:val="auto"/>
                <w:sz w:val="21"/>
                <w:szCs w:val="21"/>
                <w:highlight w:val="none"/>
                <w:lang w:val="en-US" w:eastAsia="zh-CN"/>
              </w:rPr>
              <w:t>暂存区</w:t>
            </w:r>
            <w:r>
              <w:rPr>
                <w:rFonts w:hint="eastAsia" w:ascii="Times New Roman" w:hAnsi="Times New Roman" w:cs="Times New Roman"/>
                <w:color w:val="auto"/>
                <w:sz w:val="21"/>
                <w:szCs w:val="21"/>
                <w:highlight w:val="none"/>
                <w:lang w:val="en-US" w:eastAsia="zh-CN"/>
              </w:rPr>
              <w:t>，</w:t>
            </w:r>
            <w:r>
              <w:rPr>
                <w:rFonts w:hint="eastAsia" w:ascii="Times New Roman" w:hAnsi="Times New Roman" w:eastAsia="宋体" w:cs="Times New Roman"/>
                <w:color w:val="auto"/>
                <w:sz w:val="21"/>
                <w:szCs w:val="21"/>
                <w:highlight w:val="none"/>
                <w:lang w:val="en-US" w:eastAsia="zh-CN"/>
              </w:rPr>
              <w:t>作为废料外售</w:t>
            </w:r>
            <w:r>
              <w:rPr>
                <w:rFonts w:hint="eastAsia" w:ascii="Times New Roman" w:hAnsi="Times New Roman" w:cs="Times New Roman"/>
                <w:color w:val="auto"/>
                <w:sz w:val="21"/>
                <w:szCs w:val="21"/>
                <w:highlight w:val="none"/>
                <w:lang w:val="en-US" w:eastAsia="zh-CN"/>
              </w:rPr>
              <w:t>；剩余分选出的重质物料经封闭式皮带通廊输</w:t>
            </w:r>
            <w:r>
              <w:rPr>
                <w:rFonts w:hint="eastAsia" w:ascii="Times New Roman" w:hAnsi="Times New Roman" w:eastAsia="宋体" w:cs="Times New Roman"/>
                <w:color w:val="auto"/>
                <w:sz w:val="21"/>
                <w:szCs w:val="21"/>
                <w:highlight w:val="none"/>
                <w:lang w:val="en-US" w:eastAsia="zh-CN"/>
              </w:rPr>
              <w:t>送</w:t>
            </w:r>
            <w:r>
              <w:rPr>
                <w:rFonts w:hint="eastAsia" w:ascii="Times New Roman" w:hAnsi="Times New Roman" w:cs="Times New Roman"/>
                <w:color w:val="auto"/>
                <w:sz w:val="21"/>
                <w:szCs w:val="21"/>
                <w:highlight w:val="none"/>
                <w:lang w:val="en-US" w:eastAsia="zh-CN"/>
              </w:rPr>
              <w:t>至下一工序。</w:t>
            </w:r>
          </w:p>
          <w:p w14:paraId="7B9FEE8F">
            <w:pPr>
              <w:pStyle w:val="24"/>
              <w:keepNext w:val="0"/>
              <w:keepLines w:val="0"/>
              <w:pageBreakBefore w:val="0"/>
              <w:widowControl/>
              <w:kinsoku/>
              <w:wordWrap/>
              <w:overflowPunct/>
              <w:topLinePunct w:val="0"/>
              <w:autoSpaceDE/>
              <w:autoSpaceDN/>
              <w:bidi w:val="0"/>
              <w:adjustRightInd w:val="0"/>
              <w:snapToGrid w:val="0"/>
              <w:spacing w:before="0" w:beforeAutospacing="0" w:after="0" w:afterAutospacing="0" w:line="430" w:lineRule="exact"/>
              <w:ind w:firstLine="420" w:firstLineChars="200"/>
              <w:textAlignment w:val="auto"/>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空气分选原理：是以空气作分选介质，在气流和机械振动的作用下，使入选物料按密度和粒度进行分选。原理和特点：在风力传输的作用下，物料通过进料斗落在高速旋转的分配盘上。在离心力的作用下，物料被完全分散并分配到缓冲环上。在掉落过程中，较重的物料通过转子的交叉流，穿过调节环的叶片，向下滑动到分选机的粗物料收集器，将其收集，然后通过关断风扇排出；较轻的物料，细粉或纤维在交叉气流的作用下，转子上部的吸气口的气流被送至下选机的细粉收集器进行收集，清洁后的空气被转子下方的中央吸气口吸入，通过涡流环，形成闭路循环。</w:t>
            </w:r>
          </w:p>
          <w:p w14:paraId="5C787B56">
            <w:pPr>
              <w:pStyle w:val="24"/>
              <w:keepNext w:val="0"/>
              <w:keepLines w:val="0"/>
              <w:pageBreakBefore w:val="0"/>
              <w:widowControl/>
              <w:kinsoku/>
              <w:wordWrap/>
              <w:overflowPunct/>
              <w:topLinePunct w:val="0"/>
              <w:autoSpaceDE/>
              <w:autoSpaceDN/>
              <w:bidi w:val="0"/>
              <w:adjustRightInd w:val="0"/>
              <w:snapToGrid w:val="0"/>
              <w:spacing w:before="0" w:beforeAutospacing="0" w:after="0" w:afterAutospacing="0" w:line="430" w:lineRule="exact"/>
              <w:ind w:firstLine="422" w:firstLineChars="200"/>
              <w:textAlignment w:val="auto"/>
              <w:rPr>
                <w:rFonts w:hint="eastAsia" w:ascii="Times New Roman" w:hAnsi="Times New Roman" w:eastAsia="宋体" w:cs="Times New Roman"/>
                <w:b/>
                <w:bCs/>
                <w:color w:val="auto"/>
                <w:sz w:val="21"/>
                <w:szCs w:val="21"/>
                <w:highlight w:val="none"/>
                <w:lang w:val="en-US" w:eastAsia="zh-CN"/>
              </w:rPr>
            </w:pPr>
            <w:r>
              <w:rPr>
                <w:rFonts w:hint="eastAsia" w:ascii="Times New Roman" w:hAnsi="Times New Roman" w:eastAsia="宋体" w:cs="Times New Roman"/>
                <w:b/>
                <w:bCs/>
                <w:color w:val="auto"/>
                <w:sz w:val="21"/>
                <w:szCs w:val="21"/>
                <w:highlight w:val="none"/>
                <w:lang w:val="en-US" w:eastAsia="zh-CN"/>
              </w:rPr>
              <w:t>本工序产污节点：废钢破碎尾料上料</w:t>
            </w:r>
            <w:r>
              <w:rPr>
                <w:rFonts w:hint="eastAsia" w:ascii="Times New Roman" w:hAnsi="Times New Roman" w:cs="Times New Roman"/>
                <w:b/>
                <w:bCs/>
                <w:color w:val="auto"/>
                <w:sz w:val="21"/>
                <w:szCs w:val="21"/>
                <w:highlight w:val="none"/>
                <w:lang w:val="en-US" w:eastAsia="zh-CN"/>
              </w:rPr>
              <w:t>、筛分、分选</w:t>
            </w:r>
            <w:r>
              <w:rPr>
                <w:rFonts w:hint="eastAsia" w:ascii="Times New Roman" w:hAnsi="Times New Roman" w:eastAsia="宋体" w:cs="Times New Roman"/>
                <w:b/>
                <w:bCs/>
                <w:color w:val="auto"/>
                <w:sz w:val="21"/>
                <w:szCs w:val="21"/>
                <w:highlight w:val="none"/>
                <w:lang w:val="en-US" w:eastAsia="zh-CN"/>
              </w:rPr>
              <w:t>过程中产生的颗粒物；</w:t>
            </w:r>
            <w:r>
              <w:rPr>
                <w:rFonts w:hint="eastAsia" w:ascii="Times New Roman" w:hAnsi="Times New Roman" w:cs="Times New Roman"/>
                <w:b/>
                <w:bCs/>
                <w:color w:val="auto"/>
                <w:sz w:val="21"/>
                <w:szCs w:val="21"/>
                <w:highlight w:val="none"/>
                <w:lang w:val="en-US" w:eastAsia="zh-CN"/>
              </w:rPr>
              <w:t>滚筛产生的废土、空气分选机</w:t>
            </w:r>
            <w:r>
              <w:rPr>
                <w:rFonts w:hint="eastAsia" w:ascii="Times New Roman" w:hAnsi="Times New Roman" w:eastAsia="宋体" w:cs="Times New Roman"/>
                <w:b/>
                <w:bCs/>
                <w:color w:val="auto"/>
                <w:sz w:val="21"/>
                <w:szCs w:val="21"/>
                <w:highlight w:val="none"/>
                <w:lang w:val="en-US" w:eastAsia="zh-CN"/>
              </w:rPr>
              <w:t>产生的棉絮、泡沫</w:t>
            </w:r>
            <w:r>
              <w:rPr>
                <w:rFonts w:hint="eastAsia" w:ascii="Times New Roman" w:hAnsi="Times New Roman" w:cs="Times New Roman"/>
                <w:b/>
                <w:bCs/>
                <w:color w:val="auto"/>
                <w:sz w:val="21"/>
                <w:szCs w:val="21"/>
                <w:highlight w:val="none"/>
                <w:lang w:val="en-US" w:eastAsia="zh-CN"/>
              </w:rPr>
              <w:t>等</w:t>
            </w:r>
            <w:r>
              <w:rPr>
                <w:rFonts w:hint="eastAsia" w:ascii="Times New Roman" w:hAnsi="Times New Roman" w:eastAsia="宋体" w:cs="Times New Roman"/>
                <w:b/>
                <w:bCs/>
                <w:color w:val="auto"/>
                <w:sz w:val="21"/>
                <w:szCs w:val="21"/>
                <w:highlight w:val="none"/>
                <w:lang w:val="en-US" w:eastAsia="zh-CN"/>
              </w:rPr>
              <w:t>。</w:t>
            </w:r>
          </w:p>
          <w:p w14:paraId="68759526">
            <w:pPr>
              <w:pStyle w:val="24"/>
              <w:keepNext w:val="0"/>
              <w:keepLines w:val="0"/>
              <w:pageBreakBefore w:val="0"/>
              <w:widowControl/>
              <w:kinsoku/>
              <w:wordWrap/>
              <w:overflowPunct/>
              <w:topLinePunct w:val="0"/>
              <w:autoSpaceDE/>
              <w:autoSpaceDN/>
              <w:bidi w:val="0"/>
              <w:adjustRightInd w:val="0"/>
              <w:snapToGrid w:val="0"/>
              <w:spacing w:before="0" w:beforeAutospacing="0" w:after="0" w:afterAutospacing="0" w:line="430" w:lineRule="exact"/>
              <w:ind w:firstLine="420" w:firstLineChars="200"/>
              <w:textAlignment w:val="auto"/>
              <w:rPr>
                <w:rFonts w:hint="eastAsia" w:ascii="Times New Roman" w:hAnsi="Times New Roman" w:eastAsia="宋体" w:cs="Times New Roman"/>
                <w:color w:val="auto"/>
                <w:sz w:val="21"/>
                <w:szCs w:val="21"/>
                <w:highlight w:val="yellow"/>
                <w:lang w:val="en-US" w:eastAsia="zh-CN"/>
              </w:rPr>
            </w:pPr>
            <w:r>
              <w:rPr>
                <w:rFonts w:hint="eastAsia" w:ascii="Times New Roman" w:hAnsi="Times New Roman" w:eastAsia="宋体" w:cs="Times New Roman"/>
                <w:color w:val="auto"/>
                <w:sz w:val="21"/>
                <w:szCs w:val="21"/>
                <w:highlight w:val="none"/>
                <w:lang w:val="en-US" w:eastAsia="zh-CN"/>
              </w:rPr>
              <w:t xml:space="preserve">③一次漂洗分选 </w:t>
            </w:r>
          </w:p>
          <w:p w14:paraId="7194E1D4">
            <w:pPr>
              <w:pStyle w:val="24"/>
              <w:keepNext w:val="0"/>
              <w:keepLines w:val="0"/>
              <w:pageBreakBefore w:val="0"/>
              <w:widowControl/>
              <w:kinsoku/>
              <w:wordWrap/>
              <w:overflowPunct/>
              <w:topLinePunct w:val="0"/>
              <w:autoSpaceDE/>
              <w:autoSpaceDN/>
              <w:bidi w:val="0"/>
              <w:adjustRightInd w:val="0"/>
              <w:snapToGrid w:val="0"/>
              <w:spacing w:before="0" w:beforeAutospacing="0" w:after="0" w:afterAutospacing="0" w:line="430" w:lineRule="exact"/>
              <w:ind w:firstLine="420" w:firstLineChars="200"/>
              <w:textAlignment w:val="auto"/>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1</w:t>
            </w:r>
            <w:r>
              <w:rPr>
                <w:rFonts w:hint="eastAsia" w:ascii="Times New Roman" w:hAnsi="Times New Roman" w:cs="Times New Roman"/>
                <w:color w:val="auto"/>
                <w:sz w:val="21"/>
                <w:szCs w:val="21"/>
                <w:highlight w:val="none"/>
                <w:vertAlign w:val="superscript"/>
                <w:lang w:val="en-US" w:eastAsia="zh-CN"/>
              </w:rPr>
              <w:t>#</w:t>
            </w:r>
            <w:r>
              <w:rPr>
                <w:rFonts w:hint="eastAsia" w:ascii="Times New Roman" w:hAnsi="Times New Roman" w:cs="Times New Roman"/>
                <w:color w:val="auto"/>
                <w:sz w:val="21"/>
                <w:szCs w:val="21"/>
                <w:highlight w:val="none"/>
                <w:lang w:val="en-US" w:eastAsia="zh-CN"/>
              </w:rPr>
              <w:t>空气分选机分选后的重质物料</w:t>
            </w:r>
            <w:r>
              <w:rPr>
                <w:rFonts w:hint="eastAsia" w:ascii="Times New Roman" w:hAnsi="Times New Roman" w:eastAsia="宋体" w:cs="Times New Roman"/>
                <w:color w:val="auto"/>
                <w:sz w:val="21"/>
                <w:szCs w:val="21"/>
                <w:highlight w:val="none"/>
                <w:lang w:val="en-US" w:eastAsia="zh-CN"/>
              </w:rPr>
              <w:t>经皮带输送机输送至</w:t>
            </w:r>
            <w:r>
              <w:rPr>
                <w:rFonts w:hint="default" w:ascii="Times New Roman" w:hAnsi="Times New Roman" w:eastAsia="宋体" w:cs="Times New Roman"/>
                <w:color w:val="auto"/>
                <w:sz w:val="21"/>
                <w:szCs w:val="21"/>
                <w:highlight w:val="none"/>
                <w:lang w:val="en-US" w:eastAsia="zh-CN"/>
              </w:rPr>
              <w:t>1</w:t>
            </w:r>
            <w:r>
              <w:rPr>
                <w:rFonts w:hint="default" w:ascii="Times New Roman" w:hAnsi="Times New Roman" w:eastAsia="宋体" w:cs="Times New Roman"/>
                <w:color w:val="auto"/>
                <w:sz w:val="21"/>
                <w:szCs w:val="21"/>
                <w:highlight w:val="none"/>
                <w:vertAlign w:val="superscript"/>
                <w:lang w:val="en-US" w:eastAsia="zh-CN"/>
              </w:rPr>
              <w:t>#</w:t>
            </w:r>
            <w:r>
              <w:rPr>
                <w:rFonts w:hint="eastAsia" w:ascii="Times New Roman" w:hAnsi="Times New Roman" w:eastAsia="宋体" w:cs="Times New Roman"/>
                <w:color w:val="auto"/>
                <w:sz w:val="21"/>
                <w:szCs w:val="21"/>
                <w:highlight w:val="none"/>
                <w:lang w:val="en-US" w:eastAsia="zh-CN"/>
              </w:rPr>
              <w:t>漂洗船内进行漂洗，漂洗船自带转动刮板，提前向</w:t>
            </w:r>
            <w:r>
              <w:rPr>
                <w:rFonts w:hint="default" w:ascii="Times New Roman" w:hAnsi="Times New Roman" w:eastAsia="宋体" w:cs="Times New Roman"/>
                <w:color w:val="auto"/>
                <w:sz w:val="21"/>
                <w:szCs w:val="21"/>
                <w:highlight w:val="none"/>
                <w:lang w:val="en-US" w:eastAsia="zh-CN"/>
              </w:rPr>
              <w:t>1</w:t>
            </w:r>
            <w:r>
              <w:rPr>
                <w:rFonts w:hint="default" w:ascii="Times New Roman" w:hAnsi="Times New Roman" w:eastAsia="宋体" w:cs="Times New Roman"/>
                <w:color w:val="auto"/>
                <w:sz w:val="21"/>
                <w:szCs w:val="21"/>
                <w:highlight w:val="none"/>
                <w:vertAlign w:val="superscript"/>
                <w:lang w:val="en-US" w:eastAsia="zh-CN"/>
              </w:rPr>
              <w:t>#</w:t>
            </w:r>
            <w:r>
              <w:rPr>
                <w:rFonts w:hint="eastAsia" w:ascii="Times New Roman" w:hAnsi="Times New Roman" w:eastAsia="宋体" w:cs="Times New Roman"/>
                <w:color w:val="auto"/>
                <w:sz w:val="21"/>
                <w:szCs w:val="21"/>
                <w:highlight w:val="none"/>
                <w:lang w:val="en-US" w:eastAsia="zh-CN"/>
              </w:rPr>
              <w:t>漂洗船内称装</w:t>
            </w:r>
            <w:r>
              <w:rPr>
                <w:rFonts w:hint="default" w:ascii="Times New Roman" w:hAnsi="Times New Roman" w:eastAsia="宋体" w:cs="Times New Roman"/>
                <w:color w:val="auto"/>
                <w:sz w:val="21"/>
                <w:szCs w:val="21"/>
                <w:highlight w:val="none"/>
                <w:lang w:val="en-US" w:eastAsia="zh-CN"/>
              </w:rPr>
              <w:t>80%</w:t>
            </w:r>
            <w:r>
              <w:rPr>
                <w:rFonts w:hint="eastAsia" w:ascii="Times New Roman" w:hAnsi="Times New Roman" w:eastAsia="宋体" w:cs="Times New Roman"/>
                <w:color w:val="auto"/>
                <w:sz w:val="21"/>
                <w:szCs w:val="21"/>
                <w:highlight w:val="none"/>
                <w:lang w:val="en-US" w:eastAsia="zh-CN"/>
              </w:rPr>
              <w:t>水，同时加入工业盐，利用盐度显示计能够实时显示盐度值，盐水浓度在</w:t>
            </w:r>
            <w:r>
              <w:rPr>
                <w:rFonts w:hint="default" w:ascii="Times New Roman" w:hAnsi="Times New Roman" w:eastAsia="宋体" w:cs="Times New Roman"/>
                <w:color w:val="auto"/>
                <w:sz w:val="21"/>
                <w:szCs w:val="21"/>
                <w:highlight w:val="none"/>
                <w:lang w:val="en-US" w:eastAsia="zh-CN"/>
              </w:rPr>
              <w:t>15</w:t>
            </w:r>
            <w:r>
              <w:rPr>
                <w:rFonts w:hint="eastAsia" w:ascii="Times New Roman" w:hAnsi="Times New Roman" w:eastAsia="宋体" w:cs="Times New Roman"/>
                <w:color w:val="auto"/>
                <w:sz w:val="21"/>
                <w:szCs w:val="21"/>
                <w:highlight w:val="none"/>
                <w:lang w:val="en-US" w:eastAsia="zh-CN"/>
              </w:rPr>
              <w:t>°左右，分选不同比重的物料，比重大的物料（金属混合物料、橡胶、沉水的塑料）下沉，通过螺旋输送机将比重大的物料输送至</w:t>
            </w:r>
            <w:r>
              <w:rPr>
                <w:rFonts w:hint="eastAsia" w:ascii="Times New Roman" w:hAnsi="Times New Roman" w:cs="Times New Roman"/>
                <w:color w:val="auto"/>
                <w:sz w:val="21"/>
                <w:szCs w:val="21"/>
                <w:highlight w:val="none"/>
                <w:lang w:val="en-US" w:eastAsia="zh-CN"/>
              </w:rPr>
              <w:t>1</w:t>
            </w:r>
            <w:r>
              <w:rPr>
                <w:rFonts w:hint="default" w:ascii="Times New Roman" w:hAnsi="Times New Roman" w:eastAsia="宋体" w:cs="Times New Roman"/>
                <w:color w:val="auto"/>
                <w:sz w:val="21"/>
                <w:szCs w:val="21"/>
                <w:highlight w:val="none"/>
                <w:vertAlign w:val="superscript"/>
                <w:lang w:val="en-US" w:eastAsia="zh-CN"/>
              </w:rPr>
              <w:t>#</w:t>
            </w:r>
            <w:r>
              <w:rPr>
                <w:rFonts w:hint="eastAsia" w:ascii="Times New Roman" w:hAnsi="Times New Roman" w:eastAsia="宋体" w:cs="Times New Roman"/>
                <w:color w:val="auto"/>
                <w:sz w:val="21"/>
                <w:szCs w:val="21"/>
                <w:highlight w:val="none"/>
                <w:lang w:val="en-US" w:eastAsia="zh-CN"/>
              </w:rPr>
              <w:t xml:space="preserve">料池，比重小的物料（塑料、海绵、木屑等）漂浮在水面上层，通过提料机输送至下一工序进行破碎分选。 </w:t>
            </w:r>
          </w:p>
          <w:p w14:paraId="50CF69B9">
            <w:pPr>
              <w:pStyle w:val="24"/>
              <w:keepNext w:val="0"/>
              <w:keepLines w:val="0"/>
              <w:pageBreakBefore w:val="0"/>
              <w:widowControl/>
              <w:kinsoku/>
              <w:wordWrap/>
              <w:overflowPunct/>
              <w:topLinePunct w:val="0"/>
              <w:autoSpaceDE/>
              <w:autoSpaceDN/>
              <w:bidi w:val="0"/>
              <w:adjustRightInd w:val="0"/>
              <w:snapToGrid w:val="0"/>
              <w:spacing w:before="0" w:beforeAutospacing="0" w:after="0" w:afterAutospacing="0" w:line="430" w:lineRule="exact"/>
              <w:ind w:firstLine="422" w:firstLineChars="200"/>
              <w:textAlignment w:val="auto"/>
              <w:rPr>
                <w:rFonts w:hint="eastAsia" w:ascii="Times New Roman" w:hAnsi="Times New Roman"/>
                <w:b/>
                <w:bCs/>
                <w:color w:val="auto"/>
                <w:sz w:val="21"/>
                <w:szCs w:val="21"/>
                <w:highlight w:val="none"/>
                <w:lang w:val="en-US" w:eastAsia="zh-CN"/>
              </w:rPr>
            </w:pPr>
            <w:r>
              <w:rPr>
                <w:rFonts w:ascii="Times New Roman" w:hAnsi="Times New Roman"/>
                <w:b/>
                <w:bCs/>
                <w:color w:val="auto"/>
                <w:sz w:val="21"/>
                <w:szCs w:val="21"/>
                <w:highlight w:val="none"/>
              </w:rPr>
              <w:t>本工序产污节点</w:t>
            </w:r>
            <w:r>
              <w:rPr>
                <w:rFonts w:hint="eastAsia" w:ascii="Times New Roman" w:hAnsi="Times New Roman"/>
                <w:b/>
                <w:bCs/>
                <w:color w:val="auto"/>
                <w:sz w:val="21"/>
                <w:szCs w:val="21"/>
                <w:highlight w:val="none"/>
                <w:lang w:val="en-US" w:eastAsia="zh-CN"/>
              </w:rPr>
              <w:t>：一次漂洗过程产生的废水、1</w:t>
            </w:r>
            <w:r>
              <w:rPr>
                <w:rFonts w:hint="eastAsia" w:ascii="Times New Roman" w:hAnsi="Times New Roman"/>
                <w:b/>
                <w:bCs/>
                <w:color w:val="auto"/>
                <w:sz w:val="21"/>
                <w:szCs w:val="21"/>
                <w:highlight w:val="none"/>
                <w:vertAlign w:val="superscript"/>
                <w:lang w:val="en-US" w:eastAsia="zh-CN"/>
              </w:rPr>
              <w:t>#</w:t>
            </w:r>
            <w:r>
              <w:rPr>
                <w:rFonts w:hint="eastAsia" w:ascii="Times New Roman" w:hAnsi="Times New Roman"/>
                <w:b/>
                <w:bCs/>
                <w:color w:val="auto"/>
                <w:sz w:val="21"/>
                <w:szCs w:val="21"/>
                <w:highlight w:val="none"/>
                <w:lang w:val="en-US" w:eastAsia="zh-CN"/>
              </w:rPr>
              <w:t>储料池产生的溢流废水；漂洗船运行过程产生的</w:t>
            </w:r>
            <w:r>
              <w:rPr>
                <w:rFonts w:hint="eastAsia" w:ascii="Times New Roman" w:hAnsi="Times New Roman"/>
                <w:b/>
                <w:bCs/>
                <w:color w:val="auto"/>
                <w:sz w:val="21"/>
                <w:szCs w:val="21"/>
              </w:rPr>
              <w:t>设备</w:t>
            </w:r>
            <w:r>
              <w:rPr>
                <w:rFonts w:hint="eastAsia" w:ascii="Times New Roman" w:hAnsi="Times New Roman"/>
                <w:b/>
                <w:bCs/>
                <w:color w:val="auto"/>
                <w:sz w:val="21"/>
                <w:szCs w:val="21"/>
                <w:highlight w:val="none"/>
                <w:lang w:val="en-US" w:eastAsia="zh-CN"/>
              </w:rPr>
              <w:t>噪声；辅料拆包过程产生的废包装袋。</w:t>
            </w:r>
          </w:p>
          <w:p w14:paraId="712E94BB">
            <w:pPr>
              <w:pStyle w:val="24"/>
              <w:keepNext w:val="0"/>
              <w:keepLines w:val="0"/>
              <w:pageBreakBefore w:val="0"/>
              <w:widowControl/>
              <w:kinsoku/>
              <w:wordWrap/>
              <w:overflowPunct/>
              <w:topLinePunct w:val="0"/>
              <w:autoSpaceDE/>
              <w:autoSpaceDN/>
              <w:bidi w:val="0"/>
              <w:adjustRightInd w:val="0"/>
              <w:snapToGrid w:val="0"/>
              <w:spacing w:before="0" w:beforeAutospacing="0" w:after="0" w:afterAutospacing="0" w:line="430" w:lineRule="exact"/>
              <w:ind w:firstLine="420" w:firstLineChars="200"/>
              <w:textAlignment w:val="auto"/>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 xml:space="preserve">④破碎 </w:t>
            </w:r>
          </w:p>
          <w:p w14:paraId="74AB77BA">
            <w:pPr>
              <w:pStyle w:val="24"/>
              <w:keepNext w:val="0"/>
              <w:keepLines w:val="0"/>
              <w:pageBreakBefore w:val="0"/>
              <w:widowControl/>
              <w:kinsoku/>
              <w:wordWrap/>
              <w:overflowPunct/>
              <w:topLinePunct w:val="0"/>
              <w:autoSpaceDE/>
              <w:autoSpaceDN/>
              <w:bidi w:val="0"/>
              <w:adjustRightInd w:val="0"/>
              <w:snapToGrid w:val="0"/>
              <w:spacing w:before="0" w:beforeAutospacing="0" w:after="0" w:afterAutospacing="0" w:line="430" w:lineRule="exact"/>
              <w:ind w:firstLine="420" w:firstLineChars="200"/>
              <w:textAlignment w:val="auto"/>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比重小的物料（塑料、海绵、木屑等湿料）经提料机（刮板式）输送进入破碎机进行破碎，破碎后物料小于</w:t>
            </w:r>
            <w:r>
              <w:rPr>
                <w:rFonts w:hint="default" w:ascii="Times New Roman" w:hAnsi="Times New Roman" w:eastAsia="宋体" w:cs="Times New Roman"/>
                <w:color w:val="auto"/>
                <w:sz w:val="21"/>
                <w:szCs w:val="21"/>
                <w:highlight w:val="none"/>
                <w:lang w:val="en-US" w:eastAsia="zh-CN"/>
              </w:rPr>
              <w:t>2cm</w:t>
            </w:r>
            <w:r>
              <w:rPr>
                <w:rFonts w:hint="eastAsia" w:ascii="Times New Roman" w:hAnsi="Times New Roman" w:eastAsia="宋体" w:cs="Times New Roman"/>
                <w:color w:val="auto"/>
                <w:sz w:val="21"/>
                <w:szCs w:val="21"/>
                <w:highlight w:val="none"/>
                <w:lang w:val="en-US" w:eastAsia="zh-CN"/>
              </w:rPr>
              <w:t>，</w:t>
            </w:r>
            <w:r>
              <w:rPr>
                <w:rFonts w:hint="eastAsia" w:ascii="Times New Roman" w:hAnsi="Times New Roman" w:cs="Times New Roman"/>
                <w:color w:val="auto"/>
                <w:sz w:val="21"/>
                <w:szCs w:val="21"/>
                <w:highlight w:val="none"/>
                <w:lang w:val="en-US" w:eastAsia="zh-CN"/>
              </w:rPr>
              <w:t>破碎后物料</w:t>
            </w:r>
            <w:r>
              <w:rPr>
                <w:rFonts w:hint="eastAsia" w:ascii="Times New Roman" w:hAnsi="Times New Roman" w:eastAsia="宋体" w:cs="Times New Roman"/>
                <w:color w:val="auto"/>
                <w:sz w:val="21"/>
                <w:szCs w:val="21"/>
                <w:highlight w:val="none"/>
                <w:lang w:val="en-US" w:eastAsia="zh-CN"/>
              </w:rPr>
              <w:t xml:space="preserve">输送至暂存池内，本项目破碎物料含水率较高，属于湿式破碎，因此破碎上料、破碎过程、破碎过程无废气产生。 </w:t>
            </w:r>
          </w:p>
          <w:p w14:paraId="4F008454">
            <w:pPr>
              <w:pStyle w:val="24"/>
              <w:keepNext w:val="0"/>
              <w:keepLines w:val="0"/>
              <w:pageBreakBefore w:val="0"/>
              <w:widowControl/>
              <w:kinsoku/>
              <w:wordWrap/>
              <w:overflowPunct/>
              <w:topLinePunct w:val="0"/>
              <w:autoSpaceDE/>
              <w:autoSpaceDN/>
              <w:bidi w:val="0"/>
              <w:adjustRightInd w:val="0"/>
              <w:snapToGrid w:val="0"/>
              <w:spacing w:before="0" w:beforeAutospacing="0" w:after="0" w:afterAutospacing="0" w:line="430" w:lineRule="exact"/>
              <w:ind w:firstLine="422" w:firstLineChars="200"/>
              <w:textAlignment w:val="auto"/>
              <w:rPr>
                <w:rFonts w:ascii="Times New Roman" w:hAnsi="Times New Roman"/>
                <w:b/>
                <w:bCs/>
                <w:color w:val="auto"/>
                <w:sz w:val="21"/>
                <w:szCs w:val="21"/>
                <w:highlight w:val="none"/>
              </w:rPr>
            </w:pPr>
            <w:r>
              <w:rPr>
                <w:rFonts w:ascii="Times New Roman" w:hAnsi="Times New Roman"/>
                <w:b/>
                <w:bCs/>
                <w:color w:val="auto"/>
                <w:sz w:val="21"/>
                <w:szCs w:val="21"/>
                <w:highlight w:val="none"/>
              </w:rPr>
              <w:t>本工序产污节点</w:t>
            </w:r>
            <w:r>
              <w:rPr>
                <w:rFonts w:hint="eastAsia" w:ascii="Times New Roman" w:hAnsi="Times New Roman"/>
                <w:b/>
                <w:bCs/>
                <w:color w:val="auto"/>
                <w:sz w:val="21"/>
                <w:szCs w:val="21"/>
                <w:highlight w:val="none"/>
                <w:lang w:val="en-US" w:eastAsia="zh-CN"/>
              </w:rPr>
              <w:t>：暂存池产生的溢流废水、破碎机运行过程产生的</w:t>
            </w:r>
            <w:r>
              <w:rPr>
                <w:rFonts w:hint="eastAsia" w:ascii="Times New Roman" w:hAnsi="Times New Roman"/>
                <w:b/>
                <w:bCs/>
                <w:color w:val="auto"/>
                <w:sz w:val="21"/>
                <w:szCs w:val="21"/>
              </w:rPr>
              <w:t>设备</w:t>
            </w:r>
            <w:r>
              <w:rPr>
                <w:rFonts w:hint="eastAsia" w:ascii="Times New Roman" w:hAnsi="Times New Roman"/>
                <w:b/>
                <w:bCs/>
                <w:color w:val="auto"/>
                <w:sz w:val="21"/>
                <w:szCs w:val="21"/>
                <w:highlight w:val="none"/>
                <w:lang w:val="en-US" w:eastAsia="zh-CN"/>
              </w:rPr>
              <w:t>噪声。</w:t>
            </w:r>
          </w:p>
          <w:p w14:paraId="01575FB0">
            <w:pPr>
              <w:pStyle w:val="24"/>
              <w:keepNext w:val="0"/>
              <w:keepLines w:val="0"/>
              <w:pageBreakBefore w:val="0"/>
              <w:widowControl/>
              <w:kinsoku/>
              <w:wordWrap/>
              <w:overflowPunct/>
              <w:topLinePunct w:val="0"/>
              <w:autoSpaceDE/>
              <w:autoSpaceDN/>
              <w:bidi w:val="0"/>
              <w:adjustRightInd w:val="0"/>
              <w:snapToGrid w:val="0"/>
              <w:spacing w:before="0" w:beforeAutospacing="0" w:after="0" w:afterAutospacing="0" w:line="430" w:lineRule="exact"/>
              <w:ind w:firstLine="420" w:firstLineChars="200"/>
              <w:textAlignment w:val="auto"/>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 xml:space="preserve">⑤二次漂洗分选 </w:t>
            </w:r>
          </w:p>
          <w:p w14:paraId="5826E77F">
            <w:pPr>
              <w:pStyle w:val="24"/>
              <w:keepNext w:val="0"/>
              <w:keepLines w:val="0"/>
              <w:pageBreakBefore w:val="0"/>
              <w:widowControl/>
              <w:kinsoku/>
              <w:wordWrap/>
              <w:overflowPunct/>
              <w:topLinePunct w:val="0"/>
              <w:autoSpaceDE/>
              <w:autoSpaceDN/>
              <w:bidi w:val="0"/>
              <w:adjustRightInd w:val="0"/>
              <w:snapToGrid w:val="0"/>
              <w:spacing w:before="0" w:beforeAutospacing="0" w:after="0" w:afterAutospacing="0" w:line="430" w:lineRule="exact"/>
              <w:ind w:firstLine="420" w:firstLineChars="200"/>
              <w:textAlignment w:val="auto"/>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破碎后物料经铲车上料至上料仓内，再经皮带输送机输送至</w:t>
            </w:r>
            <w:r>
              <w:rPr>
                <w:rFonts w:hint="default" w:ascii="Times New Roman" w:hAnsi="Times New Roman" w:eastAsia="宋体" w:cs="Times New Roman"/>
                <w:color w:val="auto"/>
                <w:sz w:val="21"/>
                <w:szCs w:val="21"/>
                <w:highlight w:val="none"/>
                <w:lang w:val="en-US" w:eastAsia="zh-CN"/>
              </w:rPr>
              <w:t>2</w:t>
            </w:r>
            <w:r>
              <w:rPr>
                <w:rFonts w:hint="default" w:ascii="Times New Roman" w:hAnsi="Times New Roman" w:eastAsia="宋体" w:cs="Times New Roman"/>
                <w:color w:val="auto"/>
                <w:sz w:val="21"/>
                <w:szCs w:val="21"/>
                <w:highlight w:val="none"/>
                <w:vertAlign w:val="superscript"/>
                <w:lang w:val="en-US" w:eastAsia="zh-CN"/>
              </w:rPr>
              <w:t>#</w:t>
            </w:r>
            <w:r>
              <w:rPr>
                <w:rFonts w:hint="eastAsia" w:ascii="Times New Roman" w:hAnsi="Times New Roman" w:eastAsia="宋体" w:cs="Times New Roman"/>
                <w:color w:val="auto"/>
                <w:sz w:val="21"/>
                <w:szCs w:val="21"/>
                <w:highlight w:val="none"/>
                <w:lang w:val="en-US" w:eastAsia="zh-CN"/>
              </w:rPr>
              <w:t>漂洗船进行漂洗分选，二次漂洗分选为水选，无需加入工业盐，比重大的物料（吸水后海绵、木屑、沉水的塑料）下沉，利用螺旋输送机至</w:t>
            </w:r>
            <w:r>
              <w:rPr>
                <w:rFonts w:hint="eastAsia" w:ascii="Times New Roman" w:hAnsi="Times New Roman" w:cs="Times New Roman"/>
                <w:color w:val="auto"/>
                <w:sz w:val="21"/>
                <w:szCs w:val="21"/>
                <w:highlight w:val="none"/>
                <w:lang w:val="en-US" w:eastAsia="zh-CN"/>
              </w:rPr>
              <w:t>2</w:t>
            </w:r>
            <w:r>
              <w:rPr>
                <w:rFonts w:hint="eastAsia" w:ascii="Times New Roman" w:hAnsi="Times New Roman" w:eastAsia="宋体" w:cs="Times New Roman"/>
                <w:color w:val="auto"/>
                <w:sz w:val="21"/>
                <w:szCs w:val="21"/>
                <w:highlight w:val="none"/>
                <w:vertAlign w:val="superscript"/>
                <w:lang w:val="en-US" w:eastAsia="zh-CN"/>
              </w:rPr>
              <w:t>#</w:t>
            </w:r>
            <w:r>
              <w:rPr>
                <w:rFonts w:hint="eastAsia" w:ascii="Times New Roman" w:hAnsi="Times New Roman" w:eastAsia="宋体" w:cs="Times New Roman"/>
                <w:color w:val="auto"/>
                <w:sz w:val="21"/>
                <w:szCs w:val="21"/>
                <w:highlight w:val="none"/>
                <w:lang w:val="en-US" w:eastAsia="zh-CN"/>
              </w:rPr>
              <w:t>储料池，比重小的物料（塑料、海绵、木屑等）漂浮在水面上层，通过提料机将比重小的漂浮物料进入下一工序。</w:t>
            </w:r>
          </w:p>
          <w:p w14:paraId="6A5E79A8">
            <w:pPr>
              <w:pStyle w:val="24"/>
              <w:keepNext w:val="0"/>
              <w:keepLines w:val="0"/>
              <w:pageBreakBefore w:val="0"/>
              <w:widowControl/>
              <w:kinsoku/>
              <w:wordWrap/>
              <w:overflowPunct/>
              <w:topLinePunct w:val="0"/>
              <w:autoSpaceDE/>
              <w:autoSpaceDN/>
              <w:bidi w:val="0"/>
              <w:adjustRightInd w:val="0"/>
              <w:snapToGrid w:val="0"/>
              <w:spacing w:before="0" w:beforeAutospacing="0" w:after="0" w:afterAutospacing="0" w:line="430" w:lineRule="exact"/>
              <w:ind w:firstLine="422" w:firstLineChars="200"/>
              <w:textAlignment w:val="auto"/>
              <w:rPr>
                <w:rFonts w:hint="eastAsia" w:ascii="Times New Roman" w:hAnsi="Times New Roman"/>
                <w:b/>
                <w:bCs/>
                <w:color w:val="auto"/>
                <w:sz w:val="21"/>
                <w:szCs w:val="21"/>
                <w:highlight w:val="none"/>
                <w:lang w:val="en-US" w:eastAsia="zh-CN"/>
              </w:rPr>
            </w:pPr>
            <w:r>
              <w:rPr>
                <w:rFonts w:ascii="Times New Roman" w:hAnsi="Times New Roman"/>
                <w:b/>
                <w:bCs/>
                <w:color w:val="auto"/>
                <w:sz w:val="21"/>
                <w:szCs w:val="21"/>
                <w:highlight w:val="none"/>
              </w:rPr>
              <w:t>本工序产污节点</w:t>
            </w:r>
            <w:r>
              <w:rPr>
                <w:rFonts w:hint="eastAsia" w:ascii="Times New Roman" w:hAnsi="Times New Roman"/>
                <w:b/>
                <w:bCs/>
                <w:color w:val="auto"/>
                <w:sz w:val="21"/>
                <w:szCs w:val="21"/>
                <w:highlight w:val="none"/>
                <w:lang w:val="en-US" w:eastAsia="zh-CN"/>
              </w:rPr>
              <w:t>：二次漂洗过程产生的废水、2</w:t>
            </w:r>
            <w:r>
              <w:rPr>
                <w:rFonts w:hint="eastAsia" w:ascii="Times New Roman" w:hAnsi="Times New Roman"/>
                <w:b/>
                <w:bCs/>
                <w:color w:val="auto"/>
                <w:sz w:val="21"/>
                <w:szCs w:val="21"/>
                <w:highlight w:val="none"/>
                <w:vertAlign w:val="superscript"/>
                <w:lang w:val="en-US" w:eastAsia="zh-CN"/>
              </w:rPr>
              <w:t>#</w:t>
            </w:r>
            <w:r>
              <w:rPr>
                <w:rFonts w:hint="eastAsia" w:ascii="Times New Roman" w:hAnsi="Times New Roman"/>
                <w:b/>
                <w:bCs/>
                <w:color w:val="auto"/>
                <w:sz w:val="21"/>
                <w:szCs w:val="21"/>
                <w:highlight w:val="none"/>
                <w:lang w:val="en-US" w:eastAsia="zh-CN"/>
              </w:rPr>
              <w:t>储料池产生的溢流废水；漂洗船运行过程产生的</w:t>
            </w:r>
            <w:r>
              <w:rPr>
                <w:rFonts w:hint="eastAsia" w:ascii="Times New Roman" w:hAnsi="Times New Roman"/>
                <w:b/>
                <w:bCs/>
                <w:color w:val="auto"/>
                <w:sz w:val="21"/>
                <w:szCs w:val="21"/>
              </w:rPr>
              <w:t>设备</w:t>
            </w:r>
            <w:r>
              <w:rPr>
                <w:rFonts w:hint="eastAsia" w:ascii="Times New Roman" w:hAnsi="Times New Roman"/>
                <w:b/>
                <w:bCs/>
                <w:color w:val="auto"/>
                <w:sz w:val="21"/>
                <w:szCs w:val="21"/>
                <w:highlight w:val="none"/>
                <w:lang w:val="en-US" w:eastAsia="zh-CN"/>
              </w:rPr>
              <w:t>噪声。</w:t>
            </w:r>
          </w:p>
          <w:p w14:paraId="7BBF8000">
            <w:pPr>
              <w:pStyle w:val="24"/>
              <w:keepNext w:val="0"/>
              <w:keepLines w:val="0"/>
              <w:pageBreakBefore w:val="0"/>
              <w:widowControl/>
              <w:kinsoku/>
              <w:wordWrap/>
              <w:overflowPunct/>
              <w:topLinePunct w:val="0"/>
              <w:autoSpaceDE/>
              <w:autoSpaceDN/>
              <w:bidi w:val="0"/>
              <w:adjustRightInd w:val="0"/>
              <w:snapToGrid w:val="0"/>
              <w:spacing w:before="0" w:beforeAutospacing="0" w:after="0" w:afterAutospacing="0" w:line="430" w:lineRule="exact"/>
              <w:ind w:firstLine="420" w:firstLineChars="200"/>
              <w:textAlignment w:val="auto"/>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⑥</w:t>
            </w:r>
            <w:r>
              <w:rPr>
                <w:rFonts w:hint="eastAsia" w:ascii="Times New Roman" w:hAnsi="Times New Roman" w:cs="Times New Roman"/>
                <w:color w:val="auto"/>
                <w:sz w:val="21"/>
                <w:szCs w:val="21"/>
                <w:highlight w:val="none"/>
                <w:lang w:val="en-US" w:eastAsia="zh-CN"/>
              </w:rPr>
              <w:t>一次</w:t>
            </w:r>
            <w:r>
              <w:rPr>
                <w:rFonts w:hint="eastAsia" w:ascii="Times New Roman" w:hAnsi="Times New Roman" w:eastAsia="宋体" w:cs="Times New Roman"/>
                <w:color w:val="auto"/>
                <w:sz w:val="21"/>
                <w:szCs w:val="21"/>
                <w:highlight w:val="none"/>
                <w:lang w:val="en-US" w:eastAsia="zh-CN"/>
              </w:rPr>
              <w:t xml:space="preserve">脱水甩干 </w:t>
            </w:r>
          </w:p>
          <w:p w14:paraId="695C500F">
            <w:pPr>
              <w:pStyle w:val="24"/>
              <w:keepNext w:val="0"/>
              <w:keepLines w:val="0"/>
              <w:pageBreakBefore w:val="0"/>
              <w:widowControl/>
              <w:kinsoku/>
              <w:wordWrap/>
              <w:overflowPunct/>
              <w:topLinePunct w:val="0"/>
              <w:autoSpaceDE/>
              <w:autoSpaceDN/>
              <w:bidi w:val="0"/>
              <w:adjustRightInd w:val="0"/>
              <w:snapToGrid w:val="0"/>
              <w:spacing w:before="0" w:beforeAutospacing="0" w:after="0" w:afterAutospacing="0" w:line="430" w:lineRule="exact"/>
              <w:ind w:firstLine="420" w:firstLineChars="200"/>
              <w:textAlignment w:val="auto"/>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二次漂洗分选后比重小的物料经提料机输送至甩干机进行脱水，脱水甩干后，再经皮带输送机输送进入下一工序。</w:t>
            </w:r>
          </w:p>
          <w:p w14:paraId="410C0DCA">
            <w:pPr>
              <w:pStyle w:val="24"/>
              <w:keepNext w:val="0"/>
              <w:keepLines w:val="0"/>
              <w:pageBreakBefore w:val="0"/>
              <w:widowControl/>
              <w:kinsoku/>
              <w:wordWrap/>
              <w:overflowPunct/>
              <w:topLinePunct w:val="0"/>
              <w:autoSpaceDE/>
              <w:autoSpaceDN/>
              <w:bidi w:val="0"/>
              <w:adjustRightInd w:val="0"/>
              <w:snapToGrid w:val="0"/>
              <w:spacing w:before="0" w:beforeAutospacing="0" w:after="0" w:afterAutospacing="0" w:line="430" w:lineRule="exact"/>
              <w:ind w:firstLine="422" w:firstLineChars="200"/>
              <w:textAlignment w:val="auto"/>
              <w:rPr>
                <w:rFonts w:hint="eastAsia" w:ascii="Times New Roman" w:hAnsi="Times New Roman"/>
                <w:b/>
                <w:bCs/>
                <w:color w:val="auto"/>
                <w:sz w:val="21"/>
                <w:szCs w:val="21"/>
                <w:highlight w:val="none"/>
                <w:lang w:val="en-US" w:eastAsia="zh-CN"/>
              </w:rPr>
            </w:pPr>
            <w:r>
              <w:rPr>
                <w:rFonts w:hint="eastAsia" w:ascii="Times New Roman" w:hAnsi="Times New Roman"/>
                <w:b/>
                <w:bCs/>
                <w:color w:val="auto"/>
                <w:sz w:val="21"/>
                <w:szCs w:val="21"/>
                <w:highlight w:val="none"/>
                <w:lang w:val="en-US" w:eastAsia="zh-CN"/>
              </w:rPr>
              <w:t>本工序产污节点：一次脱水过程产生的废水；甩干机运行过程产生的</w:t>
            </w:r>
            <w:r>
              <w:rPr>
                <w:rFonts w:hint="eastAsia" w:ascii="Times New Roman" w:hAnsi="Times New Roman"/>
                <w:b/>
                <w:bCs/>
                <w:color w:val="auto"/>
                <w:sz w:val="21"/>
                <w:szCs w:val="21"/>
              </w:rPr>
              <w:t>设备</w:t>
            </w:r>
            <w:r>
              <w:rPr>
                <w:rFonts w:hint="eastAsia" w:ascii="Times New Roman" w:hAnsi="Times New Roman"/>
                <w:b/>
                <w:bCs/>
                <w:color w:val="auto"/>
                <w:sz w:val="21"/>
                <w:szCs w:val="21"/>
                <w:highlight w:val="none"/>
                <w:lang w:val="en-US" w:eastAsia="zh-CN"/>
              </w:rPr>
              <w:t>噪声。</w:t>
            </w:r>
          </w:p>
          <w:p w14:paraId="7A187128">
            <w:pPr>
              <w:pStyle w:val="24"/>
              <w:keepNext w:val="0"/>
              <w:keepLines w:val="0"/>
              <w:pageBreakBefore w:val="0"/>
              <w:widowControl/>
              <w:kinsoku/>
              <w:wordWrap/>
              <w:overflowPunct/>
              <w:topLinePunct w:val="0"/>
              <w:autoSpaceDE/>
              <w:autoSpaceDN/>
              <w:bidi w:val="0"/>
              <w:adjustRightInd w:val="0"/>
              <w:snapToGrid w:val="0"/>
              <w:spacing w:before="0" w:beforeAutospacing="0" w:after="0" w:afterAutospacing="0" w:line="430" w:lineRule="exact"/>
              <w:ind w:firstLine="420" w:firstLineChars="200"/>
              <w:textAlignment w:val="auto"/>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⑦</w:t>
            </w:r>
            <w:r>
              <w:rPr>
                <w:rFonts w:hint="eastAsia" w:ascii="Times New Roman" w:hAnsi="Times New Roman" w:cs="Times New Roman"/>
                <w:color w:val="auto"/>
                <w:sz w:val="21"/>
                <w:szCs w:val="21"/>
                <w:highlight w:val="none"/>
                <w:lang w:val="en-US" w:eastAsia="zh-CN"/>
              </w:rPr>
              <w:t>二次</w:t>
            </w:r>
            <w:r>
              <w:rPr>
                <w:rFonts w:hint="eastAsia" w:ascii="Times New Roman" w:hAnsi="Times New Roman" w:eastAsia="宋体" w:cs="Times New Roman"/>
                <w:color w:val="auto"/>
                <w:sz w:val="21"/>
                <w:szCs w:val="21"/>
                <w:highlight w:val="none"/>
                <w:lang w:val="en-US" w:eastAsia="zh-CN"/>
              </w:rPr>
              <w:t xml:space="preserve">空气分选 </w:t>
            </w:r>
          </w:p>
          <w:p w14:paraId="0A5C3238">
            <w:pPr>
              <w:pStyle w:val="24"/>
              <w:keepNext w:val="0"/>
              <w:keepLines w:val="0"/>
              <w:pageBreakBefore w:val="0"/>
              <w:widowControl/>
              <w:kinsoku/>
              <w:wordWrap/>
              <w:overflowPunct/>
              <w:topLinePunct w:val="0"/>
              <w:autoSpaceDE/>
              <w:autoSpaceDN/>
              <w:bidi w:val="0"/>
              <w:adjustRightInd w:val="0"/>
              <w:snapToGrid w:val="0"/>
              <w:spacing w:before="0" w:beforeAutospacing="0" w:after="0" w:afterAutospacing="0" w:line="430" w:lineRule="exact"/>
              <w:ind w:firstLine="420" w:firstLineChars="200"/>
              <w:textAlignment w:val="auto"/>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一次</w:t>
            </w:r>
            <w:r>
              <w:rPr>
                <w:rFonts w:hint="eastAsia" w:ascii="Times New Roman" w:hAnsi="Times New Roman" w:eastAsia="宋体" w:cs="Times New Roman"/>
                <w:color w:val="auto"/>
                <w:sz w:val="21"/>
                <w:szCs w:val="21"/>
                <w:highlight w:val="none"/>
                <w:lang w:val="en-US" w:eastAsia="zh-CN"/>
              </w:rPr>
              <w:t>脱水甩干后物料进行空气分选机进行空气分选，空气分选机上方的振动给料器上，经振动给料器均匀布料给入空气分选机，分选出物料中的轻质</w:t>
            </w:r>
            <w:r>
              <w:rPr>
                <w:rFonts w:hint="eastAsia" w:ascii="Times New Roman" w:hAnsi="Times New Roman" w:cs="Times New Roman"/>
                <w:color w:val="auto"/>
                <w:sz w:val="21"/>
                <w:szCs w:val="21"/>
                <w:highlight w:val="none"/>
                <w:lang w:val="en-US" w:eastAsia="zh-CN"/>
              </w:rPr>
              <w:t>废</w:t>
            </w:r>
            <w:r>
              <w:rPr>
                <w:rFonts w:hint="eastAsia" w:ascii="Times New Roman" w:hAnsi="Times New Roman" w:eastAsia="宋体" w:cs="Times New Roman"/>
                <w:color w:val="auto"/>
                <w:sz w:val="21"/>
                <w:szCs w:val="21"/>
                <w:highlight w:val="none"/>
                <w:lang w:val="en-US" w:eastAsia="zh-CN"/>
              </w:rPr>
              <w:t>料（木屑、海绵）分选出，储存在</w:t>
            </w:r>
            <w:r>
              <w:rPr>
                <w:rFonts w:hint="eastAsia" w:ascii="Times New Roman" w:hAnsi="Times New Roman" w:cs="Times New Roman"/>
                <w:color w:val="auto"/>
                <w:sz w:val="21"/>
                <w:szCs w:val="21"/>
                <w:highlight w:val="none"/>
                <w:lang w:val="en-US" w:eastAsia="zh-CN"/>
              </w:rPr>
              <w:t>3</w:t>
            </w:r>
            <w:r>
              <w:rPr>
                <w:rFonts w:hint="default" w:ascii="Times New Roman" w:hAnsi="Times New Roman" w:eastAsia="宋体" w:cs="Times New Roman"/>
                <w:color w:val="auto"/>
                <w:sz w:val="21"/>
                <w:szCs w:val="21"/>
                <w:highlight w:val="none"/>
                <w:vertAlign w:val="superscript"/>
                <w:lang w:val="en-US" w:eastAsia="zh-CN"/>
              </w:rPr>
              <w:t>#</w:t>
            </w:r>
            <w:r>
              <w:rPr>
                <w:rFonts w:hint="eastAsia" w:ascii="Times New Roman" w:hAnsi="Times New Roman" w:eastAsia="宋体" w:cs="Times New Roman"/>
                <w:color w:val="auto"/>
                <w:sz w:val="21"/>
                <w:szCs w:val="21"/>
                <w:highlight w:val="none"/>
                <w:lang w:val="en-US" w:eastAsia="zh-CN"/>
              </w:rPr>
              <w:t>储料池内，剩余分选出的</w:t>
            </w:r>
            <w:r>
              <w:rPr>
                <w:rFonts w:hint="eastAsia" w:ascii="Times New Roman" w:hAnsi="Times New Roman" w:cs="Times New Roman"/>
                <w:color w:val="auto"/>
                <w:sz w:val="21"/>
                <w:szCs w:val="21"/>
                <w:highlight w:val="none"/>
                <w:lang w:val="en-US" w:eastAsia="zh-CN"/>
              </w:rPr>
              <w:t>轻质</w:t>
            </w:r>
            <w:r>
              <w:rPr>
                <w:rFonts w:hint="eastAsia" w:ascii="Times New Roman" w:hAnsi="Times New Roman" w:eastAsia="宋体" w:cs="Times New Roman"/>
                <w:color w:val="auto"/>
                <w:sz w:val="21"/>
                <w:szCs w:val="21"/>
                <w:highlight w:val="none"/>
                <w:lang w:val="en-US" w:eastAsia="zh-CN"/>
              </w:rPr>
              <w:t>塑料为产品，人工在空气分选机出料口采用吨包袋称装，叉车运输至</w:t>
            </w:r>
            <w:r>
              <w:rPr>
                <w:rFonts w:hint="eastAsia" w:ascii="Times New Roman" w:hAnsi="Times New Roman" w:cs="Times New Roman"/>
                <w:color w:val="auto"/>
                <w:sz w:val="21"/>
                <w:szCs w:val="21"/>
                <w:highlight w:val="none"/>
                <w:lang w:val="en-US" w:eastAsia="zh-CN"/>
              </w:rPr>
              <w:t>塑料</w:t>
            </w:r>
            <w:r>
              <w:rPr>
                <w:rFonts w:hint="eastAsia" w:ascii="Times New Roman" w:hAnsi="Times New Roman" w:eastAsia="宋体" w:cs="Times New Roman"/>
                <w:color w:val="auto"/>
                <w:sz w:val="21"/>
                <w:szCs w:val="21"/>
                <w:highlight w:val="none"/>
                <w:lang w:val="en-US" w:eastAsia="zh-CN"/>
              </w:rPr>
              <w:t xml:space="preserve">暂存区等待外售。 </w:t>
            </w:r>
          </w:p>
          <w:p w14:paraId="2643AA87">
            <w:pPr>
              <w:pStyle w:val="24"/>
              <w:keepNext w:val="0"/>
              <w:keepLines w:val="0"/>
              <w:pageBreakBefore w:val="0"/>
              <w:widowControl/>
              <w:kinsoku/>
              <w:wordWrap/>
              <w:overflowPunct/>
              <w:topLinePunct w:val="0"/>
              <w:autoSpaceDE/>
              <w:autoSpaceDN/>
              <w:bidi w:val="0"/>
              <w:adjustRightInd w:val="0"/>
              <w:snapToGrid w:val="0"/>
              <w:spacing w:before="0" w:beforeAutospacing="0" w:after="0" w:afterAutospacing="0" w:line="430" w:lineRule="exact"/>
              <w:ind w:firstLine="422" w:firstLineChars="200"/>
              <w:textAlignment w:val="auto"/>
              <w:rPr>
                <w:rFonts w:hint="eastAsia" w:ascii="Times New Roman" w:hAnsi="Times New Roman"/>
                <w:b/>
                <w:bCs/>
                <w:color w:val="auto"/>
                <w:sz w:val="21"/>
                <w:szCs w:val="21"/>
                <w:highlight w:val="none"/>
                <w:lang w:val="en-US" w:eastAsia="zh-CN"/>
              </w:rPr>
            </w:pPr>
            <w:r>
              <w:rPr>
                <w:rFonts w:hint="eastAsia" w:ascii="Times New Roman" w:hAnsi="Times New Roman"/>
                <w:b/>
                <w:bCs/>
                <w:color w:val="auto"/>
                <w:sz w:val="21"/>
                <w:szCs w:val="21"/>
                <w:highlight w:val="none"/>
                <w:lang w:val="en-US" w:eastAsia="zh-CN"/>
              </w:rPr>
              <w:t>本工序产污节点：空气分选机运行过程产生的</w:t>
            </w:r>
            <w:r>
              <w:rPr>
                <w:rFonts w:hint="eastAsia" w:ascii="Times New Roman" w:hAnsi="Times New Roman"/>
                <w:b/>
                <w:bCs/>
                <w:color w:val="auto"/>
                <w:sz w:val="21"/>
                <w:szCs w:val="21"/>
              </w:rPr>
              <w:t>设备</w:t>
            </w:r>
            <w:r>
              <w:rPr>
                <w:rFonts w:hint="eastAsia" w:ascii="Times New Roman" w:hAnsi="Times New Roman"/>
                <w:b/>
                <w:bCs/>
                <w:color w:val="auto"/>
                <w:sz w:val="21"/>
                <w:szCs w:val="21"/>
                <w:highlight w:val="none"/>
                <w:lang w:val="en-US" w:eastAsia="zh-CN"/>
              </w:rPr>
              <w:t>噪声。</w:t>
            </w:r>
          </w:p>
          <w:p w14:paraId="28FCE812">
            <w:pPr>
              <w:pStyle w:val="24"/>
              <w:keepNext w:val="0"/>
              <w:keepLines w:val="0"/>
              <w:pageBreakBefore w:val="0"/>
              <w:widowControl/>
              <w:kinsoku/>
              <w:wordWrap/>
              <w:overflowPunct/>
              <w:topLinePunct w:val="0"/>
              <w:autoSpaceDE/>
              <w:autoSpaceDN/>
              <w:bidi w:val="0"/>
              <w:adjustRightInd w:val="0"/>
              <w:snapToGrid w:val="0"/>
              <w:spacing w:before="0" w:beforeAutospacing="0" w:after="0" w:afterAutospacing="0" w:line="430" w:lineRule="exact"/>
              <w:ind w:firstLine="420" w:firstLineChars="200"/>
              <w:textAlignment w:val="auto"/>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⑧三次漂洗分选</w:t>
            </w:r>
          </w:p>
          <w:p w14:paraId="4032198E">
            <w:pPr>
              <w:pStyle w:val="24"/>
              <w:keepNext w:val="0"/>
              <w:keepLines w:val="0"/>
              <w:pageBreakBefore w:val="0"/>
              <w:widowControl/>
              <w:kinsoku/>
              <w:wordWrap/>
              <w:overflowPunct/>
              <w:topLinePunct w:val="0"/>
              <w:autoSpaceDE/>
              <w:autoSpaceDN/>
              <w:bidi w:val="0"/>
              <w:adjustRightInd w:val="0"/>
              <w:snapToGrid w:val="0"/>
              <w:spacing w:before="0" w:beforeAutospacing="0" w:after="0" w:afterAutospacing="0" w:line="430" w:lineRule="exact"/>
              <w:ind w:firstLine="420" w:firstLineChars="200"/>
              <w:textAlignment w:val="auto"/>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将</w:t>
            </w:r>
            <w:r>
              <w:rPr>
                <w:rFonts w:hint="eastAsia" w:ascii="Times New Roman" w:hAnsi="Times New Roman" w:cs="Times New Roman"/>
                <w:color w:val="auto"/>
                <w:sz w:val="21"/>
                <w:szCs w:val="21"/>
                <w:highlight w:val="none"/>
                <w:lang w:val="en-US" w:eastAsia="zh-CN"/>
              </w:rPr>
              <w:t>2</w:t>
            </w:r>
            <w:r>
              <w:rPr>
                <w:rFonts w:hint="eastAsia" w:ascii="Times New Roman" w:hAnsi="Times New Roman" w:eastAsia="宋体" w:cs="Times New Roman"/>
                <w:color w:val="auto"/>
                <w:sz w:val="21"/>
                <w:szCs w:val="21"/>
                <w:highlight w:val="none"/>
                <w:vertAlign w:val="superscript"/>
                <w:lang w:val="en-US" w:eastAsia="zh-CN"/>
              </w:rPr>
              <w:t>#</w:t>
            </w:r>
            <w:r>
              <w:rPr>
                <w:rFonts w:hint="eastAsia" w:ascii="Times New Roman" w:hAnsi="Times New Roman" w:eastAsia="宋体" w:cs="Times New Roman"/>
                <w:color w:val="auto"/>
                <w:sz w:val="21"/>
                <w:szCs w:val="21"/>
                <w:highlight w:val="none"/>
                <w:lang w:val="en-US" w:eastAsia="zh-CN"/>
              </w:rPr>
              <w:t>储料池物料（海绵、木屑、沉水的塑料等）经铲车投料至</w:t>
            </w:r>
            <w:r>
              <w:rPr>
                <w:rFonts w:hint="default" w:ascii="Times New Roman" w:hAnsi="Times New Roman" w:eastAsia="宋体" w:cs="Times New Roman"/>
                <w:color w:val="auto"/>
                <w:sz w:val="21"/>
                <w:szCs w:val="21"/>
                <w:highlight w:val="none"/>
                <w:lang w:val="en-US" w:eastAsia="zh-CN"/>
              </w:rPr>
              <w:t>3</w:t>
            </w:r>
            <w:r>
              <w:rPr>
                <w:rFonts w:hint="default" w:ascii="Times New Roman" w:hAnsi="Times New Roman" w:eastAsia="宋体" w:cs="Times New Roman"/>
                <w:color w:val="auto"/>
                <w:sz w:val="21"/>
                <w:szCs w:val="21"/>
                <w:highlight w:val="none"/>
                <w:vertAlign w:val="superscript"/>
                <w:lang w:val="en-US" w:eastAsia="zh-CN"/>
              </w:rPr>
              <w:t>#</w:t>
            </w:r>
            <w:r>
              <w:rPr>
                <w:rFonts w:hint="eastAsia" w:ascii="Times New Roman" w:hAnsi="Times New Roman" w:eastAsia="宋体" w:cs="Times New Roman"/>
                <w:color w:val="auto"/>
                <w:sz w:val="21"/>
                <w:szCs w:val="21"/>
                <w:highlight w:val="none"/>
                <w:lang w:val="en-US" w:eastAsia="zh-CN"/>
              </w:rPr>
              <w:t>漂洗船进行漂洗分选，漂洗分选后漂浮上层的沉水塑料进入下一工序脱水，下沉沉底的海绵、木屑等废料经螺旋输送至</w:t>
            </w:r>
            <w:r>
              <w:rPr>
                <w:rFonts w:hint="eastAsia" w:ascii="Times New Roman" w:hAnsi="Times New Roman" w:cs="Times New Roman"/>
                <w:color w:val="auto"/>
                <w:sz w:val="21"/>
                <w:szCs w:val="21"/>
                <w:highlight w:val="none"/>
                <w:lang w:val="en-US" w:eastAsia="zh-CN"/>
              </w:rPr>
              <w:t>3</w:t>
            </w:r>
            <w:r>
              <w:rPr>
                <w:rFonts w:hint="default" w:ascii="Times New Roman" w:hAnsi="Times New Roman" w:eastAsia="宋体" w:cs="Times New Roman"/>
                <w:color w:val="auto"/>
                <w:sz w:val="21"/>
                <w:szCs w:val="21"/>
                <w:highlight w:val="none"/>
                <w:vertAlign w:val="superscript"/>
                <w:lang w:val="en-US" w:eastAsia="zh-CN"/>
              </w:rPr>
              <w:t>#</w:t>
            </w:r>
            <w:r>
              <w:rPr>
                <w:rFonts w:hint="eastAsia" w:ascii="Times New Roman" w:hAnsi="Times New Roman" w:eastAsia="宋体" w:cs="Times New Roman"/>
                <w:color w:val="auto"/>
                <w:sz w:val="21"/>
                <w:szCs w:val="21"/>
                <w:highlight w:val="none"/>
                <w:lang w:val="en-US" w:eastAsia="zh-CN"/>
              </w:rPr>
              <w:t>储料池内。</w:t>
            </w:r>
          </w:p>
          <w:p w14:paraId="5D22C672">
            <w:pPr>
              <w:pStyle w:val="24"/>
              <w:keepNext w:val="0"/>
              <w:keepLines w:val="0"/>
              <w:pageBreakBefore w:val="0"/>
              <w:widowControl/>
              <w:kinsoku/>
              <w:wordWrap/>
              <w:overflowPunct/>
              <w:topLinePunct w:val="0"/>
              <w:autoSpaceDE/>
              <w:autoSpaceDN/>
              <w:bidi w:val="0"/>
              <w:adjustRightInd w:val="0"/>
              <w:snapToGrid w:val="0"/>
              <w:spacing w:before="0" w:beforeAutospacing="0" w:after="0" w:afterAutospacing="0" w:line="430" w:lineRule="exact"/>
              <w:ind w:firstLine="420" w:firstLineChars="200"/>
              <w:textAlignment w:val="auto"/>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 xml:space="preserve">三次漂洗分选与一次漂洗分选工艺一致，需加入拆袋工业盐进行漂洗分选，因此此处不再进行赘述。 </w:t>
            </w:r>
          </w:p>
          <w:p w14:paraId="1CE96E14">
            <w:pPr>
              <w:pStyle w:val="24"/>
              <w:keepNext w:val="0"/>
              <w:keepLines w:val="0"/>
              <w:pageBreakBefore w:val="0"/>
              <w:widowControl/>
              <w:kinsoku/>
              <w:wordWrap/>
              <w:overflowPunct/>
              <w:topLinePunct w:val="0"/>
              <w:autoSpaceDE/>
              <w:autoSpaceDN/>
              <w:bidi w:val="0"/>
              <w:adjustRightInd w:val="0"/>
              <w:snapToGrid w:val="0"/>
              <w:spacing w:before="0" w:beforeAutospacing="0" w:after="0" w:afterAutospacing="0" w:line="430" w:lineRule="exact"/>
              <w:ind w:firstLine="422" w:firstLineChars="200"/>
              <w:textAlignment w:val="auto"/>
              <w:rPr>
                <w:rFonts w:hint="eastAsia" w:ascii="Times New Roman" w:hAnsi="Times New Roman"/>
                <w:b/>
                <w:bCs/>
                <w:color w:val="auto"/>
                <w:sz w:val="21"/>
                <w:szCs w:val="21"/>
                <w:highlight w:val="none"/>
                <w:lang w:val="en-US" w:eastAsia="zh-CN"/>
              </w:rPr>
            </w:pPr>
            <w:r>
              <w:rPr>
                <w:rFonts w:ascii="Times New Roman" w:hAnsi="Times New Roman"/>
                <w:b/>
                <w:bCs/>
                <w:color w:val="auto"/>
                <w:sz w:val="21"/>
                <w:szCs w:val="21"/>
                <w:highlight w:val="none"/>
              </w:rPr>
              <w:t>本工序产污节点</w:t>
            </w:r>
            <w:r>
              <w:rPr>
                <w:rFonts w:hint="eastAsia" w:ascii="Times New Roman" w:hAnsi="Times New Roman"/>
                <w:b/>
                <w:bCs/>
                <w:color w:val="auto"/>
                <w:sz w:val="21"/>
                <w:szCs w:val="21"/>
                <w:highlight w:val="none"/>
                <w:lang w:val="en-US" w:eastAsia="zh-CN"/>
              </w:rPr>
              <w:t>：三次漂洗过程产生的废水；漂洗船运行过程产生的</w:t>
            </w:r>
            <w:r>
              <w:rPr>
                <w:rFonts w:hint="eastAsia" w:ascii="Times New Roman" w:hAnsi="Times New Roman"/>
                <w:b/>
                <w:bCs/>
                <w:color w:val="auto"/>
                <w:sz w:val="21"/>
                <w:szCs w:val="21"/>
              </w:rPr>
              <w:t>设备</w:t>
            </w:r>
            <w:r>
              <w:rPr>
                <w:rFonts w:hint="eastAsia" w:ascii="Times New Roman" w:hAnsi="Times New Roman"/>
                <w:b/>
                <w:bCs/>
                <w:color w:val="auto"/>
                <w:sz w:val="21"/>
                <w:szCs w:val="21"/>
                <w:highlight w:val="none"/>
                <w:lang w:val="en-US" w:eastAsia="zh-CN"/>
              </w:rPr>
              <w:t>噪声；辅料拆包过程产生的废包装袋。</w:t>
            </w:r>
          </w:p>
          <w:p w14:paraId="0A444275">
            <w:pPr>
              <w:pStyle w:val="24"/>
              <w:keepNext w:val="0"/>
              <w:keepLines w:val="0"/>
              <w:pageBreakBefore w:val="0"/>
              <w:widowControl/>
              <w:kinsoku/>
              <w:wordWrap/>
              <w:overflowPunct/>
              <w:topLinePunct w:val="0"/>
              <w:autoSpaceDE/>
              <w:autoSpaceDN/>
              <w:bidi w:val="0"/>
              <w:adjustRightInd w:val="0"/>
              <w:snapToGrid w:val="0"/>
              <w:spacing w:before="0" w:beforeAutospacing="0" w:after="0" w:afterAutospacing="0" w:line="430" w:lineRule="exact"/>
              <w:ind w:firstLine="420" w:firstLineChars="200"/>
              <w:textAlignment w:val="auto"/>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⑨二次脱水</w:t>
            </w:r>
          </w:p>
          <w:p w14:paraId="5A35C162">
            <w:pPr>
              <w:pStyle w:val="24"/>
              <w:keepNext w:val="0"/>
              <w:keepLines w:val="0"/>
              <w:pageBreakBefore w:val="0"/>
              <w:widowControl/>
              <w:kinsoku/>
              <w:wordWrap/>
              <w:overflowPunct/>
              <w:topLinePunct w:val="0"/>
              <w:autoSpaceDE/>
              <w:autoSpaceDN/>
              <w:bidi w:val="0"/>
              <w:adjustRightInd w:val="0"/>
              <w:snapToGrid w:val="0"/>
              <w:spacing w:before="0" w:beforeAutospacing="0" w:after="0" w:afterAutospacing="0" w:line="430" w:lineRule="exact"/>
              <w:ind w:firstLine="420" w:firstLineChars="200"/>
              <w:textAlignment w:val="auto"/>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三次漂洗分选后的漂浮的塑料、海绵、木屑等物料经提料机输送至甩干机内进行脱水甩干，甩干后料，进入后续工序。</w:t>
            </w:r>
          </w:p>
          <w:p w14:paraId="7DACA509">
            <w:pPr>
              <w:pStyle w:val="24"/>
              <w:keepNext w:val="0"/>
              <w:keepLines w:val="0"/>
              <w:pageBreakBefore w:val="0"/>
              <w:widowControl/>
              <w:kinsoku/>
              <w:wordWrap/>
              <w:overflowPunct/>
              <w:topLinePunct w:val="0"/>
              <w:autoSpaceDE/>
              <w:autoSpaceDN/>
              <w:bidi w:val="0"/>
              <w:adjustRightInd w:val="0"/>
              <w:snapToGrid w:val="0"/>
              <w:spacing w:before="0" w:beforeAutospacing="0" w:after="0" w:afterAutospacing="0" w:line="430" w:lineRule="exact"/>
              <w:ind w:firstLine="422" w:firstLineChars="200"/>
              <w:textAlignment w:val="auto"/>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b/>
                <w:bCs/>
                <w:color w:val="auto"/>
                <w:sz w:val="21"/>
                <w:szCs w:val="21"/>
                <w:highlight w:val="none"/>
                <w:lang w:val="en-US" w:eastAsia="zh-CN"/>
              </w:rPr>
              <w:t>本工序产污节点：二次脱水过程产生的废水；甩干机运行过程产生的</w:t>
            </w:r>
            <w:r>
              <w:rPr>
                <w:rFonts w:hint="eastAsia" w:ascii="Times New Roman" w:hAnsi="Times New Roman"/>
                <w:b/>
                <w:bCs/>
                <w:color w:val="auto"/>
                <w:sz w:val="21"/>
                <w:szCs w:val="21"/>
              </w:rPr>
              <w:t>设备</w:t>
            </w:r>
            <w:r>
              <w:rPr>
                <w:rFonts w:hint="eastAsia" w:ascii="Times New Roman" w:hAnsi="Times New Roman"/>
                <w:b/>
                <w:bCs/>
                <w:color w:val="auto"/>
                <w:sz w:val="21"/>
                <w:szCs w:val="21"/>
                <w:highlight w:val="none"/>
                <w:lang w:val="en-US" w:eastAsia="zh-CN"/>
              </w:rPr>
              <w:t>噪声。</w:t>
            </w:r>
          </w:p>
          <w:p w14:paraId="57A1C3CE">
            <w:pPr>
              <w:pStyle w:val="24"/>
              <w:keepNext w:val="0"/>
              <w:keepLines w:val="0"/>
              <w:pageBreakBefore w:val="0"/>
              <w:widowControl/>
              <w:kinsoku/>
              <w:wordWrap/>
              <w:overflowPunct/>
              <w:topLinePunct w:val="0"/>
              <w:autoSpaceDE/>
              <w:autoSpaceDN/>
              <w:bidi w:val="0"/>
              <w:adjustRightInd w:val="0"/>
              <w:snapToGrid w:val="0"/>
              <w:spacing w:before="0" w:beforeAutospacing="0" w:after="0" w:afterAutospacing="0" w:line="430" w:lineRule="exact"/>
              <w:ind w:firstLine="420" w:firstLineChars="200"/>
              <w:textAlignment w:val="auto"/>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⑩</w:t>
            </w:r>
            <w:r>
              <w:rPr>
                <w:rFonts w:hint="eastAsia" w:ascii="Times New Roman" w:hAnsi="Times New Roman" w:cs="Times New Roman"/>
                <w:color w:val="auto"/>
                <w:sz w:val="21"/>
                <w:szCs w:val="21"/>
                <w:highlight w:val="none"/>
                <w:lang w:val="en-US" w:eastAsia="zh-CN"/>
              </w:rPr>
              <w:t>三</w:t>
            </w:r>
            <w:r>
              <w:rPr>
                <w:rFonts w:hint="eastAsia" w:ascii="Times New Roman" w:hAnsi="Times New Roman" w:eastAsia="宋体" w:cs="Times New Roman"/>
                <w:color w:val="auto"/>
                <w:sz w:val="21"/>
                <w:szCs w:val="21"/>
                <w:highlight w:val="none"/>
                <w:lang w:val="en-US" w:eastAsia="zh-CN"/>
              </w:rPr>
              <w:t>次空气分选</w:t>
            </w:r>
          </w:p>
          <w:p w14:paraId="65755B29">
            <w:pPr>
              <w:pStyle w:val="24"/>
              <w:keepNext w:val="0"/>
              <w:keepLines w:val="0"/>
              <w:pageBreakBefore w:val="0"/>
              <w:widowControl/>
              <w:kinsoku/>
              <w:wordWrap/>
              <w:overflowPunct/>
              <w:topLinePunct w:val="0"/>
              <w:autoSpaceDE/>
              <w:autoSpaceDN/>
              <w:bidi w:val="0"/>
              <w:adjustRightInd w:val="0"/>
              <w:snapToGrid w:val="0"/>
              <w:spacing w:before="0" w:beforeAutospacing="0" w:after="0" w:afterAutospacing="0" w:line="430" w:lineRule="exact"/>
              <w:ind w:firstLine="420" w:firstLineChars="200"/>
              <w:textAlignment w:val="auto"/>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脱水甩干后物料进行空气分选机进行空气分选，空气分选机上方的振动给料器上，经振动给料器均匀布料给入空气分选机，分选出的</w:t>
            </w:r>
            <w:r>
              <w:rPr>
                <w:rFonts w:hint="eastAsia" w:ascii="Times New Roman" w:hAnsi="Times New Roman" w:cs="Times New Roman"/>
                <w:color w:val="auto"/>
                <w:sz w:val="21"/>
                <w:szCs w:val="21"/>
                <w:highlight w:val="none"/>
                <w:lang w:val="en-US" w:eastAsia="zh-CN"/>
              </w:rPr>
              <w:t>沉水</w:t>
            </w:r>
            <w:r>
              <w:rPr>
                <w:rFonts w:hint="eastAsia" w:ascii="Times New Roman" w:hAnsi="Times New Roman" w:eastAsia="宋体" w:cs="Times New Roman"/>
                <w:color w:val="auto"/>
                <w:sz w:val="21"/>
                <w:szCs w:val="21"/>
                <w:highlight w:val="none"/>
                <w:lang w:val="en-US" w:eastAsia="zh-CN"/>
              </w:rPr>
              <w:t>塑料，人工在空气分选机出料口采用吨包袋称装，叉车运输至成品暂存区等待外售</w:t>
            </w:r>
            <w:r>
              <w:rPr>
                <w:rFonts w:hint="eastAsia" w:ascii="Times New Roman" w:hAnsi="Times New Roman" w:cs="Times New Roman"/>
                <w:color w:val="auto"/>
                <w:sz w:val="21"/>
                <w:szCs w:val="21"/>
                <w:highlight w:val="none"/>
                <w:lang w:val="en-US" w:eastAsia="zh-CN"/>
              </w:rPr>
              <w:t>。剩余</w:t>
            </w:r>
            <w:r>
              <w:rPr>
                <w:rFonts w:hint="eastAsia" w:ascii="Times New Roman" w:hAnsi="Times New Roman" w:eastAsia="宋体" w:cs="Times New Roman"/>
                <w:color w:val="auto"/>
                <w:sz w:val="21"/>
                <w:szCs w:val="21"/>
                <w:highlight w:val="none"/>
                <w:lang w:val="en-US" w:eastAsia="zh-CN"/>
              </w:rPr>
              <w:t>分选出物料中的轻质料（木屑、海绵）分选出储存在</w:t>
            </w:r>
            <w:r>
              <w:rPr>
                <w:rFonts w:hint="eastAsia" w:ascii="Times New Roman" w:hAnsi="Times New Roman" w:cs="Times New Roman"/>
                <w:color w:val="auto"/>
                <w:sz w:val="21"/>
                <w:szCs w:val="21"/>
                <w:highlight w:val="none"/>
                <w:lang w:val="en-US" w:eastAsia="zh-CN"/>
              </w:rPr>
              <w:t>3</w:t>
            </w:r>
            <w:r>
              <w:rPr>
                <w:rFonts w:hint="eastAsia" w:ascii="Times New Roman" w:hAnsi="Times New Roman" w:eastAsia="宋体" w:cs="Times New Roman"/>
                <w:color w:val="auto"/>
                <w:sz w:val="21"/>
                <w:szCs w:val="21"/>
                <w:highlight w:val="none"/>
                <w:vertAlign w:val="superscript"/>
                <w:lang w:val="en-US" w:eastAsia="zh-CN"/>
              </w:rPr>
              <w:t>#</w:t>
            </w:r>
            <w:r>
              <w:rPr>
                <w:rFonts w:hint="eastAsia" w:ascii="Times New Roman" w:hAnsi="Times New Roman" w:eastAsia="宋体" w:cs="Times New Roman"/>
                <w:color w:val="auto"/>
                <w:sz w:val="21"/>
                <w:szCs w:val="21"/>
                <w:highlight w:val="none"/>
                <w:lang w:val="en-US" w:eastAsia="zh-CN"/>
              </w:rPr>
              <w:t>储料池内。</w:t>
            </w:r>
          </w:p>
          <w:p w14:paraId="67F79F2D">
            <w:pPr>
              <w:pStyle w:val="24"/>
              <w:keepNext w:val="0"/>
              <w:keepLines w:val="0"/>
              <w:pageBreakBefore w:val="0"/>
              <w:widowControl/>
              <w:kinsoku/>
              <w:wordWrap/>
              <w:overflowPunct/>
              <w:topLinePunct w:val="0"/>
              <w:autoSpaceDE/>
              <w:autoSpaceDN/>
              <w:bidi w:val="0"/>
              <w:adjustRightInd w:val="0"/>
              <w:snapToGrid w:val="0"/>
              <w:spacing w:before="0" w:beforeAutospacing="0" w:after="0" w:afterAutospacing="0" w:line="430" w:lineRule="exact"/>
              <w:ind w:firstLine="422" w:firstLineChars="200"/>
              <w:textAlignment w:val="auto"/>
              <w:rPr>
                <w:rFonts w:hint="eastAsia" w:ascii="Times New Roman" w:hAnsi="Times New Roman"/>
                <w:b/>
                <w:bCs/>
                <w:color w:val="auto"/>
                <w:sz w:val="21"/>
                <w:szCs w:val="21"/>
                <w:highlight w:val="none"/>
                <w:lang w:val="en-US" w:eastAsia="zh-CN"/>
              </w:rPr>
            </w:pPr>
            <w:r>
              <w:rPr>
                <w:rFonts w:hint="eastAsia" w:ascii="Times New Roman" w:hAnsi="Times New Roman"/>
                <w:b/>
                <w:bCs/>
                <w:color w:val="auto"/>
                <w:sz w:val="21"/>
                <w:szCs w:val="21"/>
                <w:highlight w:val="none"/>
                <w:lang w:val="en-US" w:eastAsia="zh-CN"/>
              </w:rPr>
              <w:t>本工序产污节点：空气分选机运行过程产生的</w:t>
            </w:r>
            <w:r>
              <w:rPr>
                <w:rFonts w:hint="eastAsia" w:ascii="Times New Roman" w:hAnsi="Times New Roman"/>
                <w:b/>
                <w:bCs/>
                <w:color w:val="auto"/>
                <w:sz w:val="21"/>
                <w:szCs w:val="21"/>
              </w:rPr>
              <w:t>设备</w:t>
            </w:r>
            <w:r>
              <w:rPr>
                <w:rFonts w:hint="eastAsia" w:ascii="Times New Roman" w:hAnsi="Times New Roman"/>
                <w:b/>
                <w:bCs/>
                <w:color w:val="auto"/>
                <w:sz w:val="21"/>
                <w:szCs w:val="21"/>
                <w:highlight w:val="none"/>
                <w:lang w:val="en-US" w:eastAsia="zh-CN"/>
              </w:rPr>
              <w:t>噪声。</w:t>
            </w:r>
          </w:p>
          <w:p w14:paraId="342A77CF">
            <w:pPr>
              <w:pStyle w:val="24"/>
              <w:keepNext w:val="0"/>
              <w:keepLines w:val="0"/>
              <w:pageBreakBefore w:val="0"/>
              <w:widowControl/>
              <w:kinsoku/>
              <w:wordWrap/>
              <w:overflowPunct/>
              <w:topLinePunct w:val="0"/>
              <w:autoSpaceDE/>
              <w:autoSpaceDN/>
              <w:bidi w:val="0"/>
              <w:adjustRightInd w:val="0"/>
              <w:snapToGrid w:val="0"/>
              <w:spacing w:before="0" w:beforeAutospacing="0" w:after="0" w:afterAutospacing="0" w:line="430" w:lineRule="exact"/>
              <w:ind w:firstLine="420" w:firstLineChars="200"/>
              <w:textAlignment w:val="auto"/>
              <w:rPr>
                <w:rFonts w:hint="eastAsia" w:ascii="Times New Roman" w:hAnsi="Times New Roman" w:eastAsia="宋体" w:cs="Times New Roman"/>
                <w:color w:val="auto"/>
                <w:sz w:val="21"/>
                <w:szCs w:val="21"/>
                <w:highlight w:val="none"/>
                <w:lang w:val="en-US" w:eastAsia="zh-CN"/>
              </w:rPr>
            </w:pPr>
            <w:r>
              <w:rPr>
                <w:color w:val="auto"/>
                <w:sz w:val="21"/>
              </w:rPr>
              <mc:AlternateContent>
                <mc:Choice Requires="wps">
                  <w:drawing>
                    <wp:anchor distT="0" distB="0" distL="114300" distR="114300" simplePos="0" relativeHeight="251685888" behindDoc="0" locked="0" layoutInCell="1" allowOverlap="1">
                      <wp:simplePos x="0" y="0"/>
                      <wp:positionH relativeFrom="column">
                        <wp:posOffset>3024505</wp:posOffset>
                      </wp:positionH>
                      <wp:positionV relativeFrom="paragraph">
                        <wp:posOffset>187325</wp:posOffset>
                      </wp:positionV>
                      <wp:extent cx="300355" cy="635"/>
                      <wp:effectExtent l="0" t="48895" r="4445" b="64770"/>
                      <wp:wrapNone/>
                      <wp:docPr id="377" name="直接连接符 377"/>
                      <wp:cNvGraphicFramePr/>
                      <a:graphic xmlns:a="http://schemas.openxmlformats.org/drawingml/2006/main">
                        <a:graphicData uri="http://schemas.microsoft.com/office/word/2010/wordprocessingShape">
                          <wps:wsp>
                            <wps:cNvCnPr/>
                            <wps:spPr>
                              <a:xfrm flipV="1">
                                <a:off x="4592955" y="3185160"/>
                                <a:ext cx="300355" cy="635"/>
                              </a:xfrm>
                              <a:prstGeom prst="line">
                                <a:avLst/>
                              </a:prstGeom>
                              <a:ln w="9525" cap="flat" cmpd="sng">
                                <a:solidFill>
                                  <a:srgbClr val="000000"/>
                                </a:solidFill>
                                <a:prstDash val="solid"/>
                                <a:round/>
                                <a:headEnd type="none" w="med" len="med"/>
                                <a:tailEnd type="arrow" w="med" len="med"/>
                              </a:ln>
                            </wps:spPr>
                            <wps:bodyPr upright="1"/>
                          </wps:wsp>
                        </a:graphicData>
                      </a:graphic>
                    </wp:anchor>
                  </w:drawing>
                </mc:Choice>
                <mc:Fallback>
                  <w:pict>
                    <v:line id="_x0000_s1026" o:spid="_x0000_s1026" o:spt="20" style="position:absolute;left:0pt;flip:y;margin-left:238.15pt;margin-top:14.75pt;height:0.05pt;width:23.65pt;z-index:251685888;mso-width-relative:page;mso-height-relative:page;" filled="f" stroked="t" coordsize="21600,21600" o:gfxdata="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cZkrt9gAAAAJAQAADwAA&#10;AAAAAAABACAAAAAiAAAAZHJzL2Rvd25yZXYueG1sUEsBAhQAFAAAAAgAh07iQPhtBAkWAgAACgQA&#10;AA4AAAAAAAAAAQAgAAAAJwEAAGRycy9lMm9Eb2MueG1sUEsFBgAAAAAGAAYAWQEAAK8FAAAAAA==&#10;">
                      <v:fill on="f" focussize="0,0"/>
                      <v:stroke color="#000000" joinstyle="round" endarrow="open"/>
                      <v:imagedata o:title=""/>
                      <o:lock v:ext="edit" aspectratio="f"/>
                    </v:line>
                  </w:pict>
                </mc:Fallback>
              </mc:AlternateContent>
            </w:r>
            <w:r>
              <w:rPr>
                <w:color w:val="auto"/>
                <w:sz w:val="21"/>
              </w:rPr>
              <mc:AlternateContent>
                <mc:Choice Requires="wps">
                  <w:drawing>
                    <wp:anchor distT="0" distB="0" distL="114300" distR="114300" simplePos="0" relativeHeight="251684864" behindDoc="0" locked="0" layoutInCell="1" allowOverlap="1">
                      <wp:simplePos x="0" y="0"/>
                      <wp:positionH relativeFrom="column">
                        <wp:posOffset>3314700</wp:posOffset>
                      </wp:positionH>
                      <wp:positionV relativeFrom="paragraph">
                        <wp:posOffset>57785</wp:posOffset>
                      </wp:positionV>
                      <wp:extent cx="645795" cy="240030"/>
                      <wp:effectExtent l="4445" t="4445" r="16510" b="22225"/>
                      <wp:wrapNone/>
                      <wp:docPr id="376" name="文本框 376"/>
                      <wp:cNvGraphicFramePr/>
                      <a:graphic xmlns:a="http://schemas.openxmlformats.org/drawingml/2006/main">
                        <a:graphicData uri="http://schemas.microsoft.com/office/word/2010/wordprocessingShape">
                          <wps:wsp>
                            <wps:cNvSpPr txBox="1"/>
                            <wps:spPr>
                              <a:xfrm>
                                <a:off x="4890770" y="3048000"/>
                                <a:ext cx="645795" cy="24003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6B413311">
                                  <w:pPr>
                                    <w:keepNext w:val="0"/>
                                    <w:keepLines w:val="0"/>
                                    <w:pageBreakBefore w:val="0"/>
                                    <w:widowControl w:val="0"/>
                                    <w:kinsoku/>
                                    <w:wordWrap/>
                                    <w:overflowPunct/>
                                    <w:topLinePunct w:val="0"/>
                                    <w:bidi w:val="0"/>
                                    <w:adjustRightInd/>
                                    <w:snapToGrid/>
                                    <w:spacing w:line="220" w:lineRule="exact"/>
                                    <w:jc w:val="center"/>
                                    <w:textAlignment w:val="auto"/>
                                    <w:rPr>
                                      <w:rFonts w:hint="default" w:ascii="Times New Roman" w:hAnsi="Times New Roman" w:eastAsia="宋体" w:cs="Times New Roman"/>
                                      <w:sz w:val="18"/>
                                      <w:szCs w:val="18"/>
                                      <w:lang w:val="en-US" w:eastAsia="zh-CN"/>
                                    </w:rPr>
                                  </w:pPr>
                                  <w:r>
                                    <w:rPr>
                                      <w:rFonts w:hint="eastAsia" w:ascii="Times New Roman" w:hAnsi="Times New Roman" w:cs="Times New Roman"/>
                                      <w:sz w:val="18"/>
                                      <w:szCs w:val="18"/>
                                      <w:lang w:val="en-US" w:eastAsia="zh-CN"/>
                                    </w:rPr>
                                    <w:t>1</w:t>
                                  </w:r>
                                  <w:r>
                                    <w:rPr>
                                      <w:rFonts w:hint="eastAsia" w:ascii="Times New Roman" w:hAnsi="Times New Roman" w:cs="Times New Roman"/>
                                      <w:sz w:val="18"/>
                                      <w:szCs w:val="18"/>
                                      <w:vertAlign w:val="superscript"/>
                                      <w:lang w:val="en-US" w:eastAsia="zh-CN"/>
                                    </w:rPr>
                                    <w:t>#</w:t>
                                  </w:r>
                                  <w:r>
                                    <w:rPr>
                                      <w:rFonts w:hint="default" w:ascii="Times New Roman" w:hAnsi="Times New Roman" w:eastAsia="宋体" w:cs="Times New Roman"/>
                                      <w:sz w:val="18"/>
                                      <w:szCs w:val="18"/>
                                      <w:lang w:val="en-US" w:eastAsia="zh-CN"/>
                                    </w:rPr>
                                    <w:t>上料仓</w:t>
                                  </w:r>
                                </w:p>
                              </w:txbxContent>
                            </wps:txbx>
                            <wps:bodyPr upright="1"/>
                          </wps:wsp>
                        </a:graphicData>
                      </a:graphic>
                    </wp:anchor>
                  </w:drawing>
                </mc:Choice>
                <mc:Fallback>
                  <w:pict>
                    <v:shape id="_x0000_s1026" o:spid="_x0000_s1026" o:spt="202" type="#_x0000_t202" style="position:absolute;left:0pt;margin-left:261pt;margin-top:4.55pt;height:18.9pt;width:50.85pt;z-index:251684864;mso-width-relative:page;mso-height-relative:page;" fillcolor="#FFFFFF" filled="t" stroked="t" coordsize="21600,21600" o:gfxdata="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lRcO6dkAAAAIAQAA&#10;DwAAAAAAAAABACAAAAAiAAAAZHJzL2Rvd25yZXYueG1sUEsBAhQAFAAAAAgAh07iQGG9vucYAgAA&#10;RQQAAA4AAAAAAAAAAQAgAAAAKAEAAGRycy9lMm9Eb2MueG1sUEsFBgAAAAAGAAYAWQEAALIFAAAA&#10;AA==&#10;">
                      <v:fill on="t" focussize="0,0"/>
                      <v:stroke color="#000000" joinstyle="miter"/>
                      <v:imagedata o:title=""/>
                      <o:lock v:ext="edit" aspectratio="f"/>
                      <v:textbox>
                        <w:txbxContent>
                          <w:p w14:paraId="6B413311">
                            <w:pPr>
                              <w:keepNext w:val="0"/>
                              <w:keepLines w:val="0"/>
                              <w:pageBreakBefore w:val="0"/>
                              <w:widowControl w:val="0"/>
                              <w:kinsoku/>
                              <w:wordWrap/>
                              <w:overflowPunct/>
                              <w:topLinePunct w:val="0"/>
                              <w:bidi w:val="0"/>
                              <w:adjustRightInd/>
                              <w:snapToGrid/>
                              <w:spacing w:line="220" w:lineRule="exact"/>
                              <w:jc w:val="center"/>
                              <w:textAlignment w:val="auto"/>
                              <w:rPr>
                                <w:rFonts w:hint="default" w:ascii="Times New Roman" w:hAnsi="Times New Roman" w:eastAsia="宋体" w:cs="Times New Roman"/>
                                <w:sz w:val="18"/>
                                <w:szCs w:val="18"/>
                                <w:lang w:val="en-US" w:eastAsia="zh-CN"/>
                              </w:rPr>
                            </w:pPr>
                            <w:r>
                              <w:rPr>
                                <w:rFonts w:hint="eastAsia" w:ascii="Times New Roman" w:hAnsi="Times New Roman" w:cs="Times New Roman"/>
                                <w:sz w:val="18"/>
                                <w:szCs w:val="18"/>
                                <w:lang w:val="en-US" w:eastAsia="zh-CN"/>
                              </w:rPr>
                              <w:t>1</w:t>
                            </w:r>
                            <w:r>
                              <w:rPr>
                                <w:rFonts w:hint="eastAsia" w:ascii="Times New Roman" w:hAnsi="Times New Roman" w:cs="Times New Roman"/>
                                <w:sz w:val="18"/>
                                <w:szCs w:val="18"/>
                                <w:vertAlign w:val="superscript"/>
                                <w:lang w:val="en-US" w:eastAsia="zh-CN"/>
                              </w:rPr>
                              <w:t>#</w:t>
                            </w:r>
                            <w:r>
                              <w:rPr>
                                <w:rFonts w:hint="default" w:ascii="Times New Roman" w:hAnsi="Times New Roman" w:eastAsia="宋体" w:cs="Times New Roman"/>
                                <w:sz w:val="18"/>
                                <w:szCs w:val="18"/>
                                <w:lang w:val="en-US" w:eastAsia="zh-CN"/>
                              </w:rPr>
                              <w:t>上料仓</w:t>
                            </w:r>
                          </w:p>
                        </w:txbxContent>
                      </v:textbox>
                    </v:shape>
                  </w:pict>
                </mc:Fallback>
              </mc:AlternateContent>
            </w:r>
            <w:r>
              <w:rPr>
                <w:color w:val="auto"/>
                <w:sz w:val="21"/>
              </w:rPr>
              <mc:AlternateContent>
                <mc:Choice Requires="wps">
                  <w:drawing>
                    <wp:anchor distT="0" distB="0" distL="114300" distR="114300" simplePos="0" relativeHeight="251687936" behindDoc="0" locked="0" layoutInCell="1" allowOverlap="1">
                      <wp:simplePos x="0" y="0"/>
                      <wp:positionH relativeFrom="column">
                        <wp:posOffset>2219325</wp:posOffset>
                      </wp:positionH>
                      <wp:positionV relativeFrom="paragraph">
                        <wp:posOffset>66040</wp:posOffset>
                      </wp:positionV>
                      <wp:extent cx="901065" cy="238760"/>
                      <wp:effectExtent l="0" t="0" r="0" b="0"/>
                      <wp:wrapNone/>
                      <wp:docPr id="379" name="文本框 379"/>
                      <wp:cNvGraphicFramePr/>
                      <a:graphic xmlns:a="http://schemas.openxmlformats.org/drawingml/2006/main">
                        <a:graphicData uri="http://schemas.microsoft.com/office/word/2010/wordprocessingShape">
                          <wps:wsp>
                            <wps:cNvSpPr txBox="1"/>
                            <wps:spPr>
                              <a:xfrm>
                                <a:off x="3796665" y="3063875"/>
                                <a:ext cx="901065" cy="238760"/>
                              </a:xfrm>
                              <a:prstGeom prst="rect">
                                <a:avLst/>
                              </a:prstGeom>
                              <a:noFill/>
                              <a:ln>
                                <a:noFill/>
                              </a:ln>
                            </wps:spPr>
                            <wps:txbx>
                              <w:txbxContent>
                                <w:p w14:paraId="585604BB">
                                  <w:pPr>
                                    <w:jc w:val="both"/>
                                    <w:rPr>
                                      <w:rFonts w:hint="default" w:ascii="Times New Roman" w:hAnsi="Times New Roman" w:eastAsia="宋体" w:cs="Times New Roman"/>
                                      <w:sz w:val="18"/>
                                      <w:szCs w:val="18"/>
                                      <w:lang w:val="en-US" w:eastAsia="zh-CN"/>
                                    </w:rPr>
                                  </w:pPr>
                                  <w:r>
                                    <w:rPr>
                                      <w:rFonts w:hint="eastAsia" w:ascii="Times New Roman" w:hAnsi="Times New Roman" w:eastAsia="宋体" w:cs="Times New Roman"/>
                                      <w:sz w:val="18"/>
                                      <w:szCs w:val="18"/>
                                      <w:lang w:val="en-US" w:eastAsia="zh-CN"/>
                                    </w:rPr>
                                    <w:t>废钢破碎尾料</w:t>
                                  </w:r>
                                </w:p>
                              </w:txbxContent>
                            </wps:txbx>
                            <wps:bodyPr upright="1"/>
                          </wps:wsp>
                        </a:graphicData>
                      </a:graphic>
                    </wp:anchor>
                  </w:drawing>
                </mc:Choice>
                <mc:Fallback>
                  <w:pict>
                    <v:shape id="_x0000_s1026" o:spid="_x0000_s1026" o:spt="202" type="#_x0000_t202" style="position:absolute;left:0pt;margin-left:174.75pt;margin-top:5.2pt;height:18.8pt;width:70.95pt;z-index:251687936;mso-width-relative:page;mso-height-relative:page;" filled="f" stroked="f" coordsize="21600,21600" o:gfxdata="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">
                      <v:fill on="f" focussize="0,0"/>
                      <v:stroke on="f"/>
                      <v:imagedata o:title=""/>
                      <o:lock v:ext="edit" aspectratio="f"/>
                      <v:textbox>
                        <w:txbxContent>
                          <w:p w14:paraId="585604BB">
                            <w:pPr>
                              <w:jc w:val="both"/>
                              <w:rPr>
                                <w:rFonts w:hint="default" w:ascii="Times New Roman" w:hAnsi="Times New Roman" w:eastAsia="宋体" w:cs="Times New Roman"/>
                                <w:sz w:val="18"/>
                                <w:szCs w:val="18"/>
                                <w:lang w:val="en-US" w:eastAsia="zh-CN"/>
                              </w:rPr>
                            </w:pPr>
                            <w:r>
                              <w:rPr>
                                <w:rFonts w:hint="eastAsia" w:ascii="Times New Roman" w:hAnsi="Times New Roman" w:eastAsia="宋体" w:cs="Times New Roman"/>
                                <w:sz w:val="18"/>
                                <w:szCs w:val="18"/>
                                <w:lang w:val="en-US" w:eastAsia="zh-CN"/>
                              </w:rPr>
                              <w:t>废钢破碎尾料</w:t>
                            </w:r>
                          </w:p>
                        </w:txbxContent>
                      </v:textbox>
                    </v:shape>
                  </w:pict>
                </mc:Fallback>
              </mc:AlternateContent>
            </w:r>
            <w:r>
              <w:rPr>
                <w:color w:val="auto"/>
                <w:sz w:val="21"/>
              </w:rPr>
              <mc:AlternateContent>
                <mc:Choice Requires="wps">
                  <w:drawing>
                    <wp:anchor distT="0" distB="0" distL="114300" distR="114300" simplePos="0" relativeHeight="251869184" behindDoc="0" locked="0" layoutInCell="1" allowOverlap="1">
                      <wp:simplePos x="0" y="0"/>
                      <wp:positionH relativeFrom="column">
                        <wp:posOffset>3782695</wp:posOffset>
                      </wp:positionH>
                      <wp:positionV relativeFrom="paragraph">
                        <wp:posOffset>238760</wp:posOffset>
                      </wp:positionV>
                      <wp:extent cx="400685" cy="213360"/>
                      <wp:effectExtent l="0" t="0" r="0" b="0"/>
                      <wp:wrapNone/>
                      <wp:docPr id="242" name="矩形 49"/>
                      <wp:cNvGraphicFramePr/>
                      <a:graphic xmlns:a="http://schemas.openxmlformats.org/drawingml/2006/main">
                        <a:graphicData uri="http://schemas.microsoft.com/office/word/2010/wordprocessingShape">
                          <wps:wsp>
                            <wps:cNvSpPr/>
                            <wps:spPr>
                              <a:xfrm>
                                <a:off x="0" y="0"/>
                                <a:ext cx="400685" cy="213360"/>
                              </a:xfrm>
                              <a:prstGeom prst="rect">
                                <a:avLst/>
                              </a:prstGeom>
                              <a:noFill/>
                              <a:ln>
                                <a:noFill/>
                              </a:ln>
                            </wps:spPr>
                            <wps:txbx>
                              <w:txbxContent>
                                <w:p w14:paraId="13F774ED">
                                  <w:pPr>
                                    <w:spacing w:line="0" w:lineRule="atLeast"/>
                                    <w:jc w:val="center"/>
                                    <w:rPr>
                                      <w:rFonts w:hint="default" w:eastAsia="宋体"/>
                                      <w:sz w:val="15"/>
                                      <w:szCs w:val="15"/>
                                      <w:lang w:val="en-US" w:eastAsia="zh-CN"/>
                                    </w:rPr>
                                  </w:pPr>
                                  <w:r>
                                    <w:rPr>
                                      <w:rFonts w:hint="eastAsia"/>
                                      <w:sz w:val="15"/>
                                      <w:szCs w:val="15"/>
                                    </w:rPr>
                                    <w:t>N</w:t>
                                  </w:r>
                                  <w:r>
                                    <w:rPr>
                                      <w:rFonts w:hint="eastAsia"/>
                                      <w:sz w:val="15"/>
                                      <w:szCs w:val="15"/>
                                      <w:lang w:eastAsia="zh-CN"/>
                                    </w:rPr>
                                    <w:t>、</w:t>
                                  </w:r>
                                  <w:r>
                                    <w:rPr>
                                      <w:rFonts w:hint="eastAsia"/>
                                      <w:sz w:val="15"/>
                                      <w:szCs w:val="15"/>
                                      <w:lang w:val="en-US" w:eastAsia="zh-CN"/>
                                    </w:rPr>
                                    <w:t>S</w:t>
                                  </w:r>
                                </w:p>
                              </w:txbxContent>
                            </wps:txbx>
                            <wps:bodyPr wrap="square" upright="1">
                              <a:noAutofit/>
                            </wps:bodyPr>
                          </wps:wsp>
                        </a:graphicData>
                      </a:graphic>
                    </wp:anchor>
                  </w:drawing>
                </mc:Choice>
                <mc:Fallback>
                  <w:pict>
                    <v:rect id="矩形 49" o:spid="_x0000_s1026" o:spt="1" style="position:absolute;left:0pt;margin-left:297.85pt;margin-top:18.8pt;height:16.8pt;width:31.55pt;z-index:251869184;mso-width-relative:page;mso-height-relative:page;" filled="f" stroked="f" coordsize="21600,21600" o:gfxdata="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By29I92wAAAAkBAAAPAAAAAAAAAAEAIAAAACIAAABkcnMvZG93bnJldi54bWxQ&#10;SwECFAAUAAAACACHTuJArpXYqrsBAABrAwAADgAAAAAAAAABACAAAAAqAQAAZHJzL2Uyb0RvYy54&#10;bWxQSwUGAAAAAAYABgBZAQAAVwUAAAAA&#10;">
                      <v:fill on="f" focussize="0,0"/>
                      <v:stroke on="f"/>
                      <v:imagedata o:title=""/>
                      <o:lock v:ext="edit" aspectratio="f"/>
                      <v:textbox>
                        <w:txbxContent>
                          <w:p w14:paraId="13F774ED">
                            <w:pPr>
                              <w:spacing w:line="0" w:lineRule="atLeast"/>
                              <w:jc w:val="center"/>
                              <w:rPr>
                                <w:rFonts w:hint="default" w:eastAsia="宋体"/>
                                <w:sz w:val="15"/>
                                <w:szCs w:val="15"/>
                                <w:lang w:val="en-US" w:eastAsia="zh-CN"/>
                              </w:rPr>
                            </w:pPr>
                            <w:r>
                              <w:rPr>
                                <w:rFonts w:hint="eastAsia"/>
                                <w:sz w:val="15"/>
                                <w:szCs w:val="15"/>
                              </w:rPr>
                              <w:t>N</w:t>
                            </w:r>
                            <w:r>
                              <w:rPr>
                                <w:rFonts w:hint="eastAsia"/>
                                <w:sz w:val="15"/>
                                <w:szCs w:val="15"/>
                                <w:lang w:eastAsia="zh-CN"/>
                              </w:rPr>
                              <w:t>、</w:t>
                            </w:r>
                            <w:r>
                              <w:rPr>
                                <w:rFonts w:hint="eastAsia"/>
                                <w:sz w:val="15"/>
                                <w:szCs w:val="15"/>
                                <w:lang w:val="en-US" w:eastAsia="zh-CN"/>
                              </w:rPr>
                              <w:t>S</w:t>
                            </w:r>
                          </w:p>
                        </w:txbxContent>
                      </v:textbox>
                    </v:rect>
                  </w:pict>
                </mc:Fallback>
              </mc:AlternateContent>
            </w:r>
          </w:p>
          <w:p w14:paraId="4D5B018C">
            <w:pPr>
              <w:pStyle w:val="24"/>
              <w:keepNext w:val="0"/>
              <w:keepLines w:val="0"/>
              <w:pageBreakBefore w:val="0"/>
              <w:widowControl/>
              <w:kinsoku/>
              <w:wordWrap/>
              <w:overflowPunct/>
              <w:topLinePunct w:val="0"/>
              <w:autoSpaceDE/>
              <w:autoSpaceDN/>
              <w:bidi w:val="0"/>
              <w:adjustRightInd w:val="0"/>
              <w:snapToGrid w:val="0"/>
              <w:spacing w:before="0" w:beforeAutospacing="0" w:after="0" w:afterAutospacing="0" w:line="430" w:lineRule="exact"/>
              <w:ind w:firstLine="420" w:firstLineChars="200"/>
              <w:textAlignment w:val="auto"/>
              <w:rPr>
                <w:rFonts w:hint="eastAsia" w:ascii="Times New Roman" w:hAnsi="Times New Roman" w:eastAsia="宋体" w:cs="Times New Roman"/>
                <w:color w:val="auto"/>
                <w:sz w:val="21"/>
                <w:szCs w:val="21"/>
                <w:highlight w:val="none"/>
                <w:lang w:val="en-US" w:eastAsia="zh-CN"/>
              </w:rPr>
            </w:pPr>
            <w:r>
              <w:rPr>
                <w:color w:val="auto"/>
                <w:sz w:val="21"/>
              </w:rPr>
              <mc:AlternateContent>
                <mc:Choice Requires="wps">
                  <w:drawing>
                    <wp:anchor distT="0" distB="0" distL="114300" distR="114300" simplePos="0" relativeHeight="251864064" behindDoc="0" locked="0" layoutInCell="1" allowOverlap="1">
                      <wp:simplePos x="0" y="0"/>
                      <wp:positionH relativeFrom="column">
                        <wp:posOffset>4208780</wp:posOffset>
                      </wp:positionH>
                      <wp:positionV relativeFrom="paragraph">
                        <wp:posOffset>251460</wp:posOffset>
                      </wp:positionV>
                      <wp:extent cx="332105" cy="240665"/>
                      <wp:effectExtent l="0" t="0" r="0" b="0"/>
                      <wp:wrapNone/>
                      <wp:docPr id="238" name="文本框 238"/>
                      <wp:cNvGraphicFramePr/>
                      <a:graphic xmlns:a="http://schemas.openxmlformats.org/drawingml/2006/main">
                        <a:graphicData uri="http://schemas.microsoft.com/office/word/2010/wordprocessingShape">
                          <wps:wsp>
                            <wps:cNvSpPr txBox="1"/>
                            <wps:spPr>
                              <a:xfrm>
                                <a:off x="0" y="0"/>
                                <a:ext cx="332105" cy="240665"/>
                              </a:xfrm>
                              <a:prstGeom prst="rect">
                                <a:avLst/>
                              </a:prstGeom>
                              <a:noFill/>
                              <a:ln>
                                <a:noFill/>
                              </a:ln>
                            </wps:spPr>
                            <wps:txbx>
                              <w:txbxContent>
                                <w:p w14:paraId="098F88E9">
                                  <w:pPr>
                                    <w:keepNext w:val="0"/>
                                    <w:keepLines w:val="0"/>
                                    <w:pageBreakBefore w:val="0"/>
                                    <w:widowControl w:val="0"/>
                                    <w:kinsoku/>
                                    <w:wordWrap/>
                                    <w:overflowPunct/>
                                    <w:topLinePunct w:val="0"/>
                                    <w:bidi w:val="0"/>
                                    <w:adjustRightInd/>
                                    <w:snapToGrid/>
                                    <w:spacing w:line="220" w:lineRule="exact"/>
                                    <w:jc w:val="both"/>
                                    <w:textAlignment w:val="auto"/>
                                    <w:rPr>
                                      <w:rFonts w:hint="default" w:ascii="Times New Roman" w:hAnsi="Times New Roman" w:eastAsia="宋体" w:cs="Times New Roman"/>
                                      <w:color w:val="auto"/>
                                      <w:sz w:val="18"/>
                                      <w:szCs w:val="18"/>
                                      <w:lang w:val="en-US" w:eastAsia="zh-CN"/>
                                    </w:rPr>
                                  </w:pPr>
                                  <w:r>
                                    <w:rPr>
                                      <w:rFonts w:hint="eastAsia" w:cs="Times New Roman"/>
                                      <w:color w:val="auto"/>
                                      <w:sz w:val="18"/>
                                      <w:szCs w:val="18"/>
                                      <w:lang w:val="en-US" w:eastAsia="zh-CN"/>
                                    </w:rPr>
                                    <w:t>土</w:t>
                                  </w:r>
                                </w:p>
                              </w:txbxContent>
                            </wps:txbx>
                            <wps:bodyPr upright="1"/>
                          </wps:wsp>
                        </a:graphicData>
                      </a:graphic>
                    </wp:anchor>
                  </w:drawing>
                </mc:Choice>
                <mc:Fallback>
                  <w:pict>
                    <v:shape id="_x0000_s1026" o:spid="_x0000_s1026" o:spt="202" type="#_x0000_t202" style="position:absolute;left:0pt;margin-left:331.4pt;margin-top:19.8pt;height:18.95pt;width:26.15pt;z-index:251864064;mso-width-relative:page;mso-height-relative:page;" filled="f" stroked="f" coordsize="21600,21600" o:gfxdata="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e+5NENcA&#10;AAAJAQAADwAAAAAAAAABACAAAAAiAAAAZHJzL2Rvd25yZXYueG1sUEsBAhQAFAAAAAgAh07iQBxZ&#10;q+SuAQAAUQMAAA4AAAAAAAAAAQAgAAAAJgEAAGRycy9lMm9Eb2MueG1sUEsFBgAAAAAGAAYAWQEA&#10;AEYFAAAAAA==&#10;">
                      <v:fill on="f" focussize="0,0"/>
                      <v:stroke on="f"/>
                      <v:imagedata o:title=""/>
                      <o:lock v:ext="edit" aspectratio="f"/>
                      <v:textbox>
                        <w:txbxContent>
                          <w:p w14:paraId="098F88E9">
                            <w:pPr>
                              <w:keepNext w:val="0"/>
                              <w:keepLines w:val="0"/>
                              <w:pageBreakBefore w:val="0"/>
                              <w:widowControl w:val="0"/>
                              <w:kinsoku/>
                              <w:wordWrap/>
                              <w:overflowPunct/>
                              <w:topLinePunct w:val="0"/>
                              <w:bidi w:val="0"/>
                              <w:adjustRightInd/>
                              <w:snapToGrid/>
                              <w:spacing w:line="220" w:lineRule="exact"/>
                              <w:jc w:val="both"/>
                              <w:textAlignment w:val="auto"/>
                              <w:rPr>
                                <w:rFonts w:hint="default" w:ascii="Times New Roman" w:hAnsi="Times New Roman" w:eastAsia="宋体" w:cs="Times New Roman"/>
                                <w:color w:val="auto"/>
                                <w:sz w:val="18"/>
                                <w:szCs w:val="18"/>
                                <w:lang w:val="en-US" w:eastAsia="zh-CN"/>
                              </w:rPr>
                            </w:pPr>
                            <w:r>
                              <w:rPr>
                                <w:rFonts w:hint="eastAsia" w:cs="Times New Roman"/>
                                <w:color w:val="auto"/>
                                <w:sz w:val="18"/>
                                <w:szCs w:val="18"/>
                                <w:lang w:val="en-US" w:eastAsia="zh-CN"/>
                              </w:rPr>
                              <w:t>土</w:t>
                            </w:r>
                          </w:p>
                        </w:txbxContent>
                      </v:textbox>
                    </v:shape>
                  </w:pict>
                </mc:Fallback>
              </mc:AlternateContent>
            </w:r>
            <w:r>
              <w:rPr>
                <w:color w:val="auto"/>
                <w:sz w:val="21"/>
              </w:rPr>
              <mc:AlternateContent>
                <mc:Choice Requires="wps">
                  <w:drawing>
                    <wp:anchor distT="0" distB="0" distL="114300" distR="114300" simplePos="0" relativeHeight="251686912" behindDoc="0" locked="0" layoutInCell="1" allowOverlap="1">
                      <wp:simplePos x="0" y="0"/>
                      <wp:positionH relativeFrom="column">
                        <wp:posOffset>3230880</wp:posOffset>
                      </wp:positionH>
                      <wp:positionV relativeFrom="paragraph">
                        <wp:posOffset>255270</wp:posOffset>
                      </wp:positionV>
                      <wp:extent cx="796290" cy="238760"/>
                      <wp:effectExtent l="4445" t="4445" r="18415" b="23495"/>
                      <wp:wrapNone/>
                      <wp:docPr id="378" name="文本框 378"/>
                      <wp:cNvGraphicFramePr/>
                      <a:graphic xmlns:a="http://schemas.openxmlformats.org/drawingml/2006/main">
                        <a:graphicData uri="http://schemas.microsoft.com/office/word/2010/wordprocessingShape">
                          <wps:wsp>
                            <wps:cNvSpPr txBox="1"/>
                            <wps:spPr>
                              <a:xfrm>
                                <a:off x="4790440" y="3526155"/>
                                <a:ext cx="796290" cy="23876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4AED8130">
                                  <w:pPr>
                                    <w:keepNext w:val="0"/>
                                    <w:keepLines w:val="0"/>
                                    <w:pageBreakBefore w:val="0"/>
                                    <w:widowControl w:val="0"/>
                                    <w:kinsoku/>
                                    <w:wordWrap/>
                                    <w:overflowPunct/>
                                    <w:topLinePunct w:val="0"/>
                                    <w:bidi w:val="0"/>
                                    <w:adjustRightInd/>
                                    <w:snapToGrid/>
                                    <w:spacing w:line="220" w:lineRule="exact"/>
                                    <w:jc w:val="center"/>
                                    <w:textAlignment w:val="auto"/>
                                    <w:rPr>
                                      <w:rFonts w:hint="default" w:ascii="Times New Roman" w:hAnsi="Times New Roman" w:eastAsia="宋体" w:cs="Times New Roman"/>
                                      <w:color w:val="auto"/>
                                      <w:sz w:val="18"/>
                                      <w:szCs w:val="18"/>
                                      <w:lang w:val="en-US" w:eastAsia="zh-CN"/>
                                    </w:rPr>
                                  </w:pPr>
                                  <w:r>
                                    <w:rPr>
                                      <w:rFonts w:hint="eastAsia" w:ascii="Times New Roman" w:hAnsi="Times New Roman" w:cs="Times New Roman"/>
                                      <w:color w:val="auto"/>
                                      <w:sz w:val="18"/>
                                      <w:szCs w:val="18"/>
                                      <w:lang w:val="en-US" w:eastAsia="zh-CN"/>
                                    </w:rPr>
                                    <w:t>1</w:t>
                                  </w:r>
                                  <w:r>
                                    <w:rPr>
                                      <w:rFonts w:hint="eastAsia" w:ascii="Times New Roman" w:hAnsi="Times New Roman" w:cs="Times New Roman"/>
                                      <w:color w:val="auto"/>
                                      <w:sz w:val="18"/>
                                      <w:szCs w:val="18"/>
                                      <w:vertAlign w:val="superscript"/>
                                      <w:lang w:val="en-US" w:eastAsia="zh-CN"/>
                                    </w:rPr>
                                    <w:t>#</w:t>
                                  </w:r>
                                  <w:r>
                                    <w:rPr>
                                      <w:rFonts w:hint="eastAsia" w:ascii="Times New Roman" w:hAnsi="Times New Roman" w:cs="Times New Roman"/>
                                      <w:color w:val="auto"/>
                                      <w:sz w:val="18"/>
                                      <w:szCs w:val="18"/>
                                      <w:lang w:val="en-US" w:eastAsia="zh-CN"/>
                                    </w:rPr>
                                    <w:t>滚筒筛</w:t>
                                  </w:r>
                                </w:p>
                              </w:txbxContent>
                            </wps:txbx>
                            <wps:bodyPr upright="1"/>
                          </wps:wsp>
                        </a:graphicData>
                      </a:graphic>
                    </wp:anchor>
                  </w:drawing>
                </mc:Choice>
                <mc:Fallback>
                  <w:pict>
                    <v:shape id="_x0000_s1026" o:spid="_x0000_s1026" o:spt="202" type="#_x0000_t202" style="position:absolute;left:0pt;margin-left:254.4pt;margin-top:20.1pt;height:18.8pt;width:62.7pt;z-index:251686912;mso-width-relative:page;mso-height-relative:page;" fillcolor="#FFFFFF" filled="t" stroked="t" coordsize="21600,21600" o:gfxdata="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AuwrZ32QAAAAkB&#10;AAAPAAAAAAAAAAEAIAAAACIAAABkcnMvZG93bnJldi54bWxQSwECFAAUAAAACACHTuJAXBVfWhoC&#10;AABFBAAADgAAAAAAAAABACAAAAAoAQAAZHJzL2Uyb0RvYy54bWxQSwUGAAAAAAYABgBZAQAAtAUA&#10;AAAA&#10;">
                      <v:fill on="t" focussize="0,0"/>
                      <v:stroke color="#000000" joinstyle="miter"/>
                      <v:imagedata o:title=""/>
                      <o:lock v:ext="edit" aspectratio="f"/>
                      <v:textbox>
                        <w:txbxContent>
                          <w:p w14:paraId="4AED8130">
                            <w:pPr>
                              <w:keepNext w:val="0"/>
                              <w:keepLines w:val="0"/>
                              <w:pageBreakBefore w:val="0"/>
                              <w:widowControl w:val="0"/>
                              <w:kinsoku/>
                              <w:wordWrap/>
                              <w:overflowPunct/>
                              <w:topLinePunct w:val="0"/>
                              <w:bidi w:val="0"/>
                              <w:adjustRightInd/>
                              <w:snapToGrid/>
                              <w:spacing w:line="220" w:lineRule="exact"/>
                              <w:jc w:val="center"/>
                              <w:textAlignment w:val="auto"/>
                              <w:rPr>
                                <w:rFonts w:hint="default" w:ascii="Times New Roman" w:hAnsi="Times New Roman" w:eastAsia="宋体" w:cs="Times New Roman"/>
                                <w:color w:val="auto"/>
                                <w:sz w:val="18"/>
                                <w:szCs w:val="18"/>
                                <w:lang w:val="en-US" w:eastAsia="zh-CN"/>
                              </w:rPr>
                            </w:pPr>
                            <w:r>
                              <w:rPr>
                                <w:rFonts w:hint="eastAsia" w:ascii="Times New Roman" w:hAnsi="Times New Roman" w:cs="Times New Roman"/>
                                <w:color w:val="auto"/>
                                <w:sz w:val="18"/>
                                <w:szCs w:val="18"/>
                                <w:lang w:val="en-US" w:eastAsia="zh-CN"/>
                              </w:rPr>
                              <w:t>1</w:t>
                            </w:r>
                            <w:r>
                              <w:rPr>
                                <w:rFonts w:hint="eastAsia" w:ascii="Times New Roman" w:hAnsi="Times New Roman" w:cs="Times New Roman"/>
                                <w:color w:val="auto"/>
                                <w:sz w:val="18"/>
                                <w:szCs w:val="18"/>
                                <w:vertAlign w:val="superscript"/>
                                <w:lang w:val="en-US" w:eastAsia="zh-CN"/>
                              </w:rPr>
                              <w:t>#</w:t>
                            </w:r>
                            <w:r>
                              <w:rPr>
                                <w:rFonts w:hint="eastAsia" w:ascii="Times New Roman" w:hAnsi="Times New Roman" w:cs="Times New Roman"/>
                                <w:color w:val="auto"/>
                                <w:sz w:val="18"/>
                                <w:szCs w:val="18"/>
                                <w:lang w:val="en-US" w:eastAsia="zh-CN"/>
                              </w:rPr>
                              <w:t>滚筒筛</w:t>
                            </w:r>
                          </w:p>
                        </w:txbxContent>
                      </v:textbox>
                    </v:shape>
                  </w:pict>
                </mc:Fallback>
              </mc:AlternateContent>
            </w:r>
            <w:r>
              <w:rPr>
                <w:color w:val="auto"/>
                <w:sz w:val="21"/>
              </w:rPr>
              <mc:AlternateContent>
                <mc:Choice Requires="wps">
                  <w:drawing>
                    <wp:anchor distT="0" distB="0" distL="114300" distR="114300" simplePos="0" relativeHeight="251868160" behindDoc="0" locked="0" layoutInCell="1" allowOverlap="1">
                      <wp:simplePos x="0" y="0"/>
                      <wp:positionH relativeFrom="column">
                        <wp:posOffset>4011930</wp:posOffset>
                      </wp:positionH>
                      <wp:positionV relativeFrom="paragraph">
                        <wp:posOffset>114935</wp:posOffset>
                      </wp:positionV>
                      <wp:extent cx="635" cy="144145"/>
                      <wp:effectExtent l="36195" t="0" r="39370" b="8255"/>
                      <wp:wrapNone/>
                      <wp:docPr id="243" name="直接箭头连接符 50"/>
                      <wp:cNvGraphicFramePr/>
                      <a:graphic xmlns:a="http://schemas.openxmlformats.org/drawingml/2006/main">
                        <a:graphicData uri="http://schemas.microsoft.com/office/word/2010/wordprocessingShape">
                          <wps:wsp>
                            <wps:cNvCnPr/>
                            <wps:spPr>
                              <a:xfrm flipH="1" flipV="1">
                                <a:off x="0" y="0"/>
                                <a:ext cx="635" cy="144145"/>
                              </a:xfrm>
                              <a:prstGeom prst="straightConnector1">
                                <a:avLst/>
                              </a:prstGeom>
                              <a:ln w="9525" cap="flat" cmpd="sng">
                                <a:solidFill>
                                  <a:srgbClr val="000000"/>
                                </a:solidFill>
                                <a:prstDash val="dash"/>
                                <a:headEnd type="none" w="med" len="med"/>
                                <a:tailEnd type="arrow" w="sm" len="sm"/>
                              </a:ln>
                            </wps:spPr>
                            <wps:bodyPr/>
                          </wps:wsp>
                        </a:graphicData>
                      </a:graphic>
                    </wp:anchor>
                  </w:drawing>
                </mc:Choice>
                <mc:Fallback>
                  <w:pict>
                    <v:shape id="直接箭头连接符 50" o:spid="_x0000_s1026" o:spt="32" type="#_x0000_t32" style="position:absolute;left:0pt;flip:x y;margin-left:315.9pt;margin-top:9.05pt;height:11.35pt;width:0.05pt;z-index:251868160;mso-width-relative:page;mso-height-relative:page;" filled="f" stroked="t" coordsize="21600,21600" o:gfxdata="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DV2suN1wAAAAkBAAAPAAAAAAAA&#10;AAEAIAAAACIAAABkcnMvZG93bnJldi54bWxQSwECFAAUAAAACACHTuJAEFK8BBMCAAACBAAADgAA&#10;AAAAAAABACAAAAAmAQAAZHJzL2Uyb0RvYy54bWxQSwUGAAAAAAYABgBZAQAAqwUAAAAA&#10;">
                      <v:fill on="f" focussize="0,0"/>
                      <v:stroke color="#000000" joinstyle="round" dashstyle="dash" endarrow="open" endarrowwidth="narrow" endarrowlength="short"/>
                      <v:imagedata o:title=""/>
                      <o:lock v:ext="edit" aspectratio="f"/>
                    </v:shape>
                  </w:pict>
                </mc:Fallback>
              </mc:AlternateContent>
            </w:r>
            <w:r>
              <w:rPr>
                <w:color w:val="auto"/>
                <w:sz w:val="21"/>
              </w:rPr>
              <mc:AlternateContent>
                <mc:Choice Requires="wps">
                  <w:drawing>
                    <wp:anchor distT="0" distB="0" distL="114300" distR="114300" simplePos="0" relativeHeight="251688960" behindDoc="0" locked="0" layoutInCell="1" allowOverlap="1">
                      <wp:simplePos x="0" y="0"/>
                      <wp:positionH relativeFrom="column">
                        <wp:posOffset>3669030</wp:posOffset>
                      </wp:positionH>
                      <wp:positionV relativeFrom="paragraph">
                        <wp:posOffset>33020</wp:posOffset>
                      </wp:positionV>
                      <wp:extent cx="2540" cy="230505"/>
                      <wp:effectExtent l="47625" t="0" r="64135" b="17145"/>
                      <wp:wrapNone/>
                      <wp:docPr id="380" name="直接连接符 380"/>
                      <wp:cNvGraphicFramePr/>
                      <a:graphic xmlns:a="http://schemas.openxmlformats.org/drawingml/2006/main">
                        <a:graphicData uri="http://schemas.microsoft.com/office/word/2010/wordprocessingShape">
                          <wps:wsp>
                            <wps:cNvCnPr/>
                            <wps:spPr>
                              <a:xfrm>
                                <a:off x="5187315" y="3303905"/>
                                <a:ext cx="2540" cy="230505"/>
                              </a:xfrm>
                              <a:prstGeom prst="line">
                                <a:avLst/>
                              </a:prstGeom>
                              <a:ln w="9525" cap="flat" cmpd="sng">
                                <a:solidFill>
                                  <a:srgbClr val="000000"/>
                                </a:solidFill>
                                <a:prstDash val="solid"/>
                                <a:round/>
                                <a:headEnd type="none" w="med" len="med"/>
                                <a:tailEnd type="arrow" w="med" len="med"/>
                              </a:ln>
                            </wps:spPr>
                            <wps:bodyPr upright="1"/>
                          </wps:wsp>
                        </a:graphicData>
                      </a:graphic>
                    </wp:anchor>
                  </w:drawing>
                </mc:Choice>
                <mc:Fallback>
                  <w:pict>
                    <v:line id="_x0000_s1026" o:spid="_x0000_s1026" o:spt="20" style="position:absolute;left:0pt;margin-left:288.9pt;margin-top:2.6pt;height:18.15pt;width:0.2pt;z-index:251688960;mso-width-relative:page;mso-height-relative:page;" filled="f" stroked="t" coordsize="21600,21600" o:gfxdata="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NwWSA7YAAAACAEAAA8AAAAAAAAA&#10;AQAgAAAAIgAAAGRycy9kb3ducmV2LnhtbFBLAQIUABQAAAAIAIdO4kA8QNT/EQIAAAEEAAAOAAAA&#10;AAAAAAEAIAAAACcBAABkcnMvZTJvRG9jLnhtbFBLBQYAAAAABgAGAFkBAACqBQAAAAA=&#10;">
                      <v:fill on="f" focussize="0,0"/>
                      <v:stroke color="#000000" joinstyle="round" endarrow="open"/>
                      <v:imagedata o:title=""/>
                      <o:lock v:ext="edit" aspectratio="f"/>
                    </v:line>
                  </w:pict>
                </mc:Fallback>
              </mc:AlternateContent>
            </w:r>
          </w:p>
          <w:p w14:paraId="67D5BDA9">
            <w:pPr>
              <w:pStyle w:val="24"/>
              <w:keepNext w:val="0"/>
              <w:keepLines w:val="0"/>
              <w:pageBreakBefore w:val="0"/>
              <w:widowControl/>
              <w:kinsoku/>
              <w:wordWrap/>
              <w:overflowPunct/>
              <w:topLinePunct w:val="0"/>
              <w:autoSpaceDE/>
              <w:autoSpaceDN/>
              <w:bidi w:val="0"/>
              <w:adjustRightInd w:val="0"/>
              <w:snapToGrid w:val="0"/>
              <w:spacing w:before="0" w:beforeAutospacing="0" w:after="0" w:afterAutospacing="0" w:line="430" w:lineRule="exact"/>
              <w:ind w:firstLine="420" w:firstLineChars="200"/>
              <w:textAlignment w:val="auto"/>
              <w:rPr>
                <w:rFonts w:hint="eastAsia" w:ascii="Times New Roman" w:hAnsi="Times New Roman" w:eastAsia="宋体" w:cs="Times New Roman"/>
                <w:color w:val="auto"/>
                <w:sz w:val="21"/>
                <w:szCs w:val="21"/>
                <w:highlight w:val="none"/>
                <w:lang w:val="en-US" w:eastAsia="zh-CN"/>
              </w:rPr>
            </w:pPr>
            <w:r>
              <w:rPr>
                <w:color w:val="auto"/>
                <w:sz w:val="21"/>
              </w:rPr>
              <mc:AlternateContent>
                <mc:Choice Requires="wps">
                  <w:drawing>
                    <wp:anchor distT="0" distB="0" distL="114300" distR="114300" simplePos="0" relativeHeight="251875328" behindDoc="0" locked="0" layoutInCell="1" allowOverlap="1">
                      <wp:simplePos x="0" y="0"/>
                      <wp:positionH relativeFrom="column">
                        <wp:posOffset>4020820</wp:posOffset>
                      </wp:positionH>
                      <wp:positionV relativeFrom="paragraph">
                        <wp:posOffset>108585</wp:posOffset>
                      </wp:positionV>
                      <wp:extent cx="252095" cy="635"/>
                      <wp:effectExtent l="0" t="48895" r="14605" b="64770"/>
                      <wp:wrapNone/>
                      <wp:docPr id="233" name="直接连接符 233"/>
                      <wp:cNvGraphicFramePr/>
                      <a:graphic xmlns:a="http://schemas.openxmlformats.org/drawingml/2006/main">
                        <a:graphicData uri="http://schemas.microsoft.com/office/word/2010/wordprocessingShape">
                          <wps:wsp>
                            <wps:cNvCnPr/>
                            <wps:spPr>
                              <a:xfrm flipV="1">
                                <a:off x="0" y="0"/>
                                <a:ext cx="252095" cy="635"/>
                              </a:xfrm>
                              <a:prstGeom prst="line">
                                <a:avLst/>
                              </a:prstGeom>
                              <a:ln w="9525" cap="flat" cmpd="sng">
                                <a:solidFill>
                                  <a:srgbClr val="000000"/>
                                </a:solidFill>
                                <a:prstDash val="solid"/>
                                <a:round/>
                                <a:headEnd type="none" w="med" len="med"/>
                                <a:tailEnd type="arrow" w="med" len="med"/>
                              </a:ln>
                            </wps:spPr>
                            <wps:bodyPr upright="1"/>
                          </wps:wsp>
                        </a:graphicData>
                      </a:graphic>
                    </wp:anchor>
                  </w:drawing>
                </mc:Choice>
                <mc:Fallback>
                  <w:pict>
                    <v:line id="_x0000_s1026" o:spid="_x0000_s1026" o:spt="20" style="position:absolute;left:0pt;flip:y;margin-left:316.6pt;margin-top:8.55pt;height:0.05pt;width:19.85pt;z-index:251875328;mso-width-relative:page;mso-height-relative:page;" filled="f" stroked="t" coordsize="21600,21600" o:gfxdata="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v+CD3NcAAAAJAQAADwAAAAAAAAABACAAAAAiAAAA&#10;ZHJzL2Rvd25yZXYueG1sUEsBAhQAFAAAAAgAh07iQDCGoIkIAgAA/gMAAA4AAAAAAAAAAQAgAAAA&#10;JgEAAGRycy9lMm9Eb2MueG1sUEsFBgAAAAAGAAYAWQEAAKAFAAAAAA==&#10;">
                      <v:fill on="f" focussize="0,0"/>
                      <v:stroke color="#000000" joinstyle="round" endarrow="open"/>
                      <v:imagedata o:title=""/>
                      <o:lock v:ext="edit" aspectratio="f"/>
                    </v:line>
                  </w:pict>
                </mc:Fallback>
              </mc:AlternateContent>
            </w:r>
            <w:r>
              <w:rPr>
                <w:color w:val="auto"/>
                <w:sz w:val="21"/>
              </w:rPr>
              <mc:AlternateContent>
                <mc:Choice Requires="wps">
                  <w:drawing>
                    <wp:anchor distT="0" distB="0" distL="114300" distR="114300" simplePos="0" relativeHeight="251871232" behindDoc="0" locked="0" layoutInCell="1" allowOverlap="1">
                      <wp:simplePos x="0" y="0"/>
                      <wp:positionH relativeFrom="column">
                        <wp:posOffset>3789680</wp:posOffset>
                      </wp:positionH>
                      <wp:positionV relativeFrom="paragraph">
                        <wp:posOffset>173990</wp:posOffset>
                      </wp:positionV>
                      <wp:extent cx="400685" cy="213360"/>
                      <wp:effectExtent l="0" t="0" r="0" b="0"/>
                      <wp:wrapNone/>
                      <wp:docPr id="244" name="矩形 49"/>
                      <wp:cNvGraphicFramePr/>
                      <a:graphic xmlns:a="http://schemas.openxmlformats.org/drawingml/2006/main">
                        <a:graphicData uri="http://schemas.microsoft.com/office/word/2010/wordprocessingShape">
                          <wps:wsp>
                            <wps:cNvSpPr/>
                            <wps:spPr>
                              <a:xfrm>
                                <a:off x="0" y="0"/>
                                <a:ext cx="400685" cy="213360"/>
                              </a:xfrm>
                              <a:prstGeom prst="rect">
                                <a:avLst/>
                              </a:prstGeom>
                              <a:noFill/>
                              <a:ln>
                                <a:noFill/>
                              </a:ln>
                            </wps:spPr>
                            <wps:txbx>
                              <w:txbxContent>
                                <w:p w14:paraId="1FFC69B3">
                                  <w:pPr>
                                    <w:spacing w:line="0" w:lineRule="atLeast"/>
                                    <w:jc w:val="center"/>
                                    <w:rPr>
                                      <w:rFonts w:hint="default" w:eastAsia="宋体"/>
                                      <w:sz w:val="15"/>
                                      <w:szCs w:val="15"/>
                                      <w:lang w:val="en-US" w:eastAsia="zh-CN"/>
                                    </w:rPr>
                                  </w:pPr>
                                  <w:r>
                                    <w:rPr>
                                      <w:rFonts w:hint="eastAsia"/>
                                      <w:sz w:val="15"/>
                                      <w:szCs w:val="15"/>
                                    </w:rPr>
                                    <w:t>N</w:t>
                                  </w:r>
                                  <w:r>
                                    <w:rPr>
                                      <w:rFonts w:hint="eastAsia"/>
                                      <w:sz w:val="15"/>
                                      <w:szCs w:val="15"/>
                                      <w:lang w:eastAsia="zh-CN"/>
                                    </w:rPr>
                                    <w:t>、</w:t>
                                  </w:r>
                                  <w:r>
                                    <w:rPr>
                                      <w:rFonts w:hint="eastAsia"/>
                                      <w:sz w:val="15"/>
                                      <w:szCs w:val="15"/>
                                      <w:lang w:val="en-US" w:eastAsia="zh-CN"/>
                                    </w:rPr>
                                    <w:t>S</w:t>
                                  </w:r>
                                </w:p>
                              </w:txbxContent>
                            </wps:txbx>
                            <wps:bodyPr wrap="square" upright="1">
                              <a:noAutofit/>
                            </wps:bodyPr>
                          </wps:wsp>
                        </a:graphicData>
                      </a:graphic>
                    </wp:anchor>
                  </w:drawing>
                </mc:Choice>
                <mc:Fallback>
                  <w:pict>
                    <v:rect id="矩形 49" o:spid="_x0000_s1026" o:spt="1" style="position:absolute;left:0pt;margin-left:298.4pt;margin-top:13.7pt;height:16.8pt;width:31.55pt;z-index:251871232;mso-width-relative:page;mso-height-relative:page;" filled="f" stroked="f" coordsize="21600,21600" o:gfxdata="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Ai+L6m2wAAAAkBAAAPAAAAAAAAAAEAIAAAACIAAABkcnMvZG93bnJldi54bWxQ&#10;SwECFAAUAAAACACHTuJAnYd4RbsBAABrAwAADgAAAAAAAAABACAAAAAqAQAAZHJzL2Uyb0RvYy54&#10;bWxQSwUGAAAAAAYABgBZAQAAVwUAAAAA&#10;">
                      <v:fill on="f" focussize="0,0"/>
                      <v:stroke on="f"/>
                      <v:imagedata o:title=""/>
                      <o:lock v:ext="edit" aspectratio="f"/>
                      <v:textbox>
                        <w:txbxContent>
                          <w:p w14:paraId="1FFC69B3">
                            <w:pPr>
                              <w:spacing w:line="0" w:lineRule="atLeast"/>
                              <w:jc w:val="center"/>
                              <w:rPr>
                                <w:rFonts w:hint="default" w:eastAsia="宋体"/>
                                <w:sz w:val="15"/>
                                <w:szCs w:val="15"/>
                                <w:lang w:val="en-US" w:eastAsia="zh-CN"/>
                              </w:rPr>
                            </w:pPr>
                            <w:r>
                              <w:rPr>
                                <w:rFonts w:hint="eastAsia"/>
                                <w:sz w:val="15"/>
                                <w:szCs w:val="15"/>
                              </w:rPr>
                              <w:t>N</w:t>
                            </w:r>
                            <w:r>
                              <w:rPr>
                                <w:rFonts w:hint="eastAsia"/>
                                <w:sz w:val="15"/>
                                <w:szCs w:val="15"/>
                                <w:lang w:eastAsia="zh-CN"/>
                              </w:rPr>
                              <w:t>、</w:t>
                            </w:r>
                            <w:r>
                              <w:rPr>
                                <w:rFonts w:hint="eastAsia"/>
                                <w:sz w:val="15"/>
                                <w:szCs w:val="15"/>
                                <w:lang w:val="en-US" w:eastAsia="zh-CN"/>
                              </w:rPr>
                              <w:t>S</w:t>
                            </w:r>
                          </w:p>
                        </w:txbxContent>
                      </v:textbox>
                    </v:rect>
                  </w:pict>
                </mc:Fallback>
              </mc:AlternateContent>
            </w:r>
            <w:r>
              <w:rPr>
                <w:color w:val="auto"/>
                <w:sz w:val="21"/>
              </w:rPr>
              <mc:AlternateContent>
                <mc:Choice Requires="wps">
                  <w:drawing>
                    <wp:anchor distT="0" distB="0" distL="114300" distR="114300" simplePos="0" relativeHeight="251867136" behindDoc="0" locked="0" layoutInCell="1" allowOverlap="1">
                      <wp:simplePos x="0" y="0"/>
                      <wp:positionH relativeFrom="column">
                        <wp:posOffset>3677285</wp:posOffset>
                      </wp:positionH>
                      <wp:positionV relativeFrom="paragraph">
                        <wp:posOffset>218440</wp:posOffset>
                      </wp:positionV>
                      <wp:extent cx="2540" cy="230505"/>
                      <wp:effectExtent l="47625" t="0" r="64135" b="17145"/>
                      <wp:wrapNone/>
                      <wp:docPr id="241" name="直接连接符 241"/>
                      <wp:cNvGraphicFramePr/>
                      <a:graphic xmlns:a="http://schemas.openxmlformats.org/drawingml/2006/main">
                        <a:graphicData uri="http://schemas.microsoft.com/office/word/2010/wordprocessingShape">
                          <wps:wsp>
                            <wps:cNvCnPr/>
                            <wps:spPr>
                              <a:xfrm>
                                <a:off x="0" y="0"/>
                                <a:ext cx="2540" cy="230505"/>
                              </a:xfrm>
                              <a:prstGeom prst="line">
                                <a:avLst/>
                              </a:prstGeom>
                              <a:ln w="9525" cap="flat" cmpd="sng">
                                <a:solidFill>
                                  <a:srgbClr val="000000"/>
                                </a:solidFill>
                                <a:prstDash val="solid"/>
                                <a:round/>
                                <a:headEnd type="none" w="med" len="med"/>
                                <a:tailEnd type="arrow" w="med" len="med"/>
                              </a:ln>
                            </wps:spPr>
                            <wps:bodyPr upright="1"/>
                          </wps:wsp>
                        </a:graphicData>
                      </a:graphic>
                    </wp:anchor>
                  </w:drawing>
                </mc:Choice>
                <mc:Fallback>
                  <w:pict>
                    <v:line id="_x0000_s1026" o:spid="_x0000_s1026" o:spt="20" style="position:absolute;left:0pt;margin-left:289.55pt;margin-top:17.2pt;height:18.15pt;width:0.2pt;z-index:251867136;mso-width-relative:page;mso-height-relative:page;" filled="f" stroked="t" coordsize="21600,21600" o:gfxdata="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KIn+kjZAAAACQEAAA8AAAAAAAAAAQAgAAAAIgAAAGRycy9k&#10;b3ducmV2LnhtbFBLAQIUABQAAAAIAIdO4kA+dqHiAQIAAPUDAAAOAAAAAAAAAAEAIAAAACgBAABk&#10;cnMvZTJvRG9jLnhtbFBLBQYAAAAABgAGAFkBAACbBQAAAAA=&#10;">
                      <v:fill on="f" focussize="0,0"/>
                      <v:stroke color="#000000" joinstyle="round" endarrow="open"/>
                      <v:imagedata o:title=""/>
                      <o:lock v:ext="edit" aspectratio="f"/>
                    </v:line>
                  </w:pict>
                </mc:Fallback>
              </mc:AlternateContent>
            </w:r>
          </w:p>
          <w:p w14:paraId="2164D816">
            <w:pPr>
              <w:pStyle w:val="24"/>
              <w:keepNext w:val="0"/>
              <w:keepLines w:val="0"/>
              <w:pageBreakBefore w:val="0"/>
              <w:widowControl/>
              <w:kinsoku/>
              <w:wordWrap/>
              <w:overflowPunct/>
              <w:topLinePunct w:val="0"/>
              <w:autoSpaceDE/>
              <w:autoSpaceDN/>
              <w:bidi w:val="0"/>
              <w:adjustRightInd w:val="0"/>
              <w:snapToGrid w:val="0"/>
              <w:spacing w:before="0" w:beforeAutospacing="0" w:after="0" w:afterAutospacing="0" w:line="430" w:lineRule="exact"/>
              <w:ind w:firstLine="420" w:firstLineChars="200"/>
              <w:textAlignment w:val="auto"/>
              <w:rPr>
                <w:rFonts w:hint="eastAsia" w:ascii="Times New Roman" w:hAnsi="Times New Roman" w:eastAsia="宋体" w:cs="Times New Roman"/>
                <w:color w:val="auto"/>
                <w:sz w:val="21"/>
                <w:szCs w:val="21"/>
                <w:highlight w:val="none"/>
                <w:lang w:val="en-US" w:eastAsia="zh-CN"/>
              </w:rPr>
            </w:pPr>
            <w:r>
              <w:rPr>
                <w:color w:val="auto"/>
                <w:sz w:val="21"/>
              </w:rPr>
              <mc:AlternateContent>
                <mc:Choice Requires="wps">
                  <w:drawing>
                    <wp:anchor distT="0" distB="0" distL="114300" distR="114300" simplePos="0" relativeHeight="251874304" behindDoc="0" locked="0" layoutInCell="1" allowOverlap="1">
                      <wp:simplePos x="0" y="0"/>
                      <wp:positionH relativeFrom="column">
                        <wp:posOffset>4233545</wp:posOffset>
                      </wp:positionH>
                      <wp:positionV relativeFrom="paragraph">
                        <wp:posOffset>191135</wp:posOffset>
                      </wp:positionV>
                      <wp:extent cx="901065" cy="263525"/>
                      <wp:effectExtent l="0" t="0" r="0" b="0"/>
                      <wp:wrapNone/>
                      <wp:docPr id="230" name="文本框 230"/>
                      <wp:cNvGraphicFramePr/>
                      <a:graphic xmlns:a="http://schemas.openxmlformats.org/drawingml/2006/main">
                        <a:graphicData uri="http://schemas.microsoft.com/office/word/2010/wordprocessingShape">
                          <wps:wsp>
                            <wps:cNvSpPr txBox="1"/>
                            <wps:spPr>
                              <a:xfrm>
                                <a:off x="0" y="0"/>
                                <a:ext cx="901065" cy="263525"/>
                              </a:xfrm>
                              <a:prstGeom prst="rect">
                                <a:avLst/>
                              </a:prstGeom>
                              <a:noFill/>
                              <a:ln>
                                <a:noFill/>
                              </a:ln>
                            </wps:spPr>
                            <wps:txbx>
                              <w:txbxContent>
                                <w:p w14:paraId="15C94146">
                                  <w:pPr>
                                    <w:keepNext w:val="0"/>
                                    <w:keepLines w:val="0"/>
                                    <w:pageBreakBefore w:val="0"/>
                                    <w:widowControl w:val="0"/>
                                    <w:kinsoku/>
                                    <w:wordWrap/>
                                    <w:overflowPunct/>
                                    <w:topLinePunct w:val="0"/>
                                    <w:bidi w:val="0"/>
                                    <w:adjustRightInd/>
                                    <w:snapToGrid/>
                                    <w:spacing w:line="220" w:lineRule="exact"/>
                                    <w:jc w:val="center"/>
                                    <w:textAlignment w:val="auto"/>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棉絮、泡沫等</w:t>
                                  </w:r>
                                </w:p>
                              </w:txbxContent>
                            </wps:txbx>
                            <wps:bodyPr upright="1"/>
                          </wps:wsp>
                        </a:graphicData>
                      </a:graphic>
                    </wp:anchor>
                  </w:drawing>
                </mc:Choice>
                <mc:Fallback>
                  <w:pict>
                    <v:shape id="_x0000_s1026" o:spid="_x0000_s1026" o:spt="202" type="#_x0000_t202" style="position:absolute;left:0pt;margin-left:333.35pt;margin-top:15.05pt;height:20.75pt;width:70.95pt;z-index:251874304;mso-width-relative:page;mso-height-relative:page;" filled="f" stroked="f" coordsize="21600,21600" o:gfxdata="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">
                      <v:fill on="f" focussize="0,0"/>
                      <v:stroke on="f"/>
                      <v:imagedata o:title=""/>
                      <o:lock v:ext="edit" aspectratio="f"/>
                      <v:textbox>
                        <w:txbxContent>
                          <w:p w14:paraId="15C94146">
                            <w:pPr>
                              <w:keepNext w:val="0"/>
                              <w:keepLines w:val="0"/>
                              <w:pageBreakBefore w:val="0"/>
                              <w:widowControl w:val="0"/>
                              <w:kinsoku/>
                              <w:wordWrap/>
                              <w:overflowPunct/>
                              <w:topLinePunct w:val="0"/>
                              <w:bidi w:val="0"/>
                              <w:adjustRightInd/>
                              <w:snapToGrid/>
                              <w:spacing w:line="220" w:lineRule="exact"/>
                              <w:jc w:val="center"/>
                              <w:textAlignment w:val="auto"/>
                              <w:rPr>
                                <w:rFonts w:hint="default" w:ascii="Times New Roman" w:hAnsi="Times New Roman" w:eastAsia="宋体" w:cs="Times New Roman"/>
                                <w:color w:val="auto"/>
                                <w:sz w:val="18"/>
                                <w:szCs w:val="18"/>
                                <w:lang w:val="en-US" w:eastAsia="zh-CN"/>
                              </w:rPr>
                            </w:pPr>
                            <w:r>
                              <w:rPr>
                                <w:rFonts w:hint="eastAsia" w:ascii="Times New Roman" w:hAnsi="Times New Roman" w:eastAsia="宋体" w:cs="Times New Roman"/>
                                <w:color w:val="auto"/>
                                <w:sz w:val="18"/>
                                <w:szCs w:val="18"/>
                                <w:lang w:val="en-US" w:eastAsia="zh-CN"/>
                              </w:rPr>
                              <w:t>棉絮、泡沫等</w:t>
                            </w:r>
                          </w:p>
                        </w:txbxContent>
                      </v:textbox>
                    </v:shape>
                  </w:pict>
                </mc:Fallback>
              </mc:AlternateContent>
            </w:r>
            <w:r>
              <w:rPr>
                <w:color w:val="auto"/>
                <w:sz w:val="21"/>
              </w:rPr>
              <mc:AlternateContent>
                <mc:Choice Requires="wps">
                  <w:drawing>
                    <wp:anchor distT="0" distB="0" distL="114300" distR="114300" simplePos="0" relativeHeight="251870208" behindDoc="0" locked="0" layoutInCell="1" allowOverlap="1">
                      <wp:simplePos x="0" y="0"/>
                      <wp:positionH relativeFrom="column">
                        <wp:posOffset>4011930</wp:posOffset>
                      </wp:positionH>
                      <wp:positionV relativeFrom="paragraph">
                        <wp:posOffset>62865</wp:posOffset>
                      </wp:positionV>
                      <wp:extent cx="635" cy="107950"/>
                      <wp:effectExtent l="36195" t="0" r="39370" b="6350"/>
                      <wp:wrapNone/>
                      <wp:docPr id="245" name="直接箭头连接符 50"/>
                      <wp:cNvGraphicFramePr/>
                      <a:graphic xmlns:a="http://schemas.openxmlformats.org/drawingml/2006/main">
                        <a:graphicData uri="http://schemas.microsoft.com/office/word/2010/wordprocessingShape">
                          <wps:wsp>
                            <wps:cNvCnPr/>
                            <wps:spPr>
                              <a:xfrm flipH="1" flipV="1">
                                <a:off x="0" y="0"/>
                                <a:ext cx="635" cy="107950"/>
                              </a:xfrm>
                              <a:prstGeom prst="straightConnector1">
                                <a:avLst/>
                              </a:prstGeom>
                              <a:ln w="9525" cap="flat" cmpd="sng">
                                <a:solidFill>
                                  <a:srgbClr val="000000"/>
                                </a:solidFill>
                                <a:prstDash val="dash"/>
                                <a:headEnd type="none" w="med" len="med"/>
                                <a:tailEnd type="arrow" w="sm" len="sm"/>
                              </a:ln>
                            </wps:spPr>
                            <wps:bodyPr/>
                          </wps:wsp>
                        </a:graphicData>
                      </a:graphic>
                    </wp:anchor>
                  </w:drawing>
                </mc:Choice>
                <mc:Fallback>
                  <w:pict>
                    <v:shape id="直接箭头连接符 50" o:spid="_x0000_s1026" o:spt="32" type="#_x0000_t32" style="position:absolute;left:0pt;flip:x y;margin-left:315.9pt;margin-top:4.95pt;height:8.5pt;width:0.05pt;z-index:251870208;mso-width-relative:page;mso-height-relative:page;" filled="f" stroked="t" coordsize="21600,21600" o:gfxdata="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DF1xEzWAAAACAEAAA8AAAAAAAAA&#10;AQAgAAAAIgAAAGRycy9kb3ducmV2LnhtbFBLAQIUABQAAAAIAIdO4kCliua4EwIAAAIEAAAOAAAA&#10;AAAAAAEAIAAAACUBAABkcnMvZTJvRG9jLnhtbFBLBQYAAAAABgAGAFkBAACqBQAAAAA=&#10;">
                      <v:fill on="f" focussize="0,0"/>
                      <v:stroke color="#000000" joinstyle="round" dashstyle="dash" endarrow="open" endarrowwidth="narrow" endarrowlength="short"/>
                      <v:imagedata o:title=""/>
                      <o:lock v:ext="edit" aspectratio="f"/>
                    </v:shape>
                  </w:pict>
                </mc:Fallback>
              </mc:AlternateContent>
            </w:r>
            <w:r>
              <w:rPr>
                <w:color w:val="auto"/>
                <w:sz w:val="21"/>
              </w:rPr>
              <mc:AlternateContent>
                <mc:Choice Requires="wps">
                  <w:drawing>
                    <wp:anchor distT="0" distB="0" distL="114300" distR="114300" simplePos="0" relativeHeight="251865088" behindDoc="0" locked="0" layoutInCell="1" allowOverlap="1">
                      <wp:simplePos x="0" y="0"/>
                      <wp:positionH relativeFrom="column">
                        <wp:posOffset>3246120</wp:posOffset>
                      </wp:positionH>
                      <wp:positionV relativeFrom="paragraph">
                        <wp:posOffset>162560</wp:posOffset>
                      </wp:positionV>
                      <wp:extent cx="796290" cy="262255"/>
                      <wp:effectExtent l="4445" t="5080" r="18415" b="18415"/>
                      <wp:wrapNone/>
                      <wp:docPr id="239" name="文本框 239"/>
                      <wp:cNvGraphicFramePr/>
                      <a:graphic xmlns:a="http://schemas.openxmlformats.org/drawingml/2006/main">
                        <a:graphicData uri="http://schemas.microsoft.com/office/word/2010/wordprocessingShape">
                          <wps:wsp>
                            <wps:cNvSpPr txBox="1"/>
                            <wps:spPr>
                              <a:xfrm>
                                <a:off x="0" y="0"/>
                                <a:ext cx="796290" cy="262255"/>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194EA9ED">
                                  <w:pPr>
                                    <w:keepNext w:val="0"/>
                                    <w:keepLines w:val="0"/>
                                    <w:pageBreakBefore w:val="0"/>
                                    <w:widowControl w:val="0"/>
                                    <w:kinsoku/>
                                    <w:wordWrap/>
                                    <w:overflowPunct/>
                                    <w:topLinePunct w:val="0"/>
                                    <w:bidi w:val="0"/>
                                    <w:adjustRightInd/>
                                    <w:snapToGrid/>
                                    <w:spacing w:line="240" w:lineRule="exact"/>
                                    <w:jc w:val="center"/>
                                    <w:textAlignment w:val="auto"/>
                                    <w:rPr>
                                      <w:rFonts w:hint="default" w:ascii="Times New Roman" w:hAnsi="Times New Roman" w:eastAsia="宋体" w:cs="Times New Roman"/>
                                      <w:color w:val="auto"/>
                                      <w:sz w:val="18"/>
                                      <w:szCs w:val="18"/>
                                      <w:lang w:val="en-US" w:eastAsia="zh-CN"/>
                                    </w:rPr>
                                  </w:pPr>
                                  <w:r>
                                    <w:rPr>
                                      <w:rFonts w:hint="default" w:ascii="Times New Roman" w:hAnsi="Times New Roman" w:cs="Times New Roman"/>
                                      <w:color w:val="auto"/>
                                      <w:sz w:val="18"/>
                                      <w:szCs w:val="18"/>
                                      <w:lang w:val="en-US" w:eastAsia="zh-CN"/>
                                    </w:rPr>
                                    <w:t>1</w:t>
                                  </w:r>
                                  <w:r>
                                    <w:rPr>
                                      <w:rFonts w:hint="default" w:ascii="Times New Roman" w:hAnsi="Times New Roman" w:cs="Times New Roman"/>
                                      <w:color w:val="auto"/>
                                      <w:sz w:val="18"/>
                                      <w:szCs w:val="18"/>
                                      <w:vertAlign w:val="superscript"/>
                                      <w:lang w:val="en-US" w:eastAsia="zh-CN"/>
                                    </w:rPr>
                                    <w:t>#</w:t>
                                  </w:r>
                                  <w:r>
                                    <w:rPr>
                                      <w:rFonts w:hint="default" w:ascii="Times New Roman" w:hAnsi="Times New Roman" w:cs="Times New Roman"/>
                                      <w:color w:val="auto"/>
                                      <w:sz w:val="18"/>
                                      <w:szCs w:val="18"/>
                                      <w:lang w:val="en-US" w:eastAsia="zh-CN"/>
                                    </w:rPr>
                                    <w:t>空气分选</w:t>
                                  </w:r>
                                  <w:r>
                                    <w:rPr>
                                      <w:rFonts w:hint="eastAsia" w:cs="Times New Roman"/>
                                      <w:color w:val="auto"/>
                                      <w:sz w:val="18"/>
                                      <w:szCs w:val="18"/>
                                      <w:lang w:val="en-US" w:eastAsia="zh-CN"/>
                                    </w:rPr>
                                    <w:t>机机</w:t>
                                  </w:r>
                                </w:p>
                              </w:txbxContent>
                            </wps:txbx>
                            <wps:bodyPr upright="1"/>
                          </wps:wsp>
                        </a:graphicData>
                      </a:graphic>
                    </wp:anchor>
                  </w:drawing>
                </mc:Choice>
                <mc:Fallback>
                  <w:pict>
                    <v:shape id="_x0000_s1026" o:spid="_x0000_s1026" o:spt="202" type="#_x0000_t202" style="position:absolute;left:0pt;margin-left:255.6pt;margin-top:12.8pt;height:20.65pt;width:62.7pt;z-index:251865088;mso-width-relative:page;mso-height-relative:page;" fillcolor="#FFFFFF" filled="t" stroked="t" coordsize="21600,21600" o:gfxdata="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DFJTlr2AAAAAkBAAAPAAAAAAAAAAEAIAAA&#10;ACIAAABkcnMvZG93bnJldi54bWxQSwECFAAUAAAACACHTuJA2wBbxQwCAAA5BAAADgAAAAAAAAAB&#10;ACAAAAAnAQAAZHJzL2Uyb0RvYy54bWxQSwUGAAAAAAYABgBZAQAApQUAAAAA&#10;">
                      <v:fill on="t" focussize="0,0"/>
                      <v:stroke color="#000000" joinstyle="miter"/>
                      <v:imagedata o:title=""/>
                      <o:lock v:ext="edit" aspectratio="f"/>
                      <v:textbox>
                        <w:txbxContent>
                          <w:p w14:paraId="194EA9ED">
                            <w:pPr>
                              <w:keepNext w:val="0"/>
                              <w:keepLines w:val="0"/>
                              <w:pageBreakBefore w:val="0"/>
                              <w:widowControl w:val="0"/>
                              <w:kinsoku/>
                              <w:wordWrap/>
                              <w:overflowPunct/>
                              <w:topLinePunct w:val="0"/>
                              <w:bidi w:val="0"/>
                              <w:adjustRightInd/>
                              <w:snapToGrid/>
                              <w:spacing w:line="240" w:lineRule="exact"/>
                              <w:jc w:val="center"/>
                              <w:textAlignment w:val="auto"/>
                              <w:rPr>
                                <w:rFonts w:hint="default" w:ascii="Times New Roman" w:hAnsi="Times New Roman" w:eastAsia="宋体" w:cs="Times New Roman"/>
                                <w:color w:val="auto"/>
                                <w:sz w:val="18"/>
                                <w:szCs w:val="18"/>
                                <w:lang w:val="en-US" w:eastAsia="zh-CN"/>
                              </w:rPr>
                            </w:pPr>
                            <w:r>
                              <w:rPr>
                                <w:rFonts w:hint="default" w:ascii="Times New Roman" w:hAnsi="Times New Roman" w:cs="Times New Roman"/>
                                <w:color w:val="auto"/>
                                <w:sz w:val="18"/>
                                <w:szCs w:val="18"/>
                                <w:lang w:val="en-US" w:eastAsia="zh-CN"/>
                              </w:rPr>
                              <w:t>1</w:t>
                            </w:r>
                            <w:r>
                              <w:rPr>
                                <w:rFonts w:hint="default" w:ascii="Times New Roman" w:hAnsi="Times New Roman" w:cs="Times New Roman"/>
                                <w:color w:val="auto"/>
                                <w:sz w:val="18"/>
                                <w:szCs w:val="18"/>
                                <w:vertAlign w:val="superscript"/>
                                <w:lang w:val="en-US" w:eastAsia="zh-CN"/>
                              </w:rPr>
                              <w:t>#</w:t>
                            </w:r>
                            <w:r>
                              <w:rPr>
                                <w:rFonts w:hint="default" w:ascii="Times New Roman" w:hAnsi="Times New Roman" w:cs="Times New Roman"/>
                                <w:color w:val="auto"/>
                                <w:sz w:val="18"/>
                                <w:szCs w:val="18"/>
                                <w:lang w:val="en-US" w:eastAsia="zh-CN"/>
                              </w:rPr>
                              <w:t>空气分选</w:t>
                            </w:r>
                            <w:r>
                              <w:rPr>
                                <w:rFonts w:hint="eastAsia" w:cs="Times New Roman"/>
                                <w:color w:val="auto"/>
                                <w:sz w:val="18"/>
                                <w:szCs w:val="18"/>
                                <w:lang w:val="en-US" w:eastAsia="zh-CN"/>
                              </w:rPr>
                              <w:t>机机</w:t>
                            </w:r>
                          </w:p>
                        </w:txbxContent>
                      </v:textbox>
                    </v:shape>
                  </w:pict>
                </mc:Fallback>
              </mc:AlternateContent>
            </w:r>
          </w:p>
          <w:p w14:paraId="4A2913E4">
            <w:pPr>
              <w:pStyle w:val="24"/>
              <w:keepNext w:val="0"/>
              <w:keepLines w:val="0"/>
              <w:pageBreakBefore w:val="0"/>
              <w:widowControl/>
              <w:kinsoku/>
              <w:wordWrap/>
              <w:overflowPunct/>
              <w:topLinePunct w:val="0"/>
              <w:autoSpaceDE/>
              <w:autoSpaceDN/>
              <w:bidi w:val="0"/>
              <w:adjustRightInd w:val="0"/>
              <w:snapToGrid w:val="0"/>
              <w:spacing w:before="0" w:beforeAutospacing="0" w:after="0" w:afterAutospacing="0" w:line="430" w:lineRule="exact"/>
              <w:ind w:firstLine="420" w:firstLineChars="200"/>
              <w:textAlignment w:val="auto"/>
              <w:rPr>
                <w:rFonts w:hint="eastAsia" w:ascii="Times New Roman" w:hAnsi="Times New Roman" w:eastAsia="宋体" w:cs="Times New Roman"/>
                <w:color w:val="auto"/>
                <w:sz w:val="21"/>
                <w:szCs w:val="21"/>
                <w:highlight w:val="none"/>
                <w:lang w:val="en-US" w:eastAsia="zh-CN"/>
              </w:rPr>
            </w:pPr>
            <w:r>
              <w:rPr>
                <w:color w:val="auto"/>
                <w:sz w:val="21"/>
              </w:rPr>
              <mc:AlternateContent>
                <mc:Choice Requires="wps">
                  <w:drawing>
                    <wp:anchor distT="0" distB="0" distL="114300" distR="114300" simplePos="0" relativeHeight="251866112" behindDoc="0" locked="0" layoutInCell="1" allowOverlap="1">
                      <wp:simplePos x="0" y="0"/>
                      <wp:positionH relativeFrom="column">
                        <wp:posOffset>4054475</wp:posOffset>
                      </wp:positionH>
                      <wp:positionV relativeFrom="paragraph">
                        <wp:posOffset>33655</wp:posOffset>
                      </wp:positionV>
                      <wp:extent cx="252095" cy="635"/>
                      <wp:effectExtent l="0" t="48895" r="14605" b="64770"/>
                      <wp:wrapNone/>
                      <wp:docPr id="240" name="直接连接符 240"/>
                      <wp:cNvGraphicFramePr/>
                      <a:graphic xmlns:a="http://schemas.openxmlformats.org/drawingml/2006/main">
                        <a:graphicData uri="http://schemas.microsoft.com/office/word/2010/wordprocessingShape">
                          <wps:wsp>
                            <wps:cNvCnPr/>
                            <wps:spPr>
                              <a:xfrm flipV="1">
                                <a:off x="0" y="0"/>
                                <a:ext cx="252095" cy="635"/>
                              </a:xfrm>
                              <a:prstGeom prst="line">
                                <a:avLst/>
                              </a:prstGeom>
                              <a:ln w="9525" cap="flat" cmpd="sng">
                                <a:solidFill>
                                  <a:srgbClr val="000000"/>
                                </a:solidFill>
                                <a:prstDash val="solid"/>
                                <a:round/>
                                <a:headEnd type="none" w="med" len="med"/>
                                <a:tailEnd type="arrow" w="med" len="med"/>
                              </a:ln>
                            </wps:spPr>
                            <wps:bodyPr upright="1"/>
                          </wps:wsp>
                        </a:graphicData>
                      </a:graphic>
                    </wp:anchor>
                  </w:drawing>
                </mc:Choice>
                <mc:Fallback>
                  <w:pict>
                    <v:line id="_x0000_s1026" o:spid="_x0000_s1026" o:spt="20" style="position:absolute;left:0pt;flip:y;margin-left:319.25pt;margin-top:2.65pt;height:0.05pt;width:19.85pt;z-index:251866112;mso-width-relative:page;mso-height-relative:page;" filled="f" stroked="t" coordsize="21600,21600" o:gfxdata="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A/I2Aq1gAAAAcBAAAPAAAAAAAAAAEAIAAAACIAAABk&#10;cnMvZG93bnJldi54bWxQSwECFAAUAAAACACHTuJABqy8WQgCAAD+AwAADgAAAAAAAAABACAAAAAl&#10;AQAAZHJzL2Uyb0RvYy54bWxQSwUGAAAAAAYABgBZAQAAnwUAAAAA&#10;">
                      <v:fill on="f" focussize="0,0"/>
                      <v:stroke color="#000000" joinstyle="round" endarrow="open"/>
                      <v:imagedata o:title=""/>
                      <o:lock v:ext="edit" aspectratio="f"/>
                    </v:line>
                  </w:pict>
                </mc:Fallback>
              </mc:AlternateContent>
            </w:r>
            <w:r>
              <w:rPr>
                <w:color w:val="auto"/>
                <w:sz w:val="21"/>
              </w:rPr>
              <mc:AlternateContent>
                <mc:Choice Requires="wps">
                  <w:drawing>
                    <wp:anchor distT="0" distB="0" distL="114300" distR="114300" simplePos="0" relativeHeight="251762688" behindDoc="0" locked="0" layoutInCell="1" allowOverlap="1">
                      <wp:simplePos x="0" y="0"/>
                      <wp:positionH relativeFrom="column">
                        <wp:posOffset>3145155</wp:posOffset>
                      </wp:positionH>
                      <wp:positionV relativeFrom="paragraph">
                        <wp:posOffset>175895</wp:posOffset>
                      </wp:positionV>
                      <wp:extent cx="596900" cy="213360"/>
                      <wp:effectExtent l="0" t="0" r="0" b="0"/>
                      <wp:wrapNone/>
                      <wp:docPr id="115" name="矩形 49"/>
                      <wp:cNvGraphicFramePr/>
                      <a:graphic xmlns:a="http://schemas.openxmlformats.org/drawingml/2006/main">
                        <a:graphicData uri="http://schemas.microsoft.com/office/word/2010/wordprocessingShape">
                          <wps:wsp>
                            <wps:cNvSpPr/>
                            <wps:spPr>
                              <a:xfrm>
                                <a:off x="4732655" y="3790950"/>
                                <a:ext cx="596900" cy="213360"/>
                              </a:xfrm>
                              <a:prstGeom prst="rect">
                                <a:avLst/>
                              </a:prstGeom>
                              <a:noFill/>
                              <a:ln>
                                <a:noFill/>
                              </a:ln>
                            </wps:spPr>
                            <wps:txbx>
                              <w:txbxContent>
                                <w:p w14:paraId="43DA00B6">
                                  <w:pPr>
                                    <w:spacing w:line="0" w:lineRule="atLeast"/>
                                    <w:jc w:val="center"/>
                                    <w:rPr>
                                      <w:rFonts w:hint="default" w:eastAsia="宋体"/>
                                      <w:sz w:val="15"/>
                                      <w:szCs w:val="15"/>
                                      <w:lang w:val="en-US" w:eastAsia="zh-CN"/>
                                    </w:rPr>
                                  </w:pPr>
                                  <w:r>
                                    <w:rPr>
                                      <w:rFonts w:hint="eastAsia"/>
                                      <w:sz w:val="15"/>
                                      <w:szCs w:val="15"/>
                                      <w:lang w:val="en-US" w:eastAsia="zh-CN"/>
                                    </w:rPr>
                                    <w:t>W、</w:t>
                                  </w:r>
                                  <w:r>
                                    <w:rPr>
                                      <w:rFonts w:hint="eastAsia"/>
                                      <w:sz w:val="15"/>
                                      <w:szCs w:val="15"/>
                                    </w:rPr>
                                    <w:t>N</w:t>
                                  </w:r>
                                  <w:r>
                                    <w:rPr>
                                      <w:rFonts w:hint="eastAsia"/>
                                      <w:sz w:val="15"/>
                                      <w:szCs w:val="15"/>
                                      <w:lang w:eastAsia="zh-CN"/>
                                    </w:rPr>
                                    <w:t>、</w:t>
                                  </w:r>
                                  <w:r>
                                    <w:rPr>
                                      <w:rFonts w:hint="eastAsia"/>
                                      <w:sz w:val="15"/>
                                      <w:szCs w:val="15"/>
                                      <w:lang w:val="en-US" w:eastAsia="zh-CN"/>
                                    </w:rPr>
                                    <w:t>S</w:t>
                                  </w:r>
                                </w:p>
                              </w:txbxContent>
                            </wps:txbx>
                            <wps:bodyPr wrap="square" upright="1">
                              <a:noAutofit/>
                            </wps:bodyPr>
                          </wps:wsp>
                        </a:graphicData>
                      </a:graphic>
                    </wp:anchor>
                  </w:drawing>
                </mc:Choice>
                <mc:Fallback>
                  <w:pict>
                    <v:rect id="矩形 49" o:spid="_x0000_s1026" o:spt="1" style="position:absolute;left:0pt;margin-left:247.65pt;margin-top:13.85pt;height:16.8pt;width:47pt;z-index:251762688;mso-width-relative:page;mso-height-relative:page;" filled="f" stroked="f" coordsize="21600,21600" o:gfxdata="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&#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NUZ8AtsAAAAJAQAADwAAAAAAAAABACAAAAAiAAAAZHJz&#10;L2Rvd25yZXYueG1sUEsBAhQAFAAAAAgAh07iQIbBkmHIAQAAdwMAAA4AAAAAAAAAAQAgAAAAKgEA&#10;AGRycy9lMm9Eb2MueG1sUEsFBgAAAAAGAAYAWQEAAGQFAAAAAA==&#10;">
                      <v:fill on="f" focussize="0,0"/>
                      <v:stroke on="f"/>
                      <v:imagedata o:title=""/>
                      <o:lock v:ext="edit" aspectratio="f"/>
                      <v:textbox>
                        <w:txbxContent>
                          <w:p w14:paraId="43DA00B6">
                            <w:pPr>
                              <w:spacing w:line="0" w:lineRule="atLeast"/>
                              <w:jc w:val="center"/>
                              <w:rPr>
                                <w:rFonts w:hint="default" w:eastAsia="宋体"/>
                                <w:sz w:val="15"/>
                                <w:szCs w:val="15"/>
                                <w:lang w:val="en-US" w:eastAsia="zh-CN"/>
                              </w:rPr>
                            </w:pPr>
                            <w:r>
                              <w:rPr>
                                <w:rFonts w:hint="eastAsia"/>
                                <w:sz w:val="15"/>
                                <w:szCs w:val="15"/>
                                <w:lang w:val="en-US" w:eastAsia="zh-CN"/>
                              </w:rPr>
                              <w:t>W、</w:t>
                            </w:r>
                            <w:r>
                              <w:rPr>
                                <w:rFonts w:hint="eastAsia"/>
                                <w:sz w:val="15"/>
                                <w:szCs w:val="15"/>
                              </w:rPr>
                              <w:t>N</w:t>
                            </w:r>
                            <w:r>
                              <w:rPr>
                                <w:rFonts w:hint="eastAsia"/>
                                <w:sz w:val="15"/>
                                <w:szCs w:val="15"/>
                                <w:lang w:eastAsia="zh-CN"/>
                              </w:rPr>
                              <w:t>、</w:t>
                            </w:r>
                            <w:r>
                              <w:rPr>
                                <w:rFonts w:hint="eastAsia"/>
                                <w:sz w:val="15"/>
                                <w:szCs w:val="15"/>
                                <w:lang w:val="en-US" w:eastAsia="zh-CN"/>
                              </w:rPr>
                              <w:t>S</w:t>
                            </w:r>
                          </w:p>
                        </w:txbxContent>
                      </v:textbox>
                    </v:rect>
                  </w:pict>
                </mc:Fallback>
              </mc:AlternateContent>
            </w:r>
            <w:r>
              <w:rPr>
                <w:color w:val="auto"/>
                <w:sz w:val="21"/>
              </w:rPr>
              <mc:AlternateContent>
                <mc:Choice Requires="wps">
                  <w:drawing>
                    <wp:anchor distT="0" distB="0" distL="114300" distR="114300" simplePos="0" relativeHeight="251700224" behindDoc="0" locked="0" layoutInCell="1" allowOverlap="1">
                      <wp:simplePos x="0" y="0"/>
                      <wp:positionH relativeFrom="column">
                        <wp:posOffset>2362200</wp:posOffset>
                      </wp:positionH>
                      <wp:positionV relativeFrom="paragraph">
                        <wp:posOffset>106045</wp:posOffset>
                      </wp:positionV>
                      <wp:extent cx="1021080" cy="516890"/>
                      <wp:effectExtent l="0" t="0" r="0" b="0"/>
                      <wp:wrapNone/>
                      <wp:docPr id="395" name="文本框 395"/>
                      <wp:cNvGraphicFramePr/>
                      <a:graphic xmlns:a="http://schemas.openxmlformats.org/drawingml/2006/main">
                        <a:graphicData uri="http://schemas.microsoft.com/office/word/2010/wordprocessingShape">
                          <wps:wsp>
                            <wps:cNvSpPr txBox="1"/>
                            <wps:spPr>
                              <a:xfrm>
                                <a:off x="3949700" y="3721100"/>
                                <a:ext cx="1021080" cy="516890"/>
                              </a:xfrm>
                              <a:prstGeom prst="rect">
                                <a:avLst/>
                              </a:prstGeom>
                              <a:noFill/>
                              <a:ln>
                                <a:noFill/>
                              </a:ln>
                            </wps:spPr>
                            <wps:txbx>
                              <w:txbxContent>
                                <w:p w14:paraId="41DB1074">
                                  <w:pPr>
                                    <w:keepNext w:val="0"/>
                                    <w:keepLines w:val="0"/>
                                    <w:pageBreakBefore w:val="0"/>
                                    <w:widowControl w:val="0"/>
                                    <w:kinsoku/>
                                    <w:wordWrap/>
                                    <w:overflowPunct/>
                                    <w:topLinePunct w:val="0"/>
                                    <w:bidi w:val="0"/>
                                    <w:adjustRightInd/>
                                    <w:snapToGrid/>
                                    <w:spacing w:line="220" w:lineRule="exact"/>
                                    <w:jc w:val="center"/>
                                    <w:textAlignment w:val="auto"/>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lang w:val="en-US" w:eastAsia="zh-CN"/>
                                    </w:rPr>
                                    <w:t>金属混合料、</w:t>
                                  </w:r>
                                </w:p>
                                <w:p w14:paraId="507B8E13">
                                  <w:pPr>
                                    <w:keepNext w:val="0"/>
                                    <w:keepLines w:val="0"/>
                                    <w:pageBreakBefore w:val="0"/>
                                    <w:widowControl w:val="0"/>
                                    <w:kinsoku/>
                                    <w:wordWrap/>
                                    <w:overflowPunct/>
                                    <w:topLinePunct w:val="0"/>
                                    <w:bidi w:val="0"/>
                                    <w:adjustRightInd/>
                                    <w:snapToGrid/>
                                    <w:spacing w:line="220" w:lineRule="exact"/>
                                    <w:jc w:val="center"/>
                                    <w:textAlignment w:val="auto"/>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lang w:val="en-US" w:eastAsia="zh-CN"/>
                                    </w:rPr>
                                    <w:t>橡胶、沉水塑</w:t>
                                  </w:r>
                                </w:p>
                                <w:p w14:paraId="4C989FAF">
                                  <w:pPr>
                                    <w:keepNext w:val="0"/>
                                    <w:keepLines w:val="0"/>
                                    <w:pageBreakBefore w:val="0"/>
                                    <w:widowControl w:val="0"/>
                                    <w:kinsoku/>
                                    <w:wordWrap/>
                                    <w:overflowPunct/>
                                    <w:topLinePunct w:val="0"/>
                                    <w:bidi w:val="0"/>
                                    <w:adjustRightInd/>
                                    <w:snapToGrid/>
                                    <w:spacing w:line="220" w:lineRule="exact"/>
                                    <w:jc w:val="center"/>
                                    <w:textAlignment w:val="auto"/>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lang w:val="en-US" w:eastAsia="zh-CN"/>
                                    </w:rPr>
                                    <w:t>料、其他杂质</w:t>
                                  </w:r>
                                </w:p>
                              </w:txbxContent>
                            </wps:txbx>
                            <wps:bodyPr upright="1"/>
                          </wps:wsp>
                        </a:graphicData>
                      </a:graphic>
                    </wp:anchor>
                  </w:drawing>
                </mc:Choice>
                <mc:Fallback>
                  <w:pict>
                    <v:shape id="_x0000_s1026" o:spid="_x0000_s1026" o:spt="202" type="#_x0000_t202" style="position:absolute;left:0pt;margin-left:186pt;margin-top:8.35pt;height:40.7pt;width:80.4pt;z-index:251700224;mso-width-relative:page;mso-height-relative:page;" filled="f" stroked="f" coordsize="21600,21600" o:gfxdata="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AtGLR/WAAAACQEAAA8AAAAAAAAAAQAgAAAAIgAAAGRycy9kb3ducmV2LnhtbFBLAQIUABQA&#10;AAAIAIdO4kDUSys0uQEAAF4DAAAOAAAAAAAAAAEAIAAAACUBAABkcnMvZTJvRG9jLnhtbFBLBQYA&#10;AAAABgAGAFkBAABQBQAAAAA=&#10;">
                      <v:fill on="f" focussize="0,0"/>
                      <v:stroke on="f"/>
                      <v:imagedata o:title=""/>
                      <o:lock v:ext="edit" aspectratio="f"/>
                      <v:textbox>
                        <w:txbxContent>
                          <w:p w14:paraId="41DB1074">
                            <w:pPr>
                              <w:keepNext w:val="0"/>
                              <w:keepLines w:val="0"/>
                              <w:pageBreakBefore w:val="0"/>
                              <w:widowControl w:val="0"/>
                              <w:kinsoku/>
                              <w:wordWrap/>
                              <w:overflowPunct/>
                              <w:topLinePunct w:val="0"/>
                              <w:bidi w:val="0"/>
                              <w:adjustRightInd/>
                              <w:snapToGrid/>
                              <w:spacing w:line="220" w:lineRule="exact"/>
                              <w:jc w:val="center"/>
                              <w:textAlignment w:val="auto"/>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lang w:val="en-US" w:eastAsia="zh-CN"/>
                              </w:rPr>
                              <w:t>金属混合料、</w:t>
                            </w:r>
                          </w:p>
                          <w:p w14:paraId="507B8E13">
                            <w:pPr>
                              <w:keepNext w:val="0"/>
                              <w:keepLines w:val="0"/>
                              <w:pageBreakBefore w:val="0"/>
                              <w:widowControl w:val="0"/>
                              <w:kinsoku/>
                              <w:wordWrap/>
                              <w:overflowPunct/>
                              <w:topLinePunct w:val="0"/>
                              <w:bidi w:val="0"/>
                              <w:adjustRightInd/>
                              <w:snapToGrid/>
                              <w:spacing w:line="220" w:lineRule="exact"/>
                              <w:jc w:val="center"/>
                              <w:textAlignment w:val="auto"/>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lang w:val="en-US" w:eastAsia="zh-CN"/>
                              </w:rPr>
                              <w:t>橡胶、沉水塑</w:t>
                            </w:r>
                          </w:p>
                          <w:p w14:paraId="4C989FAF">
                            <w:pPr>
                              <w:keepNext w:val="0"/>
                              <w:keepLines w:val="0"/>
                              <w:pageBreakBefore w:val="0"/>
                              <w:widowControl w:val="0"/>
                              <w:kinsoku/>
                              <w:wordWrap/>
                              <w:overflowPunct/>
                              <w:topLinePunct w:val="0"/>
                              <w:bidi w:val="0"/>
                              <w:adjustRightInd/>
                              <w:snapToGrid/>
                              <w:spacing w:line="220" w:lineRule="exact"/>
                              <w:jc w:val="center"/>
                              <w:textAlignment w:val="auto"/>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lang w:val="en-US" w:eastAsia="zh-CN"/>
                              </w:rPr>
                              <w:t>料、其他杂质</w:t>
                            </w:r>
                          </w:p>
                        </w:txbxContent>
                      </v:textbox>
                    </v:shape>
                  </w:pict>
                </mc:Fallback>
              </mc:AlternateContent>
            </w:r>
            <w:r>
              <w:rPr>
                <w:color w:val="auto"/>
                <w:sz w:val="21"/>
              </w:rPr>
              <mc:AlternateContent>
                <mc:Choice Requires="wps">
                  <w:drawing>
                    <wp:anchor distT="0" distB="0" distL="114300" distR="114300" simplePos="0" relativeHeight="251691008" behindDoc="0" locked="0" layoutInCell="1" allowOverlap="1">
                      <wp:simplePos x="0" y="0"/>
                      <wp:positionH relativeFrom="column">
                        <wp:posOffset>3682365</wp:posOffset>
                      </wp:positionH>
                      <wp:positionV relativeFrom="paragraph">
                        <wp:posOffset>161290</wp:posOffset>
                      </wp:positionV>
                      <wp:extent cx="1270" cy="320040"/>
                      <wp:effectExtent l="48260" t="0" r="64770" b="3810"/>
                      <wp:wrapNone/>
                      <wp:docPr id="386" name="直接连接符 386"/>
                      <wp:cNvGraphicFramePr/>
                      <a:graphic xmlns:a="http://schemas.openxmlformats.org/drawingml/2006/main">
                        <a:graphicData uri="http://schemas.microsoft.com/office/word/2010/wordprocessingShape">
                          <wps:wsp>
                            <wps:cNvCnPr/>
                            <wps:spPr>
                              <a:xfrm>
                                <a:off x="5269865" y="3776345"/>
                                <a:ext cx="1270" cy="320040"/>
                              </a:xfrm>
                              <a:prstGeom prst="line">
                                <a:avLst/>
                              </a:prstGeom>
                              <a:ln w="9525" cap="flat" cmpd="sng">
                                <a:solidFill>
                                  <a:srgbClr val="000000"/>
                                </a:solidFill>
                                <a:prstDash val="solid"/>
                                <a:round/>
                                <a:headEnd type="none" w="med" len="med"/>
                                <a:tailEnd type="arrow" w="med" len="med"/>
                              </a:ln>
                            </wps:spPr>
                            <wps:bodyPr upright="1"/>
                          </wps:wsp>
                        </a:graphicData>
                      </a:graphic>
                    </wp:anchor>
                  </w:drawing>
                </mc:Choice>
                <mc:Fallback>
                  <w:pict>
                    <v:line id="_x0000_s1026" o:spid="_x0000_s1026" o:spt="20" style="position:absolute;left:0pt;margin-left:289.95pt;margin-top:12.7pt;height:25.2pt;width:0.1pt;z-index:251691008;mso-width-relative:page;mso-height-relative:page;" filled="f" stroked="t" coordsize="21600,21600" o:gfxdata="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Bw/EaW2gAAAAkBAAAPAAAA&#10;AAAAAAEAIAAAACIAAABkcnMvZG93bnJldi54bWxQSwECFAAUAAAACACHTuJAKbeeTxMCAAABBAAA&#10;DgAAAAAAAAABACAAAAApAQAAZHJzL2Uyb0RvYy54bWxQSwUGAAAAAAYABgBZAQAArgUAAAAA&#10;">
                      <v:fill on="f" focussize="0,0"/>
                      <v:stroke color="#000000" joinstyle="round" endarrow="open"/>
                      <v:imagedata o:title=""/>
                      <o:lock v:ext="edit" aspectratio="f"/>
                    </v:line>
                  </w:pict>
                </mc:Fallback>
              </mc:AlternateContent>
            </w:r>
            <w:r>
              <w:rPr>
                <w:color w:val="auto"/>
                <w:sz w:val="21"/>
              </w:rPr>
              <mc:AlternateContent>
                <mc:Choice Requires="wps">
                  <w:drawing>
                    <wp:anchor distT="0" distB="0" distL="114300" distR="114300" simplePos="0" relativeHeight="251760640" behindDoc="0" locked="0" layoutInCell="1" allowOverlap="1">
                      <wp:simplePos x="0" y="0"/>
                      <wp:positionH relativeFrom="column">
                        <wp:posOffset>1915160</wp:posOffset>
                      </wp:positionH>
                      <wp:positionV relativeFrom="paragraph">
                        <wp:posOffset>188595</wp:posOffset>
                      </wp:positionV>
                      <wp:extent cx="303530" cy="213360"/>
                      <wp:effectExtent l="0" t="0" r="0" b="0"/>
                      <wp:wrapNone/>
                      <wp:docPr id="111" name="矩形 49"/>
                      <wp:cNvGraphicFramePr/>
                      <a:graphic xmlns:a="http://schemas.openxmlformats.org/drawingml/2006/main">
                        <a:graphicData uri="http://schemas.microsoft.com/office/word/2010/wordprocessingShape">
                          <wps:wsp>
                            <wps:cNvSpPr/>
                            <wps:spPr>
                              <a:xfrm>
                                <a:off x="3502660" y="3803650"/>
                                <a:ext cx="303530" cy="213360"/>
                              </a:xfrm>
                              <a:prstGeom prst="rect">
                                <a:avLst/>
                              </a:prstGeom>
                              <a:noFill/>
                              <a:ln>
                                <a:noFill/>
                              </a:ln>
                            </wps:spPr>
                            <wps:txbx>
                              <w:txbxContent>
                                <w:p w14:paraId="46C2004F">
                                  <w:pPr>
                                    <w:spacing w:line="0" w:lineRule="atLeast"/>
                                    <w:jc w:val="center"/>
                                    <w:rPr>
                                      <w:rFonts w:hint="default" w:eastAsia="宋体"/>
                                      <w:sz w:val="15"/>
                                      <w:szCs w:val="15"/>
                                      <w:lang w:val="en-US" w:eastAsia="zh-CN"/>
                                    </w:rPr>
                                  </w:pPr>
                                  <w:r>
                                    <w:rPr>
                                      <w:rFonts w:hint="eastAsia"/>
                                      <w:sz w:val="15"/>
                                      <w:szCs w:val="15"/>
                                      <w:lang w:val="en-US" w:eastAsia="zh-CN"/>
                                    </w:rPr>
                                    <w:t>W</w:t>
                                  </w:r>
                                </w:p>
                              </w:txbxContent>
                            </wps:txbx>
                            <wps:bodyPr wrap="square" upright="1">
                              <a:noAutofit/>
                            </wps:bodyPr>
                          </wps:wsp>
                        </a:graphicData>
                      </a:graphic>
                    </wp:anchor>
                  </w:drawing>
                </mc:Choice>
                <mc:Fallback>
                  <w:pict>
                    <v:rect id="矩形 49" o:spid="_x0000_s1026" o:spt="1" style="position:absolute;left:0pt;margin-left:150.8pt;margin-top:14.85pt;height:16.8pt;width:23.9pt;z-index:251760640;mso-width-relative:page;mso-height-relative:page;" filled="f" stroked="f" coordsize="21600,21600" o:gfxdata="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AoR8mR2wAAAAkBAAAPAAAAAAAAAAEAIAAAACIAAABkcnMvZG93&#10;bnJldi54bWxQSwECFAAUAAAACACHTuJA4u0B48QBAAB3AwAADgAAAAAAAAABACAAAAAqAQAAZHJz&#10;L2Uyb0RvYy54bWxQSwUGAAAAAAYABgBZAQAAYAUAAAAA&#10;">
                      <v:fill on="f" focussize="0,0"/>
                      <v:stroke on="f"/>
                      <v:imagedata o:title=""/>
                      <o:lock v:ext="edit" aspectratio="f"/>
                      <v:textbox>
                        <w:txbxContent>
                          <w:p w14:paraId="46C2004F">
                            <w:pPr>
                              <w:spacing w:line="0" w:lineRule="atLeast"/>
                              <w:jc w:val="center"/>
                              <w:rPr>
                                <w:rFonts w:hint="default" w:eastAsia="宋体"/>
                                <w:sz w:val="15"/>
                                <w:szCs w:val="15"/>
                                <w:lang w:val="en-US" w:eastAsia="zh-CN"/>
                              </w:rPr>
                            </w:pPr>
                            <w:r>
                              <w:rPr>
                                <w:rFonts w:hint="eastAsia"/>
                                <w:sz w:val="15"/>
                                <w:szCs w:val="15"/>
                                <w:lang w:val="en-US" w:eastAsia="zh-CN"/>
                              </w:rPr>
                              <w:t>W</w:t>
                            </w:r>
                          </w:p>
                        </w:txbxContent>
                      </v:textbox>
                    </v:rect>
                  </w:pict>
                </mc:Fallback>
              </mc:AlternateContent>
            </w:r>
            <w:r>
              <w:rPr>
                <w:color w:val="auto"/>
                <w:sz w:val="21"/>
              </w:rPr>
              <mc:AlternateContent>
                <mc:Choice Requires="wps">
                  <w:drawing>
                    <wp:anchor distT="0" distB="0" distL="114300" distR="114300" simplePos="0" relativeHeight="251694080" behindDoc="0" locked="0" layoutInCell="1" allowOverlap="1">
                      <wp:simplePos x="0" y="0"/>
                      <wp:positionH relativeFrom="column">
                        <wp:posOffset>3614420</wp:posOffset>
                      </wp:positionH>
                      <wp:positionV relativeFrom="paragraph">
                        <wp:posOffset>137795</wp:posOffset>
                      </wp:positionV>
                      <wp:extent cx="823595" cy="231775"/>
                      <wp:effectExtent l="0" t="0" r="0" b="0"/>
                      <wp:wrapNone/>
                      <wp:docPr id="389" name="文本框 389"/>
                      <wp:cNvGraphicFramePr/>
                      <a:graphic xmlns:a="http://schemas.openxmlformats.org/drawingml/2006/main">
                        <a:graphicData uri="http://schemas.microsoft.com/office/word/2010/wordprocessingShape">
                          <wps:wsp>
                            <wps:cNvSpPr txBox="1"/>
                            <wps:spPr>
                              <a:xfrm>
                                <a:off x="5201920" y="3752850"/>
                                <a:ext cx="823595" cy="231775"/>
                              </a:xfrm>
                              <a:prstGeom prst="rect">
                                <a:avLst/>
                              </a:prstGeom>
                              <a:noFill/>
                              <a:ln>
                                <a:noFill/>
                              </a:ln>
                            </wps:spPr>
                            <wps:txbx>
                              <w:txbxContent>
                                <w:p w14:paraId="6DF2C3AB">
                                  <w:pPr>
                                    <w:jc w:val="both"/>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lang w:val="en-US" w:eastAsia="zh-CN"/>
                                    </w:rPr>
                                    <w:t>工业盐、水</w:t>
                                  </w:r>
                                </w:p>
                              </w:txbxContent>
                            </wps:txbx>
                            <wps:bodyPr upright="1"/>
                          </wps:wsp>
                        </a:graphicData>
                      </a:graphic>
                    </wp:anchor>
                  </w:drawing>
                </mc:Choice>
                <mc:Fallback>
                  <w:pict>
                    <v:shape id="_x0000_s1026" o:spid="_x0000_s1026" o:spt="202" type="#_x0000_t202" style="position:absolute;left:0pt;margin-left:284.6pt;margin-top:10.85pt;height:18.25pt;width:64.85pt;z-index:251694080;mso-width-relative:page;mso-height-relative:page;" filled="f" stroked="f" coordsize="21600,21600" o:gfxdata="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MwGQxrWAAAACQEAAA8AAAAAAAAAAQAgAAAAIgAAAGRycy9kb3ducmV2LnhtbFBLAQIUABQA&#10;AAAIAIdO4kAfPl83uQEAAF0DAAAOAAAAAAAAAAEAIAAAACUBAABkcnMvZTJvRG9jLnhtbFBLBQYA&#10;AAAABgAGAFkBAABQBQAAAAA=&#10;">
                      <v:fill on="f" focussize="0,0"/>
                      <v:stroke on="f"/>
                      <v:imagedata o:title=""/>
                      <o:lock v:ext="edit" aspectratio="f"/>
                      <v:textbox>
                        <w:txbxContent>
                          <w:p w14:paraId="6DF2C3AB">
                            <w:pPr>
                              <w:jc w:val="both"/>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lang w:val="en-US" w:eastAsia="zh-CN"/>
                              </w:rPr>
                              <w:t>工业盐、水</w:t>
                            </w:r>
                          </w:p>
                        </w:txbxContent>
                      </v:textbox>
                    </v:shape>
                  </w:pict>
                </mc:Fallback>
              </mc:AlternateContent>
            </w:r>
          </w:p>
          <w:p w14:paraId="199C8904">
            <w:pPr>
              <w:pStyle w:val="24"/>
              <w:keepNext w:val="0"/>
              <w:keepLines w:val="0"/>
              <w:pageBreakBefore w:val="0"/>
              <w:widowControl/>
              <w:kinsoku/>
              <w:wordWrap/>
              <w:overflowPunct/>
              <w:topLinePunct w:val="0"/>
              <w:autoSpaceDE/>
              <w:autoSpaceDN/>
              <w:bidi w:val="0"/>
              <w:adjustRightInd w:val="0"/>
              <w:snapToGrid w:val="0"/>
              <w:spacing w:before="0" w:beforeAutospacing="0" w:after="0" w:afterAutospacing="0" w:line="430" w:lineRule="exact"/>
              <w:ind w:firstLine="420" w:firstLineChars="200"/>
              <w:textAlignment w:val="auto"/>
              <w:rPr>
                <w:rFonts w:hint="eastAsia" w:ascii="Times New Roman" w:hAnsi="Times New Roman" w:eastAsia="宋体" w:cs="Times New Roman"/>
                <w:color w:val="auto"/>
                <w:sz w:val="21"/>
                <w:szCs w:val="21"/>
                <w:highlight w:val="none"/>
                <w:lang w:val="en-US" w:eastAsia="zh-CN"/>
              </w:rPr>
            </w:pPr>
            <w:r>
              <w:rPr>
                <w:color w:val="auto"/>
                <w:sz w:val="21"/>
              </w:rPr>
              <mc:AlternateContent>
                <mc:Choice Requires="wps">
                  <w:drawing>
                    <wp:anchor distT="0" distB="0" distL="114300" distR="114300" simplePos="0" relativeHeight="251757568" behindDoc="0" locked="0" layoutInCell="1" allowOverlap="1">
                      <wp:simplePos x="0" y="0"/>
                      <wp:positionH relativeFrom="column">
                        <wp:posOffset>2077720</wp:posOffset>
                      </wp:positionH>
                      <wp:positionV relativeFrom="paragraph">
                        <wp:posOffset>62865</wp:posOffset>
                      </wp:positionV>
                      <wp:extent cx="635" cy="144145"/>
                      <wp:effectExtent l="36195" t="0" r="39370" b="8255"/>
                      <wp:wrapNone/>
                      <wp:docPr id="102" name="直接箭头连接符 50"/>
                      <wp:cNvGraphicFramePr/>
                      <a:graphic xmlns:a="http://schemas.openxmlformats.org/drawingml/2006/main">
                        <a:graphicData uri="http://schemas.microsoft.com/office/word/2010/wordprocessingShape">
                          <wps:wsp>
                            <wps:cNvCnPr/>
                            <wps:spPr>
                              <a:xfrm flipH="1" flipV="1">
                                <a:off x="3665220" y="3950970"/>
                                <a:ext cx="635" cy="144145"/>
                              </a:xfrm>
                              <a:prstGeom prst="straightConnector1">
                                <a:avLst/>
                              </a:prstGeom>
                              <a:ln w="9525" cap="flat" cmpd="sng">
                                <a:solidFill>
                                  <a:srgbClr val="000000"/>
                                </a:solidFill>
                                <a:prstDash val="dash"/>
                                <a:headEnd type="none" w="med" len="med"/>
                                <a:tailEnd type="arrow" w="sm" len="sm"/>
                              </a:ln>
                            </wps:spPr>
                            <wps:bodyPr/>
                          </wps:wsp>
                        </a:graphicData>
                      </a:graphic>
                    </wp:anchor>
                  </w:drawing>
                </mc:Choice>
                <mc:Fallback>
                  <w:pict>
                    <v:shape id="直接箭头连接符 50" o:spid="_x0000_s1026" o:spt="32" type="#_x0000_t32" style="position:absolute;left:0pt;flip:x y;margin-left:163.6pt;margin-top:4.95pt;height:11.35pt;width:0.05pt;z-index:251757568;mso-width-relative:page;mso-height-relative:page;" filled="f" stroked="t" coordsize="21600,21600" o:gfxdata="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">
                      <v:fill on="f" focussize="0,0"/>
                      <v:stroke color="#000000" joinstyle="round" dashstyle="dash" endarrow="open" endarrowwidth="narrow" endarrowlength="short"/>
                      <v:imagedata o:title=""/>
                      <o:lock v:ext="edit" aspectratio="f"/>
                    </v:shape>
                  </w:pict>
                </mc:Fallback>
              </mc:AlternateContent>
            </w:r>
            <w:r>
              <w:rPr>
                <w:color w:val="auto"/>
                <w:sz w:val="21"/>
              </w:rPr>
              <mc:AlternateContent>
                <mc:Choice Requires="wps">
                  <w:drawing>
                    <wp:anchor distT="0" distB="0" distL="114300" distR="114300" simplePos="0" relativeHeight="251689984" behindDoc="0" locked="0" layoutInCell="1" allowOverlap="1">
                      <wp:simplePos x="0" y="0"/>
                      <wp:positionH relativeFrom="column">
                        <wp:posOffset>3270250</wp:posOffset>
                      </wp:positionH>
                      <wp:positionV relativeFrom="paragraph">
                        <wp:posOffset>215900</wp:posOffset>
                      </wp:positionV>
                      <wp:extent cx="668655" cy="257175"/>
                      <wp:effectExtent l="4445" t="5080" r="12700" b="4445"/>
                      <wp:wrapNone/>
                      <wp:docPr id="385" name="文本框 385"/>
                      <wp:cNvGraphicFramePr/>
                      <a:graphic xmlns:a="http://schemas.openxmlformats.org/drawingml/2006/main">
                        <a:graphicData uri="http://schemas.microsoft.com/office/word/2010/wordprocessingShape">
                          <wps:wsp>
                            <wps:cNvSpPr txBox="1"/>
                            <wps:spPr>
                              <a:xfrm>
                                <a:off x="4857750" y="4104005"/>
                                <a:ext cx="668655" cy="257175"/>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47773521">
                                  <w:pPr>
                                    <w:keepNext w:val="0"/>
                                    <w:keepLines w:val="0"/>
                                    <w:pageBreakBefore w:val="0"/>
                                    <w:widowControl w:val="0"/>
                                    <w:kinsoku/>
                                    <w:wordWrap/>
                                    <w:overflowPunct/>
                                    <w:topLinePunct w:val="0"/>
                                    <w:bidi w:val="0"/>
                                    <w:adjustRightInd/>
                                    <w:snapToGrid/>
                                    <w:spacing w:line="240" w:lineRule="exact"/>
                                    <w:jc w:val="center"/>
                                    <w:textAlignment w:val="auto"/>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lang w:val="en-US" w:eastAsia="zh-CN"/>
                                    </w:rPr>
                                    <w:t>1</w:t>
                                  </w:r>
                                  <w:r>
                                    <w:rPr>
                                      <w:rFonts w:hint="default" w:ascii="Times New Roman" w:hAnsi="Times New Roman" w:eastAsia="宋体" w:cs="Times New Roman"/>
                                      <w:sz w:val="18"/>
                                      <w:szCs w:val="18"/>
                                      <w:vertAlign w:val="superscript"/>
                                      <w:lang w:val="en-US" w:eastAsia="zh-CN"/>
                                    </w:rPr>
                                    <w:t>#</w:t>
                                  </w:r>
                                  <w:r>
                                    <w:rPr>
                                      <w:rFonts w:hint="default" w:ascii="Times New Roman" w:hAnsi="Times New Roman" w:eastAsia="宋体" w:cs="Times New Roman"/>
                                      <w:sz w:val="18"/>
                                      <w:szCs w:val="18"/>
                                      <w:lang w:val="en-US" w:eastAsia="zh-CN"/>
                                    </w:rPr>
                                    <w:t>漂洗船</w:t>
                                  </w:r>
                                </w:p>
                              </w:txbxContent>
                            </wps:txbx>
                            <wps:bodyPr upright="1"/>
                          </wps:wsp>
                        </a:graphicData>
                      </a:graphic>
                    </wp:anchor>
                  </w:drawing>
                </mc:Choice>
                <mc:Fallback>
                  <w:pict>
                    <v:shape id="_x0000_s1026" o:spid="_x0000_s1026" o:spt="202" type="#_x0000_t202" style="position:absolute;left:0pt;margin-left:257.5pt;margin-top:17pt;height:20.25pt;width:52.65pt;z-index:251689984;mso-width-relative:page;mso-height-relative:page;" fillcolor="#FFFFFF" filled="t" stroked="t" coordsize="21600,21600" o:gfxdata="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OihscTZAAAACQEA&#10;AA8AAAAAAAAAAQAgAAAAIgAAAGRycy9kb3ducmV2LnhtbFBLAQIUABQAAAAIAIdO4kDAta7VGQIA&#10;AEUEAAAOAAAAAAAAAAEAIAAAACgBAABkcnMvZTJvRG9jLnhtbFBLBQYAAAAABgAGAFkBAACzBQAA&#10;AAA=&#10;">
                      <v:fill on="t" focussize="0,0"/>
                      <v:stroke color="#000000" joinstyle="miter"/>
                      <v:imagedata o:title=""/>
                      <o:lock v:ext="edit" aspectratio="f"/>
                      <v:textbox>
                        <w:txbxContent>
                          <w:p w14:paraId="47773521">
                            <w:pPr>
                              <w:keepNext w:val="0"/>
                              <w:keepLines w:val="0"/>
                              <w:pageBreakBefore w:val="0"/>
                              <w:widowControl w:val="0"/>
                              <w:kinsoku/>
                              <w:wordWrap/>
                              <w:overflowPunct/>
                              <w:topLinePunct w:val="0"/>
                              <w:bidi w:val="0"/>
                              <w:adjustRightInd/>
                              <w:snapToGrid/>
                              <w:spacing w:line="240" w:lineRule="exact"/>
                              <w:jc w:val="center"/>
                              <w:textAlignment w:val="auto"/>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lang w:val="en-US" w:eastAsia="zh-CN"/>
                              </w:rPr>
                              <w:t>1</w:t>
                            </w:r>
                            <w:r>
                              <w:rPr>
                                <w:rFonts w:hint="default" w:ascii="Times New Roman" w:hAnsi="Times New Roman" w:eastAsia="宋体" w:cs="Times New Roman"/>
                                <w:sz w:val="18"/>
                                <w:szCs w:val="18"/>
                                <w:vertAlign w:val="superscript"/>
                                <w:lang w:val="en-US" w:eastAsia="zh-CN"/>
                              </w:rPr>
                              <w:t>#</w:t>
                            </w:r>
                            <w:r>
                              <w:rPr>
                                <w:rFonts w:hint="default" w:ascii="Times New Roman" w:hAnsi="Times New Roman" w:eastAsia="宋体" w:cs="Times New Roman"/>
                                <w:sz w:val="18"/>
                                <w:szCs w:val="18"/>
                                <w:lang w:val="en-US" w:eastAsia="zh-CN"/>
                              </w:rPr>
                              <w:t>漂洗船</w:t>
                            </w:r>
                          </w:p>
                        </w:txbxContent>
                      </v:textbox>
                    </v:shape>
                  </w:pict>
                </mc:Fallback>
              </mc:AlternateContent>
            </w:r>
            <w:r>
              <w:rPr>
                <w:color w:val="auto"/>
                <w:sz w:val="21"/>
              </w:rPr>
              <mc:AlternateContent>
                <mc:Choice Requires="wps">
                  <w:drawing>
                    <wp:anchor distT="0" distB="0" distL="114300" distR="114300" simplePos="0" relativeHeight="251710464" behindDoc="0" locked="0" layoutInCell="1" allowOverlap="1">
                      <wp:simplePos x="0" y="0"/>
                      <wp:positionH relativeFrom="column">
                        <wp:posOffset>1749425</wp:posOffset>
                      </wp:positionH>
                      <wp:positionV relativeFrom="paragraph">
                        <wp:posOffset>212725</wp:posOffset>
                      </wp:positionV>
                      <wp:extent cx="690880" cy="269875"/>
                      <wp:effectExtent l="4445" t="4445" r="9525" b="11430"/>
                      <wp:wrapNone/>
                      <wp:docPr id="421" name="文本框 421"/>
                      <wp:cNvGraphicFramePr/>
                      <a:graphic xmlns:a="http://schemas.openxmlformats.org/drawingml/2006/main">
                        <a:graphicData uri="http://schemas.microsoft.com/office/word/2010/wordprocessingShape">
                          <wps:wsp>
                            <wps:cNvSpPr txBox="1"/>
                            <wps:spPr>
                              <a:xfrm>
                                <a:off x="3336925" y="4100830"/>
                                <a:ext cx="690880" cy="269875"/>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2C6948E5">
                                  <w:pPr>
                                    <w:keepNext w:val="0"/>
                                    <w:keepLines w:val="0"/>
                                    <w:pageBreakBefore w:val="0"/>
                                    <w:widowControl w:val="0"/>
                                    <w:kinsoku/>
                                    <w:wordWrap/>
                                    <w:overflowPunct/>
                                    <w:topLinePunct w:val="0"/>
                                    <w:bidi w:val="0"/>
                                    <w:adjustRightInd/>
                                    <w:snapToGrid/>
                                    <w:spacing w:line="240" w:lineRule="exact"/>
                                    <w:jc w:val="center"/>
                                    <w:textAlignment w:val="auto"/>
                                    <w:rPr>
                                      <w:rFonts w:hint="default" w:ascii="Times New Roman" w:hAnsi="Times New Roman" w:eastAsia="宋体" w:cs="Times New Roman"/>
                                      <w:sz w:val="18"/>
                                      <w:szCs w:val="18"/>
                                      <w:lang w:val="en-US" w:eastAsia="zh-CN"/>
                                    </w:rPr>
                                  </w:pPr>
                                  <w:r>
                                    <w:rPr>
                                      <w:rFonts w:hint="eastAsia" w:cs="Times New Roman"/>
                                      <w:sz w:val="18"/>
                                      <w:szCs w:val="18"/>
                                      <w:lang w:val="en-US" w:eastAsia="zh-CN"/>
                                    </w:rPr>
                                    <w:t>1</w:t>
                                  </w:r>
                                  <w:r>
                                    <w:rPr>
                                      <w:rFonts w:hint="default" w:ascii="Times New Roman" w:hAnsi="Times New Roman" w:eastAsia="宋体" w:cs="Times New Roman"/>
                                      <w:sz w:val="18"/>
                                      <w:szCs w:val="18"/>
                                      <w:vertAlign w:val="superscript"/>
                                      <w:lang w:val="en-US" w:eastAsia="zh-CN"/>
                                    </w:rPr>
                                    <w:t>#</w:t>
                                  </w:r>
                                  <w:r>
                                    <w:rPr>
                                      <w:rFonts w:hint="default" w:ascii="Times New Roman" w:hAnsi="Times New Roman" w:eastAsia="宋体" w:cs="Times New Roman"/>
                                      <w:sz w:val="18"/>
                                      <w:szCs w:val="18"/>
                                      <w:lang w:val="en-US" w:eastAsia="zh-CN"/>
                                    </w:rPr>
                                    <w:t>料池</w:t>
                                  </w:r>
                                </w:p>
                              </w:txbxContent>
                            </wps:txbx>
                            <wps:bodyPr upright="1"/>
                          </wps:wsp>
                        </a:graphicData>
                      </a:graphic>
                    </wp:anchor>
                  </w:drawing>
                </mc:Choice>
                <mc:Fallback>
                  <w:pict>
                    <v:shape id="_x0000_s1026" o:spid="_x0000_s1026" o:spt="202" type="#_x0000_t202" style="position:absolute;left:0pt;margin-left:137.75pt;margin-top:16.75pt;height:21.25pt;width:54.4pt;z-index:251710464;mso-width-relative:page;mso-height-relative:page;" fillcolor="#FFFFFF" filled="t" stroked="t" coordsize="21600,21600" o:gfxdata="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DuNSltoAAAAJAQAA&#10;DwAAAAAAAAABACAAAAAiAAAAZHJzL2Rvd25yZXYueG1sUEsBAhQAFAAAAAgAh07iQJ6Qz70XAgAA&#10;RQQAAA4AAAAAAAAAAQAgAAAAKQEAAGRycy9lMm9Eb2MueG1sUEsFBgAAAAAGAAYAWQEAALIFAAAA&#10;AA==&#10;">
                      <v:fill on="t" focussize="0,0"/>
                      <v:stroke color="#000000" joinstyle="miter"/>
                      <v:imagedata o:title=""/>
                      <o:lock v:ext="edit" aspectratio="f"/>
                      <v:textbox>
                        <w:txbxContent>
                          <w:p w14:paraId="2C6948E5">
                            <w:pPr>
                              <w:keepNext w:val="0"/>
                              <w:keepLines w:val="0"/>
                              <w:pageBreakBefore w:val="0"/>
                              <w:widowControl w:val="0"/>
                              <w:kinsoku/>
                              <w:wordWrap/>
                              <w:overflowPunct/>
                              <w:topLinePunct w:val="0"/>
                              <w:bidi w:val="0"/>
                              <w:adjustRightInd/>
                              <w:snapToGrid/>
                              <w:spacing w:line="240" w:lineRule="exact"/>
                              <w:jc w:val="center"/>
                              <w:textAlignment w:val="auto"/>
                              <w:rPr>
                                <w:rFonts w:hint="default" w:ascii="Times New Roman" w:hAnsi="Times New Roman" w:eastAsia="宋体" w:cs="Times New Roman"/>
                                <w:sz w:val="18"/>
                                <w:szCs w:val="18"/>
                                <w:lang w:val="en-US" w:eastAsia="zh-CN"/>
                              </w:rPr>
                            </w:pPr>
                            <w:r>
                              <w:rPr>
                                <w:rFonts w:hint="eastAsia" w:cs="Times New Roman"/>
                                <w:sz w:val="18"/>
                                <w:szCs w:val="18"/>
                                <w:lang w:val="en-US" w:eastAsia="zh-CN"/>
                              </w:rPr>
                              <w:t>1</w:t>
                            </w:r>
                            <w:r>
                              <w:rPr>
                                <w:rFonts w:hint="default" w:ascii="Times New Roman" w:hAnsi="Times New Roman" w:eastAsia="宋体" w:cs="Times New Roman"/>
                                <w:sz w:val="18"/>
                                <w:szCs w:val="18"/>
                                <w:vertAlign w:val="superscript"/>
                                <w:lang w:val="en-US" w:eastAsia="zh-CN"/>
                              </w:rPr>
                              <w:t>#</w:t>
                            </w:r>
                            <w:r>
                              <w:rPr>
                                <w:rFonts w:hint="default" w:ascii="Times New Roman" w:hAnsi="Times New Roman" w:eastAsia="宋体" w:cs="Times New Roman"/>
                                <w:sz w:val="18"/>
                                <w:szCs w:val="18"/>
                                <w:lang w:val="en-US" w:eastAsia="zh-CN"/>
                              </w:rPr>
                              <w:t>料池</w:t>
                            </w:r>
                          </w:p>
                        </w:txbxContent>
                      </v:textbox>
                    </v:shape>
                  </w:pict>
                </mc:Fallback>
              </mc:AlternateContent>
            </w:r>
            <w:r>
              <w:rPr>
                <w:color w:val="auto"/>
                <w:sz w:val="21"/>
              </w:rPr>
              <mc:AlternateContent>
                <mc:Choice Requires="wps">
                  <w:drawing>
                    <wp:anchor distT="0" distB="0" distL="114300" distR="114300" simplePos="0" relativeHeight="251758592" behindDoc="0" locked="0" layoutInCell="1" allowOverlap="1">
                      <wp:simplePos x="0" y="0"/>
                      <wp:positionH relativeFrom="column">
                        <wp:posOffset>3477260</wp:posOffset>
                      </wp:positionH>
                      <wp:positionV relativeFrom="paragraph">
                        <wp:posOffset>67310</wp:posOffset>
                      </wp:positionV>
                      <wp:extent cx="635" cy="144145"/>
                      <wp:effectExtent l="36195" t="0" r="39370" b="8255"/>
                      <wp:wrapNone/>
                      <wp:docPr id="105" name="直接箭头连接符 50"/>
                      <wp:cNvGraphicFramePr/>
                      <a:graphic xmlns:a="http://schemas.openxmlformats.org/drawingml/2006/main">
                        <a:graphicData uri="http://schemas.microsoft.com/office/word/2010/wordprocessingShape">
                          <wps:wsp>
                            <wps:cNvCnPr/>
                            <wps:spPr>
                              <a:xfrm flipH="1" flipV="1">
                                <a:off x="5064760" y="3955415"/>
                                <a:ext cx="635" cy="144145"/>
                              </a:xfrm>
                              <a:prstGeom prst="straightConnector1">
                                <a:avLst/>
                              </a:prstGeom>
                              <a:ln w="9525" cap="flat" cmpd="sng">
                                <a:solidFill>
                                  <a:srgbClr val="000000"/>
                                </a:solidFill>
                                <a:prstDash val="dash"/>
                                <a:headEnd type="none" w="med" len="med"/>
                                <a:tailEnd type="arrow" w="sm" len="sm"/>
                              </a:ln>
                            </wps:spPr>
                            <wps:bodyPr/>
                          </wps:wsp>
                        </a:graphicData>
                      </a:graphic>
                    </wp:anchor>
                  </w:drawing>
                </mc:Choice>
                <mc:Fallback>
                  <w:pict>
                    <v:shape id="直接箭头连接符 50" o:spid="_x0000_s1026" o:spt="32" type="#_x0000_t32" style="position:absolute;left:0pt;flip:x y;margin-left:273.8pt;margin-top:5.3pt;height:11.35pt;width:0.05pt;z-index:251758592;mso-width-relative:page;mso-height-relative:page;" filled="f" stroked="t" coordsize="21600,21600" o:gfxdata="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">
                      <v:fill on="f" focussize="0,0"/>
                      <v:stroke color="#000000" joinstyle="round" dashstyle="dash" endarrow="open" endarrowwidth="narrow" endarrowlength="short"/>
                      <v:imagedata o:title=""/>
                      <o:lock v:ext="edit" aspectratio="f"/>
                    </v:shape>
                  </w:pict>
                </mc:Fallback>
              </mc:AlternateContent>
            </w:r>
            <w:r>
              <w:rPr>
                <w:color w:val="auto"/>
                <w:sz w:val="21"/>
              </w:rPr>
              <mc:AlternateContent>
                <mc:Choice Requires="wps">
                  <w:drawing>
                    <wp:anchor distT="0" distB="0" distL="114300" distR="114300" simplePos="0" relativeHeight="251695104" behindDoc="0" locked="0" layoutInCell="1" allowOverlap="1">
                      <wp:simplePos x="0" y="0"/>
                      <wp:positionH relativeFrom="column">
                        <wp:posOffset>3901440</wp:posOffset>
                      </wp:positionH>
                      <wp:positionV relativeFrom="paragraph">
                        <wp:posOffset>40005</wp:posOffset>
                      </wp:positionV>
                      <wp:extent cx="635" cy="179705"/>
                      <wp:effectExtent l="48895" t="0" r="64770" b="10795"/>
                      <wp:wrapNone/>
                      <wp:docPr id="390" name="直接连接符 390"/>
                      <wp:cNvGraphicFramePr/>
                      <a:graphic xmlns:a="http://schemas.openxmlformats.org/drawingml/2006/main">
                        <a:graphicData uri="http://schemas.microsoft.com/office/word/2010/wordprocessingShape">
                          <wps:wsp>
                            <wps:cNvCnPr/>
                            <wps:spPr>
                              <a:xfrm>
                                <a:off x="5488940" y="3928110"/>
                                <a:ext cx="635" cy="179705"/>
                              </a:xfrm>
                              <a:prstGeom prst="line">
                                <a:avLst/>
                              </a:prstGeom>
                              <a:ln w="9525" cap="flat" cmpd="sng">
                                <a:solidFill>
                                  <a:srgbClr val="000000"/>
                                </a:solidFill>
                                <a:prstDash val="solid"/>
                                <a:round/>
                                <a:headEnd type="none" w="med" len="med"/>
                                <a:tailEnd type="arrow" w="med" len="med"/>
                              </a:ln>
                            </wps:spPr>
                            <wps:bodyPr upright="1"/>
                          </wps:wsp>
                        </a:graphicData>
                      </a:graphic>
                    </wp:anchor>
                  </w:drawing>
                </mc:Choice>
                <mc:Fallback>
                  <w:pict>
                    <v:line id="_x0000_s1026" o:spid="_x0000_s1026" o:spt="20" style="position:absolute;left:0pt;margin-left:307.2pt;margin-top:3.15pt;height:14.15pt;width:0.05pt;z-index:251695104;mso-width-relative:page;mso-height-relative:page;" filled="f" stroked="t" coordsize="21600,21600" o:gfxdata="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0/uJP9gAAAAIAQAADwAAAAAAAAABACAA&#10;AAAiAAAAZHJzL2Rvd25yZXYueG1sUEsBAhQAFAAAAAgAh07iQBZPrG4NAgAAAAQAAA4AAAAAAAAA&#10;AQAgAAAAJwEAAGRycy9lMm9Eb2MueG1sUEsFBgAAAAAGAAYAWQEAAKYFAAAAAA==&#10;">
                      <v:fill on="f" focussize="0,0"/>
                      <v:stroke color="#000000" joinstyle="round" endarrow="open"/>
                      <v:imagedata o:title=""/>
                      <o:lock v:ext="edit" aspectratio="f"/>
                    </v:line>
                  </w:pict>
                </mc:Fallback>
              </mc:AlternateContent>
            </w:r>
            <w:r>
              <w:rPr>
                <w:color w:val="auto"/>
                <w:sz w:val="21"/>
              </w:rPr>
              <mc:AlternateContent>
                <mc:Choice Requires="wps">
                  <w:drawing>
                    <wp:anchor distT="0" distB="0" distL="114300" distR="114300" simplePos="0" relativeHeight="251712512" behindDoc="0" locked="0" layoutInCell="1" allowOverlap="1">
                      <wp:simplePos x="0" y="0"/>
                      <wp:positionH relativeFrom="column">
                        <wp:posOffset>905510</wp:posOffset>
                      </wp:positionH>
                      <wp:positionV relativeFrom="paragraph">
                        <wp:posOffset>111125</wp:posOffset>
                      </wp:positionV>
                      <wp:extent cx="675005" cy="516890"/>
                      <wp:effectExtent l="0" t="0" r="0" b="0"/>
                      <wp:wrapNone/>
                      <wp:docPr id="425" name="文本框 425"/>
                      <wp:cNvGraphicFramePr/>
                      <a:graphic xmlns:a="http://schemas.openxmlformats.org/drawingml/2006/main">
                        <a:graphicData uri="http://schemas.microsoft.com/office/word/2010/wordprocessingShape">
                          <wps:wsp>
                            <wps:cNvSpPr txBox="1"/>
                            <wps:spPr>
                              <a:xfrm>
                                <a:off x="2493010" y="3999230"/>
                                <a:ext cx="675005" cy="516890"/>
                              </a:xfrm>
                              <a:prstGeom prst="rect">
                                <a:avLst/>
                              </a:prstGeom>
                              <a:noFill/>
                              <a:ln>
                                <a:noFill/>
                              </a:ln>
                            </wps:spPr>
                            <wps:txbx>
                              <w:txbxContent>
                                <w:p w14:paraId="2A493F63">
                                  <w:pPr>
                                    <w:keepNext w:val="0"/>
                                    <w:keepLines w:val="0"/>
                                    <w:pageBreakBefore w:val="0"/>
                                    <w:widowControl w:val="0"/>
                                    <w:kinsoku/>
                                    <w:wordWrap/>
                                    <w:overflowPunct/>
                                    <w:topLinePunct w:val="0"/>
                                    <w:bidi w:val="0"/>
                                    <w:adjustRightInd/>
                                    <w:snapToGrid/>
                                    <w:spacing w:line="220" w:lineRule="exact"/>
                                    <w:jc w:val="center"/>
                                    <w:textAlignment w:val="auto"/>
                                    <w:rPr>
                                      <w:rFonts w:hint="default" w:ascii="Times New Roman" w:hAnsi="Times New Roman" w:eastAsia="宋体" w:cs="Times New Roman"/>
                                      <w:b/>
                                      <w:bCs/>
                                      <w:sz w:val="18"/>
                                      <w:szCs w:val="18"/>
                                      <w:lang w:val="en-US" w:eastAsia="zh-CN"/>
                                    </w:rPr>
                                  </w:pPr>
                                  <w:r>
                                    <w:rPr>
                                      <w:rFonts w:hint="default" w:ascii="Times New Roman" w:hAnsi="Times New Roman" w:eastAsia="宋体" w:cs="Times New Roman"/>
                                      <w:b/>
                                      <w:bCs/>
                                      <w:sz w:val="18"/>
                                      <w:szCs w:val="18"/>
                                      <w:lang w:val="en-US" w:eastAsia="zh-CN"/>
                                    </w:rPr>
                                    <w:t>进入金属混合料分选段</w:t>
                                  </w:r>
                                </w:p>
                              </w:txbxContent>
                            </wps:txbx>
                            <wps:bodyPr upright="1"/>
                          </wps:wsp>
                        </a:graphicData>
                      </a:graphic>
                    </wp:anchor>
                  </w:drawing>
                </mc:Choice>
                <mc:Fallback>
                  <w:pict>
                    <v:shape id="_x0000_s1026" o:spid="_x0000_s1026" o:spt="202" type="#_x0000_t202" style="position:absolute;left:0pt;margin-left:71.3pt;margin-top:8.75pt;height:40.7pt;width:53.15pt;z-index:251712512;mso-width-relative:page;mso-height-relative:page;" filled="f" stroked="f" coordsize="21600,21600" o:gfxdata="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AAAAAZHJzL1BLAQIUABQAAAAI&#10;AIdO4kDfYbju1gAAAAkBAAAPAAAAAAAAAAEAIAAAACIAAABkcnMvZG93bnJldi54bWxQSwECFAAU&#10;AAAACACHTuJAAwxiBLoBAABdAwAADgAAAAAAAAABACAAAAAlAQAAZHJzL2Uyb0RvYy54bWxQSwUG&#10;AAAAAAYABgBZAQAAUQUAAAAA&#10;">
                      <v:fill on="f" focussize="0,0"/>
                      <v:stroke on="f"/>
                      <v:imagedata o:title=""/>
                      <o:lock v:ext="edit" aspectratio="f"/>
                      <v:textbox>
                        <w:txbxContent>
                          <w:p w14:paraId="2A493F63">
                            <w:pPr>
                              <w:keepNext w:val="0"/>
                              <w:keepLines w:val="0"/>
                              <w:pageBreakBefore w:val="0"/>
                              <w:widowControl w:val="0"/>
                              <w:kinsoku/>
                              <w:wordWrap/>
                              <w:overflowPunct/>
                              <w:topLinePunct w:val="0"/>
                              <w:bidi w:val="0"/>
                              <w:adjustRightInd/>
                              <w:snapToGrid/>
                              <w:spacing w:line="220" w:lineRule="exact"/>
                              <w:jc w:val="center"/>
                              <w:textAlignment w:val="auto"/>
                              <w:rPr>
                                <w:rFonts w:hint="default" w:ascii="Times New Roman" w:hAnsi="Times New Roman" w:eastAsia="宋体" w:cs="Times New Roman"/>
                                <w:b/>
                                <w:bCs/>
                                <w:sz w:val="18"/>
                                <w:szCs w:val="18"/>
                                <w:lang w:val="en-US" w:eastAsia="zh-CN"/>
                              </w:rPr>
                            </w:pPr>
                            <w:r>
                              <w:rPr>
                                <w:rFonts w:hint="default" w:ascii="Times New Roman" w:hAnsi="Times New Roman" w:eastAsia="宋体" w:cs="Times New Roman"/>
                                <w:b/>
                                <w:bCs/>
                                <w:sz w:val="18"/>
                                <w:szCs w:val="18"/>
                                <w:lang w:val="en-US" w:eastAsia="zh-CN"/>
                              </w:rPr>
                              <w:t>进入金属混合料分选段</w:t>
                            </w:r>
                          </w:p>
                        </w:txbxContent>
                      </v:textbox>
                    </v:shape>
                  </w:pict>
                </mc:Fallback>
              </mc:AlternateContent>
            </w:r>
          </w:p>
          <w:p w14:paraId="5D80A94C">
            <w:pPr>
              <w:pStyle w:val="24"/>
              <w:keepNext w:val="0"/>
              <w:keepLines w:val="0"/>
              <w:pageBreakBefore w:val="0"/>
              <w:widowControl/>
              <w:kinsoku/>
              <w:wordWrap/>
              <w:overflowPunct/>
              <w:topLinePunct w:val="0"/>
              <w:autoSpaceDE/>
              <w:autoSpaceDN/>
              <w:bidi w:val="0"/>
              <w:adjustRightInd w:val="0"/>
              <w:snapToGrid w:val="0"/>
              <w:spacing w:before="0" w:beforeAutospacing="0" w:after="0" w:afterAutospacing="0" w:line="430" w:lineRule="exact"/>
              <w:ind w:firstLine="420" w:firstLineChars="200"/>
              <w:textAlignment w:val="auto"/>
              <w:rPr>
                <w:rFonts w:hint="eastAsia" w:ascii="Times New Roman" w:hAnsi="Times New Roman" w:eastAsia="宋体" w:cs="Times New Roman"/>
                <w:color w:val="auto"/>
                <w:sz w:val="21"/>
                <w:szCs w:val="21"/>
                <w:highlight w:val="none"/>
                <w:lang w:val="en-US" w:eastAsia="zh-CN"/>
              </w:rPr>
            </w:pPr>
            <w:r>
              <w:rPr>
                <w:color w:val="auto"/>
                <w:sz w:val="21"/>
              </w:rPr>
              <mc:AlternateContent>
                <mc:Choice Requires="wps">
                  <w:drawing>
                    <wp:anchor distT="0" distB="0" distL="114300" distR="114300" simplePos="0" relativeHeight="251692032" behindDoc="0" locked="0" layoutInCell="1" allowOverlap="1">
                      <wp:simplePos x="0" y="0"/>
                      <wp:positionH relativeFrom="column">
                        <wp:posOffset>3599180</wp:posOffset>
                      </wp:positionH>
                      <wp:positionV relativeFrom="paragraph">
                        <wp:posOffset>203835</wp:posOffset>
                      </wp:positionV>
                      <wp:extent cx="3810" cy="358775"/>
                      <wp:effectExtent l="48260" t="0" r="62230" b="3175"/>
                      <wp:wrapNone/>
                      <wp:docPr id="387" name="直接连接符 387"/>
                      <wp:cNvGraphicFramePr/>
                      <a:graphic xmlns:a="http://schemas.openxmlformats.org/drawingml/2006/main">
                        <a:graphicData uri="http://schemas.microsoft.com/office/word/2010/wordprocessingShape">
                          <wps:wsp>
                            <wps:cNvCnPr/>
                            <wps:spPr>
                              <a:xfrm flipH="1">
                                <a:off x="5186680" y="4364990"/>
                                <a:ext cx="3810" cy="358775"/>
                              </a:xfrm>
                              <a:prstGeom prst="line">
                                <a:avLst/>
                              </a:prstGeom>
                              <a:ln w="9525" cap="flat" cmpd="sng">
                                <a:solidFill>
                                  <a:srgbClr val="000000"/>
                                </a:solidFill>
                                <a:prstDash val="solid"/>
                                <a:round/>
                                <a:headEnd type="none" w="med" len="med"/>
                                <a:tailEnd type="arrow" w="med" len="med"/>
                              </a:ln>
                            </wps:spPr>
                            <wps:bodyPr upright="1"/>
                          </wps:wsp>
                        </a:graphicData>
                      </a:graphic>
                    </wp:anchor>
                  </w:drawing>
                </mc:Choice>
                <mc:Fallback>
                  <w:pict>
                    <v:line id="_x0000_s1026" o:spid="_x0000_s1026" o:spt="20" style="position:absolute;left:0pt;flip:x;margin-left:283.4pt;margin-top:16.05pt;height:28.25pt;width:0.3pt;z-index:251692032;mso-width-relative:page;mso-height-relative:page;" filled="f" stroked="t" coordsize="21600,21600" o:gfxdata="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cSA8TtgAAAAJAQAA&#10;DwAAAAAAAAABACAAAAAiAAAAZHJzL2Rvd25yZXYueG1sUEsBAhQAFAAAAAgAh07iQH1f2d8ZAgAA&#10;CwQAAA4AAAAAAAAAAQAgAAAAJwEAAGRycy9lMm9Eb2MueG1sUEsFBgAAAAAGAAYAWQEAALIFAAAA&#10;AA==&#10;">
                      <v:fill on="f" focussize="0,0"/>
                      <v:stroke color="#000000" joinstyle="round" endarrow="open"/>
                      <v:imagedata o:title=""/>
                      <o:lock v:ext="edit" aspectratio="f"/>
                    </v:line>
                  </w:pict>
                </mc:Fallback>
              </mc:AlternateContent>
            </w:r>
            <w:r>
              <w:rPr>
                <w:color w:val="auto"/>
                <w:sz w:val="21"/>
              </w:rPr>
              <mc:AlternateContent>
                <mc:Choice Requires="wps">
                  <w:drawing>
                    <wp:anchor distT="0" distB="0" distL="114300" distR="114300" simplePos="0" relativeHeight="251699200" behindDoc="0" locked="0" layoutInCell="1" allowOverlap="1">
                      <wp:simplePos x="0" y="0"/>
                      <wp:positionH relativeFrom="column">
                        <wp:posOffset>3557270</wp:posOffset>
                      </wp:positionH>
                      <wp:positionV relativeFrom="paragraph">
                        <wp:posOffset>186690</wp:posOffset>
                      </wp:positionV>
                      <wp:extent cx="1021080" cy="405130"/>
                      <wp:effectExtent l="0" t="0" r="0" b="0"/>
                      <wp:wrapNone/>
                      <wp:docPr id="394" name="文本框 394"/>
                      <wp:cNvGraphicFramePr/>
                      <a:graphic xmlns:a="http://schemas.openxmlformats.org/drawingml/2006/main">
                        <a:graphicData uri="http://schemas.microsoft.com/office/word/2010/wordprocessingShape">
                          <wps:wsp>
                            <wps:cNvSpPr txBox="1"/>
                            <wps:spPr>
                              <a:xfrm>
                                <a:off x="5144770" y="4347845"/>
                                <a:ext cx="1021080" cy="405130"/>
                              </a:xfrm>
                              <a:prstGeom prst="rect">
                                <a:avLst/>
                              </a:prstGeom>
                              <a:noFill/>
                              <a:ln>
                                <a:noFill/>
                              </a:ln>
                            </wps:spPr>
                            <wps:txbx>
                              <w:txbxContent>
                                <w:p w14:paraId="7B580C1B">
                                  <w:pPr>
                                    <w:keepNext w:val="0"/>
                                    <w:keepLines w:val="0"/>
                                    <w:pageBreakBefore w:val="0"/>
                                    <w:widowControl w:val="0"/>
                                    <w:kinsoku/>
                                    <w:wordWrap/>
                                    <w:overflowPunct/>
                                    <w:topLinePunct w:val="0"/>
                                    <w:bidi w:val="0"/>
                                    <w:adjustRightInd/>
                                    <w:snapToGrid/>
                                    <w:spacing w:line="220" w:lineRule="exact"/>
                                    <w:textAlignment w:val="auto"/>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lang w:val="en-US" w:eastAsia="zh-CN"/>
                                    </w:rPr>
                                    <w:t>塑料、海绵、木屑等比重小物料</w:t>
                                  </w:r>
                                </w:p>
                              </w:txbxContent>
                            </wps:txbx>
                            <wps:bodyPr upright="1"/>
                          </wps:wsp>
                        </a:graphicData>
                      </a:graphic>
                    </wp:anchor>
                  </w:drawing>
                </mc:Choice>
                <mc:Fallback>
                  <w:pict>
                    <v:shape id="_x0000_s1026" o:spid="_x0000_s1026" o:spt="202" type="#_x0000_t202" style="position:absolute;left:0pt;margin-left:280.1pt;margin-top:14.7pt;height:31.9pt;width:80.4pt;z-index:251699200;mso-width-relative:page;mso-height-relative:page;" filled="f" stroked="f" coordsize="21600,21600" o:gfxdata="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6qqsj9cAAAAJAQAADwAAAAAAAAABACAAAAAiAAAAZHJzL2Rvd25yZXYueG1sUEsBAhQA&#10;FAAAAAgAh07iQIQBuxW6AQAAXgMAAA4AAAAAAAAAAQAgAAAAJgEAAGRycy9lMm9Eb2MueG1sUEsF&#10;BgAAAAAGAAYAWQEAAFIFAAAAAA==&#10;">
                      <v:fill on="f" focussize="0,0"/>
                      <v:stroke on="f"/>
                      <v:imagedata o:title=""/>
                      <o:lock v:ext="edit" aspectratio="f"/>
                      <v:textbox>
                        <w:txbxContent>
                          <w:p w14:paraId="7B580C1B">
                            <w:pPr>
                              <w:keepNext w:val="0"/>
                              <w:keepLines w:val="0"/>
                              <w:pageBreakBefore w:val="0"/>
                              <w:widowControl w:val="0"/>
                              <w:kinsoku/>
                              <w:wordWrap/>
                              <w:overflowPunct/>
                              <w:topLinePunct w:val="0"/>
                              <w:bidi w:val="0"/>
                              <w:adjustRightInd/>
                              <w:snapToGrid/>
                              <w:spacing w:line="220" w:lineRule="exact"/>
                              <w:textAlignment w:val="auto"/>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lang w:val="en-US" w:eastAsia="zh-CN"/>
                              </w:rPr>
                              <w:t>塑料、海绵、木屑等比重小物料</w:t>
                            </w:r>
                          </w:p>
                        </w:txbxContent>
                      </v:textbox>
                    </v:shape>
                  </w:pict>
                </mc:Fallback>
              </mc:AlternateContent>
            </w:r>
            <w:r>
              <w:rPr>
                <w:color w:val="auto"/>
                <w:sz w:val="21"/>
              </w:rPr>
              <mc:AlternateContent>
                <mc:Choice Requires="wps">
                  <w:drawing>
                    <wp:anchor distT="0" distB="0" distL="114300" distR="114300" simplePos="0" relativeHeight="251698176" behindDoc="0" locked="0" layoutInCell="1" allowOverlap="1">
                      <wp:simplePos x="0" y="0"/>
                      <wp:positionH relativeFrom="column">
                        <wp:posOffset>2440305</wp:posOffset>
                      </wp:positionH>
                      <wp:positionV relativeFrom="paragraph">
                        <wp:posOffset>59055</wp:posOffset>
                      </wp:positionV>
                      <wp:extent cx="829945" cy="635"/>
                      <wp:effectExtent l="0" t="48895" r="8255" b="64770"/>
                      <wp:wrapNone/>
                      <wp:docPr id="393" name="直接连接符 393"/>
                      <wp:cNvGraphicFramePr/>
                      <a:graphic xmlns:a="http://schemas.openxmlformats.org/drawingml/2006/main">
                        <a:graphicData uri="http://schemas.microsoft.com/office/word/2010/wordprocessingShape">
                          <wps:wsp>
                            <wps:cNvCnPr/>
                            <wps:spPr>
                              <a:xfrm flipH="1" flipV="1">
                                <a:off x="4027805" y="4220210"/>
                                <a:ext cx="829945" cy="635"/>
                              </a:xfrm>
                              <a:prstGeom prst="line">
                                <a:avLst/>
                              </a:prstGeom>
                              <a:ln w="9525" cap="flat" cmpd="sng">
                                <a:solidFill>
                                  <a:srgbClr val="000000"/>
                                </a:solidFill>
                                <a:prstDash val="solid"/>
                                <a:round/>
                                <a:headEnd type="none" w="med" len="med"/>
                                <a:tailEnd type="arrow" w="med" len="med"/>
                              </a:ln>
                            </wps:spPr>
                            <wps:bodyPr upright="1"/>
                          </wps:wsp>
                        </a:graphicData>
                      </a:graphic>
                    </wp:anchor>
                  </w:drawing>
                </mc:Choice>
                <mc:Fallback>
                  <w:pict>
                    <v:line id="_x0000_s1026" o:spid="_x0000_s1026" o:spt="20" style="position:absolute;left:0pt;flip:x y;margin-left:192.15pt;margin-top:4.65pt;height:0.05pt;width:65.35pt;z-index:251698176;mso-width-relative:page;mso-height-relative:page;" filled="f" stroked="t" coordsize="21600,21600" o:gfxdata="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GqRzPNcAAAAHAQAA&#10;DwAAAAAAAAABACAAAAAiAAAAZHJzL2Rvd25yZXYueG1sUEsBAhQAFAAAAAgAh07iQG5rGQgaAgAA&#10;FAQAAA4AAAAAAAAAAQAgAAAAJgEAAGRycy9lMm9Eb2MueG1sUEsFBgAAAAAGAAYAWQEAALIFAAAA&#10;AA==&#10;">
                      <v:fill on="f" focussize="0,0"/>
                      <v:stroke color="#000000" joinstyle="round" endarrow="open"/>
                      <v:imagedata o:title=""/>
                      <o:lock v:ext="edit" aspectratio="f"/>
                    </v:line>
                  </w:pict>
                </mc:Fallback>
              </mc:AlternateContent>
            </w:r>
            <w:r>
              <w:rPr>
                <w:color w:val="auto"/>
                <w:sz w:val="21"/>
              </w:rPr>
              <mc:AlternateContent>
                <mc:Choice Requires="wps">
                  <w:drawing>
                    <wp:anchor distT="0" distB="0" distL="114300" distR="114300" simplePos="0" relativeHeight="251711488" behindDoc="0" locked="0" layoutInCell="1" allowOverlap="1">
                      <wp:simplePos x="0" y="0"/>
                      <wp:positionH relativeFrom="column">
                        <wp:posOffset>1549400</wp:posOffset>
                      </wp:positionH>
                      <wp:positionV relativeFrom="paragraph">
                        <wp:posOffset>64770</wp:posOffset>
                      </wp:positionV>
                      <wp:extent cx="201930" cy="3175"/>
                      <wp:effectExtent l="0" t="47625" r="7620" b="63500"/>
                      <wp:wrapNone/>
                      <wp:docPr id="424" name="直接连接符 424"/>
                      <wp:cNvGraphicFramePr/>
                      <a:graphic xmlns:a="http://schemas.openxmlformats.org/drawingml/2006/main">
                        <a:graphicData uri="http://schemas.microsoft.com/office/word/2010/wordprocessingShape">
                          <wps:wsp>
                            <wps:cNvCnPr/>
                            <wps:spPr>
                              <a:xfrm flipH="1">
                                <a:off x="3136900" y="4225925"/>
                                <a:ext cx="201930" cy="3175"/>
                              </a:xfrm>
                              <a:prstGeom prst="line">
                                <a:avLst/>
                              </a:prstGeom>
                              <a:ln w="9525" cap="flat" cmpd="sng">
                                <a:solidFill>
                                  <a:srgbClr val="000000"/>
                                </a:solidFill>
                                <a:prstDash val="solid"/>
                                <a:round/>
                                <a:headEnd type="none" w="med" len="med"/>
                                <a:tailEnd type="arrow" w="med" len="med"/>
                              </a:ln>
                            </wps:spPr>
                            <wps:bodyPr upright="1"/>
                          </wps:wsp>
                        </a:graphicData>
                      </a:graphic>
                    </wp:anchor>
                  </w:drawing>
                </mc:Choice>
                <mc:Fallback>
                  <w:pict>
                    <v:line id="_x0000_s1026" o:spid="_x0000_s1026" o:spt="20" style="position:absolute;left:0pt;flip:x;margin-left:122pt;margin-top:5.1pt;height:0.25pt;width:15.9pt;z-index:251711488;mso-width-relative:page;mso-height-relative:page;" filled="f" stroked="t" coordsize="21600,21600" o:gfxdata="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Er3UZrXAAAACQEAAA8A&#10;AAAAAAAAAQAgAAAAIgAAAGRycy9kb3ducmV2LnhtbFBLAQIUABQAAAAIAIdO4kBQvH4eGAIAAAsE&#10;AAAOAAAAAAAAAAEAIAAAACYBAABkcnMvZTJvRG9jLnhtbFBLBQYAAAAABgAGAFkBAACwBQAAAAA=&#10;">
                      <v:fill on="f" focussize="0,0"/>
                      <v:stroke color="#000000" joinstyle="round" endarrow="open"/>
                      <v:imagedata o:title=""/>
                      <o:lock v:ext="edit" aspectratio="f"/>
                    </v:line>
                  </w:pict>
                </mc:Fallback>
              </mc:AlternateContent>
            </w:r>
            <w:r>
              <w:rPr>
                <w:color w:val="auto"/>
                <w:sz w:val="21"/>
              </w:rPr>
              <mc:AlternateContent>
                <mc:Choice Requires="wps">
                  <w:drawing>
                    <wp:anchor distT="0" distB="0" distL="114300" distR="114300" simplePos="0" relativeHeight="251755520" behindDoc="0" locked="0" layoutInCell="1" allowOverlap="1">
                      <wp:simplePos x="0" y="0"/>
                      <wp:positionH relativeFrom="column">
                        <wp:posOffset>3279775</wp:posOffset>
                      </wp:positionH>
                      <wp:positionV relativeFrom="paragraph">
                        <wp:posOffset>266065</wp:posOffset>
                      </wp:positionV>
                      <wp:extent cx="281940" cy="213360"/>
                      <wp:effectExtent l="0" t="0" r="0" b="0"/>
                      <wp:wrapNone/>
                      <wp:docPr id="95" name="矩形 49"/>
                      <wp:cNvGraphicFramePr/>
                      <a:graphic xmlns:a="http://schemas.openxmlformats.org/drawingml/2006/main">
                        <a:graphicData uri="http://schemas.microsoft.com/office/word/2010/wordprocessingShape">
                          <wps:wsp>
                            <wps:cNvSpPr/>
                            <wps:spPr>
                              <a:xfrm>
                                <a:off x="4867275" y="4427220"/>
                                <a:ext cx="281940" cy="213360"/>
                              </a:xfrm>
                              <a:prstGeom prst="rect">
                                <a:avLst/>
                              </a:prstGeom>
                              <a:noFill/>
                              <a:ln>
                                <a:noFill/>
                              </a:ln>
                            </wps:spPr>
                            <wps:txbx>
                              <w:txbxContent>
                                <w:p w14:paraId="1F59A955">
                                  <w:pPr>
                                    <w:spacing w:line="0" w:lineRule="atLeast"/>
                                    <w:jc w:val="center"/>
                                    <w:rPr>
                                      <w:rFonts w:hint="default" w:eastAsia="宋体"/>
                                      <w:sz w:val="15"/>
                                      <w:szCs w:val="15"/>
                                      <w:lang w:val="en-US" w:eastAsia="zh-CN"/>
                                    </w:rPr>
                                  </w:pPr>
                                  <w:r>
                                    <w:rPr>
                                      <w:rFonts w:hint="eastAsia"/>
                                      <w:sz w:val="15"/>
                                      <w:szCs w:val="15"/>
                                    </w:rPr>
                                    <w:t>N</w:t>
                                  </w:r>
                                </w:p>
                              </w:txbxContent>
                            </wps:txbx>
                            <wps:bodyPr wrap="square" upright="1">
                              <a:noAutofit/>
                            </wps:bodyPr>
                          </wps:wsp>
                        </a:graphicData>
                      </a:graphic>
                    </wp:anchor>
                  </w:drawing>
                </mc:Choice>
                <mc:Fallback>
                  <w:pict>
                    <v:rect id="矩形 49" o:spid="_x0000_s1026" o:spt="1" style="position:absolute;left:0pt;margin-left:258.25pt;margin-top:20.95pt;height:16.8pt;width:22.2pt;z-index:251755520;mso-width-relative:page;mso-height-relative:page;" filled="f" stroked="f" coordsize="21600,21600" o:gfxdata="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AAAA&#10;AGRycy9QSwECFAAUAAAACACHTuJAXck0FtoAAAAJAQAADwAAAAAAAAABACAAAAAiAAAAZHJzL2Rv&#10;d25yZXYueG1sUEsBAhQAFAAAAAgAh07iQN4xr1HGAQAAdgMAAA4AAAAAAAAAAQAgAAAAKQEAAGRy&#10;cy9lMm9Eb2MueG1sUEsFBgAAAAAGAAYAWQEAAGEFAAAAAA==&#10;">
                      <v:fill on="f" focussize="0,0"/>
                      <v:stroke on="f"/>
                      <v:imagedata o:title=""/>
                      <o:lock v:ext="edit" aspectratio="f"/>
                      <v:textbox>
                        <w:txbxContent>
                          <w:p w14:paraId="1F59A955">
                            <w:pPr>
                              <w:spacing w:line="0" w:lineRule="atLeast"/>
                              <w:jc w:val="center"/>
                              <w:rPr>
                                <w:rFonts w:hint="default" w:eastAsia="宋体"/>
                                <w:sz w:val="15"/>
                                <w:szCs w:val="15"/>
                                <w:lang w:val="en-US" w:eastAsia="zh-CN"/>
                              </w:rPr>
                            </w:pPr>
                            <w:r>
                              <w:rPr>
                                <w:rFonts w:hint="eastAsia"/>
                                <w:sz w:val="15"/>
                                <w:szCs w:val="15"/>
                              </w:rPr>
                              <w:t>N</w:t>
                            </w:r>
                          </w:p>
                        </w:txbxContent>
                      </v:textbox>
                    </v:rect>
                  </w:pict>
                </mc:Fallback>
              </mc:AlternateContent>
            </w:r>
          </w:p>
          <w:p w14:paraId="64BC2133">
            <w:pPr>
              <w:pStyle w:val="24"/>
              <w:keepNext w:val="0"/>
              <w:keepLines w:val="0"/>
              <w:pageBreakBefore w:val="0"/>
              <w:widowControl/>
              <w:kinsoku/>
              <w:wordWrap/>
              <w:overflowPunct/>
              <w:topLinePunct w:val="0"/>
              <w:autoSpaceDE/>
              <w:autoSpaceDN/>
              <w:bidi w:val="0"/>
              <w:adjustRightInd w:val="0"/>
              <w:snapToGrid w:val="0"/>
              <w:spacing w:before="0" w:beforeAutospacing="0" w:after="0" w:afterAutospacing="0" w:line="430" w:lineRule="exact"/>
              <w:ind w:firstLine="420" w:firstLineChars="200"/>
              <w:textAlignment w:val="auto"/>
              <w:rPr>
                <w:rFonts w:hint="eastAsia" w:ascii="Times New Roman" w:hAnsi="Times New Roman" w:eastAsia="宋体" w:cs="Times New Roman"/>
                <w:color w:val="auto"/>
                <w:sz w:val="21"/>
                <w:szCs w:val="21"/>
                <w:highlight w:val="none"/>
                <w:lang w:val="en-US" w:eastAsia="zh-CN"/>
              </w:rPr>
            </w:pPr>
            <w:r>
              <w:rPr>
                <w:color w:val="auto"/>
                <w:sz w:val="21"/>
              </w:rPr>
              <mc:AlternateContent>
                <mc:Choice Requires="wps">
                  <w:drawing>
                    <wp:anchor distT="0" distB="0" distL="114300" distR="114300" simplePos="0" relativeHeight="251753472" behindDoc="0" locked="0" layoutInCell="1" allowOverlap="1">
                      <wp:simplePos x="0" y="0"/>
                      <wp:positionH relativeFrom="column">
                        <wp:posOffset>3424555</wp:posOffset>
                      </wp:positionH>
                      <wp:positionV relativeFrom="paragraph">
                        <wp:posOffset>145415</wp:posOffset>
                      </wp:positionV>
                      <wp:extent cx="635" cy="144145"/>
                      <wp:effectExtent l="36195" t="0" r="39370" b="8255"/>
                      <wp:wrapNone/>
                      <wp:docPr id="93" name="直接箭头连接符 50"/>
                      <wp:cNvGraphicFramePr/>
                      <a:graphic xmlns:a="http://schemas.openxmlformats.org/drawingml/2006/main">
                        <a:graphicData uri="http://schemas.microsoft.com/office/word/2010/wordprocessingShape">
                          <wps:wsp>
                            <wps:cNvCnPr/>
                            <wps:spPr>
                              <a:xfrm flipH="1" flipV="1">
                                <a:off x="5012055" y="4579620"/>
                                <a:ext cx="635" cy="144145"/>
                              </a:xfrm>
                              <a:prstGeom prst="straightConnector1">
                                <a:avLst/>
                              </a:prstGeom>
                              <a:ln w="9525" cap="flat" cmpd="sng">
                                <a:solidFill>
                                  <a:srgbClr val="000000"/>
                                </a:solidFill>
                                <a:prstDash val="dash"/>
                                <a:headEnd type="none" w="med" len="med"/>
                                <a:tailEnd type="arrow" w="sm" len="sm"/>
                              </a:ln>
                            </wps:spPr>
                            <wps:bodyPr/>
                          </wps:wsp>
                        </a:graphicData>
                      </a:graphic>
                    </wp:anchor>
                  </w:drawing>
                </mc:Choice>
                <mc:Fallback>
                  <w:pict>
                    <v:shape id="直接箭头连接符 50" o:spid="_x0000_s1026" o:spt="32" type="#_x0000_t32" style="position:absolute;left:0pt;flip:x y;margin-left:269.65pt;margin-top:11.45pt;height:11.35pt;width:0.05pt;z-index:251753472;mso-width-relative:page;mso-height-relative:page;" filled="f" stroked="t" coordsize="21600,21600" o:gfxdata="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">
                      <v:fill on="f" focussize="0,0"/>
                      <v:stroke color="#000000" joinstyle="round" dashstyle="dash" endarrow="open" endarrowwidth="narrow" endarrowlength="short"/>
                      <v:imagedata o:title=""/>
                      <o:lock v:ext="edit" aspectratio="f"/>
                    </v:shape>
                  </w:pict>
                </mc:Fallback>
              </mc:AlternateContent>
            </w:r>
          </w:p>
          <w:p w14:paraId="277CC457">
            <w:pPr>
              <w:pStyle w:val="24"/>
              <w:keepNext w:val="0"/>
              <w:keepLines w:val="0"/>
              <w:pageBreakBefore w:val="0"/>
              <w:widowControl/>
              <w:kinsoku/>
              <w:wordWrap/>
              <w:overflowPunct/>
              <w:topLinePunct w:val="0"/>
              <w:autoSpaceDE/>
              <w:autoSpaceDN/>
              <w:bidi w:val="0"/>
              <w:adjustRightInd w:val="0"/>
              <w:snapToGrid w:val="0"/>
              <w:spacing w:before="0" w:beforeAutospacing="0" w:after="0" w:afterAutospacing="0" w:line="430" w:lineRule="exact"/>
              <w:ind w:firstLine="420" w:firstLineChars="200"/>
              <w:textAlignment w:val="auto"/>
              <w:rPr>
                <w:rFonts w:hint="eastAsia" w:ascii="Times New Roman" w:hAnsi="Times New Roman" w:eastAsia="宋体" w:cs="Times New Roman"/>
                <w:color w:val="auto"/>
                <w:sz w:val="21"/>
                <w:szCs w:val="21"/>
                <w:highlight w:val="none"/>
                <w:lang w:val="en-US" w:eastAsia="zh-CN"/>
              </w:rPr>
            </w:pPr>
            <w:r>
              <w:rPr>
                <w:color w:val="auto"/>
                <w:sz w:val="21"/>
              </w:rPr>
              <mc:AlternateContent>
                <mc:Choice Requires="wps">
                  <w:drawing>
                    <wp:anchor distT="0" distB="0" distL="114300" distR="114300" simplePos="0" relativeHeight="251696128" behindDoc="0" locked="0" layoutInCell="1" allowOverlap="1">
                      <wp:simplePos x="0" y="0"/>
                      <wp:positionH relativeFrom="column">
                        <wp:posOffset>3901440</wp:posOffset>
                      </wp:positionH>
                      <wp:positionV relativeFrom="paragraph">
                        <wp:posOffset>147320</wp:posOffset>
                      </wp:positionV>
                      <wp:extent cx="360045" cy="4445"/>
                      <wp:effectExtent l="0" t="45720" r="1905" b="64135"/>
                      <wp:wrapNone/>
                      <wp:docPr id="391" name="直接连接符 391"/>
                      <wp:cNvGraphicFramePr/>
                      <a:graphic xmlns:a="http://schemas.openxmlformats.org/drawingml/2006/main">
                        <a:graphicData uri="http://schemas.microsoft.com/office/word/2010/wordprocessingShape">
                          <wps:wsp>
                            <wps:cNvCnPr/>
                            <wps:spPr>
                              <a:xfrm flipH="1">
                                <a:off x="5488940" y="4854575"/>
                                <a:ext cx="360045" cy="4445"/>
                              </a:xfrm>
                              <a:prstGeom prst="line">
                                <a:avLst/>
                              </a:prstGeom>
                              <a:ln w="9525" cap="flat" cmpd="sng">
                                <a:solidFill>
                                  <a:srgbClr val="000000"/>
                                </a:solidFill>
                                <a:prstDash val="solid"/>
                                <a:round/>
                                <a:headEnd type="none" w="med" len="med"/>
                                <a:tailEnd type="arrow" w="med" len="med"/>
                              </a:ln>
                            </wps:spPr>
                            <wps:bodyPr upright="1"/>
                          </wps:wsp>
                        </a:graphicData>
                      </a:graphic>
                    </wp:anchor>
                  </w:drawing>
                </mc:Choice>
                <mc:Fallback>
                  <w:pict>
                    <v:line id="_x0000_s1026" o:spid="_x0000_s1026" o:spt="20" style="position:absolute;left:0pt;flip:x;margin-left:307.2pt;margin-top:11.6pt;height:0.35pt;width:28.35pt;z-index:251696128;mso-width-relative:page;mso-height-relative:page;" filled="f" stroked="t" coordsize="21600,21600" o:gfxdata="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CuneMb2AAAAAkBAAAP&#10;AAAAAAAAAAEAIAAAACIAAABkcnMvZG93bnJldi54bWxQSwECFAAUAAAACACHTuJAlaLpOxgCAAAL&#10;BAAADgAAAAAAAAABACAAAAAnAQAAZHJzL2Uyb0RvYy54bWxQSwUGAAAAAAYABgBZAQAAsQUAAAAA&#10;">
                      <v:fill on="f" focussize="0,0"/>
                      <v:stroke color="#000000" joinstyle="round" endarrow="open"/>
                      <v:imagedata o:title=""/>
                      <o:lock v:ext="edit" aspectratio="f"/>
                    </v:line>
                  </w:pict>
                </mc:Fallback>
              </mc:AlternateContent>
            </w:r>
            <w:r>
              <w:rPr>
                <w:color w:val="auto"/>
                <w:sz w:val="21"/>
              </w:rPr>
              <mc:AlternateContent>
                <mc:Choice Requires="wps">
                  <w:drawing>
                    <wp:anchor distT="0" distB="0" distL="114300" distR="114300" simplePos="0" relativeHeight="251697152" behindDoc="0" locked="0" layoutInCell="1" allowOverlap="1">
                      <wp:simplePos x="0" y="0"/>
                      <wp:positionH relativeFrom="column">
                        <wp:posOffset>4188460</wp:posOffset>
                      </wp:positionH>
                      <wp:positionV relativeFrom="paragraph">
                        <wp:posOffset>15240</wp:posOffset>
                      </wp:positionV>
                      <wp:extent cx="236220" cy="231775"/>
                      <wp:effectExtent l="0" t="0" r="0" b="0"/>
                      <wp:wrapNone/>
                      <wp:docPr id="392" name="文本框 392"/>
                      <wp:cNvGraphicFramePr/>
                      <a:graphic xmlns:a="http://schemas.openxmlformats.org/drawingml/2006/main">
                        <a:graphicData uri="http://schemas.microsoft.com/office/word/2010/wordprocessingShape">
                          <wps:wsp>
                            <wps:cNvSpPr txBox="1"/>
                            <wps:spPr>
                              <a:xfrm>
                                <a:off x="5775960" y="4722495"/>
                                <a:ext cx="236220" cy="231775"/>
                              </a:xfrm>
                              <a:prstGeom prst="rect">
                                <a:avLst/>
                              </a:prstGeom>
                              <a:noFill/>
                              <a:ln>
                                <a:noFill/>
                              </a:ln>
                            </wps:spPr>
                            <wps:txbx>
                              <w:txbxContent>
                                <w:p w14:paraId="415DDB67">
                                  <w:pPr>
                                    <w:keepNext w:val="0"/>
                                    <w:keepLines w:val="0"/>
                                    <w:pageBreakBefore w:val="0"/>
                                    <w:widowControl w:val="0"/>
                                    <w:kinsoku/>
                                    <w:wordWrap/>
                                    <w:overflowPunct/>
                                    <w:topLinePunct w:val="0"/>
                                    <w:bidi w:val="0"/>
                                    <w:adjustRightInd/>
                                    <w:snapToGrid/>
                                    <w:spacing w:line="220" w:lineRule="exact"/>
                                    <w:jc w:val="both"/>
                                    <w:textAlignment w:val="auto"/>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lang w:val="en-US" w:eastAsia="zh-CN"/>
                                    </w:rPr>
                                    <w:t>水</w:t>
                                  </w:r>
                                </w:p>
                              </w:txbxContent>
                            </wps:txbx>
                            <wps:bodyPr upright="1"/>
                          </wps:wsp>
                        </a:graphicData>
                      </a:graphic>
                    </wp:anchor>
                  </w:drawing>
                </mc:Choice>
                <mc:Fallback>
                  <w:pict>
                    <v:shape id="_x0000_s1026" o:spid="_x0000_s1026" o:spt="202" type="#_x0000_t202" style="position:absolute;left:0pt;margin-left:329.8pt;margin-top:1.2pt;height:18.25pt;width:18.6pt;z-index:251697152;mso-width-relative:page;mso-height-relative:page;" filled="f" stroked="f" coordsize="21600,21600" o:gfxdata="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AAAAAZHJzL1BLAQIUABQAAAAI&#10;AIdO4kB5D7Ie1gAAAAgBAAAPAAAAAAAAAAEAIAAAACIAAABkcnMvZG93bnJldi54bWxQSwECFAAU&#10;AAAACACHTuJAYqkyEboBAABdAwAADgAAAAAAAAABACAAAAAlAQAAZHJzL2Uyb0RvYy54bWxQSwUG&#10;AAAAAAYABgBZAQAAUQUAAAAA&#10;">
                      <v:fill on="f" focussize="0,0"/>
                      <v:stroke on="f"/>
                      <v:imagedata o:title=""/>
                      <o:lock v:ext="edit" aspectratio="f"/>
                      <v:textbox>
                        <w:txbxContent>
                          <w:p w14:paraId="415DDB67">
                            <w:pPr>
                              <w:keepNext w:val="0"/>
                              <w:keepLines w:val="0"/>
                              <w:pageBreakBefore w:val="0"/>
                              <w:widowControl w:val="0"/>
                              <w:kinsoku/>
                              <w:wordWrap/>
                              <w:overflowPunct/>
                              <w:topLinePunct w:val="0"/>
                              <w:bidi w:val="0"/>
                              <w:adjustRightInd/>
                              <w:snapToGrid/>
                              <w:spacing w:line="220" w:lineRule="exact"/>
                              <w:jc w:val="both"/>
                              <w:textAlignment w:val="auto"/>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lang w:val="en-US" w:eastAsia="zh-CN"/>
                              </w:rPr>
                              <w:t>水</w:t>
                            </w:r>
                          </w:p>
                        </w:txbxContent>
                      </v:textbox>
                    </v:shape>
                  </w:pict>
                </mc:Fallback>
              </mc:AlternateContent>
            </w:r>
            <w:r>
              <w:rPr>
                <w:color w:val="auto"/>
                <w:sz w:val="21"/>
              </w:rPr>
              <mc:AlternateContent>
                <mc:Choice Requires="wps">
                  <w:drawing>
                    <wp:anchor distT="0" distB="0" distL="114300" distR="114300" simplePos="0" relativeHeight="251743232" behindDoc="0" locked="0" layoutInCell="1" allowOverlap="1">
                      <wp:simplePos x="0" y="0"/>
                      <wp:positionH relativeFrom="column">
                        <wp:posOffset>3284855</wp:posOffset>
                      </wp:positionH>
                      <wp:positionV relativeFrom="paragraph">
                        <wp:posOffset>229235</wp:posOffset>
                      </wp:positionV>
                      <wp:extent cx="303530" cy="213360"/>
                      <wp:effectExtent l="0" t="0" r="0" b="0"/>
                      <wp:wrapNone/>
                      <wp:docPr id="79" name="矩形 49"/>
                      <wp:cNvGraphicFramePr/>
                      <a:graphic xmlns:a="http://schemas.openxmlformats.org/drawingml/2006/main">
                        <a:graphicData uri="http://schemas.microsoft.com/office/word/2010/wordprocessingShape">
                          <wps:wsp>
                            <wps:cNvSpPr/>
                            <wps:spPr>
                              <a:xfrm>
                                <a:off x="4872355" y="4936490"/>
                                <a:ext cx="303530" cy="213360"/>
                              </a:xfrm>
                              <a:prstGeom prst="rect">
                                <a:avLst/>
                              </a:prstGeom>
                              <a:noFill/>
                              <a:ln>
                                <a:noFill/>
                              </a:ln>
                            </wps:spPr>
                            <wps:txbx>
                              <w:txbxContent>
                                <w:p w14:paraId="43D28977">
                                  <w:pPr>
                                    <w:spacing w:line="0" w:lineRule="atLeast"/>
                                    <w:jc w:val="center"/>
                                    <w:rPr>
                                      <w:rFonts w:hint="default" w:eastAsia="宋体"/>
                                      <w:sz w:val="15"/>
                                      <w:szCs w:val="15"/>
                                      <w:lang w:val="en-US" w:eastAsia="zh-CN"/>
                                    </w:rPr>
                                  </w:pPr>
                                  <w:r>
                                    <w:rPr>
                                      <w:rFonts w:hint="eastAsia"/>
                                      <w:sz w:val="15"/>
                                      <w:szCs w:val="15"/>
                                      <w:lang w:val="en-US" w:eastAsia="zh-CN"/>
                                    </w:rPr>
                                    <w:t>W</w:t>
                                  </w:r>
                                </w:p>
                              </w:txbxContent>
                            </wps:txbx>
                            <wps:bodyPr wrap="square" upright="1">
                              <a:noAutofit/>
                            </wps:bodyPr>
                          </wps:wsp>
                        </a:graphicData>
                      </a:graphic>
                    </wp:anchor>
                  </w:drawing>
                </mc:Choice>
                <mc:Fallback>
                  <w:pict>
                    <v:rect id="矩形 49" o:spid="_x0000_s1026" o:spt="1" style="position:absolute;left:0pt;margin-left:258.65pt;margin-top:18.05pt;height:16.8pt;width:23.9pt;z-index:251743232;mso-width-relative:page;mso-height-relative:page;" filled="f" stroked="f" coordsize="21600,21600" o:gfxdata="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">
                      <v:fill on="f" focussize="0,0"/>
                      <v:stroke on="f"/>
                      <v:imagedata o:title=""/>
                      <o:lock v:ext="edit" aspectratio="f"/>
                      <v:textbox>
                        <w:txbxContent>
                          <w:p w14:paraId="43D28977">
                            <w:pPr>
                              <w:spacing w:line="0" w:lineRule="atLeast"/>
                              <w:jc w:val="center"/>
                              <w:rPr>
                                <w:rFonts w:hint="default" w:eastAsia="宋体"/>
                                <w:sz w:val="15"/>
                                <w:szCs w:val="15"/>
                                <w:lang w:val="en-US" w:eastAsia="zh-CN"/>
                              </w:rPr>
                            </w:pPr>
                            <w:r>
                              <w:rPr>
                                <w:rFonts w:hint="eastAsia"/>
                                <w:sz w:val="15"/>
                                <w:szCs w:val="15"/>
                                <w:lang w:val="en-US" w:eastAsia="zh-CN"/>
                              </w:rPr>
                              <w:t>W</w:t>
                            </w:r>
                          </w:p>
                        </w:txbxContent>
                      </v:textbox>
                    </v:rect>
                  </w:pict>
                </mc:Fallback>
              </mc:AlternateContent>
            </w:r>
            <w:r>
              <w:rPr>
                <w:color w:val="auto"/>
                <w:sz w:val="21"/>
              </w:rPr>
              <mc:AlternateContent>
                <mc:Choice Requires="wps">
                  <w:drawing>
                    <wp:anchor distT="0" distB="0" distL="114300" distR="114300" simplePos="0" relativeHeight="251693056" behindDoc="0" locked="0" layoutInCell="1" allowOverlap="1">
                      <wp:simplePos x="0" y="0"/>
                      <wp:positionH relativeFrom="column">
                        <wp:posOffset>3315970</wp:posOffset>
                      </wp:positionH>
                      <wp:positionV relativeFrom="paragraph">
                        <wp:posOffset>16510</wp:posOffset>
                      </wp:positionV>
                      <wp:extent cx="566420" cy="238760"/>
                      <wp:effectExtent l="5080" t="4445" r="19050" b="23495"/>
                      <wp:wrapNone/>
                      <wp:docPr id="388" name="文本框 388"/>
                      <wp:cNvGraphicFramePr/>
                      <a:graphic xmlns:a="http://schemas.openxmlformats.org/drawingml/2006/main">
                        <a:graphicData uri="http://schemas.microsoft.com/office/word/2010/wordprocessingShape">
                          <wps:wsp>
                            <wps:cNvSpPr txBox="1"/>
                            <wps:spPr>
                              <a:xfrm>
                                <a:off x="4903470" y="4723765"/>
                                <a:ext cx="566420" cy="23876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7684DF38">
                                  <w:pPr>
                                    <w:keepNext w:val="0"/>
                                    <w:keepLines w:val="0"/>
                                    <w:pageBreakBefore w:val="0"/>
                                    <w:widowControl w:val="0"/>
                                    <w:kinsoku/>
                                    <w:wordWrap/>
                                    <w:overflowPunct/>
                                    <w:topLinePunct w:val="0"/>
                                    <w:bidi w:val="0"/>
                                    <w:adjustRightInd/>
                                    <w:snapToGrid/>
                                    <w:spacing w:line="220" w:lineRule="exact"/>
                                    <w:jc w:val="center"/>
                                    <w:textAlignment w:val="auto"/>
                                    <w:rPr>
                                      <w:rFonts w:hint="default" w:ascii="Times New Roman" w:hAnsi="Times New Roman" w:eastAsia="宋体" w:cs="Times New Roman"/>
                                      <w:sz w:val="18"/>
                                      <w:szCs w:val="18"/>
                                      <w:lang w:val="en-US" w:eastAsia="zh-CN"/>
                                    </w:rPr>
                                  </w:pPr>
                                  <w:r>
                                    <w:rPr>
                                      <w:rFonts w:hint="eastAsia" w:cs="Times New Roman"/>
                                      <w:sz w:val="18"/>
                                      <w:szCs w:val="18"/>
                                      <w:lang w:val="en-US" w:eastAsia="zh-CN"/>
                                    </w:rPr>
                                    <w:t>破碎机</w:t>
                                  </w:r>
                                </w:p>
                              </w:txbxContent>
                            </wps:txbx>
                            <wps:bodyPr upright="1"/>
                          </wps:wsp>
                        </a:graphicData>
                      </a:graphic>
                    </wp:anchor>
                  </w:drawing>
                </mc:Choice>
                <mc:Fallback>
                  <w:pict>
                    <v:shape id="_x0000_s1026" o:spid="_x0000_s1026" o:spt="202" type="#_x0000_t202" style="position:absolute;left:0pt;margin-left:261.1pt;margin-top:1.3pt;height:18.8pt;width:44.6pt;z-index:251693056;mso-width-relative:page;mso-height-relative:page;" fillcolor="#FFFFFF" filled="t" stroked="t" coordsize="21600,21600" o:gfxdata="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B48X2G1wAAAAgBAAAP&#10;AAAAAAAAAAEAIAAAACIAAABkcnMvZG93bnJldi54bWxQSwECFAAUAAAACACHTuJA8vtLkhkCAABF&#10;BAAADgAAAAAAAAABACAAAAAmAQAAZHJzL2Uyb0RvYy54bWxQSwUGAAAAAAYABgBZAQAAsQUAAAAA&#10;">
                      <v:fill on="t" focussize="0,0"/>
                      <v:stroke color="#000000" joinstyle="miter"/>
                      <v:imagedata o:title=""/>
                      <o:lock v:ext="edit" aspectratio="f"/>
                      <v:textbox>
                        <w:txbxContent>
                          <w:p w14:paraId="7684DF38">
                            <w:pPr>
                              <w:keepNext w:val="0"/>
                              <w:keepLines w:val="0"/>
                              <w:pageBreakBefore w:val="0"/>
                              <w:widowControl w:val="0"/>
                              <w:kinsoku/>
                              <w:wordWrap/>
                              <w:overflowPunct/>
                              <w:topLinePunct w:val="0"/>
                              <w:bidi w:val="0"/>
                              <w:adjustRightInd/>
                              <w:snapToGrid/>
                              <w:spacing w:line="220" w:lineRule="exact"/>
                              <w:jc w:val="center"/>
                              <w:textAlignment w:val="auto"/>
                              <w:rPr>
                                <w:rFonts w:hint="default" w:ascii="Times New Roman" w:hAnsi="Times New Roman" w:eastAsia="宋体" w:cs="Times New Roman"/>
                                <w:sz w:val="18"/>
                                <w:szCs w:val="18"/>
                                <w:lang w:val="en-US" w:eastAsia="zh-CN"/>
                              </w:rPr>
                            </w:pPr>
                            <w:r>
                              <w:rPr>
                                <w:rFonts w:hint="eastAsia" w:cs="Times New Roman"/>
                                <w:sz w:val="18"/>
                                <w:szCs w:val="18"/>
                                <w:lang w:val="en-US" w:eastAsia="zh-CN"/>
                              </w:rPr>
                              <w:t>破碎机</w:t>
                            </w:r>
                          </w:p>
                        </w:txbxContent>
                      </v:textbox>
                    </v:shape>
                  </w:pict>
                </mc:Fallback>
              </mc:AlternateContent>
            </w:r>
            <w:r>
              <w:rPr>
                <w:color w:val="auto"/>
                <w:sz w:val="21"/>
              </w:rPr>
              <mc:AlternateContent>
                <mc:Choice Requires="wps">
                  <w:drawing>
                    <wp:anchor distT="0" distB="0" distL="114300" distR="114300" simplePos="0" relativeHeight="251701248" behindDoc="0" locked="0" layoutInCell="1" allowOverlap="1">
                      <wp:simplePos x="0" y="0"/>
                      <wp:positionH relativeFrom="column">
                        <wp:posOffset>3601720</wp:posOffset>
                      </wp:positionH>
                      <wp:positionV relativeFrom="paragraph">
                        <wp:posOffset>267970</wp:posOffset>
                      </wp:positionV>
                      <wp:extent cx="635" cy="251460"/>
                      <wp:effectExtent l="48895" t="0" r="64770" b="15240"/>
                      <wp:wrapNone/>
                      <wp:docPr id="396" name="直接连接符 396"/>
                      <wp:cNvGraphicFramePr/>
                      <a:graphic xmlns:a="http://schemas.openxmlformats.org/drawingml/2006/main">
                        <a:graphicData uri="http://schemas.microsoft.com/office/word/2010/wordprocessingShape">
                          <wps:wsp>
                            <wps:cNvCnPr/>
                            <wps:spPr>
                              <a:xfrm flipH="1">
                                <a:off x="5189220" y="4975225"/>
                                <a:ext cx="635" cy="251460"/>
                              </a:xfrm>
                              <a:prstGeom prst="line">
                                <a:avLst/>
                              </a:prstGeom>
                              <a:ln w="9525" cap="flat" cmpd="sng">
                                <a:solidFill>
                                  <a:srgbClr val="000000"/>
                                </a:solidFill>
                                <a:prstDash val="solid"/>
                                <a:round/>
                                <a:headEnd type="none" w="med" len="med"/>
                                <a:tailEnd type="arrow" w="med" len="med"/>
                              </a:ln>
                            </wps:spPr>
                            <wps:bodyPr upright="1"/>
                          </wps:wsp>
                        </a:graphicData>
                      </a:graphic>
                    </wp:anchor>
                  </w:drawing>
                </mc:Choice>
                <mc:Fallback>
                  <w:pict>
                    <v:line id="_x0000_s1026" o:spid="_x0000_s1026" o:spt="20" style="position:absolute;left:0pt;flip:x;margin-left:283.6pt;margin-top:21.1pt;height:19.8pt;width:0.05pt;z-index:251701248;mso-width-relative:page;mso-height-relative:page;" filled="f" stroked="t" coordsize="21600,21600" o:gfxdata="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noZm/9gAAAAJ&#10;AQAADwAAAAAAAAABACAAAAAiAAAAZHJzL2Rvd25yZXYueG1sUEsBAhQAFAAAAAgAh07iQLGBTvkc&#10;AgAACgQAAA4AAAAAAAAAAQAgAAAAJwEAAGRycy9lMm9Eb2MueG1sUEsFBgAAAAAGAAYAWQEAALUF&#10;AAAAAA==&#10;">
                      <v:fill on="f" focussize="0,0"/>
                      <v:stroke color="#000000" joinstyle="round" endarrow="open"/>
                      <v:imagedata o:title=""/>
                      <o:lock v:ext="edit" aspectratio="f"/>
                    </v:line>
                  </w:pict>
                </mc:Fallback>
              </mc:AlternateContent>
            </w:r>
          </w:p>
          <w:p w14:paraId="74785C58">
            <w:pPr>
              <w:pStyle w:val="24"/>
              <w:keepNext w:val="0"/>
              <w:keepLines w:val="0"/>
              <w:pageBreakBefore w:val="0"/>
              <w:widowControl/>
              <w:kinsoku/>
              <w:wordWrap/>
              <w:overflowPunct/>
              <w:topLinePunct w:val="0"/>
              <w:autoSpaceDE/>
              <w:autoSpaceDN/>
              <w:bidi w:val="0"/>
              <w:adjustRightInd w:val="0"/>
              <w:snapToGrid w:val="0"/>
              <w:spacing w:before="0" w:beforeAutospacing="0" w:after="0" w:afterAutospacing="0" w:line="430" w:lineRule="exact"/>
              <w:ind w:firstLine="420" w:firstLineChars="200"/>
              <w:textAlignment w:val="auto"/>
              <w:rPr>
                <w:rFonts w:hint="eastAsia" w:ascii="Times New Roman" w:hAnsi="Times New Roman" w:eastAsia="宋体" w:cs="Times New Roman"/>
                <w:color w:val="auto"/>
                <w:sz w:val="21"/>
                <w:szCs w:val="21"/>
                <w:highlight w:val="none"/>
                <w:lang w:val="en-US" w:eastAsia="zh-CN"/>
              </w:rPr>
            </w:pPr>
            <w:r>
              <w:rPr>
                <w:color w:val="auto"/>
                <w:sz w:val="21"/>
              </w:rPr>
              <mc:AlternateContent>
                <mc:Choice Requires="wps">
                  <w:drawing>
                    <wp:anchor distT="0" distB="0" distL="114300" distR="114300" simplePos="0" relativeHeight="251752448" behindDoc="0" locked="0" layoutInCell="1" allowOverlap="1">
                      <wp:simplePos x="0" y="0"/>
                      <wp:positionH relativeFrom="column">
                        <wp:posOffset>3436620</wp:posOffset>
                      </wp:positionH>
                      <wp:positionV relativeFrom="paragraph">
                        <wp:posOffset>100330</wp:posOffset>
                      </wp:positionV>
                      <wp:extent cx="635" cy="144145"/>
                      <wp:effectExtent l="36195" t="0" r="39370" b="8255"/>
                      <wp:wrapNone/>
                      <wp:docPr id="91" name="直接箭头连接符 50"/>
                      <wp:cNvGraphicFramePr/>
                      <a:graphic xmlns:a="http://schemas.openxmlformats.org/drawingml/2006/main">
                        <a:graphicData uri="http://schemas.microsoft.com/office/word/2010/wordprocessingShape">
                          <wps:wsp>
                            <wps:cNvCnPr/>
                            <wps:spPr>
                              <a:xfrm flipH="1" flipV="1">
                                <a:off x="5024120" y="5080635"/>
                                <a:ext cx="635" cy="144145"/>
                              </a:xfrm>
                              <a:prstGeom prst="straightConnector1">
                                <a:avLst/>
                              </a:prstGeom>
                              <a:ln w="9525" cap="flat" cmpd="sng">
                                <a:solidFill>
                                  <a:srgbClr val="000000"/>
                                </a:solidFill>
                                <a:prstDash val="dash"/>
                                <a:headEnd type="none" w="med" len="med"/>
                                <a:tailEnd type="arrow" w="sm" len="sm"/>
                              </a:ln>
                            </wps:spPr>
                            <wps:bodyPr/>
                          </wps:wsp>
                        </a:graphicData>
                      </a:graphic>
                    </wp:anchor>
                  </w:drawing>
                </mc:Choice>
                <mc:Fallback>
                  <w:pict>
                    <v:shape id="直接箭头连接符 50" o:spid="_x0000_s1026" o:spt="32" type="#_x0000_t32" style="position:absolute;left:0pt;flip:x y;margin-left:270.6pt;margin-top:7.9pt;height:11.35pt;width:0.05pt;z-index:251752448;mso-width-relative:page;mso-height-relative:page;" filled="f" stroked="t" coordsize="21600,21600" o:gfxdata="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SjOy8dYAAAAJ&#10;AQAADwAAAAAAAAABACAAAAAiAAAAZHJzL2Rvd25yZXYueG1sUEsBAhQAFAAAAAgAh07iQEvOq+Ie&#10;AgAADQQAAA4AAAAAAAAAAQAgAAAAJQEAAGRycy9lMm9Eb2MueG1sUEsFBgAAAAAGAAYAWQEAALUF&#10;AAAAAA==&#10;">
                      <v:fill on="f" focussize="0,0"/>
                      <v:stroke color="#000000" joinstyle="round" dashstyle="dash" endarrow="open" endarrowwidth="narrow" endarrowlength="short"/>
                      <v:imagedata o:title=""/>
                      <o:lock v:ext="edit" aspectratio="f"/>
                    </v:shape>
                  </w:pict>
                </mc:Fallback>
              </mc:AlternateContent>
            </w:r>
            <w:r>
              <w:rPr>
                <w:color w:val="auto"/>
                <w:sz w:val="21"/>
              </w:rPr>
              <mc:AlternateContent>
                <mc:Choice Requires="wps">
                  <w:drawing>
                    <wp:anchor distT="0" distB="0" distL="114300" distR="114300" simplePos="0" relativeHeight="251702272" behindDoc="0" locked="0" layoutInCell="1" allowOverlap="1">
                      <wp:simplePos x="0" y="0"/>
                      <wp:positionH relativeFrom="column">
                        <wp:posOffset>3289935</wp:posOffset>
                      </wp:positionH>
                      <wp:positionV relativeFrom="paragraph">
                        <wp:posOffset>240030</wp:posOffset>
                      </wp:positionV>
                      <wp:extent cx="639445" cy="238760"/>
                      <wp:effectExtent l="5080" t="4445" r="22225" b="23495"/>
                      <wp:wrapNone/>
                      <wp:docPr id="397" name="文本框 397"/>
                      <wp:cNvGraphicFramePr/>
                      <a:graphic xmlns:a="http://schemas.openxmlformats.org/drawingml/2006/main">
                        <a:graphicData uri="http://schemas.microsoft.com/office/word/2010/wordprocessingShape">
                          <wps:wsp>
                            <wps:cNvSpPr txBox="1"/>
                            <wps:spPr>
                              <a:xfrm>
                                <a:off x="4877435" y="5220335"/>
                                <a:ext cx="639445" cy="23876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416B355D">
                                  <w:pPr>
                                    <w:keepNext w:val="0"/>
                                    <w:keepLines w:val="0"/>
                                    <w:pageBreakBefore w:val="0"/>
                                    <w:widowControl w:val="0"/>
                                    <w:kinsoku/>
                                    <w:wordWrap/>
                                    <w:overflowPunct/>
                                    <w:topLinePunct w:val="0"/>
                                    <w:bidi w:val="0"/>
                                    <w:adjustRightInd/>
                                    <w:snapToGrid/>
                                    <w:spacing w:line="220" w:lineRule="exact"/>
                                    <w:jc w:val="center"/>
                                    <w:textAlignment w:val="auto"/>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lang w:val="en-US" w:eastAsia="zh-CN"/>
                                    </w:rPr>
                                    <w:t>暂存池</w:t>
                                  </w:r>
                                </w:p>
                              </w:txbxContent>
                            </wps:txbx>
                            <wps:bodyPr upright="1"/>
                          </wps:wsp>
                        </a:graphicData>
                      </a:graphic>
                    </wp:anchor>
                  </w:drawing>
                </mc:Choice>
                <mc:Fallback>
                  <w:pict>
                    <v:shape id="_x0000_s1026" o:spid="_x0000_s1026" o:spt="202" type="#_x0000_t202" style="position:absolute;left:0pt;margin-left:259.05pt;margin-top:18.9pt;height:18.8pt;width:50.35pt;z-index:251702272;mso-width-relative:page;mso-height-relative:page;" fillcolor="#FFFFFF" filled="t" stroked="t" coordsize="21600,21600" o:gfxdata="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DwbX89kAAAAJAQAA&#10;DwAAAAAAAAABACAAAAAiAAAAZHJzL2Rvd25yZXYueG1sUEsBAhQAFAAAAAgAh07iQOHgVuQYAgAA&#10;RQQAAA4AAAAAAAAAAQAgAAAAKAEAAGRycy9lMm9Eb2MueG1sUEsFBgAAAAAGAAYAWQEAALIFAAAA&#10;AA==&#10;">
                      <v:fill on="t" focussize="0,0"/>
                      <v:stroke color="#000000" joinstyle="miter"/>
                      <v:imagedata o:title=""/>
                      <o:lock v:ext="edit" aspectratio="f"/>
                      <v:textbox>
                        <w:txbxContent>
                          <w:p w14:paraId="416B355D">
                            <w:pPr>
                              <w:keepNext w:val="0"/>
                              <w:keepLines w:val="0"/>
                              <w:pageBreakBefore w:val="0"/>
                              <w:widowControl w:val="0"/>
                              <w:kinsoku/>
                              <w:wordWrap/>
                              <w:overflowPunct/>
                              <w:topLinePunct w:val="0"/>
                              <w:bidi w:val="0"/>
                              <w:adjustRightInd/>
                              <w:snapToGrid/>
                              <w:spacing w:line="220" w:lineRule="exact"/>
                              <w:jc w:val="center"/>
                              <w:textAlignment w:val="auto"/>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lang w:val="en-US" w:eastAsia="zh-CN"/>
                              </w:rPr>
                              <w:t>暂存池</w:t>
                            </w:r>
                          </w:p>
                        </w:txbxContent>
                      </v:textbox>
                    </v:shape>
                  </w:pict>
                </mc:Fallback>
              </mc:AlternateContent>
            </w:r>
          </w:p>
          <w:p w14:paraId="14461CF6">
            <w:pPr>
              <w:pStyle w:val="24"/>
              <w:keepNext w:val="0"/>
              <w:keepLines w:val="0"/>
              <w:pageBreakBefore w:val="0"/>
              <w:widowControl/>
              <w:kinsoku/>
              <w:wordWrap/>
              <w:overflowPunct/>
              <w:topLinePunct w:val="0"/>
              <w:autoSpaceDE/>
              <w:autoSpaceDN/>
              <w:bidi w:val="0"/>
              <w:adjustRightInd w:val="0"/>
              <w:snapToGrid w:val="0"/>
              <w:spacing w:before="0" w:beforeAutospacing="0" w:after="0" w:afterAutospacing="0" w:line="430" w:lineRule="exact"/>
              <w:ind w:firstLine="420" w:firstLineChars="200"/>
              <w:textAlignment w:val="auto"/>
              <w:rPr>
                <w:rFonts w:hint="eastAsia" w:ascii="Times New Roman" w:hAnsi="Times New Roman" w:eastAsia="宋体" w:cs="Times New Roman"/>
                <w:color w:val="auto"/>
                <w:sz w:val="21"/>
                <w:szCs w:val="21"/>
                <w:highlight w:val="none"/>
                <w:lang w:val="en-US" w:eastAsia="zh-CN"/>
              </w:rPr>
            </w:pPr>
            <w:r>
              <w:rPr>
                <w:color w:val="auto"/>
                <w:sz w:val="21"/>
              </w:rPr>
              <mc:AlternateContent>
                <mc:Choice Requires="wps">
                  <w:drawing>
                    <wp:anchor distT="0" distB="0" distL="114300" distR="114300" simplePos="0" relativeHeight="251703296" behindDoc="0" locked="0" layoutInCell="1" allowOverlap="1">
                      <wp:simplePos x="0" y="0"/>
                      <wp:positionH relativeFrom="column">
                        <wp:posOffset>3592830</wp:posOffset>
                      </wp:positionH>
                      <wp:positionV relativeFrom="paragraph">
                        <wp:posOffset>207010</wp:posOffset>
                      </wp:positionV>
                      <wp:extent cx="635" cy="251460"/>
                      <wp:effectExtent l="48895" t="0" r="64770" b="15240"/>
                      <wp:wrapNone/>
                      <wp:docPr id="401" name="直接连接符 401"/>
                      <wp:cNvGraphicFramePr/>
                      <a:graphic xmlns:a="http://schemas.openxmlformats.org/drawingml/2006/main">
                        <a:graphicData uri="http://schemas.microsoft.com/office/word/2010/wordprocessingShape">
                          <wps:wsp>
                            <wps:cNvCnPr/>
                            <wps:spPr>
                              <a:xfrm flipH="1">
                                <a:off x="5180330" y="5460365"/>
                                <a:ext cx="635" cy="251460"/>
                              </a:xfrm>
                              <a:prstGeom prst="line">
                                <a:avLst/>
                              </a:prstGeom>
                              <a:ln w="9525" cap="flat" cmpd="sng">
                                <a:solidFill>
                                  <a:srgbClr val="000000"/>
                                </a:solidFill>
                                <a:prstDash val="solid"/>
                                <a:round/>
                                <a:headEnd type="none" w="med" len="med"/>
                                <a:tailEnd type="arrow" w="med" len="med"/>
                              </a:ln>
                            </wps:spPr>
                            <wps:bodyPr upright="1"/>
                          </wps:wsp>
                        </a:graphicData>
                      </a:graphic>
                    </wp:anchor>
                  </w:drawing>
                </mc:Choice>
                <mc:Fallback>
                  <w:pict>
                    <v:line id="_x0000_s1026" o:spid="_x0000_s1026" o:spt="20" style="position:absolute;left:0pt;flip:x;margin-left:282.9pt;margin-top:16.3pt;height:19.8pt;width:0.05pt;z-index:251703296;mso-width-relative:page;mso-height-relative:page;" filled="f" stroked="t" coordsize="21600,21600" o:gfxdata="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DLAwsR2AAAAAkBAAAPAAAA&#10;AAAAAAEAIAAAACIAAABkcnMvZG93bnJldi54bWxQSwECFAAUAAAACACHTuJAOsQYghUCAAAKBAAA&#10;DgAAAAAAAAABACAAAAAnAQAAZHJzL2Uyb0RvYy54bWxQSwUGAAAAAAYABgBZAQAArgUAAAAA&#10;">
                      <v:fill on="f" focussize="0,0"/>
                      <v:stroke color="#000000" joinstyle="round" endarrow="open"/>
                      <v:imagedata o:title=""/>
                      <o:lock v:ext="edit" aspectratio="f"/>
                    </v:line>
                  </w:pict>
                </mc:Fallback>
              </mc:AlternateContent>
            </w:r>
          </w:p>
          <w:p w14:paraId="527450B2">
            <w:pPr>
              <w:pStyle w:val="24"/>
              <w:keepNext w:val="0"/>
              <w:keepLines w:val="0"/>
              <w:pageBreakBefore w:val="0"/>
              <w:widowControl/>
              <w:kinsoku/>
              <w:wordWrap/>
              <w:overflowPunct/>
              <w:topLinePunct w:val="0"/>
              <w:autoSpaceDE/>
              <w:autoSpaceDN/>
              <w:bidi w:val="0"/>
              <w:adjustRightInd w:val="0"/>
              <w:snapToGrid w:val="0"/>
              <w:spacing w:before="0" w:beforeAutospacing="0" w:after="0" w:afterAutospacing="0" w:line="430" w:lineRule="exact"/>
              <w:ind w:firstLine="420" w:firstLineChars="200"/>
              <w:textAlignment w:val="auto"/>
              <w:rPr>
                <w:rFonts w:hint="eastAsia" w:ascii="Times New Roman" w:hAnsi="Times New Roman" w:eastAsia="宋体" w:cs="Times New Roman"/>
                <w:color w:val="auto"/>
                <w:sz w:val="21"/>
                <w:szCs w:val="21"/>
                <w:highlight w:val="none"/>
                <w:lang w:val="en-US" w:eastAsia="zh-CN"/>
              </w:rPr>
            </w:pPr>
            <w:r>
              <w:rPr>
                <w:color w:val="auto"/>
                <w:sz w:val="21"/>
              </w:rPr>
              <mc:AlternateContent>
                <mc:Choice Requires="wps">
                  <w:drawing>
                    <wp:anchor distT="0" distB="0" distL="114300" distR="114300" simplePos="0" relativeHeight="251740160" behindDoc="0" locked="0" layoutInCell="1" allowOverlap="1">
                      <wp:simplePos x="0" y="0"/>
                      <wp:positionH relativeFrom="column">
                        <wp:posOffset>3252470</wp:posOffset>
                      </wp:positionH>
                      <wp:positionV relativeFrom="paragraph">
                        <wp:posOffset>180975</wp:posOffset>
                      </wp:positionV>
                      <wp:extent cx="681355" cy="240030"/>
                      <wp:effectExtent l="4445" t="4445" r="19050" b="22225"/>
                      <wp:wrapNone/>
                      <wp:docPr id="456" name="文本框 456"/>
                      <wp:cNvGraphicFramePr/>
                      <a:graphic xmlns:a="http://schemas.openxmlformats.org/drawingml/2006/main">
                        <a:graphicData uri="http://schemas.microsoft.com/office/word/2010/wordprocessingShape">
                          <wps:wsp>
                            <wps:cNvSpPr txBox="1"/>
                            <wps:spPr>
                              <a:xfrm>
                                <a:off x="4839970" y="5707380"/>
                                <a:ext cx="681355" cy="24003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55457D5E">
                                  <w:pPr>
                                    <w:keepNext w:val="0"/>
                                    <w:keepLines w:val="0"/>
                                    <w:pageBreakBefore w:val="0"/>
                                    <w:widowControl w:val="0"/>
                                    <w:kinsoku/>
                                    <w:wordWrap/>
                                    <w:overflowPunct/>
                                    <w:topLinePunct w:val="0"/>
                                    <w:bidi w:val="0"/>
                                    <w:adjustRightInd/>
                                    <w:snapToGrid/>
                                    <w:spacing w:line="220" w:lineRule="exact"/>
                                    <w:jc w:val="center"/>
                                    <w:textAlignment w:val="auto"/>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lang w:val="en-US" w:eastAsia="zh-CN"/>
                                    </w:rPr>
                                    <w:t>2</w:t>
                                  </w:r>
                                  <w:r>
                                    <w:rPr>
                                      <w:rFonts w:hint="default" w:ascii="Times New Roman" w:hAnsi="Times New Roman" w:eastAsia="宋体" w:cs="Times New Roman"/>
                                      <w:sz w:val="18"/>
                                      <w:szCs w:val="18"/>
                                      <w:vertAlign w:val="superscript"/>
                                      <w:lang w:val="en-US" w:eastAsia="zh-CN"/>
                                    </w:rPr>
                                    <w:t>#</w:t>
                                  </w:r>
                                  <w:r>
                                    <w:rPr>
                                      <w:rFonts w:hint="default" w:ascii="Times New Roman" w:hAnsi="Times New Roman" w:eastAsia="宋体" w:cs="Times New Roman"/>
                                      <w:sz w:val="18"/>
                                      <w:szCs w:val="18"/>
                                    </w:rPr>
                                    <w:t>上料</w:t>
                                  </w:r>
                                  <w:r>
                                    <w:rPr>
                                      <w:rFonts w:hint="default" w:ascii="Times New Roman" w:hAnsi="Times New Roman" w:eastAsia="宋体" w:cs="Times New Roman"/>
                                      <w:sz w:val="18"/>
                                      <w:szCs w:val="18"/>
                                      <w:lang w:val="en-US" w:eastAsia="zh-CN"/>
                                    </w:rPr>
                                    <w:t>仓</w:t>
                                  </w:r>
                                </w:p>
                              </w:txbxContent>
                            </wps:txbx>
                            <wps:bodyPr upright="1"/>
                          </wps:wsp>
                        </a:graphicData>
                      </a:graphic>
                    </wp:anchor>
                  </w:drawing>
                </mc:Choice>
                <mc:Fallback>
                  <w:pict>
                    <v:shape id="_x0000_s1026" o:spid="_x0000_s1026" o:spt="202" type="#_x0000_t202" style="position:absolute;left:0pt;margin-left:256.1pt;margin-top:14.25pt;height:18.9pt;width:53.65pt;z-index:251740160;mso-width-relative:page;mso-height-relative:page;" fillcolor="#FFFFFF" filled="t" stroked="t" coordsize="21600,21600" o:gfxdata="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A0Uz8D2AAAAAkBAAAP&#10;AAAAAAAAAAEAIAAAACIAAABkcnMvZG93bnJldi54bWxQSwECFAAUAAAACACHTuJAvQrtyBgCAABF&#10;BAAADgAAAAAAAAABACAAAAAnAQAAZHJzL2Uyb0RvYy54bWxQSwUGAAAAAAYABgBZAQAAsQUAAAAA&#10;">
                      <v:fill on="t" focussize="0,0"/>
                      <v:stroke color="#000000" joinstyle="miter"/>
                      <v:imagedata o:title=""/>
                      <o:lock v:ext="edit" aspectratio="f"/>
                      <v:textbox>
                        <w:txbxContent>
                          <w:p w14:paraId="55457D5E">
                            <w:pPr>
                              <w:keepNext w:val="0"/>
                              <w:keepLines w:val="0"/>
                              <w:pageBreakBefore w:val="0"/>
                              <w:widowControl w:val="0"/>
                              <w:kinsoku/>
                              <w:wordWrap/>
                              <w:overflowPunct/>
                              <w:topLinePunct w:val="0"/>
                              <w:bidi w:val="0"/>
                              <w:adjustRightInd/>
                              <w:snapToGrid/>
                              <w:spacing w:line="220" w:lineRule="exact"/>
                              <w:jc w:val="center"/>
                              <w:textAlignment w:val="auto"/>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lang w:val="en-US" w:eastAsia="zh-CN"/>
                              </w:rPr>
                              <w:t>2</w:t>
                            </w:r>
                            <w:r>
                              <w:rPr>
                                <w:rFonts w:hint="default" w:ascii="Times New Roman" w:hAnsi="Times New Roman" w:eastAsia="宋体" w:cs="Times New Roman"/>
                                <w:sz w:val="18"/>
                                <w:szCs w:val="18"/>
                                <w:vertAlign w:val="superscript"/>
                                <w:lang w:val="en-US" w:eastAsia="zh-CN"/>
                              </w:rPr>
                              <w:t>#</w:t>
                            </w:r>
                            <w:r>
                              <w:rPr>
                                <w:rFonts w:hint="default" w:ascii="Times New Roman" w:hAnsi="Times New Roman" w:eastAsia="宋体" w:cs="Times New Roman"/>
                                <w:sz w:val="18"/>
                                <w:szCs w:val="18"/>
                              </w:rPr>
                              <w:t>上料</w:t>
                            </w:r>
                            <w:r>
                              <w:rPr>
                                <w:rFonts w:hint="default" w:ascii="Times New Roman" w:hAnsi="Times New Roman" w:eastAsia="宋体" w:cs="Times New Roman"/>
                                <w:sz w:val="18"/>
                                <w:szCs w:val="18"/>
                                <w:lang w:val="en-US" w:eastAsia="zh-CN"/>
                              </w:rPr>
                              <w:t>仓</w:t>
                            </w:r>
                          </w:p>
                        </w:txbxContent>
                      </v:textbox>
                    </v:shape>
                  </w:pict>
                </mc:Fallback>
              </mc:AlternateContent>
            </w:r>
            <w:r>
              <w:rPr>
                <w:color w:val="auto"/>
                <w:sz w:val="21"/>
              </w:rPr>
              <mc:AlternateContent>
                <mc:Choice Requires="wps">
                  <w:drawing>
                    <wp:anchor distT="0" distB="0" distL="114300" distR="114300" simplePos="0" relativeHeight="251728896" behindDoc="0" locked="0" layoutInCell="1" allowOverlap="1">
                      <wp:simplePos x="0" y="0"/>
                      <wp:positionH relativeFrom="column">
                        <wp:posOffset>1254125</wp:posOffset>
                      </wp:positionH>
                      <wp:positionV relativeFrom="paragraph">
                        <wp:posOffset>240665</wp:posOffset>
                      </wp:positionV>
                      <wp:extent cx="823595" cy="231775"/>
                      <wp:effectExtent l="0" t="0" r="0" b="0"/>
                      <wp:wrapNone/>
                      <wp:docPr id="443" name="文本框 443"/>
                      <wp:cNvGraphicFramePr/>
                      <a:graphic xmlns:a="http://schemas.openxmlformats.org/drawingml/2006/main">
                        <a:graphicData uri="http://schemas.microsoft.com/office/word/2010/wordprocessingShape">
                          <wps:wsp>
                            <wps:cNvSpPr txBox="1"/>
                            <wps:spPr>
                              <a:xfrm>
                                <a:off x="2841625" y="5767070"/>
                                <a:ext cx="823595" cy="231775"/>
                              </a:xfrm>
                              <a:prstGeom prst="rect">
                                <a:avLst/>
                              </a:prstGeom>
                              <a:noFill/>
                              <a:ln>
                                <a:noFill/>
                              </a:ln>
                            </wps:spPr>
                            <wps:txbx>
                              <w:txbxContent>
                                <w:p w14:paraId="38F34268">
                                  <w:pPr>
                                    <w:jc w:val="both"/>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lang w:val="en-US" w:eastAsia="zh-CN"/>
                                    </w:rPr>
                                    <w:t>工业盐、水</w:t>
                                  </w:r>
                                </w:p>
                              </w:txbxContent>
                            </wps:txbx>
                            <wps:bodyPr upright="1"/>
                          </wps:wsp>
                        </a:graphicData>
                      </a:graphic>
                    </wp:anchor>
                  </w:drawing>
                </mc:Choice>
                <mc:Fallback>
                  <w:pict>
                    <v:shape id="_x0000_s1026" o:spid="_x0000_s1026" o:spt="202" type="#_x0000_t202" style="position:absolute;left:0pt;margin-left:98.75pt;margin-top:18.95pt;height:18.25pt;width:64.85pt;z-index:251728896;mso-width-relative:page;mso-height-relative:page;" filled="f" stroked="f" coordsize="21600,21600" o:gfxdata="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ee9eqdcAAAAJAQAADwAAAAAAAAABACAAAAAiAAAAZHJzL2Rvd25yZXYueG1sUEsBAhQA&#10;FAAAAAgAh07iQHG12oW6AQAAXQMAAA4AAAAAAAAAAQAgAAAAJgEAAGRycy9lMm9Eb2MueG1sUEsF&#10;BgAAAAAGAAYAWQEAAFIFAAAAAA==&#10;">
                      <v:fill on="f" focussize="0,0"/>
                      <v:stroke on="f"/>
                      <v:imagedata o:title=""/>
                      <o:lock v:ext="edit" aspectratio="f"/>
                      <v:textbox>
                        <w:txbxContent>
                          <w:p w14:paraId="38F34268">
                            <w:pPr>
                              <w:jc w:val="both"/>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lang w:val="en-US" w:eastAsia="zh-CN"/>
                              </w:rPr>
                              <w:t>工业盐、水</w:t>
                            </w:r>
                          </w:p>
                        </w:txbxContent>
                      </v:textbox>
                    </v:shape>
                  </w:pict>
                </mc:Fallback>
              </mc:AlternateContent>
            </w:r>
          </w:p>
          <w:p w14:paraId="6EA90143">
            <w:pPr>
              <w:rPr>
                <w:color w:val="auto"/>
              </w:rPr>
            </w:pPr>
            <w:r>
              <w:rPr>
                <w:color w:val="auto"/>
                <w:sz w:val="21"/>
              </w:rPr>
              <mc:AlternateContent>
                <mc:Choice Requires="wps">
                  <w:drawing>
                    <wp:anchor distT="0" distB="0" distL="114300" distR="114300" simplePos="0" relativeHeight="251751424" behindDoc="0" locked="0" layoutInCell="1" allowOverlap="1">
                      <wp:simplePos x="0" y="0"/>
                      <wp:positionH relativeFrom="column">
                        <wp:posOffset>247015</wp:posOffset>
                      </wp:positionH>
                      <wp:positionV relativeFrom="paragraph">
                        <wp:posOffset>73660</wp:posOffset>
                      </wp:positionV>
                      <wp:extent cx="476250" cy="213360"/>
                      <wp:effectExtent l="0" t="0" r="0" b="0"/>
                      <wp:wrapNone/>
                      <wp:docPr id="90" name="矩形 49"/>
                      <wp:cNvGraphicFramePr/>
                      <a:graphic xmlns:a="http://schemas.openxmlformats.org/drawingml/2006/main">
                        <a:graphicData uri="http://schemas.microsoft.com/office/word/2010/wordprocessingShape">
                          <wps:wsp>
                            <wps:cNvSpPr/>
                            <wps:spPr>
                              <a:xfrm>
                                <a:off x="1834515" y="5873115"/>
                                <a:ext cx="476250" cy="213360"/>
                              </a:xfrm>
                              <a:prstGeom prst="rect">
                                <a:avLst/>
                              </a:prstGeom>
                              <a:noFill/>
                              <a:ln>
                                <a:noFill/>
                              </a:ln>
                            </wps:spPr>
                            <wps:txbx>
                              <w:txbxContent>
                                <w:p w14:paraId="3B07F99C">
                                  <w:pPr>
                                    <w:spacing w:line="0" w:lineRule="atLeast"/>
                                    <w:jc w:val="center"/>
                                    <w:rPr>
                                      <w:rFonts w:hint="default" w:eastAsia="宋体"/>
                                      <w:sz w:val="15"/>
                                      <w:szCs w:val="15"/>
                                      <w:lang w:val="en-US" w:eastAsia="zh-CN"/>
                                    </w:rPr>
                                  </w:pPr>
                                  <w:r>
                                    <w:rPr>
                                      <w:rFonts w:hint="eastAsia"/>
                                      <w:sz w:val="15"/>
                                      <w:szCs w:val="15"/>
                                      <w:lang w:val="en-US" w:eastAsia="zh-CN"/>
                                    </w:rPr>
                                    <w:t>W、</w:t>
                                  </w:r>
                                  <w:r>
                                    <w:rPr>
                                      <w:rFonts w:hint="eastAsia"/>
                                      <w:sz w:val="15"/>
                                      <w:szCs w:val="15"/>
                                    </w:rPr>
                                    <w:t>N</w:t>
                                  </w:r>
                                </w:p>
                              </w:txbxContent>
                            </wps:txbx>
                            <wps:bodyPr wrap="square" upright="1">
                              <a:noAutofit/>
                            </wps:bodyPr>
                          </wps:wsp>
                        </a:graphicData>
                      </a:graphic>
                    </wp:anchor>
                  </w:drawing>
                </mc:Choice>
                <mc:Fallback>
                  <w:pict>
                    <v:rect id="矩形 49" o:spid="_x0000_s1026" o:spt="1" style="position:absolute;left:0pt;margin-left:19.45pt;margin-top:5.8pt;height:16.8pt;width:37.5pt;z-index:251751424;mso-width-relative:page;mso-height-relative:page;" filled="f" stroked="f" coordsize="21600,21600" o:gfxdata="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AAAA&#10;AGRycy9QSwECFAAUAAAACACHTuJAo/XbYtkAAAAIAQAADwAAAAAAAAABACAAAAAiAAAAZHJzL2Rv&#10;d25yZXYueG1sUEsBAhQAFAAAAAgAh07iQHdHjjTHAQAAdgMAAA4AAAAAAAAAAQAgAAAAKAEAAGRy&#10;cy9lMm9Eb2MueG1sUEsFBgAAAAAGAAYAWQEAAGEFAAAAAA==&#10;">
                      <v:fill on="f" focussize="0,0"/>
                      <v:stroke on="f"/>
                      <v:imagedata o:title=""/>
                      <o:lock v:ext="edit" aspectratio="f"/>
                      <v:textbox>
                        <w:txbxContent>
                          <w:p w14:paraId="3B07F99C">
                            <w:pPr>
                              <w:spacing w:line="0" w:lineRule="atLeast"/>
                              <w:jc w:val="center"/>
                              <w:rPr>
                                <w:rFonts w:hint="default" w:eastAsia="宋体"/>
                                <w:sz w:val="15"/>
                                <w:szCs w:val="15"/>
                                <w:lang w:val="en-US" w:eastAsia="zh-CN"/>
                              </w:rPr>
                            </w:pPr>
                            <w:r>
                              <w:rPr>
                                <w:rFonts w:hint="eastAsia"/>
                                <w:sz w:val="15"/>
                                <w:szCs w:val="15"/>
                                <w:lang w:val="en-US" w:eastAsia="zh-CN"/>
                              </w:rPr>
                              <w:t>W、</w:t>
                            </w:r>
                            <w:r>
                              <w:rPr>
                                <w:rFonts w:hint="eastAsia"/>
                                <w:sz w:val="15"/>
                                <w:szCs w:val="15"/>
                              </w:rPr>
                              <w:t>N</w:t>
                            </w:r>
                          </w:p>
                        </w:txbxContent>
                      </v:textbox>
                    </v:rect>
                  </w:pict>
                </mc:Fallback>
              </mc:AlternateContent>
            </w:r>
            <w:r>
              <w:rPr>
                <w:color w:val="auto"/>
                <w:sz w:val="21"/>
              </w:rPr>
              <mc:AlternateContent>
                <mc:Choice Requires="wps">
                  <w:drawing>
                    <wp:anchor distT="0" distB="0" distL="114300" distR="114300" simplePos="0" relativeHeight="251747328" behindDoc="0" locked="0" layoutInCell="1" allowOverlap="1">
                      <wp:simplePos x="0" y="0"/>
                      <wp:positionH relativeFrom="column">
                        <wp:posOffset>865505</wp:posOffset>
                      </wp:positionH>
                      <wp:positionV relativeFrom="paragraph">
                        <wp:posOffset>104775</wp:posOffset>
                      </wp:positionV>
                      <wp:extent cx="596900" cy="213360"/>
                      <wp:effectExtent l="0" t="0" r="0" b="0"/>
                      <wp:wrapNone/>
                      <wp:docPr id="86" name="矩形 49"/>
                      <wp:cNvGraphicFramePr/>
                      <a:graphic xmlns:a="http://schemas.openxmlformats.org/drawingml/2006/main">
                        <a:graphicData uri="http://schemas.microsoft.com/office/word/2010/wordprocessingShape">
                          <wps:wsp>
                            <wps:cNvSpPr/>
                            <wps:spPr>
                              <a:xfrm>
                                <a:off x="2453005" y="5904230"/>
                                <a:ext cx="596900" cy="213360"/>
                              </a:xfrm>
                              <a:prstGeom prst="rect">
                                <a:avLst/>
                              </a:prstGeom>
                              <a:noFill/>
                              <a:ln>
                                <a:noFill/>
                              </a:ln>
                            </wps:spPr>
                            <wps:txbx>
                              <w:txbxContent>
                                <w:p w14:paraId="53675D71">
                                  <w:pPr>
                                    <w:spacing w:line="0" w:lineRule="atLeast"/>
                                    <w:jc w:val="center"/>
                                    <w:rPr>
                                      <w:rFonts w:hint="default" w:eastAsia="宋体"/>
                                      <w:sz w:val="15"/>
                                      <w:szCs w:val="15"/>
                                      <w:lang w:val="en-US" w:eastAsia="zh-CN"/>
                                    </w:rPr>
                                  </w:pPr>
                                  <w:r>
                                    <w:rPr>
                                      <w:rFonts w:hint="eastAsia"/>
                                      <w:sz w:val="15"/>
                                      <w:szCs w:val="15"/>
                                      <w:lang w:val="en-US" w:eastAsia="zh-CN"/>
                                    </w:rPr>
                                    <w:t>W、</w:t>
                                  </w:r>
                                  <w:r>
                                    <w:rPr>
                                      <w:rFonts w:hint="eastAsia"/>
                                      <w:sz w:val="15"/>
                                      <w:szCs w:val="15"/>
                                    </w:rPr>
                                    <w:t>N</w:t>
                                  </w:r>
                                  <w:r>
                                    <w:rPr>
                                      <w:rFonts w:hint="eastAsia"/>
                                      <w:sz w:val="15"/>
                                      <w:szCs w:val="15"/>
                                      <w:lang w:eastAsia="zh-CN"/>
                                    </w:rPr>
                                    <w:t>、</w:t>
                                  </w:r>
                                  <w:r>
                                    <w:rPr>
                                      <w:rFonts w:hint="eastAsia"/>
                                      <w:sz w:val="15"/>
                                      <w:szCs w:val="15"/>
                                      <w:lang w:val="en-US" w:eastAsia="zh-CN"/>
                                    </w:rPr>
                                    <w:t>S</w:t>
                                  </w:r>
                                </w:p>
                              </w:txbxContent>
                            </wps:txbx>
                            <wps:bodyPr wrap="square" upright="1">
                              <a:noAutofit/>
                            </wps:bodyPr>
                          </wps:wsp>
                        </a:graphicData>
                      </a:graphic>
                    </wp:anchor>
                  </w:drawing>
                </mc:Choice>
                <mc:Fallback>
                  <w:pict>
                    <v:rect id="矩形 49" o:spid="_x0000_s1026" o:spt="1" style="position:absolute;left:0pt;margin-left:68.15pt;margin-top:8.25pt;height:16.8pt;width:47pt;z-index:251747328;mso-width-relative:page;mso-height-relative:page;" filled="f" stroked="f" coordsize="21600,21600" o:gfxdata="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AAAA&#10;AGRycy9QSwECFAAUAAAACACHTuJAaOrPedkAAAAJAQAADwAAAAAAAAABACAAAAAiAAAAZHJzL2Rv&#10;d25yZXYueG1sUEsBAhQAFAAAAAgAh07iQMhh+YXHAQAAdgMAAA4AAAAAAAAAAQAgAAAAKAEAAGRy&#10;cy9lMm9Eb2MueG1sUEsFBgAAAAAGAAYAWQEAAGEFAAAAAA==&#10;">
                      <v:fill on="f" focussize="0,0"/>
                      <v:stroke on="f"/>
                      <v:imagedata o:title=""/>
                      <o:lock v:ext="edit" aspectratio="f"/>
                      <v:textbox>
                        <w:txbxContent>
                          <w:p w14:paraId="53675D71">
                            <w:pPr>
                              <w:spacing w:line="0" w:lineRule="atLeast"/>
                              <w:jc w:val="center"/>
                              <w:rPr>
                                <w:rFonts w:hint="default" w:eastAsia="宋体"/>
                                <w:sz w:val="15"/>
                                <w:szCs w:val="15"/>
                                <w:lang w:val="en-US" w:eastAsia="zh-CN"/>
                              </w:rPr>
                            </w:pPr>
                            <w:r>
                              <w:rPr>
                                <w:rFonts w:hint="eastAsia"/>
                                <w:sz w:val="15"/>
                                <w:szCs w:val="15"/>
                                <w:lang w:val="en-US" w:eastAsia="zh-CN"/>
                              </w:rPr>
                              <w:t>W、</w:t>
                            </w:r>
                            <w:r>
                              <w:rPr>
                                <w:rFonts w:hint="eastAsia"/>
                                <w:sz w:val="15"/>
                                <w:szCs w:val="15"/>
                              </w:rPr>
                              <w:t>N</w:t>
                            </w:r>
                            <w:r>
                              <w:rPr>
                                <w:rFonts w:hint="eastAsia"/>
                                <w:sz w:val="15"/>
                                <w:szCs w:val="15"/>
                                <w:lang w:eastAsia="zh-CN"/>
                              </w:rPr>
                              <w:t>、</w:t>
                            </w:r>
                            <w:r>
                              <w:rPr>
                                <w:rFonts w:hint="eastAsia"/>
                                <w:sz w:val="15"/>
                                <w:szCs w:val="15"/>
                                <w:lang w:val="en-US" w:eastAsia="zh-CN"/>
                              </w:rPr>
                              <w:t>S</w:t>
                            </w:r>
                          </w:p>
                        </w:txbxContent>
                      </v:textbox>
                    </v:rect>
                  </w:pict>
                </mc:Fallback>
              </mc:AlternateContent>
            </w:r>
            <w:r>
              <w:rPr>
                <w:color w:val="auto"/>
                <w:sz w:val="21"/>
              </w:rPr>
              <mc:AlternateContent>
                <mc:Choice Requires="wps">
                  <w:drawing>
                    <wp:anchor distT="0" distB="0" distL="114300" distR="114300" simplePos="0" relativeHeight="251761664" behindDoc="0" locked="0" layoutInCell="1" allowOverlap="1">
                      <wp:simplePos x="0" y="0"/>
                      <wp:positionH relativeFrom="column">
                        <wp:posOffset>2075815</wp:posOffset>
                      </wp:positionH>
                      <wp:positionV relativeFrom="paragraph">
                        <wp:posOffset>97155</wp:posOffset>
                      </wp:positionV>
                      <wp:extent cx="303530" cy="213360"/>
                      <wp:effectExtent l="0" t="0" r="0" b="0"/>
                      <wp:wrapNone/>
                      <wp:docPr id="114" name="矩形 49"/>
                      <wp:cNvGraphicFramePr/>
                      <a:graphic xmlns:a="http://schemas.openxmlformats.org/drawingml/2006/main">
                        <a:graphicData uri="http://schemas.microsoft.com/office/word/2010/wordprocessingShape">
                          <wps:wsp>
                            <wps:cNvSpPr/>
                            <wps:spPr>
                              <a:xfrm>
                                <a:off x="3663315" y="5896610"/>
                                <a:ext cx="303530" cy="213360"/>
                              </a:xfrm>
                              <a:prstGeom prst="rect">
                                <a:avLst/>
                              </a:prstGeom>
                              <a:noFill/>
                              <a:ln>
                                <a:noFill/>
                              </a:ln>
                            </wps:spPr>
                            <wps:txbx>
                              <w:txbxContent>
                                <w:p w14:paraId="1A993996">
                                  <w:pPr>
                                    <w:spacing w:line="0" w:lineRule="atLeast"/>
                                    <w:jc w:val="center"/>
                                    <w:rPr>
                                      <w:rFonts w:hint="default" w:eastAsia="宋体"/>
                                      <w:sz w:val="15"/>
                                      <w:szCs w:val="15"/>
                                      <w:lang w:val="en-US" w:eastAsia="zh-CN"/>
                                    </w:rPr>
                                  </w:pPr>
                                  <w:r>
                                    <w:rPr>
                                      <w:rFonts w:hint="eastAsia"/>
                                      <w:sz w:val="15"/>
                                      <w:szCs w:val="15"/>
                                      <w:lang w:val="en-US" w:eastAsia="zh-CN"/>
                                    </w:rPr>
                                    <w:t>W</w:t>
                                  </w:r>
                                </w:p>
                              </w:txbxContent>
                            </wps:txbx>
                            <wps:bodyPr wrap="square" upright="1">
                              <a:noAutofit/>
                            </wps:bodyPr>
                          </wps:wsp>
                        </a:graphicData>
                      </a:graphic>
                    </wp:anchor>
                  </w:drawing>
                </mc:Choice>
                <mc:Fallback>
                  <w:pict>
                    <v:rect id="矩形 49" o:spid="_x0000_s1026" o:spt="1" style="position:absolute;left:0pt;margin-left:163.45pt;margin-top:7.65pt;height:16.8pt;width:23.9pt;z-index:251761664;mso-width-relative:page;mso-height-relative:page;" filled="f" stroked="f" coordsize="21600,21600" o:gfxdata="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">
                      <v:fill on="f" focussize="0,0"/>
                      <v:stroke on="f"/>
                      <v:imagedata o:title=""/>
                      <o:lock v:ext="edit" aspectratio="f"/>
                      <v:textbox>
                        <w:txbxContent>
                          <w:p w14:paraId="1A993996">
                            <w:pPr>
                              <w:spacing w:line="0" w:lineRule="atLeast"/>
                              <w:jc w:val="center"/>
                              <w:rPr>
                                <w:rFonts w:hint="default" w:eastAsia="宋体"/>
                                <w:sz w:val="15"/>
                                <w:szCs w:val="15"/>
                                <w:lang w:val="en-US" w:eastAsia="zh-CN"/>
                              </w:rPr>
                            </w:pPr>
                            <w:r>
                              <w:rPr>
                                <w:rFonts w:hint="eastAsia"/>
                                <w:sz w:val="15"/>
                                <w:szCs w:val="15"/>
                                <w:lang w:val="en-US" w:eastAsia="zh-CN"/>
                              </w:rPr>
                              <w:t>W</w:t>
                            </w:r>
                          </w:p>
                        </w:txbxContent>
                      </v:textbox>
                    </v:rect>
                  </w:pict>
                </mc:Fallback>
              </mc:AlternateContent>
            </w:r>
            <w:r>
              <w:rPr>
                <w:color w:val="auto"/>
                <w:sz w:val="21"/>
              </w:rPr>
              <mc:AlternateContent>
                <mc:Choice Requires="wps">
                  <w:drawing>
                    <wp:anchor distT="0" distB="0" distL="114300" distR="114300" simplePos="0" relativeHeight="251756544" behindDoc="0" locked="0" layoutInCell="1" allowOverlap="1">
                      <wp:simplePos x="0" y="0"/>
                      <wp:positionH relativeFrom="column">
                        <wp:posOffset>3524250</wp:posOffset>
                      </wp:positionH>
                      <wp:positionV relativeFrom="paragraph">
                        <wp:posOffset>115570</wp:posOffset>
                      </wp:positionV>
                      <wp:extent cx="596900" cy="213360"/>
                      <wp:effectExtent l="0" t="0" r="0" b="0"/>
                      <wp:wrapNone/>
                      <wp:docPr id="100" name="矩形 49"/>
                      <wp:cNvGraphicFramePr/>
                      <a:graphic xmlns:a="http://schemas.openxmlformats.org/drawingml/2006/main">
                        <a:graphicData uri="http://schemas.microsoft.com/office/word/2010/wordprocessingShape">
                          <wps:wsp>
                            <wps:cNvSpPr/>
                            <wps:spPr>
                              <a:xfrm>
                                <a:off x="5111750" y="5915025"/>
                                <a:ext cx="596900" cy="213360"/>
                              </a:xfrm>
                              <a:prstGeom prst="rect">
                                <a:avLst/>
                              </a:prstGeom>
                              <a:noFill/>
                              <a:ln>
                                <a:noFill/>
                              </a:ln>
                            </wps:spPr>
                            <wps:txbx>
                              <w:txbxContent>
                                <w:p w14:paraId="2D0F9477">
                                  <w:pPr>
                                    <w:spacing w:line="0" w:lineRule="atLeast"/>
                                    <w:jc w:val="center"/>
                                    <w:rPr>
                                      <w:rFonts w:hint="default" w:eastAsia="宋体"/>
                                      <w:sz w:val="15"/>
                                      <w:szCs w:val="15"/>
                                      <w:lang w:val="en-US" w:eastAsia="zh-CN"/>
                                    </w:rPr>
                                  </w:pPr>
                                  <w:r>
                                    <w:rPr>
                                      <w:rFonts w:hint="eastAsia"/>
                                      <w:sz w:val="15"/>
                                      <w:szCs w:val="15"/>
                                      <w:lang w:val="en-US" w:eastAsia="zh-CN"/>
                                    </w:rPr>
                                    <w:t>W、</w:t>
                                  </w:r>
                                  <w:r>
                                    <w:rPr>
                                      <w:rFonts w:hint="eastAsia"/>
                                      <w:sz w:val="15"/>
                                      <w:szCs w:val="15"/>
                                    </w:rPr>
                                    <w:t>N</w:t>
                                  </w:r>
                                </w:p>
                              </w:txbxContent>
                            </wps:txbx>
                            <wps:bodyPr wrap="square" upright="1">
                              <a:noAutofit/>
                            </wps:bodyPr>
                          </wps:wsp>
                        </a:graphicData>
                      </a:graphic>
                    </wp:anchor>
                  </w:drawing>
                </mc:Choice>
                <mc:Fallback>
                  <w:pict>
                    <v:rect id="矩形 49" o:spid="_x0000_s1026" o:spt="1" style="position:absolute;left:0pt;margin-left:277.5pt;margin-top:9.1pt;height:16.8pt;width:47pt;z-index:251756544;mso-width-relative:page;mso-height-relative:page;" filled="f" stroked="f" coordsize="21600,21600" o:gfxdata="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">
                      <v:fill on="f" focussize="0,0"/>
                      <v:stroke on="f"/>
                      <v:imagedata o:title=""/>
                      <o:lock v:ext="edit" aspectratio="f"/>
                      <v:textbox>
                        <w:txbxContent>
                          <w:p w14:paraId="2D0F9477">
                            <w:pPr>
                              <w:spacing w:line="0" w:lineRule="atLeast"/>
                              <w:jc w:val="center"/>
                              <w:rPr>
                                <w:rFonts w:hint="default" w:eastAsia="宋体"/>
                                <w:sz w:val="15"/>
                                <w:szCs w:val="15"/>
                                <w:lang w:val="en-US" w:eastAsia="zh-CN"/>
                              </w:rPr>
                            </w:pPr>
                            <w:r>
                              <w:rPr>
                                <w:rFonts w:hint="eastAsia"/>
                                <w:sz w:val="15"/>
                                <w:szCs w:val="15"/>
                                <w:lang w:val="en-US" w:eastAsia="zh-CN"/>
                              </w:rPr>
                              <w:t>W、</w:t>
                            </w:r>
                            <w:r>
                              <w:rPr>
                                <w:rFonts w:hint="eastAsia"/>
                                <w:sz w:val="15"/>
                                <w:szCs w:val="15"/>
                              </w:rPr>
                              <w:t>N</w:t>
                            </w:r>
                          </w:p>
                        </w:txbxContent>
                      </v:textbox>
                    </v:rect>
                  </w:pict>
                </mc:Fallback>
              </mc:AlternateContent>
            </w:r>
            <w:r>
              <w:rPr>
                <w:color w:val="auto"/>
                <w:sz w:val="21"/>
              </w:rPr>
              <mc:AlternateContent>
                <mc:Choice Requires="wps">
                  <w:drawing>
                    <wp:anchor distT="0" distB="0" distL="114300" distR="114300" simplePos="0" relativeHeight="251704320" behindDoc="0" locked="0" layoutInCell="1" allowOverlap="1">
                      <wp:simplePos x="0" y="0"/>
                      <wp:positionH relativeFrom="column">
                        <wp:posOffset>3591560</wp:posOffset>
                      </wp:positionH>
                      <wp:positionV relativeFrom="paragraph">
                        <wp:posOffset>152400</wp:posOffset>
                      </wp:positionV>
                      <wp:extent cx="635" cy="251460"/>
                      <wp:effectExtent l="48895" t="0" r="64770" b="15240"/>
                      <wp:wrapNone/>
                      <wp:docPr id="410" name="直接连接符 410"/>
                      <wp:cNvGraphicFramePr/>
                      <a:graphic xmlns:a="http://schemas.openxmlformats.org/drawingml/2006/main">
                        <a:graphicData uri="http://schemas.microsoft.com/office/word/2010/wordprocessingShape">
                          <wps:wsp>
                            <wps:cNvCnPr/>
                            <wps:spPr>
                              <a:xfrm flipH="1">
                                <a:off x="5179060" y="5951855"/>
                                <a:ext cx="635" cy="251460"/>
                              </a:xfrm>
                              <a:prstGeom prst="line">
                                <a:avLst/>
                              </a:prstGeom>
                              <a:ln w="9525" cap="flat" cmpd="sng">
                                <a:solidFill>
                                  <a:srgbClr val="000000"/>
                                </a:solidFill>
                                <a:prstDash val="solid"/>
                                <a:round/>
                                <a:headEnd type="none" w="med" len="med"/>
                                <a:tailEnd type="arrow" w="med" len="med"/>
                              </a:ln>
                            </wps:spPr>
                            <wps:bodyPr upright="1"/>
                          </wps:wsp>
                        </a:graphicData>
                      </a:graphic>
                    </wp:anchor>
                  </w:drawing>
                </mc:Choice>
                <mc:Fallback>
                  <w:pict>
                    <v:line id="_x0000_s1026" o:spid="_x0000_s1026" o:spt="20" style="position:absolute;left:0pt;flip:x;margin-left:282.8pt;margin-top:12pt;height:19.8pt;width:0.05pt;z-index:251704320;mso-width-relative:page;mso-height-relative:page;" filled="f" stroked="t" coordsize="21600,21600" o:gfxdata="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B/HU/61wAAAAkBAAAPAAAA&#10;AAAAAAEAIAAAACIAAABkcnMvZG93bnJldi54bWxQSwECFAAUAAAACACHTuJAJZ0oUBYCAAAKBAAA&#10;DgAAAAAAAAABACAAAAAmAQAAZHJzL2Uyb0RvYy54bWxQSwUGAAAAAAYABgBZAQAArgUAAAAA&#10;">
                      <v:fill on="f" focussize="0,0"/>
                      <v:stroke color="#000000" joinstyle="round" endarrow="open"/>
                      <v:imagedata o:title=""/>
                      <o:lock v:ext="edit" aspectratio="f"/>
                    </v:line>
                  </w:pict>
                </mc:Fallback>
              </mc:AlternateContent>
            </w:r>
          </w:p>
          <w:p w14:paraId="433B93A6">
            <w:pPr>
              <w:rPr>
                <w:color w:val="auto"/>
              </w:rPr>
            </w:pPr>
            <w:r>
              <w:rPr>
                <w:color w:val="auto"/>
                <w:sz w:val="21"/>
              </w:rPr>
              <mc:AlternateContent>
                <mc:Choice Requires="wps">
                  <w:drawing>
                    <wp:anchor distT="0" distB="0" distL="114300" distR="114300" simplePos="0" relativeHeight="251724800" behindDoc="0" locked="0" layoutInCell="1" allowOverlap="1">
                      <wp:simplePos x="0" y="0"/>
                      <wp:positionH relativeFrom="column">
                        <wp:posOffset>2486025</wp:posOffset>
                      </wp:positionH>
                      <wp:positionV relativeFrom="paragraph">
                        <wp:posOffset>19050</wp:posOffset>
                      </wp:positionV>
                      <wp:extent cx="841375" cy="382270"/>
                      <wp:effectExtent l="0" t="0" r="0" b="0"/>
                      <wp:wrapNone/>
                      <wp:docPr id="439" name="文本框 439"/>
                      <wp:cNvGraphicFramePr/>
                      <a:graphic xmlns:a="http://schemas.openxmlformats.org/drawingml/2006/main">
                        <a:graphicData uri="http://schemas.microsoft.com/office/word/2010/wordprocessingShape">
                          <wps:wsp>
                            <wps:cNvSpPr txBox="1"/>
                            <wps:spPr>
                              <a:xfrm>
                                <a:off x="4073525" y="5971540"/>
                                <a:ext cx="841375" cy="382270"/>
                              </a:xfrm>
                              <a:prstGeom prst="rect">
                                <a:avLst/>
                              </a:prstGeom>
                              <a:noFill/>
                              <a:ln>
                                <a:noFill/>
                              </a:ln>
                            </wps:spPr>
                            <wps:txbx>
                              <w:txbxContent>
                                <w:p w14:paraId="0EBEBD68">
                                  <w:pPr>
                                    <w:keepNext w:val="0"/>
                                    <w:keepLines w:val="0"/>
                                    <w:pageBreakBefore w:val="0"/>
                                    <w:widowControl w:val="0"/>
                                    <w:kinsoku/>
                                    <w:wordWrap/>
                                    <w:overflowPunct/>
                                    <w:topLinePunct w:val="0"/>
                                    <w:bidi w:val="0"/>
                                    <w:adjustRightInd/>
                                    <w:snapToGrid/>
                                    <w:spacing w:line="220" w:lineRule="exact"/>
                                    <w:jc w:val="center"/>
                                    <w:textAlignment w:val="auto"/>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lang w:val="en-US" w:eastAsia="zh-CN"/>
                                    </w:rPr>
                                    <w:t>沉水塑料、海绵、木屑等</w:t>
                                  </w:r>
                                </w:p>
                              </w:txbxContent>
                            </wps:txbx>
                            <wps:bodyPr upright="1"/>
                          </wps:wsp>
                        </a:graphicData>
                      </a:graphic>
                    </wp:anchor>
                  </w:drawing>
                </mc:Choice>
                <mc:Fallback>
                  <w:pict>
                    <v:shape id="_x0000_s1026" o:spid="_x0000_s1026" o:spt="202" type="#_x0000_t202" style="position:absolute;left:0pt;margin-left:195.75pt;margin-top:1.5pt;height:30.1pt;width:66.25pt;z-index:251724800;mso-width-relative:page;mso-height-relative:page;" filled="f" stroked="f" coordsize="21600,21600" o:gfxdata="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cLef2tYAAAAIAQAADwAAAAAAAAABACAAAAAiAAAAZHJzL2Rvd25yZXYueG1sUEsBAhQA&#10;FAAAAAgAh07iQBIyLIS7AQAAXQMAAA4AAAAAAAAAAQAgAAAAJQEAAGRycy9lMm9Eb2MueG1sUEsF&#10;BgAAAAAGAAYAWQEAAFIFAAAAAA==&#10;">
                      <v:fill on="f" focussize="0,0"/>
                      <v:stroke on="f"/>
                      <v:imagedata o:title=""/>
                      <o:lock v:ext="edit" aspectratio="f"/>
                      <v:textbox>
                        <w:txbxContent>
                          <w:p w14:paraId="0EBEBD68">
                            <w:pPr>
                              <w:keepNext w:val="0"/>
                              <w:keepLines w:val="0"/>
                              <w:pageBreakBefore w:val="0"/>
                              <w:widowControl w:val="0"/>
                              <w:kinsoku/>
                              <w:wordWrap/>
                              <w:overflowPunct/>
                              <w:topLinePunct w:val="0"/>
                              <w:bidi w:val="0"/>
                              <w:adjustRightInd/>
                              <w:snapToGrid/>
                              <w:spacing w:line="220" w:lineRule="exact"/>
                              <w:jc w:val="center"/>
                              <w:textAlignment w:val="auto"/>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lang w:val="en-US" w:eastAsia="zh-CN"/>
                              </w:rPr>
                              <w:t>沉水塑料、海绵、木屑等</w:t>
                            </w:r>
                          </w:p>
                        </w:txbxContent>
                      </v:textbox>
                    </v:shape>
                  </w:pict>
                </mc:Fallback>
              </mc:AlternateContent>
            </w:r>
            <w:r>
              <w:rPr>
                <w:color w:val="auto"/>
                <w:sz w:val="21"/>
              </w:rPr>
              <mc:AlternateContent>
                <mc:Choice Requires="wps">
                  <w:drawing>
                    <wp:anchor distT="0" distB="0" distL="114300" distR="114300" simplePos="0" relativeHeight="251746304" behindDoc="0" locked="0" layoutInCell="1" allowOverlap="1">
                      <wp:simplePos x="0" y="0"/>
                      <wp:positionH relativeFrom="column">
                        <wp:posOffset>3828415</wp:posOffset>
                      </wp:positionH>
                      <wp:positionV relativeFrom="paragraph">
                        <wp:posOffset>113665</wp:posOffset>
                      </wp:positionV>
                      <wp:extent cx="635" cy="144145"/>
                      <wp:effectExtent l="36195" t="0" r="39370" b="8255"/>
                      <wp:wrapNone/>
                      <wp:docPr id="85" name="直接箭头连接符 50"/>
                      <wp:cNvGraphicFramePr/>
                      <a:graphic xmlns:a="http://schemas.openxmlformats.org/drawingml/2006/main">
                        <a:graphicData uri="http://schemas.microsoft.com/office/word/2010/wordprocessingShape">
                          <wps:wsp>
                            <wps:cNvCnPr/>
                            <wps:spPr>
                              <a:xfrm flipH="1" flipV="1">
                                <a:off x="5415915" y="6066155"/>
                                <a:ext cx="635" cy="144145"/>
                              </a:xfrm>
                              <a:prstGeom prst="straightConnector1">
                                <a:avLst/>
                              </a:prstGeom>
                              <a:ln w="9525" cap="flat" cmpd="sng">
                                <a:solidFill>
                                  <a:srgbClr val="000000"/>
                                </a:solidFill>
                                <a:prstDash val="dash"/>
                                <a:headEnd type="none" w="med" len="med"/>
                                <a:tailEnd type="arrow" w="sm" len="sm"/>
                              </a:ln>
                            </wps:spPr>
                            <wps:bodyPr/>
                          </wps:wsp>
                        </a:graphicData>
                      </a:graphic>
                    </wp:anchor>
                  </w:drawing>
                </mc:Choice>
                <mc:Fallback>
                  <w:pict>
                    <v:shape id="直接箭头连接符 50" o:spid="_x0000_s1026" o:spt="32" type="#_x0000_t32" style="position:absolute;left:0pt;flip:x y;margin-left:301.45pt;margin-top:8.95pt;height:11.35pt;width:0.05pt;z-index:251746304;mso-width-relative:page;mso-height-relative:page;" filled="f" stroked="t" coordsize="21600,21600" o:gfxdata="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">
                      <v:fill on="f" focussize="0,0"/>
                      <v:stroke color="#000000" joinstyle="round" dashstyle="dash" endarrow="open" endarrowwidth="narrow" endarrowlength="short"/>
                      <v:imagedata o:title=""/>
                      <o:lock v:ext="edit" aspectratio="f"/>
                    </v:shape>
                  </w:pict>
                </mc:Fallback>
              </mc:AlternateContent>
            </w:r>
            <w:r>
              <w:rPr>
                <w:color w:val="auto"/>
                <w:sz w:val="21"/>
              </w:rPr>
              <mc:AlternateContent>
                <mc:Choice Requires="wps">
                  <w:drawing>
                    <wp:anchor distT="0" distB="0" distL="114300" distR="114300" simplePos="0" relativeHeight="251727872" behindDoc="0" locked="0" layoutInCell="1" allowOverlap="1">
                      <wp:simplePos x="0" y="0"/>
                      <wp:positionH relativeFrom="column">
                        <wp:posOffset>1605280</wp:posOffset>
                      </wp:positionH>
                      <wp:positionV relativeFrom="paragraph">
                        <wp:posOffset>19050</wp:posOffset>
                      </wp:positionV>
                      <wp:extent cx="635" cy="215900"/>
                      <wp:effectExtent l="48895" t="0" r="64770" b="12700"/>
                      <wp:wrapNone/>
                      <wp:docPr id="442" name="直接连接符 442"/>
                      <wp:cNvGraphicFramePr/>
                      <a:graphic xmlns:a="http://schemas.openxmlformats.org/drawingml/2006/main">
                        <a:graphicData uri="http://schemas.microsoft.com/office/word/2010/wordprocessingShape">
                          <wps:wsp>
                            <wps:cNvCnPr/>
                            <wps:spPr>
                              <a:xfrm>
                                <a:off x="3192780" y="5971540"/>
                                <a:ext cx="635" cy="215900"/>
                              </a:xfrm>
                              <a:prstGeom prst="line">
                                <a:avLst/>
                              </a:prstGeom>
                              <a:ln w="9525" cap="flat" cmpd="sng">
                                <a:solidFill>
                                  <a:srgbClr val="000000"/>
                                </a:solidFill>
                                <a:prstDash val="solid"/>
                                <a:round/>
                                <a:headEnd type="none" w="med" len="med"/>
                                <a:tailEnd type="arrow" w="med" len="med"/>
                              </a:ln>
                            </wps:spPr>
                            <wps:bodyPr upright="1"/>
                          </wps:wsp>
                        </a:graphicData>
                      </a:graphic>
                    </wp:anchor>
                  </w:drawing>
                </mc:Choice>
                <mc:Fallback>
                  <w:pict>
                    <v:line id="_x0000_s1026" o:spid="_x0000_s1026" o:spt="20" style="position:absolute;left:0pt;margin-left:126.4pt;margin-top:1.5pt;height:17pt;width:0.05pt;z-index:251727872;mso-width-relative:page;mso-height-relative:page;" filled="f" stroked="t" coordsize="21600,21600" o:gfxdata="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CDocy7XAAAACAEAAA8AAAAAAAAA&#10;AQAgAAAAIgAAAGRycy9kb3ducmV2LnhtbFBLAQIUABQAAAAIAIdO4kDdbdGtEgIAAAAEAAAOAAAA&#10;AAAAAAEAIAAAACYBAABkcnMvZTJvRG9jLnhtbFBLBQYAAAAABgAGAFkBAACqBQAAAAA=&#10;">
                      <v:fill on="f" focussize="0,0"/>
                      <v:stroke color="#000000" joinstyle="round" endarrow="open"/>
                      <v:imagedata o:title=""/>
                      <o:lock v:ext="edit" aspectratio="f"/>
                    </v:line>
                  </w:pict>
                </mc:Fallback>
              </mc:AlternateContent>
            </w:r>
            <w:r>
              <w:rPr>
                <w:color w:val="auto"/>
                <w:sz w:val="21"/>
              </w:rPr>
              <mc:AlternateContent>
                <mc:Choice Requires="wps">
                  <w:drawing>
                    <wp:anchor distT="0" distB="0" distL="114300" distR="114300" simplePos="0" relativeHeight="251745280" behindDoc="0" locked="0" layoutInCell="1" allowOverlap="1">
                      <wp:simplePos x="0" y="0"/>
                      <wp:positionH relativeFrom="column">
                        <wp:posOffset>481965</wp:posOffset>
                      </wp:positionH>
                      <wp:positionV relativeFrom="paragraph">
                        <wp:posOffset>89535</wp:posOffset>
                      </wp:positionV>
                      <wp:extent cx="635" cy="144145"/>
                      <wp:effectExtent l="36195" t="0" r="39370" b="8255"/>
                      <wp:wrapNone/>
                      <wp:docPr id="84" name="直接箭头连接符 50"/>
                      <wp:cNvGraphicFramePr/>
                      <a:graphic xmlns:a="http://schemas.openxmlformats.org/drawingml/2006/main">
                        <a:graphicData uri="http://schemas.microsoft.com/office/word/2010/wordprocessingShape">
                          <wps:wsp>
                            <wps:cNvCnPr/>
                            <wps:spPr>
                              <a:xfrm flipH="1" flipV="1">
                                <a:off x="2069465" y="6042025"/>
                                <a:ext cx="635" cy="144145"/>
                              </a:xfrm>
                              <a:prstGeom prst="straightConnector1">
                                <a:avLst/>
                              </a:prstGeom>
                              <a:ln w="9525" cap="flat" cmpd="sng">
                                <a:solidFill>
                                  <a:srgbClr val="000000"/>
                                </a:solidFill>
                                <a:prstDash val="dash"/>
                                <a:headEnd type="none" w="med" len="med"/>
                                <a:tailEnd type="arrow" w="sm" len="sm"/>
                              </a:ln>
                            </wps:spPr>
                            <wps:bodyPr/>
                          </wps:wsp>
                        </a:graphicData>
                      </a:graphic>
                    </wp:anchor>
                  </w:drawing>
                </mc:Choice>
                <mc:Fallback>
                  <w:pict>
                    <v:shape id="直接箭头连接符 50" o:spid="_x0000_s1026" o:spt="32" type="#_x0000_t32" style="position:absolute;left:0pt;flip:x y;margin-left:37.95pt;margin-top:7.05pt;height:11.35pt;width:0.05pt;z-index:251745280;mso-width-relative:page;mso-height-relative:page;" filled="f" stroked="t" coordsize="21600,21600" o:gfxdata="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">
                      <v:fill on="f" focussize="0,0"/>
                      <v:stroke color="#000000" joinstyle="round" dashstyle="dash" endarrow="open" endarrowwidth="narrow" endarrowlength="short"/>
                      <v:imagedata o:title=""/>
                      <o:lock v:ext="edit" aspectratio="f"/>
                    </v:shape>
                  </w:pict>
                </mc:Fallback>
              </mc:AlternateContent>
            </w:r>
            <w:r>
              <w:rPr>
                <w:color w:val="auto"/>
                <w:sz w:val="21"/>
              </w:rPr>
              <mc:AlternateContent>
                <mc:Choice Requires="wps">
                  <w:drawing>
                    <wp:anchor distT="0" distB="0" distL="114300" distR="114300" simplePos="0" relativeHeight="251759616" behindDoc="0" locked="0" layoutInCell="1" allowOverlap="1">
                      <wp:simplePos x="0" y="0"/>
                      <wp:positionH relativeFrom="column">
                        <wp:posOffset>2227580</wp:posOffset>
                      </wp:positionH>
                      <wp:positionV relativeFrom="paragraph">
                        <wp:posOffset>102870</wp:posOffset>
                      </wp:positionV>
                      <wp:extent cx="635" cy="144145"/>
                      <wp:effectExtent l="36195" t="0" r="39370" b="8255"/>
                      <wp:wrapNone/>
                      <wp:docPr id="107" name="直接箭头连接符 50"/>
                      <wp:cNvGraphicFramePr/>
                      <a:graphic xmlns:a="http://schemas.openxmlformats.org/drawingml/2006/main">
                        <a:graphicData uri="http://schemas.microsoft.com/office/word/2010/wordprocessingShape">
                          <wps:wsp>
                            <wps:cNvCnPr/>
                            <wps:spPr>
                              <a:xfrm flipH="1" flipV="1">
                                <a:off x="3815080" y="6055360"/>
                                <a:ext cx="635" cy="144145"/>
                              </a:xfrm>
                              <a:prstGeom prst="straightConnector1">
                                <a:avLst/>
                              </a:prstGeom>
                              <a:ln w="9525" cap="flat" cmpd="sng">
                                <a:solidFill>
                                  <a:srgbClr val="000000"/>
                                </a:solidFill>
                                <a:prstDash val="dash"/>
                                <a:headEnd type="none" w="med" len="med"/>
                                <a:tailEnd type="arrow" w="sm" len="sm"/>
                              </a:ln>
                            </wps:spPr>
                            <wps:bodyPr/>
                          </wps:wsp>
                        </a:graphicData>
                      </a:graphic>
                    </wp:anchor>
                  </w:drawing>
                </mc:Choice>
                <mc:Fallback>
                  <w:pict>
                    <v:shape id="直接箭头连接符 50" o:spid="_x0000_s1026" o:spt="32" type="#_x0000_t32" style="position:absolute;left:0pt;flip:x y;margin-left:175.4pt;margin-top:8.1pt;height:11.35pt;width:0.05pt;z-index:251759616;mso-width-relative:page;mso-height-relative:page;" filled="f" stroked="t" coordsize="21600,21600" o:gfxdata="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">
                      <v:fill on="f" focussize="0,0"/>
                      <v:stroke color="#000000" joinstyle="round" dashstyle="dash" endarrow="open" endarrowwidth="narrow" endarrowlength="short"/>
                      <v:imagedata o:title=""/>
                      <o:lock v:ext="edit" aspectratio="f"/>
                    </v:shape>
                  </w:pict>
                </mc:Fallback>
              </mc:AlternateContent>
            </w:r>
            <w:r>
              <w:rPr>
                <w:color w:val="auto"/>
                <w:sz w:val="21"/>
              </w:rPr>
              <mc:AlternateContent>
                <mc:Choice Requires="wps">
                  <w:drawing>
                    <wp:anchor distT="0" distB="0" distL="114300" distR="114300" simplePos="0" relativeHeight="251754496" behindDoc="0" locked="0" layoutInCell="1" allowOverlap="1">
                      <wp:simplePos x="0" y="0"/>
                      <wp:positionH relativeFrom="column">
                        <wp:posOffset>1184910</wp:posOffset>
                      </wp:positionH>
                      <wp:positionV relativeFrom="paragraph">
                        <wp:posOffset>105410</wp:posOffset>
                      </wp:positionV>
                      <wp:extent cx="635" cy="144145"/>
                      <wp:effectExtent l="36195" t="0" r="39370" b="8255"/>
                      <wp:wrapNone/>
                      <wp:docPr id="94" name="直接箭头连接符 50"/>
                      <wp:cNvGraphicFramePr/>
                      <a:graphic xmlns:a="http://schemas.openxmlformats.org/drawingml/2006/main">
                        <a:graphicData uri="http://schemas.microsoft.com/office/word/2010/wordprocessingShape">
                          <wps:wsp>
                            <wps:cNvCnPr/>
                            <wps:spPr>
                              <a:xfrm flipH="1" flipV="1">
                                <a:off x="2772410" y="6057900"/>
                                <a:ext cx="635" cy="144145"/>
                              </a:xfrm>
                              <a:prstGeom prst="straightConnector1">
                                <a:avLst/>
                              </a:prstGeom>
                              <a:ln w="9525" cap="flat" cmpd="sng">
                                <a:solidFill>
                                  <a:srgbClr val="000000"/>
                                </a:solidFill>
                                <a:prstDash val="dash"/>
                                <a:headEnd type="none" w="med" len="med"/>
                                <a:tailEnd type="arrow" w="sm" len="sm"/>
                              </a:ln>
                            </wps:spPr>
                            <wps:bodyPr/>
                          </wps:wsp>
                        </a:graphicData>
                      </a:graphic>
                    </wp:anchor>
                  </w:drawing>
                </mc:Choice>
                <mc:Fallback>
                  <w:pict>
                    <v:shape id="直接箭头连接符 50" o:spid="_x0000_s1026" o:spt="32" type="#_x0000_t32" style="position:absolute;left:0pt;flip:x y;margin-left:93.3pt;margin-top:8.3pt;height:11.35pt;width:0.05pt;z-index:251754496;mso-width-relative:page;mso-height-relative:page;" filled="f" stroked="t" coordsize="21600,21600" o:gfxdata="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">
                      <v:fill on="f" focussize="0,0"/>
                      <v:stroke color="#000000" joinstyle="round" dashstyle="dash" endarrow="open" endarrowwidth="narrow" endarrowlength="short"/>
                      <v:imagedata o:title=""/>
                      <o:lock v:ext="edit" aspectratio="f"/>
                    </v:shape>
                  </w:pict>
                </mc:Fallback>
              </mc:AlternateContent>
            </w:r>
          </w:p>
          <w:p w14:paraId="2BD8E4B3">
            <w:pPr>
              <w:rPr>
                <w:color w:val="auto"/>
              </w:rPr>
            </w:pPr>
            <w:r>
              <w:rPr>
                <w:color w:val="auto"/>
                <w:sz w:val="21"/>
              </w:rPr>
              <mc:AlternateContent>
                <mc:Choice Requires="wps">
                  <w:drawing>
                    <wp:anchor distT="0" distB="0" distL="114300" distR="114300" simplePos="0" relativeHeight="251726848" behindDoc="0" locked="0" layoutInCell="1" allowOverlap="1">
                      <wp:simplePos x="0" y="0"/>
                      <wp:positionH relativeFrom="column">
                        <wp:posOffset>1042035</wp:posOffset>
                      </wp:positionH>
                      <wp:positionV relativeFrom="paragraph">
                        <wp:posOffset>90170</wp:posOffset>
                      </wp:positionV>
                      <wp:extent cx="668655" cy="257175"/>
                      <wp:effectExtent l="4445" t="5080" r="12700" b="4445"/>
                      <wp:wrapNone/>
                      <wp:docPr id="441" name="文本框 441"/>
                      <wp:cNvGraphicFramePr/>
                      <a:graphic xmlns:a="http://schemas.openxmlformats.org/drawingml/2006/main">
                        <a:graphicData uri="http://schemas.microsoft.com/office/word/2010/wordprocessingShape">
                          <wps:wsp>
                            <wps:cNvSpPr txBox="1"/>
                            <wps:spPr>
                              <a:xfrm>
                                <a:off x="2629535" y="6195695"/>
                                <a:ext cx="668655" cy="257175"/>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2A9BC7CD">
                                  <w:pPr>
                                    <w:jc w:val="center"/>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lang w:val="en-US" w:eastAsia="zh-CN"/>
                                    </w:rPr>
                                    <w:t>3</w:t>
                                  </w:r>
                                  <w:r>
                                    <w:rPr>
                                      <w:rFonts w:hint="default" w:ascii="Times New Roman" w:hAnsi="Times New Roman" w:eastAsia="宋体" w:cs="Times New Roman"/>
                                      <w:sz w:val="18"/>
                                      <w:szCs w:val="18"/>
                                      <w:vertAlign w:val="superscript"/>
                                      <w:lang w:val="en-US" w:eastAsia="zh-CN"/>
                                    </w:rPr>
                                    <w:t>#</w:t>
                                  </w:r>
                                  <w:r>
                                    <w:rPr>
                                      <w:rFonts w:hint="default" w:ascii="Times New Roman" w:hAnsi="Times New Roman" w:eastAsia="宋体" w:cs="Times New Roman"/>
                                      <w:sz w:val="18"/>
                                      <w:szCs w:val="18"/>
                                      <w:lang w:val="en-US" w:eastAsia="zh-CN"/>
                                    </w:rPr>
                                    <w:t>漂洗船</w:t>
                                  </w:r>
                                </w:p>
                              </w:txbxContent>
                            </wps:txbx>
                            <wps:bodyPr upright="1"/>
                          </wps:wsp>
                        </a:graphicData>
                      </a:graphic>
                    </wp:anchor>
                  </w:drawing>
                </mc:Choice>
                <mc:Fallback>
                  <w:pict>
                    <v:shape id="_x0000_s1026" o:spid="_x0000_s1026" o:spt="202" type="#_x0000_t202" style="position:absolute;left:0pt;margin-left:82.05pt;margin-top:7.1pt;height:20.25pt;width:52.65pt;z-index:251726848;mso-width-relative:page;mso-height-relative:page;" fillcolor="#FFFFFF" filled="t" stroked="t" coordsize="21600,21600" o:gfxdata="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Eu2NU7YAAAACQEA&#10;AA8AAAAAAAAAAQAgAAAAIgAAAGRycy9kb3ducmV2LnhtbFBLAQIUABQAAAAIAIdO4kCWFIhVGgIA&#10;AEUEAAAOAAAAAAAAAAEAIAAAACcBAABkcnMvZTJvRG9jLnhtbFBLBQYAAAAABgAGAFkBAACzBQAA&#10;AAA=&#10;">
                      <v:fill on="t" focussize="0,0"/>
                      <v:stroke color="#000000" joinstyle="miter"/>
                      <v:imagedata o:title=""/>
                      <o:lock v:ext="edit" aspectratio="f"/>
                      <v:textbox>
                        <w:txbxContent>
                          <w:p w14:paraId="2A9BC7CD">
                            <w:pPr>
                              <w:jc w:val="center"/>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lang w:val="en-US" w:eastAsia="zh-CN"/>
                              </w:rPr>
                              <w:t>3</w:t>
                            </w:r>
                            <w:r>
                              <w:rPr>
                                <w:rFonts w:hint="default" w:ascii="Times New Roman" w:hAnsi="Times New Roman" w:eastAsia="宋体" w:cs="Times New Roman"/>
                                <w:sz w:val="18"/>
                                <w:szCs w:val="18"/>
                                <w:vertAlign w:val="superscript"/>
                                <w:lang w:val="en-US" w:eastAsia="zh-CN"/>
                              </w:rPr>
                              <w:t>#</w:t>
                            </w:r>
                            <w:r>
                              <w:rPr>
                                <w:rFonts w:hint="default" w:ascii="Times New Roman" w:hAnsi="Times New Roman" w:eastAsia="宋体" w:cs="Times New Roman"/>
                                <w:sz w:val="18"/>
                                <w:szCs w:val="18"/>
                                <w:lang w:val="en-US" w:eastAsia="zh-CN"/>
                              </w:rPr>
                              <w:t>漂洗船</w:t>
                            </w:r>
                          </w:p>
                        </w:txbxContent>
                      </v:textbox>
                    </v:shape>
                  </w:pict>
                </mc:Fallback>
              </mc:AlternateContent>
            </w:r>
            <w:r>
              <w:rPr>
                <w:color w:val="auto"/>
                <w:sz w:val="21"/>
              </w:rPr>
              <mc:AlternateContent>
                <mc:Choice Requires="wps">
                  <w:drawing>
                    <wp:anchor distT="0" distB="0" distL="114300" distR="114300" simplePos="0" relativeHeight="251720704" behindDoc="0" locked="0" layoutInCell="1" allowOverlap="1">
                      <wp:simplePos x="0" y="0"/>
                      <wp:positionH relativeFrom="column">
                        <wp:posOffset>1943100</wp:posOffset>
                      </wp:positionH>
                      <wp:positionV relativeFrom="paragraph">
                        <wp:posOffset>86360</wp:posOffset>
                      </wp:positionV>
                      <wp:extent cx="537845" cy="259715"/>
                      <wp:effectExtent l="5080" t="5080" r="9525" b="20955"/>
                      <wp:wrapNone/>
                      <wp:docPr id="435" name="文本框 435"/>
                      <wp:cNvGraphicFramePr/>
                      <a:graphic xmlns:a="http://schemas.openxmlformats.org/drawingml/2006/main">
                        <a:graphicData uri="http://schemas.microsoft.com/office/word/2010/wordprocessingShape">
                          <wps:wsp>
                            <wps:cNvSpPr txBox="1"/>
                            <wps:spPr>
                              <a:xfrm>
                                <a:off x="3530600" y="6191885"/>
                                <a:ext cx="537845" cy="259715"/>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28DCB22C">
                                  <w:pPr>
                                    <w:jc w:val="center"/>
                                    <w:rPr>
                                      <w:rFonts w:hint="default" w:ascii="Times New Roman" w:hAnsi="Times New Roman" w:eastAsia="宋体" w:cs="Times New Roman"/>
                                      <w:sz w:val="18"/>
                                      <w:szCs w:val="18"/>
                                      <w:lang w:val="en-US" w:eastAsia="zh-CN"/>
                                    </w:rPr>
                                  </w:pPr>
                                  <w:r>
                                    <w:rPr>
                                      <w:rFonts w:hint="eastAsia" w:cs="Times New Roman"/>
                                      <w:sz w:val="18"/>
                                      <w:szCs w:val="18"/>
                                      <w:lang w:val="en-US" w:eastAsia="zh-CN"/>
                                    </w:rPr>
                                    <w:t>2</w:t>
                                  </w:r>
                                  <w:r>
                                    <w:rPr>
                                      <w:rFonts w:hint="default" w:ascii="Times New Roman" w:hAnsi="Times New Roman" w:eastAsia="宋体" w:cs="Times New Roman"/>
                                      <w:sz w:val="18"/>
                                      <w:szCs w:val="18"/>
                                      <w:vertAlign w:val="superscript"/>
                                      <w:lang w:val="en-US" w:eastAsia="zh-CN"/>
                                    </w:rPr>
                                    <w:t>#</w:t>
                                  </w:r>
                                  <w:r>
                                    <w:rPr>
                                      <w:rFonts w:hint="default" w:ascii="Times New Roman" w:hAnsi="Times New Roman" w:eastAsia="宋体" w:cs="Times New Roman"/>
                                      <w:sz w:val="18"/>
                                      <w:szCs w:val="18"/>
                                      <w:lang w:val="en-US" w:eastAsia="zh-CN"/>
                                    </w:rPr>
                                    <w:t>料池</w:t>
                                  </w:r>
                                </w:p>
                              </w:txbxContent>
                            </wps:txbx>
                            <wps:bodyPr upright="1"/>
                          </wps:wsp>
                        </a:graphicData>
                      </a:graphic>
                    </wp:anchor>
                  </w:drawing>
                </mc:Choice>
                <mc:Fallback>
                  <w:pict>
                    <v:shape id="_x0000_s1026" o:spid="_x0000_s1026" o:spt="202" type="#_x0000_t202" style="position:absolute;left:0pt;margin-left:153pt;margin-top:6.8pt;height:20.45pt;width:42.35pt;z-index:251720704;mso-width-relative:page;mso-height-relative:page;" fillcolor="#FFFFFF" filled="t" stroked="t" coordsize="21600,21600" o:gfxdata="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ibH0VtkAAAAJ&#10;AQAADwAAAAAAAAABACAAAAAiAAAAZHJzL2Rvd25yZXYueG1sUEsBAhQAFAAAAAgAh07iQMRndkcb&#10;AgAARQQAAA4AAAAAAAAAAQAgAAAAKAEAAGRycy9lMm9Eb2MueG1sUEsFBgAAAAAGAAYAWQEAALUF&#10;AAAAAA==&#10;">
                      <v:fill on="t" focussize="0,0"/>
                      <v:stroke color="#000000" joinstyle="miter"/>
                      <v:imagedata o:title=""/>
                      <o:lock v:ext="edit" aspectratio="f"/>
                      <v:textbox>
                        <w:txbxContent>
                          <w:p w14:paraId="28DCB22C">
                            <w:pPr>
                              <w:jc w:val="center"/>
                              <w:rPr>
                                <w:rFonts w:hint="default" w:ascii="Times New Roman" w:hAnsi="Times New Roman" w:eastAsia="宋体" w:cs="Times New Roman"/>
                                <w:sz w:val="18"/>
                                <w:szCs w:val="18"/>
                                <w:lang w:val="en-US" w:eastAsia="zh-CN"/>
                              </w:rPr>
                            </w:pPr>
                            <w:r>
                              <w:rPr>
                                <w:rFonts w:hint="eastAsia" w:cs="Times New Roman"/>
                                <w:sz w:val="18"/>
                                <w:szCs w:val="18"/>
                                <w:lang w:val="en-US" w:eastAsia="zh-CN"/>
                              </w:rPr>
                              <w:t>2</w:t>
                            </w:r>
                            <w:r>
                              <w:rPr>
                                <w:rFonts w:hint="default" w:ascii="Times New Roman" w:hAnsi="Times New Roman" w:eastAsia="宋体" w:cs="Times New Roman"/>
                                <w:sz w:val="18"/>
                                <w:szCs w:val="18"/>
                                <w:vertAlign w:val="superscript"/>
                                <w:lang w:val="en-US" w:eastAsia="zh-CN"/>
                              </w:rPr>
                              <w:t>#</w:t>
                            </w:r>
                            <w:r>
                              <w:rPr>
                                <w:rFonts w:hint="default" w:ascii="Times New Roman" w:hAnsi="Times New Roman" w:eastAsia="宋体" w:cs="Times New Roman"/>
                                <w:sz w:val="18"/>
                                <w:szCs w:val="18"/>
                                <w:lang w:val="en-US" w:eastAsia="zh-CN"/>
                              </w:rPr>
                              <w:t>料池</w:t>
                            </w:r>
                          </w:p>
                        </w:txbxContent>
                      </v:textbox>
                    </v:shape>
                  </w:pict>
                </mc:Fallback>
              </mc:AlternateContent>
            </w:r>
            <w:r>
              <w:rPr>
                <w:color w:val="auto"/>
                <w:sz w:val="21"/>
              </w:rPr>
              <mc:AlternateContent>
                <mc:Choice Requires="wps">
                  <w:drawing>
                    <wp:anchor distT="0" distB="0" distL="114300" distR="114300" simplePos="0" relativeHeight="251723776" behindDoc="0" locked="0" layoutInCell="1" allowOverlap="1">
                      <wp:simplePos x="0" y="0"/>
                      <wp:positionH relativeFrom="column">
                        <wp:posOffset>3252470</wp:posOffset>
                      </wp:positionH>
                      <wp:positionV relativeFrom="paragraph">
                        <wp:posOffset>95250</wp:posOffset>
                      </wp:positionV>
                      <wp:extent cx="668655" cy="257175"/>
                      <wp:effectExtent l="4445" t="5080" r="12700" b="4445"/>
                      <wp:wrapNone/>
                      <wp:docPr id="438" name="文本框 438"/>
                      <wp:cNvGraphicFramePr/>
                      <a:graphic xmlns:a="http://schemas.openxmlformats.org/drawingml/2006/main">
                        <a:graphicData uri="http://schemas.microsoft.com/office/word/2010/wordprocessingShape">
                          <wps:wsp>
                            <wps:cNvSpPr txBox="1"/>
                            <wps:spPr>
                              <a:xfrm>
                                <a:off x="4839970" y="6200775"/>
                                <a:ext cx="668655" cy="257175"/>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77538A84">
                                  <w:pPr>
                                    <w:keepNext w:val="0"/>
                                    <w:keepLines w:val="0"/>
                                    <w:pageBreakBefore w:val="0"/>
                                    <w:widowControl w:val="0"/>
                                    <w:kinsoku/>
                                    <w:wordWrap/>
                                    <w:overflowPunct/>
                                    <w:topLinePunct w:val="0"/>
                                    <w:bidi w:val="0"/>
                                    <w:adjustRightInd/>
                                    <w:snapToGrid/>
                                    <w:spacing w:line="240" w:lineRule="exact"/>
                                    <w:jc w:val="center"/>
                                    <w:textAlignment w:val="auto"/>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lang w:val="en-US" w:eastAsia="zh-CN"/>
                                    </w:rPr>
                                    <w:t>2</w:t>
                                  </w:r>
                                  <w:r>
                                    <w:rPr>
                                      <w:rFonts w:hint="default" w:ascii="Times New Roman" w:hAnsi="Times New Roman" w:eastAsia="宋体" w:cs="Times New Roman"/>
                                      <w:sz w:val="18"/>
                                      <w:szCs w:val="18"/>
                                      <w:vertAlign w:val="superscript"/>
                                      <w:lang w:val="en-US" w:eastAsia="zh-CN"/>
                                    </w:rPr>
                                    <w:t>#</w:t>
                                  </w:r>
                                  <w:r>
                                    <w:rPr>
                                      <w:rFonts w:hint="default" w:ascii="Times New Roman" w:hAnsi="Times New Roman" w:eastAsia="宋体" w:cs="Times New Roman"/>
                                      <w:sz w:val="18"/>
                                      <w:szCs w:val="18"/>
                                      <w:lang w:val="en-US" w:eastAsia="zh-CN"/>
                                    </w:rPr>
                                    <w:t>漂洗船</w:t>
                                  </w:r>
                                </w:p>
                              </w:txbxContent>
                            </wps:txbx>
                            <wps:bodyPr upright="1"/>
                          </wps:wsp>
                        </a:graphicData>
                      </a:graphic>
                    </wp:anchor>
                  </w:drawing>
                </mc:Choice>
                <mc:Fallback>
                  <w:pict>
                    <v:shape id="_x0000_s1026" o:spid="_x0000_s1026" o:spt="202" type="#_x0000_t202" style="position:absolute;left:0pt;margin-left:256.1pt;margin-top:7.5pt;height:20.25pt;width:52.65pt;z-index:251723776;mso-width-relative:page;mso-height-relative:page;" fillcolor="#FFFFFF" filled="t" stroked="t" coordsize="21600,21600" o:gfxdata="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BMRipDXAAAACQEAAA8A&#10;AAAAAAAAAQAgAAAAIgAAAGRycy9kb3ducmV2LnhtbFBLAQIUABQAAAAIAIdO4kDZ5ZykGAIAAEUE&#10;AAAOAAAAAAAAAAEAIAAAACYBAABkcnMvZTJvRG9jLnhtbFBLBQYAAAAABgAGAFkBAACwBQAAAAA=&#10;">
                      <v:fill on="t" focussize="0,0"/>
                      <v:stroke color="#000000" joinstyle="miter"/>
                      <v:imagedata o:title=""/>
                      <o:lock v:ext="edit" aspectratio="f"/>
                      <v:textbox>
                        <w:txbxContent>
                          <w:p w14:paraId="77538A84">
                            <w:pPr>
                              <w:keepNext w:val="0"/>
                              <w:keepLines w:val="0"/>
                              <w:pageBreakBefore w:val="0"/>
                              <w:widowControl w:val="0"/>
                              <w:kinsoku/>
                              <w:wordWrap/>
                              <w:overflowPunct/>
                              <w:topLinePunct w:val="0"/>
                              <w:bidi w:val="0"/>
                              <w:adjustRightInd/>
                              <w:snapToGrid/>
                              <w:spacing w:line="240" w:lineRule="exact"/>
                              <w:jc w:val="center"/>
                              <w:textAlignment w:val="auto"/>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lang w:val="en-US" w:eastAsia="zh-CN"/>
                              </w:rPr>
                              <w:t>2</w:t>
                            </w:r>
                            <w:r>
                              <w:rPr>
                                <w:rFonts w:hint="default" w:ascii="Times New Roman" w:hAnsi="Times New Roman" w:eastAsia="宋体" w:cs="Times New Roman"/>
                                <w:sz w:val="18"/>
                                <w:szCs w:val="18"/>
                                <w:vertAlign w:val="superscript"/>
                                <w:lang w:val="en-US" w:eastAsia="zh-CN"/>
                              </w:rPr>
                              <w:t>#</w:t>
                            </w:r>
                            <w:r>
                              <w:rPr>
                                <w:rFonts w:hint="default" w:ascii="Times New Roman" w:hAnsi="Times New Roman" w:eastAsia="宋体" w:cs="Times New Roman"/>
                                <w:sz w:val="18"/>
                                <w:szCs w:val="18"/>
                                <w:lang w:val="en-US" w:eastAsia="zh-CN"/>
                              </w:rPr>
                              <w:t>漂洗船</w:t>
                            </w:r>
                          </w:p>
                        </w:txbxContent>
                      </v:textbox>
                    </v:shape>
                  </w:pict>
                </mc:Fallback>
              </mc:AlternateContent>
            </w:r>
            <w:r>
              <w:rPr>
                <w:color w:val="auto"/>
                <w:sz w:val="21"/>
              </w:rPr>
              <mc:AlternateContent>
                <mc:Choice Requires="wps">
                  <w:drawing>
                    <wp:anchor distT="0" distB="0" distL="114300" distR="114300" simplePos="0" relativeHeight="251706368" behindDoc="0" locked="0" layoutInCell="1" allowOverlap="1">
                      <wp:simplePos x="0" y="0"/>
                      <wp:positionH relativeFrom="column">
                        <wp:posOffset>4218305</wp:posOffset>
                      </wp:positionH>
                      <wp:positionV relativeFrom="paragraph">
                        <wp:posOffset>99695</wp:posOffset>
                      </wp:positionV>
                      <wp:extent cx="236220" cy="231775"/>
                      <wp:effectExtent l="0" t="0" r="0" b="0"/>
                      <wp:wrapNone/>
                      <wp:docPr id="412" name="文本框 412"/>
                      <wp:cNvGraphicFramePr/>
                      <a:graphic xmlns:a="http://schemas.openxmlformats.org/drawingml/2006/main">
                        <a:graphicData uri="http://schemas.microsoft.com/office/word/2010/wordprocessingShape">
                          <wps:wsp>
                            <wps:cNvSpPr txBox="1"/>
                            <wps:spPr>
                              <a:xfrm>
                                <a:off x="5805805" y="6205220"/>
                                <a:ext cx="236220" cy="231775"/>
                              </a:xfrm>
                              <a:prstGeom prst="rect">
                                <a:avLst/>
                              </a:prstGeom>
                              <a:noFill/>
                              <a:ln>
                                <a:noFill/>
                              </a:ln>
                            </wps:spPr>
                            <wps:txbx>
                              <w:txbxContent>
                                <w:p w14:paraId="1F3E2CD5">
                                  <w:pPr>
                                    <w:keepNext w:val="0"/>
                                    <w:keepLines w:val="0"/>
                                    <w:pageBreakBefore w:val="0"/>
                                    <w:widowControl w:val="0"/>
                                    <w:kinsoku/>
                                    <w:wordWrap/>
                                    <w:overflowPunct/>
                                    <w:topLinePunct w:val="0"/>
                                    <w:bidi w:val="0"/>
                                    <w:adjustRightInd/>
                                    <w:snapToGrid/>
                                    <w:spacing w:line="220" w:lineRule="exact"/>
                                    <w:jc w:val="both"/>
                                    <w:textAlignment w:val="auto"/>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lang w:val="en-US" w:eastAsia="zh-CN"/>
                                    </w:rPr>
                                    <w:t>水</w:t>
                                  </w:r>
                                </w:p>
                              </w:txbxContent>
                            </wps:txbx>
                            <wps:bodyPr upright="1"/>
                          </wps:wsp>
                        </a:graphicData>
                      </a:graphic>
                    </wp:anchor>
                  </w:drawing>
                </mc:Choice>
                <mc:Fallback>
                  <w:pict>
                    <v:shape id="_x0000_s1026" o:spid="_x0000_s1026" o:spt="202" type="#_x0000_t202" style="position:absolute;left:0pt;margin-left:332.15pt;margin-top:7.85pt;height:18.25pt;width:18.6pt;z-index:251706368;mso-width-relative:page;mso-height-relative:page;" filled="f" stroked="f" coordsize="21600,21600" o:gfxdata="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S1CX/dYAAAAJAQAADwAAAAAAAAABACAAAAAiAAAAZHJzL2Rvd25yZXYueG1sUEsBAhQAFAAA&#10;AAgAh07iQO2Ul+q4AQAAXQMAAA4AAAAAAAAAAQAgAAAAJQEAAGRycy9lMm9Eb2MueG1sUEsFBgAA&#10;AAAGAAYAWQEAAE8FAAAAAA==&#10;">
                      <v:fill on="f" focussize="0,0"/>
                      <v:stroke on="f"/>
                      <v:imagedata o:title=""/>
                      <o:lock v:ext="edit" aspectratio="f"/>
                      <v:textbox>
                        <w:txbxContent>
                          <w:p w14:paraId="1F3E2CD5">
                            <w:pPr>
                              <w:keepNext w:val="0"/>
                              <w:keepLines w:val="0"/>
                              <w:pageBreakBefore w:val="0"/>
                              <w:widowControl w:val="0"/>
                              <w:kinsoku/>
                              <w:wordWrap/>
                              <w:overflowPunct/>
                              <w:topLinePunct w:val="0"/>
                              <w:bidi w:val="0"/>
                              <w:adjustRightInd/>
                              <w:snapToGrid/>
                              <w:spacing w:line="220" w:lineRule="exact"/>
                              <w:jc w:val="both"/>
                              <w:textAlignment w:val="auto"/>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lang w:val="en-US" w:eastAsia="zh-CN"/>
                              </w:rPr>
                              <w:t>水</w:t>
                            </w:r>
                          </w:p>
                        </w:txbxContent>
                      </v:textbox>
                    </v:shape>
                  </w:pict>
                </mc:Fallback>
              </mc:AlternateContent>
            </w:r>
            <w:r>
              <w:rPr>
                <w:color w:val="auto"/>
                <w:sz w:val="21"/>
              </w:rPr>
              <mc:AlternateContent>
                <mc:Choice Requires="wps">
                  <w:drawing>
                    <wp:anchor distT="0" distB="0" distL="114300" distR="114300" simplePos="0" relativeHeight="251732992" behindDoc="0" locked="0" layoutInCell="1" allowOverlap="1">
                      <wp:simplePos x="0" y="0"/>
                      <wp:positionH relativeFrom="column">
                        <wp:posOffset>121285</wp:posOffset>
                      </wp:positionH>
                      <wp:positionV relativeFrom="paragraph">
                        <wp:posOffset>76835</wp:posOffset>
                      </wp:positionV>
                      <wp:extent cx="690880" cy="259715"/>
                      <wp:effectExtent l="5080" t="4445" r="8890" b="21590"/>
                      <wp:wrapNone/>
                      <wp:docPr id="449" name="文本框 449"/>
                      <wp:cNvGraphicFramePr/>
                      <a:graphic xmlns:a="http://schemas.openxmlformats.org/drawingml/2006/main">
                        <a:graphicData uri="http://schemas.microsoft.com/office/word/2010/wordprocessingShape">
                          <wps:wsp>
                            <wps:cNvSpPr txBox="1"/>
                            <wps:spPr>
                              <a:xfrm>
                                <a:off x="1708785" y="6182360"/>
                                <a:ext cx="690880" cy="259715"/>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0BE63AE1">
                                  <w:pPr>
                                    <w:jc w:val="center"/>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lang w:val="en-US" w:eastAsia="zh-CN"/>
                                    </w:rPr>
                                    <w:t>2</w:t>
                                  </w:r>
                                  <w:r>
                                    <w:rPr>
                                      <w:rFonts w:hint="default" w:ascii="Times New Roman" w:hAnsi="Times New Roman" w:eastAsia="宋体" w:cs="Times New Roman"/>
                                      <w:sz w:val="18"/>
                                      <w:szCs w:val="18"/>
                                      <w:vertAlign w:val="superscript"/>
                                      <w:lang w:val="en-US" w:eastAsia="zh-CN"/>
                                    </w:rPr>
                                    <w:t>#</w:t>
                                  </w:r>
                                  <w:r>
                                    <w:rPr>
                                      <w:rFonts w:hint="default" w:ascii="Times New Roman" w:hAnsi="Times New Roman" w:eastAsia="宋体" w:cs="Times New Roman"/>
                                      <w:sz w:val="18"/>
                                      <w:szCs w:val="18"/>
                                      <w:lang w:val="en-US" w:eastAsia="zh-CN"/>
                                    </w:rPr>
                                    <w:t>甩干机</w:t>
                                  </w:r>
                                </w:p>
                              </w:txbxContent>
                            </wps:txbx>
                            <wps:bodyPr upright="1"/>
                          </wps:wsp>
                        </a:graphicData>
                      </a:graphic>
                    </wp:anchor>
                  </w:drawing>
                </mc:Choice>
                <mc:Fallback>
                  <w:pict>
                    <v:shape id="_x0000_s1026" o:spid="_x0000_s1026" o:spt="202" type="#_x0000_t202" style="position:absolute;left:0pt;margin-left:9.55pt;margin-top:6.05pt;height:20.45pt;width:54.4pt;z-index:251732992;mso-width-relative:page;mso-height-relative:page;" fillcolor="#FFFFFF" filled="t" stroked="t" coordsize="21600,21600" o:gfxdata="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BmtYKg1gAAAAgBAAAPAAAA&#10;AAAAAAEAIAAAACIAAABkcnMvZG93bnJldi54bWxQSwECFAAUAAAACACHTuJAYxpIfBcCAABFBAAA&#10;DgAAAAAAAAABACAAAAAlAQAAZHJzL2Uyb0RvYy54bWxQSwUGAAAAAAYABgBZAQAArgUAAAAA&#10;">
                      <v:fill on="t" focussize="0,0"/>
                      <v:stroke color="#000000" joinstyle="miter"/>
                      <v:imagedata o:title=""/>
                      <o:lock v:ext="edit" aspectratio="f"/>
                      <v:textbox>
                        <w:txbxContent>
                          <w:p w14:paraId="0BE63AE1">
                            <w:pPr>
                              <w:jc w:val="center"/>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lang w:val="en-US" w:eastAsia="zh-CN"/>
                              </w:rPr>
                              <w:t>2</w:t>
                            </w:r>
                            <w:r>
                              <w:rPr>
                                <w:rFonts w:hint="default" w:ascii="Times New Roman" w:hAnsi="Times New Roman" w:eastAsia="宋体" w:cs="Times New Roman"/>
                                <w:sz w:val="18"/>
                                <w:szCs w:val="18"/>
                                <w:vertAlign w:val="superscript"/>
                                <w:lang w:val="en-US" w:eastAsia="zh-CN"/>
                              </w:rPr>
                              <w:t>#</w:t>
                            </w:r>
                            <w:r>
                              <w:rPr>
                                <w:rFonts w:hint="default" w:ascii="Times New Roman" w:hAnsi="Times New Roman" w:eastAsia="宋体" w:cs="Times New Roman"/>
                                <w:sz w:val="18"/>
                                <w:szCs w:val="18"/>
                                <w:lang w:val="en-US" w:eastAsia="zh-CN"/>
                              </w:rPr>
                              <w:t>甩干机</w:t>
                            </w:r>
                          </w:p>
                        </w:txbxContent>
                      </v:textbox>
                    </v:shape>
                  </w:pict>
                </mc:Fallback>
              </mc:AlternateContent>
            </w:r>
          </w:p>
          <w:p w14:paraId="6E95C060">
            <w:pPr>
              <w:rPr>
                <w:color w:val="auto"/>
              </w:rPr>
            </w:pPr>
            <w:r>
              <w:rPr>
                <w:color w:val="auto"/>
                <w:sz w:val="21"/>
              </w:rPr>
              <mc:AlternateContent>
                <mc:Choice Requires="wps">
                  <w:drawing>
                    <wp:anchor distT="0" distB="0" distL="114300" distR="114300" simplePos="0" relativeHeight="251705344" behindDoc="0" locked="0" layoutInCell="1" allowOverlap="1">
                      <wp:simplePos x="0" y="0"/>
                      <wp:positionH relativeFrom="column">
                        <wp:posOffset>3922395</wp:posOffset>
                      </wp:positionH>
                      <wp:positionV relativeFrom="paragraph">
                        <wp:posOffset>76200</wp:posOffset>
                      </wp:positionV>
                      <wp:extent cx="360045" cy="4445"/>
                      <wp:effectExtent l="0" t="45720" r="1905" b="64135"/>
                      <wp:wrapNone/>
                      <wp:docPr id="411" name="直接连接符 411"/>
                      <wp:cNvGraphicFramePr/>
                      <a:graphic xmlns:a="http://schemas.openxmlformats.org/drawingml/2006/main">
                        <a:graphicData uri="http://schemas.microsoft.com/office/word/2010/wordprocessingShape">
                          <wps:wsp>
                            <wps:cNvCnPr/>
                            <wps:spPr>
                              <a:xfrm flipH="1">
                                <a:off x="5509895" y="6335395"/>
                                <a:ext cx="360045" cy="4445"/>
                              </a:xfrm>
                              <a:prstGeom prst="line">
                                <a:avLst/>
                              </a:prstGeom>
                              <a:ln w="9525" cap="flat" cmpd="sng">
                                <a:solidFill>
                                  <a:srgbClr val="000000"/>
                                </a:solidFill>
                                <a:prstDash val="solid"/>
                                <a:round/>
                                <a:headEnd type="none" w="med" len="med"/>
                                <a:tailEnd type="arrow" w="med" len="med"/>
                              </a:ln>
                            </wps:spPr>
                            <wps:bodyPr upright="1"/>
                          </wps:wsp>
                        </a:graphicData>
                      </a:graphic>
                    </wp:anchor>
                  </w:drawing>
                </mc:Choice>
                <mc:Fallback>
                  <w:pict>
                    <v:line id="_x0000_s1026" o:spid="_x0000_s1026" o:spt="20" style="position:absolute;left:0pt;flip:x;margin-left:308.85pt;margin-top:6pt;height:0.35pt;width:28.35pt;z-index:251705344;mso-width-relative:page;mso-height-relative:page;" filled="f" stroked="t" coordsize="21600,21600" o:gfxdata="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NDFc+TXAAAACQEAAA8AAAAA&#10;AAAAAQAgAAAAIgAAAGRycy9kb3ducmV2LnhtbFBLAQIUABQAAAAIAIdO4kAFBAy9FQIAAAsEAAAO&#10;AAAAAAAAAAEAIAAAACYBAABkcnMvZTJvRG9jLnhtbFBLBQYAAAAABgAGAFkBAACtBQAAAAA=&#10;">
                      <v:fill on="f" focussize="0,0"/>
                      <v:stroke color="#000000" joinstyle="round" endarrow="open"/>
                      <v:imagedata o:title=""/>
                      <o:lock v:ext="edit" aspectratio="f"/>
                    </v:line>
                  </w:pict>
                </mc:Fallback>
              </mc:AlternateContent>
            </w:r>
            <w:r>
              <w:rPr>
                <w:color w:val="auto"/>
                <w:sz w:val="21"/>
              </w:rPr>
              <mc:AlternateContent>
                <mc:Choice Requires="wps">
                  <w:drawing>
                    <wp:anchor distT="0" distB="0" distL="114300" distR="114300" simplePos="0" relativeHeight="251725824" behindDoc="0" locked="0" layoutInCell="1" allowOverlap="1">
                      <wp:simplePos x="0" y="0"/>
                      <wp:positionH relativeFrom="column">
                        <wp:posOffset>1715770</wp:posOffset>
                      </wp:positionH>
                      <wp:positionV relativeFrom="paragraph">
                        <wp:posOffset>58420</wp:posOffset>
                      </wp:positionV>
                      <wp:extent cx="215900" cy="635"/>
                      <wp:effectExtent l="0" t="48895" r="12700" b="64770"/>
                      <wp:wrapNone/>
                      <wp:docPr id="440" name="直接连接符 440"/>
                      <wp:cNvGraphicFramePr/>
                      <a:graphic xmlns:a="http://schemas.openxmlformats.org/drawingml/2006/main">
                        <a:graphicData uri="http://schemas.microsoft.com/office/word/2010/wordprocessingShape">
                          <wps:wsp>
                            <wps:cNvCnPr/>
                            <wps:spPr>
                              <a:xfrm flipH="1">
                                <a:off x="3303270" y="6317615"/>
                                <a:ext cx="215900" cy="635"/>
                              </a:xfrm>
                              <a:prstGeom prst="line">
                                <a:avLst/>
                              </a:prstGeom>
                              <a:ln w="9525" cap="flat" cmpd="sng">
                                <a:solidFill>
                                  <a:srgbClr val="000000"/>
                                </a:solidFill>
                                <a:prstDash val="solid"/>
                                <a:round/>
                                <a:headEnd type="none" w="med" len="med"/>
                                <a:tailEnd type="arrow" w="med" len="med"/>
                              </a:ln>
                            </wps:spPr>
                            <wps:bodyPr upright="1"/>
                          </wps:wsp>
                        </a:graphicData>
                      </a:graphic>
                    </wp:anchor>
                  </w:drawing>
                </mc:Choice>
                <mc:Fallback>
                  <w:pict>
                    <v:line id="_x0000_s1026" o:spid="_x0000_s1026" o:spt="20" style="position:absolute;left:0pt;flip:x;margin-left:135.1pt;margin-top:4.6pt;height:0.05pt;width:17pt;z-index:251725824;mso-width-relative:page;mso-height-relative:page;" filled="f" stroked="t" coordsize="21600,21600" o:gfxdata="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Dv+4xo1QAAAAcBAAAPAAAA&#10;AAAAAAEAIAAAACIAAABkcnMvZG93bnJldi54bWxQSwECFAAUAAAACACHTuJAwDA0YhgCAAAKBAAA&#10;DgAAAAAAAAABACAAAAAkAQAAZHJzL2Uyb0RvYy54bWxQSwUGAAAAAAYABgBZAQAArgUAAAAA&#10;">
                      <v:fill on="f" focussize="0,0"/>
                      <v:stroke color="#000000" joinstyle="round" endarrow="open"/>
                      <v:imagedata o:title=""/>
                      <o:lock v:ext="edit" aspectratio="f"/>
                    </v:line>
                  </w:pict>
                </mc:Fallback>
              </mc:AlternateContent>
            </w:r>
            <w:r>
              <w:rPr>
                <w:color w:val="auto"/>
                <w:sz w:val="21"/>
              </w:rPr>
              <mc:AlternateContent>
                <mc:Choice Requires="wps">
                  <w:drawing>
                    <wp:anchor distT="0" distB="0" distL="114300" distR="114300" simplePos="0" relativeHeight="251729920" behindDoc="0" locked="0" layoutInCell="1" allowOverlap="1">
                      <wp:simplePos x="0" y="0"/>
                      <wp:positionH relativeFrom="column">
                        <wp:posOffset>822325</wp:posOffset>
                      </wp:positionH>
                      <wp:positionV relativeFrom="paragraph">
                        <wp:posOffset>60960</wp:posOffset>
                      </wp:positionV>
                      <wp:extent cx="215900" cy="635"/>
                      <wp:effectExtent l="0" t="48895" r="12700" b="64770"/>
                      <wp:wrapNone/>
                      <wp:docPr id="445" name="直接连接符 445"/>
                      <wp:cNvGraphicFramePr/>
                      <a:graphic xmlns:a="http://schemas.openxmlformats.org/drawingml/2006/main">
                        <a:graphicData uri="http://schemas.microsoft.com/office/word/2010/wordprocessingShape">
                          <wps:wsp>
                            <wps:cNvCnPr/>
                            <wps:spPr>
                              <a:xfrm flipH="1">
                                <a:off x="2409825" y="6320155"/>
                                <a:ext cx="215900" cy="635"/>
                              </a:xfrm>
                              <a:prstGeom prst="line">
                                <a:avLst/>
                              </a:prstGeom>
                              <a:ln w="9525" cap="flat" cmpd="sng">
                                <a:solidFill>
                                  <a:srgbClr val="000000"/>
                                </a:solidFill>
                                <a:prstDash val="solid"/>
                                <a:round/>
                                <a:headEnd type="none" w="med" len="med"/>
                                <a:tailEnd type="arrow" w="med" len="med"/>
                              </a:ln>
                            </wps:spPr>
                            <wps:bodyPr upright="1"/>
                          </wps:wsp>
                        </a:graphicData>
                      </a:graphic>
                    </wp:anchor>
                  </w:drawing>
                </mc:Choice>
                <mc:Fallback>
                  <w:pict>
                    <v:line id="_x0000_s1026" o:spid="_x0000_s1026" o:spt="20" style="position:absolute;left:0pt;flip:x;margin-left:64.75pt;margin-top:4.8pt;height:0.05pt;width:17pt;z-index:251729920;mso-width-relative:page;mso-height-relative:page;" filled="f" stroked="t" coordsize="21600,21600" o:gfxdata="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J5ayb7TAAAABwEAAA8AAAAAAAAA&#10;AQAgAAAAIgAAAGRycy9kb3ducmV2LnhtbFBLAQIUABQAAAAIAIdO4kBh9f8dFgIAAAoEAAAOAAAA&#10;AAAAAAEAIAAAACIBAABkcnMvZTJvRG9jLnhtbFBLBQYAAAAABgAGAFkBAACqBQAAAAA=&#10;">
                      <v:fill on="f" focussize="0,0"/>
                      <v:stroke color="#000000" joinstyle="round" endarrow="open"/>
                      <v:imagedata o:title=""/>
                      <o:lock v:ext="edit" aspectratio="f"/>
                    </v:line>
                  </w:pict>
                </mc:Fallback>
              </mc:AlternateContent>
            </w:r>
            <w:r>
              <w:rPr>
                <w:color w:val="auto"/>
                <w:sz w:val="21"/>
              </w:rPr>
              <mc:AlternateContent>
                <mc:Choice Requires="wps">
                  <w:drawing>
                    <wp:anchor distT="0" distB="0" distL="114300" distR="114300" simplePos="0" relativeHeight="251749376" behindDoc="0" locked="0" layoutInCell="1" allowOverlap="1">
                      <wp:simplePos x="0" y="0"/>
                      <wp:positionH relativeFrom="column">
                        <wp:posOffset>32385</wp:posOffset>
                      </wp:positionH>
                      <wp:positionV relativeFrom="paragraph">
                        <wp:posOffset>143510</wp:posOffset>
                      </wp:positionV>
                      <wp:extent cx="274320" cy="213360"/>
                      <wp:effectExtent l="0" t="0" r="0" b="0"/>
                      <wp:wrapNone/>
                      <wp:docPr id="88" name="矩形 49"/>
                      <wp:cNvGraphicFramePr/>
                      <a:graphic xmlns:a="http://schemas.openxmlformats.org/drawingml/2006/main">
                        <a:graphicData uri="http://schemas.microsoft.com/office/word/2010/wordprocessingShape">
                          <wps:wsp>
                            <wps:cNvSpPr/>
                            <wps:spPr>
                              <a:xfrm>
                                <a:off x="1619885" y="6402705"/>
                                <a:ext cx="274320" cy="213360"/>
                              </a:xfrm>
                              <a:prstGeom prst="rect">
                                <a:avLst/>
                              </a:prstGeom>
                              <a:noFill/>
                              <a:ln>
                                <a:noFill/>
                              </a:ln>
                            </wps:spPr>
                            <wps:txbx>
                              <w:txbxContent>
                                <w:p w14:paraId="28C0B5AF">
                                  <w:pPr>
                                    <w:spacing w:line="0" w:lineRule="atLeast"/>
                                    <w:jc w:val="center"/>
                                    <w:rPr>
                                      <w:rFonts w:hint="default" w:eastAsia="宋体"/>
                                      <w:sz w:val="15"/>
                                      <w:szCs w:val="15"/>
                                      <w:lang w:val="en-US" w:eastAsia="zh-CN"/>
                                    </w:rPr>
                                  </w:pPr>
                                  <w:r>
                                    <w:rPr>
                                      <w:rFonts w:hint="eastAsia"/>
                                      <w:sz w:val="15"/>
                                      <w:szCs w:val="15"/>
                                    </w:rPr>
                                    <w:t>N</w:t>
                                  </w:r>
                                </w:p>
                              </w:txbxContent>
                            </wps:txbx>
                            <wps:bodyPr wrap="square" upright="1">
                              <a:noAutofit/>
                            </wps:bodyPr>
                          </wps:wsp>
                        </a:graphicData>
                      </a:graphic>
                    </wp:anchor>
                  </w:drawing>
                </mc:Choice>
                <mc:Fallback>
                  <w:pict>
                    <v:rect id="矩形 49" o:spid="_x0000_s1026" o:spt="1" style="position:absolute;left:0pt;margin-left:2.55pt;margin-top:11.3pt;height:16.8pt;width:21.6pt;z-index:251749376;mso-width-relative:page;mso-height-relative:page;" filled="f" stroked="f" coordsize="21600,21600" o:gfxdata="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Do7LmY1gAAAAYBAAAPAAAAAAAAAAEAIAAAACIAAABkcnMvZG93&#10;bnJldi54bWxQSwECFAAUAAAACACHTuJAtbCIZ8kBAAB2AwAADgAAAAAAAAABACAAAAAlAQAAZHJz&#10;L2Uyb0RvYy54bWxQSwUGAAAAAAYABgBZAQAAYAUAAAAA&#10;">
                      <v:fill on="f" focussize="0,0"/>
                      <v:stroke on="f"/>
                      <v:imagedata o:title=""/>
                      <o:lock v:ext="edit" aspectratio="f"/>
                      <v:textbox>
                        <w:txbxContent>
                          <w:p w14:paraId="28C0B5AF">
                            <w:pPr>
                              <w:spacing w:line="0" w:lineRule="atLeast"/>
                              <w:jc w:val="center"/>
                              <w:rPr>
                                <w:rFonts w:hint="default" w:eastAsia="宋体"/>
                                <w:sz w:val="15"/>
                                <w:szCs w:val="15"/>
                                <w:lang w:val="en-US" w:eastAsia="zh-CN"/>
                              </w:rPr>
                            </w:pPr>
                            <w:r>
                              <w:rPr>
                                <w:rFonts w:hint="eastAsia"/>
                                <w:sz w:val="15"/>
                                <w:szCs w:val="15"/>
                              </w:rPr>
                              <w:t>N</w:t>
                            </w:r>
                          </w:p>
                        </w:txbxContent>
                      </v:textbox>
                    </v:rect>
                  </w:pict>
                </mc:Fallback>
              </mc:AlternateContent>
            </w:r>
            <w:r>
              <w:rPr>
                <w:color w:val="auto"/>
                <w:sz w:val="21"/>
              </w:rPr>
              <mc:AlternateContent>
                <mc:Choice Requires="wps">
                  <w:drawing>
                    <wp:anchor distT="0" distB="0" distL="114300" distR="114300" simplePos="0" relativeHeight="251719680" behindDoc="0" locked="0" layoutInCell="1" allowOverlap="1">
                      <wp:simplePos x="0" y="0"/>
                      <wp:positionH relativeFrom="column">
                        <wp:posOffset>2488565</wp:posOffset>
                      </wp:positionH>
                      <wp:positionV relativeFrom="paragraph">
                        <wp:posOffset>74930</wp:posOffset>
                      </wp:positionV>
                      <wp:extent cx="763270" cy="635"/>
                      <wp:effectExtent l="0" t="48895" r="17780" b="64770"/>
                      <wp:wrapNone/>
                      <wp:docPr id="434" name="直接连接符 434"/>
                      <wp:cNvGraphicFramePr/>
                      <a:graphic xmlns:a="http://schemas.openxmlformats.org/drawingml/2006/main">
                        <a:graphicData uri="http://schemas.microsoft.com/office/word/2010/wordprocessingShape">
                          <wps:wsp>
                            <wps:cNvCnPr/>
                            <wps:spPr>
                              <a:xfrm flipH="1">
                                <a:off x="4076065" y="6334125"/>
                                <a:ext cx="763270" cy="635"/>
                              </a:xfrm>
                              <a:prstGeom prst="line">
                                <a:avLst/>
                              </a:prstGeom>
                              <a:ln w="9525" cap="flat" cmpd="sng">
                                <a:solidFill>
                                  <a:srgbClr val="000000"/>
                                </a:solidFill>
                                <a:prstDash val="solid"/>
                                <a:round/>
                                <a:headEnd type="none" w="med" len="med"/>
                                <a:tailEnd type="arrow" w="med" len="med"/>
                              </a:ln>
                            </wps:spPr>
                            <wps:bodyPr upright="1"/>
                          </wps:wsp>
                        </a:graphicData>
                      </a:graphic>
                    </wp:anchor>
                  </w:drawing>
                </mc:Choice>
                <mc:Fallback>
                  <w:pict>
                    <v:line id="_x0000_s1026" o:spid="_x0000_s1026" o:spt="20" style="position:absolute;left:0pt;flip:x;margin-left:195.95pt;margin-top:5.9pt;height:0.05pt;width:60.1pt;z-index:251719680;mso-width-relative:page;mso-height-relative:page;" filled="f" stroked="t" coordsize="21600,21600" o:gfxdata="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lMLDfNcAAAAJAQAADwAA&#10;AAAAAAABACAAAAAiAAAAZHJzL2Rvd25yZXYueG1sUEsBAhQAFAAAAAgAh07iQHDvUHkXAgAACgQA&#10;AA4AAAAAAAAAAQAgAAAAJgEAAGRycy9lMm9Eb2MueG1sUEsFBgAAAAAGAAYAWQEAAK8FAAAAAA==&#10;">
                      <v:fill on="f" focussize="0,0"/>
                      <v:stroke color="#000000" joinstyle="round" endarrow="open"/>
                      <v:imagedata o:title=""/>
                      <o:lock v:ext="edit" aspectratio="f"/>
                    </v:line>
                  </w:pict>
                </mc:Fallback>
              </mc:AlternateContent>
            </w:r>
          </w:p>
          <w:p w14:paraId="736E56C8">
            <w:pPr>
              <w:rPr>
                <w:color w:val="auto"/>
              </w:rPr>
            </w:pPr>
            <w:r>
              <w:rPr>
                <w:color w:val="auto"/>
                <w:sz w:val="21"/>
              </w:rPr>
              <mc:AlternateContent>
                <mc:Choice Requires="wps">
                  <w:drawing>
                    <wp:anchor distT="0" distB="0" distL="114300" distR="114300" simplePos="0" relativeHeight="251731968" behindDoc="0" locked="0" layoutInCell="1" allowOverlap="1">
                      <wp:simplePos x="0" y="0"/>
                      <wp:positionH relativeFrom="column">
                        <wp:posOffset>402590</wp:posOffset>
                      </wp:positionH>
                      <wp:positionV relativeFrom="paragraph">
                        <wp:posOffset>34925</wp:posOffset>
                      </wp:positionV>
                      <wp:extent cx="635" cy="251460"/>
                      <wp:effectExtent l="48895" t="0" r="64770" b="15240"/>
                      <wp:wrapNone/>
                      <wp:docPr id="448" name="直接连接符 448"/>
                      <wp:cNvGraphicFramePr/>
                      <a:graphic xmlns:a="http://schemas.openxmlformats.org/drawingml/2006/main">
                        <a:graphicData uri="http://schemas.microsoft.com/office/word/2010/wordprocessingShape">
                          <wps:wsp>
                            <wps:cNvCnPr/>
                            <wps:spPr>
                              <a:xfrm flipH="1">
                                <a:off x="1990090" y="6447155"/>
                                <a:ext cx="635" cy="251460"/>
                              </a:xfrm>
                              <a:prstGeom prst="line">
                                <a:avLst/>
                              </a:prstGeom>
                              <a:ln w="9525" cap="flat" cmpd="sng">
                                <a:solidFill>
                                  <a:srgbClr val="000000"/>
                                </a:solidFill>
                                <a:prstDash val="solid"/>
                                <a:round/>
                                <a:headEnd type="none" w="med" len="med"/>
                                <a:tailEnd type="arrow" w="med" len="med"/>
                              </a:ln>
                            </wps:spPr>
                            <wps:bodyPr upright="1"/>
                          </wps:wsp>
                        </a:graphicData>
                      </a:graphic>
                    </wp:anchor>
                  </w:drawing>
                </mc:Choice>
                <mc:Fallback>
                  <w:pict>
                    <v:line id="_x0000_s1026" o:spid="_x0000_s1026" o:spt="20" style="position:absolute;left:0pt;flip:x;margin-left:31.7pt;margin-top:2.75pt;height:19.8pt;width:0.05pt;z-index:251731968;mso-width-relative:page;mso-height-relative:page;" filled="f" stroked="t" coordsize="21600,21600" o:gfxdata="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D2K/hDWAAAABgEAAA8A&#10;AAAAAAAAAQAgAAAAIgAAAGRycy9kb3ducmV2LnhtbFBLAQIUABQAAAAIAIdO4kA963NIGQIAAAoE&#10;AAAOAAAAAAAAAAEAIAAAACUBAABkcnMvZTJvRG9jLnhtbFBLBQYAAAAABgAGAFkBAACwBQAAAAA=&#10;">
                      <v:fill on="f" focussize="0,0"/>
                      <v:stroke color="#000000" joinstyle="round" endarrow="open"/>
                      <v:imagedata o:title=""/>
                      <o:lock v:ext="edit" aspectratio="f"/>
                    </v:line>
                  </w:pict>
                </mc:Fallback>
              </mc:AlternateContent>
            </w:r>
            <w:r>
              <w:rPr>
                <w:color w:val="auto"/>
                <w:sz w:val="21"/>
              </w:rPr>
              <mc:AlternateContent>
                <mc:Choice Requires="wps">
                  <w:drawing>
                    <wp:anchor distT="0" distB="0" distL="114300" distR="114300" simplePos="0" relativeHeight="251738112" behindDoc="0" locked="0" layoutInCell="1" allowOverlap="1">
                      <wp:simplePos x="0" y="0"/>
                      <wp:positionH relativeFrom="column">
                        <wp:posOffset>1454785</wp:posOffset>
                      </wp:positionH>
                      <wp:positionV relativeFrom="paragraph">
                        <wp:posOffset>45720</wp:posOffset>
                      </wp:positionV>
                      <wp:extent cx="635" cy="322580"/>
                      <wp:effectExtent l="48895" t="0" r="64770" b="1270"/>
                      <wp:wrapNone/>
                      <wp:docPr id="454" name="直接连接符 454"/>
                      <wp:cNvGraphicFramePr/>
                      <a:graphic xmlns:a="http://schemas.openxmlformats.org/drawingml/2006/main">
                        <a:graphicData uri="http://schemas.microsoft.com/office/word/2010/wordprocessingShape">
                          <wps:wsp>
                            <wps:cNvCnPr/>
                            <wps:spPr>
                              <a:xfrm>
                                <a:off x="3042285" y="6457950"/>
                                <a:ext cx="635" cy="322580"/>
                              </a:xfrm>
                              <a:prstGeom prst="line">
                                <a:avLst/>
                              </a:prstGeom>
                              <a:ln w="9525" cap="flat" cmpd="sng">
                                <a:solidFill>
                                  <a:srgbClr val="000000"/>
                                </a:solidFill>
                                <a:prstDash val="solid"/>
                                <a:round/>
                                <a:headEnd type="none" w="med" len="med"/>
                                <a:tailEnd type="arrow" w="med" len="med"/>
                              </a:ln>
                            </wps:spPr>
                            <wps:bodyPr upright="1"/>
                          </wps:wsp>
                        </a:graphicData>
                      </a:graphic>
                    </wp:anchor>
                  </w:drawing>
                </mc:Choice>
                <mc:Fallback>
                  <w:pict>
                    <v:line id="_x0000_s1026" o:spid="_x0000_s1026" o:spt="20" style="position:absolute;left:0pt;margin-left:114.55pt;margin-top:3.6pt;height:25.4pt;width:0.05pt;z-index:251738112;mso-width-relative:page;mso-height-relative:page;" filled="f" stroked="t" coordsize="21600,21600" o:gfxdata="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FlqRI3XAAAACAEAAA8AAAAAAAAA&#10;AQAgAAAAIgAAAGRycy9kb3ducmV2LnhtbFBLAQIUABQAAAAIAIdO4kCo3b2pEgIAAAAEAAAOAAAA&#10;AAAAAAEAIAAAACYBAABkcnMvZTJvRG9jLnhtbFBLBQYAAAAABgAGAFkBAACqBQAAAAA=&#10;">
                      <v:fill on="f" focussize="0,0"/>
                      <v:stroke color="#000000" joinstyle="round" endarrow="open"/>
                      <v:imagedata o:title=""/>
                      <o:lock v:ext="edit" aspectratio="f"/>
                    </v:line>
                  </w:pict>
                </mc:Fallback>
              </mc:AlternateContent>
            </w:r>
            <w:r>
              <w:rPr>
                <w:color w:val="auto"/>
                <w:sz w:val="21"/>
              </w:rPr>
              <mc:AlternateContent>
                <mc:Choice Requires="wps">
                  <w:drawing>
                    <wp:anchor distT="0" distB="0" distL="114300" distR="114300" simplePos="0" relativeHeight="251737088" behindDoc="0" locked="0" layoutInCell="1" allowOverlap="1">
                      <wp:simplePos x="0" y="0"/>
                      <wp:positionH relativeFrom="column">
                        <wp:posOffset>636270</wp:posOffset>
                      </wp:positionH>
                      <wp:positionV relativeFrom="paragraph">
                        <wp:posOffset>1905</wp:posOffset>
                      </wp:positionV>
                      <wp:extent cx="642620" cy="526415"/>
                      <wp:effectExtent l="0" t="0" r="0" b="0"/>
                      <wp:wrapNone/>
                      <wp:docPr id="453" name="文本框 453"/>
                      <wp:cNvGraphicFramePr/>
                      <a:graphic xmlns:a="http://schemas.openxmlformats.org/drawingml/2006/main">
                        <a:graphicData uri="http://schemas.microsoft.com/office/word/2010/wordprocessingShape">
                          <wps:wsp>
                            <wps:cNvSpPr txBox="1"/>
                            <wps:spPr>
                              <a:xfrm>
                                <a:off x="2223770" y="6414135"/>
                                <a:ext cx="642620" cy="526415"/>
                              </a:xfrm>
                              <a:prstGeom prst="rect">
                                <a:avLst/>
                              </a:prstGeom>
                              <a:noFill/>
                              <a:ln>
                                <a:noFill/>
                              </a:ln>
                            </wps:spPr>
                            <wps:txbx>
                              <w:txbxContent>
                                <w:p w14:paraId="67F7DE8D">
                                  <w:pPr>
                                    <w:keepNext w:val="0"/>
                                    <w:keepLines w:val="0"/>
                                    <w:pageBreakBefore w:val="0"/>
                                    <w:widowControl w:val="0"/>
                                    <w:kinsoku/>
                                    <w:wordWrap/>
                                    <w:overflowPunct/>
                                    <w:topLinePunct w:val="0"/>
                                    <w:bidi w:val="0"/>
                                    <w:adjustRightInd/>
                                    <w:snapToGrid/>
                                    <w:spacing w:line="220" w:lineRule="exact"/>
                                    <w:textAlignment w:val="auto"/>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lang w:val="en-US" w:eastAsia="zh-CN"/>
                                    </w:rPr>
                                    <w:t>比重小海绵、木屑等废料</w:t>
                                  </w:r>
                                </w:p>
                              </w:txbxContent>
                            </wps:txbx>
                            <wps:bodyPr upright="1"/>
                          </wps:wsp>
                        </a:graphicData>
                      </a:graphic>
                    </wp:anchor>
                  </w:drawing>
                </mc:Choice>
                <mc:Fallback>
                  <w:pict>
                    <v:shape id="_x0000_s1026" o:spid="_x0000_s1026" o:spt="202" type="#_x0000_t202" style="position:absolute;left:0pt;margin-left:50.1pt;margin-top:0.15pt;height:41.45pt;width:50.6pt;z-index:251737088;mso-width-relative:page;mso-height-relative:page;" filled="f" stroked="f" coordsize="21600,21600" o:gfxdata="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AAAAAZHJzL1BLAQIUABQAAAAIAIdO&#10;4kBxDprn0wAAAAcBAAAPAAAAAAAAAAEAIAAAACIAAABkcnMvZG93bnJldi54bWxQSwECFAAUAAAA&#10;CACHTuJAQduQk7oBAABdAwAADgAAAAAAAAABACAAAAAiAQAAZHJzL2Uyb0RvYy54bWxQSwUGAAAA&#10;AAYABgBZAQAATgUAAAAA&#10;">
                      <v:fill on="f" focussize="0,0"/>
                      <v:stroke on="f"/>
                      <v:imagedata o:title=""/>
                      <o:lock v:ext="edit" aspectratio="f"/>
                      <v:textbox>
                        <w:txbxContent>
                          <w:p w14:paraId="67F7DE8D">
                            <w:pPr>
                              <w:keepNext w:val="0"/>
                              <w:keepLines w:val="0"/>
                              <w:pageBreakBefore w:val="0"/>
                              <w:widowControl w:val="0"/>
                              <w:kinsoku/>
                              <w:wordWrap/>
                              <w:overflowPunct/>
                              <w:topLinePunct w:val="0"/>
                              <w:bidi w:val="0"/>
                              <w:adjustRightInd/>
                              <w:snapToGrid/>
                              <w:spacing w:line="220" w:lineRule="exact"/>
                              <w:textAlignment w:val="auto"/>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lang w:val="en-US" w:eastAsia="zh-CN"/>
                              </w:rPr>
                              <w:t>比重小海绵、木屑等废料</w:t>
                            </w:r>
                          </w:p>
                        </w:txbxContent>
                      </v:textbox>
                    </v:shape>
                  </w:pict>
                </mc:Fallback>
              </mc:AlternateContent>
            </w:r>
            <w:r>
              <w:rPr>
                <w:color w:val="auto"/>
                <w:sz w:val="21"/>
              </w:rPr>
              <mc:AlternateContent>
                <mc:Choice Requires="wps">
                  <w:drawing>
                    <wp:anchor distT="0" distB="0" distL="114300" distR="114300" simplePos="0" relativeHeight="251707392" behindDoc="0" locked="0" layoutInCell="1" allowOverlap="1">
                      <wp:simplePos x="0" y="0"/>
                      <wp:positionH relativeFrom="column">
                        <wp:posOffset>3580765</wp:posOffset>
                      </wp:positionH>
                      <wp:positionV relativeFrom="paragraph">
                        <wp:posOffset>52070</wp:posOffset>
                      </wp:positionV>
                      <wp:extent cx="635" cy="354965"/>
                      <wp:effectExtent l="48895" t="0" r="64770" b="6985"/>
                      <wp:wrapNone/>
                      <wp:docPr id="417" name="直接连接符 417"/>
                      <wp:cNvGraphicFramePr/>
                      <a:graphic xmlns:a="http://schemas.openxmlformats.org/drawingml/2006/main">
                        <a:graphicData uri="http://schemas.microsoft.com/office/word/2010/wordprocessingShape">
                          <wps:wsp>
                            <wps:cNvCnPr/>
                            <wps:spPr>
                              <a:xfrm flipH="1">
                                <a:off x="5168265" y="6464300"/>
                                <a:ext cx="635" cy="354965"/>
                              </a:xfrm>
                              <a:prstGeom prst="line">
                                <a:avLst/>
                              </a:prstGeom>
                              <a:ln w="9525" cap="flat" cmpd="sng">
                                <a:solidFill>
                                  <a:srgbClr val="000000"/>
                                </a:solidFill>
                                <a:prstDash val="solid"/>
                                <a:round/>
                                <a:headEnd type="none" w="med" len="med"/>
                                <a:tailEnd type="arrow" w="med" len="med"/>
                              </a:ln>
                            </wps:spPr>
                            <wps:bodyPr upright="1"/>
                          </wps:wsp>
                        </a:graphicData>
                      </a:graphic>
                    </wp:anchor>
                  </w:drawing>
                </mc:Choice>
                <mc:Fallback>
                  <w:pict>
                    <v:line id="_x0000_s1026" o:spid="_x0000_s1026" o:spt="20" style="position:absolute;left:0pt;flip:x;margin-left:281.95pt;margin-top:4.1pt;height:27.95pt;width:0.05pt;z-index:251707392;mso-width-relative:page;mso-height-relative:page;" filled="f" stroked="t" coordsize="21600,21600" o:gfxdata="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BZEh8tgAAAAIAQAADwAA&#10;AAAAAAABACAAAAAiAAAAZHJzL2Rvd25yZXYueG1sUEsBAhQAFAAAAAgAh07iQFK266gWAgAACgQA&#10;AA4AAAAAAAAAAQAgAAAAJwEAAGRycy9lMm9Eb2MueG1sUEsFBgAAAAAGAAYAWQEAAK8FAAAAAA==&#10;">
                      <v:fill on="f" focussize="0,0"/>
                      <v:stroke color="#000000" joinstyle="round" endarrow="open"/>
                      <v:imagedata o:title=""/>
                      <o:lock v:ext="edit" aspectratio="f"/>
                    </v:line>
                  </w:pict>
                </mc:Fallback>
              </mc:AlternateContent>
            </w:r>
            <w:r>
              <w:rPr>
                <w:color w:val="auto"/>
                <w:sz w:val="21"/>
              </w:rPr>
              <mc:AlternateContent>
                <mc:Choice Requires="wps">
                  <w:drawing>
                    <wp:anchor distT="0" distB="0" distL="114300" distR="114300" simplePos="0" relativeHeight="251739136" behindDoc="0" locked="0" layoutInCell="1" allowOverlap="1">
                      <wp:simplePos x="0" y="0"/>
                      <wp:positionH relativeFrom="column">
                        <wp:posOffset>1397635</wp:posOffset>
                      </wp:positionH>
                      <wp:positionV relativeFrom="paragraph">
                        <wp:posOffset>10160</wp:posOffset>
                      </wp:positionV>
                      <wp:extent cx="849630" cy="368935"/>
                      <wp:effectExtent l="0" t="0" r="0" b="0"/>
                      <wp:wrapNone/>
                      <wp:docPr id="455" name="文本框 455"/>
                      <wp:cNvGraphicFramePr/>
                      <a:graphic xmlns:a="http://schemas.openxmlformats.org/drawingml/2006/main">
                        <a:graphicData uri="http://schemas.microsoft.com/office/word/2010/wordprocessingShape">
                          <wps:wsp>
                            <wps:cNvSpPr txBox="1"/>
                            <wps:spPr>
                              <a:xfrm>
                                <a:off x="2985135" y="6422390"/>
                                <a:ext cx="849630" cy="368935"/>
                              </a:xfrm>
                              <a:prstGeom prst="rect">
                                <a:avLst/>
                              </a:prstGeom>
                              <a:noFill/>
                              <a:ln>
                                <a:noFill/>
                              </a:ln>
                            </wps:spPr>
                            <wps:txbx>
                              <w:txbxContent>
                                <w:p w14:paraId="4B9706F2">
                                  <w:pPr>
                                    <w:keepNext w:val="0"/>
                                    <w:keepLines w:val="0"/>
                                    <w:pageBreakBefore w:val="0"/>
                                    <w:widowControl w:val="0"/>
                                    <w:kinsoku/>
                                    <w:wordWrap/>
                                    <w:overflowPunct/>
                                    <w:topLinePunct w:val="0"/>
                                    <w:bidi w:val="0"/>
                                    <w:adjustRightInd/>
                                    <w:snapToGrid/>
                                    <w:spacing w:line="220" w:lineRule="exact"/>
                                    <w:jc w:val="center"/>
                                    <w:textAlignment w:val="auto"/>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lang w:val="en-US" w:eastAsia="zh-CN"/>
                                    </w:rPr>
                                    <w:t>沉底的海绵、木屑等废料</w:t>
                                  </w:r>
                                </w:p>
                              </w:txbxContent>
                            </wps:txbx>
                            <wps:bodyPr upright="1"/>
                          </wps:wsp>
                        </a:graphicData>
                      </a:graphic>
                    </wp:anchor>
                  </w:drawing>
                </mc:Choice>
                <mc:Fallback>
                  <w:pict>
                    <v:shape id="_x0000_s1026" o:spid="_x0000_s1026" o:spt="202" type="#_x0000_t202" style="position:absolute;left:0pt;margin-left:110.05pt;margin-top:0.8pt;height:29.05pt;width:66.9pt;z-index:251739136;mso-width-relative:page;mso-height-relative:page;" filled="f" stroked="f" coordsize="21600,21600" o:gfxdata="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7+ueudYAAAAIAQAADwAAAAAAAAABACAAAAAiAAAAZHJzL2Rvd25yZXYueG1sUEsBAhQA&#10;FAAAAAgAh07iQOolFr+7AQAAXQMAAA4AAAAAAAAAAQAgAAAAJQEAAGRycy9lMm9Eb2MueG1sUEsF&#10;BgAAAAAGAAYAWQEAAFIFAAAAAA==&#10;">
                      <v:fill on="f" focussize="0,0"/>
                      <v:stroke on="f"/>
                      <v:imagedata o:title=""/>
                      <o:lock v:ext="edit" aspectratio="f"/>
                      <v:textbox>
                        <w:txbxContent>
                          <w:p w14:paraId="4B9706F2">
                            <w:pPr>
                              <w:keepNext w:val="0"/>
                              <w:keepLines w:val="0"/>
                              <w:pageBreakBefore w:val="0"/>
                              <w:widowControl w:val="0"/>
                              <w:kinsoku/>
                              <w:wordWrap/>
                              <w:overflowPunct/>
                              <w:topLinePunct w:val="0"/>
                              <w:bidi w:val="0"/>
                              <w:adjustRightInd/>
                              <w:snapToGrid/>
                              <w:spacing w:line="220" w:lineRule="exact"/>
                              <w:jc w:val="center"/>
                              <w:textAlignment w:val="auto"/>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lang w:val="en-US" w:eastAsia="zh-CN"/>
                              </w:rPr>
                              <w:t>沉底的海绵、木屑等废料</w:t>
                            </w:r>
                          </w:p>
                        </w:txbxContent>
                      </v:textbox>
                    </v:shape>
                  </w:pict>
                </mc:Fallback>
              </mc:AlternateContent>
            </w:r>
            <w:r>
              <w:rPr>
                <w:color w:val="auto"/>
                <w:sz w:val="21"/>
              </w:rPr>
              <mc:AlternateContent>
                <mc:Choice Requires="wps">
                  <w:drawing>
                    <wp:anchor distT="0" distB="0" distL="114300" distR="114300" simplePos="0" relativeHeight="251708416" behindDoc="0" locked="0" layoutInCell="1" allowOverlap="1">
                      <wp:simplePos x="0" y="0"/>
                      <wp:positionH relativeFrom="column">
                        <wp:posOffset>3555365</wp:posOffset>
                      </wp:positionH>
                      <wp:positionV relativeFrom="paragraph">
                        <wp:posOffset>21590</wp:posOffset>
                      </wp:positionV>
                      <wp:extent cx="1021080" cy="405130"/>
                      <wp:effectExtent l="0" t="0" r="0" b="0"/>
                      <wp:wrapNone/>
                      <wp:docPr id="418" name="文本框 418"/>
                      <wp:cNvGraphicFramePr/>
                      <a:graphic xmlns:a="http://schemas.openxmlformats.org/drawingml/2006/main">
                        <a:graphicData uri="http://schemas.microsoft.com/office/word/2010/wordprocessingShape">
                          <wps:wsp>
                            <wps:cNvSpPr txBox="1"/>
                            <wps:spPr>
                              <a:xfrm>
                                <a:off x="5142865" y="6433820"/>
                                <a:ext cx="1021080" cy="405130"/>
                              </a:xfrm>
                              <a:prstGeom prst="rect">
                                <a:avLst/>
                              </a:prstGeom>
                              <a:noFill/>
                              <a:ln>
                                <a:noFill/>
                              </a:ln>
                            </wps:spPr>
                            <wps:txbx>
                              <w:txbxContent>
                                <w:p w14:paraId="11DC20C2">
                                  <w:pPr>
                                    <w:keepNext w:val="0"/>
                                    <w:keepLines w:val="0"/>
                                    <w:pageBreakBefore w:val="0"/>
                                    <w:widowControl w:val="0"/>
                                    <w:kinsoku/>
                                    <w:wordWrap/>
                                    <w:overflowPunct/>
                                    <w:topLinePunct w:val="0"/>
                                    <w:bidi w:val="0"/>
                                    <w:adjustRightInd/>
                                    <w:snapToGrid/>
                                    <w:spacing w:line="220" w:lineRule="exact"/>
                                    <w:textAlignment w:val="auto"/>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lang w:val="en-US" w:eastAsia="zh-CN"/>
                                    </w:rPr>
                                    <w:t>塑料、海绵、木屑等比重小物料</w:t>
                                  </w:r>
                                </w:p>
                              </w:txbxContent>
                            </wps:txbx>
                            <wps:bodyPr upright="1"/>
                          </wps:wsp>
                        </a:graphicData>
                      </a:graphic>
                    </wp:anchor>
                  </w:drawing>
                </mc:Choice>
                <mc:Fallback>
                  <w:pict>
                    <v:shape id="_x0000_s1026" o:spid="_x0000_s1026" o:spt="202" type="#_x0000_t202" style="position:absolute;left:0pt;margin-left:279.95pt;margin-top:1.7pt;height:31.9pt;width:80.4pt;z-index:251708416;mso-width-relative:page;mso-height-relative:page;" filled="f" stroked="f" coordsize="21600,21600" o:gfxdata="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MRwCjzXAAAACAEAAA8AAAAAAAAAAQAgAAAAIgAAAGRycy9kb3ducmV2LnhtbFBLAQIU&#10;ABQAAAAIAIdO4kB1ZmQRuwEAAF4DAAAOAAAAAAAAAAEAIAAAACYBAABkcnMvZTJvRG9jLnhtbFBL&#10;BQYAAAAABgAGAFkBAABTBQAAAAA=&#10;">
                      <v:fill on="f" focussize="0,0"/>
                      <v:stroke on="f"/>
                      <v:imagedata o:title=""/>
                      <o:lock v:ext="edit" aspectratio="f"/>
                      <v:textbox>
                        <w:txbxContent>
                          <w:p w14:paraId="11DC20C2">
                            <w:pPr>
                              <w:keepNext w:val="0"/>
                              <w:keepLines w:val="0"/>
                              <w:pageBreakBefore w:val="0"/>
                              <w:widowControl w:val="0"/>
                              <w:kinsoku/>
                              <w:wordWrap/>
                              <w:overflowPunct/>
                              <w:topLinePunct w:val="0"/>
                              <w:bidi w:val="0"/>
                              <w:adjustRightInd/>
                              <w:snapToGrid/>
                              <w:spacing w:line="220" w:lineRule="exact"/>
                              <w:textAlignment w:val="auto"/>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lang w:val="en-US" w:eastAsia="zh-CN"/>
                              </w:rPr>
                              <w:t>塑料、海绵、木屑等比重小物料</w:t>
                            </w:r>
                          </w:p>
                        </w:txbxContent>
                      </v:textbox>
                    </v:shape>
                  </w:pict>
                </mc:Fallback>
              </mc:AlternateContent>
            </w:r>
            <w:r>
              <w:rPr>
                <w:color w:val="auto"/>
                <w:sz w:val="21"/>
              </w:rPr>
              <mc:AlternateContent>
                <mc:Choice Requires="wps">
                  <w:drawing>
                    <wp:anchor distT="0" distB="0" distL="114300" distR="114300" simplePos="0" relativeHeight="251744256" behindDoc="0" locked="0" layoutInCell="1" allowOverlap="1">
                      <wp:simplePos x="0" y="0"/>
                      <wp:positionH relativeFrom="column">
                        <wp:posOffset>171450</wp:posOffset>
                      </wp:positionH>
                      <wp:positionV relativeFrom="paragraph">
                        <wp:posOffset>143510</wp:posOffset>
                      </wp:positionV>
                      <wp:extent cx="635" cy="144145"/>
                      <wp:effectExtent l="36195" t="0" r="39370" b="8255"/>
                      <wp:wrapNone/>
                      <wp:docPr id="83" name="直接箭头连接符 50"/>
                      <wp:cNvGraphicFramePr/>
                      <a:graphic xmlns:a="http://schemas.openxmlformats.org/drawingml/2006/main">
                        <a:graphicData uri="http://schemas.microsoft.com/office/word/2010/wordprocessingShape">
                          <wps:wsp>
                            <wps:cNvCnPr/>
                            <wps:spPr>
                              <a:xfrm flipH="1" flipV="1">
                                <a:off x="1758950" y="6555740"/>
                                <a:ext cx="635" cy="144145"/>
                              </a:xfrm>
                              <a:prstGeom prst="straightConnector1">
                                <a:avLst/>
                              </a:prstGeom>
                              <a:ln w="9525" cap="flat" cmpd="sng">
                                <a:solidFill>
                                  <a:srgbClr val="000000"/>
                                </a:solidFill>
                                <a:prstDash val="dash"/>
                                <a:headEnd type="none" w="med" len="med"/>
                                <a:tailEnd type="arrow" w="sm" len="sm"/>
                              </a:ln>
                            </wps:spPr>
                            <wps:bodyPr/>
                          </wps:wsp>
                        </a:graphicData>
                      </a:graphic>
                    </wp:anchor>
                  </w:drawing>
                </mc:Choice>
                <mc:Fallback>
                  <w:pict>
                    <v:shape id="直接箭头连接符 50" o:spid="_x0000_s1026" o:spt="32" type="#_x0000_t32" style="position:absolute;left:0pt;flip:x y;margin-left:13.5pt;margin-top:11.3pt;height:11.35pt;width:0.05pt;z-index:251744256;mso-width-relative:page;mso-height-relative:page;" filled="f" stroked="t" coordsize="21600,21600" o:gfxdata="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">
                      <v:fill on="f" focussize="0,0"/>
                      <v:stroke color="#000000" joinstyle="round" dashstyle="dash" endarrow="open" endarrowwidth="narrow" endarrowlength="short"/>
                      <v:imagedata o:title=""/>
                      <o:lock v:ext="edit" aspectratio="f"/>
                    </v:shape>
                  </w:pict>
                </mc:Fallback>
              </mc:AlternateContent>
            </w:r>
            <w:r>
              <w:rPr>
                <w:color w:val="auto"/>
                <w:sz w:val="21"/>
              </w:rPr>
              <mc:AlternateContent>
                <mc:Choice Requires="wps">
                  <w:drawing>
                    <wp:anchor distT="0" distB="0" distL="114300" distR="114300" simplePos="0" relativeHeight="251748352" behindDoc="0" locked="0" layoutInCell="1" allowOverlap="1">
                      <wp:simplePos x="0" y="0"/>
                      <wp:positionH relativeFrom="column">
                        <wp:posOffset>3173095</wp:posOffset>
                      </wp:positionH>
                      <wp:positionV relativeFrom="paragraph">
                        <wp:posOffset>88900</wp:posOffset>
                      </wp:positionV>
                      <wp:extent cx="476250" cy="213360"/>
                      <wp:effectExtent l="0" t="0" r="0" b="0"/>
                      <wp:wrapNone/>
                      <wp:docPr id="87" name="矩形 49"/>
                      <wp:cNvGraphicFramePr/>
                      <a:graphic xmlns:a="http://schemas.openxmlformats.org/drawingml/2006/main">
                        <a:graphicData uri="http://schemas.microsoft.com/office/word/2010/wordprocessingShape">
                          <wps:wsp>
                            <wps:cNvSpPr/>
                            <wps:spPr>
                              <a:xfrm>
                                <a:off x="4760595" y="6501130"/>
                                <a:ext cx="476250" cy="213360"/>
                              </a:xfrm>
                              <a:prstGeom prst="rect">
                                <a:avLst/>
                              </a:prstGeom>
                              <a:noFill/>
                              <a:ln>
                                <a:noFill/>
                              </a:ln>
                            </wps:spPr>
                            <wps:txbx>
                              <w:txbxContent>
                                <w:p w14:paraId="64CA64AC">
                                  <w:pPr>
                                    <w:spacing w:line="0" w:lineRule="atLeast"/>
                                    <w:jc w:val="center"/>
                                    <w:rPr>
                                      <w:rFonts w:hint="default" w:eastAsia="宋体"/>
                                      <w:sz w:val="15"/>
                                      <w:szCs w:val="15"/>
                                      <w:lang w:val="en-US" w:eastAsia="zh-CN"/>
                                    </w:rPr>
                                  </w:pPr>
                                  <w:r>
                                    <w:rPr>
                                      <w:rFonts w:hint="eastAsia"/>
                                      <w:sz w:val="15"/>
                                      <w:szCs w:val="15"/>
                                      <w:lang w:val="en-US" w:eastAsia="zh-CN"/>
                                    </w:rPr>
                                    <w:t>W、</w:t>
                                  </w:r>
                                  <w:r>
                                    <w:rPr>
                                      <w:rFonts w:hint="eastAsia"/>
                                      <w:sz w:val="15"/>
                                      <w:szCs w:val="15"/>
                                    </w:rPr>
                                    <w:t>N</w:t>
                                  </w:r>
                                </w:p>
                              </w:txbxContent>
                            </wps:txbx>
                            <wps:bodyPr wrap="square" upright="1">
                              <a:noAutofit/>
                            </wps:bodyPr>
                          </wps:wsp>
                        </a:graphicData>
                      </a:graphic>
                    </wp:anchor>
                  </w:drawing>
                </mc:Choice>
                <mc:Fallback>
                  <w:pict>
                    <v:rect id="矩形 49" o:spid="_x0000_s1026" o:spt="1" style="position:absolute;left:0pt;margin-left:249.85pt;margin-top:7pt;height:16.8pt;width:37.5pt;z-index:251748352;mso-width-relative:page;mso-height-relative:page;" filled="f" stroked="f" coordsize="21600,21600" o:gfxdata="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">
                      <v:fill on="f" focussize="0,0"/>
                      <v:stroke on="f"/>
                      <v:imagedata o:title=""/>
                      <o:lock v:ext="edit" aspectratio="f"/>
                      <v:textbox>
                        <w:txbxContent>
                          <w:p w14:paraId="64CA64AC">
                            <w:pPr>
                              <w:spacing w:line="0" w:lineRule="atLeast"/>
                              <w:jc w:val="center"/>
                              <w:rPr>
                                <w:rFonts w:hint="default" w:eastAsia="宋体"/>
                                <w:sz w:val="15"/>
                                <w:szCs w:val="15"/>
                                <w:lang w:val="en-US" w:eastAsia="zh-CN"/>
                              </w:rPr>
                            </w:pPr>
                            <w:r>
                              <w:rPr>
                                <w:rFonts w:hint="eastAsia"/>
                                <w:sz w:val="15"/>
                                <w:szCs w:val="15"/>
                                <w:lang w:val="en-US" w:eastAsia="zh-CN"/>
                              </w:rPr>
                              <w:t>W、</w:t>
                            </w:r>
                            <w:r>
                              <w:rPr>
                                <w:rFonts w:hint="eastAsia"/>
                                <w:sz w:val="15"/>
                                <w:szCs w:val="15"/>
                              </w:rPr>
                              <w:t>N</w:t>
                            </w:r>
                          </w:p>
                        </w:txbxContent>
                      </v:textbox>
                    </v:rect>
                  </w:pict>
                </mc:Fallback>
              </mc:AlternateContent>
            </w:r>
          </w:p>
          <w:p w14:paraId="757BF9D9">
            <w:pPr>
              <w:rPr>
                <w:color w:val="auto"/>
              </w:rPr>
            </w:pPr>
            <w:r>
              <w:rPr>
                <w:color w:val="auto"/>
                <w:sz w:val="21"/>
              </w:rPr>
              <mc:AlternateContent>
                <mc:Choice Requires="wps">
                  <w:drawing>
                    <wp:anchor distT="0" distB="0" distL="114300" distR="114300" simplePos="0" relativeHeight="251730944" behindDoc="0" locked="0" layoutInCell="1" allowOverlap="1">
                      <wp:simplePos x="0" y="0"/>
                      <wp:positionH relativeFrom="column">
                        <wp:posOffset>64770</wp:posOffset>
                      </wp:positionH>
                      <wp:positionV relativeFrom="paragraph">
                        <wp:posOffset>135890</wp:posOffset>
                      </wp:positionV>
                      <wp:extent cx="614045" cy="394970"/>
                      <wp:effectExtent l="4445" t="4445" r="10160" b="19685"/>
                      <wp:wrapNone/>
                      <wp:docPr id="447" name="文本框 447"/>
                      <wp:cNvGraphicFramePr/>
                      <a:graphic xmlns:a="http://schemas.openxmlformats.org/drawingml/2006/main">
                        <a:graphicData uri="http://schemas.microsoft.com/office/word/2010/wordprocessingShape">
                          <wps:wsp>
                            <wps:cNvSpPr txBox="1"/>
                            <wps:spPr>
                              <a:xfrm>
                                <a:off x="1652270" y="6701790"/>
                                <a:ext cx="614045" cy="39497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653FF494">
                                  <w:pPr>
                                    <w:keepNext w:val="0"/>
                                    <w:keepLines w:val="0"/>
                                    <w:pageBreakBefore w:val="0"/>
                                    <w:widowControl w:val="0"/>
                                    <w:kinsoku/>
                                    <w:wordWrap/>
                                    <w:overflowPunct/>
                                    <w:topLinePunct w:val="0"/>
                                    <w:bidi w:val="0"/>
                                    <w:adjustRightInd/>
                                    <w:snapToGrid/>
                                    <w:spacing w:line="240" w:lineRule="exact"/>
                                    <w:jc w:val="center"/>
                                    <w:textAlignment w:val="auto"/>
                                    <w:rPr>
                                      <w:rFonts w:hint="default" w:ascii="Times New Roman" w:hAnsi="Times New Roman" w:eastAsia="宋体" w:cs="Times New Roman"/>
                                      <w:sz w:val="18"/>
                                      <w:szCs w:val="18"/>
                                      <w:lang w:val="en-US" w:eastAsia="zh-CN"/>
                                    </w:rPr>
                                  </w:pPr>
                                  <w:r>
                                    <w:rPr>
                                      <w:rFonts w:hint="eastAsia" w:cs="Times New Roman"/>
                                      <w:sz w:val="18"/>
                                      <w:szCs w:val="18"/>
                                      <w:lang w:val="en-US" w:eastAsia="zh-CN"/>
                                    </w:rPr>
                                    <w:t>3</w:t>
                                  </w:r>
                                  <w:r>
                                    <w:rPr>
                                      <w:rFonts w:hint="default" w:ascii="Times New Roman" w:hAnsi="Times New Roman" w:eastAsia="宋体" w:cs="Times New Roman"/>
                                      <w:sz w:val="18"/>
                                      <w:szCs w:val="18"/>
                                      <w:vertAlign w:val="superscript"/>
                                      <w:lang w:val="en-US" w:eastAsia="zh-CN"/>
                                    </w:rPr>
                                    <w:t>#</w:t>
                                  </w:r>
                                  <w:r>
                                    <w:rPr>
                                      <w:rFonts w:hint="default" w:ascii="Times New Roman" w:hAnsi="Times New Roman" w:eastAsia="宋体" w:cs="Times New Roman"/>
                                      <w:sz w:val="18"/>
                                      <w:szCs w:val="18"/>
                                      <w:lang w:val="en-US" w:eastAsia="zh-CN"/>
                                    </w:rPr>
                                    <w:t>空气分选机</w:t>
                                  </w:r>
                                </w:p>
                              </w:txbxContent>
                            </wps:txbx>
                            <wps:bodyPr upright="1"/>
                          </wps:wsp>
                        </a:graphicData>
                      </a:graphic>
                    </wp:anchor>
                  </w:drawing>
                </mc:Choice>
                <mc:Fallback>
                  <w:pict>
                    <v:shape id="_x0000_s1026" o:spid="_x0000_s1026" o:spt="202" type="#_x0000_t202" style="position:absolute;left:0pt;margin-left:5.1pt;margin-top:10.7pt;height:31.1pt;width:48.35pt;z-index:251730944;mso-width-relative:page;mso-height-relative:page;" fillcolor="#FFFFFF" filled="t" stroked="t" coordsize="21600,21600" o:gfxdata="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Dv9lCnWAAAACAEAAA8AAAAA&#10;AAAAAQAgAAAAIgAAAGRycy9kb3ducmV2LnhtbFBLAQIUABQAAAAIAIdO4kAzmWJFFgIAAEUEAAAO&#10;AAAAAAAAAAEAIAAAACUBAABkcnMvZTJvRG9jLnhtbFBLBQYAAAAABgAGAFkBAACtBQAAAAA=&#10;">
                      <v:fill on="t" focussize="0,0"/>
                      <v:stroke color="#000000" joinstyle="miter"/>
                      <v:imagedata o:title=""/>
                      <o:lock v:ext="edit" aspectratio="f"/>
                      <v:textbox>
                        <w:txbxContent>
                          <w:p w14:paraId="653FF494">
                            <w:pPr>
                              <w:keepNext w:val="0"/>
                              <w:keepLines w:val="0"/>
                              <w:pageBreakBefore w:val="0"/>
                              <w:widowControl w:val="0"/>
                              <w:kinsoku/>
                              <w:wordWrap/>
                              <w:overflowPunct/>
                              <w:topLinePunct w:val="0"/>
                              <w:bidi w:val="0"/>
                              <w:adjustRightInd/>
                              <w:snapToGrid/>
                              <w:spacing w:line="240" w:lineRule="exact"/>
                              <w:jc w:val="center"/>
                              <w:textAlignment w:val="auto"/>
                              <w:rPr>
                                <w:rFonts w:hint="default" w:ascii="Times New Roman" w:hAnsi="Times New Roman" w:eastAsia="宋体" w:cs="Times New Roman"/>
                                <w:sz w:val="18"/>
                                <w:szCs w:val="18"/>
                                <w:lang w:val="en-US" w:eastAsia="zh-CN"/>
                              </w:rPr>
                            </w:pPr>
                            <w:r>
                              <w:rPr>
                                <w:rFonts w:hint="eastAsia" w:cs="Times New Roman"/>
                                <w:sz w:val="18"/>
                                <w:szCs w:val="18"/>
                                <w:lang w:val="en-US" w:eastAsia="zh-CN"/>
                              </w:rPr>
                              <w:t>3</w:t>
                            </w:r>
                            <w:r>
                              <w:rPr>
                                <w:rFonts w:hint="default" w:ascii="Times New Roman" w:hAnsi="Times New Roman" w:eastAsia="宋体" w:cs="Times New Roman"/>
                                <w:sz w:val="18"/>
                                <w:szCs w:val="18"/>
                                <w:vertAlign w:val="superscript"/>
                                <w:lang w:val="en-US" w:eastAsia="zh-CN"/>
                              </w:rPr>
                              <w:t>#</w:t>
                            </w:r>
                            <w:r>
                              <w:rPr>
                                <w:rFonts w:hint="default" w:ascii="Times New Roman" w:hAnsi="Times New Roman" w:eastAsia="宋体" w:cs="Times New Roman"/>
                                <w:sz w:val="18"/>
                                <w:szCs w:val="18"/>
                                <w:lang w:val="en-US" w:eastAsia="zh-CN"/>
                              </w:rPr>
                              <w:t>空气分选机</w:t>
                            </w:r>
                          </w:p>
                        </w:txbxContent>
                      </v:textbox>
                    </v:shape>
                  </w:pict>
                </mc:Fallback>
              </mc:AlternateContent>
            </w:r>
            <w:r>
              <w:rPr>
                <w:color w:val="auto"/>
                <w:sz w:val="21"/>
              </w:rPr>
              <mc:AlternateContent>
                <mc:Choice Requires="wps">
                  <w:drawing>
                    <wp:anchor distT="0" distB="0" distL="114300" distR="114300" simplePos="0" relativeHeight="251742208" behindDoc="0" locked="0" layoutInCell="1" allowOverlap="1">
                      <wp:simplePos x="0" y="0"/>
                      <wp:positionH relativeFrom="column">
                        <wp:posOffset>3413760</wp:posOffset>
                      </wp:positionH>
                      <wp:positionV relativeFrom="paragraph">
                        <wp:posOffset>102235</wp:posOffset>
                      </wp:positionV>
                      <wp:extent cx="635" cy="144145"/>
                      <wp:effectExtent l="36195" t="0" r="39370" b="8255"/>
                      <wp:wrapNone/>
                      <wp:docPr id="78" name="直接箭头连接符 50"/>
                      <wp:cNvGraphicFramePr/>
                      <a:graphic xmlns:a="http://schemas.openxmlformats.org/drawingml/2006/main">
                        <a:graphicData uri="http://schemas.microsoft.com/office/word/2010/wordprocessingShape">
                          <wps:wsp>
                            <wps:cNvCnPr/>
                            <wps:spPr>
                              <a:xfrm flipH="1" flipV="1">
                                <a:off x="5001260" y="6668135"/>
                                <a:ext cx="635" cy="144145"/>
                              </a:xfrm>
                              <a:prstGeom prst="straightConnector1">
                                <a:avLst/>
                              </a:prstGeom>
                              <a:ln w="9525" cap="flat" cmpd="sng">
                                <a:solidFill>
                                  <a:srgbClr val="000000"/>
                                </a:solidFill>
                                <a:prstDash val="dash"/>
                                <a:headEnd type="none" w="med" len="med"/>
                                <a:tailEnd type="arrow" w="sm" len="sm"/>
                              </a:ln>
                            </wps:spPr>
                            <wps:bodyPr/>
                          </wps:wsp>
                        </a:graphicData>
                      </a:graphic>
                    </wp:anchor>
                  </w:drawing>
                </mc:Choice>
                <mc:Fallback>
                  <w:pict>
                    <v:shape id="直接箭头连接符 50" o:spid="_x0000_s1026" o:spt="32" type="#_x0000_t32" style="position:absolute;left:0pt;flip:x y;margin-left:268.8pt;margin-top:8.05pt;height:11.35pt;width:0.05pt;z-index:251742208;mso-width-relative:page;mso-height-relative:page;" filled="f" stroked="t" coordsize="21600,21600" o:gfxdata="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">
                      <v:fill on="f" focussize="0,0"/>
                      <v:stroke color="#000000" joinstyle="round" dashstyle="dash" endarrow="open" endarrowwidth="narrow" endarrowlength="short"/>
                      <v:imagedata o:title=""/>
                      <o:lock v:ext="edit" aspectratio="f"/>
                    </v:shape>
                  </w:pict>
                </mc:Fallback>
              </mc:AlternateContent>
            </w:r>
          </w:p>
          <w:p w14:paraId="02ECB283">
            <w:pPr>
              <w:rPr>
                <w:color w:val="auto"/>
              </w:rPr>
            </w:pPr>
            <w:r>
              <w:rPr>
                <w:color w:val="auto"/>
                <w:sz w:val="21"/>
              </w:rPr>
              <mc:AlternateContent>
                <mc:Choice Requires="wps">
                  <w:drawing>
                    <wp:anchor distT="0" distB="0" distL="114300" distR="114300" simplePos="0" relativeHeight="251709440" behindDoc="0" locked="0" layoutInCell="1" allowOverlap="1">
                      <wp:simplePos x="0" y="0"/>
                      <wp:positionH relativeFrom="column">
                        <wp:posOffset>3249295</wp:posOffset>
                      </wp:positionH>
                      <wp:positionV relativeFrom="paragraph">
                        <wp:posOffset>90805</wp:posOffset>
                      </wp:positionV>
                      <wp:extent cx="690880" cy="245745"/>
                      <wp:effectExtent l="4445" t="4445" r="9525" b="16510"/>
                      <wp:wrapNone/>
                      <wp:docPr id="419" name="文本框 419"/>
                      <wp:cNvGraphicFramePr/>
                      <a:graphic xmlns:a="http://schemas.openxmlformats.org/drawingml/2006/main">
                        <a:graphicData uri="http://schemas.microsoft.com/office/word/2010/wordprocessingShape">
                          <wps:wsp>
                            <wps:cNvSpPr txBox="1"/>
                            <wps:spPr>
                              <a:xfrm>
                                <a:off x="4836795" y="6809740"/>
                                <a:ext cx="690880" cy="245745"/>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042BF43D">
                                  <w:pPr>
                                    <w:keepNext w:val="0"/>
                                    <w:keepLines w:val="0"/>
                                    <w:pageBreakBefore w:val="0"/>
                                    <w:widowControl w:val="0"/>
                                    <w:kinsoku/>
                                    <w:wordWrap/>
                                    <w:overflowPunct/>
                                    <w:topLinePunct w:val="0"/>
                                    <w:bidi w:val="0"/>
                                    <w:adjustRightInd/>
                                    <w:snapToGrid/>
                                    <w:spacing w:line="240" w:lineRule="exact"/>
                                    <w:jc w:val="center"/>
                                    <w:textAlignment w:val="auto"/>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lang w:val="en-US" w:eastAsia="zh-CN"/>
                                    </w:rPr>
                                    <w:t>1</w:t>
                                  </w:r>
                                  <w:r>
                                    <w:rPr>
                                      <w:rFonts w:hint="default" w:ascii="Times New Roman" w:hAnsi="Times New Roman" w:eastAsia="宋体" w:cs="Times New Roman"/>
                                      <w:sz w:val="18"/>
                                      <w:szCs w:val="18"/>
                                      <w:vertAlign w:val="superscript"/>
                                      <w:lang w:val="en-US" w:eastAsia="zh-CN"/>
                                    </w:rPr>
                                    <w:t>#</w:t>
                                  </w:r>
                                  <w:r>
                                    <w:rPr>
                                      <w:rFonts w:hint="default" w:ascii="Times New Roman" w:hAnsi="Times New Roman" w:eastAsia="宋体" w:cs="Times New Roman"/>
                                      <w:sz w:val="18"/>
                                      <w:szCs w:val="18"/>
                                      <w:lang w:val="en-US" w:eastAsia="zh-CN"/>
                                    </w:rPr>
                                    <w:t>甩干机</w:t>
                                  </w:r>
                                </w:p>
                              </w:txbxContent>
                            </wps:txbx>
                            <wps:bodyPr upright="1"/>
                          </wps:wsp>
                        </a:graphicData>
                      </a:graphic>
                    </wp:anchor>
                  </w:drawing>
                </mc:Choice>
                <mc:Fallback>
                  <w:pict>
                    <v:shape id="_x0000_s1026" o:spid="_x0000_s1026" o:spt="202" type="#_x0000_t202" style="position:absolute;left:0pt;margin-left:255.85pt;margin-top:7.15pt;height:19.35pt;width:54.4pt;z-index:251709440;mso-width-relative:page;mso-height-relative:page;" fillcolor="#FFFFFF" filled="t" stroked="t" coordsize="21600,21600" o:gfxdata="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N1ScdLYAAAACQEAAA8A&#10;AAAAAAAAAQAgAAAAIgAAAGRycy9kb3ducmV2LnhtbFBLAQIUABQAAAAIAIdO4kDbJAsgFwIAAEUE&#10;AAAOAAAAAAAAAAEAIAAAACcBAABkcnMvZTJvRG9jLnhtbFBLBQYAAAAABgAGAFkBAACwBQAAAAA=&#10;">
                      <v:fill on="t" focussize="0,0"/>
                      <v:stroke color="#000000" joinstyle="miter"/>
                      <v:imagedata o:title=""/>
                      <o:lock v:ext="edit" aspectratio="f"/>
                      <v:textbox>
                        <w:txbxContent>
                          <w:p w14:paraId="042BF43D">
                            <w:pPr>
                              <w:keepNext w:val="0"/>
                              <w:keepLines w:val="0"/>
                              <w:pageBreakBefore w:val="0"/>
                              <w:widowControl w:val="0"/>
                              <w:kinsoku/>
                              <w:wordWrap/>
                              <w:overflowPunct/>
                              <w:topLinePunct w:val="0"/>
                              <w:bidi w:val="0"/>
                              <w:adjustRightInd/>
                              <w:snapToGrid/>
                              <w:spacing w:line="240" w:lineRule="exact"/>
                              <w:jc w:val="center"/>
                              <w:textAlignment w:val="auto"/>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lang w:val="en-US" w:eastAsia="zh-CN"/>
                              </w:rPr>
                              <w:t>1</w:t>
                            </w:r>
                            <w:r>
                              <w:rPr>
                                <w:rFonts w:hint="default" w:ascii="Times New Roman" w:hAnsi="Times New Roman" w:eastAsia="宋体" w:cs="Times New Roman"/>
                                <w:sz w:val="18"/>
                                <w:szCs w:val="18"/>
                                <w:vertAlign w:val="superscript"/>
                                <w:lang w:val="en-US" w:eastAsia="zh-CN"/>
                              </w:rPr>
                              <w:t>#</w:t>
                            </w:r>
                            <w:r>
                              <w:rPr>
                                <w:rFonts w:hint="default" w:ascii="Times New Roman" w:hAnsi="Times New Roman" w:eastAsia="宋体" w:cs="Times New Roman"/>
                                <w:sz w:val="18"/>
                                <w:szCs w:val="18"/>
                                <w:lang w:val="en-US" w:eastAsia="zh-CN"/>
                              </w:rPr>
                              <w:t>甩干机</w:t>
                            </w:r>
                          </w:p>
                        </w:txbxContent>
                      </v:textbox>
                    </v:shape>
                  </w:pict>
                </mc:Fallback>
              </mc:AlternateContent>
            </w:r>
            <w:r>
              <w:rPr>
                <w:color w:val="auto"/>
                <w:sz w:val="21"/>
              </w:rPr>
              <mc:AlternateContent>
                <mc:Choice Requires="wps">
                  <w:drawing>
                    <wp:anchor distT="0" distB="0" distL="114300" distR="114300" simplePos="0" relativeHeight="251735040" behindDoc="0" locked="0" layoutInCell="1" allowOverlap="1">
                      <wp:simplePos x="0" y="0"/>
                      <wp:positionH relativeFrom="column">
                        <wp:posOffset>1186180</wp:posOffset>
                      </wp:positionH>
                      <wp:positionV relativeFrom="paragraph">
                        <wp:posOffset>61595</wp:posOffset>
                      </wp:positionV>
                      <wp:extent cx="537845" cy="267335"/>
                      <wp:effectExtent l="4445" t="5080" r="10160" b="13335"/>
                      <wp:wrapNone/>
                      <wp:docPr id="451" name="文本框 451"/>
                      <wp:cNvGraphicFramePr/>
                      <a:graphic xmlns:a="http://schemas.openxmlformats.org/drawingml/2006/main">
                        <a:graphicData uri="http://schemas.microsoft.com/office/word/2010/wordprocessingShape">
                          <wps:wsp>
                            <wps:cNvSpPr txBox="1"/>
                            <wps:spPr>
                              <a:xfrm>
                                <a:off x="2773680" y="6780530"/>
                                <a:ext cx="537845" cy="267335"/>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529234AC">
                                  <w:pPr>
                                    <w:jc w:val="center"/>
                                    <w:rPr>
                                      <w:rFonts w:hint="default" w:ascii="Times New Roman" w:hAnsi="Times New Roman" w:eastAsia="宋体" w:cs="Times New Roman"/>
                                      <w:sz w:val="18"/>
                                      <w:szCs w:val="18"/>
                                      <w:lang w:val="en-US" w:eastAsia="zh-CN"/>
                                    </w:rPr>
                                  </w:pPr>
                                  <w:r>
                                    <w:rPr>
                                      <w:rFonts w:hint="eastAsia" w:cs="Times New Roman"/>
                                      <w:sz w:val="18"/>
                                      <w:szCs w:val="18"/>
                                      <w:lang w:val="en-US" w:eastAsia="zh-CN"/>
                                    </w:rPr>
                                    <w:t>3</w:t>
                                  </w:r>
                                  <w:r>
                                    <w:rPr>
                                      <w:rFonts w:hint="default" w:ascii="Times New Roman" w:hAnsi="Times New Roman" w:eastAsia="宋体" w:cs="Times New Roman"/>
                                      <w:sz w:val="18"/>
                                      <w:szCs w:val="18"/>
                                      <w:vertAlign w:val="superscript"/>
                                      <w:lang w:val="en-US" w:eastAsia="zh-CN"/>
                                    </w:rPr>
                                    <w:t>#</w:t>
                                  </w:r>
                                  <w:r>
                                    <w:rPr>
                                      <w:rFonts w:hint="default" w:ascii="Times New Roman" w:hAnsi="Times New Roman" w:eastAsia="宋体" w:cs="Times New Roman"/>
                                      <w:sz w:val="18"/>
                                      <w:szCs w:val="18"/>
                                      <w:lang w:val="en-US" w:eastAsia="zh-CN"/>
                                    </w:rPr>
                                    <w:t>料池</w:t>
                                  </w:r>
                                </w:p>
                              </w:txbxContent>
                            </wps:txbx>
                            <wps:bodyPr upright="1"/>
                          </wps:wsp>
                        </a:graphicData>
                      </a:graphic>
                    </wp:anchor>
                  </w:drawing>
                </mc:Choice>
                <mc:Fallback>
                  <w:pict>
                    <v:shape id="_x0000_s1026" o:spid="_x0000_s1026" o:spt="202" type="#_x0000_t202" style="position:absolute;left:0pt;margin-left:93.4pt;margin-top:4.85pt;height:21.05pt;width:42.35pt;z-index:251735040;mso-width-relative:page;mso-height-relative:page;" fillcolor="#FFFFFF" filled="t" stroked="t" coordsize="21600,21600" o:gfxdata="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LGNa8vYAAAACAEAAA8A&#10;AAAAAAAAAQAgAAAAIgAAAGRycy9kb3ducmV2LnhtbFBLAQIUABQAAAAIAIdO4kBm5avcFwIAAEUE&#10;AAAOAAAAAAAAAAEAIAAAACcBAABkcnMvZTJvRG9jLnhtbFBLBQYAAAAABgAGAFkBAACwBQAAAAA=&#10;">
                      <v:fill on="t" focussize="0,0"/>
                      <v:stroke color="#000000" joinstyle="miter"/>
                      <v:imagedata o:title=""/>
                      <o:lock v:ext="edit" aspectratio="f"/>
                      <v:textbox>
                        <w:txbxContent>
                          <w:p w14:paraId="529234AC">
                            <w:pPr>
                              <w:jc w:val="center"/>
                              <w:rPr>
                                <w:rFonts w:hint="default" w:ascii="Times New Roman" w:hAnsi="Times New Roman" w:eastAsia="宋体" w:cs="Times New Roman"/>
                                <w:sz w:val="18"/>
                                <w:szCs w:val="18"/>
                                <w:lang w:val="en-US" w:eastAsia="zh-CN"/>
                              </w:rPr>
                            </w:pPr>
                            <w:r>
                              <w:rPr>
                                <w:rFonts w:hint="eastAsia" w:cs="Times New Roman"/>
                                <w:sz w:val="18"/>
                                <w:szCs w:val="18"/>
                                <w:lang w:val="en-US" w:eastAsia="zh-CN"/>
                              </w:rPr>
                              <w:t>3</w:t>
                            </w:r>
                            <w:r>
                              <w:rPr>
                                <w:rFonts w:hint="default" w:ascii="Times New Roman" w:hAnsi="Times New Roman" w:eastAsia="宋体" w:cs="Times New Roman"/>
                                <w:sz w:val="18"/>
                                <w:szCs w:val="18"/>
                                <w:vertAlign w:val="superscript"/>
                                <w:lang w:val="en-US" w:eastAsia="zh-CN"/>
                              </w:rPr>
                              <w:t>#</w:t>
                            </w:r>
                            <w:r>
                              <w:rPr>
                                <w:rFonts w:hint="default" w:ascii="Times New Roman" w:hAnsi="Times New Roman" w:eastAsia="宋体" w:cs="Times New Roman"/>
                                <w:sz w:val="18"/>
                                <w:szCs w:val="18"/>
                                <w:lang w:val="en-US" w:eastAsia="zh-CN"/>
                              </w:rPr>
                              <w:t>料池</w:t>
                            </w:r>
                          </w:p>
                        </w:txbxContent>
                      </v:textbox>
                    </v:shape>
                  </w:pict>
                </mc:Fallback>
              </mc:AlternateContent>
            </w:r>
          </w:p>
          <w:p w14:paraId="40D1F339">
            <w:pPr>
              <w:rPr>
                <w:color w:val="auto"/>
              </w:rPr>
            </w:pPr>
            <w:r>
              <w:rPr>
                <w:color w:val="auto"/>
                <w:sz w:val="21"/>
              </w:rPr>
              <mc:AlternateContent>
                <mc:Choice Requires="wps">
                  <w:drawing>
                    <wp:anchor distT="0" distB="0" distL="114300" distR="114300" simplePos="0" relativeHeight="251750400" behindDoc="0" locked="0" layoutInCell="1" allowOverlap="1">
                      <wp:simplePos x="0" y="0"/>
                      <wp:positionH relativeFrom="column">
                        <wp:posOffset>3779520</wp:posOffset>
                      </wp:positionH>
                      <wp:positionV relativeFrom="paragraph">
                        <wp:posOffset>141605</wp:posOffset>
                      </wp:positionV>
                      <wp:extent cx="260350" cy="213360"/>
                      <wp:effectExtent l="0" t="0" r="0" b="0"/>
                      <wp:wrapNone/>
                      <wp:docPr id="89" name="矩形 49"/>
                      <wp:cNvGraphicFramePr/>
                      <a:graphic xmlns:a="http://schemas.openxmlformats.org/drawingml/2006/main">
                        <a:graphicData uri="http://schemas.microsoft.com/office/word/2010/wordprocessingShape">
                          <wps:wsp>
                            <wps:cNvSpPr/>
                            <wps:spPr>
                              <a:xfrm>
                                <a:off x="5367020" y="7014210"/>
                                <a:ext cx="260350" cy="213360"/>
                              </a:xfrm>
                              <a:prstGeom prst="rect">
                                <a:avLst/>
                              </a:prstGeom>
                              <a:noFill/>
                              <a:ln>
                                <a:noFill/>
                              </a:ln>
                            </wps:spPr>
                            <wps:txbx>
                              <w:txbxContent>
                                <w:p w14:paraId="5021DC6C">
                                  <w:pPr>
                                    <w:spacing w:line="0" w:lineRule="atLeast"/>
                                    <w:jc w:val="center"/>
                                    <w:rPr>
                                      <w:rFonts w:hint="default" w:eastAsia="宋体"/>
                                      <w:sz w:val="15"/>
                                      <w:szCs w:val="15"/>
                                      <w:lang w:val="en-US" w:eastAsia="zh-CN"/>
                                    </w:rPr>
                                  </w:pPr>
                                  <w:r>
                                    <w:rPr>
                                      <w:rFonts w:hint="eastAsia"/>
                                      <w:sz w:val="15"/>
                                      <w:szCs w:val="15"/>
                                    </w:rPr>
                                    <w:t>N</w:t>
                                  </w:r>
                                </w:p>
                              </w:txbxContent>
                            </wps:txbx>
                            <wps:bodyPr wrap="square" upright="1">
                              <a:noAutofit/>
                            </wps:bodyPr>
                          </wps:wsp>
                        </a:graphicData>
                      </a:graphic>
                    </wp:anchor>
                  </w:drawing>
                </mc:Choice>
                <mc:Fallback>
                  <w:pict>
                    <v:rect id="矩形 49" o:spid="_x0000_s1026" o:spt="1" style="position:absolute;left:0pt;margin-left:297.6pt;margin-top:11.15pt;height:16.8pt;width:20.5pt;z-index:251750400;mso-width-relative:page;mso-height-relative:page;" filled="f" stroked="f" coordsize="21600,21600" o:gfxdata="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">
                      <v:fill on="f" focussize="0,0"/>
                      <v:stroke on="f"/>
                      <v:imagedata o:title=""/>
                      <o:lock v:ext="edit" aspectratio="f"/>
                      <v:textbox>
                        <w:txbxContent>
                          <w:p w14:paraId="5021DC6C">
                            <w:pPr>
                              <w:spacing w:line="0" w:lineRule="atLeast"/>
                              <w:jc w:val="center"/>
                              <w:rPr>
                                <w:rFonts w:hint="default" w:eastAsia="宋体"/>
                                <w:sz w:val="15"/>
                                <w:szCs w:val="15"/>
                                <w:lang w:val="en-US" w:eastAsia="zh-CN"/>
                              </w:rPr>
                            </w:pPr>
                            <w:r>
                              <w:rPr>
                                <w:rFonts w:hint="eastAsia"/>
                                <w:sz w:val="15"/>
                                <w:szCs w:val="15"/>
                              </w:rPr>
                              <w:t>N</w:t>
                            </w:r>
                          </w:p>
                        </w:txbxContent>
                      </v:textbox>
                    </v:rect>
                  </w:pict>
                </mc:Fallback>
              </mc:AlternateContent>
            </w:r>
            <w:r>
              <w:rPr>
                <w:color w:val="auto"/>
                <w:sz w:val="21"/>
              </w:rPr>
              <mc:AlternateContent>
                <mc:Choice Requires="wps">
                  <w:drawing>
                    <wp:anchor distT="0" distB="0" distL="114300" distR="114300" simplePos="0" relativeHeight="251734016" behindDoc="0" locked="0" layoutInCell="1" allowOverlap="1">
                      <wp:simplePos x="0" y="0"/>
                      <wp:positionH relativeFrom="column">
                        <wp:posOffset>682625</wp:posOffset>
                      </wp:positionH>
                      <wp:positionV relativeFrom="paragraph">
                        <wp:posOffset>41910</wp:posOffset>
                      </wp:positionV>
                      <wp:extent cx="503555" cy="2540"/>
                      <wp:effectExtent l="0" t="48895" r="10795" b="62865"/>
                      <wp:wrapNone/>
                      <wp:docPr id="450" name="直接连接符 450"/>
                      <wp:cNvGraphicFramePr/>
                      <a:graphic xmlns:a="http://schemas.openxmlformats.org/drawingml/2006/main">
                        <a:graphicData uri="http://schemas.microsoft.com/office/word/2010/wordprocessingShape">
                          <wps:wsp>
                            <wps:cNvCnPr/>
                            <wps:spPr>
                              <a:xfrm flipV="1">
                                <a:off x="2270125" y="6914515"/>
                                <a:ext cx="503555" cy="2540"/>
                              </a:xfrm>
                              <a:prstGeom prst="line">
                                <a:avLst/>
                              </a:prstGeom>
                              <a:ln w="9525" cap="flat" cmpd="sng">
                                <a:solidFill>
                                  <a:srgbClr val="000000"/>
                                </a:solidFill>
                                <a:prstDash val="solid"/>
                                <a:round/>
                                <a:headEnd type="none" w="med" len="med"/>
                                <a:tailEnd type="arrow" w="med" len="med"/>
                              </a:ln>
                            </wps:spPr>
                            <wps:bodyPr upright="1"/>
                          </wps:wsp>
                        </a:graphicData>
                      </a:graphic>
                    </wp:anchor>
                  </w:drawing>
                </mc:Choice>
                <mc:Fallback>
                  <w:pict>
                    <v:line id="_x0000_s1026" o:spid="_x0000_s1026" o:spt="20" style="position:absolute;left:0pt;flip:y;margin-left:53.75pt;margin-top:3.3pt;height:0.2pt;width:39.65pt;z-index:251734016;mso-width-relative:page;mso-height-relative:page;" filled="f" stroked="t" coordsize="21600,21600" o:gfxdata="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Jn4kFtUAAAAHAQAADwAA&#10;AAAAAAABACAAAAAiAAAAZHJzL2Rvd25yZXYueG1sUEsBAhQAFAAAAAgAh07iQCgEeWMZAgAACwQA&#10;AA4AAAAAAAAAAQAgAAAAJAEAAGRycy9lMm9Eb2MueG1sUEsFBgAAAAAGAAYAWQEAAK8FAAAAAA==&#10;">
                      <v:fill on="f" focussize="0,0"/>
                      <v:stroke color="#000000" joinstyle="round" endarrow="open"/>
                      <v:imagedata o:title=""/>
                      <o:lock v:ext="edit" aspectratio="f"/>
                    </v:line>
                  </w:pict>
                </mc:Fallback>
              </mc:AlternateContent>
            </w:r>
          </w:p>
          <w:p w14:paraId="460F65F5">
            <w:pPr>
              <w:rPr>
                <w:color w:val="auto"/>
              </w:rPr>
            </w:pPr>
            <w:r>
              <w:rPr>
                <w:color w:val="auto"/>
                <w:sz w:val="21"/>
              </w:rPr>
              <mc:AlternateContent>
                <mc:Choice Requires="wps">
                  <w:drawing>
                    <wp:anchor distT="0" distB="0" distL="114300" distR="114300" simplePos="0" relativeHeight="251736064" behindDoc="0" locked="0" layoutInCell="1" allowOverlap="1">
                      <wp:simplePos x="0" y="0"/>
                      <wp:positionH relativeFrom="column">
                        <wp:posOffset>375920</wp:posOffset>
                      </wp:positionH>
                      <wp:positionV relativeFrom="paragraph">
                        <wp:posOffset>74930</wp:posOffset>
                      </wp:positionV>
                      <wp:extent cx="635" cy="251460"/>
                      <wp:effectExtent l="48895" t="0" r="64770" b="15240"/>
                      <wp:wrapNone/>
                      <wp:docPr id="452" name="直接连接符 452"/>
                      <wp:cNvGraphicFramePr/>
                      <a:graphic xmlns:a="http://schemas.openxmlformats.org/drawingml/2006/main">
                        <a:graphicData uri="http://schemas.microsoft.com/office/word/2010/wordprocessingShape">
                          <wps:wsp>
                            <wps:cNvCnPr/>
                            <wps:spPr>
                              <a:xfrm flipH="1">
                                <a:off x="1963420" y="7100570"/>
                                <a:ext cx="635" cy="251460"/>
                              </a:xfrm>
                              <a:prstGeom prst="line">
                                <a:avLst/>
                              </a:prstGeom>
                              <a:ln w="9525" cap="flat" cmpd="sng">
                                <a:solidFill>
                                  <a:srgbClr val="000000"/>
                                </a:solidFill>
                                <a:prstDash val="solid"/>
                                <a:round/>
                                <a:headEnd type="none" w="med" len="med"/>
                                <a:tailEnd type="arrow" w="med" len="med"/>
                              </a:ln>
                            </wps:spPr>
                            <wps:bodyPr upright="1"/>
                          </wps:wsp>
                        </a:graphicData>
                      </a:graphic>
                    </wp:anchor>
                  </w:drawing>
                </mc:Choice>
                <mc:Fallback>
                  <w:pict>
                    <v:line id="_x0000_s1026" o:spid="_x0000_s1026" o:spt="20" style="position:absolute;left:0pt;flip:x;margin-left:29.6pt;margin-top:5.9pt;height:19.8pt;width:0.05pt;z-index:251736064;mso-width-relative:page;mso-height-relative:page;" filled="f" stroked="t" coordsize="21600,21600" o:gfxdata="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BPDoybWAAAABwEAAA8A&#10;AAAAAAAAAQAgAAAAIgAAAGRycy9kb3ducmV2LnhtbFBLAQIUABQAAAAIAIdO4kBBtAh6GQIAAAoE&#10;AAAOAAAAAAAAAAEAIAAAACUBAABkcnMvZTJvRG9jLnhtbFBLBQYAAAAABgAGAFkBAACwBQAAAAA=&#10;">
                      <v:fill on="f" focussize="0,0"/>
                      <v:stroke color="#000000" joinstyle="round" endarrow="open"/>
                      <v:imagedata o:title=""/>
                      <o:lock v:ext="edit" aspectratio="f"/>
                    </v:line>
                  </w:pict>
                </mc:Fallback>
              </mc:AlternateContent>
            </w:r>
            <w:r>
              <w:rPr>
                <w:color w:val="auto"/>
                <w:sz w:val="21"/>
              </w:rPr>
              <mc:AlternateContent>
                <mc:Choice Requires="wps">
                  <w:drawing>
                    <wp:anchor distT="0" distB="0" distL="114300" distR="114300" simplePos="0" relativeHeight="251718656" behindDoc="0" locked="0" layoutInCell="1" allowOverlap="1">
                      <wp:simplePos x="0" y="0"/>
                      <wp:positionH relativeFrom="column">
                        <wp:posOffset>2029460</wp:posOffset>
                      </wp:positionH>
                      <wp:positionV relativeFrom="paragraph">
                        <wp:posOffset>58420</wp:posOffset>
                      </wp:positionV>
                      <wp:extent cx="856615" cy="414020"/>
                      <wp:effectExtent l="0" t="0" r="0" b="0"/>
                      <wp:wrapNone/>
                      <wp:docPr id="433" name="文本框 433"/>
                      <wp:cNvGraphicFramePr/>
                      <a:graphic xmlns:a="http://schemas.openxmlformats.org/drawingml/2006/main">
                        <a:graphicData uri="http://schemas.microsoft.com/office/word/2010/wordprocessingShape">
                          <wps:wsp>
                            <wps:cNvSpPr txBox="1"/>
                            <wps:spPr>
                              <a:xfrm>
                                <a:off x="3616960" y="7084060"/>
                                <a:ext cx="856615" cy="414020"/>
                              </a:xfrm>
                              <a:prstGeom prst="rect">
                                <a:avLst/>
                              </a:prstGeom>
                              <a:noFill/>
                              <a:ln>
                                <a:noFill/>
                              </a:ln>
                            </wps:spPr>
                            <wps:txbx>
                              <w:txbxContent>
                                <w:p w14:paraId="19C14BF4">
                                  <w:pPr>
                                    <w:keepNext w:val="0"/>
                                    <w:keepLines w:val="0"/>
                                    <w:pageBreakBefore w:val="0"/>
                                    <w:widowControl w:val="0"/>
                                    <w:kinsoku/>
                                    <w:wordWrap/>
                                    <w:overflowPunct/>
                                    <w:topLinePunct w:val="0"/>
                                    <w:bidi w:val="0"/>
                                    <w:adjustRightInd/>
                                    <w:snapToGrid/>
                                    <w:spacing w:line="240" w:lineRule="exact"/>
                                    <w:jc w:val="center"/>
                                    <w:textAlignment w:val="auto"/>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lang w:val="en-US" w:eastAsia="zh-CN"/>
                                    </w:rPr>
                                    <w:t>比重小海绵、木屑等废料</w:t>
                                  </w:r>
                                </w:p>
                              </w:txbxContent>
                            </wps:txbx>
                            <wps:bodyPr upright="1"/>
                          </wps:wsp>
                        </a:graphicData>
                      </a:graphic>
                    </wp:anchor>
                  </w:drawing>
                </mc:Choice>
                <mc:Fallback>
                  <w:pict>
                    <v:shape id="_x0000_s1026" o:spid="_x0000_s1026" o:spt="202" type="#_x0000_t202" style="position:absolute;left:0pt;margin-left:159.8pt;margin-top:4.6pt;height:32.6pt;width:67.45pt;z-index:251718656;mso-width-relative:page;mso-height-relative:page;" filled="f" stroked="f" coordsize="21600,21600" o:gfxdata="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TqZTUNYAAAAIAQAADwAAAAAAAAABACAAAAAiAAAAZHJzL2Rvd25yZXYueG1sUEsBAhQA&#10;FAAAAAgAh07iQC5aqWC7AQAAXQMAAA4AAAAAAAAAAQAgAAAAJQEAAGRycy9lMm9Eb2MueG1sUEsF&#10;BgAAAAAGAAYAWQEAAFIFAAAAAA==&#10;">
                      <v:fill on="f" focussize="0,0"/>
                      <v:stroke on="f"/>
                      <v:imagedata o:title=""/>
                      <o:lock v:ext="edit" aspectratio="f"/>
                      <v:textbox>
                        <w:txbxContent>
                          <w:p w14:paraId="19C14BF4">
                            <w:pPr>
                              <w:keepNext w:val="0"/>
                              <w:keepLines w:val="0"/>
                              <w:pageBreakBefore w:val="0"/>
                              <w:widowControl w:val="0"/>
                              <w:kinsoku/>
                              <w:wordWrap/>
                              <w:overflowPunct/>
                              <w:topLinePunct w:val="0"/>
                              <w:bidi w:val="0"/>
                              <w:adjustRightInd/>
                              <w:snapToGrid/>
                              <w:spacing w:line="240" w:lineRule="exact"/>
                              <w:jc w:val="center"/>
                              <w:textAlignment w:val="auto"/>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lang w:val="en-US" w:eastAsia="zh-CN"/>
                              </w:rPr>
                              <w:t>比重小海绵、木屑等废料</w:t>
                            </w:r>
                          </w:p>
                        </w:txbxContent>
                      </v:textbox>
                    </v:shape>
                  </w:pict>
                </mc:Fallback>
              </mc:AlternateContent>
            </w:r>
            <w:r>
              <w:rPr>
                <w:color w:val="auto"/>
                <w:sz w:val="21"/>
              </w:rPr>
              <mc:AlternateContent>
                <mc:Choice Requires="wps">
                  <w:drawing>
                    <wp:anchor distT="0" distB="0" distL="114300" distR="114300" simplePos="0" relativeHeight="251741184" behindDoc="0" locked="0" layoutInCell="1" allowOverlap="1">
                      <wp:simplePos x="0" y="0"/>
                      <wp:positionH relativeFrom="column">
                        <wp:posOffset>3914140</wp:posOffset>
                      </wp:positionH>
                      <wp:positionV relativeFrom="paragraph">
                        <wp:posOffset>136525</wp:posOffset>
                      </wp:positionV>
                      <wp:extent cx="635" cy="144145"/>
                      <wp:effectExtent l="36195" t="0" r="39370" b="8255"/>
                      <wp:wrapNone/>
                      <wp:docPr id="77" name="直接箭头连接符 50"/>
                      <wp:cNvGraphicFramePr/>
                      <a:graphic xmlns:a="http://schemas.openxmlformats.org/drawingml/2006/main">
                        <a:graphicData uri="http://schemas.microsoft.com/office/word/2010/wordprocessingShape">
                          <wps:wsp>
                            <wps:cNvCnPr/>
                            <wps:spPr>
                              <a:xfrm flipH="1" flipV="1">
                                <a:off x="5501640" y="7162165"/>
                                <a:ext cx="635" cy="144145"/>
                              </a:xfrm>
                              <a:prstGeom prst="straightConnector1">
                                <a:avLst/>
                              </a:prstGeom>
                              <a:ln w="9525" cap="flat" cmpd="sng">
                                <a:solidFill>
                                  <a:srgbClr val="000000"/>
                                </a:solidFill>
                                <a:prstDash val="dash"/>
                                <a:headEnd type="none" w="med" len="med"/>
                                <a:tailEnd type="arrow" w="sm" len="sm"/>
                              </a:ln>
                            </wps:spPr>
                            <wps:bodyPr/>
                          </wps:wsp>
                        </a:graphicData>
                      </a:graphic>
                    </wp:anchor>
                  </w:drawing>
                </mc:Choice>
                <mc:Fallback>
                  <w:pict>
                    <v:shape id="直接箭头连接符 50" o:spid="_x0000_s1026" o:spt="32" type="#_x0000_t32" style="position:absolute;left:0pt;flip:x y;margin-left:308.2pt;margin-top:10.75pt;height:11.35pt;width:0.05pt;z-index:251741184;mso-width-relative:page;mso-height-relative:page;" filled="f" stroked="t" coordsize="21600,21600" o:gfxdata="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">
                      <v:fill on="f" focussize="0,0"/>
                      <v:stroke color="#000000" joinstyle="round" dashstyle="dash" endarrow="open" endarrowwidth="narrow" endarrowlength="short"/>
                      <v:imagedata o:title=""/>
                      <o:lock v:ext="edit" aspectratio="f"/>
                    </v:shape>
                  </w:pict>
                </mc:Fallback>
              </mc:AlternateContent>
            </w:r>
            <w:r>
              <w:rPr>
                <w:color w:val="auto"/>
                <w:sz w:val="21"/>
              </w:rPr>
              <mc:AlternateContent>
                <mc:Choice Requires="wps">
                  <w:drawing>
                    <wp:anchor distT="0" distB="0" distL="114300" distR="114300" simplePos="0" relativeHeight="251714560" behindDoc="0" locked="0" layoutInCell="1" allowOverlap="1">
                      <wp:simplePos x="0" y="0"/>
                      <wp:positionH relativeFrom="column">
                        <wp:posOffset>3580765</wp:posOffset>
                      </wp:positionH>
                      <wp:positionV relativeFrom="paragraph">
                        <wp:posOffset>21590</wp:posOffset>
                      </wp:positionV>
                      <wp:extent cx="635" cy="251460"/>
                      <wp:effectExtent l="48895" t="0" r="64770" b="15240"/>
                      <wp:wrapNone/>
                      <wp:docPr id="427" name="直接连接符 427"/>
                      <wp:cNvGraphicFramePr/>
                      <a:graphic xmlns:a="http://schemas.openxmlformats.org/drawingml/2006/main">
                        <a:graphicData uri="http://schemas.microsoft.com/office/word/2010/wordprocessingShape">
                          <wps:wsp>
                            <wps:cNvCnPr/>
                            <wps:spPr>
                              <a:xfrm flipH="1">
                                <a:off x="5168265" y="7047230"/>
                                <a:ext cx="635" cy="251460"/>
                              </a:xfrm>
                              <a:prstGeom prst="line">
                                <a:avLst/>
                              </a:prstGeom>
                              <a:ln w="9525" cap="flat" cmpd="sng">
                                <a:solidFill>
                                  <a:srgbClr val="000000"/>
                                </a:solidFill>
                                <a:prstDash val="solid"/>
                                <a:round/>
                                <a:headEnd type="none" w="med" len="med"/>
                                <a:tailEnd type="arrow" w="med" len="med"/>
                              </a:ln>
                            </wps:spPr>
                            <wps:bodyPr upright="1"/>
                          </wps:wsp>
                        </a:graphicData>
                      </a:graphic>
                    </wp:anchor>
                  </w:drawing>
                </mc:Choice>
                <mc:Fallback>
                  <w:pict>
                    <v:line id="_x0000_s1026" o:spid="_x0000_s1026" o:spt="20" style="position:absolute;left:0pt;flip:x;margin-left:281.95pt;margin-top:1.7pt;height:19.8pt;width:0.05pt;z-index:251714560;mso-width-relative:page;mso-height-relative:page;" filled="f" stroked="t" coordsize="21600,21600" o:gfxdata="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FHTRG/YAAAACAEA&#10;AA8AAAAAAAAAAQAgAAAAIgAAAGRycy9kb3ducmV2LnhtbFBLAQIUABQAAAAIAIdO4kD5kwBJGgIA&#10;AAoEAAAOAAAAAAAAAAEAIAAAACcBAABkcnMvZTJvRG9jLnhtbFBLBQYAAAAABgAGAFkBAACzBQAA&#10;AAA=&#10;">
                      <v:fill on="f" focussize="0,0"/>
                      <v:stroke color="#000000" joinstyle="round" endarrow="open"/>
                      <v:imagedata o:title=""/>
                      <o:lock v:ext="edit" aspectratio="f"/>
                    </v:line>
                  </w:pict>
                </mc:Fallback>
              </mc:AlternateContent>
            </w:r>
            <w:r>
              <w:rPr>
                <w:color w:val="auto"/>
                <w:sz w:val="21"/>
              </w:rPr>
              <mc:AlternateContent>
                <mc:Choice Requires="wps">
                  <w:drawing>
                    <wp:anchor distT="0" distB="0" distL="114300" distR="114300" simplePos="0" relativeHeight="251721728" behindDoc="0" locked="0" layoutInCell="1" allowOverlap="1">
                      <wp:simplePos x="0" y="0"/>
                      <wp:positionH relativeFrom="column">
                        <wp:posOffset>1451610</wp:posOffset>
                      </wp:positionH>
                      <wp:positionV relativeFrom="paragraph">
                        <wp:posOffset>22225</wp:posOffset>
                      </wp:positionV>
                      <wp:extent cx="635" cy="379095"/>
                      <wp:effectExtent l="48895" t="0" r="64770" b="1905"/>
                      <wp:wrapNone/>
                      <wp:docPr id="436" name="直接连接符 436"/>
                      <wp:cNvGraphicFramePr/>
                      <a:graphic xmlns:a="http://schemas.openxmlformats.org/drawingml/2006/main">
                        <a:graphicData uri="http://schemas.microsoft.com/office/word/2010/wordprocessingShape">
                          <wps:wsp>
                            <wps:cNvCnPr/>
                            <wps:spPr>
                              <a:xfrm flipV="1">
                                <a:off x="3039110" y="7047865"/>
                                <a:ext cx="635" cy="379095"/>
                              </a:xfrm>
                              <a:prstGeom prst="line">
                                <a:avLst/>
                              </a:prstGeom>
                              <a:ln w="9525" cap="flat" cmpd="sng">
                                <a:solidFill>
                                  <a:srgbClr val="000000"/>
                                </a:solidFill>
                                <a:prstDash val="solid"/>
                                <a:round/>
                                <a:headEnd type="none" w="med" len="med"/>
                                <a:tailEnd type="arrow" w="med" len="med"/>
                              </a:ln>
                            </wps:spPr>
                            <wps:bodyPr upright="1"/>
                          </wps:wsp>
                        </a:graphicData>
                      </a:graphic>
                    </wp:anchor>
                  </w:drawing>
                </mc:Choice>
                <mc:Fallback>
                  <w:pict>
                    <v:line id="_x0000_s1026" o:spid="_x0000_s1026" o:spt="20" style="position:absolute;left:0pt;flip:y;margin-left:114.3pt;margin-top:1.75pt;height:29.85pt;width:0.05pt;z-index:251721728;mso-width-relative:page;mso-height-relative:page;" filled="f" stroked="t" coordsize="21600,21600" o:gfxdata="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vAgtudcAAAAIAQAA&#10;DwAAAAAAAAABACAAAAAiAAAAZHJzL2Rvd25yZXYueG1sUEsBAhQAFAAAAAgAh07iQFe2RMIaAgAA&#10;CgQAAA4AAAAAAAAAAQAgAAAAJgEAAGRycy9lMm9Eb2MueG1sUEsFBgAAAAAGAAYAWQEAALIFAAAA&#10;AA==&#10;">
                      <v:fill on="f" focussize="0,0"/>
                      <v:stroke color="#000000" joinstyle="round" endarrow="open"/>
                      <v:imagedata o:title=""/>
                      <o:lock v:ext="edit" aspectratio="f"/>
                    </v:line>
                  </w:pict>
                </mc:Fallback>
              </mc:AlternateContent>
            </w:r>
          </w:p>
          <w:p w14:paraId="7BA280EA">
            <w:pPr>
              <w:rPr>
                <w:color w:val="auto"/>
              </w:rPr>
            </w:pPr>
            <w:r>
              <w:rPr>
                <w:color w:val="auto"/>
                <w:sz w:val="21"/>
              </w:rPr>
              <mc:AlternateContent>
                <mc:Choice Requires="wps">
                  <w:drawing>
                    <wp:anchor distT="0" distB="0" distL="114300" distR="114300" simplePos="0" relativeHeight="251713536" behindDoc="0" locked="0" layoutInCell="1" allowOverlap="1">
                      <wp:simplePos x="0" y="0"/>
                      <wp:positionH relativeFrom="column">
                        <wp:posOffset>3141345</wp:posOffset>
                      </wp:positionH>
                      <wp:positionV relativeFrom="paragraph">
                        <wp:posOffset>116205</wp:posOffset>
                      </wp:positionV>
                      <wp:extent cx="908050" cy="253365"/>
                      <wp:effectExtent l="4445" t="4445" r="20955" b="8890"/>
                      <wp:wrapNone/>
                      <wp:docPr id="426" name="文本框 426"/>
                      <wp:cNvGraphicFramePr/>
                      <a:graphic xmlns:a="http://schemas.openxmlformats.org/drawingml/2006/main">
                        <a:graphicData uri="http://schemas.microsoft.com/office/word/2010/wordprocessingShape">
                          <wps:wsp>
                            <wps:cNvSpPr txBox="1"/>
                            <wps:spPr>
                              <a:xfrm>
                                <a:off x="4728845" y="7295515"/>
                                <a:ext cx="908050" cy="253365"/>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504B02F5">
                                  <w:pPr>
                                    <w:jc w:val="center"/>
                                    <w:rPr>
                                      <w:rFonts w:hint="default" w:ascii="Times New Roman" w:hAnsi="Times New Roman" w:eastAsia="宋体" w:cs="Times New Roman"/>
                                      <w:sz w:val="18"/>
                                      <w:szCs w:val="18"/>
                                      <w:lang w:val="en-US" w:eastAsia="zh-CN"/>
                                    </w:rPr>
                                  </w:pPr>
                                  <w:r>
                                    <w:rPr>
                                      <w:rFonts w:hint="eastAsia" w:cs="Times New Roman"/>
                                      <w:sz w:val="18"/>
                                      <w:szCs w:val="18"/>
                                      <w:lang w:val="en-US" w:eastAsia="zh-CN"/>
                                    </w:rPr>
                                    <w:t>2</w:t>
                                  </w:r>
                                  <w:r>
                                    <w:rPr>
                                      <w:rFonts w:hint="default" w:ascii="Times New Roman" w:hAnsi="Times New Roman" w:eastAsia="宋体" w:cs="Times New Roman"/>
                                      <w:sz w:val="18"/>
                                      <w:szCs w:val="18"/>
                                      <w:vertAlign w:val="superscript"/>
                                      <w:lang w:val="en-US" w:eastAsia="zh-CN"/>
                                    </w:rPr>
                                    <w:t>#</w:t>
                                  </w:r>
                                  <w:r>
                                    <w:rPr>
                                      <w:rFonts w:hint="default" w:ascii="Times New Roman" w:hAnsi="Times New Roman" w:eastAsia="宋体" w:cs="Times New Roman"/>
                                      <w:sz w:val="18"/>
                                      <w:szCs w:val="18"/>
                                      <w:lang w:val="en-US" w:eastAsia="zh-CN"/>
                                    </w:rPr>
                                    <w:t>空气分选机</w:t>
                                  </w:r>
                                </w:p>
                              </w:txbxContent>
                            </wps:txbx>
                            <wps:bodyPr upright="1"/>
                          </wps:wsp>
                        </a:graphicData>
                      </a:graphic>
                    </wp:anchor>
                  </w:drawing>
                </mc:Choice>
                <mc:Fallback>
                  <w:pict>
                    <v:shape id="_x0000_s1026" o:spid="_x0000_s1026" o:spt="202" type="#_x0000_t202" style="position:absolute;left:0pt;margin-left:247.35pt;margin-top:9.15pt;height:19.95pt;width:71.5pt;z-index:251713536;mso-width-relative:page;mso-height-relative:page;" fillcolor="#FFFFFF" filled="t" stroked="t" coordsize="21600,21600" o:gfxdata="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gcN792AAAAAkB&#10;AAAPAAAAAAAAAAEAIAAAACIAAABkcnMvZG93bnJldi54bWxQSwECFAAUAAAACACHTuJABg1R2hsC&#10;AABFBAAADgAAAAAAAAABACAAAAAnAQAAZHJzL2Uyb0RvYy54bWxQSwUGAAAAAAYABgBZAQAAtAUA&#10;AAAA&#10;">
                      <v:fill on="t" focussize="0,0"/>
                      <v:stroke color="#000000" joinstyle="miter"/>
                      <v:imagedata o:title=""/>
                      <o:lock v:ext="edit" aspectratio="f"/>
                      <v:textbox>
                        <w:txbxContent>
                          <w:p w14:paraId="504B02F5">
                            <w:pPr>
                              <w:jc w:val="center"/>
                              <w:rPr>
                                <w:rFonts w:hint="default" w:ascii="Times New Roman" w:hAnsi="Times New Roman" w:eastAsia="宋体" w:cs="Times New Roman"/>
                                <w:sz w:val="18"/>
                                <w:szCs w:val="18"/>
                                <w:lang w:val="en-US" w:eastAsia="zh-CN"/>
                              </w:rPr>
                            </w:pPr>
                            <w:r>
                              <w:rPr>
                                <w:rFonts w:hint="eastAsia" w:cs="Times New Roman"/>
                                <w:sz w:val="18"/>
                                <w:szCs w:val="18"/>
                                <w:lang w:val="en-US" w:eastAsia="zh-CN"/>
                              </w:rPr>
                              <w:t>2</w:t>
                            </w:r>
                            <w:r>
                              <w:rPr>
                                <w:rFonts w:hint="default" w:ascii="Times New Roman" w:hAnsi="Times New Roman" w:eastAsia="宋体" w:cs="Times New Roman"/>
                                <w:sz w:val="18"/>
                                <w:szCs w:val="18"/>
                                <w:vertAlign w:val="superscript"/>
                                <w:lang w:val="en-US" w:eastAsia="zh-CN"/>
                              </w:rPr>
                              <w:t>#</w:t>
                            </w:r>
                            <w:r>
                              <w:rPr>
                                <w:rFonts w:hint="default" w:ascii="Times New Roman" w:hAnsi="Times New Roman" w:eastAsia="宋体" w:cs="Times New Roman"/>
                                <w:sz w:val="18"/>
                                <w:szCs w:val="18"/>
                                <w:lang w:val="en-US" w:eastAsia="zh-CN"/>
                              </w:rPr>
                              <w:t>空气分选机</w:t>
                            </w:r>
                          </w:p>
                        </w:txbxContent>
                      </v:textbox>
                    </v:shape>
                  </w:pict>
                </mc:Fallback>
              </mc:AlternateContent>
            </w:r>
            <w:r>
              <w:rPr>
                <w:color w:val="auto"/>
                <w:sz w:val="21"/>
              </w:rPr>
              <mc:AlternateContent>
                <mc:Choice Requires="wps">
                  <w:drawing>
                    <wp:anchor distT="0" distB="0" distL="114300" distR="114300" simplePos="0" relativeHeight="251722752" behindDoc="0" locked="0" layoutInCell="1" allowOverlap="1">
                      <wp:simplePos x="0" y="0"/>
                      <wp:positionH relativeFrom="column">
                        <wp:posOffset>69215</wp:posOffset>
                      </wp:positionH>
                      <wp:positionV relativeFrom="paragraph">
                        <wp:posOffset>121285</wp:posOffset>
                      </wp:positionV>
                      <wp:extent cx="681990" cy="271145"/>
                      <wp:effectExtent l="0" t="0" r="0" b="0"/>
                      <wp:wrapNone/>
                      <wp:docPr id="437" name="文本框 437"/>
                      <wp:cNvGraphicFramePr/>
                      <a:graphic xmlns:a="http://schemas.openxmlformats.org/drawingml/2006/main">
                        <a:graphicData uri="http://schemas.microsoft.com/office/word/2010/wordprocessingShape">
                          <wps:wsp>
                            <wps:cNvSpPr txBox="1"/>
                            <wps:spPr>
                              <a:xfrm>
                                <a:off x="1656715" y="7300595"/>
                                <a:ext cx="681990" cy="271145"/>
                              </a:xfrm>
                              <a:prstGeom prst="rect">
                                <a:avLst/>
                              </a:prstGeom>
                              <a:noFill/>
                              <a:ln>
                                <a:noFill/>
                              </a:ln>
                            </wps:spPr>
                            <wps:txbx>
                              <w:txbxContent>
                                <w:p w14:paraId="64124C95">
                                  <w:pPr>
                                    <w:jc w:val="both"/>
                                    <w:rPr>
                                      <w:rFonts w:hint="default" w:ascii="Times New Roman" w:hAnsi="Times New Roman" w:eastAsia="宋体" w:cs="Times New Roman"/>
                                      <w:b/>
                                      <w:bCs/>
                                      <w:sz w:val="18"/>
                                      <w:szCs w:val="18"/>
                                      <w:lang w:val="en-US" w:eastAsia="zh-CN"/>
                                    </w:rPr>
                                  </w:pPr>
                                  <w:r>
                                    <w:rPr>
                                      <w:rFonts w:hint="default" w:ascii="Times New Roman" w:hAnsi="Times New Roman" w:eastAsia="宋体" w:cs="Times New Roman"/>
                                      <w:b/>
                                      <w:bCs/>
                                      <w:sz w:val="18"/>
                                      <w:szCs w:val="18"/>
                                      <w:lang w:val="en-US" w:eastAsia="zh-CN"/>
                                    </w:rPr>
                                    <w:t>沉水塑料</w:t>
                                  </w:r>
                                </w:p>
                              </w:txbxContent>
                            </wps:txbx>
                            <wps:bodyPr upright="1"/>
                          </wps:wsp>
                        </a:graphicData>
                      </a:graphic>
                    </wp:anchor>
                  </w:drawing>
                </mc:Choice>
                <mc:Fallback>
                  <w:pict>
                    <v:shape id="_x0000_s1026" o:spid="_x0000_s1026" o:spt="202" type="#_x0000_t202" style="position:absolute;left:0pt;margin-left:5.45pt;margin-top:9.55pt;height:21.35pt;width:53.7pt;z-index:251722752;mso-width-relative:page;mso-height-relative:page;" filled="f" stroked="f" coordsize="21600,21600" o:gfxdata="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AAAAAZHJzL1BLAQIUABQAAAAI&#10;AIdO4kDs2u5J1QAAAAgBAAAPAAAAAAAAAAEAIAAAACIAAABkcnMvZG93bnJldi54bWxQSwECFAAU&#10;AAAACACHTuJAV4vXyLsBAABdAwAADgAAAAAAAAABACAAAAAkAQAAZHJzL2Uyb0RvYy54bWxQSwUG&#10;AAAAAAYABgBZAQAAUQUAAAAA&#10;">
                      <v:fill on="f" focussize="0,0"/>
                      <v:stroke on="f"/>
                      <v:imagedata o:title=""/>
                      <o:lock v:ext="edit" aspectratio="f"/>
                      <v:textbox>
                        <w:txbxContent>
                          <w:p w14:paraId="64124C95">
                            <w:pPr>
                              <w:jc w:val="both"/>
                              <w:rPr>
                                <w:rFonts w:hint="default" w:ascii="Times New Roman" w:hAnsi="Times New Roman" w:eastAsia="宋体" w:cs="Times New Roman"/>
                                <w:b/>
                                <w:bCs/>
                                <w:sz w:val="18"/>
                                <w:szCs w:val="18"/>
                                <w:lang w:val="en-US" w:eastAsia="zh-CN"/>
                              </w:rPr>
                            </w:pPr>
                            <w:r>
                              <w:rPr>
                                <w:rFonts w:hint="default" w:ascii="Times New Roman" w:hAnsi="Times New Roman" w:eastAsia="宋体" w:cs="Times New Roman"/>
                                <w:b/>
                                <w:bCs/>
                                <w:sz w:val="18"/>
                                <w:szCs w:val="18"/>
                                <w:lang w:val="en-US" w:eastAsia="zh-CN"/>
                              </w:rPr>
                              <w:t>沉水塑料</w:t>
                            </w:r>
                          </w:p>
                        </w:txbxContent>
                      </v:textbox>
                    </v:shape>
                  </w:pict>
                </mc:Fallback>
              </mc:AlternateContent>
            </w:r>
          </w:p>
          <w:p w14:paraId="3C6063A6">
            <w:pPr>
              <w:rPr>
                <w:color w:val="auto"/>
              </w:rPr>
            </w:pPr>
            <w:r>
              <w:rPr>
                <w:color w:val="auto"/>
                <w:sz w:val="21"/>
              </w:rPr>
              <mc:AlternateContent>
                <mc:Choice Requires="wps">
                  <w:drawing>
                    <wp:anchor distT="0" distB="0" distL="114300" distR="114300" simplePos="0" relativeHeight="251717632" behindDoc="0" locked="0" layoutInCell="1" allowOverlap="1">
                      <wp:simplePos x="0" y="0"/>
                      <wp:positionH relativeFrom="column">
                        <wp:posOffset>1435100</wp:posOffset>
                      </wp:positionH>
                      <wp:positionV relativeFrom="paragraph">
                        <wp:posOffset>92075</wp:posOffset>
                      </wp:positionV>
                      <wp:extent cx="1694180" cy="635"/>
                      <wp:effectExtent l="0" t="0" r="0" b="0"/>
                      <wp:wrapNone/>
                      <wp:docPr id="432" name="直接连接符 432"/>
                      <wp:cNvGraphicFramePr/>
                      <a:graphic xmlns:a="http://schemas.openxmlformats.org/drawingml/2006/main">
                        <a:graphicData uri="http://schemas.microsoft.com/office/word/2010/wordprocessingShape">
                          <wps:wsp>
                            <wps:cNvCnPr/>
                            <wps:spPr>
                              <a:xfrm flipH="1" flipV="1">
                                <a:off x="3022600" y="7424420"/>
                                <a:ext cx="1694180" cy="635"/>
                              </a:xfrm>
                              <a:prstGeom prst="line">
                                <a:avLst/>
                              </a:prstGeom>
                              <a:ln w="9525" cap="flat" cmpd="sng">
                                <a:solidFill>
                                  <a:srgbClr val="000000"/>
                                </a:solidFill>
                                <a:prstDash val="solid"/>
                                <a:round/>
                                <a:headEnd type="none" w="med" len="med"/>
                                <a:tailEnd type="none" w="med" len="med"/>
                              </a:ln>
                            </wps:spPr>
                            <wps:bodyPr upright="1"/>
                          </wps:wsp>
                        </a:graphicData>
                      </a:graphic>
                    </wp:anchor>
                  </w:drawing>
                </mc:Choice>
                <mc:Fallback>
                  <w:pict>
                    <v:line id="_x0000_s1026" o:spid="_x0000_s1026" o:spt="20" style="position:absolute;left:0pt;flip:x y;margin-left:113pt;margin-top:7.25pt;height:0.05pt;width:133.4pt;z-index:251717632;mso-width-relative:page;mso-height-relative:page;" filled="f" stroked="t" coordsize="21600,21600" o:gfxdata="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9mzaz9QAAAAJAQAADwAAAAAA&#10;AAABACAAAAAiAAAAZHJzL2Rvd25yZXYueG1sUEsBAhQAFAAAAAgAh07iQCrO8s4XAgAAFAQAAA4A&#10;AAAAAAAAAQAgAAAAIwEAAGRycy9lMm9Eb2MueG1sUEsFBgAAAAAGAAYAWQEAAKwFAAAAAA==&#10;">
                      <v:fill on="f" focussize="0,0"/>
                      <v:stroke color="#000000" joinstyle="round"/>
                      <v:imagedata o:title=""/>
                      <o:lock v:ext="edit" aspectratio="f"/>
                    </v:line>
                  </w:pict>
                </mc:Fallback>
              </mc:AlternateContent>
            </w:r>
          </w:p>
          <w:p w14:paraId="112D4557">
            <w:pPr>
              <w:rPr>
                <w:color w:val="auto"/>
              </w:rPr>
            </w:pPr>
            <w:r>
              <w:rPr>
                <w:color w:val="auto"/>
                <w:sz w:val="21"/>
              </w:rPr>
              <mc:AlternateContent>
                <mc:Choice Requires="wps">
                  <w:drawing>
                    <wp:anchor distT="0" distB="0" distL="114300" distR="114300" simplePos="0" relativeHeight="251715584" behindDoc="0" locked="0" layoutInCell="1" allowOverlap="1">
                      <wp:simplePos x="0" y="0"/>
                      <wp:positionH relativeFrom="column">
                        <wp:posOffset>3584575</wp:posOffset>
                      </wp:positionH>
                      <wp:positionV relativeFrom="paragraph">
                        <wp:posOffset>60325</wp:posOffset>
                      </wp:positionV>
                      <wp:extent cx="3175" cy="207645"/>
                      <wp:effectExtent l="47625" t="0" r="63500" b="1905"/>
                      <wp:wrapNone/>
                      <wp:docPr id="428" name="直接连接符 428"/>
                      <wp:cNvGraphicFramePr/>
                      <a:graphic xmlns:a="http://schemas.openxmlformats.org/drawingml/2006/main">
                        <a:graphicData uri="http://schemas.microsoft.com/office/word/2010/wordprocessingShape">
                          <wps:wsp>
                            <wps:cNvCnPr/>
                            <wps:spPr>
                              <a:xfrm flipH="1">
                                <a:off x="5172075" y="7546340"/>
                                <a:ext cx="3175" cy="207645"/>
                              </a:xfrm>
                              <a:prstGeom prst="line">
                                <a:avLst/>
                              </a:prstGeom>
                              <a:ln w="9525" cap="flat" cmpd="sng">
                                <a:solidFill>
                                  <a:srgbClr val="000000"/>
                                </a:solidFill>
                                <a:prstDash val="solid"/>
                                <a:round/>
                                <a:headEnd type="none" w="med" len="med"/>
                                <a:tailEnd type="arrow" w="med" len="med"/>
                              </a:ln>
                            </wps:spPr>
                            <wps:bodyPr upright="1"/>
                          </wps:wsp>
                        </a:graphicData>
                      </a:graphic>
                    </wp:anchor>
                  </w:drawing>
                </mc:Choice>
                <mc:Fallback>
                  <w:pict>
                    <v:line id="_x0000_s1026" o:spid="_x0000_s1026" o:spt="20" style="position:absolute;left:0pt;flip:x;margin-left:282.25pt;margin-top:4.75pt;height:16.35pt;width:0.25pt;z-index:251715584;mso-width-relative:page;mso-height-relative:page;" filled="f" stroked="t" coordsize="21600,21600" o:gfxdata="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94uPqNgAAAAIAQAADwAA&#10;AAAAAAABACAAAAAiAAAAZHJzL2Rvd25yZXYueG1sUEsBAhQAFAAAAAgAh07iQG7AKdIWAgAACwQA&#10;AA4AAAAAAAAAAQAgAAAAJwEAAGRycy9lMm9Eb2MueG1sUEsFBgAAAAAGAAYAWQEAAK8FAAAAAA==&#10;">
                      <v:fill on="f" focussize="0,0"/>
                      <v:stroke color="#000000" joinstyle="round" endarrow="open"/>
                      <v:imagedata o:title=""/>
                      <o:lock v:ext="edit" aspectratio="f"/>
                    </v:line>
                  </w:pict>
                </mc:Fallback>
              </mc:AlternateContent>
            </w:r>
          </w:p>
          <w:p w14:paraId="54803470">
            <w:pPr>
              <w:rPr>
                <w:color w:val="auto"/>
              </w:rPr>
            </w:pPr>
            <w:r>
              <w:rPr>
                <w:color w:val="auto"/>
                <w:sz w:val="21"/>
              </w:rPr>
              <mc:AlternateContent>
                <mc:Choice Requires="wps">
                  <w:drawing>
                    <wp:anchor distT="0" distB="0" distL="114300" distR="114300" simplePos="0" relativeHeight="251716608" behindDoc="0" locked="0" layoutInCell="1" allowOverlap="1">
                      <wp:simplePos x="0" y="0"/>
                      <wp:positionH relativeFrom="column">
                        <wp:posOffset>3274695</wp:posOffset>
                      </wp:positionH>
                      <wp:positionV relativeFrom="paragraph">
                        <wp:posOffset>77470</wp:posOffset>
                      </wp:positionV>
                      <wp:extent cx="671830" cy="231775"/>
                      <wp:effectExtent l="0" t="0" r="0" b="0"/>
                      <wp:wrapNone/>
                      <wp:docPr id="431" name="文本框 431"/>
                      <wp:cNvGraphicFramePr/>
                      <a:graphic xmlns:a="http://schemas.openxmlformats.org/drawingml/2006/main">
                        <a:graphicData uri="http://schemas.microsoft.com/office/word/2010/wordprocessingShape">
                          <wps:wsp>
                            <wps:cNvSpPr txBox="1"/>
                            <wps:spPr>
                              <a:xfrm>
                                <a:off x="4862195" y="7716520"/>
                                <a:ext cx="671830" cy="231775"/>
                              </a:xfrm>
                              <a:prstGeom prst="rect">
                                <a:avLst/>
                              </a:prstGeom>
                              <a:noFill/>
                              <a:ln>
                                <a:noFill/>
                              </a:ln>
                            </wps:spPr>
                            <wps:txbx>
                              <w:txbxContent>
                                <w:p w14:paraId="7F8DD91F">
                                  <w:pPr>
                                    <w:keepNext w:val="0"/>
                                    <w:keepLines w:val="0"/>
                                    <w:pageBreakBefore w:val="0"/>
                                    <w:widowControl w:val="0"/>
                                    <w:kinsoku/>
                                    <w:wordWrap/>
                                    <w:overflowPunct/>
                                    <w:topLinePunct w:val="0"/>
                                    <w:bidi w:val="0"/>
                                    <w:adjustRightInd/>
                                    <w:snapToGrid/>
                                    <w:spacing w:line="220" w:lineRule="exact"/>
                                    <w:jc w:val="both"/>
                                    <w:textAlignment w:val="auto"/>
                                    <w:rPr>
                                      <w:rFonts w:hint="default" w:ascii="Times New Roman" w:hAnsi="Times New Roman" w:eastAsia="宋体" w:cs="Times New Roman"/>
                                      <w:b/>
                                      <w:bCs/>
                                      <w:sz w:val="18"/>
                                      <w:szCs w:val="18"/>
                                      <w:lang w:val="en-US" w:eastAsia="zh-CN"/>
                                    </w:rPr>
                                  </w:pPr>
                                  <w:r>
                                    <w:rPr>
                                      <w:rFonts w:hint="default" w:ascii="Times New Roman" w:hAnsi="Times New Roman" w:eastAsia="宋体" w:cs="Times New Roman"/>
                                      <w:b/>
                                      <w:bCs/>
                                      <w:sz w:val="18"/>
                                      <w:szCs w:val="18"/>
                                      <w:lang w:val="en-US" w:eastAsia="zh-CN"/>
                                    </w:rPr>
                                    <w:t>轻质塑料</w:t>
                                  </w:r>
                                </w:p>
                              </w:txbxContent>
                            </wps:txbx>
                            <wps:bodyPr upright="1"/>
                          </wps:wsp>
                        </a:graphicData>
                      </a:graphic>
                    </wp:anchor>
                  </w:drawing>
                </mc:Choice>
                <mc:Fallback>
                  <w:pict>
                    <v:shape id="_x0000_s1026" o:spid="_x0000_s1026" o:spt="202" type="#_x0000_t202" style="position:absolute;left:0pt;margin-left:257.85pt;margin-top:6.1pt;height:18.25pt;width:52.9pt;z-index:251716608;mso-width-relative:page;mso-height-relative:page;" filled="f" stroked="f" coordsize="21600,21600" o:gfxdata="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B9aH3zXAAAACQEAAA8AAAAAAAAAAQAgAAAAIgAAAGRycy9kb3ducmV2LnhtbFBLAQIU&#10;ABQAAAAIAIdO4kCcZBm8uwEAAF0DAAAOAAAAAAAAAAEAIAAAACYBAABkcnMvZTJvRG9jLnhtbFBL&#10;BQYAAAAABgAGAFkBAABTBQAAAAA=&#10;">
                      <v:fill on="f" focussize="0,0"/>
                      <v:stroke on="f"/>
                      <v:imagedata o:title=""/>
                      <o:lock v:ext="edit" aspectratio="f"/>
                      <v:textbox>
                        <w:txbxContent>
                          <w:p w14:paraId="7F8DD91F">
                            <w:pPr>
                              <w:keepNext w:val="0"/>
                              <w:keepLines w:val="0"/>
                              <w:pageBreakBefore w:val="0"/>
                              <w:widowControl w:val="0"/>
                              <w:kinsoku/>
                              <w:wordWrap/>
                              <w:overflowPunct/>
                              <w:topLinePunct w:val="0"/>
                              <w:bidi w:val="0"/>
                              <w:adjustRightInd/>
                              <w:snapToGrid/>
                              <w:spacing w:line="220" w:lineRule="exact"/>
                              <w:jc w:val="both"/>
                              <w:textAlignment w:val="auto"/>
                              <w:rPr>
                                <w:rFonts w:hint="default" w:ascii="Times New Roman" w:hAnsi="Times New Roman" w:eastAsia="宋体" w:cs="Times New Roman"/>
                                <w:b/>
                                <w:bCs/>
                                <w:sz w:val="18"/>
                                <w:szCs w:val="18"/>
                                <w:lang w:val="en-US" w:eastAsia="zh-CN"/>
                              </w:rPr>
                            </w:pPr>
                            <w:r>
                              <w:rPr>
                                <w:rFonts w:hint="default" w:ascii="Times New Roman" w:hAnsi="Times New Roman" w:eastAsia="宋体" w:cs="Times New Roman"/>
                                <w:b/>
                                <w:bCs/>
                                <w:sz w:val="18"/>
                                <w:szCs w:val="18"/>
                                <w:lang w:val="en-US" w:eastAsia="zh-CN"/>
                              </w:rPr>
                              <w:t>轻质塑料</w:t>
                            </w:r>
                          </w:p>
                        </w:txbxContent>
                      </v:textbox>
                    </v:shape>
                  </w:pict>
                </mc:Fallback>
              </mc:AlternateContent>
            </w:r>
          </w:p>
          <w:p w14:paraId="618A519E">
            <w:pPr>
              <w:rPr>
                <w:color w:val="auto"/>
              </w:rPr>
            </w:pPr>
          </w:p>
          <w:p w14:paraId="57F1D801">
            <w:pPr>
              <w:pStyle w:val="24"/>
              <w:adjustRightInd w:val="0"/>
              <w:snapToGrid w:val="0"/>
              <w:spacing w:before="0" w:beforeAutospacing="0" w:after="0" w:afterAutospacing="0" w:line="440" w:lineRule="exact"/>
              <w:jc w:val="center"/>
              <w:rPr>
                <w:rFonts w:ascii="Times New Roman" w:hAnsi="Times New Roman"/>
                <w:b/>
                <w:color w:val="auto"/>
                <w:sz w:val="21"/>
                <w:szCs w:val="21"/>
                <w:highlight w:val="none"/>
              </w:rPr>
            </w:pPr>
            <w:r>
              <w:rPr>
                <w:rFonts w:hint="eastAsia" w:ascii="Times New Roman" w:hAnsi="Times New Roman"/>
                <w:b/>
                <w:color w:val="auto"/>
                <w:sz w:val="21"/>
                <w:szCs w:val="21"/>
                <w:highlight w:val="none"/>
              </w:rPr>
              <w:t>图</w:t>
            </w:r>
            <w:r>
              <w:rPr>
                <w:rFonts w:hint="eastAsia" w:ascii="Times New Roman" w:hAnsi="Times New Roman"/>
                <w:b/>
                <w:color w:val="auto"/>
                <w:sz w:val="21"/>
                <w:szCs w:val="21"/>
                <w:highlight w:val="none"/>
                <w:lang w:val="en-US" w:eastAsia="zh-CN"/>
              </w:rPr>
              <w:t>5</w:t>
            </w:r>
            <w:r>
              <w:rPr>
                <w:rFonts w:hint="eastAsia" w:ascii="Times New Roman" w:hAnsi="Times New Roman"/>
                <w:b/>
                <w:color w:val="auto"/>
                <w:sz w:val="21"/>
                <w:szCs w:val="21"/>
                <w:highlight w:val="none"/>
              </w:rPr>
              <w:t xml:space="preserve"> </w:t>
            </w:r>
            <w:r>
              <w:rPr>
                <w:rFonts w:hint="eastAsia" w:ascii="Times New Roman" w:hAnsi="Times New Roman" w:eastAsia="宋体" w:cs="Times New Roman"/>
                <w:b/>
                <w:color w:val="auto"/>
                <w:sz w:val="21"/>
                <w:szCs w:val="21"/>
                <w:highlight w:val="none"/>
                <w:lang w:val="en-US" w:eastAsia="zh-CN"/>
              </w:rPr>
              <w:t>废钢破碎尾料分选生产线塑料、橡胶分选工段</w:t>
            </w:r>
            <w:r>
              <w:rPr>
                <w:rFonts w:ascii="Times New Roman" w:hAnsi="Times New Roman"/>
                <w:b/>
                <w:color w:val="auto"/>
                <w:sz w:val="21"/>
                <w:szCs w:val="21"/>
                <w:highlight w:val="none"/>
              </w:rPr>
              <w:t>工艺流程及排污节点图</w:t>
            </w:r>
          </w:p>
          <w:p w14:paraId="5EBB0DEB">
            <w:pPr>
              <w:pStyle w:val="24"/>
              <w:keepNext w:val="0"/>
              <w:keepLines w:val="0"/>
              <w:pageBreakBefore w:val="0"/>
              <w:widowControl/>
              <w:kinsoku/>
              <w:wordWrap/>
              <w:overflowPunct/>
              <w:topLinePunct w:val="0"/>
              <w:autoSpaceDE/>
              <w:autoSpaceDN/>
              <w:bidi w:val="0"/>
              <w:adjustRightInd w:val="0"/>
              <w:snapToGrid w:val="0"/>
              <w:spacing w:before="0" w:beforeAutospacing="0" w:after="0" w:afterAutospacing="0" w:line="430" w:lineRule="exact"/>
              <w:ind w:firstLine="422" w:firstLineChars="200"/>
              <w:textAlignment w:val="auto"/>
              <w:rPr>
                <w:rFonts w:hint="default" w:ascii="Times New Roman" w:hAnsi="Times New Roman" w:eastAsia="宋体" w:cs="Times New Roman"/>
                <w:b/>
                <w:bCs/>
                <w:color w:val="auto"/>
                <w:sz w:val="21"/>
                <w:szCs w:val="21"/>
                <w:lang w:val="en-US" w:eastAsia="zh-CN"/>
              </w:rPr>
            </w:pPr>
            <w:r>
              <w:rPr>
                <w:rFonts w:hint="eastAsia" w:ascii="Times New Roman" w:hAnsi="Times New Roman" w:eastAsia="宋体" w:cs="Times New Roman"/>
                <w:b/>
                <w:bCs/>
                <w:color w:val="auto"/>
                <w:sz w:val="21"/>
                <w:szCs w:val="21"/>
                <w:lang w:val="en-US" w:eastAsia="zh-CN"/>
              </w:rPr>
              <w:t>2.2金属混合物分选生产工段</w:t>
            </w:r>
          </w:p>
          <w:p w14:paraId="7D632FFA">
            <w:pPr>
              <w:pStyle w:val="24"/>
              <w:keepNext w:val="0"/>
              <w:keepLines w:val="0"/>
              <w:pageBreakBefore w:val="0"/>
              <w:widowControl/>
              <w:kinsoku/>
              <w:wordWrap/>
              <w:overflowPunct/>
              <w:topLinePunct w:val="0"/>
              <w:autoSpaceDE/>
              <w:autoSpaceDN/>
              <w:bidi w:val="0"/>
              <w:adjustRightInd w:val="0"/>
              <w:snapToGrid w:val="0"/>
              <w:spacing w:before="0" w:beforeAutospacing="0" w:after="0" w:afterAutospacing="0" w:line="430" w:lineRule="exact"/>
              <w:ind w:firstLine="420" w:firstLineChars="200"/>
              <w:textAlignment w:val="auto"/>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①上料、筛分</w:t>
            </w:r>
          </w:p>
          <w:p w14:paraId="4C47BA11">
            <w:pPr>
              <w:pStyle w:val="24"/>
              <w:keepNext w:val="0"/>
              <w:keepLines w:val="0"/>
              <w:pageBreakBefore w:val="0"/>
              <w:widowControl/>
              <w:kinsoku/>
              <w:wordWrap/>
              <w:overflowPunct/>
              <w:topLinePunct w:val="0"/>
              <w:autoSpaceDE/>
              <w:autoSpaceDN/>
              <w:bidi w:val="0"/>
              <w:adjustRightInd w:val="0"/>
              <w:snapToGrid w:val="0"/>
              <w:spacing w:before="0" w:beforeAutospacing="0" w:after="0" w:afterAutospacing="0" w:line="430" w:lineRule="exact"/>
              <w:ind w:firstLine="420" w:firstLineChars="200"/>
              <w:textAlignment w:val="auto"/>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将</w:t>
            </w:r>
            <w:r>
              <w:rPr>
                <w:rFonts w:hint="eastAsia" w:ascii="Times New Roman" w:hAnsi="Times New Roman" w:cs="Times New Roman"/>
                <w:color w:val="auto"/>
                <w:sz w:val="21"/>
                <w:szCs w:val="21"/>
                <w:highlight w:val="none"/>
                <w:lang w:val="en-US" w:eastAsia="zh-CN"/>
              </w:rPr>
              <w:t>1</w:t>
            </w:r>
            <w:r>
              <w:rPr>
                <w:rFonts w:hint="eastAsia" w:ascii="Times New Roman" w:hAnsi="Times New Roman" w:eastAsia="宋体" w:cs="Times New Roman"/>
                <w:color w:val="auto"/>
                <w:sz w:val="21"/>
                <w:szCs w:val="21"/>
                <w:highlight w:val="none"/>
                <w:vertAlign w:val="superscript"/>
                <w:lang w:val="en-US" w:eastAsia="zh-CN"/>
              </w:rPr>
              <w:t>#</w:t>
            </w:r>
            <w:r>
              <w:rPr>
                <w:rFonts w:hint="eastAsia" w:ascii="Times New Roman" w:hAnsi="Times New Roman" w:cs="Times New Roman"/>
                <w:color w:val="auto"/>
                <w:sz w:val="21"/>
                <w:szCs w:val="21"/>
                <w:highlight w:val="none"/>
                <w:lang w:val="en-US" w:eastAsia="zh-CN"/>
              </w:rPr>
              <w:t>储</w:t>
            </w:r>
            <w:r>
              <w:rPr>
                <w:rFonts w:hint="eastAsia" w:ascii="Times New Roman" w:hAnsi="Times New Roman" w:eastAsia="宋体" w:cs="Times New Roman"/>
                <w:color w:val="auto"/>
                <w:sz w:val="21"/>
                <w:szCs w:val="21"/>
                <w:highlight w:val="none"/>
                <w:lang w:val="en-US" w:eastAsia="zh-CN"/>
              </w:rPr>
              <w:t>料池混合料经铲车输送至上料仓内，再经皮带输送机输送至</w:t>
            </w:r>
            <w:r>
              <w:rPr>
                <w:rFonts w:hint="eastAsia" w:ascii="Times New Roman" w:hAnsi="Times New Roman" w:cs="Times New Roman"/>
                <w:color w:val="auto"/>
                <w:sz w:val="21"/>
                <w:szCs w:val="21"/>
                <w:highlight w:val="none"/>
                <w:lang w:val="en-US" w:eastAsia="zh-CN"/>
              </w:rPr>
              <w:t>2</w:t>
            </w:r>
            <w:r>
              <w:rPr>
                <w:rFonts w:hint="eastAsia" w:ascii="Times New Roman" w:hAnsi="Times New Roman" w:cs="Times New Roman"/>
                <w:color w:val="auto"/>
                <w:sz w:val="21"/>
                <w:szCs w:val="21"/>
                <w:highlight w:val="none"/>
                <w:vertAlign w:val="superscript"/>
                <w:lang w:val="en-US" w:eastAsia="zh-CN"/>
              </w:rPr>
              <w:t>#</w:t>
            </w:r>
            <w:r>
              <w:rPr>
                <w:rFonts w:hint="eastAsia" w:ascii="Times New Roman" w:hAnsi="Times New Roman" w:eastAsia="宋体" w:cs="Times New Roman"/>
                <w:color w:val="auto"/>
                <w:sz w:val="21"/>
                <w:szCs w:val="21"/>
                <w:highlight w:val="none"/>
                <w:lang w:val="en-US" w:eastAsia="zh-CN"/>
              </w:rPr>
              <w:t>滚筒筛进行筛分，</w:t>
            </w:r>
            <w:r>
              <w:rPr>
                <w:rFonts w:hint="eastAsia" w:ascii="Times New Roman" w:hAnsi="Times New Roman" w:cs="Times New Roman"/>
                <w:color w:val="auto"/>
                <w:sz w:val="21"/>
                <w:szCs w:val="21"/>
                <w:highlight w:val="none"/>
                <w:lang w:val="en-US" w:eastAsia="zh-CN"/>
              </w:rPr>
              <w:t>筛分过程中同时加入水，</w:t>
            </w:r>
            <w:r>
              <w:rPr>
                <w:rFonts w:hint="eastAsia" w:ascii="Times New Roman" w:hAnsi="Times New Roman" w:eastAsia="宋体" w:cs="Times New Roman"/>
                <w:color w:val="auto"/>
                <w:sz w:val="21"/>
                <w:szCs w:val="21"/>
                <w:highlight w:val="none"/>
                <w:lang w:val="en-US" w:eastAsia="zh-CN"/>
              </w:rPr>
              <w:t>滚筒筛内部设有单层筛网，物料经滚筒筛筛选出筛上粒径范围在</w:t>
            </w:r>
            <w:r>
              <w:rPr>
                <w:rFonts w:hint="default" w:ascii="Times New Roman" w:hAnsi="Times New Roman" w:eastAsia="宋体" w:cs="Times New Roman"/>
                <w:color w:val="auto"/>
                <w:sz w:val="21"/>
                <w:szCs w:val="21"/>
                <w:highlight w:val="none"/>
                <w:lang w:val="en-US" w:eastAsia="zh-CN"/>
              </w:rPr>
              <w:t>1cm~10cm</w:t>
            </w:r>
            <w:r>
              <w:rPr>
                <w:rFonts w:hint="eastAsia" w:ascii="Times New Roman" w:hAnsi="Times New Roman" w:eastAsia="宋体" w:cs="Times New Roman"/>
                <w:color w:val="auto"/>
                <w:sz w:val="21"/>
                <w:szCs w:val="21"/>
                <w:highlight w:val="none"/>
                <w:lang w:val="en-US" w:eastAsia="zh-CN"/>
              </w:rPr>
              <w:t>规格的物料进入下一空气分选工序进行分选。粒径范围小于</w:t>
            </w:r>
            <w:r>
              <w:rPr>
                <w:rFonts w:hint="default" w:ascii="Times New Roman" w:hAnsi="Times New Roman" w:eastAsia="宋体" w:cs="Times New Roman"/>
                <w:color w:val="auto"/>
                <w:sz w:val="21"/>
                <w:szCs w:val="21"/>
                <w:highlight w:val="none"/>
                <w:lang w:val="en-US" w:eastAsia="zh-CN"/>
              </w:rPr>
              <w:t>1cm</w:t>
            </w:r>
            <w:r>
              <w:rPr>
                <w:rFonts w:hint="eastAsia" w:ascii="Times New Roman" w:hAnsi="Times New Roman" w:eastAsia="宋体" w:cs="Times New Roman"/>
                <w:color w:val="auto"/>
                <w:sz w:val="21"/>
                <w:szCs w:val="21"/>
                <w:highlight w:val="none"/>
                <w:lang w:val="en-US" w:eastAsia="zh-CN"/>
              </w:rPr>
              <w:t>的金属混合物料经</w:t>
            </w:r>
            <w:r>
              <w:rPr>
                <w:rFonts w:hint="eastAsia" w:ascii="Times New Roman" w:hAnsi="Times New Roman" w:cs="Times New Roman"/>
                <w:color w:val="auto"/>
                <w:sz w:val="21"/>
                <w:szCs w:val="21"/>
                <w:highlight w:val="none"/>
                <w:lang w:val="en-US" w:eastAsia="zh-CN"/>
              </w:rPr>
              <w:t>管道</w:t>
            </w:r>
            <w:r>
              <w:rPr>
                <w:rFonts w:hint="eastAsia" w:ascii="Times New Roman" w:hAnsi="Times New Roman" w:eastAsia="宋体" w:cs="Times New Roman"/>
                <w:color w:val="auto"/>
                <w:sz w:val="21"/>
                <w:szCs w:val="21"/>
                <w:highlight w:val="none"/>
                <w:lang w:val="en-US" w:eastAsia="zh-CN"/>
              </w:rPr>
              <w:t>输送至</w:t>
            </w:r>
            <w:r>
              <w:rPr>
                <w:rFonts w:hint="eastAsia" w:ascii="Times New Roman" w:hAnsi="Times New Roman" w:cs="Times New Roman"/>
                <w:color w:val="auto"/>
                <w:sz w:val="21"/>
                <w:szCs w:val="21"/>
                <w:highlight w:val="none"/>
                <w:lang w:val="en-US" w:eastAsia="zh-CN"/>
              </w:rPr>
              <w:t>球磨、</w:t>
            </w:r>
            <w:r>
              <w:rPr>
                <w:rFonts w:hint="eastAsia" w:ascii="Times New Roman" w:hAnsi="Times New Roman" w:eastAsia="宋体" w:cs="Times New Roman"/>
                <w:color w:val="auto"/>
                <w:sz w:val="21"/>
                <w:szCs w:val="21"/>
                <w:highlight w:val="none"/>
                <w:lang w:val="en-US" w:eastAsia="zh-CN"/>
              </w:rPr>
              <w:t>磁选工序。</w:t>
            </w:r>
          </w:p>
          <w:p w14:paraId="77F8A610">
            <w:pPr>
              <w:pStyle w:val="24"/>
              <w:keepNext w:val="0"/>
              <w:keepLines w:val="0"/>
              <w:pageBreakBefore w:val="0"/>
              <w:widowControl/>
              <w:kinsoku/>
              <w:wordWrap/>
              <w:overflowPunct/>
              <w:topLinePunct w:val="0"/>
              <w:autoSpaceDE/>
              <w:autoSpaceDN/>
              <w:bidi w:val="0"/>
              <w:adjustRightInd w:val="0"/>
              <w:snapToGrid w:val="0"/>
              <w:spacing w:before="0" w:beforeAutospacing="0" w:after="0" w:afterAutospacing="0" w:line="430" w:lineRule="exact"/>
              <w:ind w:firstLine="422" w:firstLineChars="200"/>
              <w:textAlignment w:val="auto"/>
              <w:rPr>
                <w:rFonts w:hint="eastAsia" w:ascii="Times New Roman" w:hAnsi="Times New Roman"/>
                <w:b/>
                <w:bCs/>
                <w:color w:val="auto"/>
                <w:sz w:val="21"/>
                <w:szCs w:val="21"/>
                <w:highlight w:val="none"/>
                <w:lang w:val="en-US" w:eastAsia="zh-CN"/>
              </w:rPr>
            </w:pPr>
            <w:r>
              <w:rPr>
                <w:rFonts w:hint="eastAsia" w:ascii="Times New Roman" w:hAnsi="Times New Roman"/>
                <w:b/>
                <w:bCs/>
                <w:color w:val="auto"/>
                <w:sz w:val="21"/>
                <w:szCs w:val="21"/>
                <w:highlight w:val="none"/>
                <w:lang w:val="en-US" w:eastAsia="zh-CN"/>
              </w:rPr>
              <w:t>产污节点：滚筒筛运行过程产生的</w:t>
            </w:r>
            <w:r>
              <w:rPr>
                <w:rFonts w:hint="eastAsia" w:ascii="Times New Roman" w:hAnsi="Times New Roman"/>
                <w:b/>
                <w:bCs/>
                <w:color w:val="auto"/>
                <w:sz w:val="21"/>
                <w:szCs w:val="21"/>
              </w:rPr>
              <w:t>设备</w:t>
            </w:r>
            <w:r>
              <w:rPr>
                <w:rFonts w:hint="eastAsia" w:ascii="Times New Roman" w:hAnsi="Times New Roman"/>
                <w:b/>
                <w:bCs/>
                <w:color w:val="auto"/>
                <w:sz w:val="21"/>
                <w:szCs w:val="21"/>
                <w:highlight w:val="none"/>
                <w:lang w:val="en-US" w:eastAsia="zh-CN"/>
              </w:rPr>
              <w:t>噪声。</w:t>
            </w:r>
          </w:p>
          <w:p w14:paraId="753EC3B4">
            <w:pPr>
              <w:pStyle w:val="24"/>
              <w:keepNext w:val="0"/>
              <w:keepLines w:val="0"/>
              <w:pageBreakBefore w:val="0"/>
              <w:widowControl/>
              <w:kinsoku/>
              <w:wordWrap/>
              <w:overflowPunct/>
              <w:topLinePunct w:val="0"/>
              <w:autoSpaceDE/>
              <w:autoSpaceDN/>
              <w:bidi w:val="0"/>
              <w:adjustRightInd w:val="0"/>
              <w:snapToGrid w:val="0"/>
              <w:spacing w:before="0" w:beforeAutospacing="0" w:after="0" w:afterAutospacing="0" w:line="430" w:lineRule="exact"/>
              <w:ind w:firstLine="420" w:firstLineChars="200"/>
              <w:textAlignment w:val="auto"/>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②球磨、磁选</w:t>
            </w:r>
          </w:p>
          <w:p w14:paraId="31DD5252">
            <w:pPr>
              <w:pStyle w:val="24"/>
              <w:keepNext w:val="0"/>
              <w:keepLines w:val="0"/>
              <w:pageBreakBefore w:val="0"/>
              <w:widowControl/>
              <w:kinsoku/>
              <w:wordWrap/>
              <w:overflowPunct/>
              <w:topLinePunct w:val="0"/>
              <w:autoSpaceDE/>
              <w:autoSpaceDN/>
              <w:bidi w:val="0"/>
              <w:adjustRightInd w:val="0"/>
              <w:snapToGrid w:val="0"/>
              <w:spacing w:before="0" w:beforeAutospacing="0" w:after="0" w:afterAutospacing="0" w:line="420" w:lineRule="exact"/>
              <w:ind w:firstLine="420" w:firstLineChars="200"/>
              <w:textAlignment w:val="auto"/>
              <w:rPr>
                <w:rFonts w:hint="eastAsia" w:ascii="Times New Roman" w:hAnsi="Times New Roman" w:cs="Times New Roman"/>
                <w:color w:val="auto"/>
                <w:sz w:val="21"/>
                <w:szCs w:val="21"/>
                <w:highlight w:val="none"/>
                <w:lang w:val="en-US" w:eastAsia="zh-CN"/>
              </w:rPr>
            </w:pPr>
            <w:r>
              <w:rPr>
                <w:rFonts w:hint="eastAsia" w:ascii="Times New Roman" w:hAnsi="Times New Roman" w:eastAsia="宋体" w:cs="Times New Roman"/>
                <w:color w:val="auto"/>
                <w:sz w:val="21"/>
                <w:szCs w:val="21"/>
                <w:lang w:val="en-US" w:eastAsia="zh-CN"/>
              </w:rPr>
              <w:t>经</w:t>
            </w:r>
            <w:r>
              <w:rPr>
                <w:rFonts w:hint="eastAsia" w:ascii="Times New Roman" w:hAnsi="Times New Roman" w:cs="Times New Roman"/>
                <w:color w:val="auto"/>
                <w:sz w:val="21"/>
                <w:szCs w:val="21"/>
                <w:highlight w:val="none"/>
                <w:lang w:val="en-US" w:eastAsia="zh-CN"/>
              </w:rPr>
              <w:t>2</w:t>
            </w:r>
            <w:r>
              <w:rPr>
                <w:rFonts w:hint="eastAsia" w:ascii="Times New Roman" w:hAnsi="Times New Roman" w:cs="Times New Roman"/>
                <w:color w:val="auto"/>
                <w:sz w:val="21"/>
                <w:szCs w:val="21"/>
                <w:highlight w:val="none"/>
                <w:vertAlign w:val="superscript"/>
                <w:lang w:val="en-US" w:eastAsia="zh-CN"/>
              </w:rPr>
              <w:t>#</w:t>
            </w:r>
            <w:r>
              <w:rPr>
                <w:rFonts w:hint="eastAsia" w:ascii="Times New Roman" w:hAnsi="Times New Roman" w:cs="Times New Roman"/>
                <w:color w:val="auto"/>
                <w:sz w:val="21"/>
                <w:szCs w:val="21"/>
                <w:lang w:val="en-US" w:eastAsia="zh-CN"/>
              </w:rPr>
              <w:t>滚筒筛</w:t>
            </w:r>
            <w:r>
              <w:rPr>
                <w:rFonts w:hint="eastAsia" w:ascii="Times New Roman" w:hAnsi="Times New Roman" w:eastAsia="宋体" w:cs="Times New Roman"/>
                <w:color w:val="auto"/>
                <w:sz w:val="21"/>
                <w:szCs w:val="21"/>
                <w:lang w:val="en-US" w:eastAsia="zh-CN"/>
              </w:rPr>
              <w:t>筛分后的筛下物（</w:t>
            </w:r>
            <w:r>
              <w:rPr>
                <w:rFonts w:hint="eastAsia" w:ascii="Times New Roman" w:hAnsi="Times New Roman" w:eastAsia="宋体" w:cs="Times New Roman"/>
                <w:color w:val="auto"/>
                <w:sz w:val="21"/>
                <w:szCs w:val="21"/>
              </w:rPr>
              <w:t>粒径小于</w:t>
            </w:r>
            <w:r>
              <w:rPr>
                <w:rFonts w:hint="eastAsia" w:ascii="Times New Roman" w:hAnsi="Times New Roman" w:cs="Times New Roman"/>
                <w:color w:val="auto"/>
                <w:sz w:val="21"/>
                <w:szCs w:val="21"/>
                <w:lang w:val="en-US" w:eastAsia="zh-CN"/>
              </w:rPr>
              <w:t>1</w:t>
            </w:r>
            <w:r>
              <w:rPr>
                <w:rFonts w:hint="default" w:ascii="Times New Roman" w:hAnsi="Times New Roman" w:eastAsia="宋体" w:cs="Times New Roman"/>
                <w:color w:val="auto"/>
                <w:sz w:val="21"/>
                <w:szCs w:val="21"/>
                <w:highlight w:val="none"/>
                <w:lang w:val="en-US" w:eastAsia="zh-CN"/>
              </w:rPr>
              <w:t>c</w:t>
            </w:r>
            <w:r>
              <w:rPr>
                <w:rFonts w:hint="eastAsia" w:ascii="Times New Roman" w:hAnsi="Times New Roman" w:eastAsia="宋体" w:cs="Times New Roman"/>
                <w:color w:val="auto"/>
                <w:sz w:val="21"/>
                <w:szCs w:val="21"/>
              </w:rPr>
              <w:t>m</w:t>
            </w:r>
            <w:r>
              <w:rPr>
                <w:rFonts w:hint="eastAsia" w:ascii="Times New Roman" w:hAnsi="Times New Roman" w:eastAsia="宋体" w:cs="Times New Roman"/>
                <w:color w:val="auto"/>
                <w:sz w:val="21"/>
                <w:szCs w:val="21"/>
                <w:lang w:val="en-US" w:eastAsia="zh-CN"/>
              </w:rPr>
              <w:t>）经</w:t>
            </w:r>
            <w:r>
              <w:rPr>
                <w:rFonts w:hint="eastAsia" w:ascii="Times New Roman" w:hAnsi="Times New Roman" w:cs="Times New Roman"/>
                <w:color w:val="auto"/>
                <w:sz w:val="21"/>
                <w:szCs w:val="21"/>
                <w:highlight w:val="none"/>
                <w:lang w:val="en-US" w:eastAsia="zh-CN"/>
              </w:rPr>
              <w:t>管道</w:t>
            </w:r>
            <w:r>
              <w:rPr>
                <w:rFonts w:hint="eastAsia" w:ascii="Times New Roman" w:hAnsi="Times New Roman" w:eastAsia="宋体" w:cs="Times New Roman"/>
                <w:color w:val="auto"/>
                <w:sz w:val="21"/>
                <w:szCs w:val="21"/>
                <w:highlight w:val="none"/>
                <w:lang w:val="en-US" w:eastAsia="zh-CN"/>
              </w:rPr>
              <w:t>输送</w:t>
            </w:r>
            <w:r>
              <w:rPr>
                <w:rFonts w:hint="eastAsia" w:ascii="Times New Roman" w:hAnsi="Times New Roman" w:eastAsia="宋体" w:cs="Times New Roman"/>
                <w:color w:val="auto"/>
                <w:sz w:val="21"/>
                <w:szCs w:val="21"/>
                <w:lang w:val="en-US" w:eastAsia="zh-CN"/>
              </w:rPr>
              <w:t>至球磨机中</w:t>
            </w:r>
            <w:r>
              <w:rPr>
                <w:rFonts w:hint="eastAsia" w:ascii="Times New Roman" w:hAnsi="Times New Roman"/>
                <w:color w:val="auto"/>
                <w:sz w:val="21"/>
                <w:szCs w:val="21"/>
              </w:rPr>
              <w:t>，球磨机以钢球作为磨矿介质进行磨矿作业</w:t>
            </w:r>
            <w:r>
              <w:rPr>
                <w:rFonts w:hint="eastAsia" w:ascii="Times New Roman" w:hAnsi="Times New Roman" w:eastAsia="宋体" w:cs="Times New Roman"/>
                <w:color w:val="auto"/>
                <w:sz w:val="21"/>
                <w:szCs w:val="21"/>
                <w:lang w:val="en-US" w:eastAsia="zh-CN"/>
              </w:rPr>
              <w:t>，</w:t>
            </w:r>
            <w:r>
              <w:rPr>
                <w:rFonts w:hint="eastAsia" w:ascii="Times New Roman" w:hAnsi="Times New Roman" w:eastAsia="宋体" w:cs="Times New Roman"/>
                <w:color w:val="auto"/>
                <w:sz w:val="21"/>
                <w:szCs w:val="21"/>
              </w:rPr>
              <w:t>物料进入球磨机的同时，不断给球磨机中注水，</w:t>
            </w:r>
            <w:r>
              <w:rPr>
                <w:rFonts w:hint="eastAsia" w:ascii="Times New Roman" w:hAnsi="Times New Roman" w:eastAsia="宋体" w:cs="Times New Roman"/>
                <w:color w:val="auto"/>
                <w:sz w:val="21"/>
                <w:szCs w:val="21"/>
                <w:lang w:val="en-US" w:eastAsia="zh-CN"/>
              </w:rPr>
              <w:t>原料与水在球磨机</w:t>
            </w:r>
            <w:r>
              <w:rPr>
                <w:rFonts w:hint="eastAsia" w:ascii="Times New Roman" w:hAnsi="Times New Roman" w:cs="Times New Roman"/>
                <w:color w:val="auto"/>
                <w:sz w:val="21"/>
                <w:szCs w:val="21"/>
                <w:highlight w:val="none"/>
                <w:lang w:val="en-US" w:eastAsia="zh-CN"/>
              </w:rPr>
              <w:t>中研磨，研磨后的浆料经管道进入磁选机进行磁选，磁选后的选中的磁性料经封皮溜槽输送至摇床分选，未选中的金属混合料输送至金属混合料储料池暂存，等待外售。</w:t>
            </w:r>
          </w:p>
          <w:p w14:paraId="7F7874EF">
            <w:pPr>
              <w:pStyle w:val="24"/>
              <w:keepNext w:val="0"/>
              <w:keepLines w:val="0"/>
              <w:pageBreakBefore w:val="0"/>
              <w:widowControl/>
              <w:kinsoku/>
              <w:wordWrap/>
              <w:overflowPunct/>
              <w:topLinePunct w:val="0"/>
              <w:autoSpaceDE/>
              <w:autoSpaceDN/>
              <w:bidi w:val="0"/>
              <w:adjustRightInd w:val="0"/>
              <w:snapToGrid w:val="0"/>
              <w:spacing w:before="0" w:beforeAutospacing="0" w:after="0" w:afterAutospacing="0" w:line="430" w:lineRule="exact"/>
              <w:ind w:firstLine="422" w:firstLineChars="200"/>
              <w:textAlignment w:val="auto"/>
              <w:rPr>
                <w:rFonts w:hint="eastAsia" w:ascii="Times New Roman" w:hAnsi="Times New Roman"/>
                <w:b/>
                <w:bCs/>
                <w:color w:val="auto"/>
                <w:sz w:val="21"/>
                <w:szCs w:val="21"/>
                <w:highlight w:val="none"/>
                <w:lang w:val="en-US" w:eastAsia="zh-CN"/>
              </w:rPr>
            </w:pPr>
            <w:r>
              <w:rPr>
                <w:rFonts w:hint="eastAsia" w:ascii="Times New Roman" w:hAnsi="Times New Roman"/>
                <w:b/>
                <w:bCs/>
                <w:color w:val="auto"/>
                <w:sz w:val="21"/>
                <w:szCs w:val="21"/>
                <w:highlight w:val="none"/>
                <w:lang w:val="en-US" w:eastAsia="zh-CN"/>
              </w:rPr>
              <w:t>本工序产污节点：</w:t>
            </w:r>
            <w:r>
              <w:rPr>
                <w:rFonts w:hint="eastAsia" w:ascii="Times New Roman" w:hAnsi="Times New Roman" w:cs="Times New Roman"/>
                <w:b/>
                <w:bCs/>
                <w:color w:val="auto"/>
                <w:sz w:val="21"/>
                <w:szCs w:val="21"/>
                <w:highlight w:val="none"/>
                <w:lang w:val="en-US" w:eastAsia="zh-CN"/>
              </w:rPr>
              <w:t>金属混合料储料池产生的溢</w:t>
            </w:r>
            <w:r>
              <w:rPr>
                <w:rFonts w:hint="eastAsia" w:ascii="Times New Roman" w:hAnsi="Times New Roman"/>
                <w:b/>
                <w:bCs/>
                <w:color w:val="auto"/>
                <w:sz w:val="21"/>
                <w:szCs w:val="21"/>
                <w:highlight w:val="none"/>
                <w:lang w:val="en-US" w:eastAsia="zh-CN"/>
              </w:rPr>
              <w:t>流废水、球磨机、磁选机运行过程产生的</w:t>
            </w:r>
            <w:r>
              <w:rPr>
                <w:rFonts w:hint="eastAsia" w:ascii="Times New Roman" w:hAnsi="Times New Roman"/>
                <w:b/>
                <w:bCs/>
                <w:color w:val="auto"/>
                <w:sz w:val="21"/>
                <w:szCs w:val="21"/>
                <w:highlight w:val="none"/>
              </w:rPr>
              <w:t>设备</w:t>
            </w:r>
            <w:r>
              <w:rPr>
                <w:rFonts w:hint="eastAsia" w:ascii="Times New Roman" w:hAnsi="Times New Roman"/>
                <w:b/>
                <w:bCs/>
                <w:color w:val="auto"/>
                <w:sz w:val="21"/>
                <w:szCs w:val="21"/>
                <w:highlight w:val="none"/>
                <w:lang w:val="en-US" w:eastAsia="zh-CN"/>
              </w:rPr>
              <w:t>噪声</w:t>
            </w:r>
            <w:r>
              <w:rPr>
                <w:rFonts w:hint="eastAsia" w:ascii="Times New Roman" w:hAnsi="Times New Roman"/>
                <w:b/>
                <w:bCs/>
                <w:color w:val="auto"/>
                <w:sz w:val="21"/>
                <w:szCs w:val="21"/>
                <w:highlight w:val="none"/>
              </w:rPr>
              <w:t>；球磨机维护更换产生的废钢球</w:t>
            </w:r>
            <w:r>
              <w:rPr>
                <w:rFonts w:hint="eastAsia" w:ascii="Times New Roman" w:hAnsi="Times New Roman"/>
                <w:b/>
                <w:bCs/>
                <w:color w:val="auto"/>
                <w:sz w:val="21"/>
                <w:szCs w:val="21"/>
                <w:highlight w:val="none"/>
                <w:lang w:val="en-US" w:eastAsia="zh-CN"/>
              </w:rPr>
              <w:t>。</w:t>
            </w:r>
          </w:p>
          <w:p w14:paraId="197CE305">
            <w:pPr>
              <w:pStyle w:val="24"/>
              <w:keepNext w:val="0"/>
              <w:keepLines w:val="0"/>
              <w:pageBreakBefore w:val="0"/>
              <w:widowControl/>
              <w:kinsoku/>
              <w:wordWrap/>
              <w:overflowPunct/>
              <w:topLinePunct w:val="0"/>
              <w:autoSpaceDE/>
              <w:autoSpaceDN/>
              <w:bidi w:val="0"/>
              <w:adjustRightInd w:val="0"/>
              <w:snapToGrid w:val="0"/>
              <w:spacing w:before="0" w:beforeAutospacing="0" w:after="0" w:afterAutospacing="0" w:line="430" w:lineRule="exact"/>
              <w:ind w:firstLine="420" w:firstLineChars="200"/>
              <w:textAlignment w:val="auto"/>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③摇床分选</w:t>
            </w:r>
          </w:p>
          <w:p w14:paraId="567282FC">
            <w:pPr>
              <w:pStyle w:val="24"/>
              <w:keepNext w:val="0"/>
              <w:keepLines w:val="0"/>
              <w:pageBreakBefore w:val="0"/>
              <w:widowControl/>
              <w:kinsoku/>
              <w:wordWrap/>
              <w:overflowPunct/>
              <w:topLinePunct w:val="0"/>
              <w:autoSpaceDE/>
              <w:autoSpaceDN/>
              <w:bidi w:val="0"/>
              <w:adjustRightInd w:val="0"/>
              <w:snapToGrid w:val="0"/>
              <w:spacing w:before="0" w:beforeAutospacing="0" w:after="0" w:afterAutospacing="0" w:line="430" w:lineRule="exact"/>
              <w:ind w:firstLine="420" w:firstLineChars="200"/>
              <w:textAlignment w:val="auto"/>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选出的磁性料经溜槽进入摇床进行分选，摇床一侧加水，摇床分选是在一个倾斜的床面上借助机械对称往复运动和薄层斜面水流等联合作用，使物料在床面上松散分层、分带，从而使物料按密度不同来进行分选的过程。因此最终选出铁粉，暂存于铁粉池，等待外售。</w:t>
            </w:r>
          </w:p>
          <w:p w14:paraId="6F960849">
            <w:pPr>
              <w:pStyle w:val="24"/>
              <w:keepNext w:val="0"/>
              <w:keepLines w:val="0"/>
              <w:pageBreakBefore w:val="0"/>
              <w:widowControl/>
              <w:kinsoku/>
              <w:wordWrap/>
              <w:overflowPunct/>
              <w:topLinePunct w:val="0"/>
              <w:autoSpaceDE/>
              <w:autoSpaceDN/>
              <w:bidi w:val="0"/>
              <w:adjustRightInd w:val="0"/>
              <w:snapToGrid w:val="0"/>
              <w:spacing w:before="0" w:beforeAutospacing="0" w:after="0" w:afterAutospacing="0" w:line="430" w:lineRule="exact"/>
              <w:ind w:firstLine="422" w:firstLineChars="200"/>
              <w:textAlignment w:val="auto"/>
              <w:rPr>
                <w:rFonts w:hint="eastAsia" w:ascii="Times New Roman" w:hAnsi="Times New Roman"/>
                <w:b/>
                <w:bCs/>
                <w:color w:val="auto"/>
                <w:sz w:val="21"/>
                <w:szCs w:val="21"/>
                <w:highlight w:val="none"/>
                <w:lang w:val="en-US" w:eastAsia="zh-CN"/>
              </w:rPr>
            </w:pPr>
            <w:r>
              <w:rPr>
                <w:rFonts w:hint="eastAsia" w:ascii="Times New Roman" w:hAnsi="Times New Roman"/>
                <w:b/>
                <w:bCs/>
                <w:color w:val="auto"/>
                <w:sz w:val="21"/>
                <w:szCs w:val="21"/>
                <w:highlight w:val="none"/>
                <w:lang w:val="en-US" w:eastAsia="zh-CN"/>
              </w:rPr>
              <w:t>本工序产污节点：摇床分选过程产生的废水、</w:t>
            </w:r>
            <w:r>
              <w:rPr>
                <w:rFonts w:hint="eastAsia" w:ascii="Times New Roman" w:hAnsi="Times New Roman" w:cs="Times New Roman"/>
                <w:b/>
                <w:bCs/>
                <w:color w:val="auto"/>
                <w:sz w:val="21"/>
                <w:szCs w:val="21"/>
                <w:highlight w:val="none"/>
                <w:lang w:val="en-US" w:eastAsia="zh-CN"/>
              </w:rPr>
              <w:t>铁粉储料池产生的溢</w:t>
            </w:r>
            <w:r>
              <w:rPr>
                <w:rFonts w:hint="eastAsia" w:ascii="Times New Roman" w:hAnsi="Times New Roman"/>
                <w:b/>
                <w:bCs/>
                <w:color w:val="auto"/>
                <w:sz w:val="21"/>
                <w:szCs w:val="21"/>
                <w:highlight w:val="none"/>
                <w:lang w:val="en-US" w:eastAsia="zh-CN"/>
              </w:rPr>
              <w:t>流废水；摇床运行过程产生的</w:t>
            </w:r>
            <w:r>
              <w:rPr>
                <w:rFonts w:hint="eastAsia" w:ascii="Times New Roman" w:hAnsi="Times New Roman"/>
                <w:b/>
                <w:bCs/>
                <w:color w:val="auto"/>
                <w:sz w:val="21"/>
                <w:szCs w:val="21"/>
                <w:highlight w:val="none"/>
              </w:rPr>
              <w:t>设备</w:t>
            </w:r>
            <w:r>
              <w:rPr>
                <w:rFonts w:hint="eastAsia" w:ascii="Times New Roman" w:hAnsi="Times New Roman"/>
                <w:b/>
                <w:bCs/>
                <w:color w:val="auto"/>
                <w:sz w:val="21"/>
                <w:szCs w:val="21"/>
                <w:highlight w:val="none"/>
                <w:lang w:val="en-US" w:eastAsia="zh-CN"/>
              </w:rPr>
              <w:t>噪声。</w:t>
            </w:r>
          </w:p>
          <w:p w14:paraId="1AE9F6AE">
            <w:pPr>
              <w:pStyle w:val="24"/>
              <w:keepNext w:val="0"/>
              <w:keepLines w:val="0"/>
              <w:pageBreakBefore w:val="0"/>
              <w:widowControl/>
              <w:kinsoku/>
              <w:wordWrap/>
              <w:overflowPunct/>
              <w:topLinePunct w:val="0"/>
              <w:autoSpaceDE/>
              <w:autoSpaceDN/>
              <w:bidi w:val="0"/>
              <w:adjustRightInd w:val="0"/>
              <w:snapToGrid w:val="0"/>
              <w:spacing w:before="0" w:beforeAutospacing="0" w:after="0" w:afterAutospacing="0" w:line="430" w:lineRule="exact"/>
              <w:ind w:firstLine="420" w:firstLineChars="200"/>
              <w:textAlignment w:val="auto"/>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④空气分选</w:t>
            </w:r>
          </w:p>
          <w:p w14:paraId="480A02D7">
            <w:pPr>
              <w:pStyle w:val="24"/>
              <w:keepNext w:val="0"/>
              <w:keepLines w:val="0"/>
              <w:pageBreakBefore w:val="0"/>
              <w:widowControl/>
              <w:kinsoku/>
              <w:wordWrap/>
              <w:overflowPunct/>
              <w:topLinePunct w:val="0"/>
              <w:autoSpaceDE/>
              <w:autoSpaceDN/>
              <w:bidi w:val="0"/>
              <w:adjustRightInd w:val="0"/>
              <w:snapToGrid w:val="0"/>
              <w:spacing w:before="0" w:beforeAutospacing="0" w:after="0" w:afterAutospacing="0" w:line="430" w:lineRule="exact"/>
              <w:ind w:firstLine="420" w:firstLineChars="200"/>
              <w:textAlignment w:val="auto"/>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将筛选出粒径</w:t>
            </w:r>
            <w:r>
              <w:rPr>
                <w:rFonts w:hint="default" w:ascii="Times New Roman" w:hAnsi="Times New Roman" w:eastAsia="宋体" w:cs="Times New Roman"/>
                <w:color w:val="auto"/>
                <w:sz w:val="21"/>
                <w:szCs w:val="21"/>
                <w:highlight w:val="none"/>
                <w:lang w:val="en-US" w:eastAsia="zh-CN"/>
              </w:rPr>
              <w:t xml:space="preserve">1cm~10cm </w:t>
            </w:r>
            <w:r>
              <w:rPr>
                <w:rFonts w:hint="eastAsia" w:ascii="Times New Roman" w:hAnsi="Times New Roman" w:eastAsia="宋体" w:cs="Times New Roman"/>
                <w:color w:val="auto"/>
                <w:sz w:val="21"/>
                <w:szCs w:val="21"/>
                <w:highlight w:val="none"/>
                <w:lang w:val="en-US" w:eastAsia="zh-CN"/>
              </w:rPr>
              <w:t>的物料经密闭皮带输送至空气分选机上方的振动给料器上，经振动给料器均匀布料给入空气分选机，去除物料中的轻质料杂质（海绵线头），铲车输送至</w:t>
            </w:r>
            <w:r>
              <w:rPr>
                <w:rFonts w:hint="eastAsia" w:ascii="Times New Roman" w:hAnsi="Times New Roman" w:cs="Times New Roman"/>
                <w:color w:val="auto"/>
                <w:sz w:val="21"/>
                <w:szCs w:val="21"/>
                <w:highlight w:val="none"/>
                <w:lang w:val="en-US" w:eastAsia="zh-CN"/>
              </w:rPr>
              <w:t>3</w:t>
            </w:r>
            <w:r>
              <w:rPr>
                <w:rFonts w:hint="default" w:ascii="Times New Roman" w:hAnsi="Times New Roman" w:eastAsia="宋体" w:cs="Times New Roman"/>
                <w:color w:val="auto"/>
                <w:sz w:val="21"/>
                <w:szCs w:val="21"/>
                <w:highlight w:val="none"/>
                <w:lang w:val="en-US" w:eastAsia="zh-CN"/>
              </w:rPr>
              <w:t>#</w:t>
            </w:r>
            <w:r>
              <w:rPr>
                <w:rFonts w:hint="eastAsia" w:ascii="Times New Roman" w:hAnsi="Times New Roman" w:eastAsia="宋体" w:cs="Times New Roman"/>
                <w:color w:val="auto"/>
                <w:sz w:val="21"/>
                <w:szCs w:val="21"/>
                <w:highlight w:val="none"/>
                <w:lang w:val="en-US" w:eastAsia="zh-CN"/>
              </w:rPr>
              <w:t>储料池，剩余比较重的物料皮带输送机末端设置为磁辊，除去物料中的铁料，除铁后进入各规格的剩余物料进入分钢机进行气刀分选，铁料作为产品等待外售。 空气分选原理与前面工序一致，不再进行赘述。</w:t>
            </w:r>
          </w:p>
          <w:p w14:paraId="28CCB773">
            <w:pPr>
              <w:pStyle w:val="24"/>
              <w:keepNext w:val="0"/>
              <w:keepLines w:val="0"/>
              <w:pageBreakBefore w:val="0"/>
              <w:widowControl/>
              <w:kinsoku/>
              <w:wordWrap/>
              <w:overflowPunct/>
              <w:topLinePunct w:val="0"/>
              <w:autoSpaceDE/>
              <w:autoSpaceDN/>
              <w:bidi w:val="0"/>
              <w:adjustRightInd w:val="0"/>
              <w:snapToGrid w:val="0"/>
              <w:spacing w:before="0" w:beforeAutospacing="0" w:after="0" w:afterAutospacing="0" w:line="430" w:lineRule="exact"/>
              <w:ind w:firstLine="422" w:firstLineChars="200"/>
              <w:textAlignment w:val="auto"/>
              <w:rPr>
                <w:rFonts w:hint="eastAsia" w:ascii="Times New Roman" w:hAnsi="Times New Roman"/>
                <w:b/>
                <w:bCs/>
                <w:color w:val="auto"/>
                <w:sz w:val="21"/>
                <w:szCs w:val="21"/>
                <w:highlight w:val="none"/>
                <w:lang w:val="en-US" w:eastAsia="zh-CN"/>
              </w:rPr>
            </w:pPr>
            <w:r>
              <w:rPr>
                <w:rFonts w:hint="eastAsia" w:ascii="Times New Roman" w:hAnsi="Times New Roman"/>
                <w:b/>
                <w:bCs/>
                <w:color w:val="auto"/>
                <w:sz w:val="21"/>
                <w:szCs w:val="21"/>
                <w:highlight w:val="none"/>
                <w:lang w:val="en-US" w:eastAsia="zh-CN"/>
              </w:rPr>
              <w:t>本工序产污节点：空气分选机、磁辊运行过程产生的</w:t>
            </w:r>
            <w:r>
              <w:rPr>
                <w:rFonts w:hint="eastAsia" w:ascii="Times New Roman" w:hAnsi="Times New Roman"/>
                <w:b/>
                <w:bCs/>
                <w:color w:val="auto"/>
                <w:sz w:val="21"/>
                <w:szCs w:val="21"/>
              </w:rPr>
              <w:t>设备</w:t>
            </w:r>
            <w:r>
              <w:rPr>
                <w:rFonts w:hint="eastAsia" w:ascii="Times New Roman" w:hAnsi="Times New Roman"/>
                <w:b/>
                <w:bCs/>
                <w:color w:val="auto"/>
                <w:sz w:val="21"/>
                <w:szCs w:val="21"/>
                <w:highlight w:val="none"/>
                <w:lang w:val="en-US" w:eastAsia="zh-CN"/>
              </w:rPr>
              <w:t>噪声。</w:t>
            </w:r>
          </w:p>
          <w:p w14:paraId="3CCD2126">
            <w:pPr>
              <w:pStyle w:val="24"/>
              <w:keepNext w:val="0"/>
              <w:keepLines w:val="0"/>
              <w:pageBreakBefore w:val="0"/>
              <w:widowControl/>
              <w:kinsoku/>
              <w:wordWrap/>
              <w:overflowPunct/>
              <w:topLinePunct w:val="0"/>
              <w:autoSpaceDE/>
              <w:autoSpaceDN/>
              <w:bidi w:val="0"/>
              <w:adjustRightInd w:val="0"/>
              <w:snapToGrid w:val="0"/>
              <w:spacing w:before="0" w:beforeAutospacing="0" w:after="0" w:afterAutospacing="0" w:line="430" w:lineRule="exact"/>
              <w:ind w:firstLine="420" w:firstLineChars="200"/>
              <w:textAlignment w:val="auto"/>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⑤气刀分选</w:t>
            </w:r>
          </w:p>
          <w:p w14:paraId="6AD3F8CD">
            <w:pPr>
              <w:pStyle w:val="24"/>
              <w:keepNext w:val="0"/>
              <w:keepLines w:val="0"/>
              <w:pageBreakBefore w:val="0"/>
              <w:widowControl/>
              <w:kinsoku/>
              <w:wordWrap/>
              <w:overflowPunct/>
              <w:topLinePunct w:val="0"/>
              <w:autoSpaceDE/>
              <w:autoSpaceDN/>
              <w:bidi w:val="0"/>
              <w:adjustRightInd w:val="0"/>
              <w:snapToGrid w:val="0"/>
              <w:spacing w:before="0" w:beforeAutospacing="0" w:after="0" w:afterAutospacing="0" w:line="430" w:lineRule="exact"/>
              <w:ind w:firstLine="420" w:firstLineChars="200"/>
              <w:textAlignment w:val="auto"/>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本项目空气分选除铁后的比重比较大的物料输送至分钢机上方的振动给料器上，经振动给料器均匀布料给入分钢机，在此处分选出不锈钢，作为产品外售。</w:t>
            </w:r>
          </w:p>
          <w:p w14:paraId="7E087FA2">
            <w:pPr>
              <w:pStyle w:val="24"/>
              <w:keepNext w:val="0"/>
              <w:keepLines w:val="0"/>
              <w:pageBreakBefore w:val="0"/>
              <w:widowControl/>
              <w:kinsoku/>
              <w:wordWrap/>
              <w:overflowPunct/>
              <w:topLinePunct w:val="0"/>
              <w:autoSpaceDE/>
              <w:autoSpaceDN/>
              <w:bidi w:val="0"/>
              <w:adjustRightInd w:val="0"/>
              <w:snapToGrid w:val="0"/>
              <w:spacing w:before="0" w:beforeAutospacing="0" w:after="0" w:afterAutospacing="0" w:line="430" w:lineRule="exact"/>
              <w:ind w:firstLine="420" w:firstLineChars="200"/>
              <w:textAlignment w:val="auto"/>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气刀分选是一种以电磁探测为基础的分选方法，采用基于电涡流效应的金 属检测探头进行破碎料识别，电磁阀通高压气体，阀口开启时气流经喷嘴喷出形成气刀，对不锈钢产生冲击力，改变其运动轨迹，将其分离，气刀分选后的不锈钢料堆存在成品区等待外售。</w:t>
            </w:r>
          </w:p>
          <w:p w14:paraId="07D8345F">
            <w:pPr>
              <w:pStyle w:val="24"/>
              <w:keepNext w:val="0"/>
              <w:keepLines w:val="0"/>
              <w:pageBreakBefore w:val="0"/>
              <w:widowControl/>
              <w:kinsoku/>
              <w:wordWrap/>
              <w:overflowPunct/>
              <w:topLinePunct w:val="0"/>
              <w:autoSpaceDE/>
              <w:autoSpaceDN/>
              <w:bidi w:val="0"/>
              <w:adjustRightInd w:val="0"/>
              <w:snapToGrid w:val="0"/>
              <w:spacing w:before="0" w:beforeAutospacing="0" w:after="0" w:afterAutospacing="0" w:line="430" w:lineRule="exact"/>
              <w:ind w:firstLine="422" w:firstLineChars="200"/>
              <w:textAlignment w:val="auto"/>
              <w:rPr>
                <w:rFonts w:hint="eastAsia" w:ascii="Times New Roman" w:hAnsi="Times New Roman"/>
                <w:b/>
                <w:bCs/>
                <w:color w:val="auto"/>
                <w:sz w:val="21"/>
                <w:szCs w:val="21"/>
                <w:highlight w:val="none"/>
                <w:lang w:val="en-US" w:eastAsia="zh-CN"/>
              </w:rPr>
            </w:pPr>
            <w:r>
              <w:rPr>
                <w:rFonts w:hint="eastAsia" w:ascii="Times New Roman" w:hAnsi="Times New Roman"/>
                <w:b/>
                <w:bCs/>
                <w:color w:val="auto"/>
                <w:sz w:val="21"/>
                <w:szCs w:val="21"/>
                <w:highlight w:val="none"/>
                <w:lang w:val="en-US" w:eastAsia="zh-CN"/>
              </w:rPr>
              <w:t>本工序产污节点：分钢机运行过程产生的</w:t>
            </w:r>
            <w:r>
              <w:rPr>
                <w:rFonts w:hint="eastAsia" w:ascii="Times New Roman" w:hAnsi="Times New Roman"/>
                <w:b/>
                <w:bCs/>
                <w:color w:val="auto"/>
                <w:sz w:val="21"/>
                <w:szCs w:val="21"/>
              </w:rPr>
              <w:t>设备</w:t>
            </w:r>
            <w:r>
              <w:rPr>
                <w:rFonts w:hint="eastAsia" w:ascii="Times New Roman" w:hAnsi="Times New Roman"/>
                <w:b/>
                <w:bCs/>
                <w:color w:val="auto"/>
                <w:sz w:val="21"/>
                <w:szCs w:val="21"/>
                <w:highlight w:val="none"/>
                <w:lang w:val="en-US" w:eastAsia="zh-CN"/>
              </w:rPr>
              <w:t>噪声。</w:t>
            </w:r>
          </w:p>
          <w:p w14:paraId="16DF9CF0">
            <w:pPr>
              <w:pStyle w:val="24"/>
              <w:keepNext w:val="0"/>
              <w:keepLines w:val="0"/>
              <w:pageBreakBefore w:val="0"/>
              <w:widowControl/>
              <w:kinsoku/>
              <w:wordWrap/>
              <w:overflowPunct/>
              <w:topLinePunct w:val="0"/>
              <w:autoSpaceDE/>
              <w:autoSpaceDN/>
              <w:bidi w:val="0"/>
              <w:adjustRightInd w:val="0"/>
              <w:snapToGrid w:val="0"/>
              <w:spacing w:before="0" w:beforeAutospacing="0" w:after="0" w:afterAutospacing="0" w:line="430" w:lineRule="exact"/>
              <w:ind w:firstLine="420" w:firstLineChars="200"/>
              <w:textAlignment w:val="auto"/>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⑥涡电流分选</w:t>
            </w:r>
          </w:p>
          <w:p w14:paraId="4B73003A">
            <w:pPr>
              <w:pStyle w:val="24"/>
              <w:keepNext w:val="0"/>
              <w:keepLines w:val="0"/>
              <w:pageBreakBefore w:val="0"/>
              <w:widowControl/>
              <w:kinsoku/>
              <w:wordWrap/>
              <w:overflowPunct/>
              <w:topLinePunct w:val="0"/>
              <w:autoSpaceDE/>
              <w:autoSpaceDN/>
              <w:bidi w:val="0"/>
              <w:adjustRightInd w:val="0"/>
              <w:snapToGrid w:val="0"/>
              <w:spacing w:before="0" w:beforeAutospacing="0" w:after="0" w:afterAutospacing="0" w:line="430" w:lineRule="exact"/>
              <w:ind w:firstLine="420" w:firstLineChars="200"/>
              <w:textAlignment w:val="auto"/>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本项目气刀分选后除去不锈钢后的物料输送至涡电流分选机进行铜、铝、锌金属的分选，物料经过密闭皮带输送到涡电流分选机上方的振动给料器上，再经振动给料器均匀布料给入涡电流分选机，分选出的铜、铝、锌混合物金属料作为产品等待外售。除去铜、铝、锌金属的剩余物料经密闭皮带输送至下一工序。</w:t>
            </w:r>
          </w:p>
          <w:p w14:paraId="536C5033">
            <w:pPr>
              <w:pStyle w:val="24"/>
              <w:keepNext w:val="0"/>
              <w:keepLines w:val="0"/>
              <w:pageBreakBefore w:val="0"/>
              <w:widowControl/>
              <w:kinsoku/>
              <w:wordWrap/>
              <w:overflowPunct/>
              <w:topLinePunct w:val="0"/>
              <w:autoSpaceDE/>
              <w:autoSpaceDN/>
              <w:bidi w:val="0"/>
              <w:adjustRightInd w:val="0"/>
              <w:snapToGrid w:val="0"/>
              <w:spacing w:before="0" w:beforeAutospacing="0" w:after="0" w:afterAutospacing="0" w:line="430" w:lineRule="exact"/>
              <w:ind w:firstLine="420" w:firstLineChars="200"/>
              <w:textAlignment w:val="auto"/>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涡电流分选是一种利用物质电导率差异的分选技术，是一种有效的有色金属回收方法。当含有非磁导体金属（如铜、铝等物质）的物料以一定的速度通过一个交变磁场时，这些非磁导体金屑中会产生感应涡流。由于物料流与磁场有一个相对运动的速度，从而对产生涡流的金属片、块有一个推力。利用此原理可使一些有色金属从混合物料流中分离出来。由于铜、铝、锌的磁场相似，因此涡电流分选可以将铜、铝、锌金属物分选出来。</w:t>
            </w:r>
          </w:p>
          <w:p w14:paraId="63290D25">
            <w:pPr>
              <w:pStyle w:val="24"/>
              <w:keepNext w:val="0"/>
              <w:keepLines w:val="0"/>
              <w:pageBreakBefore w:val="0"/>
              <w:widowControl/>
              <w:kinsoku/>
              <w:wordWrap/>
              <w:overflowPunct/>
              <w:topLinePunct w:val="0"/>
              <w:autoSpaceDE/>
              <w:autoSpaceDN/>
              <w:bidi w:val="0"/>
              <w:adjustRightInd w:val="0"/>
              <w:snapToGrid w:val="0"/>
              <w:spacing w:before="0" w:beforeAutospacing="0" w:after="0" w:afterAutospacing="0" w:line="430" w:lineRule="exact"/>
              <w:ind w:firstLine="422" w:firstLineChars="200"/>
              <w:textAlignment w:val="auto"/>
              <w:rPr>
                <w:rFonts w:hint="eastAsia" w:ascii="Times New Roman" w:hAnsi="Times New Roman"/>
                <w:b/>
                <w:bCs/>
                <w:color w:val="auto"/>
                <w:sz w:val="21"/>
                <w:szCs w:val="21"/>
                <w:highlight w:val="none"/>
                <w:lang w:val="en-US" w:eastAsia="zh-CN"/>
              </w:rPr>
            </w:pPr>
            <w:r>
              <w:rPr>
                <w:rFonts w:hint="eastAsia" w:ascii="Times New Roman" w:hAnsi="Times New Roman"/>
                <w:b/>
                <w:bCs/>
                <w:color w:val="auto"/>
                <w:sz w:val="21"/>
                <w:szCs w:val="21"/>
                <w:highlight w:val="none"/>
                <w:lang w:val="en-US" w:eastAsia="zh-CN"/>
              </w:rPr>
              <w:t>本工序产污节点：涡电流分选机运行过程产生的</w:t>
            </w:r>
            <w:r>
              <w:rPr>
                <w:rFonts w:hint="eastAsia" w:ascii="Times New Roman" w:hAnsi="Times New Roman"/>
                <w:b/>
                <w:bCs/>
                <w:color w:val="auto"/>
                <w:sz w:val="21"/>
                <w:szCs w:val="21"/>
              </w:rPr>
              <w:t>设备</w:t>
            </w:r>
            <w:r>
              <w:rPr>
                <w:rFonts w:hint="eastAsia" w:ascii="Times New Roman" w:hAnsi="Times New Roman"/>
                <w:b/>
                <w:bCs/>
                <w:color w:val="auto"/>
                <w:sz w:val="21"/>
                <w:szCs w:val="21"/>
                <w:highlight w:val="none"/>
                <w:lang w:val="en-US" w:eastAsia="zh-CN"/>
              </w:rPr>
              <w:t>噪声。</w:t>
            </w:r>
          </w:p>
          <w:p w14:paraId="5C4D96E1">
            <w:pPr>
              <w:pStyle w:val="24"/>
              <w:keepNext w:val="0"/>
              <w:keepLines w:val="0"/>
              <w:pageBreakBefore w:val="0"/>
              <w:widowControl/>
              <w:kinsoku/>
              <w:wordWrap/>
              <w:overflowPunct/>
              <w:topLinePunct w:val="0"/>
              <w:autoSpaceDE/>
              <w:autoSpaceDN/>
              <w:bidi w:val="0"/>
              <w:adjustRightInd w:val="0"/>
              <w:snapToGrid w:val="0"/>
              <w:spacing w:before="0" w:beforeAutospacing="0" w:after="0" w:afterAutospacing="0" w:line="430" w:lineRule="exact"/>
              <w:ind w:firstLine="420" w:firstLineChars="200"/>
              <w:textAlignment w:val="auto"/>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⑦高钙机分选</w:t>
            </w:r>
          </w:p>
          <w:p w14:paraId="56CD3338">
            <w:pPr>
              <w:pStyle w:val="24"/>
              <w:keepNext w:val="0"/>
              <w:keepLines w:val="0"/>
              <w:pageBreakBefore w:val="0"/>
              <w:widowControl/>
              <w:kinsoku/>
              <w:wordWrap/>
              <w:overflowPunct/>
              <w:topLinePunct w:val="0"/>
              <w:autoSpaceDE/>
              <w:autoSpaceDN/>
              <w:bidi w:val="0"/>
              <w:adjustRightInd w:val="0"/>
              <w:snapToGrid w:val="0"/>
              <w:spacing w:before="0" w:beforeAutospacing="0" w:after="0" w:afterAutospacing="0" w:line="430" w:lineRule="exact"/>
              <w:ind w:firstLine="420" w:firstLineChars="200"/>
              <w:textAlignment w:val="auto"/>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涡电流分选后剩余沉水塑料、橡胶需通过高钙机进行进一步清洗、分选。本项目高钙机为船型结构并采用架空形式。</w:t>
            </w:r>
          </w:p>
          <w:p w14:paraId="723EB95A">
            <w:pPr>
              <w:pStyle w:val="24"/>
              <w:keepNext w:val="0"/>
              <w:keepLines w:val="0"/>
              <w:pageBreakBefore w:val="0"/>
              <w:widowControl/>
              <w:kinsoku/>
              <w:wordWrap/>
              <w:overflowPunct/>
              <w:topLinePunct w:val="0"/>
              <w:autoSpaceDE/>
              <w:autoSpaceDN/>
              <w:bidi w:val="0"/>
              <w:adjustRightInd w:val="0"/>
              <w:snapToGrid w:val="0"/>
              <w:spacing w:before="0" w:beforeAutospacing="0" w:after="0" w:afterAutospacing="0" w:line="430" w:lineRule="exact"/>
              <w:ind w:firstLine="420" w:firstLineChars="200"/>
              <w:textAlignment w:val="auto"/>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涡电流分选后经皮带输送机输送进入上料仓内，通过其自带密闭式螺旋输送机送入高钙机内，高钙机提前加入约80%的水，加水完毕后，使用铲车向高钙机内加入双飞粉</w:t>
            </w:r>
            <w:r>
              <w:rPr>
                <w:rFonts w:hint="eastAsia" w:ascii="Times New Roman" w:hAnsi="Times New Roman" w:cs="Times New Roman"/>
                <w:color w:val="auto"/>
                <w:sz w:val="21"/>
                <w:szCs w:val="21"/>
                <w:highlight w:val="none"/>
                <w:lang w:val="en-US" w:eastAsia="zh-CN"/>
              </w:rPr>
              <w:t>及工业盐</w:t>
            </w:r>
            <w:r>
              <w:rPr>
                <w:rFonts w:hint="eastAsia" w:ascii="Times New Roman" w:hAnsi="Times New Roman" w:eastAsia="宋体" w:cs="Times New Roman"/>
                <w:color w:val="auto"/>
                <w:sz w:val="21"/>
                <w:szCs w:val="21"/>
                <w:highlight w:val="none"/>
                <w:lang w:val="en-US" w:eastAsia="zh-CN"/>
              </w:rPr>
              <w:t>并采用浓度表进行监测，待水的浓度调节至</w:t>
            </w:r>
            <w:r>
              <w:rPr>
                <w:rFonts w:hint="default" w:ascii="Times New Roman" w:hAnsi="Times New Roman" w:eastAsia="宋体" w:cs="Times New Roman"/>
                <w:color w:val="auto"/>
                <w:sz w:val="21"/>
                <w:szCs w:val="21"/>
                <w:highlight w:val="none"/>
                <w:lang w:val="en-US" w:eastAsia="zh-CN"/>
              </w:rPr>
              <w:t>25%-30%</w:t>
            </w:r>
            <w:r>
              <w:rPr>
                <w:rFonts w:hint="eastAsia" w:ascii="Times New Roman" w:hAnsi="Times New Roman" w:eastAsia="宋体" w:cs="Times New Roman"/>
                <w:color w:val="auto"/>
                <w:sz w:val="21"/>
                <w:szCs w:val="21"/>
                <w:highlight w:val="none"/>
                <w:lang w:val="en-US" w:eastAsia="zh-CN"/>
              </w:rPr>
              <w:t>后，开始进行清洗。塑料进入高钙机后，受密度不同的影响，在浮力的作用下，沉水塑料中掺杂的少量橡胶沉入高钙机底部，塑料漂浮于表面，通过人工助力的方式经高钙机出口暂存</w:t>
            </w:r>
            <w:r>
              <w:rPr>
                <w:rFonts w:hint="eastAsia" w:ascii="Times New Roman" w:hAnsi="Times New Roman" w:cs="Times New Roman"/>
                <w:color w:val="auto"/>
                <w:sz w:val="21"/>
                <w:szCs w:val="21"/>
                <w:highlight w:val="none"/>
                <w:lang w:val="en-US" w:eastAsia="zh-CN"/>
              </w:rPr>
              <w:t>4</w:t>
            </w:r>
            <w:r>
              <w:rPr>
                <w:rFonts w:hint="default" w:ascii="Times New Roman" w:hAnsi="Times New Roman" w:eastAsia="宋体" w:cs="Times New Roman"/>
                <w:color w:val="auto"/>
                <w:sz w:val="21"/>
                <w:szCs w:val="21"/>
                <w:highlight w:val="none"/>
                <w:vertAlign w:val="superscript"/>
                <w:lang w:val="en-US" w:eastAsia="zh-CN"/>
              </w:rPr>
              <w:t>#</w:t>
            </w:r>
            <w:r>
              <w:rPr>
                <w:rFonts w:hint="eastAsia" w:ascii="Times New Roman" w:hAnsi="Times New Roman" w:eastAsia="宋体" w:cs="Times New Roman"/>
                <w:color w:val="auto"/>
                <w:sz w:val="21"/>
                <w:szCs w:val="21"/>
                <w:highlight w:val="none"/>
                <w:lang w:val="en-US" w:eastAsia="zh-CN"/>
              </w:rPr>
              <w:t>料池暂存并沥水，沥水完毕后，采用吨包袋进行包装，送入塑料</w:t>
            </w:r>
            <w:r>
              <w:rPr>
                <w:rFonts w:hint="eastAsia" w:ascii="Times New Roman" w:hAnsi="Times New Roman" w:cs="Times New Roman"/>
                <w:color w:val="auto"/>
                <w:sz w:val="21"/>
                <w:szCs w:val="21"/>
                <w:highlight w:val="none"/>
                <w:lang w:val="en-US" w:eastAsia="zh-CN"/>
              </w:rPr>
              <w:t>暂存区</w:t>
            </w:r>
            <w:r>
              <w:rPr>
                <w:rFonts w:hint="eastAsia" w:ascii="Times New Roman" w:hAnsi="Times New Roman" w:eastAsia="宋体" w:cs="Times New Roman"/>
                <w:color w:val="auto"/>
                <w:sz w:val="21"/>
                <w:szCs w:val="21"/>
                <w:highlight w:val="none"/>
                <w:lang w:val="en-US" w:eastAsia="zh-CN"/>
              </w:rPr>
              <w:t>暂存待售。沉入高钙机底部的少量橡胶通过其底部自带的密闭式螺旋输送机输送至</w:t>
            </w:r>
            <w:r>
              <w:rPr>
                <w:rFonts w:hint="eastAsia" w:ascii="Times New Roman" w:hAnsi="Times New Roman" w:cs="Times New Roman"/>
                <w:color w:val="auto"/>
                <w:sz w:val="21"/>
                <w:szCs w:val="21"/>
                <w:highlight w:val="none"/>
                <w:lang w:val="en-US" w:eastAsia="zh-CN"/>
              </w:rPr>
              <w:t>5</w:t>
            </w:r>
            <w:r>
              <w:rPr>
                <w:rFonts w:hint="default" w:ascii="Times New Roman" w:hAnsi="Times New Roman" w:eastAsia="宋体" w:cs="Times New Roman"/>
                <w:color w:val="auto"/>
                <w:sz w:val="21"/>
                <w:szCs w:val="21"/>
                <w:highlight w:val="none"/>
                <w:vertAlign w:val="superscript"/>
                <w:lang w:val="en-US" w:eastAsia="zh-CN"/>
              </w:rPr>
              <w:t>#</w:t>
            </w:r>
            <w:r>
              <w:rPr>
                <w:rFonts w:hint="eastAsia" w:ascii="Times New Roman" w:hAnsi="Times New Roman" w:eastAsia="宋体" w:cs="Times New Roman"/>
                <w:color w:val="auto"/>
                <w:sz w:val="21"/>
                <w:szCs w:val="21"/>
                <w:highlight w:val="none"/>
                <w:lang w:val="en-US" w:eastAsia="zh-CN"/>
              </w:rPr>
              <w:t>料池内进行沥水暂存。</w:t>
            </w:r>
          </w:p>
          <w:p w14:paraId="785A58C9">
            <w:pPr>
              <w:pStyle w:val="24"/>
              <w:keepNext w:val="0"/>
              <w:keepLines w:val="0"/>
              <w:pageBreakBefore w:val="0"/>
              <w:widowControl/>
              <w:kinsoku/>
              <w:wordWrap/>
              <w:overflowPunct/>
              <w:topLinePunct w:val="0"/>
              <w:autoSpaceDE/>
              <w:autoSpaceDN/>
              <w:bidi w:val="0"/>
              <w:adjustRightInd w:val="0"/>
              <w:snapToGrid w:val="0"/>
              <w:spacing w:before="0" w:beforeAutospacing="0" w:after="0" w:afterAutospacing="0" w:line="430" w:lineRule="exact"/>
              <w:ind w:firstLine="422" w:firstLineChars="200"/>
              <w:textAlignment w:val="auto"/>
              <w:rPr>
                <w:rFonts w:hint="eastAsia" w:ascii="Times New Roman" w:hAnsi="Times New Roman"/>
                <w:b/>
                <w:bCs/>
                <w:color w:val="auto"/>
                <w:sz w:val="21"/>
                <w:szCs w:val="21"/>
                <w:highlight w:val="none"/>
                <w:lang w:val="en-US" w:eastAsia="zh-CN"/>
              </w:rPr>
            </w:pPr>
            <w:r>
              <w:rPr>
                <w:rFonts w:hint="eastAsia" w:ascii="Times New Roman" w:hAnsi="Times New Roman"/>
                <w:b/>
                <w:bCs/>
                <w:color w:val="auto"/>
                <w:sz w:val="21"/>
                <w:szCs w:val="21"/>
                <w:highlight w:val="none"/>
                <w:lang w:val="en-US" w:eastAsia="zh-CN"/>
              </w:rPr>
              <w:t>本工序产污节点：高钙机分选过程产生的废水、4</w:t>
            </w:r>
            <w:r>
              <w:rPr>
                <w:rFonts w:hint="eastAsia" w:ascii="Times New Roman" w:hAnsi="Times New Roman"/>
                <w:b/>
                <w:bCs/>
                <w:color w:val="auto"/>
                <w:sz w:val="21"/>
                <w:szCs w:val="21"/>
                <w:highlight w:val="none"/>
                <w:vertAlign w:val="superscript"/>
                <w:lang w:val="en-US" w:eastAsia="zh-CN"/>
              </w:rPr>
              <w:t>#</w:t>
            </w:r>
            <w:r>
              <w:rPr>
                <w:rFonts w:hint="eastAsia" w:ascii="Times New Roman" w:hAnsi="Times New Roman"/>
                <w:b/>
                <w:bCs/>
                <w:color w:val="auto"/>
                <w:sz w:val="21"/>
                <w:szCs w:val="21"/>
                <w:highlight w:val="none"/>
                <w:lang w:val="en-US" w:eastAsia="zh-CN"/>
              </w:rPr>
              <w:t>储料池产生的溢流废水、5</w:t>
            </w:r>
            <w:r>
              <w:rPr>
                <w:rFonts w:hint="eastAsia" w:ascii="Times New Roman" w:hAnsi="Times New Roman"/>
                <w:b/>
                <w:bCs/>
                <w:color w:val="auto"/>
                <w:sz w:val="21"/>
                <w:szCs w:val="21"/>
                <w:highlight w:val="none"/>
                <w:vertAlign w:val="superscript"/>
                <w:lang w:val="en-US" w:eastAsia="zh-CN"/>
              </w:rPr>
              <w:t>#</w:t>
            </w:r>
            <w:r>
              <w:rPr>
                <w:rFonts w:hint="eastAsia" w:ascii="Times New Roman" w:hAnsi="Times New Roman"/>
                <w:b/>
                <w:bCs/>
                <w:color w:val="auto"/>
                <w:sz w:val="21"/>
                <w:szCs w:val="21"/>
                <w:highlight w:val="none"/>
                <w:lang w:val="en-US" w:eastAsia="zh-CN"/>
              </w:rPr>
              <w:t>储料池产生的溢流废水；高钙机运行过程产生的</w:t>
            </w:r>
            <w:r>
              <w:rPr>
                <w:rFonts w:hint="eastAsia" w:ascii="Times New Roman" w:hAnsi="Times New Roman"/>
                <w:b/>
                <w:bCs/>
                <w:color w:val="auto"/>
                <w:sz w:val="21"/>
                <w:szCs w:val="21"/>
              </w:rPr>
              <w:t>设备</w:t>
            </w:r>
            <w:r>
              <w:rPr>
                <w:rFonts w:hint="eastAsia" w:ascii="Times New Roman" w:hAnsi="Times New Roman"/>
                <w:b/>
                <w:bCs/>
                <w:color w:val="auto"/>
                <w:sz w:val="21"/>
                <w:szCs w:val="21"/>
                <w:highlight w:val="none"/>
                <w:lang w:val="en-US" w:eastAsia="zh-CN"/>
              </w:rPr>
              <w:t>噪声；辅料拆包过程产生的废包装袋。</w:t>
            </w:r>
          </w:p>
          <w:p w14:paraId="083E70DA">
            <w:pPr>
              <w:pStyle w:val="24"/>
              <w:keepNext w:val="0"/>
              <w:keepLines w:val="0"/>
              <w:pageBreakBefore w:val="0"/>
              <w:widowControl/>
              <w:kinsoku/>
              <w:wordWrap/>
              <w:overflowPunct/>
              <w:topLinePunct w:val="0"/>
              <w:autoSpaceDE/>
              <w:autoSpaceDN/>
              <w:bidi w:val="0"/>
              <w:adjustRightInd w:val="0"/>
              <w:snapToGrid w:val="0"/>
              <w:spacing w:before="0" w:beforeAutospacing="0" w:after="0" w:afterAutospacing="0" w:line="430" w:lineRule="exact"/>
              <w:ind w:firstLine="420" w:firstLineChars="200"/>
              <w:textAlignment w:val="auto"/>
              <w:rPr>
                <w:rFonts w:hint="eastAsia" w:ascii="Times New Roman" w:hAnsi="Times New Roman" w:eastAsia="宋体" w:cs="Times New Roman"/>
                <w:color w:val="auto"/>
                <w:sz w:val="21"/>
                <w:szCs w:val="21"/>
                <w:highlight w:val="none"/>
                <w:lang w:val="en-US" w:eastAsia="zh-CN"/>
              </w:rPr>
            </w:pPr>
          </w:p>
          <w:p w14:paraId="39529C64">
            <w:pPr>
              <w:pStyle w:val="24"/>
              <w:keepNext w:val="0"/>
              <w:keepLines w:val="0"/>
              <w:pageBreakBefore w:val="0"/>
              <w:widowControl/>
              <w:kinsoku/>
              <w:wordWrap/>
              <w:overflowPunct/>
              <w:topLinePunct w:val="0"/>
              <w:autoSpaceDE/>
              <w:autoSpaceDN/>
              <w:bidi w:val="0"/>
              <w:adjustRightInd w:val="0"/>
              <w:snapToGrid w:val="0"/>
              <w:spacing w:before="0" w:beforeAutospacing="0" w:after="0" w:afterAutospacing="0" w:line="430" w:lineRule="exact"/>
              <w:ind w:firstLine="420" w:firstLineChars="200"/>
              <w:textAlignment w:val="auto"/>
              <w:rPr>
                <w:rFonts w:hint="eastAsia" w:ascii="Times New Roman" w:hAnsi="Times New Roman" w:eastAsia="宋体" w:cs="Times New Roman"/>
                <w:color w:val="auto"/>
                <w:sz w:val="21"/>
                <w:szCs w:val="21"/>
                <w:highlight w:val="none"/>
                <w:lang w:val="en-US" w:eastAsia="zh-CN"/>
              </w:rPr>
            </w:pPr>
          </w:p>
          <w:p w14:paraId="605985D5">
            <w:pPr>
              <w:pStyle w:val="24"/>
              <w:keepNext w:val="0"/>
              <w:keepLines w:val="0"/>
              <w:pageBreakBefore w:val="0"/>
              <w:widowControl/>
              <w:kinsoku/>
              <w:wordWrap/>
              <w:overflowPunct/>
              <w:topLinePunct w:val="0"/>
              <w:autoSpaceDE/>
              <w:autoSpaceDN/>
              <w:bidi w:val="0"/>
              <w:adjustRightInd w:val="0"/>
              <w:snapToGrid w:val="0"/>
              <w:spacing w:before="0" w:beforeAutospacing="0" w:after="0" w:afterAutospacing="0" w:line="430" w:lineRule="exact"/>
              <w:ind w:firstLine="420" w:firstLineChars="200"/>
              <w:textAlignment w:val="auto"/>
              <w:rPr>
                <w:rFonts w:hint="eastAsia" w:ascii="Times New Roman" w:hAnsi="Times New Roman" w:eastAsia="宋体" w:cs="Times New Roman"/>
                <w:color w:val="auto"/>
                <w:sz w:val="21"/>
                <w:szCs w:val="21"/>
                <w:highlight w:val="none"/>
                <w:lang w:val="en-US" w:eastAsia="zh-CN"/>
              </w:rPr>
            </w:pPr>
          </w:p>
          <w:p w14:paraId="4658CCAF">
            <w:pPr>
              <w:pStyle w:val="24"/>
              <w:keepNext w:val="0"/>
              <w:keepLines w:val="0"/>
              <w:pageBreakBefore w:val="0"/>
              <w:widowControl/>
              <w:kinsoku/>
              <w:wordWrap/>
              <w:overflowPunct/>
              <w:topLinePunct w:val="0"/>
              <w:autoSpaceDE/>
              <w:autoSpaceDN/>
              <w:bidi w:val="0"/>
              <w:adjustRightInd w:val="0"/>
              <w:snapToGrid w:val="0"/>
              <w:spacing w:before="0" w:beforeAutospacing="0" w:after="0" w:afterAutospacing="0" w:line="430" w:lineRule="exact"/>
              <w:ind w:firstLine="420" w:firstLineChars="200"/>
              <w:textAlignment w:val="auto"/>
              <w:rPr>
                <w:rFonts w:hint="eastAsia" w:ascii="Times New Roman" w:hAnsi="Times New Roman" w:eastAsia="宋体" w:cs="Times New Roman"/>
                <w:color w:val="auto"/>
                <w:sz w:val="21"/>
                <w:szCs w:val="21"/>
                <w:highlight w:val="none"/>
                <w:lang w:val="en-US" w:eastAsia="zh-CN"/>
              </w:rPr>
            </w:pPr>
          </w:p>
          <w:p w14:paraId="082ACAEA">
            <w:pPr>
              <w:pStyle w:val="24"/>
              <w:keepNext w:val="0"/>
              <w:keepLines w:val="0"/>
              <w:pageBreakBefore w:val="0"/>
              <w:widowControl/>
              <w:kinsoku/>
              <w:wordWrap/>
              <w:overflowPunct/>
              <w:topLinePunct w:val="0"/>
              <w:autoSpaceDE/>
              <w:autoSpaceDN/>
              <w:bidi w:val="0"/>
              <w:adjustRightInd w:val="0"/>
              <w:snapToGrid w:val="0"/>
              <w:spacing w:before="0" w:beforeAutospacing="0" w:after="0" w:afterAutospacing="0" w:line="430" w:lineRule="exact"/>
              <w:ind w:firstLine="420" w:firstLineChars="200"/>
              <w:textAlignment w:val="auto"/>
              <w:rPr>
                <w:rFonts w:hint="eastAsia" w:ascii="Times New Roman" w:hAnsi="Times New Roman" w:cs="Times New Roman"/>
                <w:color w:val="auto"/>
                <w:sz w:val="21"/>
                <w:szCs w:val="21"/>
                <w:highlight w:val="none"/>
                <w:lang w:val="en-US" w:eastAsia="zh-CN"/>
              </w:rPr>
            </w:pPr>
            <w:r>
              <w:rPr>
                <w:color w:val="auto"/>
                <w:sz w:val="21"/>
              </w:rPr>
              <mc:AlternateContent>
                <mc:Choice Requires="wps">
                  <w:drawing>
                    <wp:anchor distT="0" distB="0" distL="114300" distR="114300" simplePos="0" relativeHeight="251763712" behindDoc="0" locked="0" layoutInCell="1" allowOverlap="1">
                      <wp:simplePos x="0" y="0"/>
                      <wp:positionH relativeFrom="column">
                        <wp:posOffset>1396365</wp:posOffset>
                      </wp:positionH>
                      <wp:positionV relativeFrom="paragraph">
                        <wp:posOffset>136525</wp:posOffset>
                      </wp:positionV>
                      <wp:extent cx="681355" cy="264795"/>
                      <wp:effectExtent l="4445" t="5080" r="19050" b="15875"/>
                      <wp:wrapNone/>
                      <wp:docPr id="3" name="文本框 3"/>
                      <wp:cNvGraphicFramePr/>
                      <a:graphic xmlns:a="http://schemas.openxmlformats.org/drawingml/2006/main">
                        <a:graphicData uri="http://schemas.microsoft.com/office/word/2010/wordprocessingShape">
                          <wps:wsp>
                            <wps:cNvSpPr txBox="1"/>
                            <wps:spPr>
                              <a:xfrm>
                                <a:off x="2914650" y="1247775"/>
                                <a:ext cx="681355" cy="264795"/>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7D58321D">
                                  <w:pPr>
                                    <w:keepNext w:val="0"/>
                                    <w:keepLines w:val="0"/>
                                    <w:pageBreakBefore w:val="0"/>
                                    <w:widowControl w:val="0"/>
                                    <w:kinsoku/>
                                    <w:wordWrap/>
                                    <w:overflowPunct/>
                                    <w:topLinePunct w:val="0"/>
                                    <w:bidi w:val="0"/>
                                    <w:adjustRightInd/>
                                    <w:snapToGrid/>
                                    <w:spacing w:line="240" w:lineRule="exact"/>
                                    <w:jc w:val="center"/>
                                    <w:textAlignment w:val="auto"/>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lang w:val="en-US" w:eastAsia="zh-CN"/>
                                    </w:rPr>
                                    <w:t>3</w:t>
                                  </w:r>
                                  <w:r>
                                    <w:rPr>
                                      <w:rFonts w:hint="default" w:ascii="Times New Roman" w:hAnsi="Times New Roman" w:eastAsia="宋体" w:cs="Times New Roman"/>
                                      <w:sz w:val="18"/>
                                      <w:szCs w:val="18"/>
                                      <w:vertAlign w:val="superscript"/>
                                      <w:lang w:val="en-US" w:eastAsia="zh-CN"/>
                                    </w:rPr>
                                    <w:t>#</w:t>
                                  </w:r>
                                  <w:r>
                                    <w:rPr>
                                      <w:rFonts w:hint="default" w:ascii="Times New Roman" w:hAnsi="Times New Roman" w:eastAsia="宋体" w:cs="Times New Roman"/>
                                      <w:sz w:val="18"/>
                                      <w:szCs w:val="18"/>
                                    </w:rPr>
                                    <w:t>上料</w:t>
                                  </w:r>
                                  <w:r>
                                    <w:rPr>
                                      <w:rFonts w:hint="default" w:ascii="Times New Roman" w:hAnsi="Times New Roman" w:eastAsia="宋体" w:cs="Times New Roman"/>
                                      <w:sz w:val="18"/>
                                      <w:szCs w:val="18"/>
                                      <w:lang w:val="en-US" w:eastAsia="zh-CN"/>
                                    </w:rPr>
                                    <w:t>仓</w:t>
                                  </w:r>
                                </w:p>
                              </w:txbxContent>
                            </wps:txbx>
                            <wps:bodyPr upright="1"/>
                          </wps:wsp>
                        </a:graphicData>
                      </a:graphic>
                    </wp:anchor>
                  </w:drawing>
                </mc:Choice>
                <mc:Fallback>
                  <w:pict>
                    <v:shape id="_x0000_s1026" o:spid="_x0000_s1026" o:spt="202" type="#_x0000_t202" style="position:absolute;left:0pt;margin-left:109.95pt;margin-top:10.75pt;height:20.85pt;width:53.65pt;z-index:251763712;mso-width-relative:page;mso-height-relative:page;" fillcolor="#FFFFFF" filled="t" stroked="t" coordsize="21600,21600" o:gfxdata="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MmJVwPYAAAACQEAAA8A&#10;AAAAAAAAAQAgAAAAIgAAAGRycy9kb3ducmV2LnhtbFBLAQIUABQAAAAIAIdO4kBNN+idFwIAAEEE&#10;AAAOAAAAAAAAAAEAIAAAACcBAABkcnMvZTJvRG9jLnhtbFBLBQYAAAAABgAGAFkBAACwBQAAAAA=&#10;">
                      <v:fill on="t" focussize="0,0"/>
                      <v:stroke color="#000000" joinstyle="miter"/>
                      <v:imagedata o:title=""/>
                      <o:lock v:ext="edit" aspectratio="f"/>
                      <v:textbox>
                        <w:txbxContent>
                          <w:p w14:paraId="7D58321D">
                            <w:pPr>
                              <w:keepNext w:val="0"/>
                              <w:keepLines w:val="0"/>
                              <w:pageBreakBefore w:val="0"/>
                              <w:widowControl w:val="0"/>
                              <w:kinsoku/>
                              <w:wordWrap/>
                              <w:overflowPunct/>
                              <w:topLinePunct w:val="0"/>
                              <w:bidi w:val="0"/>
                              <w:adjustRightInd/>
                              <w:snapToGrid/>
                              <w:spacing w:line="240" w:lineRule="exact"/>
                              <w:jc w:val="center"/>
                              <w:textAlignment w:val="auto"/>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lang w:val="en-US" w:eastAsia="zh-CN"/>
                              </w:rPr>
                              <w:t>3</w:t>
                            </w:r>
                            <w:r>
                              <w:rPr>
                                <w:rFonts w:hint="default" w:ascii="Times New Roman" w:hAnsi="Times New Roman" w:eastAsia="宋体" w:cs="Times New Roman"/>
                                <w:sz w:val="18"/>
                                <w:szCs w:val="18"/>
                                <w:vertAlign w:val="superscript"/>
                                <w:lang w:val="en-US" w:eastAsia="zh-CN"/>
                              </w:rPr>
                              <w:t>#</w:t>
                            </w:r>
                            <w:r>
                              <w:rPr>
                                <w:rFonts w:hint="default" w:ascii="Times New Roman" w:hAnsi="Times New Roman" w:eastAsia="宋体" w:cs="Times New Roman"/>
                                <w:sz w:val="18"/>
                                <w:szCs w:val="18"/>
                              </w:rPr>
                              <w:t>上料</w:t>
                            </w:r>
                            <w:r>
                              <w:rPr>
                                <w:rFonts w:hint="default" w:ascii="Times New Roman" w:hAnsi="Times New Roman" w:eastAsia="宋体" w:cs="Times New Roman"/>
                                <w:sz w:val="18"/>
                                <w:szCs w:val="18"/>
                                <w:lang w:val="en-US" w:eastAsia="zh-CN"/>
                              </w:rPr>
                              <w:t>仓</w:t>
                            </w:r>
                          </w:p>
                        </w:txbxContent>
                      </v:textbox>
                    </v:shape>
                  </w:pict>
                </mc:Fallback>
              </mc:AlternateContent>
            </w:r>
            <w:r>
              <w:rPr>
                <w:color w:val="auto"/>
                <w:sz w:val="21"/>
              </w:rPr>
              <mc:AlternateContent>
                <mc:Choice Requires="wps">
                  <w:drawing>
                    <wp:anchor distT="0" distB="0" distL="114300" distR="114300" simplePos="0" relativeHeight="251685888" behindDoc="0" locked="0" layoutInCell="1" allowOverlap="1">
                      <wp:simplePos x="0" y="0"/>
                      <wp:positionH relativeFrom="column">
                        <wp:posOffset>252095</wp:posOffset>
                      </wp:positionH>
                      <wp:positionV relativeFrom="paragraph">
                        <wp:posOffset>95885</wp:posOffset>
                      </wp:positionV>
                      <wp:extent cx="1125220" cy="374650"/>
                      <wp:effectExtent l="0" t="0" r="0" b="0"/>
                      <wp:wrapNone/>
                      <wp:docPr id="1" name="文本框 1"/>
                      <wp:cNvGraphicFramePr/>
                      <a:graphic xmlns:a="http://schemas.openxmlformats.org/drawingml/2006/main">
                        <a:graphicData uri="http://schemas.microsoft.com/office/word/2010/wordprocessingShape">
                          <wps:wsp>
                            <wps:cNvSpPr txBox="1"/>
                            <wps:spPr>
                              <a:xfrm>
                                <a:off x="1770380" y="1182370"/>
                                <a:ext cx="1125220" cy="374650"/>
                              </a:xfrm>
                              <a:prstGeom prst="rect">
                                <a:avLst/>
                              </a:prstGeom>
                              <a:noFill/>
                              <a:ln>
                                <a:noFill/>
                              </a:ln>
                            </wps:spPr>
                            <wps:txbx>
                              <w:txbxContent>
                                <w:p w14:paraId="0A84A3D8">
                                  <w:pPr>
                                    <w:keepNext w:val="0"/>
                                    <w:keepLines w:val="0"/>
                                    <w:pageBreakBefore w:val="0"/>
                                    <w:widowControl w:val="0"/>
                                    <w:kinsoku/>
                                    <w:wordWrap/>
                                    <w:overflowPunct/>
                                    <w:topLinePunct w:val="0"/>
                                    <w:bidi w:val="0"/>
                                    <w:adjustRightInd/>
                                    <w:snapToGrid/>
                                    <w:spacing w:line="220" w:lineRule="exact"/>
                                    <w:jc w:val="center"/>
                                    <w:textAlignment w:val="auto"/>
                                    <w:rPr>
                                      <w:rFonts w:hint="default" w:ascii="Times New Roman" w:hAnsi="Times New Roman" w:eastAsia="宋体" w:cs="Times New Roman"/>
                                      <w:b/>
                                      <w:bCs/>
                                      <w:sz w:val="18"/>
                                      <w:szCs w:val="18"/>
                                      <w:lang w:val="en-US" w:eastAsia="zh-CN"/>
                                    </w:rPr>
                                  </w:pPr>
                                  <w:r>
                                    <w:rPr>
                                      <w:rFonts w:hint="eastAsia" w:cs="Times New Roman"/>
                                      <w:b/>
                                      <w:bCs/>
                                      <w:sz w:val="18"/>
                                      <w:szCs w:val="18"/>
                                      <w:lang w:val="en-US" w:eastAsia="zh-CN"/>
                                    </w:rPr>
                                    <w:t>1</w:t>
                                  </w:r>
                                  <w:r>
                                    <w:rPr>
                                      <w:rFonts w:hint="default" w:ascii="Times New Roman" w:hAnsi="Times New Roman" w:eastAsia="宋体" w:cs="Times New Roman"/>
                                      <w:b/>
                                      <w:bCs/>
                                      <w:sz w:val="18"/>
                                      <w:szCs w:val="18"/>
                                      <w:vertAlign w:val="superscript"/>
                                      <w:lang w:val="en-US" w:eastAsia="zh-CN"/>
                                    </w:rPr>
                                    <w:t>#</w:t>
                                  </w:r>
                                  <w:r>
                                    <w:rPr>
                                      <w:rFonts w:hint="default" w:ascii="Times New Roman" w:hAnsi="Times New Roman" w:eastAsia="宋体" w:cs="Times New Roman"/>
                                      <w:b/>
                                      <w:bCs/>
                                      <w:sz w:val="18"/>
                                      <w:szCs w:val="18"/>
                                      <w:vertAlign w:val="baseline"/>
                                      <w:lang w:val="en-US" w:eastAsia="zh-CN"/>
                                    </w:rPr>
                                    <w:t>料池</w:t>
                                  </w:r>
                                  <w:r>
                                    <w:rPr>
                                      <w:rFonts w:hint="default" w:ascii="Times New Roman" w:hAnsi="Times New Roman" w:eastAsia="宋体" w:cs="Times New Roman"/>
                                      <w:b/>
                                      <w:bCs/>
                                      <w:sz w:val="18"/>
                                      <w:szCs w:val="18"/>
                                      <w:lang w:val="en-US" w:eastAsia="zh-CN"/>
                                    </w:rPr>
                                    <w:t>金</w:t>
                                  </w:r>
                                </w:p>
                                <w:p w14:paraId="51B52D70">
                                  <w:pPr>
                                    <w:keepNext w:val="0"/>
                                    <w:keepLines w:val="0"/>
                                    <w:pageBreakBefore w:val="0"/>
                                    <w:widowControl w:val="0"/>
                                    <w:kinsoku/>
                                    <w:wordWrap/>
                                    <w:overflowPunct/>
                                    <w:topLinePunct w:val="0"/>
                                    <w:bidi w:val="0"/>
                                    <w:adjustRightInd/>
                                    <w:snapToGrid/>
                                    <w:spacing w:line="220" w:lineRule="exact"/>
                                    <w:jc w:val="center"/>
                                    <w:textAlignment w:val="auto"/>
                                    <w:rPr>
                                      <w:rFonts w:hint="default" w:ascii="Times New Roman" w:hAnsi="Times New Roman" w:eastAsia="宋体" w:cs="Times New Roman"/>
                                      <w:b/>
                                      <w:bCs/>
                                      <w:sz w:val="18"/>
                                      <w:szCs w:val="18"/>
                                      <w:lang w:val="en-US" w:eastAsia="zh-CN"/>
                                    </w:rPr>
                                  </w:pPr>
                                  <w:r>
                                    <w:rPr>
                                      <w:rFonts w:hint="default" w:ascii="Times New Roman" w:hAnsi="Times New Roman" w:eastAsia="宋体" w:cs="Times New Roman"/>
                                      <w:b/>
                                      <w:bCs/>
                                      <w:sz w:val="18"/>
                                      <w:szCs w:val="18"/>
                                      <w:lang w:val="en-US" w:eastAsia="zh-CN"/>
                                    </w:rPr>
                                    <w:t>属混合料</w:t>
                                  </w:r>
                                </w:p>
                              </w:txbxContent>
                            </wps:txbx>
                            <wps:bodyPr upright="1"/>
                          </wps:wsp>
                        </a:graphicData>
                      </a:graphic>
                    </wp:anchor>
                  </w:drawing>
                </mc:Choice>
                <mc:Fallback>
                  <w:pict>
                    <v:shape id="_x0000_s1026" o:spid="_x0000_s1026" o:spt="202" type="#_x0000_t202" style="position:absolute;left:0pt;margin-left:19.85pt;margin-top:7.55pt;height:29.5pt;width:88.6pt;z-index:251685888;mso-width-relative:page;mso-height-relative:page;" filled="f" stroked="f" coordsize="21600,21600" o:gfxdata="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">
                      <v:fill on="f" focussize="0,0"/>
                      <v:stroke on="f"/>
                      <v:imagedata o:title=""/>
                      <o:lock v:ext="edit" aspectratio="f"/>
                      <v:textbox>
                        <w:txbxContent>
                          <w:p w14:paraId="0A84A3D8">
                            <w:pPr>
                              <w:keepNext w:val="0"/>
                              <w:keepLines w:val="0"/>
                              <w:pageBreakBefore w:val="0"/>
                              <w:widowControl w:val="0"/>
                              <w:kinsoku/>
                              <w:wordWrap/>
                              <w:overflowPunct/>
                              <w:topLinePunct w:val="0"/>
                              <w:bidi w:val="0"/>
                              <w:adjustRightInd/>
                              <w:snapToGrid/>
                              <w:spacing w:line="220" w:lineRule="exact"/>
                              <w:jc w:val="center"/>
                              <w:textAlignment w:val="auto"/>
                              <w:rPr>
                                <w:rFonts w:hint="default" w:ascii="Times New Roman" w:hAnsi="Times New Roman" w:eastAsia="宋体" w:cs="Times New Roman"/>
                                <w:b/>
                                <w:bCs/>
                                <w:sz w:val="18"/>
                                <w:szCs w:val="18"/>
                                <w:lang w:val="en-US" w:eastAsia="zh-CN"/>
                              </w:rPr>
                            </w:pPr>
                            <w:r>
                              <w:rPr>
                                <w:rFonts w:hint="eastAsia" w:cs="Times New Roman"/>
                                <w:b/>
                                <w:bCs/>
                                <w:sz w:val="18"/>
                                <w:szCs w:val="18"/>
                                <w:lang w:val="en-US" w:eastAsia="zh-CN"/>
                              </w:rPr>
                              <w:t>1</w:t>
                            </w:r>
                            <w:r>
                              <w:rPr>
                                <w:rFonts w:hint="default" w:ascii="Times New Roman" w:hAnsi="Times New Roman" w:eastAsia="宋体" w:cs="Times New Roman"/>
                                <w:b/>
                                <w:bCs/>
                                <w:sz w:val="18"/>
                                <w:szCs w:val="18"/>
                                <w:vertAlign w:val="superscript"/>
                                <w:lang w:val="en-US" w:eastAsia="zh-CN"/>
                              </w:rPr>
                              <w:t>#</w:t>
                            </w:r>
                            <w:r>
                              <w:rPr>
                                <w:rFonts w:hint="default" w:ascii="Times New Roman" w:hAnsi="Times New Roman" w:eastAsia="宋体" w:cs="Times New Roman"/>
                                <w:b/>
                                <w:bCs/>
                                <w:sz w:val="18"/>
                                <w:szCs w:val="18"/>
                                <w:vertAlign w:val="baseline"/>
                                <w:lang w:val="en-US" w:eastAsia="zh-CN"/>
                              </w:rPr>
                              <w:t>料池</w:t>
                            </w:r>
                            <w:r>
                              <w:rPr>
                                <w:rFonts w:hint="default" w:ascii="Times New Roman" w:hAnsi="Times New Roman" w:eastAsia="宋体" w:cs="Times New Roman"/>
                                <w:b/>
                                <w:bCs/>
                                <w:sz w:val="18"/>
                                <w:szCs w:val="18"/>
                                <w:lang w:val="en-US" w:eastAsia="zh-CN"/>
                              </w:rPr>
                              <w:t>金</w:t>
                            </w:r>
                          </w:p>
                          <w:p w14:paraId="51B52D70">
                            <w:pPr>
                              <w:keepNext w:val="0"/>
                              <w:keepLines w:val="0"/>
                              <w:pageBreakBefore w:val="0"/>
                              <w:widowControl w:val="0"/>
                              <w:kinsoku/>
                              <w:wordWrap/>
                              <w:overflowPunct/>
                              <w:topLinePunct w:val="0"/>
                              <w:bidi w:val="0"/>
                              <w:adjustRightInd/>
                              <w:snapToGrid/>
                              <w:spacing w:line="220" w:lineRule="exact"/>
                              <w:jc w:val="center"/>
                              <w:textAlignment w:val="auto"/>
                              <w:rPr>
                                <w:rFonts w:hint="default" w:ascii="Times New Roman" w:hAnsi="Times New Roman" w:eastAsia="宋体" w:cs="Times New Roman"/>
                                <w:b/>
                                <w:bCs/>
                                <w:sz w:val="18"/>
                                <w:szCs w:val="18"/>
                                <w:lang w:val="en-US" w:eastAsia="zh-CN"/>
                              </w:rPr>
                            </w:pPr>
                            <w:r>
                              <w:rPr>
                                <w:rFonts w:hint="default" w:ascii="Times New Roman" w:hAnsi="Times New Roman" w:eastAsia="宋体" w:cs="Times New Roman"/>
                                <w:b/>
                                <w:bCs/>
                                <w:sz w:val="18"/>
                                <w:szCs w:val="18"/>
                                <w:lang w:val="en-US" w:eastAsia="zh-CN"/>
                              </w:rPr>
                              <w:t>属混合料</w:t>
                            </w:r>
                          </w:p>
                        </w:txbxContent>
                      </v:textbox>
                    </v:shape>
                  </w:pict>
                </mc:Fallback>
              </mc:AlternateContent>
            </w:r>
          </w:p>
          <w:p w14:paraId="6C6B185A">
            <w:pPr>
              <w:pStyle w:val="24"/>
              <w:keepNext w:val="0"/>
              <w:keepLines w:val="0"/>
              <w:pageBreakBefore w:val="0"/>
              <w:widowControl/>
              <w:kinsoku/>
              <w:wordWrap/>
              <w:overflowPunct/>
              <w:topLinePunct w:val="0"/>
              <w:autoSpaceDE/>
              <w:autoSpaceDN/>
              <w:bidi w:val="0"/>
              <w:adjustRightInd w:val="0"/>
              <w:snapToGrid w:val="0"/>
              <w:spacing w:before="0" w:beforeAutospacing="0" w:after="0" w:afterAutospacing="0" w:line="430" w:lineRule="exact"/>
              <w:ind w:firstLine="420" w:firstLineChars="200"/>
              <w:textAlignment w:val="auto"/>
              <w:rPr>
                <w:rFonts w:hint="eastAsia" w:ascii="Times New Roman" w:hAnsi="Times New Roman" w:cs="Times New Roman"/>
                <w:color w:val="auto"/>
                <w:sz w:val="21"/>
                <w:szCs w:val="21"/>
                <w:highlight w:val="none"/>
                <w:lang w:val="en-US" w:eastAsia="zh-CN"/>
              </w:rPr>
            </w:pPr>
            <w:r>
              <w:rPr>
                <w:color w:val="auto"/>
                <w:sz w:val="21"/>
              </w:rPr>
              <mc:AlternateContent>
                <mc:Choice Requires="wps">
                  <w:drawing>
                    <wp:anchor distT="0" distB="0" distL="114300" distR="114300" simplePos="0" relativeHeight="251802624" behindDoc="0" locked="0" layoutInCell="1" allowOverlap="1">
                      <wp:simplePos x="0" y="0"/>
                      <wp:positionH relativeFrom="column">
                        <wp:posOffset>1533525</wp:posOffset>
                      </wp:positionH>
                      <wp:positionV relativeFrom="paragraph">
                        <wp:posOffset>215265</wp:posOffset>
                      </wp:positionV>
                      <wp:extent cx="635" cy="144145"/>
                      <wp:effectExtent l="36195" t="0" r="39370" b="8255"/>
                      <wp:wrapNone/>
                      <wp:docPr id="76" name="直接箭头连接符 50"/>
                      <wp:cNvGraphicFramePr/>
                      <a:graphic xmlns:a="http://schemas.openxmlformats.org/drawingml/2006/main">
                        <a:graphicData uri="http://schemas.microsoft.com/office/word/2010/wordprocessingShape">
                          <wps:wsp>
                            <wps:cNvCnPr/>
                            <wps:spPr>
                              <a:xfrm flipH="1" flipV="1">
                                <a:off x="3051810" y="1574800"/>
                                <a:ext cx="635" cy="144145"/>
                              </a:xfrm>
                              <a:prstGeom prst="straightConnector1">
                                <a:avLst/>
                              </a:prstGeom>
                              <a:ln w="9525" cap="flat" cmpd="sng">
                                <a:solidFill>
                                  <a:srgbClr val="000000"/>
                                </a:solidFill>
                                <a:prstDash val="dash"/>
                                <a:headEnd type="none" w="med" len="med"/>
                                <a:tailEnd type="arrow" w="sm" len="sm"/>
                              </a:ln>
                            </wps:spPr>
                            <wps:bodyPr/>
                          </wps:wsp>
                        </a:graphicData>
                      </a:graphic>
                    </wp:anchor>
                  </w:drawing>
                </mc:Choice>
                <mc:Fallback>
                  <w:pict>
                    <v:shape id="直接箭头连接符 50" o:spid="_x0000_s1026" o:spt="32" type="#_x0000_t32" style="position:absolute;left:0pt;flip:x y;margin-left:120.75pt;margin-top:16.95pt;height:11.35pt;width:0.05pt;z-index:251802624;mso-width-relative:page;mso-height-relative:page;" filled="f" stroked="t" coordsize="21600,21600" o:gfxdata="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">
                      <v:fill on="f" focussize="0,0"/>
                      <v:stroke color="#000000" joinstyle="round" dashstyle="dash" endarrow="open" endarrowwidth="narrow" endarrowlength="short"/>
                      <v:imagedata o:title=""/>
                      <o:lock v:ext="edit" aspectratio="f"/>
                    </v:shape>
                  </w:pict>
                </mc:Fallback>
              </mc:AlternateContent>
            </w:r>
            <w:r>
              <w:rPr>
                <w:color w:val="auto"/>
                <w:sz w:val="21"/>
              </w:rPr>
              <mc:AlternateContent>
                <mc:Choice Requires="wps">
                  <w:drawing>
                    <wp:anchor distT="0" distB="0" distL="114300" distR="114300" simplePos="0" relativeHeight="251801600" behindDoc="0" locked="0" layoutInCell="1" allowOverlap="1">
                      <wp:simplePos x="0" y="0"/>
                      <wp:positionH relativeFrom="column">
                        <wp:posOffset>3743325</wp:posOffset>
                      </wp:positionH>
                      <wp:positionV relativeFrom="paragraph">
                        <wp:posOffset>220345</wp:posOffset>
                      </wp:positionV>
                      <wp:extent cx="635" cy="144145"/>
                      <wp:effectExtent l="36195" t="0" r="39370" b="8255"/>
                      <wp:wrapNone/>
                      <wp:docPr id="74" name="直接箭头连接符 50"/>
                      <wp:cNvGraphicFramePr/>
                      <a:graphic xmlns:a="http://schemas.openxmlformats.org/drawingml/2006/main">
                        <a:graphicData uri="http://schemas.microsoft.com/office/word/2010/wordprocessingShape">
                          <wps:wsp>
                            <wps:cNvCnPr/>
                            <wps:spPr>
                              <a:xfrm flipH="1" flipV="1">
                                <a:off x="5261610" y="1579880"/>
                                <a:ext cx="635" cy="144145"/>
                              </a:xfrm>
                              <a:prstGeom prst="straightConnector1">
                                <a:avLst/>
                              </a:prstGeom>
                              <a:ln w="9525" cap="flat" cmpd="sng">
                                <a:solidFill>
                                  <a:srgbClr val="000000"/>
                                </a:solidFill>
                                <a:prstDash val="dash"/>
                                <a:headEnd type="none" w="med" len="med"/>
                                <a:tailEnd type="arrow" w="sm" len="sm"/>
                              </a:ln>
                            </wps:spPr>
                            <wps:bodyPr/>
                          </wps:wsp>
                        </a:graphicData>
                      </a:graphic>
                    </wp:anchor>
                  </w:drawing>
                </mc:Choice>
                <mc:Fallback>
                  <w:pict>
                    <v:shape id="直接箭头连接符 50" o:spid="_x0000_s1026" o:spt="32" type="#_x0000_t32" style="position:absolute;left:0pt;flip:x y;margin-left:294.75pt;margin-top:17.35pt;height:11.35pt;width:0.05pt;z-index:251801600;mso-width-relative:page;mso-height-relative:page;" filled="f" stroked="t" coordsize="21600,21600" o:gfxdata="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">
                      <v:fill on="f" focussize="0,0"/>
                      <v:stroke color="#000000" joinstyle="round" dashstyle="dash" endarrow="open" endarrowwidth="narrow" endarrowlength="short"/>
                      <v:imagedata o:title=""/>
                      <o:lock v:ext="edit" aspectratio="f"/>
                    </v:shape>
                  </w:pict>
                </mc:Fallback>
              </mc:AlternateContent>
            </w:r>
            <w:r>
              <w:rPr>
                <w:color w:val="auto"/>
                <w:sz w:val="21"/>
              </w:rPr>
              <mc:AlternateContent>
                <mc:Choice Requires="wps">
                  <w:drawing>
                    <wp:anchor distT="0" distB="0" distL="114300" distR="114300" simplePos="0" relativeHeight="251799552" behindDoc="0" locked="0" layoutInCell="1" allowOverlap="1">
                      <wp:simplePos x="0" y="0"/>
                      <wp:positionH relativeFrom="column">
                        <wp:posOffset>1377315</wp:posOffset>
                      </wp:positionH>
                      <wp:positionV relativeFrom="paragraph">
                        <wp:posOffset>71120</wp:posOffset>
                      </wp:positionV>
                      <wp:extent cx="304165" cy="213360"/>
                      <wp:effectExtent l="0" t="0" r="0" b="0"/>
                      <wp:wrapNone/>
                      <wp:docPr id="72" name="矩形 49"/>
                      <wp:cNvGraphicFramePr/>
                      <a:graphic xmlns:a="http://schemas.openxmlformats.org/drawingml/2006/main">
                        <a:graphicData uri="http://schemas.microsoft.com/office/word/2010/wordprocessingShape">
                          <wps:wsp>
                            <wps:cNvSpPr/>
                            <wps:spPr>
                              <a:xfrm>
                                <a:off x="2895600" y="1430655"/>
                                <a:ext cx="304165" cy="213360"/>
                              </a:xfrm>
                              <a:prstGeom prst="rect">
                                <a:avLst/>
                              </a:prstGeom>
                              <a:noFill/>
                              <a:ln>
                                <a:noFill/>
                              </a:ln>
                            </wps:spPr>
                            <wps:txbx>
                              <w:txbxContent>
                                <w:p w14:paraId="5EB76624">
                                  <w:pPr>
                                    <w:spacing w:line="0" w:lineRule="atLeast"/>
                                    <w:jc w:val="center"/>
                                    <w:rPr>
                                      <w:rFonts w:hint="default" w:eastAsia="宋体"/>
                                      <w:sz w:val="15"/>
                                      <w:szCs w:val="15"/>
                                      <w:lang w:val="en-US" w:eastAsia="zh-CN"/>
                                    </w:rPr>
                                  </w:pPr>
                                  <w:r>
                                    <w:rPr>
                                      <w:rFonts w:hint="eastAsia"/>
                                      <w:sz w:val="15"/>
                                      <w:szCs w:val="15"/>
                                    </w:rPr>
                                    <w:t>N</w:t>
                                  </w:r>
                                </w:p>
                              </w:txbxContent>
                            </wps:txbx>
                            <wps:bodyPr wrap="square" upright="1">
                              <a:noAutofit/>
                            </wps:bodyPr>
                          </wps:wsp>
                        </a:graphicData>
                      </a:graphic>
                    </wp:anchor>
                  </w:drawing>
                </mc:Choice>
                <mc:Fallback>
                  <w:pict>
                    <v:rect id="矩形 49" o:spid="_x0000_s1026" o:spt="1" style="position:absolute;left:0pt;margin-left:108.45pt;margin-top:5.6pt;height:16.8pt;width:23.95pt;z-index:251799552;mso-width-relative:page;mso-height-relative:page;" filled="f" stroked="f" coordsize="21600,21600" o:gfxdata="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">
                      <v:fill on="f" focussize="0,0"/>
                      <v:stroke on="f"/>
                      <v:imagedata o:title=""/>
                      <o:lock v:ext="edit" aspectratio="f"/>
                      <v:textbox>
                        <w:txbxContent>
                          <w:p w14:paraId="5EB76624">
                            <w:pPr>
                              <w:spacing w:line="0" w:lineRule="atLeast"/>
                              <w:jc w:val="center"/>
                              <w:rPr>
                                <w:rFonts w:hint="default" w:eastAsia="宋体"/>
                                <w:sz w:val="15"/>
                                <w:szCs w:val="15"/>
                                <w:lang w:val="en-US" w:eastAsia="zh-CN"/>
                              </w:rPr>
                            </w:pPr>
                            <w:r>
                              <w:rPr>
                                <w:rFonts w:hint="eastAsia"/>
                                <w:sz w:val="15"/>
                                <w:szCs w:val="15"/>
                              </w:rPr>
                              <w:t>N</w:t>
                            </w:r>
                          </w:p>
                        </w:txbxContent>
                      </v:textbox>
                    </v:rect>
                  </w:pict>
                </mc:Fallback>
              </mc:AlternateContent>
            </w:r>
            <w:r>
              <w:rPr>
                <w:color w:val="auto"/>
                <w:sz w:val="21"/>
              </w:rPr>
              <mc:AlternateContent>
                <mc:Choice Requires="wps">
                  <w:drawing>
                    <wp:anchor distT="0" distB="0" distL="114300" distR="114300" simplePos="0" relativeHeight="251798528" behindDoc="0" locked="0" layoutInCell="1" allowOverlap="1">
                      <wp:simplePos x="0" y="0"/>
                      <wp:positionH relativeFrom="column">
                        <wp:posOffset>3601085</wp:posOffset>
                      </wp:positionH>
                      <wp:positionV relativeFrom="paragraph">
                        <wp:posOffset>59690</wp:posOffset>
                      </wp:positionV>
                      <wp:extent cx="282575" cy="213360"/>
                      <wp:effectExtent l="0" t="0" r="0" b="0"/>
                      <wp:wrapNone/>
                      <wp:docPr id="71" name="矩形 49"/>
                      <wp:cNvGraphicFramePr/>
                      <a:graphic xmlns:a="http://schemas.openxmlformats.org/drawingml/2006/main">
                        <a:graphicData uri="http://schemas.microsoft.com/office/word/2010/wordprocessingShape">
                          <wps:wsp>
                            <wps:cNvSpPr/>
                            <wps:spPr>
                              <a:xfrm>
                                <a:off x="5119370" y="1419225"/>
                                <a:ext cx="282575" cy="213360"/>
                              </a:xfrm>
                              <a:prstGeom prst="rect">
                                <a:avLst/>
                              </a:prstGeom>
                              <a:noFill/>
                              <a:ln>
                                <a:noFill/>
                              </a:ln>
                            </wps:spPr>
                            <wps:txbx>
                              <w:txbxContent>
                                <w:p w14:paraId="48F6EF3F">
                                  <w:pPr>
                                    <w:spacing w:line="0" w:lineRule="atLeast"/>
                                    <w:jc w:val="center"/>
                                    <w:rPr>
                                      <w:rFonts w:hint="default" w:eastAsia="宋体"/>
                                      <w:sz w:val="15"/>
                                      <w:szCs w:val="15"/>
                                      <w:lang w:val="en-US" w:eastAsia="zh-CN"/>
                                    </w:rPr>
                                  </w:pPr>
                                  <w:r>
                                    <w:rPr>
                                      <w:rFonts w:hint="eastAsia"/>
                                      <w:sz w:val="15"/>
                                      <w:szCs w:val="15"/>
                                    </w:rPr>
                                    <w:t>N</w:t>
                                  </w:r>
                                </w:p>
                              </w:txbxContent>
                            </wps:txbx>
                            <wps:bodyPr wrap="square" upright="1">
                              <a:noAutofit/>
                            </wps:bodyPr>
                          </wps:wsp>
                        </a:graphicData>
                      </a:graphic>
                    </wp:anchor>
                  </w:drawing>
                </mc:Choice>
                <mc:Fallback>
                  <w:pict>
                    <v:rect id="矩形 49" o:spid="_x0000_s1026" o:spt="1" style="position:absolute;left:0pt;margin-left:283.55pt;margin-top:4.7pt;height:16.8pt;width:22.25pt;z-index:251798528;mso-width-relative:page;mso-height-relative:page;" filled="f" stroked="f" coordsize="21600,21600" o:gfxdata="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">
                      <v:fill on="f" focussize="0,0"/>
                      <v:stroke on="f"/>
                      <v:imagedata o:title=""/>
                      <o:lock v:ext="edit" aspectratio="f"/>
                      <v:textbox>
                        <w:txbxContent>
                          <w:p w14:paraId="48F6EF3F">
                            <w:pPr>
                              <w:spacing w:line="0" w:lineRule="atLeast"/>
                              <w:jc w:val="center"/>
                              <w:rPr>
                                <w:rFonts w:hint="default" w:eastAsia="宋体"/>
                                <w:sz w:val="15"/>
                                <w:szCs w:val="15"/>
                                <w:lang w:val="en-US" w:eastAsia="zh-CN"/>
                              </w:rPr>
                            </w:pPr>
                            <w:r>
                              <w:rPr>
                                <w:rFonts w:hint="eastAsia"/>
                                <w:sz w:val="15"/>
                                <w:szCs w:val="15"/>
                              </w:rPr>
                              <w:t>N</w:t>
                            </w:r>
                          </w:p>
                        </w:txbxContent>
                      </v:textbox>
                    </v:rect>
                  </w:pict>
                </mc:Fallback>
              </mc:AlternateContent>
            </w:r>
            <w:r>
              <w:rPr>
                <w:color w:val="auto"/>
                <w:sz w:val="21"/>
              </w:rPr>
              <mc:AlternateContent>
                <mc:Choice Requires="wps">
                  <w:drawing>
                    <wp:anchor distT="0" distB="0" distL="114300" distR="114300" simplePos="0" relativeHeight="251795456" behindDoc="0" locked="0" layoutInCell="1" allowOverlap="1">
                      <wp:simplePos x="0" y="0"/>
                      <wp:positionH relativeFrom="column">
                        <wp:posOffset>2445385</wp:posOffset>
                      </wp:positionH>
                      <wp:positionV relativeFrom="paragraph">
                        <wp:posOffset>71120</wp:posOffset>
                      </wp:positionV>
                      <wp:extent cx="511810" cy="213360"/>
                      <wp:effectExtent l="0" t="0" r="0" b="0"/>
                      <wp:wrapNone/>
                      <wp:docPr id="67" name="矩形 49"/>
                      <wp:cNvGraphicFramePr/>
                      <a:graphic xmlns:a="http://schemas.openxmlformats.org/drawingml/2006/main">
                        <a:graphicData uri="http://schemas.microsoft.com/office/word/2010/wordprocessingShape">
                          <wps:wsp>
                            <wps:cNvSpPr/>
                            <wps:spPr>
                              <a:xfrm>
                                <a:off x="3963670" y="1430655"/>
                                <a:ext cx="511810" cy="213360"/>
                              </a:xfrm>
                              <a:prstGeom prst="rect">
                                <a:avLst/>
                              </a:prstGeom>
                              <a:noFill/>
                              <a:ln>
                                <a:noFill/>
                              </a:ln>
                            </wps:spPr>
                            <wps:txbx>
                              <w:txbxContent>
                                <w:p w14:paraId="6A04A420">
                                  <w:pPr>
                                    <w:spacing w:line="0" w:lineRule="atLeast"/>
                                    <w:jc w:val="center"/>
                                    <w:rPr>
                                      <w:rFonts w:hint="default" w:eastAsia="宋体"/>
                                      <w:sz w:val="15"/>
                                      <w:szCs w:val="15"/>
                                      <w:lang w:val="en-US" w:eastAsia="zh-CN"/>
                                    </w:rPr>
                                  </w:pPr>
                                  <w:r>
                                    <w:rPr>
                                      <w:rFonts w:hint="eastAsia"/>
                                      <w:sz w:val="15"/>
                                      <w:szCs w:val="15"/>
                                    </w:rPr>
                                    <w:t>N</w:t>
                                  </w:r>
                                  <w:r>
                                    <w:rPr>
                                      <w:rFonts w:hint="eastAsia"/>
                                      <w:sz w:val="15"/>
                                      <w:szCs w:val="15"/>
                                      <w:lang w:eastAsia="zh-CN"/>
                                    </w:rPr>
                                    <w:t>、</w:t>
                                  </w:r>
                                  <w:r>
                                    <w:rPr>
                                      <w:rFonts w:hint="eastAsia"/>
                                      <w:sz w:val="15"/>
                                      <w:szCs w:val="15"/>
                                      <w:lang w:val="en-US" w:eastAsia="zh-CN"/>
                                    </w:rPr>
                                    <w:t>S</w:t>
                                  </w:r>
                                </w:p>
                              </w:txbxContent>
                            </wps:txbx>
                            <wps:bodyPr wrap="square" upright="1">
                              <a:noAutofit/>
                            </wps:bodyPr>
                          </wps:wsp>
                        </a:graphicData>
                      </a:graphic>
                    </wp:anchor>
                  </w:drawing>
                </mc:Choice>
                <mc:Fallback>
                  <w:pict>
                    <v:rect id="矩形 49" o:spid="_x0000_s1026" o:spt="1" style="position:absolute;left:0pt;margin-left:192.55pt;margin-top:5.6pt;height:16.8pt;width:40.3pt;z-index:251795456;mso-width-relative:page;mso-height-relative:page;" filled="f" stroked="f" coordsize="21600,21600" o:gfxdata="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">
                      <v:fill on="f" focussize="0,0"/>
                      <v:stroke on="f"/>
                      <v:imagedata o:title=""/>
                      <o:lock v:ext="edit" aspectratio="f"/>
                      <v:textbox>
                        <w:txbxContent>
                          <w:p w14:paraId="6A04A420">
                            <w:pPr>
                              <w:spacing w:line="0" w:lineRule="atLeast"/>
                              <w:jc w:val="center"/>
                              <w:rPr>
                                <w:rFonts w:hint="default" w:eastAsia="宋体"/>
                                <w:sz w:val="15"/>
                                <w:szCs w:val="15"/>
                                <w:lang w:val="en-US" w:eastAsia="zh-CN"/>
                              </w:rPr>
                            </w:pPr>
                            <w:r>
                              <w:rPr>
                                <w:rFonts w:hint="eastAsia"/>
                                <w:sz w:val="15"/>
                                <w:szCs w:val="15"/>
                              </w:rPr>
                              <w:t>N</w:t>
                            </w:r>
                            <w:r>
                              <w:rPr>
                                <w:rFonts w:hint="eastAsia"/>
                                <w:sz w:val="15"/>
                                <w:szCs w:val="15"/>
                                <w:lang w:eastAsia="zh-CN"/>
                              </w:rPr>
                              <w:t>、</w:t>
                            </w:r>
                            <w:r>
                              <w:rPr>
                                <w:rFonts w:hint="eastAsia"/>
                                <w:sz w:val="15"/>
                                <w:szCs w:val="15"/>
                                <w:lang w:val="en-US" w:eastAsia="zh-CN"/>
                              </w:rPr>
                              <w:t>S</w:t>
                            </w:r>
                          </w:p>
                        </w:txbxContent>
                      </v:textbox>
                    </v:rect>
                  </w:pict>
                </mc:Fallback>
              </mc:AlternateContent>
            </w:r>
            <w:r>
              <w:rPr>
                <w:color w:val="auto"/>
                <w:sz w:val="21"/>
              </w:rPr>
              <mc:AlternateContent>
                <mc:Choice Requires="wps">
                  <w:drawing>
                    <wp:anchor distT="0" distB="0" distL="114300" distR="114300" simplePos="0" relativeHeight="251793408" behindDoc="0" locked="0" layoutInCell="1" allowOverlap="1">
                      <wp:simplePos x="0" y="0"/>
                      <wp:positionH relativeFrom="column">
                        <wp:posOffset>2700655</wp:posOffset>
                      </wp:positionH>
                      <wp:positionV relativeFrom="paragraph">
                        <wp:posOffset>235585</wp:posOffset>
                      </wp:positionV>
                      <wp:extent cx="635" cy="144145"/>
                      <wp:effectExtent l="36195" t="0" r="39370" b="8255"/>
                      <wp:wrapNone/>
                      <wp:docPr id="62" name="直接箭头连接符 50"/>
                      <wp:cNvGraphicFramePr/>
                      <a:graphic xmlns:a="http://schemas.openxmlformats.org/drawingml/2006/main">
                        <a:graphicData uri="http://schemas.microsoft.com/office/word/2010/wordprocessingShape">
                          <wps:wsp>
                            <wps:cNvCnPr/>
                            <wps:spPr>
                              <a:xfrm flipH="1" flipV="1">
                                <a:off x="4218940" y="1595120"/>
                                <a:ext cx="635" cy="144145"/>
                              </a:xfrm>
                              <a:prstGeom prst="straightConnector1">
                                <a:avLst/>
                              </a:prstGeom>
                              <a:ln w="9525" cap="flat" cmpd="sng">
                                <a:solidFill>
                                  <a:srgbClr val="000000"/>
                                </a:solidFill>
                                <a:prstDash val="dash"/>
                                <a:headEnd type="none" w="med" len="med"/>
                                <a:tailEnd type="arrow" w="sm" len="sm"/>
                              </a:ln>
                            </wps:spPr>
                            <wps:bodyPr/>
                          </wps:wsp>
                        </a:graphicData>
                      </a:graphic>
                    </wp:anchor>
                  </w:drawing>
                </mc:Choice>
                <mc:Fallback>
                  <w:pict>
                    <v:shape id="直接箭头连接符 50" o:spid="_x0000_s1026" o:spt="32" type="#_x0000_t32" style="position:absolute;left:0pt;flip:x y;margin-left:212.65pt;margin-top:18.55pt;height:11.35pt;width:0.05pt;z-index:251793408;mso-width-relative:page;mso-height-relative:page;" filled="f" stroked="t" coordsize="21600,21600" o:gfxdata="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">
                      <v:fill on="f" focussize="0,0"/>
                      <v:stroke color="#000000" joinstyle="round" dashstyle="dash" endarrow="open" endarrowwidth="narrow" endarrowlength="short"/>
                      <v:imagedata o:title=""/>
                      <o:lock v:ext="edit" aspectratio="f"/>
                    </v:shape>
                  </w:pict>
                </mc:Fallback>
              </mc:AlternateContent>
            </w:r>
            <w:r>
              <w:rPr>
                <w:color w:val="auto"/>
                <w:sz w:val="21"/>
              </w:rPr>
              <mc:AlternateContent>
                <mc:Choice Requires="wps">
                  <w:drawing>
                    <wp:anchor distT="0" distB="0" distL="114300" distR="114300" simplePos="0" relativeHeight="251764736" behindDoc="0" locked="0" layoutInCell="1" allowOverlap="1">
                      <wp:simplePos x="0" y="0"/>
                      <wp:positionH relativeFrom="column">
                        <wp:posOffset>1741170</wp:posOffset>
                      </wp:positionH>
                      <wp:positionV relativeFrom="paragraph">
                        <wp:posOffset>128270</wp:posOffset>
                      </wp:positionV>
                      <wp:extent cx="635" cy="252095"/>
                      <wp:effectExtent l="48895" t="0" r="64770" b="14605"/>
                      <wp:wrapNone/>
                      <wp:docPr id="4" name="直接连接符 4"/>
                      <wp:cNvGraphicFramePr/>
                      <a:graphic xmlns:a="http://schemas.openxmlformats.org/drawingml/2006/main">
                        <a:graphicData uri="http://schemas.microsoft.com/office/word/2010/wordprocessingShape">
                          <wps:wsp>
                            <wps:cNvCnPr/>
                            <wps:spPr>
                              <a:xfrm>
                                <a:off x="3259455" y="1487805"/>
                                <a:ext cx="635" cy="252095"/>
                              </a:xfrm>
                              <a:prstGeom prst="line">
                                <a:avLst/>
                              </a:prstGeom>
                              <a:ln w="9525" cap="flat" cmpd="sng">
                                <a:solidFill>
                                  <a:srgbClr val="000000"/>
                                </a:solidFill>
                                <a:prstDash val="solid"/>
                                <a:round/>
                                <a:headEnd type="none" w="med" len="med"/>
                                <a:tailEnd type="arrow" w="med" len="med"/>
                              </a:ln>
                            </wps:spPr>
                            <wps:bodyPr upright="1"/>
                          </wps:wsp>
                        </a:graphicData>
                      </a:graphic>
                    </wp:anchor>
                  </w:drawing>
                </mc:Choice>
                <mc:Fallback>
                  <w:pict>
                    <v:line id="_x0000_s1026" o:spid="_x0000_s1026" o:spt="20" style="position:absolute;left:0pt;margin-left:137.1pt;margin-top:10.1pt;height:19.85pt;width:0.05pt;z-index:251764736;mso-width-relative:page;mso-height-relative:page;" filled="f" stroked="t" coordsize="21600,21600" o:gfxdata="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pjiPDtgAAAAJAQAADwAAAAAAAAAB&#10;ACAAAAAiAAAAZHJzL2Rvd25yZXYueG1sUEsBAhQAFAAAAAgAh07iQDp0+D0QAgAA/AMAAA4AAAAA&#10;AAAAAQAgAAAAJwEAAGRycy9lMm9Eb2MueG1sUEsFBgAAAAAGAAYAWQEAAKkFAAAAAA==&#10;">
                      <v:fill on="f" focussize="0,0"/>
                      <v:stroke color="#000000" joinstyle="round" endarrow="open"/>
                      <v:imagedata o:title=""/>
                      <o:lock v:ext="edit" aspectratio="f"/>
                    </v:line>
                  </w:pict>
                </mc:Fallback>
              </mc:AlternateContent>
            </w:r>
            <w:r>
              <w:rPr>
                <w:color w:val="auto"/>
                <w:sz w:val="21"/>
              </w:rPr>
              <mc:AlternateContent>
                <mc:Choice Requires="wps">
                  <w:drawing>
                    <wp:anchor distT="0" distB="0" distL="114300" distR="114300" simplePos="0" relativeHeight="251686912" behindDoc="0" locked="0" layoutInCell="1" allowOverlap="1">
                      <wp:simplePos x="0" y="0"/>
                      <wp:positionH relativeFrom="column">
                        <wp:posOffset>1065530</wp:posOffset>
                      </wp:positionH>
                      <wp:positionV relativeFrom="paragraph">
                        <wp:posOffset>10160</wp:posOffset>
                      </wp:positionV>
                      <wp:extent cx="333375" cy="1270"/>
                      <wp:effectExtent l="0" t="48895" r="9525" b="64135"/>
                      <wp:wrapNone/>
                      <wp:docPr id="2" name="直接连接符 2"/>
                      <wp:cNvGraphicFramePr/>
                      <a:graphic xmlns:a="http://schemas.openxmlformats.org/drawingml/2006/main">
                        <a:graphicData uri="http://schemas.microsoft.com/office/word/2010/wordprocessingShape">
                          <wps:wsp>
                            <wps:cNvCnPr/>
                            <wps:spPr>
                              <a:xfrm flipV="1">
                                <a:off x="2583815" y="1369695"/>
                                <a:ext cx="333375" cy="1270"/>
                              </a:xfrm>
                              <a:prstGeom prst="line">
                                <a:avLst/>
                              </a:prstGeom>
                              <a:ln w="9525" cap="flat" cmpd="sng">
                                <a:solidFill>
                                  <a:srgbClr val="000000"/>
                                </a:solidFill>
                                <a:prstDash val="solid"/>
                                <a:round/>
                                <a:headEnd type="none" w="med" len="med"/>
                                <a:tailEnd type="arrow" w="med" len="med"/>
                              </a:ln>
                            </wps:spPr>
                            <wps:bodyPr upright="1"/>
                          </wps:wsp>
                        </a:graphicData>
                      </a:graphic>
                    </wp:anchor>
                  </w:drawing>
                </mc:Choice>
                <mc:Fallback>
                  <w:pict>
                    <v:line id="_x0000_s1026" o:spid="_x0000_s1026" o:spt="20" style="position:absolute;left:0pt;flip:y;margin-left:83.9pt;margin-top:0.8pt;height:0.1pt;width:26.25pt;z-index:251686912;mso-width-relative:page;mso-height-relative:page;" filled="f" stroked="t" coordsize="21600,21600" o:gfxdata="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TAHaytMAAAAHAQAADwAAAAAAAAAB&#10;ACAAAAAiAAAAZHJzL2Rvd25yZXYueG1sUEsBAhQAFAAAAAgAh07iQFQpsfcVAgAABwQAAA4AAAAA&#10;AAAAAQAgAAAAIgEAAGRycy9lMm9Eb2MueG1sUEsFBgAAAAAGAAYAWQEAAKkFAAAAAA==&#10;">
                      <v:fill on="f" focussize="0,0"/>
                      <v:stroke color="#000000" joinstyle="round" endarrow="open"/>
                      <v:imagedata o:title=""/>
                      <o:lock v:ext="edit" aspectratio="f"/>
                    </v:line>
                  </w:pict>
                </mc:Fallback>
              </mc:AlternateContent>
            </w:r>
          </w:p>
          <w:p w14:paraId="6712B723">
            <w:pPr>
              <w:pStyle w:val="24"/>
              <w:keepNext w:val="0"/>
              <w:keepLines w:val="0"/>
              <w:pageBreakBefore w:val="0"/>
              <w:widowControl/>
              <w:kinsoku/>
              <w:wordWrap/>
              <w:overflowPunct/>
              <w:topLinePunct w:val="0"/>
              <w:autoSpaceDE/>
              <w:autoSpaceDN/>
              <w:bidi w:val="0"/>
              <w:adjustRightInd w:val="0"/>
              <w:snapToGrid w:val="0"/>
              <w:spacing w:before="0" w:beforeAutospacing="0" w:after="0" w:afterAutospacing="0" w:line="430" w:lineRule="exact"/>
              <w:ind w:firstLine="420" w:firstLineChars="200"/>
              <w:textAlignment w:val="auto"/>
              <w:rPr>
                <w:rFonts w:hint="eastAsia" w:ascii="Times New Roman" w:hAnsi="Times New Roman" w:cs="Times New Roman"/>
                <w:color w:val="auto"/>
                <w:sz w:val="21"/>
                <w:szCs w:val="21"/>
                <w:highlight w:val="none"/>
                <w:lang w:val="en-US" w:eastAsia="zh-CN"/>
              </w:rPr>
            </w:pPr>
            <w:r>
              <w:rPr>
                <w:color w:val="auto"/>
                <w:sz w:val="21"/>
              </w:rPr>
              <mc:AlternateContent>
                <mc:Choice Requires="wps">
                  <w:drawing>
                    <wp:anchor distT="0" distB="0" distL="114300" distR="114300" simplePos="0" relativeHeight="251771904" behindDoc="0" locked="0" layoutInCell="1" allowOverlap="1">
                      <wp:simplePos x="0" y="0"/>
                      <wp:positionH relativeFrom="column">
                        <wp:posOffset>2074545</wp:posOffset>
                      </wp:positionH>
                      <wp:positionV relativeFrom="paragraph">
                        <wp:posOffset>227330</wp:posOffset>
                      </wp:positionV>
                      <wp:extent cx="352425" cy="635"/>
                      <wp:effectExtent l="0" t="48895" r="9525" b="64770"/>
                      <wp:wrapNone/>
                      <wp:docPr id="12" name="直接连接符 12"/>
                      <wp:cNvGraphicFramePr/>
                      <a:graphic xmlns:a="http://schemas.openxmlformats.org/drawingml/2006/main">
                        <a:graphicData uri="http://schemas.microsoft.com/office/word/2010/wordprocessingShape">
                          <wps:wsp>
                            <wps:cNvCnPr/>
                            <wps:spPr>
                              <a:xfrm flipV="1">
                                <a:off x="3592830" y="1859915"/>
                                <a:ext cx="352425" cy="635"/>
                              </a:xfrm>
                              <a:prstGeom prst="line">
                                <a:avLst/>
                              </a:prstGeom>
                              <a:ln w="9525" cap="flat" cmpd="sng">
                                <a:solidFill>
                                  <a:srgbClr val="000000"/>
                                </a:solidFill>
                                <a:prstDash val="solid"/>
                                <a:round/>
                                <a:headEnd type="none" w="med" len="med"/>
                                <a:tailEnd type="arrow" w="med" len="med"/>
                              </a:ln>
                            </wps:spPr>
                            <wps:bodyPr upright="1"/>
                          </wps:wsp>
                        </a:graphicData>
                      </a:graphic>
                    </wp:anchor>
                  </w:drawing>
                </mc:Choice>
                <mc:Fallback>
                  <w:pict>
                    <v:line id="_x0000_s1026" o:spid="_x0000_s1026" o:spt="20" style="position:absolute;left:0pt;flip:y;margin-left:163.35pt;margin-top:17.9pt;height:0.05pt;width:27.75pt;z-index:251771904;mso-width-relative:page;mso-height-relative:page;" filled="f" stroked="t" coordsize="21600,21600" o:gfxdata="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CsF4O3YAAAACQEAAA8AAAAA&#10;AAAAAQAgAAAAIgAAAGRycy9kb3ducmV2LnhtbFBLAQIUABQAAAAIAIdO4kBKAxamFAIAAAgEAAAO&#10;AAAAAAAAAAEAIAAAACcBAABkcnMvZTJvRG9jLnhtbFBLBQYAAAAABgAGAFkBAACtBQAAAAA=&#10;">
                      <v:fill on="f" focussize="0,0"/>
                      <v:stroke color="#000000" joinstyle="round" endarrow="open"/>
                      <v:imagedata o:title=""/>
                      <o:lock v:ext="edit" aspectratio="f"/>
                    </v:line>
                  </w:pict>
                </mc:Fallback>
              </mc:AlternateContent>
            </w:r>
            <w:r>
              <w:rPr>
                <w:color w:val="auto"/>
                <w:sz w:val="21"/>
              </w:rPr>
              <mc:AlternateContent>
                <mc:Choice Requires="wps">
                  <w:drawing>
                    <wp:anchor distT="0" distB="0" distL="114300" distR="114300" simplePos="0" relativeHeight="251770880" behindDoc="0" locked="0" layoutInCell="1" allowOverlap="1">
                      <wp:simplePos x="0" y="0"/>
                      <wp:positionH relativeFrom="column">
                        <wp:posOffset>3000375</wp:posOffset>
                      </wp:positionH>
                      <wp:positionV relativeFrom="paragraph">
                        <wp:posOffset>229235</wp:posOffset>
                      </wp:positionV>
                      <wp:extent cx="352425" cy="635"/>
                      <wp:effectExtent l="0" t="48895" r="9525" b="64770"/>
                      <wp:wrapNone/>
                      <wp:docPr id="11" name="直接连接符 11"/>
                      <wp:cNvGraphicFramePr/>
                      <a:graphic xmlns:a="http://schemas.openxmlformats.org/drawingml/2006/main">
                        <a:graphicData uri="http://schemas.microsoft.com/office/word/2010/wordprocessingShape">
                          <wps:wsp>
                            <wps:cNvCnPr/>
                            <wps:spPr>
                              <a:xfrm flipV="1">
                                <a:off x="4518660" y="1861820"/>
                                <a:ext cx="352425" cy="635"/>
                              </a:xfrm>
                              <a:prstGeom prst="line">
                                <a:avLst/>
                              </a:prstGeom>
                              <a:ln w="9525" cap="flat" cmpd="sng">
                                <a:solidFill>
                                  <a:srgbClr val="000000"/>
                                </a:solidFill>
                                <a:prstDash val="solid"/>
                                <a:round/>
                                <a:headEnd type="none" w="med" len="med"/>
                                <a:tailEnd type="arrow" w="med" len="med"/>
                              </a:ln>
                            </wps:spPr>
                            <wps:bodyPr upright="1"/>
                          </wps:wsp>
                        </a:graphicData>
                      </a:graphic>
                    </wp:anchor>
                  </w:drawing>
                </mc:Choice>
                <mc:Fallback>
                  <w:pict>
                    <v:line id="_x0000_s1026" o:spid="_x0000_s1026" o:spt="20" style="position:absolute;left:0pt;flip:y;margin-left:236.25pt;margin-top:18.05pt;height:0.05pt;width:27.75pt;z-index:251770880;mso-width-relative:page;mso-height-relative:page;" filled="f" stroked="t" coordsize="21600,21600" o:gfxdata="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T45ZTNgAAAAJAQAADwAAAAAA&#10;AAABACAAAAAiAAAAZHJzL2Rvd25yZXYueG1sUEsBAhQAFAAAAAgAh07iQB7pIyYTAgAACAQAAA4A&#10;AAAAAAAAAQAgAAAAJwEAAGRycy9lMm9Eb2MueG1sUEsFBgAAAAAGAAYAWQEAAKwFAAAAAA==&#10;">
                      <v:fill on="f" focussize="0,0"/>
                      <v:stroke color="#000000" joinstyle="round" endarrow="open"/>
                      <v:imagedata o:title=""/>
                      <o:lock v:ext="edit" aspectratio="f"/>
                    </v:line>
                  </w:pict>
                </mc:Fallback>
              </mc:AlternateContent>
            </w:r>
            <w:r>
              <w:rPr>
                <w:color w:val="auto"/>
                <w:sz w:val="21"/>
              </w:rPr>
              <mc:AlternateContent>
                <mc:Choice Requires="wps">
                  <w:drawing>
                    <wp:anchor distT="0" distB="0" distL="114300" distR="114300" simplePos="0" relativeHeight="251769856" behindDoc="0" locked="0" layoutInCell="1" allowOverlap="1">
                      <wp:simplePos x="0" y="0"/>
                      <wp:positionH relativeFrom="column">
                        <wp:posOffset>4141470</wp:posOffset>
                      </wp:positionH>
                      <wp:positionV relativeFrom="paragraph">
                        <wp:posOffset>213360</wp:posOffset>
                      </wp:positionV>
                      <wp:extent cx="282575" cy="3810"/>
                      <wp:effectExtent l="0" t="48260" r="3175" b="62230"/>
                      <wp:wrapNone/>
                      <wp:docPr id="10" name="直接连接符 10"/>
                      <wp:cNvGraphicFramePr/>
                      <a:graphic xmlns:a="http://schemas.openxmlformats.org/drawingml/2006/main">
                        <a:graphicData uri="http://schemas.microsoft.com/office/word/2010/wordprocessingShape">
                          <wps:wsp>
                            <wps:cNvCnPr/>
                            <wps:spPr>
                              <a:xfrm flipV="1">
                                <a:off x="5659755" y="1845945"/>
                                <a:ext cx="282575" cy="3810"/>
                              </a:xfrm>
                              <a:prstGeom prst="line">
                                <a:avLst/>
                              </a:prstGeom>
                              <a:ln w="9525" cap="flat" cmpd="sng">
                                <a:solidFill>
                                  <a:srgbClr val="000000"/>
                                </a:solidFill>
                                <a:prstDash val="solid"/>
                                <a:round/>
                                <a:headEnd type="none" w="med" len="med"/>
                                <a:tailEnd type="arrow" w="med" len="med"/>
                              </a:ln>
                            </wps:spPr>
                            <wps:bodyPr upright="1"/>
                          </wps:wsp>
                        </a:graphicData>
                      </a:graphic>
                    </wp:anchor>
                  </w:drawing>
                </mc:Choice>
                <mc:Fallback>
                  <w:pict>
                    <v:line id="_x0000_s1026" o:spid="_x0000_s1026" o:spt="20" style="position:absolute;left:0pt;flip:y;margin-left:326.1pt;margin-top:16.8pt;height:0.3pt;width:22.25pt;z-index:251769856;mso-width-relative:page;mso-height-relative:page;" filled="f" stroked="t" coordsize="21600,21600" o:gfxdata="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A+OY5a2QAAAAkBAAAP&#10;AAAAAAAAAAEAIAAAACIAAABkcnMvZG93bnJldi54bWxQSwECFAAUAAAACACHTuJA2X2ePRcCAAAJ&#10;BAAADgAAAAAAAAABACAAAAAoAQAAZHJzL2Uyb0RvYy54bWxQSwUGAAAAAAYABgBZAQAAsQUAAAAA&#10;">
                      <v:fill on="f" focussize="0,0"/>
                      <v:stroke color="#000000" joinstyle="round" endarrow="open"/>
                      <v:imagedata o:title=""/>
                      <o:lock v:ext="edit" aspectratio="f"/>
                    </v:line>
                  </w:pict>
                </mc:Fallback>
              </mc:AlternateContent>
            </w:r>
            <w:r>
              <w:rPr>
                <w:color w:val="auto"/>
                <w:sz w:val="21"/>
              </w:rPr>
              <mc:AlternateContent>
                <mc:Choice Requires="wps">
                  <w:drawing>
                    <wp:anchor distT="0" distB="0" distL="114300" distR="114300" simplePos="0" relativeHeight="251768832" behindDoc="0" locked="0" layoutInCell="1" allowOverlap="1">
                      <wp:simplePos x="0" y="0"/>
                      <wp:positionH relativeFrom="column">
                        <wp:posOffset>1405890</wp:posOffset>
                      </wp:positionH>
                      <wp:positionV relativeFrom="paragraph">
                        <wp:posOffset>104775</wp:posOffset>
                      </wp:positionV>
                      <wp:extent cx="652780" cy="240030"/>
                      <wp:effectExtent l="4445" t="4445" r="9525" b="22225"/>
                      <wp:wrapNone/>
                      <wp:docPr id="9" name="文本框 9"/>
                      <wp:cNvGraphicFramePr/>
                      <a:graphic xmlns:a="http://schemas.openxmlformats.org/drawingml/2006/main">
                        <a:graphicData uri="http://schemas.microsoft.com/office/word/2010/wordprocessingShape">
                          <wps:wsp>
                            <wps:cNvSpPr txBox="1"/>
                            <wps:spPr>
                              <a:xfrm>
                                <a:off x="2924175" y="1737360"/>
                                <a:ext cx="652780" cy="24003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50B7EF49">
                                  <w:pPr>
                                    <w:keepNext w:val="0"/>
                                    <w:keepLines w:val="0"/>
                                    <w:pageBreakBefore w:val="0"/>
                                    <w:widowControl w:val="0"/>
                                    <w:kinsoku/>
                                    <w:wordWrap/>
                                    <w:overflowPunct/>
                                    <w:topLinePunct w:val="0"/>
                                    <w:bidi w:val="0"/>
                                    <w:adjustRightInd/>
                                    <w:snapToGrid/>
                                    <w:spacing w:line="220" w:lineRule="exact"/>
                                    <w:jc w:val="center"/>
                                    <w:textAlignment w:val="auto"/>
                                    <w:rPr>
                                      <w:rFonts w:hint="default" w:ascii="Times New Roman" w:hAnsi="Times New Roman" w:eastAsia="宋体" w:cs="Times New Roman"/>
                                      <w:sz w:val="18"/>
                                      <w:szCs w:val="18"/>
                                      <w:lang w:val="en-US" w:eastAsia="zh-CN"/>
                                    </w:rPr>
                                  </w:pPr>
                                  <w:r>
                                    <w:rPr>
                                      <w:rFonts w:hint="eastAsia" w:cs="Times New Roman"/>
                                      <w:sz w:val="18"/>
                                      <w:szCs w:val="18"/>
                                      <w:lang w:val="en-US" w:eastAsia="zh-CN"/>
                                    </w:rPr>
                                    <w:t>2</w:t>
                                  </w:r>
                                  <w:r>
                                    <w:rPr>
                                      <w:rFonts w:hint="eastAsia" w:cs="Times New Roman"/>
                                      <w:sz w:val="18"/>
                                      <w:szCs w:val="18"/>
                                      <w:vertAlign w:val="superscript"/>
                                      <w:lang w:val="en-US" w:eastAsia="zh-CN"/>
                                    </w:rPr>
                                    <w:t>#</w:t>
                                  </w:r>
                                  <w:r>
                                    <w:rPr>
                                      <w:rFonts w:hint="default" w:ascii="Times New Roman" w:hAnsi="Times New Roman" w:eastAsia="宋体" w:cs="Times New Roman"/>
                                      <w:sz w:val="18"/>
                                      <w:szCs w:val="18"/>
                                      <w:lang w:val="en-US" w:eastAsia="zh-CN"/>
                                    </w:rPr>
                                    <w:t>滚筒筛</w:t>
                                  </w:r>
                                </w:p>
                              </w:txbxContent>
                            </wps:txbx>
                            <wps:bodyPr upright="1"/>
                          </wps:wsp>
                        </a:graphicData>
                      </a:graphic>
                    </wp:anchor>
                  </w:drawing>
                </mc:Choice>
                <mc:Fallback>
                  <w:pict>
                    <v:shape id="_x0000_s1026" o:spid="_x0000_s1026" o:spt="202" type="#_x0000_t202" style="position:absolute;left:0pt;margin-left:110.7pt;margin-top:8.25pt;height:18.9pt;width:51.4pt;z-index:251768832;mso-width-relative:page;mso-height-relative:page;" fillcolor="#FFFFFF" filled="t" stroked="t" coordsize="21600,21600" o:gfxdata="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Nei76HYAAAACQEAAA8A&#10;AAAAAAAAAQAgAAAAIgAAAGRycy9kb3ducmV2LnhtbFBLAQIUABQAAAAIAIdO4kA46DxgFwIAAEEE&#10;AAAOAAAAAAAAAAEAIAAAACcBAABkcnMvZTJvRG9jLnhtbFBLBQYAAAAABgAGAFkBAACwBQAAAAA=&#10;">
                      <v:fill on="t" focussize="0,0"/>
                      <v:stroke color="#000000" joinstyle="miter"/>
                      <v:imagedata o:title=""/>
                      <o:lock v:ext="edit" aspectratio="f"/>
                      <v:textbox>
                        <w:txbxContent>
                          <w:p w14:paraId="50B7EF49">
                            <w:pPr>
                              <w:keepNext w:val="0"/>
                              <w:keepLines w:val="0"/>
                              <w:pageBreakBefore w:val="0"/>
                              <w:widowControl w:val="0"/>
                              <w:kinsoku/>
                              <w:wordWrap/>
                              <w:overflowPunct/>
                              <w:topLinePunct w:val="0"/>
                              <w:bidi w:val="0"/>
                              <w:adjustRightInd/>
                              <w:snapToGrid/>
                              <w:spacing w:line="220" w:lineRule="exact"/>
                              <w:jc w:val="center"/>
                              <w:textAlignment w:val="auto"/>
                              <w:rPr>
                                <w:rFonts w:hint="default" w:ascii="Times New Roman" w:hAnsi="Times New Roman" w:eastAsia="宋体" w:cs="Times New Roman"/>
                                <w:sz w:val="18"/>
                                <w:szCs w:val="18"/>
                                <w:lang w:val="en-US" w:eastAsia="zh-CN"/>
                              </w:rPr>
                            </w:pPr>
                            <w:r>
                              <w:rPr>
                                <w:rFonts w:hint="eastAsia" w:cs="Times New Roman"/>
                                <w:sz w:val="18"/>
                                <w:szCs w:val="18"/>
                                <w:lang w:val="en-US" w:eastAsia="zh-CN"/>
                              </w:rPr>
                              <w:t>2</w:t>
                            </w:r>
                            <w:r>
                              <w:rPr>
                                <w:rFonts w:hint="eastAsia" w:cs="Times New Roman"/>
                                <w:sz w:val="18"/>
                                <w:szCs w:val="18"/>
                                <w:vertAlign w:val="superscript"/>
                                <w:lang w:val="en-US" w:eastAsia="zh-CN"/>
                              </w:rPr>
                              <w:t>#</w:t>
                            </w:r>
                            <w:r>
                              <w:rPr>
                                <w:rFonts w:hint="default" w:ascii="Times New Roman" w:hAnsi="Times New Roman" w:eastAsia="宋体" w:cs="Times New Roman"/>
                                <w:sz w:val="18"/>
                                <w:szCs w:val="18"/>
                                <w:lang w:val="en-US" w:eastAsia="zh-CN"/>
                              </w:rPr>
                              <w:t>滚筒筛</w:t>
                            </w:r>
                          </w:p>
                        </w:txbxContent>
                      </v:textbox>
                    </v:shape>
                  </w:pict>
                </mc:Fallback>
              </mc:AlternateContent>
            </w:r>
            <w:r>
              <w:rPr>
                <w:color w:val="auto"/>
                <w:sz w:val="21"/>
              </w:rPr>
              <mc:AlternateContent>
                <mc:Choice Requires="wps">
                  <w:drawing>
                    <wp:anchor distT="0" distB="0" distL="114300" distR="114300" simplePos="0" relativeHeight="251767808" behindDoc="0" locked="0" layoutInCell="1" allowOverlap="1">
                      <wp:simplePos x="0" y="0"/>
                      <wp:positionH relativeFrom="column">
                        <wp:posOffset>2425700</wp:posOffset>
                      </wp:positionH>
                      <wp:positionV relativeFrom="paragraph">
                        <wp:posOffset>106680</wp:posOffset>
                      </wp:positionV>
                      <wp:extent cx="567055" cy="240030"/>
                      <wp:effectExtent l="4445" t="4445" r="19050" b="22225"/>
                      <wp:wrapNone/>
                      <wp:docPr id="8" name="文本框 8"/>
                      <wp:cNvGraphicFramePr/>
                      <a:graphic xmlns:a="http://schemas.openxmlformats.org/drawingml/2006/main">
                        <a:graphicData uri="http://schemas.microsoft.com/office/word/2010/wordprocessingShape">
                          <wps:wsp>
                            <wps:cNvSpPr txBox="1"/>
                            <wps:spPr>
                              <a:xfrm>
                                <a:off x="3943985" y="1739265"/>
                                <a:ext cx="567055" cy="24003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00CDA10C">
                                  <w:pPr>
                                    <w:keepNext w:val="0"/>
                                    <w:keepLines w:val="0"/>
                                    <w:pageBreakBefore w:val="0"/>
                                    <w:widowControl w:val="0"/>
                                    <w:kinsoku/>
                                    <w:wordWrap/>
                                    <w:overflowPunct/>
                                    <w:topLinePunct w:val="0"/>
                                    <w:bidi w:val="0"/>
                                    <w:adjustRightInd/>
                                    <w:snapToGrid/>
                                    <w:spacing w:line="220" w:lineRule="exact"/>
                                    <w:jc w:val="center"/>
                                    <w:textAlignment w:val="auto"/>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lang w:val="en-US" w:eastAsia="zh-CN"/>
                                    </w:rPr>
                                    <w:t>球磨机</w:t>
                                  </w:r>
                                </w:p>
                              </w:txbxContent>
                            </wps:txbx>
                            <wps:bodyPr upright="1"/>
                          </wps:wsp>
                        </a:graphicData>
                      </a:graphic>
                    </wp:anchor>
                  </w:drawing>
                </mc:Choice>
                <mc:Fallback>
                  <w:pict>
                    <v:shape id="_x0000_s1026" o:spid="_x0000_s1026" o:spt="202" type="#_x0000_t202" style="position:absolute;left:0pt;margin-left:191pt;margin-top:8.4pt;height:18.9pt;width:44.65pt;z-index:251767808;mso-width-relative:page;mso-height-relative:page;" fillcolor="#FFFFFF" filled="t" stroked="t" coordsize="21600,21600" o:gfxdata="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OBhb+PYAAAACQEAAA8A&#10;AAAAAAAAAQAgAAAAIgAAAGRycy9kb3ducmV2LnhtbFBLAQIUABQAAAAIAIdO4kAWaqlHFwIAAEEE&#10;AAAOAAAAAAAAAAEAIAAAACcBAABkcnMvZTJvRG9jLnhtbFBLBQYAAAAABgAGAFkBAACwBQAAAAA=&#10;">
                      <v:fill on="t" focussize="0,0"/>
                      <v:stroke color="#000000" joinstyle="miter"/>
                      <v:imagedata o:title=""/>
                      <o:lock v:ext="edit" aspectratio="f"/>
                      <v:textbox>
                        <w:txbxContent>
                          <w:p w14:paraId="00CDA10C">
                            <w:pPr>
                              <w:keepNext w:val="0"/>
                              <w:keepLines w:val="0"/>
                              <w:pageBreakBefore w:val="0"/>
                              <w:widowControl w:val="0"/>
                              <w:kinsoku/>
                              <w:wordWrap/>
                              <w:overflowPunct/>
                              <w:topLinePunct w:val="0"/>
                              <w:bidi w:val="0"/>
                              <w:adjustRightInd/>
                              <w:snapToGrid/>
                              <w:spacing w:line="220" w:lineRule="exact"/>
                              <w:jc w:val="center"/>
                              <w:textAlignment w:val="auto"/>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lang w:val="en-US" w:eastAsia="zh-CN"/>
                              </w:rPr>
                              <w:t>球磨机</w:t>
                            </w:r>
                          </w:p>
                        </w:txbxContent>
                      </v:textbox>
                    </v:shape>
                  </w:pict>
                </mc:Fallback>
              </mc:AlternateContent>
            </w:r>
            <w:r>
              <w:rPr>
                <w:color w:val="auto"/>
                <w:sz w:val="21"/>
              </w:rPr>
              <mc:AlternateContent>
                <mc:Choice Requires="wps">
                  <w:drawing>
                    <wp:anchor distT="0" distB="0" distL="114300" distR="114300" simplePos="0" relativeHeight="251766784" behindDoc="0" locked="0" layoutInCell="1" allowOverlap="1">
                      <wp:simplePos x="0" y="0"/>
                      <wp:positionH relativeFrom="column">
                        <wp:posOffset>2006600</wp:posOffset>
                      </wp:positionH>
                      <wp:positionV relativeFrom="paragraph">
                        <wp:posOffset>15875</wp:posOffset>
                      </wp:positionV>
                      <wp:extent cx="426720" cy="259715"/>
                      <wp:effectExtent l="0" t="0" r="0" b="0"/>
                      <wp:wrapNone/>
                      <wp:docPr id="7" name="文本框 7"/>
                      <wp:cNvGraphicFramePr/>
                      <a:graphic xmlns:a="http://schemas.openxmlformats.org/drawingml/2006/main">
                        <a:graphicData uri="http://schemas.microsoft.com/office/word/2010/wordprocessingShape">
                          <wps:wsp>
                            <wps:cNvSpPr txBox="1"/>
                            <wps:spPr>
                              <a:xfrm>
                                <a:off x="3524885" y="1648460"/>
                                <a:ext cx="426720" cy="259715"/>
                              </a:xfrm>
                              <a:prstGeom prst="rect">
                                <a:avLst/>
                              </a:prstGeom>
                              <a:noFill/>
                              <a:ln>
                                <a:noFill/>
                              </a:ln>
                            </wps:spPr>
                            <wps:txbx>
                              <w:txbxContent>
                                <w:p w14:paraId="75280A87">
                                  <w:pPr>
                                    <w:keepNext w:val="0"/>
                                    <w:keepLines w:val="0"/>
                                    <w:pageBreakBefore w:val="0"/>
                                    <w:widowControl w:val="0"/>
                                    <w:kinsoku/>
                                    <w:wordWrap/>
                                    <w:overflowPunct/>
                                    <w:topLinePunct w:val="0"/>
                                    <w:bidi w:val="0"/>
                                    <w:adjustRightInd/>
                                    <w:snapToGrid/>
                                    <w:spacing w:line="220" w:lineRule="exact"/>
                                    <w:jc w:val="center"/>
                                    <w:textAlignment w:val="auto"/>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lang w:val="en-US" w:eastAsia="zh-CN"/>
                                    </w:rPr>
                                    <w:t>筛下</w:t>
                                  </w:r>
                                </w:p>
                              </w:txbxContent>
                            </wps:txbx>
                            <wps:bodyPr upright="1"/>
                          </wps:wsp>
                        </a:graphicData>
                      </a:graphic>
                    </wp:anchor>
                  </w:drawing>
                </mc:Choice>
                <mc:Fallback>
                  <w:pict>
                    <v:shape id="_x0000_s1026" o:spid="_x0000_s1026" o:spt="202" type="#_x0000_t202" style="position:absolute;left:0pt;margin-left:158pt;margin-top:1.25pt;height:20.45pt;width:33.6pt;z-index:251766784;mso-width-relative:page;mso-height-relative:page;" filled="f" stroked="f" coordsize="21600,21600" o:gfxdata="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NcNxPzXAAAACAEAAA8AAAAAAAAAAQAgAAAAIgAAAGRycy9kb3ducmV2LnhtbFBLAQIUABQA&#10;AAAIAIdO4kBaeIBjuAEAAFkDAAAOAAAAAAAAAAEAIAAAACYBAABkcnMvZTJvRG9jLnhtbFBLBQYA&#10;AAAABgAGAFkBAABQBQAAAAA=&#10;">
                      <v:fill on="f" focussize="0,0"/>
                      <v:stroke on="f"/>
                      <v:imagedata o:title=""/>
                      <o:lock v:ext="edit" aspectratio="f"/>
                      <v:textbox>
                        <w:txbxContent>
                          <w:p w14:paraId="75280A87">
                            <w:pPr>
                              <w:keepNext w:val="0"/>
                              <w:keepLines w:val="0"/>
                              <w:pageBreakBefore w:val="0"/>
                              <w:widowControl w:val="0"/>
                              <w:kinsoku/>
                              <w:wordWrap/>
                              <w:overflowPunct/>
                              <w:topLinePunct w:val="0"/>
                              <w:bidi w:val="0"/>
                              <w:adjustRightInd/>
                              <w:snapToGrid/>
                              <w:spacing w:line="220" w:lineRule="exact"/>
                              <w:jc w:val="center"/>
                              <w:textAlignment w:val="auto"/>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lang w:val="en-US" w:eastAsia="zh-CN"/>
                              </w:rPr>
                              <w:t>筛下</w:t>
                            </w:r>
                          </w:p>
                        </w:txbxContent>
                      </v:textbox>
                    </v:shape>
                  </w:pict>
                </mc:Fallback>
              </mc:AlternateContent>
            </w:r>
            <w:r>
              <w:rPr>
                <w:color w:val="auto"/>
                <w:sz w:val="21"/>
              </w:rPr>
              <mc:AlternateContent>
                <mc:Choice Requires="wps">
                  <w:drawing>
                    <wp:anchor distT="0" distB="0" distL="114300" distR="114300" simplePos="0" relativeHeight="251765760" behindDoc="0" locked="0" layoutInCell="1" allowOverlap="1">
                      <wp:simplePos x="0" y="0"/>
                      <wp:positionH relativeFrom="column">
                        <wp:posOffset>3351530</wp:posOffset>
                      </wp:positionH>
                      <wp:positionV relativeFrom="paragraph">
                        <wp:posOffset>101600</wp:posOffset>
                      </wp:positionV>
                      <wp:extent cx="767715" cy="240030"/>
                      <wp:effectExtent l="4445" t="5080" r="8890" b="21590"/>
                      <wp:wrapNone/>
                      <wp:docPr id="6" name="文本框 6"/>
                      <wp:cNvGraphicFramePr/>
                      <a:graphic xmlns:a="http://schemas.openxmlformats.org/drawingml/2006/main">
                        <a:graphicData uri="http://schemas.microsoft.com/office/word/2010/wordprocessingShape">
                          <wps:wsp>
                            <wps:cNvSpPr txBox="1"/>
                            <wps:spPr>
                              <a:xfrm>
                                <a:off x="4869815" y="1734185"/>
                                <a:ext cx="767715" cy="24003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11EF85D9">
                                  <w:pPr>
                                    <w:keepNext w:val="0"/>
                                    <w:keepLines w:val="0"/>
                                    <w:pageBreakBefore w:val="0"/>
                                    <w:widowControl w:val="0"/>
                                    <w:kinsoku/>
                                    <w:wordWrap/>
                                    <w:overflowPunct/>
                                    <w:topLinePunct w:val="0"/>
                                    <w:bidi w:val="0"/>
                                    <w:adjustRightInd/>
                                    <w:snapToGrid/>
                                    <w:spacing w:line="220" w:lineRule="exact"/>
                                    <w:jc w:val="center"/>
                                    <w:textAlignment w:val="auto"/>
                                    <w:rPr>
                                      <w:rFonts w:hint="default" w:ascii="Times New Roman" w:hAnsi="Times New Roman" w:eastAsia="宋体" w:cs="Times New Roman"/>
                                      <w:sz w:val="18"/>
                                      <w:szCs w:val="18"/>
                                      <w:highlight w:val="none"/>
                                      <w:lang w:val="en-US" w:eastAsia="zh-CN"/>
                                    </w:rPr>
                                  </w:pPr>
                                  <w:r>
                                    <w:rPr>
                                      <w:rFonts w:hint="default" w:ascii="Times New Roman" w:hAnsi="Times New Roman" w:eastAsia="宋体" w:cs="Times New Roman"/>
                                      <w:sz w:val="18"/>
                                      <w:szCs w:val="18"/>
                                      <w:highlight w:val="none"/>
                                      <w:lang w:val="en-US" w:eastAsia="zh-CN"/>
                                    </w:rPr>
                                    <w:t>磁选机</w:t>
                                  </w:r>
                                </w:p>
                              </w:txbxContent>
                            </wps:txbx>
                            <wps:bodyPr upright="1"/>
                          </wps:wsp>
                        </a:graphicData>
                      </a:graphic>
                    </wp:anchor>
                  </w:drawing>
                </mc:Choice>
                <mc:Fallback>
                  <w:pict>
                    <v:shape id="_x0000_s1026" o:spid="_x0000_s1026" o:spt="202" type="#_x0000_t202" style="position:absolute;left:0pt;margin-left:263.9pt;margin-top:8pt;height:18.9pt;width:60.45pt;z-index:251765760;mso-width-relative:page;mso-height-relative:page;" fillcolor="#FFFFFF" filled="t" stroked="t" coordsize="21600,21600" o:gfxdata="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MovU4fYAAAACQEAAA8A&#10;AAAAAAAAAQAgAAAAIgAAAGRycy9kb3ducmV2LnhtbFBLAQIUABQAAAAIAIdO4kDzxgPjFwIAAEEE&#10;AAAOAAAAAAAAAAEAIAAAACcBAABkcnMvZTJvRG9jLnhtbFBLBQYAAAAABgAGAFkBAACwBQAAAAA=&#10;">
                      <v:fill on="t" focussize="0,0"/>
                      <v:stroke color="#000000" joinstyle="miter"/>
                      <v:imagedata o:title=""/>
                      <o:lock v:ext="edit" aspectratio="f"/>
                      <v:textbox>
                        <w:txbxContent>
                          <w:p w14:paraId="11EF85D9">
                            <w:pPr>
                              <w:keepNext w:val="0"/>
                              <w:keepLines w:val="0"/>
                              <w:pageBreakBefore w:val="0"/>
                              <w:widowControl w:val="0"/>
                              <w:kinsoku/>
                              <w:wordWrap/>
                              <w:overflowPunct/>
                              <w:topLinePunct w:val="0"/>
                              <w:bidi w:val="0"/>
                              <w:adjustRightInd/>
                              <w:snapToGrid/>
                              <w:spacing w:line="220" w:lineRule="exact"/>
                              <w:jc w:val="center"/>
                              <w:textAlignment w:val="auto"/>
                              <w:rPr>
                                <w:rFonts w:hint="default" w:ascii="Times New Roman" w:hAnsi="Times New Roman" w:eastAsia="宋体" w:cs="Times New Roman"/>
                                <w:sz w:val="18"/>
                                <w:szCs w:val="18"/>
                                <w:highlight w:val="none"/>
                                <w:lang w:val="en-US" w:eastAsia="zh-CN"/>
                              </w:rPr>
                            </w:pPr>
                            <w:r>
                              <w:rPr>
                                <w:rFonts w:hint="default" w:ascii="Times New Roman" w:hAnsi="Times New Roman" w:eastAsia="宋体" w:cs="Times New Roman"/>
                                <w:sz w:val="18"/>
                                <w:szCs w:val="18"/>
                                <w:highlight w:val="none"/>
                                <w:lang w:val="en-US" w:eastAsia="zh-CN"/>
                              </w:rPr>
                              <w:t>磁选机</w:t>
                            </w:r>
                          </w:p>
                        </w:txbxContent>
                      </v:textbox>
                    </v:shape>
                  </w:pict>
                </mc:Fallback>
              </mc:AlternateContent>
            </w:r>
            <w:r>
              <w:rPr>
                <w:color w:val="auto"/>
                <w:sz w:val="21"/>
              </w:rPr>
              <mc:AlternateContent>
                <mc:Choice Requires="wps">
                  <w:drawing>
                    <wp:anchor distT="0" distB="0" distL="114300" distR="114300" simplePos="0" relativeHeight="251683840" behindDoc="0" locked="0" layoutInCell="1" allowOverlap="1">
                      <wp:simplePos x="0" y="0"/>
                      <wp:positionH relativeFrom="column">
                        <wp:posOffset>4330700</wp:posOffset>
                      </wp:positionH>
                      <wp:positionV relativeFrom="paragraph">
                        <wp:posOffset>13970</wp:posOffset>
                      </wp:positionV>
                      <wp:extent cx="756920" cy="414655"/>
                      <wp:effectExtent l="0" t="0" r="0" b="0"/>
                      <wp:wrapNone/>
                      <wp:docPr id="5" name="文本框 5"/>
                      <wp:cNvGraphicFramePr/>
                      <a:graphic xmlns:a="http://schemas.openxmlformats.org/drawingml/2006/main">
                        <a:graphicData uri="http://schemas.microsoft.com/office/word/2010/wordprocessingShape">
                          <wps:wsp>
                            <wps:cNvSpPr txBox="1"/>
                            <wps:spPr>
                              <a:xfrm>
                                <a:off x="5848985" y="1646555"/>
                                <a:ext cx="756920" cy="414655"/>
                              </a:xfrm>
                              <a:prstGeom prst="rect">
                                <a:avLst/>
                              </a:prstGeom>
                              <a:noFill/>
                              <a:ln>
                                <a:noFill/>
                              </a:ln>
                            </wps:spPr>
                            <wps:txbx>
                              <w:txbxContent>
                                <w:p w14:paraId="342D6F61">
                                  <w:pPr>
                                    <w:keepNext w:val="0"/>
                                    <w:keepLines w:val="0"/>
                                    <w:pageBreakBefore w:val="0"/>
                                    <w:widowControl w:val="0"/>
                                    <w:kinsoku/>
                                    <w:wordWrap/>
                                    <w:overflowPunct/>
                                    <w:topLinePunct w:val="0"/>
                                    <w:bidi w:val="0"/>
                                    <w:adjustRightInd/>
                                    <w:snapToGrid/>
                                    <w:spacing w:line="220" w:lineRule="exact"/>
                                    <w:jc w:val="center"/>
                                    <w:textAlignment w:val="auto"/>
                                    <w:rPr>
                                      <w:rFonts w:hint="default" w:ascii="Times New Roman" w:hAnsi="Times New Roman" w:eastAsia="宋体" w:cs="Times New Roman"/>
                                      <w:sz w:val="18"/>
                                      <w:szCs w:val="18"/>
                                      <w:lang w:val="en-US" w:eastAsia="zh-CN"/>
                                    </w:rPr>
                                  </w:pPr>
                                  <w:r>
                                    <w:rPr>
                                      <w:rFonts w:hint="default" w:ascii="Times New Roman" w:hAnsi="Times New Roman" w:eastAsia="宋体" w:cs="Times New Roman"/>
                                      <w:b/>
                                      <w:bCs/>
                                      <w:sz w:val="18"/>
                                      <w:szCs w:val="18"/>
                                      <w:lang w:val="en-US" w:eastAsia="zh-CN"/>
                                    </w:rPr>
                                    <w:t>非磁性金属混合料</w:t>
                                  </w:r>
                                </w:p>
                              </w:txbxContent>
                            </wps:txbx>
                            <wps:bodyPr upright="1"/>
                          </wps:wsp>
                        </a:graphicData>
                      </a:graphic>
                    </wp:anchor>
                  </w:drawing>
                </mc:Choice>
                <mc:Fallback>
                  <w:pict>
                    <v:shape id="_x0000_s1026" o:spid="_x0000_s1026" o:spt="202" type="#_x0000_t202" style="position:absolute;left:0pt;margin-left:341pt;margin-top:1.1pt;height:32.65pt;width:59.6pt;z-index:251683840;mso-width-relative:page;mso-height-relative:page;" filled="f" stroked="f" coordsize="21600,21600" o:gfxdata="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">
                      <v:fill on="f" focussize="0,0"/>
                      <v:stroke on="f"/>
                      <v:imagedata o:title=""/>
                      <o:lock v:ext="edit" aspectratio="f"/>
                      <v:textbox>
                        <w:txbxContent>
                          <w:p w14:paraId="342D6F61">
                            <w:pPr>
                              <w:keepNext w:val="0"/>
                              <w:keepLines w:val="0"/>
                              <w:pageBreakBefore w:val="0"/>
                              <w:widowControl w:val="0"/>
                              <w:kinsoku/>
                              <w:wordWrap/>
                              <w:overflowPunct/>
                              <w:topLinePunct w:val="0"/>
                              <w:bidi w:val="0"/>
                              <w:adjustRightInd/>
                              <w:snapToGrid/>
                              <w:spacing w:line="220" w:lineRule="exact"/>
                              <w:jc w:val="center"/>
                              <w:textAlignment w:val="auto"/>
                              <w:rPr>
                                <w:rFonts w:hint="default" w:ascii="Times New Roman" w:hAnsi="Times New Roman" w:eastAsia="宋体" w:cs="Times New Roman"/>
                                <w:sz w:val="18"/>
                                <w:szCs w:val="18"/>
                                <w:lang w:val="en-US" w:eastAsia="zh-CN"/>
                              </w:rPr>
                            </w:pPr>
                            <w:r>
                              <w:rPr>
                                <w:rFonts w:hint="default" w:ascii="Times New Roman" w:hAnsi="Times New Roman" w:eastAsia="宋体" w:cs="Times New Roman"/>
                                <w:b/>
                                <w:bCs/>
                                <w:sz w:val="18"/>
                                <w:szCs w:val="18"/>
                                <w:lang w:val="en-US" w:eastAsia="zh-CN"/>
                              </w:rPr>
                              <w:t>非磁性金属混合料</w:t>
                            </w:r>
                          </w:p>
                        </w:txbxContent>
                      </v:textbox>
                    </v:shape>
                  </w:pict>
                </mc:Fallback>
              </mc:AlternateContent>
            </w:r>
          </w:p>
          <w:p w14:paraId="4953EAAC">
            <w:pPr>
              <w:pStyle w:val="24"/>
              <w:keepNext w:val="0"/>
              <w:keepLines w:val="0"/>
              <w:pageBreakBefore w:val="0"/>
              <w:widowControl/>
              <w:kinsoku/>
              <w:wordWrap/>
              <w:overflowPunct/>
              <w:topLinePunct w:val="0"/>
              <w:autoSpaceDE/>
              <w:autoSpaceDN/>
              <w:bidi w:val="0"/>
              <w:adjustRightInd w:val="0"/>
              <w:snapToGrid w:val="0"/>
              <w:spacing w:before="0" w:beforeAutospacing="0" w:after="0" w:afterAutospacing="0" w:line="430" w:lineRule="exact"/>
              <w:ind w:firstLine="420" w:firstLineChars="200"/>
              <w:textAlignment w:val="auto"/>
              <w:rPr>
                <w:rFonts w:hint="eastAsia" w:ascii="Times New Roman" w:hAnsi="Times New Roman" w:cs="Times New Roman"/>
                <w:color w:val="auto"/>
                <w:sz w:val="21"/>
                <w:szCs w:val="21"/>
                <w:highlight w:val="none"/>
                <w:lang w:val="en-US" w:eastAsia="zh-CN"/>
              </w:rPr>
            </w:pPr>
            <w:r>
              <w:rPr>
                <w:color w:val="auto"/>
                <w:sz w:val="21"/>
              </w:rPr>
              <mc:AlternateContent>
                <mc:Choice Requires="wps">
                  <w:drawing>
                    <wp:anchor distT="0" distB="0" distL="114300" distR="114300" simplePos="0" relativeHeight="251800576" behindDoc="0" locked="0" layoutInCell="1" allowOverlap="1">
                      <wp:simplePos x="0" y="0"/>
                      <wp:positionH relativeFrom="column">
                        <wp:posOffset>1336675</wp:posOffset>
                      </wp:positionH>
                      <wp:positionV relativeFrom="paragraph">
                        <wp:posOffset>41275</wp:posOffset>
                      </wp:positionV>
                      <wp:extent cx="254000" cy="213360"/>
                      <wp:effectExtent l="0" t="0" r="0" b="0"/>
                      <wp:wrapNone/>
                      <wp:docPr id="73" name="矩形 49"/>
                      <wp:cNvGraphicFramePr/>
                      <a:graphic xmlns:a="http://schemas.openxmlformats.org/drawingml/2006/main">
                        <a:graphicData uri="http://schemas.microsoft.com/office/word/2010/wordprocessingShape">
                          <wps:wsp>
                            <wps:cNvSpPr/>
                            <wps:spPr>
                              <a:xfrm>
                                <a:off x="2854960" y="1946910"/>
                                <a:ext cx="254000" cy="213360"/>
                              </a:xfrm>
                              <a:prstGeom prst="rect">
                                <a:avLst/>
                              </a:prstGeom>
                              <a:noFill/>
                              <a:ln>
                                <a:noFill/>
                              </a:ln>
                            </wps:spPr>
                            <wps:txbx>
                              <w:txbxContent>
                                <w:p w14:paraId="73297F69">
                                  <w:pPr>
                                    <w:spacing w:line="0" w:lineRule="atLeast"/>
                                    <w:jc w:val="center"/>
                                    <w:rPr>
                                      <w:rFonts w:hint="default" w:eastAsia="宋体"/>
                                      <w:sz w:val="15"/>
                                      <w:szCs w:val="15"/>
                                      <w:lang w:val="en-US" w:eastAsia="zh-CN"/>
                                    </w:rPr>
                                  </w:pPr>
                                  <w:r>
                                    <w:rPr>
                                      <w:rFonts w:hint="eastAsia"/>
                                      <w:sz w:val="15"/>
                                      <w:szCs w:val="15"/>
                                    </w:rPr>
                                    <w:t>N</w:t>
                                  </w:r>
                                </w:p>
                              </w:txbxContent>
                            </wps:txbx>
                            <wps:bodyPr wrap="square" upright="1">
                              <a:noAutofit/>
                            </wps:bodyPr>
                          </wps:wsp>
                        </a:graphicData>
                      </a:graphic>
                    </wp:anchor>
                  </w:drawing>
                </mc:Choice>
                <mc:Fallback>
                  <w:pict>
                    <v:rect id="矩形 49" o:spid="_x0000_s1026" o:spt="1" style="position:absolute;left:0pt;margin-left:105.25pt;margin-top:3.25pt;height:16.8pt;width:20pt;z-index:251800576;mso-width-relative:page;mso-height-relative:page;" filled="f" stroked="f" coordsize="21600,21600" o:gfxdata="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">
                      <v:fill on="f" focussize="0,0"/>
                      <v:stroke on="f"/>
                      <v:imagedata o:title=""/>
                      <o:lock v:ext="edit" aspectratio="f"/>
                      <v:textbox>
                        <w:txbxContent>
                          <w:p w14:paraId="73297F69">
                            <w:pPr>
                              <w:spacing w:line="0" w:lineRule="atLeast"/>
                              <w:jc w:val="center"/>
                              <w:rPr>
                                <w:rFonts w:hint="default" w:eastAsia="宋体"/>
                                <w:sz w:val="15"/>
                                <w:szCs w:val="15"/>
                                <w:lang w:val="en-US" w:eastAsia="zh-CN"/>
                              </w:rPr>
                            </w:pPr>
                            <w:r>
                              <w:rPr>
                                <w:rFonts w:hint="eastAsia"/>
                                <w:sz w:val="15"/>
                                <w:szCs w:val="15"/>
                              </w:rPr>
                              <w:t>N</w:t>
                            </w:r>
                          </w:p>
                        </w:txbxContent>
                      </v:textbox>
                    </v:rect>
                  </w:pict>
                </mc:Fallback>
              </mc:AlternateContent>
            </w:r>
            <w:r>
              <w:rPr>
                <w:color w:val="auto"/>
                <w:sz w:val="21"/>
              </w:rPr>
              <mc:AlternateContent>
                <mc:Choice Requires="wps">
                  <w:drawing>
                    <wp:anchor distT="0" distB="0" distL="114300" distR="114300" simplePos="0" relativeHeight="251797504" behindDoc="0" locked="0" layoutInCell="1" allowOverlap="1">
                      <wp:simplePos x="0" y="0"/>
                      <wp:positionH relativeFrom="column">
                        <wp:posOffset>3743960</wp:posOffset>
                      </wp:positionH>
                      <wp:positionV relativeFrom="paragraph">
                        <wp:posOffset>36195</wp:posOffset>
                      </wp:positionV>
                      <wp:extent cx="461645" cy="213360"/>
                      <wp:effectExtent l="0" t="0" r="0" b="0"/>
                      <wp:wrapNone/>
                      <wp:docPr id="70" name="矩形 49"/>
                      <wp:cNvGraphicFramePr/>
                      <a:graphic xmlns:a="http://schemas.openxmlformats.org/drawingml/2006/main">
                        <a:graphicData uri="http://schemas.microsoft.com/office/word/2010/wordprocessingShape">
                          <wps:wsp>
                            <wps:cNvSpPr/>
                            <wps:spPr>
                              <a:xfrm>
                                <a:off x="5262245" y="1941830"/>
                                <a:ext cx="461645" cy="213360"/>
                              </a:xfrm>
                              <a:prstGeom prst="rect">
                                <a:avLst/>
                              </a:prstGeom>
                              <a:noFill/>
                              <a:ln>
                                <a:noFill/>
                              </a:ln>
                            </wps:spPr>
                            <wps:txbx>
                              <w:txbxContent>
                                <w:p w14:paraId="66F5B5EC">
                                  <w:pPr>
                                    <w:spacing w:line="0" w:lineRule="atLeast"/>
                                    <w:jc w:val="center"/>
                                    <w:rPr>
                                      <w:rFonts w:hint="default" w:eastAsia="宋体"/>
                                      <w:sz w:val="15"/>
                                      <w:szCs w:val="15"/>
                                      <w:lang w:val="en-US" w:eastAsia="zh-CN"/>
                                    </w:rPr>
                                  </w:pPr>
                                  <w:r>
                                    <w:rPr>
                                      <w:rFonts w:hint="eastAsia"/>
                                      <w:sz w:val="15"/>
                                      <w:szCs w:val="15"/>
                                      <w:lang w:val="en-US" w:eastAsia="zh-CN"/>
                                    </w:rPr>
                                    <w:t>W、</w:t>
                                  </w:r>
                                  <w:r>
                                    <w:rPr>
                                      <w:rFonts w:hint="eastAsia"/>
                                      <w:sz w:val="15"/>
                                      <w:szCs w:val="15"/>
                                    </w:rPr>
                                    <w:t>N</w:t>
                                  </w:r>
                                </w:p>
                              </w:txbxContent>
                            </wps:txbx>
                            <wps:bodyPr wrap="square" upright="1">
                              <a:noAutofit/>
                            </wps:bodyPr>
                          </wps:wsp>
                        </a:graphicData>
                      </a:graphic>
                    </wp:anchor>
                  </w:drawing>
                </mc:Choice>
                <mc:Fallback>
                  <w:pict>
                    <v:rect id="矩形 49" o:spid="_x0000_s1026" o:spt="1" style="position:absolute;left:0pt;margin-left:294.8pt;margin-top:2.85pt;height:16.8pt;width:36.35pt;z-index:251797504;mso-width-relative:page;mso-height-relative:page;" filled="f" stroked="f" coordsize="21600,21600" o:gfxdata="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AAAA&#10;AGRycy9QSwECFAAUAAAACACHTuJAq7kJLtoAAAAIAQAADwAAAAAAAAABACAAAAAiAAAAZHJzL2Rv&#10;d25yZXYueG1sUEsBAhQAFAAAAAgAh07iQPnLkTvGAQAAdgMAAA4AAAAAAAAAAQAgAAAAKQEAAGRy&#10;cy9lMm9Eb2MueG1sUEsFBgAAAAAGAAYAWQEAAGEFAAAAAA==&#10;">
                      <v:fill on="f" focussize="0,0"/>
                      <v:stroke on="f"/>
                      <v:imagedata o:title=""/>
                      <o:lock v:ext="edit" aspectratio="f"/>
                      <v:textbox>
                        <w:txbxContent>
                          <w:p w14:paraId="66F5B5EC">
                            <w:pPr>
                              <w:spacing w:line="0" w:lineRule="atLeast"/>
                              <w:jc w:val="center"/>
                              <w:rPr>
                                <w:rFonts w:hint="default" w:eastAsia="宋体"/>
                                <w:sz w:val="15"/>
                                <w:szCs w:val="15"/>
                                <w:lang w:val="en-US" w:eastAsia="zh-CN"/>
                              </w:rPr>
                            </w:pPr>
                            <w:r>
                              <w:rPr>
                                <w:rFonts w:hint="eastAsia"/>
                                <w:sz w:val="15"/>
                                <w:szCs w:val="15"/>
                                <w:lang w:val="en-US" w:eastAsia="zh-CN"/>
                              </w:rPr>
                              <w:t>W、</w:t>
                            </w:r>
                            <w:r>
                              <w:rPr>
                                <w:rFonts w:hint="eastAsia"/>
                                <w:sz w:val="15"/>
                                <w:szCs w:val="15"/>
                              </w:rPr>
                              <w:t>N</w:t>
                            </w:r>
                          </w:p>
                        </w:txbxContent>
                      </v:textbox>
                    </v:rect>
                  </w:pict>
                </mc:Fallback>
              </mc:AlternateContent>
            </w:r>
            <w:r>
              <w:rPr>
                <w:color w:val="auto"/>
                <w:sz w:val="21"/>
              </w:rPr>
              <mc:AlternateContent>
                <mc:Choice Requires="wps">
                  <w:drawing>
                    <wp:anchor distT="0" distB="0" distL="114300" distR="114300" simplePos="0" relativeHeight="251792384" behindDoc="0" locked="0" layoutInCell="1" allowOverlap="1">
                      <wp:simplePos x="0" y="0"/>
                      <wp:positionH relativeFrom="column">
                        <wp:posOffset>1466850</wp:posOffset>
                      </wp:positionH>
                      <wp:positionV relativeFrom="paragraph">
                        <wp:posOffset>196215</wp:posOffset>
                      </wp:positionV>
                      <wp:extent cx="635" cy="144145"/>
                      <wp:effectExtent l="36195" t="0" r="39370" b="8255"/>
                      <wp:wrapNone/>
                      <wp:docPr id="61" name="直接箭头连接符 50"/>
                      <wp:cNvGraphicFramePr/>
                      <a:graphic xmlns:a="http://schemas.openxmlformats.org/drawingml/2006/main">
                        <a:graphicData uri="http://schemas.microsoft.com/office/word/2010/wordprocessingShape">
                          <wps:wsp>
                            <wps:cNvCnPr/>
                            <wps:spPr>
                              <a:xfrm flipH="1" flipV="1">
                                <a:off x="2985135" y="2101850"/>
                                <a:ext cx="635" cy="144145"/>
                              </a:xfrm>
                              <a:prstGeom prst="straightConnector1">
                                <a:avLst/>
                              </a:prstGeom>
                              <a:ln w="9525" cap="flat" cmpd="sng">
                                <a:solidFill>
                                  <a:srgbClr val="000000"/>
                                </a:solidFill>
                                <a:prstDash val="dash"/>
                                <a:headEnd type="none" w="med" len="med"/>
                                <a:tailEnd type="arrow" w="sm" len="sm"/>
                              </a:ln>
                            </wps:spPr>
                            <wps:bodyPr/>
                          </wps:wsp>
                        </a:graphicData>
                      </a:graphic>
                    </wp:anchor>
                  </w:drawing>
                </mc:Choice>
                <mc:Fallback>
                  <w:pict>
                    <v:shape id="直接箭头连接符 50" o:spid="_x0000_s1026" o:spt="32" type="#_x0000_t32" style="position:absolute;left:0pt;flip:x y;margin-left:115.5pt;margin-top:15.45pt;height:11.35pt;width:0.05pt;z-index:251792384;mso-width-relative:page;mso-height-relative:page;" filled="f" stroked="t" coordsize="21600,21600" o:gfxdata="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OxXB4LXAAAA&#10;CQEAAA8AAAAAAAAAAQAgAAAAIgAAAGRycy9kb3ducmV2LnhtbFBLAQIUABQAAAAIAIdO4kAx7SHo&#10;HgIAAA0EAAAOAAAAAAAAAAEAIAAAACYBAABkcnMvZTJvRG9jLnhtbFBLBQYAAAAABgAGAFkBAAC2&#10;BQAAAAA=&#10;">
                      <v:fill on="f" focussize="0,0"/>
                      <v:stroke color="#000000" joinstyle="round" dashstyle="dash" endarrow="open" endarrowwidth="narrow" endarrowlength="short"/>
                      <v:imagedata o:title=""/>
                      <o:lock v:ext="edit" aspectratio="f"/>
                    </v:shape>
                  </w:pict>
                </mc:Fallback>
              </mc:AlternateContent>
            </w:r>
            <w:r>
              <w:rPr>
                <w:color w:val="auto"/>
                <w:sz w:val="21"/>
              </w:rPr>
              <mc:AlternateContent>
                <mc:Choice Requires="wps">
                  <w:drawing>
                    <wp:anchor distT="0" distB="0" distL="114300" distR="114300" simplePos="0" relativeHeight="251791360" behindDoc="0" locked="0" layoutInCell="1" allowOverlap="1">
                      <wp:simplePos x="0" y="0"/>
                      <wp:positionH relativeFrom="column">
                        <wp:posOffset>3971290</wp:posOffset>
                      </wp:positionH>
                      <wp:positionV relativeFrom="paragraph">
                        <wp:posOffset>201930</wp:posOffset>
                      </wp:positionV>
                      <wp:extent cx="635" cy="144145"/>
                      <wp:effectExtent l="36195" t="0" r="39370" b="8255"/>
                      <wp:wrapNone/>
                      <wp:docPr id="57" name="直接箭头连接符 50"/>
                      <wp:cNvGraphicFramePr/>
                      <a:graphic xmlns:a="http://schemas.openxmlformats.org/drawingml/2006/main">
                        <a:graphicData uri="http://schemas.microsoft.com/office/word/2010/wordprocessingShape">
                          <wps:wsp>
                            <wps:cNvCnPr/>
                            <wps:spPr>
                              <a:xfrm flipH="1" flipV="1">
                                <a:off x="5489575" y="2107565"/>
                                <a:ext cx="635" cy="144145"/>
                              </a:xfrm>
                              <a:prstGeom prst="straightConnector1">
                                <a:avLst/>
                              </a:prstGeom>
                              <a:ln w="9525" cap="flat" cmpd="sng">
                                <a:solidFill>
                                  <a:srgbClr val="000000"/>
                                </a:solidFill>
                                <a:prstDash val="dash"/>
                                <a:headEnd type="none" w="med" len="med"/>
                                <a:tailEnd type="arrow" w="sm" len="sm"/>
                              </a:ln>
                            </wps:spPr>
                            <wps:bodyPr/>
                          </wps:wsp>
                        </a:graphicData>
                      </a:graphic>
                    </wp:anchor>
                  </w:drawing>
                </mc:Choice>
                <mc:Fallback>
                  <w:pict>
                    <v:shape id="直接箭头连接符 50" o:spid="_x0000_s1026" o:spt="32" type="#_x0000_t32" style="position:absolute;left:0pt;flip:x y;margin-left:312.7pt;margin-top:15.9pt;height:11.35pt;width:0.05pt;z-index:251791360;mso-width-relative:page;mso-height-relative:page;" filled="f" stroked="t" coordsize="21600,21600" o:gfxdata="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">
                      <v:fill on="f" focussize="0,0"/>
                      <v:stroke color="#000000" joinstyle="round" dashstyle="dash" endarrow="open" endarrowwidth="narrow" endarrowlength="short"/>
                      <v:imagedata o:title=""/>
                      <o:lock v:ext="edit" aspectratio="f"/>
                    </v:shape>
                  </w:pict>
                </mc:Fallback>
              </mc:AlternateContent>
            </w:r>
            <w:r>
              <w:rPr>
                <w:color w:val="auto"/>
                <w:sz w:val="21"/>
              </w:rPr>
              <mc:AlternateContent>
                <mc:Choice Requires="wps">
                  <w:drawing>
                    <wp:anchor distT="0" distB="0" distL="114300" distR="114300" simplePos="0" relativeHeight="251777024" behindDoc="0" locked="0" layoutInCell="1" allowOverlap="1">
                      <wp:simplePos x="0" y="0"/>
                      <wp:positionH relativeFrom="column">
                        <wp:posOffset>1743075</wp:posOffset>
                      </wp:positionH>
                      <wp:positionV relativeFrom="paragraph">
                        <wp:posOffset>78105</wp:posOffset>
                      </wp:positionV>
                      <wp:extent cx="635" cy="252095"/>
                      <wp:effectExtent l="48895" t="0" r="64770" b="14605"/>
                      <wp:wrapNone/>
                      <wp:docPr id="17" name="直接连接符 17"/>
                      <wp:cNvGraphicFramePr/>
                      <a:graphic xmlns:a="http://schemas.openxmlformats.org/drawingml/2006/main">
                        <a:graphicData uri="http://schemas.microsoft.com/office/word/2010/wordprocessingShape">
                          <wps:wsp>
                            <wps:cNvCnPr/>
                            <wps:spPr>
                              <a:xfrm>
                                <a:off x="3261360" y="1983740"/>
                                <a:ext cx="635" cy="252095"/>
                              </a:xfrm>
                              <a:prstGeom prst="line">
                                <a:avLst/>
                              </a:prstGeom>
                              <a:ln w="9525" cap="flat" cmpd="sng">
                                <a:solidFill>
                                  <a:srgbClr val="000000"/>
                                </a:solidFill>
                                <a:prstDash val="solid"/>
                                <a:round/>
                                <a:headEnd type="none" w="med" len="med"/>
                                <a:tailEnd type="arrow" w="med" len="med"/>
                              </a:ln>
                            </wps:spPr>
                            <wps:bodyPr upright="1"/>
                          </wps:wsp>
                        </a:graphicData>
                      </a:graphic>
                    </wp:anchor>
                  </w:drawing>
                </mc:Choice>
                <mc:Fallback>
                  <w:pict>
                    <v:line id="_x0000_s1026" o:spid="_x0000_s1026" o:spt="20" style="position:absolute;left:0pt;margin-left:137.25pt;margin-top:6.15pt;height:19.85pt;width:0.05pt;z-index:251777024;mso-width-relative:page;mso-height-relative:page;" filled="f" stroked="t" coordsize="21600,21600" o:gfxdata="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pBuiOdgAAAAJAQAADwAAAAAAAAABACAA&#10;AAAiAAAAZHJzL2Rvd25yZXYueG1sUEsBAhQAFAAAAAgAh07iQDhzbGENAgAA/gMAAA4AAAAAAAAA&#10;AQAgAAAAJwEAAGRycy9lMm9Eb2MueG1sUEsFBgAAAAAGAAYAWQEAAKYFAAAAAA==&#10;">
                      <v:fill on="f" focussize="0,0"/>
                      <v:stroke color="#000000" joinstyle="round" endarrow="open"/>
                      <v:imagedata o:title=""/>
                      <o:lock v:ext="edit" aspectratio="f"/>
                    </v:line>
                  </w:pict>
                </mc:Fallback>
              </mc:AlternateContent>
            </w:r>
            <w:r>
              <w:rPr>
                <w:color w:val="auto"/>
                <w:sz w:val="21"/>
              </w:rPr>
              <mc:AlternateContent>
                <mc:Choice Requires="wps">
                  <w:drawing>
                    <wp:anchor distT="0" distB="0" distL="114300" distR="114300" simplePos="0" relativeHeight="251776000" behindDoc="0" locked="0" layoutInCell="1" allowOverlap="1">
                      <wp:simplePos x="0" y="0"/>
                      <wp:positionH relativeFrom="column">
                        <wp:posOffset>728345</wp:posOffset>
                      </wp:positionH>
                      <wp:positionV relativeFrom="paragraph">
                        <wp:posOffset>248920</wp:posOffset>
                      </wp:positionV>
                      <wp:extent cx="681990" cy="271145"/>
                      <wp:effectExtent l="0" t="0" r="0" b="0"/>
                      <wp:wrapNone/>
                      <wp:docPr id="16" name="文本框 16"/>
                      <wp:cNvGraphicFramePr/>
                      <a:graphic xmlns:a="http://schemas.openxmlformats.org/drawingml/2006/main">
                        <a:graphicData uri="http://schemas.microsoft.com/office/word/2010/wordprocessingShape">
                          <wps:wsp>
                            <wps:cNvSpPr txBox="1"/>
                            <wps:spPr>
                              <a:xfrm>
                                <a:off x="2246630" y="2154555"/>
                                <a:ext cx="681990" cy="271145"/>
                              </a:xfrm>
                              <a:prstGeom prst="rect">
                                <a:avLst/>
                              </a:prstGeom>
                              <a:noFill/>
                              <a:ln>
                                <a:noFill/>
                              </a:ln>
                            </wps:spPr>
                            <wps:txbx>
                              <w:txbxContent>
                                <w:p w14:paraId="554EF351">
                                  <w:pPr>
                                    <w:keepNext w:val="0"/>
                                    <w:keepLines w:val="0"/>
                                    <w:pageBreakBefore w:val="0"/>
                                    <w:widowControl w:val="0"/>
                                    <w:kinsoku/>
                                    <w:wordWrap/>
                                    <w:overflowPunct/>
                                    <w:topLinePunct w:val="0"/>
                                    <w:bidi w:val="0"/>
                                    <w:adjustRightInd/>
                                    <w:snapToGrid/>
                                    <w:spacing w:line="220" w:lineRule="exact"/>
                                    <w:jc w:val="both"/>
                                    <w:textAlignment w:val="auto"/>
                                    <w:rPr>
                                      <w:rFonts w:hint="default" w:ascii="Times New Roman" w:hAnsi="Times New Roman" w:eastAsia="宋体" w:cs="Times New Roman"/>
                                      <w:b w:val="0"/>
                                      <w:bCs w:val="0"/>
                                      <w:sz w:val="18"/>
                                      <w:szCs w:val="18"/>
                                      <w:lang w:val="en-US" w:eastAsia="zh-CN"/>
                                    </w:rPr>
                                  </w:pPr>
                                  <w:r>
                                    <w:rPr>
                                      <w:rFonts w:hint="default" w:ascii="Times New Roman" w:hAnsi="Times New Roman" w:eastAsia="宋体" w:cs="Times New Roman"/>
                                      <w:b w:val="0"/>
                                      <w:bCs w:val="0"/>
                                      <w:sz w:val="18"/>
                                      <w:szCs w:val="18"/>
                                      <w:lang w:val="en-US" w:eastAsia="zh-CN"/>
                                    </w:rPr>
                                    <w:t>轻质杂料</w:t>
                                  </w:r>
                                </w:p>
                              </w:txbxContent>
                            </wps:txbx>
                            <wps:bodyPr upright="1"/>
                          </wps:wsp>
                        </a:graphicData>
                      </a:graphic>
                    </wp:anchor>
                  </w:drawing>
                </mc:Choice>
                <mc:Fallback>
                  <w:pict>
                    <v:shape id="_x0000_s1026" o:spid="_x0000_s1026" o:spt="202" type="#_x0000_t202" style="position:absolute;left:0pt;margin-left:57.35pt;margin-top:19.6pt;height:21.35pt;width:53.7pt;z-index:251776000;mso-width-relative:page;mso-height-relative:page;" filled="f" stroked="f" coordsize="21600,21600" o:gfxdata="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AAAAAZHJzL1BLAQIUABQAAAAIAIdO&#10;4kDwIG0u1gAAAAkBAAAPAAAAAAAAAAEAIAAAACIAAABkcnMvZG93bnJldi54bWxQSwECFAAUAAAA&#10;CACHTuJAKee5mrcBAABbAwAADgAAAAAAAAABACAAAAAlAQAAZHJzL2Uyb0RvYy54bWxQSwUGAAAA&#10;AAYABgBZAQAATgUAAAAA&#10;">
                      <v:fill on="f" focussize="0,0"/>
                      <v:stroke on="f"/>
                      <v:imagedata o:title=""/>
                      <o:lock v:ext="edit" aspectratio="f"/>
                      <v:textbox>
                        <w:txbxContent>
                          <w:p w14:paraId="554EF351">
                            <w:pPr>
                              <w:keepNext w:val="0"/>
                              <w:keepLines w:val="0"/>
                              <w:pageBreakBefore w:val="0"/>
                              <w:widowControl w:val="0"/>
                              <w:kinsoku/>
                              <w:wordWrap/>
                              <w:overflowPunct/>
                              <w:topLinePunct w:val="0"/>
                              <w:bidi w:val="0"/>
                              <w:adjustRightInd/>
                              <w:snapToGrid/>
                              <w:spacing w:line="220" w:lineRule="exact"/>
                              <w:jc w:val="both"/>
                              <w:textAlignment w:val="auto"/>
                              <w:rPr>
                                <w:rFonts w:hint="default" w:ascii="Times New Roman" w:hAnsi="Times New Roman" w:eastAsia="宋体" w:cs="Times New Roman"/>
                                <w:b w:val="0"/>
                                <w:bCs w:val="0"/>
                                <w:sz w:val="18"/>
                                <w:szCs w:val="18"/>
                                <w:lang w:val="en-US" w:eastAsia="zh-CN"/>
                              </w:rPr>
                            </w:pPr>
                            <w:r>
                              <w:rPr>
                                <w:rFonts w:hint="default" w:ascii="Times New Roman" w:hAnsi="Times New Roman" w:eastAsia="宋体" w:cs="Times New Roman"/>
                                <w:b w:val="0"/>
                                <w:bCs w:val="0"/>
                                <w:sz w:val="18"/>
                                <w:szCs w:val="18"/>
                                <w:lang w:val="en-US" w:eastAsia="zh-CN"/>
                              </w:rPr>
                              <w:t>轻质杂料</w:t>
                            </w:r>
                          </w:p>
                        </w:txbxContent>
                      </v:textbox>
                    </v:shape>
                  </w:pict>
                </mc:Fallback>
              </mc:AlternateContent>
            </w:r>
            <w:r>
              <w:rPr>
                <w:color w:val="auto"/>
                <w:sz w:val="21"/>
              </w:rPr>
              <mc:AlternateContent>
                <mc:Choice Requires="wps">
                  <w:drawing>
                    <wp:anchor distT="0" distB="0" distL="114300" distR="114300" simplePos="0" relativeHeight="251774976" behindDoc="0" locked="0" layoutInCell="1" allowOverlap="1">
                      <wp:simplePos x="0" y="0"/>
                      <wp:positionH relativeFrom="column">
                        <wp:posOffset>1689735</wp:posOffset>
                      </wp:positionH>
                      <wp:positionV relativeFrom="paragraph">
                        <wp:posOffset>76835</wp:posOffset>
                      </wp:positionV>
                      <wp:extent cx="426720" cy="259715"/>
                      <wp:effectExtent l="0" t="0" r="0" b="0"/>
                      <wp:wrapNone/>
                      <wp:docPr id="15" name="文本框 15"/>
                      <wp:cNvGraphicFramePr/>
                      <a:graphic xmlns:a="http://schemas.openxmlformats.org/drawingml/2006/main">
                        <a:graphicData uri="http://schemas.microsoft.com/office/word/2010/wordprocessingShape">
                          <wps:wsp>
                            <wps:cNvSpPr txBox="1"/>
                            <wps:spPr>
                              <a:xfrm>
                                <a:off x="3208020" y="1982470"/>
                                <a:ext cx="426720" cy="259715"/>
                              </a:xfrm>
                              <a:prstGeom prst="rect">
                                <a:avLst/>
                              </a:prstGeom>
                              <a:noFill/>
                              <a:ln>
                                <a:noFill/>
                              </a:ln>
                            </wps:spPr>
                            <wps:txbx>
                              <w:txbxContent>
                                <w:p w14:paraId="06BD14A4">
                                  <w:pPr>
                                    <w:keepNext w:val="0"/>
                                    <w:keepLines w:val="0"/>
                                    <w:pageBreakBefore w:val="0"/>
                                    <w:widowControl w:val="0"/>
                                    <w:kinsoku/>
                                    <w:wordWrap/>
                                    <w:overflowPunct/>
                                    <w:topLinePunct w:val="0"/>
                                    <w:bidi w:val="0"/>
                                    <w:adjustRightInd/>
                                    <w:snapToGrid/>
                                    <w:spacing w:line="220" w:lineRule="exact"/>
                                    <w:jc w:val="center"/>
                                    <w:textAlignment w:val="auto"/>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lang w:val="en-US" w:eastAsia="zh-CN"/>
                                    </w:rPr>
                                    <w:t>筛上</w:t>
                                  </w:r>
                                </w:p>
                              </w:txbxContent>
                            </wps:txbx>
                            <wps:bodyPr upright="1"/>
                          </wps:wsp>
                        </a:graphicData>
                      </a:graphic>
                    </wp:anchor>
                  </w:drawing>
                </mc:Choice>
                <mc:Fallback>
                  <w:pict>
                    <v:shape id="_x0000_s1026" o:spid="_x0000_s1026" o:spt="202" type="#_x0000_t202" style="position:absolute;left:0pt;margin-left:133.05pt;margin-top:6.05pt;height:20.45pt;width:33.6pt;z-index:251774976;mso-width-relative:page;mso-height-relative:page;" filled="f" stroked="f" coordsize="21600,21600" o:gfxdata="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">
                      <v:fill on="f" focussize="0,0"/>
                      <v:stroke on="f"/>
                      <v:imagedata o:title=""/>
                      <o:lock v:ext="edit" aspectratio="f"/>
                      <v:textbox>
                        <w:txbxContent>
                          <w:p w14:paraId="06BD14A4">
                            <w:pPr>
                              <w:keepNext w:val="0"/>
                              <w:keepLines w:val="0"/>
                              <w:pageBreakBefore w:val="0"/>
                              <w:widowControl w:val="0"/>
                              <w:kinsoku/>
                              <w:wordWrap/>
                              <w:overflowPunct/>
                              <w:topLinePunct w:val="0"/>
                              <w:bidi w:val="0"/>
                              <w:adjustRightInd/>
                              <w:snapToGrid/>
                              <w:spacing w:line="220" w:lineRule="exact"/>
                              <w:jc w:val="center"/>
                              <w:textAlignment w:val="auto"/>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lang w:val="en-US" w:eastAsia="zh-CN"/>
                              </w:rPr>
                              <w:t>筛上</w:t>
                            </w:r>
                          </w:p>
                        </w:txbxContent>
                      </v:textbox>
                    </v:shape>
                  </w:pict>
                </mc:Fallback>
              </mc:AlternateContent>
            </w:r>
            <w:r>
              <w:rPr>
                <w:color w:val="auto"/>
                <w:sz w:val="21"/>
              </w:rPr>
              <mc:AlternateContent>
                <mc:Choice Requires="wps">
                  <w:drawing>
                    <wp:anchor distT="0" distB="0" distL="114300" distR="114300" simplePos="0" relativeHeight="251773952" behindDoc="0" locked="0" layoutInCell="1" allowOverlap="1">
                      <wp:simplePos x="0" y="0"/>
                      <wp:positionH relativeFrom="column">
                        <wp:posOffset>3733165</wp:posOffset>
                      </wp:positionH>
                      <wp:positionV relativeFrom="paragraph">
                        <wp:posOffset>66040</wp:posOffset>
                      </wp:positionV>
                      <wp:extent cx="4445" cy="290830"/>
                      <wp:effectExtent l="45720" t="0" r="64135" b="13970"/>
                      <wp:wrapNone/>
                      <wp:docPr id="14" name="直接连接符 14"/>
                      <wp:cNvGraphicFramePr/>
                      <a:graphic xmlns:a="http://schemas.openxmlformats.org/drawingml/2006/main">
                        <a:graphicData uri="http://schemas.microsoft.com/office/word/2010/wordprocessingShape">
                          <wps:wsp>
                            <wps:cNvCnPr/>
                            <wps:spPr>
                              <a:xfrm>
                                <a:off x="5251450" y="1971675"/>
                                <a:ext cx="4445" cy="290830"/>
                              </a:xfrm>
                              <a:prstGeom prst="line">
                                <a:avLst/>
                              </a:prstGeom>
                              <a:ln w="9525" cap="flat" cmpd="sng">
                                <a:solidFill>
                                  <a:srgbClr val="000000"/>
                                </a:solidFill>
                                <a:prstDash val="solid"/>
                                <a:round/>
                                <a:headEnd type="none" w="med" len="med"/>
                                <a:tailEnd type="arrow" w="med" len="med"/>
                              </a:ln>
                            </wps:spPr>
                            <wps:bodyPr upright="1"/>
                          </wps:wsp>
                        </a:graphicData>
                      </a:graphic>
                    </wp:anchor>
                  </w:drawing>
                </mc:Choice>
                <mc:Fallback>
                  <w:pict>
                    <v:line id="_x0000_s1026" o:spid="_x0000_s1026" o:spt="20" style="position:absolute;left:0pt;margin-left:293.95pt;margin-top:5.2pt;height:22.9pt;width:0.35pt;z-index:251773952;mso-width-relative:page;mso-height-relative:page;" filled="f" stroked="t" coordsize="21600,21600" o:gfxdata="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NfzcU9kAAAAJAQAADwAAAAAA&#10;AAABACAAAAAiAAAAZHJzL2Rvd25yZXYueG1sUEsBAhQAFAAAAAgAh07iQNykPSESAgAA/wMAAA4A&#10;AAAAAAAAAQAgAAAAKAEAAGRycy9lMm9Eb2MueG1sUEsFBgAAAAAGAAYAWQEAAKwFAAAAAA==&#10;">
                      <v:fill on="f" focussize="0,0"/>
                      <v:stroke color="#000000" joinstyle="round" endarrow="open"/>
                      <v:imagedata o:title=""/>
                      <o:lock v:ext="edit" aspectratio="f"/>
                    </v:line>
                  </w:pict>
                </mc:Fallback>
              </mc:AlternateContent>
            </w:r>
            <w:r>
              <w:rPr>
                <w:color w:val="auto"/>
                <w:sz w:val="21"/>
              </w:rPr>
              <mc:AlternateContent>
                <mc:Choice Requires="wps">
                  <w:drawing>
                    <wp:anchor distT="0" distB="0" distL="114300" distR="114300" simplePos="0" relativeHeight="251772928" behindDoc="0" locked="0" layoutInCell="1" allowOverlap="1">
                      <wp:simplePos x="0" y="0"/>
                      <wp:positionH relativeFrom="column">
                        <wp:posOffset>3358515</wp:posOffset>
                      </wp:positionH>
                      <wp:positionV relativeFrom="paragraph">
                        <wp:posOffset>93980</wp:posOffset>
                      </wp:positionV>
                      <wp:extent cx="426720" cy="259715"/>
                      <wp:effectExtent l="0" t="0" r="0" b="0"/>
                      <wp:wrapNone/>
                      <wp:docPr id="13" name="文本框 13"/>
                      <wp:cNvGraphicFramePr/>
                      <a:graphic xmlns:a="http://schemas.openxmlformats.org/drawingml/2006/main">
                        <a:graphicData uri="http://schemas.microsoft.com/office/word/2010/wordprocessingShape">
                          <wps:wsp>
                            <wps:cNvSpPr txBox="1"/>
                            <wps:spPr>
                              <a:xfrm>
                                <a:off x="4876800" y="1999615"/>
                                <a:ext cx="426720" cy="259715"/>
                              </a:xfrm>
                              <a:prstGeom prst="rect">
                                <a:avLst/>
                              </a:prstGeom>
                              <a:noFill/>
                              <a:ln>
                                <a:noFill/>
                              </a:ln>
                            </wps:spPr>
                            <wps:txbx>
                              <w:txbxContent>
                                <w:p w14:paraId="08330FD9">
                                  <w:pPr>
                                    <w:keepNext w:val="0"/>
                                    <w:keepLines w:val="0"/>
                                    <w:pageBreakBefore w:val="0"/>
                                    <w:widowControl w:val="0"/>
                                    <w:kinsoku/>
                                    <w:wordWrap/>
                                    <w:overflowPunct/>
                                    <w:topLinePunct w:val="0"/>
                                    <w:bidi w:val="0"/>
                                    <w:adjustRightInd/>
                                    <w:snapToGrid/>
                                    <w:spacing w:line="220" w:lineRule="exact"/>
                                    <w:jc w:val="center"/>
                                    <w:textAlignment w:val="auto"/>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lang w:val="en-US" w:eastAsia="zh-CN"/>
                                    </w:rPr>
                                    <w:t>有磁</w:t>
                                  </w:r>
                                </w:p>
                              </w:txbxContent>
                            </wps:txbx>
                            <wps:bodyPr upright="1"/>
                          </wps:wsp>
                        </a:graphicData>
                      </a:graphic>
                    </wp:anchor>
                  </w:drawing>
                </mc:Choice>
                <mc:Fallback>
                  <w:pict>
                    <v:shape id="_x0000_s1026" o:spid="_x0000_s1026" o:spt="202" type="#_x0000_t202" style="position:absolute;left:0pt;margin-left:264.45pt;margin-top:7.4pt;height:20.45pt;width:33.6pt;z-index:251772928;mso-width-relative:page;mso-height-relative:page;" filled="f" stroked="f" coordsize="21600,21600" o:gfxdata="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2YZ64NcAAAAJAQAADwAAAAAAAAABACAAAAAiAAAAZHJzL2Rvd25yZXYueG1sUEsBAhQAFAAA&#10;AAgAh07iQPlpnZO3AQAAWwMAAA4AAAAAAAAAAQAgAAAAJgEAAGRycy9lMm9Eb2MueG1sUEsFBgAA&#10;AAAGAAYAWQEAAE8FAAAAAA==&#10;">
                      <v:fill on="f" focussize="0,0"/>
                      <v:stroke on="f"/>
                      <v:imagedata o:title=""/>
                      <o:lock v:ext="edit" aspectratio="f"/>
                      <v:textbox>
                        <w:txbxContent>
                          <w:p w14:paraId="08330FD9">
                            <w:pPr>
                              <w:keepNext w:val="0"/>
                              <w:keepLines w:val="0"/>
                              <w:pageBreakBefore w:val="0"/>
                              <w:widowControl w:val="0"/>
                              <w:kinsoku/>
                              <w:wordWrap/>
                              <w:overflowPunct/>
                              <w:topLinePunct w:val="0"/>
                              <w:bidi w:val="0"/>
                              <w:adjustRightInd/>
                              <w:snapToGrid/>
                              <w:spacing w:line="220" w:lineRule="exact"/>
                              <w:jc w:val="center"/>
                              <w:textAlignment w:val="auto"/>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lang w:val="en-US" w:eastAsia="zh-CN"/>
                              </w:rPr>
                              <w:t>有磁</w:t>
                            </w:r>
                          </w:p>
                        </w:txbxContent>
                      </v:textbox>
                    </v:shape>
                  </w:pict>
                </mc:Fallback>
              </mc:AlternateContent>
            </w:r>
          </w:p>
          <w:p w14:paraId="3AC1E9A0">
            <w:pPr>
              <w:pStyle w:val="24"/>
              <w:keepNext w:val="0"/>
              <w:keepLines w:val="0"/>
              <w:pageBreakBefore w:val="0"/>
              <w:widowControl/>
              <w:kinsoku/>
              <w:wordWrap/>
              <w:overflowPunct/>
              <w:topLinePunct w:val="0"/>
              <w:autoSpaceDE/>
              <w:autoSpaceDN/>
              <w:bidi w:val="0"/>
              <w:adjustRightInd w:val="0"/>
              <w:snapToGrid w:val="0"/>
              <w:spacing w:before="0" w:beforeAutospacing="0" w:after="0" w:afterAutospacing="0" w:line="430" w:lineRule="exact"/>
              <w:ind w:firstLine="420" w:firstLineChars="200"/>
              <w:textAlignment w:val="auto"/>
              <w:rPr>
                <w:rFonts w:hint="eastAsia" w:ascii="Times New Roman" w:hAnsi="Times New Roman" w:cs="Times New Roman"/>
                <w:color w:val="auto"/>
                <w:sz w:val="21"/>
                <w:szCs w:val="21"/>
                <w:highlight w:val="none"/>
                <w:lang w:val="en-US" w:eastAsia="zh-CN"/>
              </w:rPr>
            </w:pPr>
            <w:r>
              <w:rPr>
                <w:color w:val="auto"/>
                <w:sz w:val="21"/>
              </w:rPr>
              <mc:AlternateContent>
                <mc:Choice Requires="wps">
                  <w:drawing>
                    <wp:anchor distT="0" distB="0" distL="114300" distR="114300" simplePos="0" relativeHeight="251784192" behindDoc="0" locked="0" layoutInCell="1" allowOverlap="1">
                      <wp:simplePos x="0" y="0"/>
                      <wp:positionH relativeFrom="column">
                        <wp:posOffset>708025</wp:posOffset>
                      </wp:positionH>
                      <wp:positionV relativeFrom="paragraph">
                        <wp:posOffset>190500</wp:posOffset>
                      </wp:positionV>
                      <wp:extent cx="607695" cy="6350"/>
                      <wp:effectExtent l="0" t="48260" r="1905" b="59690"/>
                      <wp:wrapNone/>
                      <wp:docPr id="24" name="直接连接符 24"/>
                      <wp:cNvGraphicFramePr/>
                      <a:graphic xmlns:a="http://schemas.openxmlformats.org/drawingml/2006/main">
                        <a:graphicData uri="http://schemas.microsoft.com/office/word/2010/wordprocessingShape">
                          <wps:wsp>
                            <wps:cNvCnPr/>
                            <wps:spPr>
                              <a:xfrm flipH="1" flipV="1">
                                <a:off x="2226310" y="2369185"/>
                                <a:ext cx="607695" cy="6350"/>
                              </a:xfrm>
                              <a:prstGeom prst="line">
                                <a:avLst/>
                              </a:prstGeom>
                              <a:ln w="9525" cap="flat" cmpd="sng">
                                <a:solidFill>
                                  <a:srgbClr val="000000"/>
                                </a:solidFill>
                                <a:prstDash val="solid"/>
                                <a:round/>
                                <a:headEnd type="none" w="med" len="med"/>
                                <a:tailEnd type="arrow" w="med" len="med"/>
                              </a:ln>
                            </wps:spPr>
                            <wps:bodyPr upright="1"/>
                          </wps:wsp>
                        </a:graphicData>
                      </a:graphic>
                    </wp:anchor>
                  </w:drawing>
                </mc:Choice>
                <mc:Fallback>
                  <w:pict>
                    <v:line id="_x0000_s1026" o:spid="_x0000_s1026" o:spt="20" style="position:absolute;left:0pt;flip:x y;margin-left:55.75pt;margin-top:15pt;height:0.5pt;width:47.85pt;z-index:251784192;mso-width-relative:page;mso-height-relative:page;" filled="f" stroked="t" coordsize="21600,21600" o:gfxdata="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wRBuHXAAAA&#10;CQEAAA8AAAAAAAAAAQAgAAAAIgAAAGRycy9kb3ducmV2LnhtbFBLAQIUABQAAAAIAIdO4kCeKUlH&#10;HgIAABMEAAAOAAAAAAAAAAEAIAAAACYBAABkcnMvZTJvRG9jLnhtbFBLBQYAAAAABgAGAFkBAAC2&#10;BQAAAAA=&#10;">
                      <v:fill on="f" focussize="0,0"/>
                      <v:stroke color="#000000" joinstyle="round" endarrow="open"/>
                      <v:imagedata o:title=""/>
                      <o:lock v:ext="edit" aspectratio="f"/>
                    </v:line>
                  </w:pict>
                </mc:Fallback>
              </mc:AlternateContent>
            </w:r>
            <w:r>
              <w:rPr>
                <w:color w:val="auto"/>
                <w:sz w:val="21"/>
              </w:rPr>
              <mc:AlternateContent>
                <mc:Choice Requires="wps">
                  <w:drawing>
                    <wp:anchor distT="0" distB="0" distL="114300" distR="114300" simplePos="0" relativeHeight="251780096" behindDoc="0" locked="0" layoutInCell="1" allowOverlap="1">
                      <wp:simplePos x="0" y="0"/>
                      <wp:positionH relativeFrom="column">
                        <wp:posOffset>1316355</wp:posOffset>
                      </wp:positionH>
                      <wp:positionV relativeFrom="paragraph">
                        <wp:posOffset>57785</wp:posOffset>
                      </wp:positionV>
                      <wp:extent cx="908050" cy="253365"/>
                      <wp:effectExtent l="4445" t="4445" r="20955" b="8890"/>
                      <wp:wrapNone/>
                      <wp:docPr id="20" name="文本框 20"/>
                      <wp:cNvGraphicFramePr/>
                      <a:graphic xmlns:a="http://schemas.openxmlformats.org/drawingml/2006/main">
                        <a:graphicData uri="http://schemas.microsoft.com/office/word/2010/wordprocessingShape">
                          <wps:wsp>
                            <wps:cNvSpPr txBox="1"/>
                            <wps:spPr>
                              <a:xfrm>
                                <a:off x="2834640" y="2236470"/>
                                <a:ext cx="908050" cy="253365"/>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6C39F1B4">
                                  <w:pPr>
                                    <w:jc w:val="center"/>
                                    <w:rPr>
                                      <w:rFonts w:hint="default" w:ascii="Times New Roman" w:hAnsi="Times New Roman" w:eastAsia="宋体" w:cs="Times New Roman"/>
                                      <w:sz w:val="18"/>
                                      <w:szCs w:val="18"/>
                                      <w:lang w:val="en-US" w:eastAsia="zh-CN"/>
                                    </w:rPr>
                                  </w:pPr>
                                  <w:r>
                                    <w:rPr>
                                      <w:rFonts w:hint="eastAsia" w:cs="Times New Roman"/>
                                      <w:sz w:val="18"/>
                                      <w:szCs w:val="18"/>
                                      <w:lang w:val="en-US" w:eastAsia="zh-CN"/>
                                    </w:rPr>
                                    <w:t>4</w:t>
                                  </w:r>
                                  <w:r>
                                    <w:rPr>
                                      <w:rFonts w:hint="default" w:ascii="Times New Roman" w:hAnsi="Times New Roman" w:eastAsia="宋体" w:cs="Times New Roman"/>
                                      <w:sz w:val="18"/>
                                      <w:szCs w:val="18"/>
                                      <w:vertAlign w:val="superscript"/>
                                      <w:lang w:val="en-US" w:eastAsia="zh-CN"/>
                                    </w:rPr>
                                    <w:t>#</w:t>
                                  </w:r>
                                  <w:r>
                                    <w:rPr>
                                      <w:rFonts w:hint="default" w:ascii="Times New Roman" w:hAnsi="Times New Roman" w:eastAsia="宋体" w:cs="Times New Roman"/>
                                      <w:sz w:val="18"/>
                                      <w:szCs w:val="18"/>
                                      <w:lang w:val="en-US" w:eastAsia="zh-CN"/>
                                    </w:rPr>
                                    <w:t>空气分选机</w:t>
                                  </w:r>
                                </w:p>
                              </w:txbxContent>
                            </wps:txbx>
                            <wps:bodyPr upright="1"/>
                          </wps:wsp>
                        </a:graphicData>
                      </a:graphic>
                    </wp:anchor>
                  </w:drawing>
                </mc:Choice>
                <mc:Fallback>
                  <w:pict>
                    <v:shape id="_x0000_s1026" o:spid="_x0000_s1026" o:spt="202" type="#_x0000_t202" style="position:absolute;left:0pt;margin-left:103.65pt;margin-top:4.55pt;height:19.95pt;width:71.5pt;z-index:251780096;mso-width-relative:page;mso-height-relative:page;" fillcolor="#FFFFFF" filled="t" stroked="t" coordsize="21600,21600" o:gfxdata="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AYoCRk1wAAAAgBAAAPAAAAAAAA&#10;AAEAIAAAACIAAABkcnMvZG93bnJldi54bWxQSwECFAAUAAAACACHTuJAl4NYORMCAABDBAAADgAA&#10;AAAAAAABACAAAAAmAQAAZHJzL2Uyb0RvYy54bWxQSwUGAAAAAAYABgBZAQAAqwUAAAAA&#10;">
                      <v:fill on="t" focussize="0,0"/>
                      <v:stroke color="#000000" joinstyle="miter"/>
                      <v:imagedata o:title=""/>
                      <o:lock v:ext="edit" aspectratio="f"/>
                      <v:textbox>
                        <w:txbxContent>
                          <w:p w14:paraId="6C39F1B4">
                            <w:pPr>
                              <w:jc w:val="center"/>
                              <w:rPr>
                                <w:rFonts w:hint="default" w:ascii="Times New Roman" w:hAnsi="Times New Roman" w:eastAsia="宋体" w:cs="Times New Roman"/>
                                <w:sz w:val="18"/>
                                <w:szCs w:val="18"/>
                                <w:lang w:val="en-US" w:eastAsia="zh-CN"/>
                              </w:rPr>
                            </w:pPr>
                            <w:r>
                              <w:rPr>
                                <w:rFonts w:hint="eastAsia" w:cs="Times New Roman"/>
                                <w:sz w:val="18"/>
                                <w:szCs w:val="18"/>
                                <w:lang w:val="en-US" w:eastAsia="zh-CN"/>
                              </w:rPr>
                              <w:t>4</w:t>
                            </w:r>
                            <w:r>
                              <w:rPr>
                                <w:rFonts w:hint="default" w:ascii="Times New Roman" w:hAnsi="Times New Roman" w:eastAsia="宋体" w:cs="Times New Roman"/>
                                <w:sz w:val="18"/>
                                <w:szCs w:val="18"/>
                                <w:vertAlign w:val="superscript"/>
                                <w:lang w:val="en-US" w:eastAsia="zh-CN"/>
                              </w:rPr>
                              <w:t>#</w:t>
                            </w:r>
                            <w:r>
                              <w:rPr>
                                <w:rFonts w:hint="default" w:ascii="Times New Roman" w:hAnsi="Times New Roman" w:eastAsia="宋体" w:cs="Times New Roman"/>
                                <w:sz w:val="18"/>
                                <w:szCs w:val="18"/>
                                <w:lang w:val="en-US" w:eastAsia="zh-CN"/>
                              </w:rPr>
                              <w:t>空气分选机</w:t>
                            </w:r>
                          </w:p>
                        </w:txbxContent>
                      </v:textbox>
                    </v:shape>
                  </w:pict>
                </mc:Fallback>
              </mc:AlternateContent>
            </w:r>
            <w:r>
              <w:rPr>
                <w:color w:val="auto"/>
                <w:sz w:val="21"/>
              </w:rPr>
              <mc:AlternateContent>
                <mc:Choice Requires="wps">
                  <w:drawing>
                    <wp:anchor distT="0" distB="0" distL="114300" distR="114300" simplePos="0" relativeHeight="251779072" behindDoc="0" locked="0" layoutInCell="1" allowOverlap="1">
                      <wp:simplePos x="0" y="0"/>
                      <wp:positionH relativeFrom="column">
                        <wp:posOffset>101600</wp:posOffset>
                      </wp:positionH>
                      <wp:positionV relativeFrom="paragraph">
                        <wp:posOffset>59055</wp:posOffset>
                      </wp:positionV>
                      <wp:extent cx="601345" cy="267335"/>
                      <wp:effectExtent l="4445" t="4445" r="22860" b="13970"/>
                      <wp:wrapNone/>
                      <wp:docPr id="19" name="文本框 19"/>
                      <wp:cNvGraphicFramePr/>
                      <a:graphic xmlns:a="http://schemas.openxmlformats.org/drawingml/2006/main">
                        <a:graphicData uri="http://schemas.microsoft.com/office/word/2010/wordprocessingShape">
                          <wps:wsp>
                            <wps:cNvSpPr txBox="1"/>
                            <wps:spPr>
                              <a:xfrm>
                                <a:off x="1619885" y="2237740"/>
                                <a:ext cx="601345" cy="267335"/>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142CA6AB">
                                  <w:pPr>
                                    <w:jc w:val="center"/>
                                    <w:rPr>
                                      <w:rFonts w:hint="default" w:ascii="Times New Roman" w:hAnsi="Times New Roman" w:eastAsia="宋体" w:cs="Times New Roman"/>
                                      <w:sz w:val="18"/>
                                      <w:szCs w:val="18"/>
                                      <w:lang w:val="en-US" w:eastAsia="zh-CN"/>
                                    </w:rPr>
                                  </w:pPr>
                                  <w:r>
                                    <w:rPr>
                                      <w:rFonts w:hint="eastAsia" w:cs="Times New Roman"/>
                                      <w:sz w:val="18"/>
                                      <w:szCs w:val="18"/>
                                      <w:lang w:val="en-US" w:eastAsia="zh-CN"/>
                                    </w:rPr>
                                    <w:t>3</w:t>
                                  </w:r>
                                  <w:r>
                                    <w:rPr>
                                      <w:rFonts w:hint="default" w:ascii="Times New Roman" w:hAnsi="Times New Roman" w:eastAsia="宋体" w:cs="Times New Roman"/>
                                      <w:sz w:val="18"/>
                                      <w:szCs w:val="18"/>
                                      <w:vertAlign w:val="superscript"/>
                                      <w:lang w:val="en-US" w:eastAsia="zh-CN"/>
                                    </w:rPr>
                                    <w:t>#</w:t>
                                  </w:r>
                                  <w:r>
                                    <w:rPr>
                                      <w:rFonts w:hint="default" w:ascii="Times New Roman" w:hAnsi="Times New Roman" w:eastAsia="宋体" w:cs="Times New Roman"/>
                                      <w:sz w:val="18"/>
                                      <w:szCs w:val="18"/>
                                      <w:lang w:val="en-US" w:eastAsia="zh-CN"/>
                                    </w:rPr>
                                    <w:t>料池</w:t>
                                  </w:r>
                                </w:p>
                              </w:txbxContent>
                            </wps:txbx>
                            <wps:bodyPr upright="1"/>
                          </wps:wsp>
                        </a:graphicData>
                      </a:graphic>
                    </wp:anchor>
                  </w:drawing>
                </mc:Choice>
                <mc:Fallback>
                  <w:pict>
                    <v:shape id="_x0000_s1026" o:spid="_x0000_s1026" o:spt="202" type="#_x0000_t202" style="position:absolute;left:0pt;margin-left:8pt;margin-top:4.65pt;height:21.05pt;width:47.35pt;z-index:251779072;mso-width-relative:page;mso-height-relative:page;" fillcolor="#FFFFFF" filled="t" stroked="t" coordsize="21600,21600" o:gfxdata="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GraeMdYAAAAHAQAADwAAAAAA&#10;AAABACAAAAAiAAAAZHJzL2Rvd25yZXYueG1sUEsBAhQAFAAAAAgAh07iQBDDt2wVAgAAQwQAAA4A&#10;AAAAAAAAAQAgAAAAJQEAAGRycy9lMm9Eb2MueG1sUEsFBgAAAAAGAAYAWQEAAKwFAAAAAA==&#10;">
                      <v:fill on="t" focussize="0,0"/>
                      <v:stroke color="#000000" joinstyle="miter"/>
                      <v:imagedata o:title=""/>
                      <o:lock v:ext="edit" aspectratio="f"/>
                      <v:textbox>
                        <w:txbxContent>
                          <w:p w14:paraId="142CA6AB">
                            <w:pPr>
                              <w:jc w:val="center"/>
                              <w:rPr>
                                <w:rFonts w:hint="default" w:ascii="Times New Roman" w:hAnsi="Times New Roman" w:eastAsia="宋体" w:cs="Times New Roman"/>
                                <w:sz w:val="18"/>
                                <w:szCs w:val="18"/>
                                <w:lang w:val="en-US" w:eastAsia="zh-CN"/>
                              </w:rPr>
                            </w:pPr>
                            <w:r>
                              <w:rPr>
                                <w:rFonts w:hint="eastAsia" w:cs="Times New Roman"/>
                                <w:sz w:val="18"/>
                                <w:szCs w:val="18"/>
                                <w:lang w:val="en-US" w:eastAsia="zh-CN"/>
                              </w:rPr>
                              <w:t>3</w:t>
                            </w:r>
                            <w:r>
                              <w:rPr>
                                <w:rFonts w:hint="default" w:ascii="Times New Roman" w:hAnsi="Times New Roman" w:eastAsia="宋体" w:cs="Times New Roman"/>
                                <w:sz w:val="18"/>
                                <w:szCs w:val="18"/>
                                <w:vertAlign w:val="superscript"/>
                                <w:lang w:val="en-US" w:eastAsia="zh-CN"/>
                              </w:rPr>
                              <w:t>#</w:t>
                            </w:r>
                            <w:r>
                              <w:rPr>
                                <w:rFonts w:hint="default" w:ascii="Times New Roman" w:hAnsi="Times New Roman" w:eastAsia="宋体" w:cs="Times New Roman"/>
                                <w:sz w:val="18"/>
                                <w:szCs w:val="18"/>
                                <w:lang w:val="en-US" w:eastAsia="zh-CN"/>
                              </w:rPr>
                              <w:t>料池</w:t>
                            </w:r>
                          </w:p>
                        </w:txbxContent>
                      </v:textbox>
                    </v:shape>
                  </w:pict>
                </mc:Fallback>
              </mc:AlternateContent>
            </w:r>
            <w:r>
              <w:rPr>
                <w:color w:val="auto"/>
                <w:sz w:val="21"/>
              </w:rPr>
              <mc:AlternateContent>
                <mc:Choice Requires="wps">
                  <w:drawing>
                    <wp:anchor distT="0" distB="0" distL="114300" distR="114300" simplePos="0" relativeHeight="251778048" behindDoc="0" locked="0" layoutInCell="1" allowOverlap="1">
                      <wp:simplePos x="0" y="0"/>
                      <wp:positionH relativeFrom="column">
                        <wp:posOffset>3354705</wp:posOffset>
                      </wp:positionH>
                      <wp:positionV relativeFrom="paragraph">
                        <wp:posOffset>73025</wp:posOffset>
                      </wp:positionV>
                      <wp:extent cx="796290" cy="238760"/>
                      <wp:effectExtent l="4445" t="4445" r="18415" b="23495"/>
                      <wp:wrapNone/>
                      <wp:docPr id="18" name="文本框 18"/>
                      <wp:cNvGraphicFramePr/>
                      <a:graphic xmlns:a="http://schemas.openxmlformats.org/drawingml/2006/main">
                        <a:graphicData uri="http://schemas.microsoft.com/office/word/2010/wordprocessingShape">
                          <wps:wsp>
                            <wps:cNvSpPr txBox="1"/>
                            <wps:spPr>
                              <a:xfrm>
                                <a:off x="4872990" y="2251710"/>
                                <a:ext cx="796290" cy="23876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1716BD51">
                                  <w:pPr>
                                    <w:keepNext w:val="0"/>
                                    <w:keepLines w:val="0"/>
                                    <w:pageBreakBefore w:val="0"/>
                                    <w:widowControl w:val="0"/>
                                    <w:kinsoku/>
                                    <w:wordWrap/>
                                    <w:overflowPunct/>
                                    <w:topLinePunct w:val="0"/>
                                    <w:bidi w:val="0"/>
                                    <w:adjustRightInd/>
                                    <w:snapToGrid/>
                                    <w:spacing w:line="220" w:lineRule="exact"/>
                                    <w:jc w:val="center"/>
                                    <w:textAlignment w:val="auto"/>
                                    <w:rPr>
                                      <w:rFonts w:hint="default" w:ascii="Times New Roman" w:hAnsi="Times New Roman" w:eastAsia="宋体" w:cs="Times New Roman"/>
                                      <w:sz w:val="18"/>
                                      <w:szCs w:val="18"/>
                                      <w:highlight w:val="none"/>
                                      <w:lang w:val="en-US" w:eastAsia="zh-CN"/>
                                    </w:rPr>
                                  </w:pPr>
                                  <w:r>
                                    <w:rPr>
                                      <w:rFonts w:hint="default" w:ascii="Times New Roman" w:hAnsi="Times New Roman" w:eastAsia="宋体" w:cs="Times New Roman"/>
                                      <w:sz w:val="18"/>
                                      <w:szCs w:val="18"/>
                                      <w:highlight w:val="none"/>
                                      <w:lang w:val="en-US" w:eastAsia="zh-CN"/>
                                    </w:rPr>
                                    <w:t>摇床分选机</w:t>
                                  </w:r>
                                </w:p>
                              </w:txbxContent>
                            </wps:txbx>
                            <wps:bodyPr upright="1"/>
                          </wps:wsp>
                        </a:graphicData>
                      </a:graphic>
                    </wp:anchor>
                  </w:drawing>
                </mc:Choice>
                <mc:Fallback>
                  <w:pict>
                    <v:shape id="_x0000_s1026" o:spid="_x0000_s1026" o:spt="202" type="#_x0000_t202" style="position:absolute;left:0pt;margin-left:264.15pt;margin-top:5.75pt;height:18.8pt;width:62.7pt;z-index:251778048;mso-width-relative:page;mso-height-relative:page;" fillcolor="#FFFFFF" filled="t" stroked="t" coordsize="21600,21600" o:gfxdata="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t0sVUNkAAAAJAQAADwAA&#10;AAAAAAABACAAAAAiAAAAZHJzL2Rvd25yZXYueG1sUEsBAhQAFAAAAAgAh07iQJmQuO4VAgAAQwQA&#10;AA4AAAAAAAAAAQAgAAAAKAEAAGRycy9lMm9Eb2MueG1sUEsFBgAAAAAGAAYAWQEAAK8FAAAAAA==&#10;">
                      <v:fill on="t" focussize="0,0"/>
                      <v:stroke color="#000000" joinstyle="miter"/>
                      <v:imagedata o:title=""/>
                      <o:lock v:ext="edit" aspectratio="f"/>
                      <v:textbox>
                        <w:txbxContent>
                          <w:p w14:paraId="1716BD51">
                            <w:pPr>
                              <w:keepNext w:val="0"/>
                              <w:keepLines w:val="0"/>
                              <w:pageBreakBefore w:val="0"/>
                              <w:widowControl w:val="0"/>
                              <w:kinsoku/>
                              <w:wordWrap/>
                              <w:overflowPunct/>
                              <w:topLinePunct w:val="0"/>
                              <w:bidi w:val="0"/>
                              <w:adjustRightInd/>
                              <w:snapToGrid/>
                              <w:spacing w:line="220" w:lineRule="exact"/>
                              <w:jc w:val="center"/>
                              <w:textAlignment w:val="auto"/>
                              <w:rPr>
                                <w:rFonts w:hint="default" w:ascii="Times New Roman" w:hAnsi="Times New Roman" w:eastAsia="宋体" w:cs="Times New Roman"/>
                                <w:sz w:val="18"/>
                                <w:szCs w:val="18"/>
                                <w:highlight w:val="none"/>
                                <w:lang w:val="en-US" w:eastAsia="zh-CN"/>
                              </w:rPr>
                            </w:pPr>
                            <w:r>
                              <w:rPr>
                                <w:rFonts w:hint="default" w:ascii="Times New Roman" w:hAnsi="Times New Roman" w:eastAsia="宋体" w:cs="Times New Roman"/>
                                <w:sz w:val="18"/>
                                <w:szCs w:val="18"/>
                                <w:highlight w:val="none"/>
                                <w:lang w:val="en-US" w:eastAsia="zh-CN"/>
                              </w:rPr>
                              <w:t>摇床分选机</w:t>
                            </w:r>
                          </w:p>
                        </w:txbxContent>
                      </v:textbox>
                    </v:shape>
                  </w:pict>
                </mc:Fallback>
              </mc:AlternateContent>
            </w:r>
          </w:p>
          <w:p w14:paraId="1191C0E8">
            <w:pPr>
              <w:pStyle w:val="24"/>
              <w:keepNext w:val="0"/>
              <w:keepLines w:val="0"/>
              <w:pageBreakBefore w:val="0"/>
              <w:widowControl/>
              <w:kinsoku/>
              <w:wordWrap/>
              <w:overflowPunct/>
              <w:topLinePunct w:val="0"/>
              <w:autoSpaceDE/>
              <w:autoSpaceDN/>
              <w:bidi w:val="0"/>
              <w:adjustRightInd w:val="0"/>
              <w:snapToGrid w:val="0"/>
              <w:spacing w:before="0" w:beforeAutospacing="0" w:after="0" w:afterAutospacing="0" w:line="430" w:lineRule="exact"/>
              <w:ind w:firstLine="420" w:firstLineChars="200"/>
              <w:textAlignment w:val="auto"/>
              <w:rPr>
                <w:rFonts w:hint="eastAsia" w:ascii="Times New Roman" w:hAnsi="Times New Roman" w:cs="Times New Roman"/>
                <w:color w:val="auto"/>
                <w:sz w:val="21"/>
                <w:szCs w:val="21"/>
                <w:highlight w:val="none"/>
                <w:lang w:val="en-US" w:eastAsia="zh-CN"/>
              </w:rPr>
            </w:pPr>
            <w:r>
              <w:rPr>
                <w:color w:val="auto"/>
                <w:sz w:val="21"/>
              </w:rPr>
              <mc:AlternateContent>
                <mc:Choice Requires="wps">
                  <w:drawing>
                    <wp:anchor distT="0" distB="0" distL="114300" distR="114300" simplePos="0" relativeHeight="251796480" behindDoc="0" locked="0" layoutInCell="1" allowOverlap="1">
                      <wp:simplePos x="0" y="0"/>
                      <wp:positionH relativeFrom="column">
                        <wp:posOffset>1453515</wp:posOffset>
                      </wp:positionH>
                      <wp:positionV relativeFrom="paragraph">
                        <wp:posOffset>76835</wp:posOffset>
                      </wp:positionV>
                      <wp:extent cx="261620" cy="213360"/>
                      <wp:effectExtent l="0" t="0" r="0" b="0"/>
                      <wp:wrapNone/>
                      <wp:docPr id="69" name="矩形 49"/>
                      <wp:cNvGraphicFramePr/>
                      <a:graphic xmlns:a="http://schemas.openxmlformats.org/drawingml/2006/main">
                        <a:graphicData uri="http://schemas.microsoft.com/office/word/2010/wordprocessingShape">
                          <wps:wsp>
                            <wps:cNvSpPr/>
                            <wps:spPr>
                              <a:xfrm>
                                <a:off x="2971800" y="2528570"/>
                                <a:ext cx="261620" cy="213360"/>
                              </a:xfrm>
                              <a:prstGeom prst="rect">
                                <a:avLst/>
                              </a:prstGeom>
                              <a:noFill/>
                              <a:ln>
                                <a:noFill/>
                              </a:ln>
                            </wps:spPr>
                            <wps:txbx>
                              <w:txbxContent>
                                <w:p w14:paraId="5029DCE6">
                                  <w:pPr>
                                    <w:spacing w:line="0" w:lineRule="atLeast"/>
                                    <w:jc w:val="center"/>
                                    <w:rPr>
                                      <w:rFonts w:hint="default" w:eastAsia="宋体"/>
                                      <w:sz w:val="15"/>
                                      <w:szCs w:val="15"/>
                                      <w:lang w:val="en-US" w:eastAsia="zh-CN"/>
                                    </w:rPr>
                                  </w:pPr>
                                  <w:r>
                                    <w:rPr>
                                      <w:rFonts w:hint="eastAsia"/>
                                      <w:sz w:val="15"/>
                                      <w:szCs w:val="15"/>
                                    </w:rPr>
                                    <w:t>N</w:t>
                                  </w:r>
                                </w:p>
                              </w:txbxContent>
                            </wps:txbx>
                            <wps:bodyPr wrap="square" upright="1">
                              <a:noAutofit/>
                            </wps:bodyPr>
                          </wps:wsp>
                        </a:graphicData>
                      </a:graphic>
                    </wp:anchor>
                  </w:drawing>
                </mc:Choice>
                <mc:Fallback>
                  <w:pict>
                    <v:rect id="矩形 49" o:spid="_x0000_s1026" o:spt="1" style="position:absolute;left:0pt;margin-left:114.45pt;margin-top:6.05pt;height:16.8pt;width:20.6pt;z-index:251796480;mso-width-relative:page;mso-height-relative:page;" filled="f" stroked="f" coordsize="21600,21600" o:gfxdata="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">
                      <v:fill on="f" focussize="0,0"/>
                      <v:stroke on="f"/>
                      <v:imagedata o:title=""/>
                      <o:lock v:ext="edit" aspectratio="f"/>
                      <v:textbox>
                        <w:txbxContent>
                          <w:p w14:paraId="5029DCE6">
                            <w:pPr>
                              <w:spacing w:line="0" w:lineRule="atLeast"/>
                              <w:jc w:val="center"/>
                              <w:rPr>
                                <w:rFonts w:hint="default" w:eastAsia="宋体"/>
                                <w:sz w:val="15"/>
                                <w:szCs w:val="15"/>
                                <w:lang w:val="en-US" w:eastAsia="zh-CN"/>
                              </w:rPr>
                            </w:pPr>
                            <w:r>
                              <w:rPr>
                                <w:rFonts w:hint="eastAsia"/>
                                <w:sz w:val="15"/>
                                <w:szCs w:val="15"/>
                              </w:rPr>
                              <w:t>N</w:t>
                            </w:r>
                          </w:p>
                        </w:txbxContent>
                      </v:textbox>
                    </v:rect>
                  </w:pict>
                </mc:Fallback>
              </mc:AlternateContent>
            </w:r>
            <w:r>
              <w:rPr>
                <w:color w:val="auto"/>
                <w:sz w:val="21"/>
              </w:rPr>
              <mc:AlternateContent>
                <mc:Choice Requires="wps">
                  <w:drawing>
                    <wp:anchor distT="0" distB="0" distL="114300" distR="114300" simplePos="0" relativeHeight="251790336" behindDoc="0" locked="0" layoutInCell="1" allowOverlap="1">
                      <wp:simplePos x="0" y="0"/>
                      <wp:positionH relativeFrom="column">
                        <wp:posOffset>1576705</wp:posOffset>
                      </wp:positionH>
                      <wp:positionV relativeFrom="paragraph">
                        <wp:posOffset>233045</wp:posOffset>
                      </wp:positionV>
                      <wp:extent cx="635" cy="144145"/>
                      <wp:effectExtent l="36195" t="0" r="39370" b="8255"/>
                      <wp:wrapNone/>
                      <wp:docPr id="56" name="直接箭头连接符 50"/>
                      <wp:cNvGraphicFramePr/>
                      <a:graphic xmlns:a="http://schemas.openxmlformats.org/drawingml/2006/main">
                        <a:graphicData uri="http://schemas.microsoft.com/office/word/2010/wordprocessingShape">
                          <wps:wsp>
                            <wps:cNvCnPr/>
                            <wps:spPr>
                              <a:xfrm flipH="1" flipV="1">
                                <a:off x="3094990" y="2684780"/>
                                <a:ext cx="635" cy="144145"/>
                              </a:xfrm>
                              <a:prstGeom prst="straightConnector1">
                                <a:avLst/>
                              </a:prstGeom>
                              <a:ln w="9525" cap="flat" cmpd="sng">
                                <a:solidFill>
                                  <a:srgbClr val="000000"/>
                                </a:solidFill>
                                <a:prstDash val="dash"/>
                                <a:headEnd type="none" w="med" len="med"/>
                                <a:tailEnd type="arrow" w="sm" len="sm"/>
                              </a:ln>
                            </wps:spPr>
                            <wps:bodyPr/>
                          </wps:wsp>
                        </a:graphicData>
                      </a:graphic>
                    </wp:anchor>
                  </w:drawing>
                </mc:Choice>
                <mc:Fallback>
                  <w:pict>
                    <v:shape id="直接箭头连接符 50" o:spid="_x0000_s1026" o:spt="32" type="#_x0000_t32" style="position:absolute;left:0pt;flip:x y;margin-left:124.15pt;margin-top:18.35pt;height:11.35pt;width:0.05pt;z-index:251790336;mso-width-relative:page;mso-height-relative:page;" filled="f" stroked="t" coordsize="21600,21600" o:gfxdata="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">
                      <v:fill on="f" focussize="0,0"/>
                      <v:stroke color="#000000" joinstyle="round" dashstyle="dash" endarrow="open" endarrowwidth="narrow" endarrowlength="short"/>
                      <v:imagedata o:title=""/>
                      <o:lock v:ext="edit" aspectratio="f"/>
                    </v:shape>
                  </w:pict>
                </mc:Fallback>
              </mc:AlternateContent>
            </w:r>
            <w:r>
              <w:rPr>
                <w:color w:val="auto"/>
                <w:sz w:val="21"/>
              </w:rPr>
              <mc:AlternateContent>
                <mc:Choice Requires="wps">
                  <w:drawing>
                    <wp:anchor distT="0" distB="0" distL="114300" distR="114300" simplePos="0" relativeHeight="251783168" behindDoc="0" locked="0" layoutInCell="1" allowOverlap="1">
                      <wp:simplePos x="0" y="0"/>
                      <wp:positionH relativeFrom="column">
                        <wp:posOffset>1748155</wp:posOffset>
                      </wp:positionH>
                      <wp:positionV relativeFrom="paragraph">
                        <wp:posOffset>45085</wp:posOffset>
                      </wp:positionV>
                      <wp:extent cx="635" cy="323850"/>
                      <wp:effectExtent l="48895" t="0" r="64770" b="0"/>
                      <wp:wrapNone/>
                      <wp:docPr id="23" name="直接连接符 23"/>
                      <wp:cNvGraphicFramePr/>
                      <a:graphic xmlns:a="http://schemas.openxmlformats.org/drawingml/2006/main">
                        <a:graphicData uri="http://schemas.microsoft.com/office/word/2010/wordprocessingShape">
                          <wps:wsp>
                            <wps:cNvCnPr/>
                            <wps:spPr>
                              <a:xfrm flipH="1">
                                <a:off x="3266440" y="2496820"/>
                                <a:ext cx="635" cy="323850"/>
                              </a:xfrm>
                              <a:prstGeom prst="line">
                                <a:avLst/>
                              </a:prstGeom>
                              <a:ln w="9525" cap="flat" cmpd="sng">
                                <a:solidFill>
                                  <a:srgbClr val="000000"/>
                                </a:solidFill>
                                <a:prstDash val="solid"/>
                                <a:round/>
                                <a:headEnd type="none" w="med" len="med"/>
                                <a:tailEnd type="arrow" w="med" len="med"/>
                              </a:ln>
                            </wps:spPr>
                            <wps:bodyPr upright="1"/>
                          </wps:wsp>
                        </a:graphicData>
                      </a:graphic>
                    </wp:anchor>
                  </w:drawing>
                </mc:Choice>
                <mc:Fallback>
                  <w:pict>
                    <v:line id="_x0000_s1026" o:spid="_x0000_s1026" o:spt="20" style="position:absolute;left:0pt;flip:x;margin-left:137.65pt;margin-top:3.55pt;height:25.5pt;width:0.05pt;z-index:251783168;mso-width-relative:page;mso-height-relative:page;" filled="f" stroked="t" coordsize="21600,21600" o:gfxdata="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ENa7EDXAAAACAEAAA8A&#10;AAAAAAAAAQAgAAAAIgAAAGRycy9kb3ducmV2LnhtbFBLAQIUABQAAAAIAIdO4kBYTfUdGAIAAAgE&#10;AAAOAAAAAAAAAAEAIAAAACYBAABkcnMvZTJvRG9jLnhtbFBLBQYAAAAABgAGAFkBAACwBQAAAAA=&#10;">
                      <v:fill on="f" focussize="0,0"/>
                      <v:stroke color="#000000" joinstyle="round" endarrow="open"/>
                      <v:imagedata o:title=""/>
                      <o:lock v:ext="edit" aspectratio="f"/>
                    </v:line>
                  </w:pict>
                </mc:Fallback>
              </mc:AlternateContent>
            </w:r>
            <w:r>
              <w:rPr>
                <w:color w:val="auto"/>
                <w:sz w:val="21"/>
              </w:rPr>
              <mc:AlternateContent>
                <mc:Choice Requires="wps">
                  <w:drawing>
                    <wp:anchor distT="0" distB="0" distL="114300" distR="114300" simplePos="0" relativeHeight="251782144" behindDoc="0" locked="0" layoutInCell="1" allowOverlap="1">
                      <wp:simplePos x="0" y="0"/>
                      <wp:positionH relativeFrom="column">
                        <wp:posOffset>1679575</wp:posOffset>
                      </wp:positionH>
                      <wp:positionV relativeFrom="paragraph">
                        <wp:posOffset>15875</wp:posOffset>
                      </wp:positionV>
                      <wp:extent cx="1128395" cy="382270"/>
                      <wp:effectExtent l="0" t="0" r="0" b="0"/>
                      <wp:wrapNone/>
                      <wp:docPr id="22" name="文本框 22"/>
                      <wp:cNvGraphicFramePr/>
                      <a:graphic xmlns:a="http://schemas.openxmlformats.org/drawingml/2006/main">
                        <a:graphicData uri="http://schemas.microsoft.com/office/word/2010/wordprocessingShape">
                          <wps:wsp>
                            <wps:cNvSpPr txBox="1"/>
                            <wps:spPr>
                              <a:xfrm>
                                <a:off x="3197860" y="2467610"/>
                                <a:ext cx="1128395" cy="382270"/>
                              </a:xfrm>
                              <a:prstGeom prst="rect">
                                <a:avLst/>
                              </a:prstGeom>
                              <a:noFill/>
                              <a:ln>
                                <a:noFill/>
                              </a:ln>
                            </wps:spPr>
                            <wps:txbx>
                              <w:txbxContent>
                                <w:p w14:paraId="277791D4">
                                  <w:pPr>
                                    <w:keepNext w:val="0"/>
                                    <w:keepLines w:val="0"/>
                                    <w:pageBreakBefore w:val="0"/>
                                    <w:widowControl w:val="0"/>
                                    <w:kinsoku/>
                                    <w:wordWrap/>
                                    <w:overflowPunct/>
                                    <w:topLinePunct w:val="0"/>
                                    <w:bidi w:val="0"/>
                                    <w:adjustRightInd/>
                                    <w:snapToGrid/>
                                    <w:spacing w:line="220" w:lineRule="exact"/>
                                    <w:jc w:val="center"/>
                                    <w:textAlignment w:val="auto"/>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lang w:val="en-US" w:eastAsia="zh-CN"/>
                                    </w:rPr>
                                    <w:t>铜、铝、铁、不锈钢等金属混合物</w:t>
                                  </w:r>
                                </w:p>
                              </w:txbxContent>
                            </wps:txbx>
                            <wps:bodyPr upright="1"/>
                          </wps:wsp>
                        </a:graphicData>
                      </a:graphic>
                    </wp:anchor>
                  </w:drawing>
                </mc:Choice>
                <mc:Fallback>
                  <w:pict>
                    <v:shape id="_x0000_s1026" o:spid="_x0000_s1026" o:spt="202" type="#_x0000_t202" style="position:absolute;left:0pt;margin-left:132.25pt;margin-top:1.25pt;height:30.1pt;width:88.85pt;z-index:251782144;mso-width-relative:page;mso-height-relative:page;" filled="f" stroked="f" coordsize="21600,21600" o:gfxdata="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">
                      <v:fill on="f" focussize="0,0"/>
                      <v:stroke on="f"/>
                      <v:imagedata o:title=""/>
                      <o:lock v:ext="edit" aspectratio="f"/>
                      <v:textbox>
                        <w:txbxContent>
                          <w:p w14:paraId="277791D4">
                            <w:pPr>
                              <w:keepNext w:val="0"/>
                              <w:keepLines w:val="0"/>
                              <w:pageBreakBefore w:val="0"/>
                              <w:widowControl w:val="0"/>
                              <w:kinsoku/>
                              <w:wordWrap/>
                              <w:overflowPunct/>
                              <w:topLinePunct w:val="0"/>
                              <w:bidi w:val="0"/>
                              <w:adjustRightInd/>
                              <w:snapToGrid/>
                              <w:spacing w:line="220" w:lineRule="exact"/>
                              <w:jc w:val="center"/>
                              <w:textAlignment w:val="auto"/>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lang w:val="en-US" w:eastAsia="zh-CN"/>
                              </w:rPr>
                              <w:t>铜、铝、铁、不锈钢等金属混合物</w:t>
                            </w:r>
                          </w:p>
                        </w:txbxContent>
                      </v:textbox>
                    </v:shape>
                  </w:pict>
                </mc:Fallback>
              </mc:AlternateContent>
            </w:r>
            <w:r>
              <w:rPr>
                <w:color w:val="auto"/>
                <w:sz w:val="21"/>
              </w:rPr>
              <mc:AlternateContent>
                <mc:Choice Requires="wps">
                  <w:drawing>
                    <wp:anchor distT="0" distB="0" distL="114300" distR="114300" simplePos="0" relativeHeight="251781120" behindDoc="0" locked="0" layoutInCell="1" allowOverlap="1">
                      <wp:simplePos x="0" y="0"/>
                      <wp:positionH relativeFrom="column">
                        <wp:posOffset>3728085</wp:posOffset>
                      </wp:positionH>
                      <wp:positionV relativeFrom="paragraph">
                        <wp:posOffset>37465</wp:posOffset>
                      </wp:positionV>
                      <wp:extent cx="4445" cy="290830"/>
                      <wp:effectExtent l="45720" t="0" r="64135" b="13970"/>
                      <wp:wrapNone/>
                      <wp:docPr id="21" name="直接连接符 21"/>
                      <wp:cNvGraphicFramePr/>
                      <a:graphic xmlns:a="http://schemas.openxmlformats.org/drawingml/2006/main">
                        <a:graphicData uri="http://schemas.microsoft.com/office/word/2010/wordprocessingShape">
                          <wps:wsp>
                            <wps:cNvCnPr/>
                            <wps:spPr>
                              <a:xfrm>
                                <a:off x="5246370" y="2489200"/>
                                <a:ext cx="4445" cy="290830"/>
                              </a:xfrm>
                              <a:prstGeom prst="line">
                                <a:avLst/>
                              </a:prstGeom>
                              <a:ln w="9525" cap="flat" cmpd="sng">
                                <a:solidFill>
                                  <a:srgbClr val="000000"/>
                                </a:solidFill>
                                <a:prstDash val="solid"/>
                                <a:round/>
                                <a:headEnd type="none" w="med" len="med"/>
                                <a:tailEnd type="arrow" w="med" len="med"/>
                              </a:ln>
                            </wps:spPr>
                            <wps:bodyPr upright="1"/>
                          </wps:wsp>
                        </a:graphicData>
                      </a:graphic>
                    </wp:anchor>
                  </w:drawing>
                </mc:Choice>
                <mc:Fallback>
                  <w:pict>
                    <v:line id="_x0000_s1026" o:spid="_x0000_s1026" o:spt="20" style="position:absolute;left:0pt;margin-left:293.55pt;margin-top:2.95pt;height:22.9pt;width:0.35pt;z-index:251781120;mso-width-relative:page;mso-height-relative:page;" filled="f" stroked="t" coordsize="21600,21600" o:gfxdata="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7qEZadUAAAAIAQAADwAAAAAAAAABACAA&#10;AAAiAAAAZHJzL2Rvd25yZXYueG1sUEsBAhQAFAAAAAgAh07iQBQyjy4QAgAA/wMAAA4AAAAAAAAA&#10;AQAgAAAAJAEAAGRycy9lMm9Eb2MueG1sUEsFBgAAAAAGAAYAWQEAAKYFAAAAAA==&#10;">
                      <v:fill on="f" focussize="0,0"/>
                      <v:stroke color="#000000" joinstyle="round" endarrow="open"/>
                      <v:imagedata o:title=""/>
                      <o:lock v:ext="edit" aspectratio="f"/>
                    </v:line>
                  </w:pict>
                </mc:Fallback>
              </mc:AlternateContent>
            </w:r>
          </w:p>
          <w:p w14:paraId="6F12D5F6">
            <w:pPr>
              <w:pStyle w:val="24"/>
              <w:keepNext w:val="0"/>
              <w:keepLines w:val="0"/>
              <w:pageBreakBefore w:val="0"/>
              <w:widowControl/>
              <w:kinsoku/>
              <w:wordWrap/>
              <w:overflowPunct/>
              <w:topLinePunct w:val="0"/>
              <w:autoSpaceDE/>
              <w:autoSpaceDN/>
              <w:bidi w:val="0"/>
              <w:adjustRightInd w:val="0"/>
              <w:snapToGrid w:val="0"/>
              <w:spacing w:before="0" w:beforeAutospacing="0" w:after="0" w:afterAutospacing="0" w:line="430" w:lineRule="exact"/>
              <w:ind w:firstLine="420" w:firstLineChars="200"/>
              <w:textAlignment w:val="auto"/>
              <w:rPr>
                <w:rFonts w:hint="eastAsia" w:ascii="Times New Roman" w:hAnsi="Times New Roman" w:cs="Times New Roman"/>
                <w:color w:val="auto"/>
                <w:sz w:val="21"/>
                <w:szCs w:val="21"/>
                <w:highlight w:val="none"/>
                <w:lang w:val="en-US" w:eastAsia="zh-CN"/>
              </w:rPr>
            </w:pPr>
            <w:r>
              <w:rPr>
                <w:color w:val="auto"/>
                <w:sz w:val="21"/>
              </w:rPr>
              <mc:AlternateContent>
                <mc:Choice Requires="wps">
                  <w:drawing>
                    <wp:anchor distT="0" distB="0" distL="114300" distR="114300" simplePos="0" relativeHeight="251789312" behindDoc="0" locked="0" layoutInCell="1" allowOverlap="1">
                      <wp:simplePos x="0" y="0"/>
                      <wp:positionH relativeFrom="column">
                        <wp:posOffset>1165225</wp:posOffset>
                      </wp:positionH>
                      <wp:positionV relativeFrom="paragraph">
                        <wp:posOffset>250825</wp:posOffset>
                      </wp:positionV>
                      <wp:extent cx="273685" cy="635"/>
                      <wp:effectExtent l="0" t="48895" r="12065" b="64770"/>
                      <wp:wrapNone/>
                      <wp:docPr id="36" name="直接连接符 36"/>
                      <wp:cNvGraphicFramePr/>
                      <a:graphic xmlns:a="http://schemas.openxmlformats.org/drawingml/2006/main">
                        <a:graphicData uri="http://schemas.microsoft.com/office/word/2010/wordprocessingShape">
                          <wps:wsp>
                            <wps:cNvCnPr/>
                            <wps:spPr>
                              <a:xfrm flipH="1" flipV="1">
                                <a:off x="2683510" y="2975610"/>
                                <a:ext cx="273685" cy="635"/>
                              </a:xfrm>
                              <a:prstGeom prst="line">
                                <a:avLst/>
                              </a:prstGeom>
                              <a:ln w="9525" cap="flat" cmpd="sng">
                                <a:solidFill>
                                  <a:srgbClr val="000000"/>
                                </a:solidFill>
                                <a:prstDash val="solid"/>
                                <a:round/>
                                <a:headEnd type="none" w="med" len="med"/>
                                <a:tailEnd type="arrow" w="med" len="med"/>
                              </a:ln>
                            </wps:spPr>
                            <wps:bodyPr upright="1"/>
                          </wps:wsp>
                        </a:graphicData>
                      </a:graphic>
                    </wp:anchor>
                  </w:drawing>
                </mc:Choice>
                <mc:Fallback>
                  <w:pict>
                    <v:line id="_x0000_s1026" o:spid="_x0000_s1026" o:spt="20" style="position:absolute;left:0pt;flip:x y;margin-left:91.75pt;margin-top:19.75pt;height:0.05pt;width:21.55pt;z-index:251789312;mso-width-relative:page;mso-height-relative:page;" filled="f" stroked="t" coordsize="21600,21600" o:gfxdata="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A+w7Yd2AAAAAkBAAAP&#10;AAAAAAAAAAEAIAAAACIAAABkcnMvZG93bnJldi54bWxQSwECFAAUAAAACACHTuJAWzzTNRgCAAAS&#10;BAAADgAAAAAAAAABACAAAAAnAQAAZHJzL2Uyb0RvYy54bWxQSwUGAAAAAAYABgBZAQAAsQUAAAAA&#10;">
                      <v:fill on="f" focussize="0,0"/>
                      <v:stroke color="#000000" joinstyle="round" endarrow="open"/>
                      <v:imagedata o:title=""/>
                      <o:lock v:ext="edit" aspectratio="f"/>
                    </v:line>
                  </w:pict>
                </mc:Fallback>
              </mc:AlternateContent>
            </w:r>
            <w:r>
              <w:rPr>
                <w:color w:val="auto"/>
                <w:sz w:val="21"/>
              </w:rPr>
              <mc:AlternateContent>
                <mc:Choice Requires="wps">
                  <w:drawing>
                    <wp:anchor distT="0" distB="0" distL="114300" distR="114300" simplePos="0" relativeHeight="251787264" behindDoc="0" locked="0" layoutInCell="1" allowOverlap="1">
                      <wp:simplePos x="0" y="0"/>
                      <wp:positionH relativeFrom="column">
                        <wp:posOffset>1452880</wp:posOffset>
                      </wp:positionH>
                      <wp:positionV relativeFrom="paragraph">
                        <wp:posOffset>113030</wp:posOffset>
                      </wp:positionV>
                      <wp:extent cx="605155" cy="238760"/>
                      <wp:effectExtent l="4445" t="4445" r="19050" b="23495"/>
                      <wp:wrapNone/>
                      <wp:docPr id="28" name="文本框 28"/>
                      <wp:cNvGraphicFramePr/>
                      <a:graphic xmlns:a="http://schemas.openxmlformats.org/drawingml/2006/main">
                        <a:graphicData uri="http://schemas.microsoft.com/office/word/2010/wordprocessingShape">
                          <wps:wsp>
                            <wps:cNvSpPr txBox="1"/>
                            <wps:spPr>
                              <a:xfrm>
                                <a:off x="2971165" y="2837815"/>
                                <a:ext cx="605155" cy="238760"/>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16FF9E1D">
                                  <w:pPr>
                                    <w:keepNext w:val="0"/>
                                    <w:keepLines w:val="0"/>
                                    <w:pageBreakBefore w:val="0"/>
                                    <w:widowControl w:val="0"/>
                                    <w:kinsoku/>
                                    <w:wordWrap/>
                                    <w:overflowPunct/>
                                    <w:topLinePunct w:val="0"/>
                                    <w:bidi w:val="0"/>
                                    <w:adjustRightInd/>
                                    <w:snapToGrid/>
                                    <w:spacing w:line="220" w:lineRule="exact"/>
                                    <w:jc w:val="center"/>
                                    <w:textAlignment w:val="auto"/>
                                    <w:rPr>
                                      <w:rFonts w:hint="default" w:ascii="Times New Roman" w:hAnsi="Times New Roman" w:eastAsia="宋体" w:cs="Times New Roman"/>
                                      <w:sz w:val="18"/>
                                      <w:szCs w:val="18"/>
                                      <w:highlight w:val="none"/>
                                      <w:lang w:val="en-US" w:eastAsia="zh-CN"/>
                                    </w:rPr>
                                  </w:pPr>
                                  <w:r>
                                    <w:rPr>
                                      <w:rFonts w:hint="default" w:ascii="Times New Roman" w:hAnsi="Times New Roman" w:eastAsia="宋体" w:cs="Times New Roman"/>
                                      <w:sz w:val="18"/>
                                      <w:szCs w:val="18"/>
                                      <w:highlight w:val="none"/>
                                      <w:lang w:val="en-US" w:eastAsia="zh-CN"/>
                                    </w:rPr>
                                    <w:t>磁辊</w:t>
                                  </w:r>
                                </w:p>
                              </w:txbxContent>
                            </wps:txbx>
                            <wps:bodyPr upright="1"/>
                          </wps:wsp>
                        </a:graphicData>
                      </a:graphic>
                    </wp:anchor>
                  </w:drawing>
                </mc:Choice>
                <mc:Fallback>
                  <w:pict>
                    <v:shape id="_x0000_s1026" o:spid="_x0000_s1026" o:spt="202" type="#_x0000_t202" style="position:absolute;left:0pt;margin-left:114.4pt;margin-top:8.9pt;height:18.8pt;width:47.65pt;z-index:251787264;mso-width-relative:page;mso-height-relative:page;" fillcolor="#FFFFFF" filled="t" stroked="t" coordsize="21600,21600" o:gfxdata="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BhIsv3ZAAAACQEAAA8A&#10;AAAAAAAAAQAgAAAAIgAAAGRycy9kb3ducmV2LnhtbFBLAQIUABQAAAAIAIdO4kAXeVWZFgIAAEME&#10;AAAOAAAAAAAAAAEAIAAAACgBAABkcnMvZTJvRG9jLnhtbFBLBQYAAAAABgAGAFkBAACwBQAAAAA=&#10;">
                      <v:fill on="t" focussize="0,0"/>
                      <v:stroke color="#000000" joinstyle="miter"/>
                      <v:imagedata o:title=""/>
                      <o:lock v:ext="edit" aspectratio="f"/>
                      <v:textbox>
                        <w:txbxContent>
                          <w:p w14:paraId="16FF9E1D">
                            <w:pPr>
                              <w:keepNext w:val="0"/>
                              <w:keepLines w:val="0"/>
                              <w:pageBreakBefore w:val="0"/>
                              <w:widowControl w:val="0"/>
                              <w:kinsoku/>
                              <w:wordWrap/>
                              <w:overflowPunct/>
                              <w:topLinePunct w:val="0"/>
                              <w:bidi w:val="0"/>
                              <w:adjustRightInd/>
                              <w:snapToGrid/>
                              <w:spacing w:line="220" w:lineRule="exact"/>
                              <w:jc w:val="center"/>
                              <w:textAlignment w:val="auto"/>
                              <w:rPr>
                                <w:rFonts w:hint="default" w:ascii="Times New Roman" w:hAnsi="Times New Roman" w:eastAsia="宋体" w:cs="Times New Roman"/>
                                <w:sz w:val="18"/>
                                <w:szCs w:val="18"/>
                                <w:highlight w:val="none"/>
                                <w:lang w:val="en-US" w:eastAsia="zh-CN"/>
                              </w:rPr>
                            </w:pPr>
                            <w:r>
                              <w:rPr>
                                <w:rFonts w:hint="default" w:ascii="Times New Roman" w:hAnsi="Times New Roman" w:eastAsia="宋体" w:cs="Times New Roman"/>
                                <w:sz w:val="18"/>
                                <w:szCs w:val="18"/>
                                <w:highlight w:val="none"/>
                                <w:lang w:val="en-US" w:eastAsia="zh-CN"/>
                              </w:rPr>
                              <w:t>磁辊</w:t>
                            </w:r>
                          </w:p>
                        </w:txbxContent>
                      </v:textbox>
                    </v:shape>
                  </w:pict>
                </mc:Fallback>
              </mc:AlternateContent>
            </w:r>
            <w:r>
              <w:rPr>
                <w:color w:val="auto"/>
                <w:sz w:val="21"/>
              </w:rPr>
              <mc:AlternateContent>
                <mc:Choice Requires="wps">
                  <w:drawing>
                    <wp:anchor distT="0" distB="0" distL="114300" distR="114300" simplePos="0" relativeHeight="251786240" behindDoc="0" locked="0" layoutInCell="1" allowOverlap="1">
                      <wp:simplePos x="0" y="0"/>
                      <wp:positionH relativeFrom="column">
                        <wp:posOffset>815340</wp:posOffset>
                      </wp:positionH>
                      <wp:positionV relativeFrom="paragraph">
                        <wp:posOffset>125730</wp:posOffset>
                      </wp:positionV>
                      <wp:extent cx="557530" cy="231775"/>
                      <wp:effectExtent l="0" t="0" r="0" b="0"/>
                      <wp:wrapNone/>
                      <wp:docPr id="27" name="文本框 27"/>
                      <wp:cNvGraphicFramePr/>
                      <a:graphic xmlns:a="http://schemas.openxmlformats.org/drawingml/2006/main">
                        <a:graphicData uri="http://schemas.microsoft.com/office/word/2010/wordprocessingShape">
                          <wps:wsp>
                            <wps:cNvSpPr txBox="1"/>
                            <wps:spPr>
                              <a:xfrm>
                                <a:off x="2333625" y="2850515"/>
                                <a:ext cx="557530" cy="231775"/>
                              </a:xfrm>
                              <a:prstGeom prst="rect">
                                <a:avLst/>
                              </a:prstGeom>
                              <a:noFill/>
                              <a:ln>
                                <a:noFill/>
                              </a:ln>
                            </wps:spPr>
                            <wps:txbx>
                              <w:txbxContent>
                                <w:p w14:paraId="6F8D7A50">
                                  <w:pPr>
                                    <w:keepNext w:val="0"/>
                                    <w:keepLines w:val="0"/>
                                    <w:pageBreakBefore w:val="0"/>
                                    <w:widowControl w:val="0"/>
                                    <w:kinsoku/>
                                    <w:wordWrap/>
                                    <w:overflowPunct/>
                                    <w:topLinePunct w:val="0"/>
                                    <w:bidi w:val="0"/>
                                    <w:adjustRightInd/>
                                    <w:snapToGrid/>
                                    <w:spacing w:line="220" w:lineRule="exact"/>
                                    <w:jc w:val="both"/>
                                    <w:textAlignment w:val="auto"/>
                                    <w:rPr>
                                      <w:rFonts w:hint="default" w:ascii="Times New Roman" w:hAnsi="Times New Roman" w:eastAsia="宋体" w:cs="Times New Roman"/>
                                      <w:sz w:val="18"/>
                                      <w:szCs w:val="18"/>
                                      <w:lang w:val="en-US" w:eastAsia="zh-CN"/>
                                    </w:rPr>
                                  </w:pPr>
                                  <w:r>
                                    <w:rPr>
                                      <w:rFonts w:hint="default" w:ascii="Times New Roman" w:hAnsi="Times New Roman" w:eastAsia="宋体" w:cs="Times New Roman"/>
                                      <w:b/>
                                      <w:bCs/>
                                      <w:sz w:val="18"/>
                                      <w:szCs w:val="18"/>
                                      <w:lang w:val="en-US" w:eastAsia="zh-CN"/>
                                    </w:rPr>
                                    <w:t>铁料</w:t>
                                  </w:r>
                                </w:p>
                              </w:txbxContent>
                            </wps:txbx>
                            <wps:bodyPr upright="1"/>
                          </wps:wsp>
                        </a:graphicData>
                      </a:graphic>
                    </wp:anchor>
                  </w:drawing>
                </mc:Choice>
                <mc:Fallback>
                  <w:pict>
                    <v:shape id="_x0000_s1026" o:spid="_x0000_s1026" o:spt="202" type="#_x0000_t202" style="position:absolute;left:0pt;margin-left:64.2pt;margin-top:9.9pt;height:18.25pt;width:43.9pt;z-index:251786240;mso-width-relative:page;mso-height-relative:page;" filled="f" stroked="f" coordsize="21600,21600" o:gfxdata="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Bhc+UrWAAAACQEAAA8AAAAAAAAAAQAgAAAAIgAAAGRycy9kb3ducmV2LnhtbFBLAQIUABQA&#10;AAAIAIdO4kDpDHDXuQEAAFsDAAAOAAAAAAAAAAEAIAAAACUBAABkcnMvZTJvRG9jLnhtbFBLBQYA&#10;AAAABgAGAFkBAABQBQAAAAA=&#10;">
                      <v:fill on="f" focussize="0,0"/>
                      <v:stroke on="f"/>
                      <v:imagedata o:title=""/>
                      <o:lock v:ext="edit" aspectratio="f"/>
                      <v:textbox>
                        <w:txbxContent>
                          <w:p w14:paraId="6F8D7A50">
                            <w:pPr>
                              <w:keepNext w:val="0"/>
                              <w:keepLines w:val="0"/>
                              <w:pageBreakBefore w:val="0"/>
                              <w:widowControl w:val="0"/>
                              <w:kinsoku/>
                              <w:wordWrap/>
                              <w:overflowPunct/>
                              <w:topLinePunct w:val="0"/>
                              <w:bidi w:val="0"/>
                              <w:adjustRightInd/>
                              <w:snapToGrid/>
                              <w:spacing w:line="220" w:lineRule="exact"/>
                              <w:jc w:val="both"/>
                              <w:textAlignment w:val="auto"/>
                              <w:rPr>
                                <w:rFonts w:hint="default" w:ascii="Times New Roman" w:hAnsi="Times New Roman" w:eastAsia="宋体" w:cs="Times New Roman"/>
                                <w:sz w:val="18"/>
                                <w:szCs w:val="18"/>
                                <w:lang w:val="en-US" w:eastAsia="zh-CN"/>
                              </w:rPr>
                            </w:pPr>
                            <w:r>
                              <w:rPr>
                                <w:rFonts w:hint="default" w:ascii="Times New Roman" w:hAnsi="Times New Roman" w:eastAsia="宋体" w:cs="Times New Roman"/>
                                <w:b/>
                                <w:bCs/>
                                <w:sz w:val="18"/>
                                <w:szCs w:val="18"/>
                                <w:lang w:val="en-US" w:eastAsia="zh-CN"/>
                              </w:rPr>
                              <w:t>铁料</w:t>
                            </w:r>
                          </w:p>
                        </w:txbxContent>
                      </v:textbox>
                    </v:shape>
                  </w:pict>
                </mc:Fallback>
              </mc:AlternateContent>
            </w:r>
            <w:r>
              <w:rPr>
                <w:color w:val="auto"/>
                <w:sz w:val="21"/>
              </w:rPr>
              <mc:AlternateContent>
                <mc:Choice Requires="wps">
                  <w:drawing>
                    <wp:anchor distT="0" distB="0" distL="114300" distR="114300" simplePos="0" relativeHeight="251785216" behindDoc="0" locked="0" layoutInCell="1" allowOverlap="1">
                      <wp:simplePos x="0" y="0"/>
                      <wp:positionH relativeFrom="column">
                        <wp:posOffset>3377565</wp:posOffset>
                      </wp:positionH>
                      <wp:positionV relativeFrom="paragraph">
                        <wp:posOffset>16510</wp:posOffset>
                      </wp:positionV>
                      <wp:extent cx="756920" cy="288290"/>
                      <wp:effectExtent l="0" t="0" r="0" b="0"/>
                      <wp:wrapNone/>
                      <wp:docPr id="25" name="文本框 25"/>
                      <wp:cNvGraphicFramePr/>
                      <a:graphic xmlns:a="http://schemas.openxmlformats.org/drawingml/2006/main">
                        <a:graphicData uri="http://schemas.microsoft.com/office/word/2010/wordprocessingShape">
                          <wps:wsp>
                            <wps:cNvSpPr txBox="1"/>
                            <wps:spPr>
                              <a:xfrm>
                                <a:off x="4895850" y="2741295"/>
                                <a:ext cx="756920" cy="288290"/>
                              </a:xfrm>
                              <a:prstGeom prst="rect">
                                <a:avLst/>
                              </a:prstGeom>
                              <a:noFill/>
                              <a:ln>
                                <a:noFill/>
                              </a:ln>
                            </wps:spPr>
                            <wps:txbx>
                              <w:txbxContent>
                                <w:p w14:paraId="467B76F6">
                                  <w:pPr>
                                    <w:keepNext w:val="0"/>
                                    <w:keepLines w:val="0"/>
                                    <w:pageBreakBefore w:val="0"/>
                                    <w:widowControl w:val="0"/>
                                    <w:kinsoku/>
                                    <w:wordWrap/>
                                    <w:overflowPunct/>
                                    <w:topLinePunct w:val="0"/>
                                    <w:bidi w:val="0"/>
                                    <w:adjustRightInd/>
                                    <w:snapToGrid/>
                                    <w:spacing w:line="220" w:lineRule="exact"/>
                                    <w:jc w:val="center"/>
                                    <w:textAlignment w:val="auto"/>
                                    <w:rPr>
                                      <w:rFonts w:hint="default" w:ascii="Times New Roman" w:hAnsi="Times New Roman" w:eastAsia="宋体" w:cs="Times New Roman"/>
                                      <w:sz w:val="18"/>
                                      <w:szCs w:val="18"/>
                                      <w:lang w:val="en-US" w:eastAsia="zh-CN"/>
                                    </w:rPr>
                                  </w:pPr>
                                  <w:r>
                                    <w:rPr>
                                      <w:rFonts w:hint="default" w:ascii="Times New Roman" w:hAnsi="Times New Roman" w:eastAsia="宋体" w:cs="Times New Roman"/>
                                      <w:b/>
                                      <w:bCs/>
                                      <w:sz w:val="18"/>
                                      <w:szCs w:val="18"/>
                                      <w:lang w:val="en-US" w:eastAsia="zh-CN"/>
                                    </w:rPr>
                                    <w:t>铁粉</w:t>
                                  </w:r>
                                </w:p>
                              </w:txbxContent>
                            </wps:txbx>
                            <wps:bodyPr upright="1"/>
                          </wps:wsp>
                        </a:graphicData>
                      </a:graphic>
                    </wp:anchor>
                  </w:drawing>
                </mc:Choice>
                <mc:Fallback>
                  <w:pict>
                    <v:shape id="_x0000_s1026" o:spid="_x0000_s1026" o:spt="202" type="#_x0000_t202" style="position:absolute;left:0pt;margin-left:265.95pt;margin-top:1.3pt;height:22.7pt;width:59.6pt;z-index:251785216;mso-width-relative:page;mso-height-relative:page;" filled="f" stroked="f" coordsize="21600,21600" o:gfxdata="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">
                      <v:fill on="f" focussize="0,0"/>
                      <v:stroke on="f"/>
                      <v:imagedata o:title=""/>
                      <o:lock v:ext="edit" aspectratio="f"/>
                      <v:textbox>
                        <w:txbxContent>
                          <w:p w14:paraId="467B76F6">
                            <w:pPr>
                              <w:keepNext w:val="0"/>
                              <w:keepLines w:val="0"/>
                              <w:pageBreakBefore w:val="0"/>
                              <w:widowControl w:val="0"/>
                              <w:kinsoku/>
                              <w:wordWrap/>
                              <w:overflowPunct/>
                              <w:topLinePunct w:val="0"/>
                              <w:bidi w:val="0"/>
                              <w:adjustRightInd/>
                              <w:snapToGrid/>
                              <w:spacing w:line="220" w:lineRule="exact"/>
                              <w:jc w:val="center"/>
                              <w:textAlignment w:val="auto"/>
                              <w:rPr>
                                <w:rFonts w:hint="default" w:ascii="Times New Roman" w:hAnsi="Times New Roman" w:eastAsia="宋体" w:cs="Times New Roman"/>
                                <w:sz w:val="18"/>
                                <w:szCs w:val="18"/>
                                <w:lang w:val="en-US" w:eastAsia="zh-CN"/>
                              </w:rPr>
                            </w:pPr>
                            <w:r>
                              <w:rPr>
                                <w:rFonts w:hint="default" w:ascii="Times New Roman" w:hAnsi="Times New Roman" w:eastAsia="宋体" w:cs="Times New Roman"/>
                                <w:b/>
                                <w:bCs/>
                                <w:sz w:val="18"/>
                                <w:szCs w:val="18"/>
                                <w:lang w:val="en-US" w:eastAsia="zh-CN"/>
                              </w:rPr>
                              <w:t>铁粉</w:t>
                            </w:r>
                          </w:p>
                        </w:txbxContent>
                      </v:textbox>
                    </v:shape>
                  </w:pict>
                </mc:Fallback>
              </mc:AlternateContent>
            </w:r>
          </w:p>
          <w:p w14:paraId="7B442233">
            <w:pPr>
              <w:pStyle w:val="24"/>
              <w:keepNext w:val="0"/>
              <w:keepLines w:val="0"/>
              <w:pageBreakBefore w:val="0"/>
              <w:widowControl/>
              <w:kinsoku/>
              <w:wordWrap/>
              <w:overflowPunct/>
              <w:topLinePunct w:val="0"/>
              <w:autoSpaceDE/>
              <w:autoSpaceDN/>
              <w:bidi w:val="0"/>
              <w:adjustRightInd w:val="0"/>
              <w:snapToGrid w:val="0"/>
              <w:spacing w:before="0" w:beforeAutospacing="0" w:after="0" w:afterAutospacing="0" w:line="430" w:lineRule="exact"/>
              <w:ind w:firstLine="420" w:firstLineChars="200"/>
              <w:textAlignment w:val="auto"/>
              <w:rPr>
                <w:rFonts w:hint="eastAsia" w:ascii="Times New Roman" w:hAnsi="Times New Roman" w:cs="Times New Roman"/>
                <w:color w:val="auto"/>
                <w:sz w:val="21"/>
                <w:szCs w:val="21"/>
                <w:highlight w:val="none"/>
                <w:lang w:val="en-US" w:eastAsia="zh-CN"/>
              </w:rPr>
            </w:pPr>
            <w:r>
              <w:rPr>
                <w:color w:val="auto"/>
                <w:sz w:val="21"/>
              </w:rPr>
              <mc:AlternateContent>
                <mc:Choice Requires="wps">
                  <w:drawing>
                    <wp:anchor distT="0" distB="0" distL="114300" distR="114300" simplePos="0" relativeHeight="251794432" behindDoc="0" locked="0" layoutInCell="1" allowOverlap="1">
                      <wp:simplePos x="0" y="0"/>
                      <wp:positionH relativeFrom="column">
                        <wp:posOffset>1828165</wp:posOffset>
                      </wp:positionH>
                      <wp:positionV relativeFrom="paragraph">
                        <wp:posOffset>37465</wp:posOffset>
                      </wp:positionV>
                      <wp:extent cx="254000" cy="213360"/>
                      <wp:effectExtent l="0" t="0" r="0" b="0"/>
                      <wp:wrapNone/>
                      <wp:docPr id="64" name="矩形 49"/>
                      <wp:cNvGraphicFramePr/>
                      <a:graphic xmlns:a="http://schemas.openxmlformats.org/drawingml/2006/main">
                        <a:graphicData uri="http://schemas.microsoft.com/office/word/2010/wordprocessingShape">
                          <wps:wsp>
                            <wps:cNvSpPr/>
                            <wps:spPr>
                              <a:xfrm>
                                <a:off x="3346450" y="3105150"/>
                                <a:ext cx="254000" cy="213360"/>
                              </a:xfrm>
                              <a:prstGeom prst="rect">
                                <a:avLst/>
                              </a:prstGeom>
                              <a:noFill/>
                              <a:ln>
                                <a:noFill/>
                              </a:ln>
                            </wps:spPr>
                            <wps:txbx>
                              <w:txbxContent>
                                <w:p w14:paraId="079686FB">
                                  <w:pPr>
                                    <w:spacing w:line="0" w:lineRule="atLeast"/>
                                    <w:jc w:val="center"/>
                                    <w:rPr>
                                      <w:rFonts w:hint="default" w:eastAsia="宋体"/>
                                      <w:sz w:val="15"/>
                                      <w:szCs w:val="15"/>
                                      <w:lang w:val="en-US" w:eastAsia="zh-CN"/>
                                    </w:rPr>
                                  </w:pPr>
                                  <w:r>
                                    <w:rPr>
                                      <w:rFonts w:hint="eastAsia"/>
                                      <w:sz w:val="15"/>
                                      <w:szCs w:val="15"/>
                                    </w:rPr>
                                    <w:t>N</w:t>
                                  </w:r>
                                </w:p>
                              </w:txbxContent>
                            </wps:txbx>
                            <wps:bodyPr wrap="square" upright="1">
                              <a:noAutofit/>
                            </wps:bodyPr>
                          </wps:wsp>
                        </a:graphicData>
                      </a:graphic>
                    </wp:anchor>
                  </w:drawing>
                </mc:Choice>
                <mc:Fallback>
                  <w:pict>
                    <v:rect id="矩形 49" o:spid="_x0000_s1026" o:spt="1" style="position:absolute;left:0pt;margin-left:143.95pt;margin-top:2.95pt;height:16.8pt;width:20pt;z-index:251794432;mso-width-relative:page;mso-height-relative:page;" filled="f" stroked="f" coordsize="21600,21600" o:gfxdata="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">
                      <v:fill on="f" focussize="0,0"/>
                      <v:stroke on="f"/>
                      <v:imagedata o:title=""/>
                      <o:lock v:ext="edit" aspectratio="f"/>
                      <v:textbox>
                        <w:txbxContent>
                          <w:p w14:paraId="079686FB">
                            <w:pPr>
                              <w:spacing w:line="0" w:lineRule="atLeast"/>
                              <w:jc w:val="center"/>
                              <w:rPr>
                                <w:rFonts w:hint="default" w:eastAsia="宋体"/>
                                <w:sz w:val="15"/>
                                <w:szCs w:val="15"/>
                                <w:lang w:val="en-US" w:eastAsia="zh-CN"/>
                              </w:rPr>
                            </w:pPr>
                            <w:r>
                              <w:rPr>
                                <w:rFonts w:hint="eastAsia"/>
                                <w:sz w:val="15"/>
                                <w:szCs w:val="15"/>
                              </w:rPr>
                              <w:t>N</w:t>
                            </w:r>
                          </w:p>
                        </w:txbxContent>
                      </v:textbox>
                    </v:rect>
                  </w:pict>
                </mc:Fallback>
              </mc:AlternateContent>
            </w:r>
            <w:r>
              <w:rPr>
                <w:color w:val="auto"/>
                <w:sz w:val="21"/>
              </w:rPr>
              <mc:AlternateContent>
                <mc:Choice Requires="wpg">
                  <w:drawing>
                    <wp:anchor distT="0" distB="0" distL="114300" distR="114300" simplePos="0" relativeHeight="251803648" behindDoc="0" locked="0" layoutInCell="1" allowOverlap="1">
                      <wp:simplePos x="0" y="0"/>
                      <wp:positionH relativeFrom="column">
                        <wp:posOffset>-40640</wp:posOffset>
                      </wp:positionH>
                      <wp:positionV relativeFrom="paragraph">
                        <wp:posOffset>187325</wp:posOffset>
                      </wp:positionV>
                      <wp:extent cx="4505960" cy="2044065"/>
                      <wp:effectExtent l="0" t="0" r="0" b="13335"/>
                      <wp:wrapNone/>
                      <wp:docPr id="155" name="组合 155"/>
                      <wp:cNvGraphicFramePr/>
                      <a:graphic xmlns:a="http://schemas.openxmlformats.org/drawingml/2006/main">
                        <a:graphicData uri="http://schemas.microsoft.com/office/word/2010/wordprocessingGroup">
                          <wpg:wgp>
                            <wpg:cNvGrpSpPr/>
                            <wpg:grpSpPr>
                              <a:xfrm>
                                <a:off x="0" y="0"/>
                                <a:ext cx="4505960" cy="2044065"/>
                                <a:chOff x="5030" y="731182"/>
                                <a:chExt cx="7096" cy="3219"/>
                              </a:xfrm>
                            </wpg:grpSpPr>
                            <wps:wsp>
                              <wps:cNvPr id="37" name="文本框 37"/>
                              <wps:cNvSpPr txBox="1"/>
                              <wps:spPr>
                                <a:xfrm>
                                  <a:off x="6201" y="731410"/>
                                  <a:ext cx="878" cy="365"/>
                                </a:xfrm>
                                <a:prstGeom prst="rect">
                                  <a:avLst/>
                                </a:prstGeom>
                                <a:noFill/>
                                <a:ln>
                                  <a:noFill/>
                                </a:ln>
                              </wps:spPr>
                              <wps:txbx>
                                <w:txbxContent>
                                  <w:p w14:paraId="0ED6A8E8">
                                    <w:pPr>
                                      <w:keepNext w:val="0"/>
                                      <w:keepLines w:val="0"/>
                                      <w:pageBreakBefore w:val="0"/>
                                      <w:widowControl w:val="0"/>
                                      <w:kinsoku/>
                                      <w:wordWrap/>
                                      <w:overflowPunct/>
                                      <w:topLinePunct w:val="0"/>
                                      <w:bidi w:val="0"/>
                                      <w:adjustRightInd/>
                                      <w:snapToGrid/>
                                      <w:spacing w:line="220" w:lineRule="exact"/>
                                      <w:jc w:val="both"/>
                                      <w:textAlignment w:val="auto"/>
                                      <w:rPr>
                                        <w:rFonts w:hint="default" w:ascii="Times New Roman" w:hAnsi="Times New Roman" w:eastAsia="宋体" w:cs="Times New Roman"/>
                                        <w:sz w:val="18"/>
                                        <w:szCs w:val="18"/>
                                        <w:lang w:val="en-US" w:eastAsia="zh-CN"/>
                                      </w:rPr>
                                    </w:pPr>
                                    <w:r>
                                      <w:rPr>
                                        <w:rFonts w:hint="default" w:ascii="Times New Roman" w:hAnsi="Times New Roman" w:eastAsia="宋体" w:cs="Times New Roman"/>
                                        <w:b/>
                                        <w:bCs/>
                                        <w:sz w:val="18"/>
                                        <w:szCs w:val="18"/>
                                        <w:lang w:val="en-US" w:eastAsia="zh-CN"/>
                                      </w:rPr>
                                      <w:t>不锈钢</w:t>
                                    </w:r>
                                  </w:p>
                                </w:txbxContent>
                              </wps:txbx>
                              <wps:bodyPr upright="1"/>
                            </wps:wsp>
                            <wps:wsp>
                              <wps:cNvPr id="38" name="文本框 38"/>
                              <wps:cNvSpPr txBox="1"/>
                              <wps:spPr>
                                <a:xfrm>
                                  <a:off x="7370" y="731411"/>
                                  <a:ext cx="953" cy="376"/>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099AB19E">
                                    <w:pPr>
                                      <w:keepNext w:val="0"/>
                                      <w:keepLines w:val="0"/>
                                      <w:pageBreakBefore w:val="0"/>
                                      <w:widowControl w:val="0"/>
                                      <w:kinsoku/>
                                      <w:wordWrap/>
                                      <w:overflowPunct/>
                                      <w:topLinePunct w:val="0"/>
                                      <w:bidi w:val="0"/>
                                      <w:adjustRightInd/>
                                      <w:snapToGrid/>
                                      <w:spacing w:line="220" w:lineRule="exact"/>
                                      <w:jc w:val="center"/>
                                      <w:textAlignment w:val="auto"/>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lang w:val="en-US" w:eastAsia="zh-CN"/>
                                      </w:rPr>
                                      <w:t>分钢机</w:t>
                                    </w:r>
                                  </w:p>
                                </w:txbxContent>
                              </wps:txbx>
                              <wps:bodyPr upright="1"/>
                            </wps:wsp>
                            <wps:wsp>
                              <wps:cNvPr id="39" name="直接连接符 39"/>
                              <wps:cNvCnPr/>
                              <wps:spPr>
                                <a:xfrm flipH="1" flipV="1">
                                  <a:off x="6930" y="731605"/>
                                  <a:ext cx="431" cy="1"/>
                                </a:xfrm>
                                <a:prstGeom prst="line">
                                  <a:avLst/>
                                </a:prstGeom>
                                <a:ln w="9525" cap="flat" cmpd="sng">
                                  <a:solidFill>
                                    <a:srgbClr val="000000"/>
                                  </a:solidFill>
                                  <a:prstDash val="solid"/>
                                  <a:round/>
                                  <a:headEnd type="none" w="med" len="med"/>
                                  <a:tailEnd type="arrow" w="med" len="med"/>
                                </a:ln>
                              </wps:spPr>
                              <wps:bodyPr upright="1"/>
                            </wps:wsp>
                            <wps:wsp>
                              <wps:cNvPr id="40" name="直接连接符 40"/>
                              <wps:cNvCnPr/>
                              <wps:spPr>
                                <a:xfrm flipH="1">
                                  <a:off x="7850" y="731785"/>
                                  <a:ext cx="1" cy="397"/>
                                </a:xfrm>
                                <a:prstGeom prst="line">
                                  <a:avLst/>
                                </a:prstGeom>
                                <a:ln w="9525" cap="flat" cmpd="sng">
                                  <a:solidFill>
                                    <a:srgbClr val="000000"/>
                                  </a:solidFill>
                                  <a:prstDash val="solid"/>
                                  <a:round/>
                                  <a:headEnd type="none" w="med" len="med"/>
                                  <a:tailEnd type="arrow" w="med" len="med"/>
                                </a:ln>
                              </wps:spPr>
                              <wps:bodyPr upright="1"/>
                            </wps:wsp>
                            <wps:wsp>
                              <wps:cNvPr id="55" name="直接箭头连接符 50"/>
                              <wps:cNvCnPr/>
                              <wps:spPr>
                                <a:xfrm flipH="1" flipV="1">
                                  <a:off x="8172" y="731182"/>
                                  <a:ext cx="1" cy="227"/>
                                </a:xfrm>
                                <a:prstGeom prst="straightConnector1">
                                  <a:avLst/>
                                </a:prstGeom>
                                <a:ln w="9525" cap="flat" cmpd="sng">
                                  <a:solidFill>
                                    <a:srgbClr val="000000"/>
                                  </a:solidFill>
                                  <a:prstDash val="dash"/>
                                  <a:headEnd type="none" w="med" len="med"/>
                                  <a:tailEnd type="arrow" w="sm" len="sm"/>
                                </a:ln>
                              </wps:spPr>
                              <wps:bodyPr/>
                            </wps:wsp>
                            <wps:wsp>
                              <wps:cNvPr id="63" name="矩形 49"/>
                              <wps:cNvSpPr/>
                              <wps:spPr>
                                <a:xfrm>
                                  <a:off x="8036" y="731710"/>
                                  <a:ext cx="468" cy="336"/>
                                </a:xfrm>
                                <a:prstGeom prst="rect">
                                  <a:avLst/>
                                </a:prstGeom>
                                <a:noFill/>
                                <a:ln>
                                  <a:noFill/>
                                </a:ln>
                              </wps:spPr>
                              <wps:txbx>
                                <w:txbxContent>
                                  <w:p w14:paraId="1C7825D9">
                                    <w:pPr>
                                      <w:spacing w:line="0" w:lineRule="atLeast"/>
                                      <w:jc w:val="center"/>
                                      <w:rPr>
                                        <w:rFonts w:hint="default" w:eastAsia="宋体"/>
                                        <w:sz w:val="15"/>
                                        <w:szCs w:val="15"/>
                                        <w:lang w:val="en-US" w:eastAsia="zh-CN"/>
                                      </w:rPr>
                                    </w:pPr>
                                    <w:r>
                                      <w:rPr>
                                        <w:rFonts w:hint="eastAsia"/>
                                        <w:sz w:val="15"/>
                                        <w:szCs w:val="15"/>
                                      </w:rPr>
                                      <w:t>N</w:t>
                                    </w:r>
                                  </w:p>
                                </w:txbxContent>
                              </wps:txbx>
                              <wps:bodyPr wrap="square" upright="1">
                                <a:noAutofit/>
                              </wps:bodyPr>
                            </wps:wsp>
                            <wpg:grpSp>
                              <wpg:cNvPr id="136" name="组合 136"/>
                              <wpg:cNvGrpSpPr/>
                              <wpg:grpSpPr>
                                <a:xfrm>
                                  <a:off x="5030" y="731933"/>
                                  <a:ext cx="7097" cy="2468"/>
                                  <a:chOff x="5030" y="732046"/>
                                  <a:chExt cx="7097" cy="2468"/>
                                </a:xfrm>
                              </wpg:grpSpPr>
                              <wps:wsp>
                                <wps:cNvPr id="42" name="文本框 42"/>
                                <wps:cNvSpPr txBox="1"/>
                                <wps:spPr>
                                  <a:xfrm>
                                    <a:off x="7738" y="732619"/>
                                    <a:ext cx="1860" cy="365"/>
                                  </a:xfrm>
                                  <a:prstGeom prst="rect">
                                    <a:avLst/>
                                  </a:prstGeom>
                                  <a:noFill/>
                                  <a:ln>
                                    <a:noFill/>
                                  </a:ln>
                                </wps:spPr>
                                <wps:txbx>
                                  <w:txbxContent>
                                    <w:p w14:paraId="17DE56E7">
                                      <w:pPr>
                                        <w:keepNext w:val="0"/>
                                        <w:keepLines w:val="0"/>
                                        <w:pageBreakBefore w:val="0"/>
                                        <w:widowControl w:val="0"/>
                                        <w:kinsoku/>
                                        <w:wordWrap/>
                                        <w:overflowPunct/>
                                        <w:topLinePunct w:val="0"/>
                                        <w:bidi w:val="0"/>
                                        <w:adjustRightInd/>
                                        <w:snapToGrid/>
                                        <w:spacing w:line="240" w:lineRule="exact"/>
                                        <w:jc w:val="center"/>
                                        <w:textAlignment w:val="auto"/>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lang w:val="en-US" w:eastAsia="zh-CN"/>
                                        </w:rPr>
                                        <w:t>工业盐、水、双飞粉</w:t>
                                      </w:r>
                                    </w:p>
                                  </w:txbxContent>
                                </wps:txbx>
                                <wps:bodyPr upright="1"/>
                              </wps:wsp>
                              <wps:wsp>
                                <wps:cNvPr id="43" name="直接连接符 43"/>
                                <wps:cNvCnPr/>
                                <wps:spPr>
                                  <a:xfrm>
                                    <a:off x="8193" y="732950"/>
                                    <a:ext cx="1" cy="283"/>
                                  </a:xfrm>
                                  <a:prstGeom prst="line">
                                    <a:avLst/>
                                  </a:prstGeom>
                                  <a:ln w="9525" cap="flat" cmpd="sng">
                                    <a:solidFill>
                                      <a:srgbClr val="000000"/>
                                    </a:solidFill>
                                    <a:prstDash val="solid"/>
                                    <a:round/>
                                    <a:headEnd type="none" w="med" len="med"/>
                                    <a:tailEnd type="arrow" w="med" len="med"/>
                                  </a:ln>
                                </wps:spPr>
                                <wps:bodyPr upright="1"/>
                              </wps:wsp>
                              <wps:wsp>
                                <wps:cNvPr id="45" name="文本框 45"/>
                                <wps:cNvSpPr txBox="1"/>
                                <wps:spPr>
                                  <a:xfrm>
                                    <a:off x="8651" y="734088"/>
                                    <a:ext cx="1030" cy="427"/>
                                  </a:xfrm>
                                  <a:prstGeom prst="rect">
                                    <a:avLst/>
                                  </a:prstGeom>
                                  <a:noFill/>
                                  <a:ln>
                                    <a:noFill/>
                                  </a:ln>
                                </wps:spPr>
                                <wps:txbx>
                                  <w:txbxContent>
                                    <w:p w14:paraId="01C9CD59">
                                      <w:pPr>
                                        <w:jc w:val="both"/>
                                        <w:rPr>
                                          <w:rFonts w:hint="default" w:ascii="Times New Roman" w:hAnsi="Times New Roman" w:eastAsia="宋体" w:cs="Times New Roman"/>
                                          <w:b/>
                                          <w:bCs/>
                                          <w:sz w:val="18"/>
                                          <w:szCs w:val="18"/>
                                          <w:lang w:val="en-US" w:eastAsia="zh-CN"/>
                                        </w:rPr>
                                      </w:pPr>
                                      <w:r>
                                        <w:rPr>
                                          <w:rFonts w:hint="default" w:ascii="Times New Roman" w:hAnsi="Times New Roman" w:eastAsia="宋体" w:cs="Times New Roman"/>
                                          <w:b/>
                                          <w:bCs/>
                                          <w:sz w:val="18"/>
                                          <w:szCs w:val="18"/>
                                          <w:lang w:val="en-US" w:eastAsia="zh-CN"/>
                                        </w:rPr>
                                        <w:t>沉水塑料</w:t>
                                      </w:r>
                                    </w:p>
                                  </w:txbxContent>
                                </wps:txbx>
                                <wps:bodyPr upright="1"/>
                              </wps:wsp>
                              <wps:wsp>
                                <wps:cNvPr id="46" name="文本框 46"/>
                                <wps:cNvSpPr txBox="1"/>
                                <wps:spPr>
                                  <a:xfrm>
                                    <a:off x="7172" y="732282"/>
                                    <a:ext cx="1427" cy="432"/>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2340AAA1">
                                      <w:pPr>
                                        <w:keepNext w:val="0"/>
                                        <w:keepLines w:val="0"/>
                                        <w:pageBreakBefore w:val="0"/>
                                        <w:widowControl w:val="0"/>
                                        <w:kinsoku/>
                                        <w:wordWrap/>
                                        <w:overflowPunct/>
                                        <w:topLinePunct w:val="0"/>
                                        <w:bidi w:val="0"/>
                                        <w:adjustRightInd/>
                                        <w:snapToGrid/>
                                        <w:spacing w:line="240" w:lineRule="exact"/>
                                        <w:jc w:val="center"/>
                                        <w:textAlignment w:val="auto"/>
                                        <w:rPr>
                                          <w:rFonts w:hint="default" w:ascii="Times New Roman" w:hAnsi="Times New Roman" w:eastAsia="宋体" w:cs="Times New Roman"/>
                                          <w:sz w:val="18"/>
                                          <w:szCs w:val="18"/>
                                          <w:highlight w:val="none"/>
                                          <w:lang w:val="en-US" w:eastAsia="zh-CN"/>
                                        </w:rPr>
                                      </w:pPr>
                                      <w:r>
                                        <w:rPr>
                                          <w:rFonts w:hint="default" w:ascii="Times New Roman" w:hAnsi="Times New Roman" w:eastAsia="宋体" w:cs="Times New Roman"/>
                                          <w:sz w:val="18"/>
                                          <w:szCs w:val="18"/>
                                          <w:highlight w:val="none"/>
                                          <w:lang w:val="en-US" w:eastAsia="zh-CN"/>
                                        </w:rPr>
                                        <w:t>涡电流分选机</w:t>
                                      </w:r>
                                    </w:p>
                                  </w:txbxContent>
                                </wps:txbx>
                                <wps:bodyPr upright="1"/>
                              </wps:wsp>
                              <wps:wsp>
                                <wps:cNvPr id="47" name="直接连接符 47"/>
                                <wps:cNvCnPr/>
                                <wps:spPr>
                                  <a:xfrm flipH="1" flipV="1">
                                    <a:off x="6740" y="732507"/>
                                    <a:ext cx="431" cy="1"/>
                                  </a:xfrm>
                                  <a:prstGeom prst="line">
                                    <a:avLst/>
                                  </a:prstGeom>
                                  <a:ln w="9525" cap="flat" cmpd="sng">
                                    <a:solidFill>
                                      <a:srgbClr val="000000"/>
                                    </a:solidFill>
                                    <a:prstDash val="solid"/>
                                    <a:round/>
                                    <a:headEnd type="none" w="med" len="med"/>
                                    <a:tailEnd type="arrow" w="med" len="med"/>
                                  </a:ln>
                                </wps:spPr>
                                <wps:bodyPr upright="1"/>
                              </wps:wsp>
                              <wps:wsp>
                                <wps:cNvPr id="352" name="直接箭头连接符 50"/>
                                <wps:cNvCnPr/>
                                <wps:spPr>
                                  <a:xfrm flipH="1" flipV="1">
                                    <a:off x="7523" y="732989"/>
                                    <a:ext cx="1" cy="227"/>
                                  </a:xfrm>
                                  <a:prstGeom prst="straightConnector1">
                                    <a:avLst/>
                                  </a:prstGeom>
                                  <a:ln w="9525" cap="flat" cmpd="sng">
                                    <a:solidFill>
                                      <a:srgbClr val="000000"/>
                                    </a:solidFill>
                                    <a:prstDash val="dash"/>
                                    <a:headEnd type="none" w="med" len="med"/>
                                    <a:tailEnd type="arrow" w="sm" len="sm"/>
                                  </a:ln>
                                </wps:spPr>
                                <wps:bodyPr/>
                              </wps:wsp>
                              <wps:wsp>
                                <wps:cNvPr id="354" name="矩形 49"/>
                                <wps:cNvSpPr/>
                                <wps:spPr>
                                  <a:xfrm>
                                    <a:off x="7019" y="732731"/>
                                    <a:ext cx="940" cy="336"/>
                                  </a:xfrm>
                                  <a:prstGeom prst="rect">
                                    <a:avLst/>
                                  </a:prstGeom>
                                  <a:noFill/>
                                  <a:ln>
                                    <a:noFill/>
                                  </a:ln>
                                </wps:spPr>
                                <wps:txbx>
                                  <w:txbxContent>
                                    <w:p w14:paraId="45C866A8">
                                      <w:pPr>
                                        <w:spacing w:line="0" w:lineRule="atLeast"/>
                                        <w:jc w:val="center"/>
                                        <w:rPr>
                                          <w:rFonts w:hint="default" w:eastAsia="宋体"/>
                                          <w:sz w:val="15"/>
                                          <w:szCs w:val="15"/>
                                          <w:lang w:val="en-US" w:eastAsia="zh-CN"/>
                                        </w:rPr>
                                      </w:pPr>
                                      <w:r>
                                        <w:rPr>
                                          <w:rFonts w:hint="eastAsia"/>
                                          <w:sz w:val="15"/>
                                          <w:szCs w:val="15"/>
                                          <w:lang w:val="en-US" w:eastAsia="zh-CN"/>
                                        </w:rPr>
                                        <w:t>W、</w:t>
                                      </w:r>
                                      <w:r>
                                        <w:rPr>
                                          <w:rFonts w:hint="eastAsia"/>
                                          <w:sz w:val="15"/>
                                          <w:szCs w:val="15"/>
                                        </w:rPr>
                                        <w:t>N</w:t>
                                      </w:r>
                                      <w:r>
                                        <w:rPr>
                                          <w:rFonts w:hint="eastAsia"/>
                                          <w:sz w:val="15"/>
                                          <w:szCs w:val="15"/>
                                          <w:lang w:eastAsia="zh-CN"/>
                                        </w:rPr>
                                        <w:t>、</w:t>
                                      </w:r>
                                      <w:r>
                                        <w:rPr>
                                          <w:rFonts w:hint="eastAsia"/>
                                          <w:sz w:val="15"/>
                                          <w:szCs w:val="15"/>
                                          <w:lang w:val="en-US" w:eastAsia="zh-CN"/>
                                        </w:rPr>
                                        <w:t>S</w:t>
                                      </w:r>
                                    </w:p>
                                  </w:txbxContent>
                                </wps:txbx>
                                <wps:bodyPr wrap="square" upright="1">
                                  <a:noAutofit/>
                                </wps:bodyPr>
                              </wps:wsp>
                              <wps:wsp>
                                <wps:cNvPr id="54" name="直接箭头连接符 50"/>
                                <wps:cNvCnPr/>
                                <wps:spPr>
                                  <a:xfrm flipH="1" flipV="1">
                                    <a:off x="8283" y="732046"/>
                                    <a:ext cx="1" cy="227"/>
                                  </a:xfrm>
                                  <a:prstGeom prst="straightConnector1">
                                    <a:avLst/>
                                  </a:prstGeom>
                                  <a:ln w="9525" cap="flat" cmpd="sng">
                                    <a:solidFill>
                                      <a:srgbClr val="000000"/>
                                    </a:solidFill>
                                    <a:prstDash val="dash"/>
                                    <a:headEnd type="none" w="med" len="med"/>
                                    <a:tailEnd type="arrow" w="sm" len="sm"/>
                                  </a:ln>
                                </wps:spPr>
                                <wps:bodyPr/>
                              </wps:wsp>
                              <wps:wsp>
                                <wps:cNvPr id="48" name="文本框 48"/>
                                <wps:cNvSpPr txBox="1"/>
                                <wps:spPr>
                                  <a:xfrm>
                                    <a:off x="5030" y="732228"/>
                                    <a:ext cx="1810" cy="679"/>
                                  </a:xfrm>
                                  <a:prstGeom prst="rect">
                                    <a:avLst/>
                                  </a:prstGeom>
                                  <a:noFill/>
                                  <a:ln>
                                    <a:noFill/>
                                  </a:ln>
                                </wps:spPr>
                                <wps:txbx>
                                  <w:txbxContent>
                                    <w:p w14:paraId="666C7655">
                                      <w:pPr>
                                        <w:keepNext w:val="0"/>
                                        <w:keepLines w:val="0"/>
                                        <w:pageBreakBefore w:val="0"/>
                                        <w:widowControl w:val="0"/>
                                        <w:kinsoku/>
                                        <w:wordWrap/>
                                        <w:overflowPunct/>
                                        <w:topLinePunct w:val="0"/>
                                        <w:bidi w:val="0"/>
                                        <w:adjustRightInd/>
                                        <w:snapToGrid/>
                                        <w:spacing w:line="220" w:lineRule="exact"/>
                                        <w:jc w:val="center"/>
                                        <w:textAlignment w:val="auto"/>
                                        <w:rPr>
                                          <w:rFonts w:hint="default" w:ascii="Times New Roman" w:hAnsi="Times New Roman" w:eastAsia="宋体" w:cs="Times New Roman"/>
                                          <w:sz w:val="18"/>
                                          <w:szCs w:val="18"/>
                                          <w:lang w:val="en-US" w:eastAsia="zh-CN"/>
                                        </w:rPr>
                                      </w:pPr>
                                      <w:r>
                                        <w:rPr>
                                          <w:rFonts w:hint="default" w:ascii="Times New Roman" w:hAnsi="Times New Roman" w:eastAsia="宋体" w:cs="Times New Roman"/>
                                          <w:b/>
                                          <w:bCs/>
                                          <w:sz w:val="18"/>
                                          <w:szCs w:val="18"/>
                                          <w:lang w:val="en-US" w:eastAsia="zh-CN"/>
                                        </w:rPr>
                                        <w:t>有色金属混合料（铜铝锌）</w:t>
                                      </w:r>
                                    </w:p>
                                  </w:txbxContent>
                                </wps:txbx>
                                <wps:bodyPr upright="1"/>
                              </wps:wsp>
                              <wps:wsp>
                                <wps:cNvPr id="49" name="直接连接符 49"/>
                                <wps:cNvCnPr/>
                                <wps:spPr>
                                  <a:xfrm flipH="1">
                                    <a:off x="7840" y="732718"/>
                                    <a:ext cx="1" cy="510"/>
                                  </a:xfrm>
                                  <a:prstGeom prst="line">
                                    <a:avLst/>
                                  </a:prstGeom>
                                  <a:ln w="9525" cap="flat" cmpd="sng">
                                    <a:solidFill>
                                      <a:srgbClr val="000000"/>
                                    </a:solidFill>
                                    <a:prstDash val="solid"/>
                                    <a:round/>
                                    <a:headEnd type="none" w="med" len="med"/>
                                    <a:tailEnd type="arrow" w="med" len="med"/>
                                  </a:ln>
                                </wps:spPr>
                                <wps:bodyPr upright="1"/>
                              </wps:wsp>
                              <wps:wsp>
                                <wps:cNvPr id="50" name="文本框 50"/>
                                <wps:cNvSpPr txBox="1"/>
                                <wps:spPr>
                                  <a:xfrm>
                                    <a:off x="7385" y="733219"/>
                                    <a:ext cx="953" cy="376"/>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54F80081">
                                      <w:pPr>
                                        <w:keepNext w:val="0"/>
                                        <w:keepLines w:val="0"/>
                                        <w:pageBreakBefore w:val="0"/>
                                        <w:widowControl w:val="0"/>
                                        <w:kinsoku/>
                                        <w:wordWrap/>
                                        <w:overflowPunct/>
                                        <w:topLinePunct w:val="0"/>
                                        <w:bidi w:val="0"/>
                                        <w:adjustRightInd/>
                                        <w:snapToGrid/>
                                        <w:spacing w:line="220" w:lineRule="exact"/>
                                        <w:jc w:val="center"/>
                                        <w:textAlignment w:val="auto"/>
                                        <w:rPr>
                                          <w:rFonts w:hint="default" w:ascii="Times New Roman" w:hAnsi="Times New Roman" w:eastAsia="宋体" w:cs="Times New Roman"/>
                                          <w:sz w:val="18"/>
                                          <w:szCs w:val="18"/>
                                          <w:highlight w:val="none"/>
                                          <w:lang w:val="en-US" w:eastAsia="zh-CN"/>
                                        </w:rPr>
                                      </w:pPr>
                                      <w:r>
                                        <w:rPr>
                                          <w:rFonts w:hint="default" w:ascii="Times New Roman" w:hAnsi="Times New Roman" w:eastAsia="宋体" w:cs="Times New Roman"/>
                                          <w:sz w:val="18"/>
                                          <w:szCs w:val="18"/>
                                          <w:highlight w:val="none"/>
                                          <w:lang w:val="en-US" w:eastAsia="zh-CN"/>
                                        </w:rPr>
                                        <w:t>高钙机</w:t>
                                      </w:r>
                                    </w:p>
                                  </w:txbxContent>
                                </wps:txbx>
                                <wps:bodyPr upright="1"/>
                              </wps:wsp>
                              <wps:wsp>
                                <wps:cNvPr id="51" name="直接连接符 51"/>
                                <wps:cNvCnPr/>
                                <wps:spPr>
                                  <a:xfrm flipH="1">
                                    <a:off x="7841" y="733609"/>
                                    <a:ext cx="1" cy="510"/>
                                  </a:xfrm>
                                  <a:prstGeom prst="line">
                                    <a:avLst/>
                                  </a:prstGeom>
                                  <a:ln w="9525" cap="flat" cmpd="sng">
                                    <a:solidFill>
                                      <a:srgbClr val="000000"/>
                                    </a:solidFill>
                                    <a:prstDash val="solid"/>
                                    <a:round/>
                                    <a:headEnd type="none" w="med" len="med"/>
                                    <a:tailEnd type="arrow" w="med" len="med"/>
                                  </a:ln>
                                </wps:spPr>
                                <wps:bodyPr upright="1"/>
                              </wps:wsp>
                              <wps:wsp>
                                <wps:cNvPr id="117" name="直接连接符 117"/>
                                <wps:cNvCnPr/>
                                <wps:spPr>
                                  <a:xfrm>
                                    <a:off x="8341" y="733409"/>
                                    <a:ext cx="680" cy="1"/>
                                  </a:xfrm>
                                  <a:prstGeom prst="line">
                                    <a:avLst/>
                                  </a:prstGeom>
                                  <a:ln w="9525" cap="flat" cmpd="sng">
                                    <a:solidFill>
                                      <a:srgbClr val="000000"/>
                                    </a:solidFill>
                                    <a:prstDash val="solid"/>
                                    <a:round/>
                                    <a:headEnd type="none" w="med" len="med"/>
                                    <a:tailEnd type="arrow" w="med" len="med"/>
                                  </a:ln>
                                </wps:spPr>
                                <wps:bodyPr upright="1"/>
                              </wps:wsp>
                              <wps:wsp>
                                <wps:cNvPr id="118" name="文本框 118"/>
                                <wps:cNvSpPr txBox="1"/>
                                <wps:spPr>
                                  <a:xfrm>
                                    <a:off x="9023" y="733222"/>
                                    <a:ext cx="953" cy="376"/>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148C46FA">
                                      <w:pPr>
                                        <w:keepNext w:val="0"/>
                                        <w:keepLines w:val="0"/>
                                        <w:pageBreakBefore w:val="0"/>
                                        <w:widowControl w:val="0"/>
                                        <w:kinsoku/>
                                        <w:wordWrap/>
                                        <w:overflowPunct/>
                                        <w:topLinePunct w:val="0"/>
                                        <w:bidi w:val="0"/>
                                        <w:adjustRightInd/>
                                        <w:snapToGrid/>
                                        <w:spacing w:line="220" w:lineRule="exact"/>
                                        <w:jc w:val="center"/>
                                        <w:textAlignment w:val="auto"/>
                                        <w:rPr>
                                          <w:rFonts w:hint="default" w:ascii="Times New Roman" w:hAnsi="Times New Roman" w:eastAsia="宋体" w:cs="Times New Roman"/>
                                          <w:sz w:val="18"/>
                                          <w:szCs w:val="18"/>
                                          <w:highlight w:val="none"/>
                                          <w:lang w:val="en-US" w:eastAsia="zh-CN"/>
                                        </w:rPr>
                                      </w:pPr>
                                      <w:r>
                                        <w:rPr>
                                          <w:rFonts w:hint="eastAsia" w:cs="Times New Roman"/>
                                          <w:sz w:val="18"/>
                                          <w:szCs w:val="18"/>
                                          <w:highlight w:val="none"/>
                                          <w:lang w:val="en-US" w:eastAsia="zh-CN"/>
                                        </w:rPr>
                                        <w:t>4</w:t>
                                      </w:r>
                                      <w:r>
                                        <w:rPr>
                                          <w:rFonts w:hint="eastAsia" w:cs="Times New Roman"/>
                                          <w:sz w:val="18"/>
                                          <w:szCs w:val="18"/>
                                          <w:highlight w:val="none"/>
                                          <w:vertAlign w:val="superscript"/>
                                          <w:lang w:val="en-US" w:eastAsia="zh-CN"/>
                                        </w:rPr>
                                        <w:t>#</w:t>
                                      </w:r>
                                      <w:r>
                                        <w:rPr>
                                          <w:rFonts w:hint="eastAsia" w:cs="Times New Roman"/>
                                          <w:sz w:val="18"/>
                                          <w:szCs w:val="18"/>
                                          <w:highlight w:val="none"/>
                                          <w:lang w:val="en-US" w:eastAsia="zh-CN"/>
                                        </w:rPr>
                                        <w:t>料池</w:t>
                                      </w:r>
                                    </w:p>
                                  </w:txbxContent>
                                </wps:txbx>
                                <wps:bodyPr upright="1"/>
                              </wps:wsp>
                              <wps:wsp>
                                <wps:cNvPr id="119" name="文本框 119"/>
                                <wps:cNvSpPr txBox="1"/>
                                <wps:spPr>
                                  <a:xfrm>
                                    <a:off x="8289" y="733088"/>
                                    <a:ext cx="657" cy="427"/>
                                  </a:xfrm>
                                  <a:prstGeom prst="rect">
                                    <a:avLst/>
                                  </a:prstGeom>
                                  <a:noFill/>
                                  <a:ln>
                                    <a:noFill/>
                                  </a:ln>
                                </wps:spPr>
                                <wps:txbx>
                                  <w:txbxContent>
                                    <w:p w14:paraId="1BA43F2A">
                                      <w:pPr>
                                        <w:jc w:val="both"/>
                                        <w:rPr>
                                          <w:rFonts w:hint="default" w:ascii="Times New Roman" w:hAnsi="Times New Roman" w:eastAsia="宋体" w:cs="Times New Roman"/>
                                          <w:b w:val="0"/>
                                          <w:bCs w:val="0"/>
                                          <w:sz w:val="18"/>
                                          <w:szCs w:val="18"/>
                                          <w:lang w:val="en-US" w:eastAsia="zh-CN"/>
                                        </w:rPr>
                                      </w:pPr>
                                      <w:r>
                                        <w:rPr>
                                          <w:rFonts w:hint="default" w:ascii="Times New Roman" w:hAnsi="Times New Roman" w:eastAsia="宋体" w:cs="Times New Roman"/>
                                          <w:b w:val="0"/>
                                          <w:bCs w:val="0"/>
                                          <w:sz w:val="18"/>
                                          <w:szCs w:val="18"/>
                                          <w:lang w:val="en-US" w:eastAsia="zh-CN"/>
                                        </w:rPr>
                                        <w:t>橡胶</w:t>
                                      </w:r>
                                    </w:p>
                                  </w:txbxContent>
                                </wps:txbx>
                                <wps:bodyPr upright="1"/>
                              </wps:wsp>
                              <wps:wsp>
                                <wps:cNvPr id="123" name="文本框 123"/>
                                <wps:cNvSpPr txBox="1"/>
                                <wps:spPr>
                                  <a:xfrm>
                                    <a:off x="10569" y="733226"/>
                                    <a:ext cx="1559" cy="427"/>
                                  </a:xfrm>
                                  <a:prstGeom prst="rect">
                                    <a:avLst/>
                                  </a:prstGeom>
                                  <a:noFill/>
                                  <a:ln>
                                    <a:noFill/>
                                  </a:ln>
                                </wps:spPr>
                                <wps:txbx>
                                  <w:txbxContent>
                                    <w:p w14:paraId="54F79767">
                                      <w:pPr>
                                        <w:jc w:val="both"/>
                                        <w:rPr>
                                          <w:rFonts w:hint="default" w:ascii="Times New Roman" w:hAnsi="Times New Roman" w:eastAsia="宋体" w:cs="Times New Roman"/>
                                          <w:b/>
                                          <w:bCs/>
                                          <w:sz w:val="18"/>
                                          <w:szCs w:val="18"/>
                                          <w:lang w:val="en-US" w:eastAsia="zh-CN"/>
                                        </w:rPr>
                                      </w:pPr>
                                      <w:r>
                                        <w:rPr>
                                          <w:rFonts w:hint="default" w:ascii="Times New Roman" w:hAnsi="Times New Roman" w:eastAsia="宋体" w:cs="Times New Roman"/>
                                          <w:b/>
                                          <w:bCs/>
                                          <w:sz w:val="18"/>
                                          <w:szCs w:val="18"/>
                                          <w:lang w:val="en-US" w:eastAsia="zh-CN"/>
                                        </w:rPr>
                                        <w:t>橡胶</w:t>
                                      </w:r>
                                    </w:p>
                                  </w:txbxContent>
                                </wps:txbx>
                                <wps:bodyPr upright="1"/>
                              </wps:wsp>
                              <wps:wsp>
                                <wps:cNvPr id="124" name="直接连接符 124"/>
                                <wps:cNvCnPr/>
                                <wps:spPr>
                                  <a:xfrm>
                                    <a:off x="9991" y="733412"/>
                                    <a:ext cx="680" cy="1"/>
                                  </a:xfrm>
                                  <a:prstGeom prst="line">
                                    <a:avLst/>
                                  </a:prstGeom>
                                  <a:ln w="9525" cap="flat" cmpd="sng">
                                    <a:solidFill>
                                      <a:srgbClr val="000000"/>
                                    </a:solidFill>
                                    <a:prstDash val="solid"/>
                                    <a:round/>
                                    <a:headEnd type="none" w="med" len="med"/>
                                    <a:tailEnd type="arrow" w="med" len="med"/>
                                  </a:ln>
                                </wps:spPr>
                                <wps:bodyPr upright="1"/>
                              </wps:wsp>
                              <wps:wsp>
                                <wps:cNvPr id="125" name="直接箭头连接符 50"/>
                                <wps:cNvCnPr/>
                                <wps:spPr>
                                  <a:xfrm flipH="1" flipV="1">
                                    <a:off x="9694" y="732987"/>
                                    <a:ext cx="1" cy="227"/>
                                  </a:xfrm>
                                  <a:prstGeom prst="straightConnector1">
                                    <a:avLst/>
                                  </a:prstGeom>
                                  <a:ln w="9525" cap="flat" cmpd="sng">
                                    <a:solidFill>
                                      <a:srgbClr val="000000"/>
                                    </a:solidFill>
                                    <a:prstDash val="dash"/>
                                    <a:headEnd type="none" w="med" len="med"/>
                                    <a:tailEnd type="arrow" w="sm" len="sm"/>
                                  </a:ln>
                                </wps:spPr>
                                <wps:bodyPr/>
                              </wps:wsp>
                              <wps:wsp>
                                <wps:cNvPr id="126" name="矩形 49"/>
                                <wps:cNvSpPr/>
                                <wps:spPr>
                                  <a:xfrm>
                                    <a:off x="9471" y="732746"/>
                                    <a:ext cx="445" cy="336"/>
                                  </a:xfrm>
                                  <a:prstGeom prst="rect">
                                    <a:avLst/>
                                  </a:prstGeom>
                                  <a:noFill/>
                                  <a:ln>
                                    <a:noFill/>
                                  </a:ln>
                                </wps:spPr>
                                <wps:txbx>
                                  <w:txbxContent>
                                    <w:p w14:paraId="7173EEF3">
                                      <w:pPr>
                                        <w:spacing w:line="0" w:lineRule="atLeast"/>
                                        <w:jc w:val="center"/>
                                        <w:rPr>
                                          <w:rFonts w:hint="eastAsia" w:eastAsia="宋体"/>
                                          <w:sz w:val="15"/>
                                          <w:szCs w:val="15"/>
                                          <w:lang w:val="en-US" w:eastAsia="zh-CN"/>
                                        </w:rPr>
                                      </w:pPr>
                                      <w:r>
                                        <w:rPr>
                                          <w:rFonts w:hint="eastAsia"/>
                                          <w:sz w:val="15"/>
                                          <w:szCs w:val="15"/>
                                          <w:lang w:val="en-US" w:eastAsia="zh-CN"/>
                                        </w:rPr>
                                        <w:t>W</w:t>
                                      </w:r>
                                    </w:p>
                                  </w:txbxContent>
                                </wps:txbx>
                                <wps:bodyPr wrap="square" upright="1">
                                  <a:noAutofit/>
                                </wps:bodyPr>
                              </wps:wsp>
                              <wps:wsp>
                                <wps:cNvPr id="127" name="文本框 127"/>
                                <wps:cNvSpPr txBox="1"/>
                                <wps:spPr>
                                  <a:xfrm>
                                    <a:off x="7400" y="734102"/>
                                    <a:ext cx="953" cy="376"/>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0DDC9BF9">
                                      <w:pPr>
                                        <w:keepNext w:val="0"/>
                                        <w:keepLines w:val="0"/>
                                        <w:pageBreakBefore w:val="0"/>
                                        <w:widowControl w:val="0"/>
                                        <w:kinsoku/>
                                        <w:wordWrap/>
                                        <w:overflowPunct/>
                                        <w:topLinePunct w:val="0"/>
                                        <w:bidi w:val="0"/>
                                        <w:adjustRightInd/>
                                        <w:snapToGrid/>
                                        <w:spacing w:line="220" w:lineRule="exact"/>
                                        <w:jc w:val="center"/>
                                        <w:textAlignment w:val="auto"/>
                                        <w:rPr>
                                          <w:rFonts w:hint="default" w:ascii="Times New Roman" w:hAnsi="Times New Roman" w:eastAsia="宋体" w:cs="Times New Roman"/>
                                          <w:sz w:val="18"/>
                                          <w:szCs w:val="18"/>
                                          <w:highlight w:val="none"/>
                                          <w:lang w:val="en-US" w:eastAsia="zh-CN"/>
                                        </w:rPr>
                                      </w:pPr>
                                      <w:r>
                                        <w:rPr>
                                          <w:rFonts w:hint="eastAsia" w:cs="Times New Roman"/>
                                          <w:sz w:val="18"/>
                                          <w:szCs w:val="18"/>
                                          <w:highlight w:val="none"/>
                                          <w:lang w:val="en-US" w:eastAsia="zh-CN"/>
                                        </w:rPr>
                                        <w:t>5</w:t>
                                      </w:r>
                                      <w:r>
                                        <w:rPr>
                                          <w:rFonts w:hint="eastAsia" w:cs="Times New Roman"/>
                                          <w:sz w:val="18"/>
                                          <w:szCs w:val="18"/>
                                          <w:highlight w:val="none"/>
                                          <w:vertAlign w:val="superscript"/>
                                          <w:lang w:val="en-US" w:eastAsia="zh-CN"/>
                                        </w:rPr>
                                        <w:t>#</w:t>
                                      </w:r>
                                      <w:r>
                                        <w:rPr>
                                          <w:rFonts w:hint="eastAsia" w:cs="Times New Roman"/>
                                          <w:sz w:val="18"/>
                                          <w:szCs w:val="18"/>
                                          <w:highlight w:val="none"/>
                                          <w:lang w:val="en-US" w:eastAsia="zh-CN"/>
                                        </w:rPr>
                                        <w:t>料池</w:t>
                                      </w:r>
                                    </w:p>
                                  </w:txbxContent>
                                </wps:txbx>
                                <wps:bodyPr upright="1"/>
                              </wps:wsp>
                              <wps:wsp>
                                <wps:cNvPr id="128" name="直接箭头连接符 50"/>
                                <wps:cNvCnPr/>
                                <wps:spPr>
                                  <a:xfrm flipH="1" flipV="1">
                                    <a:off x="7537" y="733872"/>
                                    <a:ext cx="1" cy="227"/>
                                  </a:xfrm>
                                  <a:prstGeom prst="straightConnector1">
                                    <a:avLst/>
                                  </a:prstGeom>
                                  <a:ln w="9525" cap="flat" cmpd="sng">
                                    <a:solidFill>
                                      <a:srgbClr val="000000"/>
                                    </a:solidFill>
                                    <a:prstDash val="dash"/>
                                    <a:headEnd type="none" w="med" len="med"/>
                                    <a:tailEnd type="arrow" w="sm" len="sm"/>
                                  </a:ln>
                                </wps:spPr>
                                <wps:bodyPr/>
                              </wps:wsp>
                              <wps:wsp>
                                <wps:cNvPr id="132" name="矩形 49"/>
                                <wps:cNvSpPr/>
                                <wps:spPr>
                                  <a:xfrm>
                                    <a:off x="7297" y="733639"/>
                                    <a:ext cx="445" cy="336"/>
                                  </a:xfrm>
                                  <a:prstGeom prst="rect">
                                    <a:avLst/>
                                  </a:prstGeom>
                                  <a:noFill/>
                                  <a:ln>
                                    <a:noFill/>
                                  </a:ln>
                                </wps:spPr>
                                <wps:txbx>
                                  <w:txbxContent>
                                    <w:p w14:paraId="3BF2FC27">
                                      <w:pPr>
                                        <w:spacing w:line="0" w:lineRule="atLeast"/>
                                        <w:jc w:val="center"/>
                                        <w:rPr>
                                          <w:rFonts w:hint="eastAsia" w:eastAsia="宋体"/>
                                          <w:sz w:val="15"/>
                                          <w:szCs w:val="15"/>
                                          <w:lang w:val="en-US" w:eastAsia="zh-CN"/>
                                        </w:rPr>
                                      </w:pPr>
                                      <w:r>
                                        <w:rPr>
                                          <w:rFonts w:hint="eastAsia"/>
                                          <w:sz w:val="15"/>
                                          <w:szCs w:val="15"/>
                                          <w:lang w:val="en-US" w:eastAsia="zh-CN"/>
                                        </w:rPr>
                                        <w:t>W</w:t>
                                      </w:r>
                                    </w:p>
                                  </w:txbxContent>
                                </wps:txbx>
                                <wps:bodyPr wrap="square" upright="1">
                                  <a:noAutofit/>
                                </wps:bodyPr>
                              </wps:wsp>
                              <wps:wsp>
                                <wps:cNvPr id="134" name="直接连接符 134"/>
                                <wps:cNvCnPr/>
                                <wps:spPr>
                                  <a:xfrm flipV="1">
                                    <a:off x="8353" y="734271"/>
                                    <a:ext cx="421" cy="1"/>
                                  </a:xfrm>
                                  <a:prstGeom prst="line">
                                    <a:avLst/>
                                  </a:prstGeom>
                                  <a:ln w="9525" cap="flat" cmpd="sng">
                                    <a:solidFill>
                                      <a:srgbClr val="000000"/>
                                    </a:solidFill>
                                    <a:prstDash val="solid"/>
                                    <a:round/>
                                    <a:headEnd type="none" w="med" len="med"/>
                                    <a:tailEnd type="arrow" w="med" len="med"/>
                                  </a:ln>
                                </wps:spPr>
                                <wps:bodyPr upright="1"/>
                              </wps:wsp>
                            </wpg:grpSp>
                          </wpg:wgp>
                        </a:graphicData>
                      </a:graphic>
                    </wp:anchor>
                  </w:drawing>
                </mc:Choice>
                <mc:Fallback>
                  <w:pict>
                    <v:group id="_x0000_s1026" o:spid="_x0000_s1026" o:spt="203" style="position:absolute;left:0pt;margin-left:-3.2pt;margin-top:14.75pt;height:160.95pt;width:354.8pt;z-index:251803648;mso-width-relative:page;mso-height-relative:page;" coordorigin="5030,731182" coordsize="7096,3219" o:gfxdata="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">
                      <o:lock v:ext="edit" aspectratio="f"/>
                      <v:shape id="_x0000_s1026" o:spid="_x0000_s1026" o:spt="202" type="#_x0000_t202" style="position:absolute;left:6201;top:731410;height:365;width:878;" filled="f" stroked="f" coordsize="21600,21600" o:gfxdata="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fvQuK8AAAA&#10;2wAAAA8AAAAAAAAAAQAgAAAAIgAAAGRycy9kb3ducmV2LnhtbFBLAQIUABQAAAAIAIdO4kAzLwWe&#10;OwAAADkAAAAQAAAAAAAAAAEAIAAAAAsBAABkcnMvc2hhcGV4bWwueG1sUEsFBgAAAAAGAAYAWwEA&#10;ALUDAAAAAA==&#10;">
                        <v:fill on="f" focussize="0,0"/>
                        <v:stroke on="f"/>
                        <v:imagedata o:title=""/>
                        <o:lock v:ext="edit" aspectratio="f"/>
                        <v:textbox>
                          <w:txbxContent>
                            <w:p w14:paraId="0ED6A8E8">
                              <w:pPr>
                                <w:keepNext w:val="0"/>
                                <w:keepLines w:val="0"/>
                                <w:pageBreakBefore w:val="0"/>
                                <w:widowControl w:val="0"/>
                                <w:kinsoku/>
                                <w:wordWrap/>
                                <w:overflowPunct/>
                                <w:topLinePunct w:val="0"/>
                                <w:bidi w:val="0"/>
                                <w:adjustRightInd/>
                                <w:snapToGrid/>
                                <w:spacing w:line="220" w:lineRule="exact"/>
                                <w:jc w:val="both"/>
                                <w:textAlignment w:val="auto"/>
                                <w:rPr>
                                  <w:rFonts w:hint="default" w:ascii="Times New Roman" w:hAnsi="Times New Roman" w:eastAsia="宋体" w:cs="Times New Roman"/>
                                  <w:sz w:val="18"/>
                                  <w:szCs w:val="18"/>
                                  <w:lang w:val="en-US" w:eastAsia="zh-CN"/>
                                </w:rPr>
                              </w:pPr>
                              <w:r>
                                <w:rPr>
                                  <w:rFonts w:hint="default" w:ascii="Times New Roman" w:hAnsi="Times New Roman" w:eastAsia="宋体" w:cs="Times New Roman"/>
                                  <w:b/>
                                  <w:bCs/>
                                  <w:sz w:val="18"/>
                                  <w:szCs w:val="18"/>
                                  <w:lang w:val="en-US" w:eastAsia="zh-CN"/>
                                </w:rPr>
                                <w:t>不锈钢</w:t>
                              </w:r>
                            </w:p>
                          </w:txbxContent>
                        </v:textbox>
                      </v:shape>
                      <v:shape id="_x0000_s1026" o:spid="_x0000_s1026" o:spt="202" type="#_x0000_t202" style="position:absolute;left:7370;top:731411;height:376;width:953;" fillcolor="#FFFFFF" filled="t" stroked="t" coordsize="21600,21600" o:gfxdata="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zIePv7sAAADb&#10;AAAADwAAAAAAAAABACAAAAAiAAAAZHJzL2Rvd25yZXYueG1sUEsBAhQAFAAAAAgAh07iQDMvBZ47&#10;AAAAOQAAABAAAAAAAAAAAQAgAAAACgEAAGRycy9zaGFwZXhtbC54bWxQSwUGAAAAAAYABgBbAQAA&#10;tAMAAAAA&#10;">
                        <v:fill on="t" focussize="0,0"/>
                        <v:stroke color="#000000" joinstyle="miter"/>
                        <v:imagedata o:title=""/>
                        <o:lock v:ext="edit" aspectratio="f"/>
                        <v:textbox>
                          <w:txbxContent>
                            <w:p w14:paraId="099AB19E">
                              <w:pPr>
                                <w:keepNext w:val="0"/>
                                <w:keepLines w:val="0"/>
                                <w:pageBreakBefore w:val="0"/>
                                <w:widowControl w:val="0"/>
                                <w:kinsoku/>
                                <w:wordWrap/>
                                <w:overflowPunct/>
                                <w:topLinePunct w:val="0"/>
                                <w:bidi w:val="0"/>
                                <w:adjustRightInd/>
                                <w:snapToGrid/>
                                <w:spacing w:line="220" w:lineRule="exact"/>
                                <w:jc w:val="center"/>
                                <w:textAlignment w:val="auto"/>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lang w:val="en-US" w:eastAsia="zh-CN"/>
                                </w:rPr>
                                <w:t>分钢机</w:t>
                              </w:r>
                            </w:p>
                          </w:txbxContent>
                        </v:textbox>
                      </v:shape>
                      <v:line id="_x0000_s1026" o:spid="_x0000_s1026" o:spt="20" style="position:absolute;left:6930;top:731605;flip:x y;height:1;width:431;" filled="f" stroked="t" coordsize="21600,21600" o:gfxdata="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4eCcHvQAA&#10;ANsAAAAPAAAAAAAAAAEAIAAAACIAAABkcnMvZG93bnJldi54bWxQSwECFAAUAAAACACHTuJAMy8F&#10;njsAAAA5AAAAEAAAAAAAAAABACAAAAAMAQAAZHJzL3NoYXBleG1sLnhtbFBLBQYAAAAABgAGAFsB&#10;AAC2AwAAAAA=&#10;">
                        <v:fill on="f" focussize="0,0"/>
                        <v:stroke color="#000000" joinstyle="round" endarrow="open"/>
                        <v:imagedata o:title=""/>
                        <o:lock v:ext="edit" aspectratio="f"/>
                      </v:line>
                      <v:line id="_x0000_s1026" o:spid="_x0000_s1026" o:spt="20" style="position:absolute;left:7850;top:731785;flip:x;height:397;width:1;" filled="f" stroked="t" coordsize="21600,21600" o:gfxdata="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7+wlyugAAANsA&#10;AAAPAAAAAAAAAAEAIAAAACIAAABkcnMvZG93bnJldi54bWxQSwECFAAUAAAACACHTuJAMy8FnjsA&#10;AAA5AAAAEAAAAAAAAAABACAAAAAJAQAAZHJzL3NoYXBleG1sLnhtbFBLBQYAAAAABgAGAFsBAACz&#10;AwAAAAA=&#10;">
                        <v:fill on="f" focussize="0,0"/>
                        <v:stroke color="#000000" joinstyle="round" endarrow="open"/>
                        <v:imagedata o:title=""/>
                        <o:lock v:ext="edit" aspectratio="f"/>
                      </v:line>
                      <v:shape id="直接箭头连接符 50" o:spid="_x0000_s1026" o:spt="32" type="#_x0000_t32" style="position:absolute;left:8172;top:731182;flip:x y;height:227;width:1;" filled="f" stroked="t" coordsize="21600,21600" o:gfxdata="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IXlb+vQAA&#10;ANsAAAAPAAAAAAAAAAEAIAAAACIAAABkcnMvZG93bnJldi54bWxQSwECFAAUAAAACACHTuJAMy8F&#10;njsAAAA5AAAAEAAAAAAAAAABACAAAAAMAQAAZHJzL3NoYXBleG1sLnhtbFBLBQYAAAAABgAGAFsB&#10;AAC2AwAAAAA=&#10;">
                        <v:fill on="f" focussize="0,0"/>
                        <v:stroke color="#000000" joinstyle="round" dashstyle="dash" endarrow="open" endarrowwidth="narrow" endarrowlength="short"/>
                        <v:imagedata o:title=""/>
                        <o:lock v:ext="edit" aspectratio="f"/>
                      </v:shape>
                      <v:rect id="矩形 49" o:spid="_x0000_s1026" o:spt="1" style="position:absolute;left:8036;top:731710;height:336;width:468;" filled="f" stroked="f" coordsize="21600,21600" o:gfxdata="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460kavQAA&#10;ANsAAAAPAAAAAAAAAAEAIAAAACIAAABkcnMvZG93bnJldi54bWxQSwECFAAUAAAACACHTuJAMy8F&#10;njsAAAA5AAAAEAAAAAAAAAABACAAAAAMAQAAZHJzL3NoYXBleG1sLnhtbFBLBQYAAAAABgAGAFsB&#10;AAC2AwAAAAA=&#10;">
                        <v:fill on="f" focussize="0,0"/>
                        <v:stroke on="f"/>
                        <v:imagedata o:title=""/>
                        <o:lock v:ext="edit" aspectratio="f"/>
                        <v:textbox>
                          <w:txbxContent>
                            <w:p w14:paraId="1C7825D9">
                              <w:pPr>
                                <w:spacing w:line="0" w:lineRule="atLeast"/>
                                <w:jc w:val="center"/>
                                <w:rPr>
                                  <w:rFonts w:hint="default" w:eastAsia="宋体"/>
                                  <w:sz w:val="15"/>
                                  <w:szCs w:val="15"/>
                                  <w:lang w:val="en-US" w:eastAsia="zh-CN"/>
                                </w:rPr>
                              </w:pPr>
                              <w:r>
                                <w:rPr>
                                  <w:rFonts w:hint="eastAsia"/>
                                  <w:sz w:val="15"/>
                                  <w:szCs w:val="15"/>
                                </w:rPr>
                                <w:t>N</w:t>
                              </w:r>
                            </w:p>
                          </w:txbxContent>
                        </v:textbox>
                      </v:rect>
                      <v:group id="_x0000_s1026" o:spid="_x0000_s1026" o:spt="203" style="position:absolute;left:5030;top:731933;height:2468;width:7097;" coordorigin="5030,732046" coordsize="7097,2468" o:gfxdata="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">
                        <o:lock v:ext="edit" aspectratio="f"/>
                        <v:shape id="_x0000_s1026" o:spid="_x0000_s1026" o:spt="202" type="#_x0000_t202" style="position:absolute;left:7738;top:732619;height:365;width:1860;" filled="f" stroked="f" coordsize="21600,21600" o:gfxdata="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PnpIHvQAA&#10;ANsAAAAPAAAAAAAAAAEAIAAAACIAAABkcnMvZG93bnJldi54bWxQSwECFAAUAAAACACHTuJAMy8F&#10;njsAAAA5AAAAEAAAAAAAAAABACAAAAAMAQAAZHJzL3NoYXBleG1sLnhtbFBLBQYAAAAABgAGAFsB&#10;AAC2AwAAAAA=&#10;">
                          <v:fill on="f" focussize="0,0"/>
                          <v:stroke on="f"/>
                          <v:imagedata o:title=""/>
                          <o:lock v:ext="edit" aspectratio="f"/>
                          <v:textbox>
                            <w:txbxContent>
                              <w:p w14:paraId="17DE56E7">
                                <w:pPr>
                                  <w:keepNext w:val="0"/>
                                  <w:keepLines w:val="0"/>
                                  <w:pageBreakBefore w:val="0"/>
                                  <w:widowControl w:val="0"/>
                                  <w:kinsoku/>
                                  <w:wordWrap/>
                                  <w:overflowPunct/>
                                  <w:topLinePunct w:val="0"/>
                                  <w:bidi w:val="0"/>
                                  <w:adjustRightInd/>
                                  <w:snapToGrid/>
                                  <w:spacing w:line="240" w:lineRule="exact"/>
                                  <w:jc w:val="center"/>
                                  <w:textAlignment w:val="auto"/>
                                  <w:rPr>
                                    <w:rFonts w:hint="default" w:ascii="Times New Roman" w:hAnsi="Times New Roman" w:eastAsia="宋体" w:cs="Times New Roman"/>
                                    <w:sz w:val="18"/>
                                    <w:szCs w:val="18"/>
                                    <w:lang w:val="en-US" w:eastAsia="zh-CN"/>
                                  </w:rPr>
                                </w:pPr>
                                <w:r>
                                  <w:rPr>
                                    <w:rFonts w:hint="default" w:ascii="Times New Roman" w:hAnsi="Times New Roman" w:eastAsia="宋体" w:cs="Times New Roman"/>
                                    <w:sz w:val="18"/>
                                    <w:szCs w:val="18"/>
                                    <w:lang w:val="en-US" w:eastAsia="zh-CN"/>
                                  </w:rPr>
                                  <w:t>工业盐、水、双飞粉</w:t>
                                </w:r>
                              </w:p>
                            </w:txbxContent>
                          </v:textbox>
                        </v:shape>
                        <v:line id="_x0000_s1026" o:spid="_x0000_s1026" o:spt="20" style="position:absolute;left:8193;top:732950;height:283;width:1;" filled="f" stroked="t" coordsize="21600,21600" o:gfxdata="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NHufG6/&#10;AAAA2wAAAA8AAAAAAAAAAQAgAAAAIgAAAGRycy9kb3ducmV2LnhtbFBLAQIUABQAAAAIAIdO4kAz&#10;LwWeOwAAADkAAAAQAAAAAAAAAAEAIAAAAA4BAABkcnMvc2hhcGV4bWwueG1sUEsFBgAAAAAGAAYA&#10;WwEAALgDAAAAAA==&#10;">
                          <v:fill on="f" focussize="0,0"/>
                          <v:stroke color="#000000" joinstyle="round" endarrow="open"/>
                          <v:imagedata o:title=""/>
                          <o:lock v:ext="edit" aspectratio="f"/>
                        </v:line>
                        <v:shape id="_x0000_s1026" o:spid="_x0000_s1026" o:spt="202" type="#_x0000_t202" style="position:absolute;left:8651;top:734088;height:427;width:1030;" filled="f" stroked="f" coordsize="21600,21600" o:gfxdata="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AdwpzvQAA&#10;ANsAAAAPAAAAAAAAAAEAIAAAACIAAABkcnMvZG93bnJldi54bWxQSwECFAAUAAAACACHTuJAMy8F&#10;njsAAAA5AAAAEAAAAAAAAAABACAAAAAMAQAAZHJzL3NoYXBleG1sLnhtbFBLBQYAAAAABgAGAFsB&#10;AAC2AwAAAAA=&#10;">
                          <v:fill on="f" focussize="0,0"/>
                          <v:stroke on="f"/>
                          <v:imagedata o:title=""/>
                          <o:lock v:ext="edit" aspectratio="f"/>
                          <v:textbox>
                            <w:txbxContent>
                              <w:p w14:paraId="01C9CD59">
                                <w:pPr>
                                  <w:jc w:val="both"/>
                                  <w:rPr>
                                    <w:rFonts w:hint="default" w:ascii="Times New Roman" w:hAnsi="Times New Roman" w:eastAsia="宋体" w:cs="Times New Roman"/>
                                    <w:b/>
                                    <w:bCs/>
                                    <w:sz w:val="18"/>
                                    <w:szCs w:val="18"/>
                                    <w:lang w:val="en-US" w:eastAsia="zh-CN"/>
                                  </w:rPr>
                                </w:pPr>
                                <w:r>
                                  <w:rPr>
                                    <w:rFonts w:hint="default" w:ascii="Times New Roman" w:hAnsi="Times New Roman" w:eastAsia="宋体" w:cs="Times New Roman"/>
                                    <w:b/>
                                    <w:bCs/>
                                    <w:sz w:val="18"/>
                                    <w:szCs w:val="18"/>
                                    <w:lang w:val="en-US" w:eastAsia="zh-CN"/>
                                  </w:rPr>
                                  <w:t>沉水塑料</w:t>
                                </w:r>
                              </w:p>
                            </w:txbxContent>
                          </v:textbox>
                        </v:shape>
                        <v:shape id="_x0000_s1026" o:spid="_x0000_s1026" o:spt="202" type="#_x0000_t202" style="position:absolute;left:7172;top:732282;height:432;width:1427;" fillcolor="#FFFFFF" filled="t" stroked="t" coordsize="21600,21600" o:gfxdata="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ilLNK74A&#10;AADbAAAADwAAAAAAAAABACAAAAAiAAAAZHJzL2Rvd25yZXYueG1sUEsBAhQAFAAAAAgAh07iQDMv&#10;BZ47AAAAOQAAABAAAAAAAAAAAQAgAAAADQEAAGRycy9zaGFwZXhtbC54bWxQSwUGAAAAAAYABgBb&#10;AQAAtwMAAAAA&#10;">
                          <v:fill on="t" focussize="0,0"/>
                          <v:stroke color="#000000" joinstyle="miter"/>
                          <v:imagedata o:title=""/>
                          <o:lock v:ext="edit" aspectratio="f"/>
                          <v:textbox>
                            <w:txbxContent>
                              <w:p w14:paraId="2340AAA1">
                                <w:pPr>
                                  <w:keepNext w:val="0"/>
                                  <w:keepLines w:val="0"/>
                                  <w:pageBreakBefore w:val="0"/>
                                  <w:widowControl w:val="0"/>
                                  <w:kinsoku/>
                                  <w:wordWrap/>
                                  <w:overflowPunct/>
                                  <w:topLinePunct w:val="0"/>
                                  <w:bidi w:val="0"/>
                                  <w:adjustRightInd/>
                                  <w:snapToGrid/>
                                  <w:spacing w:line="240" w:lineRule="exact"/>
                                  <w:jc w:val="center"/>
                                  <w:textAlignment w:val="auto"/>
                                  <w:rPr>
                                    <w:rFonts w:hint="default" w:ascii="Times New Roman" w:hAnsi="Times New Roman" w:eastAsia="宋体" w:cs="Times New Roman"/>
                                    <w:sz w:val="18"/>
                                    <w:szCs w:val="18"/>
                                    <w:highlight w:val="none"/>
                                    <w:lang w:val="en-US" w:eastAsia="zh-CN"/>
                                  </w:rPr>
                                </w:pPr>
                                <w:r>
                                  <w:rPr>
                                    <w:rFonts w:hint="default" w:ascii="Times New Roman" w:hAnsi="Times New Roman" w:eastAsia="宋体" w:cs="Times New Roman"/>
                                    <w:sz w:val="18"/>
                                    <w:szCs w:val="18"/>
                                    <w:highlight w:val="none"/>
                                    <w:lang w:val="en-US" w:eastAsia="zh-CN"/>
                                  </w:rPr>
                                  <w:t>涡电流分选机</w:t>
                                </w:r>
                              </w:p>
                            </w:txbxContent>
                          </v:textbox>
                        </v:shape>
                        <v:line id="_x0000_s1026" o:spid="_x0000_s1026" o:spt="20" style="position:absolute;left:6740;top:732507;flip:x y;height:1;width:431;" filled="f" stroked="t" coordsize="21600,21600" o:gfxdata="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rWWTvQAA&#10;ANsAAAAPAAAAAAAAAAEAIAAAACIAAABkcnMvZG93bnJldi54bWxQSwECFAAUAAAACACHTuJAMy8F&#10;njsAAAA5AAAAEAAAAAAAAAABACAAAAAMAQAAZHJzL3NoYXBleG1sLnhtbFBLBQYAAAAABgAGAFsB&#10;AAC2AwAAAAA=&#10;">
                          <v:fill on="f" focussize="0,0"/>
                          <v:stroke color="#000000" joinstyle="round" endarrow="open"/>
                          <v:imagedata o:title=""/>
                          <o:lock v:ext="edit" aspectratio="f"/>
                        </v:line>
                        <v:shape id="直接箭头连接符 50" o:spid="_x0000_s1026" o:spt="32" type="#_x0000_t32" style="position:absolute;left:7523;top:732989;flip:x y;height:227;width:1;" filled="f" stroked="t" coordsize="21600,21600" o:gfxdata="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1hBfdb4A&#10;AADcAAAADwAAAAAAAAABACAAAAAiAAAAZHJzL2Rvd25yZXYueG1sUEsBAhQAFAAAAAgAh07iQDMv&#10;BZ47AAAAOQAAABAAAAAAAAAAAQAgAAAADQEAAGRycy9zaGFwZXhtbC54bWxQSwUGAAAAAAYABgBb&#10;AQAAtwMAAAAA&#10;">
                          <v:fill on="f" focussize="0,0"/>
                          <v:stroke color="#000000" joinstyle="round" dashstyle="dash" endarrow="open" endarrowwidth="narrow" endarrowlength="short"/>
                          <v:imagedata o:title=""/>
                          <o:lock v:ext="edit" aspectratio="f"/>
                        </v:shape>
                        <v:rect id="矩形 49" o:spid="_x0000_s1026" o:spt="1" style="position:absolute;left:7019;top:732731;height:336;width:940;" filled="f" stroked="f" coordsize="21600,21600" o:gfxdata="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lg22C/&#10;AAAA3AAAAA8AAAAAAAAAAQAgAAAAIgAAAGRycy9kb3ducmV2LnhtbFBLAQIUABQAAAAIAIdO4kAz&#10;LwWeOwAAADkAAAAQAAAAAAAAAAEAIAAAAA4BAABkcnMvc2hhcGV4bWwueG1sUEsFBgAAAAAGAAYA&#10;WwEAALgDAAAAAA==&#10;">
                          <v:fill on="f" focussize="0,0"/>
                          <v:stroke on="f"/>
                          <v:imagedata o:title=""/>
                          <o:lock v:ext="edit" aspectratio="f"/>
                          <v:textbox>
                            <w:txbxContent>
                              <w:p w14:paraId="45C866A8">
                                <w:pPr>
                                  <w:spacing w:line="0" w:lineRule="atLeast"/>
                                  <w:jc w:val="center"/>
                                  <w:rPr>
                                    <w:rFonts w:hint="default" w:eastAsia="宋体"/>
                                    <w:sz w:val="15"/>
                                    <w:szCs w:val="15"/>
                                    <w:lang w:val="en-US" w:eastAsia="zh-CN"/>
                                  </w:rPr>
                                </w:pPr>
                                <w:r>
                                  <w:rPr>
                                    <w:rFonts w:hint="eastAsia"/>
                                    <w:sz w:val="15"/>
                                    <w:szCs w:val="15"/>
                                    <w:lang w:val="en-US" w:eastAsia="zh-CN"/>
                                  </w:rPr>
                                  <w:t>W、</w:t>
                                </w:r>
                                <w:r>
                                  <w:rPr>
                                    <w:rFonts w:hint="eastAsia"/>
                                    <w:sz w:val="15"/>
                                    <w:szCs w:val="15"/>
                                  </w:rPr>
                                  <w:t>N</w:t>
                                </w:r>
                                <w:r>
                                  <w:rPr>
                                    <w:rFonts w:hint="eastAsia"/>
                                    <w:sz w:val="15"/>
                                    <w:szCs w:val="15"/>
                                    <w:lang w:eastAsia="zh-CN"/>
                                  </w:rPr>
                                  <w:t>、</w:t>
                                </w:r>
                                <w:r>
                                  <w:rPr>
                                    <w:rFonts w:hint="eastAsia"/>
                                    <w:sz w:val="15"/>
                                    <w:szCs w:val="15"/>
                                    <w:lang w:val="en-US" w:eastAsia="zh-CN"/>
                                  </w:rPr>
                                  <w:t>S</w:t>
                                </w:r>
                              </w:p>
                            </w:txbxContent>
                          </v:textbox>
                        </v:rect>
                        <v:shape id="直接箭头连接符 50" o:spid="_x0000_s1026" o:spt="32" type="#_x0000_t32" style="position:absolute;left:8283;top:732046;flip:x y;height:227;width:1;" filled="f" stroked="t" coordsize="21600,21600" o:gfxdata="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nEvNlvQAA&#10;ANsAAAAPAAAAAAAAAAEAIAAAACIAAABkcnMvZG93bnJldi54bWxQSwECFAAUAAAACACHTuJAMy8F&#10;njsAAAA5AAAAEAAAAAAAAAABACAAAAAMAQAAZHJzL3NoYXBleG1sLnhtbFBLBQYAAAAABgAGAFsB&#10;AAC2AwAAAAA=&#10;">
                          <v:fill on="f" focussize="0,0"/>
                          <v:stroke color="#000000" joinstyle="round" dashstyle="dash" endarrow="open" endarrowwidth="narrow" endarrowlength="short"/>
                          <v:imagedata o:title=""/>
                          <o:lock v:ext="edit" aspectratio="f"/>
                        </v:shape>
                        <v:shape id="_x0000_s1026" o:spid="_x0000_s1026" o:spt="202" type="#_x0000_t202" style="position:absolute;left:5030;top:732228;height:679;width:1810;" filled="f" stroked="f" coordsize="21600,21600" o:gfxdata="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rnal7bgAAADbAAAA&#10;DwAAAAAAAAABACAAAAAiAAAAZHJzL2Rvd25yZXYueG1sUEsBAhQAFAAAAAgAh07iQDMvBZ47AAAA&#10;OQAAABAAAAAAAAAAAQAgAAAABwEAAGRycy9zaGFwZXhtbC54bWxQSwUGAAAAAAYABgBbAQAAsQMA&#10;AAAA&#10;">
                          <v:fill on="f" focussize="0,0"/>
                          <v:stroke on="f"/>
                          <v:imagedata o:title=""/>
                          <o:lock v:ext="edit" aspectratio="f"/>
                          <v:textbox>
                            <w:txbxContent>
                              <w:p w14:paraId="666C7655">
                                <w:pPr>
                                  <w:keepNext w:val="0"/>
                                  <w:keepLines w:val="0"/>
                                  <w:pageBreakBefore w:val="0"/>
                                  <w:widowControl w:val="0"/>
                                  <w:kinsoku/>
                                  <w:wordWrap/>
                                  <w:overflowPunct/>
                                  <w:topLinePunct w:val="0"/>
                                  <w:bidi w:val="0"/>
                                  <w:adjustRightInd/>
                                  <w:snapToGrid/>
                                  <w:spacing w:line="220" w:lineRule="exact"/>
                                  <w:jc w:val="center"/>
                                  <w:textAlignment w:val="auto"/>
                                  <w:rPr>
                                    <w:rFonts w:hint="default" w:ascii="Times New Roman" w:hAnsi="Times New Roman" w:eastAsia="宋体" w:cs="Times New Roman"/>
                                    <w:sz w:val="18"/>
                                    <w:szCs w:val="18"/>
                                    <w:lang w:val="en-US" w:eastAsia="zh-CN"/>
                                  </w:rPr>
                                </w:pPr>
                                <w:r>
                                  <w:rPr>
                                    <w:rFonts w:hint="default" w:ascii="Times New Roman" w:hAnsi="Times New Roman" w:eastAsia="宋体" w:cs="Times New Roman"/>
                                    <w:b/>
                                    <w:bCs/>
                                    <w:sz w:val="18"/>
                                    <w:szCs w:val="18"/>
                                    <w:lang w:val="en-US" w:eastAsia="zh-CN"/>
                                  </w:rPr>
                                  <w:t>有色金属混合料（铜铝锌）</w:t>
                                </w:r>
                              </w:p>
                            </w:txbxContent>
                          </v:textbox>
                        </v:shape>
                        <v:line id="_x0000_s1026" o:spid="_x0000_s1026" o:spt="20" style="position:absolute;left:7840;top:732718;flip:x;height:510;width:1;" filled="f" stroked="t" coordsize="21600,21600" o:gfxdata="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qwaDvvQAA&#10;ANsAAAAPAAAAAAAAAAEAIAAAACIAAABkcnMvZG93bnJldi54bWxQSwECFAAUAAAACACHTuJAMy8F&#10;njsAAAA5AAAAEAAAAAAAAAABACAAAAAMAQAAZHJzL3NoYXBleG1sLnhtbFBLBQYAAAAABgAGAFsB&#10;AAC2AwAAAAA=&#10;">
                          <v:fill on="f" focussize="0,0"/>
                          <v:stroke color="#000000" joinstyle="round" endarrow="open"/>
                          <v:imagedata o:title=""/>
                          <o:lock v:ext="edit" aspectratio="f"/>
                        </v:line>
                        <v:shape id="_x0000_s1026" o:spid="_x0000_s1026" o:spt="202" type="#_x0000_t202" style="position:absolute;left:7385;top:733219;height:376;width:953;" fillcolor="#FFFFFF" filled="t" stroked="t" coordsize="21600,21600" o:gfxdata="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vLmYZugAAANsA&#10;AAAPAAAAAAAAAAEAIAAAACIAAABkcnMvZG93bnJldi54bWxQSwECFAAUAAAACACHTuJAMy8FnjsA&#10;AAA5AAAAEAAAAAAAAAABACAAAAAJAQAAZHJzL3NoYXBleG1sLnhtbFBLBQYAAAAABgAGAFsBAACz&#10;AwAAAAA=&#10;">
                          <v:fill on="t" focussize="0,0"/>
                          <v:stroke color="#000000" joinstyle="miter"/>
                          <v:imagedata o:title=""/>
                          <o:lock v:ext="edit" aspectratio="f"/>
                          <v:textbox>
                            <w:txbxContent>
                              <w:p w14:paraId="54F80081">
                                <w:pPr>
                                  <w:keepNext w:val="0"/>
                                  <w:keepLines w:val="0"/>
                                  <w:pageBreakBefore w:val="0"/>
                                  <w:widowControl w:val="0"/>
                                  <w:kinsoku/>
                                  <w:wordWrap/>
                                  <w:overflowPunct/>
                                  <w:topLinePunct w:val="0"/>
                                  <w:bidi w:val="0"/>
                                  <w:adjustRightInd/>
                                  <w:snapToGrid/>
                                  <w:spacing w:line="220" w:lineRule="exact"/>
                                  <w:jc w:val="center"/>
                                  <w:textAlignment w:val="auto"/>
                                  <w:rPr>
                                    <w:rFonts w:hint="default" w:ascii="Times New Roman" w:hAnsi="Times New Roman" w:eastAsia="宋体" w:cs="Times New Roman"/>
                                    <w:sz w:val="18"/>
                                    <w:szCs w:val="18"/>
                                    <w:highlight w:val="none"/>
                                    <w:lang w:val="en-US" w:eastAsia="zh-CN"/>
                                  </w:rPr>
                                </w:pPr>
                                <w:r>
                                  <w:rPr>
                                    <w:rFonts w:hint="default" w:ascii="Times New Roman" w:hAnsi="Times New Roman" w:eastAsia="宋体" w:cs="Times New Roman"/>
                                    <w:sz w:val="18"/>
                                    <w:szCs w:val="18"/>
                                    <w:highlight w:val="none"/>
                                    <w:lang w:val="en-US" w:eastAsia="zh-CN"/>
                                  </w:rPr>
                                  <w:t>高钙机</w:t>
                                </w:r>
                              </w:p>
                            </w:txbxContent>
                          </v:textbox>
                        </v:shape>
                        <v:line id="_x0000_s1026" o:spid="_x0000_s1026" o:spt="20" style="position:absolute;left:7841;top:733609;flip:x;height:510;width:1;" filled="f" stroked="t" coordsize="21600,21600" o:gfxdata="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Rbjo0vQAA&#10;ANsAAAAPAAAAAAAAAAEAIAAAACIAAABkcnMvZG93bnJldi54bWxQSwECFAAUAAAACACHTuJAMy8F&#10;njsAAAA5AAAAEAAAAAAAAAABACAAAAAMAQAAZHJzL3NoYXBleG1sLnhtbFBLBQYAAAAABgAGAFsB&#10;AAC2AwAAAAA=&#10;">
                          <v:fill on="f" focussize="0,0"/>
                          <v:stroke color="#000000" joinstyle="round" endarrow="open"/>
                          <v:imagedata o:title=""/>
                          <o:lock v:ext="edit" aspectratio="f"/>
                        </v:line>
                        <v:line id="_x0000_s1026" o:spid="_x0000_s1026" o:spt="20" style="position:absolute;left:8341;top:733409;height:1;width:680;" filled="f" stroked="t" coordsize="21600,21600" o:gfxdata="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LY05uO8AAAA&#10;3AAAAA8AAAAAAAAAAQAgAAAAIgAAAGRycy9kb3ducmV2LnhtbFBLAQIUABQAAAAIAIdO4kAzLwWe&#10;OwAAADkAAAAQAAAAAAAAAAEAIAAAAAsBAABkcnMvc2hhcGV4bWwueG1sUEsFBgAAAAAGAAYAWwEA&#10;ALUDAAAAAA==&#10;">
                          <v:fill on="f" focussize="0,0"/>
                          <v:stroke color="#000000" joinstyle="round" endarrow="open"/>
                          <v:imagedata o:title=""/>
                          <o:lock v:ext="edit" aspectratio="f"/>
                        </v:line>
                        <v:shape id="_x0000_s1026" o:spid="_x0000_s1026" o:spt="202" type="#_x0000_t202" style="position:absolute;left:9023;top:733222;height:376;width:953;" fillcolor="#FFFFFF" filled="t" stroked="t" coordsize="21600,21600" o:gfxdata="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BQhoXC/&#10;AAAA3AAAAA8AAAAAAAAAAQAgAAAAIgAAAGRycy9kb3ducmV2LnhtbFBLAQIUABQAAAAIAIdO4kAz&#10;LwWeOwAAADkAAAAQAAAAAAAAAAEAIAAAAA4BAABkcnMvc2hhcGV4bWwueG1sUEsFBgAAAAAGAAYA&#10;WwEAALgDAAAAAA==&#10;">
                          <v:fill on="t" focussize="0,0"/>
                          <v:stroke color="#000000" joinstyle="miter"/>
                          <v:imagedata o:title=""/>
                          <o:lock v:ext="edit" aspectratio="f"/>
                          <v:textbox>
                            <w:txbxContent>
                              <w:p w14:paraId="148C46FA">
                                <w:pPr>
                                  <w:keepNext w:val="0"/>
                                  <w:keepLines w:val="0"/>
                                  <w:pageBreakBefore w:val="0"/>
                                  <w:widowControl w:val="0"/>
                                  <w:kinsoku/>
                                  <w:wordWrap/>
                                  <w:overflowPunct/>
                                  <w:topLinePunct w:val="0"/>
                                  <w:bidi w:val="0"/>
                                  <w:adjustRightInd/>
                                  <w:snapToGrid/>
                                  <w:spacing w:line="220" w:lineRule="exact"/>
                                  <w:jc w:val="center"/>
                                  <w:textAlignment w:val="auto"/>
                                  <w:rPr>
                                    <w:rFonts w:hint="default" w:ascii="Times New Roman" w:hAnsi="Times New Roman" w:eastAsia="宋体" w:cs="Times New Roman"/>
                                    <w:sz w:val="18"/>
                                    <w:szCs w:val="18"/>
                                    <w:highlight w:val="none"/>
                                    <w:lang w:val="en-US" w:eastAsia="zh-CN"/>
                                  </w:rPr>
                                </w:pPr>
                                <w:r>
                                  <w:rPr>
                                    <w:rFonts w:hint="eastAsia" w:cs="Times New Roman"/>
                                    <w:sz w:val="18"/>
                                    <w:szCs w:val="18"/>
                                    <w:highlight w:val="none"/>
                                    <w:lang w:val="en-US" w:eastAsia="zh-CN"/>
                                  </w:rPr>
                                  <w:t>4</w:t>
                                </w:r>
                                <w:r>
                                  <w:rPr>
                                    <w:rFonts w:hint="eastAsia" w:cs="Times New Roman"/>
                                    <w:sz w:val="18"/>
                                    <w:szCs w:val="18"/>
                                    <w:highlight w:val="none"/>
                                    <w:vertAlign w:val="superscript"/>
                                    <w:lang w:val="en-US" w:eastAsia="zh-CN"/>
                                  </w:rPr>
                                  <w:t>#</w:t>
                                </w:r>
                                <w:r>
                                  <w:rPr>
                                    <w:rFonts w:hint="eastAsia" w:cs="Times New Roman"/>
                                    <w:sz w:val="18"/>
                                    <w:szCs w:val="18"/>
                                    <w:highlight w:val="none"/>
                                    <w:lang w:val="en-US" w:eastAsia="zh-CN"/>
                                  </w:rPr>
                                  <w:t>料池</w:t>
                                </w:r>
                              </w:p>
                            </w:txbxContent>
                          </v:textbox>
                        </v:shape>
                        <v:shape id="_x0000_s1026" o:spid="_x0000_s1026" o:spt="202" type="#_x0000_t202" style="position:absolute;left:8289;top:733088;height:427;width:657;" filled="f" stroked="f" coordsize="21600,21600" o:gfxdata="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D7tJy25AAAA3AAA&#10;AA8AAAAAAAAAAQAgAAAAIgAAAGRycy9kb3ducmV2LnhtbFBLAQIUABQAAAAIAIdO4kAzLwWeOwAA&#10;ADkAAAAQAAAAAAAAAAEAIAAAAAgBAABkcnMvc2hhcGV4bWwueG1sUEsFBgAAAAAGAAYAWwEAALID&#10;AAAAAA==&#10;">
                          <v:fill on="f" focussize="0,0"/>
                          <v:stroke on="f"/>
                          <v:imagedata o:title=""/>
                          <o:lock v:ext="edit" aspectratio="f"/>
                          <v:textbox>
                            <w:txbxContent>
                              <w:p w14:paraId="1BA43F2A">
                                <w:pPr>
                                  <w:jc w:val="both"/>
                                  <w:rPr>
                                    <w:rFonts w:hint="default" w:ascii="Times New Roman" w:hAnsi="Times New Roman" w:eastAsia="宋体" w:cs="Times New Roman"/>
                                    <w:b w:val="0"/>
                                    <w:bCs w:val="0"/>
                                    <w:sz w:val="18"/>
                                    <w:szCs w:val="18"/>
                                    <w:lang w:val="en-US" w:eastAsia="zh-CN"/>
                                  </w:rPr>
                                </w:pPr>
                                <w:r>
                                  <w:rPr>
                                    <w:rFonts w:hint="default" w:ascii="Times New Roman" w:hAnsi="Times New Roman" w:eastAsia="宋体" w:cs="Times New Roman"/>
                                    <w:b w:val="0"/>
                                    <w:bCs w:val="0"/>
                                    <w:sz w:val="18"/>
                                    <w:szCs w:val="18"/>
                                    <w:lang w:val="en-US" w:eastAsia="zh-CN"/>
                                  </w:rPr>
                                  <w:t>橡胶</w:t>
                                </w:r>
                              </w:p>
                            </w:txbxContent>
                          </v:textbox>
                        </v:shape>
                        <v:shape id="_x0000_s1026" o:spid="_x0000_s1026" o:spt="202" type="#_x0000_t202" style="position:absolute;left:10569;top:733226;height:427;width:1559;" filled="f" stroked="f" coordsize="21600,21600" o:gfxdata="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JFp2nq8AAAA&#10;3AAAAA8AAAAAAAAAAQAgAAAAIgAAAGRycy9kb3ducmV2LnhtbFBLAQIUABQAAAAIAIdO4kAzLwWe&#10;OwAAADkAAAAQAAAAAAAAAAEAIAAAAAsBAABkcnMvc2hhcGV4bWwueG1sUEsFBgAAAAAGAAYAWwEA&#10;ALUDAAAAAA==&#10;">
                          <v:fill on="f" focussize="0,0"/>
                          <v:stroke on="f"/>
                          <v:imagedata o:title=""/>
                          <o:lock v:ext="edit" aspectratio="f"/>
                          <v:textbox>
                            <w:txbxContent>
                              <w:p w14:paraId="54F79767">
                                <w:pPr>
                                  <w:jc w:val="both"/>
                                  <w:rPr>
                                    <w:rFonts w:hint="default" w:ascii="Times New Roman" w:hAnsi="Times New Roman" w:eastAsia="宋体" w:cs="Times New Roman"/>
                                    <w:b/>
                                    <w:bCs/>
                                    <w:sz w:val="18"/>
                                    <w:szCs w:val="18"/>
                                    <w:lang w:val="en-US" w:eastAsia="zh-CN"/>
                                  </w:rPr>
                                </w:pPr>
                                <w:r>
                                  <w:rPr>
                                    <w:rFonts w:hint="default" w:ascii="Times New Roman" w:hAnsi="Times New Roman" w:eastAsia="宋体" w:cs="Times New Roman"/>
                                    <w:b/>
                                    <w:bCs/>
                                    <w:sz w:val="18"/>
                                    <w:szCs w:val="18"/>
                                    <w:lang w:val="en-US" w:eastAsia="zh-CN"/>
                                  </w:rPr>
                                  <w:t>橡胶</w:t>
                                </w:r>
                              </w:p>
                            </w:txbxContent>
                          </v:textbox>
                        </v:shape>
                        <v:line id="_x0000_s1026" o:spid="_x0000_s1026" o:spt="20" style="position:absolute;left:9991;top:733412;height:1;width:680;" filled="f" stroked="t" coordsize="21600,21600" o:gfxdata="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iKsim8AAAA&#10;3AAAAA8AAAAAAAAAAQAgAAAAIgAAAGRycy9kb3ducmV2LnhtbFBLAQIUABQAAAAIAIdO4kAzLwWe&#10;OwAAADkAAAAQAAAAAAAAAAEAIAAAAAsBAABkcnMvc2hhcGV4bWwueG1sUEsFBgAAAAAGAAYAWwEA&#10;ALUDAAAAAA==&#10;">
                          <v:fill on="f" focussize="0,0"/>
                          <v:stroke color="#000000" joinstyle="round" endarrow="open"/>
                          <v:imagedata o:title=""/>
                          <o:lock v:ext="edit" aspectratio="f"/>
                        </v:line>
                        <v:shape id="直接箭头连接符 50" o:spid="_x0000_s1026" o:spt="32" type="#_x0000_t32" style="position:absolute;left:9694;top:732987;flip:x y;height:227;width:1;" filled="f" stroked="t" coordsize="21600,21600" o:gfxdata="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rDvanbsAAADc&#10;AAAADwAAAAAAAAABACAAAAAiAAAAZHJzL2Rvd25yZXYueG1sUEsBAhQAFAAAAAgAh07iQDMvBZ47&#10;AAAAOQAAABAAAAAAAAAAAQAgAAAACgEAAGRycy9zaGFwZXhtbC54bWxQSwUGAAAAAAYABgBbAQAA&#10;tAMAAAAA&#10;">
                          <v:fill on="f" focussize="0,0"/>
                          <v:stroke color="#000000" joinstyle="round" dashstyle="dash" endarrow="open" endarrowwidth="narrow" endarrowlength="short"/>
                          <v:imagedata o:title=""/>
                          <o:lock v:ext="edit" aspectratio="f"/>
                        </v:shape>
                        <v:rect id="矩形 49" o:spid="_x0000_s1026" o:spt="1" style="position:absolute;left:9471;top:732746;height:336;width:445;" filled="f" stroked="f" coordsize="21600,21600" o:gfxdata="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EM8/RC8AAAA&#10;3AAAAA8AAAAAAAAAAQAgAAAAIgAAAGRycy9kb3ducmV2LnhtbFBLAQIUABQAAAAIAIdO4kAzLwWe&#10;OwAAADkAAAAQAAAAAAAAAAEAIAAAAAsBAABkcnMvc2hhcGV4bWwueG1sUEsFBgAAAAAGAAYAWwEA&#10;ALUDAAAAAA==&#10;">
                          <v:fill on="f" focussize="0,0"/>
                          <v:stroke on="f"/>
                          <v:imagedata o:title=""/>
                          <o:lock v:ext="edit" aspectratio="f"/>
                          <v:textbox>
                            <w:txbxContent>
                              <w:p w14:paraId="7173EEF3">
                                <w:pPr>
                                  <w:spacing w:line="0" w:lineRule="atLeast"/>
                                  <w:jc w:val="center"/>
                                  <w:rPr>
                                    <w:rFonts w:hint="eastAsia" w:eastAsia="宋体"/>
                                    <w:sz w:val="15"/>
                                    <w:szCs w:val="15"/>
                                    <w:lang w:val="en-US" w:eastAsia="zh-CN"/>
                                  </w:rPr>
                                </w:pPr>
                                <w:r>
                                  <w:rPr>
                                    <w:rFonts w:hint="eastAsia"/>
                                    <w:sz w:val="15"/>
                                    <w:szCs w:val="15"/>
                                    <w:lang w:val="en-US" w:eastAsia="zh-CN"/>
                                  </w:rPr>
                                  <w:t>W</w:t>
                                </w:r>
                              </w:p>
                            </w:txbxContent>
                          </v:textbox>
                        </v:rect>
                        <v:shape id="_x0000_s1026" o:spid="_x0000_s1026" o:spt="202" type="#_x0000_t202" style="position:absolute;left:7400;top:734102;height:376;width:953;" fillcolor="#FFFFFF" filled="t" stroked="t" coordsize="21600,21600" o:gfxdata="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r0v+/vQAA&#10;ANw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14:paraId="0DDC9BF9">
                                <w:pPr>
                                  <w:keepNext w:val="0"/>
                                  <w:keepLines w:val="0"/>
                                  <w:pageBreakBefore w:val="0"/>
                                  <w:widowControl w:val="0"/>
                                  <w:kinsoku/>
                                  <w:wordWrap/>
                                  <w:overflowPunct/>
                                  <w:topLinePunct w:val="0"/>
                                  <w:bidi w:val="0"/>
                                  <w:adjustRightInd/>
                                  <w:snapToGrid/>
                                  <w:spacing w:line="220" w:lineRule="exact"/>
                                  <w:jc w:val="center"/>
                                  <w:textAlignment w:val="auto"/>
                                  <w:rPr>
                                    <w:rFonts w:hint="default" w:ascii="Times New Roman" w:hAnsi="Times New Roman" w:eastAsia="宋体" w:cs="Times New Roman"/>
                                    <w:sz w:val="18"/>
                                    <w:szCs w:val="18"/>
                                    <w:highlight w:val="none"/>
                                    <w:lang w:val="en-US" w:eastAsia="zh-CN"/>
                                  </w:rPr>
                                </w:pPr>
                                <w:r>
                                  <w:rPr>
                                    <w:rFonts w:hint="eastAsia" w:cs="Times New Roman"/>
                                    <w:sz w:val="18"/>
                                    <w:szCs w:val="18"/>
                                    <w:highlight w:val="none"/>
                                    <w:lang w:val="en-US" w:eastAsia="zh-CN"/>
                                  </w:rPr>
                                  <w:t>5</w:t>
                                </w:r>
                                <w:r>
                                  <w:rPr>
                                    <w:rFonts w:hint="eastAsia" w:cs="Times New Roman"/>
                                    <w:sz w:val="18"/>
                                    <w:szCs w:val="18"/>
                                    <w:highlight w:val="none"/>
                                    <w:vertAlign w:val="superscript"/>
                                    <w:lang w:val="en-US" w:eastAsia="zh-CN"/>
                                  </w:rPr>
                                  <w:t>#</w:t>
                                </w:r>
                                <w:r>
                                  <w:rPr>
                                    <w:rFonts w:hint="eastAsia" w:cs="Times New Roman"/>
                                    <w:sz w:val="18"/>
                                    <w:szCs w:val="18"/>
                                    <w:highlight w:val="none"/>
                                    <w:lang w:val="en-US" w:eastAsia="zh-CN"/>
                                  </w:rPr>
                                  <w:t>料池</w:t>
                                </w:r>
                              </w:p>
                            </w:txbxContent>
                          </v:textbox>
                        </v:shape>
                        <v:shape id="直接箭头连接符 50" o:spid="_x0000_s1026" o:spt="32" type="#_x0000_t32" style="position:absolute;left:7537;top:733872;flip:x y;height:227;width:1;" filled="f" stroked="t" coordsize="21600,21600" o:gfxdata="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COnUDvQAA&#10;ANwAAAAPAAAAAAAAAAEAIAAAACIAAABkcnMvZG93bnJldi54bWxQSwECFAAUAAAACACHTuJAMy8F&#10;njsAAAA5AAAAEAAAAAAAAAABACAAAAAMAQAAZHJzL3NoYXBleG1sLnhtbFBLBQYAAAAABgAGAFsB&#10;AAC2AwAAAAA=&#10;">
                          <v:fill on="f" focussize="0,0"/>
                          <v:stroke color="#000000" joinstyle="round" dashstyle="dash" endarrow="open" endarrowwidth="narrow" endarrowlength="short"/>
                          <v:imagedata o:title=""/>
                          <o:lock v:ext="edit" aspectratio="f"/>
                        </v:shape>
                        <v:rect id="矩形 49" o:spid="_x0000_s1026" o:spt="1" style="position:absolute;left:7297;top:733639;height:336;width:445;" filled="f" stroked="f" coordsize="21600,21600" o:gfxdata="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ud5tzrsAAADc&#10;AAAADwAAAAAAAAABACAAAAAiAAAAZHJzL2Rvd25yZXYueG1sUEsBAhQAFAAAAAgAh07iQDMvBZ47&#10;AAAAOQAAABAAAAAAAAAAAQAgAAAACgEAAGRycy9zaGFwZXhtbC54bWxQSwUGAAAAAAYABgBbAQAA&#10;tAMAAAAA&#10;">
                          <v:fill on="f" focussize="0,0"/>
                          <v:stroke on="f"/>
                          <v:imagedata o:title=""/>
                          <o:lock v:ext="edit" aspectratio="f"/>
                          <v:textbox>
                            <w:txbxContent>
                              <w:p w14:paraId="3BF2FC27">
                                <w:pPr>
                                  <w:spacing w:line="0" w:lineRule="atLeast"/>
                                  <w:jc w:val="center"/>
                                  <w:rPr>
                                    <w:rFonts w:hint="eastAsia" w:eastAsia="宋体"/>
                                    <w:sz w:val="15"/>
                                    <w:szCs w:val="15"/>
                                    <w:lang w:val="en-US" w:eastAsia="zh-CN"/>
                                  </w:rPr>
                                </w:pPr>
                                <w:r>
                                  <w:rPr>
                                    <w:rFonts w:hint="eastAsia"/>
                                    <w:sz w:val="15"/>
                                    <w:szCs w:val="15"/>
                                    <w:lang w:val="en-US" w:eastAsia="zh-CN"/>
                                  </w:rPr>
                                  <w:t>W</w:t>
                                </w:r>
                              </w:p>
                            </w:txbxContent>
                          </v:textbox>
                        </v:rect>
                        <v:line id="_x0000_s1026" o:spid="_x0000_s1026" o:spt="20" style="position:absolute;left:8353;top:734271;flip:y;height:1;width:421;" filled="f" stroked="t" coordsize="21600,21600" o:gfxdata="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CAA8X+8AAAA&#10;3AAAAA8AAAAAAAAAAQAgAAAAIgAAAGRycy9kb3ducmV2LnhtbFBLAQIUABQAAAAIAIdO4kAzLwWe&#10;OwAAADkAAAAQAAAAAAAAAAEAIAAAAAsBAABkcnMvc2hhcGV4bWwueG1sUEsFBgAAAAAGAAYAWwEA&#10;ALUDAAAAAA==&#10;">
                          <v:fill on="f" focussize="0,0"/>
                          <v:stroke color="#000000" joinstyle="round" endarrow="open"/>
                          <v:imagedata o:title=""/>
                          <o:lock v:ext="edit" aspectratio="f"/>
                        </v:line>
                      </v:group>
                    </v:group>
                  </w:pict>
                </mc:Fallback>
              </mc:AlternateContent>
            </w:r>
            <w:r>
              <w:rPr>
                <w:color w:val="auto"/>
                <w:sz w:val="21"/>
              </w:rPr>
              <mc:AlternateContent>
                <mc:Choice Requires="wps">
                  <w:drawing>
                    <wp:anchor distT="0" distB="0" distL="114300" distR="114300" simplePos="0" relativeHeight="251788288" behindDoc="0" locked="0" layoutInCell="1" allowOverlap="1">
                      <wp:simplePos x="0" y="0"/>
                      <wp:positionH relativeFrom="column">
                        <wp:posOffset>1749425</wp:posOffset>
                      </wp:positionH>
                      <wp:positionV relativeFrom="paragraph">
                        <wp:posOffset>83820</wp:posOffset>
                      </wp:positionV>
                      <wp:extent cx="635" cy="252095"/>
                      <wp:effectExtent l="48895" t="0" r="64770" b="14605"/>
                      <wp:wrapNone/>
                      <wp:docPr id="32" name="直接连接符 32"/>
                      <wp:cNvGraphicFramePr/>
                      <a:graphic xmlns:a="http://schemas.openxmlformats.org/drawingml/2006/main">
                        <a:graphicData uri="http://schemas.microsoft.com/office/word/2010/wordprocessingShape">
                          <wps:wsp>
                            <wps:cNvCnPr/>
                            <wps:spPr>
                              <a:xfrm flipH="1">
                                <a:off x="3267710" y="3081655"/>
                                <a:ext cx="635" cy="252095"/>
                              </a:xfrm>
                              <a:prstGeom prst="line">
                                <a:avLst/>
                              </a:prstGeom>
                              <a:ln w="9525" cap="flat" cmpd="sng">
                                <a:solidFill>
                                  <a:srgbClr val="000000"/>
                                </a:solidFill>
                                <a:prstDash val="solid"/>
                                <a:round/>
                                <a:headEnd type="none" w="med" len="med"/>
                                <a:tailEnd type="arrow" w="med" len="med"/>
                              </a:ln>
                            </wps:spPr>
                            <wps:bodyPr upright="1"/>
                          </wps:wsp>
                        </a:graphicData>
                      </a:graphic>
                    </wp:anchor>
                  </w:drawing>
                </mc:Choice>
                <mc:Fallback>
                  <w:pict>
                    <v:line id="_x0000_s1026" o:spid="_x0000_s1026" o:spt="20" style="position:absolute;left:0pt;flip:x;margin-left:137.75pt;margin-top:6.6pt;height:19.85pt;width:0.05pt;z-index:251788288;mso-width-relative:page;mso-height-relative:page;" filled="f" stroked="t" coordsize="21600,21600" o:gfxdata="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NV65VPXAAAACQEAAA8A&#10;AAAAAAAAAQAgAAAAIgAAAGRycy9kb3ducmV2LnhtbFBLAQIUABQAAAAIAIdO4kBN/9dLGAIAAAgE&#10;AAAOAAAAAAAAAAEAIAAAACYBAABkcnMvZTJvRG9jLnhtbFBLBQYAAAAABgAGAFkBAACwBQAAAAA=&#10;">
                      <v:fill on="f" focussize="0,0"/>
                      <v:stroke color="#000000" joinstyle="round" endarrow="open"/>
                      <v:imagedata o:title=""/>
                      <o:lock v:ext="edit" aspectratio="f"/>
                    </v:line>
                  </w:pict>
                </mc:Fallback>
              </mc:AlternateContent>
            </w:r>
          </w:p>
          <w:p w14:paraId="704E7B20">
            <w:pPr>
              <w:pStyle w:val="24"/>
              <w:keepNext w:val="0"/>
              <w:keepLines w:val="0"/>
              <w:pageBreakBefore w:val="0"/>
              <w:widowControl/>
              <w:kinsoku/>
              <w:wordWrap/>
              <w:overflowPunct/>
              <w:topLinePunct w:val="0"/>
              <w:autoSpaceDE/>
              <w:autoSpaceDN/>
              <w:bidi w:val="0"/>
              <w:adjustRightInd w:val="0"/>
              <w:snapToGrid w:val="0"/>
              <w:spacing w:before="0" w:beforeAutospacing="0" w:after="0" w:afterAutospacing="0" w:line="430" w:lineRule="exact"/>
              <w:ind w:firstLine="420" w:firstLineChars="200"/>
              <w:textAlignment w:val="auto"/>
              <w:rPr>
                <w:rFonts w:hint="eastAsia" w:ascii="Times New Roman" w:hAnsi="Times New Roman" w:cs="Times New Roman"/>
                <w:color w:val="auto"/>
                <w:sz w:val="21"/>
                <w:szCs w:val="21"/>
                <w:highlight w:val="none"/>
                <w:lang w:val="en-US" w:eastAsia="zh-CN"/>
              </w:rPr>
            </w:pPr>
          </w:p>
          <w:p w14:paraId="738B1DCD">
            <w:pPr>
              <w:pStyle w:val="24"/>
              <w:keepNext w:val="0"/>
              <w:keepLines w:val="0"/>
              <w:pageBreakBefore w:val="0"/>
              <w:widowControl/>
              <w:kinsoku/>
              <w:wordWrap/>
              <w:overflowPunct/>
              <w:topLinePunct w:val="0"/>
              <w:autoSpaceDE/>
              <w:autoSpaceDN/>
              <w:bidi w:val="0"/>
              <w:adjustRightInd w:val="0"/>
              <w:snapToGrid w:val="0"/>
              <w:spacing w:before="0" w:beforeAutospacing="0" w:after="0" w:afterAutospacing="0" w:line="430" w:lineRule="exact"/>
              <w:ind w:firstLine="420" w:firstLineChars="200"/>
              <w:textAlignment w:val="auto"/>
              <w:rPr>
                <w:rFonts w:hint="eastAsia" w:ascii="Times New Roman" w:hAnsi="Times New Roman" w:cs="Times New Roman"/>
                <w:color w:val="auto"/>
                <w:sz w:val="21"/>
                <w:szCs w:val="21"/>
                <w:highlight w:val="none"/>
                <w:lang w:val="en-US" w:eastAsia="zh-CN"/>
              </w:rPr>
            </w:pPr>
          </w:p>
          <w:p w14:paraId="45ADD008">
            <w:pPr>
              <w:pStyle w:val="24"/>
              <w:keepNext w:val="0"/>
              <w:keepLines w:val="0"/>
              <w:pageBreakBefore w:val="0"/>
              <w:widowControl/>
              <w:kinsoku/>
              <w:wordWrap/>
              <w:overflowPunct/>
              <w:topLinePunct w:val="0"/>
              <w:autoSpaceDE/>
              <w:autoSpaceDN/>
              <w:bidi w:val="0"/>
              <w:adjustRightInd w:val="0"/>
              <w:snapToGrid w:val="0"/>
              <w:spacing w:before="0" w:beforeAutospacing="0" w:after="0" w:afterAutospacing="0" w:line="430" w:lineRule="exact"/>
              <w:ind w:firstLine="420" w:firstLineChars="200"/>
              <w:textAlignment w:val="auto"/>
              <w:rPr>
                <w:rFonts w:hint="eastAsia" w:ascii="Times New Roman" w:hAnsi="Times New Roman" w:cs="Times New Roman"/>
                <w:color w:val="auto"/>
                <w:sz w:val="21"/>
                <w:szCs w:val="21"/>
                <w:highlight w:val="none"/>
                <w:lang w:val="en-US" w:eastAsia="zh-CN"/>
              </w:rPr>
            </w:pPr>
          </w:p>
          <w:p w14:paraId="2B9D7DF2">
            <w:pPr>
              <w:pStyle w:val="24"/>
              <w:keepNext w:val="0"/>
              <w:keepLines w:val="0"/>
              <w:pageBreakBefore w:val="0"/>
              <w:widowControl/>
              <w:kinsoku/>
              <w:wordWrap/>
              <w:overflowPunct/>
              <w:topLinePunct w:val="0"/>
              <w:autoSpaceDE/>
              <w:autoSpaceDN/>
              <w:bidi w:val="0"/>
              <w:adjustRightInd w:val="0"/>
              <w:snapToGrid w:val="0"/>
              <w:spacing w:before="0" w:beforeAutospacing="0" w:after="0" w:afterAutospacing="0" w:line="430" w:lineRule="exact"/>
              <w:ind w:firstLine="420" w:firstLineChars="200"/>
              <w:textAlignment w:val="auto"/>
              <w:rPr>
                <w:rFonts w:hint="eastAsia" w:ascii="Times New Roman" w:hAnsi="Times New Roman" w:cs="Times New Roman"/>
                <w:color w:val="auto"/>
                <w:sz w:val="21"/>
                <w:szCs w:val="21"/>
                <w:highlight w:val="none"/>
                <w:lang w:val="en-US" w:eastAsia="zh-CN"/>
              </w:rPr>
            </w:pPr>
          </w:p>
          <w:p w14:paraId="7F11BB7E">
            <w:pPr>
              <w:pStyle w:val="24"/>
              <w:keepNext w:val="0"/>
              <w:keepLines w:val="0"/>
              <w:pageBreakBefore w:val="0"/>
              <w:widowControl/>
              <w:kinsoku/>
              <w:wordWrap/>
              <w:overflowPunct/>
              <w:topLinePunct w:val="0"/>
              <w:autoSpaceDE/>
              <w:autoSpaceDN/>
              <w:bidi w:val="0"/>
              <w:adjustRightInd w:val="0"/>
              <w:snapToGrid w:val="0"/>
              <w:spacing w:before="0" w:beforeAutospacing="0" w:after="0" w:afterAutospacing="0" w:line="430" w:lineRule="exact"/>
              <w:ind w:firstLine="420" w:firstLineChars="200"/>
              <w:textAlignment w:val="auto"/>
              <w:rPr>
                <w:rFonts w:hint="eastAsia" w:ascii="Times New Roman" w:hAnsi="Times New Roman" w:cs="Times New Roman"/>
                <w:color w:val="auto"/>
                <w:sz w:val="21"/>
                <w:szCs w:val="21"/>
                <w:highlight w:val="none"/>
                <w:lang w:val="en-US" w:eastAsia="zh-CN"/>
              </w:rPr>
            </w:pPr>
          </w:p>
          <w:p w14:paraId="502FF33A">
            <w:pPr>
              <w:pStyle w:val="24"/>
              <w:keepNext w:val="0"/>
              <w:keepLines w:val="0"/>
              <w:pageBreakBefore w:val="0"/>
              <w:widowControl/>
              <w:kinsoku/>
              <w:wordWrap/>
              <w:overflowPunct/>
              <w:topLinePunct w:val="0"/>
              <w:autoSpaceDE/>
              <w:autoSpaceDN/>
              <w:bidi w:val="0"/>
              <w:adjustRightInd w:val="0"/>
              <w:snapToGrid w:val="0"/>
              <w:spacing w:before="0" w:beforeAutospacing="0" w:after="0" w:afterAutospacing="0" w:line="430" w:lineRule="exact"/>
              <w:ind w:firstLine="420" w:firstLineChars="200"/>
              <w:textAlignment w:val="auto"/>
              <w:rPr>
                <w:rFonts w:hint="eastAsia" w:ascii="Times New Roman" w:hAnsi="Times New Roman" w:cs="Times New Roman"/>
                <w:color w:val="auto"/>
                <w:sz w:val="21"/>
                <w:szCs w:val="21"/>
                <w:highlight w:val="none"/>
                <w:lang w:val="en-US" w:eastAsia="zh-CN"/>
              </w:rPr>
            </w:pPr>
          </w:p>
          <w:p w14:paraId="4B3E2217">
            <w:pPr>
              <w:pStyle w:val="24"/>
              <w:keepNext w:val="0"/>
              <w:keepLines w:val="0"/>
              <w:pageBreakBefore w:val="0"/>
              <w:widowControl/>
              <w:kinsoku/>
              <w:wordWrap/>
              <w:overflowPunct/>
              <w:topLinePunct w:val="0"/>
              <w:autoSpaceDE/>
              <w:autoSpaceDN/>
              <w:bidi w:val="0"/>
              <w:adjustRightInd w:val="0"/>
              <w:snapToGrid w:val="0"/>
              <w:spacing w:before="0" w:beforeAutospacing="0" w:after="0" w:afterAutospacing="0" w:line="430" w:lineRule="exact"/>
              <w:ind w:firstLine="420" w:firstLineChars="200"/>
              <w:textAlignment w:val="auto"/>
              <w:rPr>
                <w:rFonts w:hint="eastAsia" w:ascii="Times New Roman" w:hAnsi="Times New Roman" w:cs="Times New Roman"/>
                <w:color w:val="auto"/>
                <w:sz w:val="21"/>
                <w:szCs w:val="21"/>
                <w:highlight w:val="none"/>
                <w:lang w:val="en-US" w:eastAsia="zh-CN"/>
              </w:rPr>
            </w:pPr>
          </w:p>
          <w:p w14:paraId="4C69A105">
            <w:pPr>
              <w:pStyle w:val="24"/>
              <w:adjustRightInd w:val="0"/>
              <w:snapToGrid w:val="0"/>
              <w:spacing w:before="0" w:beforeAutospacing="0" w:after="0" w:afterAutospacing="0" w:line="440" w:lineRule="exact"/>
              <w:jc w:val="center"/>
              <w:rPr>
                <w:rFonts w:ascii="Times New Roman" w:hAnsi="Times New Roman"/>
                <w:b/>
                <w:color w:val="auto"/>
                <w:sz w:val="21"/>
                <w:szCs w:val="21"/>
              </w:rPr>
            </w:pPr>
            <w:r>
              <w:rPr>
                <w:rFonts w:hint="eastAsia" w:ascii="Times New Roman" w:hAnsi="Times New Roman"/>
                <w:b/>
                <w:color w:val="auto"/>
                <w:sz w:val="21"/>
                <w:szCs w:val="21"/>
              </w:rPr>
              <w:t>图</w:t>
            </w:r>
            <w:r>
              <w:rPr>
                <w:rFonts w:hint="eastAsia" w:ascii="Times New Roman" w:hAnsi="Times New Roman"/>
                <w:b/>
                <w:color w:val="auto"/>
                <w:sz w:val="21"/>
                <w:szCs w:val="21"/>
                <w:lang w:val="en-US" w:eastAsia="zh-CN"/>
              </w:rPr>
              <w:t>6</w:t>
            </w:r>
            <w:r>
              <w:rPr>
                <w:rFonts w:hint="eastAsia" w:ascii="Times New Roman" w:hAnsi="Times New Roman"/>
                <w:b/>
                <w:color w:val="auto"/>
                <w:sz w:val="21"/>
                <w:szCs w:val="21"/>
              </w:rPr>
              <w:t xml:space="preserve"> </w:t>
            </w:r>
            <w:r>
              <w:rPr>
                <w:rFonts w:hint="eastAsia" w:ascii="Times New Roman" w:hAnsi="Times New Roman" w:eastAsia="宋体" w:cs="Times New Roman"/>
                <w:b/>
                <w:color w:val="auto"/>
                <w:sz w:val="21"/>
                <w:szCs w:val="21"/>
                <w:lang w:val="en-US" w:eastAsia="zh-CN"/>
              </w:rPr>
              <w:t>废钢破碎尾料分选生产线</w:t>
            </w:r>
            <w:r>
              <w:rPr>
                <w:rFonts w:hint="eastAsia" w:ascii="Times New Roman" w:hAnsi="Times New Roman" w:eastAsia="宋体" w:cs="Times New Roman"/>
                <w:b/>
                <w:bCs/>
                <w:color w:val="auto"/>
                <w:sz w:val="21"/>
                <w:szCs w:val="21"/>
                <w:lang w:val="en-US" w:eastAsia="zh-CN"/>
              </w:rPr>
              <w:t>金属混合物分选工段</w:t>
            </w:r>
            <w:r>
              <w:rPr>
                <w:rFonts w:ascii="Times New Roman" w:hAnsi="Times New Roman"/>
                <w:b/>
                <w:color w:val="auto"/>
                <w:sz w:val="21"/>
                <w:szCs w:val="21"/>
              </w:rPr>
              <w:t>工艺流程及排污节点图</w:t>
            </w:r>
          </w:p>
          <w:p w14:paraId="4404429C">
            <w:pPr>
              <w:pStyle w:val="24"/>
              <w:keepNext w:val="0"/>
              <w:keepLines w:val="0"/>
              <w:pageBreakBefore w:val="0"/>
              <w:widowControl/>
              <w:kinsoku/>
              <w:wordWrap/>
              <w:overflowPunct/>
              <w:topLinePunct w:val="0"/>
              <w:autoSpaceDE/>
              <w:autoSpaceDN/>
              <w:bidi w:val="0"/>
              <w:adjustRightInd w:val="0"/>
              <w:snapToGrid w:val="0"/>
              <w:spacing w:before="0" w:beforeAutospacing="0" w:after="0" w:afterAutospacing="0" w:line="430" w:lineRule="exact"/>
              <w:ind w:firstLine="422" w:firstLineChars="200"/>
              <w:textAlignment w:val="auto"/>
              <w:rPr>
                <w:rFonts w:hint="default" w:ascii="Times New Roman" w:hAnsi="Times New Roman" w:eastAsia="宋体"/>
                <w:b/>
                <w:bCs/>
                <w:color w:val="auto"/>
                <w:sz w:val="21"/>
                <w:szCs w:val="21"/>
                <w:lang w:val="en-US" w:eastAsia="zh-CN"/>
              </w:rPr>
            </w:pPr>
            <w:r>
              <w:rPr>
                <w:rFonts w:hint="eastAsia" w:ascii="Times New Roman" w:hAnsi="Times New Roman"/>
                <w:b/>
                <w:bCs/>
                <w:color w:val="auto"/>
                <w:sz w:val="21"/>
                <w:szCs w:val="21"/>
                <w:lang w:val="en-US" w:eastAsia="zh-CN"/>
              </w:rPr>
              <w:t>3.污水处理</w:t>
            </w:r>
            <w:r>
              <w:rPr>
                <w:rFonts w:hint="eastAsia" w:ascii="Times New Roman" w:hAnsi="Times New Roman"/>
                <w:b/>
                <w:color w:val="auto"/>
                <w:sz w:val="21"/>
                <w:szCs w:val="21"/>
              </w:rPr>
              <w:t>工艺流程简介</w:t>
            </w:r>
          </w:p>
          <w:p w14:paraId="39D272D4">
            <w:pPr>
              <w:pStyle w:val="24"/>
              <w:keepNext w:val="0"/>
              <w:keepLines w:val="0"/>
              <w:pageBreakBefore w:val="0"/>
              <w:widowControl/>
              <w:kinsoku/>
              <w:wordWrap/>
              <w:overflowPunct/>
              <w:topLinePunct w:val="0"/>
              <w:autoSpaceDE/>
              <w:autoSpaceDN/>
              <w:bidi w:val="0"/>
              <w:adjustRightInd w:val="0"/>
              <w:snapToGrid w:val="0"/>
              <w:spacing w:before="0" w:beforeAutospacing="0" w:after="0" w:afterAutospacing="0" w:line="430" w:lineRule="exact"/>
              <w:ind w:firstLine="420" w:firstLineChars="200"/>
              <w:textAlignment w:val="auto"/>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各料池产生的溢流水经集水沟收集后，流入污水池，由渣浆泵将污水池中污水打入</w:t>
            </w:r>
            <w:r>
              <w:rPr>
                <w:rFonts w:hint="eastAsia" w:ascii="Times New Roman" w:hAnsi="Times New Roman" w:cs="Times New Roman"/>
                <w:color w:val="auto"/>
                <w:sz w:val="21"/>
                <w:szCs w:val="21"/>
                <w:highlight w:val="none"/>
                <w:lang w:val="en-US" w:eastAsia="zh-CN"/>
              </w:rPr>
              <w:t>沉淀池，</w:t>
            </w:r>
            <w:r>
              <w:rPr>
                <w:rFonts w:hint="eastAsia" w:ascii="Times New Roman" w:hAnsi="Times New Roman" w:eastAsia="宋体" w:cs="Times New Roman"/>
                <w:color w:val="auto"/>
                <w:sz w:val="21"/>
                <w:szCs w:val="21"/>
                <w:highlight w:val="none"/>
                <w:lang w:val="en-US" w:eastAsia="zh-CN"/>
              </w:rPr>
              <w:t>废钢破碎尾料分选生产线漂洗船、甩干机、高钙机产生的废水与钢渣处理生产线脱水筛、过滤机产生的废水通过管道进入</w:t>
            </w:r>
            <w:r>
              <w:rPr>
                <w:rFonts w:hint="eastAsia" w:ascii="Times New Roman" w:hAnsi="Times New Roman" w:cs="Times New Roman"/>
                <w:color w:val="auto"/>
                <w:sz w:val="21"/>
                <w:szCs w:val="21"/>
                <w:highlight w:val="none"/>
                <w:lang w:val="en-US" w:eastAsia="zh-CN"/>
              </w:rPr>
              <w:t>沉淀池，废水在沉淀池沉淀后，在由</w:t>
            </w:r>
            <w:r>
              <w:rPr>
                <w:rFonts w:hint="eastAsia" w:ascii="Times New Roman" w:hAnsi="Times New Roman" w:eastAsia="宋体" w:cs="Times New Roman"/>
                <w:color w:val="auto"/>
                <w:sz w:val="21"/>
                <w:szCs w:val="21"/>
                <w:highlight w:val="none"/>
                <w:lang w:val="en-US" w:eastAsia="zh-CN"/>
              </w:rPr>
              <w:t>渣浆泵将</w:t>
            </w:r>
            <w:r>
              <w:rPr>
                <w:rFonts w:hint="eastAsia" w:ascii="Times New Roman" w:hAnsi="Times New Roman" w:cs="Times New Roman"/>
                <w:color w:val="auto"/>
                <w:sz w:val="21"/>
                <w:szCs w:val="21"/>
                <w:highlight w:val="none"/>
                <w:lang w:val="en-US" w:eastAsia="zh-CN"/>
              </w:rPr>
              <w:t>沉淀</w:t>
            </w:r>
            <w:r>
              <w:rPr>
                <w:rFonts w:hint="eastAsia" w:ascii="Times New Roman" w:hAnsi="Times New Roman" w:eastAsia="宋体" w:cs="Times New Roman"/>
                <w:color w:val="auto"/>
                <w:sz w:val="21"/>
                <w:szCs w:val="21"/>
                <w:highlight w:val="none"/>
                <w:lang w:val="en-US" w:eastAsia="zh-CN"/>
              </w:rPr>
              <w:t>池中污水打入浓缩罐</w:t>
            </w:r>
            <w:r>
              <w:rPr>
                <w:rFonts w:hint="eastAsia" w:ascii="Times New Roman" w:hAnsi="Times New Roman" w:cs="Times New Roman"/>
                <w:color w:val="auto"/>
                <w:sz w:val="21"/>
                <w:szCs w:val="21"/>
                <w:highlight w:val="none"/>
                <w:lang w:val="en-US" w:eastAsia="zh-CN"/>
              </w:rPr>
              <w:t>，</w:t>
            </w:r>
            <w:r>
              <w:rPr>
                <w:rFonts w:hint="eastAsia" w:ascii="Times New Roman" w:hAnsi="Times New Roman" w:eastAsia="宋体" w:cs="Times New Roman"/>
                <w:color w:val="auto"/>
                <w:sz w:val="21"/>
                <w:szCs w:val="21"/>
                <w:highlight w:val="none"/>
                <w:lang w:val="en-US" w:eastAsia="zh-CN"/>
              </w:rPr>
              <w:t>以上废水经浓缩罐</w:t>
            </w:r>
            <w:r>
              <w:rPr>
                <w:rFonts w:hint="eastAsia" w:ascii="Times New Roman" w:hAnsi="Times New Roman" w:cs="Times New Roman"/>
                <w:color w:val="auto"/>
                <w:sz w:val="21"/>
                <w:szCs w:val="21"/>
                <w:highlight w:val="none"/>
                <w:lang w:val="en-US" w:eastAsia="zh-CN"/>
              </w:rPr>
              <w:t>加药</w:t>
            </w:r>
            <w:r>
              <w:rPr>
                <w:rFonts w:hint="eastAsia" w:ascii="Times New Roman" w:hAnsi="Times New Roman" w:eastAsia="宋体" w:cs="Times New Roman"/>
                <w:color w:val="auto"/>
                <w:sz w:val="21"/>
                <w:szCs w:val="21"/>
                <w:highlight w:val="none"/>
                <w:lang w:val="en-US" w:eastAsia="zh-CN"/>
              </w:rPr>
              <w:t>浓缩后，上清液进入清水池，</w:t>
            </w:r>
            <w:r>
              <w:rPr>
                <w:rFonts w:hint="eastAsia" w:ascii="Times New Roman" w:hAnsi="Times New Roman" w:cs="Times New Roman"/>
                <w:color w:val="auto"/>
                <w:sz w:val="21"/>
                <w:szCs w:val="21"/>
                <w:highlight w:val="none"/>
                <w:lang w:val="en-US" w:eastAsia="zh-CN"/>
              </w:rPr>
              <w:t>之后经清水泵</w:t>
            </w:r>
            <w:r>
              <w:rPr>
                <w:rFonts w:hint="eastAsia" w:ascii="Times New Roman" w:hAnsi="Times New Roman" w:eastAsia="宋体" w:cs="Times New Roman"/>
                <w:color w:val="auto"/>
                <w:sz w:val="21"/>
                <w:szCs w:val="21"/>
                <w:highlight w:val="none"/>
                <w:lang w:val="en-US" w:eastAsia="zh-CN"/>
              </w:rPr>
              <w:t>回用于生产，底部浆液经渣浆泵打入板框压滤机进行压滤，产生的泥饼暂存于压滤机底部污泥存储料斗内，压滤后的清水进入清水池，</w:t>
            </w:r>
            <w:r>
              <w:rPr>
                <w:rFonts w:hint="eastAsia" w:ascii="Times New Roman" w:hAnsi="Times New Roman" w:cs="Times New Roman"/>
                <w:color w:val="auto"/>
                <w:sz w:val="21"/>
                <w:szCs w:val="21"/>
                <w:highlight w:val="none"/>
                <w:lang w:val="en-US" w:eastAsia="zh-CN"/>
              </w:rPr>
              <w:t>之后经清水泵</w:t>
            </w:r>
            <w:r>
              <w:rPr>
                <w:rFonts w:hint="eastAsia" w:ascii="Times New Roman" w:hAnsi="Times New Roman" w:eastAsia="宋体" w:cs="Times New Roman"/>
                <w:color w:val="auto"/>
                <w:sz w:val="21"/>
                <w:szCs w:val="21"/>
                <w:highlight w:val="none"/>
                <w:lang w:val="en-US" w:eastAsia="zh-CN"/>
              </w:rPr>
              <w:t>回用于生产。</w:t>
            </w:r>
          </w:p>
          <w:p w14:paraId="5A934448">
            <w:pPr>
              <w:pStyle w:val="24"/>
              <w:keepNext w:val="0"/>
              <w:keepLines w:val="0"/>
              <w:pageBreakBefore w:val="0"/>
              <w:widowControl/>
              <w:kinsoku/>
              <w:wordWrap/>
              <w:overflowPunct/>
              <w:topLinePunct w:val="0"/>
              <w:autoSpaceDE/>
              <w:autoSpaceDN/>
              <w:bidi w:val="0"/>
              <w:adjustRightInd w:val="0"/>
              <w:snapToGrid w:val="0"/>
              <w:spacing w:before="0" w:beforeAutospacing="0" w:after="0" w:afterAutospacing="0" w:line="430" w:lineRule="exact"/>
              <w:ind w:firstLine="422" w:firstLineChars="200"/>
              <w:textAlignment w:val="auto"/>
              <w:rPr>
                <w:rFonts w:hint="eastAsia" w:ascii="Times New Roman" w:hAnsi="Times New Roman"/>
                <w:b/>
                <w:bCs/>
                <w:color w:val="auto"/>
                <w:sz w:val="21"/>
                <w:szCs w:val="21"/>
              </w:rPr>
            </w:pPr>
            <w:r>
              <w:rPr>
                <w:rFonts w:ascii="Times New Roman" w:hAnsi="Times New Roman"/>
                <w:b/>
                <w:bCs/>
                <w:color w:val="auto"/>
                <w:sz w:val="21"/>
                <w:szCs w:val="21"/>
              </w:rPr>
              <w:t>本工序产污节点：</w:t>
            </w:r>
            <w:r>
              <w:rPr>
                <w:rFonts w:hint="eastAsia" w:ascii="Times New Roman" w:hAnsi="Times New Roman"/>
                <w:b/>
                <w:bCs/>
                <w:color w:val="auto"/>
                <w:sz w:val="21"/>
                <w:szCs w:val="21"/>
              </w:rPr>
              <w:t>板框压滤机、渣浆泵、</w:t>
            </w:r>
            <w:r>
              <w:rPr>
                <w:rFonts w:hint="eastAsia" w:ascii="Times New Roman" w:hAnsi="Times New Roman"/>
                <w:b/>
                <w:bCs/>
                <w:color w:val="auto"/>
                <w:sz w:val="21"/>
                <w:szCs w:val="21"/>
                <w:lang w:val="en-US" w:eastAsia="zh-CN"/>
              </w:rPr>
              <w:t>清水</w:t>
            </w:r>
            <w:r>
              <w:rPr>
                <w:rFonts w:hint="eastAsia" w:ascii="Times New Roman" w:hAnsi="Times New Roman"/>
                <w:b/>
                <w:bCs/>
                <w:color w:val="auto"/>
                <w:sz w:val="21"/>
                <w:szCs w:val="21"/>
              </w:rPr>
              <w:t>泵运行产生的设备噪声；</w:t>
            </w:r>
            <w:r>
              <w:rPr>
                <w:rFonts w:hint="eastAsia" w:ascii="Times New Roman" w:hAnsi="Times New Roman"/>
                <w:b/>
                <w:bCs/>
                <w:color w:val="auto"/>
                <w:sz w:val="21"/>
                <w:szCs w:val="21"/>
                <w:lang w:val="en-US" w:eastAsia="zh-CN"/>
              </w:rPr>
              <w:t>辅料拆包产生的废包装袋、沉淀池产生的污泥、</w:t>
            </w:r>
            <w:r>
              <w:rPr>
                <w:rFonts w:hint="eastAsia" w:ascii="Times New Roman" w:hAnsi="Times New Roman"/>
                <w:b/>
                <w:bCs/>
                <w:color w:val="auto"/>
                <w:sz w:val="21"/>
                <w:szCs w:val="21"/>
              </w:rPr>
              <w:t>板框压滤机产生的泥饼</w:t>
            </w:r>
            <w:r>
              <w:rPr>
                <w:rFonts w:hint="eastAsia" w:ascii="Times New Roman" w:hAnsi="Times New Roman"/>
                <w:b/>
                <w:bCs/>
                <w:color w:val="auto"/>
                <w:sz w:val="21"/>
                <w:szCs w:val="21"/>
                <w:lang w:val="en-US" w:eastAsia="zh-CN"/>
              </w:rPr>
              <w:t>及废滤布</w:t>
            </w:r>
            <w:r>
              <w:rPr>
                <w:rFonts w:hint="eastAsia" w:ascii="Times New Roman" w:hAnsi="Times New Roman"/>
                <w:b/>
                <w:bCs/>
                <w:color w:val="auto"/>
                <w:sz w:val="21"/>
                <w:szCs w:val="21"/>
              </w:rPr>
              <w:t>。</w:t>
            </w:r>
          </w:p>
          <w:p w14:paraId="013D357D">
            <w:pPr>
              <w:pStyle w:val="24"/>
              <w:keepNext w:val="0"/>
              <w:keepLines w:val="0"/>
              <w:pageBreakBefore w:val="0"/>
              <w:widowControl/>
              <w:kinsoku/>
              <w:wordWrap/>
              <w:overflowPunct/>
              <w:topLinePunct w:val="0"/>
              <w:autoSpaceDE/>
              <w:autoSpaceDN/>
              <w:bidi w:val="0"/>
              <w:adjustRightInd w:val="0"/>
              <w:snapToGrid w:val="0"/>
              <w:spacing w:before="0" w:beforeAutospacing="0" w:after="0" w:afterAutospacing="0" w:line="430" w:lineRule="exact"/>
              <w:ind w:firstLine="422" w:firstLineChars="200"/>
              <w:textAlignment w:val="auto"/>
              <w:rPr>
                <w:rFonts w:hint="eastAsia" w:ascii="Times New Roman" w:hAnsi="Times New Roman"/>
                <w:b/>
                <w:bCs/>
                <w:color w:val="auto"/>
                <w:sz w:val="21"/>
                <w:szCs w:val="21"/>
              </w:rPr>
            </w:pPr>
          </w:p>
          <w:p w14:paraId="1B2F50DD">
            <w:pPr>
              <w:pStyle w:val="24"/>
              <w:keepNext w:val="0"/>
              <w:keepLines w:val="0"/>
              <w:pageBreakBefore w:val="0"/>
              <w:widowControl/>
              <w:kinsoku/>
              <w:wordWrap/>
              <w:overflowPunct/>
              <w:topLinePunct w:val="0"/>
              <w:autoSpaceDE/>
              <w:autoSpaceDN/>
              <w:bidi w:val="0"/>
              <w:adjustRightInd w:val="0"/>
              <w:snapToGrid w:val="0"/>
              <w:spacing w:before="0" w:beforeAutospacing="0" w:after="0" w:afterAutospacing="0" w:line="430" w:lineRule="exact"/>
              <w:ind w:firstLine="422" w:firstLineChars="200"/>
              <w:textAlignment w:val="auto"/>
              <w:rPr>
                <w:rFonts w:hint="eastAsia" w:ascii="Times New Roman" w:hAnsi="Times New Roman"/>
                <w:b/>
                <w:bCs/>
                <w:color w:val="auto"/>
                <w:sz w:val="21"/>
                <w:szCs w:val="21"/>
              </w:rPr>
            </w:pPr>
          </w:p>
          <w:p w14:paraId="2EA16B07">
            <w:pPr>
              <w:pStyle w:val="24"/>
              <w:keepNext w:val="0"/>
              <w:keepLines w:val="0"/>
              <w:pageBreakBefore w:val="0"/>
              <w:widowControl/>
              <w:kinsoku/>
              <w:wordWrap/>
              <w:overflowPunct/>
              <w:topLinePunct w:val="0"/>
              <w:autoSpaceDE/>
              <w:autoSpaceDN/>
              <w:bidi w:val="0"/>
              <w:adjustRightInd w:val="0"/>
              <w:snapToGrid w:val="0"/>
              <w:spacing w:before="0" w:beforeAutospacing="0" w:after="0" w:afterAutospacing="0" w:line="430" w:lineRule="exact"/>
              <w:ind w:firstLine="422" w:firstLineChars="200"/>
              <w:textAlignment w:val="auto"/>
              <w:rPr>
                <w:rFonts w:hint="eastAsia" w:ascii="Times New Roman" w:hAnsi="Times New Roman"/>
                <w:b/>
                <w:bCs/>
                <w:color w:val="auto"/>
                <w:sz w:val="21"/>
                <w:szCs w:val="21"/>
              </w:rPr>
            </w:pPr>
          </w:p>
          <w:p w14:paraId="4D0A6DEB">
            <w:pPr>
              <w:pStyle w:val="24"/>
              <w:keepNext w:val="0"/>
              <w:keepLines w:val="0"/>
              <w:pageBreakBefore w:val="0"/>
              <w:widowControl/>
              <w:kinsoku/>
              <w:wordWrap/>
              <w:overflowPunct/>
              <w:topLinePunct w:val="0"/>
              <w:autoSpaceDE/>
              <w:autoSpaceDN/>
              <w:bidi w:val="0"/>
              <w:adjustRightInd w:val="0"/>
              <w:snapToGrid w:val="0"/>
              <w:spacing w:before="0" w:beforeAutospacing="0" w:after="0" w:afterAutospacing="0" w:line="430" w:lineRule="exact"/>
              <w:ind w:firstLine="422" w:firstLineChars="200"/>
              <w:textAlignment w:val="auto"/>
              <w:rPr>
                <w:rFonts w:hint="eastAsia" w:ascii="Times New Roman" w:hAnsi="Times New Roman"/>
                <w:b/>
                <w:bCs/>
                <w:color w:val="auto"/>
                <w:sz w:val="21"/>
                <w:szCs w:val="21"/>
              </w:rPr>
            </w:pPr>
          </w:p>
          <w:p w14:paraId="2E3D9CEF">
            <w:pPr>
              <w:pStyle w:val="24"/>
              <w:keepNext w:val="0"/>
              <w:keepLines w:val="0"/>
              <w:pageBreakBefore w:val="0"/>
              <w:widowControl/>
              <w:kinsoku/>
              <w:wordWrap/>
              <w:overflowPunct/>
              <w:topLinePunct w:val="0"/>
              <w:autoSpaceDE/>
              <w:autoSpaceDN/>
              <w:bidi w:val="0"/>
              <w:adjustRightInd w:val="0"/>
              <w:snapToGrid w:val="0"/>
              <w:spacing w:before="0" w:beforeAutospacing="0" w:after="0" w:afterAutospacing="0" w:line="430" w:lineRule="exact"/>
              <w:ind w:firstLine="422" w:firstLineChars="200"/>
              <w:textAlignment w:val="auto"/>
              <w:rPr>
                <w:rFonts w:hint="eastAsia" w:ascii="Times New Roman" w:hAnsi="Times New Roman"/>
                <w:b/>
                <w:bCs/>
                <w:color w:val="auto"/>
                <w:sz w:val="21"/>
                <w:szCs w:val="21"/>
              </w:rPr>
            </w:pPr>
          </w:p>
          <w:p w14:paraId="1FAF9504">
            <w:pPr>
              <w:pStyle w:val="24"/>
              <w:keepNext w:val="0"/>
              <w:keepLines w:val="0"/>
              <w:pageBreakBefore w:val="0"/>
              <w:widowControl/>
              <w:kinsoku/>
              <w:wordWrap/>
              <w:overflowPunct/>
              <w:topLinePunct w:val="0"/>
              <w:autoSpaceDE/>
              <w:autoSpaceDN/>
              <w:bidi w:val="0"/>
              <w:adjustRightInd w:val="0"/>
              <w:snapToGrid w:val="0"/>
              <w:spacing w:before="0" w:beforeAutospacing="0" w:after="0" w:afterAutospacing="0" w:line="430" w:lineRule="exact"/>
              <w:ind w:firstLine="422" w:firstLineChars="200"/>
              <w:textAlignment w:val="auto"/>
              <w:rPr>
                <w:rFonts w:hint="eastAsia" w:ascii="Times New Roman" w:hAnsi="Times New Roman"/>
                <w:b/>
                <w:bCs/>
                <w:color w:val="auto"/>
                <w:sz w:val="21"/>
                <w:szCs w:val="21"/>
              </w:rPr>
            </w:pPr>
          </w:p>
          <w:p w14:paraId="7D94C988">
            <w:pPr>
              <w:pStyle w:val="24"/>
              <w:keepNext w:val="0"/>
              <w:keepLines w:val="0"/>
              <w:pageBreakBefore w:val="0"/>
              <w:widowControl/>
              <w:kinsoku/>
              <w:wordWrap/>
              <w:overflowPunct/>
              <w:topLinePunct w:val="0"/>
              <w:autoSpaceDE/>
              <w:autoSpaceDN/>
              <w:bidi w:val="0"/>
              <w:adjustRightInd w:val="0"/>
              <w:snapToGrid w:val="0"/>
              <w:spacing w:before="0" w:beforeAutospacing="0" w:after="0" w:afterAutospacing="0" w:line="430" w:lineRule="exact"/>
              <w:ind w:firstLine="420" w:firstLineChars="200"/>
              <w:textAlignment w:val="auto"/>
              <w:rPr>
                <w:rFonts w:hint="eastAsia" w:ascii="Times New Roman" w:hAnsi="Times New Roman"/>
                <w:b/>
                <w:bCs/>
                <w:color w:val="auto"/>
                <w:sz w:val="21"/>
                <w:szCs w:val="21"/>
              </w:rPr>
            </w:pPr>
            <w:r>
              <w:rPr>
                <w:color w:val="auto"/>
                <w:sz w:val="21"/>
              </w:rPr>
              <mc:AlternateContent>
                <mc:Choice Requires="wpg">
                  <w:drawing>
                    <wp:anchor distT="0" distB="0" distL="114300" distR="114300" simplePos="0" relativeHeight="251876352" behindDoc="0" locked="0" layoutInCell="1" allowOverlap="1">
                      <wp:simplePos x="0" y="0"/>
                      <wp:positionH relativeFrom="column">
                        <wp:posOffset>465455</wp:posOffset>
                      </wp:positionH>
                      <wp:positionV relativeFrom="paragraph">
                        <wp:posOffset>115570</wp:posOffset>
                      </wp:positionV>
                      <wp:extent cx="3989070" cy="1490980"/>
                      <wp:effectExtent l="0" t="0" r="11430" b="11430"/>
                      <wp:wrapNone/>
                      <wp:docPr id="252" name="组合 252"/>
                      <wp:cNvGraphicFramePr/>
                      <a:graphic xmlns:a="http://schemas.openxmlformats.org/drawingml/2006/main">
                        <a:graphicData uri="http://schemas.microsoft.com/office/word/2010/wordprocessingGroup">
                          <wpg:wgp>
                            <wpg:cNvGrpSpPr/>
                            <wpg:grpSpPr>
                              <a:xfrm>
                                <a:off x="0" y="0"/>
                                <a:ext cx="3989070" cy="1490980"/>
                                <a:chOff x="7359" y="847965"/>
                                <a:chExt cx="6282" cy="2348"/>
                              </a:xfrm>
                            </wpg:grpSpPr>
                            <wps:wsp>
                              <wps:cNvPr id="141" name="文本框 141"/>
                              <wps:cNvSpPr txBox="1"/>
                              <wps:spPr>
                                <a:xfrm>
                                  <a:off x="7485" y="849096"/>
                                  <a:ext cx="893" cy="378"/>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3D1F08AF">
                                    <w:pPr>
                                      <w:keepNext w:val="0"/>
                                      <w:keepLines w:val="0"/>
                                      <w:pageBreakBefore w:val="0"/>
                                      <w:widowControl w:val="0"/>
                                      <w:kinsoku/>
                                      <w:wordWrap/>
                                      <w:overflowPunct/>
                                      <w:topLinePunct w:val="0"/>
                                      <w:bidi w:val="0"/>
                                      <w:adjustRightInd/>
                                      <w:snapToGrid/>
                                      <w:spacing w:line="220" w:lineRule="exact"/>
                                      <w:jc w:val="center"/>
                                      <w:textAlignment w:val="auto"/>
                                      <w:rPr>
                                        <w:rFonts w:hint="default" w:ascii="Times New Roman" w:hAnsi="Times New Roman" w:eastAsia="宋体" w:cs="Times New Roman"/>
                                        <w:sz w:val="18"/>
                                        <w:szCs w:val="18"/>
                                        <w:lang w:val="en-US" w:eastAsia="zh-CN"/>
                                      </w:rPr>
                                    </w:pPr>
                                    <w:r>
                                      <w:rPr>
                                        <w:rFonts w:hint="eastAsia" w:cs="Times New Roman"/>
                                        <w:sz w:val="18"/>
                                        <w:szCs w:val="18"/>
                                        <w:lang w:val="en-US" w:eastAsia="zh-CN"/>
                                      </w:rPr>
                                      <w:t>污水池</w:t>
                                    </w:r>
                                  </w:p>
                                </w:txbxContent>
                              </wps:txbx>
                              <wps:bodyPr upright="1"/>
                            </wps:wsp>
                            <wps:wsp>
                              <wps:cNvPr id="148" name="直接连接符 148"/>
                              <wps:cNvCnPr/>
                              <wps:spPr>
                                <a:xfrm flipH="1">
                                  <a:off x="7974" y="848705"/>
                                  <a:ext cx="1" cy="397"/>
                                </a:xfrm>
                                <a:prstGeom prst="line">
                                  <a:avLst/>
                                </a:prstGeom>
                                <a:ln w="9525" cap="flat" cmpd="sng">
                                  <a:solidFill>
                                    <a:srgbClr val="000000"/>
                                  </a:solidFill>
                                  <a:prstDash val="solid"/>
                                  <a:round/>
                                  <a:headEnd type="none" w="med" len="med"/>
                                  <a:tailEnd type="arrow" w="med" len="med"/>
                                </a:ln>
                              </wps:spPr>
                              <wps:bodyPr upright="1"/>
                            </wps:wsp>
                            <wps:wsp>
                              <wps:cNvPr id="149" name="文本框 149"/>
                              <wps:cNvSpPr txBox="1"/>
                              <wps:spPr>
                                <a:xfrm>
                                  <a:off x="7359" y="848384"/>
                                  <a:ext cx="1501" cy="427"/>
                                </a:xfrm>
                                <a:prstGeom prst="rect">
                                  <a:avLst/>
                                </a:prstGeom>
                                <a:noFill/>
                                <a:ln>
                                  <a:noFill/>
                                </a:ln>
                              </wps:spPr>
                              <wps:txbx>
                                <w:txbxContent>
                                  <w:p w14:paraId="5CEB33FF">
                                    <w:pPr>
                                      <w:keepNext w:val="0"/>
                                      <w:keepLines w:val="0"/>
                                      <w:pageBreakBefore w:val="0"/>
                                      <w:widowControl w:val="0"/>
                                      <w:kinsoku/>
                                      <w:wordWrap/>
                                      <w:overflowPunct/>
                                      <w:topLinePunct w:val="0"/>
                                      <w:bidi w:val="0"/>
                                      <w:adjustRightInd/>
                                      <w:snapToGrid/>
                                      <w:spacing w:line="220" w:lineRule="exact"/>
                                      <w:jc w:val="both"/>
                                      <w:textAlignment w:val="auto"/>
                                      <w:rPr>
                                        <w:rFonts w:hint="default" w:ascii="Times New Roman" w:hAnsi="Times New Roman" w:eastAsia="宋体" w:cs="Times New Roman"/>
                                        <w:b w:val="0"/>
                                        <w:bCs w:val="0"/>
                                        <w:sz w:val="15"/>
                                        <w:szCs w:val="15"/>
                                        <w:lang w:val="en-US" w:eastAsia="zh-CN"/>
                                      </w:rPr>
                                    </w:pPr>
                                    <w:r>
                                      <w:rPr>
                                        <w:rFonts w:hint="eastAsia" w:cs="Times New Roman"/>
                                        <w:b w:val="0"/>
                                        <w:bCs w:val="0"/>
                                        <w:sz w:val="15"/>
                                        <w:szCs w:val="15"/>
                                        <w:lang w:val="en-US" w:eastAsia="zh-CN"/>
                                      </w:rPr>
                                      <w:t>各料池溢流水</w:t>
                                    </w:r>
                                  </w:p>
                                </w:txbxContent>
                              </wps:txbx>
                              <wps:bodyPr upright="1"/>
                            </wps:wsp>
                            <wps:wsp>
                              <wps:cNvPr id="154" name="直接连接符 154"/>
                              <wps:cNvCnPr/>
                              <wps:spPr>
                                <a:xfrm>
                                  <a:off x="8389" y="849291"/>
                                  <a:ext cx="680" cy="1"/>
                                </a:xfrm>
                                <a:prstGeom prst="line">
                                  <a:avLst/>
                                </a:prstGeom>
                                <a:ln w="9525" cap="flat" cmpd="sng">
                                  <a:solidFill>
                                    <a:srgbClr val="000000"/>
                                  </a:solidFill>
                                  <a:prstDash val="solid"/>
                                  <a:round/>
                                  <a:headEnd type="none" w="med" len="med"/>
                                  <a:tailEnd type="arrow" w="med" len="med"/>
                                </a:ln>
                              </wps:spPr>
                              <wps:bodyPr upright="1"/>
                            </wps:wsp>
                            <wps:wsp>
                              <wps:cNvPr id="172" name="直接箭头连接符 50"/>
                              <wps:cNvCnPr/>
                              <wps:spPr>
                                <a:xfrm flipH="1" flipV="1">
                                  <a:off x="8239" y="848857"/>
                                  <a:ext cx="1" cy="227"/>
                                </a:xfrm>
                                <a:prstGeom prst="straightConnector1">
                                  <a:avLst/>
                                </a:prstGeom>
                                <a:ln w="9525" cap="flat" cmpd="sng">
                                  <a:solidFill>
                                    <a:srgbClr val="000000"/>
                                  </a:solidFill>
                                  <a:prstDash val="dash"/>
                                  <a:headEnd type="none" w="med" len="med"/>
                                  <a:tailEnd type="arrow" w="sm" len="sm"/>
                                </a:ln>
                              </wps:spPr>
                              <wps:bodyPr/>
                            </wps:wsp>
                            <wps:wsp>
                              <wps:cNvPr id="173" name="矩形 49"/>
                              <wps:cNvSpPr/>
                              <wps:spPr>
                                <a:xfrm>
                                  <a:off x="8027" y="848611"/>
                                  <a:ext cx="445" cy="336"/>
                                </a:xfrm>
                                <a:prstGeom prst="rect">
                                  <a:avLst/>
                                </a:prstGeom>
                                <a:noFill/>
                                <a:ln>
                                  <a:noFill/>
                                </a:ln>
                              </wps:spPr>
                              <wps:txbx>
                                <w:txbxContent>
                                  <w:p w14:paraId="1D4277D9">
                                    <w:pPr>
                                      <w:spacing w:line="0" w:lineRule="atLeast"/>
                                      <w:jc w:val="center"/>
                                      <w:rPr>
                                        <w:rFonts w:hint="default" w:eastAsia="宋体"/>
                                        <w:sz w:val="15"/>
                                        <w:szCs w:val="15"/>
                                        <w:lang w:val="en-US" w:eastAsia="zh-CN"/>
                                      </w:rPr>
                                    </w:pPr>
                                    <w:r>
                                      <w:rPr>
                                        <w:rFonts w:hint="eastAsia"/>
                                        <w:sz w:val="15"/>
                                        <w:szCs w:val="15"/>
                                      </w:rPr>
                                      <w:t>N</w:t>
                                    </w:r>
                                  </w:p>
                                </w:txbxContent>
                              </wps:txbx>
                              <wps:bodyPr wrap="square" upright="1">
                                <a:noAutofit/>
                              </wps:bodyPr>
                            </wps:wsp>
                            <wps:wsp>
                              <wps:cNvPr id="179" name="文本框 179"/>
                              <wps:cNvSpPr txBox="1"/>
                              <wps:spPr>
                                <a:xfrm>
                                  <a:off x="8417" y="848985"/>
                                  <a:ext cx="657" cy="427"/>
                                </a:xfrm>
                                <a:prstGeom prst="rect">
                                  <a:avLst/>
                                </a:prstGeom>
                                <a:noFill/>
                                <a:ln>
                                  <a:noFill/>
                                </a:ln>
                              </wps:spPr>
                              <wps:txbx>
                                <w:txbxContent>
                                  <w:p w14:paraId="08368355">
                                    <w:pPr>
                                      <w:keepNext w:val="0"/>
                                      <w:keepLines w:val="0"/>
                                      <w:pageBreakBefore w:val="0"/>
                                      <w:widowControl w:val="0"/>
                                      <w:kinsoku/>
                                      <w:wordWrap/>
                                      <w:overflowPunct/>
                                      <w:topLinePunct w:val="0"/>
                                      <w:bidi w:val="0"/>
                                      <w:adjustRightInd/>
                                      <w:snapToGrid/>
                                      <w:spacing w:line="220" w:lineRule="exact"/>
                                      <w:jc w:val="both"/>
                                      <w:textAlignment w:val="auto"/>
                                      <w:rPr>
                                        <w:rFonts w:hint="default" w:ascii="Times New Roman" w:hAnsi="Times New Roman" w:eastAsia="宋体" w:cs="Times New Roman"/>
                                        <w:b w:val="0"/>
                                        <w:bCs w:val="0"/>
                                        <w:sz w:val="15"/>
                                        <w:szCs w:val="15"/>
                                        <w:lang w:val="en-US" w:eastAsia="zh-CN"/>
                                      </w:rPr>
                                    </w:pPr>
                                    <w:r>
                                      <w:rPr>
                                        <w:rFonts w:hint="eastAsia" w:cs="Times New Roman"/>
                                        <w:b w:val="0"/>
                                        <w:bCs w:val="0"/>
                                        <w:sz w:val="15"/>
                                        <w:szCs w:val="15"/>
                                        <w:lang w:val="en-US" w:eastAsia="zh-CN"/>
                                      </w:rPr>
                                      <w:t>污水</w:t>
                                    </w:r>
                                  </w:p>
                                </w:txbxContent>
                              </wps:txbx>
                              <wps:bodyPr upright="1"/>
                            </wps:wsp>
                            <wps:wsp>
                              <wps:cNvPr id="159" name="直接连接符 159"/>
                              <wps:cNvCnPr/>
                              <wps:spPr>
                                <a:xfrm flipH="1">
                                  <a:off x="9558" y="848737"/>
                                  <a:ext cx="1" cy="397"/>
                                </a:xfrm>
                                <a:prstGeom prst="line">
                                  <a:avLst/>
                                </a:prstGeom>
                                <a:ln w="9525" cap="flat" cmpd="sng">
                                  <a:solidFill>
                                    <a:srgbClr val="000000"/>
                                  </a:solidFill>
                                  <a:prstDash val="solid"/>
                                  <a:round/>
                                  <a:headEnd type="none" w="med" len="med"/>
                                  <a:tailEnd type="arrow" w="med" len="med"/>
                                </a:ln>
                              </wps:spPr>
                              <wps:bodyPr upright="1"/>
                            </wps:wsp>
                            <wps:wsp>
                              <wps:cNvPr id="160" name="文本框 160"/>
                              <wps:cNvSpPr txBox="1"/>
                              <wps:spPr>
                                <a:xfrm>
                                  <a:off x="8692" y="847965"/>
                                  <a:ext cx="1828" cy="809"/>
                                </a:xfrm>
                                <a:prstGeom prst="rect">
                                  <a:avLst/>
                                </a:prstGeom>
                                <a:noFill/>
                                <a:ln>
                                  <a:noFill/>
                                </a:ln>
                              </wps:spPr>
                              <wps:txbx>
                                <w:txbxContent>
                                  <w:p w14:paraId="46511BBD">
                                    <w:pPr>
                                      <w:keepNext w:val="0"/>
                                      <w:keepLines w:val="0"/>
                                      <w:pageBreakBefore w:val="0"/>
                                      <w:widowControl w:val="0"/>
                                      <w:kinsoku/>
                                      <w:wordWrap/>
                                      <w:overflowPunct/>
                                      <w:topLinePunct w:val="0"/>
                                      <w:bidi w:val="0"/>
                                      <w:adjustRightInd/>
                                      <w:snapToGrid/>
                                      <w:spacing w:line="220" w:lineRule="exact"/>
                                      <w:jc w:val="center"/>
                                      <w:textAlignment w:val="auto"/>
                                      <w:rPr>
                                        <w:rFonts w:hint="default" w:ascii="Times New Roman" w:hAnsi="Times New Roman" w:eastAsia="宋体" w:cs="Times New Roman"/>
                                        <w:b w:val="0"/>
                                        <w:bCs w:val="0"/>
                                        <w:sz w:val="15"/>
                                        <w:szCs w:val="15"/>
                                        <w:lang w:val="en-US" w:eastAsia="zh-CN"/>
                                      </w:rPr>
                                    </w:pPr>
                                    <w:r>
                                      <w:rPr>
                                        <w:rFonts w:hint="eastAsia" w:cs="Times New Roman"/>
                                        <w:b w:val="0"/>
                                        <w:bCs w:val="0"/>
                                        <w:sz w:val="15"/>
                                        <w:szCs w:val="15"/>
                                        <w:lang w:val="en-US" w:eastAsia="zh-CN"/>
                                      </w:rPr>
                                      <w:t>过滤机、脱水筛、漂洗船、甩干机、高钙机等废水</w:t>
                                    </w:r>
                                  </w:p>
                                </w:txbxContent>
                              </wps:txbx>
                              <wps:bodyPr upright="1"/>
                            </wps:wsp>
                            <wpg:grpSp>
                              <wpg:cNvPr id="251" name="组合 251"/>
                              <wpg:cNvGrpSpPr/>
                              <wpg:grpSpPr>
                                <a:xfrm>
                                  <a:off x="10451" y="848527"/>
                                  <a:ext cx="3190" cy="1786"/>
                                  <a:chOff x="11009" y="848540"/>
                                  <a:chExt cx="3190" cy="1786"/>
                                </a:xfrm>
                              </wpg:grpSpPr>
                              <wps:wsp>
                                <wps:cNvPr id="142" name="文本框 142"/>
                                <wps:cNvSpPr txBox="1"/>
                                <wps:spPr>
                                  <a:xfrm>
                                    <a:off x="11477" y="849948"/>
                                    <a:ext cx="1254" cy="378"/>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2A687EF9">
                                      <w:pPr>
                                        <w:keepNext w:val="0"/>
                                        <w:keepLines w:val="0"/>
                                        <w:pageBreakBefore w:val="0"/>
                                        <w:widowControl w:val="0"/>
                                        <w:kinsoku/>
                                        <w:wordWrap/>
                                        <w:overflowPunct/>
                                        <w:topLinePunct w:val="0"/>
                                        <w:bidi w:val="0"/>
                                        <w:adjustRightInd/>
                                        <w:snapToGrid/>
                                        <w:spacing w:line="220" w:lineRule="exact"/>
                                        <w:jc w:val="center"/>
                                        <w:textAlignment w:val="auto"/>
                                        <w:rPr>
                                          <w:rFonts w:hint="default" w:ascii="Times New Roman" w:hAnsi="Times New Roman" w:eastAsia="宋体" w:cs="Times New Roman"/>
                                          <w:sz w:val="18"/>
                                          <w:szCs w:val="18"/>
                                          <w:lang w:val="en-US" w:eastAsia="zh-CN"/>
                                        </w:rPr>
                                      </w:pPr>
                                      <w:r>
                                        <w:rPr>
                                          <w:rFonts w:hint="eastAsia" w:cs="Times New Roman"/>
                                          <w:sz w:val="18"/>
                                          <w:szCs w:val="18"/>
                                          <w:lang w:val="en-US" w:eastAsia="zh-CN"/>
                                        </w:rPr>
                                        <w:t>板框压滤机</w:t>
                                      </w:r>
                                    </w:p>
                                  </w:txbxContent>
                                </wps:txbx>
                                <wps:bodyPr upright="1"/>
                              </wps:wsp>
                              <wps:wsp>
                                <wps:cNvPr id="143" name="文本框 143"/>
                                <wps:cNvSpPr txBox="1"/>
                                <wps:spPr>
                                  <a:xfrm>
                                    <a:off x="13307" y="849141"/>
                                    <a:ext cx="893" cy="378"/>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35C1EC06">
                                      <w:pPr>
                                        <w:keepNext w:val="0"/>
                                        <w:keepLines w:val="0"/>
                                        <w:pageBreakBefore w:val="0"/>
                                        <w:widowControl w:val="0"/>
                                        <w:kinsoku/>
                                        <w:wordWrap/>
                                        <w:overflowPunct/>
                                        <w:topLinePunct w:val="0"/>
                                        <w:bidi w:val="0"/>
                                        <w:adjustRightInd/>
                                        <w:snapToGrid/>
                                        <w:spacing w:line="220" w:lineRule="exact"/>
                                        <w:jc w:val="center"/>
                                        <w:textAlignment w:val="auto"/>
                                        <w:rPr>
                                          <w:rFonts w:hint="default" w:ascii="Times New Roman" w:hAnsi="Times New Roman" w:eastAsia="宋体" w:cs="Times New Roman"/>
                                          <w:sz w:val="18"/>
                                          <w:szCs w:val="18"/>
                                          <w:lang w:val="en-US" w:eastAsia="zh-CN"/>
                                        </w:rPr>
                                      </w:pPr>
                                      <w:r>
                                        <w:rPr>
                                          <w:rFonts w:hint="eastAsia" w:cs="Times New Roman"/>
                                          <w:sz w:val="18"/>
                                          <w:szCs w:val="18"/>
                                          <w:lang w:val="en-US" w:eastAsia="zh-CN"/>
                                        </w:rPr>
                                        <w:t>清水池</w:t>
                                      </w:r>
                                    </w:p>
                                  </w:txbxContent>
                                </wps:txbx>
                                <wps:bodyPr upright="1"/>
                              </wps:wsp>
                              <wps:wsp>
                                <wps:cNvPr id="147" name="文本框 147"/>
                                <wps:cNvSpPr txBox="1"/>
                                <wps:spPr>
                                  <a:xfrm>
                                    <a:off x="11248" y="849123"/>
                                    <a:ext cx="1298" cy="378"/>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10A250AB">
                                      <w:pPr>
                                        <w:keepNext w:val="0"/>
                                        <w:keepLines w:val="0"/>
                                        <w:pageBreakBefore w:val="0"/>
                                        <w:widowControl w:val="0"/>
                                        <w:kinsoku/>
                                        <w:wordWrap/>
                                        <w:overflowPunct/>
                                        <w:topLinePunct w:val="0"/>
                                        <w:bidi w:val="0"/>
                                        <w:adjustRightInd/>
                                        <w:snapToGrid/>
                                        <w:spacing w:line="220" w:lineRule="exact"/>
                                        <w:jc w:val="center"/>
                                        <w:textAlignment w:val="auto"/>
                                        <w:rPr>
                                          <w:rFonts w:hint="default" w:ascii="Times New Roman" w:hAnsi="Times New Roman" w:eastAsia="宋体" w:cs="Times New Roman"/>
                                          <w:sz w:val="18"/>
                                          <w:szCs w:val="18"/>
                                          <w:lang w:val="en-US" w:eastAsia="zh-CN"/>
                                        </w:rPr>
                                      </w:pPr>
                                      <w:r>
                                        <w:rPr>
                                          <w:rFonts w:hint="eastAsia" w:cs="Times New Roman"/>
                                          <w:sz w:val="18"/>
                                          <w:szCs w:val="18"/>
                                          <w:lang w:val="en-US" w:eastAsia="zh-CN"/>
                                        </w:rPr>
                                        <w:t>浓缩罐</w:t>
                                      </w:r>
                                    </w:p>
                                  </w:txbxContent>
                                </wps:txbx>
                                <wps:bodyPr upright="1"/>
                              </wps:wsp>
                              <wps:wsp>
                                <wps:cNvPr id="161" name="直接连接符 161"/>
                                <wps:cNvCnPr/>
                                <wps:spPr>
                                  <a:xfrm>
                                    <a:off x="12547" y="849317"/>
                                    <a:ext cx="759" cy="1"/>
                                  </a:xfrm>
                                  <a:prstGeom prst="line">
                                    <a:avLst/>
                                  </a:prstGeom>
                                  <a:ln w="9525" cap="flat" cmpd="sng">
                                    <a:solidFill>
                                      <a:srgbClr val="000000"/>
                                    </a:solidFill>
                                    <a:prstDash val="solid"/>
                                    <a:round/>
                                    <a:headEnd type="none" w="med" len="med"/>
                                    <a:tailEnd type="arrow" w="med" len="med"/>
                                  </a:ln>
                                </wps:spPr>
                                <wps:bodyPr upright="1"/>
                              </wps:wsp>
                              <wps:wsp>
                                <wps:cNvPr id="163" name="直接连接符 163"/>
                                <wps:cNvCnPr>
                                  <a:endCxn id="142" idx="0"/>
                                </wps:cNvCnPr>
                                <wps:spPr>
                                  <a:xfrm>
                                    <a:off x="12081" y="849516"/>
                                    <a:ext cx="1" cy="432"/>
                                  </a:xfrm>
                                  <a:prstGeom prst="line">
                                    <a:avLst/>
                                  </a:prstGeom>
                                  <a:ln w="9525" cap="flat" cmpd="sng">
                                    <a:solidFill>
                                      <a:srgbClr val="000000"/>
                                    </a:solidFill>
                                    <a:prstDash val="solid"/>
                                    <a:round/>
                                    <a:headEnd type="none" w="med" len="med"/>
                                    <a:tailEnd type="arrow" w="med" len="med"/>
                                  </a:ln>
                                </wps:spPr>
                                <wps:bodyPr upright="1"/>
                              </wps:wsp>
                              <wps:wsp>
                                <wps:cNvPr id="164" name="直接连接符 164"/>
                                <wps:cNvCnPr/>
                                <wps:spPr>
                                  <a:xfrm flipV="1">
                                    <a:off x="12742" y="850139"/>
                                    <a:ext cx="990" cy="4"/>
                                  </a:xfrm>
                                  <a:prstGeom prst="line">
                                    <a:avLst/>
                                  </a:prstGeom>
                                  <a:ln w="9525" cap="flat" cmpd="sng">
                                    <a:solidFill>
                                      <a:srgbClr val="000000"/>
                                    </a:solidFill>
                                    <a:prstDash val="solid"/>
                                    <a:round/>
                                    <a:headEnd type="none" w="med" len="med"/>
                                    <a:tailEnd type="none" w="med" len="med"/>
                                  </a:ln>
                                </wps:spPr>
                                <wps:bodyPr upright="1"/>
                              </wps:wsp>
                              <wps:wsp>
                                <wps:cNvPr id="165" name="直接连接符 165"/>
                                <wps:cNvCnPr>
                                  <a:endCxn id="143" idx="2"/>
                                </wps:cNvCnPr>
                                <wps:spPr>
                                  <a:xfrm flipV="1">
                                    <a:off x="13719" y="849519"/>
                                    <a:ext cx="1" cy="632"/>
                                  </a:xfrm>
                                  <a:prstGeom prst="line">
                                    <a:avLst/>
                                  </a:prstGeom>
                                  <a:ln w="9525" cap="flat" cmpd="sng">
                                    <a:solidFill>
                                      <a:srgbClr val="000000"/>
                                    </a:solidFill>
                                    <a:prstDash val="solid"/>
                                    <a:round/>
                                    <a:headEnd type="none" w="med" len="med"/>
                                    <a:tailEnd type="arrow" w="med" len="med"/>
                                  </a:ln>
                                </wps:spPr>
                                <wps:bodyPr upright="1"/>
                              </wps:wsp>
                              <wps:wsp>
                                <wps:cNvPr id="166" name="直接箭头连接符 50"/>
                                <wps:cNvCnPr/>
                                <wps:spPr>
                                  <a:xfrm flipH="1" flipV="1">
                                    <a:off x="13738" y="848928"/>
                                    <a:ext cx="1" cy="227"/>
                                  </a:xfrm>
                                  <a:prstGeom prst="straightConnector1">
                                    <a:avLst/>
                                  </a:prstGeom>
                                  <a:ln w="9525" cap="flat" cmpd="sng">
                                    <a:solidFill>
                                      <a:srgbClr val="000000"/>
                                    </a:solidFill>
                                    <a:prstDash val="dash"/>
                                    <a:headEnd type="none" w="med" len="med"/>
                                    <a:tailEnd type="arrow" w="sm" len="sm"/>
                                  </a:ln>
                                </wps:spPr>
                                <wps:bodyPr/>
                              </wps:wsp>
                              <wps:wsp>
                                <wps:cNvPr id="167" name="矩形 49"/>
                                <wps:cNvSpPr/>
                                <wps:spPr>
                                  <a:xfrm>
                                    <a:off x="13514" y="848682"/>
                                    <a:ext cx="445" cy="336"/>
                                  </a:xfrm>
                                  <a:prstGeom prst="rect">
                                    <a:avLst/>
                                  </a:prstGeom>
                                  <a:noFill/>
                                  <a:ln>
                                    <a:noFill/>
                                  </a:ln>
                                </wps:spPr>
                                <wps:txbx>
                                  <w:txbxContent>
                                    <w:p w14:paraId="0403EF12">
                                      <w:pPr>
                                        <w:spacing w:line="0" w:lineRule="atLeast"/>
                                        <w:jc w:val="center"/>
                                        <w:rPr>
                                          <w:rFonts w:hint="default" w:eastAsia="宋体"/>
                                          <w:sz w:val="15"/>
                                          <w:szCs w:val="15"/>
                                          <w:lang w:val="en-US" w:eastAsia="zh-CN"/>
                                        </w:rPr>
                                      </w:pPr>
                                      <w:r>
                                        <w:rPr>
                                          <w:rFonts w:hint="eastAsia"/>
                                          <w:sz w:val="15"/>
                                          <w:szCs w:val="15"/>
                                        </w:rPr>
                                        <w:t>N</w:t>
                                      </w:r>
                                    </w:p>
                                  </w:txbxContent>
                                </wps:txbx>
                                <wps:bodyPr wrap="square" upright="1">
                                  <a:noAutofit/>
                                </wps:bodyPr>
                              </wps:wsp>
                              <wps:wsp>
                                <wps:cNvPr id="168" name="直接箭头连接符 50"/>
                                <wps:cNvCnPr/>
                                <wps:spPr>
                                  <a:xfrm flipH="1" flipV="1">
                                    <a:off x="12534" y="849721"/>
                                    <a:ext cx="1" cy="227"/>
                                  </a:xfrm>
                                  <a:prstGeom prst="straightConnector1">
                                    <a:avLst/>
                                  </a:prstGeom>
                                  <a:ln w="9525" cap="flat" cmpd="sng">
                                    <a:solidFill>
                                      <a:srgbClr val="000000"/>
                                    </a:solidFill>
                                    <a:prstDash val="dash"/>
                                    <a:headEnd type="none" w="med" len="med"/>
                                    <a:tailEnd type="arrow" w="sm" len="sm"/>
                                  </a:ln>
                                </wps:spPr>
                                <wps:bodyPr/>
                              </wps:wsp>
                              <wps:wsp>
                                <wps:cNvPr id="170" name="矩形 49"/>
                                <wps:cNvSpPr/>
                                <wps:spPr>
                                  <a:xfrm>
                                    <a:off x="11837" y="849476"/>
                                    <a:ext cx="1392" cy="336"/>
                                  </a:xfrm>
                                  <a:prstGeom prst="rect">
                                    <a:avLst/>
                                  </a:prstGeom>
                                  <a:noFill/>
                                  <a:ln>
                                    <a:noFill/>
                                  </a:ln>
                                </wps:spPr>
                                <wps:txbx>
                                  <w:txbxContent>
                                    <w:p w14:paraId="5C4A7E87">
                                      <w:pPr>
                                        <w:spacing w:line="0" w:lineRule="atLeast"/>
                                        <w:jc w:val="center"/>
                                        <w:rPr>
                                          <w:rFonts w:hint="default" w:eastAsia="宋体"/>
                                          <w:sz w:val="15"/>
                                          <w:szCs w:val="15"/>
                                          <w:lang w:val="en-US" w:eastAsia="zh-CN"/>
                                        </w:rPr>
                                      </w:pPr>
                                      <w:r>
                                        <w:rPr>
                                          <w:rFonts w:hint="eastAsia"/>
                                          <w:sz w:val="15"/>
                                          <w:szCs w:val="15"/>
                                        </w:rPr>
                                        <w:t>N</w:t>
                                      </w:r>
                                      <w:r>
                                        <w:rPr>
                                          <w:rFonts w:hint="eastAsia"/>
                                          <w:sz w:val="15"/>
                                          <w:szCs w:val="15"/>
                                          <w:lang w:eastAsia="zh-CN"/>
                                        </w:rPr>
                                        <w:t>、</w:t>
                                      </w:r>
                                      <w:r>
                                        <w:rPr>
                                          <w:rFonts w:hint="eastAsia"/>
                                          <w:sz w:val="15"/>
                                          <w:szCs w:val="15"/>
                                          <w:lang w:val="en-US" w:eastAsia="zh-CN"/>
                                        </w:rPr>
                                        <w:t>S</w:t>
                                      </w:r>
                                    </w:p>
                                  </w:txbxContent>
                                </wps:txbx>
                                <wps:bodyPr wrap="square" upright="1">
                                  <a:noAutofit/>
                                </wps:bodyPr>
                              </wps:wsp>
                              <wps:wsp>
                                <wps:cNvPr id="171" name="直接箭头连接符 50"/>
                                <wps:cNvCnPr/>
                                <wps:spPr>
                                  <a:xfrm flipH="1" flipV="1">
                                    <a:off x="12365" y="848886"/>
                                    <a:ext cx="1" cy="227"/>
                                  </a:xfrm>
                                  <a:prstGeom prst="straightConnector1">
                                    <a:avLst/>
                                  </a:prstGeom>
                                  <a:ln w="9525" cap="flat" cmpd="sng">
                                    <a:solidFill>
                                      <a:srgbClr val="000000"/>
                                    </a:solidFill>
                                    <a:prstDash val="dash"/>
                                    <a:headEnd type="none" w="med" len="med"/>
                                    <a:tailEnd type="arrow" w="sm" len="sm"/>
                                  </a:ln>
                                </wps:spPr>
                                <wps:bodyPr/>
                              </wps:wsp>
                              <wps:wsp>
                                <wps:cNvPr id="174" name="矩形 49"/>
                                <wps:cNvSpPr/>
                                <wps:spPr>
                                  <a:xfrm>
                                    <a:off x="12141" y="848652"/>
                                    <a:ext cx="445" cy="336"/>
                                  </a:xfrm>
                                  <a:prstGeom prst="rect">
                                    <a:avLst/>
                                  </a:prstGeom>
                                  <a:noFill/>
                                  <a:ln>
                                    <a:noFill/>
                                  </a:ln>
                                </wps:spPr>
                                <wps:txbx>
                                  <w:txbxContent>
                                    <w:p w14:paraId="341A260E">
                                      <w:pPr>
                                        <w:spacing w:line="0" w:lineRule="atLeast"/>
                                        <w:jc w:val="center"/>
                                        <w:rPr>
                                          <w:rFonts w:hint="default" w:eastAsia="宋体"/>
                                          <w:sz w:val="15"/>
                                          <w:szCs w:val="15"/>
                                          <w:lang w:val="en-US" w:eastAsia="zh-CN"/>
                                        </w:rPr>
                                      </w:pPr>
                                      <w:r>
                                        <w:rPr>
                                          <w:rFonts w:hint="eastAsia"/>
                                          <w:sz w:val="15"/>
                                          <w:szCs w:val="15"/>
                                        </w:rPr>
                                        <w:t>N</w:t>
                                      </w:r>
                                    </w:p>
                                  </w:txbxContent>
                                </wps:txbx>
                                <wps:bodyPr wrap="square" upright="1">
                                  <a:noAutofit/>
                                </wps:bodyPr>
                              </wps:wsp>
                              <wps:wsp>
                                <wps:cNvPr id="175" name="文本框 175"/>
                                <wps:cNvSpPr txBox="1"/>
                                <wps:spPr>
                                  <a:xfrm>
                                    <a:off x="12493" y="849024"/>
                                    <a:ext cx="915" cy="427"/>
                                  </a:xfrm>
                                  <a:prstGeom prst="rect">
                                    <a:avLst/>
                                  </a:prstGeom>
                                  <a:noFill/>
                                  <a:ln>
                                    <a:noFill/>
                                  </a:ln>
                                </wps:spPr>
                                <wps:txbx>
                                  <w:txbxContent>
                                    <w:p w14:paraId="0AA656D4">
                                      <w:pPr>
                                        <w:keepNext w:val="0"/>
                                        <w:keepLines w:val="0"/>
                                        <w:pageBreakBefore w:val="0"/>
                                        <w:widowControl w:val="0"/>
                                        <w:kinsoku/>
                                        <w:wordWrap/>
                                        <w:overflowPunct/>
                                        <w:topLinePunct w:val="0"/>
                                        <w:bidi w:val="0"/>
                                        <w:adjustRightInd/>
                                        <w:snapToGrid/>
                                        <w:spacing w:line="220" w:lineRule="exact"/>
                                        <w:jc w:val="both"/>
                                        <w:textAlignment w:val="auto"/>
                                        <w:rPr>
                                          <w:rFonts w:hint="default" w:ascii="Times New Roman" w:hAnsi="Times New Roman" w:eastAsia="宋体" w:cs="Times New Roman"/>
                                          <w:b w:val="0"/>
                                          <w:bCs w:val="0"/>
                                          <w:sz w:val="15"/>
                                          <w:szCs w:val="15"/>
                                          <w:lang w:val="en-US" w:eastAsia="zh-CN"/>
                                        </w:rPr>
                                      </w:pPr>
                                      <w:r>
                                        <w:rPr>
                                          <w:rFonts w:hint="eastAsia" w:cs="Times New Roman"/>
                                          <w:b w:val="0"/>
                                          <w:bCs w:val="0"/>
                                          <w:sz w:val="15"/>
                                          <w:szCs w:val="15"/>
                                          <w:lang w:val="en-US" w:eastAsia="zh-CN"/>
                                        </w:rPr>
                                        <w:t>上清液</w:t>
                                      </w:r>
                                    </w:p>
                                  </w:txbxContent>
                                </wps:txbx>
                                <wps:bodyPr upright="1"/>
                              </wps:wsp>
                              <wps:wsp>
                                <wps:cNvPr id="178" name="文本框 178"/>
                                <wps:cNvSpPr txBox="1"/>
                                <wps:spPr>
                                  <a:xfrm>
                                    <a:off x="11538" y="849421"/>
                                    <a:ext cx="666" cy="618"/>
                                  </a:xfrm>
                                  <a:prstGeom prst="rect">
                                    <a:avLst/>
                                  </a:prstGeom>
                                  <a:noFill/>
                                  <a:ln>
                                    <a:noFill/>
                                  </a:ln>
                                </wps:spPr>
                                <wps:txbx>
                                  <w:txbxContent>
                                    <w:p w14:paraId="7ABD1A77">
                                      <w:pPr>
                                        <w:keepNext w:val="0"/>
                                        <w:keepLines w:val="0"/>
                                        <w:pageBreakBefore w:val="0"/>
                                        <w:widowControl w:val="0"/>
                                        <w:kinsoku/>
                                        <w:wordWrap/>
                                        <w:overflowPunct/>
                                        <w:topLinePunct w:val="0"/>
                                        <w:bidi w:val="0"/>
                                        <w:adjustRightInd/>
                                        <w:snapToGrid/>
                                        <w:spacing w:line="220" w:lineRule="exact"/>
                                        <w:jc w:val="both"/>
                                        <w:textAlignment w:val="auto"/>
                                        <w:rPr>
                                          <w:rFonts w:hint="eastAsia" w:cs="Times New Roman"/>
                                          <w:b w:val="0"/>
                                          <w:bCs w:val="0"/>
                                          <w:sz w:val="15"/>
                                          <w:szCs w:val="15"/>
                                          <w:lang w:val="en-US" w:eastAsia="zh-CN"/>
                                        </w:rPr>
                                      </w:pPr>
                                      <w:r>
                                        <w:rPr>
                                          <w:rFonts w:hint="eastAsia" w:cs="Times New Roman"/>
                                          <w:b w:val="0"/>
                                          <w:bCs w:val="0"/>
                                          <w:sz w:val="15"/>
                                          <w:szCs w:val="15"/>
                                          <w:lang w:val="en-US" w:eastAsia="zh-CN"/>
                                        </w:rPr>
                                        <w:t>底部</w:t>
                                      </w:r>
                                    </w:p>
                                    <w:p w14:paraId="14117913">
                                      <w:pPr>
                                        <w:keepNext w:val="0"/>
                                        <w:keepLines w:val="0"/>
                                        <w:pageBreakBefore w:val="0"/>
                                        <w:widowControl w:val="0"/>
                                        <w:kinsoku/>
                                        <w:wordWrap/>
                                        <w:overflowPunct/>
                                        <w:topLinePunct w:val="0"/>
                                        <w:bidi w:val="0"/>
                                        <w:adjustRightInd/>
                                        <w:snapToGrid/>
                                        <w:spacing w:line="220" w:lineRule="exact"/>
                                        <w:jc w:val="both"/>
                                        <w:textAlignment w:val="auto"/>
                                        <w:rPr>
                                          <w:rFonts w:hint="default" w:ascii="Times New Roman" w:hAnsi="Times New Roman" w:eastAsia="宋体" w:cs="Times New Roman"/>
                                          <w:b w:val="0"/>
                                          <w:bCs w:val="0"/>
                                          <w:sz w:val="15"/>
                                          <w:szCs w:val="15"/>
                                          <w:lang w:val="en-US" w:eastAsia="zh-CN"/>
                                        </w:rPr>
                                      </w:pPr>
                                      <w:r>
                                        <w:rPr>
                                          <w:rFonts w:hint="eastAsia" w:cs="Times New Roman"/>
                                          <w:b w:val="0"/>
                                          <w:bCs w:val="0"/>
                                          <w:sz w:val="15"/>
                                          <w:szCs w:val="15"/>
                                          <w:lang w:val="en-US" w:eastAsia="zh-CN"/>
                                        </w:rPr>
                                        <w:t>浆液</w:t>
                                      </w:r>
                                    </w:p>
                                  </w:txbxContent>
                                </wps:txbx>
                                <wps:bodyPr upright="1"/>
                              </wps:wsp>
                              <wps:wsp>
                                <wps:cNvPr id="185" name="直接连接符 185"/>
                                <wps:cNvCnPr/>
                                <wps:spPr>
                                  <a:xfrm flipH="1">
                                    <a:off x="11716" y="848891"/>
                                    <a:ext cx="3" cy="245"/>
                                  </a:xfrm>
                                  <a:prstGeom prst="line">
                                    <a:avLst/>
                                  </a:prstGeom>
                                  <a:ln w="9525" cap="flat" cmpd="sng">
                                    <a:solidFill>
                                      <a:srgbClr val="000000"/>
                                    </a:solidFill>
                                    <a:prstDash val="solid"/>
                                    <a:round/>
                                    <a:headEnd type="none" w="med" len="med"/>
                                    <a:tailEnd type="arrow" w="med" len="med"/>
                                  </a:ln>
                                </wps:spPr>
                                <wps:bodyPr upright="1"/>
                              </wps:wsp>
                              <wps:wsp>
                                <wps:cNvPr id="186" name="文本框 186"/>
                                <wps:cNvSpPr txBox="1"/>
                                <wps:spPr>
                                  <a:xfrm>
                                    <a:off x="11009" y="848540"/>
                                    <a:ext cx="1356" cy="359"/>
                                  </a:xfrm>
                                  <a:prstGeom prst="rect">
                                    <a:avLst/>
                                  </a:prstGeom>
                                  <a:noFill/>
                                  <a:ln>
                                    <a:noFill/>
                                  </a:ln>
                                </wps:spPr>
                                <wps:txbx>
                                  <w:txbxContent>
                                    <w:p w14:paraId="3276A623">
                                      <w:pPr>
                                        <w:keepNext w:val="0"/>
                                        <w:keepLines w:val="0"/>
                                        <w:pageBreakBefore w:val="0"/>
                                        <w:widowControl w:val="0"/>
                                        <w:kinsoku/>
                                        <w:wordWrap/>
                                        <w:overflowPunct/>
                                        <w:topLinePunct w:val="0"/>
                                        <w:bidi w:val="0"/>
                                        <w:adjustRightInd/>
                                        <w:snapToGrid/>
                                        <w:spacing w:line="220" w:lineRule="exact"/>
                                        <w:jc w:val="center"/>
                                        <w:textAlignment w:val="auto"/>
                                        <w:rPr>
                                          <w:rFonts w:hint="default" w:ascii="Times New Roman" w:hAnsi="Times New Roman" w:eastAsia="宋体" w:cs="Times New Roman"/>
                                          <w:b w:val="0"/>
                                          <w:bCs w:val="0"/>
                                          <w:sz w:val="15"/>
                                          <w:szCs w:val="15"/>
                                          <w:lang w:val="en-US" w:eastAsia="zh-CN"/>
                                        </w:rPr>
                                      </w:pPr>
                                      <w:r>
                                        <w:rPr>
                                          <w:rFonts w:hint="eastAsia" w:cs="Times New Roman"/>
                                          <w:b w:val="0"/>
                                          <w:bCs w:val="0"/>
                                          <w:sz w:val="15"/>
                                          <w:szCs w:val="15"/>
                                          <w:lang w:val="en-US" w:eastAsia="zh-CN"/>
                                        </w:rPr>
                                        <w:t>混凝剂、絮凝剂</w:t>
                                      </w:r>
                                    </w:p>
                                  </w:txbxContent>
                                </wps:txbx>
                                <wps:bodyPr upright="1"/>
                              </wps:wsp>
                            </wpg:grpSp>
                            <wps:wsp>
                              <wps:cNvPr id="246" name="文本框 246"/>
                              <wps:cNvSpPr txBox="1"/>
                              <wps:spPr>
                                <a:xfrm>
                                  <a:off x="9092" y="849124"/>
                                  <a:ext cx="893" cy="378"/>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6461C6B7">
                                    <w:pPr>
                                      <w:keepNext w:val="0"/>
                                      <w:keepLines w:val="0"/>
                                      <w:pageBreakBefore w:val="0"/>
                                      <w:widowControl w:val="0"/>
                                      <w:kinsoku/>
                                      <w:wordWrap/>
                                      <w:overflowPunct/>
                                      <w:topLinePunct w:val="0"/>
                                      <w:bidi w:val="0"/>
                                      <w:adjustRightInd/>
                                      <w:snapToGrid/>
                                      <w:spacing w:line="220" w:lineRule="exact"/>
                                      <w:jc w:val="center"/>
                                      <w:textAlignment w:val="auto"/>
                                      <w:rPr>
                                        <w:rFonts w:hint="default" w:ascii="Times New Roman" w:hAnsi="Times New Roman" w:eastAsia="宋体" w:cs="Times New Roman"/>
                                        <w:sz w:val="18"/>
                                        <w:szCs w:val="18"/>
                                        <w:lang w:val="en-US" w:eastAsia="zh-CN"/>
                                      </w:rPr>
                                    </w:pPr>
                                    <w:r>
                                      <w:rPr>
                                        <w:rFonts w:hint="eastAsia" w:cs="Times New Roman"/>
                                        <w:sz w:val="18"/>
                                        <w:szCs w:val="18"/>
                                        <w:lang w:val="en-US" w:eastAsia="zh-CN"/>
                                      </w:rPr>
                                      <w:t>沉淀池</w:t>
                                    </w:r>
                                  </w:p>
                                </w:txbxContent>
                              </wps:txbx>
                              <wps:bodyPr upright="1"/>
                            </wps:wsp>
                            <wps:wsp>
                              <wps:cNvPr id="247" name="直接箭头连接符 50"/>
                              <wps:cNvCnPr/>
                              <wps:spPr>
                                <a:xfrm flipH="1" flipV="1">
                                  <a:off x="9880" y="848899"/>
                                  <a:ext cx="1" cy="227"/>
                                </a:xfrm>
                                <a:prstGeom prst="straightConnector1">
                                  <a:avLst/>
                                </a:prstGeom>
                                <a:ln w="9525" cap="flat" cmpd="sng">
                                  <a:solidFill>
                                    <a:srgbClr val="000000"/>
                                  </a:solidFill>
                                  <a:prstDash val="dash"/>
                                  <a:headEnd type="none" w="med" len="med"/>
                                  <a:tailEnd type="arrow" w="sm" len="sm"/>
                                </a:ln>
                              </wps:spPr>
                              <wps:bodyPr/>
                            </wps:wsp>
                            <wps:wsp>
                              <wps:cNvPr id="248" name="矩形 49"/>
                              <wps:cNvSpPr/>
                              <wps:spPr>
                                <a:xfrm>
                                  <a:off x="9200" y="848629"/>
                                  <a:ext cx="1392" cy="336"/>
                                </a:xfrm>
                                <a:prstGeom prst="rect">
                                  <a:avLst/>
                                </a:prstGeom>
                                <a:noFill/>
                                <a:ln>
                                  <a:noFill/>
                                </a:ln>
                              </wps:spPr>
                              <wps:txbx>
                                <w:txbxContent>
                                  <w:p w14:paraId="6F0B9BA8">
                                    <w:pPr>
                                      <w:spacing w:line="0" w:lineRule="atLeast"/>
                                      <w:jc w:val="center"/>
                                      <w:rPr>
                                        <w:rFonts w:hint="default" w:eastAsia="宋体"/>
                                        <w:sz w:val="15"/>
                                        <w:szCs w:val="15"/>
                                        <w:lang w:val="en-US" w:eastAsia="zh-CN"/>
                                      </w:rPr>
                                    </w:pPr>
                                    <w:r>
                                      <w:rPr>
                                        <w:rFonts w:hint="eastAsia"/>
                                        <w:sz w:val="15"/>
                                        <w:szCs w:val="15"/>
                                      </w:rPr>
                                      <w:t>N</w:t>
                                    </w:r>
                                    <w:r>
                                      <w:rPr>
                                        <w:rFonts w:hint="eastAsia"/>
                                        <w:sz w:val="15"/>
                                        <w:szCs w:val="15"/>
                                        <w:lang w:eastAsia="zh-CN"/>
                                      </w:rPr>
                                      <w:t>、</w:t>
                                    </w:r>
                                    <w:r>
                                      <w:rPr>
                                        <w:rFonts w:hint="eastAsia"/>
                                        <w:sz w:val="15"/>
                                        <w:szCs w:val="15"/>
                                        <w:lang w:val="en-US" w:eastAsia="zh-CN"/>
                                      </w:rPr>
                                      <w:t>S</w:t>
                                    </w:r>
                                  </w:p>
                                </w:txbxContent>
                              </wps:txbx>
                              <wps:bodyPr wrap="square" upright="1">
                                <a:noAutofit/>
                              </wps:bodyPr>
                            </wps:wsp>
                            <wps:wsp>
                              <wps:cNvPr id="249" name="直接连接符 249"/>
                              <wps:cNvCnPr/>
                              <wps:spPr>
                                <a:xfrm>
                                  <a:off x="10009" y="849331"/>
                                  <a:ext cx="680" cy="1"/>
                                </a:xfrm>
                                <a:prstGeom prst="line">
                                  <a:avLst/>
                                </a:prstGeom>
                                <a:ln w="9525" cap="flat" cmpd="sng">
                                  <a:solidFill>
                                    <a:srgbClr val="000000"/>
                                  </a:solidFill>
                                  <a:prstDash val="solid"/>
                                  <a:round/>
                                  <a:headEnd type="none" w="med" len="med"/>
                                  <a:tailEnd type="arrow" w="med" len="med"/>
                                </a:ln>
                              </wps:spPr>
                              <wps:bodyPr upright="1"/>
                            </wps:wsp>
                            <wps:wsp>
                              <wps:cNvPr id="250" name="文本框 250"/>
                              <wps:cNvSpPr txBox="1"/>
                              <wps:spPr>
                                <a:xfrm>
                                  <a:off x="9985" y="849012"/>
                                  <a:ext cx="657" cy="427"/>
                                </a:xfrm>
                                <a:prstGeom prst="rect">
                                  <a:avLst/>
                                </a:prstGeom>
                                <a:noFill/>
                                <a:ln>
                                  <a:noFill/>
                                </a:ln>
                              </wps:spPr>
                              <wps:txbx>
                                <w:txbxContent>
                                  <w:p w14:paraId="17A3C095">
                                    <w:pPr>
                                      <w:keepNext w:val="0"/>
                                      <w:keepLines w:val="0"/>
                                      <w:pageBreakBefore w:val="0"/>
                                      <w:widowControl w:val="0"/>
                                      <w:kinsoku/>
                                      <w:wordWrap/>
                                      <w:overflowPunct/>
                                      <w:topLinePunct w:val="0"/>
                                      <w:bidi w:val="0"/>
                                      <w:adjustRightInd/>
                                      <w:snapToGrid/>
                                      <w:spacing w:line="220" w:lineRule="exact"/>
                                      <w:jc w:val="both"/>
                                      <w:textAlignment w:val="auto"/>
                                      <w:rPr>
                                        <w:rFonts w:hint="default" w:ascii="Times New Roman" w:hAnsi="Times New Roman" w:eastAsia="宋体" w:cs="Times New Roman"/>
                                        <w:b w:val="0"/>
                                        <w:bCs w:val="0"/>
                                        <w:sz w:val="15"/>
                                        <w:szCs w:val="15"/>
                                        <w:lang w:val="en-US" w:eastAsia="zh-CN"/>
                                      </w:rPr>
                                    </w:pPr>
                                    <w:r>
                                      <w:rPr>
                                        <w:rFonts w:hint="eastAsia" w:cs="Times New Roman"/>
                                        <w:b w:val="0"/>
                                        <w:bCs w:val="0"/>
                                        <w:sz w:val="15"/>
                                        <w:szCs w:val="15"/>
                                        <w:lang w:val="en-US" w:eastAsia="zh-CN"/>
                                      </w:rPr>
                                      <w:t>污水</w:t>
                                    </w:r>
                                  </w:p>
                                </w:txbxContent>
                              </wps:txbx>
                              <wps:bodyPr upright="1"/>
                            </wps:wsp>
                          </wpg:wgp>
                        </a:graphicData>
                      </a:graphic>
                    </wp:anchor>
                  </w:drawing>
                </mc:Choice>
                <mc:Fallback>
                  <w:pict>
                    <v:group id="_x0000_s1026" o:spid="_x0000_s1026" o:spt="203" style="position:absolute;left:0pt;margin-left:36.65pt;margin-top:9.1pt;height:117.4pt;width:314.1pt;z-index:251876352;mso-width-relative:page;mso-height-relative:page;" coordorigin="7359,847965" coordsize="6282,2348" o:gfxdata="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">
                      <o:lock v:ext="edit" aspectratio="f"/>
                      <v:shape id="_x0000_s1026" o:spid="_x0000_s1026" o:spt="202" type="#_x0000_t202" style="position:absolute;left:7485;top:849096;height:378;width:893;" fillcolor="#FFFFFF" filled="t" stroked="t" coordsize="21600,21600" o:gfxdata="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JaoJ/C8AAAA&#10;3AAAAA8AAAAAAAAAAQAgAAAAIgAAAGRycy9kb3ducmV2LnhtbFBLAQIUABQAAAAIAIdO4kAzLwWe&#10;OwAAADkAAAAQAAAAAAAAAAEAIAAAAAsBAABkcnMvc2hhcGV4bWwueG1sUEsFBgAAAAAGAAYAWwEA&#10;ALUDAAAAAA==&#10;">
                        <v:fill on="t" focussize="0,0"/>
                        <v:stroke color="#000000" joinstyle="miter"/>
                        <v:imagedata o:title=""/>
                        <o:lock v:ext="edit" aspectratio="f"/>
                        <v:textbox>
                          <w:txbxContent>
                            <w:p w14:paraId="3D1F08AF">
                              <w:pPr>
                                <w:keepNext w:val="0"/>
                                <w:keepLines w:val="0"/>
                                <w:pageBreakBefore w:val="0"/>
                                <w:widowControl w:val="0"/>
                                <w:kinsoku/>
                                <w:wordWrap/>
                                <w:overflowPunct/>
                                <w:topLinePunct w:val="0"/>
                                <w:bidi w:val="0"/>
                                <w:adjustRightInd/>
                                <w:snapToGrid/>
                                <w:spacing w:line="220" w:lineRule="exact"/>
                                <w:jc w:val="center"/>
                                <w:textAlignment w:val="auto"/>
                                <w:rPr>
                                  <w:rFonts w:hint="default" w:ascii="Times New Roman" w:hAnsi="Times New Roman" w:eastAsia="宋体" w:cs="Times New Roman"/>
                                  <w:sz w:val="18"/>
                                  <w:szCs w:val="18"/>
                                  <w:lang w:val="en-US" w:eastAsia="zh-CN"/>
                                </w:rPr>
                              </w:pPr>
                              <w:r>
                                <w:rPr>
                                  <w:rFonts w:hint="eastAsia" w:cs="Times New Roman"/>
                                  <w:sz w:val="18"/>
                                  <w:szCs w:val="18"/>
                                  <w:lang w:val="en-US" w:eastAsia="zh-CN"/>
                                </w:rPr>
                                <w:t>污水池</w:t>
                              </w:r>
                            </w:p>
                          </w:txbxContent>
                        </v:textbox>
                      </v:shape>
                      <v:line id="_x0000_s1026" o:spid="_x0000_s1026" o:spt="20" style="position:absolute;left:7974;top:848705;flip:x;height:397;width:1;" filled="f" stroked="t" coordsize="21600,21600" o:gfxdata="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UuIB74A&#10;AADcAAAADwAAAAAAAAABACAAAAAiAAAAZHJzL2Rvd25yZXYueG1sUEsBAhQAFAAAAAgAh07iQDMv&#10;BZ47AAAAOQAAABAAAAAAAAAAAQAgAAAADQEAAGRycy9zaGFwZXhtbC54bWxQSwUGAAAAAAYABgBb&#10;AQAAtwMAAAAA&#10;">
                        <v:fill on="f" focussize="0,0"/>
                        <v:stroke color="#000000" joinstyle="round" endarrow="open"/>
                        <v:imagedata o:title=""/>
                        <o:lock v:ext="edit" aspectratio="f"/>
                      </v:line>
                      <v:shape id="_x0000_s1026" o:spid="_x0000_s1026" o:spt="202" type="#_x0000_t202" style="position:absolute;left:7359;top:848384;height:427;width:1501;" filled="f" stroked="f" coordsize="21600,21600" o:gfxdata="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C1eCDC5AAAA3AAA&#10;AA8AAAAAAAAAAQAgAAAAIgAAAGRycy9kb3ducmV2LnhtbFBLAQIUABQAAAAIAIdO4kAzLwWeOwAA&#10;ADkAAAAQAAAAAAAAAAEAIAAAAAgBAABkcnMvc2hhcGV4bWwueG1sUEsFBgAAAAAGAAYAWwEAALID&#10;AAAAAA==&#10;">
                        <v:fill on="f" focussize="0,0"/>
                        <v:stroke on="f"/>
                        <v:imagedata o:title=""/>
                        <o:lock v:ext="edit" aspectratio="f"/>
                        <v:textbox>
                          <w:txbxContent>
                            <w:p w14:paraId="5CEB33FF">
                              <w:pPr>
                                <w:keepNext w:val="0"/>
                                <w:keepLines w:val="0"/>
                                <w:pageBreakBefore w:val="0"/>
                                <w:widowControl w:val="0"/>
                                <w:kinsoku/>
                                <w:wordWrap/>
                                <w:overflowPunct/>
                                <w:topLinePunct w:val="0"/>
                                <w:bidi w:val="0"/>
                                <w:adjustRightInd/>
                                <w:snapToGrid/>
                                <w:spacing w:line="220" w:lineRule="exact"/>
                                <w:jc w:val="both"/>
                                <w:textAlignment w:val="auto"/>
                                <w:rPr>
                                  <w:rFonts w:hint="default" w:ascii="Times New Roman" w:hAnsi="Times New Roman" w:eastAsia="宋体" w:cs="Times New Roman"/>
                                  <w:b w:val="0"/>
                                  <w:bCs w:val="0"/>
                                  <w:sz w:val="15"/>
                                  <w:szCs w:val="15"/>
                                  <w:lang w:val="en-US" w:eastAsia="zh-CN"/>
                                </w:rPr>
                              </w:pPr>
                              <w:r>
                                <w:rPr>
                                  <w:rFonts w:hint="eastAsia" w:cs="Times New Roman"/>
                                  <w:b w:val="0"/>
                                  <w:bCs w:val="0"/>
                                  <w:sz w:val="15"/>
                                  <w:szCs w:val="15"/>
                                  <w:lang w:val="en-US" w:eastAsia="zh-CN"/>
                                </w:rPr>
                                <w:t>各料池溢流水</w:t>
                              </w:r>
                            </w:p>
                          </w:txbxContent>
                        </v:textbox>
                      </v:shape>
                      <v:line id="_x0000_s1026" o:spid="_x0000_s1026" o:spt="20" style="position:absolute;left:8389;top:849291;height:1;width:680;" filled="f" stroked="t" coordsize="21600,21600" o:gfxdata="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QjMFUvQAA&#10;ANwAAAAPAAAAAAAAAAEAIAAAACIAAABkcnMvZG93bnJldi54bWxQSwECFAAUAAAACACHTuJAMy8F&#10;njsAAAA5AAAAEAAAAAAAAAABACAAAAAMAQAAZHJzL3NoYXBleG1sLnhtbFBLBQYAAAAABgAGAFsB&#10;AAC2AwAAAAA=&#10;">
                        <v:fill on="f" focussize="0,0"/>
                        <v:stroke color="#000000" joinstyle="round" endarrow="open"/>
                        <v:imagedata o:title=""/>
                        <o:lock v:ext="edit" aspectratio="f"/>
                      </v:line>
                      <v:shape id="直接箭头连接符 50" o:spid="_x0000_s1026" o:spt="32" type="#_x0000_t32" style="position:absolute;left:8239;top:848857;flip:x y;height:227;width:1;" filled="f" stroked="t" coordsize="21600,21600" o:gfxdata="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MGFt9LsAAADc&#10;AAAADwAAAAAAAAABACAAAAAiAAAAZHJzL2Rvd25yZXYueG1sUEsBAhQAFAAAAAgAh07iQDMvBZ47&#10;AAAAOQAAABAAAAAAAAAAAQAgAAAACgEAAGRycy9zaGFwZXhtbC54bWxQSwUGAAAAAAYABgBbAQAA&#10;tAMAAAAA&#10;">
                        <v:fill on="f" focussize="0,0"/>
                        <v:stroke color="#000000" joinstyle="round" dashstyle="dash" endarrow="open" endarrowwidth="narrow" endarrowlength="short"/>
                        <v:imagedata o:title=""/>
                        <o:lock v:ext="edit" aspectratio="f"/>
                      </v:shape>
                      <v:rect id="矩形 49" o:spid="_x0000_s1026" o:spt="1" style="position:absolute;left:8027;top:848611;height:336;width:445;" filled="f" stroked="f" coordsize="21600,21600" o:gfxdata="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QPhxlbsAAADc&#10;AAAADwAAAAAAAAABACAAAAAiAAAAZHJzL2Rvd25yZXYueG1sUEsBAhQAFAAAAAgAh07iQDMvBZ47&#10;AAAAOQAAABAAAAAAAAAAAQAgAAAACgEAAGRycy9zaGFwZXhtbC54bWxQSwUGAAAAAAYABgBbAQAA&#10;tAMAAAAA&#10;">
                        <v:fill on="f" focussize="0,0"/>
                        <v:stroke on="f"/>
                        <v:imagedata o:title=""/>
                        <o:lock v:ext="edit" aspectratio="f"/>
                        <v:textbox>
                          <w:txbxContent>
                            <w:p w14:paraId="1D4277D9">
                              <w:pPr>
                                <w:spacing w:line="0" w:lineRule="atLeast"/>
                                <w:jc w:val="center"/>
                                <w:rPr>
                                  <w:rFonts w:hint="default" w:eastAsia="宋体"/>
                                  <w:sz w:val="15"/>
                                  <w:szCs w:val="15"/>
                                  <w:lang w:val="en-US" w:eastAsia="zh-CN"/>
                                </w:rPr>
                              </w:pPr>
                              <w:r>
                                <w:rPr>
                                  <w:rFonts w:hint="eastAsia"/>
                                  <w:sz w:val="15"/>
                                  <w:szCs w:val="15"/>
                                </w:rPr>
                                <w:t>N</w:t>
                              </w:r>
                            </w:p>
                          </w:txbxContent>
                        </v:textbox>
                      </v:rect>
                      <v:shape id="_x0000_s1026" o:spid="_x0000_s1026" o:spt="202" type="#_x0000_t202" style="position:absolute;left:8417;top:848985;height:427;width:657;" filled="f" stroked="f" coordsize="21600,21600" o:gfxdata="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jMsKNugAAANwA&#10;AAAPAAAAAAAAAAEAIAAAACIAAABkcnMvZG93bnJldi54bWxQSwECFAAUAAAACACHTuJAMy8FnjsA&#10;AAA5AAAAEAAAAAAAAAABACAAAAAJAQAAZHJzL3NoYXBleG1sLnhtbFBLBQYAAAAABgAGAFsBAACz&#10;AwAAAAA=&#10;">
                        <v:fill on="f" focussize="0,0"/>
                        <v:stroke on="f"/>
                        <v:imagedata o:title=""/>
                        <o:lock v:ext="edit" aspectratio="f"/>
                        <v:textbox>
                          <w:txbxContent>
                            <w:p w14:paraId="08368355">
                              <w:pPr>
                                <w:keepNext w:val="0"/>
                                <w:keepLines w:val="0"/>
                                <w:pageBreakBefore w:val="0"/>
                                <w:widowControl w:val="0"/>
                                <w:kinsoku/>
                                <w:wordWrap/>
                                <w:overflowPunct/>
                                <w:topLinePunct w:val="0"/>
                                <w:bidi w:val="0"/>
                                <w:adjustRightInd/>
                                <w:snapToGrid/>
                                <w:spacing w:line="220" w:lineRule="exact"/>
                                <w:jc w:val="both"/>
                                <w:textAlignment w:val="auto"/>
                                <w:rPr>
                                  <w:rFonts w:hint="default" w:ascii="Times New Roman" w:hAnsi="Times New Roman" w:eastAsia="宋体" w:cs="Times New Roman"/>
                                  <w:b w:val="0"/>
                                  <w:bCs w:val="0"/>
                                  <w:sz w:val="15"/>
                                  <w:szCs w:val="15"/>
                                  <w:lang w:val="en-US" w:eastAsia="zh-CN"/>
                                </w:rPr>
                              </w:pPr>
                              <w:r>
                                <w:rPr>
                                  <w:rFonts w:hint="eastAsia" w:cs="Times New Roman"/>
                                  <w:b w:val="0"/>
                                  <w:bCs w:val="0"/>
                                  <w:sz w:val="15"/>
                                  <w:szCs w:val="15"/>
                                  <w:lang w:val="en-US" w:eastAsia="zh-CN"/>
                                </w:rPr>
                                <w:t>污水</w:t>
                              </w:r>
                            </w:p>
                          </w:txbxContent>
                        </v:textbox>
                      </v:shape>
                      <v:line id="_x0000_s1026" o:spid="_x0000_s1026" o:spt="20" style="position:absolute;left:9558;top:848737;flip:x;height:397;width:1;" filled="f" stroked="t" coordsize="21600,21600" o:gfxdata="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BPeu0G8AAAA&#10;3AAAAA8AAAAAAAAAAQAgAAAAIgAAAGRycy9kb3ducmV2LnhtbFBLAQIUABQAAAAIAIdO4kAzLwWe&#10;OwAAADkAAAAQAAAAAAAAAAEAIAAAAAsBAABkcnMvc2hhcGV4bWwueG1sUEsFBgAAAAAGAAYAWwEA&#10;ALUDAAAAAA==&#10;">
                        <v:fill on="f" focussize="0,0"/>
                        <v:stroke color="#000000" joinstyle="round" endarrow="open"/>
                        <v:imagedata o:title=""/>
                        <o:lock v:ext="edit" aspectratio="f"/>
                      </v:line>
                      <v:shape id="_x0000_s1026" o:spid="_x0000_s1026" o:spt="202" type="#_x0000_t202" style="position:absolute;left:8692;top:847965;height:809;width:1828;" filled="f" stroked="f" coordsize="21600,21600" o:gfxdata="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30f3NvQAA&#10;ANwAAAAPAAAAAAAAAAEAIAAAACIAAABkcnMvZG93bnJldi54bWxQSwECFAAUAAAACACHTuJAMy8F&#10;njsAAAA5AAAAEAAAAAAAAAABACAAAAAMAQAAZHJzL3NoYXBleG1sLnhtbFBLBQYAAAAABgAGAFsB&#10;AAC2AwAAAAA=&#10;">
                        <v:fill on="f" focussize="0,0"/>
                        <v:stroke on="f"/>
                        <v:imagedata o:title=""/>
                        <o:lock v:ext="edit" aspectratio="f"/>
                        <v:textbox>
                          <w:txbxContent>
                            <w:p w14:paraId="46511BBD">
                              <w:pPr>
                                <w:keepNext w:val="0"/>
                                <w:keepLines w:val="0"/>
                                <w:pageBreakBefore w:val="0"/>
                                <w:widowControl w:val="0"/>
                                <w:kinsoku/>
                                <w:wordWrap/>
                                <w:overflowPunct/>
                                <w:topLinePunct w:val="0"/>
                                <w:bidi w:val="0"/>
                                <w:adjustRightInd/>
                                <w:snapToGrid/>
                                <w:spacing w:line="220" w:lineRule="exact"/>
                                <w:jc w:val="center"/>
                                <w:textAlignment w:val="auto"/>
                                <w:rPr>
                                  <w:rFonts w:hint="default" w:ascii="Times New Roman" w:hAnsi="Times New Roman" w:eastAsia="宋体" w:cs="Times New Roman"/>
                                  <w:b w:val="0"/>
                                  <w:bCs w:val="0"/>
                                  <w:sz w:val="15"/>
                                  <w:szCs w:val="15"/>
                                  <w:lang w:val="en-US" w:eastAsia="zh-CN"/>
                                </w:rPr>
                              </w:pPr>
                              <w:r>
                                <w:rPr>
                                  <w:rFonts w:hint="eastAsia" w:cs="Times New Roman"/>
                                  <w:b w:val="0"/>
                                  <w:bCs w:val="0"/>
                                  <w:sz w:val="15"/>
                                  <w:szCs w:val="15"/>
                                  <w:lang w:val="en-US" w:eastAsia="zh-CN"/>
                                </w:rPr>
                                <w:t>过滤机、脱水筛、漂洗船、甩干机、高钙机等废水</w:t>
                              </w:r>
                            </w:p>
                          </w:txbxContent>
                        </v:textbox>
                      </v:shape>
                      <v:group id="_x0000_s1026" o:spid="_x0000_s1026" o:spt="203" style="position:absolute;left:10451;top:848527;height:1786;width:3190;" coordorigin="11009,848540" coordsize="3190,1786" o:gfxdata="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AqQHYrvwAAANwAAAAPAAAAAAAAAAEAIAAAACIAAABkcnMvZG93bnJldi54&#10;bWxQSwECFAAUAAAACACHTuJAMy8FnjsAAAA5AAAAFQAAAAAAAAABACAAAAAOAQAAZHJzL2dyb3Vw&#10;c2hhcGV4bWwueG1sUEsFBgAAAAAGAAYAYAEAAMsDAAAAAA==&#10;">
                        <o:lock v:ext="edit" aspectratio="f"/>
                        <v:shape id="_x0000_s1026" o:spid="_x0000_s1026" o:spt="202" type="#_x0000_t202" style="position:absolute;left:11477;top:849948;height:378;width:1254;" fillcolor="#FFFFFF" filled="t" stroked="t" coordsize="21600,21600" o:gfxdata="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mermHvQAA&#10;ANw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14:paraId="2A687EF9">
                                <w:pPr>
                                  <w:keepNext w:val="0"/>
                                  <w:keepLines w:val="0"/>
                                  <w:pageBreakBefore w:val="0"/>
                                  <w:widowControl w:val="0"/>
                                  <w:kinsoku/>
                                  <w:wordWrap/>
                                  <w:overflowPunct/>
                                  <w:topLinePunct w:val="0"/>
                                  <w:bidi w:val="0"/>
                                  <w:adjustRightInd/>
                                  <w:snapToGrid/>
                                  <w:spacing w:line="220" w:lineRule="exact"/>
                                  <w:jc w:val="center"/>
                                  <w:textAlignment w:val="auto"/>
                                  <w:rPr>
                                    <w:rFonts w:hint="default" w:ascii="Times New Roman" w:hAnsi="Times New Roman" w:eastAsia="宋体" w:cs="Times New Roman"/>
                                    <w:sz w:val="18"/>
                                    <w:szCs w:val="18"/>
                                    <w:lang w:val="en-US" w:eastAsia="zh-CN"/>
                                  </w:rPr>
                                </w:pPr>
                                <w:r>
                                  <w:rPr>
                                    <w:rFonts w:hint="eastAsia" w:cs="Times New Roman"/>
                                    <w:sz w:val="18"/>
                                    <w:szCs w:val="18"/>
                                    <w:lang w:val="en-US" w:eastAsia="zh-CN"/>
                                  </w:rPr>
                                  <w:t>板框压滤机</w:t>
                                </w:r>
                              </w:p>
                            </w:txbxContent>
                          </v:textbox>
                        </v:shape>
                        <v:shape id="_x0000_s1026" o:spid="_x0000_s1026" o:spt="202" type="#_x0000_t202" style="position:absolute;left:13307;top:849141;height:378;width:893;" fillcolor="#FFFFFF" filled="t" stroked="t" coordsize="21600,21600" o:gfxdata="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CTYcHLsAAADc&#10;AAAADwAAAAAAAAABACAAAAAiAAAAZHJzL2Rvd25yZXYueG1sUEsBAhQAFAAAAAgAh07iQDMvBZ47&#10;AAAAOQAAABAAAAAAAAAAAQAgAAAACgEAAGRycy9zaGFwZXhtbC54bWxQSwUGAAAAAAYABgBbAQAA&#10;tAMAAAAA&#10;">
                          <v:fill on="t" focussize="0,0"/>
                          <v:stroke color="#000000" joinstyle="miter"/>
                          <v:imagedata o:title=""/>
                          <o:lock v:ext="edit" aspectratio="f"/>
                          <v:textbox>
                            <w:txbxContent>
                              <w:p w14:paraId="35C1EC06">
                                <w:pPr>
                                  <w:keepNext w:val="0"/>
                                  <w:keepLines w:val="0"/>
                                  <w:pageBreakBefore w:val="0"/>
                                  <w:widowControl w:val="0"/>
                                  <w:kinsoku/>
                                  <w:wordWrap/>
                                  <w:overflowPunct/>
                                  <w:topLinePunct w:val="0"/>
                                  <w:bidi w:val="0"/>
                                  <w:adjustRightInd/>
                                  <w:snapToGrid/>
                                  <w:spacing w:line="220" w:lineRule="exact"/>
                                  <w:jc w:val="center"/>
                                  <w:textAlignment w:val="auto"/>
                                  <w:rPr>
                                    <w:rFonts w:hint="default" w:ascii="Times New Roman" w:hAnsi="Times New Roman" w:eastAsia="宋体" w:cs="Times New Roman"/>
                                    <w:sz w:val="18"/>
                                    <w:szCs w:val="18"/>
                                    <w:lang w:val="en-US" w:eastAsia="zh-CN"/>
                                  </w:rPr>
                                </w:pPr>
                                <w:r>
                                  <w:rPr>
                                    <w:rFonts w:hint="eastAsia" w:cs="Times New Roman"/>
                                    <w:sz w:val="18"/>
                                    <w:szCs w:val="18"/>
                                    <w:lang w:val="en-US" w:eastAsia="zh-CN"/>
                                  </w:rPr>
                                  <w:t>清水池</w:t>
                                </w:r>
                              </w:p>
                            </w:txbxContent>
                          </v:textbox>
                        </v:shape>
                        <v:shape id="_x0000_s1026" o:spid="_x0000_s1026" o:spt="202" type="#_x0000_t202" style="position:absolute;left:11248;top:849123;height:378;width:1298;" fillcolor="#FFFFFF" filled="t" stroked="t" coordsize="21600,21600" o:gfxdata="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2DRofvQAA&#10;ANw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14:paraId="10A250AB">
                                <w:pPr>
                                  <w:keepNext w:val="0"/>
                                  <w:keepLines w:val="0"/>
                                  <w:pageBreakBefore w:val="0"/>
                                  <w:widowControl w:val="0"/>
                                  <w:kinsoku/>
                                  <w:wordWrap/>
                                  <w:overflowPunct/>
                                  <w:topLinePunct w:val="0"/>
                                  <w:bidi w:val="0"/>
                                  <w:adjustRightInd/>
                                  <w:snapToGrid/>
                                  <w:spacing w:line="220" w:lineRule="exact"/>
                                  <w:jc w:val="center"/>
                                  <w:textAlignment w:val="auto"/>
                                  <w:rPr>
                                    <w:rFonts w:hint="default" w:ascii="Times New Roman" w:hAnsi="Times New Roman" w:eastAsia="宋体" w:cs="Times New Roman"/>
                                    <w:sz w:val="18"/>
                                    <w:szCs w:val="18"/>
                                    <w:lang w:val="en-US" w:eastAsia="zh-CN"/>
                                  </w:rPr>
                                </w:pPr>
                                <w:r>
                                  <w:rPr>
                                    <w:rFonts w:hint="eastAsia" w:cs="Times New Roman"/>
                                    <w:sz w:val="18"/>
                                    <w:szCs w:val="18"/>
                                    <w:lang w:val="en-US" w:eastAsia="zh-CN"/>
                                  </w:rPr>
                                  <w:t>浓缩罐</w:t>
                                </w:r>
                              </w:p>
                            </w:txbxContent>
                          </v:textbox>
                        </v:shape>
                        <v:line id="_x0000_s1026" o:spid="_x0000_s1026" o:spt="20" style="position:absolute;left:12547;top:849317;height:1;width:759;" filled="f" stroked="t" coordsize="21600,21600" o:gfxdata="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Ol6hxvQAA&#10;ANwAAAAPAAAAAAAAAAEAIAAAACIAAABkcnMvZG93bnJldi54bWxQSwECFAAUAAAACACHTuJAMy8F&#10;njsAAAA5AAAAEAAAAAAAAAABACAAAAAMAQAAZHJzL3NoYXBleG1sLnhtbFBLBQYAAAAABgAGAFsB&#10;AAC2AwAAAAA=&#10;">
                          <v:fill on="f" focussize="0,0"/>
                          <v:stroke color="#000000" joinstyle="round" endarrow="open"/>
                          <v:imagedata o:title=""/>
                          <o:lock v:ext="edit" aspectratio="f"/>
                        </v:line>
                        <v:line id="_x0000_s1026" o:spid="_x0000_s1026" o:spt="20" style="position:absolute;left:12081;top:849516;height:432;width:1;" filled="f" stroked="t" coordsize="21600,21600" o:gfxdata="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JEJk528AAAA&#10;3AAAAA8AAAAAAAAAAQAgAAAAIgAAAGRycy9kb3ducmV2LnhtbFBLAQIUABQAAAAIAIdO4kAzLwWe&#10;OwAAADkAAAAQAAAAAAAAAAEAIAAAAAsBAABkcnMvc2hhcGV4bWwueG1sUEsFBgAAAAAGAAYAWwEA&#10;ALUDAAAAAA==&#10;">
                          <v:fill on="f" focussize="0,0"/>
                          <v:stroke color="#000000" joinstyle="round" endarrow="open"/>
                          <v:imagedata o:title=""/>
                          <o:lock v:ext="edit" aspectratio="f"/>
                        </v:line>
                        <v:line id="_x0000_s1026" o:spid="_x0000_s1026" o:spt="20" style="position:absolute;left:12742;top:850139;flip:y;height:4;width:990;" filled="f" stroked="t" coordsize="21600,21600" o:gfxdata="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cieO1bsAAADc&#10;AAAADwAAAAAAAAABACAAAAAiAAAAZHJzL2Rvd25yZXYueG1sUEsBAhQAFAAAAAgAh07iQDMvBZ47&#10;AAAAOQAAABAAAAAAAAAAAQAgAAAACgEAAGRycy9zaGFwZXhtbC54bWxQSwUGAAAAAAYABgBbAQAA&#10;tAMAAAAA&#10;">
                          <v:fill on="f" focussize="0,0"/>
                          <v:stroke color="#000000" joinstyle="round"/>
                          <v:imagedata o:title=""/>
                          <o:lock v:ext="edit" aspectratio="f"/>
                        </v:line>
                        <v:line id="_x0000_s1026" o:spid="_x0000_s1026" o:spt="20" style="position:absolute;left:13719;top:849519;flip:y;height:632;width:1;" filled="f" stroked="t" coordsize="21600,21600" o:gfxdata="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XP97+bsAAADc&#10;AAAADwAAAAAAAAABACAAAAAiAAAAZHJzL2Rvd25yZXYueG1sUEsBAhQAFAAAAAgAh07iQDMvBZ47&#10;AAAAOQAAABAAAAAAAAAAAQAgAAAACgEAAGRycy9zaGFwZXhtbC54bWxQSwUGAAAAAAYABgBbAQAA&#10;tAMAAAAA&#10;">
                          <v:fill on="f" focussize="0,0"/>
                          <v:stroke color="#000000" joinstyle="round" endarrow="open"/>
                          <v:imagedata o:title=""/>
                          <o:lock v:ext="edit" aspectratio="f"/>
                        </v:line>
                        <v:shape id="直接箭头连接符 50" o:spid="_x0000_s1026" o:spt="32" type="#_x0000_t32" style="position:absolute;left:13738;top:848928;flip:x y;height:227;width:1;" filled="f" stroked="t" coordsize="21600,21600" o:gfxdata="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yoP9KrsAAADc&#10;AAAADwAAAAAAAAABACAAAAAiAAAAZHJzL2Rvd25yZXYueG1sUEsBAhQAFAAAAAgAh07iQDMvBZ47&#10;AAAAOQAAABAAAAAAAAAAAQAgAAAACgEAAGRycy9zaGFwZXhtbC54bWxQSwUGAAAAAAYABgBbAQAA&#10;tAMAAAAA&#10;">
                          <v:fill on="f" focussize="0,0"/>
                          <v:stroke color="#000000" joinstyle="round" dashstyle="dash" endarrow="open" endarrowwidth="narrow" endarrowlength="short"/>
                          <v:imagedata o:title=""/>
                          <o:lock v:ext="edit" aspectratio="f"/>
                        </v:shape>
                        <v:rect id="矩形 49" o:spid="_x0000_s1026" o:spt="1" style="position:absolute;left:13514;top:848682;height:336;width:445;" filled="f" stroked="f" coordsize="21600,21600" o:gfxdata="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uhrhS7sAAADc&#10;AAAADwAAAAAAAAABACAAAAAiAAAAZHJzL2Rvd25yZXYueG1sUEsBAhQAFAAAAAgAh07iQDMvBZ47&#10;AAAAOQAAABAAAAAAAAAAAQAgAAAACgEAAGRycy9zaGFwZXhtbC54bWxQSwUGAAAAAAYABgBbAQAA&#10;tAMAAAAA&#10;">
                          <v:fill on="f" focussize="0,0"/>
                          <v:stroke on="f"/>
                          <v:imagedata o:title=""/>
                          <o:lock v:ext="edit" aspectratio="f"/>
                          <v:textbox>
                            <w:txbxContent>
                              <w:p w14:paraId="0403EF12">
                                <w:pPr>
                                  <w:spacing w:line="0" w:lineRule="atLeast"/>
                                  <w:jc w:val="center"/>
                                  <w:rPr>
                                    <w:rFonts w:hint="default" w:eastAsia="宋体"/>
                                    <w:sz w:val="15"/>
                                    <w:szCs w:val="15"/>
                                    <w:lang w:val="en-US" w:eastAsia="zh-CN"/>
                                  </w:rPr>
                                </w:pPr>
                                <w:r>
                                  <w:rPr>
                                    <w:rFonts w:hint="eastAsia"/>
                                    <w:sz w:val="15"/>
                                    <w:szCs w:val="15"/>
                                  </w:rPr>
                                  <w:t>N</w:t>
                                </w:r>
                              </w:p>
                            </w:txbxContent>
                          </v:textbox>
                        </v:rect>
                        <v:shape id="直接箭头连接符 50" o:spid="_x0000_s1026" o:spt="32" type="#_x0000_t32" style="position:absolute;left:12534;top:849721;flip:x y;height:227;width:1;" filled="f" stroked="t" coordsize="21600,21600" o:gfxdata="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UUMzDvQAA&#10;ANwAAAAPAAAAAAAAAAEAIAAAACIAAABkcnMvZG93bnJldi54bWxQSwECFAAUAAAACACHTuJAMy8F&#10;njsAAAA5AAAAEAAAAAAAAAABACAAAAAMAQAAZHJzL3NoYXBleG1sLnhtbFBLBQYAAAAABgAGAFsB&#10;AAC2AwAAAAA=&#10;">
                          <v:fill on="f" focussize="0,0"/>
                          <v:stroke color="#000000" joinstyle="round" dashstyle="dash" endarrow="open" endarrowwidth="narrow" endarrowlength="short"/>
                          <v:imagedata o:title=""/>
                          <o:lock v:ext="edit" aspectratio="f"/>
                        </v:shape>
                        <v:rect id="矩形 49" o:spid="_x0000_s1026" o:spt="1" style="position:absolute;left:11837;top:849476;height:336;width:1392;" filled="f" stroked="f" coordsize="21600,21600" o:gfxdata="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LAq7+K/&#10;AAAA3AAAAA8AAAAAAAAAAQAgAAAAIgAAAGRycy9kb3ducmV2LnhtbFBLAQIUABQAAAAIAIdO4kAz&#10;LwWeOwAAADkAAAAQAAAAAAAAAAEAIAAAAA4BAABkcnMvc2hhcGV4bWwueG1sUEsFBgAAAAAGAAYA&#10;WwEAALgDAAAAAA==&#10;">
                          <v:fill on="f" focussize="0,0"/>
                          <v:stroke on="f"/>
                          <v:imagedata o:title=""/>
                          <o:lock v:ext="edit" aspectratio="f"/>
                          <v:textbox>
                            <w:txbxContent>
                              <w:p w14:paraId="5C4A7E87">
                                <w:pPr>
                                  <w:spacing w:line="0" w:lineRule="atLeast"/>
                                  <w:jc w:val="center"/>
                                  <w:rPr>
                                    <w:rFonts w:hint="default" w:eastAsia="宋体"/>
                                    <w:sz w:val="15"/>
                                    <w:szCs w:val="15"/>
                                    <w:lang w:val="en-US" w:eastAsia="zh-CN"/>
                                  </w:rPr>
                                </w:pPr>
                                <w:r>
                                  <w:rPr>
                                    <w:rFonts w:hint="eastAsia"/>
                                    <w:sz w:val="15"/>
                                    <w:szCs w:val="15"/>
                                  </w:rPr>
                                  <w:t>N</w:t>
                                </w:r>
                                <w:r>
                                  <w:rPr>
                                    <w:rFonts w:hint="eastAsia"/>
                                    <w:sz w:val="15"/>
                                    <w:szCs w:val="15"/>
                                    <w:lang w:eastAsia="zh-CN"/>
                                  </w:rPr>
                                  <w:t>、</w:t>
                                </w:r>
                                <w:r>
                                  <w:rPr>
                                    <w:rFonts w:hint="eastAsia"/>
                                    <w:sz w:val="15"/>
                                    <w:szCs w:val="15"/>
                                    <w:lang w:val="en-US" w:eastAsia="zh-CN"/>
                                  </w:rPr>
                                  <w:t>S</w:t>
                                </w:r>
                              </w:p>
                            </w:txbxContent>
                          </v:textbox>
                        </v:rect>
                        <v:shape id="直接箭头连接符 50" o:spid="_x0000_s1026" o:spt="32" type="#_x0000_t32" style="position:absolute;left:12365;top:848886;flip:x y;height:227;width:1;" filled="f" stroked="t" coordsize="21600,21600" o:gfxdata="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wLPzg7sAAADc&#10;AAAADwAAAAAAAAABACAAAAAiAAAAZHJzL2Rvd25yZXYueG1sUEsBAhQAFAAAAAgAh07iQDMvBZ47&#10;AAAAOQAAABAAAAAAAAAAAQAgAAAACgEAAGRycy9zaGFwZXhtbC54bWxQSwUGAAAAAAYABgBbAQAA&#10;tAMAAAAA&#10;">
                          <v:fill on="f" focussize="0,0"/>
                          <v:stroke color="#000000" joinstyle="round" dashstyle="dash" endarrow="open" endarrowwidth="narrow" endarrowlength="short"/>
                          <v:imagedata o:title=""/>
                          <o:lock v:ext="edit" aspectratio="f"/>
                        </v:shape>
                        <v:rect id="矩形 49" o:spid="_x0000_s1026" o:spt="1" style="position:absolute;left:12141;top:848652;height:336;width:445;" filled="f" stroked="f" coordsize="21600,21600" o:gfxdata="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zxHp4bsAAADc&#10;AAAADwAAAAAAAAABACAAAAAiAAAAZHJzL2Rvd25yZXYueG1sUEsBAhQAFAAAAAgAh07iQDMvBZ47&#10;AAAAOQAAABAAAAAAAAAAAQAgAAAACgEAAGRycy9zaGFwZXhtbC54bWxQSwUGAAAAAAYABgBbAQAA&#10;tAMAAAAA&#10;">
                          <v:fill on="f" focussize="0,0"/>
                          <v:stroke on="f"/>
                          <v:imagedata o:title=""/>
                          <o:lock v:ext="edit" aspectratio="f"/>
                          <v:textbox>
                            <w:txbxContent>
                              <w:p w14:paraId="341A260E">
                                <w:pPr>
                                  <w:spacing w:line="0" w:lineRule="atLeast"/>
                                  <w:jc w:val="center"/>
                                  <w:rPr>
                                    <w:rFonts w:hint="default" w:eastAsia="宋体"/>
                                    <w:sz w:val="15"/>
                                    <w:szCs w:val="15"/>
                                    <w:lang w:val="en-US" w:eastAsia="zh-CN"/>
                                  </w:rPr>
                                </w:pPr>
                                <w:r>
                                  <w:rPr>
                                    <w:rFonts w:hint="eastAsia"/>
                                    <w:sz w:val="15"/>
                                    <w:szCs w:val="15"/>
                                  </w:rPr>
                                  <w:t>N</w:t>
                                </w:r>
                              </w:p>
                            </w:txbxContent>
                          </v:textbox>
                        </v:rect>
                        <v:shape id="_x0000_s1026" o:spid="_x0000_s1026" o:spt="202" type="#_x0000_t202" style="position:absolute;left:12493;top:849024;height:427;width:915;" filled="f" stroked="f" coordsize="21600,21600" o:gfxdata="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GJ/yIi8AAAA&#10;3AAAAA8AAAAAAAAAAQAgAAAAIgAAAGRycy9kb3ducmV2LnhtbFBLAQIUABQAAAAIAIdO4kAzLwWe&#10;OwAAADkAAAAQAAAAAAAAAAEAIAAAAAsBAABkcnMvc2hhcGV4bWwueG1sUEsFBgAAAAAGAAYAWwEA&#10;ALUDAAAAAA==&#10;">
                          <v:fill on="f" focussize="0,0"/>
                          <v:stroke on="f"/>
                          <v:imagedata o:title=""/>
                          <o:lock v:ext="edit" aspectratio="f"/>
                          <v:textbox>
                            <w:txbxContent>
                              <w:p w14:paraId="0AA656D4">
                                <w:pPr>
                                  <w:keepNext w:val="0"/>
                                  <w:keepLines w:val="0"/>
                                  <w:pageBreakBefore w:val="0"/>
                                  <w:widowControl w:val="0"/>
                                  <w:kinsoku/>
                                  <w:wordWrap/>
                                  <w:overflowPunct/>
                                  <w:topLinePunct w:val="0"/>
                                  <w:bidi w:val="0"/>
                                  <w:adjustRightInd/>
                                  <w:snapToGrid/>
                                  <w:spacing w:line="220" w:lineRule="exact"/>
                                  <w:jc w:val="both"/>
                                  <w:textAlignment w:val="auto"/>
                                  <w:rPr>
                                    <w:rFonts w:hint="default" w:ascii="Times New Roman" w:hAnsi="Times New Roman" w:eastAsia="宋体" w:cs="Times New Roman"/>
                                    <w:b w:val="0"/>
                                    <w:bCs w:val="0"/>
                                    <w:sz w:val="15"/>
                                    <w:szCs w:val="15"/>
                                    <w:lang w:val="en-US" w:eastAsia="zh-CN"/>
                                  </w:rPr>
                                </w:pPr>
                                <w:r>
                                  <w:rPr>
                                    <w:rFonts w:hint="eastAsia" w:cs="Times New Roman"/>
                                    <w:b w:val="0"/>
                                    <w:bCs w:val="0"/>
                                    <w:sz w:val="15"/>
                                    <w:szCs w:val="15"/>
                                    <w:lang w:val="en-US" w:eastAsia="zh-CN"/>
                                  </w:rPr>
                                  <w:t>上清液</w:t>
                                </w:r>
                              </w:p>
                            </w:txbxContent>
                          </v:textbox>
                        </v:shape>
                        <v:shape id="_x0000_s1026" o:spid="_x0000_s1026" o:spt="202" type="#_x0000_t202" style="position:absolute;left:11538;top:849421;height:618;width:666;" filled="f" stroked="f" coordsize="21600,21600" o:gfxdata="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jH5nFr4A&#10;AADcAAAADwAAAAAAAAABACAAAAAiAAAAZHJzL2Rvd25yZXYueG1sUEsBAhQAFAAAAAgAh07iQDMv&#10;BZ47AAAAOQAAABAAAAAAAAAAAQAgAAAADQEAAGRycy9zaGFwZXhtbC54bWxQSwUGAAAAAAYABgBb&#10;AQAAtwMAAAAA&#10;">
                          <v:fill on="f" focussize="0,0"/>
                          <v:stroke on="f"/>
                          <v:imagedata o:title=""/>
                          <o:lock v:ext="edit" aspectratio="f"/>
                          <v:textbox>
                            <w:txbxContent>
                              <w:p w14:paraId="7ABD1A77">
                                <w:pPr>
                                  <w:keepNext w:val="0"/>
                                  <w:keepLines w:val="0"/>
                                  <w:pageBreakBefore w:val="0"/>
                                  <w:widowControl w:val="0"/>
                                  <w:kinsoku/>
                                  <w:wordWrap/>
                                  <w:overflowPunct/>
                                  <w:topLinePunct w:val="0"/>
                                  <w:bidi w:val="0"/>
                                  <w:adjustRightInd/>
                                  <w:snapToGrid/>
                                  <w:spacing w:line="220" w:lineRule="exact"/>
                                  <w:jc w:val="both"/>
                                  <w:textAlignment w:val="auto"/>
                                  <w:rPr>
                                    <w:rFonts w:hint="eastAsia" w:cs="Times New Roman"/>
                                    <w:b w:val="0"/>
                                    <w:bCs w:val="0"/>
                                    <w:sz w:val="15"/>
                                    <w:szCs w:val="15"/>
                                    <w:lang w:val="en-US" w:eastAsia="zh-CN"/>
                                  </w:rPr>
                                </w:pPr>
                                <w:r>
                                  <w:rPr>
                                    <w:rFonts w:hint="eastAsia" w:cs="Times New Roman"/>
                                    <w:b w:val="0"/>
                                    <w:bCs w:val="0"/>
                                    <w:sz w:val="15"/>
                                    <w:szCs w:val="15"/>
                                    <w:lang w:val="en-US" w:eastAsia="zh-CN"/>
                                  </w:rPr>
                                  <w:t>底部</w:t>
                                </w:r>
                              </w:p>
                              <w:p w14:paraId="14117913">
                                <w:pPr>
                                  <w:keepNext w:val="0"/>
                                  <w:keepLines w:val="0"/>
                                  <w:pageBreakBefore w:val="0"/>
                                  <w:widowControl w:val="0"/>
                                  <w:kinsoku/>
                                  <w:wordWrap/>
                                  <w:overflowPunct/>
                                  <w:topLinePunct w:val="0"/>
                                  <w:bidi w:val="0"/>
                                  <w:adjustRightInd/>
                                  <w:snapToGrid/>
                                  <w:spacing w:line="220" w:lineRule="exact"/>
                                  <w:jc w:val="both"/>
                                  <w:textAlignment w:val="auto"/>
                                  <w:rPr>
                                    <w:rFonts w:hint="default" w:ascii="Times New Roman" w:hAnsi="Times New Roman" w:eastAsia="宋体" w:cs="Times New Roman"/>
                                    <w:b w:val="0"/>
                                    <w:bCs w:val="0"/>
                                    <w:sz w:val="15"/>
                                    <w:szCs w:val="15"/>
                                    <w:lang w:val="en-US" w:eastAsia="zh-CN"/>
                                  </w:rPr>
                                </w:pPr>
                                <w:r>
                                  <w:rPr>
                                    <w:rFonts w:hint="eastAsia" w:cs="Times New Roman"/>
                                    <w:b w:val="0"/>
                                    <w:bCs w:val="0"/>
                                    <w:sz w:val="15"/>
                                    <w:szCs w:val="15"/>
                                    <w:lang w:val="en-US" w:eastAsia="zh-CN"/>
                                  </w:rPr>
                                  <w:t>浆液</w:t>
                                </w:r>
                              </w:p>
                            </w:txbxContent>
                          </v:textbox>
                        </v:shape>
                        <v:line id="_x0000_s1026" o:spid="_x0000_s1026" o:spt="20" style="position:absolute;left:11716;top:848891;flip:x;height:245;width:3;" filled="f" stroked="t" coordsize="21600,21600" o:gfxdata="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7POdA7sAAADc&#10;AAAADwAAAAAAAAABACAAAAAiAAAAZHJzL2Rvd25yZXYueG1sUEsBAhQAFAAAAAgAh07iQDMvBZ47&#10;AAAAOQAAABAAAAAAAAAAAQAgAAAACgEAAGRycy9zaGFwZXhtbC54bWxQSwUGAAAAAAYABgBbAQAA&#10;tAMAAAAA&#10;">
                          <v:fill on="f" focussize="0,0"/>
                          <v:stroke color="#000000" joinstyle="round" endarrow="open"/>
                          <v:imagedata o:title=""/>
                          <o:lock v:ext="edit" aspectratio="f"/>
                        </v:line>
                        <v:shape id="_x0000_s1026" o:spid="_x0000_s1026" o:spt="202" type="#_x0000_t202" style="position:absolute;left:11009;top:848540;height:359;width:1356;" filled="f" stroked="f" coordsize="21600,21600" o:gfxdata="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neCbYugAAANwA&#10;AAAPAAAAAAAAAAEAIAAAACIAAABkcnMvZG93bnJldi54bWxQSwECFAAUAAAACACHTuJAMy8FnjsA&#10;AAA5AAAAEAAAAAAAAAABACAAAAAJAQAAZHJzL3NoYXBleG1sLnhtbFBLBQYAAAAABgAGAFsBAACz&#10;AwAAAAA=&#10;">
                          <v:fill on="f" focussize="0,0"/>
                          <v:stroke on="f"/>
                          <v:imagedata o:title=""/>
                          <o:lock v:ext="edit" aspectratio="f"/>
                          <v:textbox>
                            <w:txbxContent>
                              <w:p w14:paraId="3276A623">
                                <w:pPr>
                                  <w:keepNext w:val="0"/>
                                  <w:keepLines w:val="0"/>
                                  <w:pageBreakBefore w:val="0"/>
                                  <w:widowControl w:val="0"/>
                                  <w:kinsoku/>
                                  <w:wordWrap/>
                                  <w:overflowPunct/>
                                  <w:topLinePunct w:val="0"/>
                                  <w:bidi w:val="0"/>
                                  <w:adjustRightInd/>
                                  <w:snapToGrid/>
                                  <w:spacing w:line="220" w:lineRule="exact"/>
                                  <w:jc w:val="center"/>
                                  <w:textAlignment w:val="auto"/>
                                  <w:rPr>
                                    <w:rFonts w:hint="default" w:ascii="Times New Roman" w:hAnsi="Times New Roman" w:eastAsia="宋体" w:cs="Times New Roman"/>
                                    <w:b w:val="0"/>
                                    <w:bCs w:val="0"/>
                                    <w:sz w:val="15"/>
                                    <w:szCs w:val="15"/>
                                    <w:lang w:val="en-US" w:eastAsia="zh-CN"/>
                                  </w:rPr>
                                </w:pPr>
                                <w:r>
                                  <w:rPr>
                                    <w:rFonts w:hint="eastAsia" w:cs="Times New Roman"/>
                                    <w:b w:val="0"/>
                                    <w:bCs w:val="0"/>
                                    <w:sz w:val="15"/>
                                    <w:szCs w:val="15"/>
                                    <w:lang w:val="en-US" w:eastAsia="zh-CN"/>
                                  </w:rPr>
                                  <w:t>混凝剂、絮凝剂</w:t>
                                </w:r>
                              </w:p>
                            </w:txbxContent>
                          </v:textbox>
                        </v:shape>
                      </v:group>
                      <v:shape id="_x0000_s1026" o:spid="_x0000_s1026" o:spt="202" type="#_x0000_t202" style="position:absolute;left:9092;top:849124;height:378;width:893;" fillcolor="#FFFFFF" filled="t" stroked="t" coordsize="21600,21600" o:gfxdata="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MJk3vi/&#10;AAAA3AAAAA8AAAAAAAAAAQAgAAAAIgAAAGRycy9kb3ducmV2LnhtbFBLAQIUABQAAAAIAIdO4kAz&#10;LwWeOwAAADkAAAAQAAAAAAAAAAEAIAAAAA4BAABkcnMvc2hhcGV4bWwueG1sUEsFBgAAAAAGAAYA&#10;WwEAALgDAAAAAA==&#10;">
                        <v:fill on="t" focussize="0,0"/>
                        <v:stroke color="#000000" joinstyle="miter"/>
                        <v:imagedata o:title=""/>
                        <o:lock v:ext="edit" aspectratio="f"/>
                        <v:textbox>
                          <w:txbxContent>
                            <w:p w14:paraId="6461C6B7">
                              <w:pPr>
                                <w:keepNext w:val="0"/>
                                <w:keepLines w:val="0"/>
                                <w:pageBreakBefore w:val="0"/>
                                <w:widowControl w:val="0"/>
                                <w:kinsoku/>
                                <w:wordWrap/>
                                <w:overflowPunct/>
                                <w:topLinePunct w:val="0"/>
                                <w:bidi w:val="0"/>
                                <w:adjustRightInd/>
                                <w:snapToGrid/>
                                <w:spacing w:line="220" w:lineRule="exact"/>
                                <w:jc w:val="center"/>
                                <w:textAlignment w:val="auto"/>
                                <w:rPr>
                                  <w:rFonts w:hint="default" w:ascii="Times New Roman" w:hAnsi="Times New Roman" w:eastAsia="宋体" w:cs="Times New Roman"/>
                                  <w:sz w:val="18"/>
                                  <w:szCs w:val="18"/>
                                  <w:lang w:val="en-US" w:eastAsia="zh-CN"/>
                                </w:rPr>
                              </w:pPr>
                              <w:r>
                                <w:rPr>
                                  <w:rFonts w:hint="eastAsia" w:cs="Times New Roman"/>
                                  <w:sz w:val="18"/>
                                  <w:szCs w:val="18"/>
                                  <w:lang w:val="en-US" w:eastAsia="zh-CN"/>
                                </w:rPr>
                                <w:t>沉淀池</w:t>
                              </w:r>
                            </w:p>
                          </w:txbxContent>
                        </v:textbox>
                      </v:shape>
                      <v:shape id="直接箭头连接符 50" o:spid="_x0000_s1026" o:spt="32" type="#_x0000_t32" style="position:absolute;left:9880;top:848899;flip:x y;height:227;width:1;" filled="f" stroked="t" coordsize="21600,21600" o:gfxdata="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NV9lrb4A&#10;AADcAAAADwAAAAAAAAABACAAAAAiAAAAZHJzL2Rvd25yZXYueG1sUEsBAhQAFAAAAAgAh07iQDMv&#10;BZ47AAAAOQAAABAAAAAAAAAAAQAgAAAADQEAAGRycy9zaGFwZXhtbC54bWxQSwUGAAAAAAYABgBb&#10;AQAAtwMAAAAA&#10;">
                        <v:fill on="f" focussize="0,0"/>
                        <v:stroke color="#000000" joinstyle="round" dashstyle="dash" endarrow="open" endarrowwidth="narrow" endarrowlength="short"/>
                        <v:imagedata o:title=""/>
                        <o:lock v:ext="edit" aspectratio="f"/>
                      </v:shape>
                      <v:rect id="矩形 49" o:spid="_x0000_s1026" o:spt="1" style="position:absolute;left:9200;top:848629;height:336;width:1392;" filled="f" stroked="f" coordsize="21600,21600" o:gfxdata="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FsVSCW8AAAA&#10;3AAAAA8AAAAAAAAAAQAgAAAAIgAAAGRycy9kb3ducmV2LnhtbFBLAQIUABQAAAAIAIdO4kAzLwWe&#10;OwAAADkAAAAQAAAAAAAAAAEAIAAAAAsBAABkcnMvc2hhcGV4bWwueG1sUEsFBgAAAAAGAAYAWwEA&#10;ALUDAAAAAA==&#10;">
                        <v:fill on="f" focussize="0,0"/>
                        <v:stroke on="f"/>
                        <v:imagedata o:title=""/>
                        <o:lock v:ext="edit" aspectratio="f"/>
                        <v:textbox>
                          <w:txbxContent>
                            <w:p w14:paraId="6F0B9BA8">
                              <w:pPr>
                                <w:spacing w:line="0" w:lineRule="atLeast"/>
                                <w:jc w:val="center"/>
                                <w:rPr>
                                  <w:rFonts w:hint="default" w:eastAsia="宋体"/>
                                  <w:sz w:val="15"/>
                                  <w:szCs w:val="15"/>
                                  <w:lang w:val="en-US" w:eastAsia="zh-CN"/>
                                </w:rPr>
                              </w:pPr>
                              <w:r>
                                <w:rPr>
                                  <w:rFonts w:hint="eastAsia"/>
                                  <w:sz w:val="15"/>
                                  <w:szCs w:val="15"/>
                                </w:rPr>
                                <w:t>N</w:t>
                              </w:r>
                              <w:r>
                                <w:rPr>
                                  <w:rFonts w:hint="eastAsia"/>
                                  <w:sz w:val="15"/>
                                  <w:szCs w:val="15"/>
                                  <w:lang w:eastAsia="zh-CN"/>
                                </w:rPr>
                                <w:t>、</w:t>
                              </w:r>
                              <w:r>
                                <w:rPr>
                                  <w:rFonts w:hint="eastAsia"/>
                                  <w:sz w:val="15"/>
                                  <w:szCs w:val="15"/>
                                  <w:lang w:val="en-US" w:eastAsia="zh-CN"/>
                                </w:rPr>
                                <w:t>S</w:t>
                              </w:r>
                            </w:p>
                          </w:txbxContent>
                        </v:textbox>
                      </v:rect>
                      <v:line id="_x0000_s1026" o:spid="_x0000_s1026" o:spt="20" style="position:absolute;left:10009;top:849331;height:1;width:680;" filled="f" stroked="t" coordsize="21600,21600" o:gfxdata="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gcZlr&#10;wAAAANwAAAAPAAAAAAAAAAEAIAAAACIAAABkcnMvZG93bnJldi54bWxQSwECFAAUAAAACACHTuJA&#10;My8FnjsAAAA5AAAAEAAAAAAAAAABACAAAAAPAQAAZHJzL3NoYXBleG1sLnhtbFBLBQYAAAAABgAG&#10;AFsBAAC5AwAAAAA=&#10;">
                        <v:fill on="f" focussize="0,0"/>
                        <v:stroke color="#000000" joinstyle="round" endarrow="open"/>
                        <v:imagedata o:title=""/>
                        <o:lock v:ext="edit" aspectratio="f"/>
                      </v:line>
                      <v:shape id="_x0000_s1026" o:spid="_x0000_s1026" o:spt="202" type="#_x0000_t202" style="position:absolute;left:9985;top:849012;height:427;width:657;" filled="f" stroked="f" coordsize="21600,21600" o:gfxdata="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imFYMugAAANwA&#10;AAAPAAAAAAAAAAEAIAAAACIAAABkcnMvZG93bnJldi54bWxQSwECFAAUAAAACACHTuJAMy8FnjsA&#10;AAA5AAAAEAAAAAAAAAABACAAAAAJAQAAZHJzL3NoYXBleG1sLnhtbFBLBQYAAAAABgAGAFsBAACz&#10;AwAAAAA=&#10;">
                        <v:fill on="f" focussize="0,0"/>
                        <v:stroke on="f"/>
                        <v:imagedata o:title=""/>
                        <o:lock v:ext="edit" aspectratio="f"/>
                        <v:textbox>
                          <w:txbxContent>
                            <w:p w14:paraId="17A3C095">
                              <w:pPr>
                                <w:keepNext w:val="0"/>
                                <w:keepLines w:val="0"/>
                                <w:pageBreakBefore w:val="0"/>
                                <w:widowControl w:val="0"/>
                                <w:kinsoku/>
                                <w:wordWrap/>
                                <w:overflowPunct/>
                                <w:topLinePunct w:val="0"/>
                                <w:bidi w:val="0"/>
                                <w:adjustRightInd/>
                                <w:snapToGrid/>
                                <w:spacing w:line="220" w:lineRule="exact"/>
                                <w:jc w:val="both"/>
                                <w:textAlignment w:val="auto"/>
                                <w:rPr>
                                  <w:rFonts w:hint="default" w:ascii="Times New Roman" w:hAnsi="Times New Roman" w:eastAsia="宋体" w:cs="Times New Roman"/>
                                  <w:b w:val="0"/>
                                  <w:bCs w:val="0"/>
                                  <w:sz w:val="15"/>
                                  <w:szCs w:val="15"/>
                                  <w:lang w:val="en-US" w:eastAsia="zh-CN"/>
                                </w:rPr>
                              </w:pPr>
                              <w:r>
                                <w:rPr>
                                  <w:rFonts w:hint="eastAsia" w:cs="Times New Roman"/>
                                  <w:b w:val="0"/>
                                  <w:bCs w:val="0"/>
                                  <w:sz w:val="15"/>
                                  <w:szCs w:val="15"/>
                                  <w:lang w:val="en-US" w:eastAsia="zh-CN"/>
                                </w:rPr>
                                <w:t>污水</w:t>
                              </w:r>
                            </w:p>
                          </w:txbxContent>
                        </v:textbox>
                      </v:shape>
                    </v:group>
                  </w:pict>
                </mc:Fallback>
              </mc:AlternateContent>
            </w:r>
          </w:p>
          <w:p w14:paraId="6B322DCE">
            <w:pPr>
              <w:pStyle w:val="24"/>
              <w:keepNext w:val="0"/>
              <w:keepLines w:val="0"/>
              <w:pageBreakBefore w:val="0"/>
              <w:widowControl/>
              <w:kinsoku/>
              <w:wordWrap/>
              <w:overflowPunct/>
              <w:topLinePunct w:val="0"/>
              <w:autoSpaceDE/>
              <w:autoSpaceDN/>
              <w:bidi w:val="0"/>
              <w:adjustRightInd w:val="0"/>
              <w:snapToGrid w:val="0"/>
              <w:spacing w:before="0" w:beforeAutospacing="0" w:after="0" w:afterAutospacing="0" w:line="430" w:lineRule="exact"/>
              <w:ind w:firstLine="420" w:firstLineChars="200"/>
              <w:textAlignment w:val="auto"/>
              <w:rPr>
                <w:rFonts w:hint="eastAsia" w:ascii="Times New Roman" w:hAnsi="Times New Roman" w:cs="Times New Roman"/>
                <w:color w:val="auto"/>
                <w:sz w:val="21"/>
                <w:szCs w:val="21"/>
                <w:highlight w:val="none"/>
                <w:lang w:val="en-US" w:eastAsia="zh-CN"/>
              </w:rPr>
            </w:pPr>
          </w:p>
          <w:p w14:paraId="2DAAD759">
            <w:pPr>
              <w:pStyle w:val="24"/>
              <w:keepNext w:val="0"/>
              <w:keepLines w:val="0"/>
              <w:pageBreakBefore w:val="0"/>
              <w:widowControl/>
              <w:kinsoku/>
              <w:wordWrap/>
              <w:overflowPunct/>
              <w:topLinePunct w:val="0"/>
              <w:autoSpaceDE/>
              <w:autoSpaceDN/>
              <w:bidi w:val="0"/>
              <w:adjustRightInd w:val="0"/>
              <w:snapToGrid w:val="0"/>
              <w:spacing w:before="0" w:beforeAutospacing="0" w:after="0" w:afterAutospacing="0" w:line="430" w:lineRule="exact"/>
              <w:ind w:firstLine="420" w:firstLineChars="200"/>
              <w:textAlignment w:val="auto"/>
              <w:rPr>
                <w:rFonts w:hint="eastAsia" w:ascii="Times New Roman" w:hAnsi="Times New Roman" w:cs="Times New Roman"/>
                <w:color w:val="auto"/>
                <w:sz w:val="21"/>
                <w:szCs w:val="21"/>
                <w:highlight w:val="none"/>
                <w:lang w:val="en-US" w:eastAsia="zh-CN"/>
              </w:rPr>
            </w:pPr>
          </w:p>
          <w:p w14:paraId="250E2C38">
            <w:pPr>
              <w:pStyle w:val="24"/>
              <w:keepNext w:val="0"/>
              <w:keepLines w:val="0"/>
              <w:pageBreakBefore w:val="0"/>
              <w:widowControl/>
              <w:kinsoku/>
              <w:wordWrap/>
              <w:overflowPunct/>
              <w:topLinePunct w:val="0"/>
              <w:autoSpaceDE/>
              <w:autoSpaceDN/>
              <w:bidi w:val="0"/>
              <w:adjustRightInd w:val="0"/>
              <w:snapToGrid w:val="0"/>
              <w:spacing w:before="0" w:beforeAutospacing="0" w:after="0" w:afterAutospacing="0" w:line="430" w:lineRule="exact"/>
              <w:ind w:firstLine="420" w:firstLineChars="200"/>
              <w:textAlignment w:val="auto"/>
              <w:rPr>
                <w:rFonts w:hint="eastAsia" w:ascii="Times New Roman" w:hAnsi="Times New Roman" w:cs="Times New Roman"/>
                <w:color w:val="auto"/>
                <w:sz w:val="21"/>
                <w:szCs w:val="21"/>
                <w:highlight w:val="none"/>
                <w:lang w:val="en-US" w:eastAsia="zh-CN"/>
              </w:rPr>
            </w:pPr>
          </w:p>
          <w:p w14:paraId="7B3E19B0">
            <w:pPr>
              <w:pStyle w:val="24"/>
              <w:keepNext w:val="0"/>
              <w:keepLines w:val="0"/>
              <w:pageBreakBefore w:val="0"/>
              <w:widowControl/>
              <w:kinsoku/>
              <w:wordWrap/>
              <w:overflowPunct/>
              <w:topLinePunct w:val="0"/>
              <w:autoSpaceDE/>
              <w:autoSpaceDN/>
              <w:bidi w:val="0"/>
              <w:adjustRightInd w:val="0"/>
              <w:snapToGrid w:val="0"/>
              <w:spacing w:before="0" w:beforeAutospacing="0" w:after="0" w:afterAutospacing="0" w:line="430" w:lineRule="exact"/>
              <w:ind w:firstLine="420" w:firstLineChars="200"/>
              <w:textAlignment w:val="auto"/>
              <w:rPr>
                <w:rFonts w:hint="eastAsia" w:ascii="Times New Roman" w:hAnsi="Times New Roman" w:cs="Times New Roman"/>
                <w:color w:val="auto"/>
                <w:sz w:val="21"/>
                <w:szCs w:val="21"/>
                <w:highlight w:val="none"/>
                <w:lang w:val="en-US" w:eastAsia="zh-CN"/>
              </w:rPr>
            </w:pPr>
          </w:p>
          <w:p w14:paraId="15E80DB7">
            <w:pPr>
              <w:pStyle w:val="24"/>
              <w:keepNext w:val="0"/>
              <w:keepLines w:val="0"/>
              <w:pageBreakBefore w:val="0"/>
              <w:widowControl/>
              <w:kinsoku/>
              <w:wordWrap/>
              <w:overflowPunct/>
              <w:topLinePunct w:val="0"/>
              <w:autoSpaceDE/>
              <w:autoSpaceDN/>
              <w:bidi w:val="0"/>
              <w:adjustRightInd w:val="0"/>
              <w:snapToGrid w:val="0"/>
              <w:spacing w:before="0" w:beforeAutospacing="0" w:after="0" w:afterAutospacing="0" w:line="430" w:lineRule="exact"/>
              <w:ind w:firstLine="420" w:firstLineChars="200"/>
              <w:textAlignment w:val="auto"/>
              <w:rPr>
                <w:rFonts w:hint="eastAsia" w:ascii="Times New Roman" w:hAnsi="Times New Roman" w:cs="Times New Roman"/>
                <w:color w:val="auto"/>
                <w:sz w:val="21"/>
                <w:szCs w:val="21"/>
                <w:highlight w:val="none"/>
                <w:lang w:val="en-US" w:eastAsia="zh-CN"/>
              </w:rPr>
            </w:pPr>
          </w:p>
          <w:p w14:paraId="7AD33C25">
            <w:pPr>
              <w:pStyle w:val="24"/>
              <w:adjustRightInd w:val="0"/>
              <w:snapToGrid w:val="0"/>
              <w:spacing w:before="0" w:beforeAutospacing="0" w:after="0" w:afterAutospacing="0" w:line="440" w:lineRule="exact"/>
              <w:jc w:val="center"/>
              <w:rPr>
                <w:rFonts w:ascii="Times New Roman" w:hAnsi="Times New Roman"/>
                <w:b/>
                <w:color w:val="auto"/>
                <w:sz w:val="21"/>
                <w:szCs w:val="21"/>
              </w:rPr>
            </w:pPr>
            <w:r>
              <w:rPr>
                <w:rFonts w:hint="eastAsia" w:ascii="Times New Roman" w:hAnsi="Times New Roman"/>
                <w:b/>
                <w:color w:val="auto"/>
                <w:sz w:val="21"/>
                <w:szCs w:val="21"/>
              </w:rPr>
              <w:t>图</w:t>
            </w:r>
            <w:r>
              <w:rPr>
                <w:rFonts w:hint="eastAsia" w:ascii="Times New Roman" w:hAnsi="Times New Roman"/>
                <w:b/>
                <w:color w:val="auto"/>
                <w:sz w:val="21"/>
                <w:szCs w:val="21"/>
                <w:lang w:val="en-US" w:eastAsia="zh-CN"/>
              </w:rPr>
              <w:t>7</w:t>
            </w:r>
            <w:r>
              <w:rPr>
                <w:rFonts w:hint="eastAsia" w:ascii="Times New Roman" w:hAnsi="Times New Roman"/>
                <w:b/>
                <w:color w:val="auto"/>
                <w:sz w:val="21"/>
                <w:szCs w:val="21"/>
              </w:rPr>
              <w:t xml:space="preserve"> </w:t>
            </w:r>
            <w:r>
              <w:rPr>
                <w:rFonts w:hint="eastAsia" w:ascii="Times New Roman" w:hAnsi="Times New Roman" w:cs="Times New Roman"/>
                <w:b/>
                <w:color w:val="auto"/>
                <w:sz w:val="21"/>
                <w:szCs w:val="21"/>
                <w:lang w:val="en-US" w:eastAsia="zh-CN"/>
              </w:rPr>
              <w:t>污水处理</w:t>
            </w:r>
            <w:r>
              <w:rPr>
                <w:rFonts w:ascii="Times New Roman" w:hAnsi="Times New Roman"/>
                <w:b/>
                <w:color w:val="auto"/>
                <w:sz w:val="21"/>
                <w:szCs w:val="21"/>
              </w:rPr>
              <w:t>工艺流程及排污节点图</w:t>
            </w:r>
          </w:p>
          <w:p w14:paraId="78C99BC1">
            <w:pPr>
              <w:pStyle w:val="24"/>
              <w:keepNext w:val="0"/>
              <w:keepLines w:val="0"/>
              <w:pageBreakBefore w:val="0"/>
              <w:widowControl/>
              <w:kinsoku/>
              <w:wordWrap/>
              <w:overflowPunct/>
              <w:topLinePunct w:val="0"/>
              <w:autoSpaceDE/>
              <w:autoSpaceDN/>
              <w:bidi w:val="0"/>
              <w:adjustRightInd w:val="0"/>
              <w:snapToGrid w:val="0"/>
              <w:spacing w:before="0" w:beforeAutospacing="0" w:after="0" w:afterAutospacing="0" w:line="430" w:lineRule="exact"/>
              <w:ind w:firstLine="422" w:firstLineChars="200"/>
              <w:textAlignment w:val="auto"/>
              <w:rPr>
                <w:rFonts w:hint="eastAsia" w:ascii="Times New Roman" w:hAnsi="Times New Roman"/>
                <w:b/>
                <w:bCs/>
                <w:color w:val="auto"/>
                <w:sz w:val="21"/>
                <w:szCs w:val="21"/>
                <w:lang w:val="en-US" w:eastAsia="zh-CN"/>
              </w:rPr>
            </w:pPr>
            <w:r>
              <w:rPr>
                <w:rFonts w:hint="eastAsia" w:ascii="Times New Roman" w:hAnsi="Times New Roman"/>
                <w:b/>
                <w:bCs/>
                <w:color w:val="auto"/>
                <w:sz w:val="21"/>
                <w:szCs w:val="21"/>
                <w:lang w:val="en-US" w:eastAsia="zh-CN"/>
              </w:rPr>
              <w:t>4.辅助工程</w:t>
            </w:r>
          </w:p>
          <w:p w14:paraId="17496F1C">
            <w:pPr>
              <w:pStyle w:val="24"/>
              <w:keepNext w:val="0"/>
              <w:keepLines w:val="0"/>
              <w:pageBreakBefore w:val="0"/>
              <w:widowControl/>
              <w:kinsoku/>
              <w:wordWrap/>
              <w:overflowPunct/>
              <w:topLinePunct w:val="0"/>
              <w:autoSpaceDE/>
              <w:autoSpaceDN/>
              <w:bidi w:val="0"/>
              <w:adjustRightInd w:val="0"/>
              <w:snapToGrid w:val="0"/>
              <w:spacing w:before="0" w:beforeAutospacing="0" w:after="0" w:afterAutospacing="0" w:line="430" w:lineRule="exact"/>
              <w:ind w:firstLine="422" w:firstLineChars="200"/>
              <w:textAlignment w:val="auto"/>
              <w:rPr>
                <w:rFonts w:hint="eastAsia" w:ascii="Times New Roman" w:hAnsi="Times New Roman"/>
                <w:b/>
                <w:bCs/>
                <w:color w:val="auto"/>
                <w:sz w:val="21"/>
                <w:szCs w:val="21"/>
                <w:highlight w:val="none"/>
                <w:lang w:val="en-US" w:eastAsia="zh-CN"/>
              </w:rPr>
            </w:pPr>
            <w:r>
              <w:rPr>
                <w:rFonts w:hint="eastAsia" w:ascii="Times New Roman" w:hAnsi="Times New Roman"/>
                <w:b/>
                <w:bCs/>
                <w:color w:val="auto"/>
                <w:sz w:val="21"/>
                <w:szCs w:val="21"/>
                <w:highlight w:val="none"/>
                <w:lang w:val="en-US" w:eastAsia="zh-CN"/>
              </w:rPr>
              <w:t>本项目辅助工程排污节点为职工生活产生的生活污水；除尘风机、空压机运行产生的设备噪声；车间沉降产生的沉降灰、布袋除尘器收集的除尘灰，布袋除尘器布袋更换产生的废布袋，设备维修保养产生的废润滑油、废液压油、废油桶以及职工生活过程产生的生活垃圾。</w:t>
            </w:r>
          </w:p>
          <w:p w14:paraId="6EA1C41B">
            <w:pPr>
              <w:pStyle w:val="24"/>
              <w:adjustRightInd w:val="0"/>
              <w:snapToGrid w:val="0"/>
              <w:spacing w:before="0" w:beforeAutospacing="0" w:after="0" w:afterAutospacing="0" w:line="440" w:lineRule="exact"/>
              <w:jc w:val="center"/>
              <w:rPr>
                <w:rFonts w:ascii="Times New Roman" w:hAnsi="Times New Roman"/>
                <w:b/>
                <w:color w:val="auto"/>
                <w:sz w:val="21"/>
                <w:szCs w:val="21"/>
              </w:rPr>
            </w:pPr>
            <w:r>
              <w:rPr>
                <w:rFonts w:hint="eastAsia" w:ascii="Times New Roman" w:hAnsi="Times New Roman"/>
                <w:b/>
                <w:color w:val="auto"/>
                <w:sz w:val="21"/>
                <w:szCs w:val="21"/>
              </w:rPr>
              <w:t>表</w:t>
            </w:r>
            <w:r>
              <w:rPr>
                <w:rFonts w:hint="eastAsia" w:ascii="Times New Roman" w:hAnsi="Times New Roman"/>
                <w:b/>
                <w:color w:val="auto"/>
                <w:sz w:val="21"/>
                <w:szCs w:val="21"/>
                <w:lang w:val="en-US" w:eastAsia="zh-CN"/>
              </w:rPr>
              <w:t>15</w:t>
            </w:r>
            <w:r>
              <w:rPr>
                <w:rFonts w:hint="eastAsia" w:ascii="Times New Roman" w:hAnsi="Times New Roman"/>
                <w:b/>
                <w:color w:val="auto"/>
                <w:sz w:val="21"/>
                <w:szCs w:val="21"/>
              </w:rPr>
              <w:t xml:space="preserve"> 项目污染源及污染防治措施一览表</w:t>
            </w:r>
          </w:p>
          <w:tbl>
            <w:tblPr>
              <w:tblStyle w:val="28"/>
              <w:tblW w:w="5071"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28" w:type="dxa"/>
                <w:bottom w:w="0" w:type="dxa"/>
                <w:right w:w="28" w:type="dxa"/>
              </w:tblCellMar>
            </w:tblPr>
            <w:tblGrid>
              <w:gridCol w:w="732"/>
              <w:gridCol w:w="650"/>
              <w:gridCol w:w="1332"/>
              <w:gridCol w:w="884"/>
              <w:gridCol w:w="3685"/>
              <w:gridCol w:w="775"/>
            </w:tblGrid>
            <w:tr w14:paraId="5D1D25D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69" w:hRule="atLeast"/>
                <w:jc w:val="center"/>
              </w:trPr>
              <w:tc>
                <w:tcPr>
                  <w:tcW w:w="454" w:type="pct"/>
                  <w:tcBorders>
                    <w:tl2br w:val="nil"/>
                    <w:tr2bl w:val="nil"/>
                  </w:tcBorders>
                  <w:vAlign w:val="center"/>
                </w:tcPr>
                <w:p w14:paraId="35A85816">
                  <w:pPr>
                    <w:jc w:val="center"/>
                    <w:rPr>
                      <w:color w:val="auto"/>
                      <w:spacing w:val="-10"/>
                      <w:sz w:val="18"/>
                      <w:szCs w:val="18"/>
                    </w:rPr>
                  </w:pPr>
                  <w:r>
                    <w:rPr>
                      <w:rFonts w:hint="eastAsia"/>
                      <w:color w:val="auto"/>
                      <w:spacing w:val="-10"/>
                      <w:sz w:val="18"/>
                      <w:szCs w:val="18"/>
                    </w:rPr>
                    <w:t>污染类别</w:t>
                  </w:r>
                </w:p>
              </w:tc>
              <w:tc>
                <w:tcPr>
                  <w:tcW w:w="1229" w:type="pct"/>
                  <w:gridSpan w:val="2"/>
                  <w:tcBorders>
                    <w:tl2br w:val="nil"/>
                    <w:tr2bl w:val="nil"/>
                  </w:tcBorders>
                  <w:vAlign w:val="center"/>
                </w:tcPr>
                <w:p w14:paraId="438921F3">
                  <w:pPr>
                    <w:jc w:val="center"/>
                    <w:rPr>
                      <w:color w:val="auto"/>
                      <w:spacing w:val="-10"/>
                      <w:sz w:val="18"/>
                      <w:szCs w:val="18"/>
                    </w:rPr>
                  </w:pPr>
                  <w:r>
                    <w:rPr>
                      <w:rFonts w:hint="eastAsia"/>
                      <w:color w:val="auto"/>
                      <w:spacing w:val="-10"/>
                      <w:sz w:val="18"/>
                      <w:szCs w:val="18"/>
                    </w:rPr>
                    <w:t>污染源</w:t>
                  </w:r>
                </w:p>
              </w:tc>
              <w:tc>
                <w:tcPr>
                  <w:tcW w:w="548" w:type="pct"/>
                  <w:tcBorders>
                    <w:tl2br w:val="nil"/>
                    <w:tr2bl w:val="nil"/>
                  </w:tcBorders>
                  <w:vAlign w:val="center"/>
                </w:tcPr>
                <w:p w14:paraId="153A7D6D">
                  <w:pPr>
                    <w:jc w:val="center"/>
                    <w:rPr>
                      <w:color w:val="auto"/>
                      <w:spacing w:val="-10"/>
                      <w:sz w:val="18"/>
                      <w:szCs w:val="18"/>
                    </w:rPr>
                  </w:pPr>
                  <w:r>
                    <w:rPr>
                      <w:rFonts w:hint="eastAsia"/>
                      <w:color w:val="auto"/>
                      <w:spacing w:val="-10"/>
                      <w:sz w:val="18"/>
                      <w:szCs w:val="18"/>
                    </w:rPr>
                    <w:t>污染因子</w:t>
                  </w:r>
                </w:p>
              </w:tc>
              <w:tc>
                <w:tcPr>
                  <w:tcW w:w="2286" w:type="pct"/>
                  <w:tcBorders>
                    <w:tl2br w:val="nil"/>
                    <w:tr2bl w:val="nil"/>
                  </w:tcBorders>
                  <w:vAlign w:val="center"/>
                </w:tcPr>
                <w:p w14:paraId="4B126DD3">
                  <w:pPr>
                    <w:jc w:val="center"/>
                    <w:rPr>
                      <w:color w:val="auto"/>
                      <w:spacing w:val="-10"/>
                      <w:sz w:val="18"/>
                      <w:szCs w:val="18"/>
                    </w:rPr>
                  </w:pPr>
                  <w:r>
                    <w:rPr>
                      <w:rFonts w:hint="eastAsia"/>
                      <w:color w:val="auto"/>
                      <w:spacing w:val="-10"/>
                      <w:sz w:val="18"/>
                      <w:szCs w:val="18"/>
                    </w:rPr>
                    <w:t>治理措施</w:t>
                  </w:r>
                </w:p>
              </w:tc>
              <w:tc>
                <w:tcPr>
                  <w:tcW w:w="480" w:type="pct"/>
                  <w:tcBorders>
                    <w:tl2br w:val="nil"/>
                    <w:tr2bl w:val="nil"/>
                  </w:tcBorders>
                  <w:vAlign w:val="center"/>
                </w:tcPr>
                <w:p w14:paraId="27EFC05E">
                  <w:pPr>
                    <w:jc w:val="center"/>
                    <w:rPr>
                      <w:color w:val="auto"/>
                      <w:spacing w:val="-10"/>
                      <w:sz w:val="18"/>
                      <w:szCs w:val="18"/>
                    </w:rPr>
                  </w:pPr>
                  <w:r>
                    <w:rPr>
                      <w:rFonts w:hint="eastAsia"/>
                      <w:color w:val="auto"/>
                      <w:spacing w:val="-10"/>
                      <w:sz w:val="18"/>
                      <w:szCs w:val="18"/>
                    </w:rPr>
                    <w:t>排放去向</w:t>
                  </w:r>
                </w:p>
              </w:tc>
            </w:tr>
            <w:tr w14:paraId="21B8341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69" w:hRule="atLeast"/>
                <w:jc w:val="center"/>
              </w:trPr>
              <w:tc>
                <w:tcPr>
                  <w:tcW w:w="454" w:type="pct"/>
                  <w:vMerge w:val="restart"/>
                  <w:tcBorders>
                    <w:tl2br w:val="nil"/>
                    <w:tr2bl w:val="nil"/>
                  </w:tcBorders>
                  <w:vAlign w:val="center"/>
                </w:tcPr>
                <w:p w14:paraId="27E6492F">
                  <w:pPr>
                    <w:jc w:val="center"/>
                    <w:rPr>
                      <w:rFonts w:hint="eastAsia"/>
                      <w:color w:val="auto"/>
                      <w:spacing w:val="-10"/>
                      <w:sz w:val="18"/>
                      <w:szCs w:val="18"/>
                    </w:rPr>
                  </w:pPr>
                  <w:r>
                    <w:rPr>
                      <w:rFonts w:hint="eastAsia"/>
                      <w:color w:val="auto"/>
                      <w:spacing w:val="-10"/>
                      <w:sz w:val="18"/>
                      <w:szCs w:val="18"/>
                    </w:rPr>
                    <w:t>废气</w:t>
                  </w:r>
                </w:p>
                <w:p w14:paraId="17A0AFCA">
                  <w:pPr>
                    <w:jc w:val="center"/>
                    <w:rPr>
                      <w:rFonts w:hint="eastAsia"/>
                      <w:color w:val="auto"/>
                      <w:spacing w:val="-10"/>
                      <w:sz w:val="18"/>
                      <w:szCs w:val="18"/>
                    </w:rPr>
                  </w:pPr>
                </w:p>
                <w:p w14:paraId="2349FA74">
                  <w:pPr>
                    <w:jc w:val="center"/>
                    <w:rPr>
                      <w:rFonts w:hint="eastAsia"/>
                      <w:color w:val="auto"/>
                      <w:spacing w:val="-10"/>
                      <w:sz w:val="18"/>
                      <w:szCs w:val="18"/>
                    </w:rPr>
                  </w:pPr>
                </w:p>
              </w:tc>
              <w:tc>
                <w:tcPr>
                  <w:tcW w:w="1229" w:type="pct"/>
                  <w:gridSpan w:val="2"/>
                  <w:tcBorders>
                    <w:tl2br w:val="nil"/>
                    <w:tr2bl w:val="nil"/>
                  </w:tcBorders>
                  <w:shd w:val="clear" w:color="auto" w:fill="auto"/>
                  <w:vAlign w:val="center"/>
                </w:tcPr>
                <w:p w14:paraId="1CC46BB6">
                  <w:pPr>
                    <w:tabs>
                      <w:tab w:val="left" w:pos="272"/>
                    </w:tabs>
                    <w:jc w:val="center"/>
                    <w:rPr>
                      <w:rFonts w:hint="eastAsia" w:ascii="Times New Roman" w:hAnsi="Times New Roman" w:eastAsia="宋体" w:cs="Times New Roman"/>
                      <w:color w:val="auto"/>
                      <w:spacing w:val="-10"/>
                      <w:kern w:val="2"/>
                      <w:sz w:val="18"/>
                      <w:szCs w:val="18"/>
                      <w:lang w:val="en-US" w:eastAsia="zh-CN" w:bidi="ar-SA"/>
                    </w:rPr>
                  </w:pPr>
                  <w:r>
                    <w:rPr>
                      <w:rFonts w:hint="eastAsia" w:ascii="Times New Roman" w:hAnsi="Times New Roman" w:cs="Times New Roman"/>
                      <w:color w:val="auto"/>
                      <w:spacing w:val="-10"/>
                      <w:sz w:val="18"/>
                      <w:szCs w:val="18"/>
                      <w:lang w:eastAsia="zh-CN"/>
                    </w:rPr>
                    <w:t>原料</w:t>
                  </w:r>
                  <w:r>
                    <w:rPr>
                      <w:rFonts w:hint="eastAsia" w:ascii="Times New Roman" w:hAnsi="Times New Roman" w:cs="Times New Roman"/>
                      <w:color w:val="auto"/>
                      <w:spacing w:val="-10"/>
                      <w:sz w:val="18"/>
                      <w:szCs w:val="18"/>
                      <w:lang w:val="en-US" w:eastAsia="zh-CN"/>
                    </w:rPr>
                    <w:t>卸车、</w:t>
                  </w:r>
                  <w:r>
                    <w:rPr>
                      <w:rFonts w:hint="eastAsia" w:ascii="Times New Roman" w:hAnsi="Times New Roman" w:cs="Times New Roman"/>
                      <w:color w:val="auto"/>
                      <w:spacing w:val="-10"/>
                      <w:sz w:val="18"/>
                      <w:szCs w:val="18"/>
                      <w:lang w:eastAsia="zh-CN"/>
                    </w:rPr>
                    <w:t>储存、转运</w:t>
                  </w:r>
                </w:p>
              </w:tc>
              <w:tc>
                <w:tcPr>
                  <w:tcW w:w="548" w:type="pct"/>
                  <w:tcBorders>
                    <w:tl2br w:val="nil"/>
                    <w:tr2bl w:val="nil"/>
                  </w:tcBorders>
                  <w:shd w:val="clear" w:color="auto" w:fill="auto"/>
                  <w:vAlign w:val="center"/>
                </w:tcPr>
                <w:p w14:paraId="4113590C">
                  <w:pPr>
                    <w:tabs>
                      <w:tab w:val="left" w:pos="272"/>
                    </w:tabs>
                    <w:jc w:val="center"/>
                    <w:rPr>
                      <w:rFonts w:hint="eastAsia" w:ascii="Times New Roman" w:hAnsi="Times New Roman" w:eastAsia="宋体" w:cs="Times New Roman"/>
                      <w:color w:val="auto"/>
                      <w:spacing w:val="-10"/>
                      <w:kern w:val="2"/>
                      <w:sz w:val="18"/>
                      <w:szCs w:val="18"/>
                      <w:lang w:val="en-US" w:eastAsia="zh-CN" w:bidi="ar-SA"/>
                    </w:rPr>
                  </w:pPr>
                  <w:r>
                    <w:rPr>
                      <w:rFonts w:hint="eastAsia" w:ascii="Times New Roman" w:hAnsi="Times New Roman" w:cs="Times New Roman"/>
                      <w:color w:val="auto"/>
                      <w:spacing w:val="-10"/>
                      <w:sz w:val="18"/>
                      <w:szCs w:val="18"/>
                      <w:lang w:val="en-US" w:eastAsia="zh-CN"/>
                    </w:rPr>
                    <w:t>颗粒物</w:t>
                  </w:r>
                </w:p>
              </w:tc>
              <w:tc>
                <w:tcPr>
                  <w:tcW w:w="2286" w:type="pct"/>
                  <w:tcBorders>
                    <w:tl2br w:val="nil"/>
                    <w:tr2bl w:val="nil"/>
                  </w:tcBorders>
                  <w:shd w:val="clear" w:color="auto" w:fill="auto"/>
                  <w:vAlign w:val="center"/>
                </w:tcPr>
                <w:p w14:paraId="725B01A0">
                  <w:pPr>
                    <w:jc w:val="center"/>
                    <w:rPr>
                      <w:rFonts w:hint="eastAsia" w:ascii="Times New Roman" w:hAnsi="Times New Roman" w:eastAsia="宋体" w:cs="Times New Roman"/>
                      <w:color w:val="auto"/>
                      <w:spacing w:val="-10"/>
                      <w:kern w:val="2"/>
                      <w:sz w:val="18"/>
                      <w:szCs w:val="18"/>
                      <w:lang w:val="en-US" w:eastAsia="zh-CN" w:bidi="ar-SA"/>
                    </w:rPr>
                  </w:pPr>
                  <w:r>
                    <w:rPr>
                      <w:rFonts w:hint="eastAsia" w:cs="Times New Roman"/>
                      <w:color w:val="auto"/>
                      <w:spacing w:val="-10"/>
                      <w:sz w:val="18"/>
                      <w:szCs w:val="18"/>
                      <w:highlight w:val="none"/>
                      <w:lang w:val="en-US" w:eastAsia="zh-CN"/>
                    </w:rPr>
                    <w:t>封闭车间及</w:t>
                  </w:r>
                  <w:r>
                    <w:rPr>
                      <w:rFonts w:hint="eastAsia" w:ascii="Times New Roman" w:hAnsi="Times New Roman" w:eastAsia="宋体" w:cs="Times New Roman"/>
                      <w:color w:val="auto"/>
                      <w:spacing w:val="-10"/>
                      <w:sz w:val="18"/>
                      <w:szCs w:val="18"/>
                      <w:highlight w:val="none"/>
                      <w:lang w:val="en-US" w:eastAsia="zh-CN"/>
                    </w:rPr>
                    <w:t>库房，</w:t>
                  </w:r>
                  <w:r>
                    <w:rPr>
                      <w:rFonts w:hint="eastAsia" w:cs="Times New Roman"/>
                      <w:color w:val="auto"/>
                      <w:spacing w:val="-10"/>
                      <w:sz w:val="18"/>
                      <w:szCs w:val="18"/>
                      <w:highlight w:val="none"/>
                      <w:lang w:val="en-US" w:eastAsia="zh-CN"/>
                    </w:rPr>
                    <w:t>物料</w:t>
                  </w:r>
                  <w:r>
                    <w:rPr>
                      <w:rFonts w:hint="eastAsia" w:ascii="Times New Roman" w:hAnsi="Times New Roman" w:eastAsia="宋体" w:cs="Times New Roman"/>
                      <w:color w:val="auto"/>
                      <w:spacing w:val="-10"/>
                      <w:sz w:val="18"/>
                      <w:szCs w:val="18"/>
                      <w:highlight w:val="none"/>
                      <w:lang w:val="en-US" w:eastAsia="zh-CN"/>
                    </w:rPr>
                    <w:t>堆存区域上方设置可覆盖整个区域的喷淋装置（电伴热）</w:t>
                  </w:r>
                  <w:r>
                    <w:rPr>
                      <w:rFonts w:hint="eastAsia" w:cs="Times New Roman"/>
                      <w:color w:val="auto"/>
                      <w:spacing w:val="-10"/>
                      <w:sz w:val="18"/>
                      <w:szCs w:val="18"/>
                      <w:highlight w:val="none"/>
                      <w:lang w:val="en-US" w:eastAsia="zh-CN"/>
                    </w:rPr>
                    <w:t>，物</w:t>
                  </w:r>
                  <w:r>
                    <w:rPr>
                      <w:rFonts w:hint="eastAsia" w:ascii="Times New Roman" w:hAnsi="Times New Roman" w:eastAsia="宋体" w:cs="Times New Roman"/>
                      <w:color w:val="auto"/>
                      <w:spacing w:val="-10"/>
                      <w:sz w:val="18"/>
                      <w:szCs w:val="18"/>
                      <w:highlight w:val="none"/>
                      <w:lang w:val="en-US" w:eastAsia="zh-CN"/>
                    </w:rPr>
                    <w:t>料转运均为封闭式皮带通廊，车间出入口</w:t>
                  </w:r>
                  <w:r>
                    <w:rPr>
                      <w:rFonts w:hint="eastAsia" w:cs="Times New Roman"/>
                      <w:color w:val="auto"/>
                      <w:spacing w:val="-10"/>
                      <w:sz w:val="18"/>
                      <w:szCs w:val="18"/>
                      <w:highlight w:val="none"/>
                      <w:lang w:val="en-US" w:eastAsia="zh-CN"/>
                    </w:rPr>
                    <w:t>均</w:t>
                  </w:r>
                  <w:r>
                    <w:rPr>
                      <w:rFonts w:hint="eastAsia" w:ascii="Times New Roman" w:hAnsi="Times New Roman" w:eastAsia="宋体" w:cs="Times New Roman"/>
                      <w:color w:val="auto"/>
                      <w:spacing w:val="-10"/>
                      <w:sz w:val="18"/>
                      <w:szCs w:val="18"/>
                      <w:highlight w:val="none"/>
                      <w:lang w:val="en-US" w:eastAsia="zh-CN"/>
                    </w:rPr>
                    <w:t>设置自动感应门</w:t>
                  </w:r>
                </w:p>
              </w:tc>
              <w:tc>
                <w:tcPr>
                  <w:tcW w:w="480" w:type="pct"/>
                  <w:vMerge w:val="restart"/>
                  <w:tcBorders>
                    <w:tl2br w:val="nil"/>
                    <w:tr2bl w:val="nil"/>
                  </w:tcBorders>
                  <w:vAlign w:val="center"/>
                </w:tcPr>
                <w:p w14:paraId="6ED44B2A">
                  <w:pPr>
                    <w:jc w:val="center"/>
                    <w:rPr>
                      <w:color w:val="auto"/>
                      <w:spacing w:val="-10"/>
                      <w:sz w:val="18"/>
                      <w:szCs w:val="18"/>
                    </w:rPr>
                  </w:pPr>
                  <w:r>
                    <w:rPr>
                      <w:rFonts w:hint="eastAsia"/>
                      <w:color w:val="auto"/>
                      <w:spacing w:val="-10"/>
                      <w:sz w:val="18"/>
                      <w:szCs w:val="18"/>
                    </w:rPr>
                    <w:t>大气环境</w:t>
                  </w:r>
                </w:p>
              </w:tc>
            </w:tr>
            <w:tr w14:paraId="7E80460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454" w:hRule="exact"/>
                <w:jc w:val="center"/>
              </w:trPr>
              <w:tc>
                <w:tcPr>
                  <w:tcW w:w="454" w:type="pct"/>
                  <w:vMerge w:val="continue"/>
                  <w:tcBorders>
                    <w:tl2br w:val="nil"/>
                    <w:tr2bl w:val="nil"/>
                  </w:tcBorders>
                  <w:vAlign w:val="center"/>
                </w:tcPr>
                <w:p w14:paraId="42AF1CED">
                  <w:pPr>
                    <w:jc w:val="center"/>
                    <w:rPr>
                      <w:rFonts w:hint="eastAsia"/>
                      <w:color w:val="auto"/>
                      <w:spacing w:val="-10"/>
                      <w:sz w:val="18"/>
                      <w:szCs w:val="18"/>
                    </w:rPr>
                  </w:pPr>
                </w:p>
              </w:tc>
              <w:tc>
                <w:tcPr>
                  <w:tcW w:w="403" w:type="pct"/>
                  <w:vMerge w:val="restart"/>
                  <w:tcBorders>
                    <w:tl2br w:val="nil"/>
                    <w:tr2bl w:val="nil"/>
                  </w:tcBorders>
                  <w:shd w:val="clear" w:color="auto" w:fill="auto"/>
                  <w:vAlign w:val="center"/>
                </w:tcPr>
                <w:p w14:paraId="48B536DF">
                  <w:pPr>
                    <w:tabs>
                      <w:tab w:val="left" w:pos="272"/>
                    </w:tabs>
                    <w:jc w:val="center"/>
                    <w:rPr>
                      <w:rFonts w:hint="default" w:ascii="Times New Roman" w:hAnsi="Times New Roman" w:eastAsia="宋体" w:cs="Times New Roman"/>
                      <w:color w:val="auto"/>
                      <w:spacing w:val="-10"/>
                      <w:sz w:val="18"/>
                      <w:szCs w:val="18"/>
                      <w:lang w:val="en-US" w:eastAsia="zh-CN"/>
                    </w:rPr>
                  </w:pPr>
                  <w:r>
                    <w:rPr>
                      <w:rFonts w:hint="eastAsia" w:ascii="Times New Roman" w:hAnsi="Times New Roman" w:eastAsia="宋体" w:cs="Times New Roman"/>
                      <w:color w:val="auto"/>
                      <w:spacing w:val="-10"/>
                      <w:sz w:val="18"/>
                      <w:szCs w:val="18"/>
                      <w:lang w:val="en-US" w:eastAsia="zh-CN"/>
                    </w:rPr>
                    <w:t>钢渣处理生产线</w:t>
                  </w:r>
                </w:p>
              </w:tc>
              <w:tc>
                <w:tcPr>
                  <w:tcW w:w="826" w:type="pct"/>
                  <w:tcBorders>
                    <w:tl2br w:val="nil"/>
                    <w:tr2bl w:val="nil"/>
                  </w:tcBorders>
                  <w:shd w:val="clear" w:color="auto" w:fill="auto"/>
                  <w:vAlign w:val="center"/>
                </w:tcPr>
                <w:p w14:paraId="31A6F6DB">
                  <w:pPr>
                    <w:tabs>
                      <w:tab w:val="left" w:pos="272"/>
                    </w:tabs>
                    <w:jc w:val="center"/>
                    <w:rPr>
                      <w:rFonts w:hint="default" w:ascii="Times New Roman" w:hAnsi="Times New Roman" w:cs="Times New Roman"/>
                      <w:color w:val="auto"/>
                      <w:spacing w:val="-10"/>
                      <w:sz w:val="18"/>
                      <w:szCs w:val="18"/>
                      <w:lang w:val="en-US" w:eastAsia="zh-CN"/>
                    </w:rPr>
                  </w:pPr>
                  <w:r>
                    <w:rPr>
                      <w:rFonts w:hint="eastAsia" w:cs="Times New Roman"/>
                      <w:color w:val="auto"/>
                      <w:spacing w:val="-10"/>
                      <w:sz w:val="18"/>
                      <w:szCs w:val="18"/>
                      <w:lang w:val="en-US" w:eastAsia="zh-CN"/>
                    </w:rPr>
                    <w:t>钢渣</w:t>
                  </w:r>
                  <w:r>
                    <w:rPr>
                      <w:rFonts w:hint="eastAsia" w:ascii="Times New Roman" w:hAnsi="Times New Roman" w:cs="Times New Roman"/>
                      <w:color w:val="auto"/>
                      <w:spacing w:val="-10"/>
                      <w:sz w:val="18"/>
                      <w:szCs w:val="18"/>
                      <w:lang w:val="en-US" w:eastAsia="zh-CN"/>
                    </w:rPr>
                    <w:t>上料仓</w:t>
                  </w:r>
                </w:p>
              </w:tc>
              <w:tc>
                <w:tcPr>
                  <w:tcW w:w="548" w:type="pct"/>
                  <w:tcBorders>
                    <w:tl2br w:val="nil"/>
                    <w:tr2bl w:val="nil"/>
                  </w:tcBorders>
                  <w:shd w:val="clear" w:color="auto" w:fill="auto"/>
                  <w:vAlign w:val="center"/>
                </w:tcPr>
                <w:p w14:paraId="784932A9">
                  <w:pPr>
                    <w:tabs>
                      <w:tab w:val="left" w:pos="272"/>
                    </w:tabs>
                    <w:jc w:val="center"/>
                    <w:rPr>
                      <w:rFonts w:hint="eastAsia" w:ascii="Times New Roman" w:hAnsi="Times New Roman" w:cs="Times New Roman"/>
                      <w:color w:val="auto"/>
                      <w:spacing w:val="-10"/>
                      <w:sz w:val="18"/>
                      <w:szCs w:val="18"/>
                      <w:lang w:val="en-US" w:eastAsia="zh-CN"/>
                    </w:rPr>
                  </w:pPr>
                  <w:r>
                    <w:rPr>
                      <w:rFonts w:hint="eastAsia"/>
                      <w:color w:val="auto"/>
                      <w:spacing w:val="-10"/>
                      <w:sz w:val="18"/>
                      <w:szCs w:val="18"/>
                    </w:rPr>
                    <w:t>颗粒物</w:t>
                  </w:r>
                </w:p>
              </w:tc>
              <w:tc>
                <w:tcPr>
                  <w:tcW w:w="2286" w:type="pct"/>
                  <w:vMerge w:val="restart"/>
                  <w:tcBorders>
                    <w:tl2br w:val="nil"/>
                    <w:tr2bl w:val="nil"/>
                  </w:tcBorders>
                  <w:shd w:val="clear" w:color="auto" w:fill="auto"/>
                  <w:vAlign w:val="center"/>
                </w:tcPr>
                <w:p w14:paraId="7877DBFF">
                  <w:pPr>
                    <w:jc w:val="center"/>
                    <w:rPr>
                      <w:rFonts w:hint="eastAsia" w:cs="Times New Roman"/>
                      <w:color w:val="auto"/>
                      <w:spacing w:val="-10"/>
                      <w:sz w:val="18"/>
                      <w:szCs w:val="18"/>
                      <w:highlight w:val="none"/>
                      <w:lang w:val="en-US" w:eastAsia="zh-CN"/>
                    </w:rPr>
                  </w:pPr>
                  <w:r>
                    <w:rPr>
                      <w:rFonts w:hint="eastAsia"/>
                      <w:color w:val="auto"/>
                      <w:spacing w:val="-10"/>
                      <w:sz w:val="18"/>
                      <w:szCs w:val="18"/>
                      <w:highlight w:val="none"/>
                      <w:lang w:val="en-US" w:eastAsia="zh-CN"/>
                    </w:rPr>
                    <w:t>上料仓三面围挡，上方设集气罩，上料一侧设置软帘，并设感应喷淋装置，上料时进行喷淋；鄂破机、锤式破碎机全封闭，入料口、出料口均设置引风管；</w:t>
                  </w:r>
                  <w:r>
                    <w:rPr>
                      <w:rFonts w:hint="eastAsia"/>
                      <w:color w:val="auto"/>
                      <w:spacing w:val="-10"/>
                      <w:sz w:val="18"/>
                      <w:szCs w:val="18"/>
                      <w:highlight w:val="none"/>
                    </w:rPr>
                    <w:t>振动筛封闭处理，入料口、筛面、出料口均设置集气管</w:t>
                  </w:r>
                  <w:r>
                    <w:rPr>
                      <w:rFonts w:hint="eastAsia"/>
                      <w:color w:val="auto"/>
                      <w:spacing w:val="-10"/>
                      <w:sz w:val="18"/>
                      <w:szCs w:val="18"/>
                      <w:highlight w:val="none"/>
                      <w:lang w:val="en-US" w:eastAsia="zh-CN"/>
                    </w:rPr>
                    <w:t>；将以上废气收集后通过集尘管</w:t>
                  </w:r>
                  <w:r>
                    <w:rPr>
                      <w:rFonts w:hint="default" w:ascii="Times New Roman" w:hAnsi="Times New Roman" w:eastAsia="宋体" w:cs="Times New Roman"/>
                      <w:color w:val="auto"/>
                      <w:spacing w:val="-10"/>
                      <w:sz w:val="18"/>
                      <w:szCs w:val="18"/>
                      <w:highlight w:val="none"/>
                      <w:lang w:val="en-US" w:eastAsia="zh-CN"/>
                    </w:rPr>
                    <w:t>道引入</w:t>
                  </w:r>
                  <w:r>
                    <w:rPr>
                      <w:rFonts w:hint="eastAsia" w:ascii="Times New Roman" w:hAnsi="Times New Roman" w:eastAsia="宋体" w:cs="Times New Roman"/>
                      <w:color w:val="auto"/>
                      <w:spacing w:val="-10"/>
                      <w:sz w:val="18"/>
                      <w:szCs w:val="18"/>
                      <w:highlight w:val="none"/>
                      <w:lang w:val="en-US" w:eastAsia="zh-CN"/>
                    </w:rPr>
                    <w:t>脉冲布袋除尘器处理后，通过15m高排气筒</w:t>
                  </w:r>
                  <w:r>
                    <w:rPr>
                      <w:rFonts w:hint="eastAsia"/>
                      <w:color w:val="auto"/>
                      <w:spacing w:val="-10"/>
                      <w:sz w:val="18"/>
                      <w:szCs w:val="18"/>
                      <w:highlight w:val="none"/>
                    </w:rPr>
                    <w:t>（DA00</w:t>
                  </w:r>
                  <w:r>
                    <w:rPr>
                      <w:rFonts w:hint="eastAsia"/>
                      <w:color w:val="auto"/>
                      <w:spacing w:val="-10"/>
                      <w:sz w:val="18"/>
                      <w:szCs w:val="18"/>
                      <w:highlight w:val="none"/>
                      <w:lang w:val="en-US" w:eastAsia="zh-CN"/>
                    </w:rPr>
                    <w:t>1</w:t>
                  </w:r>
                  <w:r>
                    <w:rPr>
                      <w:rFonts w:hint="eastAsia"/>
                      <w:color w:val="auto"/>
                      <w:spacing w:val="-10"/>
                      <w:sz w:val="18"/>
                      <w:szCs w:val="18"/>
                      <w:highlight w:val="none"/>
                    </w:rPr>
                    <w:t>）</w:t>
                  </w:r>
                  <w:r>
                    <w:rPr>
                      <w:rFonts w:hint="eastAsia" w:ascii="Times New Roman" w:hAnsi="Times New Roman" w:eastAsia="宋体" w:cs="Times New Roman"/>
                      <w:color w:val="auto"/>
                      <w:spacing w:val="-10"/>
                      <w:sz w:val="18"/>
                      <w:szCs w:val="18"/>
                      <w:highlight w:val="none"/>
                      <w:lang w:val="en-US" w:eastAsia="zh-CN"/>
                    </w:rPr>
                    <w:t>排放</w:t>
                  </w:r>
                </w:p>
              </w:tc>
              <w:tc>
                <w:tcPr>
                  <w:tcW w:w="480" w:type="pct"/>
                  <w:vMerge w:val="continue"/>
                  <w:tcBorders>
                    <w:tl2br w:val="nil"/>
                    <w:tr2bl w:val="nil"/>
                  </w:tcBorders>
                  <w:vAlign w:val="center"/>
                </w:tcPr>
                <w:p w14:paraId="37DE3415">
                  <w:pPr>
                    <w:jc w:val="center"/>
                    <w:rPr>
                      <w:rFonts w:hint="eastAsia"/>
                      <w:color w:val="auto"/>
                      <w:spacing w:val="-10"/>
                      <w:sz w:val="18"/>
                      <w:szCs w:val="18"/>
                    </w:rPr>
                  </w:pPr>
                </w:p>
              </w:tc>
            </w:tr>
            <w:tr w14:paraId="141E92E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454" w:hRule="exact"/>
                <w:jc w:val="center"/>
              </w:trPr>
              <w:tc>
                <w:tcPr>
                  <w:tcW w:w="454" w:type="pct"/>
                  <w:vMerge w:val="continue"/>
                  <w:tcBorders>
                    <w:tl2br w:val="nil"/>
                    <w:tr2bl w:val="nil"/>
                  </w:tcBorders>
                  <w:vAlign w:val="center"/>
                </w:tcPr>
                <w:p w14:paraId="12E1B595">
                  <w:pPr>
                    <w:jc w:val="center"/>
                    <w:rPr>
                      <w:rFonts w:hint="eastAsia"/>
                      <w:color w:val="auto"/>
                      <w:spacing w:val="-10"/>
                      <w:sz w:val="18"/>
                      <w:szCs w:val="18"/>
                    </w:rPr>
                  </w:pPr>
                </w:p>
              </w:tc>
              <w:tc>
                <w:tcPr>
                  <w:tcW w:w="403" w:type="pct"/>
                  <w:vMerge w:val="continue"/>
                  <w:tcBorders>
                    <w:tl2br w:val="nil"/>
                    <w:tr2bl w:val="nil"/>
                  </w:tcBorders>
                  <w:shd w:val="clear" w:color="auto" w:fill="auto"/>
                  <w:vAlign w:val="center"/>
                </w:tcPr>
                <w:p w14:paraId="3D7CAC28">
                  <w:pPr>
                    <w:tabs>
                      <w:tab w:val="left" w:pos="272"/>
                    </w:tabs>
                    <w:jc w:val="center"/>
                    <w:rPr>
                      <w:rFonts w:hint="eastAsia" w:ascii="Times New Roman" w:hAnsi="Times New Roman" w:eastAsia="宋体" w:cs="Times New Roman"/>
                      <w:color w:val="auto"/>
                      <w:spacing w:val="-10"/>
                      <w:sz w:val="18"/>
                      <w:szCs w:val="18"/>
                      <w:lang w:val="en-US" w:eastAsia="zh-CN"/>
                    </w:rPr>
                  </w:pPr>
                </w:p>
              </w:tc>
              <w:tc>
                <w:tcPr>
                  <w:tcW w:w="826" w:type="pct"/>
                  <w:tcBorders>
                    <w:tl2br w:val="nil"/>
                    <w:tr2bl w:val="nil"/>
                  </w:tcBorders>
                  <w:shd w:val="clear" w:color="auto" w:fill="auto"/>
                  <w:vAlign w:val="center"/>
                </w:tcPr>
                <w:p w14:paraId="608B1EC6">
                  <w:pPr>
                    <w:tabs>
                      <w:tab w:val="left" w:pos="272"/>
                    </w:tabs>
                    <w:jc w:val="center"/>
                    <w:rPr>
                      <w:rFonts w:hint="default" w:ascii="Times New Roman" w:hAnsi="Times New Roman" w:cs="Times New Roman"/>
                      <w:color w:val="auto"/>
                      <w:spacing w:val="-10"/>
                      <w:sz w:val="18"/>
                      <w:szCs w:val="18"/>
                      <w:lang w:val="en-US" w:eastAsia="zh-CN"/>
                    </w:rPr>
                  </w:pPr>
                  <w:r>
                    <w:rPr>
                      <w:rFonts w:hint="eastAsia" w:ascii="Times New Roman" w:hAnsi="Times New Roman" w:cs="Times New Roman"/>
                      <w:color w:val="auto"/>
                      <w:spacing w:val="-10"/>
                      <w:sz w:val="18"/>
                      <w:szCs w:val="18"/>
                      <w:lang w:val="en-US" w:eastAsia="zh-CN"/>
                    </w:rPr>
                    <w:t>鄂破机</w:t>
                  </w:r>
                </w:p>
              </w:tc>
              <w:tc>
                <w:tcPr>
                  <w:tcW w:w="548" w:type="pct"/>
                  <w:tcBorders>
                    <w:tl2br w:val="nil"/>
                    <w:tr2bl w:val="nil"/>
                  </w:tcBorders>
                  <w:shd w:val="clear" w:color="auto" w:fill="auto"/>
                  <w:vAlign w:val="center"/>
                </w:tcPr>
                <w:p w14:paraId="76E72E68">
                  <w:pPr>
                    <w:tabs>
                      <w:tab w:val="left" w:pos="272"/>
                    </w:tabs>
                    <w:jc w:val="center"/>
                    <w:rPr>
                      <w:rFonts w:hint="eastAsia" w:ascii="Times New Roman" w:hAnsi="Times New Roman" w:cs="Times New Roman"/>
                      <w:color w:val="auto"/>
                      <w:spacing w:val="-10"/>
                      <w:sz w:val="18"/>
                      <w:szCs w:val="18"/>
                      <w:lang w:val="en-US" w:eastAsia="zh-CN"/>
                    </w:rPr>
                  </w:pPr>
                  <w:r>
                    <w:rPr>
                      <w:rFonts w:hint="eastAsia"/>
                      <w:color w:val="auto"/>
                      <w:spacing w:val="-10"/>
                      <w:sz w:val="18"/>
                      <w:szCs w:val="18"/>
                    </w:rPr>
                    <w:t>颗粒物</w:t>
                  </w:r>
                </w:p>
              </w:tc>
              <w:tc>
                <w:tcPr>
                  <w:tcW w:w="2286" w:type="pct"/>
                  <w:vMerge w:val="continue"/>
                  <w:tcBorders>
                    <w:tl2br w:val="nil"/>
                    <w:tr2bl w:val="nil"/>
                  </w:tcBorders>
                  <w:shd w:val="clear" w:color="auto" w:fill="auto"/>
                  <w:vAlign w:val="center"/>
                </w:tcPr>
                <w:p w14:paraId="6305DEE2">
                  <w:pPr>
                    <w:jc w:val="center"/>
                    <w:rPr>
                      <w:rFonts w:hint="eastAsia" w:cs="Times New Roman"/>
                      <w:color w:val="auto"/>
                      <w:spacing w:val="-10"/>
                      <w:sz w:val="18"/>
                      <w:szCs w:val="18"/>
                      <w:highlight w:val="none"/>
                      <w:lang w:val="en-US" w:eastAsia="zh-CN"/>
                    </w:rPr>
                  </w:pPr>
                </w:p>
              </w:tc>
              <w:tc>
                <w:tcPr>
                  <w:tcW w:w="480" w:type="pct"/>
                  <w:vMerge w:val="continue"/>
                  <w:tcBorders>
                    <w:tl2br w:val="nil"/>
                    <w:tr2bl w:val="nil"/>
                  </w:tcBorders>
                  <w:vAlign w:val="center"/>
                </w:tcPr>
                <w:p w14:paraId="5F5080C2">
                  <w:pPr>
                    <w:jc w:val="center"/>
                    <w:rPr>
                      <w:rFonts w:hint="eastAsia"/>
                      <w:color w:val="auto"/>
                      <w:spacing w:val="-10"/>
                      <w:sz w:val="18"/>
                      <w:szCs w:val="18"/>
                    </w:rPr>
                  </w:pPr>
                </w:p>
              </w:tc>
            </w:tr>
            <w:tr w14:paraId="05AD217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454" w:hRule="exact"/>
                <w:jc w:val="center"/>
              </w:trPr>
              <w:tc>
                <w:tcPr>
                  <w:tcW w:w="454" w:type="pct"/>
                  <w:vMerge w:val="continue"/>
                  <w:tcBorders>
                    <w:tl2br w:val="nil"/>
                    <w:tr2bl w:val="nil"/>
                  </w:tcBorders>
                  <w:vAlign w:val="center"/>
                </w:tcPr>
                <w:p w14:paraId="36D03F71">
                  <w:pPr>
                    <w:jc w:val="center"/>
                    <w:rPr>
                      <w:rFonts w:hint="eastAsia"/>
                      <w:color w:val="auto"/>
                      <w:spacing w:val="-10"/>
                      <w:sz w:val="18"/>
                      <w:szCs w:val="18"/>
                    </w:rPr>
                  </w:pPr>
                </w:p>
              </w:tc>
              <w:tc>
                <w:tcPr>
                  <w:tcW w:w="403" w:type="pct"/>
                  <w:vMerge w:val="continue"/>
                  <w:tcBorders>
                    <w:tl2br w:val="nil"/>
                    <w:tr2bl w:val="nil"/>
                  </w:tcBorders>
                  <w:shd w:val="clear" w:color="auto" w:fill="auto"/>
                  <w:vAlign w:val="center"/>
                </w:tcPr>
                <w:p w14:paraId="18C10AA3">
                  <w:pPr>
                    <w:tabs>
                      <w:tab w:val="left" w:pos="272"/>
                    </w:tabs>
                    <w:jc w:val="center"/>
                    <w:rPr>
                      <w:rFonts w:hint="eastAsia" w:ascii="Times New Roman" w:hAnsi="Times New Roman" w:eastAsia="宋体" w:cs="Times New Roman"/>
                      <w:color w:val="auto"/>
                      <w:spacing w:val="-10"/>
                      <w:sz w:val="18"/>
                      <w:szCs w:val="18"/>
                      <w:lang w:val="en-US" w:eastAsia="zh-CN"/>
                    </w:rPr>
                  </w:pPr>
                </w:p>
              </w:tc>
              <w:tc>
                <w:tcPr>
                  <w:tcW w:w="826" w:type="pct"/>
                  <w:tcBorders>
                    <w:tl2br w:val="nil"/>
                    <w:tr2bl w:val="nil"/>
                  </w:tcBorders>
                  <w:shd w:val="clear" w:color="auto" w:fill="auto"/>
                  <w:vAlign w:val="center"/>
                </w:tcPr>
                <w:p w14:paraId="3CCDE52D">
                  <w:pPr>
                    <w:tabs>
                      <w:tab w:val="left" w:pos="272"/>
                    </w:tabs>
                    <w:jc w:val="center"/>
                    <w:rPr>
                      <w:rFonts w:hint="default" w:ascii="Times New Roman" w:hAnsi="Times New Roman" w:cs="Times New Roman"/>
                      <w:color w:val="auto"/>
                      <w:spacing w:val="-10"/>
                      <w:sz w:val="18"/>
                      <w:szCs w:val="18"/>
                      <w:lang w:val="en-US" w:eastAsia="zh-CN"/>
                    </w:rPr>
                  </w:pPr>
                  <w:r>
                    <w:rPr>
                      <w:rFonts w:hint="eastAsia" w:ascii="Times New Roman" w:hAnsi="Times New Roman" w:cs="Times New Roman"/>
                      <w:color w:val="auto"/>
                      <w:spacing w:val="-10"/>
                      <w:sz w:val="18"/>
                      <w:szCs w:val="18"/>
                      <w:lang w:val="en-US" w:eastAsia="zh-CN"/>
                    </w:rPr>
                    <w:t>筛分机</w:t>
                  </w:r>
                </w:p>
              </w:tc>
              <w:tc>
                <w:tcPr>
                  <w:tcW w:w="548" w:type="pct"/>
                  <w:tcBorders>
                    <w:tl2br w:val="nil"/>
                    <w:tr2bl w:val="nil"/>
                  </w:tcBorders>
                  <w:shd w:val="clear" w:color="auto" w:fill="auto"/>
                  <w:vAlign w:val="center"/>
                </w:tcPr>
                <w:p w14:paraId="4EF47035">
                  <w:pPr>
                    <w:tabs>
                      <w:tab w:val="left" w:pos="272"/>
                    </w:tabs>
                    <w:jc w:val="center"/>
                    <w:rPr>
                      <w:rFonts w:hint="eastAsia"/>
                      <w:color w:val="auto"/>
                      <w:spacing w:val="-10"/>
                      <w:sz w:val="18"/>
                      <w:szCs w:val="18"/>
                    </w:rPr>
                  </w:pPr>
                  <w:r>
                    <w:rPr>
                      <w:rFonts w:hint="eastAsia"/>
                      <w:color w:val="auto"/>
                      <w:spacing w:val="-10"/>
                      <w:sz w:val="18"/>
                      <w:szCs w:val="18"/>
                    </w:rPr>
                    <w:t>颗粒物</w:t>
                  </w:r>
                </w:p>
              </w:tc>
              <w:tc>
                <w:tcPr>
                  <w:tcW w:w="2286" w:type="pct"/>
                  <w:vMerge w:val="continue"/>
                  <w:tcBorders>
                    <w:tl2br w:val="nil"/>
                    <w:tr2bl w:val="nil"/>
                  </w:tcBorders>
                  <w:shd w:val="clear" w:color="auto" w:fill="auto"/>
                  <w:vAlign w:val="center"/>
                </w:tcPr>
                <w:p w14:paraId="12228DA0">
                  <w:pPr>
                    <w:jc w:val="center"/>
                    <w:rPr>
                      <w:rFonts w:hint="eastAsia" w:cs="Times New Roman"/>
                      <w:color w:val="auto"/>
                      <w:spacing w:val="-10"/>
                      <w:sz w:val="18"/>
                      <w:szCs w:val="18"/>
                      <w:highlight w:val="none"/>
                      <w:lang w:val="en-US" w:eastAsia="zh-CN"/>
                    </w:rPr>
                  </w:pPr>
                </w:p>
              </w:tc>
              <w:tc>
                <w:tcPr>
                  <w:tcW w:w="480" w:type="pct"/>
                  <w:vMerge w:val="continue"/>
                  <w:tcBorders>
                    <w:tl2br w:val="nil"/>
                    <w:tr2bl w:val="nil"/>
                  </w:tcBorders>
                  <w:vAlign w:val="center"/>
                </w:tcPr>
                <w:p w14:paraId="7A07E0D3">
                  <w:pPr>
                    <w:jc w:val="center"/>
                    <w:rPr>
                      <w:rFonts w:hint="eastAsia"/>
                      <w:color w:val="auto"/>
                      <w:spacing w:val="-10"/>
                      <w:sz w:val="18"/>
                      <w:szCs w:val="18"/>
                    </w:rPr>
                  </w:pPr>
                </w:p>
              </w:tc>
            </w:tr>
            <w:tr w14:paraId="0459706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454" w:hRule="exact"/>
                <w:jc w:val="center"/>
              </w:trPr>
              <w:tc>
                <w:tcPr>
                  <w:tcW w:w="454" w:type="pct"/>
                  <w:vMerge w:val="continue"/>
                  <w:tcBorders>
                    <w:tl2br w:val="nil"/>
                    <w:tr2bl w:val="nil"/>
                  </w:tcBorders>
                  <w:vAlign w:val="center"/>
                </w:tcPr>
                <w:p w14:paraId="08933FD2">
                  <w:pPr>
                    <w:jc w:val="center"/>
                    <w:rPr>
                      <w:rFonts w:hint="eastAsia"/>
                      <w:color w:val="auto"/>
                      <w:spacing w:val="-10"/>
                      <w:sz w:val="18"/>
                      <w:szCs w:val="18"/>
                    </w:rPr>
                  </w:pPr>
                </w:p>
              </w:tc>
              <w:tc>
                <w:tcPr>
                  <w:tcW w:w="403" w:type="pct"/>
                  <w:vMerge w:val="continue"/>
                  <w:tcBorders>
                    <w:tl2br w:val="nil"/>
                    <w:tr2bl w:val="nil"/>
                  </w:tcBorders>
                  <w:shd w:val="clear" w:color="auto" w:fill="auto"/>
                  <w:vAlign w:val="center"/>
                </w:tcPr>
                <w:p w14:paraId="141D764C">
                  <w:pPr>
                    <w:tabs>
                      <w:tab w:val="left" w:pos="272"/>
                    </w:tabs>
                    <w:jc w:val="center"/>
                    <w:rPr>
                      <w:rFonts w:hint="eastAsia" w:ascii="Times New Roman" w:hAnsi="Times New Roman" w:eastAsia="宋体" w:cs="Times New Roman"/>
                      <w:color w:val="auto"/>
                      <w:spacing w:val="-10"/>
                      <w:sz w:val="18"/>
                      <w:szCs w:val="18"/>
                      <w:lang w:val="en-US" w:eastAsia="zh-CN"/>
                    </w:rPr>
                  </w:pPr>
                </w:p>
              </w:tc>
              <w:tc>
                <w:tcPr>
                  <w:tcW w:w="826" w:type="pct"/>
                  <w:tcBorders>
                    <w:tl2br w:val="nil"/>
                    <w:tr2bl w:val="nil"/>
                  </w:tcBorders>
                  <w:shd w:val="clear" w:color="auto" w:fill="auto"/>
                  <w:vAlign w:val="center"/>
                </w:tcPr>
                <w:p w14:paraId="67B254C0">
                  <w:pPr>
                    <w:tabs>
                      <w:tab w:val="left" w:pos="272"/>
                    </w:tabs>
                    <w:jc w:val="center"/>
                    <w:rPr>
                      <w:rFonts w:hint="default" w:ascii="Times New Roman" w:hAnsi="Times New Roman" w:cs="Times New Roman"/>
                      <w:color w:val="auto"/>
                      <w:spacing w:val="-10"/>
                      <w:sz w:val="18"/>
                      <w:szCs w:val="18"/>
                      <w:lang w:val="en-US" w:eastAsia="zh-CN"/>
                    </w:rPr>
                  </w:pPr>
                  <w:r>
                    <w:rPr>
                      <w:rFonts w:hint="eastAsia" w:cs="Times New Roman"/>
                      <w:color w:val="auto"/>
                      <w:spacing w:val="-10"/>
                      <w:sz w:val="18"/>
                      <w:szCs w:val="18"/>
                      <w:lang w:val="en-US" w:eastAsia="zh-CN"/>
                    </w:rPr>
                    <w:t>锤式破碎</w:t>
                  </w:r>
                  <w:r>
                    <w:rPr>
                      <w:rFonts w:hint="eastAsia" w:ascii="Times New Roman" w:hAnsi="Times New Roman" w:cs="Times New Roman"/>
                      <w:color w:val="auto"/>
                      <w:spacing w:val="-10"/>
                      <w:sz w:val="18"/>
                      <w:szCs w:val="18"/>
                      <w:lang w:val="en-US" w:eastAsia="zh-CN"/>
                    </w:rPr>
                    <w:t>机</w:t>
                  </w:r>
                </w:p>
              </w:tc>
              <w:tc>
                <w:tcPr>
                  <w:tcW w:w="548" w:type="pct"/>
                  <w:tcBorders>
                    <w:tl2br w:val="nil"/>
                    <w:tr2bl w:val="nil"/>
                  </w:tcBorders>
                  <w:shd w:val="clear" w:color="auto" w:fill="auto"/>
                  <w:vAlign w:val="center"/>
                </w:tcPr>
                <w:p w14:paraId="22535D17">
                  <w:pPr>
                    <w:tabs>
                      <w:tab w:val="left" w:pos="272"/>
                    </w:tabs>
                    <w:jc w:val="center"/>
                    <w:rPr>
                      <w:rFonts w:hint="eastAsia" w:ascii="Times New Roman" w:hAnsi="Times New Roman" w:cs="Times New Roman"/>
                      <w:color w:val="auto"/>
                      <w:spacing w:val="-10"/>
                      <w:sz w:val="18"/>
                      <w:szCs w:val="18"/>
                      <w:lang w:val="en-US" w:eastAsia="zh-CN"/>
                    </w:rPr>
                  </w:pPr>
                  <w:r>
                    <w:rPr>
                      <w:rFonts w:hint="eastAsia"/>
                      <w:color w:val="auto"/>
                      <w:spacing w:val="-10"/>
                      <w:sz w:val="18"/>
                      <w:szCs w:val="18"/>
                    </w:rPr>
                    <w:t>颗粒物</w:t>
                  </w:r>
                </w:p>
              </w:tc>
              <w:tc>
                <w:tcPr>
                  <w:tcW w:w="2286" w:type="pct"/>
                  <w:vMerge w:val="continue"/>
                  <w:tcBorders>
                    <w:tl2br w:val="nil"/>
                    <w:tr2bl w:val="nil"/>
                  </w:tcBorders>
                  <w:shd w:val="clear" w:color="auto" w:fill="auto"/>
                  <w:vAlign w:val="center"/>
                </w:tcPr>
                <w:p w14:paraId="0A8FB911">
                  <w:pPr>
                    <w:jc w:val="center"/>
                    <w:rPr>
                      <w:rFonts w:hint="eastAsia" w:cs="Times New Roman"/>
                      <w:color w:val="auto"/>
                      <w:spacing w:val="-10"/>
                      <w:sz w:val="18"/>
                      <w:szCs w:val="18"/>
                      <w:highlight w:val="none"/>
                      <w:lang w:val="en-US" w:eastAsia="zh-CN"/>
                    </w:rPr>
                  </w:pPr>
                </w:p>
              </w:tc>
              <w:tc>
                <w:tcPr>
                  <w:tcW w:w="480" w:type="pct"/>
                  <w:vMerge w:val="continue"/>
                  <w:tcBorders>
                    <w:tl2br w:val="nil"/>
                    <w:tr2bl w:val="nil"/>
                  </w:tcBorders>
                  <w:vAlign w:val="center"/>
                </w:tcPr>
                <w:p w14:paraId="01FF8829">
                  <w:pPr>
                    <w:jc w:val="center"/>
                    <w:rPr>
                      <w:rFonts w:hint="eastAsia"/>
                      <w:color w:val="auto"/>
                      <w:spacing w:val="-10"/>
                      <w:sz w:val="18"/>
                      <w:szCs w:val="18"/>
                    </w:rPr>
                  </w:pPr>
                </w:p>
              </w:tc>
            </w:tr>
            <w:tr w14:paraId="0106EF7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680" w:hRule="exact"/>
                <w:jc w:val="center"/>
              </w:trPr>
              <w:tc>
                <w:tcPr>
                  <w:tcW w:w="454" w:type="pct"/>
                  <w:vMerge w:val="continue"/>
                  <w:tcBorders>
                    <w:tl2br w:val="nil"/>
                    <w:tr2bl w:val="nil"/>
                  </w:tcBorders>
                  <w:vAlign w:val="center"/>
                </w:tcPr>
                <w:p w14:paraId="3D631842">
                  <w:pPr>
                    <w:jc w:val="center"/>
                    <w:rPr>
                      <w:color w:val="auto"/>
                      <w:spacing w:val="-10"/>
                      <w:sz w:val="18"/>
                      <w:szCs w:val="18"/>
                    </w:rPr>
                  </w:pPr>
                </w:p>
              </w:tc>
              <w:tc>
                <w:tcPr>
                  <w:tcW w:w="403" w:type="pct"/>
                  <w:vMerge w:val="restart"/>
                  <w:tcBorders>
                    <w:tl2br w:val="nil"/>
                    <w:tr2bl w:val="nil"/>
                  </w:tcBorders>
                  <w:vAlign w:val="center"/>
                </w:tcPr>
                <w:p w14:paraId="3BBFF9E8">
                  <w:pPr>
                    <w:tabs>
                      <w:tab w:val="left" w:pos="272"/>
                    </w:tabs>
                    <w:jc w:val="center"/>
                    <w:rPr>
                      <w:rFonts w:hint="eastAsia" w:ascii="Times New Roman" w:hAnsi="Times New Roman" w:eastAsia="宋体" w:cs="Times New Roman"/>
                      <w:color w:val="auto"/>
                      <w:spacing w:val="-10"/>
                      <w:sz w:val="18"/>
                      <w:szCs w:val="18"/>
                      <w:lang w:val="en-US" w:eastAsia="zh-CN"/>
                    </w:rPr>
                  </w:pPr>
                  <w:r>
                    <w:rPr>
                      <w:rFonts w:hint="eastAsia" w:ascii="Times New Roman" w:hAnsi="Times New Roman" w:eastAsia="宋体" w:cs="Times New Roman"/>
                      <w:color w:val="auto"/>
                      <w:spacing w:val="-10"/>
                      <w:sz w:val="18"/>
                      <w:szCs w:val="18"/>
                      <w:lang w:val="en-US" w:eastAsia="zh-CN"/>
                    </w:rPr>
                    <w:t>废钢破碎尾料分选生产线</w:t>
                  </w:r>
                </w:p>
              </w:tc>
              <w:tc>
                <w:tcPr>
                  <w:tcW w:w="826" w:type="pct"/>
                  <w:tcBorders>
                    <w:tl2br w:val="nil"/>
                    <w:tr2bl w:val="nil"/>
                  </w:tcBorders>
                  <w:vAlign w:val="center"/>
                </w:tcPr>
                <w:p w14:paraId="01549039">
                  <w:pPr>
                    <w:jc w:val="center"/>
                    <w:rPr>
                      <w:rFonts w:hint="default" w:ascii="Times New Roman" w:hAnsi="Times New Roman" w:eastAsia="宋体" w:cs="Times New Roman"/>
                      <w:color w:val="auto"/>
                      <w:spacing w:val="-10"/>
                      <w:kern w:val="2"/>
                      <w:sz w:val="18"/>
                      <w:szCs w:val="18"/>
                      <w:lang w:val="en-US" w:eastAsia="zh-CN" w:bidi="ar-SA"/>
                    </w:rPr>
                  </w:pPr>
                  <w:r>
                    <w:rPr>
                      <w:rFonts w:hint="eastAsia" w:ascii="Times New Roman" w:hAnsi="Times New Roman" w:eastAsia="宋体" w:cs="Times New Roman"/>
                      <w:color w:val="auto"/>
                      <w:spacing w:val="-10"/>
                      <w:kern w:val="2"/>
                      <w:sz w:val="18"/>
                      <w:szCs w:val="18"/>
                      <w:lang w:val="en-US" w:eastAsia="zh-CN" w:bidi="ar-SA"/>
                    </w:rPr>
                    <w:t>1</w:t>
                  </w:r>
                  <w:r>
                    <w:rPr>
                      <w:rFonts w:hint="eastAsia" w:ascii="Times New Roman" w:hAnsi="Times New Roman" w:eastAsia="宋体" w:cs="Times New Roman"/>
                      <w:color w:val="auto"/>
                      <w:spacing w:val="-10"/>
                      <w:kern w:val="2"/>
                      <w:sz w:val="18"/>
                      <w:szCs w:val="18"/>
                      <w:vertAlign w:val="superscript"/>
                      <w:lang w:val="en-US" w:eastAsia="zh-CN" w:bidi="ar-SA"/>
                    </w:rPr>
                    <w:t>#</w:t>
                  </w:r>
                  <w:r>
                    <w:rPr>
                      <w:rFonts w:hint="eastAsia" w:ascii="Times New Roman" w:hAnsi="Times New Roman" w:eastAsia="宋体" w:cs="Times New Roman"/>
                      <w:color w:val="auto"/>
                      <w:spacing w:val="-10"/>
                      <w:kern w:val="2"/>
                      <w:sz w:val="18"/>
                      <w:szCs w:val="18"/>
                      <w:lang w:val="en-US" w:eastAsia="zh-CN" w:bidi="ar-SA"/>
                    </w:rPr>
                    <w:t>线一次漂洗前上料仓</w:t>
                  </w:r>
                </w:p>
              </w:tc>
              <w:tc>
                <w:tcPr>
                  <w:tcW w:w="548" w:type="pct"/>
                  <w:tcBorders>
                    <w:tl2br w:val="nil"/>
                    <w:tr2bl w:val="nil"/>
                  </w:tcBorders>
                  <w:vAlign w:val="center"/>
                </w:tcPr>
                <w:p w14:paraId="6F0FF256">
                  <w:pPr>
                    <w:jc w:val="center"/>
                    <w:rPr>
                      <w:rFonts w:hint="eastAsia" w:ascii="Times New Roman" w:hAnsi="Times New Roman" w:eastAsia="宋体" w:cs="Times New Roman"/>
                      <w:color w:val="auto"/>
                      <w:spacing w:val="-10"/>
                      <w:kern w:val="2"/>
                      <w:sz w:val="18"/>
                      <w:szCs w:val="18"/>
                      <w:lang w:val="en-US" w:eastAsia="zh-CN" w:bidi="ar-SA"/>
                    </w:rPr>
                  </w:pPr>
                  <w:r>
                    <w:rPr>
                      <w:rFonts w:hint="eastAsia" w:ascii="Times New Roman" w:hAnsi="Times New Roman" w:eastAsia="宋体" w:cs="Times New Roman"/>
                      <w:color w:val="auto"/>
                      <w:spacing w:val="-10"/>
                      <w:kern w:val="2"/>
                      <w:sz w:val="18"/>
                      <w:szCs w:val="18"/>
                      <w:lang w:val="en-US" w:eastAsia="zh-CN" w:bidi="ar-SA"/>
                    </w:rPr>
                    <w:t>颗粒物</w:t>
                  </w:r>
                </w:p>
              </w:tc>
              <w:tc>
                <w:tcPr>
                  <w:tcW w:w="2286" w:type="pct"/>
                  <w:vMerge w:val="restart"/>
                  <w:tcBorders>
                    <w:tl2br w:val="nil"/>
                    <w:tr2bl w:val="nil"/>
                  </w:tcBorders>
                  <w:vAlign w:val="center"/>
                </w:tcPr>
                <w:p w14:paraId="690BD59C">
                  <w:pPr>
                    <w:jc w:val="center"/>
                    <w:rPr>
                      <w:rFonts w:hint="eastAsia"/>
                      <w:color w:val="auto"/>
                      <w:spacing w:val="-10"/>
                      <w:sz w:val="18"/>
                      <w:szCs w:val="18"/>
                      <w:highlight w:val="none"/>
                    </w:rPr>
                  </w:pPr>
                  <w:r>
                    <w:rPr>
                      <w:rFonts w:hint="eastAsia"/>
                      <w:color w:val="auto"/>
                      <w:spacing w:val="-10"/>
                      <w:sz w:val="18"/>
                      <w:szCs w:val="18"/>
                      <w:highlight w:val="none"/>
                      <w:lang w:val="en-US" w:eastAsia="zh-CN"/>
                    </w:rPr>
                    <w:t>上料仓均三面围挡，上方均设集气罩，上料一侧设置软帘，并设感应喷淋装置，上料时进行喷淋；</w:t>
                  </w:r>
                  <w:r>
                    <w:rPr>
                      <w:rFonts w:hint="eastAsia"/>
                      <w:color w:val="auto"/>
                      <w:spacing w:val="-11"/>
                      <w:sz w:val="18"/>
                      <w:szCs w:val="18"/>
                      <w:highlight w:val="none"/>
                      <w:lang w:val="en-US" w:eastAsia="zh-CN"/>
                    </w:rPr>
                    <w:t>滚筒筛</w:t>
                  </w:r>
                  <w:r>
                    <w:rPr>
                      <w:rFonts w:hint="eastAsia"/>
                      <w:color w:val="auto"/>
                      <w:spacing w:val="-11"/>
                      <w:sz w:val="18"/>
                      <w:szCs w:val="18"/>
                      <w:highlight w:val="none"/>
                    </w:rPr>
                    <w:t>全封闭，入料口、出料口设</w:t>
                  </w:r>
                  <w:r>
                    <w:rPr>
                      <w:rFonts w:hint="eastAsia" w:ascii="Times New Roman" w:hAnsi="Times New Roman" w:cs="Times New Roman"/>
                      <w:color w:val="auto"/>
                      <w:spacing w:val="-11"/>
                      <w:sz w:val="18"/>
                      <w:szCs w:val="18"/>
                      <w:highlight w:val="none"/>
                      <w:lang w:val="en-US" w:eastAsia="zh-CN"/>
                    </w:rPr>
                    <w:t>集气</w:t>
                  </w:r>
                  <w:r>
                    <w:rPr>
                      <w:rFonts w:hint="eastAsia"/>
                      <w:color w:val="auto"/>
                      <w:spacing w:val="-11"/>
                      <w:sz w:val="18"/>
                      <w:szCs w:val="18"/>
                      <w:highlight w:val="none"/>
                    </w:rPr>
                    <w:t>管</w:t>
                  </w:r>
                  <w:r>
                    <w:rPr>
                      <w:rFonts w:hint="eastAsia"/>
                      <w:color w:val="auto"/>
                      <w:spacing w:val="-11"/>
                      <w:sz w:val="18"/>
                      <w:szCs w:val="18"/>
                      <w:highlight w:val="none"/>
                      <w:lang w:eastAsia="zh-CN"/>
                    </w:rPr>
                    <w:t>；</w:t>
                  </w:r>
                  <w:r>
                    <w:rPr>
                      <w:rFonts w:hint="eastAsia"/>
                      <w:color w:val="auto"/>
                      <w:spacing w:val="-11"/>
                      <w:sz w:val="18"/>
                      <w:szCs w:val="18"/>
                      <w:highlight w:val="none"/>
                      <w:lang w:val="en-US" w:eastAsia="zh-CN"/>
                    </w:rPr>
                    <w:t>空气分选机入料口、出料口设集气罩</w:t>
                  </w:r>
                  <w:r>
                    <w:rPr>
                      <w:rFonts w:hint="eastAsia"/>
                      <w:color w:val="auto"/>
                      <w:spacing w:val="-10"/>
                      <w:sz w:val="18"/>
                      <w:szCs w:val="18"/>
                      <w:highlight w:val="none"/>
                      <w:lang w:val="en-US" w:eastAsia="zh-CN"/>
                    </w:rPr>
                    <w:t>，将废气收集后通过集尘管</w:t>
                  </w:r>
                  <w:r>
                    <w:rPr>
                      <w:rFonts w:hint="default" w:ascii="Times New Roman" w:hAnsi="Times New Roman" w:eastAsia="宋体" w:cs="Times New Roman"/>
                      <w:color w:val="auto"/>
                      <w:spacing w:val="-10"/>
                      <w:sz w:val="18"/>
                      <w:szCs w:val="18"/>
                      <w:highlight w:val="none"/>
                      <w:lang w:val="en-US" w:eastAsia="zh-CN"/>
                    </w:rPr>
                    <w:t>道引入</w:t>
                  </w:r>
                  <w:r>
                    <w:rPr>
                      <w:rFonts w:hint="eastAsia" w:ascii="Times New Roman" w:hAnsi="Times New Roman" w:eastAsia="宋体" w:cs="Times New Roman"/>
                      <w:color w:val="auto"/>
                      <w:spacing w:val="-10"/>
                      <w:sz w:val="18"/>
                      <w:szCs w:val="18"/>
                      <w:highlight w:val="none"/>
                      <w:lang w:val="en-US" w:eastAsia="zh-CN"/>
                    </w:rPr>
                    <w:t>脉冲布袋除尘器处理后，通过15m高排气筒</w:t>
                  </w:r>
                  <w:r>
                    <w:rPr>
                      <w:rFonts w:hint="eastAsia"/>
                      <w:color w:val="auto"/>
                      <w:spacing w:val="-10"/>
                      <w:sz w:val="18"/>
                      <w:szCs w:val="18"/>
                      <w:highlight w:val="none"/>
                    </w:rPr>
                    <w:t>（DA00</w:t>
                  </w:r>
                  <w:r>
                    <w:rPr>
                      <w:rFonts w:hint="eastAsia"/>
                      <w:color w:val="auto"/>
                      <w:spacing w:val="-10"/>
                      <w:sz w:val="18"/>
                      <w:szCs w:val="18"/>
                      <w:highlight w:val="none"/>
                      <w:lang w:val="en-US" w:eastAsia="zh-CN"/>
                    </w:rPr>
                    <w:t>2</w:t>
                  </w:r>
                  <w:r>
                    <w:rPr>
                      <w:rFonts w:hint="eastAsia"/>
                      <w:color w:val="auto"/>
                      <w:spacing w:val="-10"/>
                      <w:sz w:val="18"/>
                      <w:szCs w:val="18"/>
                      <w:highlight w:val="none"/>
                    </w:rPr>
                    <w:t>）</w:t>
                  </w:r>
                  <w:r>
                    <w:rPr>
                      <w:rFonts w:hint="eastAsia" w:ascii="Times New Roman" w:hAnsi="Times New Roman" w:eastAsia="宋体" w:cs="Times New Roman"/>
                      <w:color w:val="auto"/>
                      <w:spacing w:val="-10"/>
                      <w:sz w:val="18"/>
                      <w:szCs w:val="18"/>
                      <w:highlight w:val="none"/>
                      <w:lang w:val="en-US" w:eastAsia="zh-CN"/>
                    </w:rPr>
                    <w:t>排放</w:t>
                  </w:r>
                </w:p>
              </w:tc>
              <w:tc>
                <w:tcPr>
                  <w:tcW w:w="480" w:type="pct"/>
                  <w:vMerge w:val="continue"/>
                  <w:tcBorders>
                    <w:tl2br w:val="nil"/>
                    <w:tr2bl w:val="nil"/>
                  </w:tcBorders>
                  <w:vAlign w:val="center"/>
                </w:tcPr>
                <w:p w14:paraId="278BA8E4">
                  <w:pPr>
                    <w:jc w:val="center"/>
                    <w:rPr>
                      <w:color w:val="auto"/>
                      <w:spacing w:val="-10"/>
                      <w:sz w:val="18"/>
                      <w:szCs w:val="18"/>
                    </w:rPr>
                  </w:pPr>
                </w:p>
              </w:tc>
            </w:tr>
            <w:tr w14:paraId="3623482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680" w:hRule="exact"/>
                <w:jc w:val="center"/>
              </w:trPr>
              <w:tc>
                <w:tcPr>
                  <w:tcW w:w="454" w:type="pct"/>
                  <w:vMerge w:val="continue"/>
                  <w:tcBorders>
                    <w:tl2br w:val="nil"/>
                    <w:tr2bl w:val="nil"/>
                  </w:tcBorders>
                  <w:vAlign w:val="center"/>
                </w:tcPr>
                <w:p w14:paraId="2031A571">
                  <w:pPr>
                    <w:jc w:val="center"/>
                    <w:rPr>
                      <w:color w:val="auto"/>
                      <w:spacing w:val="-10"/>
                      <w:sz w:val="18"/>
                      <w:szCs w:val="18"/>
                    </w:rPr>
                  </w:pPr>
                </w:p>
              </w:tc>
              <w:tc>
                <w:tcPr>
                  <w:tcW w:w="403" w:type="pct"/>
                  <w:vMerge w:val="continue"/>
                  <w:tcBorders>
                    <w:tl2br w:val="nil"/>
                    <w:tr2bl w:val="nil"/>
                  </w:tcBorders>
                  <w:vAlign w:val="center"/>
                </w:tcPr>
                <w:p w14:paraId="4B32F019">
                  <w:pPr>
                    <w:tabs>
                      <w:tab w:val="left" w:pos="272"/>
                    </w:tabs>
                    <w:jc w:val="center"/>
                    <w:rPr>
                      <w:rFonts w:hint="eastAsia" w:ascii="Times New Roman" w:hAnsi="Times New Roman" w:eastAsia="宋体" w:cs="Times New Roman"/>
                      <w:color w:val="auto"/>
                      <w:spacing w:val="-10"/>
                      <w:sz w:val="18"/>
                      <w:szCs w:val="18"/>
                      <w:lang w:val="en-US" w:eastAsia="zh-CN"/>
                    </w:rPr>
                  </w:pPr>
                </w:p>
              </w:tc>
              <w:tc>
                <w:tcPr>
                  <w:tcW w:w="826" w:type="pct"/>
                  <w:tcBorders>
                    <w:tl2br w:val="nil"/>
                    <w:tr2bl w:val="nil"/>
                  </w:tcBorders>
                  <w:shd w:val="clear" w:color="auto" w:fill="auto"/>
                  <w:vAlign w:val="center"/>
                </w:tcPr>
                <w:p w14:paraId="77C0512B">
                  <w:pPr>
                    <w:jc w:val="center"/>
                    <w:rPr>
                      <w:rFonts w:hint="eastAsia" w:ascii="Times New Roman" w:hAnsi="Times New Roman" w:eastAsia="宋体" w:cs="Times New Roman"/>
                      <w:color w:val="auto"/>
                      <w:spacing w:val="-10"/>
                      <w:kern w:val="2"/>
                      <w:sz w:val="18"/>
                      <w:szCs w:val="18"/>
                      <w:highlight w:val="none"/>
                      <w:lang w:val="en-US" w:eastAsia="zh-CN" w:bidi="ar-SA"/>
                    </w:rPr>
                  </w:pPr>
                  <w:r>
                    <w:rPr>
                      <w:rFonts w:hint="eastAsia" w:cs="Times New Roman"/>
                      <w:color w:val="auto"/>
                      <w:spacing w:val="-10"/>
                      <w:kern w:val="2"/>
                      <w:sz w:val="18"/>
                      <w:szCs w:val="18"/>
                      <w:highlight w:val="none"/>
                      <w:lang w:val="en-US" w:eastAsia="zh-CN" w:bidi="ar-SA"/>
                    </w:rPr>
                    <w:t>1</w:t>
                  </w:r>
                  <w:r>
                    <w:rPr>
                      <w:rFonts w:hint="eastAsia" w:cs="Times New Roman"/>
                      <w:color w:val="auto"/>
                      <w:spacing w:val="-10"/>
                      <w:kern w:val="2"/>
                      <w:sz w:val="18"/>
                      <w:szCs w:val="18"/>
                      <w:highlight w:val="none"/>
                      <w:vertAlign w:val="superscript"/>
                      <w:lang w:val="en-US" w:eastAsia="zh-CN" w:bidi="ar-SA"/>
                    </w:rPr>
                    <w:t>#</w:t>
                  </w:r>
                  <w:r>
                    <w:rPr>
                      <w:rFonts w:hint="eastAsia" w:cs="Times New Roman"/>
                      <w:color w:val="auto"/>
                      <w:spacing w:val="-10"/>
                      <w:kern w:val="2"/>
                      <w:sz w:val="18"/>
                      <w:szCs w:val="18"/>
                      <w:highlight w:val="none"/>
                      <w:lang w:val="en-US" w:eastAsia="zh-CN" w:bidi="ar-SA"/>
                    </w:rPr>
                    <w:t>线</w:t>
                  </w:r>
                  <w:r>
                    <w:rPr>
                      <w:rFonts w:hint="eastAsia" w:ascii="Times New Roman" w:hAnsi="Times New Roman" w:eastAsia="宋体" w:cs="Times New Roman"/>
                      <w:color w:val="auto"/>
                      <w:spacing w:val="-10"/>
                      <w:kern w:val="2"/>
                      <w:sz w:val="18"/>
                      <w:szCs w:val="18"/>
                      <w:lang w:val="en-US" w:eastAsia="zh-CN" w:bidi="ar-SA"/>
                    </w:rPr>
                    <w:t>一次漂洗一次漂洗</w:t>
                  </w:r>
                  <w:r>
                    <w:rPr>
                      <w:rFonts w:hint="eastAsia" w:cs="Times New Roman"/>
                      <w:color w:val="auto"/>
                      <w:spacing w:val="-10"/>
                      <w:kern w:val="2"/>
                      <w:sz w:val="18"/>
                      <w:szCs w:val="18"/>
                      <w:highlight w:val="none"/>
                      <w:lang w:val="en-US" w:eastAsia="zh-CN" w:bidi="ar-SA"/>
                    </w:rPr>
                    <w:t>滚筒筛</w:t>
                  </w:r>
                </w:p>
              </w:tc>
              <w:tc>
                <w:tcPr>
                  <w:tcW w:w="548" w:type="pct"/>
                  <w:tcBorders>
                    <w:tl2br w:val="nil"/>
                    <w:tr2bl w:val="nil"/>
                  </w:tcBorders>
                  <w:vAlign w:val="center"/>
                </w:tcPr>
                <w:p w14:paraId="6B854D11">
                  <w:pPr>
                    <w:jc w:val="center"/>
                    <w:rPr>
                      <w:rFonts w:hint="eastAsia" w:ascii="Times New Roman" w:hAnsi="Times New Roman" w:eastAsia="宋体" w:cs="Times New Roman"/>
                      <w:color w:val="auto"/>
                      <w:spacing w:val="-10"/>
                      <w:kern w:val="2"/>
                      <w:sz w:val="18"/>
                      <w:szCs w:val="18"/>
                      <w:lang w:val="en-US" w:eastAsia="zh-CN" w:bidi="ar-SA"/>
                    </w:rPr>
                  </w:pPr>
                  <w:r>
                    <w:rPr>
                      <w:rFonts w:hint="eastAsia" w:ascii="Times New Roman" w:hAnsi="Times New Roman" w:eastAsia="宋体" w:cs="Times New Roman"/>
                      <w:color w:val="auto"/>
                      <w:spacing w:val="-10"/>
                      <w:kern w:val="2"/>
                      <w:sz w:val="18"/>
                      <w:szCs w:val="18"/>
                      <w:lang w:val="en-US" w:eastAsia="zh-CN" w:bidi="ar-SA"/>
                    </w:rPr>
                    <w:t>颗粒物</w:t>
                  </w:r>
                </w:p>
              </w:tc>
              <w:tc>
                <w:tcPr>
                  <w:tcW w:w="2286" w:type="pct"/>
                  <w:vMerge w:val="continue"/>
                  <w:tcBorders>
                    <w:tl2br w:val="nil"/>
                    <w:tr2bl w:val="nil"/>
                  </w:tcBorders>
                  <w:vAlign w:val="center"/>
                </w:tcPr>
                <w:p w14:paraId="29D839D6">
                  <w:pPr>
                    <w:jc w:val="center"/>
                    <w:rPr>
                      <w:rFonts w:hint="eastAsia"/>
                      <w:color w:val="auto"/>
                      <w:spacing w:val="-10"/>
                      <w:sz w:val="18"/>
                      <w:szCs w:val="18"/>
                      <w:highlight w:val="none"/>
                      <w:lang w:val="en-US" w:eastAsia="zh-CN"/>
                    </w:rPr>
                  </w:pPr>
                </w:p>
              </w:tc>
              <w:tc>
                <w:tcPr>
                  <w:tcW w:w="480" w:type="pct"/>
                  <w:vMerge w:val="continue"/>
                  <w:tcBorders>
                    <w:tl2br w:val="nil"/>
                    <w:tr2bl w:val="nil"/>
                  </w:tcBorders>
                  <w:vAlign w:val="center"/>
                </w:tcPr>
                <w:p w14:paraId="179EBF51">
                  <w:pPr>
                    <w:jc w:val="center"/>
                    <w:rPr>
                      <w:color w:val="auto"/>
                      <w:spacing w:val="-10"/>
                      <w:sz w:val="18"/>
                      <w:szCs w:val="18"/>
                    </w:rPr>
                  </w:pPr>
                </w:p>
              </w:tc>
            </w:tr>
            <w:tr w14:paraId="1F74E57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680" w:hRule="exact"/>
                <w:jc w:val="center"/>
              </w:trPr>
              <w:tc>
                <w:tcPr>
                  <w:tcW w:w="454" w:type="pct"/>
                  <w:vMerge w:val="continue"/>
                  <w:tcBorders>
                    <w:tl2br w:val="nil"/>
                    <w:tr2bl w:val="nil"/>
                  </w:tcBorders>
                  <w:vAlign w:val="center"/>
                </w:tcPr>
                <w:p w14:paraId="1D4CD968">
                  <w:pPr>
                    <w:jc w:val="center"/>
                    <w:rPr>
                      <w:color w:val="auto"/>
                      <w:spacing w:val="-10"/>
                      <w:sz w:val="18"/>
                      <w:szCs w:val="18"/>
                    </w:rPr>
                  </w:pPr>
                </w:p>
              </w:tc>
              <w:tc>
                <w:tcPr>
                  <w:tcW w:w="403" w:type="pct"/>
                  <w:vMerge w:val="continue"/>
                  <w:tcBorders>
                    <w:tl2br w:val="nil"/>
                    <w:tr2bl w:val="nil"/>
                  </w:tcBorders>
                  <w:vAlign w:val="center"/>
                </w:tcPr>
                <w:p w14:paraId="02CFF6D3">
                  <w:pPr>
                    <w:tabs>
                      <w:tab w:val="left" w:pos="272"/>
                    </w:tabs>
                    <w:jc w:val="center"/>
                    <w:rPr>
                      <w:rFonts w:hint="eastAsia" w:ascii="Times New Roman" w:hAnsi="Times New Roman" w:eastAsia="宋体" w:cs="Times New Roman"/>
                      <w:color w:val="auto"/>
                      <w:spacing w:val="-10"/>
                      <w:sz w:val="18"/>
                      <w:szCs w:val="18"/>
                      <w:lang w:val="en-US" w:eastAsia="zh-CN"/>
                    </w:rPr>
                  </w:pPr>
                </w:p>
              </w:tc>
              <w:tc>
                <w:tcPr>
                  <w:tcW w:w="826" w:type="pct"/>
                  <w:tcBorders>
                    <w:tl2br w:val="nil"/>
                    <w:tr2bl w:val="nil"/>
                  </w:tcBorders>
                  <w:shd w:val="clear" w:color="auto" w:fill="auto"/>
                  <w:vAlign w:val="center"/>
                </w:tcPr>
                <w:p w14:paraId="347920FB">
                  <w:pPr>
                    <w:jc w:val="center"/>
                    <w:rPr>
                      <w:rFonts w:hint="eastAsia" w:ascii="Times New Roman" w:hAnsi="Times New Roman" w:eastAsia="宋体" w:cs="Times New Roman"/>
                      <w:color w:val="auto"/>
                      <w:spacing w:val="-10"/>
                      <w:kern w:val="2"/>
                      <w:sz w:val="18"/>
                      <w:szCs w:val="18"/>
                      <w:highlight w:val="none"/>
                      <w:lang w:val="en-US" w:eastAsia="zh-CN" w:bidi="ar-SA"/>
                    </w:rPr>
                  </w:pPr>
                  <w:r>
                    <w:rPr>
                      <w:rFonts w:hint="eastAsia" w:cs="Times New Roman"/>
                      <w:color w:val="auto"/>
                      <w:spacing w:val="-10"/>
                      <w:kern w:val="2"/>
                      <w:sz w:val="18"/>
                      <w:szCs w:val="18"/>
                      <w:highlight w:val="none"/>
                      <w:lang w:val="en-US" w:eastAsia="zh-CN" w:bidi="ar-SA"/>
                    </w:rPr>
                    <w:t>1</w:t>
                  </w:r>
                  <w:r>
                    <w:rPr>
                      <w:rFonts w:hint="eastAsia" w:cs="Times New Roman"/>
                      <w:color w:val="auto"/>
                      <w:spacing w:val="-10"/>
                      <w:kern w:val="2"/>
                      <w:sz w:val="18"/>
                      <w:szCs w:val="18"/>
                      <w:highlight w:val="none"/>
                      <w:vertAlign w:val="superscript"/>
                      <w:lang w:val="en-US" w:eastAsia="zh-CN" w:bidi="ar-SA"/>
                    </w:rPr>
                    <w:t>#</w:t>
                  </w:r>
                  <w:r>
                    <w:rPr>
                      <w:rFonts w:hint="eastAsia" w:ascii="Times New Roman" w:hAnsi="Times New Roman" w:eastAsia="宋体" w:cs="Times New Roman"/>
                      <w:color w:val="auto"/>
                      <w:spacing w:val="-10"/>
                      <w:kern w:val="2"/>
                      <w:sz w:val="18"/>
                      <w:szCs w:val="18"/>
                      <w:lang w:val="en-US" w:eastAsia="zh-CN" w:bidi="ar-SA"/>
                    </w:rPr>
                    <w:t>一次漂洗一次漂洗</w:t>
                  </w:r>
                  <w:r>
                    <w:rPr>
                      <w:rFonts w:hint="eastAsia" w:cs="Times New Roman"/>
                      <w:color w:val="auto"/>
                      <w:spacing w:val="-10"/>
                      <w:kern w:val="2"/>
                      <w:sz w:val="18"/>
                      <w:szCs w:val="18"/>
                      <w:highlight w:val="none"/>
                      <w:lang w:val="en-US" w:eastAsia="zh-CN" w:bidi="ar-SA"/>
                    </w:rPr>
                    <w:t>空气分选机</w:t>
                  </w:r>
                </w:p>
              </w:tc>
              <w:tc>
                <w:tcPr>
                  <w:tcW w:w="548" w:type="pct"/>
                  <w:tcBorders>
                    <w:tl2br w:val="nil"/>
                    <w:tr2bl w:val="nil"/>
                  </w:tcBorders>
                  <w:shd w:val="clear" w:color="auto" w:fill="auto"/>
                  <w:vAlign w:val="center"/>
                </w:tcPr>
                <w:p w14:paraId="35FDDDDE">
                  <w:pPr>
                    <w:jc w:val="center"/>
                    <w:rPr>
                      <w:rFonts w:hint="eastAsia" w:ascii="Times New Roman" w:hAnsi="Times New Roman" w:eastAsia="宋体" w:cs="Times New Roman"/>
                      <w:color w:val="auto"/>
                      <w:spacing w:val="-10"/>
                      <w:kern w:val="2"/>
                      <w:sz w:val="18"/>
                      <w:szCs w:val="18"/>
                      <w:lang w:val="en-US" w:eastAsia="zh-CN" w:bidi="ar-SA"/>
                    </w:rPr>
                  </w:pPr>
                  <w:r>
                    <w:rPr>
                      <w:rFonts w:hint="eastAsia" w:ascii="Times New Roman" w:hAnsi="Times New Roman" w:eastAsia="宋体" w:cs="Times New Roman"/>
                      <w:color w:val="auto"/>
                      <w:spacing w:val="-10"/>
                      <w:kern w:val="2"/>
                      <w:sz w:val="18"/>
                      <w:szCs w:val="18"/>
                      <w:lang w:val="en-US" w:eastAsia="zh-CN" w:bidi="ar-SA"/>
                    </w:rPr>
                    <w:t>颗粒物</w:t>
                  </w:r>
                </w:p>
              </w:tc>
              <w:tc>
                <w:tcPr>
                  <w:tcW w:w="2286" w:type="pct"/>
                  <w:vMerge w:val="continue"/>
                  <w:tcBorders>
                    <w:tl2br w:val="nil"/>
                    <w:tr2bl w:val="nil"/>
                  </w:tcBorders>
                  <w:vAlign w:val="center"/>
                </w:tcPr>
                <w:p w14:paraId="1CDFE970">
                  <w:pPr>
                    <w:jc w:val="center"/>
                    <w:rPr>
                      <w:rFonts w:ascii="宋体" w:hAnsi="宋体" w:eastAsia="宋体" w:cs="宋体"/>
                      <w:b w:val="0"/>
                      <w:bCs w:val="0"/>
                      <w:color w:val="auto"/>
                      <w:sz w:val="20"/>
                      <w:szCs w:val="20"/>
                    </w:rPr>
                  </w:pPr>
                </w:p>
              </w:tc>
              <w:tc>
                <w:tcPr>
                  <w:tcW w:w="480" w:type="pct"/>
                  <w:vMerge w:val="continue"/>
                  <w:tcBorders>
                    <w:tl2br w:val="nil"/>
                    <w:tr2bl w:val="nil"/>
                  </w:tcBorders>
                  <w:vAlign w:val="center"/>
                </w:tcPr>
                <w:p w14:paraId="452485DB">
                  <w:pPr>
                    <w:jc w:val="center"/>
                    <w:rPr>
                      <w:color w:val="auto"/>
                      <w:spacing w:val="-10"/>
                      <w:sz w:val="18"/>
                      <w:szCs w:val="18"/>
                    </w:rPr>
                  </w:pPr>
                </w:p>
              </w:tc>
            </w:tr>
            <w:tr w14:paraId="222B619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680" w:hRule="exact"/>
                <w:jc w:val="center"/>
              </w:trPr>
              <w:tc>
                <w:tcPr>
                  <w:tcW w:w="454" w:type="pct"/>
                  <w:vMerge w:val="continue"/>
                  <w:tcBorders>
                    <w:tl2br w:val="nil"/>
                    <w:tr2bl w:val="nil"/>
                  </w:tcBorders>
                  <w:vAlign w:val="center"/>
                </w:tcPr>
                <w:p w14:paraId="1DA50FB6">
                  <w:pPr>
                    <w:jc w:val="center"/>
                    <w:rPr>
                      <w:color w:val="auto"/>
                      <w:spacing w:val="-10"/>
                      <w:sz w:val="18"/>
                      <w:szCs w:val="18"/>
                    </w:rPr>
                  </w:pPr>
                </w:p>
              </w:tc>
              <w:tc>
                <w:tcPr>
                  <w:tcW w:w="403" w:type="pct"/>
                  <w:vMerge w:val="continue"/>
                  <w:tcBorders>
                    <w:tl2br w:val="nil"/>
                    <w:tr2bl w:val="nil"/>
                  </w:tcBorders>
                  <w:vAlign w:val="center"/>
                </w:tcPr>
                <w:p w14:paraId="7C4DA881">
                  <w:pPr>
                    <w:tabs>
                      <w:tab w:val="left" w:pos="272"/>
                    </w:tabs>
                    <w:jc w:val="center"/>
                    <w:rPr>
                      <w:rFonts w:hint="eastAsia" w:ascii="Times New Roman" w:hAnsi="Times New Roman" w:eastAsia="宋体" w:cs="Times New Roman"/>
                      <w:color w:val="auto"/>
                      <w:spacing w:val="-10"/>
                      <w:sz w:val="18"/>
                      <w:szCs w:val="18"/>
                      <w:lang w:val="en-US" w:eastAsia="zh-CN"/>
                    </w:rPr>
                  </w:pPr>
                </w:p>
              </w:tc>
              <w:tc>
                <w:tcPr>
                  <w:tcW w:w="826" w:type="pct"/>
                  <w:tcBorders>
                    <w:tl2br w:val="nil"/>
                    <w:tr2bl w:val="nil"/>
                  </w:tcBorders>
                  <w:shd w:val="clear" w:color="auto" w:fill="auto"/>
                  <w:vAlign w:val="center"/>
                </w:tcPr>
                <w:p w14:paraId="69DEA84C">
                  <w:pPr>
                    <w:jc w:val="center"/>
                    <w:rPr>
                      <w:rFonts w:hint="eastAsia" w:ascii="Times New Roman" w:hAnsi="Times New Roman" w:eastAsia="宋体" w:cs="Times New Roman"/>
                      <w:color w:val="auto"/>
                      <w:spacing w:val="-10"/>
                      <w:kern w:val="2"/>
                      <w:sz w:val="18"/>
                      <w:szCs w:val="18"/>
                      <w:lang w:val="en-US" w:eastAsia="zh-CN" w:bidi="ar-SA"/>
                    </w:rPr>
                  </w:pPr>
                  <w:r>
                    <w:rPr>
                      <w:rFonts w:hint="eastAsia" w:ascii="Times New Roman" w:hAnsi="Times New Roman" w:eastAsia="宋体" w:cs="Times New Roman"/>
                      <w:color w:val="auto"/>
                      <w:spacing w:val="-10"/>
                      <w:kern w:val="2"/>
                      <w:sz w:val="18"/>
                      <w:szCs w:val="18"/>
                      <w:lang w:val="en-US" w:eastAsia="zh-CN" w:bidi="ar-SA"/>
                    </w:rPr>
                    <w:t>2</w:t>
                  </w:r>
                  <w:r>
                    <w:rPr>
                      <w:rFonts w:hint="eastAsia" w:ascii="Times New Roman" w:hAnsi="Times New Roman" w:eastAsia="宋体" w:cs="Times New Roman"/>
                      <w:color w:val="auto"/>
                      <w:spacing w:val="-10"/>
                      <w:kern w:val="2"/>
                      <w:sz w:val="18"/>
                      <w:szCs w:val="18"/>
                      <w:vertAlign w:val="superscript"/>
                      <w:lang w:val="en-US" w:eastAsia="zh-CN" w:bidi="ar-SA"/>
                    </w:rPr>
                    <w:t>#</w:t>
                  </w:r>
                  <w:r>
                    <w:rPr>
                      <w:rFonts w:hint="eastAsia" w:ascii="Times New Roman" w:hAnsi="Times New Roman" w:eastAsia="宋体" w:cs="Times New Roman"/>
                      <w:color w:val="auto"/>
                      <w:spacing w:val="-10"/>
                      <w:kern w:val="2"/>
                      <w:sz w:val="18"/>
                      <w:szCs w:val="18"/>
                      <w:lang w:val="en-US" w:eastAsia="zh-CN" w:bidi="ar-SA"/>
                    </w:rPr>
                    <w:t>线一次漂洗前上料仓</w:t>
                  </w:r>
                </w:p>
              </w:tc>
              <w:tc>
                <w:tcPr>
                  <w:tcW w:w="548" w:type="pct"/>
                  <w:tcBorders>
                    <w:tl2br w:val="nil"/>
                    <w:tr2bl w:val="nil"/>
                  </w:tcBorders>
                  <w:shd w:val="clear" w:color="auto" w:fill="auto"/>
                  <w:vAlign w:val="center"/>
                </w:tcPr>
                <w:p w14:paraId="2569122D">
                  <w:pPr>
                    <w:jc w:val="center"/>
                    <w:rPr>
                      <w:rFonts w:hint="eastAsia" w:ascii="Times New Roman" w:hAnsi="Times New Roman" w:eastAsia="宋体" w:cs="Times New Roman"/>
                      <w:color w:val="auto"/>
                      <w:spacing w:val="-10"/>
                      <w:kern w:val="2"/>
                      <w:sz w:val="18"/>
                      <w:szCs w:val="18"/>
                      <w:lang w:val="en-US" w:eastAsia="zh-CN" w:bidi="ar-SA"/>
                    </w:rPr>
                  </w:pPr>
                  <w:r>
                    <w:rPr>
                      <w:rFonts w:hint="eastAsia" w:ascii="Times New Roman" w:hAnsi="Times New Roman" w:eastAsia="宋体" w:cs="Times New Roman"/>
                      <w:color w:val="auto"/>
                      <w:spacing w:val="-10"/>
                      <w:kern w:val="2"/>
                      <w:sz w:val="18"/>
                      <w:szCs w:val="18"/>
                      <w:lang w:val="en-US" w:eastAsia="zh-CN" w:bidi="ar-SA"/>
                    </w:rPr>
                    <w:t>颗粒物</w:t>
                  </w:r>
                </w:p>
              </w:tc>
              <w:tc>
                <w:tcPr>
                  <w:tcW w:w="2286" w:type="pct"/>
                  <w:vMerge w:val="continue"/>
                  <w:tcBorders>
                    <w:tl2br w:val="nil"/>
                    <w:tr2bl w:val="nil"/>
                  </w:tcBorders>
                  <w:vAlign w:val="center"/>
                </w:tcPr>
                <w:p w14:paraId="46FCE291">
                  <w:pPr>
                    <w:jc w:val="center"/>
                    <w:rPr>
                      <w:rFonts w:ascii="宋体" w:hAnsi="宋体" w:eastAsia="宋体" w:cs="宋体"/>
                      <w:b w:val="0"/>
                      <w:bCs w:val="0"/>
                      <w:color w:val="auto"/>
                      <w:sz w:val="20"/>
                      <w:szCs w:val="20"/>
                    </w:rPr>
                  </w:pPr>
                </w:p>
              </w:tc>
              <w:tc>
                <w:tcPr>
                  <w:tcW w:w="480" w:type="pct"/>
                  <w:vMerge w:val="continue"/>
                  <w:tcBorders>
                    <w:tl2br w:val="nil"/>
                    <w:tr2bl w:val="nil"/>
                  </w:tcBorders>
                  <w:vAlign w:val="center"/>
                </w:tcPr>
                <w:p w14:paraId="1CD04B88">
                  <w:pPr>
                    <w:jc w:val="center"/>
                    <w:rPr>
                      <w:color w:val="auto"/>
                      <w:spacing w:val="-10"/>
                      <w:sz w:val="18"/>
                      <w:szCs w:val="18"/>
                    </w:rPr>
                  </w:pPr>
                </w:p>
              </w:tc>
            </w:tr>
            <w:tr w14:paraId="44E2566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680" w:hRule="exact"/>
                <w:jc w:val="center"/>
              </w:trPr>
              <w:tc>
                <w:tcPr>
                  <w:tcW w:w="454" w:type="pct"/>
                  <w:vMerge w:val="continue"/>
                  <w:tcBorders>
                    <w:tl2br w:val="nil"/>
                    <w:tr2bl w:val="nil"/>
                  </w:tcBorders>
                  <w:vAlign w:val="center"/>
                </w:tcPr>
                <w:p w14:paraId="1028D681">
                  <w:pPr>
                    <w:jc w:val="center"/>
                    <w:rPr>
                      <w:color w:val="auto"/>
                      <w:spacing w:val="-10"/>
                      <w:sz w:val="18"/>
                      <w:szCs w:val="18"/>
                    </w:rPr>
                  </w:pPr>
                </w:p>
              </w:tc>
              <w:tc>
                <w:tcPr>
                  <w:tcW w:w="403" w:type="pct"/>
                  <w:vMerge w:val="continue"/>
                  <w:tcBorders>
                    <w:tl2br w:val="nil"/>
                    <w:tr2bl w:val="nil"/>
                  </w:tcBorders>
                  <w:vAlign w:val="center"/>
                </w:tcPr>
                <w:p w14:paraId="32482E0F">
                  <w:pPr>
                    <w:tabs>
                      <w:tab w:val="left" w:pos="272"/>
                    </w:tabs>
                    <w:jc w:val="center"/>
                    <w:rPr>
                      <w:rFonts w:hint="eastAsia" w:ascii="Times New Roman" w:hAnsi="Times New Roman" w:eastAsia="宋体" w:cs="Times New Roman"/>
                      <w:color w:val="auto"/>
                      <w:spacing w:val="-10"/>
                      <w:sz w:val="18"/>
                      <w:szCs w:val="18"/>
                      <w:lang w:val="en-US" w:eastAsia="zh-CN"/>
                    </w:rPr>
                  </w:pPr>
                </w:p>
              </w:tc>
              <w:tc>
                <w:tcPr>
                  <w:tcW w:w="826" w:type="pct"/>
                  <w:tcBorders>
                    <w:tl2br w:val="nil"/>
                    <w:tr2bl w:val="nil"/>
                  </w:tcBorders>
                  <w:shd w:val="clear" w:color="auto" w:fill="auto"/>
                  <w:vAlign w:val="center"/>
                </w:tcPr>
                <w:p w14:paraId="0E65E5EA">
                  <w:pPr>
                    <w:jc w:val="center"/>
                    <w:rPr>
                      <w:rFonts w:hint="eastAsia" w:ascii="Times New Roman" w:hAnsi="Times New Roman" w:eastAsia="宋体" w:cs="Times New Roman"/>
                      <w:color w:val="auto"/>
                      <w:spacing w:val="-10"/>
                      <w:kern w:val="2"/>
                      <w:sz w:val="18"/>
                      <w:szCs w:val="18"/>
                      <w:highlight w:val="none"/>
                      <w:lang w:val="en-US" w:eastAsia="zh-CN" w:bidi="ar-SA"/>
                    </w:rPr>
                  </w:pPr>
                  <w:r>
                    <w:rPr>
                      <w:rFonts w:hint="eastAsia" w:cs="Times New Roman"/>
                      <w:color w:val="auto"/>
                      <w:spacing w:val="-10"/>
                      <w:kern w:val="2"/>
                      <w:sz w:val="18"/>
                      <w:szCs w:val="18"/>
                      <w:highlight w:val="none"/>
                      <w:lang w:val="en-US" w:eastAsia="zh-CN" w:bidi="ar-SA"/>
                    </w:rPr>
                    <w:t>2</w:t>
                  </w:r>
                  <w:r>
                    <w:rPr>
                      <w:rFonts w:hint="eastAsia" w:cs="Times New Roman"/>
                      <w:color w:val="auto"/>
                      <w:spacing w:val="-10"/>
                      <w:kern w:val="2"/>
                      <w:sz w:val="18"/>
                      <w:szCs w:val="18"/>
                      <w:highlight w:val="none"/>
                      <w:vertAlign w:val="superscript"/>
                      <w:lang w:val="en-US" w:eastAsia="zh-CN" w:bidi="ar-SA"/>
                    </w:rPr>
                    <w:t>#</w:t>
                  </w:r>
                  <w:r>
                    <w:rPr>
                      <w:rFonts w:hint="eastAsia" w:cs="Times New Roman"/>
                      <w:color w:val="auto"/>
                      <w:spacing w:val="-10"/>
                      <w:kern w:val="2"/>
                      <w:sz w:val="18"/>
                      <w:szCs w:val="18"/>
                      <w:highlight w:val="none"/>
                      <w:lang w:val="en-US" w:eastAsia="zh-CN" w:bidi="ar-SA"/>
                    </w:rPr>
                    <w:t>线</w:t>
                  </w:r>
                  <w:r>
                    <w:rPr>
                      <w:rFonts w:hint="eastAsia" w:ascii="Times New Roman" w:hAnsi="Times New Roman" w:eastAsia="宋体" w:cs="Times New Roman"/>
                      <w:color w:val="auto"/>
                      <w:spacing w:val="-10"/>
                      <w:kern w:val="2"/>
                      <w:sz w:val="18"/>
                      <w:szCs w:val="18"/>
                      <w:lang w:val="en-US" w:eastAsia="zh-CN" w:bidi="ar-SA"/>
                    </w:rPr>
                    <w:t>一次漂洗一次漂洗</w:t>
                  </w:r>
                  <w:r>
                    <w:rPr>
                      <w:rFonts w:hint="eastAsia" w:cs="Times New Roman"/>
                      <w:color w:val="auto"/>
                      <w:spacing w:val="-10"/>
                      <w:kern w:val="2"/>
                      <w:sz w:val="18"/>
                      <w:szCs w:val="18"/>
                      <w:highlight w:val="none"/>
                      <w:lang w:val="en-US" w:eastAsia="zh-CN" w:bidi="ar-SA"/>
                    </w:rPr>
                    <w:t>滚筒筛</w:t>
                  </w:r>
                </w:p>
              </w:tc>
              <w:tc>
                <w:tcPr>
                  <w:tcW w:w="548" w:type="pct"/>
                  <w:tcBorders>
                    <w:tl2br w:val="nil"/>
                    <w:tr2bl w:val="nil"/>
                  </w:tcBorders>
                  <w:shd w:val="clear" w:color="auto" w:fill="auto"/>
                  <w:vAlign w:val="center"/>
                </w:tcPr>
                <w:p w14:paraId="5C388D4F">
                  <w:pPr>
                    <w:jc w:val="center"/>
                    <w:rPr>
                      <w:rFonts w:hint="eastAsia" w:ascii="Times New Roman" w:hAnsi="Times New Roman" w:eastAsia="宋体" w:cs="Times New Roman"/>
                      <w:color w:val="auto"/>
                      <w:spacing w:val="-10"/>
                      <w:kern w:val="2"/>
                      <w:sz w:val="18"/>
                      <w:szCs w:val="18"/>
                      <w:lang w:val="en-US" w:eastAsia="zh-CN" w:bidi="ar-SA"/>
                    </w:rPr>
                  </w:pPr>
                  <w:r>
                    <w:rPr>
                      <w:rFonts w:hint="eastAsia" w:ascii="Times New Roman" w:hAnsi="Times New Roman" w:eastAsia="宋体" w:cs="Times New Roman"/>
                      <w:color w:val="auto"/>
                      <w:spacing w:val="-10"/>
                      <w:kern w:val="2"/>
                      <w:sz w:val="18"/>
                      <w:szCs w:val="18"/>
                      <w:lang w:val="en-US" w:eastAsia="zh-CN" w:bidi="ar-SA"/>
                    </w:rPr>
                    <w:t>颗粒物</w:t>
                  </w:r>
                </w:p>
              </w:tc>
              <w:tc>
                <w:tcPr>
                  <w:tcW w:w="2286" w:type="pct"/>
                  <w:vMerge w:val="continue"/>
                  <w:tcBorders>
                    <w:tl2br w:val="nil"/>
                    <w:tr2bl w:val="nil"/>
                  </w:tcBorders>
                  <w:vAlign w:val="center"/>
                </w:tcPr>
                <w:p w14:paraId="16C89C45">
                  <w:pPr>
                    <w:jc w:val="center"/>
                    <w:rPr>
                      <w:rFonts w:ascii="宋体" w:hAnsi="宋体" w:eastAsia="宋体" w:cs="宋体"/>
                      <w:b w:val="0"/>
                      <w:bCs w:val="0"/>
                      <w:color w:val="auto"/>
                      <w:sz w:val="20"/>
                      <w:szCs w:val="20"/>
                    </w:rPr>
                  </w:pPr>
                </w:p>
              </w:tc>
              <w:tc>
                <w:tcPr>
                  <w:tcW w:w="480" w:type="pct"/>
                  <w:vMerge w:val="continue"/>
                  <w:tcBorders>
                    <w:tl2br w:val="nil"/>
                    <w:tr2bl w:val="nil"/>
                  </w:tcBorders>
                  <w:vAlign w:val="center"/>
                </w:tcPr>
                <w:p w14:paraId="46FE4CAE">
                  <w:pPr>
                    <w:jc w:val="center"/>
                    <w:rPr>
                      <w:color w:val="auto"/>
                      <w:spacing w:val="-10"/>
                      <w:sz w:val="18"/>
                      <w:szCs w:val="18"/>
                    </w:rPr>
                  </w:pPr>
                </w:p>
              </w:tc>
            </w:tr>
            <w:tr w14:paraId="4FEF0DE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680" w:hRule="exact"/>
                <w:jc w:val="center"/>
              </w:trPr>
              <w:tc>
                <w:tcPr>
                  <w:tcW w:w="454" w:type="pct"/>
                  <w:vMerge w:val="continue"/>
                  <w:tcBorders>
                    <w:tl2br w:val="nil"/>
                    <w:tr2bl w:val="nil"/>
                  </w:tcBorders>
                  <w:vAlign w:val="center"/>
                </w:tcPr>
                <w:p w14:paraId="6F9CA625">
                  <w:pPr>
                    <w:jc w:val="center"/>
                    <w:rPr>
                      <w:color w:val="auto"/>
                      <w:spacing w:val="-10"/>
                      <w:sz w:val="18"/>
                      <w:szCs w:val="18"/>
                    </w:rPr>
                  </w:pPr>
                </w:p>
              </w:tc>
              <w:tc>
                <w:tcPr>
                  <w:tcW w:w="403" w:type="pct"/>
                  <w:vMerge w:val="continue"/>
                  <w:tcBorders>
                    <w:tl2br w:val="nil"/>
                    <w:tr2bl w:val="nil"/>
                  </w:tcBorders>
                  <w:vAlign w:val="center"/>
                </w:tcPr>
                <w:p w14:paraId="279B5358">
                  <w:pPr>
                    <w:tabs>
                      <w:tab w:val="left" w:pos="272"/>
                    </w:tabs>
                    <w:jc w:val="center"/>
                    <w:rPr>
                      <w:rFonts w:hint="eastAsia" w:ascii="Times New Roman" w:hAnsi="Times New Roman" w:eastAsia="宋体" w:cs="Times New Roman"/>
                      <w:color w:val="auto"/>
                      <w:spacing w:val="-10"/>
                      <w:sz w:val="18"/>
                      <w:szCs w:val="18"/>
                      <w:lang w:val="en-US" w:eastAsia="zh-CN"/>
                    </w:rPr>
                  </w:pPr>
                </w:p>
              </w:tc>
              <w:tc>
                <w:tcPr>
                  <w:tcW w:w="826" w:type="pct"/>
                  <w:tcBorders>
                    <w:tl2br w:val="nil"/>
                    <w:tr2bl w:val="nil"/>
                  </w:tcBorders>
                  <w:shd w:val="clear" w:color="auto" w:fill="auto"/>
                  <w:vAlign w:val="center"/>
                </w:tcPr>
                <w:p w14:paraId="3B9E1675">
                  <w:pPr>
                    <w:jc w:val="center"/>
                    <w:rPr>
                      <w:rFonts w:hint="eastAsia" w:ascii="Times New Roman" w:hAnsi="Times New Roman" w:eastAsia="宋体" w:cs="Times New Roman"/>
                      <w:color w:val="auto"/>
                      <w:spacing w:val="-10"/>
                      <w:kern w:val="2"/>
                      <w:sz w:val="18"/>
                      <w:szCs w:val="18"/>
                      <w:highlight w:val="none"/>
                      <w:lang w:val="en-US" w:eastAsia="zh-CN" w:bidi="ar-SA"/>
                    </w:rPr>
                  </w:pPr>
                  <w:r>
                    <w:rPr>
                      <w:rFonts w:hint="eastAsia" w:cs="Times New Roman"/>
                      <w:color w:val="auto"/>
                      <w:spacing w:val="-10"/>
                      <w:kern w:val="2"/>
                      <w:sz w:val="18"/>
                      <w:szCs w:val="18"/>
                      <w:highlight w:val="none"/>
                      <w:lang w:val="en-US" w:eastAsia="zh-CN" w:bidi="ar-SA"/>
                    </w:rPr>
                    <w:t>2</w:t>
                  </w:r>
                  <w:r>
                    <w:rPr>
                      <w:rFonts w:hint="eastAsia" w:cs="Times New Roman"/>
                      <w:color w:val="auto"/>
                      <w:spacing w:val="-10"/>
                      <w:kern w:val="2"/>
                      <w:sz w:val="18"/>
                      <w:szCs w:val="18"/>
                      <w:highlight w:val="none"/>
                      <w:vertAlign w:val="superscript"/>
                      <w:lang w:val="en-US" w:eastAsia="zh-CN" w:bidi="ar-SA"/>
                    </w:rPr>
                    <w:t>#</w:t>
                  </w:r>
                  <w:r>
                    <w:rPr>
                      <w:rFonts w:hint="eastAsia" w:ascii="Times New Roman" w:hAnsi="Times New Roman" w:eastAsia="宋体" w:cs="Times New Roman"/>
                      <w:color w:val="auto"/>
                      <w:spacing w:val="-10"/>
                      <w:kern w:val="2"/>
                      <w:sz w:val="18"/>
                      <w:szCs w:val="18"/>
                      <w:lang w:val="en-US" w:eastAsia="zh-CN" w:bidi="ar-SA"/>
                    </w:rPr>
                    <w:t>一次漂洗一次漂洗</w:t>
                  </w:r>
                  <w:r>
                    <w:rPr>
                      <w:rFonts w:hint="eastAsia" w:cs="Times New Roman"/>
                      <w:color w:val="auto"/>
                      <w:spacing w:val="-10"/>
                      <w:kern w:val="2"/>
                      <w:sz w:val="18"/>
                      <w:szCs w:val="18"/>
                      <w:highlight w:val="none"/>
                      <w:lang w:val="en-US" w:eastAsia="zh-CN" w:bidi="ar-SA"/>
                    </w:rPr>
                    <w:t>空气分选机</w:t>
                  </w:r>
                </w:p>
              </w:tc>
              <w:tc>
                <w:tcPr>
                  <w:tcW w:w="548" w:type="pct"/>
                  <w:tcBorders>
                    <w:tl2br w:val="nil"/>
                    <w:tr2bl w:val="nil"/>
                  </w:tcBorders>
                  <w:shd w:val="clear" w:color="auto" w:fill="auto"/>
                  <w:vAlign w:val="center"/>
                </w:tcPr>
                <w:p w14:paraId="7471B0AE">
                  <w:pPr>
                    <w:jc w:val="center"/>
                    <w:rPr>
                      <w:rFonts w:hint="eastAsia" w:ascii="Times New Roman" w:hAnsi="Times New Roman" w:eastAsia="宋体" w:cs="Times New Roman"/>
                      <w:color w:val="auto"/>
                      <w:spacing w:val="-10"/>
                      <w:kern w:val="2"/>
                      <w:sz w:val="18"/>
                      <w:szCs w:val="18"/>
                      <w:lang w:val="en-US" w:eastAsia="zh-CN" w:bidi="ar-SA"/>
                    </w:rPr>
                  </w:pPr>
                  <w:r>
                    <w:rPr>
                      <w:rFonts w:hint="eastAsia" w:ascii="Times New Roman" w:hAnsi="Times New Roman" w:eastAsia="宋体" w:cs="Times New Roman"/>
                      <w:color w:val="auto"/>
                      <w:spacing w:val="-10"/>
                      <w:kern w:val="2"/>
                      <w:sz w:val="18"/>
                      <w:szCs w:val="18"/>
                      <w:lang w:val="en-US" w:eastAsia="zh-CN" w:bidi="ar-SA"/>
                    </w:rPr>
                    <w:t>颗粒物</w:t>
                  </w:r>
                </w:p>
              </w:tc>
              <w:tc>
                <w:tcPr>
                  <w:tcW w:w="2286" w:type="pct"/>
                  <w:vMerge w:val="continue"/>
                  <w:tcBorders>
                    <w:tl2br w:val="nil"/>
                    <w:tr2bl w:val="nil"/>
                  </w:tcBorders>
                  <w:vAlign w:val="center"/>
                </w:tcPr>
                <w:p w14:paraId="42E525B1">
                  <w:pPr>
                    <w:jc w:val="center"/>
                    <w:rPr>
                      <w:rFonts w:ascii="宋体" w:hAnsi="宋体" w:eastAsia="宋体" w:cs="宋体"/>
                      <w:b w:val="0"/>
                      <w:bCs w:val="0"/>
                      <w:color w:val="auto"/>
                      <w:sz w:val="20"/>
                      <w:szCs w:val="20"/>
                    </w:rPr>
                  </w:pPr>
                </w:p>
              </w:tc>
              <w:tc>
                <w:tcPr>
                  <w:tcW w:w="480" w:type="pct"/>
                  <w:vMerge w:val="continue"/>
                  <w:tcBorders>
                    <w:tl2br w:val="nil"/>
                    <w:tr2bl w:val="nil"/>
                  </w:tcBorders>
                  <w:vAlign w:val="center"/>
                </w:tcPr>
                <w:p w14:paraId="3D332A56">
                  <w:pPr>
                    <w:jc w:val="center"/>
                    <w:rPr>
                      <w:color w:val="auto"/>
                      <w:spacing w:val="-10"/>
                      <w:sz w:val="18"/>
                      <w:szCs w:val="18"/>
                    </w:rPr>
                  </w:pPr>
                </w:p>
              </w:tc>
            </w:tr>
          </w:tbl>
          <w:p w14:paraId="1DD0511C">
            <w:pPr>
              <w:rPr>
                <w:color w:val="auto"/>
              </w:rPr>
            </w:pPr>
          </w:p>
          <w:p w14:paraId="6CC53770">
            <w:pPr>
              <w:rPr>
                <w:color w:val="auto"/>
              </w:rPr>
            </w:pPr>
          </w:p>
          <w:p w14:paraId="00B904B6">
            <w:pPr>
              <w:rPr>
                <w:color w:val="auto"/>
              </w:rPr>
            </w:pPr>
          </w:p>
          <w:p w14:paraId="635B6A3D">
            <w:pPr>
              <w:pStyle w:val="24"/>
              <w:adjustRightInd w:val="0"/>
              <w:snapToGrid w:val="0"/>
              <w:spacing w:before="0" w:beforeAutospacing="0" w:after="0" w:afterAutospacing="0" w:line="440" w:lineRule="exact"/>
              <w:jc w:val="center"/>
              <w:rPr>
                <w:rFonts w:ascii="Times New Roman" w:hAnsi="Times New Roman"/>
                <w:b/>
                <w:color w:val="auto"/>
                <w:sz w:val="21"/>
                <w:szCs w:val="21"/>
              </w:rPr>
            </w:pPr>
            <w:r>
              <w:rPr>
                <w:rFonts w:hint="eastAsia" w:ascii="Times New Roman" w:hAnsi="Times New Roman"/>
                <w:b/>
                <w:color w:val="auto"/>
                <w:sz w:val="21"/>
                <w:szCs w:val="21"/>
                <w:lang w:val="en-US" w:eastAsia="zh-CN"/>
              </w:rPr>
              <w:t>续</w:t>
            </w:r>
            <w:r>
              <w:rPr>
                <w:rFonts w:hint="eastAsia" w:ascii="Times New Roman" w:hAnsi="Times New Roman"/>
                <w:b/>
                <w:color w:val="auto"/>
                <w:sz w:val="21"/>
                <w:szCs w:val="21"/>
              </w:rPr>
              <w:t>表</w:t>
            </w:r>
            <w:r>
              <w:rPr>
                <w:rFonts w:hint="eastAsia" w:ascii="Times New Roman" w:hAnsi="Times New Roman"/>
                <w:b/>
                <w:color w:val="auto"/>
                <w:sz w:val="21"/>
                <w:szCs w:val="21"/>
                <w:lang w:val="en-US" w:eastAsia="zh-CN"/>
              </w:rPr>
              <w:t>15</w:t>
            </w:r>
            <w:r>
              <w:rPr>
                <w:rFonts w:hint="eastAsia" w:ascii="Times New Roman" w:hAnsi="Times New Roman"/>
                <w:b/>
                <w:color w:val="auto"/>
                <w:sz w:val="21"/>
                <w:szCs w:val="21"/>
              </w:rPr>
              <w:t xml:space="preserve"> 项目污染源及污染防治措施一览表</w:t>
            </w:r>
          </w:p>
          <w:tbl>
            <w:tblPr>
              <w:tblStyle w:val="28"/>
              <w:tblW w:w="5071"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28" w:type="dxa"/>
                <w:bottom w:w="0" w:type="dxa"/>
                <w:right w:w="28" w:type="dxa"/>
              </w:tblCellMar>
            </w:tblPr>
            <w:tblGrid>
              <w:gridCol w:w="732"/>
              <w:gridCol w:w="1982"/>
              <w:gridCol w:w="884"/>
              <w:gridCol w:w="3685"/>
              <w:gridCol w:w="775"/>
            </w:tblGrid>
            <w:tr w14:paraId="275C525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69" w:hRule="atLeast"/>
                <w:jc w:val="center"/>
              </w:trPr>
              <w:tc>
                <w:tcPr>
                  <w:tcW w:w="454" w:type="pct"/>
                  <w:tcBorders>
                    <w:tl2br w:val="nil"/>
                    <w:tr2bl w:val="nil"/>
                  </w:tcBorders>
                  <w:vAlign w:val="center"/>
                </w:tcPr>
                <w:p w14:paraId="5E614AA1">
                  <w:pPr>
                    <w:jc w:val="center"/>
                    <w:rPr>
                      <w:color w:val="auto"/>
                      <w:spacing w:val="-10"/>
                      <w:sz w:val="18"/>
                      <w:szCs w:val="18"/>
                    </w:rPr>
                  </w:pPr>
                  <w:r>
                    <w:rPr>
                      <w:rFonts w:hint="eastAsia"/>
                      <w:color w:val="auto"/>
                      <w:spacing w:val="-10"/>
                      <w:sz w:val="18"/>
                      <w:szCs w:val="18"/>
                    </w:rPr>
                    <w:t>污染类别</w:t>
                  </w:r>
                </w:p>
              </w:tc>
              <w:tc>
                <w:tcPr>
                  <w:tcW w:w="1229" w:type="pct"/>
                  <w:tcBorders>
                    <w:tl2br w:val="nil"/>
                    <w:tr2bl w:val="nil"/>
                  </w:tcBorders>
                  <w:vAlign w:val="center"/>
                </w:tcPr>
                <w:p w14:paraId="38B319AD">
                  <w:pPr>
                    <w:jc w:val="center"/>
                    <w:rPr>
                      <w:color w:val="auto"/>
                      <w:spacing w:val="-10"/>
                      <w:sz w:val="18"/>
                      <w:szCs w:val="18"/>
                    </w:rPr>
                  </w:pPr>
                  <w:r>
                    <w:rPr>
                      <w:rFonts w:hint="eastAsia"/>
                      <w:color w:val="auto"/>
                      <w:spacing w:val="-10"/>
                      <w:sz w:val="18"/>
                      <w:szCs w:val="18"/>
                    </w:rPr>
                    <w:t>污染源</w:t>
                  </w:r>
                </w:p>
              </w:tc>
              <w:tc>
                <w:tcPr>
                  <w:tcW w:w="548" w:type="pct"/>
                  <w:tcBorders>
                    <w:tl2br w:val="nil"/>
                    <w:tr2bl w:val="nil"/>
                  </w:tcBorders>
                  <w:vAlign w:val="center"/>
                </w:tcPr>
                <w:p w14:paraId="57871CB9">
                  <w:pPr>
                    <w:jc w:val="center"/>
                    <w:rPr>
                      <w:color w:val="auto"/>
                      <w:spacing w:val="-10"/>
                      <w:sz w:val="18"/>
                      <w:szCs w:val="18"/>
                    </w:rPr>
                  </w:pPr>
                  <w:r>
                    <w:rPr>
                      <w:rFonts w:hint="eastAsia"/>
                      <w:color w:val="auto"/>
                      <w:spacing w:val="-10"/>
                      <w:sz w:val="18"/>
                      <w:szCs w:val="18"/>
                    </w:rPr>
                    <w:t>污染因子</w:t>
                  </w:r>
                </w:p>
              </w:tc>
              <w:tc>
                <w:tcPr>
                  <w:tcW w:w="2286" w:type="pct"/>
                  <w:tcBorders>
                    <w:tl2br w:val="nil"/>
                    <w:tr2bl w:val="nil"/>
                  </w:tcBorders>
                  <w:vAlign w:val="center"/>
                </w:tcPr>
                <w:p w14:paraId="297D1C10">
                  <w:pPr>
                    <w:jc w:val="center"/>
                    <w:rPr>
                      <w:color w:val="auto"/>
                      <w:spacing w:val="-10"/>
                      <w:sz w:val="18"/>
                      <w:szCs w:val="18"/>
                    </w:rPr>
                  </w:pPr>
                  <w:r>
                    <w:rPr>
                      <w:rFonts w:hint="eastAsia"/>
                      <w:color w:val="auto"/>
                      <w:spacing w:val="-10"/>
                      <w:sz w:val="18"/>
                      <w:szCs w:val="18"/>
                    </w:rPr>
                    <w:t>治理措施</w:t>
                  </w:r>
                </w:p>
              </w:tc>
              <w:tc>
                <w:tcPr>
                  <w:tcW w:w="480" w:type="pct"/>
                  <w:tcBorders>
                    <w:tl2br w:val="nil"/>
                    <w:tr2bl w:val="nil"/>
                  </w:tcBorders>
                  <w:vAlign w:val="center"/>
                </w:tcPr>
                <w:p w14:paraId="3889B59A">
                  <w:pPr>
                    <w:jc w:val="center"/>
                    <w:rPr>
                      <w:color w:val="auto"/>
                      <w:spacing w:val="-10"/>
                      <w:sz w:val="18"/>
                      <w:szCs w:val="18"/>
                    </w:rPr>
                  </w:pPr>
                  <w:r>
                    <w:rPr>
                      <w:rFonts w:hint="eastAsia"/>
                      <w:color w:val="auto"/>
                      <w:spacing w:val="-10"/>
                      <w:sz w:val="18"/>
                      <w:szCs w:val="18"/>
                    </w:rPr>
                    <w:t>排放去向</w:t>
                  </w:r>
                </w:p>
              </w:tc>
            </w:tr>
            <w:tr w14:paraId="57D431C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69" w:hRule="atLeast"/>
                <w:jc w:val="center"/>
              </w:trPr>
              <w:tc>
                <w:tcPr>
                  <w:tcW w:w="454" w:type="pct"/>
                  <w:vMerge w:val="restart"/>
                  <w:tcBorders>
                    <w:tl2br w:val="nil"/>
                    <w:tr2bl w:val="nil"/>
                  </w:tcBorders>
                  <w:vAlign w:val="center"/>
                </w:tcPr>
                <w:p w14:paraId="48DCF159">
                  <w:pPr>
                    <w:jc w:val="center"/>
                    <w:rPr>
                      <w:color w:val="auto"/>
                      <w:spacing w:val="-10"/>
                      <w:sz w:val="18"/>
                      <w:szCs w:val="18"/>
                    </w:rPr>
                  </w:pPr>
                  <w:r>
                    <w:rPr>
                      <w:rFonts w:hint="eastAsia"/>
                      <w:color w:val="auto"/>
                      <w:spacing w:val="-10"/>
                      <w:sz w:val="18"/>
                      <w:szCs w:val="18"/>
                    </w:rPr>
                    <w:t>废水</w:t>
                  </w:r>
                </w:p>
              </w:tc>
              <w:tc>
                <w:tcPr>
                  <w:tcW w:w="1229" w:type="pct"/>
                  <w:tcBorders>
                    <w:tl2br w:val="nil"/>
                    <w:tr2bl w:val="nil"/>
                  </w:tcBorders>
                  <w:vAlign w:val="center"/>
                </w:tcPr>
                <w:p w14:paraId="11867D59">
                  <w:pPr>
                    <w:jc w:val="center"/>
                    <w:rPr>
                      <w:color w:val="auto"/>
                      <w:spacing w:val="-10"/>
                      <w:sz w:val="18"/>
                      <w:szCs w:val="18"/>
                    </w:rPr>
                  </w:pPr>
                  <w:r>
                    <w:rPr>
                      <w:rFonts w:hint="eastAsia"/>
                      <w:color w:val="auto"/>
                      <w:spacing w:val="-10"/>
                      <w:sz w:val="18"/>
                      <w:szCs w:val="18"/>
                    </w:rPr>
                    <w:t>洗车废水</w:t>
                  </w:r>
                </w:p>
              </w:tc>
              <w:tc>
                <w:tcPr>
                  <w:tcW w:w="548" w:type="pct"/>
                  <w:tcBorders>
                    <w:tl2br w:val="nil"/>
                    <w:tr2bl w:val="nil"/>
                  </w:tcBorders>
                  <w:vAlign w:val="center"/>
                </w:tcPr>
                <w:p w14:paraId="405BA966">
                  <w:pPr>
                    <w:jc w:val="center"/>
                    <w:rPr>
                      <w:color w:val="auto"/>
                      <w:spacing w:val="-10"/>
                      <w:sz w:val="18"/>
                      <w:szCs w:val="18"/>
                    </w:rPr>
                  </w:pPr>
                  <w:r>
                    <w:rPr>
                      <w:rFonts w:hint="eastAsia"/>
                      <w:color w:val="auto"/>
                      <w:spacing w:val="-10"/>
                      <w:sz w:val="18"/>
                      <w:szCs w:val="18"/>
                    </w:rPr>
                    <w:t>SS</w:t>
                  </w:r>
                </w:p>
              </w:tc>
              <w:tc>
                <w:tcPr>
                  <w:tcW w:w="2286" w:type="pct"/>
                  <w:tcBorders>
                    <w:tl2br w:val="nil"/>
                    <w:tr2bl w:val="nil"/>
                  </w:tcBorders>
                  <w:vAlign w:val="center"/>
                </w:tcPr>
                <w:p w14:paraId="71952F12">
                  <w:pPr>
                    <w:jc w:val="center"/>
                    <w:rPr>
                      <w:color w:val="auto"/>
                      <w:spacing w:val="-10"/>
                      <w:sz w:val="18"/>
                      <w:szCs w:val="18"/>
                    </w:rPr>
                  </w:pPr>
                  <w:r>
                    <w:rPr>
                      <w:rFonts w:hint="eastAsia"/>
                      <w:color w:val="auto"/>
                      <w:spacing w:val="-10"/>
                      <w:sz w:val="18"/>
                      <w:szCs w:val="18"/>
                    </w:rPr>
                    <w:t>经洗车平台沉淀池沉淀处理后，循环利用</w:t>
                  </w:r>
                </w:p>
              </w:tc>
              <w:tc>
                <w:tcPr>
                  <w:tcW w:w="480" w:type="pct"/>
                  <w:vMerge w:val="restart"/>
                  <w:tcBorders>
                    <w:tl2br w:val="nil"/>
                    <w:tr2bl w:val="nil"/>
                  </w:tcBorders>
                  <w:vAlign w:val="center"/>
                </w:tcPr>
                <w:p w14:paraId="283D3790">
                  <w:pPr>
                    <w:jc w:val="center"/>
                    <w:rPr>
                      <w:color w:val="auto"/>
                    </w:rPr>
                  </w:pPr>
                  <w:r>
                    <w:rPr>
                      <w:rFonts w:hint="eastAsia"/>
                      <w:color w:val="auto"/>
                      <w:spacing w:val="-10"/>
                      <w:sz w:val="18"/>
                      <w:szCs w:val="18"/>
                    </w:rPr>
                    <w:t>不外排</w:t>
                  </w:r>
                </w:p>
              </w:tc>
            </w:tr>
            <w:tr w14:paraId="41BC59F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563" w:hRule="atLeast"/>
                <w:jc w:val="center"/>
              </w:trPr>
              <w:tc>
                <w:tcPr>
                  <w:tcW w:w="454" w:type="pct"/>
                  <w:vMerge w:val="continue"/>
                  <w:tcBorders>
                    <w:tl2br w:val="nil"/>
                    <w:tr2bl w:val="nil"/>
                  </w:tcBorders>
                  <w:vAlign w:val="center"/>
                </w:tcPr>
                <w:p w14:paraId="363FFA32">
                  <w:pPr>
                    <w:jc w:val="center"/>
                    <w:rPr>
                      <w:rFonts w:hint="eastAsia"/>
                      <w:color w:val="auto"/>
                      <w:spacing w:val="-10"/>
                      <w:sz w:val="18"/>
                      <w:szCs w:val="18"/>
                    </w:rPr>
                  </w:pPr>
                </w:p>
              </w:tc>
              <w:tc>
                <w:tcPr>
                  <w:tcW w:w="1229" w:type="pct"/>
                  <w:tcBorders>
                    <w:tl2br w:val="nil"/>
                    <w:tr2bl w:val="nil"/>
                  </w:tcBorders>
                  <w:vAlign w:val="center"/>
                </w:tcPr>
                <w:p w14:paraId="4A282037">
                  <w:pPr>
                    <w:jc w:val="center"/>
                    <w:rPr>
                      <w:rFonts w:hint="default" w:ascii="Times New Roman" w:hAnsi="Times New Roman" w:eastAsia="宋体" w:cs="Times New Roman"/>
                      <w:color w:val="auto"/>
                      <w:spacing w:val="-10"/>
                      <w:sz w:val="18"/>
                      <w:szCs w:val="18"/>
                      <w:lang w:val="en-US" w:eastAsia="zh-CN"/>
                    </w:rPr>
                  </w:pPr>
                  <w:r>
                    <w:rPr>
                      <w:rFonts w:hint="eastAsia" w:ascii="Times New Roman" w:hAnsi="Times New Roman" w:eastAsia="宋体" w:cs="Times New Roman"/>
                      <w:color w:val="auto"/>
                      <w:spacing w:val="-10"/>
                      <w:sz w:val="18"/>
                      <w:szCs w:val="18"/>
                      <w:lang w:val="en-US" w:eastAsia="zh-CN"/>
                    </w:rPr>
                    <w:t>钢渣处理生产线生产废水</w:t>
                  </w:r>
                </w:p>
              </w:tc>
              <w:tc>
                <w:tcPr>
                  <w:tcW w:w="548" w:type="pct"/>
                  <w:tcBorders>
                    <w:tl2br w:val="nil"/>
                    <w:tr2bl w:val="nil"/>
                  </w:tcBorders>
                  <w:vAlign w:val="center"/>
                </w:tcPr>
                <w:p w14:paraId="7B1D7154">
                  <w:pPr>
                    <w:jc w:val="center"/>
                    <w:rPr>
                      <w:rFonts w:hint="default"/>
                      <w:color w:val="auto"/>
                      <w:spacing w:val="-10"/>
                      <w:sz w:val="18"/>
                      <w:szCs w:val="18"/>
                      <w:lang w:val="en-US" w:eastAsia="zh-CN"/>
                    </w:rPr>
                  </w:pPr>
                  <w:r>
                    <w:rPr>
                      <w:rFonts w:hint="eastAsia"/>
                      <w:color w:val="auto"/>
                      <w:spacing w:val="-10"/>
                      <w:sz w:val="18"/>
                      <w:szCs w:val="18"/>
                      <w:lang w:val="en-US" w:eastAsia="zh-CN"/>
                    </w:rPr>
                    <w:t>SS</w:t>
                  </w:r>
                </w:p>
              </w:tc>
              <w:tc>
                <w:tcPr>
                  <w:tcW w:w="2286" w:type="pct"/>
                  <w:vMerge w:val="restart"/>
                  <w:tcBorders>
                    <w:tl2br w:val="nil"/>
                    <w:tr2bl w:val="nil"/>
                  </w:tcBorders>
                  <w:vAlign w:val="center"/>
                </w:tcPr>
                <w:p w14:paraId="61DD90A0">
                  <w:pPr>
                    <w:jc w:val="center"/>
                    <w:rPr>
                      <w:rFonts w:hint="eastAsia"/>
                      <w:color w:val="auto"/>
                      <w:spacing w:val="-10"/>
                      <w:sz w:val="18"/>
                      <w:szCs w:val="18"/>
                    </w:rPr>
                  </w:pPr>
                  <w:r>
                    <w:rPr>
                      <w:rFonts w:hint="eastAsia" w:ascii="Times New Roman" w:hAnsi="Times New Roman" w:eastAsia="宋体" w:cs="Times New Roman"/>
                      <w:color w:val="auto"/>
                      <w:spacing w:val="-10"/>
                      <w:sz w:val="18"/>
                      <w:szCs w:val="18"/>
                      <w:lang w:val="en-US" w:eastAsia="zh-CN"/>
                    </w:rPr>
                    <w:t>各料池产生的溢流水经集水沟收集后，流入污水池，</w:t>
                  </w:r>
                  <w:r>
                    <w:rPr>
                      <w:rFonts w:hint="eastAsia" w:cs="Times New Roman"/>
                      <w:color w:val="auto"/>
                      <w:spacing w:val="-10"/>
                      <w:sz w:val="18"/>
                      <w:szCs w:val="18"/>
                      <w:lang w:val="en-US" w:eastAsia="zh-CN"/>
                    </w:rPr>
                    <w:t>之后泵入沉淀池</w:t>
                  </w:r>
                  <w:r>
                    <w:rPr>
                      <w:rFonts w:hint="eastAsia" w:ascii="Times New Roman" w:hAnsi="Times New Roman" w:eastAsia="宋体" w:cs="Times New Roman"/>
                      <w:color w:val="auto"/>
                      <w:spacing w:val="-10"/>
                      <w:sz w:val="18"/>
                      <w:szCs w:val="18"/>
                      <w:lang w:val="en-US" w:eastAsia="zh-CN"/>
                    </w:rPr>
                    <w:t>，其余废水通过管道进入沉淀池，废水在沉淀池沉淀后，泵入浓缩罐；以上废水经浓缩罐浓缩后，上清液进入清水池，之后回用于生产，底部浆液经渣浆泵打入板框压滤机进行压滤，压滤后的清水进入清水池，之后回用于生产</w:t>
                  </w:r>
                </w:p>
              </w:tc>
              <w:tc>
                <w:tcPr>
                  <w:tcW w:w="480" w:type="pct"/>
                  <w:vMerge w:val="continue"/>
                  <w:tcBorders>
                    <w:tl2br w:val="nil"/>
                    <w:tr2bl w:val="nil"/>
                  </w:tcBorders>
                  <w:vAlign w:val="center"/>
                </w:tcPr>
                <w:p w14:paraId="55DFA069">
                  <w:pPr>
                    <w:jc w:val="center"/>
                    <w:rPr>
                      <w:rFonts w:hint="eastAsia"/>
                      <w:color w:val="auto"/>
                      <w:spacing w:val="-10"/>
                      <w:sz w:val="18"/>
                      <w:szCs w:val="18"/>
                    </w:rPr>
                  </w:pPr>
                </w:p>
              </w:tc>
            </w:tr>
            <w:tr w14:paraId="31AA194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69" w:hRule="atLeast"/>
                <w:jc w:val="center"/>
              </w:trPr>
              <w:tc>
                <w:tcPr>
                  <w:tcW w:w="454" w:type="pct"/>
                  <w:vMerge w:val="continue"/>
                  <w:tcBorders>
                    <w:tl2br w:val="nil"/>
                    <w:tr2bl w:val="nil"/>
                  </w:tcBorders>
                  <w:vAlign w:val="center"/>
                </w:tcPr>
                <w:p w14:paraId="4FF84901">
                  <w:pPr>
                    <w:jc w:val="center"/>
                    <w:rPr>
                      <w:rFonts w:hint="eastAsia"/>
                      <w:color w:val="auto"/>
                      <w:spacing w:val="-10"/>
                      <w:sz w:val="18"/>
                      <w:szCs w:val="18"/>
                    </w:rPr>
                  </w:pPr>
                </w:p>
              </w:tc>
              <w:tc>
                <w:tcPr>
                  <w:tcW w:w="1229" w:type="pct"/>
                  <w:tcBorders>
                    <w:tl2br w:val="nil"/>
                    <w:tr2bl w:val="nil"/>
                  </w:tcBorders>
                  <w:vAlign w:val="center"/>
                </w:tcPr>
                <w:p w14:paraId="511C8CFA">
                  <w:pPr>
                    <w:jc w:val="center"/>
                    <w:rPr>
                      <w:rFonts w:hint="eastAsia" w:ascii="Times New Roman" w:hAnsi="Times New Roman" w:eastAsia="宋体" w:cs="Times New Roman"/>
                      <w:color w:val="auto"/>
                      <w:spacing w:val="-10"/>
                      <w:sz w:val="18"/>
                      <w:szCs w:val="18"/>
                      <w:lang w:val="en-US" w:eastAsia="zh-CN"/>
                    </w:rPr>
                  </w:pPr>
                  <w:r>
                    <w:rPr>
                      <w:rFonts w:hint="eastAsia" w:ascii="Times New Roman" w:hAnsi="Times New Roman" w:eastAsia="宋体" w:cs="Times New Roman"/>
                      <w:color w:val="auto"/>
                      <w:spacing w:val="-10"/>
                      <w:sz w:val="18"/>
                      <w:szCs w:val="18"/>
                      <w:lang w:val="en-US" w:eastAsia="zh-CN"/>
                    </w:rPr>
                    <w:t>废钢破碎尾料分选生产线生产废水</w:t>
                  </w:r>
                </w:p>
              </w:tc>
              <w:tc>
                <w:tcPr>
                  <w:tcW w:w="548" w:type="pct"/>
                  <w:tcBorders>
                    <w:tl2br w:val="nil"/>
                    <w:tr2bl w:val="nil"/>
                  </w:tcBorders>
                  <w:vAlign w:val="center"/>
                </w:tcPr>
                <w:p w14:paraId="0EA5152E">
                  <w:pPr>
                    <w:jc w:val="center"/>
                    <w:rPr>
                      <w:rFonts w:hint="default"/>
                      <w:color w:val="auto"/>
                      <w:spacing w:val="-10"/>
                      <w:sz w:val="18"/>
                      <w:szCs w:val="18"/>
                      <w:lang w:val="en-US" w:eastAsia="zh-CN"/>
                    </w:rPr>
                  </w:pPr>
                  <w:r>
                    <w:rPr>
                      <w:rFonts w:hint="eastAsia"/>
                      <w:color w:val="auto"/>
                      <w:spacing w:val="-10"/>
                      <w:sz w:val="18"/>
                      <w:szCs w:val="18"/>
                      <w:lang w:val="en-US" w:eastAsia="zh-CN"/>
                    </w:rPr>
                    <w:t>SS</w:t>
                  </w:r>
                </w:p>
              </w:tc>
              <w:tc>
                <w:tcPr>
                  <w:tcW w:w="2286" w:type="pct"/>
                  <w:vMerge w:val="continue"/>
                  <w:tcBorders>
                    <w:tl2br w:val="nil"/>
                    <w:tr2bl w:val="nil"/>
                  </w:tcBorders>
                  <w:vAlign w:val="center"/>
                </w:tcPr>
                <w:p w14:paraId="2535CF6B">
                  <w:pPr>
                    <w:jc w:val="center"/>
                    <w:rPr>
                      <w:rFonts w:hint="eastAsia"/>
                      <w:color w:val="auto"/>
                      <w:spacing w:val="-10"/>
                      <w:sz w:val="18"/>
                      <w:szCs w:val="18"/>
                    </w:rPr>
                  </w:pPr>
                </w:p>
              </w:tc>
              <w:tc>
                <w:tcPr>
                  <w:tcW w:w="480" w:type="pct"/>
                  <w:vMerge w:val="continue"/>
                  <w:tcBorders>
                    <w:tl2br w:val="nil"/>
                    <w:tr2bl w:val="nil"/>
                  </w:tcBorders>
                  <w:vAlign w:val="center"/>
                </w:tcPr>
                <w:p w14:paraId="605DA36F">
                  <w:pPr>
                    <w:jc w:val="center"/>
                    <w:rPr>
                      <w:rFonts w:hint="eastAsia"/>
                      <w:color w:val="auto"/>
                      <w:spacing w:val="-10"/>
                      <w:sz w:val="18"/>
                      <w:szCs w:val="18"/>
                    </w:rPr>
                  </w:pPr>
                </w:p>
              </w:tc>
            </w:tr>
            <w:tr w14:paraId="3DB5113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69" w:hRule="atLeast"/>
                <w:jc w:val="center"/>
              </w:trPr>
              <w:tc>
                <w:tcPr>
                  <w:tcW w:w="454" w:type="pct"/>
                  <w:vMerge w:val="continue"/>
                  <w:tcBorders>
                    <w:tl2br w:val="nil"/>
                    <w:tr2bl w:val="nil"/>
                  </w:tcBorders>
                  <w:vAlign w:val="center"/>
                </w:tcPr>
                <w:p w14:paraId="7B3DF153">
                  <w:pPr>
                    <w:jc w:val="center"/>
                    <w:rPr>
                      <w:color w:val="auto"/>
                      <w:spacing w:val="-10"/>
                      <w:sz w:val="18"/>
                      <w:szCs w:val="18"/>
                    </w:rPr>
                  </w:pPr>
                </w:p>
              </w:tc>
              <w:tc>
                <w:tcPr>
                  <w:tcW w:w="1229" w:type="pct"/>
                  <w:tcBorders>
                    <w:tl2br w:val="nil"/>
                    <w:tr2bl w:val="nil"/>
                  </w:tcBorders>
                  <w:vAlign w:val="center"/>
                </w:tcPr>
                <w:p w14:paraId="4DA96459">
                  <w:pPr>
                    <w:jc w:val="center"/>
                    <w:rPr>
                      <w:rFonts w:hint="eastAsia" w:ascii="Times New Roman" w:hAnsi="Times New Roman" w:eastAsia="宋体" w:cs="Times New Roman"/>
                      <w:color w:val="auto"/>
                      <w:spacing w:val="-10"/>
                      <w:sz w:val="18"/>
                      <w:szCs w:val="18"/>
                    </w:rPr>
                  </w:pPr>
                  <w:r>
                    <w:rPr>
                      <w:rFonts w:hint="eastAsia" w:ascii="Times New Roman" w:hAnsi="Times New Roman" w:eastAsia="宋体" w:cs="Times New Roman"/>
                      <w:color w:val="auto"/>
                      <w:spacing w:val="-10"/>
                      <w:sz w:val="18"/>
                      <w:szCs w:val="18"/>
                    </w:rPr>
                    <w:t>职工生活污水</w:t>
                  </w:r>
                </w:p>
              </w:tc>
              <w:tc>
                <w:tcPr>
                  <w:tcW w:w="548" w:type="pct"/>
                  <w:tcBorders>
                    <w:tl2br w:val="nil"/>
                    <w:tr2bl w:val="nil"/>
                  </w:tcBorders>
                  <w:vAlign w:val="center"/>
                </w:tcPr>
                <w:p w14:paraId="4BA42763">
                  <w:pPr>
                    <w:jc w:val="center"/>
                    <w:rPr>
                      <w:color w:val="auto"/>
                      <w:spacing w:val="-10"/>
                      <w:sz w:val="18"/>
                      <w:szCs w:val="18"/>
                    </w:rPr>
                  </w:pPr>
                  <w:r>
                    <w:rPr>
                      <w:rFonts w:hint="eastAsia"/>
                      <w:color w:val="auto"/>
                      <w:spacing w:val="-10"/>
                      <w:sz w:val="18"/>
                      <w:szCs w:val="18"/>
                      <w:lang w:val="en-US" w:eastAsia="zh-CN"/>
                    </w:rPr>
                    <w:t>PH、</w:t>
                  </w:r>
                  <w:r>
                    <w:rPr>
                      <w:rFonts w:hint="eastAsia"/>
                      <w:color w:val="auto"/>
                      <w:spacing w:val="-10"/>
                      <w:sz w:val="18"/>
                      <w:szCs w:val="18"/>
                    </w:rPr>
                    <w:t>SS</w:t>
                  </w:r>
                  <w:r>
                    <w:rPr>
                      <w:rFonts w:hint="eastAsia"/>
                      <w:color w:val="auto"/>
                      <w:spacing w:val="-10"/>
                      <w:sz w:val="18"/>
                      <w:szCs w:val="18"/>
                      <w:lang w:val="en-US" w:eastAsia="zh-CN"/>
                    </w:rPr>
                    <w:t>、</w:t>
                  </w:r>
                </w:p>
                <w:p w14:paraId="6CE1B163">
                  <w:pPr>
                    <w:jc w:val="center"/>
                    <w:rPr>
                      <w:color w:val="auto"/>
                      <w:spacing w:val="-10"/>
                      <w:sz w:val="18"/>
                      <w:szCs w:val="18"/>
                    </w:rPr>
                  </w:pPr>
                  <w:r>
                    <w:rPr>
                      <w:rFonts w:hint="eastAsia"/>
                      <w:color w:val="auto"/>
                      <w:spacing w:val="-10"/>
                      <w:sz w:val="18"/>
                      <w:szCs w:val="18"/>
                    </w:rPr>
                    <w:t>COD</w:t>
                  </w:r>
                </w:p>
              </w:tc>
              <w:tc>
                <w:tcPr>
                  <w:tcW w:w="2286" w:type="pct"/>
                  <w:tcBorders>
                    <w:tl2br w:val="nil"/>
                    <w:tr2bl w:val="nil"/>
                  </w:tcBorders>
                  <w:vAlign w:val="center"/>
                </w:tcPr>
                <w:p w14:paraId="70F574CA">
                  <w:pPr>
                    <w:jc w:val="center"/>
                    <w:rPr>
                      <w:color w:val="auto"/>
                      <w:spacing w:val="-10"/>
                      <w:sz w:val="18"/>
                      <w:szCs w:val="18"/>
                    </w:rPr>
                  </w:pPr>
                  <w:r>
                    <w:rPr>
                      <w:rFonts w:hint="eastAsia"/>
                      <w:color w:val="auto"/>
                      <w:spacing w:val="-10"/>
                      <w:sz w:val="18"/>
                      <w:szCs w:val="18"/>
                    </w:rPr>
                    <w:t>厂区内泼洒地面抑尘，不外排</w:t>
                  </w:r>
                </w:p>
              </w:tc>
              <w:tc>
                <w:tcPr>
                  <w:tcW w:w="480" w:type="pct"/>
                  <w:vMerge w:val="continue"/>
                  <w:tcBorders>
                    <w:tl2br w:val="nil"/>
                    <w:tr2bl w:val="nil"/>
                  </w:tcBorders>
                  <w:vAlign w:val="center"/>
                </w:tcPr>
                <w:p w14:paraId="03A2F867">
                  <w:pPr>
                    <w:jc w:val="center"/>
                    <w:rPr>
                      <w:color w:val="auto"/>
                      <w:spacing w:val="-10"/>
                      <w:sz w:val="18"/>
                      <w:szCs w:val="18"/>
                    </w:rPr>
                  </w:pPr>
                </w:p>
              </w:tc>
            </w:tr>
            <w:tr w14:paraId="64CE9A1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369" w:hRule="atLeast"/>
                <w:jc w:val="center"/>
              </w:trPr>
              <w:tc>
                <w:tcPr>
                  <w:tcW w:w="454" w:type="pct"/>
                  <w:tcBorders>
                    <w:tl2br w:val="nil"/>
                    <w:tr2bl w:val="nil"/>
                  </w:tcBorders>
                  <w:vAlign w:val="center"/>
                </w:tcPr>
                <w:p w14:paraId="0B34AB07">
                  <w:pPr>
                    <w:jc w:val="center"/>
                    <w:rPr>
                      <w:color w:val="auto"/>
                      <w:spacing w:val="-10"/>
                      <w:sz w:val="18"/>
                      <w:szCs w:val="18"/>
                    </w:rPr>
                  </w:pPr>
                  <w:r>
                    <w:rPr>
                      <w:rFonts w:hint="eastAsia"/>
                      <w:color w:val="auto"/>
                      <w:spacing w:val="-10"/>
                      <w:sz w:val="18"/>
                      <w:szCs w:val="18"/>
                    </w:rPr>
                    <w:t>噪声</w:t>
                  </w:r>
                </w:p>
              </w:tc>
              <w:tc>
                <w:tcPr>
                  <w:tcW w:w="1229" w:type="pct"/>
                  <w:tcBorders>
                    <w:tl2br w:val="nil"/>
                    <w:tr2bl w:val="nil"/>
                  </w:tcBorders>
                  <w:vAlign w:val="center"/>
                </w:tcPr>
                <w:p w14:paraId="5498CF1B">
                  <w:pPr>
                    <w:jc w:val="center"/>
                    <w:rPr>
                      <w:rFonts w:hint="default" w:eastAsia="宋体"/>
                      <w:color w:val="auto"/>
                      <w:spacing w:val="-10"/>
                      <w:sz w:val="18"/>
                      <w:szCs w:val="18"/>
                      <w:lang w:val="en-US" w:eastAsia="zh-CN"/>
                    </w:rPr>
                  </w:pPr>
                  <w:r>
                    <w:rPr>
                      <w:rFonts w:hint="eastAsia"/>
                      <w:color w:val="auto"/>
                      <w:spacing w:val="-10"/>
                      <w:sz w:val="18"/>
                      <w:szCs w:val="18"/>
                      <w:lang w:val="en-US" w:eastAsia="zh-CN"/>
                    </w:rPr>
                    <w:t>生产设备</w:t>
                  </w:r>
                </w:p>
              </w:tc>
              <w:tc>
                <w:tcPr>
                  <w:tcW w:w="548" w:type="pct"/>
                  <w:tcBorders>
                    <w:tl2br w:val="nil"/>
                    <w:tr2bl w:val="nil"/>
                  </w:tcBorders>
                  <w:vAlign w:val="center"/>
                </w:tcPr>
                <w:p w14:paraId="3C93F8E0">
                  <w:pPr>
                    <w:jc w:val="center"/>
                    <w:rPr>
                      <w:color w:val="auto"/>
                      <w:spacing w:val="-10"/>
                      <w:sz w:val="18"/>
                      <w:szCs w:val="18"/>
                    </w:rPr>
                  </w:pPr>
                  <w:r>
                    <w:rPr>
                      <w:rFonts w:hint="eastAsia"/>
                      <w:color w:val="auto"/>
                      <w:spacing w:val="-10"/>
                      <w:sz w:val="18"/>
                      <w:szCs w:val="18"/>
                    </w:rPr>
                    <w:t>噪声</w:t>
                  </w:r>
                </w:p>
              </w:tc>
              <w:tc>
                <w:tcPr>
                  <w:tcW w:w="2286" w:type="pct"/>
                  <w:tcBorders>
                    <w:tl2br w:val="nil"/>
                    <w:tr2bl w:val="nil"/>
                  </w:tcBorders>
                  <w:vAlign w:val="center"/>
                </w:tcPr>
                <w:p w14:paraId="6996B9F3">
                  <w:pPr>
                    <w:jc w:val="center"/>
                    <w:rPr>
                      <w:color w:val="auto"/>
                      <w:spacing w:val="-10"/>
                      <w:sz w:val="18"/>
                      <w:szCs w:val="18"/>
                    </w:rPr>
                  </w:pPr>
                  <w:r>
                    <w:rPr>
                      <w:rFonts w:hint="eastAsia"/>
                      <w:color w:val="auto"/>
                      <w:spacing w:val="-10"/>
                      <w:sz w:val="18"/>
                      <w:szCs w:val="18"/>
                    </w:rPr>
                    <w:t>厂房隔声、基础减振</w:t>
                  </w:r>
                </w:p>
              </w:tc>
              <w:tc>
                <w:tcPr>
                  <w:tcW w:w="480" w:type="pct"/>
                  <w:tcBorders>
                    <w:tl2br w:val="nil"/>
                    <w:tr2bl w:val="nil"/>
                  </w:tcBorders>
                  <w:vAlign w:val="center"/>
                </w:tcPr>
                <w:p w14:paraId="2A697815">
                  <w:pPr>
                    <w:jc w:val="center"/>
                    <w:rPr>
                      <w:color w:val="auto"/>
                      <w:spacing w:val="-10"/>
                      <w:sz w:val="18"/>
                      <w:szCs w:val="18"/>
                    </w:rPr>
                  </w:pPr>
                  <w:r>
                    <w:rPr>
                      <w:rFonts w:hint="eastAsia"/>
                      <w:color w:val="auto"/>
                      <w:spacing w:val="-10"/>
                      <w:sz w:val="18"/>
                      <w:szCs w:val="18"/>
                    </w:rPr>
                    <w:t>声环境</w:t>
                  </w:r>
                </w:p>
              </w:tc>
            </w:tr>
            <w:tr w14:paraId="046DD1D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69" w:hRule="atLeast"/>
                <w:jc w:val="center"/>
              </w:trPr>
              <w:tc>
                <w:tcPr>
                  <w:tcW w:w="454" w:type="pct"/>
                  <w:vMerge w:val="restart"/>
                  <w:tcBorders>
                    <w:tl2br w:val="nil"/>
                    <w:tr2bl w:val="nil"/>
                  </w:tcBorders>
                  <w:vAlign w:val="center"/>
                </w:tcPr>
                <w:p w14:paraId="37048A4F">
                  <w:pPr>
                    <w:jc w:val="center"/>
                    <w:rPr>
                      <w:color w:val="auto"/>
                      <w:spacing w:val="-10"/>
                      <w:sz w:val="18"/>
                      <w:szCs w:val="18"/>
                    </w:rPr>
                  </w:pPr>
                  <w:r>
                    <w:rPr>
                      <w:rFonts w:hint="eastAsia"/>
                      <w:color w:val="auto"/>
                      <w:spacing w:val="-10"/>
                      <w:sz w:val="18"/>
                      <w:szCs w:val="18"/>
                    </w:rPr>
                    <w:t>固体废物</w:t>
                  </w:r>
                </w:p>
              </w:tc>
              <w:tc>
                <w:tcPr>
                  <w:tcW w:w="1229" w:type="pct"/>
                  <w:tcBorders>
                    <w:tl2br w:val="nil"/>
                    <w:tr2bl w:val="nil"/>
                  </w:tcBorders>
                  <w:shd w:val="clear" w:color="auto" w:fill="auto"/>
                  <w:vAlign w:val="center"/>
                </w:tcPr>
                <w:p w14:paraId="27F56821">
                  <w:pPr>
                    <w:jc w:val="center"/>
                    <w:rPr>
                      <w:rFonts w:hint="default" w:ascii="Times New Roman" w:hAnsi="Times New Roman" w:eastAsia="宋体" w:cs="Times New Roman"/>
                      <w:color w:val="auto"/>
                      <w:spacing w:val="-10"/>
                      <w:kern w:val="2"/>
                      <w:sz w:val="18"/>
                      <w:szCs w:val="18"/>
                      <w:lang w:val="en-US" w:eastAsia="zh-CN" w:bidi="ar-SA"/>
                    </w:rPr>
                  </w:pPr>
                  <w:r>
                    <w:rPr>
                      <w:rFonts w:hint="eastAsia"/>
                      <w:color w:val="auto"/>
                      <w:spacing w:val="-10"/>
                      <w:sz w:val="18"/>
                      <w:szCs w:val="18"/>
                    </w:rPr>
                    <w:t>洗车平台沉淀池</w:t>
                  </w:r>
                  <w:r>
                    <w:rPr>
                      <w:rFonts w:hint="eastAsia"/>
                      <w:color w:val="auto"/>
                      <w:spacing w:val="-10"/>
                      <w:sz w:val="18"/>
                      <w:szCs w:val="18"/>
                      <w:lang w:eastAsia="zh-CN"/>
                    </w:rPr>
                    <w:t>、</w:t>
                  </w:r>
                  <w:r>
                    <w:rPr>
                      <w:rFonts w:hint="eastAsia"/>
                      <w:color w:val="auto"/>
                      <w:spacing w:val="-10"/>
                      <w:sz w:val="18"/>
                      <w:szCs w:val="18"/>
                      <w:lang w:val="en-US" w:eastAsia="zh-CN"/>
                    </w:rPr>
                    <w:t>污水沉淀池</w:t>
                  </w:r>
                </w:p>
              </w:tc>
              <w:tc>
                <w:tcPr>
                  <w:tcW w:w="548" w:type="pct"/>
                  <w:tcBorders>
                    <w:tl2br w:val="nil"/>
                    <w:tr2bl w:val="nil"/>
                  </w:tcBorders>
                  <w:shd w:val="clear" w:color="auto" w:fill="auto"/>
                  <w:vAlign w:val="center"/>
                </w:tcPr>
                <w:p w14:paraId="560BD21F">
                  <w:pPr>
                    <w:jc w:val="center"/>
                    <w:rPr>
                      <w:rFonts w:hint="eastAsia" w:ascii="Times New Roman" w:hAnsi="Times New Roman" w:eastAsia="宋体" w:cs="Times New Roman"/>
                      <w:color w:val="auto"/>
                      <w:spacing w:val="-10"/>
                      <w:kern w:val="2"/>
                      <w:sz w:val="18"/>
                      <w:szCs w:val="18"/>
                      <w:lang w:val="en-US" w:eastAsia="zh-CN" w:bidi="ar-SA"/>
                    </w:rPr>
                  </w:pPr>
                  <w:r>
                    <w:rPr>
                      <w:rFonts w:hint="eastAsia" w:cs="Times New Roman"/>
                      <w:color w:val="auto"/>
                      <w:spacing w:val="-10"/>
                      <w:sz w:val="18"/>
                      <w:szCs w:val="18"/>
                      <w:lang w:val="en-US" w:eastAsia="zh-CN"/>
                    </w:rPr>
                    <w:t>污</w:t>
                  </w:r>
                  <w:r>
                    <w:rPr>
                      <w:rFonts w:hint="eastAsia"/>
                      <w:color w:val="auto"/>
                      <w:spacing w:val="-10"/>
                      <w:sz w:val="18"/>
                      <w:szCs w:val="18"/>
                      <w:lang w:val="en-US" w:eastAsia="zh-CN"/>
                    </w:rPr>
                    <w:t>泥</w:t>
                  </w:r>
                </w:p>
              </w:tc>
              <w:tc>
                <w:tcPr>
                  <w:tcW w:w="2286" w:type="pct"/>
                  <w:tcBorders>
                    <w:tl2br w:val="nil"/>
                    <w:tr2bl w:val="nil"/>
                  </w:tcBorders>
                  <w:shd w:val="clear" w:color="auto" w:fill="auto"/>
                  <w:vAlign w:val="center"/>
                </w:tcPr>
                <w:p w14:paraId="0786EB52">
                  <w:pPr>
                    <w:jc w:val="center"/>
                    <w:rPr>
                      <w:rFonts w:hint="eastAsia" w:ascii="Times New Roman" w:hAnsi="Times New Roman" w:eastAsia="宋体" w:cs="Times New Roman"/>
                      <w:color w:val="auto"/>
                      <w:spacing w:val="-10"/>
                      <w:kern w:val="2"/>
                      <w:sz w:val="18"/>
                      <w:szCs w:val="18"/>
                      <w:highlight w:val="none"/>
                      <w:lang w:val="en-US" w:eastAsia="zh-CN" w:bidi="ar-SA"/>
                    </w:rPr>
                  </w:pPr>
                  <w:r>
                    <w:rPr>
                      <w:rFonts w:hint="eastAsia" w:cs="Times New Roman"/>
                      <w:color w:val="auto"/>
                      <w:spacing w:val="-10"/>
                      <w:sz w:val="18"/>
                      <w:szCs w:val="18"/>
                      <w:highlight w:val="none"/>
                      <w:lang w:val="en-US" w:eastAsia="zh-CN"/>
                    </w:rPr>
                    <w:t>定期清掏，</w:t>
                  </w:r>
                  <w:r>
                    <w:rPr>
                      <w:rFonts w:hint="eastAsia" w:ascii="Times New Roman" w:hAnsi="Times New Roman" w:cs="Times New Roman"/>
                      <w:color w:val="auto"/>
                      <w:spacing w:val="-10"/>
                      <w:sz w:val="18"/>
                      <w:szCs w:val="18"/>
                      <w:highlight w:val="none"/>
                    </w:rPr>
                    <w:t>暂存于</w:t>
                  </w:r>
                  <w:r>
                    <w:rPr>
                      <w:rFonts w:hint="eastAsia" w:cs="Times New Roman"/>
                      <w:color w:val="auto"/>
                      <w:spacing w:val="-10"/>
                      <w:sz w:val="18"/>
                      <w:szCs w:val="18"/>
                      <w:highlight w:val="none"/>
                      <w:lang w:val="en-US" w:eastAsia="zh-CN"/>
                    </w:rPr>
                    <w:t>一般固废暂存区</w:t>
                  </w:r>
                  <w:r>
                    <w:rPr>
                      <w:rFonts w:hint="eastAsia" w:ascii="Times New Roman" w:hAnsi="Times New Roman" w:cs="Times New Roman"/>
                      <w:color w:val="auto"/>
                      <w:spacing w:val="-10"/>
                      <w:sz w:val="18"/>
                      <w:szCs w:val="18"/>
                      <w:highlight w:val="none"/>
                      <w:lang w:val="en-US" w:eastAsia="zh-CN"/>
                    </w:rPr>
                    <w:t>，之后外售砖厂进行制砖</w:t>
                  </w:r>
                </w:p>
              </w:tc>
              <w:tc>
                <w:tcPr>
                  <w:tcW w:w="480" w:type="pct"/>
                  <w:vMerge w:val="restart"/>
                  <w:tcBorders>
                    <w:tl2br w:val="nil"/>
                    <w:tr2bl w:val="nil"/>
                  </w:tcBorders>
                  <w:vAlign w:val="center"/>
                </w:tcPr>
                <w:p w14:paraId="29B59D98">
                  <w:pPr>
                    <w:jc w:val="center"/>
                    <w:rPr>
                      <w:color w:val="auto"/>
                      <w:spacing w:val="-10"/>
                      <w:sz w:val="18"/>
                      <w:szCs w:val="18"/>
                    </w:rPr>
                  </w:pPr>
                  <w:r>
                    <w:rPr>
                      <w:rFonts w:hint="eastAsia"/>
                      <w:color w:val="auto"/>
                      <w:spacing w:val="-10"/>
                      <w:sz w:val="18"/>
                      <w:szCs w:val="18"/>
                    </w:rPr>
                    <w:t>全部综合利用或妥善处置，不外排</w:t>
                  </w:r>
                </w:p>
              </w:tc>
            </w:tr>
            <w:tr w14:paraId="2372188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69" w:hRule="atLeast"/>
                <w:jc w:val="center"/>
              </w:trPr>
              <w:tc>
                <w:tcPr>
                  <w:tcW w:w="454" w:type="pct"/>
                  <w:vMerge w:val="continue"/>
                  <w:tcBorders>
                    <w:tl2br w:val="nil"/>
                    <w:tr2bl w:val="nil"/>
                  </w:tcBorders>
                  <w:vAlign w:val="center"/>
                </w:tcPr>
                <w:p w14:paraId="2D3B9BFB">
                  <w:pPr>
                    <w:jc w:val="center"/>
                    <w:rPr>
                      <w:rFonts w:hint="eastAsia"/>
                      <w:color w:val="auto"/>
                      <w:spacing w:val="-10"/>
                      <w:sz w:val="18"/>
                      <w:szCs w:val="18"/>
                    </w:rPr>
                  </w:pPr>
                </w:p>
              </w:tc>
              <w:tc>
                <w:tcPr>
                  <w:tcW w:w="1229" w:type="pct"/>
                  <w:tcBorders>
                    <w:tl2br w:val="nil"/>
                    <w:tr2bl w:val="nil"/>
                  </w:tcBorders>
                  <w:shd w:val="clear" w:color="auto" w:fill="auto"/>
                  <w:vAlign w:val="center"/>
                </w:tcPr>
                <w:p w14:paraId="24A292DB">
                  <w:pPr>
                    <w:jc w:val="center"/>
                    <w:rPr>
                      <w:rFonts w:hint="default"/>
                      <w:color w:val="auto"/>
                      <w:spacing w:val="-10"/>
                      <w:sz w:val="18"/>
                      <w:szCs w:val="18"/>
                      <w:lang w:val="en-US" w:eastAsia="zh-CN"/>
                    </w:rPr>
                  </w:pPr>
                  <w:r>
                    <w:rPr>
                      <w:rFonts w:hint="eastAsia"/>
                      <w:color w:val="auto"/>
                      <w:spacing w:val="-10"/>
                      <w:sz w:val="18"/>
                      <w:szCs w:val="18"/>
                      <w:lang w:val="en-US" w:eastAsia="zh-CN"/>
                    </w:rPr>
                    <w:t>滚筒筛</w:t>
                  </w:r>
                </w:p>
              </w:tc>
              <w:tc>
                <w:tcPr>
                  <w:tcW w:w="548" w:type="pct"/>
                  <w:tcBorders>
                    <w:tl2br w:val="nil"/>
                    <w:tr2bl w:val="nil"/>
                  </w:tcBorders>
                  <w:shd w:val="clear" w:color="auto" w:fill="auto"/>
                  <w:vAlign w:val="center"/>
                </w:tcPr>
                <w:p w14:paraId="2950343D">
                  <w:pPr>
                    <w:jc w:val="center"/>
                    <w:rPr>
                      <w:rFonts w:hint="default" w:cs="Times New Roman"/>
                      <w:color w:val="auto"/>
                      <w:spacing w:val="-10"/>
                      <w:sz w:val="18"/>
                      <w:szCs w:val="18"/>
                      <w:lang w:val="en-US" w:eastAsia="zh-CN"/>
                    </w:rPr>
                  </w:pPr>
                  <w:r>
                    <w:rPr>
                      <w:rFonts w:hint="eastAsia" w:cs="Times New Roman"/>
                      <w:color w:val="auto"/>
                      <w:spacing w:val="-10"/>
                      <w:sz w:val="18"/>
                      <w:szCs w:val="18"/>
                      <w:lang w:val="en-US" w:eastAsia="zh-CN"/>
                    </w:rPr>
                    <w:t>土</w:t>
                  </w:r>
                </w:p>
              </w:tc>
              <w:tc>
                <w:tcPr>
                  <w:tcW w:w="2286" w:type="pct"/>
                  <w:tcBorders>
                    <w:tl2br w:val="nil"/>
                    <w:tr2bl w:val="nil"/>
                  </w:tcBorders>
                  <w:shd w:val="clear" w:color="auto" w:fill="auto"/>
                  <w:vAlign w:val="center"/>
                </w:tcPr>
                <w:p w14:paraId="3534C65C">
                  <w:pPr>
                    <w:jc w:val="center"/>
                    <w:rPr>
                      <w:rFonts w:hint="default" w:eastAsia="宋体"/>
                      <w:color w:val="auto"/>
                      <w:spacing w:val="-10"/>
                      <w:sz w:val="18"/>
                      <w:szCs w:val="18"/>
                      <w:lang w:val="en-US" w:eastAsia="zh-CN"/>
                    </w:rPr>
                  </w:pPr>
                  <w:r>
                    <w:rPr>
                      <w:rFonts w:hint="eastAsia"/>
                      <w:color w:val="auto"/>
                      <w:spacing w:val="-10"/>
                      <w:sz w:val="18"/>
                      <w:szCs w:val="18"/>
                      <w:lang w:val="en-US" w:eastAsia="zh-CN"/>
                    </w:rPr>
                    <w:t>暂存于废土暂存区，之后用于填坑铺路</w:t>
                  </w:r>
                </w:p>
              </w:tc>
              <w:tc>
                <w:tcPr>
                  <w:tcW w:w="480" w:type="pct"/>
                  <w:vMerge w:val="continue"/>
                  <w:tcBorders>
                    <w:tl2br w:val="nil"/>
                    <w:tr2bl w:val="nil"/>
                  </w:tcBorders>
                  <w:vAlign w:val="center"/>
                </w:tcPr>
                <w:p w14:paraId="7D5E3353">
                  <w:pPr>
                    <w:jc w:val="center"/>
                    <w:rPr>
                      <w:rFonts w:hint="eastAsia"/>
                      <w:color w:val="auto"/>
                      <w:spacing w:val="-10"/>
                      <w:sz w:val="18"/>
                      <w:szCs w:val="18"/>
                    </w:rPr>
                  </w:pPr>
                </w:p>
              </w:tc>
            </w:tr>
            <w:tr w14:paraId="0FFF7FE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69" w:hRule="atLeast"/>
                <w:jc w:val="center"/>
              </w:trPr>
              <w:tc>
                <w:tcPr>
                  <w:tcW w:w="454" w:type="pct"/>
                  <w:vMerge w:val="continue"/>
                  <w:tcBorders>
                    <w:tl2br w:val="nil"/>
                    <w:tr2bl w:val="nil"/>
                  </w:tcBorders>
                  <w:vAlign w:val="center"/>
                </w:tcPr>
                <w:p w14:paraId="6B286CF1">
                  <w:pPr>
                    <w:jc w:val="center"/>
                    <w:rPr>
                      <w:rFonts w:hint="eastAsia"/>
                      <w:color w:val="auto"/>
                      <w:spacing w:val="-10"/>
                      <w:sz w:val="18"/>
                      <w:szCs w:val="18"/>
                    </w:rPr>
                  </w:pPr>
                </w:p>
              </w:tc>
              <w:tc>
                <w:tcPr>
                  <w:tcW w:w="1229" w:type="pct"/>
                  <w:tcBorders>
                    <w:tl2br w:val="nil"/>
                    <w:tr2bl w:val="nil"/>
                  </w:tcBorders>
                  <w:shd w:val="clear" w:color="auto" w:fill="auto"/>
                  <w:vAlign w:val="center"/>
                </w:tcPr>
                <w:p w14:paraId="1F679AC8">
                  <w:pPr>
                    <w:jc w:val="center"/>
                    <w:rPr>
                      <w:rFonts w:hint="default" w:eastAsia="宋体"/>
                      <w:color w:val="auto"/>
                      <w:spacing w:val="-10"/>
                      <w:sz w:val="18"/>
                      <w:szCs w:val="18"/>
                      <w:lang w:val="en-US" w:eastAsia="zh-CN"/>
                    </w:rPr>
                  </w:pPr>
                  <w:r>
                    <w:rPr>
                      <w:rFonts w:hint="eastAsia"/>
                      <w:color w:val="auto"/>
                      <w:spacing w:val="-10"/>
                      <w:sz w:val="18"/>
                      <w:szCs w:val="18"/>
                      <w:lang w:val="en-US" w:eastAsia="zh-CN"/>
                    </w:rPr>
                    <w:t>辅料拆包</w:t>
                  </w:r>
                </w:p>
              </w:tc>
              <w:tc>
                <w:tcPr>
                  <w:tcW w:w="548" w:type="pct"/>
                  <w:tcBorders>
                    <w:tl2br w:val="nil"/>
                    <w:tr2bl w:val="nil"/>
                  </w:tcBorders>
                  <w:shd w:val="clear" w:color="auto" w:fill="auto"/>
                  <w:vAlign w:val="center"/>
                </w:tcPr>
                <w:p w14:paraId="19C87174">
                  <w:pPr>
                    <w:jc w:val="center"/>
                    <w:rPr>
                      <w:rFonts w:hint="default"/>
                      <w:color w:val="auto"/>
                      <w:spacing w:val="-10"/>
                      <w:sz w:val="18"/>
                      <w:szCs w:val="18"/>
                      <w:lang w:val="en-US" w:eastAsia="zh-CN"/>
                    </w:rPr>
                  </w:pPr>
                  <w:r>
                    <w:rPr>
                      <w:rFonts w:hint="eastAsia"/>
                      <w:color w:val="auto"/>
                      <w:spacing w:val="-10"/>
                      <w:sz w:val="18"/>
                      <w:szCs w:val="18"/>
                      <w:lang w:val="en-US" w:eastAsia="zh-CN"/>
                    </w:rPr>
                    <w:t>废包装袋</w:t>
                  </w:r>
                </w:p>
              </w:tc>
              <w:tc>
                <w:tcPr>
                  <w:tcW w:w="2286" w:type="pct"/>
                  <w:tcBorders>
                    <w:tl2br w:val="nil"/>
                    <w:tr2bl w:val="nil"/>
                  </w:tcBorders>
                  <w:shd w:val="clear" w:color="auto" w:fill="auto"/>
                  <w:vAlign w:val="center"/>
                </w:tcPr>
                <w:p w14:paraId="6E91491B">
                  <w:pPr>
                    <w:jc w:val="center"/>
                    <w:rPr>
                      <w:rFonts w:hint="eastAsia" w:cs="Times New Roman"/>
                      <w:color w:val="auto"/>
                      <w:spacing w:val="-10"/>
                      <w:sz w:val="18"/>
                      <w:szCs w:val="18"/>
                      <w:highlight w:val="none"/>
                      <w:lang w:val="en-US" w:eastAsia="zh-CN"/>
                    </w:rPr>
                  </w:pPr>
                  <w:r>
                    <w:rPr>
                      <w:rFonts w:hint="eastAsia"/>
                      <w:color w:val="auto"/>
                      <w:spacing w:val="-10"/>
                      <w:sz w:val="18"/>
                      <w:szCs w:val="18"/>
                    </w:rPr>
                    <w:t>收集后暂存于一般固废暂存区，定期外售</w:t>
                  </w:r>
                  <w:r>
                    <w:rPr>
                      <w:rFonts w:hint="eastAsia"/>
                      <w:color w:val="auto"/>
                      <w:spacing w:val="-10"/>
                      <w:sz w:val="18"/>
                      <w:szCs w:val="18"/>
                      <w:lang w:val="en-US" w:eastAsia="zh-CN"/>
                    </w:rPr>
                    <w:t>综合利用</w:t>
                  </w:r>
                </w:p>
              </w:tc>
              <w:tc>
                <w:tcPr>
                  <w:tcW w:w="480" w:type="pct"/>
                  <w:vMerge w:val="continue"/>
                  <w:tcBorders>
                    <w:tl2br w:val="nil"/>
                    <w:tr2bl w:val="nil"/>
                  </w:tcBorders>
                  <w:vAlign w:val="center"/>
                </w:tcPr>
                <w:p w14:paraId="07F76444">
                  <w:pPr>
                    <w:jc w:val="center"/>
                    <w:rPr>
                      <w:rFonts w:hint="eastAsia"/>
                      <w:color w:val="auto"/>
                      <w:spacing w:val="-10"/>
                      <w:sz w:val="18"/>
                      <w:szCs w:val="18"/>
                    </w:rPr>
                  </w:pPr>
                </w:p>
              </w:tc>
            </w:tr>
            <w:tr w14:paraId="78456B3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69" w:hRule="atLeast"/>
                <w:jc w:val="center"/>
              </w:trPr>
              <w:tc>
                <w:tcPr>
                  <w:tcW w:w="454" w:type="pct"/>
                  <w:vMerge w:val="continue"/>
                  <w:tcBorders>
                    <w:tl2br w:val="nil"/>
                    <w:tr2bl w:val="nil"/>
                  </w:tcBorders>
                  <w:vAlign w:val="center"/>
                </w:tcPr>
                <w:p w14:paraId="1D6BCB63">
                  <w:pPr>
                    <w:jc w:val="center"/>
                    <w:rPr>
                      <w:rFonts w:hint="eastAsia"/>
                      <w:color w:val="auto"/>
                      <w:spacing w:val="-10"/>
                      <w:sz w:val="18"/>
                      <w:szCs w:val="18"/>
                    </w:rPr>
                  </w:pPr>
                </w:p>
              </w:tc>
              <w:tc>
                <w:tcPr>
                  <w:tcW w:w="1229" w:type="pct"/>
                  <w:tcBorders>
                    <w:tl2br w:val="nil"/>
                    <w:tr2bl w:val="nil"/>
                  </w:tcBorders>
                  <w:shd w:val="clear" w:color="auto" w:fill="auto"/>
                  <w:vAlign w:val="center"/>
                </w:tcPr>
                <w:p w14:paraId="3C8BD1B6">
                  <w:pPr>
                    <w:jc w:val="center"/>
                    <w:rPr>
                      <w:rFonts w:hint="eastAsia" w:eastAsia="宋体"/>
                      <w:color w:val="auto"/>
                      <w:spacing w:val="-10"/>
                      <w:sz w:val="18"/>
                      <w:szCs w:val="18"/>
                      <w:lang w:val="en-US" w:eastAsia="zh-CN"/>
                    </w:rPr>
                  </w:pPr>
                  <w:r>
                    <w:rPr>
                      <w:rFonts w:hint="eastAsia"/>
                      <w:color w:val="auto"/>
                      <w:spacing w:val="-10"/>
                      <w:sz w:val="18"/>
                      <w:szCs w:val="18"/>
                      <w:lang w:val="en-US" w:eastAsia="zh-CN"/>
                    </w:rPr>
                    <w:t>球磨机</w:t>
                  </w:r>
                </w:p>
              </w:tc>
              <w:tc>
                <w:tcPr>
                  <w:tcW w:w="548" w:type="pct"/>
                  <w:tcBorders>
                    <w:tl2br w:val="nil"/>
                    <w:tr2bl w:val="nil"/>
                  </w:tcBorders>
                  <w:shd w:val="clear" w:color="auto" w:fill="auto"/>
                  <w:vAlign w:val="center"/>
                </w:tcPr>
                <w:p w14:paraId="3731DFC1">
                  <w:pPr>
                    <w:jc w:val="center"/>
                    <w:rPr>
                      <w:rFonts w:hint="default"/>
                      <w:color w:val="auto"/>
                      <w:spacing w:val="-10"/>
                      <w:sz w:val="18"/>
                      <w:szCs w:val="18"/>
                      <w:lang w:val="en-US" w:eastAsia="zh-CN"/>
                    </w:rPr>
                  </w:pPr>
                  <w:r>
                    <w:rPr>
                      <w:rFonts w:hint="eastAsia"/>
                      <w:color w:val="auto"/>
                      <w:spacing w:val="-10"/>
                      <w:sz w:val="18"/>
                      <w:szCs w:val="18"/>
                      <w:lang w:val="en-US" w:eastAsia="zh-CN"/>
                    </w:rPr>
                    <w:t>废钢球</w:t>
                  </w:r>
                </w:p>
              </w:tc>
              <w:tc>
                <w:tcPr>
                  <w:tcW w:w="2286" w:type="pct"/>
                  <w:tcBorders>
                    <w:tl2br w:val="nil"/>
                    <w:tr2bl w:val="nil"/>
                  </w:tcBorders>
                  <w:shd w:val="clear" w:color="auto" w:fill="auto"/>
                  <w:vAlign w:val="center"/>
                </w:tcPr>
                <w:p w14:paraId="01E0DA59">
                  <w:pPr>
                    <w:jc w:val="center"/>
                    <w:rPr>
                      <w:rFonts w:hint="eastAsia" w:ascii="Times New Roman" w:hAnsi="Times New Roman" w:eastAsia="宋体" w:cs="Times New Roman"/>
                      <w:color w:val="auto"/>
                      <w:spacing w:val="-10"/>
                      <w:sz w:val="18"/>
                      <w:szCs w:val="18"/>
                      <w:lang w:val="en-US" w:eastAsia="zh-CN"/>
                    </w:rPr>
                  </w:pPr>
                  <w:r>
                    <w:rPr>
                      <w:rFonts w:hint="eastAsia" w:ascii="Times New Roman" w:hAnsi="Times New Roman" w:eastAsia="宋体" w:cs="Times New Roman"/>
                      <w:color w:val="auto"/>
                      <w:spacing w:val="-10"/>
                      <w:sz w:val="18"/>
                      <w:szCs w:val="18"/>
                    </w:rPr>
                    <w:t>收集后暂存于一般固废暂存区，外售五金回收公司</w:t>
                  </w:r>
                </w:p>
              </w:tc>
              <w:tc>
                <w:tcPr>
                  <w:tcW w:w="480" w:type="pct"/>
                  <w:vMerge w:val="continue"/>
                  <w:tcBorders>
                    <w:tl2br w:val="nil"/>
                    <w:tr2bl w:val="nil"/>
                  </w:tcBorders>
                  <w:vAlign w:val="center"/>
                </w:tcPr>
                <w:p w14:paraId="32BC3E97">
                  <w:pPr>
                    <w:jc w:val="center"/>
                    <w:rPr>
                      <w:rFonts w:hint="eastAsia"/>
                      <w:color w:val="auto"/>
                      <w:spacing w:val="-10"/>
                      <w:sz w:val="18"/>
                      <w:szCs w:val="18"/>
                    </w:rPr>
                  </w:pPr>
                </w:p>
              </w:tc>
            </w:tr>
            <w:tr w14:paraId="30B5CFE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69" w:hRule="atLeast"/>
                <w:jc w:val="center"/>
              </w:trPr>
              <w:tc>
                <w:tcPr>
                  <w:tcW w:w="454" w:type="pct"/>
                  <w:vMerge w:val="continue"/>
                  <w:tcBorders>
                    <w:tl2br w:val="nil"/>
                    <w:tr2bl w:val="nil"/>
                  </w:tcBorders>
                  <w:vAlign w:val="center"/>
                </w:tcPr>
                <w:p w14:paraId="57DD829E">
                  <w:pPr>
                    <w:jc w:val="center"/>
                    <w:rPr>
                      <w:rFonts w:hint="eastAsia"/>
                      <w:color w:val="auto"/>
                      <w:spacing w:val="-10"/>
                      <w:sz w:val="18"/>
                      <w:szCs w:val="18"/>
                    </w:rPr>
                  </w:pPr>
                </w:p>
              </w:tc>
              <w:tc>
                <w:tcPr>
                  <w:tcW w:w="1229" w:type="pct"/>
                  <w:vMerge w:val="restart"/>
                  <w:tcBorders>
                    <w:tl2br w:val="nil"/>
                    <w:tr2bl w:val="nil"/>
                  </w:tcBorders>
                  <w:shd w:val="clear" w:color="auto" w:fill="auto"/>
                  <w:vAlign w:val="center"/>
                </w:tcPr>
                <w:p w14:paraId="42D3E8B2">
                  <w:pPr>
                    <w:jc w:val="center"/>
                    <w:rPr>
                      <w:rFonts w:hint="eastAsia" w:ascii="Times New Roman" w:hAnsi="Times New Roman" w:eastAsia="宋体" w:cs="Times New Roman"/>
                      <w:color w:val="auto"/>
                      <w:spacing w:val="-10"/>
                      <w:sz w:val="18"/>
                      <w:szCs w:val="18"/>
                      <w:lang w:val="en-US" w:eastAsia="zh-CN"/>
                    </w:rPr>
                  </w:pPr>
                  <w:r>
                    <w:rPr>
                      <w:rFonts w:hint="default" w:ascii="Times New Roman" w:hAnsi="Times New Roman" w:eastAsia="宋体" w:cs="Times New Roman"/>
                      <w:color w:val="auto"/>
                      <w:spacing w:val="-10"/>
                      <w:sz w:val="18"/>
                      <w:szCs w:val="18"/>
                      <w:lang w:val="en-US" w:eastAsia="zh-CN"/>
                    </w:rPr>
                    <w:t>废钢破碎尾料分选</w:t>
                  </w:r>
                </w:p>
              </w:tc>
              <w:tc>
                <w:tcPr>
                  <w:tcW w:w="548" w:type="pct"/>
                  <w:tcBorders>
                    <w:tl2br w:val="nil"/>
                    <w:tr2bl w:val="nil"/>
                  </w:tcBorders>
                  <w:shd w:val="clear" w:color="auto" w:fill="auto"/>
                  <w:vAlign w:val="center"/>
                </w:tcPr>
                <w:p w14:paraId="0875E18B">
                  <w:pPr>
                    <w:jc w:val="center"/>
                    <w:rPr>
                      <w:rFonts w:hint="default" w:ascii="Times New Roman" w:hAnsi="Times New Roman" w:eastAsia="宋体" w:cs="Times New Roman"/>
                      <w:color w:val="auto"/>
                      <w:spacing w:val="-10"/>
                      <w:sz w:val="18"/>
                      <w:szCs w:val="18"/>
                      <w:lang w:val="en-US" w:eastAsia="zh-CN"/>
                    </w:rPr>
                  </w:pPr>
                  <w:r>
                    <w:rPr>
                      <w:rFonts w:hint="eastAsia" w:cs="Times New Roman"/>
                      <w:color w:val="auto"/>
                      <w:spacing w:val="-10"/>
                      <w:sz w:val="18"/>
                      <w:szCs w:val="18"/>
                      <w:lang w:val="en-US" w:eastAsia="zh-CN"/>
                    </w:rPr>
                    <w:t>棉絮、泡沫等</w:t>
                  </w:r>
                </w:p>
              </w:tc>
              <w:tc>
                <w:tcPr>
                  <w:tcW w:w="2286" w:type="pct"/>
                  <w:tcBorders>
                    <w:tl2br w:val="nil"/>
                    <w:tr2bl w:val="nil"/>
                  </w:tcBorders>
                  <w:shd w:val="clear" w:color="auto" w:fill="auto"/>
                  <w:vAlign w:val="center"/>
                </w:tcPr>
                <w:p w14:paraId="09AA0104">
                  <w:pPr>
                    <w:jc w:val="center"/>
                    <w:rPr>
                      <w:rFonts w:hint="eastAsia" w:ascii="Times New Roman" w:hAnsi="Times New Roman" w:eastAsia="宋体" w:cs="Times New Roman"/>
                      <w:color w:val="auto"/>
                      <w:spacing w:val="-10"/>
                      <w:sz w:val="18"/>
                      <w:szCs w:val="18"/>
                      <w:lang w:val="en-US" w:eastAsia="zh-CN"/>
                    </w:rPr>
                  </w:pPr>
                  <w:r>
                    <w:rPr>
                      <w:rFonts w:hint="default" w:ascii="Times New Roman" w:hAnsi="Times New Roman" w:eastAsia="宋体" w:cs="Times New Roman"/>
                      <w:color w:val="auto"/>
                      <w:spacing w:val="-10"/>
                      <w:sz w:val="18"/>
                      <w:szCs w:val="18"/>
                      <w:highlight w:val="none"/>
                      <w:lang w:val="en-US" w:eastAsia="zh-CN"/>
                    </w:rPr>
                    <w:t>暂存</w:t>
                  </w:r>
                  <w:r>
                    <w:rPr>
                      <w:rFonts w:hint="eastAsia" w:ascii="Times New Roman" w:hAnsi="Times New Roman" w:eastAsia="宋体" w:cs="Times New Roman"/>
                      <w:color w:val="auto"/>
                      <w:spacing w:val="-10"/>
                      <w:sz w:val="18"/>
                      <w:szCs w:val="18"/>
                      <w:highlight w:val="none"/>
                    </w:rPr>
                    <w:t>于</w:t>
                  </w:r>
                  <w:r>
                    <w:rPr>
                      <w:rFonts w:hint="eastAsia" w:cs="Times New Roman"/>
                      <w:color w:val="auto"/>
                      <w:spacing w:val="-10"/>
                      <w:sz w:val="18"/>
                      <w:szCs w:val="18"/>
                      <w:lang w:val="en-US" w:eastAsia="zh-CN"/>
                    </w:rPr>
                    <w:t>棉絮、泡沫暂存区</w:t>
                  </w:r>
                  <w:r>
                    <w:rPr>
                      <w:rFonts w:hint="default" w:ascii="Times New Roman" w:hAnsi="Times New Roman" w:eastAsia="宋体" w:cs="Times New Roman"/>
                      <w:color w:val="auto"/>
                      <w:spacing w:val="-10"/>
                      <w:sz w:val="18"/>
                      <w:szCs w:val="18"/>
                      <w:highlight w:val="none"/>
                      <w:lang w:val="en-US" w:eastAsia="zh-CN"/>
                    </w:rPr>
                    <w:t>，</w:t>
                  </w:r>
                  <w:r>
                    <w:rPr>
                      <w:rFonts w:hint="default" w:ascii="Times New Roman" w:hAnsi="Times New Roman" w:eastAsia="宋体" w:cs="Times New Roman"/>
                      <w:color w:val="auto"/>
                      <w:spacing w:val="-10"/>
                      <w:sz w:val="18"/>
                      <w:szCs w:val="18"/>
                      <w:lang w:val="en-US" w:eastAsia="zh-CN"/>
                    </w:rPr>
                    <w:t>外售相关回收单位</w:t>
                  </w:r>
                </w:p>
              </w:tc>
              <w:tc>
                <w:tcPr>
                  <w:tcW w:w="480" w:type="pct"/>
                  <w:vMerge w:val="continue"/>
                  <w:tcBorders>
                    <w:tl2br w:val="nil"/>
                    <w:tr2bl w:val="nil"/>
                  </w:tcBorders>
                  <w:vAlign w:val="center"/>
                </w:tcPr>
                <w:p w14:paraId="2C0F95BD">
                  <w:pPr>
                    <w:jc w:val="center"/>
                    <w:rPr>
                      <w:rFonts w:hint="eastAsia"/>
                      <w:color w:val="auto"/>
                      <w:spacing w:val="-10"/>
                      <w:sz w:val="18"/>
                      <w:szCs w:val="18"/>
                    </w:rPr>
                  </w:pPr>
                </w:p>
              </w:tc>
            </w:tr>
            <w:tr w14:paraId="4FA4923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369" w:hRule="atLeast"/>
                <w:jc w:val="center"/>
              </w:trPr>
              <w:tc>
                <w:tcPr>
                  <w:tcW w:w="454" w:type="pct"/>
                  <w:vMerge w:val="continue"/>
                  <w:tcBorders>
                    <w:tl2br w:val="nil"/>
                    <w:tr2bl w:val="nil"/>
                  </w:tcBorders>
                  <w:vAlign w:val="center"/>
                </w:tcPr>
                <w:p w14:paraId="14E6F8E9">
                  <w:pPr>
                    <w:jc w:val="center"/>
                    <w:rPr>
                      <w:rFonts w:hint="eastAsia"/>
                      <w:color w:val="auto"/>
                      <w:spacing w:val="-10"/>
                      <w:sz w:val="18"/>
                      <w:szCs w:val="18"/>
                    </w:rPr>
                  </w:pPr>
                </w:p>
              </w:tc>
              <w:tc>
                <w:tcPr>
                  <w:tcW w:w="1229" w:type="pct"/>
                  <w:vMerge w:val="continue"/>
                  <w:tcBorders>
                    <w:tl2br w:val="nil"/>
                    <w:tr2bl w:val="nil"/>
                  </w:tcBorders>
                  <w:shd w:val="clear" w:color="auto" w:fill="auto"/>
                  <w:vAlign w:val="center"/>
                </w:tcPr>
                <w:p w14:paraId="26ABAACB">
                  <w:pPr>
                    <w:jc w:val="center"/>
                    <w:rPr>
                      <w:rFonts w:hint="default" w:ascii="Times New Roman" w:hAnsi="Times New Roman" w:eastAsia="宋体" w:cs="Times New Roman"/>
                      <w:color w:val="auto"/>
                      <w:spacing w:val="-10"/>
                      <w:sz w:val="18"/>
                      <w:szCs w:val="18"/>
                      <w:lang w:val="en-US" w:eastAsia="zh-CN"/>
                    </w:rPr>
                  </w:pPr>
                </w:p>
              </w:tc>
              <w:tc>
                <w:tcPr>
                  <w:tcW w:w="548" w:type="pct"/>
                  <w:tcBorders>
                    <w:tl2br w:val="nil"/>
                    <w:tr2bl w:val="nil"/>
                  </w:tcBorders>
                  <w:shd w:val="clear" w:color="auto" w:fill="auto"/>
                  <w:vAlign w:val="center"/>
                </w:tcPr>
                <w:p w14:paraId="2B15E18F">
                  <w:pPr>
                    <w:jc w:val="center"/>
                    <w:rPr>
                      <w:rFonts w:hint="default" w:ascii="Times New Roman" w:hAnsi="Times New Roman" w:eastAsia="宋体" w:cs="Times New Roman"/>
                      <w:color w:val="auto"/>
                      <w:spacing w:val="-10"/>
                      <w:sz w:val="18"/>
                      <w:szCs w:val="18"/>
                      <w:lang w:val="en-US" w:eastAsia="zh-CN"/>
                    </w:rPr>
                  </w:pPr>
                  <w:r>
                    <w:rPr>
                      <w:rFonts w:hint="eastAsia" w:cs="Times New Roman"/>
                      <w:color w:val="auto"/>
                      <w:spacing w:val="-10"/>
                      <w:sz w:val="18"/>
                      <w:szCs w:val="18"/>
                      <w:lang w:val="en-US" w:eastAsia="zh-CN"/>
                    </w:rPr>
                    <w:t>海绵、木屑等</w:t>
                  </w:r>
                </w:p>
              </w:tc>
              <w:tc>
                <w:tcPr>
                  <w:tcW w:w="2286" w:type="pct"/>
                  <w:tcBorders>
                    <w:tl2br w:val="nil"/>
                    <w:tr2bl w:val="nil"/>
                  </w:tcBorders>
                  <w:shd w:val="clear" w:color="auto" w:fill="auto"/>
                  <w:vAlign w:val="center"/>
                </w:tcPr>
                <w:p w14:paraId="034DF68C">
                  <w:pPr>
                    <w:jc w:val="center"/>
                    <w:rPr>
                      <w:rFonts w:hint="default" w:ascii="Times New Roman" w:hAnsi="Times New Roman" w:eastAsia="宋体" w:cs="Times New Roman"/>
                      <w:color w:val="auto"/>
                      <w:spacing w:val="-10"/>
                      <w:sz w:val="18"/>
                      <w:szCs w:val="18"/>
                      <w:highlight w:val="none"/>
                      <w:lang w:val="en-US" w:eastAsia="zh-CN"/>
                    </w:rPr>
                  </w:pPr>
                  <w:r>
                    <w:rPr>
                      <w:rFonts w:hint="default" w:ascii="Times New Roman" w:hAnsi="Times New Roman" w:eastAsia="宋体" w:cs="Times New Roman"/>
                      <w:color w:val="auto"/>
                      <w:spacing w:val="-10"/>
                      <w:sz w:val="18"/>
                      <w:szCs w:val="18"/>
                      <w:highlight w:val="none"/>
                      <w:lang w:val="en-US" w:eastAsia="zh-CN"/>
                    </w:rPr>
                    <w:t>暂存</w:t>
                  </w:r>
                  <w:r>
                    <w:rPr>
                      <w:rFonts w:hint="eastAsia" w:ascii="Times New Roman" w:hAnsi="Times New Roman" w:eastAsia="宋体" w:cs="Times New Roman"/>
                      <w:color w:val="auto"/>
                      <w:spacing w:val="-10"/>
                      <w:sz w:val="18"/>
                      <w:szCs w:val="18"/>
                      <w:highlight w:val="none"/>
                    </w:rPr>
                    <w:t>于</w:t>
                  </w:r>
                  <w:r>
                    <w:rPr>
                      <w:rFonts w:hint="eastAsia" w:cs="Times New Roman"/>
                      <w:color w:val="auto"/>
                      <w:spacing w:val="-10"/>
                      <w:sz w:val="18"/>
                      <w:szCs w:val="18"/>
                      <w:highlight w:val="none"/>
                      <w:lang w:val="en-US" w:eastAsia="zh-CN"/>
                    </w:rPr>
                    <w:t>3</w:t>
                  </w:r>
                  <w:r>
                    <w:rPr>
                      <w:rFonts w:hint="eastAsia" w:cs="Times New Roman"/>
                      <w:color w:val="auto"/>
                      <w:spacing w:val="-10"/>
                      <w:sz w:val="18"/>
                      <w:szCs w:val="18"/>
                      <w:highlight w:val="none"/>
                      <w:vertAlign w:val="superscript"/>
                      <w:lang w:val="en-US" w:eastAsia="zh-CN"/>
                    </w:rPr>
                    <w:t>#</w:t>
                  </w:r>
                  <w:r>
                    <w:rPr>
                      <w:rFonts w:hint="eastAsia" w:cs="Times New Roman"/>
                      <w:color w:val="auto"/>
                      <w:spacing w:val="-10"/>
                      <w:sz w:val="18"/>
                      <w:szCs w:val="18"/>
                      <w:highlight w:val="none"/>
                      <w:vertAlign w:val="baseline"/>
                      <w:lang w:val="en-US" w:eastAsia="zh-CN"/>
                    </w:rPr>
                    <w:t>储</w:t>
                  </w:r>
                  <w:r>
                    <w:rPr>
                      <w:rFonts w:hint="eastAsia" w:cs="Times New Roman"/>
                      <w:color w:val="auto"/>
                      <w:spacing w:val="-10"/>
                      <w:sz w:val="18"/>
                      <w:szCs w:val="18"/>
                      <w:highlight w:val="none"/>
                      <w:lang w:val="en-US" w:eastAsia="zh-CN"/>
                    </w:rPr>
                    <w:t>料池</w:t>
                  </w:r>
                  <w:r>
                    <w:rPr>
                      <w:rFonts w:hint="default" w:ascii="Times New Roman" w:hAnsi="Times New Roman" w:eastAsia="宋体" w:cs="Times New Roman"/>
                      <w:color w:val="auto"/>
                      <w:spacing w:val="-10"/>
                      <w:sz w:val="18"/>
                      <w:szCs w:val="18"/>
                      <w:highlight w:val="none"/>
                      <w:lang w:val="en-US" w:eastAsia="zh-CN"/>
                    </w:rPr>
                    <w:t>，</w:t>
                  </w:r>
                  <w:r>
                    <w:rPr>
                      <w:rFonts w:hint="default" w:ascii="Times New Roman" w:hAnsi="Times New Roman" w:eastAsia="宋体" w:cs="Times New Roman"/>
                      <w:color w:val="auto"/>
                      <w:spacing w:val="-10"/>
                      <w:sz w:val="18"/>
                      <w:szCs w:val="18"/>
                      <w:lang w:val="en-US" w:eastAsia="zh-CN"/>
                    </w:rPr>
                    <w:t>外售相关回收单位</w:t>
                  </w:r>
                </w:p>
              </w:tc>
              <w:tc>
                <w:tcPr>
                  <w:tcW w:w="480" w:type="pct"/>
                  <w:vMerge w:val="continue"/>
                  <w:tcBorders>
                    <w:tl2br w:val="nil"/>
                    <w:tr2bl w:val="nil"/>
                  </w:tcBorders>
                  <w:vAlign w:val="center"/>
                </w:tcPr>
                <w:p w14:paraId="3BFCB99A">
                  <w:pPr>
                    <w:jc w:val="center"/>
                    <w:rPr>
                      <w:rFonts w:hint="eastAsia"/>
                      <w:color w:val="auto"/>
                      <w:spacing w:val="-10"/>
                      <w:sz w:val="18"/>
                      <w:szCs w:val="18"/>
                    </w:rPr>
                  </w:pPr>
                </w:p>
              </w:tc>
            </w:tr>
            <w:tr w14:paraId="573BF65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69" w:hRule="atLeast"/>
                <w:jc w:val="center"/>
              </w:trPr>
              <w:tc>
                <w:tcPr>
                  <w:tcW w:w="454" w:type="pct"/>
                  <w:vMerge w:val="continue"/>
                  <w:tcBorders>
                    <w:tl2br w:val="nil"/>
                    <w:tr2bl w:val="nil"/>
                  </w:tcBorders>
                  <w:vAlign w:val="center"/>
                </w:tcPr>
                <w:p w14:paraId="5F221D5E">
                  <w:pPr>
                    <w:jc w:val="center"/>
                    <w:rPr>
                      <w:rFonts w:hint="eastAsia"/>
                      <w:color w:val="auto"/>
                      <w:spacing w:val="-10"/>
                      <w:sz w:val="18"/>
                      <w:szCs w:val="18"/>
                    </w:rPr>
                  </w:pPr>
                </w:p>
              </w:tc>
              <w:tc>
                <w:tcPr>
                  <w:tcW w:w="1229" w:type="pct"/>
                  <w:vMerge w:val="restart"/>
                  <w:tcBorders>
                    <w:tl2br w:val="nil"/>
                    <w:tr2bl w:val="nil"/>
                  </w:tcBorders>
                  <w:shd w:val="clear" w:color="auto" w:fill="auto"/>
                  <w:vAlign w:val="center"/>
                </w:tcPr>
                <w:p w14:paraId="1A9CFE97">
                  <w:pPr>
                    <w:jc w:val="center"/>
                    <w:rPr>
                      <w:rFonts w:hint="default" w:ascii="Times New Roman" w:hAnsi="Times New Roman" w:eastAsia="宋体" w:cs="Times New Roman"/>
                      <w:color w:val="auto"/>
                      <w:spacing w:val="-10"/>
                      <w:sz w:val="18"/>
                      <w:szCs w:val="18"/>
                      <w:lang w:val="en-US" w:eastAsia="zh-CN"/>
                    </w:rPr>
                  </w:pPr>
                  <w:r>
                    <w:rPr>
                      <w:rFonts w:hint="eastAsia" w:ascii="Times New Roman" w:hAnsi="Times New Roman" w:eastAsia="宋体" w:cs="Times New Roman"/>
                      <w:color w:val="auto"/>
                      <w:spacing w:val="-10"/>
                      <w:sz w:val="18"/>
                      <w:szCs w:val="18"/>
                      <w:lang w:val="en-US" w:eastAsia="zh-CN"/>
                    </w:rPr>
                    <w:t>板框压滤机</w:t>
                  </w:r>
                </w:p>
              </w:tc>
              <w:tc>
                <w:tcPr>
                  <w:tcW w:w="548" w:type="pct"/>
                  <w:tcBorders>
                    <w:tl2br w:val="nil"/>
                    <w:tr2bl w:val="nil"/>
                  </w:tcBorders>
                  <w:shd w:val="clear" w:color="auto" w:fill="auto"/>
                  <w:vAlign w:val="center"/>
                </w:tcPr>
                <w:p w14:paraId="700C3F7C">
                  <w:pPr>
                    <w:jc w:val="center"/>
                    <w:rPr>
                      <w:rFonts w:hint="default" w:ascii="Times New Roman" w:hAnsi="Times New Roman" w:eastAsia="宋体" w:cs="Times New Roman"/>
                      <w:color w:val="auto"/>
                      <w:spacing w:val="-10"/>
                      <w:sz w:val="18"/>
                      <w:szCs w:val="18"/>
                      <w:lang w:val="en-US" w:eastAsia="zh-CN"/>
                    </w:rPr>
                  </w:pPr>
                  <w:r>
                    <w:rPr>
                      <w:rFonts w:hint="eastAsia" w:ascii="Times New Roman" w:hAnsi="Times New Roman" w:eastAsia="宋体" w:cs="Times New Roman"/>
                      <w:color w:val="auto"/>
                      <w:spacing w:val="-10"/>
                      <w:sz w:val="18"/>
                      <w:szCs w:val="18"/>
                      <w:lang w:val="en-US" w:eastAsia="zh-CN"/>
                    </w:rPr>
                    <w:t>泥饼</w:t>
                  </w:r>
                </w:p>
              </w:tc>
              <w:tc>
                <w:tcPr>
                  <w:tcW w:w="2286" w:type="pct"/>
                  <w:tcBorders>
                    <w:tl2br w:val="nil"/>
                    <w:tr2bl w:val="nil"/>
                  </w:tcBorders>
                  <w:shd w:val="clear" w:color="auto" w:fill="auto"/>
                  <w:vAlign w:val="center"/>
                </w:tcPr>
                <w:p w14:paraId="26E8AEB7">
                  <w:pPr>
                    <w:jc w:val="center"/>
                    <w:rPr>
                      <w:rFonts w:hint="eastAsia" w:cs="Times New Roman"/>
                      <w:color w:val="auto"/>
                      <w:spacing w:val="-10"/>
                      <w:sz w:val="18"/>
                      <w:szCs w:val="18"/>
                      <w:highlight w:val="none"/>
                      <w:lang w:val="en-US" w:eastAsia="zh-CN"/>
                    </w:rPr>
                  </w:pPr>
                  <w:r>
                    <w:rPr>
                      <w:rFonts w:hint="eastAsia" w:ascii="Times New Roman" w:hAnsi="Times New Roman" w:eastAsia="宋体" w:cs="Times New Roman"/>
                      <w:color w:val="auto"/>
                      <w:spacing w:val="-10"/>
                      <w:sz w:val="18"/>
                      <w:szCs w:val="18"/>
                      <w:highlight w:val="none"/>
                      <w:lang w:val="en-US" w:eastAsia="zh-CN"/>
                    </w:rPr>
                    <w:t>暂存于板框压滤机底部污泥存储料斗内</w:t>
                  </w:r>
                  <w:r>
                    <w:rPr>
                      <w:rFonts w:hint="default" w:ascii="Times New Roman" w:hAnsi="Times New Roman" w:eastAsia="宋体" w:cs="Times New Roman"/>
                      <w:color w:val="auto"/>
                      <w:spacing w:val="-10"/>
                      <w:sz w:val="18"/>
                      <w:szCs w:val="18"/>
                      <w:highlight w:val="none"/>
                      <w:lang w:val="en-US" w:eastAsia="zh-CN"/>
                    </w:rPr>
                    <w:t>，</w:t>
                  </w:r>
                  <w:r>
                    <w:rPr>
                      <w:rFonts w:hint="eastAsia" w:ascii="Times New Roman" w:hAnsi="Times New Roman" w:eastAsia="宋体" w:cs="Times New Roman"/>
                      <w:color w:val="auto"/>
                      <w:spacing w:val="-10"/>
                      <w:sz w:val="18"/>
                      <w:szCs w:val="18"/>
                      <w:highlight w:val="none"/>
                      <w:lang w:val="en-US" w:eastAsia="zh-CN"/>
                    </w:rPr>
                    <w:t>之后外售砖厂进行制砖</w:t>
                  </w:r>
                </w:p>
              </w:tc>
              <w:tc>
                <w:tcPr>
                  <w:tcW w:w="480" w:type="pct"/>
                  <w:vMerge w:val="continue"/>
                  <w:tcBorders>
                    <w:tl2br w:val="nil"/>
                    <w:tr2bl w:val="nil"/>
                  </w:tcBorders>
                  <w:vAlign w:val="center"/>
                </w:tcPr>
                <w:p w14:paraId="2545EC7F">
                  <w:pPr>
                    <w:jc w:val="center"/>
                    <w:rPr>
                      <w:rFonts w:hint="eastAsia"/>
                      <w:color w:val="auto"/>
                      <w:spacing w:val="-10"/>
                      <w:sz w:val="18"/>
                      <w:szCs w:val="18"/>
                    </w:rPr>
                  </w:pPr>
                </w:p>
              </w:tc>
            </w:tr>
            <w:tr w14:paraId="390CB01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69" w:hRule="atLeast"/>
                <w:jc w:val="center"/>
              </w:trPr>
              <w:tc>
                <w:tcPr>
                  <w:tcW w:w="454" w:type="pct"/>
                  <w:vMerge w:val="continue"/>
                  <w:tcBorders>
                    <w:tl2br w:val="nil"/>
                    <w:tr2bl w:val="nil"/>
                  </w:tcBorders>
                  <w:vAlign w:val="center"/>
                </w:tcPr>
                <w:p w14:paraId="5CCB62C2">
                  <w:pPr>
                    <w:jc w:val="center"/>
                    <w:rPr>
                      <w:rFonts w:hint="eastAsia"/>
                      <w:color w:val="auto"/>
                      <w:spacing w:val="-10"/>
                      <w:sz w:val="18"/>
                      <w:szCs w:val="18"/>
                    </w:rPr>
                  </w:pPr>
                </w:p>
              </w:tc>
              <w:tc>
                <w:tcPr>
                  <w:tcW w:w="1229" w:type="pct"/>
                  <w:vMerge w:val="continue"/>
                  <w:tcBorders>
                    <w:tl2br w:val="nil"/>
                    <w:tr2bl w:val="nil"/>
                  </w:tcBorders>
                  <w:shd w:val="clear" w:color="auto" w:fill="auto"/>
                  <w:vAlign w:val="center"/>
                </w:tcPr>
                <w:p w14:paraId="7B01DC9E">
                  <w:pPr>
                    <w:jc w:val="center"/>
                    <w:rPr>
                      <w:rFonts w:hint="default" w:ascii="Times New Roman" w:hAnsi="Times New Roman" w:eastAsia="宋体" w:cs="Times New Roman"/>
                      <w:color w:val="auto"/>
                      <w:spacing w:val="-10"/>
                      <w:sz w:val="18"/>
                      <w:szCs w:val="18"/>
                      <w:lang w:val="en-US" w:eastAsia="zh-CN"/>
                    </w:rPr>
                  </w:pPr>
                </w:p>
              </w:tc>
              <w:tc>
                <w:tcPr>
                  <w:tcW w:w="548" w:type="pct"/>
                  <w:tcBorders>
                    <w:tl2br w:val="nil"/>
                    <w:tr2bl w:val="nil"/>
                  </w:tcBorders>
                  <w:shd w:val="clear" w:color="auto" w:fill="auto"/>
                  <w:vAlign w:val="center"/>
                </w:tcPr>
                <w:p w14:paraId="28C60700">
                  <w:pPr>
                    <w:jc w:val="center"/>
                    <w:rPr>
                      <w:rFonts w:hint="default" w:ascii="Times New Roman" w:hAnsi="Times New Roman" w:eastAsia="宋体" w:cs="Times New Roman"/>
                      <w:color w:val="auto"/>
                      <w:spacing w:val="-10"/>
                      <w:sz w:val="18"/>
                      <w:szCs w:val="18"/>
                      <w:lang w:val="en-US" w:eastAsia="zh-CN"/>
                    </w:rPr>
                  </w:pPr>
                  <w:r>
                    <w:rPr>
                      <w:rFonts w:hint="eastAsia" w:ascii="Times New Roman" w:hAnsi="Times New Roman" w:eastAsia="宋体" w:cs="Times New Roman"/>
                      <w:color w:val="auto"/>
                      <w:spacing w:val="-10"/>
                      <w:sz w:val="18"/>
                      <w:szCs w:val="18"/>
                      <w:lang w:val="en-US" w:eastAsia="zh-CN"/>
                    </w:rPr>
                    <w:t>废滤布</w:t>
                  </w:r>
                </w:p>
              </w:tc>
              <w:tc>
                <w:tcPr>
                  <w:tcW w:w="2286" w:type="pct"/>
                  <w:tcBorders>
                    <w:tl2br w:val="nil"/>
                    <w:tr2bl w:val="nil"/>
                  </w:tcBorders>
                  <w:shd w:val="clear" w:color="auto" w:fill="auto"/>
                  <w:vAlign w:val="center"/>
                </w:tcPr>
                <w:p w14:paraId="23AC2350">
                  <w:pPr>
                    <w:jc w:val="center"/>
                    <w:rPr>
                      <w:rFonts w:hint="eastAsia" w:cs="Times New Roman"/>
                      <w:color w:val="auto"/>
                      <w:spacing w:val="-10"/>
                      <w:sz w:val="18"/>
                      <w:szCs w:val="18"/>
                      <w:highlight w:val="none"/>
                      <w:lang w:val="en-US" w:eastAsia="zh-CN"/>
                    </w:rPr>
                  </w:pPr>
                  <w:r>
                    <w:rPr>
                      <w:rFonts w:hint="eastAsia"/>
                      <w:color w:val="auto"/>
                      <w:spacing w:val="-10"/>
                      <w:sz w:val="18"/>
                      <w:szCs w:val="18"/>
                    </w:rPr>
                    <w:t>收集后暂存于一般固废暂存区，定期外售</w:t>
                  </w:r>
                  <w:r>
                    <w:rPr>
                      <w:rFonts w:hint="eastAsia"/>
                      <w:color w:val="auto"/>
                      <w:spacing w:val="-10"/>
                      <w:sz w:val="18"/>
                      <w:szCs w:val="18"/>
                      <w:lang w:val="en-US" w:eastAsia="zh-CN"/>
                    </w:rPr>
                    <w:t>综合利用</w:t>
                  </w:r>
                </w:p>
              </w:tc>
              <w:tc>
                <w:tcPr>
                  <w:tcW w:w="480" w:type="pct"/>
                  <w:vMerge w:val="continue"/>
                  <w:tcBorders>
                    <w:tl2br w:val="nil"/>
                    <w:tr2bl w:val="nil"/>
                  </w:tcBorders>
                  <w:vAlign w:val="center"/>
                </w:tcPr>
                <w:p w14:paraId="7C996582">
                  <w:pPr>
                    <w:jc w:val="center"/>
                    <w:rPr>
                      <w:rFonts w:hint="eastAsia"/>
                      <w:color w:val="auto"/>
                      <w:spacing w:val="-10"/>
                      <w:sz w:val="18"/>
                      <w:szCs w:val="18"/>
                    </w:rPr>
                  </w:pPr>
                </w:p>
              </w:tc>
            </w:tr>
            <w:tr w14:paraId="49FE105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69" w:hRule="atLeast"/>
                <w:jc w:val="center"/>
              </w:trPr>
              <w:tc>
                <w:tcPr>
                  <w:tcW w:w="454" w:type="pct"/>
                  <w:vMerge w:val="continue"/>
                  <w:tcBorders>
                    <w:tl2br w:val="nil"/>
                    <w:tr2bl w:val="nil"/>
                  </w:tcBorders>
                  <w:vAlign w:val="center"/>
                </w:tcPr>
                <w:p w14:paraId="3C05A95B">
                  <w:pPr>
                    <w:jc w:val="center"/>
                    <w:rPr>
                      <w:color w:val="auto"/>
                      <w:spacing w:val="-10"/>
                      <w:sz w:val="18"/>
                      <w:szCs w:val="18"/>
                    </w:rPr>
                  </w:pPr>
                </w:p>
              </w:tc>
              <w:tc>
                <w:tcPr>
                  <w:tcW w:w="1229" w:type="pct"/>
                  <w:vMerge w:val="restart"/>
                  <w:tcBorders>
                    <w:tl2br w:val="nil"/>
                    <w:tr2bl w:val="nil"/>
                  </w:tcBorders>
                  <w:vAlign w:val="center"/>
                </w:tcPr>
                <w:p w14:paraId="23ACD72F">
                  <w:pPr>
                    <w:jc w:val="center"/>
                    <w:rPr>
                      <w:color w:val="auto"/>
                      <w:spacing w:val="-10"/>
                      <w:sz w:val="18"/>
                      <w:szCs w:val="18"/>
                    </w:rPr>
                  </w:pPr>
                  <w:r>
                    <w:rPr>
                      <w:rFonts w:hint="eastAsia"/>
                      <w:color w:val="auto"/>
                      <w:spacing w:val="-10"/>
                      <w:sz w:val="18"/>
                      <w:szCs w:val="18"/>
                    </w:rPr>
                    <w:t>除尘器</w:t>
                  </w:r>
                </w:p>
              </w:tc>
              <w:tc>
                <w:tcPr>
                  <w:tcW w:w="548" w:type="pct"/>
                  <w:tcBorders>
                    <w:tl2br w:val="nil"/>
                    <w:tr2bl w:val="nil"/>
                  </w:tcBorders>
                  <w:vAlign w:val="center"/>
                </w:tcPr>
                <w:p w14:paraId="3ED951B0">
                  <w:pPr>
                    <w:jc w:val="center"/>
                    <w:rPr>
                      <w:color w:val="auto"/>
                      <w:spacing w:val="-10"/>
                      <w:sz w:val="18"/>
                      <w:szCs w:val="18"/>
                    </w:rPr>
                  </w:pPr>
                  <w:r>
                    <w:rPr>
                      <w:rFonts w:hint="eastAsia"/>
                      <w:color w:val="auto"/>
                      <w:spacing w:val="-10"/>
                      <w:sz w:val="18"/>
                      <w:szCs w:val="18"/>
                    </w:rPr>
                    <w:t>除尘灰</w:t>
                  </w:r>
                </w:p>
              </w:tc>
              <w:tc>
                <w:tcPr>
                  <w:tcW w:w="2286" w:type="pct"/>
                  <w:tcBorders>
                    <w:tl2br w:val="nil"/>
                    <w:tr2bl w:val="nil"/>
                  </w:tcBorders>
                  <w:vAlign w:val="center"/>
                </w:tcPr>
                <w:p w14:paraId="09C0149E">
                  <w:pPr>
                    <w:jc w:val="center"/>
                    <w:rPr>
                      <w:rFonts w:hint="default" w:eastAsia="宋体"/>
                      <w:color w:val="auto"/>
                      <w:spacing w:val="-10"/>
                      <w:sz w:val="18"/>
                      <w:szCs w:val="18"/>
                      <w:lang w:val="en-US" w:eastAsia="zh-CN"/>
                    </w:rPr>
                  </w:pPr>
                  <w:r>
                    <w:rPr>
                      <w:rFonts w:hint="eastAsia"/>
                      <w:color w:val="auto"/>
                      <w:spacing w:val="-10"/>
                      <w:sz w:val="18"/>
                      <w:szCs w:val="18"/>
                    </w:rPr>
                    <w:t>除尘器</w:t>
                  </w:r>
                  <w:r>
                    <w:rPr>
                      <w:rFonts w:hint="eastAsia"/>
                      <w:color w:val="auto"/>
                      <w:spacing w:val="-10"/>
                      <w:sz w:val="18"/>
                      <w:szCs w:val="18"/>
                      <w:lang w:val="en-US" w:eastAsia="zh-CN"/>
                    </w:rPr>
                    <w:t>卸灰处彩钢封闭，卸灰阀连接吨包，确保除尘灰不落地</w:t>
                  </w:r>
                  <w:r>
                    <w:rPr>
                      <w:rFonts w:hint="default"/>
                      <w:color w:val="auto"/>
                      <w:spacing w:val="-10"/>
                      <w:sz w:val="18"/>
                      <w:szCs w:val="18"/>
                      <w:lang w:val="en-US" w:eastAsia="zh-CN"/>
                    </w:rPr>
                    <w:t>，除尘灰</w:t>
                  </w:r>
                  <w:r>
                    <w:rPr>
                      <w:rFonts w:hint="eastAsia" w:ascii="Times New Roman" w:hAnsi="Times New Roman" w:cs="Times New Roman"/>
                      <w:color w:val="auto"/>
                      <w:spacing w:val="-10"/>
                      <w:sz w:val="18"/>
                      <w:szCs w:val="18"/>
                      <w:highlight w:val="none"/>
                    </w:rPr>
                    <w:t>暂存于</w:t>
                  </w:r>
                  <w:r>
                    <w:rPr>
                      <w:rFonts w:hint="eastAsia" w:cs="Times New Roman"/>
                      <w:color w:val="auto"/>
                      <w:spacing w:val="-10"/>
                      <w:sz w:val="18"/>
                      <w:szCs w:val="18"/>
                      <w:highlight w:val="none"/>
                      <w:lang w:val="en-US" w:eastAsia="zh-CN"/>
                    </w:rPr>
                    <w:t>一般</w:t>
                  </w:r>
                  <w:r>
                    <w:rPr>
                      <w:rFonts w:hint="eastAsia" w:ascii="Times New Roman" w:hAnsi="Times New Roman" w:eastAsia="宋体" w:cs="Times New Roman"/>
                      <w:color w:val="auto"/>
                      <w:spacing w:val="-10"/>
                      <w:sz w:val="18"/>
                      <w:szCs w:val="18"/>
                      <w:lang w:val="en-US" w:eastAsia="zh-CN"/>
                    </w:rPr>
                    <w:t>固废暂存区，外售砖厂进行制砖</w:t>
                  </w:r>
                </w:p>
              </w:tc>
              <w:tc>
                <w:tcPr>
                  <w:tcW w:w="480" w:type="pct"/>
                  <w:vMerge w:val="continue"/>
                  <w:tcBorders>
                    <w:tl2br w:val="nil"/>
                    <w:tr2bl w:val="nil"/>
                  </w:tcBorders>
                  <w:vAlign w:val="center"/>
                </w:tcPr>
                <w:p w14:paraId="2E796AB9">
                  <w:pPr>
                    <w:jc w:val="center"/>
                    <w:rPr>
                      <w:color w:val="auto"/>
                      <w:spacing w:val="-10"/>
                      <w:sz w:val="18"/>
                      <w:szCs w:val="18"/>
                    </w:rPr>
                  </w:pPr>
                </w:p>
              </w:tc>
            </w:tr>
            <w:tr w14:paraId="6393DE3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69" w:hRule="atLeast"/>
                <w:jc w:val="center"/>
              </w:trPr>
              <w:tc>
                <w:tcPr>
                  <w:tcW w:w="454" w:type="pct"/>
                  <w:vMerge w:val="continue"/>
                  <w:tcBorders>
                    <w:tl2br w:val="nil"/>
                    <w:tr2bl w:val="nil"/>
                  </w:tcBorders>
                  <w:vAlign w:val="center"/>
                </w:tcPr>
                <w:p w14:paraId="08229F67">
                  <w:pPr>
                    <w:jc w:val="center"/>
                    <w:rPr>
                      <w:rFonts w:hint="eastAsia"/>
                      <w:color w:val="auto"/>
                      <w:spacing w:val="-10"/>
                      <w:sz w:val="18"/>
                      <w:szCs w:val="18"/>
                    </w:rPr>
                  </w:pPr>
                </w:p>
              </w:tc>
              <w:tc>
                <w:tcPr>
                  <w:tcW w:w="1229" w:type="pct"/>
                  <w:vMerge w:val="continue"/>
                  <w:tcBorders>
                    <w:tl2br w:val="nil"/>
                    <w:tr2bl w:val="nil"/>
                  </w:tcBorders>
                  <w:vAlign w:val="center"/>
                </w:tcPr>
                <w:p w14:paraId="56047F74">
                  <w:pPr>
                    <w:jc w:val="center"/>
                    <w:rPr>
                      <w:rFonts w:hint="eastAsia"/>
                      <w:color w:val="auto"/>
                      <w:spacing w:val="-10"/>
                      <w:sz w:val="18"/>
                      <w:szCs w:val="18"/>
                    </w:rPr>
                  </w:pPr>
                </w:p>
              </w:tc>
              <w:tc>
                <w:tcPr>
                  <w:tcW w:w="548" w:type="pct"/>
                  <w:tcBorders>
                    <w:tl2br w:val="nil"/>
                    <w:tr2bl w:val="nil"/>
                  </w:tcBorders>
                  <w:vAlign w:val="center"/>
                </w:tcPr>
                <w:p w14:paraId="4EEDC017">
                  <w:pPr>
                    <w:jc w:val="center"/>
                    <w:rPr>
                      <w:rFonts w:hint="eastAsia" w:ascii="Times New Roman" w:hAnsi="Times New Roman" w:eastAsia="宋体" w:cs="Times New Roman"/>
                      <w:color w:val="auto"/>
                      <w:spacing w:val="-10"/>
                      <w:kern w:val="2"/>
                      <w:sz w:val="18"/>
                      <w:szCs w:val="18"/>
                      <w:lang w:val="en-US" w:eastAsia="zh-CN" w:bidi="ar-SA"/>
                    </w:rPr>
                  </w:pPr>
                  <w:r>
                    <w:rPr>
                      <w:rFonts w:hint="eastAsia"/>
                      <w:color w:val="auto"/>
                      <w:spacing w:val="-10"/>
                      <w:sz w:val="18"/>
                      <w:szCs w:val="18"/>
                    </w:rPr>
                    <w:t>废布袋</w:t>
                  </w:r>
                </w:p>
              </w:tc>
              <w:tc>
                <w:tcPr>
                  <w:tcW w:w="2286" w:type="pct"/>
                  <w:tcBorders>
                    <w:tl2br w:val="nil"/>
                    <w:tr2bl w:val="nil"/>
                  </w:tcBorders>
                  <w:vAlign w:val="center"/>
                </w:tcPr>
                <w:p w14:paraId="563868D4">
                  <w:pPr>
                    <w:jc w:val="center"/>
                    <w:rPr>
                      <w:rFonts w:hint="eastAsia" w:ascii="Times New Roman" w:hAnsi="Times New Roman" w:eastAsia="宋体" w:cs="Times New Roman"/>
                      <w:color w:val="auto"/>
                      <w:spacing w:val="-10"/>
                      <w:kern w:val="2"/>
                      <w:sz w:val="18"/>
                      <w:szCs w:val="18"/>
                      <w:lang w:val="en-US" w:eastAsia="zh-CN" w:bidi="ar-SA"/>
                    </w:rPr>
                  </w:pPr>
                  <w:r>
                    <w:rPr>
                      <w:rFonts w:hint="eastAsia"/>
                      <w:color w:val="auto"/>
                      <w:spacing w:val="-10"/>
                      <w:sz w:val="18"/>
                      <w:szCs w:val="18"/>
                    </w:rPr>
                    <w:t>收集后暂存于一般固废暂存区，定期外售</w:t>
                  </w:r>
                  <w:r>
                    <w:rPr>
                      <w:rFonts w:hint="eastAsia"/>
                      <w:color w:val="auto"/>
                      <w:spacing w:val="-10"/>
                      <w:sz w:val="18"/>
                      <w:szCs w:val="18"/>
                      <w:lang w:val="en-US" w:eastAsia="zh-CN"/>
                    </w:rPr>
                    <w:t>综合利用</w:t>
                  </w:r>
                </w:p>
              </w:tc>
              <w:tc>
                <w:tcPr>
                  <w:tcW w:w="480" w:type="pct"/>
                  <w:vMerge w:val="continue"/>
                  <w:tcBorders>
                    <w:tl2br w:val="nil"/>
                    <w:tr2bl w:val="nil"/>
                  </w:tcBorders>
                  <w:vAlign w:val="center"/>
                </w:tcPr>
                <w:p w14:paraId="7DA09550">
                  <w:pPr>
                    <w:jc w:val="center"/>
                    <w:rPr>
                      <w:rFonts w:hint="eastAsia"/>
                      <w:color w:val="auto"/>
                      <w:spacing w:val="-10"/>
                      <w:sz w:val="18"/>
                      <w:szCs w:val="18"/>
                    </w:rPr>
                  </w:pPr>
                </w:p>
              </w:tc>
            </w:tr>
            <w:tr w14:paraId="09F3B82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69" w:hRule="atLeast"/>
                <w:jc w:val="center"/>
              </w:trPr>
              <w:tc>
                <w:tcPr>
                  <w:tcW w:w="454" w:type="pct"/>
                  <w:vMerge w:val="continue"/>
                  <w:tcBorders>
                    <w:tl2br w:val="nil"/>
                    <w:tr2bl w:val="nil"/>
                  </w:tcBorders>
                  <w:vAlign w:val="center"/>
                </w:tcPr>
                <w:p w14:paraId="1E95C950">
                  <w:pPr>
                    <w:jc w:val="center"/>
                    <w:rPr>
                      <w:rFonts w:hint="eastAsia"/>
                      <w:color w:val="auto"/>
                      <w:spacing w:val="-10"/>
                      <w:sz w:val="18"/>
                      <w:szCs w:val="18"/>
                    </w:rPr>
                  </w:pPr>
                </w:p>
              </w:tc>
              <w:tc>
                <w:tcPr>
                  <w:tcW w:w="1229" w:type="pct"/>
                  <w:tcBorders>
                    <w:tl2br w:val="nil"/>
                    <w:tr2bl w:val="nil"/>
                  </w:tcBorders>
                  <w:shd w:val="clear" w:color="auto" w:fill="auto"/>
                  <w:vAlign w:val="center"/>
                </w:tcPr>
                <w:p w14:paraId="229E3E93">
                  <w:pPr>
                    <w:jc w:val="center"/>
                    <w:rPr>
                      <w:rFonts w:hint="default" w:ascii="Times New Roman" w:hAnsi="Times New Roman" w:eastAsia="宋体" w:cs="Times New Roman"/>
                      <w:color w:val="auto"/>
                      <w:spacing w:val="-10"/>
                      <w:kern w:val="2"/>
                      <w:sz w:val="18"/>
                      <w:szCs w:val="18"/>
                      <w:highlight w:val="none"/>
                      <w:lang w:val="en-US" w:eastAsia="zh-CN" w:bidi="ar-SA"/>
                    </w:rPr>
                  </w:pPr>
                  <w:r>
                    <w:rPr>
                      <w:rFonts w:hint="eastAsia"/>
                      <w:color w:val="auto"/>
                      <w:spacing w:val="-10"/>
                      <w:sz w:val="18"/>
                      <w:szCs w:val="18"/>
                      <w:highlight w:val="none"/>
                      <w:lang w:val="en-US" w:eastAsia="zh-CN"/>
                    </w:rPr>
                    <w:t>车间沉降</w:t>
                  </w:r>
                </w:p>
              </w:tc>
              <w:tc>
                <w:tcPr>
                  <w:tcW w:w="548" w:type="pct"/>
                  <w:tcBorders>
                    <w:tl2br w:val="nil"/>
                    <w:tr2bl w:val="nil"/>
                  </w:tcBorders>
                  <w:shd w:val="clear" w:color="auto" w:fill="auto"/>
                  <w:vAlign w:val="center"/>
                </w:tcPr>
                <w:p w14:paraId="7503E985">
                  <w:pPr>
                    <w:jc w:val="center"/>
                    <w:rPr>
                      <w:rFonts w:hint="default" w:ascii="Times New Roman" w:hAnsi="Times New Roman" w:eastAsia="宋体" w:cs="Times New Roman"/>
                      <w:color w:val="auto"/>
                      <w:spacing w:val="-10"/>
                      <w:kern w:val="2"/>
                      <w:sz w:val="18"/>
                      <w:szCs w:val="18"/>
                      <w:highlight w:val="none"/>
                      <w:lang w:val="en-US" w:eastAsia="zh-CN" w:bidi="ar-SA"/>
                    </w:rPr>
                  </w:pPr>
                  <w:r>
                    <w:rPr>
                      <w:rFonts w:hint="eastAsia" w:cs="Times New Roman"/>
                      <w:color w:val="auto"/>
                      <w:spacing w:val="-10"/>
                      <w:kern w:val="2"/>
                      <w:sz w:val="18"/>
                      <w:szCs w:val="18"/>
                      <w:highlight w:val="none"/>
                      <w:lang w:val="en-US" w:eastAsia="zh-CN" w:bidi="ar-SA"/>
                    </w:rPr>
                    <w:t>沉降灰</w:t>
                  </w:r>
                </w:p>
              </w:tc>
              <w:tc>
                <w:tcPr>
                  <w:tcW w:w="2286" w:type="pct"/>
                  <w:tcBorders>
                    <w:tl2br w:val="nil"/>
                    <w:tr2bl w:val="nil"/>
                  </w:tcBorders>
                  <w:vAlign w:val="center"/>
                </w:tcPr>
                <w:p w14:paraId="32519EC9">
                  <w:pPr>
                    <w:jc w:val="center"/>
                    <w:rPr>
                      <w:rFonts w:hint="default" w:eastAsia="宋体"/>
                      <w:color w:val="auto"/>
                      <w:spacing w:val="-10"/>
                      <w:sz w:val="18"/>
                      <w:szCs w:val="18"/>
                      <w:highlight w:val="none"/>
                      <w:lang w:val="en-US" w:eastAsia="zh-CN"/>
                    </w:rPr>
                  </w:pPr>
                  <w:r>
                    <w:rPr>
                      <w:rFonts w:hint="eastAsia" w:ascii="Times New Roman" w:hAnsi="Times New Roman" w:cs="Times New Roman"/>
                      <w:color w:val="auto"/>
                      <w:spacing w:val="-10"/>
                      <w:sz w:val="18"/>
                      <w:szCs w:val="18"/>
                      <w:highlight w:val="none"/>
                    </w:rPr>
                    <w:t>暂存于</w:t>
                  </w:r>
                  <w:r>
                    <w:rPr>
                      <w:rFonts w:hint="eastAsia" w:cs="Times New Roman"/>
                      <w:color w:val="auto"/>
                      <w:spacing w:val="-10"/>
                      <w:sz w:val="18"/>
                      <w:szCs w:val="18"/>
                      <w:highlight w:val="none"/>
                      <w:lang w:val="en-US" w:eastAsia="zh-CN"/>
                    </w:rPr>
                    <w:t>一般固废暂存区</w:t>
                  </w:r>
                  <w:r>
                    <w:rPr>
                      <w:rFonts w:hint="eastAsia" w:ascii="Times New Roman" w:hAnsi="Times New Roman" w:cs="Times New Roman"/>
                      <w:color w:val="auto"/>
                      <w:spacing w:val="-10"/>
                      <w:sz w:val="18"/>
                      <w:szCs w:val="18"/>
                      <w:highlight w:val="none"/>
                      <w:lang w:val="en-US" w:eastAsia="zh-CN"/>
                    </w:rPr>
                    <w:t>，之后外售砖厂进行制砖</w:t>
                  </w:r>
                </w:p>
              </w:tc>
              <w:tc>
                <w:tcPr>
                  <w:tcW w:w="480" w:type="pct"/>
                  <w:vMerge w:val="continue"/>
                  <w:tcBorders>
                    <w:tl2br w:val="nil"/>
                    <w:tr2bl w:val="nil"/>
                  </w:tcBorders>
                  <w:vAlign w:val="center"/>
                </w:tcPr>
                <w:p w14:paraId="38A2C365">
                  <w:pPr>
                    <w:jc w:val="center"/>
                    <w:rPr>
                      <w:rFonts w:hint="eastAsia"/>
                      <w:color w:val="auto"/>
                      <w:spacing w:val="-10"/>
                      <w:sz w:val="18"/>
                      <w:szCs w:val="18"/>
                    </w:rPr>
                  </w:pPr>
                </w:p>
              </w:tc>
            </w:tr>
            <w:tr w14:paraId="7C4CD5A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69" w:hRule="atLeast"/>
                <w:jc w:val="center"/>
              </w:trPr>
              <w:tc>
                <w:tcPr>
                  <w:tcW w:w="454" w:type="pct"/>
                  <w:vMerge w:val="continue"/>
                  <w:tcBorders>
                    <w:tl2br w:val="nil"/>
                    <w:tr2bl w:val="nil"/>
                  </w:tcBorders>
                  <w:vAlign w:val="center"/>
                </w:tcPr>
                <w:p w14:paraId="24F4D8AD">
                  <w:pPr>
                    <w:jc w:val="center"/>
                    <w:rPr>
                      <w:color w:val="auto"/>
                      <w:spacing w:val="-10"/>
                      <w:sz w:val="18"/>
                      <w:szCs w:val="18"/>
                    </w:rPr>
                  </w:pPr>
                </w:p>
              </w:tc>
              <w:tc>
                <w:tcPr>
                  <w:tcW w:w="1229" w:type="pct"/>
                  <w:vMerge w:val="restart"/>
                  <w:tcBorders>
                    <w:tl2br w:val="nil"/>
                    <w:tr2bl w:val="nil"/>
                  </w:tcBorders>
                  <w:vAlign w:val="center"/>
                </w:tcPr>
                <w:p w14:paraId="4B8CF725">
                  <w:pPr>
                    <w:jc w:val="center"/>
                    <w:rPr>
                      <w:color w:val="auto"/>
                      <w:spacing w:val="-10"/>
                      <w:sz w:val="18"/>
                      <w:szCs w:val="18"/>
                    </w:rPr>
                  </w:pPr>
                  <w:r>
                    <w:rPr>
                      <w:rFonts w:hint="eastAsia"/>
                      <w:color w:val="auto"/>
                      <w:spacing w:val="-10"/>
                      <w:sz w:val="18"/>
                      <w:szCs w:val="18"/>
                    </w:rPr>
                    <w:t>机械设备维修保养</w:t>
                  </w:r>
                </w:p>
              </w:tc>
              <w:tc>
                <w:tcPr>
                  <w:tcW w:w="548" w:type="pct"/>
                  <w:tcBorders>
                    <w:tl2br w:val="nil"/>
                    <w:tr2bl w:val="nil"/>
                  </w:tcBorders>
                  <w:vAlign w:val="center"/>
                </w:tcPr>
                <w:p w14:paraId="40E60D41">
                  <w:pPr>
                    <w:jc w:val="center"/>
                    <w:rPr>
                      <w:rFonts w:hint="eastAsia" w:eastAsia="宋体"/>
                      <w:color w:val="auto"/>
                      <w:spacing w:val="-10"/>
                      <w:sz w:val="18"/>
                      <w:szCs w:val="18"/>
                      <w:lang w:eastAsia="zh-CN"/>
                    </w:rPr>
                  </w:pPr>
                  <w:r>
                    <w:rPr>
                      <w:rFonts w:hint="eastAsia"/>
                      <w:color w:val="auto"/>
                      <w:spacing w:val="-10"/>
                      <w:sz w:val="18"/>
                      <w:szCs w:val="18"/>
                    </w:rPr>
                    <w:t>废润滑油</w:t>
                  </w:r>
                </w:p>
              </w:tc>
              <w:tc>
                <w:tcPr>
                  <w:tcW w:w="2286" w:type="pct"/>
                  <w:vMerge w:val="restart"/>
                  <w:tcBorders>
                    <w:tl2br w:val="nil"/>
                    <w:tr2bl w:val="nil"/>
                  </w:tcBorders>
                  <w:vAlign w:val="center"/>
                </w:tcPr>
                <w:p w14:paraId="6E081E9D">
                  <w:pPr>
                    <w:jc w:val="center"/>
                    <w:rPr>
                      <w:rFonts w:hint="eastAsia" w:ascii="Times New Roman" w:hAnsi="Times New Roman" w:cs="Times New Roman"/>
                      <w:color w:val="auto"/>
                      <w:spacing w:val="-10"/>
                      <w:sz w:val="18"/>
                      <w:szCs w:val="18"/>
                      <w:highlight w:val="none"/>
                    </w:rPr>
                  </w:pPr>
                  <w:r>
                    <w:rPr>
                      <w:rFonts w:hint="eastAsia" w:cs="Times New Roman"/>
                      <w:color w:val="auto"/>
                      <w:spacing w:val="-10"/>
                      <w:sz w:val="18"/>
                      <w:szCs w:val="18"/>
                      <w:highlight w:val="none"/>
                      <w:lang w:val="en-US" w:eastAsia="zh-CN"/>
                    </w:rPr>
                    <w:t>暂存于危险废物暂存间</w:t>
                  </w:r>
                  <w:r>
                    <w:rPr>
                      <w:rFonts w:hint="eastAsia" w:ascii="Times New Roman" w:hAnsi="Times New Roman" w:cs="Times New Roman"/>
                      <w:color w:val="auto"/>
                      <w:spacing w:val="-10"/>
                      <w:sz w:val="18"/>
                      <w:szCs w:val="18"/>
                      <w:highlight w:val="none"/>
                    </w:rPr>
                    <w:t>，委托有资质的危险废物处置单位处置</w:t>
                  </w:r>
                </w:p>
              </w:tc>
              <w:tc>
                <w:tcPr>
                  <w:tcW w:w="480" w:type="pct"/>
                  <w:vMerge w:val="restart"/>
                  <w:tcBorders>
                    <w:tl2br w:val="nil"/>
                    <w:tr2bl w:val="nil"/>
                  </w:tcBorders>
                  <w:vAlign w:val="center"/>
                </w:tcPr>
                <w:p w14:paraId="714C6B45">
                  <w:pPr>
                    <w:jc w:val="center"/>
                    <w:rPr>
                      <w:color w:val="auto"/>
                      <w:spacing w:val="-10"/>
                      <w:sz w:val="18"/>
                      <w:szCs w:val="18"/>
                    </w:rPr>
                  </w:pPr>
                  <w:r>
                    <w:rPr>
                      <w:rFonts w:hint="eastAsia"/>
                      <w:color w:val="auto"/>
                      <w:spacing w:val="-10"/>
                      <w:sz w:val="18"/>
                      <w:szCs w:val="18"/>
                    </w:rPr>
                    <w:t>全部综合利用或妥善处置，不外排</w:t>
                  </w:r>
                </w:p>
              </w:tc>
            </w:tr>
            <w:tr w14:paraId="657A925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69" w:hRule="atLeast"/>
                <w:jc w:val="center"/>
              </w:trPr>
              <w:tc>
                <w:tcPr>
                  <w:tcW w:w="454" w:type="pct"/>
                  <w:vMerge w:val="continue"/>
                  <w:tcBorders>
                    <w:tl2br w:val="nil"/>
                    <w:tr2bl w:val="nil"/>
                  </w:tcBorders>
                  <w:vAlign w:val="center"/>
                </w:tcPr>
                <w:p w14:paraId="6790DCC4">
                  <w:pPr>
                    <w:jc w:val="center"/>
                    <w:rPr>
                      <w:color w:val="auto"/>
                      <w:spacing w:val="-10"/>
                      <w:sz w:val="18"/>
                      <w:szCs w:val="18"/>
                    </w:rPr>
                  </w:pPr>
                </w:p>
              </w:tc>
              <w:tc>
                <w:tcPr>
                  <w:tcW w:w="1229" w:type="pct"/>
                  <w:vMerge w:val="continue"/>
                  <w:tcBorders>
                    <w:tl2br w:val="nil"/>
                    <w:tr2bl w:val="nil"/>
                  </w:tcBorders>
                  <w:vAlign w:val="center"/>
                </w:tcPr>
                <w:p w14:paraId="0A9D9CAC">
                  <w:pPr>
                    <w:jc w:val="center"/>
                    <w:rPr>
                      <w:color w:val="auto"/>
                      <w:spacing w:val="-10"/>
                      <w:sz w:val="18"/>
                      <w:szCs w:val="18"/>
                    </w:rPr>
                  </w:pPr>
                </w:p>
              </w:tc>
              <w:tc>
                <w:tcPr>
                  <w:tcW w:w="548" w:type="pct"/>
                  <w:tcBorders>
                    <w:tl2br w:val="nil"/>
                    <w:tr2bl w:val="nil"/>
                  </w:tcBorders>
                  <w:vAlign w:val="center"/>
                </w:tcPr>
                <w:p w14:paraId="04785141">
                  <w:pPr>
                    <w:jc w:val="center"/>
                    <w:rPr>
                      <w:color w:val="auto"/>
                      <w:spacing w:val="-10"/>
                      <w:sz w:val="18"/>
                      <w:szCs w:val="18"/>
                    </w:rPr>
                  </w:pPr>
                  <w:r>
                    <w:rPr>
                      <w:rFonts w:hint="eastAsia"/>
                      <w:color w:val="auto"/>
                      <w:spacing w:val="-10"/>
                      <w:sz w:val="18"/>
                      <w:szCs w:val="18"/>
                    </w:rPr>
                    <w:t>废</w:t>
                  </w:r>
                  <w:r>
                    <w:rPr>
                      <w:rFonts w:hint="eastAsia"/>
                      <w:color w:val="auto"/>
                      <w:spacing w:val="-10"/>
                      <w:sz w:val="18"/>
                      <w:szCs w:val="18"/>
                      <w:lang w:val="en-US" w:eastAsia="zh-CN"/>
                    </w:rPr>
                    <w:t>液压</w:t>
                  </w:r>
                  <w:r>
                    <w:rPr>
                      <w:rFonts w:hint="eastAsia"/>
                      <w:color w:val="auto"/>
                      <w:spacing w:val="-10"/>
                      <w:sz w:val="18"/>
                      <w:szCs w:val="18"/>
                    </w:rPr>
                    <w:t>油</w:t>
                  </w:r>
                </w:p>
              </w:tc>
              <w:tc>
                <w:tcPr>
                  <w:tcW w:w="2286" w:type="pct"/>
                  <w:vMerge w:val="continue"/>
                  <w:tcBorders>
                    <w:tl2br w:val="nil"/>
                    <w:tr2bl w:val="nil"/>
                  </w:tcBorders>
                  <w:vAlign w:val="center"/>
                </w:tcPr>
                <w:p w14:paraId="68AE3E52">
                  <w:pPr>
                    <w:jc w:val="center"/>
                    <w:rPr>
                      <w:rFonts w:hint="eastAsia" w:ascii="Times New Roman" w:hAnsi="Times New Roman" w:cs="Times New Roman"/>
                      <w:color w:val="auto"/>
                      <w:spacing w:val="-10"/>
                      <w:sz w:val="18"/>
                      <w:szCs w:val="18"/>
                      <w:highlight w:val="none"/>
                    </w:rPr>
                  </w:pPr>
                </w:p>
              </w:tc>
              <w:tc>
                <w:tcPr>
                  <w:tcW w:w="480" w:type="pct"/>
                  <w:vMerge w:val="continue"/>
                  <w:tcBorders>
                    <w:tl2br w:val="nil"/>
                    <w:tr2bl w:val="nil"/>
                  </w:tcBorders>
                  <w:vAlign w:val="center"/>
                </w:tcPr>
                <w:p w14:paraId="308B7493">
                  <w:pPr>
                    <w:jc w:val="center"/>
                    <w:rPr>
                      <w:color w:val="auto"/>
                      <w:spacing w:val="-10"/>
                      <w:sz w:val="18"/>
                      <w:szCs w:val="18"/>
                    </w:rPr>
                  </w:pPr>
                </w:p>
              </w:tc>
            </w:tr>
            <w:tr w14:paraId="5E7E0C1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69" w:hRule="atLeast"/>
                <w:jc w:val="center"/>
              </w:trPr>
              <w:tc>
                <w:tcPr>
                  <w:tcW w:w="454" w:type="pct"/>
                  <w:vMerge w:val="continue"/>
                  <w:tcBorders>
                    <w:tl2br w:val="nil"/>
                    <w:tr2bl w:val="nil"/>
                  </w:tcBorders>
                  <w:vAlign w:val="center"/>
                </w:tcPr>
                <w:p w14:paraId="4CE5CD21">
                  <w:pPr>
                    <w:jc w:val="center"/>
                    <w:rPr>
                      <w:color w:val="auto"/>
                      <w:spacing w:val="-10"/>
                      <w:sz w:val="18"/>
                      <w:szCs w:val="18"/>
                    </w:rPr>
                  </w:pPr>
                </w:p>
              </w:tc>
              <w:tc>
                <w:tcPr>
                  <w:tcW w:w="1229" w:type="pct"/>
                  <w:vMerge w:val="continue"/>
                  <w:tcBorders>
                    <w:tl2br w:val="nil"/>
                    <w:tr2bl w:val="nil"/>
                  </w:tcBorders>
                  <w:vAlign w:val="center"/>
                </w:tcPr>
                <w:p w14:paraId="5E989CB3">
                  <w:pPr>
                    <w:jc w:val="center"/>
                    <w:rPr>
                      <w:color w:val="auto"/>
                      <w:spacing w:val="-10"/>
                      <w:sz w:val="18"/>
                      <w:szCs w:val="18"/>
                    </w:rPr>
                  </w:pPr>
                </w:p>
              </w:tc>
              <w:tc>
                <w:tcPr>
                  <w:tcW w:w="548" w:type="pct"/>
                  <w:tcBorders>
                    <w:tl2br w:val="nil"/>
                    <w:tr2bl w:val="nil"/>
                  </w:tcBorders>
                  <w:vAlign w:val="center"/>
                </w:tcPr>
                <w:p w14:paraId="6FA07A1B">
                  <w:pPr>
                    <w:jc w:val="center"/>
                    <w:rPr>
                      <w:color w:val="auto"/>
                      <w:spacing w:val="-10"/>
                      <w:sz w:val="18"/>
                      <w:szCs w:val="18"/>
                    </w:rPr>
                  </w:pPr>
                  <w:r>
                    <w:rPr>
                      <w:rFonts w:hint="eastAsia"/>
                      <w:color w:val="auto"/>
                      <w:spacing w:val="-10"/>
                      <w:sz w:val="18"/>
                      <w:szCs w:val="18"/>
                    </w:rPr>
                    <w:t>废油桶</w:t>
                  </w:r>
                </w:p>
              </w:tc>
              <w:tc>
                <w:tcPr>
                  <w:tcW w:w="2286" w:type="pct"/>
                  <w:vMerge w:val="continue"/>
                  <w:tcBorders>
                    <w:tl2br w:val="nil"/>
                    <w:tr2bl w:val="nil"/>
                  </w:tcBorders>
                  <w:vAlign w:val="center"/>
                </w:tcPr>
                <w:p w14:paraId="5AB18850">
                  <w:pPr>
                    <w:jc w:val="center"/>
                    <w:rPr>
                      <w:color w:val="auto"/>
                      <w:spacing w:val="-10"/>
                      <w:sz w:val="18"/>
                      <w:szCs w:val="18"/>
                    </w:rPr>
                  </w:pPr>
                </w:p>
              </w:tc>
              <w:tc>
                <w:tcPr>
                  <w:tcW w:w="480" w:type="pct"/>
                  <w:vMerge w:val="continue"/>
                  <w:tcBorders>
                    <w:tl2br w:val="nil"/>
                    <w:tr2bl w:val="nil"/>
                  </w:tcBorders>
                  <w:vAlign w:val="center"/>
                </w:tcPr>
                <w:p w14:paraId="3BABFC09">
                  <w:pPr>
                    <w:jc w:val="center"/>
                    <w:rPr>
                      <w:color w:val="auto"/>
                      <w:spacing w:val="-10"/>
                      <w:sz w:val="18"/>
                      <w:szCs w:val="18"/>
                    </w:rPr>
                  </w:pPr>
                </w:p>
              </w:tc>
            </w:tr>
            <w:tr w14:paraId="7A7DB08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369" w:hRule="atLeast"/>
                <w:jc w:val="center"/>
              </w:trPr>
              <w:tc>
                <w:tcPr>
                  <w:tcW w:w="454" w:type="pct"/>
                  <w:vMerge w:val="continue"/>
                  <w:tcBorders>
                    <w:tl2br w:val="nil"/>
                    <w:tr2bl w:val="nil"/>
                  </w:tcBorders>
                  <w:vAlign w:val="center"/>
                </w:tcPr>
                <w:p w14:paraId="4359FBC0">
                  <w:pPr>
                    <w:spacing w:line="0" w:lineRule="atLeast"/>
                    <w:jc w:val="center"/>
                    <w:rPr>
                      <w:rFonts w:hAnsi="宋体"/>
                      <w:color w:val="auto"/>
                      <w:spacing w:val="-14"/>
                      <w:sz w:val="23"/>
                      <w:szCs w:val="23"/>
                    </w:rPr>
                  </w:pPr>
                </w:p>
              </w:tc>
              <w:tc>
                <w:tcPr>
                  <w:tcW w:w="1229" w:type="pct"/>
                  <w:tcBorders>
                    <w:tl2br w:val="nil"/>
                    <w:tr2bl w:val="nil"/>
                  </w:tcBorders>
                  <w:vAlign w:val="center"/>
                </w:tcPr>
                <w:p w14:paraId="476201CF">
                  <w:pPr>
                    <w:jc w:val="center"/>
                    <w:rPr>
                      <w:color w:val="auto"/>
                      <w:spacing w:val="-10"/>
                      <w:sz w:val="18"/>
                      <w:szCs w:val="18"/>
                    </w:rPr>
                  </w:pPr>
                  <w:r>
                    <w:rPr>
                      <w:rFonts w:hint="eastAsia"/>
                      <w:color w:val="auto"/>
                      <w:spacing w:val="-10"/>
                      <w:sz w:val="18"/>
                      <w:szCs w:val="18"/>
                    </w:rPr>
                    <w:t>职工生活</w:t>
                  </w:r>
                </w:p>
              </w:tc>
              <w:tc>
                <w:tcPr>
                  <w:tcW w:w="548" w:type="pct"/>
                  <w:tcBorders>
                    <w:tl2br w:val="nil"/>
                    <w:tr2bl w:val="nil"/>
                  </w:tcBorders>
                  <w:vAlign w:val="center"/>
                </w:tcPr>
                <w:p w14:paraId="374B1101">
                  <w:pPr>
                    <w:jc w:val="center"/>
                    <w:rPr>
                      <w:color w:val="auto"/>
                      <w:spacing w:val="-10"/>
                      <w:sz w:val="18"/>
                      <w:szCs w:val="18"/>
                    </w:rPr>
                  </w:pPr>
                  <w:r>
                    <w:rPr>
                      <w:rFonts w:hint="eastAsia"/>
                      <w:color w:val="auto"/>
                      <w:spacing w:val="-10"/>
                      <w:sz w:val="18"/>
                      <w:szCs w:val="18"/>
                    </w:rPr>
                    <w:t>生活垃圾</w:t>
                  </w:r>
                </w:p>
              </w:tc>
              <w:tc>
                <w:tcPr>
                  <w:tcW w:w="2286" w:type="pct"/>
                  <w:tcBorders>
                    <w:tl2br w:val="nil"/>
                    <w:tr2bl w:val="nil"/>
                  </w:tcBorders>
                  <w:vAlign w:val="center"/>
                </w:tcPr>
                <w:p w14:paraId="6C8E741E">
                  <w:pPr>
                    <w:jc w:val="center"/>
                    <w:rPr>
                      <w:color w:val="auto"/>
                      <w:spacing w:val="-10"/>
                      <w:sz w:val="18"/>
                      <w:szCs w:val="18"/>
                    </w:rPr>
                  </w:pPr>
                  <w:r>
                    <w:rPr>
                      <w:rFonts w:hint="eastAsia"/>
                      <w:color w:val="auto"/>
                      <w:spacing w:val="-10"/>
                      <w:sz w:val="18"/>
                      <w:szCs w:val="18"/>
                    </w:rPr>
                    <w:t>集中收集、定点存放，由环卫部门处理</w:t>
                  </w:r>
                </w:p>
              </w:tc>
              <w:tc>
                <w:tcPr>
                  <w:tcW w:w="480" w:type="pct"/>
                  <w:vMerge w:val="continue"/>
                  <w:tcBorders>
                    <w:tl2br w:val="nil"/>
                    <w:tr2bl w:val="nil"/>
                  </w:tcBorders>
                  <w:vAlign w:val="center"/>
                </w:tcPr>
                <w:p w14:paraId="4ADBBD17">
                  <w:pPr>
                    <w:spacing w:line="0" w:lineRule="atLeast"/>
                    <w:jc w:val="center"/>
                    <w:rPr>
                      <w:rFonts w:hAnsi="宋体"/>
                      <w:color w:val="auto"/>
                      <w:spacing w:val="-14"/>
                      <w:sz w:val="23"/>
                      <w:szCs w:val="23"/>
                    </w:rPr>
                  </w:pPr>
                </w:p>
              </w:tc>
            </w:tr>
          </w:tbl>
          <w:p w14:paraId="44500742">
            <w:pPr>
              <w:pStyle w:val="38"/>
              <w:rPr>
                <w:color w:val="auto"/>
              </w:rPr>
            </w:pPr>
          </w:p>
        </w:tc>
      </w:tr>
      <w:tr w14:paraId="0009173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144" w:hRule="atLeast"/>
          <w:jc w:val="center"/>
        </w:trPr>
        <w:tc>
          <w:tcPr>
            <w:tcW w:w="823" w:type="dxa"/>
            <w:vAlign w:val="center"/>
          </w:tcPr>
          <w:p w14:paraId="70AB9FBC">
            <w:pPr>
              <w:pStyle w:val="24"/>
              <w:adjustRightInd w:val="0"/>
              <w:snapToGrid w:val="0"/>
              <w:spacing w:before="0" w:beforeAutospacing="0" w:after="0" w:afterAutospacing="0"/>
              <w:jc w:val="center"/>
              <w:rPr>
                <w:rFonts w:cs="宋体"/>
                <w:color w:val="auto"/>
                <w:sz w:val="21"/>
                <w:szCs w:val="21"/>
              </w:rPr>
            </w:pPr>
            <w:r>
              <w:rPr>
                <w:rFonts w:hint="eastAsia" w:cs="宋体"/>
                <w:bCs/>
                <w:color w:val="auto"/>
                <w:kern w:val="2"/>
                <w:sz w:val="21"/>
                <w:szCs w:val="21"/>
              </w:rPr>
              <w:t>与项目有关的原有环境污染问题</w:t>
            </w:r>
          </w:p>
        </w:tc>
        <w:tc>
          <w:tcPr>
            <w:tcW w:w="8161" w:type="dxa"/>
          </w:tcPr>
          <w:p w14:paraId="79EE55F2">
            <w:pPr>
              <w:pStyle w:val="24"/>
              <w:adjustRightInd w:val="0"/>
              <w:snapToGrid w:val="0"/>
              <w:spacing w:before="0" w:beforeAutospacing="0" w:after="0" w:afterAutospacing="0" w:line="440" w:lineRule="exact"/>
              <w:ind w:firstLine="420" w:firstLineChars="200"/>
              <w:rPr>
                <w:rFonts w:ascii="Times New Roman" w:hAnsi="Times New Roman"/>
                <w:color w:val="auto"/>
                <w:sz w:val="21"/>
                <w:szCs w:val="21"/>
              </w:rPr>
            </w:pPr>
          </w:p>
          <w:p w14:paraId="642B9019">
            <w:pPr>
              <w:pStyle w:val="24"/>
              <w:adjustRightInd w:val="0"/>
              <w:snapToGrid w:val="0"/>
              <w:spacing w:before="0" w:beforeAutospacing="0" w:after="0" w:afterAutospacing="0" w:line="440" w:lineRule="exact"/>
              <w:ind w:firstLine="420" w:firstLineChars="200"/>
              <w:rPr>
                <w:rFonts w:ascii="Times New Roman" w:hAnsi="Times New Roman"/>
                <w:color w:val="auto"/>
                <w:sz w:val="21"/>
                <w:szCs w:val="21"/>
              </w:rPr>
            </w:pPr>
          </w:p>
          <w:p w14:paraId="3AF5355F">
            <w:pPr>
              <w:pStyle w:val="24"/>
              <w:adjustRightInd w:val="0"/>
              <w:snapToGrid w:val="0"/>
              <w:spacing w:before="0" w:beforeAutospacing="0" w:after="0" w:afterAutospacing="0" w:line="440" w:lineRule="exact"/>
              <w:ind w:firstLine="420" w:firstLineChars="200"/>
              <w:rPr>
                <w:rFonts w:ascii="Times New Roman" w:hAnsi="Times New Roman"/>
                <w:color w:val="auto"/>
                <w:sz w:val="21"/>
                <w:szCs w:val="21"/>
              </w:rPr>
            </w:pPr>
          </w:p>
          <w:p w14:paraId="4E0F64C3">
            <w:pPr>
              <w:pStyle w:val="24"/>
              <w:adjustRightInd w:val="0"/>
              <w:snapToGrid w:val="0"/>
              <w:spacing w:before="0" w:beforeAutospacing="0" w:after="0" w:afterAutospacing="0" w:line="440" w:lineRule="exact"/>
              <w:ind w:firstLine="420" w:firstLineChars="200"/>
              <w:rPr>
                <w:rFonts w:ascii="Times New Roman" w:hAnsi="Times New Roman"/>
                <w:color w:val="auto"/>
                <w:sz w:val="21"/>
                <w:szCs w:val="21"/>
              </w:rPr>
            </w:pPr>
          </w:p>
          <w:p w14:paraId="2B89CD2C">
            <w:pPr>
              <w:pStyle w:val="24"/>
              <w:adjustRightInd w:val="0"/>
              <w:snapToGrid w:val="0"/>
              <w:spacing w:before="0" w:beforeAutospacing="0" w:after="0" w:afterAutospacing="0" w:line="440" w:lineRule="exact"/>
              <w:ind w:firstLine="420" w:firstLineChars="200"/>
              <w:rPr>
                <w:rFonts w:ascii="Times New Roman" w:hAnsi="Times New Roman"/>
                <w:color w:val="auto"/>
                <w:sz w:val="21"/>
                <w:szCs w:val="21"/>
              </w:rPr>
            </w:pPr>
          </w:p>
          <w:p w14:paraId="6C3A8C89">
            <w:pPr>
              <w:pStyle w:val="24"/>
              <w:adjustRightInd w:val="0"/>
              <w:snapToGrid w:val="0"/>
              <w:spacing w:before="0" w:beforeAutospacing="0" w:after="0" w:afterAutospacing="0" w:line="440" w:lineRule="exact"/>
              <w:ind w:firstLine="420" w:firstLineChars="200"/>
              <w:rPr>
                <w:rFonts w:ascii="Times New Roman" w:hAnsi="Times New Roman"/>
                <w:color w:val="auto"/>
                <w:sz w:val="21"/>
                <w:szCs w:val="21"/>
              </w:rPr>
            </w:pPr>
          </w:p>
          <w:p w14:paraId="31BCD377">
            <w:pPr>
              <w:pStyle w:val="24"/>
              <w:adjustRightInd w:val="0"/>
              <w:snapToGrid w:val="0"/>
              <w:spacing w:before="0" w:beforeAutospacing="0" w:after="0" w:afterAutospacing="0" w:line="440" w:lineRule="exact"/>
              <w:ind w:firstLine="420" w:firstLineChars="200"/>
              <w:rPr>
                <w:rFonts w:ascii="Times New Roman" w:hAnsi="Times New Roman"/>
                <w:color w:val="auto"/>
                <w:sz w:val="21"/>
                <w:szCs w:val="21"/>
              </w:rPr>
            </w:pPr>
          </w:p>
          <w:p w14:paraId="5360FB1D">
            <w:pPr>
              <w:pStyle w:val="24"/>
              <w:adjustRightInd w:val="0"/>
              <w:snapToGrid w:val="0"/>
              <w:spacing w:before="0" w:beforeAutospacing="0" w:after="0" w:afterAutospacing="0" w:line="440" w:lineRule="exact"/>
              <w:ind w:firstLine="420" w:firstLineChars="200"/>
              <w:rPr>
                <w:rFonts w:ascii="Times New Roman" w:hAnsi="Times New Roman"/>
                <w:color w:val="auto"/>
                <w:sz w:val="21"/>
                <w:szCs w:val="21"/>
              </w:rPr>
            </w:pPr>
          </w:p>
          <w:p w14:paraId="079F4F32">
            <w:pPr>
              <w:pStyle w:val="24"/>
              <w:adjustRightInd w:val="0"/>
              <w:snapToGrid w:val="0"/>
              <w:spacing w:before="0" w:beforeAutospacing="0" w:after="0" w:afterAutospacing="0" w:line="440" w:lineRule="exact"/>
              <w:ind w:firstLine="420" w:firstLineChars="200"/>
              <w:rPr>
                <w:rFonts w:ascii="Times New Roman" w:hAnsi="Times New Roman"/>
                <w:color w:val="auto"/>
                <w:sz w:val="21"/>
                <w:szCs w:val="21"/>
              </w:rPr>
            </w:pPr>
          </w:p>
          <w:p w14:paraId="036C9B2C">
            <w:pPr>
              <w:pStyle w:val="24"/>
              <w:adjustRightInd w:val="0"/>
              <w:snapToGrid w:val="0"/>
              <w:spacing w:before="0" w:beforeAutospacing="0" w:after="0" w:afterAutospacing="0" w:line="440" w:lineRule="exact"/>
              <w:ind w:firstLine="420" w:firstLineChars="200"/>
              <w:rPr>
                <w:rFonts w:ascii="Times New Roman" w:hAnsi="Times New Roman"/>
                <w:color w:val="auto"/>
                <w:sz w:val="21"/>
                <w:szCs w:val="21"/>
              </w:rPr>
            </w:pPr>
          </w:p>
          <w:p w14:paraId="49AE4804">
            <w:pPr>
              <w:pStyle w:val="24"/>
              <w:adjustRightInd w:val="0"/>
              <w:snapToGrid w:val="0"/>
              <w:spacing w:before="0" w:beforeAutospacing="0" w:after="0" w:afterAutospacing="0" w:line="440" w:lineRule="exact"/>
              <w:ind w:firstLine="420" w:firstLineChars="200"/>
              <w:rPr>
                <w:rFonts w:ascii="Times New Roman" w:hAnsi="Times New Roman"/>
                <w:color w:val="auto"/>
                <w:sz w:val="21"/>
                <w:szCs w:val="21"/>
              </w:rPr>
            </w:pPr>
          </w:p>
          <w:p w14:paraId="1210F755">
            <w:pPr>
              <w:pStyle w:val="24"/>
              <w:adjustRightInd w:val="0"/>
              <w:snapToGrid w:val="0"/>
              <w:spacing w:before="0" w:beforeAutospacing="0" w:after="0" w:afterAutospacing="0" w:line="440" w:lineRule="exact"/>
              <w:ind w:firstLine="420" w:firstLineChars="200"/>
              <w:rPr>
                <w:rFonts w:ascii="Times New Roman" w:hAnsi="Times New Roman"/>
                <w:color w:val="auto"/>
                <w:sz w:val="21"/>
                <w:szCs w:val="21"/>
              </w:rPr>
            </w:pPr>
          </w:p>
          <w:p w14:paraId="1D32F93C">
            <w:pPr>
              <w:pStyle w:val="24"/>
              <w:adjustRightInd w:val="0"/>
              <w:snapToGrid w:val="0"/>
              <w:spacing w:before="0" w:beforeAutospacing="0" w:after="0" w:afterAutospacing="0" w:line="440" w:lineRule="exact"/>
              <w:ind w:firstLine="420" w:firstLineChars="200"/>
              <w:rPr>
                <w:rFonts w:ascii="Times New Roman" w:hAnsi="Times New Roman"/>
                <w:color w:val="auto"/>
                <w:sz w:val="21"/>
                <w:szCs w:val="21"/>
              </w:rPr>
            </w:pPr>
          </w:p>
          <w:p w14:paraId="5D4A3052">
            <w:pPr>
              <w:pStyle w:val="24"/>
              <w:adjustRightInd w:val="0"/>
              <w:snapToGrid w:val="0"/>
              <w:spacing w:before="0" w:beforeAutospacing="0" w:after="0" w:afterAutospacing="0" w:line="440" w:lineRule="exact"/>
              <w:ind w:firstLine="420" w:firstLineChars="200"/>
              <w:rPr>
                <w:rFonts w:ascii="Times New Roman" w:hAnsi="Times New Roman"/>
                <w:color w:val="auto"/>
                <w:sz w:val="21"/>
                <w:szCs w:val="21"/>
              </w:rPr>
            </w:pPr>
          </w:p>
          <w:p w14:paraId="02318157">
            <w:pPr>
              <w:spacing w:line="460" w:lineRule="exact"/>
              <w:ind w:firstLine="420" w:firstLineChars="200"/>
              <w:rPr>
                <w:rFonts w:hint="eastAsia" w:ascii="Times New Roman"/>
                <w:color w:val="auto"/>
              </w:rPr>
            </w:pPr>
            <w:r>
              <w:rPr>
                <w:rFonts w:hint="eastAsia" w:ascii="Times New Roman" w:hAnsi="Times New Roman"/>
                <w:color w:val="auto"/>
              </w:rPr>
              <w:t>拟建项目场地</w:t>
            </w:r>
            <w:r>
              <w:rPr>
                <w:rFonts w:hint="eastAsia" w:ascii="Times New Roman" w:hAnsi="Times New Roman"/>
                <w:color w:val="auto"/>
                <w:lang w:val="en-US" w:eastAsia="zh-CN"/>
              </w:rPr>
              <w:t>原有生产车间一座，车间内有部分生产设备，目前生产</w:t>
            </w:r>
            <w:r>
              <w:rPr>
                <w:rFonts w:hint="eastAsia" w:ascii="Times New Roman" w:hAnsi="Times New Roman"/>
                <w:color w:val="auto"/>
              </w:rPr>
              <w:t>设备及厂房均以拆除完毕，不存在有关的原有污染情况及主要环境问题。</w:t>
            </w:r>
          </w:p>
          <w:p w14:paraId="4E8B07C8">
            <w:pPr>
              <w:spacing w:line="460" w:lineRule="exact"/>
              <w:ind w:firstLine="420" w:firstLineChars="200"/>
              <w:rPr>
                <w:rFonts w:hint="eastAsia" w:ascii="Times New Roman"/>
                <w:color w:val="auto"/>
              </w:rPr>
            </w:pPr>
          </w:p>
          <w:p w14:paraId="4081D4D6">
            <w:pPr>
              <w:pStyle w:val="24"/>
              <w:adjustRightInd w:val="0"/>
              <w:snapToGrid w:val="0"/>
              <w:spacing w:before="0" w:beforeAutospacing="0" w:after="0" w:afterAutospacing="0" w:line="440" w:lineRule="exact"/>
              <w:ind w:firstLine="420" w:firstLineChars="200"/>
              <w:rPr>
                <w:rFonts w:ascii="Times New Roman" w:hAnsi="Times New Roman"/>
                <w:color w:val="auto"/>
                <w:sz w:val="21"/>
                <w:szCs w:val="21"/>
              </w:rPr>
            </w:pPr>
          </w:p>
          <w:p w14:paraId="0306486B">
            <w:pPr>
              <w:pStyle w:val="24"/>
              <w:adjustRightInd w:val="0"/>
              <w:snapToGrid w:val="0"/>
              <w:spacing w:before="0" w:beforeAutospacing="0" w:after="0" w:afterAutospacing="0" w:line="440" w:lineRule="exact"/>
              <w:ind w:firstLine="420" w:firstLineChars="200"/>
              <w:rPr>
                <w:rFonts w:ascii="Times New Roman" w:hAnsi="Times New Roman"/>
                <w:color w:val="auto"/>
                <w:sz w:val="21"/>
                <w:szCs w:val="21"/>
              </w:rPr>
            </w:pPr>
          </w:p>
          <w:p w14:paraId="620CAA33">
            <w:pPr>
              <w:pStyle w:val="24"/>
              <w:adjustRightInd w:val="0"/>
              <w:snapToGrid w:val="0"/>
              <w:spacing w:before="0" w:beforeAutospacing="0" w:after="0" w:afterAutospacing="0" w:line="440" w:lineRule="exact"/>
              <w:ind w:firstLine="420" w:firstLineChars="200"/>
              <w:rPr>
                <w:rFonts w:ascii="Times New Roman" w:hAnsi="Times New Roman"/>
                <w:color w:val="auto"/>
                <w:sz w:val="21"/>
                <w:szCs w:val="21"/>
              </w:rPr>
            </w:pPr>
          </w:p>
          <w:p w14:paraId="7461FA72">
            <w:pPr>
              <w:pStyle w:val="24"/>
              <w:adjustRightInd w:val="0"/>
              <w:snapToGrid w:val="0"/>
              <w:spacing w:before="0" w:beforeAutospacing="0" w:after="0" w:afterAutospacing="0" w:line="440" w:lineRule="exact"/>
              <w:ind w:firstLine="420" w:firstLineChars="200"/>
              <w:rPr>
                <w:rFonts w:ascii="Times New Roman" w:hAnsi="Times New Roman"/>
                <w:color w:val="auto"/>
                <w:sz w:val="21"/>
                <w:szCs w:val="21"/>
              </w:rPr>
            </w:pPr>
          </w:p>
          <w:p w14:paraId="5E7B2ACC">
            <w:pPr>
              <w:pStyle w:val="24"/>
              <w:adjustRightInd w:val="0"/>
              <w:snapToGrid w:val="0"/>
              <w:spacing w:before="0" w:beforeAutospacing="0" w:after="0" w:afterAutospacing="0" w:line="440" w:lineRule="exact"/>
              <w:ind w:firstLine="420" w:firstLineChars="200"/>
              <w:rPr>
                <w:rFonts w:ascii="Times New Roman" w:hAnsi="Times New Roman"/>
                <w:color w:val="auto"/>
                <w:sz w:val="21"/>
                <w:szCs w:val="21"/>
              </w:rPr>
            </w:pPr>
          </w:p>
          <w:p w14:paraId="3A950934">
            <w:pPr>
              <w:pStyle w:val="24"/>
              <w:adjustRightInd w:val="0"/>
              <w:snapToGrid w:val="0"/>
              <w:spacing w:before="0" w:beforeAutospacing="0" w:after="0" w:afterAutospacing="0" w:line="440" w:lineRule="exact"/>
              <w:ind w:firstLine="420" w:firstLineChars="200"/>
              <w:rPr>
                <w:rFonts w:ascii="Times New Roman" w:hAnsi="Times New Roman"/>
                <w:color w:val="auto"/>
                <w:sz w:val="21"/>
                <w:szCs w:val="21"/>
              </w:rPr>
            </w:pPr>
          </w:p>
          <w:p w14:paraId="0D8ACDDC">
            <w:pPr>
              <w:pStyle w:val="24"/>
              <w:adjustRightInd w:val="0"/>
              <w:snapToGrid w:val="0"/>
              <w:spacing w:before="0" w:beforeAutospacing="0" w:after="0" w:afterAutospacing="0" w:line="440" w:lineRule="exact"/>
              <w:ind w:firstLine="420" w:firstLineChars="200"/>
              <w:rPr>
                <w:rFonts w:ascii="Times New Roman" w:hAnsi="Times New Roman"/>
                <w:color w:val="auto"/>
                <w:sz w:val="21"/>
                <w:szCs w:val="21"/>
              </w:rPr>
            </w:pPr>
          </w:p>
          <w:p w14:paraId="09297B39">
            <w:pPr>
              <w:pStyle w:val="24"/>
              <w:adjustRightInd w:val="0"/>
              <w:snapToGrid w:val="0"/>
              <w:spacing w:before="0" w:beforeAutospacing="0" w:after="0" w:afterAutospacing="0" w:line="440" w:lineRule="exact"/>
              <w:ind w:firstLine="420" w:firstLineChars="200"/>
              <w:rPr>
                <w:rFonts w:ascii="Times New Roman" w:hAnsi="Times New Roman"/>
                <w:color w:val="auto"/>
                <w:sz w:val="21"/>
                <w:szCs w:val="21"/>
              </w:rPr>
            </w:pPr>
          </w:p>
          <w:p w14:paraId="464DDBE9">
            <w:pPr>
              <w:pStyle w:val="24"/>
              <w:adjustRightInd w:val="0"/>
              <w:snapToGrid w:val="0"/>
              <w:spacing w:before="0" w:beforeAutospacing="0" w:after="0" w:afterAutospacing="0" w:line="440" w:lineRule="exact"/>
              <w:ind w:firstLine="420" w:firstLineChars="200"/>
              <w:rPr>
                <w:rFonts w:ascii="Times New Roman" w:hAnsi="Times New Roman"/>
                <w:color w:val="auto"/>
                <w:sz w:val="21"/>
                <w:szCs w:val="21"/>
              </w:rPr>
            </w:pPr>
          </w:p>
          <w:p w14:paraId="10F6EA47">
            <w:pPr>
              <w:pStyle w:val="24"/>
              <w:adjustRightInd w:val="0"/>
              <w:snapToGrid w:val="0"/>
              <w:spacing w:before="0" w:beforeAutospacing="0" w:after="0" w:afterAutospacing="0" w:line="440" w:lineRule="exact"/>
              <w:ind w:firstLine="420" w:firstLineChars="200"/>
              <w:rPr>
                <w:rFonts w:ascii="Times New Roman" w:hAnsi="Times New Roman"/>
                <w:color w:val="auto"/>
                <w:sz w:val="21"/>
                <w:szCs w:val="21"/>
              </w:rPr>
            </w:pPr>
          </w:p>
          <w:p w14:paraId="47920B9F">
            <w:pPr>
              <w:pStyle w:val="24"/>
              <w:adjustRightInd w:val="0"/>
              <w:snapToGrid w:val="0"/>
              <w:spacing w:before="0" w:beforeAutospacing="0" w:after="0" w:afterAutospacing="0" w:line="440" w:lineRule="exact"/>
              <w:ind w:firstLine="420" w:firstLineChars="200"/>
              <w:rPr>
                <w:rFonts w:ascii="Times New Roman" w:hAnsi="Times New Roman"/>
                <w:color w:val="auto"/>
                <w:sz w:val="21"/>
                <w:szCs w:val="21"/>
              </w:rPr>
            </w:pPr>
          </w:p>
          <w:p w14:paraId="47378F84">
            <w:pPr>
              <w:pStyle w:val="24"/>
              <w:adjustRightInd w:val="0"/>
              <w:snapToGrid w:val="0"/>
              <w:spacing w:before="0" w:beforeAutospacing="0" w:after="0" w:afterAutospacing="0" w:line="440" w:lineRule="exact"/>
              <w:ind w:firstLine="420" w:firstLineChars="200"/>
              <w:rPr>
                <w:rFonts w:ascii="Times New Roman" w:hAnsi="Times New Roman"/>
                <w:color w:val="auto"/>
                <w:sz w:val="21"/>
                <w:szCs w:val="21"/>
              </w:rPr>
            </w:pPr>
          </w:p>
          <w:p w14:paraId="0640C4F4">
            <w:pPr>
              <w:pStyle w:val="24"/>
              <w:adjustRightInd w:val="0"/>
              <w:snapToGrid w:val="0"/>
              <w:spacing w:before="0" w:beforeAutospacing="0" w:after="0" w:afterAutospacing="0" w:line="440" w:lineRule="exact"/>
              <w:ind w:firstLine="420" w:firstLineChars="200"/>
              <w:rPr>
                <w:rFonts w:ascii="Times New Roman" w:hAnsi="Times New Roman"/>
                <w:color w:val="auto"/>
                <w:sz w:val="21"/>
                <w:szCs w:val="21"/>
              </w:rPr>
            </w:pPr>
          </w:p>
        </w:tc>
      </w:tr>
    </w:tbl>
    <w:p w14:paraId="5DF7A4EE">
      <w:pPr>
        <w:pStyle w:val="24"/>
        <w:jc w:val="center"/>
        <w:rPr>
          <w:rFonts w:ascii="黑体" w:hAnsi="黑体" w:eastAsia="黑体"/>
          <w:snapToGrid w:val="0"/>
          <w:color w:val="auto"/>
          <w:sz w:val="36"/>
          <w:szCs w:val="36"/>
        </w:rPr>
        <w:sectPr>
          <w:pgSz w:w="11905" w:h="16838"/>
          <w:pgMar w:top="1701" w:right="1531" w:bottom="1701" w:left="1531" w:header="851" w:footer="1077" w:gutter="0"/>
          <w:pgBorders>
            <w:top w:val="none" w:sz="0" w:space="0"/>
            <w:left w:val="none" w:sz="0" w:space="0"/>
            <w:bottom w:val="none" w:sz="0" w:space="0"/>
            <w:right w:val="none" w:sz="0" w:space="0"/>
          </w:pgBorders>
          <w:cols w:space="0" w:num="1"/>
          <w:rtlGutter w:val="0"/>
          <w:docGrid w:linePitch="312" w:charSpace="0"/>
        </w:sectPr>
      </w:pPr>
    </w:p>
    <w:p w14:paraId="1DD0A3E1">
      <w:pPr>
        <w:pStyle w:val="24"/>
        <w:adjustRightInd w:val="0"/>
        <w:snapToGrid w:val="0"/>
        <w:spacing w:before="0" w:beforeAutospacing="0" w:after="0" w:afterAutospacing="0" w:line="14" w:lineRule="auto"/>
        <w:jc w:val="center"/>
        <w:rPr>
          <w:rFonts w:ascii="黑体" w:hAnsi="黑体" w:eastAsia="黑体"/>
          <w:snapToGrid w:val="0"/>
          <w:color w:val="auto"/>
          <w:sz w:val="30"/>
          <w:szCs w:val="30"/>
        </w:rPr>
      </w:pPr>
    </w:p>
    <w:p w14:paraId="40BC4405">
      <w:pPr>
        <w:pStyle w:val="24"/>
        <w:jc w:val="center"/>
        <w:outlineLvl w:val="0"/>
        <w:rPr>
          <w:rFonts w:ascii="黑体" w:hAnsi="黑体" w:eastAsia="黑体"/>
          <w:snapToGrid w:val="0"/>
          <w:color w:val="auto"/>
          <w:sz w:val="30"/>
          <w:szCs w:val="30"/>
        </w:rPr>
      </w:pPr>
      <w:bookmarkStart w:id="16" w:name="_Toc24459"/>
      <w:r>
        <w:rPr>
          <w:rFonts w:hint="eastAsia" w:ascii="黑体" w:hAnsi="黑体" w:eastAsia="黑体"/>
          <w:snapToGrid w:val="0"/>
          <w:color w:val="auto"/>
          <w:sz w:val="30"/>
          <w:szCs w:val="30"/>
        </w:rPr>
        <w:t>三、区域环境质量现状、环境保护目标及评价标准</w:t>
      </w:r>
      <w:bookmarkEnd w:id="16"/>
    </w:p>
    <w:tbl>
      <w:tblPr>
        <w:tblStyle w:val="28"/>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800"/>
        <w:gridCol w:w="8190"/>
      </w:tblGrid>
      <w:tr w14:paraId="58E7814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906" w:hRule="atLeast"/>
          <w:jc w:val="center"/>
        </w:trPr>
        <w:tc>
          <w:tcPr>
            <w:tcW w:w="800" w:type="dxa"/>
            <w:vAlign w:val="center"/>
          </w:tcPr>
          <w:p w14:paraId="514653D0">
            <w:pPr>
              <w:adjustRightInd w:val="0"/>
              <w:snapToGrid w:val="0"/>
              <w:jc w:val="center"/>
              <w:rPr>
                <w:rFonts w:ascii="宋体" w:hAnsi="宋体" w:cs="宋体"/>
                <w:color w:val="auto"/>
                <w:kern w:val="0"/>
                <w:szCs w:val="21"/>
              </w:rPr>
            </w:pPr>
            <w:r>
              <w:rPr>
                <w:rFonts w:hint="eastAsia" w:ascii="宋体" w:hAnsi="宋体" w:cs="宋体"/>
                <w:color w:val="auto"/>
                <w:kern w:val="0"/>
                <w:szCs w:val="21"/>
              </w:rPr>
              <w:t>区域</w:t>
            </w:r>
          </w:p>
          <w:p w14:paraId="4BC8BAC0">
            <w:pPr>
              <w:adjustRightInd w:val="0"/>
              <w:snapToGrid w:val="0"/>
              <w:jc w:val="center"/>
              <w:rPr>
                <w:rFonts w:ascii="宋体" w:hAnsi="宋体" w:cs="宋体"/>
                <w:color w:val="auto"/>
                <w:kern w:val="0"/>
                <w:szCs w:val="21"/>
              </w:rPr>
            </w:pPr>
            <w:r>
              <w:rPr>
                <w:rFonts w:hint="eastAsia" w:ascii="宋体" w:hAnsi="宋体" w:cs="宋体"/>
                <w:color w:val="auto"/>
                <w:kern w:val="0"/>
                <w:szCs w:val="21"/>
              </w:rPr>
              <w:t>环境</w:t>
            </w:r>
          </w:p>
          <w:p w14:paraId="7DBFB497">
            <w:pPr>
              <w:adjustRightInd w:val="0"/>
              <w:snapToGrid w:val="0"/>
              <w:jc w:val="center"/>
              <w:rPr>
                <w:rFonts w:ascii="宋体" w:hAnsi="宋体" w:cs="宋体"/>
                <w:color w:val="auto"/>
                <w:kern w:val="0"/>
                <w:szCs w:val="21"/>
              </w:rPr>
            </w:pPr>
            <w:r>
              <w:rPr>
                <w:rFonts w:hint="eastAsia" w:ascii="宋体" w:hAnsi="宋体" w:cs="宋体"/>
                <w:color w:val="auto"/>
                <w:kern w:val="0"/>
                <w:szCs w:val="21"/>
              </w:rPr>
              <w:t>质量</w:t>
            </w:r>
          </w:p>
          <w:p w14:paraId="0F2756B8">
            <w:pPr>
              <w:adjustRightInd w:val="0"/>
              <w:snapToGrid w:val="0"/>
              <w:jc w:val="center"/>
              <w:rPr>
                <w:rFonts w:ascii="宋体" w:hAnsi="宋体" w:cs="宋体"/>
                <w:color w:val="auto"/>
                <w:kern w:val="0"/>
                <w:szCs w:val="21"/>
              </w:rPr>
            </w:pPr>
            <w:r>
              <w:rPr>
                <w:rFonts w:hint="eastAsia" w:ascii="宋体" w:hAnsi="宋体" w:cs="宋体"/>
                <w:color w:val="auto"/>
                <w:kern w:val="0"/>
                <w:szCs w:val="21"/>
              </w:rPr>
              <w:t>现状</w:t>
            </w:r>
          </w:p>
        </w:tc>
        <w:tc>
          <w:tcPr>
            <w:tcW w:w="8190" w:type="dxa"/>
            <w:vAlign w:val="center"/>
          </w:tcPr>
          <w:p w14:paraId="28D9B516">
            <w:pPr>
              <w:pStyle w:val="24"/>
              <w:adjustRightInd w:val="0"/>
              <w:snapToGrid w:val="0"/>
              <w:spacing w:before="0" w:beforeAutospacing="0" w:after="0" w:afterAutospacing="0" w:line="440" w:lineRule="exact"/>
              <w:ind w:firstLine="422" w:firstLineChars="200"/>
              <w:rPr>
                <w:rFonts w:ascii="Times New Roman" w:hAnsi="Times New Roman"/>
                <w:b/>
                <w:color w:val="auto"/>
                <w:sz w:val="21"/>
                <w:szCs w:val="21"/>
              </w:rPr>
            </w:pPr>
            <w:r>
              <w:rPr>
                <w:rFonts w:hint="eastAsia" w:ascii="Times New Roman" w:hAnsi="Times New Roman"/>
                <w:b/>
                <w:color w:val="auto"/>
                <w:sz w:val="21"/>
                <w:szCs w:val="21"/>
              </w:rPr>
              <w:t>1.</w:t>
            </w:r>
            <w:r>
              <w:rPr>
                <w:rFonts w:ascii="Times New Roman" w:hAnsi="Times New Roman"/>
                <w:b/>
                <w:color w:val="auto"/>
                <w:sz w:val="21"/>
                <w:szCs w:val="21"/>
              </w:rPr>
              <w:t>环境空气</w:t>
            </w:r>
          </w:p>
          <w:p w14:paraId="636CD5FF">
            <w:pPr>
              <w:pStyle w:val="24"/>
              <w:keepNext w:val="0"/>
              <w:keepLines w:val="0"/>
              <w:pageBreakBefore w:val="0"/>
              <w:widowControl/>
              <w:kinsoku/>
              <w:wordWrap/>
              <w:overflowPunct/>
              <w:topLinePunct w:val="0"/>
              <w:autoSpaceDE/>
              <w:autoSpaceDN/>
              <w:bidi w:val="0"/>
              <w:adjustRightInd w:val="0"/>
              <w:snapToGrid w:val="0"/>
              <w:spacing w:before="0" w:beforeAutospacing="0" w:after="0" w:afterAutospacing="0" w:line="440" w:lineRule="exact"/>
              <w:ind w:firstLine="420" w:firstLineChars="200"/>
              <w:textAlignment w:val="auto"/>
              <w:rPr>
                <w:rFonts w:hint="eastAsia" w:ascii="Times New Roman" w:hAnsi="Times New Roman"/>
                <w:color w:val="auto"/>
                <w:sz w:val="21"/>
                <w:szCs w:val="21"/>
                <w:highlight w:val="none"/>
              </w:rPr>
            </w:pPr>
            <w:r>
              <w:rPr>
                <w:rFonts w:hint="eastAsia" w:ascii="Times New Roman" w:hAnsi="Times New Roman"/>
                <w:color w:val="auto"/>
                <w:sz w:val="21"/>
                <w:szCs w:val="21"/>
                <w:highlight w:val="none"/>
              </w:rPr>
              <w:t>（1）基本污染物环境质量现状</w:t>
            </w:r>
          </w:p>
          <w:p w14:paraId="156003AD">
            <w:pPr>
              <w:pStyle w:val="24"/>
              <w:adjustRightInd w:val="0"/>
              <w:snapToGrid w:val="0"/>
              <w:spacing w:before="0" w:beforeAutospacing="0" w:after="0" w:afterAutospacing="0" w:line="440" w:lineRule="exact"/>
              <w:ind w:firstLine="420" w:firstLineChars="200"/>
              <w:rPr>
                <w:rFonts w:hint="eastAsia" w:ascii="Times New Roman" w:hAnsi="Times New Roman" w:eastAsia="宋体" w:cs="Times New Roman"/>
                <w:color w:val="auto"/>
                <w:sz w:val="21"/>
                <w:szCs w:val="21"/>
                <w:highlight w:val="none"/>
              </w:rPr>
            </w:pPr>
            <w:r>
              <w:rPr>
                <w:rFonts w:hint="eastAsia" w:ascii="Times New Roman" w:hAnsi="Times New Roman" w:eastAsia="宋体" w:cs="Times New Roman"/>
                <w:color w:val="auto"/>
                <w:sz w:val="21"/>
                <w:szCs w:val="21"/>
                <w:highlight w:val="none"/>
              </w:rPr>
              <w:t>本项目基本染物环境质量现状数据使用</w:t>
            </w:r>
            <w:r>
              <w:rPr>
                <w:rFonts w:hint="eastAsia" w:ascii="Times New Roman" w:hAnsi="Times New Roman" w:eastAsia="宋体" w:cs="Times New Roman"/>
                <w:color w:val="auto"/>
                <w:sz w:val="21"/>
                <w:szCs w:val="21"/>
                <w:highlight w:val="none"/>
                <w:lang w:val="en-US" w:eastAsia="zh-CN"/>
              </w:rPr>
              <w:t>河北省</w:t>
            </w:r>
            <w:r>
              <w:rPr>
                <w:rFonts w:hint="eastAsia" w:ascii="Times New Roman" w:hAnsi="Times New Roman" w:eastAsia="宋体" w:cs="Times New Roman"/>
                <w:color w:val="auto"/>
                <w:sz w:val="21"/>
                <w:szCs w:val="21"/>
                <w:highlight w:val="none"/>
              </w:rPr>
              <w:t>生态环境</w:t>
            </w:r>
            <w:r>
              <w:rPr>
                <w:rFonts w:hint="eastAsia" w:ascii="Times New Roman" w:hAnsi="Times New Roman" w:eastAsia="宋体" w:cs="Times New Roman"/>
                <w:color w:val="auto"/>
                <w:sz w:val="21"/>
                <w:szCs w:val="21"/>
                <w:highlight w:val="none"/>
                <w:lang w:val="en-US" w:eastAsia="zh-CN"/>
              </w:rPr>
              <w:t>厅</w:t>
            </w:r>
            <w:r>
              <w:rPr>
                <w:rFonts w:hint="eastAsia" w:ascii="Times New Roman" w:hAnsi="Times New Roman" w:eastAsia="宋体" w:cs="Times New Roman"/>
                <w:color w:val="auto"/>
                <w:sz w:val="21"/>
                <w:szCs w:val="21"/>
                <w:highlight w:val="none"/>
              </w:rPr>
              <w:t>发布的《202</w:t>
            </w:r>
            <w:r>
              <w:rPr>
                <w:rFonts w:hint="eastAsia" w:ascii="Times New Roman" w:hAnsi="Times New Roman" w:cs="Times New Roman"/>
                <w:color w:val="auto"/>
                <w:sz w:val="21"/>
                <w:szCs w:val="21"/>
                <w:highlight w:val="none"/>
                <w:lang w:val="en-US" w:eastAsia="zh-CN"/>
              </w:rPr>
              <w:t>4</w:t>
            </w:r>
            <w:r>
              <w:rPr>
                <w:rFonts w:hint="eastAsia" w:ascii="Times New Roman" w:hAnsi="Times New Roman" w:eastAsia="宋体" w:cs="Times New Roman"/>
                <w:color w:val="auto"/>
                <w:sz w:val="21"/>
                <w:szCs w:val="21"/>
                <w:highlight w:val="none"/>
              </w:rPr>
              <w:t>年</w:t>
            </w:r>
            <w:r>
              <w:rPr>
                <w:rFonts w:hint="eastAsia" w:ascii="Times New Roman" w:hAnsi="Times New Roman" w:eastAsia="宋体" w:cs="Times New Roman"/>
                <w:color w:val="auto"/>
                <w:sz w:val="21"/>
                <w:szCs w:val="21"/>
                <w:highlight w:val="none"/>
                <w:lang w:val="en-US" w:eastAsia="zh-CN"/>
              </w:rPr>
              <w:t>河北省生态</w:t>
            </w:r>
            <w:r>
              <w:rPr>
                <w:rFonts w:hint="eastAsia" w:ascii="Times New Roman" w:hAnsi="Times New Roman" w:eastAsia="宋体" w:cs="Times New Roman"/>
                <w:color w:val="auto"/>
                <w:sz w:val="21"/>
                <w:szCs w:val="21"/>
                <w:highlight w:val="none"/>
              </w:rPr>
              <w:t>环境状况公报》中对</w:t>
            </w:r>
            <w:r>
              <w:rPr>
                <w:rFonts w:hint="eastAsia" w:ascii="Times New Roman" w:hAnsi="Times New Roman" w:eastAsia="宋体" w:cs="Times New Roman"/>
                <w:color w:val="auto"/>
                <w:sz w:val="21"/>
                <w:szCs w:val="21"/>
                <w:highlight w:val="none"/>
                <w:lang w:val="en-US" w:eastAsia="zh-CN"/>
              </w:rPr>
              <w:t>唐山市</w:t>
            </w:r>
            <w:r>
              <w:rPr>
                <w:rFonts w:hint="eastAsia" w:ascii="Times New Roman" w:hAnsi="Times New Roman" w:eastAsia="宋体" w:cs="Times New Roman"/>
                <w:color w:val="auto"/>
                <w:sz w:val="21"/>
                <w:szCs w:val="21"/>
                <w:highlight w:val="none"/>
              </w:rPr>
              <w:t>的监测数据</w:t>
            </w:r>
            <w:r>
              <w:rPr>
                <w:rFonts w:hint="eastAsia" w:ascii="Times New Roman" w:hAnsi="Times New Roman" w:eastAsia="宋体" w:cs="Times New Roman"/>
                <w:color w:val="auto"/>
                <w:sz w:val="21"/>
                <w:szCs w:val="21"/>
                <w:highlight w:val="none"/>
                <w:lang w:val="en-US" w:eastAsia="zh-CN"/>
              </w:rPr>
              <w:t>进行判定</w:t>
            </w:r>
            <w:r>
              <w:rPr>
                <w:rFonts w:hint="eastAsia" w:ascii="Times New Roman" w:hAnsi="Times New Roman" w:eastAsia="宋体" w:cs="Times New Roman"/>
                <w:color w:val="auto"/>
                <w:sz w:val="21"/>
                <w:szCs w:val="21"/>
                <w:highlight w:val="none"/>
              </w:rPr>
              <w:t>，具体情况见下表</w:t>
            </w:r>
            <w:r>
              <w:rPr>
                <w:rFonts w:hint="eastAsia" w:ascii="Times New Roman" w:hAnsi="Times New Roman" w:cs="Times New Roman"/>
                <w:color w:val="auto"/>
                <w:sz w:val="21"/>
                <w:szCs w:val="21"/>
                <w:highlight w:val="none"/>
                <w:lang w:val="en-US" w:eastAsia="zh-CN"/>
              </w:rPr>
              <w:t>16</w:t>
            </w:r>
            <w:r>
              <w:rPr>
                <w:rFonts w:hint="eastAsia" w:ascii="Times New Roman" w:hAnsi="Times New Roman" w:eastAsia="宋体" w:cs="Times New Roman"/>
                <w:color w:val="auto"/>
                <w:sz w:val="21"/>
                <w:szCs w:val="21"/>
                <w:highlight w:val="none"/>
              </w:rPr>
              <w:t>。</w:t>
            </w:r>
          </w:p>
          <w:p w14:paraId="07406F25">
            <w:pPr>
              <w:tabs>
                <w:tab w:val="left" w:pos="4253"/>
              </w:tabs>
              <w:spacing w:line="440" w:lineRule="exact"/>
              <w:jc w:val="center"/>
              <w:rPr>
                <w:b/>
                <w:color w:val="auto"/>
                <w:szCs w:val="21"/>
                <w:highlight w:val="none"/>
                <w:lang w:bidi="ar"/>
              </w:rPr>
            </w:pPr>
            <w:r>
              <w:rPr>
                <w:b/>
                <w:color w:val="auto"/>
                <w:szCs w:val="21"/>
                <w:highlight w:val="none"/>
                <w:lang w:bidi="ar"/>
              </w:rPr>
              <w:t>表</w:t>
            </w:r>
            <w:r>
              <w:rPr>
                <w:rFonts w:hint="eastAsia"/>
                <w:b/>
                <w:color w:val="auto"/>
                <w:szCs w:val="21"/>
                <w:highlight w:val="none"/>
                <w:lang w:val="en-US" w:eastAsia="zh-CN" w:bidi="ar"/>
              </w:rPr>
              <w:t>16</w:t>
            </w:r>
            <w:r>
              <w:rPr>
                <w:b/>
                <w:color w:val="auto"/>
                <w:szCs w:val="21"/>
                <w:highlight w:val="none"/>
                <w:lang w:bidi="ar"/>
              </w:rPr>
              <w:t xml:space="preserve">  202</w:t>
            </w:r>
            <w:r>
              <w:rPr>
                <w:rFonts w:hint="eastAsia"/>
                <w:b/>
                <w:color w:val="auto"/>
                <w:szCs w:val="21"/>
                <w:highlight w:val="none"/>
                <w:lang w:val="en-US" w:eastAsia="zh-CN" w:bidi="ar"/>
              </w:rPr>
              <w:t>4</w:t>
            </w:r>
            <w:r>
              <w:rPr>
                <w:b/>
                <w:color w:val="auto"/>
                <w:szCs w:val="21"/>
                <w:highlight w:val="none"/>
                <w:lang w:bidi="ar"/>
              </w:rPr>
              <w:t>年</w:t>
            </w:r>
            <w:r>
              <w:rPr>
                <w:rFonts w:hint="eastAsia"/>
                <w:b/>
                <w:color w:val="auto"/>
                <w:szCs w:val="21"/>
                <w:highlight w:val="none"/>
                <w:lang w:bidi="ar"/>
              </w:rPr>
              <w:t>唐山市</w:t>
            </w:r>
            <w:r>
              <w:rPr>
                <w:b/>
                <w:color w:val="auto"/>
                <w:szCs w:val="21"/>
                <w:highlight w:val="none"/>
                <w:lang w:bidi="ar"/>
              </w:rPr>
              <w:t>环境空气质量监测结果</w:t>
            </w:r>
          </w:p>
          <w:tbl>
            <w:tblPr>
              <w:tblStyle w:val="28"/>
              <w:tblW w:w="4998"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15" w:type="dxa"/>
                <w:left w:w="15" w:type="dxa"/>
                <w:bottom w:w="15" w:type="dxa"/>
                <w:right w:w="15" w:type="dxa"/>
              </w:tblCellMar>
            </w:tblPr>
            <w:tblGrid>
              <w:gridCol w:w="854"/>
              <w:gridCol w:w="2642"/>
              <w:gridCol w:w="1269"/>
              <w:gridCol w:w="1210"/>
              <w:gridCol w:w="898"/>
              <w:gridCol w:w="1098"/>
            </w:tblGrid>
            <w:tr w14:paraId="1CFD9BC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15" w:type="dxa"/>
                  <w:left w:w="15" w:type="dxa"/>
                  <w:bottom w:w="15" w:type="dxa"/>
                  <w:right w:w="15" w:type="dxa"/>
                </w:tblCellMar>
              </w:tblPrEx>
              <w:trPr>
                <w:trHeight w:val="585" w:hRule="atLeast"/>
              </w:trPr>
              <w:tc>
                <w:tcPr>
                  <w:tcW w:w="535" w:type="pct"/>
                  <w:vAlign w:val="center"/>
                </w:tcPr>
                <w:p w14:paraId="3C49F123">
                  <w:pPr>
                    <w:jc w:val="center"/>
                    <w:rPr>
                      <w:color w:val="auto"/>
                      <w:sz w:val="18"/>
                      <w:szCs w:val="18"/>
                      <w:highlight w:val="none"/>
                    </w:rPr>
                  </w:pPr>
                  <w:r>
                    <w:rPr>
                      <w:color w:val="auto"/>
                      <w:sz w:val="18"/>
                      <w:szCs w:val="18"/>
                      <w:highlight w:val="none"/>
                    </w:rPr>
                    <w:t>污染物</w:t>
                  </w:r>
                </w:p>
              </w:tc>
              <w:tc>
                <w:tcPr>
                  <w:tcW w:w="1656" w:type="pct"/>
                  <w:vAlign w:val="center"/>
                </w:tcPr>
                <w:p w14:paraId="310C03FB">
                  <w:pPr>
                    <w:jc w:val="center"/>
                    <w:rPr>
                      <w:color w:val="auto"/>
                      <w:sz w:val="18"/>
                      <w:szCs w:val="18"/>
                      <w:highlight w:val="none"/>
                    </w:rPr>
                  </w:pPr>
                  <w:r>
                    <w:rPr>
                      <w:color w:val="auto"/>
                      <w:sz w:val="18"/>
                      <w:szCs w:val="18"/>
                      <w:highlight w:val="none"/>
                    </w:rPr>
                    <w:t>年评价指标</w:t>
                  </w:r>
                </w:p>
              </w:tc>
              <w:tc>
                <w:tcPr>
                  <w:tcW w:w="796" w:type="pct"/>
                  <w:vAlign w:val="center"/>
                </w:tcPr>
                <w:p w14:paraId="282B9201">
                  <w:pPr>
                    <w:jc w:val="center"/>
                    <w:rPr>
                      <w:color w:val="auto"/>
                      <w:sz w:val="18"/>
                      <w:szCs w:val="18"/>
                      <w:highlight w:val="none"/>
                    </w:rPr>
                  </w:pPr>
                  <w:r>
                    <w:rPr>
                      <w:color w:val="auto"/>
                      <w:sz w:val="18"/>
                      <w:szCs w:val="18"/>
                      <w:highlight w:val="none"/>
                    </w:rPr>
                    <w:t>现状浓度/（µg/m</w:t>
                  </w:r>
                  <w:r>
                    <w:rPr>
                      <w:color w:val="auto"/>
                      <w:sz w:val="18"/>
                      <w:szCs w:val="18"/>
                      <w:highlight w:val="none"/>
                      <w:vertAlign w:val="superscript"/>
                    </w:rPr>
                    <w:t>3</w:t>
                  </w:r>
                  <w:r>
                    <w:rPr>
                      <w:color w:val="auto"/>
                      <w:sz w:val="18"/>
                      <w:szCs w:val="18"/>
                      <w:highlight w:val="none"/>
                    </w:rPr>
                    <w:t>）</w:t>
                  </w:r>
                </w:p>
              </w:tc>
              <w:tc>
                <w:tcPr>
                  <w:tcW w:w="759" w:type="pct"/>
                  <w:vAlign w:val="center"/>
                </w:tcPr>
                <w:p w14:paraId="2877B695">
                  <w:pPr>
                    <w:jc w:val="center"/>
                    <w:rPr>
                      <w:color w:val="auto"/>
                      <w:sz w:val="18"/>
                      <w:szCs w:val="18"/>
                      <w:highlight w:val="none"/>
                    </w:rPr>
                  </w:pPr>
                  <w:r>
                    <w:rPr>
                      <w:color w:val="auto"/>
                      <w:sz w:val="18"/>
                      <w:szCs w:val="18"/>
                      <w:highlight w:val="none"/>
                    </w:rPr>
                    <w:t>标准值/（µg/m</w:t>
                  </w:r>
                  <w:r>
                    <w:rPr>
                      <w:color w:val="auto"/>
                      <w:sz w:val="18"/>
                      <w:szCs w:val="18"/>
                      <w:highlight w:val="none"/>
                      <w:vertAlign w:val="superscript"/>
                    </w:rPr>
                    <w:t>3</w:t>
                  </w:r>
                  <w:r>
                    <w:rPr>
                      <w:color w:val="auto"/>
                      <w:sz w:val="18"/>
                      <w:szCs w:val="18"/>
                      <w:highlight w:val="none"/>
                    </w:rPr>
                    <w:t>）</w:t>
                  </w:r>
                </w:p>
              </w:tc>
              <w:tc>
                <w:tcPr>
                  <w:tcW w:w="563" w:type="pct"/>
                  <w:vAlign w:val="center"/>
                </w:tcPr>
                <w:p w14:paraId="791AD950">
                  <w:pPr>
                    <w:jc w:val="center"/>
                    <w:rPr>
                      <w:color w:val="auto"/>
                      <w:sz w:val="18"/>
                      <w:szCs w:val="18"/>
                      <w:highlight w:val="none"/>
                    </w:rPr>
                  </w:pPr>
                  <w:r>
                    <w:rPr>
                      <w:color w:val="auto"/>
                      <w:sz w:val="18"/>
                      <w:szCs w:val="18"/>
                      <w:highlight w:val="none"/>
                    </w:rPr>
                    <w:t>占标率/%</w:t>
                  </w:r>
                </w:p>
              </w:tc>
              <w:tc>
                <w:tcPr>
                  <w:tcW w:w="689" w:type="pct"/>
                  <w:vAlign w:val="center"/>
                </w:tcPr>
                <w:p w14:paraId="63EB3CDF">
                  <w:pPr>
                    <w:jc w:val="center"/>
                    <w:rPr>
                      <w:color w:val="auto"/>
                      <w:sz w:val="18"/>
                      <w:szCs w:val="18"/>
                      <w:highlight w:val="none"/>
                    </w:rPr>
                  </w:pPr>
                  <w:r>
                    <w:rPr>
                      <w:color w:val="auto"/>
                      <w:sz w:val="18"/>
                      <w:szCs w:val="18"/>
                      <w:highlight w:val="none"/>
                    </w:rPr>
                    <w:t>达标情况</w:t>
                  </w:r>
                </w:p>
              </w:tc>
            </w:tr>
            <w:tr w14:paraId="7D527E6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15" w:type="dxa"/>
                  <w:left w:w="15" w:type="dxa"/>
                  <w:bottom w:w="15" w:type="dxa"/>
                  <w:right w:w="15" w:type="dxa"/>
                </w:tblCellMar>
              </w:tblPrEx>
              <w:trPr>
                <w:trHeight w:val="340" w:hRule="exact"/>
              </w:trPr>
              <w:tc>
                <w:tcPr>
                  <w:tcW w:w="535" w:type="pct"/>
                  <w:vAlign w:val="center"/>
                </w:tcPr>
                <w:p w14:paraId="14291E57">
                  <w:pPr>
                    <w:jc w:val="center"/>
                    <w:rPr>
                      <w:color w:val="auto"/>
                      <w:sz w:val="18"/>
                      <w:szCs w:val="18"/>
                      <w:highlight w:val="none"/>
                    </w:rPr>
                  </w:pPr>
                  <w:r>
                    <w:rPr>
                      <w:color w:val="auto"/>
                      <w:sz w:val="18"/>
                      <w:szCs w:val="18"/>
                      <w:highlight w:val="none"/>
                    </w:rPr>
                    <w:t>SO</w:t>
                  </w:r>
                  <w:r>
                    <w:rPr>
                      <w:color w:val="auto"/>
                      <w:sz w:val="18"/>
                      <w:szCs w:val="18"/>
                      <w:highlight w:val="none"/>
                      <w:vertAlign w:val="subscript"/>
                    </w:rPr>
                    <w:t>2</w:t>
                  </w:r>
                </w:p>
              </w:tc>
              <w:tc>
                <w:tcPr>
                  <w:tcW w:w="1656" w:type="pct"/>
                  <w:vAlign w:val="center"/>
                </w:tcPr>
                <w:p w14:paraId="624AD1DE">
                  <w:pPr>
                    <w:jc w:val="center"/>
                    <w:rPr>
                      <w:color w:val="auto"/>
                      <w:sz w:val="18"/>
                      <w:szCs w:val="18"/>
                      <w:highlight w:val="none"/>
                    </w:rPr>
                  </w:pPr>
                  <w:r>
                    <w:rPr>
                      <w:color w:val="auto"/>
                      <w:sz w:val="18"/>
                      <w:szCs w:val="18"/>
                      <w:highlight w:val="none"/>
                    </w:rPr>
                    <w:t>年平均质量浓度</w:t>
                  </w:r>
                </w:p>
              </w:tc>
              <w:tc>
                <w:tcPr>
                  <w:tcW w:w="796" w:type="pct"/>
                  <w:vAlign w:val="center"/>
                </w:tcPr>
                <w:p w14:paraId="0B3E8ED0">
                  <w:pPr>
                    <w:jc w:val="center"/>
                    <w:rPr>
                      <w:rFonts w:hint="eastAsia" w:eastAsia="宋体"/>
                      <w:color w:val="auto"/>
                      <w:sz w:val="18"/>
                      <w:szCs w:val="18"/>
                      <w:highlight w:val="none"/>
                      <w:lang w:eastAsia="zh-CN"/>
                    </w:rPr>
                  </w:pPr>
                  <w:r>
                    <w:rPr>
                      <w:rFonts w:hint="eastAsia"/>
                      <w:color w:val="auto"/>
                      <w:sz w:val="18"/>
                      <w:szCs w:val="18"/>
                      <w:highlight w:val="none"/>
                      <w:lang w:val="en-US" w:eastAsia="zh-CN"/>
                    </w:rPr>
                    <w:t>7</w:t>
                  </w:r>
                </w:p>
              </w:tc>
              <w:tc>
                <w:tcPr>
                  <w:tcW w:w="759" w:type="pct"/>
                  <w:vAlign w:val="center"/>
                </w:tcPr>
                <w:p w14:paraId="608DF8BF">
                  <w:pPr>
                    <w:jc w:val="center"/>
                    <w:rPr>
                      <w:color w:val="auto"/>
                      <w:sz w:val="18"/>
                      <w:szCs w:val="18"/>
                      <w:highlight w:val="none"/>
                    </w:rPr>
                  </w:pPr>
                  <w:r>
                    <w:rPr>
                      <w:color w:val="auto"/>
                      <w:sz w:val="18"/>
                      <w:szCs w:val="18"/>
                      <w:highlight w:val="none"/>
                    </w:rPr>
                    <w:t>60</w:t>
                  </w:r>
                </w:p>
              </w:tc>
              <w:tc>
                <w:tcPr>
                  <w:tcW w:w="899" w:type="dxa"/>
                  <w:vAlign w:val="center"/>
                </w:tcPr>
                <w:p w14:paraId="70B6E626">
                  <w:pPr>
                    <w:jc w:val="center"/>
                    <w:rPr>
                      <w:rFonts w:hint="default" w:ascii="Times New Roman" w:hAnsi="Times New Roman" w:eastAsia="宋体" w:cs="Times New Roman"/>
                      <w:color w:val="auto"/>
                      <w:sz w:val="18"/>
                      <w:szCs w:val="18"/>
                      <w:highlight w:val="cyan"/>
                      <w:lang w:val="en-US" w:eastAsia="zh-CN"/>
                    </w:rPr>
                  </w:pPr>
                  <w:r>
                    <w:rPr>
                      <w:rFonts w:hint="eastAsia" w:ascii="Times New Roman" w:hAnsi="Times New Roman" w:eastAsia="宋体" w:cs="Times New Roman"/>
                      <w:color w:val="auto"/>
                      <w:sz w:val="18"/>
                      <w:szCs w:val="18"/>
                      <w:highlight w:val="none"/>
                      <w:lang w:val="en-US" w:eastAsia="zh-CN"/>
                    </w:rPr>
                    <w:t>11.67%</w:t>
                  </w:r>
                </w:p>
              </w:tc>
              <w:tc>
                <w:tcPr>
                  <w:tcW w:w="689" w:type="pct"/>
                  <w:vAlign w:val="center"/>
                </w:tcPr>
                <w:p w14:paraId="108328F3">
                  <w:pPr>
                    <w:jc w:val="center"/>
                    <w:rPr>
                      <w:color w:val="auto"/>
                      <w:sz w:val="18"/>
                      <w:szCs w:val="18"/>
                      <w:highlight w:val="none"/>
                    </w:rPr>
                  </w:pPr>
                  <w:r>
                    <w:rPr>
                      <w:color w:val="auto"/>
                      <w:sz w:val="18"/>
                      <w:szCs w:val="18"/>
                      <w:highlight w:val="none"/>
                    </w:rPr>
                    <w:t>达标</w:t>
                  </w:r>
                </w:p>
              </w:tc>
            </w:tr>
            <w:tr w14:paraId="2B9D3D8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15" w:type="dxa"/>
                  <w:left w:w="15" w:type="dxa"/>
                  <w:bottom w:w="15" w:type="dxa"/>
                  <w:right w:w="15" w:type="dxa"/>
                </w:tblCellMar>
              </w:tblPrEx>
              <w:trPr>
                <w:trHeight w:val="340" w:hRule="exact"/>
              </w:trPr>
              <w:tc>
                <w:tcPr>
                  <w:tcW w:w="535" w:type="pct"/>
                  <w:vAlign w:val="center"/>
                </w:tcPr>
                <w:p w14:paraId="71DD38E1">
                  <w:pPr>
                    <w:jc w:val="center"/>
                    <w:rPr>
                      <w:color w:val="auto"/>
                      <w:sz w:val="18"/>
                      <w:szCs w:val="18"/>
                      <w:highlight w:val="none"/>
                    </w:rPr>
                  </w:pPr>
                  <w:r>
                    <w:rPr>
                      <w:color w:val="auto"/>
                      <w:sz w:val="18"/>
                      <w:szCs w:val="18"/>
                      <w:highlight w:val="none"/>
                    </w:rPr>
                    <w:t>NO</w:t>
                  </w:r>
                  <w:r>
                    <w:rPr>
                      <w:color w:val="auto"/>
                      <w:sz w:val="18"/>
                      <w:szCs w:val="18"/>
                      <w:highlight w:val="none"/>
                      <w:vertAlign w:val="subscript"/>
                    </w:rPr>
                    <w:t>2</w:t>
                  </w:r>
                </w:p>
              </w:tc>
              <w:tc>
                <w:tcPr>
                  <w:tcW w:w="1656" w:type="pct"/>
                  <w:vAlign w:val="center"/>
                </w:tcPr>
                <w:p w14:paraId="7AAA4115">
                  <w:pPr>
                    <w:jc w:val="center"/>
                    <w:rPr>
                      <w:color w:val="auto"/>
                      <w:sz w:val="18"/>
                      <w:szCs w:val="18"/>
                      <w:highlight w:val="none"/>
                    </w:rPr>
                  </w:pPr>
                  <w:r>
                    <w:rPr>
                      <w:color w:val="auto"/>
                      <w:sz w:val="18"/>
                      <w:szCs w:val="18"/>
                      <w:highlight w:val="none"/>
                    </w:rPr>
                    <w:t>年平均质量浓度</w:t>
                  </w:r>
                </w:p>
              </w:tc>
              <w:tc>
                <w:tcPr>
                  <w:tcW w:w="796" w:type="pct"/>
                  <w:vAlign w:val="center"/>
                </w:tcPr>
                <w:p w14:paraId="5B52C3A2">
                  <w:pPr>
                    <w:jc w:val="center"/>
                    <w:rPr>
                      <w:rFonts w:hint="default" w:eastAsia="宋体"/>
                      <w:color w:val="auto"/>
                      <w:sz w:val="18"/>
                      <w:szCs w:val="18"/>
                      <w:highlight w:val="none"/>
                      <w:lang w:val="en-US" w:eastAsia="zh-CN"/>
                    </w:rPr>
                  </w:pPr>
                  <w:r>
                    <w:rPr>
                      <w:rFonts w:hint="eastAsia"/>
                      <w:color w:val="auto"/>
                      <w:sz w:val="18"/>
                      <w:szCs w:val="18"/>
                      <w:highlight w:val="none"/>
                      <w:lang w:val="en-US" w:eastAsia="zh-CN"/>
                    </w:rPr>
                    <w:t>27</w:t>
                  </w:r>
                </w:p>
              </w:tc>
              <w:tc>
                <w:tcPr>
                  <w:tcW w:w="759" w:type="pct"/>
                  <w:vAlign w:val="center"/>
                </w:tcPr>
                <w:p w14:paraId="1590CBDC">
                  <w:pPr>
                    <w:jc w:val="center"/>
                    <w:rPr>
                      <w:color w:val="auto"/>
                      <w:sz w:val="18"/>
                      <w:szCs w:val="18"/>
                      <w:highlight w:val="none"/>
                    </w:rPr>
                  </w:pPr>
                  <w:r>
                    <w:rPr>
                      <w:color w:val="auto"/>
                      <w:sz w:val="18"/>
                      <w:szCs w:val="18"/>
                      <w:highlight w:val="none"/>
                    </w:rPr>
                    <w:t>40</w:t>
                  </w:r>
                </w:p>
              </w:tc>
              <w:tc>
                <w:tcPr>
                  <w:tcW w:w="899" w:type="dxa"/>
                  <w:vAlign w:val="center"/>
                </w:tcPr>
                <w:p w14:paraId="16B7335F">
                  <w:pPr>
                    <w:jc w:val="center"/>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67.50%</w:t>
                  </w:r>
                </w:p>
              </w:tc>
              <w:tc>
                <w:tcPr>
                  <w:tcW w:w="689" w:type="pct"/>
                  <w:vAlign w:val="center"/>
                </w:tcPr>
                <w:p w14:paraId="59536BAF">
                  <w:pPr>
                    <w:jc w:val="center"/>
                    <w:rPr>
                      <w:color w:val="auto"/>
                      <w:sz w:val="18"/>
                      <w:szCs w:val="18"/>
                      <w:highlight w:val="none"/>
                    </w:rPr>
                  </w:pPr>
                  <w:r>
                    <w:rPr>
                      <w:color w:val="auto"/>
                      <w:sz w:val="18"/>
                      <w:szCs w:val="18"/>
                      <w:highlight w:val="none"/>
                    </w:rPr>
                    <w:t>达标</w:t>
                  </w:r>
                </w:p>
              </w:tc>
            </w:tr>
            <w:tr w14:paraId="1586E43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15" w:type="dxa"/>
                  <w:left w:w="15" w:type="dxa"/>
                  <w:bottom w:w="15" w:type="dxa"/>
                  <w:right w:w="15" w:type="dxa"/>
                </w:tblCellMar>
              </w:tblPrEx>
              <w:trPr>
                <w:trHeight w:val="340" w:hRule="exact"/>
              </w:trPr>
              <w:tc>
                <w:tcPr>
                  <w:tcW w:w="535" w:type="pct"/>
                  <w:vAlign w:val="center"/>
                </w:tcPr>
                <w:p w14:paraId="1185BE66">
                  <w:pPr>
                    <w:jc w:val="center"/>
                    <w:rPr>
                      <w:color w:val="auto"/>
                      <w:sz w:val="18"/>
                      <w:szCs w:val="18"/>
                      <w:highlight w:val="none"/>
                    </w:rPr>
                  </w:pPr>
                  <w:r>
                    <w:rPr>
                      <w:color w:val="auto"/>
                      <w:sz w:val="18"/>
                      <w:szCs w:val="18"/>
                      <w:highlight w:val="none"/>
                    </w:rPr>
                    <w:t>PM</w:t>
                  </w:r>
                  <w:r>
                    <w:rPr>
                      <w:color w:val="auto"/>
                      <w:sz w:val="18"/>
                      <w:szCs w:val="18"/>
                      <w:highlight w:val="none"/>
                      <w:vertAlign w:val="subscript"/>
                    </w:rPr>
                    <w:t>10</w:t>
                  </w:r>
                </w:p>
              </w:tc>
              <w:tc>
                <w:tcPr>
                  <w:tcW w:w="1656" w:type="pct"/>
                  <w:vAlign w:val="center"/>
                </w:tcPr>
                <w:p w14:paraId="43291322">
                  <w:pPr>
                    <w:jc w:val="center"/>
                    <w:rPr>
                      <w:color w:val="auto"/>
                      <w:sz w:val="18"/>
                      <w:szCs w:val="18"/>
                      <w:highlight w:val="none"/>
                    </w:rPr>
                  </w:pPr>
                  <w:r>
                    <w:rPr>
                      <w:color w:val="auto"/>
                      <w:sz w:val="18"/>
                      <w:szCs w:val="18"/>
                      <w:highlight w:val="none"/>
                    </w:rPr>
                    <w:t>年平均质量浓度</w:t>
                  </w:r>
                </w:p>
              </w:tc>
              <w:tc>
                <w:tcPr>
                  <w:tcW w:w="796" w:type="pct"/>
                  <w:vAlign w:val="center"/>
                </w:tcPr>
                <w:p w14:paraId="51534B10">
                  <w:pPr>
                    <w:jc w:val="center"/>
                    <w:rPr>
                      <w:rFonts w:hint="default" w:eastAsia="宋体"/>
                      <w:color w:val="auto"/>
                      <w:sz w:val="18"/>
                      <w:szCs w:val="18"/>
                      <w:highlight w:val="none"/>
                      <w:lang w:val="en-US" w:eastAsia="zh-CN"/>
                    </w:rPr>
                  </w:pPr>
                  <w:r>
                    <w:rPr>
                      <w:rFonts w:hint="eastAsia"/>
                      <w:color w:val="auto"/>
                      <w:sz w:val="18"/>
                      <w:szCs w:val="18"/>
                      <w:highlight w:val="none"/>
                      <w:lang w:val="en-US" w:eastAsia="zh-CN"/>
                    </w:rPr>
                    <w:t>68</w:t>
                  </w:r>
                </w:p>
              </w:tc>
              <w:tc>
                <w:tcPr>
                  <w:tcW w:w="759" w:type="pct"/>
                  <w:vAlign w:val="center"/>
                </w:tcPr>
                <w:p w14:paraId="36E43EDE">
                  <w:pPr>
                    <w:jc w:val="center"/>
                    <w:rPr>
                      <w:color w:val="auto"/>
                      <w:sz w:val="18"/>
                      <w:szCs w:val="18"/>
                      <w:highlight w:val="none"/>
                    </w:rPr>
                  </w:pPr>
                  <w:r>
                    <w:rPr>
                      <w:color w:val="auto"/>
                      <w:sz w:val="18"/>
                      <w:szCs w:val="18"/>
                      <w:highlight w:val="none"/>
                    </w:rPr>
                    <w:t>70</w:t>
                  </w:r>
                </w:p>
              </w:tc>
              <w:tc>
                <w:tcPr>
                  <w:tcW w:w="899" w:type="dxa"/>
                  <w:vAlign w:val="center"/>
                </w:tcPr>
                <w:p w14:paraId="65130D78">
                  <w:pPr>
                    <w:jc w:val="center"/>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97.14%</w:t>
                  </w:r>
                </w:p>
              </w:tc>
              <w:tc>
                <w:tcPr>
                  <w:tcW w:w="689" w:type="pct"/>
                  <w:vAlign w:val="center"/>
                </w:tcPr>
                <w:p w14:paraId="3A07C31E">
                  <w:pPr>
                    <w:jc w:val="center"/>
                    <w:rPr>
                      <w:color w:val="auto"/>
                      <w:sz w:val="18"/>
                      <w:szCs w:val="18"/>
                      <w:highlight w:val="none"/>
                    </w:rPr>
                  </w:pPr>
                  <w:r>
                    <w:rPr>
                      <w:color w:val="auto"/>
                      <w:sz w:val="18"/>
                      <w:szCs w:val="18"/>
                      <w:highlight w:val="none"/>
                    </w:rPr>
                    <w:t>达标</w:t>
                  </w:r>
                </w:p>
              </w:tc>
            </w:tr>
            <w:tr w14:paraId="4831095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15" w:type="dxa"/>
                  <w:left w:w="15" w:type="dxa"/>
                  <w:bottom w:w="15" w:type="dxa"/>
                  <w:right w:w="15" w:type="dxa"/>
                </w:tblCellMar>
              </w:tblPrEx>
              <w:trPr>
                <w:trHeight w:val="340" w:hRule="exact"/>
              </w:trPr>
              <w:tc>
                <w:tcPr>
                  <w:tcW w:w="535" w:type="pct"/>
                  <w:vAlign w:val="center"/>
                </w:tcPr>
                <w:p w14:paraId="43C5FFFF">
                  <w:pPr>
                    <w:jc w:val="center"/>
                    <w:rPr>
                      <w:color w:val="auto"/>
                      <w:sz w:val="18"/>
                      <w:szCs w:val="18"/>
                      <w:highlight w:val="none"/>
                    </w:rPr>
                  </w:pPr>
                  <w:r>
                    <w:rPr>
                      <w:color w:val="auto"/>
                      <w:sz w:val="18"/>
                      <w:szCs w:val="18"/>
                      <w:highlight w:val="none"/>
                    </w:rPr>
                    <w:t>PM</w:t>
                  </w:r>
                  <w:r>
                    <w:rPr>
                      <w:color w:val="auto"/>
                      <w:sz w:val="18"/>
                      <w:szCs w:val="18"/>
                      <w:highlight w:val="none"/>
                      <w:vertAlign w:val="subscript"/>
                    </w:rPr>
                    <w:t>2.5</w:t>
                  </w:r>
                </w:p>
              </w:tc>
              <w:tc>
                <w:tcPr>
                  <w:tcW w:w="1656" w:type="pct"/>
                  <w:vAlign w:val="center"/>
                </w:tcPr>
                <w:p w14:paraId="0EEAFA69">
                  <w:pPr>
                    <w:jc w:val="center"/>
                    <w:rPr>
                      <w:color w:val="auto"/>
                      <w:sz w:val="18"/>
                      <w:szCs w:val="18"/>
                      <w:highlight w:val="none"/>
                    </w:rPr>
                  </w:pPr>
                  <w:r>
                    <w:rPr>
                      <w:color w:val="auto"/>
                      <w:sz w:val="18"/>
                      <w:szCs w:val="18"/>
                      <w:highlight w:val="none"/>
                    </w:rPr>
                    <w:t>年平均质量浓度</w:t>
                  </w:r>
                </w:p>
              </w:tc>
              <w:tc>
                <w:tcPr>
                  <w:tcW w:w="796" w:type="pct"/>
                  <w:vAlign w:val="center"/>
                </w:tcPr>
                <w:p w14:paraId="06F233AB">
                  <w:pPr>
                    <w:jc w:val="center"/>
                    <w:rPr>
                      <w:rFonts w:hint="default" w:eastAsia="宋体"/>
                      <w:color w:val="auto"/>
                      <w:sz w:val="18"/>
                      <w:szCs w:val="18"/>
                      <w:highlight w:val="none"/>
                      <w:lang w:val="en-US" w:eastAsia="zh-CN"/>
                    </w:rPr>
                  </w:pPr>
                  <w:r>
                    <w:rPr>
                      <w:rFonts w:hint="eastAsia"/>
                      <w:color w:val="auto"/>
                      <w:sz w:val="18"/>
                      <w:szCs w:val="18"/>
                      <w:highlight w:val="none"/>
                      <w:lang w:val="en-US" w:eastAsia="zh-CN"/>
                    </w:rPr>
                    <w:t>37</w:t>
                  </w:r>
                </w:p>
              </w:tc>
              <w:tc>
                <w:tcPr>
                  <w:tcW w:w="759" w:type="pct"/>
                  <w:vAlign w:val="center"/>
                </w:tcPr>
                <w:p w14:paraId="53C08475">
                  <w:pPr>
                    <w:jc w:val="center"/>
                    <w:rPr>
                      <w:color w:val="auto"/>
                      <w:sz w:val="18"/>
                      <w:szCs w:val="18"/>
                      <w:highlight w:val="none"/>
                    </w:rPr>
                  </w:pPr>
                  <w:r>
                    <w:rPr>
                      <w:color w:val="auto"/>
                      <w:sz w:val="18"/>
                      <w:szCs w:val="18"/>
                      <w:highlight w:val="none"/>
                    </w:rPr>
                    <w:t>35</w:t>
                  </w:r>
                </w:p>
              </w:tc>
              <w:tc>
                <w:tcPr>
                  <w:tcW w:w="899" w:type="dxa"/>
                  <w:vAlign w:val="center"/>
                </w:tcPr>
                <w:p w14:paraId="2665CC9F">
                  <w:pPr>
                    <w:jc w:val="center"/>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105.71%</w:t>
                  </w:r>
                </w:p>
              </w:tc>
              <w:tc>
                <w:tcPr>
                  <w:tcW w:w="689" w:type="pct"/>
                  <w:vAlign w:val="center"/>
                </w:tcPr>
                <w:p w14:paraId="58FD6036">
                  <w:pPr>
                    <w:jc w:val="center"/>
                    <w:rPr>
                      <w:color w:val="auto"/>
                      <w:sz w:val="18"/>
                      <w:szCs w:val="18"/>
                      <w:highlight w:val="none"/>
                    </w:rPr>
                  </w:pPr>
                  <w:r>
                    <w:rPr>
                      <w:color w:val="auto"/>
                      <w:sz w:val="18"/>
                      <w:szCs w:val="18"/>
                      <w:highlight w:val="none"/>
                    </w:rPr>
                    <w:t>超标</w:t>
                  </w:r>
                </w:p>
              </w:tc>
            </w:tr>
            <w:tr w14:paraId="37BDA70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15" w:type="dxa"/>
                  <w:left w:w="15" w:type="dxa"/>
                  <w:bottom w:w="15" w:type="dxa"/>
                  <w:right w:w="15" w:type="dxa"/>
                </w:tblCellMar>
              </w:tblPrEx>
              <w:trPr>
                <w:trHeight w:val="340" w:hRule="exact"/>
              </w:trPr>
              <w:tc>
                <w:tcPr>
                  <w:tcW w:w="535" w:type="pct"/>
                  <w:vAlign w:val="center"/>
                </w:tcPr>
                <w:p w14:paraId="07C721FA">
                  <w:pPr>
                    <w:jc w:val="center"/>
                    <w:rPr>
                      <w:color w:val="auto"/>
                      <w:sz w:val="18"/>
                      <w:szCs w:val="18"/>
                      <w:highlight w:val="none"/>
                    </w:rPr>
                  </w:pPr>
                  <w:r>
                    <w:rPr>
                      <w:color w:val="auto"/>
                      <w:sz w:val="18"/>
                      <w:szCs w:val="18"/>
                      <w:highlight w:val="none"/>
                    </w:rPr>
                    <w:t>CO</w:t>
                  </w:r>
                </w:p>
              </w:tc>
              <w:tc>
                <w:tcPr>
                  <w:tcW w:w="1656" w:type="pct"/>
                  <w:vAlign w:val="center"/>
                </w:tcPr>
                <w:p w14:paraId="7136C6B7">
                  <w:pPr>
                    <w:jc w:val="center"/>
                    <w:rPr>
                      <w:color w:val="auto"/>
                      <w:sz w:val="18"/>
                      <w:szCs w:val="18"/>
                      <w:highlight w:val="none"/>
                    </w:rPr>
                  </w:pPr>
                  <w:r>
                    <w:rPr>
                      <w:color w:val="auto"/>
                      <w:sz w:val="18"/>
                      <w:szCs w:val="18"/>
                      <w:highlight w:val="none"/>
                    </w:rPr>
                    <w:t>24小时平均第95百分位数</w:t>
                  </w:r>
                </w:p>
              </w:tc>
              <w:tc>
                <w:tcPr>
                  <w:tcW w:w="796" w:type="pct"/>
                  <w:vAlign w:val="center"/>
                </w:tcPr>
                <w:p w14:paraId="5F698128">
                  <w:pPr>
                    <w:jc w:val="center"/>
                    <w:rPr>
                      <w:color w:val="auto"/>
                      <w:sz w:val="18"/>
                      <w:szCs w:val="18"/>
                      <w:highlight w:val="none"/>
                    </w:rPr>
                  </w:pPr>
                  <w:r>
                    <w:rPr>
                      <w:rFonts w:hint="eastAsia"/>
                      <w:color w:val="auto"/>
                      <w:sz w:val="18"/>
                      <w:szCs w:val="18"/>
                      <w:highlight w:val="none"/>
                      <w:lang w:val="en-US" w:eastAsia="zh-CN"/>
                    </w:rPr>
                    <w:t>1.3</w:t>
                  </w:r>
                  <w:r>
                    <w:rPr>
                      <w:color w:val="auto"/>
                      <w:sz w:val="18"/>
                      <w:szCs w:val="18"/>
                      <w:highlight w:val="none"/>
                    </w:rPr>
                    <w:t>mg/m</w:t>
                  </w:r>
                  <w:r>
                    <w:rPr>
                      <w:color w:val="auto"/>
                      <w:sz w:val="18"/>
                      <w:szCs w:val="18"/>
                      <w:highlight w:val="none"/>
                      <w:vertAlign w:val="superscript"/>
                    </w:rPr>
                    <w:t>3</w:t>
                  </w:r>
                </w:p>
              </w:tc>
              <w:tc>
                <w:tcPr>
                  <w:tcW w:w="759" w:type="pct"/>
                  <w:vAlign w:val="center"/>
                </w:tcPr>
                <w:p w14:paraId="1686234F">
                  <w:pPr>
                    <w:jc w:val="center"/>
                    <w:rPr>
                      <w:color w:val="auto"/>
                      <w:sz w:val="18"/>
                      <w:szCs w:val="18"/>
                      <w:highlight w:val="none"/>
                    </w:rPr>
                  </w:pPr>
                  <w:r>
                    <w:rPr>
                      <w:color w:val="auto"/>
                      <w:sz w:val="18"/>
                      <w:szCs w:val="18"/>
                      <w:highlight w:val="none"/>
                    </w:rPr>
                    <w:t>4.0mg/m</w:t>
                  </w:r>
                  <w:r>
                    <w:rPr>
                      <w:color w:val="auto"/>
                      <w:sz w:val="18"/>
                      <w:szCs w:val="18"/>
                      <w:highlight w:val="none"/>
                      <w:vertAlign w:val="superscript"/>
                    </w:rPr>
                    <w:t>3</w:t>
                  </w:r>
                </w:p>
              </w:tc>
              <w:tc>
                <w:tcPr>
                  <w:tcW w:w="899" w:type="dxa"/>
                  <w:vAlign w:val="center"/>
                </w:tcPr>
                <w:p w14:paraId="072E6C33">
                  <w:pPr>
                    <w:jc w:val="center"/>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32.50%</w:t>
                  </w:r>
                </w:p>
              </w:tc>
              <w:tc>
                <w:tcPr>
                  <w:tcW w:w="689" w:type="pct"/>
                  <w:vAlign w:val="center"/>
                </w:tcPr>
                <w:p w14:paraId="030AC265">
                  <w:pPr>
                    <w:jc w:val="center"/>
                    <w:rPr>
                      <w:color w:val="auto"/>
                      <w:sz w:val="18"/>
                      <w:szCs w:val="18"/>
                      <w:highlight w:val="none"/>
                    </w:rPr>
                  </w:pPr>
                  <w:r>
                    <w:rPr>
                      <w:color w:val="auto"/>
                      <w:sz w:val="18"/>
                      <w:szCs w:val="18"/>
                      <w:highlight w:val="none"/>
                    </w:rPr>
                    <w:t>达标</w:t>
                  </w:r>
                </w:p>
              </w:tc>
            </w:tr>
            <w:tr w14:paraId="195A1F3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15" w:type="dxa"/>
                  <w:left w:w="15" w:type="dxa"/>
                  <w:bottom w:w="15" w:type="dxa"/>
                  <w:right w:w="15" w:type="dxa"/>
                </w:tblCellMar>
              </w:tblPrEx>
              <w:trPr>
                <w:trHeight w:val="340" w:hRule="exact"/>
              </w:trPr>
              <w:tc>
                <w:tcPr>
                  <w:tcW w:w="535" w:type="pct"/>
                  <w:vAlign w:val="center"/>
                </w:tcPr>
                <w:p w14:paraId="18C4B145">
                  <w:pPr>
                    <w:jc w:val="center"/>
                    <w:rPr>
                      <w:color w:val="auto"/>
                      <w:sz w:val="18"/>
                      <w:szCs w:val="18"/>
                      <w:highlight w:val="none"/>
                      <w:vertAlign w:val="subscript"/>
                    </w:rPr>
                  </w:pPr>
                  <w:r>
                    <w:rPr>
                      <w:color w:val="auto"/>
                      <w:sz w:val="18"/>
                      <w:szCs w:val="18"/>
                      <w:highlight w:val="none"/>
                    </w:rPr>
                    <w:t>O</w:t>
                  </w:r>
                  <w:r>
                    <w:rPr>
                      <w:color w:val="auto"/>
                      <w:sz w:val="18"/>
                      <w:szCs w:val="18"/>
                      <w:highlight w:val="none"/>
                      <w:vertAlign w:val="subscript"/>
                    </w:rPr>
                    <w:t>3</w:t>
                  </w:r>
                </w:p>
              </w:tc>
              <w:tc>
                <w:tcPr>
                  <w:tcW w:w="1656" w:type="pct"/>
                  <w:vAlign w:val="center"/>
                </w:tcPr>
                <w:p w14:paraId="757106BA">
                  <w:pPr>
                    <w:jc w:val="center"/>
                    <w:rPr>
                      <w:color w:val="auto"/>
                      <w:sz w:val="18"/>
                      <w:szCs w:val="18"/>
                      <w:highlight w:val="none"/>
                    </w:rPr>
                  </w:pPr>
                  <w:r>
                    <w:rPr>
                      <w:color w:val="auto"/>
                      <w:sz w:val="18"/>
                      <w:szCs w:val="18"/>
                      <w:highlight w:val="none"/>
                    </w:rPr>
                    <w:t>日最大8小时平均第90百分位数</w:t>
                  </w:r>
                </w:p>
              </w:tc>
              <w:tc>
                <w:tcPr>
                  <w:tcW w:w="796" w:type="pct"/>
                  <w:vAlign w:val="center"/>
                </w:tcPr>
                <w:p w14:paraId="07D9832E">
                  <w:pPr>
                    <w:jc w:val="center"/>
                    <w:rPr>
                      <w:rFonts w:hint="default" w:eastAsia="宋体"/>
                      <w:color w:val="auto"/>
                      <w:sz w:val="18"/>
                      <w:szCs w:val="18"/>
                      <w:highlight w:val="none"/>
                      <w:lang w:val="en-US" w:eastAsia="zh-CN"/>
                    </w:rPr>
                  </w:pPr>
                  <w:r>
                    <w:rPr>
                      <w:rFonts w:hint="eastAsia"/>
                      <w:color w:val="auto"/>
                      <w:sz w:val="18"/>
                      <w:szCs w:val="18"/>
                      <w:highlight w:val="none"/>
                      <w:lang w:val="en-US" w:eastAsia="zh-CN"/>
                    </w:rPr>
                    <w:t>178</w:t>
                  </w:r>
                </w:p>
              </w:tc>
              <w:tc>
                <w:tcPr>
                  <w:tcW w:w="759" w:type="pct"/>
                  <w:vAlign w:val="center"/>
                </w:tcPr>
                <w:p w14:paraId="299A0B3F">
                  <w:pPr>
                    <w:jc w:val="center"/>
                    <w:rPr>
                      <w:color w:val="auto"/>
                      <w:sz w:val="18"/>
                      <w:szCs w:val="18"/>
                      <w:highlight w:val="none"/>
                    </w:rPr>
                  </w:pPr>
                  <w:r>
                    <w:rPr>
                      <w:color w:val="auto"/>
                      <w:sz w:val="18"/>
                      <w:szCs w:val="18"/>
                      <w:highlight w:val="none"/>
                    </w:rPr>
                    <w:t>160</w:t>
                  </w:r>
                </w:p>
              </w:tc>
              <w:tc>
                <w:tcPr>
                  <w:tcW w:w="899" w:type="dxa"/>
                  <w:vAlign w:val="center"/>
                </w:tcPr>
                <w:p w14:paraId="1DAAB68D">
                  <w:pPr>
                    <w:jc w:val="center"/>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111.25%</w:t>
                  </w:r>
                </w:p>
              </w:tc>
              <w:tc>
                <w:tcPr>
                  <w:tcW w:w="689" w:type="pct"/>
                  <w:vAlign w:val="center"/>
                </w:tcPr>
                <w:p w14:paraId="1DE57538">
                  <w:pPr>
                    <w:jc w:val="center"/>
                    <w:rPr>
                      <w:color w:val="auto"/>
                      <w:sz w:val="18"/>
                      <w:szCs w:val="18"/>
                      <w:highlight w:val="none"/>
                    </w:rPr>
                  </w:pPr>
                  <w:r>
                    <w:rPr>
                      <w:color w:val="auto"/>
                      <w:sz w:val="18"/>
                      <w:szCs w:val="18"/>
                      <w:highlight w:val="none"/>
                    </w:rPr>
                    <w:t>超标</w:t>
                  </w:r>
                </w:p>
              </w:tc>
            </w:tr>
          </w:tbl>
          <w:p w14:paraId="6A222BB2">
            <w:pPr>
              <w:tabs>
                <w:tab w:val="left" w:pos="4253"/>
              </w:tabs>
              <w:spacing w:line="440" w:lineRule="exact"/>
              <w:ind w:firstLine="482"/>
              <w:rPr>
                <w:rFonts w:eastAsiaTheme="minorEastAsia"/>
                <w:color w:val="auto"/>
                <w:szCs w:val="21"/>
                <w:highlight w:val="none"/>
              </w:rPr>
            </w:pPr>
            <w:r>
              <w:rPr>
                <w:rFonts w:eastAsiaTheme="minorEastAsia"/>
                <w:color w:val="auto"/>
                <w:szCs w:val="21"/>
                <w:highlight w:val="none"/>
              </w:rPr>
              <w:t>由上表可知，SO</w:t>
            </w:r>
            <w:r>
              <w:rPr>
                <w:rFonts w:eastAsiaTheme="minorEastAsia"/>
                <w:color w:val="auto"/>
                <w:szCs w:val="21"/>
                <w:highlight w:val="none"/>
                <w:vertAlign w:val="subscript"/>
              </w:rPr>
              <w:t>2</w:t>
            </w:r>
            <w:r>
              <w:rPr>
                <w:rFonts w:eastAsiaTheme="minorEastAsia"/>
                <w:color w:val="auto"/>
                <w:szCs w:val="21"/>
                <w:highlight w:val="none"/>
              </w:rPr>
              <w:t>、NO</w:t>
            </w:r>
            <w:r>
              <w:rPr>
                <w:rFonts w:eastAsiaTheme="minorEastAsia"/>
                <w:color w:val="auto"/>
                <w:szCs w:val="21"/>
                <w:highlight w:val="none"/>
                <w:vertAlign w:val="subscript"/>
              </w:rPr>
              <w:t>2</w:t>
            </w:r>
            <w:r>
              <w:rPr>
                <w:rFonts w:hint="eastAsia" w:eastAsiaTheme="minorEastAsia"/>
                <w:color w:val="auto"/>
                <w:szCs w:val="21"/>
                <w:highlight w:val="none"/>
                <w:vertAlign w:val="baseline"/>
                <w:lang w:eastAsia="zh-CN"/>
              </w:rPr>
              <w:t>、</w:t>
            </w:r>
            <w:r>
              <w:rPr>
                <w:rFonts w:eastAsiaTheme="minorEastAsia"/>
                <w:color w:val="auto"/>
                <w:szCs w:val="21"/>
                <w:highlight w:val="none"/>
              </w:rPr>
              <w:t>PM</w:t>
            </w:r>
            <w:r>
              <w:rPr>
                <w:rFonts w:eastAsiaTheme="minorEastAsia"/>
                <w:color w:val="auto"/>
                <w:szCs w:val="21"/>
                <w:highlight w:val="none"/>
                <w:vertAlign w:val="subscript"/>
              </w:rPr>
              <w:t>10</w:t>
            </w:r>
            <w:r>
              <w:rPr>
                <w:rFonts w:eastAsiaTheme="minorEastAsia"/>
                <w:color w:val="auto"/>
                <w:szCs w:val="21"/>
                <w:highlight w:val="none"/>
              </w:rPr>
              <w:t>的年平均质量浓度、CO的24小时平均第95百分位数质量浓度均满足《环境空气质量标准》（GB3095-2012）及其修改单中二级标准；PM</w:t>
            </w:r>
            <w:r>
              <w:rPr>
                <w:rFonts w:eastAsiaTheme="minorEastAsia"/>
                <w:color w:val="auto"/>
                <w:szCs w:val="21"/>
                <w:highlight w:val="none"/>
                <w:vertAlign w:val="subscript"/>
              </w:rPr>
              <w:t>2.5</w:t>
            </w:r>
            <w:r>
              <w:rPr>
                <w:rFonts w:eastAsiaTheme="minorEastAsia"/>
                <w:color w:val="auto"/>
                <w:szCs w:val="21"/>
                <w:highlight w:val="none"/>
              </w:rPr>
              <w:t>的年平均质量浓度和O</w:t>
            </w:r>
            <w:r>
              <w:rPr>
                <w:rFonts w:eastAsiaTheme="minorEastAsia"/>
                <w:color w:val="auto"/>
                <w:szCs w:val="21"/>
                <w:highlight w:val="none"/>
                <w:vertAlign w:val="subscript"/>
              </w:rPr>
              <w:t>3</w:t>
            </w:r>
            <w:r>
              <w:rPr>
                <w:rFonts w:eastAsiaTheme="minorEastAsia"/>
                <w:color w:val="auto"/>
                <w:szCs w:val="21"/>
                <w:highlight w:val="none"/>
              </w:rPr>
              <w:t>的日最大8小时平均第90百分位数质量浓度不满足《环境空气质量标准》（GB3095-2012）及其修改单中二级标准，根据《环境影响评价技术导则 大气环境》</w:t>
            </w:r>
            <w:r>
              <w:rPr>
                <w:rFonts w:hint="eastAsia" w:eastAsiaTheme="minorEastAsia"/>
                <w:color w:val="auto"/>
                <w:szCs w:val="21"/>
                <w:highlight w:val="none"/>
              </w:rPr>
              <w:t>（</w:t>
            </w:r>
            <w:r>
              <w:rPr>
                <w:rFonts w:eastAsiaTheme="minorEastAsia"/>
                <w:color w:val="auto"/>
                <w:szCs w:val="21"/>
                <w:highlight w:val="none"/>
              </w:rPr>
              <w:t>HJ2.2-2018</w:t>
            </w:r>
            <w:r>
              <w:rPr>
                <w:rFonts w:hint="eastAsia" w:eastAsiaTheme="minorEastAsia"/>
                <w:color w:val="auto"/>
                <w:szCs w:val="21"/>
                <w:highlight w:val="none"/>
              </w:rPr>
              <w:t>）</w:t>
            </w:r>
            <w:r>
              <w:rPr>
                <w:rFonts w:eastAsiaTheme="minorEastAsia"/>
                <w:color w:val="auto"/>
                <w:szCs w:val="21"/>
                <w:highlight w:val="none"/>
              </w:rPr>
              <w:t>，城市环境空气质量达标情况评价指标为SO</w:t>
            </w:r>
            <w:r>
              <w:rPr>
                <w:rFonts w:eastAsiaTheme="minorEastAsia"/>
                <w:color w:val="auto"/>
                <w:szCs w:val="21"/>
                <w:highlight w:val="none"/>
                <w:vertAlign w:val="subscript"/>
              </w:rPr>
              <w:t>2</w:t>
            </w:r>
            <w:r>
              <w:rPr>
                <w:rFonts w:eastAsiaTheme="minorEastAsia"/>
                <w:color w:val="auto"/>
                <w:szCs w:val="21"/>
                <w:highlight w:val="none"/>
              </w:rPr>
              <w:t>、NO</w:t>
            </w:r>
            <w:r>
              <w:rPr>
                <w:rFonts w:eastAsiaTheme="minorEastAsia"/>
                <w:color w:val="auto"/>
                <w:szCs w:val="21"/>
                <w:highlight w:val="none"/>
                <w:vertAlign w:val="subscript"/>
              </w:rPr>
              <w:t>2</w:t>
            </w:r>
            <w:r>
              <w:rPr>
                <w:rFonts w:eastAsiaTheme="minorEastAsia"/>
                <w:color w:val="auto"/>
                <w:szCs w:val="21"/>
                <w:highlight w:val="none"/>
              </w:rPr>
              <w:t>、PM</w:t>
            </w:r>
            <w:r>
              <w:rPr>
                <w:rFonts w:eastAsiaTheme="minorEastAsia"/>
                <w:color w:val="auto"/>
                <w:szCs w:val="21"/>
                <w:highlight w:val="none"/>
                <w:vertAlign w:val="subscript"/>
              </w:rPr>
              <w:t>10</w:t>
            </w:r>
            <w:r>
              <w:rPr>
                <w:rFonts w:eastAsiaTheme="minorEastAsia"/>
                <w:color w:val="auto"/>
                <w:szCs w:val="21"/>
                <w:highlight w:val="none"/>
              </w:rPr>
              <w:t>、PM</w:t>
            </w:r>
            <w:r>
              <w:rPr>
                <w:rFonts w:eastAsiaTheme="minorEastAsia"/>
                <w:color w:val="auto"/>
                <w:szCs w:val="21"/>
                <w:highlight w:val="none"/>
                <w:vertAlign w:val="subscript"/>
              </w:rPr>
              <w:t>2.5</w:t>
            </w:r>
            <w:r>
              <w:rPr>
                <w:rFonts w:eastAsiaTheme="minorEastAsia"/>
                <w:color w:val="auto"/>
                <w:szCs w:val="21"/>
                <w:highlight w:val="none"/>
              </w:rPr>
              <w:t>、CO和O</w:t>
            </w:r>
            <w:r>
              <w:rPr>
                <w:rFonts w:eastAsiaTheme="minorEastAsia"/>
                <w:color w:val="auto"/>
                <w:szCs w:val="21"/>
                <w:highlight w:val="none"/>
                <w:vertAlign w:val="subscript"/>
              </w:rPr>
              <w:t>3</w:t>
            </w:r>
            <w:r>
              <w:rPr>
                <w:rFonts w:eastAsiaTheme="minorEastAsia"/>
                <w:color w:val="auto"/>
                <w:szCs w:val="21"/>
                <w:highlight w:val="none"/>
              </w:rPr>
              <w:t>，六项污染物全部达标即为城市环境空气质量达标。通过以上数据判定，项目所在区域环境空气质量不达标，属于不达标区。</w:t>
            </w:r>
          </w:p>
          <w:p w14:paraId="262F0D68">
            <w:pPr>
              <w:pStyle w:val="24"/>
              <w:keepNext w:val="0"/>
              <w:keepLines w:val="0"/>
              <w:pageBreakBefore w:val="0"/>
              <w:widowControl/>
              <w:kinsoku/>
              <w:wordWrap/>
              <w:overflowPunct/>
              <w:topLinePunct w:val="0"/>
              <w:autoSpaceDE/>
              <w:autoSpaceDN/>
              <w:bidi w:val="0"/>
              <w:adjustRightInd w:val="0"/>
              <w:snapToGrid w:val="0"/>
              <w:spacing w:before="0" w:beforeAutospacing="0" w:after="0" w:afterAutospacing="0" w:line="440" w:lineRule="exact"/>
              <w:ind w:firstLine="420" w:firstLineChars="200"/>
              <w:textAlignment w:val="auto"/>
              <w:rPr>
                <w:rFonts w:ascii="Times New Roman" w:hAnsi="Times New Roman"/>
                <w:color w:val="auto"/>
                <w:sz w:val="21"/>
                <w:szCs w:val="21"/>
                <w:highlight w:val="none"/>
              </w:rPr>
            </w:pPr>
            <w:r>
              <w:rPr>
                <w:rFonts w:hint="eastAsia" w:ascii="Times New Roman" w:hAnsi="Times New Roman"/>
                <w:color w:val="auto"/>
                <w:sz w:val="21"/>
                <w:szCs w:val="21"/>
                <w:highlight w:val="none"/>
              </w:rPr>
              <w:t>（2）其他</w:t>
            </w:r>
            <w:r>
              <w:rPr>
                <w:rFonts w:ascii="Times New Roman" w:hAnsi="Times New Roman"/>
                <w:color w:val="auto"/>
                <w:sz w:val="21"/>
                <w:szCs w:val="21"/>
                <w:highlight w:val="none"/>
              </w:rPr>
              <w:t>污染物环境质量现状</w:t>
            </w:r>
          </w:p>
          <w:p w14:paraId="1858B64F">
            <w:pPr>
              <w:pStyle w:val="24"/>
              <w:adjustRightInd w:val="0"/>
              <w:snapToGrid w:val="0"/>
              <w:spacing w:before="0" w:beforeAutospacing="0" w:after="0" w:afterAutospacing="0" w:line="440" w:lineRule="exact"/>
              <w:ind w:firstLine="420" w:firstLineChars="200"/>
              <w:rPr>
                <w:rFonts w:ascii="Times New Roman" w:hAnsi="Times New Roman" w:eastAsia="宋体" w:cs="Times New Roman"/>
                <w:color w:val="auto"/>
                <w:sz w:val="21"/>
                <w:szCs w:val="21"/>
                <w:highlight w:val="none"/>
              </w:rPr>
            </w:pPr>
            <w:r>
              <w:rPr>
                <w:rFonts w:hint="eastAsia" w:ascii="Times New Roman" w:hAnsi="Times New Roman" w:eastAsia="宋体" w:cs="Times New Roman"/>
                <w:color w:val="auto"/>
                <w:sz w:val="21"/>
                <w:szCs w:val="21"/>
                <w:highlight w:val="none"/>
              </w:rPr>
              <w:t>①监测因子、点位、频次</w:t>
            </w:r>
          </w:p>
          <w:p w14:paraId="42952B9F">
            <w:pPr>
              <w:pStyle w:val="24"/>
              <w:adjustRightInd w:val="0"/>
              <w:snapToGrid w:val="0"/>
              <w:spacing w:before="0" w:beforeAutospacing="0" w:after="0" w:afterAutospacing="0" w:line="440" w:lineRule="exact"/>
              <w:ind w:firstLine="420" w:firstLineChars="200"/>
              <w:rPr>
                <w:rFonts w:ascii="Times New Roman" w:hAnsi="Times New Roman" w:eastAsia="宋体" w:cs="Times New Roman"/>
                <w:color w:val="auto"/>
                <w:sz w:val="21"/>
                <w:szCs w:val="21"/>
                <w:highlight w:val="none"/>
              </w:rPr>
            </w:pPr>
            <w:r>
              <w:rPr>
                <w:rFonts w:hint="eastAsia" w:ascii="Times New Roman" w:hAnsi="Times New Roman" w:eastAsia="宋体" w:cs="Times New Roman"/>
                <w:color w:val="auto"/>
                <w:sz w:val="21"/>
                <w:szCs w:val="21"/>
                <w:highlight w:val="none"/>
              </w:rPr>
              <w:t>根据工程建设情况及环境特点，本项目特征污染</w:t>
            </w:r>
            <w:r>
              <w:rPr>
                <w:rFonts w:hint="eastAsia" w:ascii="Times New Roman" w:hAnsi="Times New Roman" w:eastAsia="宋体" w:cs="Times New Roman"/>
                <w:color w:val="auto"/>
                <w:sz w:val="21"/>
                <w:szCs w:val="21"/>
                <w:highlight w:val="none"/>
                <w:lang w:eastAsia="zh-CN"/>
              </w:rPr>
              <w:t>物</w:t>
            </w:r>
            <w:r>
              <w:rPr>
                <w:rFonts w:hint="eastAsia" w:ascii="Times New Roman" w:hAnsi="Times New Roman" w:eastAsia="宋体" w:cs="Times New Roman"/>
                <w:color w:val="auto"/>
                <w:sz w:val="21"/>
                <w:szCs w:val="21"/>
                <w:highlight w:val="none"/>
                <w:lang w:val="en-US" w:eastAsia="zh-CN"/>
              </w:rPr>
              <w:t>TSP</w:t>
            </w:r>
            <w:r>
              <w:rPr>
                <w:rFonts w:hint="eastAsia" w:ascii="Times New Roman" w:hAnsi="Times New Roman" w:eastAsia="宋体" w:cs="Times New Roman"/>
                <w:color w:val="auto"/>
                <w:sz w:val="21"/>
                <w:szCs w:val="21"/>
                <w:highlight w:val="none"/>
                <w:lang w:eastAsia="zh-CN"/>
              </w:rPr>
              <w:t>引用</w:t>
            </w:r>
            <w:r>
              <w:rPr>
                <w:rFonts w:hint="eastAsia" w:ascii="Times New Roman" w:hAnsi="Times New Roman" w:eastAsia="宋体" w:cs="Times New Roman"/>
                <w:color w:val="auto"/>
                <w:sz w:val="21"/>
                <w:szCs w:val="21"/>
                <w:highlight w:val="none"/>
              </w:rPr>
              <w:t>《</w:t>
            </w:r>
            <w:r>
              <w:rPr>
                <w:rFonts w:hint="eastAsia" w:ascii="Times New Roman" w:hAnsi="Times New Roman" w:eastAsia="宋体" w:cs="Times New Roman"/>
                <w:color w:val="auto"/>
                <w:sz w:val="21"/>
                <w:szCs w:val="21"/>
                <w:highlight w:val="none"/>
                <w:lang w:eastAsia="zh-CN"/>
              </w:rPr>
              <w:t>唐山市滦州市李庄村环境质量现状监测</w:t>
            </w:r>
            <w:r>
              <w:rPr>
                <w:rFonts w:hint="eastAsia" w:ascii="Times New Roman" w:hAnsi="Times New Roman" w:eastAsia="宋体" w:cs="Times New Roman"/>
                <w:color w:val="auto"/>
                <w:sz w:val="21"/>
                <w:szCs w:val="21"/>
                <w:highlight w:val="none"/>
              </w:rPr>
              <w:t>》</w:t>
            </w:r>
            <w:r>
              <w:rPr>
                <w:rFonts w:hint="eastAsia" w:ascii="Times New Roman" w:hAnsi="Times New Roman" w:eastAsia="宋体" w:cs="Times New Roman"/>
                <w:color w:val="auto"/>
                <w:sz w:val="21"/>
                <w:szCs w:val="21"/>
                <w:highlight w:val="none"/>
                <w:lang w:eastAsia="zh-CN"/>
              </w:rPr>
              <w:t>（</w:t>
            </w:r>
            <w:r>
              <w:rPr>
                <w:rFonts w:hint="eastAsia" w:ascii="Times New Roman" w:hAnsi="Times New Roman" w:eastAsia="宋体" w:cs="Times New Roman"/>
                <w:color w:val="auto"/>
                <w:sz w:val="21"/>
                <w:szCs w:val="21"/>
                <w:highlight w:val="none"/>
              </w:rPr>
              <w:t>报告编号：</w:t>
            </w:r>
            <w:r>
              <w:rPr>
                <w:rFonts w:hint="eastAsia" w:ascii="Times New Roman" w:hAnsi="Times New Roman" w:eastAsia="宋体" w:cs="Times New Roman"/>
                <w:color w:val="auto"/>
                <w:sz w:val="21"/>
                <w:szCs w:val="21"/>
                <w:highlight w:val="none"/>
                <w:lang w:eastAsia="zh-CN"/>
              </w:rPr>
              <w:t>SYJC202</w:t>
            </w:r>
            <w:r>
              <w:rPr>
                <w:rFonts w:hint="eastAsia" w:ascii="Times New Roman" w:hAnsi="Times New Roman" w:eastAsia="宋体" w:cs="Times New Roman"/>
                <w:color w:val="auto"/>
                <w:sz w:val="21"/>
                <w:szCs w:val="21"/>
                <w:highlight w:val="none"/>
                <w:lang w:val="en-US" w:eastAsia="zh-CN"/>
              </w:rPr>
              <w:t>5</w:t>
            </w:r>
            <w:r>
              <w:rPr>
                <w:rFonts w:hint="eastAsia" w:ascii="Times New Roman" w:hAnsi="Times New Roman" w:eastAsia="宋体" w:cs="Times New Roman"/>
                <w:color w:val="auto"/>
                <w:sz w:val="21"/>
                <w:szCs w:val="21"/>
                <w:highlight w:val="none"/>
                <w:lang w:eastAsia="zh-CN"/>
              </w:rPr>
              <w:t>H0</w:t>
            </w:r>
            <w:r>
              <w:rPr>
                <w:rFonts w:hint="eastAsia" w:ascii="Times New Roman" w:hAnsi="Times New Roman" w:eastAsia="宋体" w:cs="Times New Roman"/>
                <w:color w:val="auto"/>
                <w:sz w:val="21"/>
                <w:szCs w:val="21"/>
                <w:highlight w:val="none"/>
                <w:lang w:val="en-US" w:eastAsia="zh-CN"/>
              </w:rPr>
              <w:t>044</w:t>
            </w:r>
            <w:r>
              <w:rPr>
                <w:rFonts w:hint="eastAsia" w:ascii="Times New Roman" w:hAnsi="Times New Roman" w:eastAsia="宋体" w:cs="Times New Roman"/>
                <w:color w:val="auto"/>
                <w:sz w:val="21"/>
                <w:szCs w:val="21"/>
                <w:highlight w:val="none"/>
                <w:lang w:eastAsia="zh-CN"/>
              </w:rPr>
              <w:t>）</w:t>
            </w:r>
            <w:r>
              <w:rPr>
                <w:rFonts w:hint="eastAsia" w:ascii="Times New Roman" w:hAnsi="Times New Roman" w:eastAsia="宋体" w:cs="Times New Roman"/>
                <w:color w:val="auto"/>
                <w:sz w:val="21"/>
                <w:szCs w:val="21"/>
                <w:highlight w:val="none"/>
              </w:rPr>
              <w:t>中监测数据，监测点位为</w:t>
            </w:r>
            <w:r>
              <w:rPr>
                <w:rFonts w:hint="eastAsia" w:ascii="Times New Roman" w:hAnsi="Times New Roman" w:eastAsia="宋体" w:cs="Times New Roman"/>
                <w:color w:val="auto"/>
                <w:sz w:val="21"/>
                <w:szCs w:val="21"/>
                <w:highlight w:val="none"/>
                <w:lang w:eastAsia="zh-CN"/>
              </w:rPr>
              <w:t>李庄村</w:t>
            </w:r>
            <w:r>
              <w:rPr>
                <w:rFonts w:hint="eastAsia" w:ascii="Times New Roman" w:hAnsi="Times New Roman" w:eastAsia="宋体" w:cs="Times New Roman"/>
                <w:color w:val="auto"/>
                <w:sz w:val="21"/>
                <w:szCs w:val="21"/>
                <w:highlight w:val="none"/>
              </w:rPr>
              <w:t>，监测点</w:t>
            </w:r>
            <w:r>
              <w:rPr>
                <w:rFonts w:hint="eastAsia" w:ascii="Times New Roman" w:hAnsi="Times New Roman" w:eastAsia="宋体" w:cs="Times New Roman"/>
                <w:color w:val="auto"/>
                <w:sz w:val="21"/>
                <w:szCs w:val="21"/>
                <w:highlight w:val="none"/>
                <w:lang w:val="en-US" w:eastAsia="zh-CN"/>
              </w:rPr>
              <w:t>位于</w:t>
            </w:r>
            <w:r>
              <w:rPr>
                <w:rFonts w:hint="eastAsia" w:ascii="Times New Roman" w:hAnsi="Times New Roman" w:eastAsia="宋体" w:cs="Times New Roman"/>
                <w:color w:val="auto"/>
                <w:sz w:val="21"/>
                <w:szCs w:val="21"/>
                <w:highlight w:val="none"/>
              </w:rPr>
              <w:t>本项目</w:t>
            </w:r>
            <w:r>
              <w:rPr>
                <w:rFonts w:hint="eastAsia" w:ascii="Times New Roman" w:hAnsi="Times New Roman" w:eastAsia="宋体" w:cs="Times New Roman"/>
                <w:color w:val="auto"/>
                <w:sz w:val="21"/>
                <w:szCs w:val="21"/>
                <w:highlight w:val="none"/>
                <w:lang w:val="en-US" w:eastAsia="zh-CN"/>
              </w:rPr>
              <w:t>的东南东侧</w:t>
            </w:r>
            <w:r>
              <w:rPr>
                <w:rFonts w:hint="eastAsia" w:ascii="Times New Roman" w:hAnsi="Times New Roman" w:eastAsia="宋体" w:cs="Times New Roman"/>
                <w:color w:val="auto"/>
                <w:sz w:val="21"/>
                <w:szCs w:val="21"/>
                <w:highlight w:val="none"/>
              </w:rPr>
              <w:t>，距离本项目</w:t>
            </w:r>
            <w:r>
              <w:rPr>
                <w:rFonts w:hint="eastAsia" w:ascii="Times New Roman" w:hAnsi="Times New Roman" w:eastAsia="宋体" w:cs="Times New Roman"/>
                <w:color w:val="auto"/>
                <w:sz w:val="21"/>
                <w:szCs w:val="21"/>
                <w:highlight w:val="none"/>
                <w:lang w:val="en-US" w:eastAsia="zh-CN"/>
              </w:rPr>
              <w:t>1700</w:t>
            </w:r>
            <w:r>
              <w:rPr>
                <w:rFonts w:hint="eastAsia" w:ascii="Times New Roman" w:hAnsi="Times New Roman" w:eastAsia="宋体" w:cs="Times New Roman"/>
                <w:color w:val="auto"/>
                <w:sz w:val="21"/>
                <w:szCs w:val="21"/>
                <w:highlight w:val="none"/>
              </w:rPr>
              <w:t>m，监测时间为202</w:t>
            </w:r>
            <w:r>
              <w:rPr>
                <w:rFonts w:hint="eastAsia" w:ascii="Times New Roman" w:hAnsi="Times New Roman" w:eastAsia="宋体" w:cs="Times New Roman"/>
                <w:color w:val="auto"/>
                <w:sz w:val="21"/>
                <w:szCs w:val="21"/>
                <w:highlight w:val="none"/>
                <w:lang w:val="en-US" w:eastAsia="zh-CN"/>
              </w:rPr>
              <w:t>5</w:t>
            </w:r>
            <w:r>
              <w:rPr>
                <w:rFonts w:hint="eastAsia" w:ascii="Times New Roman" w:hAnsi="Times New Roman" w:eastAsia="宋体" w:cs="Times New Roman"/>
                <w:color w:val="auto"/>
                <w:sz w:val="21"/>
                <w:szCs w:val="21"/>
                <w:highlight w:val="none"/>
              </w:rPr>
              <w:t>年</w:t>
            </w:r>
            <w:r>
              <w:rPr>
                <w:rFonts w:hint="eastAsia" w:ascii="Times New Roman" w:hAnsi="Times New Roman" w:eastAsia="宋体" w:cs="Times New Roman"/>
                <w:color w:val="auto"/>
                <w:sz w:val="21"/>
                <w:szCs w:val="21"/>
                <w:highlight w:val="none"/>
                <w:lang w:val="en-US" w:eastAsia="zh-CN"/>
              </w:rPr>
              <w:t>8</w:t>
            </w:r>
            <w:r>
              <w:rPr>
                <w:rFonts w:hint="eastAsia" w:ascii="Times New Roman" w:hAnsi="Times New Roman" w:eastAsia="宋体" w:cs="Times New Roman"/>
                <w:color w:val="auto"/>
                <w:sz w:val="21"/>
                <w:szCs w:val="21"/>
                <w:highlight w:val="none"/>
              </w:rPr>
              <w:t>月</w:t>
            </w:r>
            <w:r>
              <w:rPr>
                <w:rFonts w:hint="eastAsia" w:ascii="Times New Roman" w:hAnsi="Times New Roman" w:eastAsia="宋体" w:cs="Times New Roman"/>
                <w:color w:val="auto"/>
                <w:sz w:val="21"/>
                <w:szCs w:val="21"/>
                <w:highlight w:val="none"/>
                <w:lang w:val="en-US" w:eastAsia="zh-CN"/>
              </w:rPr>
              <w:t>22</w:t>
            </w:r>
            <w:r>
              <w:rPr>
                <w:rFonts w:hint="eastAsia" w:ascii="Times New Roman" w:hAnsi="Times New Roman" w:eastAsia="宋体" w:cs="Times New Roman"/>
                <w:color w:val="auto"/>
                <w:sz w:val="21"/>
                <w:szCs w:val="21"/>
                <w:highlight w:val="none"/>
              </w:rPr>
              <w:t>日至202</w:t>
            </w:r>
            <w:r>
              <w:rPr>
                <w:rFonts w:hint="eastAsia" w:ascii="Times New Roman" w:hAnsi="Times New Roman" w:eastAsia="宋体" w:cs="Times New Roman"/>
                <w:color w:val="auto"/>
                <w:sz w:val="21"/>
                <w:szCs w:val="21"/>
                <w:highlight w:val="none"/>
                <w:lang w:val="en-US" w:eastAsia="zh-CN"/>
              </w:rPr>
              <w:t>5</w:t>
            </w:r>
            <w:r>
              <w:rPr>
                <w:rFonts w:hint="eastAsia" w:ascii="Times New Roman" w:hAnsi="Times New Roman" w:eastAsia="宋体" w:cs="Times New Roman"/>
                <w:color w:val="auto"/>
                <w:sz w:val="21"/>
                <w:szCs w:val="21"/>
                <w:highlight w:val="none"/>
              </w:rPr>
              <w:t>年</w:t>
            </w:r>
            <w:r>
              <w:rPr>
                <w:rFonts w:hint="eastAsia" w:ascii="Times New Roman" w:hAnsi="Times New Roman" w:eastAsia="宋体" w:cs="Times New Roman"/>
                <w:color w:val="auto"/>
                <w:sz w:val="21"/>
                <w:szCs w:val="21"/>
                <w:highlight w:val="none"/>
                <w:lang w:val="en-US" w:eastAsia="zh-CN"/>
              </w:rPr>
              <w:t>8</w:t>
            </w:r>
            <w:r>
              <w:rPr>
                <w:rFonts w:hint="eastAsia" w:ascii="Times New Roman" w:hAnsi="Times New Roman" w:eastAsia="宋体" w:cs="Times New Roman"/>
                <w:color w:val="auto"/>
                <w:sz w:val="21"/>
                <w:szCs w:val="21"/>
                <w:highlight w:val="none"/>
              </w:rPr>
              <w:t>月</w:t>
            </w:r>
            <w:r>
              <w:rPr>
                <w:rFonts w:hint="eastAsia" w:ascii="Times New Roman" w:hAnsi="Times New Roman" w:eastAsia="宋体" w:cs="Times New Roman"/>
                <w:color w:val="auto"/>
                <w:sz w:val="21"/>
                <w:szCs w:val="21"/>
                <w:highlight w:val="none"/>
                <w:lang w:val="en-US" w:eastAsia="zh-CN"/>
              </w:rPr>
              <w:t>24</w:t>
            </w:r>
            <w:r>
              <w:rPr>
                <w:rFonts w:hint="eastAsia" w:ascii="Times New Roman" w:hAnsi="Times New Roman" w:eastAsia="宋体" w:cs="Times New Roman"/>
                <w:color w:val="auto"/>
                <w:sz w:val="21"/>
                <w:szCs w:val="21"/>
                <w:highlight w:val="none"/>
              </w:rPr>
              <w:t>日，连续监测</w:t>
            </w:r>
            <w:r>
              <w:rPr>
                <w:rFonts w:hint="eastAsia" w:ascii="Times New Roman" w:hAnsi="Times New Roman" w:eastAsia="宋体" w:cs="Times New Roman"/>
                <w:color w:val="auto"/>
                <w:sz w:val="21"/>
                <w:szCs w:val="21"/>
                <w:highlight w:val="none"/>
                <w:lang w:val="en-US" w:eastAsia="zh-CN"/>
              </w:rPr>
              <w:t>3</w:t>
            </w:r>
            <w:r>
              <w:rPr>
                <w:rFonts w:hint="eastAsia" w:ascii="Times New Roman" w:hAnsi="Times New Roman" w:eastAsia="宋体" w:cs="Times New Roman"/>
                <w:color w:val="auto"/>
                <w:sz w:val="21"/>
                <w:szCs w:val="21"/>
                <w:highlight w:val="none"/>
              </w:rPr>
              <w:t>天，</w:t>
            </w:r>
            <w:r>
              <w:rPr>
                <w:rFonts w:ascii="Times New Roman" w:hAnsi="Times New Roman" w:eastAsia="宋体" w:cs="Times New Roman"/>
                <w:color w:val="auto"/>
                <w:sz w:val="21"/>
                <w:szCs w:val="21"/>
                <w:highlight w:val="none"/>
              </w:rPr>
              <w:t>TSP24小时平均浓度每天连续采样24</w:t>
            </w:r>
            <w:r>
              <w:rPr>
                <w:rFonts w:hint="eastAsia" w:ascii="Times New Roman" w:hAnsi="Times New Roman" w:eastAsia="宋体" w:cs="Times New Roman"/>
                <w:color w:val="auto"/>
                <w:sz w:val="21"/>
                <w:szCs w:val="21"/>
                <w:highlight w:val="none"/>
              </w:rPr>
              <w:t>小时。</w:t>
            </w:r>
          </w:p>
          <w:p w14:paraId="06F77255">
            <w:pPr>
              <w:pStyle w:val="24"/>
              <w:adjustRightInd w:val="0"/>
              <w:snapToGrid w:val="0"/>
              <w:spacing w:before="0" w:beforeAutospacing="0" w:after="0" w:afterAutospacing="0" w:line="440" w:lineRule="exact"/>
              <w:ind w:firstLine="420" w:firstLineChars="200"/>
              <w:rPr>
                <w:rFonts w:ascii="Times New Roman" w:hAnsi="Times New Roman"/>
                <w:color w:val="auto"/>
                <w:sz w:val="21"/>
                <w:szCs w:val="21"/>
                <w:highlight w:val="none"/>
              </w:rPr>
            </w:pPr>
            <w:r>
              <w:rPr>
                <w:rFonts w:hint="eastAsia"/>
                <w:color w:val="auto"/>
                <w:sz w:val="21"/>
                <w:szCs w:val="21"/>
                <w:highlight w:val="none"/>
              </w:rPr>
              <w:t>②</w:t>
            </w:r>
            <w:r>
              <w:rPr>
                <w:rFonts w:hint="eastAsia" w:ascii="Times New Roman" w:hAnsi="Times New Roman"/>
                <w:color w:val="auto"/>
                <w:sz w:val="21"/>
                <w:szCs w:val="21"/>
                <w:highlight w:val="none"/>
              </w:rPr>
              <w:t>评价结果</w:t>
            </w:r>
          </w:p>
          <w:p w14:paraId="4665170A">
            <w:pPr>
              <w:pStyle w:val="24"/>
              <w:adjustRightInd w:val="0"/>
              <w:snapToGrid w:val="0"/>
              <w:spacing w:before="0" w:beforeAutospacing="0" w:after="0" w:afterAutospacing="0" w:line="440" w:lineRule="exact"/>
              <w:ind w:firstLine="420" w:firstLineChars="200"/>
              <w:rPr>
                <w:rFonts w:hint="eastAsia" w:ascii="Times New Roman" w:hAnsi="Times New Roman"/>
                <w:color w:val="auto"/>
                <w:sz w:val="21"/>
                <w:szCs w:val="21"/>
                <w:highlight w:val="none"/>
              </w:rPr>
            </w:pPr>
            <w:r>
              <w:rPr>
                <w:rFonts w:hint="eastAsia" w:ascii="Times New Roman" w:hAnsi="Times New Roman"/>
                <w:color w:val="auto"/>
                <w:sz w:val="21"/>
                <w:szCs w:val="21"/>
                <w:highlight w:val="none"/>
              </w:rPr>
              <w:t>根据评价方法及评价标准，进行环境现状评价，评价结果见表</w:t>
            </w:r>
            <w:r>
              <w:rPr>
                <w:rFonts w:hint="eastAsia" w:ascii="Times New Roman" w:hAnsi="Times New Roman"/>
                <w:color w:val="auto"/>
                <w:sz w:val="21"/>
                <w:szCs w:val="21"/>
                <w:highlight w:val="none"/>
                <w:lang w:val="en-US" w:eastAsia="zh-CN"/>
              </w:rPr>
              <w:t>17</w:t>
            </w:r>
            <w:r>
              <w:rPr>
                <w:rFonts w:hint="eastAsia" w:ascii="Times New Roman" w:hAnsi="Times New Roman"/>
                <w:color w:val="auto"/>
                <w:sz w:val="21"/>
                <w:szCs w:val="21"/>
                <w:highlight w:val="none"/>
              </w:rPr>
              <w:t>。</w:t>
            </w:r>
          </w:p>
          <w:p w14:paraId="16651A86">
            <w:pPr>
              <w:pStyle w:val="24"/>
              <w:adjustRightInd w:val="0"/>
              <w:snapToGrid w:val="0"/>
              <w:spacing w:before="0" w:beforeAutospacing="0" w:after="0" w:afterAutospacing="0" w:line="440" w:lineRule="exact"/>
              <w:ind w:firstLine="420" w:firstLineChars="200"/>
              <w:rPr>
                <w:rFonts w:hint="eastAsia" w:ascii="Times New Roman" w:hAnsi="Times New Roman"/>
                <w:color w:val="auto"/>
                <w:sz w:val="21"/>
                <w:szCs w:val="21"/>
                <w:highlight w:val="none"/>
              </w:rPr>
            </w:pPr>
          </w:p>
          <w:p w14:paraId="2DD3E8C1">
            <w:pPr>
              <w:tabs>
                <w:tab w:val="left" w:pos="4253"/>
              </w:tabs>
              <w:spacing w:line="440" w:lineRule="exact"/>
              <w:jc w:val="center"/>
              <w:rPr>
                <w:b/>
                <w:color w:val="auto"/>
                <w:szCs w:val="21"/>
                <w:highlight w:val="none"/>
                <w:lang w:bidi="ar"/>
              </w:rPr>
            </w:pPr>
            <w:r>
              <w:rPr>
                <w:b/>
                <w:color w:val="auto"/>
                <w:szCs w:val="21"/>
                <w:highlight w:val="none"/>
                <w:lang w:bidi="ar"/>
              </w:rPr>
              <w:t>表</w:t>
            </w:r>
            <w:r>
              <w:rPr>
                <w:rFonts w:hint="eastAsia"/>
                <w:b/>
                <w:color w:val="auto"/>
                <w:szCs w:val="21"/>
                <w:highlight w:val="none"/>
                <w:lang w:val="en-US" w:eastAsia="zh-CN" w:bidi="ar"/>
              </w:rPr>
              <w:t>17</w:t>
            </w:r>
            <w:r>
              <w:rPr>
                <w:rFonts w:hint="eastAsia"/>
                <w:b/>
                <w:color w:val="auto"/>
                <w:szCs w:val="21"/>
                <w:highlight w:val="none"/>
                <w:lang w:bidi="ar"/>
              </w:rPr>
              <w:t xml:space="preserve">  </w:t>
            </w:r>
            <w:r>
              <w:rPr>
                <w:b/>
                <w:color w:val="auto"/>
                <w:szCs w:val="21"/>
                <w:highlight w:val="none"/>
                <w:lang w:bidi="ar"/>
              </w:rPr>
              <w:t>其他污染物环境质量现状监测结果</w:t>
            </w:r>
          </w:p>
          <w:tbl>
            <w:tblPr>
              <w:tblStyle w:val="28"/>
              <w:tblW w:w="8017" w:type="dxa"/>
              <w:tblInd w:w="0" w:type="dxa"/>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0" w:type="dxa"/>
                <w:bottom w:w="0" w:type="dxa"/>
                <w:right w:w="0" w:type="dxa"/>
              </w:tblCellMar>
            </w:tblPr>
            <w:tblGrid>
              <w:gridCol w:w="753"/>
              <w:gridCol w:w="660"/>
              <w:gridCol w:w="920"/>
              <w:gridCol w:w="660"/>
              <w:gridCol w:w="930"/>
              <w:gridCol w:w="760"/>
              <w:gridCol w:w="1170"/>
              <w:gridCol w:w="820"/>
              <w:gridCol w:w="684"/>
              <w:gridCol w:w="660"/>
            </w:tblGrid>
            <w:tr w14:paraId="7E1144F8">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PrEx>
              <w:trPr>
                <w:trHeight w:val="369" w:hRule="atLeast"/>
              </w:trPr>
              <w:tc>
                <w:tcPr>
                  <w:tcW w:w="753" w:type="dxa"/>
                  <w:vMerge w:val="restart"/>
                  <w:tcBorders>
                    <w:right w:val="single" w:color="auto" w:sz="4" w:space="0"/>
                    <w:tl2br w:val="nil"/>
                    <w:tr2bl w:val="nil"/>
                  </w:tcBorders>
                  <w:vAlign w:val="center"/>
                </w:tcPr>
                <w:p w14:paraId="4E1414A8">
                  <w:pPr>
                    <w:jc w:val="center"/>
                    <w:rPr>
                      <w:color w:val="auto"/>
                      <w:sz w:val="18"/>
                      <w:szCs w:val="18"/>
                      <w:highlight w:val="none"/>
                    </w:rPr>
                  </w:pPr>
                  <w:r>
                    <w:rPr>
                      <w:color w:val="auto"/>
                      <w:sz w:val="18"/>
                      <w:szCs w:val="18"/>
                      <w:highlight w:val="none"/>
                    </w:rPr>
                    <w:t>监测点位</w:t>
                  </w:r>
                </w:p>
              </w:tc>
              <w:tc>
                <w:tcPr>
                  <w:tcW w:w="1580" w:type="dxa"/>
                  <w:gridSpan w:val="2"/>
                  <w:tcBorders>
                    <w:left w:val="single" w:color="auto" w:sz="4" w:space="0"/>
                    <w:tl2br w:val="nil"/>
                    <w:tr2bl w:val="nil"/>
                  </w:tcBorders>
                  <w:vAlign w:val="center"/>
                </w:tcPr>
                <w:p w14:paraId="0D952339">
                  <w:pPr>
                    <w:jc w:val="center"/>
                    <w:rPr>
                      <w:color w:val="auto"/>
                      <w:sz w:val="18"/>
                      <w:szCs w:val="18"/>
                      <w:highlight w:val="none"/>
                    </w:rPr>
                  </w:pPr>
                  <w:r>
                    <w:rPr>
                      <w:rFonts w:hint="eastAsia"/>
                      <w:color w:val="auto"/>
                      <w:sz w:val="18"/>
                      <w:szCs w:val="18"/>
                      <w:highlight w:val="none"/>
                      <w:lang w:val="en-US" w:eastAsia="zh-CN"/>
                    </w:rPr>
                    <w:t>距项目厂界</w:t>
                  </w:r>
                </w:p>
              </w:tc>
              <w:tc>
                <w:tcPr>
                  <w:tcW w:w="660" w:type="dxa"/>
                  <w:vMerge w:val="restart"/>
                  <w:tcBorders>
                    <w:tl2br w:val="nil"/>
                    <w:tr2bl w:val="nil"/>
                  </w:tcBorders>
                  <w:vAlign w:val="center"/>
                </w:tcPr>
                <w:p w14:paraId="75A817BD">
                  <w:pPr>
                    <w:jc w:val="center"/>
                    <w:rPr>
                      <w:color w:val="auto"/>
                      <w:sz w:val="18"/>
                      <w:szCs w:val="18"/>
                      <w:highlight w:val="none"/>
                    </w:rPr>
                  </w:pPr>
                  <w:r>
                    <w:rPr>
                      <w:color w:val="auto"/>
                      <w:sz w:val="18"/>
                      <w:szCs w:val="18"/>
                      <w:highlight w:val="none"/>
                    </w:rPr>
                    <w:t>污染物</w:t>
                  </w:r>
                </w:p>
              </w:tc>
              <w:tc>
                <w:tcPr>
                  <w:tcW w:w="930" w:type="dxa"/>
                  <w:vMerge w:val="restart"/>
                  <w:tcBorders>
                    <w:tl2br w:val="nil"/>
                    <w:tr2bl w:val="nil"/>
                  </w:tcBorders>
                  <w:vAlign w:val="center"/>
                </w:tcPr>
                <w:p w14:paraId="4436AAA8">
                  <w:pPr>
                    <w:jc w:val="center"/>
                    <w:rPr>
                      <w:color w:val="auto"/>
                      <w:sz w:val="18"/>
                      <w:szCs w:val="18"/>
                      <w:highlight w:val="none"/>
                    </w:rPr>
                  </w:pPr>
                  <w:r>
                    <w:rPr>
                      <w:color w:val="auto"/>
                      <w:sz w:val="18"/>
                      <w:szCs w:val="18"/>
                      <w:highlight w:val="none"/>
                    </w:rPr>
                    <w:t>平均时间</w:t>
                  </w:r>
                </w:p>
              </w:tc>
              <w:tc>
                <w:tcPr>
                  <w:tcW w:w="760" w:type="dxa"/>
                  <w:vMerge w:val="restart"/>
                  <w:tcBorders>
                    <w:tl2br w:val="nil"/>
                    <w:tr2bl w:val="nil"/>
                  </w:tcBorders>
                  <w:vAlign w:val="center"/>
                </w:tcPr>
                <w:p w14:paraId="4D03F340">
                  <w:pPr>
                    <w:jc w:val="center"/>
                    <w:rPr>
                      <w:color w:val="auto"/>
                      <w:sz w:val="18"/>
                      <w:szCs w:val="18"/>
                      <w:highlight w:val="none"/>
                    </w:rPr>
                  </w:pPr>
                  <w:r>
                    <w:rPr>
                      <w:color w:val="auto"/>
                      <w:sz w:val="18"/>
                      <w:szCs w:val="18"/>
                      <w:highlight w:val="none"/>
                    </w:rPr>
                    <w:t>评价标准</w:t>
                  </w:r>
                </w:p>
                <w:p w14:paraId="0E7FD42C">
                  <w:pPr>
                    <w:jc w:val="center"/>
                    <w:rPr>
                      <w:color w:val="auto"/>
                      <w:sz w:val="18"/>
                      <w:szCs w:val="18"/>
                      <w:highlight w:val="none"/>
                    </w:rPr>
                  </w:pPr>
                  <w:r>
                    <w:rPr>
                      <w:color w:val="auto"/>
                      <w:sz w:val="18"/>
                      <w:szCs w:val="18"/>
                      <w:highlight w:val="none"/>
                    </w:rPr>
                    <w:t>/μg/m</w:t>
                  </w:r>
                  <w:r>
                    <w:rPr>
                      <w:color w:val="auto"/>
                      <w:sz w:val="18"/>
                      <w:szCs w:val="18"/>
                      <w:highlight w:val="none"/>
                      <w:vertAlign w:val="superscript"/>
                    </w:rPr>
                    <w:t>3</w:t>
                  </w:r>
                </w:p>
              </w:tc>
              <w:tc>
                <w:tcPr>
                  <w:tcW w:w="1170" w:type="dxa"/>
                  <w:vMerge w:val="restart"/>
                  <w:tcBorders>
                    <w:tl2br w:val="nil"/>
                    <w:tr2bl w:val="nil"/>
                  </w:tcBorders>
                  <w:vAlign w:val="center"/>
                </w:tcPr>
                <w:p w14:paraId="3D1B8571">
                  <w:pPr>
                    <w:jc w:val="center"/>
                    <w:rPr>
                      <w:color w:val="auto"/>
                      <w:sz w:val="18"/>
                      <w:szCs w:val="18"/>
                      <w:highlight w:val="none"/>
                    </w:rPr>
                  </w:pPr>
                  <w:r>
                    <w:rPr>
                      <w:color w:val="auto"/>
                      <w:sz w:val="18"/>
                      <w:szCs w:val="18"/>
                      <w:highlight w:val="none"/>
                    </w:rPr>
                    <w:t>监测浓度范围</w:t>
                  </w:r>
                </w:p>
                <w:p w14:paraId="1E6B5BC7">
                  <w:pPr>
                    <w:jc w:val="center"/>
                    <w:rPr>
                      <w:color w:val="auto"/>
                      <w:sz w:val="18"/>
                      <w:szCs w:val="18"/>
                      <w:highlight w:val="none"/>
                    </w:rPr>
                  </w:pPr>
                  <w:r>
                    <w:rPr>
                      <w:color w:val="auto"/>
                      <w:sz w:val="18"/>
                      <w:szCs w:val="18"/>
                      <w:highlight w:val="none"/>
                    </w:rPr>
                    <w:t>/μg/m</w:t>
                  </w:r>
                  <w:r>
                    <w:rPr>
                      <w:color w:val="auto"/>
                      <w:sz w:val="18"/>
                      <w:szCs w:val="18"/>
                      <w:highlight w:val="none"/>
                      <w:vertAlign w:val="superscript"/>
                    </w:rPr>
                    <w:t>3</w:t>
                  </w:r>
                </w:p>
              </w:tc>
              <w:tc>
                <w:tcPr>
                  <w:tcW w:w="820" w:type="dxa"/>
                  <w:vMerge w:val="restart"/>
                  <w:tcBorders>
                    <w:tl2br w:val="nil"/>
                    <w:tr2bl w:val="nil"/>
                  </w:tcBorders>
                  <w:vAlign w:val="center"/>
                </w:tcPr>
                <w:p w14:paraId="3AD4C1DD">
                  <w:pPr>
                    <w:jc w:val="center"/>
                    <w:rPr>
                      <w:color w:val="auto"/>
                      <w:sz w:val="18"/>
                      <w:szCs w:val="18"/>
                      <w:highlight w:val="none"/>
                    </w:rPr>
                  </w:pPr>
                  <w:r>
                    <w:rPr>
                      <w:color w:val="auto"/>
                      <w:sz w:val="18"/>
                      <w:szCs w:val="18"/>
                      <w:highlight w:val="none"/>
                    </w:rPr>
                    <w:t>最大浓度占标率/%</w:t>
                  </w:r>
                </w:p>
              </w:tc>
              <w:tc>
                <w:tcPr>
                  <w:tcW w:w="684" w:type="dxa"/>
                  <w:vMerge w:val="restart"/>
                  <w:tcBorders>
                    <w:tl2br w:val="nil"/>
                    <w:tr2bl w:val="nil"/>
                  </w:tcBorders>
                  <w:vAlign w:val="center"/>
                </w:tcPr>
                <w:p w14:paraId="6179D5F4">
                  <w:pPr>
                    <w:jc w:val="center"/>
                    <w:rPr>
                      <w:color w:val="auto"/>
                      <w:sz w:val="18"/>
                      <w:szCs w:val="18"/>
                      <w:highlight w:val="none"/>
                    </w:rPr>
                  </w:pPr>
                  <w:r>
                    <w:rPr>
                      <w:color w:val="auto"/>
                      <w:sz w:val="18"/>
                      <w:szCs w:val="18"/>
                      <w:highlight w:val="none"/>
                    </w:rPr>
                    <w:t>超标率/%</w:t>
                  </w:r>
                </w:p>
              </w:tc>
              <w:tc>
                <w:tcPr>
                  <w:tcW w:w="660" w:type="dxa"/>
                  <w:vMerge w:val="restart"/>
                  <w:tcBorders>
                    <w:tl2br w:val="nil"/>
                    <w:tr2bl w:val="nil"/>
                  </w:tcBorders>
                  <w:vAlign w:val="center"/>
                </w:tcPr>
                <w:p w14:paraId="33453C4F">
                  <w:pPr>
                    <w:jc w:val="center"/>
                    <w:rPr>
                      <w:color w:val="auto"/>
                      <w:sz w:val="18"/>
                      <w:szCs w:val="18"/>
                      <w:highlight w:val="none"/>
                    </w:rPr>
                  </w:pPr>
                  <w:r>
                    <w:rPr>
                      <w:color w:val="auto"/>
                      <w:sz w:val="18"/>
                      <w:szCs w:val="18"/>
                      <w:highlight w:val="none"/>
                    </w:rPr>
                    <w:t>达标</w:t>
                  </w:r>
                </w:p>
                <w:p w14:paraId="24193CC0">
                  <w:pPr>
                    <w:jc w:val="center"/>
                    <w:rPr>
                      <w:color w:val="auto"/>
                      <w:sz w:val="18"/>
                      <w:szCs w:val="18"/>
                      <w:highlight w:val="none"/>
                    </w:rPr>
                  </w:pPr>
                  <w:r>
                    <w:rPr>
                      <w:color w:val="auto"/>
                      <w:sz w:val="18"/>
                      <w:szCs w:val="18"/>
                      <w:highlight w:val="none"/>
                    </w:rPr>
                    <w:t>情况</w:t>
                  </w:r>
                </w:p>
              </w:tc>
            </w:tr>
            <w:tr w14:paraId="315311B9">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69" w:hRule="atLeast"/>
              </w:trPr>
              <w:tc>
                <w:tcPr>
                  <w:tcW w:w="753" w:type="dxa"/>
                  <w:vMerge w:val="continue"/>
                  <w:tcBorders>
                    <w:right w:val="single" w:color="auto" w:sz="4" w:space="0"/>
                    <w:tl2br w:val="nil"/>
                    <w:tr2bl w:val="nil"/>
                  </w:tcBorders>
                  <w:vAlign w:val="center"/>
                </w:tcPr>
                <w:p w14:paraId="6EC9ABF4">
                  <w:pPr>
                    <w:jc w:val="center"/>
                    <w:rPr>
                      <w:color w:val="auto"/>
                      <w:sz w:val="18"/>
                      <w:szCs w:val="18"/>
                      <w:highlight w:val="none"/>
                    </w:rPr>
                  </w:pPr>
                </w:p>
              </w:tc>
              <w:tc>
                <w:tcPr>
                  <w:tcW w:w="660" w:type="dxa"/>
                  <w:tcBorders>
                    <w:left w:val="single" w:color="auto" w:sz="4" w:space="0"/>
                    <w:right w:val="single" w:color="auto" w:sz="4" w:space="0"/>
                    <w:tl2br w:val="nil"/>
                    <w:tr2bl w:val="nil"/>
                  </w:tcBorders>
                  <w:vAlign w:val="center"/>
                </w:tcPr>
                <w:p w14:paraId="05F84600">
                  <w:pPr>
                    <w:spacing w:line="240" w:lineRule="exact"/>
                    <w:jc w:val="center"/>
                    <w:rPr>
                      <w:rFonts w:hint="eastAsia" w:ascii="Times New Roman" w:hAnsi="Times New Roman" w:eastAsia="宋体" w:cs="Times New Roman"/>
                      <w:color w:val="auto"/>
                      <w:kern w:val="2"/>
                      <w:sz w:val="18"/>
                      <w:szCs w:val="18"/>
                      <w:highlight w:val="none"/>
                      <w:lang w:val="en-US" w:eastAsia="zh-CN" w:bidi="ar-SA"/>
                    </w:rPr>
                  </w:pPr>
                  <w:r>
                    <w:rPr>
                      <w:rFonts w:hint="eastAsia"/>
                      <w:color w:val="auto"/>
                      <w:sz w:val="18"/>
                      <w:szCs w:val="18"/>
                      <w:highlight w:val="none"/>
                      <w:lang w:val="en-US" w:eastAsia="zh-CN"/>
                    </w:rPr>
                    <w:t>方位</w:t>
                  </w:r>
                </w:p>
              </w:tc>
              <w:tc>
                <w:tcPr>
                  <w:tcW w:w="920" w:type="dxa"/>
                  <w:tcBorders>
                    <w:left w:val="single" w:color="auto" w:sz="4" w:space="0"/>
                    <w:tl2br w:val="nil"/>
                    <w:tr2bl w:val="nil"/>
                  </w:tcBorders>
                  <w:vAlign w:val="center"/>
                </w:tcPr>
                <w:p w14:paraId="09970453">
                  <w:pPr>
                    <w:spacing w:line="240" w:lineRule="exact"/>
                    <w:jc w:val="center"/>
                    <w:rPr>
                      <w:rFonts w:hint="eastAsia" w:ascii="Times New Roman" w:hAnsi="Times New Roman" w:eastAsia="宋体" w:cs="Times New Roman"/>
                      <w:color w:val="auto"/>
                      <w:kern w:val="2"/>
                      <w:sz w:val="18"/>
                      <w:szCs w:val="18"/>
                      <w:highlight w:val="none"/>
                      <w:lang w:val="en-US" w:eastAsia="zh-CN" w:bidi="ar-SA"/>
                    </w:rPr>
                  </w:pPr>
                  <w:r>
                    <w:rPr>
                      <w:rFonts w:hint="eastAsia"/>
                      <w:color w:val="auto"/>
                      <w:sz w:val="18"/>
                      <w:szCs w:val="18"/>
                      <w:highlight w:val="none"/>
                      <w:lang w:val="en-US" w:eastAsia="zh-CN"/>
                    </w:rPr>
                    <w:t>距离（m）</w:t>
                  </w:r>
                </w:p>
              </w:tc>
              <w:tc>
                <w:tcPr>
                  <w:tcW w:w="660" w:type="dxa"/>
                  <w:vMerge w:val="continue"/>
                  <w:tcBorders>
                    <w:tl2br w:val="nil"/>
                    <w:tr2bl w:val="nil"/>
                  </w:tcBorders>
                  <w:vAlign w:val="center"/>
                </w:tcPr>
                <w:p w14:paraId="35826EE3">
                  <w:pPr>
                    <w:jc w:val="center"/>
                    <w:rPr>
                      <w:color w:val="auto"/>
                      <w:sz w:val="18"/>
                      <w:szCs w:val="18"/>
                      <w:highlight w:val="none"/>
                    </w:rPr>
                  </w:pPr>
                </w:p>
              </w:tc>
              <w:tc>
                <w:tcPr>
                  <w:tcW w:w="930" w:type="dxa"/>
                  <w:vMerge w:val="continue"/>
                  <w:tcBorders>
                    <w:tl2br w:val="nil"/>
                    <w:tr2bl w:val="nil"/>
                  </w:tcBorders>
                  <w:vAlign w:val="center"/>
                </w:tcPr>
                <w:p w14:paraId="3989BFEA">
                  <w:pPr>
                    <w:jc w:val="center"/>
                    <w:rPr>
                      <w:color w:val="auto"/>
                      <w:sz w:val="18"/>
                      <w:szCs w:val="18"/>
                      <w:highlight w:val="none"/>
                    </w:rPr>
                  </w:pPr>
                </w:p>
              </w:tc>
              <w:tc>
                <w:tcPr>
                  <w:tcW w:w="760" w:type="dxa"/>
                  <w:vMerge w:val="continue"/>
                  <w:tcBorders>
                    <w:tl2br w:val="nil"/>
                    <w:tr2bl w:val="nil"/>
                  </w:tcBorders>
                  <w:vAlign w:val="center"/>
                </w:tcPr>
                <w:p w14:paraId="7D8B3413">
                  <w:pPr>
                    <w:jc w:val="center"/>
                    <w:rPr>
                      <w:color w:val="auto"/>
                      <w:sz w:val="18"/>
                      <w:szCs w:val="18"/>
                      <w:highlight w:val="none"/>
                    </w:rPr>
                  </w:pPr>
                </w:p>
              </w:tc>
              <w:tc>
                <w:tcPr>
                  <w:tcW w:w="1170" w:type="dxa"/>
                  <w:vMerge w:val="continue"/>
                  <w:tcBorders>
                    <w:tl2br w:val="nil"/>
                    <w:tr2bl w:val="nil"/>
                  </w:tcBorders>
                  <w:vAlign w:val="center"/>
                </w:tcPr>
                <w:p w14:paraId="2E131D94">
                  <w:pPr>
                    <w:jc w:val="center"/>
                    <w:rPr>
                      <w:color w:val="auto"/>
                      <w:sz w:val="18"/>
                      <w:szCs w:val="18"/>
                      <w:highlight w:val="none"/>
                    </w:rPr>
                  </w:pPr>
                </w:p>
              </w:tc>
              <w:tc>
                <w:tcPr>
                  <w:tcW w:w="820" w:type="dxa"/>
                  <w:vMerge w:val="continue"/>
                  <w:tcBorders>
                    <w:tl2br w:val="nil"/>
                    <w:tr2bl w:val="nil"/>
                  </w:tcBorders>
                  <w:vAlign w:val="center"/>
                </w:tcPr>
                <w:p w14:paraId="2C8C16DD">
                  <w:pPr>
                    <w:jc w:val="center"/>
                    <w:rPr>
                      <w:color w:val="auto"/>
                      <w:sz w:val="18"/>
                      <w:szCs w:val="18"/>
                      <w:highlight w:val="none"/>
                    </w:rPr>
                  </w:pPr>
                </w:p>
              </w:tc>
              <w:tc>
                <w:tcPr>
                  <w:tcW w:w="684" w:type="dxa"/>
                  <w:vMerge w:val="continue"/>
                  <w:tcBorders>
                    <w:tl2br w:val="nil"/>
                    <w:tr2bl w:val="nil"/>
                  </w:tcBorders>
                  <w:vAlign w:val="center"/>
                </w:tcPr>
                <w:p w14:paraId="38F7E829">
                  <w:pPr>
                    <w:jc w:val="center"/>
                    <w:rPr>
                      <w:color w:val="auto"/>
                      <w:sz w:val="18"/>
                      <w:szCs w:val="18"/>
                      <w:highlight w:val="none"/>
                    </w:rPr>
                  </w:pPr>
                </w:p>
              </w:tc>
              <w:tc>
                <w:tcPr>
                  <w:tcW w:w="660" w:type="dxa"/>
                  <w:vMerge w:val="continue"/>
                  <w:tcBorders>
                    <w:tl2br w:val="nil"/>
                    <w:tr2bl w:val="nil"/>
                  </w:tcBorders>
                  <w:vAlign w:val="center"/>
                </w:tcPr>
                <w:p w14:paraId="65B9076E">
                  <w:pPr>
                    <w:jc w:val="center"/>
                    <w:rPr>
                      <w:color w:val="auto"/>
                      <w:sz w:val="18"/>
                      <w:szCs w:val="18"/>
                      <w:highlight w:val="none"/>
                    </w:rPr>
                  </w:pPr>
                </w:p>
              </w:tc>
            </w:tr>
            <w:tr w14:paraId="16492DE7">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PrEx>
              <w:trPr>
                <w:trHeight w:val="306" w:hRule="atLeast"/>
              </w:trPr>
              <w:tc>
                <w:tcPr>
                  <w:tcW w:w="753" w:type="dxa"/>
                  <w:tcBorders>
                    <w:right w:val="single" w:color="auto" w:sz="4" w:space="0"/>
                    <w:tl2br w:val="nil"/>
                    <w:tr2bl w:val="nil"/>
                  </w:tcBorders>
                  <w:vAlign w:val="center"/>
                </w:tcPr>
                <w:p w14:paraId="2A621F1E">
                  <w:pPr>
                    <w:jc w:val="center"/>
                    <w:rPr>
                      <w:rFonts w:hint="eastAsia" w:eastAsia="宋体"/>
                      <w:color w:val="auto"/>
                      <w:sz w:val="18"/>
                      <w:szCs w:val="18"/>
                      <w:highlight w:val="none"/>
                      <w:lang w:eastAsia="zh-CN"/>
                    </w:rPr>
                  </w:pPr>
                  <w:r>
                    <w:rPr>
                      <w:rFonts w:hint="eastAsia"/>
                      <w:color w:val="auto"/>
                      <w:sz w:val="18"/>
                      <w:szCs w:val="18"/>
                      <w:highlight w:val="none"/>
                      <w:lang w:val="en-US" w:eastAsia="zh-CN"/>
                    </w:rPr>
                    <w:t>李庄</w:t>
                  </w:r>
                  <w:r>
                    <w:rPr>
                      <w:color w:val="auto"/>
                      <w:sz w:val="18"/>
                      <w:szCs w:val="18"/>
                      <w:highlight w:val="none"/>
                    </w:rPr>
                    <w:t>村</w:t>
                  </w:r>
                </w:p>
              </w:tc>
              <w:tc>
                <w:tcPr>
                  <w:tcW w:w="660" w:type="dxa"/>
                  <w:tcBorders>
                    <w:left w:val="single" w:color="auto" w:sz="4" w:space="0"/>
                    <w:right w:val="single" w:color="auto" w:sz="4" w:space="0"/>
                    <w:tl2br w:val="nil"/>
                    <w:tr2bl w:val="nil"/>
                  </w:tcBorders>
                  <w:vAlign w:val="center"/>
                </w:tcPr>
                <w:p w14:paraId="7E3C0751">
                  <w:pPr>
                    <w:jc w:val="center"/>
                    <w:rPr>
                      <w:rFonts w:hint="default" w:eastAsia="宋体"/>
                      <w:color w:val="auto"/>
                      <w:sz w:val="18"/>
                      <w:szCs w:val="18"/>
                      <w:highlight w:val="none"/>
                      <w:lang w:val="en-US" w:eastAsia="zh-CN"/>
                    </w:rPr>
                  </w:pPr>
                  <w:r>
                    <w:rPr>
                      <w:rFonts w:hint="eastAsia"/>
                      <w:color w:val="auto"/>
                      <w:sz w:val="18"/>
                      <w:szCs w:val="18"/>
                      <w:highlight w:val="none"/>
                      <w:lang w:val="en-US" w:eastAsia="zh-CN"/>
                    </w:rPr>
                    <w:t>ESE</w:t>
                  </w:r>
                </w:p>
              </w:tc>
              <w:tc>
                <w:tcPr>
                  <w:tcW w:w="920" w:type="dxa"/>
                  <w:tcBorders>
                    <w:left w:val="single" w:color="auto" w:sz="4" w:space="0"/>
                    <w:tl2br w:val="nil"/>
                    <w:tr2bl w:val="nil"/>
                  </w:tcBorders>
                  <w:vAlign w:val="center"/>
                </w:tcPr>
                <w:p w14:paraId="21107467">
                  <w:pPr>
                    <w:jc w:val="center"/>
                    <w:rPr>
                      <w:rFonts w:hint="default" w:eastAsia="宋体"/>
                      <w:color w:val="auto"/>
                      <w:sz w:val="18"/>
                      <w:szCs w:val="18"/>
                      <w:highlight w:val="none"/>
                      <w:lang w:val="en-US" w:eastAsia="zh-CN"/>
                    </w:rPr>
                  </w:pPr>
                  <w:r>
                    <w:rPr>
                      <w:rFonts w:hint="eastAsia"/>
                      <w:color w:val="auto"/>
                      <w:sz w:val="18"/>
                      <w:szCs w:val="18"/>
                      <w:highlight w:val="none"/>
                      <w:lang w:val="en-US" w:eastAsia="zh-CN"/>
                    </w:rPr>
                    <w:t>1700</w:t>
                  </w:r>
                </w:p>
              </w:tc>
              <w:tc>
                <w:tcPr>
                  <w:tcW w:w="660" w:type="dxa"/>
                  <w:tcBorders>
                    <w:tl2br w:val="nil"/>
                    <w:tr2bl w:val="nil"/>
                  </w:tcBorders>
                  <w:vAlign w:val="center"/>
                </w:tcPr>
                <w:p w14:paraId="2BF8F458">
                  <w:pPr>
                    <w:jc w:val="center"/>
                    <w:rPr>
                      <w:rFonts w:hint="default"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TSP</w:t>
                  </w:r>
                </w:p>
              </w:tc>
              <w:tc>
                <w:tcPr>
                  <w:tcW w:w="930" w:type="dxa"/>
                  <w:tcBorders>
                    <w:tl2br w:val="nil"/>
                    <w:tr2bl w:val="nil"/>
                  </w:tcBorders>
                  <w:vAlign w:val="center"/>
                </w:tcPr>
                <w:p w14:paraId="575B828F">
                  <w:pPr>
                    <w:jc w:val="center"/>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24小时</w:t>
                  </w:r>
                </w:p>
              </w:tc>
              <w:tc>
                <w:tcPr>
                  <w:tcW w:w="760" w:type="dxa"/>
                  <w:tcBorders>
                    <w:tl2br w:val="nil"/>
                    <w:tr2bl w:val="nil"/>
                  </w:tcBorders>
                  <w:vAlign w:val="center"/>
                </w:tcPr>
                <w:p w14:paraId="128D82D6">
                  <w:pPr>
                    <w:jc w:val="center"/>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300</w:t>
                  </w:r>
                </w:p>
              </w:tc>
              <w:tc>
                <w:tcPr>
                  <w:tcW w:w="1170" w:type="dxa"/>
                  <w:tcBorders>
                    <w:tl2br w:val="nil"/>
                    <w:tr2bl w:val="nil"/>
                  </w:tcBorders>
                  <w:vAlign w:val="center"/>
                </w:tcPr>
                <w:p w14:paraId="26FFC3DC">
                  <w:pPr>
                    <w:jc w:val="center"/>
                    <w:rPr>
                      <w:rFonts w:hint="default" w:ascii="Times New Roman" w:hAnsi="Times New Roman" w:eastAsia="宋体" w:cs="Times New Roman"/>
                      <w:color w:val="auto"/>
                      <w:sz w:val="18"/>
                      <w:szCs w:val="18"/>
                      <w:highlight w:val="none"/>
                      <w:lang w:val="en-US" w:eastAsia="zh-CN"/>
                    </w:rPr>
                  </w:pPr>
                  <w:r>
                    <w:rPr>
                      <w:rFonts w:hint="eastAsia" w:cs="Times New Roman"/>
                      <w:color w:val="auto"/>
                      <w:sz w:val="18"/>
                      <w:szCs w:val="18"/>
                      <w:highlight w:val="none"/>
                      <w:lang w:val="en-US" w:eastAsia="zh-CN"/>
                    </w:rPr>
                    <w:t>90</w:t>
                  </w:r>
                  <w:r>
                    <w:rPr>
                      <w:rFonts w:hint="eastAsia" w:ascii="Times New Roman" w:hAnsi="Times New Roman" w:eastAsia="宋体" w:cs="Times New Roman"/>
                      <w:color w:val="auto"/>
                      <w:sz w:val="18"/>
                      <w:szCs w:val="18"/>
                      <w:highlight w:val="none"/>
                      <w:lang w:val="en-US" w:eastAsia="zh-CN"/>
                    </w:rPr>
                    <w:t>-</w:t>
                  </w:r>
                  <w:r>
                    <w:rPr>
                      <w:rFonts w:hint="eastAsia" w:cs="Times New Roman"/>
                      <w:color w:val="auto"/>
                      <w:sz w:val="18"/>
                      <w:szCs w:val="18"/>
                      <w:highlight w:val="none"/>
                      <w:lang w:val="en-US" w:eastAsia="zh-CN"/>
                    </w:rPr>
                    <w:t>96</w:t>
                  </w:r>
                </w:p>
              </w:tc>
              <w:tc>
                <w:tcPr>
                  <w:tcW w:w="820" w:type="dxa"/>
                  <w:tcBorders>
                    <w:tl2br w:val="nil"/>
                    <w:tr2bl w:val="nil"/>
                  </w:tcBorders>
                  <w:vAlign w:val="center"/>
                </w:tcPr>
                <w:p w14:paraId="0E2A60CE">
                  <w:pPr>
                    <w:jc w:val="center"/>
                    <w:rPr>
                      <w:rFonts w:hint="default" w:ascii="Times New Roman" w:hAnsi="Times New Roman" w:eastAsia="宋体" w:cs="Times New Roman"/>
                      <w:color w:val="auto"/>
                      <w:sz w:val="18"/>
                      <w:szCs w:val="18"/>
                      <w:highlight w:val="none"/>
                      <w:lang w:val="en-US" w:eastAsia="zh-CN"/>
                    </w:rPr>
                  </w:pPr>
                  <w:r>
                    <w:rPr>
                      <w:rFonts w:hint="eastAsia" w:cs="Times New Roman"/>
                      <w:color w:val="auto"/>
                      <w:sz w:val="18"/>
                      <w:szCs w:val="18"/>
                      <w:highlight w:val="none"/>
                      <w:lang w:val="en-US" w:eastAsia="zh-CN"/>
                    </w:rPr>
                    <w:t>32</w:t>
                  </w:r>
                </w:p>
              </w:tc>
              <w:tc>
                <w:tcPr>
                  <w:tcW w:w="684" w:type="dxa"/>
                  <w:tcBorders>
                    <w:tl2br w:val="nil"/>
                    <w:tr2bl w:val="nil"/>
                  </w:tcBorders>
                  <w:vAlign w:val="center"/>
                </w:tcPr>
                <w:p w14:paraId="5DABA0F4">
                  <w:pPr>
                    <w:jc w:val="center"/>
                    <w:rPr>
                      <w:rFonts w:hint="eastAsia" w:ascii="Times New Roman" w:hAnsi="Times New Roman" w:eastAsia="宋体" w:cs="Times New Roman"/>
                      <w:color w:val="auto"/>
                      <w:sz w:val="18"/>
                      <w:szCs w:val="18"/>
                      <w:highlight w:val="none"/>
                      <w:lang w:val="en-US" w:eastAsia="zh-CN"/>
                    </w:rPr>
                  </w:pPr>
                  <w:r>
                    <w:rPr>
                      <w:rFonts w:hint="eastAsia" w:ascii="Times New Roman" w:hAnsi="Times New Roman" w:eastAsia="宋体" w:cs="Times New Roman"/>
                      <w:color w:val="auto"/>
                      <w:sz w:val="18"/>
                      <w:szCs w:val="18"/>
                      <w:highlight w:val="none"/>
                      <w:lang w:val="en-US" w:eastAsia="zh-CN"/>
                    </w:rPr>
                    <w:t>0</w:t>
                  </w:r>
                </w:p>
              </w:tc>
              <w:tc>
                <w:tcPr>
                  <w:tcW w:w="660" w:type="dxa"/>
                  <w:tcBorders>
                    <w:tl2br w:val="nil"/>
                    <w:tr2bl w:val="nil"/>
                  </w:tcBorders>
                  <w:vAlign w:val="center"/>
                </w:tcPr>
                <w:p w14:paraId="398ED2CB">
                  <w:pPr>
                    <w:jc w:val="center"/>
                    <w:rPr>
                      <w:color w:val="auto"/>
                      <w:sz w:val="18"/>
                      <w:szCs w:val="18"/>
                      <w:highlight w:val="none"/>
                    </w:rPr>
                  </w:pPr>
                  <w:r>
                    <w:rPr>
                      <w:color w:val="auto"/>
                      <w:sz w:val="18"/>
                      <w:szCs w:val="18"/>
                      <w:highlight w:val="none"/>
                    </w:rPr>
                    <w:t>达标</w:t>
                  </w:r>
                </w:p>
              </w:tc>
            </w:tr>
          </w:tbl>
          <w:p w14:paraId="78004E29">
            <w:pPr>
              <w:pStyle w:val="24"/>
              <w:adjustRightInd w:val="0"/>
              <w:snapToGrid w:val="0"/>
              <w:spacing w:before="0" w:beforeAutospacing="0" w:after="0" w:afterAutospacing="0" w:line="440" w:lineRule="exact"/>
              <w:ind w:firstLine="420" w:firstLineChars="200"/>
              <w:rPr>
                <w:rFonts w:ascii="Times New Roman" w:hAnsi="Times New Roman"/>
                <w:color w:val="auto"/>
                <w:sz w:val="21"/>
                <w:szCs w:val="21"/>
                <w:highlight w:val="none"/>
              </w:rPr>
            </w:pPr>
            <w:r>
              <w:rPr>
                <w:rFonts w:ascii="Times New Roman" w:hAnsi="Times New Roman"/>
                <w:color w:val="auto"/>
                <w:sz w:val="21"/>
                <w:szCs w:val="21"/>
                <w:highlight w:val="none"/>
              </w:rPr>
              <w:t>由表</w:t>
            </w:r>
            <w:r>
              <w:rPr>
                <w:rFonts w:hint="eastAsia" w:ascii="Times New Roman" w:hAnsi="Times New Roman"/>
                <w:color w:val="auto"/>
                <w:sz w:val="21"/>
                <w:szCs w:val="21"/>
                <w:highlight w:val="none"/>
                <w:lang w:val="en-US" w:eastAsia="zh-CN"/>
              </w:rPr>
              <w:t>17</w:t>
            </w:r>
            <w:r>
              <w:rPr>
                <w:rFonts w:ascii="Times New Roman" w:hAnsi="Times New Roman"/>
                <w:color w:val="auto"/>
                <w:sz w:val="21"/>
                <w:szCs w:val="21"/>
                <w:highlight w:val="none"/>
              </w:rPr>
              <w:t>分析可知，监测点位</w:t>
            </w:r>
            <w:r>
              <w:rPr>
                <w:rFonts w:hint="eastAsia" w:ascii="Times New Roman" w:hAnsi="Times New Roman"/>
                <w:color w:val="auto"/>
                <w:sz w:val="21"/>
                <w:szCs w:val="21"/>
                <w:highlight w:val="none"/>
                <w:lang w:val="en-US" w:eastAsia="zh-CN"/>
              </w:rPr>
              <w:t>TSP</w:t>
            </w:r>
            <w:r>
              <w:rPr>
                <w:rFonts w:ascii="Times New Roman" w:hAnsi="Times New Roman"/>
                <w:color w:val="auto"/>
                <w:sz w:val="21"/>
                <w:szCs w:val="21"/>
                <w:highlight w:val="none"/>
              </w:rPr>
              <w:t>24小时平均浓度满足《环境空气质量标准》（GB3095-2012）中二级标准及其修改单要求。</w:t>
            </w:r>
          </w:p>
          <w:p w14:paraId="6648A46B">
            <w:pPr>
              <w:pStyle w:val="24"/>
              <w:adjustRightInd w:val="0"/>
              <w:snapToGrid w:val="0"/>
              <w:spacing w:before="0" w:beforeAutospacing="0" w:after="0" w:afterAutospacing="0" w:line="440" w:lineRule="exact"/>
              <w:ind w:firstLine="422" w:firstLineChars="200"/>
              <w:rPr>
                <w:rFonts w:ascii="Times New Roman" w:hAnsi="Times New Roman"/>
                <w:b/>
                <w:color w:val="auto"/>
                <w:sz w:val="21"/>
                <w:szCs w:val="21"/>
              </w:rPr>
            </w:pPr>
            <w:r>
              <w:rPr>
                <w:rFonts w:hint="eastAsia" w:ascii="Times New Roman" w:hAnsi="Times New Roman"/>
                <w:b/>
                <w:color w:val="auto"/>
                <w:sz w:val="21"/>
                <w:szCs w:val="21"/>
              </w:rPr>
              <w:t>2.2地表水环境</w:t>
            </w:r>
          </w:p>
          <w:p w14:paraId="0B700726">
            <w:pPr>
              <w:pStyle w:val="24"/>
              <w:adjustRightInd w:val="0"/>
              <w:snapToGrid w:val="0"/>
              <w:spacing w:before="0" w:beforeAutospacing="0" w:after="0" w:afterAutospacing="0" w:line="440" w:lineRule="exact"/>
              <w:ind w:firstLine="420" w:firstLineChars="200"/>
              <w:rPr>
                <w:rFonts w:ascii="Times New Roman" w:hAnsi="Times New Roman"/>
                <w:color w:val="auto"/>
                <w:sz w:val="21"/>
                <w:szCs w:val="21"/>
              </w:rPr>
            </w:pPr>
            <w:r>
              <w:rPr>
                <w:rFonts w:hint="eastAsia" w:ascii="Times New Roman" w:hAnsi="Times New Roman"/>
                <w:color w:val="auto"/>
                <w:sz w:val="21"/>
                <w:szCs w:val="21"/>
              </w:rPr>
              <w:t>拟建项</w:t>
            </w:r>
            <w:r>
              <w:rPr>
                <w:rFonts w:hint="eastAsia" w:ascii="Times New Roman" w:hAnsi="Times New Roman" w:eastAsia="宋体" w:cs="Times New Roman"/>
                <w:color w:val="auto"/>
                <w:sz w:val="21"/>
                <w:szCs w:val="21"/>
              </w:rPr>
              <w:t>目</w:t>
            </w:r>
            <w:r>
              <w:rPr>
                <w:rFonts w:hint="eastAsia" w:ascii="Times New Roman" w:hAnsi="Times New Roman" w:cs="Times New Roman"/>
                <w:color w:val="auto"/>
                <w:sz w:val="21"/>
                <w:szCs w:val="21"/>
                <w:lang w:val="en-US" w:eastAsia="zh-CN"/>
              </w:rPr>
              <w:t>生产废水经污水池、沉淀池、浓缩罐、板框压滤机处理后，全部回用于生产</w:t>
            </w:r>
            <w:r>
              <w:rPr>
                <w:rFonts w:hint="eastAsia" w:ascii="Times New Roman" w:hAnsi="Times New Roman" w:eastAsia="宋体" w:cs="Times New Roman"/>
                <w:color w:val="auto"/>
                <w:sz w:val="21"/>
                <w:szCs w:val="21"/>
                <w:lang w:val="en-US" w:eastAsia="zh-CN"/>
              </w:rPr>
              <w:t>；</w:t>
            </w:r>
            <w:r>
              <w:rPr>
                <w:rFonts w:hint="eastAsia" w:ascii="Times New Roman" w:hAnsi="Times New Roman" w:eastAsia="宋体" w:cs="Times New Roman"/>
                <w:color w:val="auto"/>
                <w:sz w:val="21"/>
                <w:szCs w:val="21"/>
              </w:rPr>
              <w:t>职工生活污水主要为盥洗废水，水质简单，产生量小，全部用于厂区内泼洒抑尘，不外排</w:t>
            </w:r>
            <w:r>
              <w:rPr>
                <w:rFonts w:hint="eastAsia" w:ascii="Times New Roman" w:hAnsi="Times New Roman" w:eastAsia="宋体" w:cs="Times New Roman"/>
                <w:color w:val="auto"/>
                <w:sz w:val="21"/>
                <w:szCs w:val="21"/>
                <w:lang w:eastAsia="zh-CN"/>
              </w:rPr>
              <w:t>；</w:t>
            </w:r>
            <w:r>
              <w:rPr>
                <w:rFonts w:hint="eastAsia" w:ascii="Times New Roman" w:hAnsi="Times New Roman" w:eastAsia="宋体" w:cs="Times New Roman"/>
                <w:color w:val="auto"/>
                <w:sz w:val="21"/>
                <w:szCs w:val="21"/>
              </w:rPr>
              <w:t>车辆冲洗废水经沉淀池沉淀后循环利用，不外排。</w:t>
            </w:r>
            <w:r>
              <w:rPr>
                <w:rFonts w:hint="eastAsia" w:ascii="Times New Roman" w:hAnsi="Times New Roman"/>
                <w:color w:val="auto"/>
                <w:sz w:val="21"/>
                <w:szCs w:val="21"/>
              </w:rPr>
              <w:t>项目无废水外排环境。</w:t>
            </w:r>
          </w:p>
          <w:p w14:paraId="66CEC51C">
            <w:pPr>
              <w:pStyle w:val="24"/>
              <w:adjustRightInd w:val="0"/>
              <w:snapToGrid w:val="0"/>
              <w:spacing w:before="0" w:beforeAutospacing="0" w:after="0" w:afterAutospacing="0" w:line="440" w:lineRule="exact"/>
              <w:ind w:firstLine="420" w:firstLineChars="200"/>
              <w:rPr>
                <w:rFonts w:ascii="Times New Roman" w:hAnsi="Times New Roman"/>
                <w:color w:val="auto"/>
                <w:sz w:val="21"/>
                <w:szCs w:val="21"/>
              </w:rPr>
            </w:pPr>
            <w:r>
              <w:rPr>
                <w:rFonts w:hint="eastAsia" w:ascii="Times New Roman" w:hAnsi="Times New Roman"/>
                <w:color w:val="auto"/>
                <w:sz w:val="21"/>
                <w:szCs w:val="21"/>
              </w:rPr>
              <w:t>唐山市共有地表水国、省考监测断面1</w:t>
            </w:r>
            <w:r>
              <w:rPr>
                <w:rFonts w:hint="eastAsia" w:ascii="Times New Roman" w:hAnsi="Times New Roman"/>
                <w:color w:val="auto"/>
                <w:sz w:val="21"/>
                <w:szCs w:val="21"/>
                <w:lang w:val="en-US" w:eastAsia="zh-CN"/>
              </w:rPr>
              <w:t>4</w:t>
            </w:r>
            <w:r>
              <w:rPr>
                <w:rFonts w:hint="eastAsia" w:ascii="Times New Roman" w:hAnsi="Times New Roman"/>
                <w:color w:val="auto"/>
                <w:sz w:val="21"/>
                <w:szCs w:val="21"/>
              </w:rPr>
              <w:t>个，分布于陡河、滦河、还乡河等</w:t>
            </w:r>
            <w:r>
              <w:rPr>
                <w:rFonts w:hint="eastAsia" w:ascii="Times New Roman" w:hAnsi="Times New Roman"/>
                <w:color w:val="auto"/>
                <w:sz w:val="21"/>
                <w:szCs w:val="21"/>
                <w:lang w:val="en-US" w:eastAsia="zh-CN"/>
              </w:rPr>
              <w:t>9</w:t>
            </w:r>
            <w:r>
              <w:rPr>
                <w:rFonts w:hint="eastAsia" w:ascii="Times New Roman" w:hAnsi="Times New Roman"/>
                <w:color w:val="auto"/>
                <w:sz w:val="21"/>
                <w:szCs w:val="21"/>
              </w:rPr>
              <w:t>条河流。与项目较近的国、省考监测断面为</w:t>
            </w:r>
            <w:r>
              <w:rPr>
                <w:rFonts w:hint="eastAsia" w:ascii="Times New Roman" w:hAnsi="Times New Roman"/>
                <w:color w:val="auto"/>
                <w:sz w:val="21"/>
                <w:szCs w:val="21"/>
                <w:lang w:val="en-US" w:eastAsia="zh-CN"/>
              </w:rPr>
              <w:t>陡河水库中心</w:t>
            </w:r>
            <w:r>
              <w:rPr>
                <w:rFonts w:hint="eastAsia" w:ascii="Times New Roman" w:hAnsi="Times New Roman"/>
                <w:color w:val="auto"/>
                <w:sz w:val="21"/>
                <w:szCs w:val="21"/>
              </w:rPr>
              <w:t>监测断面，根据</w:t>
            </w:r>
            <w:r>
              <w:rPr>
                <w:rFonts w:ascii="Times New Roman" w:hAnsi="Times New Roman"/>
                <w:color w:val="auto"/>
                <w:sz w:val="21"/>
                <w:szCs w:val="21"/>
              </w:rPr>
              <w:t>202</w:t>
            </w:r>
            <w:r>
              <w:rPr>
                <w:rFonts w:hint="eastAsia" w:ascii="Times New Roman" w:hAnsi="Times New Roman"/>
                <w:color w:val="auto"/>
                <w:sz w:val="21"/>
                <w:szCs w:val="21"/>
                <w:lang w:val="en-US" w:eastAsia="zh-CN"/>
              </w:rPr>
              <w:t>3</w:t>
            </w:r>
            <w:r>
              <w:rPr>
                <w:rFonts w:hint="eastAsia" w:ascii="Times New Roman" w:hAnsi="Times New Roman"/>
                <w:color w:val="auto"/>
                <w:sz w:val="21"/>
                <w:szCs w:val="21"/>
              </w:rPr>
              <w:t>年</w:t>
            </w:r>
            <w:r>
              <w:rPr>
                <w:rFonts w:ascii="Times New Roman" w:hAnsi="Times New Roman"/>
                <w:color w:val="auto"/>
                <w:sz w:val="21"/>
                <w:szCs w:val="21"/>
              </w:rPr>
              <w:t>6</w:t>
            </w:r>
            <w:r>
              <w:rPr>
                <w:rFonts w:hint="eastAsia" w:ascii="Times New Roman" w:hAnsi="Times New Roman"/>
                <w:color w:val="auto"/>
                <w:sz w:val="21"/>
                <w:szCs w:val="21"/>
              </w:rPr>
              <w:t>月唐山市环境保护局发布的《</w:t>
            </w:r>
            <w:r>
              <w:rPr>
                <w:rFonts w:ascii="Times New Roman" w:hAnsi="Times New Roman"/>
                <w:color w:val="auto"/>
                <w:sz w:val="21"/>
                <w:szCs w:val="21"/>
              </w:rPr>
              <w:t>202</w:t>
            </w:r>
            <w:r>
              <w:rPr>
                <w:rFonts w:hint="eastAsia" w:ascii="Times New Roman" w:hAnsi="Times New Roman"/>
                <w:color w:val="auto"/>
                <w:sz w:val="21"/>
                <w:szCs w:val="21"/>
                <w:lang w:val="en-US" w:eastAsia="zh-CN"/>
              </w:rPr>
              <w:t>2</w:t>
            </w:r>
            <w:r>
              <w:rPr>
                <w:rFonts w:hint="eastAsia" w:ascii="Times New Roman" w:hAnsi="Times New Roman"/>
                <w:color w:val="auto"/>
                <w:sz w:val="21"/>
                <w:szCs w:val="21"/>
              </w:rPr>
              <w:t>年唐山市生态环境状况公报》，国、省考核</w:t>
            </w:r>
            <w:r>
              <w:rPr>
                <w:rFonts w:hint="eastAsia" w:ascii="Times New Roman" w:hAnsi="Times New Roman"/>
                <w:color w:val="auto"/>
                <w:sz w:val="21"/>
                <w:szCs w:val="21"/>
                <w:lang w:val="en-US" w:eastAsia="zh-CN"/>
              </w:rPr>
              <w:t>9</w:t>
            </w:r>
            <w:r>
              <w:rPr>
                <w:rFonts w:hint="eastAsia" w:ascii="Times New Roman" w:hAnsi="Times New Roman"/>
                <w:color w:val="auto"/>
                <w:sz w:val="21"/>
                <w:szCs w:val="21"/>
              </w:rPr>
              <w:t>条河流1</w:t>
            </w:r>
            <w:r>
              <w:rPr>
                <w:rFonts w:hint="eastAsia" w:ascii="Times New Roman" w:hAnsi="Times New Roman"/>
                <w:color w:val="auto"/>
                <w:sz w:val="21"/>
                <w:szCs w:val="21"/>
                <w:lang w:val="en-US" w:eastAsia="zh-CN"/>
              </w:rPr>
              <w:t>4</w:t>
            </w:r>
            <w:r>
              <w:rPr>
                <w:rFonts w:hint="eastAsia" w:ascii="Times New Roman" w:hAnsi="Times New Roman"/>
                <w:color w:val="auto"/>
                <w:sz w:val="21"/>
                <w:szCs w:val="21"/>
              </w:rPr>
              <w:t>个断面水质全部达标，</w:t>
            </w:r>
            <w:r>
              <w:rPr>
                <w:rFonts w:hint="eastAsia" w:ascii="Times New Roman" w:hAnsi="Times New Roman"/>
                <w:color w:val="auto"/>
                <w:sz w:val="21"/>
                <w:szCs w:val="21"/>
                <w:lang w:val="en-US" w:eastAsia="zh-CN"/>
              </w:rPr>
              <w:t>11</w:t>
            </w:r>
            <w:r>
              <w:rPr>
                <w:rFonts w:hint="eastAsia" w:ascii="Times New Roman" w:hAnsi="Times New Roman"/>
                <w:color w:val="auto"/>
                <w:sz w:val="21"/>
                <w:szCs w:val="21"/>
              </w:rPr>
              <w:t>个断面达到地表水Ⅲ类及以上水质标准，优良（Ⅰ-Ⅲ类）比例为7</w:t>
            </w:r>
            <w:r>
              <w:rPr>
                <w:rFonts w:hint="eastAsia" w:ascii="Times New Roman" w:hAnsi="Times New Roman"/>
                <w:color w:val="auto"/>
                <w:sz w:val="21"/>
                <w:szCs w:val="21"/>
                <w:lang w:val="en-US" w:eastAsia="zh-CN"/>
              </w:rPr>
              <w:t>8.57</w:t>
            </w:r>
            <w:r>
              <w:rPr>
                <w:rFonts w:hint="eastAsia" w:ascii="Times New Roman" w:hAnsi="Times New Roman"/>
                <w:color w:val="auto"/>
                <w:sz w:val="21"/>
                <w:szCs w:val="21"/>
              </w:rPr>
              <w:t>%。</w:t>
            </w:r>
          </w:p>
          <w:p w14:paraId="02FF950A">
            <w:pPr>
              <w:pStyle w:val="24"/>
              <w:adjustRightInd w:val="0"/>
              <w:snapToGrid w:val="0"/>
              <w:spacing w:before="0" w:beforeAutospacing="0" w:after="0" w:afterAutospacing="0" w:line="440" w:lineRule="exact"/>
              <w:ind w:firstLine="422" w:firstLineChars="200"/>
              <w:rPr>
                <w:rFonts w:ascii="Times New Roman" w:hAnsi="Times New Roman"/>
                <w:b/>
                <w:color w:val="auto"/>
                <w:sz w:val="21"/>
                <w:szCs w:val="21"/>
              </w:rPr>
            </w:pPr>
            <w:r>
              <w:rPr>
                <w:rFonts w:hint="eastAsia" w:ascii="Times New Roman" w:hAnsi="Times New Roman"/>
                <w:b/>
                <w:color w:val="auto"/>
                <w:sz w:val="21"/>
                <w:szCs w:val="21"/>
              </w:rPr>
              <w:t>2.3声环境</w:t>
            </w:r>
          </w:p>
          <w:p w14:paraId="755E7B31">
            <w:pPr>
              <w:pStyle w:val="24"/>
              <w:keepNext w:val="0"/>
              <w:keepLines w:val="0"/>
              <w:pageBreakBefore w:val="0"/>
              <w:widowControl/>
              <w:kinsoku/>
              <w:wordWrap/>
              <w:overflowPunct/>
              <w:topLinePunct w:val="0"/>
              <w:autoSpaceDE/>
              <w:autoSpaceDN/>
              <w:bidi w:val="0"/>
              <w:adjustRightInd w:val="0"/>
              <w:snapToGrid w:val="0"/>
              <w:spacing w:before="0" w:beforeAutospacing="0" w:after="0" w:afterAutospacing="0" w:line="440" w:lineRule="exact"/>
              <w:ind w:firstLine="420" w:firstLineChars="200"/>
              <w:textAlignment w:val="auto"/>
              <w:rPr>
                <w:rFonts w:ascii="Times New Roman" w:hAnsi="Times New Roman"/>
                <w:color w:val="auto"/>
                <w:sz w:val="21"/>
                <w:szCs w:val="21"/>
                <w:highlight w:val="none"/>
              </w:rPr>
            </w:pPr>
            <w:r>
              <w:rPr>
                <w:rFonts w:hint="eastAsia" w:ascii="Times New Roman" w:hAnsi="Times New Roman"/>
                <w:color w:val="auto"/>
                <w:sz w:val="21"/>
                <w:szCs w:val="21"/>
                <w:highlight w:val="none"/>
                <w:lang w:val="en-US" w:eastAsia="zh-CN"/>
              </w:rPr>
              <w:t>拟建</w:t>
            </w:r>
            <w:r>
              <w:rPr>
                <w:rFonts w:hint="eastAsia" w:ascii="Times New Roman" w:hAnsi="Times New Roman"/>
                <w:color w:val="auto"/>
                <w:sz w:val="21"/>
                <w:szCs w:val="21"/>
                <w:highlight w:val="none"/>
              </w:rPr>
              <w:t>项目位于</w:t>
            </w:r>
            <w:r>
              <w:rPr>
                <w:rFonts w:hint="eastAsia" w:eastAsia="宋体"/>
                <w:color w:val="auto"/>
                <w:sz w:val="21"/>
                <w:szCs w:val="21"/>
                <w:highlight w:val="none"/>
                <w:lang w:val="en-US" w:eastAsia="zh-CN"/>
              </w:rPr>
              <w:t>河北省唐山市滦州市九百户镇宜安村西</w:t>
            </w:r>
            <w:r>
              <w:rPr>
                <w:rFonts w:hint="eastAsia" w:ascii="Times New Roman" w:hAnsi="Times New Roman" w:cs="Times New Roman"/>
                <w:color w:val="auto"/>
                <w:sz w:val="21"/>
                <w:szCs w:val="21"/>
                <w:highlight w:val="none"/>
                <w:lang w:eastAsia="zh-CN"/>
              </w:rPr>
              <w:t>，</w:t>
            </w:r>
            <w:r>
              <w:rPr>
                <w:rFonts w:hint="eastAsia" w:ascii="Times New Roman" w:hAnsi="Times New Roman" w:cs="Times New Roman"/>
                <w:color w:val="auto"/>
                <w:sz w:val="21"/>
                <w:szCs w:val="21"/>
                <w:highlight w:val="none"/>
                <w:lang w:val="en-US" w:eastAsia="zh-CN"/>
              </w:rPr>
              <w:t>拟建</w:t>
            </w:r>
            <w:r>
              <w:rPr>
                <w:rFonts w:hint="eastAsia" w:ascii="Times New Roman" w:hAnsi="Times New Roman" w:cs="Times New Roman"/>
                <w:color w:val="auto"/>
                <w:sz w:val="21"/>
                <w:szCs w:val="21"/>
                <w:highlight w:val="none"/>
              </w:rPr>
              <w:t>项目</w:t>
            </w:r>
            <w:r>
              <w:rPr>
                <w:rFonts w:hint="eastAsia" w:ascii="Times New Roman" w:hAnsi="Times New Roman" w:cs="Times New Roman"/>
                <w:color w:val="auto"/>
                <w:sz w:val="21"/>
                <w:szCs w:val="21"/>
                <w:highlight w:val="none"/>
                <w:lang w:val="en-US" w:eastAsia="zh-CN"/>
              </w:rPr>
              <w:t>厂界</w:t>
            </w:r>
            <w:r>
              <w:rPr>
                <w:rFonts w:hint="eastAsia" w:ascii="Times New Roman" w:hAnsi="Times New Roman" w:cs="Times New Roman"/>
                <w:color w:val="auto"/>
                <w:sz w:val="21"/>
                <w:szCs w:val="21"/>
                <w:highlight w:val="none"/>
              </w:rPr>
              <w:t>周边50m范围内</w:t>
            </w:r>
            <w:r>
              <w:rPr>
                <w:rFonts w:hint="eastAsia" w:ascii="Times New Roman" w:hAnsi="Times New Roman"/>
                <w:color w:val="auto"/>
                <w:sz w:val="21"/>
                <w:szCs w:val="21"/>
                <w:highlight w:val="none"/>
              </w:rPr>
              <w:t>，无声环境保护目标。</w:t>
            </w:r>
          </w:p>
          <w:p w14:paraId="7B39A999">
            <w:pPr>
              <w:pStyle w:val="24"/>
              <w:adjustRightInd w:val="0"/>
              <w:snapToGrid w:val="0"/>
              <w:spacing w:before="0" w:beforeAutospacing="0" w:after="0" w:afterAutospacing="0" w:line="440" w:lineRule="exact"/>
              <w:ind w:firstLine="422" w:firstLineChars="200"/>
              <w:rPr>
                <w:rFonts w:ascii="Times New Roman" w:hAnsi="Times New Roman"/>
                <w:b/>
                <w:color w:val="auto"/>
                <w:sz w:val="21"/>
                <w:szCs w:val="21"/>
              </w:rPr>
            </w:pPr>
            <w:r>
              <w:rPr>
                <w:rFonts w:hint="eastAsia" w:ascii="Times New Roman" w:hAnsi="Times New Roman"/>
                <w:b/>
                <w:color w:val="auto"/>
                <w:sz w:val="21"/>
                <w:szCs w:val="21"/>
              </w:rPr>
              <w:t>2.4生态环境</w:t>
            </w:r>
          </w:p>
          <w:p w14:paraId="6A429934">
            <w:pPr>
              <w:pStyle w:val="24"/>
              <w:keepNext w:val="0"/>
              <w:keepLines w:val="0"/>
              <w:pageBreakBefore w:val="0"/>
              <w:widowControl/>
              <w:kinsoku/>
              <w:wordWrap/>
              <w:overflowPunct/>
              <w:topLinePunct w:val="0"/>
              <w:autoSpaceDE/>
              <w:autoSpaceDN/>
              <w:bidi w:val="0"/>
              <w:adjustRightInd w:val="0"/>
              <w:snapToGrid w:val="0"/>
              <w:spacing w:before="0" w:beforeAutospacing="0" w:after="0" w:afterAutospacing="0" w:line="440" w:lineRule="exact"/>
              <w:ind w:firstLine="420" w:firstLineChars="200"/>
              <w:textAlignment w:val="auto"/>
              <w:rPr>
                <w:rFonts w:hint="eastAsia" w:ascii="Times New Roman" w:hAnsi="Times New Roman" w:eastAsia="宋体" w:cs="Times New Roman"/>
                <w:color w:val="auto"/>
                <w:sz w:val="21"/>
                <w:szCs w:val="21"/>
                <w:highlight w:val="none"/>
              </w:rPr>
            </w:pPr>
            <w:r>
              <w:rPr>
                <w:rFonts w:hint="eastAsia" w:ascii="Times New Roman" w:hAnsi="Times New Roman" w:eastAsia="宋体" w:cs="Times New Roman"/>
                <w:color w:val="auto"/>
                <w:sz w:val="21"/>
                <w:szCs w:val="21"/>
                <w:highlight w:val="none"/>
              </w:rPr>
              <w:t>拟建项目位于</w:t>
            </w:r>
            <w:r>
              <w:rPr>
                <w:rFonts w:hint="eastAsia" w:eastAsia="宋体"/>
                <w:color w:val="auto"/>
                <w:sz w:val="21"/>
                <w:szCs w:val="21"/>
                <w:highlight w:val="none"/>
                <w:lang w:val="en-US" w:eastAsia="zh-CN"/>
              </w:rPr>
              <w:t>河北省唐山市滦州市九百户镇宜安村西</w:t>
            </w:r>
            <w:r>
              <w:rPr>
                <w:rFonts w:hint="eastAsia" w:ascii="Times New Roman" w:hAnsi="Times New Roman" w:eastAsia="宋体" w:cs="Times New Roman"/>
                <w:color w:val="auto"/>
                <w:sz w:val="21"/>
                <w:szCs w:val="21"/>
                <w:highlight w:val="none"/>
                <w:lang w:val="en-US" w:eastAsia="zh-CN"/>
              </w:rPr>
              <w:t>，</w:t>
            </w:r>
            <w:r>
              <w:rPr>
                <w:rFonts w:hint="eastAsia" w:ascii="Times New Roman" w:hAnsi="Times New Roman" w:eastAsia="宋体" w:cs="Times New Roman"/>
                <w:color w:val="auto"/>
                <w:sz w:val="21"/>
                <w:szCs w:val="21"/>
                <w:highlight w:val="none"/>
                <w:lang w:val="zh-TW"/>
              </w:rPr>
              <w:t>占地为工业</w:t>
            </w:r>
            <w:r>
              <w:rPr>
                <w:rFonts w:hint="eastAsia" w:ascii="Times New Roman" w:hAnsi="Times New Roman" w:cs="Times New Roman"/>
                <w:color w:val="auto"/>
                <w:sz w:val="21"/>
                <w:szCs w:val="21"/>
                <w:highlight w:val="none"/>
                <w:lang w:val="en-US" w:eastAsia="zh-CN"/>
              </w:rPr>
              <w:t>建设</w:t>
            </w:r>
            <w:r>
              <w:rPr>
                <w:rFonts w:hint="eastAsia" w:ascii="Times New Roman" w:hAnsi="Times New Roman" w:eastAsia="宋体" w:cs="Times New Roman"/>
                <w:color w:val="auto"/>
                <w:sz w:val="21"/>
                <w:szCs w:val="21"/>
                <w:highlight w:val="none"/>
                <w:lang w:val="zh-TW"/>
              </w:rPr>
              <w:t>用地，用地范围内无生态环境保护目标，</w:t>
            </w:r>
            <w:r>
              <w:rPr>
                <w:rFonts w:hint="eastAsia" w:ascii="Times New Roman" w:hAnsi="Times New Roman" w:eastAsia="宋体" w:cs="Times New Roman"/>
                <w:color w:val="auto"/>
                <w:sz w:val="21"/>
                <w:szCs w:val="21"/>
                <w:highlight w:val="none"/>
              </w:rPr>
              <w:t>无需开展生态现状调查。</w:t>
            </w:r>
          </w:p>
          <w:p w14:paraId="692C3E65">
            <w:pPr>
              <w:pStyle w:val="24"/>
              <w:adjustRightInd w:val="0"/>
              <w:snapToGrid w:val="0"/>
              <w:spacing w:before="0" w:beforeAutospacing="0" w:after="0" w:afterAutospacing="0" w:line="440" w:lineRule="exact"/>
              <w:ind w:firstLine="422" w:firstLineChars="200"/>
              <w:rPr>
                <w:rFonts w:ascii="Times New Roman" w:hAnsi="Times New Roman"/>
                <w:b/>
                <w:color w:val="auto"/>
                <w:sz w:val="21"/>
                <w:szCs w:val="21"/>
                <w:highlight w:val="none"/>
              </w:rPr>
            </w:pPr>
            <w:r>
              <w:rPr>
                <w:rFonts w:hint="eastAsia" w:ascii="Times New Roman" w:hAnsi="Times New Roman"/>
                <w:b/>
                <w:color w:val="auto"/>
                <w:sz w:val="21"/>
                <w:szCs w:val="21"/>
                <w:highlight w:val="none"/>
              </w:rPr>
              <w:t>2.5电磁辐射</w:t>
            </w:r>
          </w:p>
          <w:p w14:paraId="31A14C0A">
            <w:pPr>
              <w:pStyle w:val="24"/>
              <w:keepNext w:val="0"/>
              <w:keepLines w:val="0"/>
              <w:pageBreakBefore w:val="0"/>
              <w:widowControl/>
              <w:kinsoku/>
              <w:wordWrap/>
              <w:overflowPunct/>
              <w:topLinePunct w:val="0"/>
              <w:autoSpaceDE/>
              <w:autoSpaceDN/>
              <w:bidi w:val="0"/>
              <w:adjustRightInd w:val="0"/>
              <w:snapToGrid w:val="0"/>
              <w:spacing w:before="0" w:beforeAutospacing="0" w:after="0" w:afterAutospacing="0" w:line="440" w:lineRule="exact"/>
              <w:ind w:firstLine="420" w:firstLineChars="200"/>
              <w:textAlignment w:val="auto"/>
              <w:rPr>
                <w:rFonts w:hint="eastAsia" w:ascii="Times New Roman" w:hAnsi="Times New Roman" w:eastAsia="宋体" w:cs="Times New Roman"/>
                <w:color w:val="auto"/>
                <w:sz w:val="21"/>
                <w:szCs w:val="21"/>
                <w:highlight w:val="none"/>
              </w:rPr>
            </w:pPr>
            <w:r>
              <w:rPr>
                <w:rFonts w:hint="eastAsia" w:ascii="Times New Roman" w:hAnsi="Times New Roman" w:eastAsia="宋体" w:cs="Times New Roman"/>
                <w:color w:val="auto"/>
                <w:sz w:val="21"/>
                <w:szCs w:val="21"/>
                <w:highlight w:val="none"/>
              </w:rPr>
              <w:t>拟建项目为C4210金属废料和碎屑加工处理</w:t>
            </w:r>
            <w:r>
              <w:rPr>
                <w:rFonts w:hint="eastAsia" w:ascii="Times New Roman" w:hAnsi="Times New Roman" w:cs="Times New Roman"/>
                <w:color w:val="auto"/>
                <w:sz w:val="21"/>
                <w:szCs w:val="21"/>
                <w:highlight w:val="none"/>
                <w:lang w:eastAsia="zh-CN"/>
              </w:rPr>
              <w:t>、</w:t>
            </w:r>
            <w:r>
              <w:rPr>
                <w:rFonts w:hint="eastAsia" w:ascii="Times New Roman" w:hAnsi="Times New Roman" w:eastAsia="宋体" w:cs="Times New Roman"/>
                <w:color w:val="auto"/>
                <w:sz w:val="21"/>
                <w:szCs w:val="21"/>
                <w:highlight w:val="none"/>
                <w:lang w:val="en-US" w:eastAsia="zh-CN"/>
              </w:rPr>
              <w:t>C4220非</w:t>
            </w:r>
            <w:r>
              <w:rPr>
                <w:rFonts w:hint="eastAsia" w:ascii="Times New Roman" w:hAnsi="Times New Roman" w:eastAsia="宋体" w:cs="Times New Roman"/>
                <w:color w:val="auto"/>
                <w:sz w:val="21"/>
                <w:szCs w:val="21"/>
                <w:highlight w:val="none"/>
              </w:rPr>
              <w:t>金属废料和碎屑加工处理，不属于电磁辐射类项目。因此项目无需开展电磁辐射现状监测。</w:t>
            </w:r>
          </w:p>
          <w:p w14:paraId="69E9FE60">
            <w:pPr>
              <w:pStyle w:val="24"/>
              <w:adjustRightInd w:val="0"/>
              <w:snapToGrid w:val="0"/>
              <w:spacing w:before="0" w:beforeAutospacing="0" w:after="0" w:afterAutospacing="0" w:line="440" w:lineRule="exact"/>
              <w:ind w:firstLine="422" w:firstLineChars="200"/>
              <w:rPr>
                <w:rFonts w:ascii="Times New Roman" w:hAnsi="Times New Roman"/>
                <w:b/>
                <w:color w:val="auto"/>
                <w:sz w:val="21"/>
                <w:szCs w:val="21"/>
                <w:highlight w:val="none"/>
              </w:rPr>
            </w:pPr>
            <w:r>
              <w:rPr>
                <w:rFonts w:hint="eastAsia" w:ascii="Times New Roman" w:hAnsi="Times New Roman"/>
                <w:b/>
                <w:color w:val="auto"/>
                <w:sz w:val="21"/>
                <w:szCs w:val="21"/>
                <w:highlight w:val="none"/>
              </w:rPr>
              <w:t>2.6地下水环境</w:t>
            </w:r>
          </w:p>
          <w:p w14:paraId="79E21003">
            <w:pPr>
              <w:pStyle w:val="24"/>
              <w:keepNext w:val="0"/>
              <w:keepLines w:val="0"/>
              <w:pageBreakBefore w:val="0"/>
              <w:widowControl/>
              <w:kinsoku/>
              <w:wordWrap/>
              <w:overflowPunct/>
              <w:topLinePunct w:val="0"/>
              <w:autoSpaceDE/>
              <w:autoSpaceDN/>
              <w:bidi w:val="0"/>
              <w:adjustRightInd w:val="0"/>
              <w:snapToGrid w:val="0"/>
              <w:spacing w:before="0" w:beforeAutospacing="0" w:after="0" w:afterAutospacing="0" w:line="440" w:lineRule="exact"/>
              <w:ind w:firstLine="420" w:firstLineChars="200"/>
              <w:textAlignment w:val="auto"/>
              <w:rPr>
                <w:rFonts w:hint="eastAsia" w:ascii="Times New Roman" w:hAnsi="Times New Roman" w:eastAsia="宋体" w:cs="Times New Roman"/>
                <w:color w:val="auto"/>
                <w:sz w:val="21"/>
                <w:szCs w:val="21"/>
                <w:highlight w:val="none"/>
              </w:rPr>
            </w:pPr>
            <w:r>
              <w:rPr>
                <w:rFonts w:hint="eastAsia" w:ascii="Times New Roman" w:hAnsi="Times New Roman" w:eastAsia="宋体" w:cs="Times New Roman"/>
                <w:color w:val="auto"/>
                <w:sz w:val="21"/>
                <w:szCs w:val="21"/>
                <w:highlight w:val="none"/>
              </w:rPr>
              <w:t>拟建项目位于</w:t>
            </w:r>
            <w:r>
              <w:rPr>
                <w:rFonts w:hint="eastAsia" w:eastAsia="宋体"/>
                <w:color w:val="auto"/>
                <w:sz w:val="21"/>
                <w:szCs w:val="21"/>
                <w:highlight w:val="none"/>
                <w:lang w:val="en-US" w:eastAsia="zh-CN"/>
              </w:rPr>
              <w:t>河北省唐山市滦州市九百户镇宜安村西</w:t>
            </w:r>
            <w:r>
              <w:rPr>
                <w:rFonts w:hint="eastAsia" w:ascii="Times New Roman" w:hAnsi="Times New Roman" w:eastAsia="宋体" w:cs="Times New Roman"/>
                <w:color w:val="auto"/>
                <w:sz w:val="21"/>
                <w:szCs w:val="21"/>
                <w:highlight w:val="none"/>
              </w:rPr>
              <w:t>，拟建项目厂界周边500m范围内，无地下水集中式饮用水水源和热水、矿泉水、温泉等特殊地下水资源，且拟建项目采取了严格的分区防渗措施，防渗措施符合《环境影响评价技术导则 地下水环境》（HJ610-2016）相关要求，阻断了污染途径，因此拟建项目无需开展地下水环境质量现状监测。</w:t>
            </w:r>
          </w:p>
          <w:p w14:paraId="5B852745">
            <w:pPr>
              <w:pStyle w:val="24"/>
              <w:adjustRightInd w:val="0"/>
              <w:snapToGrid w:val="0"/>
              <w:spacing w:before="0" w:beforeAutospacing="0" w:after="0" w:afterAutospacing="0" w:line="440" w:lineRule="exact"/>
              <w:ind w:firstLine="422" w:firstLineChars="200"/>
              <w:rPr>
                <w:rFonts w:ascii="Times New Roman" w:hAnsi="Times New Roman"/>
                <w:b/>
                <w:color w:val="auto"/>
                <w:sz w:val="21"/>
                <w:szCs w:val="21"/>
                <w:highlight w:val="none"/>
              </w:rPr>
            </w:pPr>
            <w:r>
              <w:rPr>
                <w:rFonts w:hint="eastAsia" w:ascii="Times New Roman" w:hAnsi="Times New Roman"/>
                <w:b/>
                <w:color w:val="auto"/>
                <w:sz w:val="21"/>
                <w:szCs w:val="21"/>
                <w:highlight w:val="none"/>
              </w:rPr>
              <w:t>2.7土壤环境</w:t>
            </w:r>
          </w:p>
          <w:p w14:paraId="115E3601">
            <w:pPr>
              <w:pStyle w:val="24"/>
              <w:adjustRightInd w:val="0"/>
              <w:snapToGrid w:val="0"/>
              <w:spacing w:before="0" w:beforeAutospacing="0" w:after="0" w:afterAutospacing="0" w:line="440" w:lineRule="exact"/>
              <w:ind w:firstLine="420" w:firstLineChars="200"/>
              <w:rPr>
                <w:color w:val="auto"/>
              </w:rPr>
            </w:pPr>
            <w:r>
              <w:rPr>
                <w:rFonts w:hint="eastAsia" w:ascii="Times New Roman" w:hAnsi="Times New Roman" w:eastAsia="宋体" w:cs="Times New Roman"/>
                <w:color w:val="auto"/>
                <w:sz w:val="21"/>
                <w:szCs w:val="21"/>
                <w:highlight w:val="none"/>
              </w:rPr>
              <w:t>拟建项目位于</w:t>
            </w:r>
            <w:r>
              <w:rPr>
                <w:rFonts w:hint="eastAsia" w:eastAsia="宋体"/>
                <w:color w:val="auto"/>
                <w:sz w:val="21"/>
                <w:szCs w:val="21"/>
                <w:highlight w:val="none"/>
                <w:lang w:val="en-US" w:eastAsia="zh-CN"/>
              </w:rPr>
              <w:t>河北省唐山市滦州市九百户镇宜安村西</w:t>
            </w:r>
            <w:r>
              <w:rPr>
                <w:rFonts w:hint="eastAsia" w:ascii="Times New Roman" w:hAnsi="Times New Roman" w:eastAsia="宋体" w:cs="Times New Roman"/>
                <w:color w:val="auto"/>
                <w:sz w:val="21"/>
                <w:szCs w:val="21"/>
                <w:highlight w:val="none"/>
              </w:rPr>
              <w:t>，占地为工业</w:t>
            </w:r>
            <w:r>
              <w:rPr>
                <w:rFonts w:hint="eastAsia" w:ascii="Times New Roman" w:hAnsi="Times New Roman" w:cs="Times New Roman"/>
                <w:color w:val="auto"/>
                <w:sz w:val="21"/>
                <w:szCs w:val="21"/>
                <w:highlight w:val="none"/>
                <w:lang w:val="en-US" w:eastAsia="zh-CN"/>
              </w:rPr>
              <w:t>建设</w:t>
            </w:r>
            <w:r>
              <w:rPr>
                <w:rFonts w:hint="eastAsia" w:ascii="Times New Roman" w:hAnsi="Times New Roman" w:eastAsia="宋体" w:cs="Times New Roman"/>
                <w:color w:val="auto"/>
                <w:sz w:val="21"/>
                <w:szCs w:val="21"/>
                <w:highlight w:val="none"/>
              </w:rPr>
              <w:t>用地。拟建项目采取了严格的分区防渗措施，阻断了污染途径，因此无需开展现状监测。</w:t>
            </w:r>
          </w:p>
        </w:tc>
      </w:tr>
      <w:tr w14:paraId="55CB60F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400" w:hRule="atLeast"/>
          <w:jc w:val="center"/>
        </w:trPr>
        <w:tc>
          <w:tcPr>
            <w:tcW w:w="800" w:type="dxa"/>
            <w:vAlign w:val="center"/>
          </w:tcPr>
          <w:p w14:paraId="467BA05C">
            <w:pPr>
              <w:adjustRightInd w:val="0"/>
              <w:snapToGrid w:val="0"/>
              <w:jc w:val="center"/>
              <w:rPr>
                <w:rFonts w:ascii="宋体" w:hAnsi="宋体" w:cs="宋体"/>
                <w:color w:val="auto"/>
                <w:kern w:val="0"/>
                <w:szCs w:val="21"/>
              </w:rPr>
            </w:pPr>
            <w:r>
              <w:rPr>
                <w:rFonts w:hint="eastAsia" w:ascii="宋体" w:hAnsi="宋体" w:cs="宋体"/>
                <w:color w:val="auto"/>
                <w:kern w:val="0"/>
                <w:szCs w:val="21"/>
              </w:rPr>
              <w:t>环境</w:t>
            </w:r>
          </w:p>
          <w:p w14:paraId="112485AA">
            <w:pPr>
              <w:adjustRightInd w:val="0"/>
              <w:snapToGrid w:val="0"/>
              <w:jc w:val="center"/>
              <w:rPr>
                <w:rFonts w:ascii="宋体" w:hAnsi="宋体" w:cs="宋体"/>
                <w:color w:val="auto"/>
                <w:kern w:val="0"/>
                <w:szCs w:val="21"/>
              </w:rPr>
            </w:pPr>
            <w:r>
              <w:rPr>
                <w:rFonts w:hint="eastAsia" w:ascii="宋体" w:hAnsi="宋体" w:cs="宋体"/>
                <w:color w:val="auto"/>
                <w:kern w:val="0"/>
                <w:szCs w:val="21"/>
              </w:rPr>
              <w:t>保护</w:t>
            </w:r>
          </w:p>
          <w:p w14:paraId="79ED6B3B">
            <w:pPr>
              <w:adjustRightInd w:val="0"/>
              <w:snapToGrid w:val="0"/>
              <w:jc w:val="center"/>
              <w:rPr>
                <w:rFonts w:ascii="宋体" w:hAnsi="宋体" w:cs="宋体"/>
                <w:color w:val="auto"/>
                <w:kern w:val="0"/>
                <w:szCs w:val="21"/>
              </w:rPr>
            </w:pPr>
            <w:r>
              <w:rPr>
                <w:rFonts w:hint="eastAsia" w:ascii="宋体" w:hAnsi="宋体" w:cs="宋体"/>
                <w:color w:val="auto"/>
                <w:kern w:val="0"/>
                <w:szCs w:val="21"/>
              </w:rPr>
              <w:t>目标</w:t>
            </w:r>
          </w:p>
        </w:tc>
        <w:tc>
          <w:tcPr>
            <w:tcW w:w="8190" w:type="dxa"/>
            <w:vAlign w:val="center"/>
          </w:tcPr>
          <w:p w14:paraId="39A72145">
            <w:pPr>
              <w:spacing w:line="440" w:lineRule="exact"/>
              <w:ind w:firstLine="420" w:firstLineChars="200"/>
              <w:rPr>
                <w:rFonts w:hint="eastAsia" w:ascii="Times New Roman" w:hAnsi="Times New Roman" w:eastAsia="宋体" w:cs="Times New Roman"/>
                <w:color w:val="auto"/>
                <w:szCs w:val="21"/>
                <w:lang w:val="en-US" w:eastAsia="zh-CN"/>
              </w:rPr>
            </w:pPr>
            <w:bookmarkStart w:id="17" w:name="_Toc23117"/>
            <w:r>
              <w:rPr>
                <w:rFonts w:hint="eastAsia" w:ascii="Times New Roman" w:hAnsi="Times New Roman" w:eastAsia="宋体" w:cs="Times New Roman"/>
                <w:color w:val="auto"/>
                <w:szCs w:val="21"/>
                <w:lang w:val="en-US" w:eastAsia="zh-CN"/>
              </w:rPr>
              <w:t>项目位于</w:t>
            </w:r>
            <w:r>
              <w:rPr>
                <w:rFonts w:hint="eastAsia" w:eastAsia="宋体"/>
                <w:color w:val="auto"/>
                <w:sz w:val="21"/>
                <w:szCs w:val="21"/>
                <w:highlight w:val="none"/>
                <w:lang w:val="en-US" w:eastAsia="zh-CN"/>
              </w:rPr>
              <w:t>河北省唐山市滦州市九百户镇宜安村西</w:t>
            </w:r>
            <w:r>
              <w:rPr>
                <w:rFonts w:hint="eastAsia" w:ascii="Times New Roman" w:hAnsi="Times New Roman" w:eastAsia="宋体" w:cs="Times New Roman"/>
                <w:color w:val="auto"/>
                <w:szCs w:val="21"/>
                <w:lang w:val="en-US" w:eastAsia="zh-CN"/>
              </w:rPr>
              <w:t>，项目厂界周边500m范围内不存在居民点，无自然保护区、风景名胜区及重点文物等环境敏感区。项目厂界周边500m范围内不存在地下水集中式饮用水水源和热水、矿泉水、温泉等特殊地下水资源；项目厂界周边50m范围内无声环境保护目标。本项目位于</w:t>
            </w:r>
            <w:r>
              <w:rPr>
                <w:rFonts w:hint="eastAsia" w:eastAsia="宋体"/>
                <w:color w:val="auto"/>
                <w:sz w:val="21"/>
                <w:szCs w:val="21"/>
                <w:highlight w:val="none"/>
                <w:lang w:val="en-US" w:eastAsia="zh-CN"/>
              </w:rPr>
              <w:t>河北省唐山市滦州市九百户镇宜安村西</w:t>
            </w:r>
            <w:r>
              <w:rPr>
                <w:rFonts w:hint="eastAsia" w:ascii="Times New Roman" w:hAnsi="Times New Roman" w:eastAsia="宋体" w:cs="Times New Roman"/>
                <w:color w:val="auto"/>
                <w:szCs w:val="21"/>
                <w:lang w:val="en-US" w:eastAsia="zh-CN"/>
              </w:rPr>
              <w:t>，</w:t>
            </w:r>
            <w:r>
              <w:rPr>
                <w:rFonts w:hint="eastAsia" w:ascii="Times New Roman" w:hAnsi="Times New Roman" w:eastAsia="宋体" w:cs="Times New Roman"/>
                <w:color w:val="auto"/>
                <w:sz w:val="21"/>
                <w:szCs w:val="21"/>
                <w:highlight w:val="none"/>
                <w:lang w:val="zh-TW"/>
              </w:rPr>
              <w:t>占地为工业</w:t>
            </w:r>
            <w:r>
              <w:rPr>
                <w:rFonts w:hint="eastAsia" w:ascii="Times New Roman" w:hAnsi="Times New Roman" w:cs="Times New Roman"/>
                <w:color w:val="auto"/>
                <w:sz w:val="21"/>
                <w:szCs w:val="21"/>
                <w:highlight w:val="none"/>
                <w:lang w:val="en-US" w:eastAsia="zh-CN"/>
              </w:rPr>
              <w:t>建设</w:t>
            </w:r>
            <w:r>
              <w:rPr>
                <w:rFonts w:hint="eastAsia" w:ascii="Times New Roman" w:hAnsi="Times New Roman" w:eastAsia="宋体" w:cs="Times New Roman"/>
                <w:color w:val="auto"/>
                <w:sz w:val="21"/>
                <w:szCs w:val="21"/>
                <w:highlight w:val="none"/>
                <w:lang w:val="zh-TW"/>
              </w:rPr>
              <w:t>用地，用地范围内无生态环境保护目标</w:t>
            </w:r>
            <w:r>
              <w:rPr>
                <w:rFonts w:hint="eastAsia" w:ascii="Times New Roman" w:hAnsi="Times New Roman" w:eastAsia="宋体" w:cs="Times New Roman"/>
                <w:color w:val="auto"/>
                <w:szCs w:val="21"/>
                <w:lang w:val="en-US" w:eastAsia="zh-CN"/>
              </w:rPr>
              <w:t>。主要保护对象及目标见表</w:t>
            </w:r>
            <w:r>
              <w:rPr>
                <w:rFonts w:hint="eastAsia" w:cs="Times New Roman"/>
                <w:color w:val="auto"/>
                <w:szCs w:val="21"/>
                <w:lang w:val="en-US" w:eastAsia="zh-CN"/>
              </w:rPr>
              <w:t>18</w:t>
            </w:r>
            <w:r>
              <w:rPr>
                <w:rFonts w:hint="eastAsia" w:ascii="Times New Roman" w:hAnsi="Times New Roman" w:eastAsia="宋体" w:cs="Times New Roman"/>
                <w:color w:val="auto"/>
                <w:szCs w:val="21"/>
                <w:lang w:val="en-US" w:eastAsia="zh-CN"/>
              </w:rPr>
              <w:t>。</w:t>
            </w:r>
          </w:p>
          <w:p w14:paraId="5D3282EA">
            <w:pPr>
              <w:spacing w:line="440" w:lineRule="exact"/>
              <w:jc w:val="center"/>
              <w:rPr>
                <w:rFonts w:hint="eastAsia" w:eastAsia="宋体"/>
                <w:b/>
                <w:color w:val="auto"/>
                <w:lang w:eastAsia="zh-CN"/>
              </w:rPr>
            </w:pPr>
            <w:r>
              <w:rPr>
                <w:b/>
                <w:color w:val="auto"/>
              </w:rPr>
              <w:t>表</w:t>
            </w:r>
            <w:r>
              <w:rPr>
                <w:rFonts w:hint="eastAsia"/>
                <w:b/>
                <w:color w:val="auto"/>
                <w:lang w:val="en-US" w:eastAsia="zh-CN"/>
              </w:rPr>
              <w:t>18</w:t>
            </w:r>
            <w:r>
              <w:rPr>
                <w:rFonts w:hint="eastAsia"/>
                <w:b/>
                <w:color w:val="auto"/>
              </w:rPr>
              <w:t xml:space="preserve"> 环</w:t>
            </w:r>
            <w:r>
              <w:rPr>
                <w:b/>
                <w:color w:val="auto"/>
              </w:rPr>
              <w:t>境保护对象及保护目标</w:t>
            </w:r>
          </w:p>
          <w:tbl>
            <w:tblPr>
              <w:tblStyle w:val="28"/>
              <w:tblW w:w="8053" w:type="dxa"/>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28" w:type="dxa"/>
                <w:bottom w:w="0" w:type="dxa"/>
                <w:right w:w="28" w:type="dxa"/>
              </w:tblCellMar>
            </w:tblPr>
            <w:tblGrid>
              <w:gridCol w:w="483"/>
              <w:gridCol w:w="935"/>
              <w:gridCol w:w="888"/>
              <w:gridCol w:w="1438"/>
              <w:gridCol w:w="750"/>
              <w:gridCol w:w="575"/>
              <w:gridCol w:w="687"/>
              <w:gridCol w:w="738"/>
              <w:gridCol w:w="1559"/>
            </w:tblGrid>
            <w:tr w14:paraId="3B606BD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52" w:hRule="atLeast"/>
              </w:trPr>
              <w:tc>
                <w:tcPr>
                  <w:tcW w:w="483" w:type="dxa"/>
                  <w:vMerge w:val="restart"/>
                  <w:vAlign w:val="center"/>
                </w:tcPr>
                <w:p w14:paraId="5986E099">
                  <w:pPr>
                    <w:spacing w:line="0" w:lineRule="atLeast"/>
                    <w:jc w:val="center"/>
                    <w:rPr>
                      <w:color w:val="auto"/>
                      <w:spacing w:val="-20"/>
                      <w:szCs w:val="21"/>
                    </w:rPr>
                  </w:pPr>
                  <w:r>
                    <w:rPr>
                      <w:rFonts w:hint="eastAsia"/>
                      <w:color w:val="auto"/>
                      <w:spacing w:val="-20"/>
                      <w:szCs w:val="21"/>
                    </w:rPr>
                    <w:t>名称</w:t>
                  </w:r>
                </w:p>
              </w:tc>
              <w:tc>
                <w:tcPr>
                  <w:tcW w:w="1823" w:type="dxa"/>
                  <w:gridSpan w:val="2"/>
                  <w:vAlign w:val="center"/>
                </w:tcPr>
                <w:p w14:paraId="02F0CDE0">
                  <w:pPr>
                    <w:spacing w:line="0" w:lineRule="atLeast"/>
                    <w:jc w:val="center"/>
                    <w:rPr>
                      <w:color w:val="auto"/>
                      <w:spacing w:val="-20"/>
                      <w:szCs w:val="21"/>
                    </w:rPr>
                  </w:pPr>
                  <w:r>
                    <w:rPr>
                      <w:rFonts w:hint="eastAsia"/>
                      <w:color w:val="auto"/>
                      <w:spacing w:val="-20"/>
                      <w:szCs w:val="21"/>
                    </w:rPr>
                    <w:t>坐标</w:t>
                  </w:r>
                </w:p>
              </w:tc>
              <w:tc>
                <w:tcPr>
                  <w:tcW w:w="1438" w:type="dxa"/>
                  <w:vMerge w:val="restart"/>
                  <w:vAlign w:val="center"/>
                </w:tcPr>
                <w:p w14:paraId="47E13E58">
                  <w:pPr>
                    <w:spacing w:line="0" w:lineRule="atLeast"/>
                    <w:jc w:val="center"/>
                    <w:rPr>
                      <w:rFonts w:hint="eastAsia" w:eastAsia="宋体"/>
                      <w:color w:val="auto"/>
                      <w:spacing w:val="-20"/>
                      <w:szCs w:val="21"/>
                      <w:lang w:eastAsia="zh-CN"/>
                    </w:rPr>
                  </w:pPr>
                  <w:r>
                    <w:rPr>
                      <w:rFonts w:hint="eastAsia"/>
                      <w:color w:val="auto"/>
                      <w:spacing w:val="-20"/>
                      <w:szCs w:val="21"/>
                    </w:rPr>
                    <w:t>保护</w:t>
                  </w:r>
                  <w:r>
                    <w:rPr>
                      <w:rFonts w:hint="eastAsia"/>
                      <w:color w:val="auto"/>
                      <w:spacing w:val="-20"/>
                      <w:szCs w:val="21"/>
                      <w:lang w:val="en-US" w:eastAsia="zh-CN"/>
                    </w:rPr>
                    <w:t>目标</w:t>
                  </w:r>
                </w:p>
              </w:tc>
              <w:tc>
                <w:tcPr>
                  <w:tcW w:w="750" w:type="dxa"/>
                  <w:vMerge w:val="restart"/>
                  <w:vAlign w:val="center"/>
                </w:tcPr>
                <w:p w14:paraId="18CA1D7C">
                  <w:pPr>
                    <w:spacing w:line="0" w:lineRule="atLeast"/>
                    <w:jc w:val="center"/>
                    <w:rPr>
                      <w:color w:val="auto"/>
                      <w:spacing w:val="-20"/>
                      <w:szCs w:val="21"/>
                    </w:rPr>
                  </w:pPr>
                  <w:r>
                    <w:rPr>
                      <w:rFonts w:hint="eastAsia"/>
                      <w:color w:val="auto"/>
                      <w:spacing w:val="-20"/>
                      <w:szCs w:val="21"/>
                    </w:rPr>
                    <w:t>保护内容</w:t>
                  </w:r>
                </w:p>
              </w:tc>
              <w:tc>
                <w:tcPr>
                  <w:tcW w:w="575" w:type="dxa"/>
                  <w:vMerge w:val="restart"/>
                  <w:vAlign w:val="center"/>
                </w:tcPr>
                <w:p w14:paraId="2D7B84C9">
                  <w:pPr>
                    <w:spacing w:line="0" w:lineRule="atLeast"/>
                    <w:jc w:val="center"/>
                    <w:rPr>
                      <w:color w:val="auto"/>
                      <w:spacing w:val="-20"/>
                      <w:szCs w:val="21"/>
                    </w:rPr>
                  </w:pPr>
                  <w:r>
                    <w:rPr>
                      <w:color w:val="auto"/>
                      <w:spacing w:val="-17"/>
                      <w:sz w:val="21"/>
                      <w:szCs w:val="21"/>
                      <w:highlight w:val="none"/>
                      <w:lang w:bidi="ar"/>
                    </w:rPr>
                    <w:t>人口(人)</w:t>
                  </w:r>
                </w:p>
              </w:tc>
              <w:tc>
                <w:tcPr>
                  <w:tcW w:w="687" w:type="dxa"/>
                  <w:vMerge w:val="restart"/>
                  <w:vAlign w:val="center"/>
                </w:tcPr>
                <w:p w14:paraId="5BE09BC1">
                  <w:pPr>
                    <w:spacing w:line="0" w:lineRule="atLeast"/>
                    <w:jc w:val="center"/>
                    <w:rPr>
                      <w:color w:val="auto"/>
                      <w:spacing w:val="-20"/>
                      <w:szCs w:val="21"/>
                    </w:rPr>
                  </w:pPr>
                  <w:r>
                    <w:rPr>
                      <w:rFonts w:hint="eastAsia"/>
                      <w:color w:val="auto"/>
                      <w:spacing w:val="-20"/>
                      <w:szCs w:val="21"/>
                    </w:rPr>
                    <w:t>相对</w:t>
                  </w:r>
                  <w:r>
                    <w:rPr>
                      <w:rFonts w:hint="eastAsia"/>
                      <w:color w:val="auto"/>
                      <w:spacing w:val="-20"/>
                      <w:szCs w:val="21"/>
                      <w:lang w:val="en-US" w:eastAsia="zh-CN"/>
                    </w:rPr>
                    <w:t>厂址</w:t>
                  </w:r>
                  <w:r>
                    <w:rPr>
                      <w:rFonts w:hint="eastAsia"/>
                      <w:color w:val="auto"/>
                      <w:spacing w:val="-20"/>
                      <w:szCs w:val="21"/>
                    </w:rPr>
                    <w:t>方位</w:t>
                  </w:r>
                </w:p>
              </w:tc>
              <w:tc>
                <w:tcPr>
                  <w:tcW w:w="738" w:type="dxa"/>
                  <w:vMerge w:val="restart"/>
                  <w:vAlign w:val="center"/>
                </w:tcPr>
                <w:p w14:paraId="2F15F608">
                  <w:pPr>
                    <w:spacing w:line="0" w:lineRule="atLeast"/>
                    <w:jc w:val="center"/>
                    <w:rPr>
                      <w:color w:val="auto"/>
                      <w:spacing w:val="-20"/>
                      <w:szCs w:val="21"/>
                    </w:rPr>
                  </w:pPr>
                  <w:r>
                    <w:rPr>
                      <w:rFonts w:hint="eastAsia"/>
                      <w:color w:val="auto"/>
                      <w:spacing w:val="-20"/>
                      <w:szCs w:val="21"/>
                    </w:rPr>
                    <w:t>相对</w:t>
                  </w:r>
                  <w:r>
                    <w:rPr>
                      <w:rFonts w:hint="eastAsia"/>
                      <w:color w:val="auto"/>
                      <w:spacing w:val="-20"/>
                      <w:szCs w:val="21"/>
                      <w:lang w:val="en-US" w:eastAsia="zh-CN"/>
                    </w:rPr>
                    <w:t>厂界</w:t>
                  </w:r>
                  <w:r>
                    <w:rPr>
                      <w:rFonts w:hint="eastAsia"/>
                      <w:color w:val="auto"/>
                      <w:spacing w:val="-20"/>
                      <w:szCs w:val="21"/>
                    </w:rPr>
                    <w:t>距离/m</w:t>
                  </w:r>
                </w:p>
              </w:tc>
              <w:tc>
                <w:tcPr>
                  <w:tcW w:w="1559" w:type="dxa"/>
                  <w:vMerge w:val="restart"/>
                  <w:vAlign w:val="center"/>
                </w:tcPr>
                <w:p w14:paraId="758F9CA7">
                  <w:pPr>
                    <w:spacing w:line="0" w:lineRule="atLeast"/>
                    <w:jc w:val="center"/>
                    <w:rPr>
                      <w:rFonts w:hint="default" w:eastAsia="宋体"/>
                      <w:color w:val="auto"/>
                      <w:spacing w:val="-20"/>
                      <w:szCs w:val="21"/>
                      <w:lang w:val="en-US" w:eastAsia="zh-CN"/>
                    </w:rPr>
                  </w:pPr>
                  <w:r>
                    <w:rPr>
                      <w:rFonts w:hint="eastAsia"/>
                      <w:color w:val="auto"/>
                      <w:spacing w:val="-20"/>
                      <w:szCs w:val="21"/>
                    </w:rPr>
                    <w:t>环境功能区</w:t>
                  </w:r>
                </w:p>
              </w:tc>
            </w:tr>
            <w:tr w14:paraId="260EA85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88" w:hRule="atLeast"/>
              </w:trPr>
              <w:tc>
                <w:tcPr>
                  <w:tcW w:w="483" w:type="dxa"/>
                  <w:vMerge w:val="continue"/>
                  <w:vAlign w:val="center"/>
                </w:tcPr>
                <w:p w14:paraId="15567AA7">
                  <w:pPr>
                    <w:spacing w:line="0" w:lineRule="atLeast"/>
                    <w:jc w:val="center"/>
                    <w:rPr>
                      <w:color w:val="auto"/>
                      <w:spacing w:val="-20"/>
                      <w:szCs w:val="21"/>
                    </w:rPr>
                  </w:pPr>
                </w:p>
              </w:tc>
              <w:tc>
                <w:tcPr>
                  <w:tcW w:w="935" w:type="dxa"/>
                  <w:vAlign w:val="center"/>
                </w:tcPr>
                <w:p w14:paraId="641D3048">
                  <w:pPr>
                    <w:spacing w:line="0" w:lineRule="atLeast"/>
                    <w:jc w:val="center"/>
                    <w:rPr>
                      <w:color w:val="auto"/>
                      <w:spacing w:val="-20"/>
                      <w:szCs w:val="21"/>
                    </w:rPr>
                  </w:pPr>
                  <w:r>
                    <w:rPr>
                      <w:rFonts w:hint="eastAsia"/>
                      <w:color w:val="auto"/>
                      <w:spacing w:val="-20"/>
                      <w:szCs w:val="21"/>
                    </w:rPr>
                    <w:t>X</w:t>
                  </w:r>
                </w:p>
              </w:tc>
              <w:tc>
                <w:tcPr>
                  <w:tcW w:w="888" w:type="dxa"/>
                  <w:vAlign w:val="center"/>
                </w:tcPr>
                <w:p w14:paraId="259A26F5">
                  <w:pPr>
                    <w:spacing w:line="0" w:lineRule="atLeast"/>
                    <w:jc w:val="center"/>
                    <w:rPr>
                      <w:color w:val="auto"/>
                      <w:spacing w:val="-20"/>
                      <w:szCs w:val="21"/>
                    </w:rPr>
                  </w:pPr>
                  <w:r>
                    <w:rPr>
                      <w:rFonts w:hint="eastAsia"/>
                      <w:color w:val="auto"/>
                      <w:spacing w:val="-20"/>
                      <w:szCs w:val="21"/>
                    </w:rPr>
                    <w:t>Y</w:t>
                  </w:r>
                </w:p>
              </w:tc>
              <w:tc>
                <w:tcPr>
                  <w:tcW w:w="1438" w:type="dxa"/>
                  <w:vMerge w:val="continue"/>
                  <w:vAlign w:val="center"/>
                </w:tcPr>
                <w:p w14:paraId="4878D788">
                  <w:pPr>
                    <w:spacing w:line="0" w:lineRule="atLeast"/>
                    <w:jc w:val="center"/>
                    <w:rPr>
                      <w:color w:val="auto"/>
                      <w:spacing w:val="-20"/>
                      <w:szCs w:val="21"/>
                    </w:rPr>
                  </w:pPr>
                </w:p>
              </w:tc>
              <w:tc>
                <w:tcPr>
                  <w:tcW w:w="750" w:type="dxa"/>
                  <w:vMerge w:val="continue"/>
                  <w:vAlign w:val="center"/>
                </w:tcPr>
                <w:p w14:paraId="730EA6AE">
                  <w:pPr>
                    <w:spacing w:line="0" w:lineRule="atLeast"/>
                    <w:jc w:val="center"/>
                    <w:rPr>
                      <w:color w:val="auto"/>
                      <w:spacing w:val="-20"/>
                      <w:szCs w:val="21"/>
                    </w:rPr>
                  </w:pPr>
                </w:p>
              </w:tc>
              <w:tc>
                <w:tcPr>
                  <w:tcW w:w="575" w:type="dxa"/>
                  <w:vMerge w:val="continue"/>
                  <w:vAlign w:val="center"/>
                </w:tcPr>
                <w:p w14:paraId="6755497D">
                  <w:pPr>
                    <w:spacing w:line="0" w:lineRule="atLeast"/>
                    <w:jc w:val="center"/>
                    <w:rPr>
                      <w:color w:val="auto"/>
                      <w:spacing w:val="-20"/>
                      <w:szCs w:val="21"/>
                    </w:rPr>
                  </w:pPr>
                </w:p>
              </w:tc>
              <w:tc>
                <w:tcPr>
                  <w:tcW w:w="687" w:type="dxa"/>
                  <w:vMerge w:val="continue"/>
                  <w:vAlign w:val="center"/>
                </w:tcPr>
                <w:p w14:paraId="75E99263">
                  <w:pPr>
                    <w:spacing w:line="0" w:lineRule="atLeast"/>
                    <w:jc w:val="center"/>
                    <w:rPr>
                      <w:color w:val="auto"/>
                      <w:spacing w:val="-20"/>
                      <w:szCs w:val="21"/>
                    </w:rPr>
                  </w:pPr>
                </w:p>
              </w:tc>
              <w:tc>
                <w:tcPr>
                  <w:tcW w:w="738" w:type="dxa"/>
                  <w:vMerge w:val="continue"/>
                  <w:vAlign w:val="center"/>
                </w:tcPr>
                <w:p w14:paraId="5FA56CF6">
                  <w:pPr>
                    <w:spacing w:line="0" w:lineRule="atLeast"/>
                    <w:jc w:val="center"/>
                    <w:rPr>
                      <w:color w:val="auto"/>
                      <w:spacing w:val="-20"/>
                      <w:szCs w:val="21"/>
                    </w:rPr>
                  </w:pPr>
                </w:p>
              </w:tc>
              <w:tc>
                <w:tcPr>
                  <w:tcW w:w="1559" w:type="dxa"/>
                  <w:vMerge w:val="continue"/>
                  <w:vAlign w:val="center"/>
                </w:tcPr>
                <w:p w14:paraId="0FE600A0">
                  <w:pPr>
                    <w:spacing w:line="0" w:lineRule="atLeast"/>
                    <w:jc w:val="center"/>
                    <w:rPr>
                      <w:color w:val="auto"/>
                      <w:spacing w:val="-20"/>
                      <w:szCs w:val="21"/>
                    </w:rPr>
                  </w:pPr>
                </w:p>
              </w:tc>
            </w:tr>
            <w:tr w14:paraId="3BC51B8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518" w:hRule="atLeast"/>
              </w:trPr>
              <w:tc>
                <w:tcPr>
                  <w:tcW w:w="483" w:type="dxa"/>
                  <w:vAlign w:val="center"/>
                </w:tcPr>
                <w:p w14:paraId="7EF9C052">
                  <w:pPr>
                    <w:spacing w:line="0" w:lineRule="atLeast"/>
                    <w:jc w:val="center"/>
                    <w:rPr>
                      <w:rFonts w:hAnsi="宋体"/>
                      <w:color w:val="auto"/>
                      <w:spacing w:val="-20"/>
                      <w:szCs w:val="21"/>
                    </w:rPr>
                  </w:pPr>
                  <w:r>
                    <w:rPr>
                      <w:rFonts w:hAnsi="宋体"/>
                      <w:color w:val="auto"/>
                      <w:spacing w:val="-20"/>
                      <w:szCs w:val="21"/>
                    </w:rPr>
                    <w:t>环境空气</w:t>
                  </w:r>
                </w:p>
              </w:tc>
              <w:tc>
                <w:tcPr>
                  <w:tcW w:w="935" w:type="dxa"/>
                  <w:vAlign w:val="center"/>
                </w:tcPr>
                <w:p w14:paraId="007163C5">
                  <w:pPr>
                    <w:spacing w:line="0" w:lineRule="atLeast"/>
                    <w:jc w:val="center"/>
                    <w:rPr>
                      <w:rFonts w:hint="default" w:eastAsia="宋体"/>
                      <w:color w:val="auto"/>
                      <w:spacing w:val="-20"/>
                      <w:szCs w:val="21"/>
                      <w:lang w:val="en-US" w:eastAsia="zh-CN"/>
                    </w:rPr>
                  </w:pPr>
                  <w:r>
                    <w:rPr>
                      <w:rFonts w:hint="eastAsia"/>
                      <w:color w:val="auto"/>
                      <w:spacing w:val="-20"/>
                      <w:szCs w:val="21"/>
                      <w:lang w:val="en-US" w:eastAsia="zh-CN"/>
                    </w:rPr>
                    <w:t>--</w:t>
                  </w:r>
                </w:p>
              </w:tc>
              <w:tc>
                <w:tcPr>
                  <w:tcW w:w="888" w:type="dxa"/>
                  <w:vAlign w:val="center"/>
                </w:tcPr>
                <w:p w14:paraId="2F70AB34">
                  <w:pPr>
                    <w:spacing w:line="0" w:lineRule="atLeast"/>
                    <w:jc w:val="center"/>
                    <w:rPr>
                      <w:rFonts w:hint="default" w:eastAsia="宋体"/>
                      <w:color w:val="auto"/>
                      <w:spacing w:val="-20"/>
                      <w:szCs w:val="21"/>
                      <w:lang w:val="en-US" w:eastAsia="zh-CN"/>
                    </w:rPr>
                  </w:pPr>
                  <w:r>
                    <w:rPr>
                      <w:rFonts w:hint="eastAsia"/>
                      <w:color w:val="auto"/>
                      <w:spacing w:val="-20"/>
                      <w:szCs w:val="21"/>
                      <w:lang w:val="en-US" w:eastAsia="zh-CN"/>
                    </w:rPr>
                    <w:t>--</w:t>
                  </w:r>
                </w:p>
              </w:tc>
              <w:tc>
                <w:tcPr>
                  <w:tcW w:w="1438" w:type="dxa"/>
                  <w:vAlign w:val="center"/>
                </w:tcPr>
                <w:p w14:paraId="1E5B0C4E">
                  <w:pPr>
                    <w:spacing w:line="0" w:lineRule="atLeast"/>
                    <w:jc w:val="center"/>
                    <w:rPr>
                      <w:rFonts w:hint="default" w:eastAsia="宋体"/>
                      <w:color w:val="auto"/>
                      <w:spacing w:val="-20"/>
                      <w:szCs w:val="21"/>
                      <w:lang w:val="en-US" w:eastAsia="zh-CN"/>
                    </w:rPr>
                  </w:pPr>
                  <w:r>
                    <w:rPr>
                      <w:rFonts w:hint="eastAsia"/>
                      <w:color w:val="auto"/>
                      <w:spacing w:val="-20"/>
                      <w:szCs w:val="21"/>
                      <w:lang w:val="en-US" w:eastAsia="zh-CN"/>
                    </w:rPr>
                    <w:t>--</w:t>
                  </w:r>
                </w:p>
              </w:tc>
              <w:tc>
                <w:tcPr>
                  <w:tcW w:w="750" w:type="dxa"/>
                  <w:vAlign w:val="center"/>
                </w:tcPr>
                <w:p w14:paraId="4A1D9347">
                  <w:pPr>
                    <w:spacing w:line="0" w:lineRule="atLeast"/>
                    <w:jc w:val="center"/>
                    <w:rPr>
                      <w:rFonts w:hint="default" w:eastAsia="宋体"/>
                      <w:color w:val="auto"/>
                      <w:spacing w:val="-20"/>
                      <w:szCs w:val="21"/>
                      <w:lang w:val="en-US" w:eastAsia="zh-CN"/>
                    </w:rPr>
                  </w:pPr>
                  <w:r>
                    <w:rPr>
                      <w:rFonts w:hint="eastAsia"/>
                      <w:color w:val="auto"/>
                      <w:spacing w:val="-20"/>
                      <w:szCs w:val="21"/>
                      <w:lang w:val="en-US" w:eastAsia="zh-CN"/>
                    </w:rPr>
                    <w:t>--</w:t>
                  </w:r>
                </w:p>
              </w:tc>
              <w:tc>
                <w:tcPr>
                  <w:tcW w:w="575" w:type="dxa"/>
                  <w:vAlign w:val="center"/>
                </w:tcPr>
                <w:p w14:paraId="2BB257CD">
                  <w:pPr>
                    <w:spacing w:line="0" w:lineRule="atLeast"/>
                    <w:jc w:val="center"/>
                    <w:rPr>
                      <w:rFonts w:hint="default" w:hAnsi="宋体" w:eastAsia="宋体"/>
                      <w:color w:val="auto"/>
                      <w:spacing w:val="-20"/>
                      <w:szCs w:val="21"/>
                      <w:lang w:val="en-US" w:eastAsia="zh-CN"/>
                    </w:rPr>
                  </w:pPr>
                  <w:r>
                    <w:rPr>
                      <w:rFonts w:hint="eastAsia" w:hAnsi="宋体"/>
                      <w:color w:val="auto"/>
                      <w:spacing w:val="-20"/>
                      <w:szCs w:val="21"/>
                      <w:lang w:val="en-US" w:eastAsia="zh-CN"/>
                    </w:rPr>
                    <w:t>--</w:t>
                  </w:r>
                </w:p>
              </w:tc>
              <w:tc>
                <w:tcPr>
                  <w:tcW w:w="687" w:type="dxa"/>
                  <w:vAlign w:val="center"/>
                </w:tcPr>
                <w:p w14:paraId="07B87D59">
                  <w:pPr>
                    <w:spacing w:line="0" w:lineRule="atLeast"/>
                    <w:jc w:val="center"/>
                    <w:rPr>
                      <w:rFonts w:hint="default" w:eastAsia="宋体"/>
                      <w:color w:val="auto"/>
                      <w:spacing w:val="-20"/>
                      <w:szCs w:val="21"/>
                      <w:lang w:val="en-US" w:eastAsia="zh-CN"/>
                    </w:rPr>
                  </w:pPr>
                  <w:r>
                    <w:rPr>
                      <w:rFonts w:hint="eastAsia"/>
                      <w:color w:val="auto"/>
                      <w:spacing w:val="-20"/>
                      <w:szCs w:val="21"/>
                      <w:lang w:val="en-US" w:eastAsia="zh-CN"/>
                    </w:rPr>
                    <w:t>--</w:t>
                  </w:r>
                </w:p>
              </w:tc>
              <w:tc>
                <w:tcPr>
                  <w:tcW w:w="738" w:type="dxa"/>
                  <w:vAlign w:val="center"/>
                </w:tcPr>
                <w:p w14:paraId="26A3E5AC">
                  <w:pPr>
                    <w:spacing w:line="0" w:lineRule="atLeast"/>
                    <w:jc w:val="center"/>
                    <w:rPr>
                      <w:rFonts w:hint="default" w:eastAsia="宋体"/>
                      <w:color w:val="auto"/>
                      <w:spacing w:val="-20"/>
                      <w:szCs w:val="21"/>
                      <w:lang w:val="en-US" w:eastAsia="zh-CN"/>
                    </w:rPr>
                  </w:pPr>
                  <w:r>
                    <w:rPr>
                      <w:rFonts w:hint="eastAsia"/>
                      <w:color w:val="auto"/>
                      <w:spacing w:val="-20"/>
                      <w:szCs w:val="21"/>
                      <w:lang w:val="en-US" w:eastAsia="zh-CN"/>
                    </w:rPr>
                    <w:t>--</w:t>
                  </w:r>
                </w:p>
              </w:tc>
              <w:tc>
                <w:tcPr>
                  <w:tcW w:w="1559" w:type="dxa"/>
                  <w:vAlign w:val="center"/>
                </w:tcPr>
                <w:p w14:paraId="7BEDFF9B">
                  <w:pPr>
                    <w:spacing w:line="0" w:lineRule="atLeast"/>
                    <w:jc w:val="center"/>
                    <w:rPr>
                      <w:rFonts w:hint="default"/>
                      <w:color w:val="auto"/>
                      <w:spacing w:val="-20"/>
                      <w:szCs w:val="21"/>
                      <w:lang w:val="en-US" w:eastAsia="zh-CN"/>
                    </w:rPr>
                  </w:pPr>
                  <w:r>
                    <w:rPr>
                      <w:rFonts w:hint="eastAsia"/>
                      <w:color w:val="auto"/>
                      <w:spacing w:val="-20"/>
                      <w:szCs w:val="21"/>
                      <w:lang w:val="en-US" w:eastAsia="zh-CN"/>
                    </w:rPr>
                    <w:t>--</w:t>
                  </w:r>
                </w:p>
              </w:tc>
            </w:tr>
            <w:tr w14:paraId="12FDAEA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517" w:hRule="atLeast"/>
              </w:trPr>
              <w:tc>
                <w:tcPr>
                  <w:tcW w:w="483" w:type="dxa"/>
                  <w:vAlign w:val="center"/>
                </w:tcPr>
                <w:p w14:paraId="0A0BEB15">
                  <w:pPr>
                    <w:spacing w:line="0" w:lineRule="atLeast"/>
                    <w:jc w:val="center"/>
                    <w:rPr>
                      <w:rFonts w:hAnsi="宋体"/>
                      <w:color w:val="auto"/>
                      <w:spacing w:val="-20"/>
                      <w:szCs w:val="21"/>
                    </w:rPr>
                  </w:pPr>
                  <w:r>
                    <w:rPr>
                      <w:rFonts w:hAnsi="宋体"/>
                      <w:color w:val="auto"/>
                      <w:spacing w:val="-20"/>
                      <w:szCs w:val="21"/>
                    </w:rPr>
                    <w:t>噪声</w:t>
                  </w:r>
                </w:p>
              </w:tc>
              <w:tc>
                <w:tcPr>
                  <w:tcW w:w="935" w:type="dxa"/>
                  <w:vAlign w:val="center"/>
                </w:tcPr>
                <w:p w14:paraId="174D0F70">
                  <w:pPr>
                    <w:spacing w:line="0" w:lineRule="atLeast"/>
                    <w:jc w:val="center"/>
                    <w:rPr>
                      <w:rFonts w:ascii="Times New Roman" w:hAnsi="Times New Roman" w:eastAsia="宋体" w:cs="Times New Roman"/>
                      <w:color w:val="auto"/>
                      <w:spacing w:val="-20"/>
                      <w:kern w:val="2"/>
                      <w:sz w:val="21"/>
                      <w:szCs w:val="21"/>
                      <w:lang w:val="en-US" w:eastAsia="zh-CN" w:bidi="ar-SA"/>
                    </w:rPr>
                  </w:pPr>
                  <w:r>
                    <w:rPr>
                      <w:rFonts w:hint="eastAsia"/>
                      <w:color w:val="auto"/>
                      <w:spacing w:val="-20"/>
                      <w:szCs w:val="21"/>
                    </w:rPr>
                    <w:t>--</w:t>
                  </w:r>
                </w:p>
              </w:tc>
              <w:tc>
                <w:tcPr>
                  <w:tcW w:w="888" w:type="dxa"/>
                  <w:vAlign w:val="center"/>
                </w:tcPr>
                <w:p w14:paraId="33292C0B">
                  <w:pPr>
                    <w:spacing w:line="0" w:lineRule="atLeast"/>
                    <w:jc w:val="center"/>
                    <w:rPr>
                      <w:rFonts w:ascii="Times New Roman" w:hAnsi="Times New Roman" w:eastAsia="宋体" w:cs="Times New Roman"/>
                      <w:color w:val="auto"/>
                      <w:spacing w:val="-20"/>
                      <w:kern w:val="2"/>
                      <w:sz w:val="21"/>
                      <w:szCs w:val="21"/>
                      <w:lang w:val="en-US" w:eastAsia="zh-CN" w:bidi="ar-SA"/>
                    </w:rPr>
                  </w:pPr>
                  <w:r>
                    <w:rPr>
                      <w:rFonts w:hint="eastAsia"/>
                      <w:color w:val="auto"/>
                      <w:spacing w:val="-20"/>
                      <w:szCs w:val="21"/>
                    </w:rPr>
                    <w:t>--</w:t>
                  </w:r>
                </w:p>
              </w:tc>
              <w:tc>
                <w:tcPr>
                  <w:tcW w:w="1438" w:type="dxa"/>
                  <w:vAlign w:val="center"/>
                </w:tcPr>
                <w:p w14:paraId="0E8C508B">
                  <w:pPr>
                    <w:spacing w:line="0" w:lineRule="atLeast"/>
                    <w:jc w:val="center"/>
                    <w:rPr>
                      <w:rFonts w:ascii="Times New Roman" w:hAnsi="Times New Roman" w:eastAsia="宋体" w:cs="Times New Roman"/>
                      <w:color w:val="auto"/>
                      <w:spacing w:val="-20"/>
                      <w:kern w:val="2"/>
                      <w:sz w:val="21"/>
                      <w:szCs w:val="21"/>
                      <w:lang w:val="en-US" w:eastAsia="zh-CN" w:bidi="ar-SA"/>
                    </w:rPr>
                  </w:pPr>
                  <w:r>
                    <w:rPr>
                      <w:rFonts w:hint="eastAsia"/>
                      <w:color w:val="auto"/>
                      <w:spacing w:val="-20"/>
                      <w:szCs w:val="21"/>
                    </w:rPr>
                    <w:t>--</w:t>
                  </w:r>
                </w:p>
              </w:tc>
              <w:tc>
                <w:tcPr>
                  <w:tcW w:w="750" w:type="dxa"/>
                  <w:vAlign w:val="center"/>
                </w:tcPr>
                <w:p w14:paraId="0457F2F3">
                  <w:pPr>
                    <w:spacing w:line="0" w:lineRule="atLeast"/>
                    <w:jc w:val="center"/>
                    <w:rPr>
                      <w:rFonts w:ascii="Times New Roman" w:hAnsi="Times New Roman" w:eastAsia="宋体" w:cs="Times New Roman"/>
                      <w:color w:val="auto"/>
                      <w:spacing w:val="-20"/>
                      <w:kern w:val="2"/>
                      <w:sz w:val="21"/>
                      <w:szCs w:val="21"/>
                      <w:lang w:val="en-US" w:eastAsia="zh-CN" w:bidi="ar-SA"/>
                    </w:rPr>
                  </w:pPr>
                  <w:r>
                    <w:rPr>
                      <w:rFonts w:hint="eastAsia"/>
                      <w:color w:val="auto"/>
                      <w:spacing w:val="-20"/>
                      <w:szCs w:val="21"/>
                    </w:rPr>
                    <w:t>--</w:t>
                  </w:r>
                </w:p>
              </w:tc>
              <w:tc>
                <w:tcPr>
                  <w:tcW w:w="575" w:type="dxa"/>
                  <w:vAlign w:val="center"/>
                </w:tcPr>
                <w:p w14:paraId="7F39B4ED">
                  <w:pPr>
                    <w:spacing w:line="0" w:lineRule="atLeast"/>
                    <w:jc w:val="center"/>
                    <w:rPr>
                      <w:rFonts w:ascii="Times New Roman" w:hAnsi="宋体" w:eastAsia="宋体" w:cs="Times New Roman"/>
                      <w:color w:val="auto"/>
                      <w:spacing w:val="-20"/>
                      <w:kern w:val="2"/>
                      <w:sz w:val="21"/>
                      <w:szCs w:val="21"/>
                      <w:lang w:val="en-US" w:eastAsia="zh-CN" w:bidi="ar-SA"/>
                    </w:rPr>
                  </w:pPr>
                  <w:r>
                    <w:rPr>
                      <w:rFonts w:hint="eastAsia" w:hAnsi="宋体"/>
                      <w:color w:val="auto"/>
                      <w:spacing w:val="-20"/>
                      <w:szCs w:val="21"/>
                    </w:rPr>
                    <w:t>--</w:t>
                  </w:r>
                </w:p>
              </w:tc>
              <w:tc>
                <w:tcPr>
                  <w:tcW w:w="687" w:type="dxa"/>
                  <w:vAlign w:val="center"/>
                </w:tcPr>
                <w:p w14:paraId="5CE7B065">
                  <w:pPr>
                    <w:spacing w:line="0" w:lineRule="atLeast"/>
                    <w:jc w:val="center"/>
                    <w:rPr>
                      <w:rFonts w:ascii="Times New Roman" w:hAnsi="Times New Roman" w:eastAsia="宋体" w:cs="Times New Roman"/>
                      <w:color w:val="auto"/>
                      <w:spacing w:val="-20"/>
                      <w:kern w:val="2"/>
                      <w:sz w:val="21"/>
                      <w:szCs w:val="21"/>
                      <w:lang w:val="en-US" w:eastAsia="zh-CN" w:bidi="ar-SA"/>
                    </w:rPr>
                  </w:pPr>
                  <w:r>
                    <w:rPr>
                      <w:rFonts w:hint="eastAsia"/>
                      <w:color w:val="auto"/>
                      <w:spacing w:val="-20"/>
                      <w:szCs w:val="21"/>
                    </w:rPr>
                    <w:t>--</w:t>
                  </w:r>
                </w:p>
              </w:tc>
              <w:tc>
                <w:tcPr>
                  <w:tcW w:w="738" w:type="dxa"/>
                  <w:vAlign w:val="center"/>
                </w:tcPr>
                <w:p w14:paraId="5843AC69">
                  <w:pPr>
                    <w:spacing w:line="0" w:lineRule="atLeast"/>
                    <w:jc w:val="center"/>
                    <w:rPr>
                      <w:rFonts w:hint="eastAsia" w:ascii="Times New Roman" w:hAnsi="Times New Roman" w:eastAsia="宋体" w:cs="Times New Roman"/>
                      <w:color w:val="auto"/>
                      <w:spacing w:val="-20"/>
                      <w:kern w:val="2"/>
                      <w:sz w:val="21"/>
                      <w:szCs w:val="21"/>
                      <w:lang w:val="en-US" w:eastAsia="zh-CN" w:bidi="ar-SA"/>
                    </w:rPr>
                  </w:pPr>
                  <w:r>
                    <w:rPr>
                      <w:rFonts w:hint="eastAsia"/>
                      <w:color w:val="auto"/>
                      <w:spacing w:val="-20"/>
                      <w:szCs w:val="21"/>
                    </w:rPr>
                    <w:t>--</w:t>
                  </w:r>
                </w:p>
              </w:tc>
              <w:tc>
                <w:tcPr>
                  <w:tcW w:w="1559" w:type="dxa"/>
                  <w:vAlign w:val="center"/>
                </w:tcPr>
                <w:p w14:paraId="08B8BC7C">
                  <w:pPr>
                    <w:spacing w:line="0" w:lineRule="atLeast"/>
                    <w:jc w:val="center"/>
                    <w:rPr>
                      <w:rFonts w:hint="default" w:ascii="Times New Roman" w:hAnsi="Times New Roman" w:eastAsia="宋体" w:cs="Times New Roman"/>
                      <w:color w:val="auto"/>
                      <w:spacing w:val="-20"/>
                      <w:kern w:val="2"/>
                      <w:sz w:val="21"/>
                      <w:szCs w:val="21"/>
                      <w:lang w:val="en-US" w:eastAsia="zh-CN" w:bidi="ar-SA"/>
                    </w:rPr>
                  </w:pPr>
                  <w:r>
                    <w:rPr>
                      <w:rFonts w:hint="eastAsia"/>
                      <w:color w:val="auto"/>
                      <w:spacing w:val="-20"/>
                      <w:szCs w:val="21"/>
                      <w:lang w:val="en-US" w:eastAsia="zh-CN"/>
                    </w:rPr>
                    <w:t>--</w:t>
                  </w:r>
                </w:p>
              </w:tc>
            </w:tr>
            <w:tr w14:paraId="4948164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517" w:hRule="atLeast"/>
              </w:trPr>
              <w:tc>
                <w:tcPr>
                  <w:tcW w:w="483" w:type="dxa"/>
                  <w:vAlign w:val="center"/>
                </w:tcPr>
                <w:p w14:paraId="25D58039">
                  <w:pPr>
                    <w:spacing w:line="0" w:lineRule="atLeast"/>
                    <w:jc w:val="center"/>
                    <w:rPr>
                      <w:rFonts w:hAnsi="宋体"/>
                      <w:color w:val="auto"/>
                      <w:spacing w:val="-20"/>
                      <w:szCs w:val="21"/>
                    </w:rPr>
                  </w:pPr>
                  <w:r>
                    <w:rPr>
                      <w:rFonts w:hint="eastAsia" w:hAnsi="宋体"/>
                      <w:color w:val="auto"/>
                      <w:spacing w:val="-20"/>
                      <w:szCs w:val="21"/>
                    </w:rPr>
                    <w:t>地下水</w:t>
                  </w:r>
                </w:p>
              </w:tc>
              <w:tc>
                <w:tcPr>
                  <w:tcW w:w="935" w:type="dxa"/>
                  <w:vAlign w:val="center"/>
                </w:tcPr>
                <w:p w14:paraId="3626ECED">
                  <w:pPr>
                    <w:spacing w:line="0" w:lineRule="atLeast"/>
                    <w:jc w:val="center"/>
                    <w:rPr>
                      <w:color w:val="auto"/>
                      <w:spacing w:val="-20"/>
                      <w:szCs w:val="21"/>
                    </w:rPr>
                  </w:pPr>
                  <w:r>
                    <w:rPr>
                      <w:rFonts w:hint="eastAsia"/>
                      <w:color w:val="auto"/>
                      <w:spacing w:val="-20"/>
                      <w:szCs w:val="21"/>
                    </w:rPr>
                    <w:t>--</w:t>
                  </w:r>
                </w:p>
              </w:tc>
              <w:tc>
                <w:tcPr>
                  <w:tcW w:w="888" w:type="dxa"/>
                  <w:vAlign w:val="center"/>
                </w:tcPr>
                <w:p w14:paraId="7C511DEB">
                  <w:pPr>
                    <w:spacing w:line="0" w:lineRule="atLeast"/>
                    <w:jc w:val="center"/>
                    <w:rPr>
                      <w:color w:val="auto"/>
                      <w:spacing w:val="-20"/>
                      <w:szCs w:val="21"/>
                    </w:rPr>
                  </w:pPr>
                  <w:r>
                    <w:rPr>
                      <w:rFonts w:hint="eastAsia"/>
                      <w:color w:val="auto"/>
                      <w:spacing w:val="-20"/>
                      <w:szCs w:val="21"/>
                    </w:rPr>
                    <w:t>--</w:t>
                  </w:r>
                </w:p>
              </w:tc>
              <w:tc>
                <w:tcPr>
                  <w:tcW w:w="1438" w:type="dxa"/>
                  <w:vAlign w:val="center"/>
                </w:tcPr>
                <w:p w14:paraId="4BC764B9">
                  <w:pPr>
                    <w:spacing w:line="0" w:lineRule="atLeast"/>
                    <w:jc w:val="center"/>
                    <w:rPr>
                      <w:rFonts w:hAnsi="宋体"/>
                      <w:color w:val="auto"/>
                      <w:spacing w:val="-20"/>
                      <w:szCs w:val="21"/>
                    </w:rPr>
                  </w:pPr>
                  <w:r>
                    <w:rPr>
                      <w:rFonts w:hint="eastAsia" w:hAnsi="宋体"/>
                      <w:color w:val="auto"/>
                      <w:spacing w:val="-20"/>
                      <w:szCs w:val="21"/>
                    </w:rPr>
                    <w:t>项目所在区域</w:t>
                  </w:r>
                  <w:r>
                    <w:rPr>
                      <w:rFonts w:hint="eastAsia" w:hAnsi="宋体"/>
                      <w:color w:val="auto"/>
                      <w:spacing w:val="-20"/>
                      <w:szCs w:val="21"/>
                      <w:lang w:val="en-US" w:eastAsia="zh-CN"/>
                    </w:rPr>
                    <w:t>地下水潜水含水层</w:t>
                  </w:r>
                </w:p>
              </w:tc>
              <w:tc>
                <w:tcPr>
                  <w:tcW w:w="750" w:type="dxa"/>
                  <w:vAlign w:val="center"/>
                </w:tcPr>
                <w:p w14:paraId="42748D52">
                  <w:pPr>
                    <w:spacing w:line="0" w:lineRule="atLeast"/>
                    <w:jc w:val="center"/>
                    <w:rPr>
                      <w:rFonts w:hAnsi="宋体"/>
                      <w:color w:val="auto"/>
                      <w:spacing w:val="-20"/>
                      <w:szCs w:val="21"/>
                    </w:rPr>
                  </w:pPr>
                  <w:r>
                    <w:rPr>
                      <w:rFonts w:hint="eastAsia" w:hAnsi="宋体"/>
                      <w:color w:val="auto"/>
                      <w:spacing w:val="-20"/>
                      <w:szCs w:val="21"/>
                    </w:rPr>
                    <w:t>--</w:t>
                  </w:r>
                </w:p>
              </w:tc>
              <w:tc>
                <w:tcPr>
                  <w:tcW w:w="575" w:type="dxa"/>
                  <w:vAlign w:val="center"/>
                </w:tcPr>
                <w:p w14:paraId="13044CC0">
                  <w:pPr>
                    <w:spacing w:line="0" w:lineRule="atLeast"/>
                    <w:jc w:val="center"/>
                    <w:rPr>
                      <w:rFonts w:hAnsi="宋体"/>
                      <w:color w:val="auto"/>
                      <w:spacing w:val="-20"/>
                      <w:szCs w:val="21"/>
                    </w:rPr>
                  </w:pPr>
                  <w:r>
                    <w:rPr>
                      <w:rFonts w:hint="eastAsia"/>
                      <w:color w:val="auto"/>
                      <w:spacing w:val="-20"/>
                      <w:szCs w:val="21"/>
                    </w:rPr>
                    <w:t>--</w:t>
                  </w:r>
                </w:p>
              </w:tc>
              <w:tc>
                <w:tcPr>
                  <w:tcW w:w="687" w:type="dxa"/>
                  <w:vAlign w:val="center"/>
                </w:tcPr>
                <w:p w14:paraId="556AD745">
                  <w:pPr>
                    <w:spacing w:line="0" w:lineRule="atLeast"/>
                    <w:jc w:val="center"/>
                    <w:rPr>
                      <w:color w:val="auto"/>
                      <w:spacing w:val="-20"/>
                      <w:szCs w:val="21"/>
                    </w:rPr>
                  </w:pPr>
                  <w:r>
                    <w:rPr>
                      <w:rFonts w:hint="eastAsia"/>
                      <w:color w:val="auto"/>
                      <w:spacing w:val="-20"/>
                      <w:szCs w:val="21"/>
                    </w:rPr>
                    <w:t>--</w:t>
                  </w:r>
                </w:p>
              </w:tc>
              <w:tc>
                <w:tcPr>
                  <w:tcW w:w="738" w:type="dxa"/>
                  <w:vAlign w:val="center"/>
                </w:tcPr>
                <w:p w14:paraId="033111CE">
                  <w:pPr>
                    <w:spacing w:line="0" w:lineRule="atLeast"/>
                    <w:jc w:val="center"/>
                    <w:rPr>
                      <w:color w:val="auto"/>
                      <w:spacing w:val="-20"/>
                      <w:szCs w:val="21"/>
                    </w:rPr>
                  </w:pPr>
                  <w:r>
                    <w:rPr>
                      <w:rFonts w:hint="eastAsia"/>
                      <w:color w:val="auto"/>
                      <w:spacing w:val="-20"/>
                      <w:szCs w:val="21"/>
                    </w:rPr>
                    <w:t>--</w:t>
                  </w:r>
                </w:p>
              </w:tc>
              <w:tc>
                <w:tcPr>
                  <w:tcW w:w="1559" w:type="dxa"/>
                  <w:vAlign w:val="center"/>
                </w:tcPr>
                <w:p w14:paraId="75D742B7">
                  <w:pPr>
                    <w:spacing w:line="0" w:lineRule="atLeast"/>
                    <w:jc w:val="center"/>
                    <w:rPr>
                      <w:rFonts w:ascii="Times New Roman" w:hAnsi="宋体" w:eastAsia="宋体" w:cs="Times New Roman"/>
                      <w:color w:val="auto"/>
                      <w:spacing w:val="-20"/>
                      <w:szCs w:val="21"/>
                    </w:rPr>
                  </w:pPr>
                  <w:r>
                    <w:rPr>
                      <w:rFonts w:ascii="Times New Roman" w:hAnsi="宋体" w:eastAsia="宋体" w:cs="Times New Roman"/>
                      <w:color w:val="auto"/>
                      <w:spacing w:val="-20"/>
                      <w:szCs w:val="21"/>
                    </w:rPr>
                    <w:t>《地下水质量标准》</w:t>
                  </w:r>
                </w:p>
                <w:p w14:paraId="4717AC37">
                  <w:pPr>
                    <w:spacing w:line="0" w:lineRule="atLeast"/>
                    <w:jc w:val="center"/>
                    <w:rPr>
                      <w:rFonts w:hint="default" w:ascii="Times New Roman" w:hAnsi="宋体" w:eastAsia="宋体" w:cs="Times New Roman"/>
                      <w:color w:val="auto"/>
                      <w:spacing w:val="-20"/>
                      <w:szCs w:val="21"/>
                      <w:lang w:val="en-US" w:eastAsia="zh-CN"/>
                    </w:rPr>
                  </w:pPr>
                  <w:r>
                    <w:rPr>
                      <w:rFonts w:ascii="Times New Roman" w:hAnsi="宋体" w:eastAsia="宋体" w:cs="Times New Roman"/>
                      <w:color w:val="auto"/>
                      <w:spacing w:val="-20"/>
                      <w:szCs w:val="21"/>
                    </w:rPr>
                    <w:t>（GB/T14848</w:t>
                  </w:r>
                  <w:r>
                    <w:rPr>
                      <w:rFonts w:hint="eastAsia" w:ascii="Times New Roman" w:hAnsi="宋体" w:eastAsia="宋体" w:cs="Times New Roman"/>
                      <w:color w:val="auto"/>
                      <w:spacing w:val="-20"/>
                      <w:szCs w:val="21"/>
                    </w:rPr>
                    <w:t>-</w:t>
                  </w:r>
                  <w:r>
                    <w:rPr>
                      <w:rFonts w:ascii="Times New Roman" w:hAnsi="宋体" w:eastAsia="宋体" w:cs="Times New Roman"/>
                      <w:color w:val="auto"/>
                      <w:spacing w:val="-20"/>
                      <w:szCs w:val="21"/>
                    </w:rPr>
                    <w:t>2017）Ⅲ类</w:t>
                  </w:r>
                </w:p>
              </w:tc>
            </w:tr>
            <w:tr w14:paraId="6AC59EC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517" w:hRule="atLeast"/>
              </w:trPr>
              <w:tc>
                <w:tcPr>
                  <w:tcW w:w="483" w:type="dxa"/>
                  <w:vAlign w:val="center"/>
                </w:tcPr>
                <w:p w14:paraId="61D6AC36">
                  <w:pPr>
                    <w:spacing w:line="0" w:lineRule="atLeast"/>
                    <w:jc w:val="center"/>
                    <w:rPr>
                      <w:rFonts w:hAnsi="宋体"/>
                      <w:color w:val="auto"/>
                      <w:spacing w:val="-20"/>
                      <w:szCs w:val="21"/>
                    </w:rPr>
                  </w:pPr>
                  <w:r>
                    <w:rPr>
                      <w:rFonts w:hint="eastAsia" w:hAnsi="宋体"/>
                      <w:color w:val="auto"/>
                      <w:spacing w:val="-20"/>
                      <w:szCs w:val="21"/>
                    </w:rPr>
                    <w:t>生态</w:t>
                  </w:r>
                </w:p>
              </w:tc>
              <w:tc>
                <w:tcPr>
                  <w:tcW w:w="935" w:type="dxa"/>
                  <w:vAlign w:val="center"/>
                </w:tcPr>
                <w:p w14:paraId="3D0898DF">
                  <w:pPr>
                    <w:spacing w:line="0" w:lineRule="atLeast"/>
                    <w:jc w:val="center"/>
                    <w:rPr>
                      <w:color w:val="auto"/>
                      <w:spacing w:val="-20"/>
                      <w:szCs w:val="21"/>
                    </w:rPr>
                  </w:pPr>
                  <w:r>
                    <w:rPr>
                      <w:rFonts w:hint="eastAsia"/>
                      <w:color w:val="auto"/>
                      <w:spacing w:val="-20"/>
                      <w:szCs w:val="21"/>
                    </w:rPr>
                    <w:t>--</w:t>
                  </w:r>
                </w:p>
              </w:tc>
              <w:tc>
                <w:tcPr>
                  <w:tcW w:w="888" w:type="dxa"/>
                  <w:vAlign w:val="center"/>
                </w:tcPr>
                <w:p w14:paraId="37BC576A">
                  <w:pPr>
                    <w:spacing w:line="0" w:lineRule="atLeast"/>
                    <w:jc w:val="center"/>
                    <w:rPr>
                      <w:color w:val="auto"/>
                      <w:spacing w:val="-20"/>
                      <w:szCs w:val="21"/>
                    </w:rPr>
                  </w:pPr>
                  <w:r>
                    <w:rPr>
                      <w:rFonts w:hint="eastAsia"/>
                      <w:color w:val="auto"/>
                      <w:spacing w:val="-20"/>
                      <w:szCs w:val="21"/>
                    </w:rPr>
                    <w:t>--</w:t>
                  </w:r>
                </w:p>
              </w:tc>
              <w:tc>
                <w:tcPr>
                  <w:tcW w:w="1438" w:type="dxa"/>
                  <w:vAlign w:val="center"/>
                </w:tcPr>
                <w:p w14:paraId="176E3B15">
                  <w:pPr>
                    <w:spacing w:line="0" w:lineRule="atLeast"/>
                    <w:jc w:val="center"/>
                    <w:rPr>
                      <w:color w:val="auto"/>
                      <w:spacing w:val="-20"/>
                      <w:szCs w:val="21"/>
                    </w:rPr>
                  </w:pPr>
                  <w:r>
                    <w:rPr>
                      <w:rFonts w:hint="eastAsia"/>
                      <w:color w:val="auto"/>
                      <w:spacing w:val="-20"/>
                      <w:szCs w:val="21"/>
                    </w:rPr>
                    <w:t>--</w:t>
                  </w:r>
                </w:p>
              </w:tc>
              <w:tc>
                <w:tcPr>
                  <w:tcW w:w="750" w:type="dxa"/>
                  <w:vAlign w:val="center"/>
                </w:tcPr>
                <w:p w14:paraId="2308955A">
                  <w:pPr>
                    <w:spacing w:line="0" w:lineRule="atLeast"/>
                    <w:jc w:val="center"/>
                    <w:rPr>
                      <w:color w:val="auto"/>
                      <w:spacing w:val="-20"/>
                      <w:szCs w:val="21"/>
                    </w:rPr>
                  </w:pPr>
                  <w:r>
                    <w:rPr>
                      <w:rFonts w:hint="eastAsia"/>
                      <w:color w:val="auto"/>
                      <w:spacing w:val="-20"/>
                      <w:szCs w:val="21"/>
                    </w:rPr>
                    <w:t>--</w:t>
                  </w:r>
                </w:p>
              </w:tc>
              <w:tc>
                <w:tcPr>
                  <w:tcW w:w="575" w:type="dxa"/>
                  <w:vAlign w:val="center"/>
                </w:tcPr>
                <w:p w14:paraId="009E85B1">
                  <w:pPr>
                    <w:spacing w:line="0" w:lineRule="atLeast"/>
                    <w:jc w:val="center"/>
                    <w:rPr>
                      <w:rFonts w:hAnsi="宋体"/>
                      <w:color w:val="auto"/>
                      <w:spacing w:val="-20"/>
                      <w:szCs w:val="21"/>
                    </w:rPr>
                  </w:pPr>
                  <w:r>
                    <w:rPr>
                      <w:rFonts w:hint="eastAsia" w:hAnsi="宋体"/>
                      <w:color w:val="auto"/>
                      <w:spacing w:val="-20"/>
                      <w:szCs w:val="21"/>
                    </w:rPr>
                    <w:t>--</w:t>
                  </w:r>
                </w:p>
              </w:tc>
              <w:tc>
                <w:tcPr>
                  <w:tcW w:w="687" w:type="dxa"/>
                  <w:vAlign w:val="center"/>
                </w:tcPr>
                <w:p w14:paraId="4F60920A">
                  <w:pPr>
                    <w:spacing w:line="0" w:lineRule="atLeast"/>
                    <w:jc w:val="center"/>
                    <w:rPr>
                      <w:color w:val="auto"/>
                      <w:spacing w:val="-20"/>
                      <w:szCs w:val="21"/>
                    </w:rPr>
                  </w:pPr>
                  <w:r>
                    <w:rPr>
                      <w:rFonts w:hint="eastAsia"/>
                      <w:color w:val="auto"/>
                      <w:spacing w:val="-20"/>
                      <w:szCs w:val="21"/>
                    </w:rPr>
                    <w:t>--</w:t>
                  </w:r>
                </w:p>
              </w:tc>
              <w:tc>
                <w:tcPr>
                  <w:tcW w:w="738" w:type="dxa"/>
                  <w:vAlign w:val="center"/>
                </w:tcPr>
                <w:p w14:paraId="16B8B640">
                  <w:pPr>
                    <w:spacing w:line="0" w:lineRule="atLeast"/>
                    <w:jc w:val="center"/>
                    <w:rPr>
                      <w:color w:val="auto"/>
                      <w:spacing w:val="-20"/>
                      <w:szCs w:val="21"/>
                    </w:rPr>
                  </w:pPr>
                  <w:r>
                    <w:rPr>
                      <w:rFonts w:hint="eastAsia"/>
                      <w:color w:val="auto"/>
                      <w:spacing w:val="-20"/>
                      <w:szCs w:val="21"/>
                    </w:rPr>
                    <w:t>--</w:t>
                  </w:r>
                </w:p>
              </w:tc>
              <w:tc>
                <w:tcPr>
                  <w:tcW w:w="1559" w:type="dxa"/>
                  <w:vAlign w:val="center"/>
                </w:tcPr>
                <w:p w14:paraId="6756129A">
                  <w:pPr>
                    <w:spacing w:line="0" w:lineRule="atLeast"/>
                    <w:jc w:val="center"/>
                    <w:rPr>
                      <w:rFonts w:hint="default" w:eastAsia="宋体"/>
                      <w:color w:val="auto"/>
                      <w:spacing w:val="-20"/>
                      <w:szCs w:val="21"/>
                      <w:lang w:val="en-US" w:eastAsia="zh-CN"/>
                    </w:rPr>
                  </w:pPr>
                  <w:r>
                    <w:rPr>
                      <w:rFonts w:hint="eastAsia"/>
                      <w:color w:val="auto"/>
                      <w:spacing w:val="-20"/>
                      <w:szCs w:val="21"/>
                      <w:lang w:val="en-US" w:eastAsia="zh-CN"/>
                    </w:rPr>
                    <w:t>--</w:t>
                  </w:r>
                </w:p>
              </w:tc>
            </w:tr>
            <w:bookmarkEnd w:id="17"/>
          </w:tbl>
          <w:p w14:paraId="674E8545">
            <w:pPr>
              <w:widowControl/>
              <w:spacing w:line="480" w:lineRule="exact"/>
              <w:ind w:firstLine="420" w:firstLineChars="200"/>
              <w:rPr>
                <w:rFonts w:ascii="宋体" w:hAnsi="宋体" w:cs="宋体"/>
                <w:color w:val="auto"/>
                <w:kern w:val="0"/>
                <w:szCs w:val="21"/>
              </w:rPr>
            </w:pPr>
          </w:p>
        </w:tc>
      </w:tr>
      <w:tr w14:paraId="3356862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87" w:hRule="atLeast"/>
          <w:jc w:val="center"/>
        </w:trPr>
        <w:tc>
          <w:tcPr>
            <w:tcW w:w="800" w:type="dxa"/>
            <w:tcMar>
              <w:left w:w="28" w:type="dxa"/>
              <w:right w:w="28" w:type="dxa"/>
            </w:tcMar>
            <w:vAlign w:val="center"/>
          </w:tcPr>
          <w:p w14:paraId="7E76AA0A">
            <w:pPr>
              <w:adjustRightInd w:val="0"/>
              <w:snapToGrid w:val="0"/>
              <w:jc w:val="center"/>
              <w:rPr>
                <w:rFonts w:ascii="宋体" w:hAnsi="宋体" w:cs="宋体"/>
                <w:color w:val="auto"/>
                <w:kern w:val="0"/>
                <w:szCs w:val="21"/>
              </w:rPr>
            </w:pPr>
            <w:r>
              <w:rPr>
                <w:rFonts w:hint="eastAsia" w:ascii="宋体" w:hAnsi="宋体" w:cs="宋体"/>
                <w:color w:val="auto"/>
                <w:kern w:val="0"/>
                <w:szCs w:val="21"/>
              </w:rPr>
              <w:t>污染</w:t>
            </w:r>
          </w:p>
          <w:p w14:paraId="56F0E89C">
            <w:pPr>
              <w:adjustRightInd w:val="0"/>
              <w:snapToGrid w:val="0"/>
              <w:jc w:val="center"/>
              <w:rPr>
                <w:rFonts w:ascii="宋体" w:hAnsi="宋体" w:cs="宋体"/>
                <w:color w:val="auto"/>
                <w:kern w:val="0"/>
                <w:szCs w:val="21"/>
              </w:rPr>
            </w:pPr>
            <w:r>
              <w:rPr>
                <w:rFonts w:hint="eastAsia" w:ascii="宋体" w:hAnsi="宋体" w:cs="宋体"/>
                <w:color w:val="auto"/>
                <w:kern w:val="0"/>
                <w:szCs w:val="21"/>
              </w:rPr>
              <w:t>物排</w:t>
            </w:r>
          </w:p>
          <w:p w14:paraId="4D2F4A2D">
            <w:pPr>
              <w:adjustRightInd w:val="0"/>
              <w:snapToGrid w:val="0"/>
              <w:jc w:val="center"/>
              <w:rPr>
                <w:rFonts w:ascii="宋体" w:hAnsi="宋体" w:cs="宋体"/>
                <w:color w:val="auto"/>
                <w:kern w:val="0"/>
                <w:szCs w:val="21"/>
              </w:rPr>
            </w:pPr>
            <w:r>
              <w:rPr>
                <w:rFonts w:hint="eastAsia" w:ascii="宋体" w:hAnsi="宋体" w:cs="宋体"/>
                <w:color w:val="auto"/>
                <w:kern w:val="0"/>
                <w:szCs w:val="21"/>
              </w:rPr>
              <w:t>放控</w:t>
            </w:r>
          </w:p>
          <w:p w14:paraId="46DCA13C">
            <w:pPr>
              <w:adjustRightInd w:val="0"/>
              <w:snapToGrid w:val="0"/>
              <w:jc w:val="center"/>
              <w:rPr>
                <w:rFonts w:ascii="宋体" w:hAnsi="宋体" w:cs="宋体"/>
                <w:color w:val="auto"/>
                <w:kern w:val="0"/>
                <w:szCs w:val="21"/>
              </w:rPr>
            </w:pPr>
            <w:r>
              <w:rPr>
                <w:rFonts w:hint="eastAsia" w:ascii="宋体" w:hAnsi="宋体" w:cs="宋体"/>
                <w:color w:val="auto"/>
                <w:kern w:val="0"/>
                <w:szCs w:val="21"/>
              </w:rPr>
              <w:t>制标</w:t>
            </w:r>
          </w:p>
          <w:p w14:paraId="4B2184C9">
            <w:pPr>
              <w:adjustRightInd w:val="0"/>
              <w:snapToGrid w:val="0"/>
              <w:jc w:val="center"/>
              <w:rPr>
                <w:rFonts w:ascii="宋体" w:hAnsi="宋体" w:cs="宋体"/>
                <w:color w:val="auto"/>
                <w:kern w:val="0"/>
                <w:szCs w:val="21"/>
              </w:rPr>
            </w:pPr>
            <w:r>
              <w:rPr>
                <w:rFonts w:hint="eastAsia" w:ascii="宋体" w:hAnsi="宋体" w:cs="宋体"/>
                <w:color w:val="auto"/>
                <w:kern w:val="0"/>
                <w:szCs w:val="21"/>
              </w:rPr>
              <w:t>准</w:t>
            </w:r>
          </w:p>
        </w:tc>
        <w:tc>
          <w:tcPr>
            <w:tcW w:w="8190" w:type="dxa"/>
            <w:vAlign w:val="center"/>
          </w:tcPr>
          <w:p w14:paraId="7F7A8C4A">
            <w:pPr>
              <w:spacing w:line="440" w:lineRule="exact"/>
              <w:ind w:firstLine="422" w:firstLineChars="200"/>
              <w:rPr>
                <w:b/>
                <w:color w:val="auto"/>
              </w:rPr>
            </w:pPr>
            <w:r>
              <w:rPr>
                <w:rFonts w:hint="eastAsia"/>
                <w:b/>
                <w:color w:val="auto"/>
              </w:rPr>
              <w:t>1.施工期污染物排放标准</w:t>
            </w:r>
          </w:p>
          <w:p w14:paraId="2BC1EB5E">
            <w:pPr>
              <w:spacing w:line="440" w:lineRule="exact"/>
              <w:ind w:firstLine="420" w:firstLineChars="200"/>
              <w:rPr>
                <w:color w:val="auto"/>
              </w:rPr>
            </w:pPr>
            <w:r>
              <w:rPr>
                <w:color w:val="auto"/>
              </w:rPr>
              <w:t>（1）扬尘</w:t>
            </w:r>
          </w:p>
          <w:p w14:paraId="4BFB73DF">
            <w:pPr>
              <w:spacing w:line="440" w:lineRule="exact"/>
              <w:ind w:firstLine="420" w:firstLineChars="200"/>
              <w:rPr>
                <w:color w:val="auto"/>
              </w:rPr>
            </w:pPr>
            <w:bookmarkStart w:id="18" w:name="_Hlk3212524"/>
            <w:r>
              <w:rPr>
                <w:color w:val="auto"/>
              </w:rPr>
              <w:t>施工期扬尘（颗粒物）执行《施工场地扬尘排放标准》（DB13/2934-2019）表1中扬尘排放浓度限值，见下表</w:t>
            </w:r>
            <w:r>
              <w:rPr>
                <w:rFonts w:hint="eastAsia"/>
                <w:color w:val="auto"/>
                <w:lang w:val="en-US" w:eastAsia="zh-CN"/>
              </w:rPr>
              <w:t>19</w:t>
            </w:r>
            <w:r>
              <w:rPr>
                <w:color w:val="auto"/>
              </w:rPr>
              <w:t>。</w:t>
            </w:r>
          </w:p>
          <w:p w14:paraId="370C4573">
            <w:pPr>
              <w:spacing w:line="460" w:lineRule="exact"/>
              <w:jc w:val="center"/>
              <w:rPr>
                <w:b/>
                <w:color w:val="auto"/>
              </w:rPr>
            </w:pPr>
            <w:r>
              <w:rPr>
                <w:b/>
                <w:color w:val="auto"/>
              </w:rPr>
              <w:t>表</w:t>
            </w:r>
            <w:r>
              <w:rPr>
                <w:rFonts w:hint="eastAsia"/>
                <w:b/>
                <w:color w:val="auto"/>
                <w:lang w:val="en-US" w:eastAsia="zh-CN"/>
              </w:rPr>
              <w:t>19</w:t>
            </w:r>
            <w:r>
              <w:rPr>
                <w:b/>
                <w:color w:val="auto"/>
              </w:rPr>
              <w:t xml:space="preserve"> 大气污染物排放限值和控制要求</w:t>
            </w:r>
          </w:p>
          <w:tbl>
            <w:tblPr>
              <w:tblStyle w:val="28"/>
              <w:tblW w:w="0" w:type="auto"/>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2341"/>
              <w:gridCol w:w="2300"/>
              <w:gridCol w:w="1334"/>
              <w:gridCol w:w="1879"/>
            </w:tblGrid>
            <w:tr w14:paraId="64D83D1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5" w:hRule="atLeast"/>
              </w:trPr>
              <w:tc>
                <w:tcPr>
                  <w:tcW w:w="2341" w:type="dxa"/>
                  <w:tcBorders>
                    <w:tl2br w:val="nil"/>
                    <w:tr2bl w:val="nil"/>
                  </w:tcBorders>
                  <w:vAlign w:val="center"/>
                </w:tcPr>
                <w:p w14:paraId="250AB70A">
                  <w:pPr>
                    <w:spacing w:line="0" w:lineRule="atLeast"/>
                    <w:jc w:val="center"/>
                    <w:rPr>
                      <w:rFonts w:hAnsi="宋体"/>
                      <w:color w:val="auto"/>
                      <w:spacing w:val="-20"/>
                      <w:szCs w:val="21"/>
                    </w:rPr>
                  </w:pPr>
                  <w:r>
                    <w:rPr>
                      <w:rFonts w:hAnsi="宋体"/>
                      <w:color w:val="auto"/>
                      <w:spacing w:val="-20"/>
                      <w:szCs w:val="21"/>
                    </w:rPr>
                    <w:t>标准号</w:t>
                  </w:r>
                </w:p>
              </w:tc>
              <w:tc>
                <w:tcPr>
                  <w:tcW w:w="2300" w:type="dxa"/>
                  <w:tcBorders>
                    <w:tl2br w:val="nil"/>
                    <w:tr2bl w:val="nil"/>
                  </w:tcBorders>
                  <w:vAlign w:val="center"/>
                </w:tcPr>
                <w:p w14:paraId="5972304D">
                  <w:pPr>
                    <w:spacing w:line="0" w:lineRule="atLeast"/>
                    <w:jc w:val="center"/>
                    <w:rPr>
                      <w:rFonts w:hAnsi="宋体"/>
                      <w:color w:val="auto"/>
                      <w:spacing w:val="-20"/>
                      <w:szCs w:val="21"/>
                    </w:rPr>
                  </w:pPr>
                  <w:r>
                    <w:rPr>
                      <w:rFonts w:hAnsi="宋体"/>
                      <w:color w:val="auto"/>
                      <w:spacing w:val="-20"/>
                      <w:szCs w:val="21"/>
                    </w:rPr>
                    <w:t>标准名称</w:t>
                  </w:r>
                </w:p>
              </w:tc>
              <w:tc>
                <w:tcPr>
                  <w:tcW w:w="1334" w:type="dxa"/>
                  <w:tcBorders>
                    <w:tl2br w:val="nil"/>
                    <w:tr2bl w:val="nil"/>
                  </w:tcBorders>
                  <w:vAlign w:val="center"/>
                </w:tcPr>
                <w:p w14:paraId="42CB265D">
                  <w:pPr>
                    <w:spacing w:line="0" w:lineRule="atLeast"/>
                    <w:jc w:val="center"/>
                    <w:rPr>
                      <w:rFonts w:hAnsi="宋体"/>
                      <w:color w:val="auto"/>
                      <w:spacing w:val="-20"/>
                      <w:szCs w:val="21"/>
                    </w:rPr>
                  </w:pPr>
                  <w:r>
                    <w:rPr>
                      <w:rFonts w:hAnsi="宋体"/>
                      <w:color w:val="auto"/>
                      <w:spacing w:val="-20"/>
                      <w:szCs w:val="21"/>
                    </w:rPr>
                    <w:t>污染物</w:t>
                  </w:r>
                </w:p>
              </w:tc>
              <w:tc>
                <w:tcPr>
                  <w:tcW w:w="1878" w:type="dxa"/>
                  <w:tcBorders>
                    <w:tl2br w:val="nil"/>
                    <w:tr2bl w:val="nil"/>
                  </w:tcBorders>
                  <w:vAlign w:val="center"/>
                </w:tcPr>
                <w:p w14:paraId="3541290F">
                  <w:pPr>
                    <w:spacing w:line="0" w:lineRule="atLeast"/>
                    <w:jc w:val="center"/>
                    <w:rPr>
                      <w:rFonts w:hAnsi="宋体"/>
                      <w:color w:val="auto"/>
                      <w:spacing w:val="-20"/>
                      <w:szCs w:val="21"/>
                    </w:rPr>
                  </w:pPr>
                  <w:r>
                    <w:rPr>
                      <w:rFonts w:hAnsi="宋体"/>
                      <w:color w:val="auto"/>
                      <w:spacing w:val="-20"/>
                      <w:szCs w:val="21"/>
                    </w:rPr>
                    <w:t>数值</w:t>
                  </w:r>
                </w:p>
              </w:tc>
            </w:tr>
            <w:tr w14:paraId="0ED3525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5" w:hRule="atLeast"/>
              </w:trPr>
              <w:tc>
                <w:tcPr>
                  <w:tcW w:w="2341" w:type="dxa"/>
                  <w:tcBorders>
                    <w:tl2br w:val="nil"/>
                    <w:tr2bl w:val="nil"/>
                  </w:tcBorders>
                  <w:vAlign w:val="center"/>
                </w:tcPr>
                <w:p w14:paraId="2963A9D3">
                  <w:pPr>
                    <w:spacing w:line="0" w:lineRule="atLeast"/>
                    <w:jc w:val="center"/>
                    <w:rPr>
                      <w:rFonts w:hAnsi="宋体"/>
                      <w:color w:val="auto"/>
                      <w:spacing w:val="-20"/>
                      <w:szCs w:val="21"/>
                    </w:rPr>
                  </w:pPr>
                  <w:r>
                    <w:rPr>
                      <w:rFonts w:hAnsi="宋体"/>
                      <w:color w:val="auto"/>
                      <w:spacing w:val="-20"/>
                      <w:szCs w:val="21"/>
                    </w:rPr>
                    <w:t>DB13/2934-2019</w:t>
                  </w:r>
                </w:p>
              </w:tc>
              <w:tc>
                <w:tcPr>
                  <w:tcW w:w="2300" w:type="dxa"/>
                  <w:tcBorders>
                    <w:tl2br w:val="nil"/>
                    <w:tr2bl w:val="nil"/>
                  </w:tcBorders>
                  <w:vAlign w:val="center"/>
                </w:tcPr>
                <w:p w14:paraId="75853E06">
                  <w:pPr>
                    <w:spacing w:line="0" w:lineRule="atLeast"/>
                    <w:jc w:val="center"/>
                    <w:rPr>
                      <w:rFonts w:hAnsi="宋体"/>
                      <w:color w:val="auto"/>
                      <w:spacing w:val="-20"/>
                      <w:szCs w:val="21"/>
                    </w:rPr>
                  </w:pPr>
                  <w:r>
                    <w:rPr>
                      <w:rFonts w:hAnsi="宋体"/>
                      <w:color w:val="auto"/>
                      <w:spacing w:val="-20"/>
                      <w:szCs w:val="21"/>
                    </w:rPr>
                    <w:t>施工场地扬尘排放标准</w:t>
                  </w:r>
                </w:p>
              </w:tc>
              <w:tc>
                <w:tcPr>
                  <w:tcW w:w="1334" w:type="dxa"/>
                  <w:tcBorders>
                    <w:tl2br w:val="nil"/>
                    <w:tr2bl w:val="nil"/>
                  </w:tcBorders>
                  <w:vAlign w:val="center"/>
                </w:tcPr>
                <w:p w14:paraId="6669E1CD">
                  <w:pPr>
                    <w:spacing w:line="0" w:lineRule="atLeast"/>
                    <w:jc w:val="center"/>
                    <w:rPr>
                      <w:rFonts w:hAnsi="宋体"/>
                      <w:color w:val="auto"/>
                      <w:spacing w:val="-20"/>
                      <w:szCs w:val="21"/>
                    </w:rPr>
                  </w:pPr>
                  <w:r>
                    <w:rPr>
                      <w:rFonts w:hAnsi="宋体"/>
                      <w:color w:val="auto"/>
                      <w:spacing w:val="-20"/>
                      <w:szCs w:val="21"/>
                    </w:rPr>
                    <w:t>PM</w:t>
                  </w:r>
                  <w:r>
                    <w:rPr>
                      <w:rFonts w:hAnsi="宋体"/>
                      <w:color w:val="auto"/>
                      <w:spacing w:val="-20"/>
                      <w:szCs w:val="21"/>
                      <w:vertAlign w:val="subscript"/>
                    </w:rPr>
                    <w:t>10</w:t>
                  </w:r>
                </w:p>
              </w:tc>
              <w:tc>
                <w:tcPr>
                  <w:tcW w:w="1878" w:type="dxa"/>
                  <w:tcBorders>
                    <w:tl2br w:val="nil"/>
                    <w:tr2bl w:val="nil"/>
                  </w:tcBorders>
                  <w:vAlign w:val="center"/>
                </w:tcPr>
                <w:p w14:paraId="030483D1">
                  <w:pPr>
                    <w:spacing w:line="0" w:lineRule="atLeast"/>
                    <w:jc w:val="center"/>
                    <w:rPr>
                      <w:rFonts w:hAnsi="宋体"/>
                      <w:color w:val="auto"/>
                      <w:spacing w:val="-20"/>
                      <w:szCs w:val="21"/>
                    </w:rPr>
                  </w:pPr>
                  <w:r>
                    <w:rPr>
                      <w:rFonts w:hAnsi="宋体"/>
                      <w:color w:val="auto"/>
                      <w:spacing w:val="-20"/>
                      <w:szCs w:val="21"/>
                    </w:rPr>
                    <w:t>80μg/m</w:t>
                  </w:r>
                  <w:r>
                    <w:rPr>
                      <w:rFonts w:hAnsi="宋体"/>
                      <w:color w:val="auto"/>
                      <w:spacing w:val="-20"/>
                      <w:szCs w:val="21"/>
                      <w:vertAlign w:val="superscript"/>
                    </w:rPr>
                    <w:t>3</w:t>
                  </w:r>
                </w:p>
              </w:tc>
            </w:tr>
            <w:tr w14:paraId="7756F52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5" w:hRule="atLeast"/>
              </w:trPr>
              <w:tc>
                <w:tcPr>
                  <w:tcW w:w="7854" w:type="dxa"/>
                  <w:gridSpan w:val="4"/>
                  <w:tcBorders>
                    <w:tl2br w:val="nil"/>
                    <w:tr2bl w:val="nil"/>
                  </w:tcBorders>
                  <w:vAlign w:val="center"/>
                </w:tcPr>
                <w:p w14:paraId="71145492">
                  <w:pPr>
                    <w:spacing w:line="0" w:lineRule="atLeast"/>
                    <w:jc w:val="center"/>
                    <w:rPr>
                      <w:rFonts w:hAnsi="宋体"/>
                      <w:color w:val="auto"/>
                      <w:spacing w:val="-20"/>
                      <w:szCs w:val="21"/>
                    </w:rPr>
                  </w:pPr>
                  <w:r>
                    <w:rPr>
                      <w:rFonts w:hAnsi="宋体"/>
                      <w:color w:val="auto"/>
                      <w:spacing w:val="-20"/>
                      <w:szCs w:val="21"/>
                    </w:rPr>
                    <w:t>指监测点PM</w:t>
                  </w:r>
                  <w:r>
                    <w:rPr>
                      <w:rFonts w:hAnsi="宋体"/>
                      <w:color w:val="auto"/>
                      <w:spacing w:val="-20"/>
                      <w:szCs w:val="21"/>
                      <w:vertAlign w:val="subscript"/>
                    </w:rPr>
                    <w:t>10</w:t>
                  </w:r>
                  <w:r>
                    <w:rPr>
                      <w:rFonts w:hAnsi="宋体"/>
                      <w:color w:val="auto"/>
                      <w:spacing w:val="-20"/>
                      <w:szCs w:val="21"/>
                    </w:rPr>
                    <w:t>小时平均浓度实测值与同时段所属县（市、区）PM</w:t>
                  </w:r>
                  <w:r>
                    <w:rPr>
                      <w:rFonts w:hAnsi="宋体"/>
                      <w:color w:val="auto"/>
                      <w:spacing w:val="-20"/>
                      <w:szCs w:val="21"/>
                      <w:vertAlign w:val="subscript"/>
                    </w:rPr>
                    <w:t>10</w:t>
                  </w:r>
                  <w:r>
                    <w:rPr>
                      <w:rFonts w:hAnsi="宋体"/>
                      <w:color w:val="auto"/>
                      <w:spacing w:val="-20"/>
                      <w:szCs w:val="21"/>
                    </w:rPr>
                    <w:t>小时平均浓度的差值。当县（市、区）PM</w:t>
                  </w:r>
                  <w:r>
                    <w:rPr>
                      <w:rFonts w:hAnsi="宋体"/>
                      <w:color w:val="auto"/>
                      <w:spacing w:val="-20"/>
                      <w:szCs w:val="21"/>
                      <w:vertAlign w:val="subscript"/>
                    </w:rPr>
                    <w:t>10</w:t>
                  </w:r>
                  <w:r>
                    <w:rPr>
                      <w:rFonts w:hAnsi="宋体"/>
                      <w:color w:val="auto"/>
                      <w:spacing w:val="-20"/>
                      <w:szCs w:val="21"/>
                    </w:rPr>
                    <w:t>小时平均浓度值大于150μg/m</w:t>
                  </w:r>
                  <w:r>
                    <w:rPr>
                      <w:rFonts w:hAnsi="宋体"/>
                      <w:color w:val="auto"/>
                      <w:spacing w:val="-20"/>
                      <w:szCs w:val="21"/>
                      <w:vertAlign w:val="superscript"/>
                    </w:rPr>
                    <w:t>3</w:t>
                  </w:r>
                  <w:r>
                    <w:rPr>
                      <w:rFonts w:hAnsi="宋体"/>
                      <w:color w:val="auto"/>
                      <w:spacing w:val="-20"/>
                      <w:szCs w:val="21"/>
                    </w:rPr>
                    <w:t>时，以150μg/m</w:t>
                  </w:r>
                  <w:r>
                    <w:rPr>
                      <w:rFonts w:hAnsi="宋体"/>
                      <w:color w:val="auto"/>
                      <w:spacing w:val="-20"/>
                      <w:szCs w:val="21"/>
                      <w:vertAlign w:val="superscript"/>
                    </w:rPr>
                    <w:t>3</w:t>
                  </w:r>
                  <w:r>
                    <w:rPr>
                      <w:rFonts w:hAnsi="宋体"/>
                      <w:color w:val="auto"/>
                      <w:spacing w:val="-20"/>
                      <w:szCs w:val="21"/>
                    </w:rPr>
                    <w:t>计。</w:t>
                  </w:r>
                </w:p>
              </w:tc>
            </w:tr>
            <w:bookmarkEnd w:id="18"/>
          </w:tbl>
          <w:p w14:paraId="07DCD109">
            <w:pPr>
              <w:spacing w:line="440" w:lineRule="exact"/>
              <w:ind w:firstLine="420" w:firstLineChars="200"/>
              <w:rPr>
                <w:color w:val="auto"/>
              </w:rPr>
            </w:pPr>
            <w:r>
              <w:rPr>
                <w:color w:val="auto"/>
              </w:rPr>
              <w:t>（2）噪声</w:t>
            </w:r>
          </w:p>
          <w:p w14:paraId="33834C35">
            <w:pPr>
              <w:spacing w:line="440" w:lineRule="exact"/>
              <w:ind w:firstLine="420" w:firstLineChars="200"/>
              <w:rPr>
                <w:color w:val="auto"/>
              </w:rPr>
            </w:pPr>
            <w:r>
              <w:rPr>
                <w:color w:val="auto"/>
              </w:rPr>
              <w:t>施工期噪声执行《建筑施工场界环境噪声排放标准》（GB12523-2011）中规定的建筑施工场界环境噪声排放限值，详见表</w:t>
            </w:r>
            <w:r>
              <w:rPr>
                <w:rFonts w:hint="eastAsia"/>
                <w:color w:val="auto"/>
                <w:lang w:val="en-US" w:eastAsia="zh-CN"/>
              </w:rPr>
              <w:t>20</w:t>
            </w:r>
            <w:r>
              <w:rPr>
                <w:color w:val="auto"/>
              </w:rPr>
              <w:t>。</w:t>
            </w:r>
          </w:p>
          <w:p w14:paraId="08CDD544">
            <w:pPr>
              <w:spacing w:line="460" w:lineRule="exact"/>
              <w:jc w:val="center"/>
              <w:rPr>
                <w:b/>
                <w:color w:val="auto"/>
              </w:rPr>
            </w:pPr>
            <w:r>
              <w:rPr>
                <w:b/>
                <w:color w:val="auto"/>
              </w:rPr>
              <w:t>表</w:t>
            </w:r>
            <w:r>
              <w:rPr>
                <w:rFonts w:hint="eastAsia"/>
                <w:b/>
                <w:color w:val="auto"/>
                <w:lang w:val="en-US" w:eastAsia="zh-CN"/>
              </w:rPr>
              <w:t>20</w:t>
            </w:r>
            <w:r>
              <w:rPr>
                <w:rFonts w:hint="eastAsia"/>
                <w:b/>
                <w:color w:val="auto"/>
              </w:rPr>
              <w:t xml:space="preserve"> </w:t>
            </w:r>
            <w:r>
              <w:rPr>
                <w:b/>
                <w:color w:val="auto"/>
              </w:rPr>
              <w:t>建筑施工场界环境噪声排放标准  单位：dB(A)</w:t>
            </w:r>
          </w:p>
          <w:tbl>
            <w:tblPr>
              <w:tblStyle w:val="28"/>
              <w:tblW w:w="0" w:type="auto"/>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540"/>
              <w:gridCol w:w="1306"/>
              <w:gridCol w:w="5015"/>
            </w:tblGrid>
            <w:tr w14:paraId="314FDDE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64" w:hRule="atLeast"/>
              </w:trPr>
              <w:tc>
                <w:tcPr>
                  <w:tcW w:w="1540" w:type="dxa"/>
                  <w:tcBorders>
                    <w:tl2br w:val="nil"/>
                    <w:tr2bl w:val="nil"/>
                  </w:tcBorders>
                  <w:vAlign w:val="center"/>
                </w:tcPr>
                <w:p w14:paraId="4EC48DEB">
                  <w:pPr>
                    <w:spacing w:line="0" w:lineRule="atLeast"/>
                    <w:jc w:val="center"/>
                    <w:rPr>
                      <w:rFonts w:hAnsi="宋体"/>
                      <w:color w:val="auto"/>
                      <w:spacing w:val="-20"/>
                      <w:szCs w:val="21"/>
                    </w:rPr>
                  </w:pPr>
                  <w:r>
                    <w:rPr>
                      <w:rFonts w:hAnsi="宋体"/>
                      <w:color w:val="auto"/>
                      <w:spacing w:val="-20"/>
                      <w:szCs w:val="21"/>
                    </w:rPr>
                    <w:t>昼间</w:t>
                  </w:r>
                </w:p>
              </w:tc>
              <w:tc>
                <w:tcPr>
                  <w:tcW w:w="1306" w:type="dxa"/>
                  <w:tcBorders>
                    <w:tl2br w:val="nil"/>
                    <w:tr2bl w:val="nil"/>
                  </w:tcBorders>
                  <w:vAlign w:val="center"/>
                </w:tcPr>
                <w:p w14:paraId="1AD7B40C">
                  <w:pPr>
                    <w:spacing w:line="0" w:lineRule="atLeast"/>
                    <w:jc w:val="center"/>
                    <w:rPr>
                      <w:rFonts w:hAnsi="宋体"/>
                      <w:color w:val="auto"/>
                      <w:spacing w:val="-20"/>
                      <w:szCs w:val="21"/>
                    </w:rPr>
                  </w:pPr>
                  <w:r>
                    <w:rPr>
                      <w:rFonts w:hAnsi="宋体"/>
                      <w:color w:val="auto"/>
                      <w:spacing w:val="-20"/>
                      <w:szCs w:val="21"/>
                    </w:rPr>
                    <w:t>夜间</w:t>
                  </w:r>
                </w:p>
              </w:tc>
              <w:tc>
                <w:tcPr>
                  <w:tcW w:w="5015" w:type="dxa"/>
                  <w:tcBorders>
                    <w:tl2br w:val="nil"/>
                    <w:tr2bl w:val="nil"/>
                  </w:tcBorders>
                </w:tcPr>
                <w:p w14:paraId="4E042CE8">
                  <w:pPr>
                    <w:spacing w:line="0" w:lineRule="atLeast"/>
                    <w:jc w:val="center"/>
                    <w:rPr>
                      <w:rFonts w:hAnsi="宋体"/>
                      <w:color w:val="auto"/>
                      <w:spacing w:val="-20"/>
                      <w:szCs w:val="21"/>
                    </w:rPr>
                  </w:pPr>
                  <w:r>
                    <w:rPr>
                      <w:rFonts w:hAnsi="宋体"/>
                      <w:color w:val="auto"/>
                      <w:spacing w:val="-20"/>
                      <w:szCs w:val="21"/>
                    </w:rPr>
                    <w:t>标准来源</w:t>
                  </w:r>
                </w:p>
              </w:tc>
            </w:tr>
            <w:tr w14:paraId="7522A32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52" w:hRule="atLeast"/>
              </w:trPr>
              <w:tc>
                <w:tcPr>
                  <w:tcW w:w="1540" w:type="dxa"/>
                  <w:tcBorders>
                    <w:tl2br w:val="nil"/>
                    <w:tr2bl w:val="nil"/>
                  </w:tcBorders>
                  <w:vAlign w:val="center"/>
                </w:tcPr>
                <w:p w14:paraId="63037EE7">
                  <w:pPr>
                    <w:spacing w:line="0" w:lineRule="atLeast"/>
                    <w:jc w:val="center"/>
                    <w:rPr>
                      <w:rFonts w:hAnsi="宋体"/>
                      <w:color w:val="auto"/>
                      <w:spacing w:val="-20"/>
                      <w:szCs w:val="21"/>
                    </w:rPr>
                  </w:pPr>
                  <w:r>
                    <w:rPr>
                      <w:rFonts w:hAnsi="宋体"/>
                      <w:color w:val="auto"/>
                      <w:spacing w:val="-20"/>
                      <w:szCs w:val="21"/>
                    </w:rPr>
                    <w:t>70</w:t>
                  </w:r>
                </w:p>
              </w:tc>
              <w:tc>
                <w:tcPr>
                  <w:tcW w:w="1306" w:type="dxa"/>
                  <w:tcBorders>
                    <w:tl2br w:val="nil"/>
                    <w:tr2bl w:val="nil"/>
                  </w:tcBorders>
                  <w:vAlign w:val="center"/>
                </w:tcPr>
                <w:p w14:paraId="00DB8AD1">
                  <w:pPr>
                    <w:spacing w:line="0" w:lineRule="atLeast"/>
                    <w:jc w:val="center"/>
                    <w:rPr>
                      <w:rFonts w:hAnsi="宋体"/>
                      <w:color w:val="auto"/>
                      <w:spacing w:val="-20"/>
                      <w:szCs w:val="21"/>
                    </w:rPr>
                  </w:pPr>
                  <w:r>
                    <w:rPr>
                      <w:rFonts w:hAnsi="宋体"/>
                      <w:color w:val="auto"/>
                      <w:spacing w:val="-20"/>
                      <w:szCs w:val="21"/>
                    </w:rPr>
                    <w:t>55</w:t>
                  </w:r>
                </w:p>
              </w:tc>
              <w:tc>
                <w:tcPr>
                  <w:tcW w:w="5015" w:type="dxa"/>
                  <w:tcBorders>
                    <w:tl2br w:val="nil"/>
                    <w:tr2bl w:val="nil"/>
                  </w:tcBorders>
                </w:tcPr>
                <w:p w14:paraId="39CC30AD">
                  <w:pPr>
                    <w:spacing w:line="0" w:lineRule="atLeast"/>
                    <w:jc w:val="center"/>
                    <w:rPr>
                      <w:rFonts w:hAnsi="宋体"/>
                      <w:color w:val="auto"/>
                      <w:spacing w:val="-20"/>
                      <w:szCs w:val="21"/>
                    </w:rPr>
                  </w:pPr>
                  <w:r>
                    <w:rPr>
                      <w:rFonts w:hAnsi="宋体"/>
                      <w:color w:val="auto"/>
                      <w:spacing w:val="-20"/>
                      <w:szCs w:val="21"/>
                    </w:rPr>
                    <w:t>《建筑施工场界环境噪声排放标准》（GB12523-2011）</w:t>
                  </w:r>
                </w:p>
              </w:tc>
            </w:tr>
          </w:tbl>
          <w:p w14:paraId="6A035AC4">
            <w:pPr>
              <w:spacing w:line="440" w:lineRule="exact"/>
              <w:ind w:firstLine="422" w:firstLineChars="200"/>
              <w:rPr>
                <w:b/>
                <w:color w:val="auto"/>
              </w:rPr>
            </w:pPr>
            <w:r>
              <w:rPr>
                <w:rFonts w:hint="eastAsia"/>
                <w:b/>
                <w:color w:val="auto"/>
              </w:rPr>
              <w:t>2.营运期污染物排放标准</w:t>
            </w:r>
          </w:p>
          <w:p w14:paraId="34F36972">
            <w:pPr>
              <w:spacing w:line="440" w:lineRule="exact"/>
              <w:ind w:firstLine="420" w:firstLineChars="200"/>
              <w:rPr>
                <w:color w:val="auto"/>
                <w:highlight w:val="none"/>
              </w:rPr>
            </w:pPr>
            <w:r>
              <w:rPr>
                <w:color w:val="auto"/>
                <w:highlight w:val="none"/>
              </w:rPr>
              <w:t>（1）</w:t>
            </w:r>
            <w:r>
              <w:rPr>
                <w:rFonts w:hint="eastAsia"/>
                <w:color w:val="auto"/>
                <w:highlight w:val="none"/>
              </w:rPr>
              <w:t>废气</w:t>
            </w:r>
          </w:p>
          <w:p w14:paraId="0B19E6AE">
            <w:pPr>
              <w:spacing w:line="440" w:lineRule="exact"/>
              <w:ind w:firstLine="420" w:firstLineChars="200"/>
              <w:rPr>
                <w:rFonts w:hint="eastAsia"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lang w:val="en-US" w:eastAsia="zh-CN"/>
              </w:rPr>
              <w:t>项目</w:t>
            </w:r>
            <w:r>
              <w:rPr>
                <w:rFonts w:hint="eastAsia" w:cs="Times New Roman"/>
                <w:color w:val="auto"/>
                <w:highlight w:val="none"/>
                <w:lang w:val="en-US" w:eastAsia="zh-CN"/>
              </w:rPr>
              <w:t>钢渣处理生产线</w:t>
            </w:r>
            <w:r>
              <w:rPr>
                <w:rFonts w:hint="eastAsia" w:ascii="Times New Roman" w:hAnsi="Times New Roman" w:eastAsia="宋体" w:cs="Times New Roman"/>
                <w:color w:val="auto"/>
                <w:highlight w:val="none"/>
                <w:lang w:val="en-US" w:eastAsia="zh-CN"/>
              </w:rPr>
              <w:t>有组织颗粒物参照执行《钢铁工业大气污染物超低排放标准》（DB13/2169-2018）</w:t>
            </w:r>
            <w:r>
              <w:rPr>
                <w:rFonts w:hint="eastAsia" w:ascii="Times New Roman" w:hAnsi="Times New Roman" w:cs="Times New Roman"/>
                <w:color w:val="auto"/>
                <w:highlight w:val="none"/>
                <w:lang w:val="en-US" w:eastAsia="zh-CN"/>
              </w:rPr>
              <w:t>表1</w:t>
            </w:r>
            <w:r>
              <w:rPr>
                <w:rFonts w:hint="eastAsia" w:ascii="Times New Roman" w:hAnsi="Times New Roman" w:eastAsia="宋体" w:cs="Times New Roman"/>
                <w:color w:val="auto"/>
                <w:highlight w:val="none"/>
                <w:lang w:val="en-US" w:eastAsia="zh-CN"/>
              </w:rPr>
              <w:t>钢渣处理颗粒物排放浓度限值及《关于下达唐山市2019年五大行业大气污染治理重点工作任务的通知》（唐环气[2019]1号）的限值要求；</w:t>
            </w:r>
            <w:r>
              <w:rPr>
                <w:rFonts w:hint="eastAsia" w:cs="Times New Roman"/>
                <w:color w:val="auto"/>
                <w:highlight w:val="none"/>
                <w:lang w:val="en-US" w:eastAsia="zh-CN"/>
              </w:rPr>
              <w:t>废钢</w:t>
            </w:r>
            <w:r>
              <w:rPr>
                <w:rFonts w:hint="eastAsia" w:ascii="Times New Roman" w:hAnsi="Times New Roman" w:cs="Times New Roman"/>
                <w:color w:val="auto"/>
                <w:highlight w:val="none"/>
                <w:lang w:val="en-US" w:eastAsia="zh-CN"/>
              </w:rPr>
              <w:t>尾料废钢破碎尾料分选生产线</w:t>
            </w:r>
            <w:r>
              <w:rPr>
                <w:rFonts w:hint="eastAsia" w:ascii="Times New Roman" w:hAnsi="Times New Roman" w:eastAsia="宋体" w:cs="Times New Roman"/>
                <w:color w:val="auto"/>
                <w:highlight w:val="none"/>
                <w:lang w:val="en-US" w:eastAsia="zh-CN"/>
              </w:rPr>
              <w:t>有组织颗粒物参照执行《钢铁工业大气污染物超低排放标准》（DB13/2169-2018）</w:t>
            </w:r>
            <w:r>
              <w:rPr>
                <w:rFonts w:hint="eastAsia" w:ascii="Times New Roman" w:hAnsi="Times New Roman" w:cs="Times New Roman"/>
                <w:color w:val="auto"/>
                <w:highlight w:val="none"/>
                <w:lang w:val="en-US" w:eastAsia="zh-CN"/>
              </w:rPr>
              <w:t>表1</w:t>
            </w:r>
            <w:r>
              <w:rPr>
                <w:rFonts w:hint="eastAsia" w:ascii="Times New Roman" w:hAnsi="Times New Roman" w:eastAsia="宋体" w:cs="Times New Roman"/>
                <w:color w:val="auto"/>
                <w:highlight w:val="none"/>
                <w:lang w:val="en-US" w:eastAsia="zh-CN"/>
              </w:rPr>
              <w:t>其他</w:t>
            </w:r>
            <w:r>
              <w:rPr>
                <w:rFonts w:hint="eastAsia" w:cs="Times New Roman"/>
                <w:color w:val="auto"/>
                <w:highlight w:val="none"/>
                <w:lang w:val="en-US" w:eastAsia="zh-CN"/>
              </w:rPr>
              <w:t>生产设施</w:t>
            </w:r>
            <w:r>
              <w:rPr>
                <w:rFonts w:hint="eastAsia" w:ascii="Times New Roman" w:hAnsi="Times New Roman" w:eastAsia="宋体" w:cs="Times New Roman"/>
                <w:color w:val="auto"/>
                <w:highlight w:val="none"/>
                <w:lang w:val="en-US" w:eastAsia="zh-CN"/>
              </w:rPr>
              <w:t>颗粒物排放浓度限值</w:t>
            </w:r>
            <w:r>
              <w:rPr>
                <w:rFonts w:hint="eastAsia" w:cs="Times New Roman"/>
                <w:color w:val="auto"/>
                <w:highlight w:val="none"/>
                <w:lang w:val="en-US" w:eastAsia="zh-CN"/>
              </w:rPr>
              <w:t>要求</w:t>
            </w:r>
            <w:r>
              <w:rPr>
                <w:rFonts w:hint="eastAsia" w:ascii="Times New Roman" w:hAnsi="Times New Roman" w:eastAsia="宋体" w:cs="Times New Roman"/>
                <w:color w:val="auto"/>
                <w:highlight w:val="none"/>
                <w:lang w:val="en-US" w:eastAsia="zh-CN"/>
              </w:rPr>
              <w:t>；厂界无组织颗粒物参照执行《钢铁工业大气污染物超低排放标准》（DB13/2169-2018）表5中厂界颗粒物无组织排放浓度限值</w:t>
            </w:r>
            <w:r>
              <w:rPr>
                <w:rFonts w:hint="eastAsia" w:cs="Times New Roman"/>
                <w:color w:val="auto"/>
                <w:highlight w:val="none"/>
                <w:lang w:val="en-US" w:eastAsia="zh-CN"/>
              </w:rPr>
              <w:t>要求</w:t>
            </w:r>
            <w:r>
              <w:rPr>
                <w:rFonts w:hint="eastAsia" w:ascii="Times New Roman" w:hAnsi="Times New Roman" w:eastAsia="宋体" w:cs="Times New Roman"/>
                <w:color w:val="auto"/>
                <w:highlight w:val="none"/>
                <w:lang w:val="en-US" w:eastAsia="zh-CN"/>
              </w:rPr>
              <w:t>。执行标准见表</w:t>
            </w:r>
            <w:r>
              <w:rPr>
                <w:rFonts w:hint="eastAsia" w:cs="Times New Roman"/>
                <w:color w:val="auto"/>
                <w:highlight w:val="none"/>
                <w:lang w:val="en-US" w:eastAsia="zh-CN"/>
              </w:rPr>
              <w:t>21</w:t>
            </w:r>
            <w:r>
              <w:rPr>
                <w:rFonts w:hint="eastAsia" w:ascii="Times New Roman" w:hAnsi="Times New Roman" w:eastAsia="宋体" w:cs="Times New Roman"/>
                <w:color w:val="auto"/>
                <w:highlight w:val="none"/>
                <w:lang w:val="en-US" w:eastAsia="zh-CN"/>
              </w:rPr>
              <w:t>。</w:t>
            </w:r>
          </w:p>
          <w:p w14:paraId="493F8F68">
            <w:pPr>
              <w:spacing w:line="460" w:lineRule="exact"/>
              <w:jc w:val="center"/>
              <w:rPr>
                <w:b/>
                <w:color w:val="auto"/>
                <w:highlight w:val="none"/>
              </w:rPr>
            </w:pPr>
            <w:r>
              <w:rPr>
                <w:b/>
                <w:color w:val="auto"/>
                <w:highlight w:val="none"/>
              </w:rPr>
              <w:t>表</w:t>
            </w:r>
            <w:r>
              <w:rPr>
                <w:rFonts w:hint="eastAsia"/>
                <w:b/>
                <w:color w:val="auto"/>
                <w:highlight w:val="none"/>
                <w:lang w:val="en-US" w:eastAsia="zh-CN"/>
              </w:rPr>
              <w:t>21</w:t>
            </w:r>
            <w:r>
              <w:rPr>
                <w:b/>
                <w:color w:val="auto"/>
                <w:highlight w:val="none"/>
              </w:rPr>
              <w:t xml:space="preserve"> 运营期废气排放标准</w:t>
            </w:r>
          </w:p>
          <w:tbl>
            <w:tblPr>
              <w:tblStyle w:val="28"/>
              <w:tblW w:w="8075"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28" w:type="dxa"/>
                <w:bottom w:w="0" w:type="dxa"/>
                <w:right w:w="28" w:type="dxa"/>
              </w:tblCellMar>
            </w:tblPr>
            <w:tblGrid>
              <w:gridCol w:w="488"/>
              <w:gridCol w:w="1261"/>
              <w:gridCol w:w="621"/>
              <w:gridCol w:w="643"/>
              <w:gridCol w:w="597"/>
              <w:gridCol w:w="542"/>
              <w:gridCol w:w="1148"/>
              <w:gridCol w:w="473"/>
              <w:gridCol w:w="2302"/>
            </w:tblGrid>
            <w:tr w14:paraId="3D94CA5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1749" w:type="dxa"/>
                  <w:gridSpan w:val="2"/>
                  <w:vMerge w:val="restart"/>
                  <w:tcBorders>
                    <w:tl2br w:val="nil"/>
                    <w:tr2bl w:val="nil"/>
                  </w:tcBorders>
                  <w:vAlign w:val="center"/>
                </w:tcPr>
                <w:p w14:paraId="29410C6C">
                  <w:pPr>
                    <w:spacing w:line="240" w:lineRule="exact"/>
                    <w:jc w:val="center"/>
                    <w:rPr>
                      <w:color w:val="auto"/>
                      <w:spacing w:val="-10"/>
                      <w:sz w:val="18"/>
                      <w:szCs w:val="18"/>
                      <w:highlight w:val="none"/>
                    </w:rPr>
                  </w:pPr>
                  <w:r>
                    <w:rPr>
                      <w:rFonts w:hint="eastAsia"/>
                      <w:color w:val="auto"/>
                      <w:spacing w:val="-10"/>
                      <w:sz w:val="18"/>
                      <w:szCs w:val="18"/>
                      <w:highlight w:val="none"/>
                    </w:rPr>
                    <w:t>污染源</w:t>
                  </w:r>
                </w:p>
              </w:tc>
              <w:tc>
                <w:tcPr>
                  <w:tcW w:w="621" w:type="dxa"/>
                  <w:vMerge w:val="restart"/>
                  <w:tcBorders>
                    <w:tl2br w:val="nil"/>
                    <w:tr2bl w:val="nil"/>
                  </w:tcBorders>
                  <w:vAlign w:val="center"/>
                </w:tcPr>
                <w:p w14:paraId="06E9F946">
                  <w:pPr>
                    <w:spacing w:line="240" w:lineRule="exact"/>
                    <w:jc w:val="center"/>
                    <w:rPr>
                      <w:color w:val="auto"/>
                      <w:spacing w:val="-10"/>
                      <w:sz w:val="18"/>
                      <w:szCs w:val="18"/>
                      <w:highlight w:val="none"/>
                    </w:rPr>
                  </w:pPr>
                  <w:r>
                    <w:rPr>
                      <w:rFonts w:hint="eastAsia"/>
                      <w:color w:val="auto"/>
                      <w:spacing w:val="-10"/>
                      <w:sz w:val="18"/>
                      <w:szCs w:val="18"/>
                      <w:highlight w:val="none"/>
                    </w:rPr>
                    <w:t>污染物</w:t>
                  </w:r>
                </w:p>
                <w:p w14:paraId="6D2FA517">
                  <w:pPr>
                    <w:spacing w:line="240" w:lineRule="exact"/>
                    <w:jc w:val="center"/>
                    <w:rPr>
                      <w:color w:val="auto"/>
                      <w:spacing w:val="-10"/>
                      <w:sz w:val="18"/>
                      <w:szCs w:val="18"/>
                      <w:highlight w:val="none"/>
                    </w:rPr>
                  </w:pPr>
                  <w:r>
                    <w:rPr>
                      <w:rFonts w:hint="eastAsia"/>
                      <w:color w:val="auto"/>
                      <w:spacing w:val="-10"/>
                      <w:sz w:val="18"/>
                      <w:szCs w:val="18"/>
                      <w:highlight w:val="none"/>
                    </w:rPr>
                    <w:t>名称</w:t>
                  </w:r>
                </w:p>
              </w:tc>
              <w:tc>
                <w:tcPr>
                  <w:tcW w:w="643" w:type="dxa"/>
                  <w:vMerge w:val="restart"/>
                  <w:tcBorders>
                    <w:tl2br w:val="nil"/>
                    <w:tr2bl w:val="nil"/>
                  </w:tcBorders>
                  <w:vAlign w:val="center"/>
                </w:tcPr>
                <w:p w14:paraId="1C32B179">
                  <w:pPr>
                    <w:spacing w:line="240" w:lineRule="exact"/>
                    <w:jc w:val="center"/>
                    <w:rPr>
                      <w:color w:val="auto"/>
                      <w:spacing w:val="-10"/>
                      <w:sz w:val="18"/>
                      <w:szCs w:val="18"/>
                      <w:highlight w:val="none"/>
                    </w:rPr>
                  </w:pPr>
                  <w:r>
                    <w:rPr>
                      <w:rFonts w:hint="eastAsia"/>
                      <w:color w:val="auto"/>
                      <w:spacing w:val="-10"/>
                      <w:sz w:val="18"/>
                      <w:szCs w:val="18"/>
                      <w:highlight w:val="none"/>
                    </w:rPr>
                    <w:t>单位</w:t>
                  </w:r>
                </w:p>
              </w:tc>
              <w:tc>
                <w:tcPr>
                  <w:tcW w:w="597" w:type="dxa"/>
                  <w:vMerge w:val="restart"/>
                  <w:tcBorders>
                    <w:tl2br w:val="nil"/>
                    <w:tr2bl w:val="nil"/>
                  </w:tcBorders>
                  <w:vAlign w:val="center"/>
                </w:tcPr>
                <w:p w14:paraId="505B0B59">
                  <w:pPr>
                    <w:spacing w:line="240" w:lineRule="exact"/>
                    <w:jc w:val="center"/>
                    <w:rPr>
                      <w:color w:val="auto"/>
                      <w:spacing w:val="-10"/>
                      <w:sz w:val="18"/>
                      <w:szCs w:val="18"/>
                      <w:highlight w:val="none"/>
                    </w:rPr>
                  </w:pPr>
                  <w:r>
                    <w:rPr>
                      <w:rFonts w:hint="eastAsia"/>
                      <w:color w:val="auto"/>
                      <w:spacing w:val="-10"/>
                      <w:sz w:val="18"/>
                      <w:szCs w:val="18"/>
                      <w:highlight w:val="none"/>
                    </w:rPr>
                    <w:t>本项目执行</w:t>
                  </w:r>
                </w:p>
              </w:tc>
              <w:tc>
                <w:tcPr>
                  <w:tcW w:w="1690" w:type="dxa"/>
                  <w:gridSpan w:val="2"/>
                  <w:tcBorders>
                    <w:tl2br w:val="nil"/>
                    <w:tr2bl w:val="nil"/>
                  </w:tcBorders>
                  <w:vAlign w:val="center"/>
                </w:tcPr>
                <w:p w14:paraId="6698E6C3">
                  <w:pPr>
                    <w:spacing w:line="240" w:lineRule="exact"/>
                    <w:jc w:val="center"/>
                    <w:rPr>
                      <w:color w:val="auto"/>
                      <w:spacing w:val="-10"/>
                      <w:sz w:val="18"/>
                      <w:szCs w:val="18"/>
                      <w:highlight w:val="none"/>
                    </w:rPr>
                  </w:pPr>
                  <w:r>
                    <w:rPr>
                      <w:rFonts w:hint="eastAsia"/>
                      <w:color w:val="auto"/>
                      <w:spacing w:val="-10"/>
                      <w:sz w:val="18"/>
                      <w:szCs w:val="18"/>
                      <w:highlight w:val="none"/>
                    </w:rPr>
                    <w:t>标准要求</w:t>
                  </w:r>
                </w:p>
              </w:tc>
              <w:tc>
                <w:tcPr>
                  <w:tcW w:w="2775" w:type="dxa"/>
                  <w:gridSpan w:val="2"/>
                  <w:tcBorders>
                    <w:tl2br w:val="nil"/>
                    <w:tr2bl w:val="nil"/>
                  </w:tcBorders>
                  <w:vAlign w:val="center"/>
                </w:tcPr>
                <w:p w14:paraId="666EB84C">
                  <w:pPr>
                    <w:spacing w:line="240" w:lineRule="exact"/>
                    <w:jc w:val="center"/>
                    <w:rPr>
                      <w:color w:val="auto"/>
                      <w:spacing w:val="-10"/>
                      <w:sz w:val="18"/>
                      <w:szCs w:val="18"/>
                      <w:highlight w:val="none"/>
                    </w:rPr>
                  </w:pPr>
                  <w:r>
                    <w:rPr>
                      <w:rFonts w:hint="eastAsia"/>
                      <w:color w:val="auto"/>
                      <w:spacing w:val="-10"/>
                      <w:sz w:val="18"/>
                      <w:szCs w:val="18"/>
                      <w:highlight w:val="none"/>
                    </w:rPr>
                    <w:t>控制标准</w:t>
                  </w:r>
                </w:p>
              </w:tc>
            </w:tr>
            <w:tr w14:paraId="4928B0C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1749" w:type="dxa"/>
                  <w:gridSpan w:val="2"/>
                  <w:vMerge w:val="continue"/>
                  <w:tcBorders>
                    <w:tl2br w:val="nil"/>
                    <w:tr2bl w:val="nil"/>
                  </w:tcBorders>
                  <w:vAlign w:val="center"/>
                </w:tcPr>
                <w:p w14:paraId="7A078593">
                  <w:pPr>
                    <w:spacing w:line="240" w:lineRule="exact"/>
                    <w:jc w:val="center"/>
                    <w:rPr>
                      <w:color w:val="auto"/>
                      <w:spacing w:val="-10"/>
                      <w:sz w:val="18"/>
                      <w:szCs w:val="18"/>
                      <w:highlight w:val="none"/>
                    </w:rPr>
                  </w:pPr>
                </w:p>
              </w:tc>
              <w:tc>
                <w:tcPr>
                  <w:tcW w:w="621" w:type="dxa"/>
                  <w:vMerge w:val="continue"/>
                  <w:tcBorders>
                    <w:tl2br w:val="nil"/>
                    <w:tr2bl w:val="nil"/>
                  </w:tcBorders>
                  <w:vAlign w:val="center"/>
                </w:tcPr>
                <w:p w14:paraId="1A28C17C">
                  <w:pPr>
                    <w:spacing w:line="240" w:lineRule="exact"/>
                    <w:jc w:val="center"/>
                    <w:rPr>
                      <w:color w:val="auto"/>
                      <w:spacing w:val="-10"/>
                      <w:sz w:val="18"/>
                      <w:szCs w:val="18"/>
                      <w:highlight w:val="none"/>
                    </w:rPr>
                  </w:pPr>
                </w:p>
              </w:tc>
              <w:tc>
                <w:tcPr>
                  <w:tcW w:w="643" w:type="dxa"/>
                  <w:vMerge w:val="continue"/>
                  <w:tcBorders>
                    <w:tl2br w:val="nil"/>
                    <w:tr2bl w:val="nil"/>
                  </w:tcBorders>
                  <w:vAlign w:val="center"/>
                </w:tcPr>
                <w:p w14:paraId="43837D2D">
                  <w:pPr>
                    <w:spacing w:line="240" w:lineRule="exact"/>
                    <w:jc w:val="center"/>
                    <w:rPr>
                      <w:color w:val="auto"/>
                      <w:spacing w:val="-10"/>
                      <w:sz w:val="18"/>
                      <w:szCs w:val="18"/>
                      <w:highlight w:val="none"/>
                    </w:rPr>
                  </w:pPr>
                </w:p>
              </w:tc>
              <w:tc>
                <w:tcPr>
                  <w:tcW w:w="597" w:type="dxa"/>
                  <w:vMerge w:val="continue"/>
                  <w:tcBorders>
                    <w:tl2br w:val="nil"/>
                    <w:tr2bl w:val="nil"/>
                  </w:tcBorders>
                  <w:vAlign w:val="center"/>
                </w:tcPr>
                <w:p w14:paraId="12710914">
                  <w:pPr>
                    <w:spacing w:line="240" w:lineRule="exact"/>
                    <w:jc w:val="center"/>
                    <w:rPr>
                      <w:color w:val="auto"/>
                      <w:spacing w:val="-10"/>
                      <w:sz w:val="18"/>
                      <w:szCs w:val="18"/>
                      <w:highlight w:val="none"/>
                    </w:rPr>
                  </w:pPr>
                </w:p>
              </w:tc>
              <w:tc>
                <w:tcPr>
                  <w:tcW w:w="542" w:type="dxa"/>
                  <w:tcBorders>
                    <w:tl2br w:val="nil"/>
                    <w:tr2bl w:val="nil"/>
                  </w:tcBorders>
                  <w:vAlign w:val="center"/>
                </w:tcPr>
                <w:p w14:paraId="1E38E51C">
                  <w:pPr>
                    <w:spacing w:line="240" w:lineRule="exact"/>
                    <w:jc w:val="center"/>
                    <w:rPr>
                      <w:color w:val="auto"/>
                      <w:spacing w:val="-10"/>
                      <w:sz w:val="18"/>
                      <w:szCs w:val="18"/>
                      <w:highlight w:val="none"/>
                    </w:rPr>
                  </w:pPr>
                  <w:r>
                    <w:rPr>
                      <w:rFonts w:hint="eastAsia"/>
                      <w:color w:val="auto"/>
                      <w:spacing w:val="-10"/>
                      <w:sz w:val="18"/>
                      <w:szCs w:val="18"/>
                      <w:highlight w:val="none"/>
                    </w:rPr>
                    <w:t>数值</w:t>
                  </w:r>
                </w:p>
              </w:tc>
              <w:tc>
                <w:tcPr>
                  <w:tcW w:w="1148" w:type="dxa"/>
                  <w:tcBorders>
                    <w:tl2br w:val="nil"/>
                    <w:tr2bl w:val="nil"/>
                  </w:tcBorders>
                  <w:vAlign w:val="center"/>
                </w:tcPr>
                <w:p w14:paraId="58E9CF24">
                  <w:pPr>
                    <w:spacing w:line="240" w:lineRule="exact"/>
                    <w:jc w:val="center"/>
                    <w:rPr>
                      <w:color w:val="auto"/>
                      <w:spacing w:val="-10"/>
                      <w:sz w:val="18"/>
                      <w:szCs w:val="18"/>
                      <w:highlight w:val="none"/>
                    </w:rPr>
                  </w:pPr>
                  <w:r>
                    <w:rPr>
                      <w:rFonts w:hint="eastAsia"/>
                      <w:color w:val="auto"/>
                      <w:spacing w:val="-10"/>
                      <w:sz w:val="18"/>
                      <w:szCs w:val="18"/>
                      <w:highlight w:val="none"/>
                    </w:rPr>
                    <w:t>来源</w:t>
                  </w:r>
                </w:p>
              </w:tc>
              <w:tc>
                <w:tcPr>
                  <w:tcW w:w="473" w:type="dxa"/>
                  <w:tcBorders>
                    <w:tl2br w:val="nil"/>
                    <w:tr2bl w:val="nil"/>
                  </w:tcBorders>
                  <w:vAlign w:val="center"/>
                </w:tcPr>
                <w:p w14:paraId="641850B2">
                  <w:pPr>
                    <w:spacing w:line="240" w:lineRule="exact"/>
                    <w:jc w:val="center"/>
                    <w:rPr>
                      <w:color w:val="auto"/>
                      <w:spacing w:val="-10"/>
                      <w:sz w:val="18"/>
                      <w:szCs w:val="18"/>
                      <w:highlight w:val="none"/>
                    </w:rPr>
                  </w:pPr>
                  <w:r>
                    <w:rPr>
                      <w:rFonts w:hint="eastAsia"/>
                      <w:color w:val="auto"/>
                      <w:spacing w:val="-10"/>
                      <w:sz w:val="18"/>
                      <w:szCs w:val="18"/>
                      <w:highlight w:val="none"/>
                    </w:rPr>
                    <w:t>数值</w:t>
                  </w:r>
                </w:p>
              </w:tc>
              <w:tc>
                <w:tcPr>
                  <w:tcW w:w="2302" w:type="dxa"/>
                  <w:tcBorders>
                    <w:tl2br w:val="nil"/>
                    <w:tr2bl w:val="nil"/>
                  </w:tcBorders>
                  <w:vAlign w:val="center"/>
                </w:tcPr>
                <w:p w14:paraId="3F6695B7">
                  <w:pPr>
                    <w:spacing w:line="240" w:lineRule="exact"/>
                    <w:jc w:val="center"/>
                    <w:rPr>
                      <w:color w:val="auto"/>
                      <w:spacing w:val="-10"/>
                      <w:sz w:val="18"/>
                      <w:szCs w:val="18"/>
                      <w:highlight w:val="none"/>
                    </w:rPr>
                  </w:pPr>
                  <w:r>
                    <w:rPr>
                      <w:rFonts w:hint="eastAsia"/>
                      <w:color w:val="auto"/>
                      <w:spacing w:val="-10"/>
                      <w:sz w:val="18"/>
                      <w:szCs w:val="18"/>
                      <w:highlight w:val="none"/>
                    </w:rPr>
                    <w:t>来源</w:t>
                  </w:r>
                </w:p>
              </w:tc>
            </w:tr>
            <w:tr w14:paraId="390C1D4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488" w:type="dxa"/>
                  <w:vMerge w:val="restart"/>
                  <w:tcBorders>
                    <w:tl2br w:val="nil"/>
                    <w:tr2bl w:val="nil"/>
                  </w:tcBorders>
                  <w:vAlign w:val="center"/>
                </w:tcPr>
                <w:p w14:paraId="3A99E839">
                  <w:pPr>
                    <w:spacing w:line="240" w:lineRule="exact"/>
                    <w:jc w:val="center"/>
                    <w:rPr>
                      <w:color w:val="auto"/>
                      <w:spacing w:val="-10"/>
                      <w:sz w:val="18"/>
                      <w:szCs w:val="18"/>
                      <w:highlight w:val="none"/>
                    </w:rPr>
                  </w:pPr>
                  <w:r>
                    <w:rPr>
                      <w:rFonts w:hint="eastAsia"/>
                      <w:color w:val="auto"/>
                      <w:spacing w:val="-10"/>
                      <w:sz w:val="18"/>
                      <w:szCs w:val="18"/>
                      <w:highlight w:val="none"/>
                    </w:rPr>
                    <w:t>有组织</w:t>
                  </w:r>
                </w:p>
              </w:tc>
              <w:tc>
                <w:tcPr>
                  <w:tcW w:w="1261" w:type="dxa"/>
                  <w:tcBorders>
                    <w:tl2br w:val="nil"/>
                    <w:tr2bl w:val="nil"/>
                  </w:tcBorders>
                  <w:vAlign w:val="center"/>
                </w:tcPr>
                <w:p w14:paraId="5BBB30D6">
                  <w:pPr>
                    <w:spacing w:line="240" w:lineRule="exact"/>
                    <w:jc w:val="center"/>
                    <w:rPr>
                      <w:rFonts w:hint="eastAsia" w:ascii="Times New Roman" w:hAnsi="Times New Roman" w:eastAsia="宋体" w:cs="Times New Roman"/>
                      <w:color w:val="auto"/>
                      <w:spacing w:val="-10"/>
                      <w:sz w:val="18"/>
                      <w:szCs w:val="18"/>
                      <w:highlight w:val="none"/>
                      <w:lang w:val="en-US" w:eastAsia="zh-CN"/>
                    </w:rPr>
                  </w:pPr>
                  <w:r>
                    <w:rPr>
                      <w:rFonts w:hint="eastAsia" w:ascii="Times New Roman" w:hAnsi="Times New Roman" w:eastAsia="宋体" w:cs="Times New Roman"/>
                      <w:color w:val="auto"/>
                      <w:spacing w:val="-10"/>
                      <w:sz w:val="18"/>
                      <w:szCs w:val="18"/>
                      <w:highlight w:val="none"/>
                      <w:lang w:val="en-US" w:eastAsia="zh-CN"/>
                    </w:rPr>
                    <w:t>钢渣处理生产线上料、破碎、筛分废气</w:t>
                  </w:r>
                </w:p>
              </w:tc>
              <w:tc>
                <w:tcPr>
                  <w:tcW w:w="621" w:type="dxa"/>
                  <w:tcBorders>
                    <w:tl2br w:val="nil"/>
                    <w:tr2bl w:val="nil"/>
                  </w:tcBorders>
                  <w:vAlign w:val="center"/>
                </w:tcPr>
                <w:p w14:paraId="4DAF1EC4">
                  <w:pPr>
                    <w:spacing w:line="240" w:lineRule="exact"/>
                    <w:jc w:val="center"/>
                    <w:rPr>
                      <w:color w:val="auto"/>
                      <w:spacing w:val="-10"/>
                      <w:sz w:val="18"/>
                      <w:szCs w:val="18"/>
                      <w:highlight w:val="none"/>
                    </w:rPr>
                  </w:pPr>
                  <w:r>
                    <w:rPr>
                      <w:rFonts w:hint="eastAsia"/>
                      <w:color w:val="auto"/>
                      <w:spacing w:val="-10"/>
                      <w:sz w:val="18"/>
                      <w:szCs w:val="18"/>
                      <w:highlight w:val="none"/>
                    </w:rPr>
                    <w:t>颗粒物</w:t>
                  </w:r>
                </w:p>
              </w:tc>
              <w:tc>
                <w:tcPr>
                  <w:tcW w:w="643" w:type="dxa"/>
                  <w:tcBorders>
                    <w:tl2br w:val="nil"/>
                    <w:tr2bl w:val="nil"/>
                  </w:tcBorders>
                  <w:vAlign w:val="center"/>
                </w:tcPr>
                <w:p w14:paraId="7DB60848">
                  <w:pPr>
                    <w:pStyle w:val="13"/>
                    <w:spacing w:line="240" w:lineRule="exact"/>
                    <w:jc w:val="center"/>
                    <w:rPr>
                      <w:rFonts w:ascii="Times New Roman" w:hAnsi="Times New Roman"/>
                      <w:color w:val="auto"/>
                      <w:spacing w:val="-10"/>
                      <w:sz w:val="18"/>
                      <w:szCs w:val="18"/>
                      <w:highlight w:val="none"/>
                    </w:rPr>
                  </w:pPr>
                  <w:r>
                    <w:rPr>
                      <w:rFonts w:hint="eastAsia" w:ascii="Times New Roman" w:hAnsi="Times New Roman"/>
                      <w:color w:val="auto"/>
                      <w:spacing w:val="-10"/>
                      <w:sz w:val="18"/>
                      <w:szCs w:val="18"/>
                      <w:highlight w:val="none"/>
                    </w:rPr>
                    <w:t>mg/m</w:t>
                  </w:r>
                  <w:r>
                    <w:rPr>
                      <w:rFonts w:hint="eastAsia" w:ascii="Times New Roman" w:hAnsi="Times New Roman"/>
                      <w:color w:val="auto"/>
                      <w:spacing w:val="-10"/>
                      <w:sz w:val="18"/>
                      <w:szCs w:val="18"/>
                      <w:highlight w:val="none"/>
                      <w:vertAlign w:val="superscript"/>
                    </w:rPr>
                    <w:t>3</w:t>
                  </w:r>
                </w:p>
              </w:tc>
              <w:tc>
                <w:tcPr>
                  <w:tcW w:w="597" w:type="dxa"/>
                  <w:tcBorders>
                    <w:tl2br w:val="nil"/>
                    <w:tr2bl w:val="nil"/>
                  </w:tcBorders>
                  <w:vAlign w:val="center"/>
                </w:tcPr>
                <w:p w14:paraId="106420E0">
                  <w:pPr>
                    <w:spacing w:line="240" w:lineRule="exact"/>
                    <w:jc w:val="center"/>
                    <w:rPr>
                      <w:color w:val="auto"/>
                      <w:spacing w:val="-10"/>
                      <w:sz w:val="18"/>
                      <w:szCs w:val="18"/>
                      <w:highlight w:val="none"/>
                    </w:rPr>
                  </w:pPr>
                  <w:r>
                    <w:rPr>
                      <w:rFonts w:hint="eastAsia"/>
                      <w:color w:val="auto"/>
                      <w:spacing w:val="-10"/>
                      <w:sz w:val="18"/>
                      <w:szCs w:val="18"/>
                      <w:highlight w:val="none"/>
                    </w:rPr>
                    <w:t>10</w:t>
                  </w:r>
                </w:p>
              </w:tc>
              <w:tc>
                <w:tcPr>
                  <w:tcW w:w="542" w:type="dxa"/>
                  <w:tcBorders>
                    <w:tl2br w:val="nil"/>
                    <w:tr2bl w:val="nil"/>
                  </w:tcBorders>
                  <w:vAlign w:val="center"/>
                </w:tcPr>
                <w:p w14:paraId="06599D7C">
                  <w:pPr>
                    <w:pStyle w:val="13"/>
                    <w:spacing w:line="240" w:lineRule="exact"/>
                    <w:jc w:val="center"/>
                    <w:rPr>
                      <w:rFonts w:ascii="Times New Roman" w:hAnsi="Times New Roman"/>
                      <w:color w:val="auto"/>
                      <w:spacing w:val="-10"/>
                      <w:sz w:val="18"/>
                      <w:szCs w:val="18"/>
                      <w:highlight w:val="none"/>
                    </w:rPr>
                  </w:pPr>
                  <w:r>
                    <w:rPr>
                      <w:rFonts w:hint="eastAsia" w:ascii="Times New Roman" w:hAnsi="Times New Roman"/>
                      <w:color w:val="auto"/>
                      <w:spacing w:val="-10"/>
                      <w:sz w:val="18"/>
                      <w:szCs w:val="18"/>
                      <w:highlight w:val="none"/>
                    </w:rPr>
                    <w:t>50</w:t>
                  </w:r>
                </w:p>
              </w:tc>
              <w:tc>
                <w:tcPr>
                  <w:tcW w:w="1148" w:type="dxa"/>
                  <w:vMerge w:val="restart"/>
                  <w:tcBorders>
                    <w:tl2br w:val="nil"/>
                    <w:tr2bl w:val="nil"/>
                  </w:tcBorders>
                  <w:vAlign w:val="center"/>
                </w:tcPr>
                <w:p w14:paraId="32E218CB">
                  <w:pPr>
                    <w:pStyle w:val="13"/>
                    <w:spacing w:line="240" w:lineRule="exact"/>
                    <w:jc w:val="center"/>
                    <w:rPr>
                      <w:rFonts w:ascii="Times New Roman" w:hAnsi="Times New Roman"/>
                      <w:color w:val="auto"/>
                      <w:spacing w:val="-10"/>
                      <w:sz w:val="18"/>
                      <w:szCs w:val="18"/>
                      <w:highlight w:val="none"/>
                    </w:rPr>
                  </w:pPr>
                  <w:r>
                    <w:rPr>
                      <w:rFonts w:hint="eastAsia" w:ascii="Times New Roman" w:hAnsi="Times New Roman"/>
                      <w:color w:val="auto"/>
                      <w:spacing w:val="-10"/>
                      <w:sz w:val="18"/>
                      <w:szCs w:val="18"/>
                      <w:highlight w:val="none"/>
                    </w:rPr>
                    <w:t>《钢铁工业大气污染物超低排放标准》(DB13/2169-2018)</w:t>
                  </w:r>
                </w:p>
              </w:tc>
              <w:tc>
                <w:tcPr>
                  <w:tcW w:w="473" w:type="dxa"/>
                  <w:tcBorders>
                    <w:tl2br w:val="nil"/>
                    <w:tr2bl w:val="nil"/>
                  </w:tcBorders>
                  <w:vAlign w:val="center"/>
                </w:tcPr>
                <w:p w14:paraId="223100E7">
                  <w:pPr>
                    <w:pStyle w:val="13"/>
                    <w:spacing w:line="240" w:lineRule="exact"/>
                    <w:jc w:val="center"/>
                    <w:rPr>
                      <w:rFonts w:ascii="Times New Roman" w:hAnsi="Times New Roman"/>
                      <w:color w:val="auto"/>
                      <w:spacing w:val="-10"/>
                      <w:sz w:val="18"/>
                      <w:szCs w:val="18"/>
                      <w:highlight w:val="none"/>
                    </w:rPr>
                  </w:pPr>
                  <w:r>
                    <w:rPr>
                      <w:rFonts w:hint="eastAsia" w:ascii="Times New Roman" w:hAnsi="Times New Roman"/>
                      <w:color w:val="auto"/>
                      <w:spacing w:val="-10"/>
                      <w:sz w:val="18"/>
                      <w:szCs w:val="18"/>
                      <w:highlight w:val="none"/>
                    </w:rPr>
                    <w:t>10</w:t>
                  </w:r>
                </w:p>
              </w:tc>
              <w:tc>
                <w:tcPr>
                  <w:tcW w:w="2302" w:type="dxa"/>
                  <w:tcBorders>
                    <w:tl2br w:val="nil"/>
                    <w:tr2bl w:val="nil"/>
                  </w:tcBorders>
                  <w:vAlign w:val="center"/>
                </w:tcPr>
                <w:p w14:paraId="19D72D8F">
                  <w:pPr>
                    <w:pStyle w:val="13"/>
                    <w:spacing w:line="240" w:lineRule="exact"/>
                    <w:jc w:val="center"/>
                    <w:rPr>
                      <w:rFonts w:ascii="Times New Roman" w:hAnsi="Times New Roman"/>
                      <w:color w:val="auto"/>
                      <w:spacing w:val="-10"/>
                      <w:sz w:val="18"/>
                      <w:szCs w:val="18"/>
                      <w:highlight w:val="none"/>
                    </w:rPr>
                  </w:pPr>
                  <w:r>
                    <w:rPr>
                      <w:rFonts w:hint="eastAsia" w:ascii="Times New Roman" w:hAnsi="Times New Roman"/>
                      <w:color w:val="auto"/>
                      <w:spacing w:val="-10"/>
                      <w:sz w:val="18"/>
                      <w:szCs w:val="18"/>
                      <w:highlight w:val="none"/>
                    </w:rPr>
                    <w:t>《唐山市生态环境局关于下达唐山市2019年五大行业大气污染治理重点工作任务的通知》(唐环气[2019]1号)</w:t>
                  </w:r>
                </w:p>
              </w:tc>
            </w:tr>
            <w:tr w14:paraId="0946E40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488" w:type="dxa"/>
                  <w:vMerge w:val="continue"/>
                  <w:tcBorders>
                    <w:tl2br w:val="nil"/>
                    <w:tr2bl w:val="nil"/>
                  </w:tcBorders>
                  <w:vAlign w:val="center"/>
                </w:tcPr>
                <w:p w14:paraId="45E1CFBB">
                  <w:pPr>
                    <w:spacing w:line="240" w:lineRule="exact"/>
                    <w:jc w:val="center"/>
                    <w:rPr>
                      <w:rFonts w:hint="eastAsia"/>
                      <w:color w:val="auto"/>
                      <w:spacing w:val="-10"/>
                      <w:sz w:val="18"/>
                      <w:szCs w:val="18"/>
                      <w:highlight w:val="none"/>
                    </w:rPr>
                  </w:pPr>
                </w:p>
              </w:tc>
              <w:tc>
                <w:tcPr>
                  <w:tcW w:w="1261" w:type="dxa"/>
                  <w:tcBorders>
                    <w:tl2br w:val="nil"/>
                    <w:tr2bl w:val="nil"/>
                  </w:tcBorders>
                  <w:vAlign w:val="center"/>
                </w:tcPr>
                <w:p w14:paraId="627AE107">
                  <w:pPr>
                    <w:spacing w:line="240" w:lineRule="exact"/>
                    <w:jc w:val="center"/>
                    <w:rPr>
                      <w:rFonts w:hint="default" w:ascii="Times New Roman" w:hAnsi="Times New Roman" w:eastAsia="宋体" w:cs="Times New Roman"/>
                      <w:color w:val="auto"/>
                      <w:spacing w:val="-10"/>
                      <w:sz w:val="18"/>
                      <w:szCs w:val="18"/>
                      <w:highlight w:val="none"/>
                      <w:lang w:val="en-US" w:eastAsia="zh-CN"/>
                    </w:rPr>
                  </w:pPr>
                  <w:r>
                    <w:rPr>
                      <w:rFonts w:hint="eastAsia" w:ascii="Times New Roman" w:hAnsi="Times New Roman" w:eastAsia="宋体" w:cs="Times New Roman"/>
                      <w:color w:val="auto"/>
                      <w:spacing w:val="-10"/>
                      <w:sz w:val="18"/>
                      <w:szCs w:val="18"/>
                      <w:highlight w:val="none"/>
                      <w:lang w:val="en-US" w:eastAsia="zh-CN"/>
                    </w:rPr>
                    <w:t>废钢尾料废钢破碎尾料分选生产线上料</w:t>
                  </w:r>
                </w:p>
              </w:tc>
              <w:tc>
                <w:tcPr>
                  <w:tcW w:w="621" w:type="dxa"/>
                  <w:tcBorders>
                    <w:tl2br w:val="nil"/>
                    <w:tr2bl w:val="nil"/>
                  </w:tcBorders>
                  <w:shd w:val="clear" w:color="auto" w:fill="auto"/>
                  <w:vAlign w:val="center"/>
                </w:tcPr>
                <w:p w14:paraId="1BC702F5">
                  <w:pPr>
                    <w:spacing w:line="240" w:lineRule="exact"/>
                    <w:jc w:val="center"/>
                    <w:rPr>
                      <w:rFonts w:hint="eastAsia" w:ascii="Times New Roman" w:hAnsi="Times New Roman" w:eastAsia="宋体" w:cs="Times New Roman"/>
                      <w:color w:val="auto"/>
                      <w:spacing w:val="-10"/>
                      <w:kern w:val="2"/>
                      <w:sz w:val="18"/>
                      <w:szCs w:val="18"/>
                      <w:highlight w:val="none"/>
                      <w:lang w:val="en-US" w:eastAsia="zh-CN" w:bidi="ar-SA"/>
                    </w:rPr>
                  </w:pPr>
                  <w:r>
                    <w:rPr>
                      <w:rFonts w:hint="eastAsia"/>
                      <w:color w:val="auto"/>
                      <w:spacing w:val="-10"/>
                      <w:sz w:val="18"/>
                      <w:szCs w:val="18"/>
                      <w:highlight w:val="none"/>
                    </w:rPr>
                    <w:t>颗粒物</w:t>
                  </w:r>
                </w:p>
              </w:tc>
              <w:tc>
                <w:tcPr>
                  <w:tcW w:w="643" w:type="dxa"/>
                  <w:tcBorders>
                    <w:tl2br w:val="nil"/>
                    <w:tr2bl w:val="nil"/>
                  </w:tcBorders>
                  <w:shd w:val="clear" w:color="auto" w:fill="auto"/>
                  <w:vAlign w:val="center"/>
                </w:tcPr>
                <w:p w14:paraId="0C603E37">
                  <w:pPr>
                    <w:pStyle w:val="13"/>
                    <w:spacing w:line="240" w:lineRule="exact"/>
                    <w:jc w:val="center"/>
                    <w:rPr>
                      <w:rFonts w:hint="eastAsia" w:ascii="Times New Roman" w:hAnsi="Times New Roman" w:eastAsia="宋体" w:cs="Times New Roman"/>
                      <w:color w:val="auto"/>
                      <w:spacing w:val="-10"/>
                      <w:kern w:val="2"/>
                      <w:sz w:val="18"/>
                      <w:szCs w:val="18"/>
                      <w:highlight w:val="none"/>
                      <w:lang w:val="en-US" w:eastAsia="zh-CN" w:bidi="ar-SA"/>
                    </w:rPr>
                  </w:pPr>
                  <w:r>
                    <w:rPr>
                      <w:rFonts w:hint="eastAsia" w:ascii="Times New Roman" w:hAnsi="Times New Roman"/>
                      <w:color w:val="auto"/>
                      <w:spacing w:val="-10"/>
                      <w:sz w:val="18"/>
                      <w:szCs w:val="18"/>
                      <w:highlight w:val="none"/>
                    </w:rPr>
                    <w:t>mg/m</w:t>
                  </w:r>
                  <w:r>
                    <w:rPr>
                      <w:rFonts w:hint="eastAsia" w:ascii="Times New Roman" w:hAnsi="Times New Roman"/>
                      <w:color w:val="auto"/>
                      <w:spacing w:val="-10"/>
                      <w:sz w:val="18"/>
                      <w:szCs w:val="18"/>
                      <w:highlight w:val="none"/>
                      <w:vertAlign w:val="superscript"/>
                    </w:rPr>
                    <w:t>3</w:t>
                  </w:r>
                </w:p>
              </w:tc>
              <w:tc>
                <w:tcPr>
                  <w:tcW w:w="597" w:type="dxa"/>
                  <w:tcBorders>
                    <w:tl2br w:val="nil"/>
                    <w:tr2bl w:val="nil"/>
                  </w:tcBorders>
                  <w:vAlign w:val="center"/>
                </w:tcPr>
                <w:p w14:paraId="2BA9F43E">
                  <w:pPr>
                    <w:spacing w:line="240" w:lineRule="exact"/>
                    <w:jc w:val="center"/>
                    <w:rPr>
                      <w:rFonts w:hint="default" w:eastAsia="宋体"/>
                      <w:color w:val="auto"/>
                      <w:spacing w:val="-10"/>
                      <w:sz w:val="18"/>
                      <w:szCs w:val="18"/>
                      <w:highlight w:val="none"/>
                      <w:lang w:val="en-US" w:eastAsia="zh-CN"/>
                    </w:rPr>
                  </w:pPr>
                  <w:r>
                    <w:rPr>
                      <w:rFonts w:hint="eastAsia"/>
                      <w:color w:val="auto"/>
                      <w:spacing w:val="-10"/>
                      <w:sz w:val="18"/>
                      <w:szCs w:val="18"/>
                      <w:highlight w:val="none"/>
                      <w:lang w:val="en-US" w:eastAsia="zh-CN"/>
                    </w:rPr>
                    <w:t>10</w:t>
                  </w:r>
                </w:p>
              </w:tc>
              <w:tc>
                <w:tcPr>
                  <w:tcW w:w="542" w:type="dxa"/>
                  <w:tcBorders>
                    <w:tl2br w:val="nil"/>
                    <w:tr2bl w:val="nil"/>
                  </w:tcBorders>
                  <w:vAlign w:val="center"/>
                </w:tcPr>
                <w:p w14:paraId="6ED97A6E">
                  <w:pPr>
                    <w:pStyle w:val="13"/>
                    <w:spacing w:line="240" w:lineRule="exact"/>
                    <w:jc w:val="center"/>
                    <w:rPr>
                      <w:rFonts w:hint="default" w:ascii="Times New Roman" w:hAnsi="Times New Roman" w:eastAsia="宋体"/>
                      <w:color w:val="auto"/>
                      <w:spacing w:val="-10"/>
                      <w:sz w:val="18"/>
                      <w:szCs w:val="18"/>
                      <w:highlight w:val="none"/>
                      <w:lang w:val="en-US" w:eastAsia="zh-CN"/>
                    </w:rPr>
                  </w:pPr>
                  <w:r>
                    <w:rPr>
                      <w:rFonts w:hint="eastAsia" w:ascii="Times New Roman" w:hAnsi="Times New Roman"/>
                      <w:color w:val="auto"/>
                      <w:spacing w:val="-10"/>
                      <w:sz w:val="18"/>
                      <w:szCs w:val="18"/>
                      <w:highlight w:val="none"/>
                      <w:lang w:val="en-US" w:eastAsia="zh-CN"/>
                    </w:rPr>
                    <w:t>10</w:t>
                  </w:r>
                </w:p>
              </w:tc>
              <w:tc>
                <w:tcPr>
                  <w:tcW w:w="1148" w:type="dxa"/>
                  <w:vMerge w:val="continue"/>
                  <w:tcBorders>
                    <w:tl2br w:val="nil"/>
                    <w:tr2bl w:val="nil"/>
                  </w:tcBorders>
                  <w:vAlign w:val="center"/>
                </w:tcPr>
                <w:p w14:paraId="5225F42F">
                  <w:pPr>
                    <w:pStyle w:val="13"/>
                    <w:spacing w:line="240" w:lineRule="exact"/>
                    <w:jc w:val="center"/>
                    <w:rPr>
                      <w:rFonts w:hint="eastAsia" w:ascii="Times New Roman" w:hAnsi="Times New Roman"/>
                      <w:color w:val="auto"/>
                      <w:spacing w:val="-10"/>
                      <w:sz w:val="18"/>
                      <w:szCs w:val="18"/>
                      <w:highlight w:val="none"/>
                    </w:rPr>
                  </w:pPr>
                </w:p>
              </w:tc>
              <w:tc>
                <w:tcPr>
                  <w:tcW w:w="473" w:type="dxa"/>
                  <w:tcBorders>
                    <w:tl2br w:val="nil"/>
                    <w:tr2bl w:val="nil"/>
                  </w:tcBorders>
                  <w:vAlign w:val="center"/>
                </w:tcPr>
                <w:p w14:paraId="40CC2237">
                  <w:pPr>
                    <w:pStyle w:val="13"/>
                    <w:spacing w:line="240" w:lineRule="exact"/>
                    <w:jc w:val="center"/>
                    <w:rPr>
                      <w:rFonts w:hint="default" w:ascii="Times New Roman" w:hAnsi="Times New Roman" w:eastAsia="宋体"/>
                      <w:color w:val="auto"/>
                      <w:spacing w:val="-10"/>
                      <w:sz w:val="18"/>
                      <w:szCs w:val="18"/>
                      <w:highlight w:val="none"/>
                      <w:lang w:val="en-US" w:eastAsia="zh-CN"/>
                    </w:rPr>
                  </w:pPr>
                  <w:r>
                    <w:rPr>
                      <w:rFonts w:hint="eastAsia" w:ascii="Times New Roman" w:hAnsi="Times New Roman"/>
                      <w:color w:val="auto"/>
                      <w:spacing w:val="-10"/>
                      <w:sz w:val="18"/>
                      <w:szCs w:val="18"/>
                      <w:highlight w:val="none"/>
                      <w:lang w:val="en-US" w:eastAsia="zh-CN"/>
                    </w:rPr>
                    <w:t>--</w:t>
                  </w:r>
                </w:p>
              </w:tc>
              <w:tc>
                <w:tcPr>
                  <w:tcW w:w="2302" w:type="dxa"/>
                  <w:tcBorders>
                    <w:tl2br w:val="nil"/>
                    <w:tr2bl w:val="nil"/>
                  </w:tcBorders>
                  <w:vAlign w:val="center"/>
                </w:tcPr>
                <w:p w14:paraId="5B23B454">
                  <w:pPr>
                    <w:pStyle w:val="13"/>
                    <w:spacing w:line="240" w:lineRule="exact"/>
                    <w:jc w:val="center"/>
                    <w:rPr>
                      <w:rFonts w:hint="default" w:ascii="Times New Roman" w:hAnsi="Times New Roman" w:eastAsia="宋体"/>
                      <w:color w:val="auto"/>
                      <w:spacing w:val="-10"/>
                      <w:sz w:val="18"/>
                      <w:szCs w:val="18"/>
                      <w:highlight w:val="none"/>
                      <w:lang w:val="en-US" w:eastAsia="zh-CN"/>
                    </w:rPr>
                  </w:pPr>
                  <w:r>
                    <w:rPr>
                      <w:rFonts w:hint="eastAsia" w:ascii="Times New Roman" w:hAnsi="Times New Roman"/>
                      <w:color w:val="auto"/>
                      <w:spacing w:val="-10"/>
                      <w:sz w:val="18"/>
                      <w:szCs w:val="18"/>
                      <w:highlight w:val="none"/>
                      <w:lang w:val="en-US" w:eastAsia="zh-CN"/>
                    </w:rPr>
                    <w:t>--</w:t>
                  </w:r>
                </w:p>
              </w:tc>
            </w:tr>
            <w:tr w14:paraId="0D9111E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488" w:type="dxa"/>
                  <w:tcBorders>
                    <w:tl2br w:val="nil"/>
                    <w:tr2bl w:val="nil"/>
                  </w:tcBorders>
                  <w:vAlign w:val="center"/>
                </w:tcPr>
                <w:p w14:paraId="6FFC78DC">
                  <w:pPr>
                    <w:spacing w:line="240" w:lineRule="exact"/>
                    <w:jc w:val="center"/>
                    <w:rPr>
                      <w:rFonts w:hint="eastAsia" w:eastAsia="宋体"/>
                      <w:color w:val="auto"/>
                      <w:spacing w:val="-10"/>
                      <w:sz w:val="18"/>
                      <w:szCs w:val="18"/>
                      <w:highlight w:val="none"/>
                      <w:lang w:val="en-US" w:eastAsia="zh-CN"/>
                    </w:rPr>
                  </w:pPr>
                  <w:r>
                    <w:rPr>
                      <w:rFonts w:hint="eastAsia"/>
                      <w:color w:val="auto"/>
                      <w:spacing w:val="-10"/>
                      <w:sz w:val="18"/>
                      <w:szCs w:val="18"/>
                      <w:highlight w:val="none"/>
                    </w:rPr>
                    <w:t>无组织</w:t>
                  </w:r>
                </w:p>
              </w:tc>
              <w:tc>
                <w:tcPr>
                  <w:tcW w:w="1261" w:type="dxa"/>
                  <w:tcBorders>
                    <w:tl2br w:val="nil"/>
                    <w:tr2bl w:val="nil"/>
                  </w:tcBorders>
                  <w:vAlign w:val="center"/>
                </w:tcPr>
                <w:p w14:paraId="0DC14B15">
                  <w:pPr>
                    <w:spacing w:line="240" w:lineRule="exact"/>
                    <w:jc w:val="center"/>
                    <w:rPr>
                      <w:rFonts w:hint="eastAsia"/>
                      <w:color w:val="auto"/>
                      <w:spacing w:val="-10"/>
                      <w:sz w:val="18"/>
                      <w:szCs w:val="18"/>
                      <w:highlight w:val="none"/>
                      <w:lang w:val="en-US" w:eastAsia="zh-CN"/>
                    </w:rPr>
                  </w:pPr>
                  <w:r>
                    <w:rPr>
                      <w:rFonts w:hint="eastAsia"/>
                      <w:color w:val="auto"/>
                      <w:spacing w:val="-10"/>
                      <w:sz w:val="18"/>
                      <w:szCs w:val="18"/>
                      <w:highlight w:val="none"/>
                      <w:lang w:val="en-US" w:eastAsia="zh-CN"/>
                    </w:rPr>
                    <w:t>厂界</w:t>
                  </w:r>
                </w:p>
              </w:tc>
              <w:tc>
                <w:tcPr>
                  <w:tcW w:w="621" w:type="dxa"/>
                  <w:tcBorders>
                    <w:tl2br w:val="nil"/>
                    <w:tr2bl w:val="nil"/>
                  </w:tcBorders>
                  <w:vAlign w:val="center"/>
                </w:tcPr>
                <w:p w14:paraId="4E82FE0C">
                  <w:pPr>
                    <w:spacing w:line="240" w:lineRule="exact"/>
                    <w:jc w:val="center"/>
                    <w:rPr>
                      <w:rFonts w:hint="eastAsia" w:ascii="Times New Roman" w:hAnsi="Times New Roman" w:eastAsia="宋体" w:cs="Times New Roman"/>
                      <w:color w:val="auto"/>
                      <w:spacing w:val="-10"/>
                      <w:kern w:val="2"/>
                      <w:sz w:val="18"/>
                      <w:szCs w:val="18"/>
                      <w:highlight w:val="none"/>
                      <w:lang w:val="en-US" w:eastAsia="zh-CN" w:bidi="ar-SA"/>
                    </w:rPr>
                  </w:pPr>
                  <w:r>
                    <w:rPr>
                      <w:rFonts w:hint="eastAsia"/>
                      <w:color w:val="auto"/>
                      <w:spacing w:val="-10"/>
                      <w:sz w:val="18"/>
                      <w:szCs w:val="18"/>
                      <w:highlight w:val="none"/>
                    </w:rPr>
                    <w:t>颗粒物</w:t>
                  </w:r>
                </w:p>
              </w:tc>
              <w:tc>
                <w:tcPr>
                  <w:tcW w:w="643" w:type="dxa"/>
                  <w:tcBorders>
                    <w:tl2br w:val="nil"/>
                    <w:tr2bl w:val="nil"/>
                  </w:tcBorders>
                  <w:vAlign w:val="center"/>
                </w:tcPr>
                <w:p w14:paraId="264EC30D">
                  <w:pPr>
                    <w:pStyle w:val="13"/>
                    <w:spacing w:line="240" w:lineRule="exact"/>
                    <w:jc w:val="center"/>
                    <w:rPr>
                      <w:rFonts w:hint="eastAsia" w:ascii="Times New Roman" w:hAnsi="Times New Roman" w:eastAsia="宋体" w:cs="Times New Roman"/>
                      <w:color w:val="auto"/>
                      <w:spacing w:val="-10"/>
                      <w:kern w:val="2"/>
                      <w:sz w:val="18"/>
                      <w:szCs w:val="18"/>
                      <w:highlight w:val="none"/>
                      <w:lang w:val="en-US" w:eastAsia="zh-CN" w:bidi="ar-SA"/>
                    </w:rPr>
                  </w:pPr>
                  <w:r>
                    <w:rPr>
                      <w:rFonts w:hint="eastAsia" w:ascii="Times New Roman" w:hAnsi="Times New Roman"/>
                      <w:color w:val="auto"/>
                      <w:spacing w:val="-10"/>
                      <w:sz w:val="18"/>
                      <w:szCs w:val="18"/>
                      <w:highlight w:val="none"/>
                    </w:rPr>
                    <w:t>mg/m</w:t>
                  </w:r>
                  <w:r>
                    <w:rPr>
                      <w:rFonts w:hint="eastAsia" w:ascii="Times New Roman" w:hAnsi="Times New Roman"/>
                      <w:color w:val="auto"/>
                      <w:spacing w:val="-10"/>
                      <w:sz w:val="18"/>
                      <w:szCs w:val="18"/>
                      <w:highlight w:val="none"/>
                      <w:vertAlign w:val="superscript"/>
                    </w:rPr>
                    <w:t>3</w:t>
                  </w:r>
                </w:p>
              </w:tc>
              <w:tc>
                <w:tcPr>
                  <w:tcW w:w="597" w:type="dxa"/>
                  <w:tcBorders>
                    <w:tl2br w:val="nil"/>
                    <w:tr2bl w:val="nil"/>
                  </w:tcBorders>
                  <w:vAlign w:val="center"/>
                </w:tcPr>
                <w:p w14:paraId="033F67E9">
                  <w:pPr>
                    <w:spacing w:line="240" w:lineRule="exact"/>
                    <w:jc w:val="center"/>
                    <w:rPr>
                      <w:rFonts w:hint="default" w:eastAsia="宋体"/>
                      <w:color w:val="auto"/>
                      <w:spacing w:val="-10"/>
                      <w:sz w:val="18"/>
                      <w:szCs w:val="18"/>
                      <w:highlight w:val="none"/>
                      <w:lang w:val="en-US" w:eastAsia="zh-CN"/>
                    </w:rPr>
                  </w:pPr>
                  <w:r>
                    <w:rPr>
                      <w:rFonts w:hint="eastAsia"/>
                      <w:color w:val="auto"/>
                      <w:spacing w:val="-10"/>
                      <w:sz w:val="18"/>
                      <w:szCs w:val="18"/>
                      <w:highlight w:val="none"/>
                      <w:lang w:val="en-US" w:eastAsia="zh-CN"/>
                    </w:rPr>
                    <w:t>1.0</w:t>
                  </w:r>
                </w:p>
              </w:tc>
              <w:tc>
                <w:tcPr>
                  <w:tcW w:w="542" w:type="dxa"/>
                  <w:tcBorders>
                    <w:tl2br w:val="nil"/>
                    <w:tr2bl w:val="nil"/>
                  </w:tcBorders>
                  <w:vAlign w:val="center"/>
                </w:tcPr>
                <w:p w14:paraId="0C373AFF">
                  <w:pPr>
                    <w:pStyle w:val="13"/>
                    <w:spacing w:line="240" w:lineRule="exact"/>
                    <w:jc w:val="center"/>
                    <w:rPr>
                      <w:rFonts w:hint="default" w:ascii="Times New Roman" w:hAnsi="Times New Roman" w:eastAsia="宋体"/>
                      <w:color w:val="auto"/>
                      <w:spacing w:val="-10"/>
                      <w:sz w:val="18"/>
                      <w:szCs w:val="18"/>
                      <w:highlight w:val="none"/>
                      <w:lang w:val="en-US" w:eastAsia="zh-CN"/>
                    </w:rPr>
                  </w:pPr>
                  <w:r>
                    <w:rPr>
                      <w:rFonts w:hint="eastAsia" w:ascii="Times New Roman" w:hAnsi="Times New Roman"/>
                      <w:color w:val="auto"/>
                      <w:spacing w:val="-10"/>
                      <w:sz w:val="18"/>
                      <w:szCs w:val="18"/>
                      <w:highlight w:val="none"/>
                      <w:lang w:val="en-US" w:eastAsia="zh-CN"/>
                    </w:rPr>
                    <w:t>1.0</w:t>
                  </w:r>
                </w:p>
              </w:tc>
              <w:tc>
                <w:tcPr>
                  <w:tcW w:w="1148" w:type="dxa"/>
                  <w:vMerge w:val="continue"/>
                  <w:tcBorders>
                    <w:tl2br w:val="nil"/>
                    <w:tr2bl w:val="nil"/>
                  </w:tcBorders>
                  <w:vAlign w:val="center"/>
                </w:tcPr>
                <w:p w14:paraId="5A742BDE">
                  <w:pPr>
                    <w:pStyle w:val="13"/>
                    <w:spacing w:line="240" w:lineRule="exact"/>
                    <w:jc w:val="center"/>
                    <w:rPr>
                      <w:rFonts w:hint="eastAsia" w:ascii="Times New Roman" w:hAnsi="Times New Roman"/>
                      <w:color w:val="auto"/>
                      <w:spacing w:val="-10"/>
                      <w:sz w:val="18"/>
                      <w:szCs w:val="18"/>
                      <w:highlight w:val="none"/>
                    </w:rPr>
                  </w:pPr>
                </w:p>
              </w:tc>
              <w:tc>
                <w:tcPr>
                  <w:tcW w:w="473" w:type="dxa"/>
                  <w:tcBorders>
                    <w:tl2br w:val="nil"/>
                    <w:tr2bl w:val="nil"/>
                  </w:tcBorders>
                  <w:vAlign w:val="center"/>
                </w:tcPr>
                <w:p w14:paraId="728AF9EE">
                  <w:pPr>
                    <w:pStyle w:val="13"/>
                    <w:spacing w:line="240" w:lineRule="exact"/>
                    <w:jc w:val="center"/>
                    <w:rPr>
                      <w:rFonts w:hint="default" w:ascii="Times New Roman" w:hAnsi="Times New Roman" w:eastAsia="宋体"/>
                      <w:color w:val="auto"/>
                      <w:spacing w:val="-10"/>
                      <w:sz w:val="18"/>
                      <w:szCs w:val="18"/>
                      <w:highlight w:val="none"/>
                      <w:lang w:val="en-US" w:eastAsia="zh-CN"/>
                    </w:rPr>
                  </w:pPr>
                  <w:r>
                    <w:rPr>
                      <w:rFonts w:hint="eastAsia" w:ascii="Times New Roman" w:hAnsi="Times New Roman"/>
                      <w:color w:val="auto"/>
                      <w:spacing w:val="-10"/>
                      <w:sz w:val="18"/>
                      <w:szCs w:val="18"/>
                      <w:highlight w:val="none"/>
                      <w:lang w:val="en-US" w:eastAsia="zh-CN"/>
                    </w:rPr>
                    <w:t>--</w:t>
                  </w:r>
                </w:p>
              </w:tc>
              <w:tc>
                <w:tcPr>
                  <w:tcW w:w="2302" w:type="dxa"/>
                  <w:tcBorders>
                    <w:tl2br w:val="nil"/>
                    <w:tr2bl w:val="nil"/>
                  </w:tcBorders>
                  <w:vAlign w:val="center"/>
                </w:tcPr>
                <w:p w14:paraId="3DF9CCDE">
                  <w:pPr>
                    <w:pStyle w:val="13"/>
                    <w:spacing w:line="240" w:lineRule="exact"/>
                    <w:jc w:val="center"/>
                    <w:rPr>
                      <w:rFonts w:hint="default" w:ascii="Times New Roman" w:hAnsi="Times New Roman" w:eastAsia="宋体"/>
                      <w:color w:val="auto"/>
                      <w:spacing w:val="-10"/>
                      <w:sz w:val="18"/>
                      <w:szCs w:val="18"/>
                      <w:highlight w:val="none"/>
                      <w:lang w:val="en-US" w:eastAsia="zh-CN"/>
                    </w:rPr>
                  </w:pPr>
                  <w:r>
                    <w:rPr>
                      <w:rFonts w:hint="eastAsia" w:ascii="Times New Roman" w:hAnsi="Times New Roman"/>
                      <w:color w:val="auto"/>
                      <w:spacing w:val="-10"/>
                      <w:sz w:val="18"/>
                      <w:szCs w:val="18"/>
                      <w:highlight w:val="none"/>
                      <w:lang w:val="en-US" w:eastAsia="zh-CN"/>
                    </w:rPr>
                    <w:t>--</w:t>
                  </w:r>
                </w:p>
              </w:tc>
            </w:tr>
          </w:tbl>
          <w:p w14:paraId="1F98C723">
            <w:pPr>
              <w:spacing w:line="440" w:lineRule="exact"/>
              <w:ind w:firstLine="420" w:firstLineChars="200"/>
              <w:rPr>
                <w:color w:val="auto"/>
              </w:rPr>
            </w:pPr>
            <w:r>
              <w:rPr>
                <w:color w:val="auto"/>
              </w:rPr>
              <w:t>（</w:t>
            </w:r>
            <w:r>
              <w:rPr>
                <w:rFonts w:hint="eastAsia"/>
                <w:color w:val="auto"/>
              </w:rPr>
              <w:t>2</w:t>
            </w:r>
            <w:r>
              <w:rPr>
                <w:color w:val="auto"/>
              </w:rPr>
              <w:t>）</w:t>
            </w:r>
            <w:r>
              <w:rPr>
                <w:rFonts w:hint="eastAsia"/>
                <w:color w:val="auto"/>
              </w:rPr>
              <w:t>噪声</w:t>
            </w:r>
          </w:p>
          <w:p w14:paraId="4848C8A5">
            <w:pPr>
              <w:spacing w:line="440" w:lineRule="exact"/>
              <w:ind w:firstLine="420" w:firstLineChars="200"/>
              <w:rPr>
                <w:rFonts w:hint="eastAsia"/>
                <w:color w:val="auto"/>
              </w:rPr>
            </w:pPr>
            <w:r>
              <w:rPr>
                <w:rFonts w:hint="eastAsia"/>
                <w:color w:val="auto"/>
              </w:rPr>
              <w:t>运营期项目厂界噪声执行《工业企业厂界环境噪声排放标准》（GB12348-2008）中2类标准。具体标准值见表</w:t>
            </w:r>
            <w:r>
              <w:rPr>
                <w:rFonts w:hint="eastAsia"/>
                <w:color w:val="auto"/>
                <w:lang w:val="en-US" w:eastAsia="zh-CN"/>
              </w:rPr>
              <w:t>22</w:t>
            </w:r>
            <w:r>
              <w:rPr>
                <w:rFonts w:hint="eastAsia"/>
                <w:color w:val="auto"/>
              </w:rPr>
              <w:t>。</w:t>
            </w:r>
          </w:p>
          <w:p w14:paraId="690917BD">
            <w:pPr>
              <w:spacing w:line="440" w:lineRule="exact"/>
              <w:jc w:val="center"/>
              <w:rPr>
                <w:b/>
                <w:color w:val="auto"/>
              </w:rPr>
            </w:pPr>
            <w:r>
              <w:rPr>
                <w:b/>
                <w:color w:val="auto"/>
              </w:rPr>
              <w:t>表</w:t>
            </w:r>
            <w:r>
              <w:rPr>
                <w:rFonts w:hint="eastAsia"/>
                <w:b/>
                <w:color w:val="auto"/>
                <w:lang w:val="en-US" w:eastAsia="zh-CN"/>
              </w:rPr>
              <w:t>22</w:t>
            </w:r>
            <w:r>
              <w:rPr>
                <w:rFonts w:hint="eastAsia"/>
                <w:b/>
                <w:color w:val="auto"/>
              </w:rPr>
              <w:t xml:space="preserve"> 工业企业厂界环境</w:t>
            </w:r>
            <w:r>
              <w:rPr>
                <w:b/>
                <w:color w:val="auto"/>
              </w:rPr>
              <w:t>噪声排放标准</w:t>
            </w:r>
          </w:p>
          <w:tbl>
            <w:tblPr>
              <w:tblStyle w:val="28"/>
              <w:tblW w:w="0" w:type="auto"/>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2880"/>
              <w:gridCol w:w="2604"/>
              <w:gridCol w:w="2484"/>
            </w:tblGrid>
            <w:tr w14:paraId="508A7D6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2" w:hRule="atLeast"/>
                <w:jc w:val="center"/>
              </w:trPr>
              <w:tc>
                <w:tcPr>
                  <w:tcW w:w="2880" w:type="dxa"/>
                  <w:tcBorders>
                    <w:tl2br w:val="nil"/>
                    <w:tr2bl w:val="nil"/>
                  </w:tcBorders>
                  <w:vAlign w:val="center"/>
                </w:tcPr>
                <w:p w14:paraId="2771EEDE">
                  <w:pPr>
                    <w:spacing w:line="0" w:lineRule="atLeast"/>
                    <w:jc w:val="center"/>
                    <w:rPr>
                      <w:rFonts w:hAnsi="宋体"/>
                      <w:color w:val="auto"/>
                      <w:spacing w:val="-20"/>
                      <w:szCs w:val="21"/>
                    </w:rPr>
                  </w:pPr>
                  <w:r>
                    <w:rPr>
                      <w:rFonts w:hAnsi="宋体"/>
                      <w:color w:val="auto"/>
                      <w:spacing w:val="-20"/>
                      <w:szCs w:val="21"/>
                    </w:rPr>
                    <w:t xml:space="preserve">               执行时段</w:t>
                  </w:r>
                </w:p>
                <w:p w14:paraId="4BD6113F">
                  <w:pPr>
                    <w:spacing w:line="0" w:lineRule="atLeast"/>
                    <w:ind w:firstLine="440"/>
                    <w:rPr>
                      <w:rFonts w:hAnsi="宋体"/>
                      <w:color w:val="auto"/>
                      <w:spacing w:val="-20"/>
                      <w:szCs w:val="21"/>
                    </w:rPr>
                  </w:pPr>
                  <w:r>
                    <w:rPr>
                      <w:rFonts w:hAnsi="宋体"/>
                      <w:color w:val="auto"/>
                      <w:spacing w:val="-20"/>
                      <w:szCs w:val="21"/>
                    </w:rPr>
                    <w:t>标准类别</w:t>
                  </w:r>
                </w:p>
              </w:tc>
              <w:tc>
                <w:tcPr>
                  <w:tcW w:w="2604" w:type="dxa"/>
                  <w:tcBorders>
                    <w:tl2br w:val="nil"/>
                    <w:tr2bl w:val="nil"/>
                  </w:tcBorders>
                  <w:vAlign w:val="center"/>
                </w:tcPr>
                <w:p w14:paraId="5F175770">
                  <w:pPr>
                    <w:spacing w:line="0" w:lineRule="atLeast"/>
                    <w:jc w:val="center"/>
                    <w:rPr>
                      <w:rFonts w:hAnsi="宋体"/>
                      <w:color w:val="auto"/>
                      <w:spacing w:val="-20"/>
                      <w:szCs w:val="21"/>
                    </w:rPr>
                  </w:pPr>
                  <w:r>
                    <w:rPr>
                      <w:rFonts w:hAnsi="宋体"/>
                      <w:color w:val="auto"/>
                      <w:spacing w:val="-20"/>
                      <w:szCs w:val="21"/>
                    </w:rPr>
                    <w:t>昼间</w:t>
                  </w:r>
                </w:p>
              </w:tc>
              <w:tc>
                <w:tcPr>
                  <w:tcW w:w="2484" w:type="dxa"/>
                  <w:tcBorders>
                    <w:tl2br w:val="nil"/>
                    <w:tr2bl w:val="nil"/>
                  </w:tcBorders>
                  <w:vAlign w:val="center"/>
                </w:tcPr>
                <w:p w14:paraId="46CA716E">
                  <w:pPr>
                    <w:spacing w:line="0" w:lineRule="atLeast"/>
                    <w:jc w:val="center"/>
                    <w:rPr>
                      <w:rFonts w:hAnsi="宋体"/>
                      <w:color w:val="auto"/>
                      <w:spacing w:val="-20"/>
                      <w:szCs w:val="21"/>
                    </w:rPr>
                  </w:pPr>
                  <w:r>
                    <w:rPr>
                      <w:rFonts w:hAnsi="宋体"/>
                      <w:color w:val="auto"/>
                      <w:spacing w:val="-20"/>
                      <w:szCs w:val="21"/>
                    </w:rPr>
                    <w:t>夜间</w:t>
                  </w:r>
                </w:p>
              </w:tc>
            </w:tr>
            <w:tr w14:paraId="4C041E1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1" w:hRule="atLeast"/>
                <w:jc w:val="center"/>
              </w:trPr>
              <w:tc>
                <w:tcPr>
                  <w:tcW w:w="2880" w:type="dxa"/>
                  <w:tcBorders>
                    <w:tl2br w:val="nil"/>
                    <w:tr2bl w:val="nil"/>
                  </w:tcBorders>
                  <w:vAlign w:val="center"/>
                </w:tcPr>
                <w:p w14:paraId="62D680D0">
                  <w:pPr>
                    <w:spacing w:line="0" w:lineRule="atLeast"/>
                    <w:jc w:val="center"/>
                    <w:rPr>
                      <w:rFonts w:hAnsi="宋体"/>
                      <w:color w:val="auto"/>
                      <w:spacing w:val="-20"/>
                      <w:szCs w:val="21"/>
                    </w:rPr>
                  </w:pPr>
                  <w:r>
                    <w:rPr>
                      <w:rFonts w:hAnsi="宋体"/>
                      <w:color w:val="auto"/>
                      <w:spacing w:val="-20"/>
                      <w:szCs w:val="21"/>
                    </w:rPr>
                    <w:t>《工业企业厂界环境噪声排放标准》（GB12348-2008）</w:t>
                  </w:r>
                  <w:r>
                    <w:rPr>
                      <w:rFonts w:hint="eastAsia" w:hAnsi="宋体"/>
                      <w:color w:val="auto"/>
                      <w:spacing w:val="-20"/>
                      <w:szCs w:val="21"/>
                    </w:rPr>
                    <w:t>2类标准</w:t>
                  </w:r>
                </w:p>
              </w:tc>
              <w:tc>
                <w:tcPr>
                  <w:tcW w:w="2604" w:type="dxa"/>
                  <w:tcBorders>
                    <w:tl2br w:val="nil"/>
                    <w:tr2bl w:val="nil"/>
                  </w:tcBorders>
                  <w:vAlign w:val="center"/>
                </w:tcPr>
                <w:p w14:paraId="276BA157">
                  <w:pPr>
                    <w:spacing w:line="0" w:lineRule="atLeast"/>
                    <w:jc w:val="center"/>
                    <w:rPr>
                      <w:rFonts w:hAnsi="宋体"/>
                      <w:color w:val="auto"/>
                      <w:spacing w:val="-20"/>
                      <w:szCs w:val="21"/>
                    </w:rPr>
                  </w:pPr>
                  <w:r>
                    <w:rPr>
                      <w:rFonts w:hint="eastAsia" w:hAnsi="宋体"/>
                      <w:color w:val="auto"/>
                      <w:spacing w:val="-20"/>
                      <w:szCs w:val="21"/>
                    </w:rPr>
                    <w:t>60</w:t>
                  </w:r>
                  <w:r>
                    <w:rPr>
                      <w:rFonts w:hAnsi="宋体"/>
                      <w:color w:val="auto"/>
                      <w:spacing w:val="-20"/>
                      <w:szCs w:val="21"/>
                    </w:rPr>
                    <w:t>dB(A)</w:t>
                  </w:r>
                </w:p>
              </w:tc>
              <w:tc>
                <w:tcPr>
                  <w:tcW w:w="2484" w:type="dxa"/>
                  <w:tcBorders>
                    <w:tl2br w:val="nil"/>
                    <w:tr2bl w:val="nil"/>
                  </w:tcBorders>
                  <w:vAlign w:val="center"/>
                </w:tcPr>
                <w:p w14:paraId="4F2F7A49">
                  <w:pPr>
                    <w:spacing w:line="0" w:lineRule="atLeast"/>
                    <w:jc w:val="center"/>
                    <w:rPr>
                      <w:rFonts w:hAnsi="宋体"/>
                      <w:color w:val="auto"/>
                      <w:spacing w:val="-20"/>
                      <w:szCs w:val="21"/>
                    </w:rPr>
                  </w:pPr>
                  <w:r>
                    <w:rPr>
                      <w:rFonts w:hAnsi="宋体"/>
                      <w:color w:val="auto"/>
                      <w:spacing w:val="-20"/>
                      <w:szCs w:val="21"/>
                    </w:rPr>
                    <w:t>5</w:t>
                  </w:r>
                  <w:r>
                    <w:rPr>
                      <w:rFonts w:hint="eastAsia" w:hAnsi="宋体"/>
                      <w:color w:val="auto"/>
                      <w:spacing w:val="-20"/>
                      <w:szCs w:val="21"/>
                    </w:rPr>
                    <w:t>0</w:t>
                  </w:r>
                  <w:r>
                    <w:rPr>
                      <w:rFonts w:hAnsi="宋体"/>
                      <w:color w:val="auto"/>
                      <w:spacing w:val="-20"/>
                      <w:szCs w:val="21"/>
                    </w:rPr>
                    <w:t>dB(A)</w:t>
                  </w:r>
                </w:p>
              </w:tc>
            </w:tr>
          </w:tbl>
          <w:p w14:paraId="19524311">
            <w:pPr>
              <w:spacing w:line="440" w:lineRule="exact"/>
              <w:ind w:firstLine="420" w:firstLineChars="200"/>
              <w:rPr>
                <w:color w:val="auto"/>
              </w:rPr>
            </w:pPr>
            <w:r>
              <w:rPr>
                <w:color w:val="auto"/>
              </w:rPr>
              <w:t>（</w:t>
            </w:r>
            <w:r>
              <w:rPr>
                <w:rFonts w:hint="eastAsia"/>
                <w:color w:val="auto"/>
              </w:rPr>
              <w:t>3</w:t>
            </w:r>
            <w:r>
              <w:rPr>
                <w:color w:val="auto"/>
              </w:rPr>
              <w:t>）</w:t>
            </w:r>
            <w:r>
              <w:rPr>
                <w:rFonts w:hint="eastAsia"/>
                <w:color w:val="auto"/>
              </w:rPr>
              <w:t>固废</w:t>
            </w:r>
          </w:p>
          <w:p w14:paraId="71539ABC">
            <w:pPr>
              <w:spacing w:line="440" w:lineRule="exact"/>
              <w:ind w:firstLine="420" w:firstLineChars="200"/>
              <w:rPr>
                <w:rFonts w:ascii="宋体" w:hAnsi="宋体" w:cs="宋体"/>
                <w:color w:val="auto"/>
                <w:kern w:val="0"/>
                <w:szCs w:val="21"/>
              </w:rPr>
            </w:pPr>
            <w:r>
              <w:rPr>
                <w:rFonts w:hint="eastAsia" w:ascii="Times New Roman" w:hAnsi="Times New Roman" w:cs="Times New Roman"/>
                <w:color w:val="auto"/>
                <w:lang w:val="en-US" w:eastAsia="zh-CN"/>
              </w:rPr>
              <w:t>固体废物执行《中华人民共和国固体废物污染环境防治法》，同时一般工业固体废物贮存过程满足《一般工业固体废物贮存和填埋污染控制标准》</w:t>
            </w:r>
            <w:r>
              <w:rPr>
                <w:rFonts w:hint="eastAsia" w:cs="Times New Roman"/>
                <w:color w:val="auto"/>
                <w:lang w:val="en-US" w:eastAsia="zh-CN"/>
              </w:rPr>
              <w:t>（</w:t>
            </w:r>
            <w:r>
              <w:rPr>
                <w:rFonts w:hint="eastAsia" w:ascii="Times New Roman" w:hAnsi="Times New Roman" w:cs="Times New Roman"/>
                <w:color w:val="auto"/>
                <w:lang w:val="en-US" w:eastAsia="zh-CN"/>
              </w:rPr>
              <w:t>GB18599-2020</w:t>
            </w:r>
            <w:r>
              <w:rPr>
                <w:rFonts w:hint="eastAsia" w:cs="Times New Roman"/>
                <w:color w:val="auto"/>
                <w:lang w:val="en-US" w:eastAsia="zh-CN"/>
              </w:rPr>
              <w:t>）</w:t>
            </w:r>
            <w:r>
              <w:rPr>
                <w:rFonts w:hint="eastAsia" w:ascii="Times New Roman" w:hAnsi="Times New Roman" w:cs="Times New Roman"/>
                <w:color w:val="auto"/>
                <w:lang w:val="en-US" w:eastAsia="zh-CN"/>
              </w:rPr>
              <w:t>中采用库房、包装工具贮存应满足的环境保护要求(防渗漏、防雨淋、防扬尘)；</w:t>
            </w:r>
            <w:r>
              <w:rPr>
                <w:rFonts w:hint="eastAsia" w:ascii="Times New Roman" w:hAnsi="Times New Roman" w:cs="Times New Roman"/>
                <w:color w:val="auto"/>
              </w:rPr>
              <w:t>危险废物</w:t>
            </w:r>
            <w:r>
              <w:rPr>
                <w:rFonts w:hint="eastAsia" w:ascii="Times New Roman" w:hAnsi="Times New Roman" w:cs="Times New Roman"/>
                <w:color w:val="auto"/>
                <w:lang w:val="en-US" w:eastAsia="zh-CN"/>
              </w:rPr>
              <w:t>满足</w:t>
            </w:r>
            <w:r>
              <w:rPr>
                <w:rFonts w:hint="eastAsia" w:ascii="Times New Roman" w:hAnsi="Times New Roman" w:cs="Times New Roman"/>
                <w:color w:val="auto"/>
              </w:rPr>
              <w:t>《危险废物贮存污染控制标准》</w:t>
            </w:r>
            <w:r>
              <w:rPr>
                <w:rFonts w:hint="eastAsia" w:cs="Times New Roman"/>
                <w:color w:val="auto"/>
                <w:lang w:val="en-US" w:eastAsia="zh-CN"/>
              </w:rPr>
              <w:t>（</w:t>
            </w:r>
            <w:r>
              <w:rPr>
                <w:rFonts w:hint="eastAsia" w:ascii="Times New Roman" w:hAnsi="Times New Roman" w:cs="Times New Roman"/>
                <w:color w:val="auto"/>
              </w:rPr>
              <w:t>GB18597-20</w:t>
            </w:r>
            <w:r>
              <w:rPr>
                <w:rFonts w:hint="eastAsia" w:ascii="Times New Roman" w:hAnsi="Times New Roman" w:cs="Times New Roman"/>
                <w:color w:val="auto"/>
                <w:lang w:val="en-US" w:eastAsia="zh-CN"/>
              </w:rPr>
              <w:t>23</w:t>
            </w:r>
            <w:r>
              <w:rPr>
                <w:rFonts w:hint="eastAsia" w:cs="Times New Roman"/>
                <w:color w:val="auto"/>
                <w:lang w:val="en-US" w:eastAsia="zh-CN"/>
              </w:rPr>
              <w:t>）</w:t>
            </w:r>
            <w:r>
              <w:rPr>
                <w:rFonts w:hint="eastAsia" w:ascii="Times New Roman" w:hAnsi="Times New Roman" w:cs="Times New Roman"/>
                <w:color w:val="auto"/>
              </w:rPr>
              <w:t>中的相关规定。</w:t>
            </w:r>
          </w:p>
        </w:tc>
      </w:tr>
      <w:tr w14:paraId="3676C29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330" w:hRule="atLeast"/>
          <w:jc w:val="center"/>
        </w:trPr>
        <w:tc>
          <w:tcPr>
            <w:tcW w:w="800" w:type="dxa"/>
            <w:vAlign w:val="center"/>
          </w:tcPr>
          <w:p w14:paraId="31500D93">
            <w:pPr>
              <w:adjustRightInd w:val="0"/>
              <w:snapToGrid w:val="0"/>
              <w:jc w:val="center"/>
              <w:rPr>
                <w:rFonts w:ascii="宋体" w:hAnsi="宋体" w:cs="宋体"/>
                <w:color w:val="auto"/>
                <w:kern w:val="0"/>
                <w:szCs w:val="21"/>
              </w:rPr>
            </w:pPr>
            <w:r>
              <w:rPr>
                <w:rFonts w:hint="eastAsia" w:ascii="宋体" w:hAnsi="宋体" w:cs="宋体"/>
                <w:color w:val="auto"/>
                <w:kern w:val="0"/>
                <w:szCs w:val="21"/>
              </w:rPr>
              <w:t>总量</w:t>
            </w:r>
          </w:p>
          <w:p w14:paraId="449B6A14">
            <w:pPr>
              <w:adjustRightInd w:val="0"/>
              <w:snapToGrid w:val="0"/>
              <w:jc w:val="center"/>
              <w:rPr>
                <w:rFonts w:ascii="宋体" w:hAnsi="宋体" w:cs="宋体"/>
                <w:color w:val="auto"/>
                <w:kern w:val="0"/>
                <w:szCs w:val="21"/>
              </w:rPr>
            </w:pPr>
            <w:r>
              <w:rPr>
                <w:rFonts w:hint="eastAsia" w:ascii="宋体" w:hAnsi="宋体" w:cs="宋体"/>
                <w:color w:val="auto"/>
                <w:kern w:val="0"/>
                <w:szCs w:val="21"/>
              </w:rPr>
              <w:t>控制</w:t>
            </w:r>
          </w:p>
          <w:p w14:paraId="2AFBBCB3">
            <w:pPr>
              <w:adjustRightInd w:val="0"/>
              <w:snapToGrid w:val="0"/>
              <w:jc w:val="center"/>
              <w:rPr>
                <w:rFonts w:ascii="宋体" w:hAnsi="宋体" w:cs="宋体"/>
                <w:color w:val="auto"/>
                <w:kern w:val="0"/>
                <w:szCs w:val="21"/>
              </w:rPr>
            </w:pPr>
            <w:r>
              <w:rPr>
                <w:rFonts w:hint="eastAsia" w:ascii="宋体" w:hAnsi="宋体" w:cs="宋体"/>
                <w:color w:val="auto"/>
                <w:kern w:val="0"/>
                <w:szCs w:val="21"/>
              </w:rPr>
              <w:t>指标</w:t>
            </w:r>
          </w:p>
        </w:tc>
        <w:tc>
          <w:tcPr>
            <w:tcW w:w="8190" w:type="dxa"/>
            <w:vAlign w:val="center"/>
          </w:tcPr>
          <w:p w14:paraId="05816B3D">
            <w:pPr>
              <w:spacing w:line="440" w:lineRule="exact"/>
              <w:ind w:firstLine="420" w:firstLineChars="200"/>
              <w:rPr>
                <w:rFonts w:hAnsi="宋体"/>
                <w:color w:val="auto"/>
                <w:highlight w:val="none"/>
              </w:rPr>
            </w:pPr>
            <w:r>
              <w:rPr>
                <w:rFonts w:hint="eastAsia" w:hAnsi="宋体"/>
                <w:color w:val="auto"/>
                <w:highlight w:val="none"/>
              </w:rPr>
              <w:t>根据《关于印发&lt;建设项目主要污染物排放总量指标审核及管理暂行办法&gt;的通知》（环发[2014]197号）规定：“火电、钢铁、水泥、造纸、印染行业建设项目所需替代的主要污染物排放总量指标采用绩效方法核定。其他行业依据国家或地方污染物排放标准及单位产品基准排水量（行业最高允许排水量）、烟气量等予以核定。”</w:t>
            </w:r>
          </w:p>
          <w:p w14:paraId="5CC6F66A">
            <w:pPr>
              <w:spacing w:line="440" w:lineRule="exact"/>
              <w:ind w:firstLine="420" w:firstLineChars="200"/>
              <w:rPr>
                <w:rFonts w:hAnsi="宋体"/>
                <w:color w:val="auto"/>
                <w:highlight w:val="none"/>
              </w:rPr>
            </w:pPr>
            <w:r>
              <w:rPr>
                <w:rFonts w:hint="eastAsia" w:hAnsi="宋体"/>
                <w:color w:val="auto"/>
                <w:highlight w:val="none"/>
              </w:rPr>
              <w:t>①大气污染物总量控制目标值的确定</w:t>
            </w:r>
          </w:p>
          <w:p w14:paraId="638D4957">
            <w:pPr>
              <w:spacing w:line="440" w:lineRule="exact"/>
              <w:ind w:firstLine="420" w:firstLineChars="200"/>
              <w:rPr>
                <w:rFonts w:hint="eastAsia"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lang w:val="en-US" w:eastAsia="zh-CN"/>
              </w:rPr>
              <w:t>本项目生产车间不供暖，不涉及SO</w:t>
            </w:r>
            <w:r>
              <w:rPr>
                <w:rFonts w:hint="eastAsia" w:ascii="Times New Roman" w:hAnsi="Times New Roman" w:eastAsia="宋体" w:cs="Times New Roman"/>
                <w:color w:val="auto"/>
                <w:highlight w:val="none"/>
                <w:vertAlign w:val="subscript"/>
                <w:lang w:val="en-US" w:eastAsia="zh-CN"/>
              </w:rPr>
              <w:t>2</w:t>
            </w:r>
            <w:r>
              <w:rPr>
                <w:rFonts w:hint="eastAsia" w:ascii="Times New Roman" w:hAnsi="Times New Roman" w:eastAsia="宋体" w:cs="Times New Roman"/>
                <w:color w:val="auto"/>
                <w:highlight w:val="none"/>
                <w:lang w:val="en-US" w:eastAsia="zh-CN"/>
              </w:rPr>
              <w:t>及NO</w:t>
            </w:r>
            <w:r>
              <w:rPr>
                <w:rFonts w:hint="eastAsia" w:ascii="Times New Roman" w:hAnsi="Times New Roman" w:eastAsia="宋体" w:cs="Times New Roman"/>
                <w:color w:val="auto"/>
                <w:highlight w:val="none"/>
                <w:vertAlign w:val="subscript"/>
                <w:lang w:val="en-US" w:eastAsia="zh-CN"/>
              </w:rPr>
              <w:t>X</w:t>
            </w:r>
            <w:r>
              <w:rPr>
                <w:rFonts w:hint="eastAsia" w:ascii="Times New Roman" w:hAnsi="Times New Roman" w:eastAsia="宋体" w:cs="Times New Roman"/>
                <w:color w:val="auto"/>
                <w:highlight w:val="none"/>
                <w:lang w:val="en-US" w:eastAsia="zh-CN"/>
              </w:rPr>
              <w:t>排放。本项目</w:t>
            </w:r>
            <w:r>
              <w:rPr>
                <w:rFonts w:hint="eastAsia" w:cs="Times New Roman"/>
                <w:color w:val="auto"/>
                <w:highlight w:val="none"/>
                <w:lang w:val="en-US" w:eastAsia="zh-CN"/>
              </w:rPr>
              <w:t>钢渣处理生产线</w:t>
            </w:r>
            <w:r>
              <w:rPr>
                <w:rFonts w:hint="eastAsia" w:ascii="Times New Roman" w:hAnsi="宋体" w:eastAsia="宋体" w:cs="Times New Roman"/>
                <w:color w:val="auto"/>
                <w:highlight w:val="none"/>
                <w:lang w:val="en-US" w:eastAsia="zh-CN"/>
              </w:rPr>
              <w:t>采用1台</w:t>
            </w:r>
            <w:r>
              <w:rPr>
                <w:rFonts w:hint="eastAsia" w:ascii="Times New Roman" w:hAnsi="宋体" w:eastAsia="宋体" w:cs="Times New Roman"/>
                <w:color w:val="auto"/>
                <w:highlight w:val="none"/>
              </w:rPr>
              <w:t>脉冲布袋除尘器</w:t>
            </w:r>
            <w:r>
              <w:rPr>
                <w:rFonts w:hint="eastAsia" w:ascii="Times New Roman" w:hAnsi="宋体" w:eastAsia="宋体" w:cs="Times New Roman"/>
                <w:color w:val="auto"/>
                <w:highlight w:val="none"/>
                <w:lang w:eastAsia="zh-CN"/>
              </w:rPr>
              <w:t>（</w:t>
            </w:r>
            <w:r>
              <w:rPr>
                <w:rFonts w:hint="eastAsia" w:ascii="Times New Roman" w:hAnsi="宋体" w:eastAsia="宋体" w:cs="Times New Roman"/>
                <w:color w:val="auto"/>
                <w:highlight w:val="none"/>
                <w:lang w:val="en-US" w:eastAsia="zh-CN"/>
              </w:rPr>
              <w:t>风量</w:t>
            </w:r>
            <w:r>
              <w:rPr>
                <w:rFonts w:hint="eastAsia" w:hAnsi="宋体" w:cs="Times New Roman"/>
                <w:color w:val="auto"/>
                <w:highlight w:val="none"/>
                <w:lang w:val="en-US" w:eastAsia="zh-CN"/>
              </w:rPr>
              <w:t>50</w:t>
            </w:r>
            <w:r>
              <w:rPr>
                <w:rFonts w:hint="eastAsia" w:ascii="Times New Roman" w:hAnsi="宋体" w:eastAsia="宋体" w:cs="Times New Roman"/>
                <w:color w:val="auto"/>
                <w:highlight w:val="none"/>
                <w:lang w:val="en-US" w:eastAsia="zh-CN"/>
              </w:rPr>
              <w:t>000m</w:t>
            </w:r>
            <w:r>
              <w:rPr>
                <w:rFonts w:hint="eastAsia" w:ascii="Times New Roman" w:hAnsi="宋体" w:eastAsia="宋体" w:cs="Times New Roman"/>
                <w:color w:val="auto"/>
                <w:highlight w:val="none"/>
                <w:vertAlign w:val="superscript"/>
                <w:lang w:val="en-US" w:eastAsia="zh-CN"/>
              </w:rPr>
              <w:t>3</w:t>
            </w:r>
            <w:r>
              <w:rPr>
                <w:rFonts w:hint="eastAsia" w:ascii="Times New Roman" w:hAnsi="宋体" w:eastAsia="宋体" w:cs="Times New Roman"/>
                <w:color w:val="auto"/>
                <w:highlight w:val="none"/>
                <w:lang w:val="en-US" w:eastAsia="zh-CN"/>
              </w:rPr>
              <w:t>/h、年运行时间</w:t>
            </w:r>
            <w:r>
              <w:rPr>
                <w:rFonts w:hint="eastAsia" w:ascii="Times New Roman" w:hAnsi="宋体" w:cs="Times New Roman"/>
                <w:color w:val="auto"/>
                <w:highlight w:val="none"/>
                <w:lang w:val="en-US" w:eastAsia="zh-CN"/>
              </w:rPr>
              <w:t>72</w:t>
            </w:r>
            <w:r>
              <w:rPr>
                <w:rFonts w:hint="eastAsia" w:ascii="Times New Roman" w:hAnsi="宋体" w:eastAsia="宋体" w:cs="Times New Roman"/>
                <w:color w:val="auto"/>
                <w:highlight w:val="none"/>
                <w:lang w:val="en-US" w:eastAsia="zh-CN"/>
              </w:rPr>
              <w:t>00h</w:t>
            </w:r>
            <w:r>
              <w:rPr>
                <w:rFonts w:hint="eastAsia" w:ascii="Times New Roman" w:hAnsi="宋体" w:eastAsia="宋体" w:cs="Times New Roman"/>
                <w:color w:val="auto"/>
                <w:highlight w:val="none"/>
                <w:lang w:eastAsia="zh-CN"/>
              </w:rPr>
              <w:t>）</w:t>
            </w:r>
            <w:r>
              <w:rPr>
                <w:rFonts w:hint="eastAsia" w:ascii="Times New Roman" w:hAnsi="宋体" w:eastAsia="宋体" w:cs="Times New Roman"/>
                <w:color w:val="auto"/>
                <w:highlight w:val="none"/>
              </w:rPr>
              <w:t>进行处理</w:t>
            </w:r>
            <w:r>
              <w:rPr>
                <w:rFonts w:hint="eastAsia" w:ascii="Times New Roman" w:hAnsi="宋体" w:eastAsia="宋体" w:cs="Times New Roman"/>
                <w:color w:val="auto"/>
                <w:highlight w:val="none"/>
                <w:lang w:eastAsia="zh-CN"/>
              </w:rPr>
              <w:t>；</w:t>
            </w:r>
            <w:r>
              <w:rPr>
                <w:rFonts w:hint="eastAsia" w:ascii="Times New Roman" w:hAnsi="宋体" w:cs="Times New Roman"/>
                <w:color w:val="auto"/>
                <w:highlight w:val="none"/>
                <w:lang w:val="en-US" w:eastAsia="zh-CN"/>
              </w:rPr>
              <w:t>废钢破碎尾料</w:t>
            </w:r>
            <w:r>
              <w:rPr>
                <w:rFonts w:hint="eastAsia" w:cs="Times New Roman"/>
                <w:color w:val="auto"/>
                <w:highlight w:val="none"/>
                <w:lang w:val="en-US" w:eastAsia="zh-CN"/>
              </w:rPr>
              <w:t>处理生产线</w:t>
            </w:r>
            <w:r>
              <w:rPr>
                <w:rFonts w:hint="eastAsia" w:ascii="Times New Roman" w:hAnsi="宋体" w:eastAsia="宋体" w:cs="Times New Roman"/>
                <w:color w:val="auto"/>
                <w:highlight w:val="none"/>
                <w:lang w:val="en-US" w:eastAsia="zh-CN"/>
              </w:rPr>
              <w:t>采用1台</w:t>
            </w:r>
            <w:r>
              <w:rPr>
                <w:rFonts w:hint="eastAsia" w:ascii="Times New Roman" w:hAnsi="宋体" w:eastAsia="宋体" w:cs="Times New Roman"/>
                <w:color w:val="auto"/>
                <w:highlight w:val="none"/>
              </w:rPr>
              <w:t>脉冲布袋除尘器</w:t>
            </w:r>
            <w:r>
              <w:rPr>
                <w:rFonts w:hint="eastAsia" w:ascii="Times New Roman" w:hAnsi="宋体" w:eastAsia="宋体" w:cs="Times New Roman"/>
                <w:color w:val="auto"/>
                <w:highlight w:val="none"/>
                <w:lang w:eastAsia="zh-CN"/>
              </w:rPr>
              <w:t>（</w:t>
            </w:r>
            <w:r>
              <w:rPr>
                <w:rFonts w:hint="eastAsia" w:ascii="Times New Roman" w:hAnsi="宋体" w:eastAsia="宋体" w:cs="Times New Roman"/>
                <w:color w:val="auto"/>
                <w:highlight w:val="none"/>
                <w:lang w:val="en-US" w:eastAsia="zh-CN"/>
              </w:rPr>
              <w:t>风量</w:t>
            </w:r>
            <w:r>
              <w:rPr>
                <w:rFonts w:hint="eastAsia" w:hAnsi="宋体" w:cs="Times New Roman"/>
                <w:color w:val="auto"/>
                <w:highlight w:val="none"/>
                <w:lang w:val="en-US" w:eastAsia="zh-CN"/>
              </w:rPr>
              <w:t>50</w:t>
            </w:r>
            <w:r>
              <w:rPr>
                <w:rFonts w:hint="eastAsia" w:ascii="Times New Roman" w:hAnsi="宋体" w:eastAsia="宋体" w:cs="Times New Roman"/>
                <w:color w:val="auto"/>
                <w:highlight w:val="none"/>
                <w:lang w:val="en-US" w:eastAsia="zh-CN"/>
              </w:rPr>
              <w:t>000m</w:t>
            </w:r>
            <w:r>
              <w:rPr>
                <w:rFonts w:hint="eastAsia" w:ascii="Times New Roman" w:hAnsi="宋体" w:eastAsia="宋体" w:cs="Times New Roman"/>
                <w:color w:val="auto"/>
                <w:highlight w:val="none"/>
                <w:vertAlign w:val="superscript"/>
                <w:lang w:val="en-US" w:eastAsia="zh-CN"/>
              </w:rPr>
              <w:t>3</w:t>
            </w:r>
            <w:r>
              <w:rPr>
                <w:rFonts w:hint="eastAsia" w:ascii="Times New Roman" w:hAnsi="宋体" w:eastAsia="宋体" w:cs="Times New Roman"/>
                <w:color w:val="auto"/>
                <w:highlight w:val="none"/>
                <w:lang w:val="en-US" w:eastAsia="zh-CN"/>
              </w:rPr>
              <w:t>/h、年运行时间</w:t>
            </w:r>
            <w:r>
              <w:rPr>
                <w:rFonts w:hint="eastAsia" w:hAnsi="宋体" w:cs="Times New Roman"/>
                <w:color w:val="auto"/>
                <w:highlight w:val="none"/>
                <w:lang w:val="en-US" w:eastAsia="zh-CN"/>
              </w:rPr>
              <w:t>72</w:t>
            </w:r>
            <w:r>
              <w:rPr>
                <w:rFonts w:hint="eastAsia" w:ascii="Times New Roman" w:hAnsi="宋体" w:eastAsia="宋体" w:cs="Times New Roman"/>
                <w:color w:val="auto"/>
                <w:highlight w:val="none"/>
                <w:lang w:val="en-US" w:eastAsia="zh-CN"/>
              </w:rPr>
              <w:t>00h</w:t>
            </w:r>
            <w:r>
              <w:rPr>
                <w:rFonts w:hint="eastAsia" w:ascii="Times New Roman" w:hAnsi="宋体" w:eastAsia="宋体" w:cs="Times New Roman"/>
                <w:color w:val="auto"/>
                <w:highlight w:val="none"/>
                <w:lang w:eastAsia="zh-CN"/>
              </w:rPr>
              <w:t>）</w:t>
            </w:r>
            <w:r>
              <w:rPr>
                <w:rFonts w:hint="eastAsia" w:ascii="Times New Roman" w:hAnsi="宋体" w:eastAsia="宋体" w:cs="Times New Roman"/>
                <w:color w:val="auto"/>
                <w:highlight w:val="none"/>
              </w:rPr>
              <w:t>进行处理</w:t>
            </w:r>
            <w:r>
              <w:rPr>
                <w:rFonts w:hint="eastAsia" w:ascii="Times New Roman" w:hAnsi="Times New Roman" w:eastAsia="宋体" w:cs="Times New Roman"/>
                <w:color w:val="auto"/>
                <w:highlight w:val="none"/>
                <w:lang w:val="en-US" w:eastAsia="zh-CN"/>
              </w:rPr>
              <w:t>。颗粒物排放浓度执行《钢铁工业大气污染物超低排放标准》（DB13/2169-2018）</w:t>
            </w:r>
            <w:r>
              <w:rPr>
                <w:rFonts w:hint="eastAsia" w:ascii="Times New Roman" w:hAnsi="Times New Roman" w:cs="Times New Roman"/>
                <w:color w:val="auto"/>
                <w:highlight w:val="none"/>
                <w:lang w:val="en-US" w:eastAsia="zh-CN"/>
              </w:rPr>
              <w:t>表1</w:t>
            </w:r>
            <w:r>
              <w:rPr>
                <w:rFonts w:hint="eastAsia" w:ascii="Times New Roman" w:hAnsi="Times New Roman" w:eastAsia="宋体" w:cs="Times New Roman"/>
                <w:color w:val="auto"/>
                <w:highlight w:val="none"/>
                <w:lang w:val="en-US" w:eastAsia="zh-CN"/>
              </w:rPr>
              <w:t>钢渣处理颗粒物排放浓度限值及《关于下达唐山市2019年五大行业大气污染治理重点工作任务的通知》（唐环气[2019]1号）的限值要求：10</w:t>
            </w:r>
            <w:r>
              <w:rPr>
                <w:rFonts w:hint="default" w:ascii="Times New Roman" w:hAnsi="Times New Roman" w:eastAsia="宋体" w:cs="Times New Roman"/>
                <w:color w:val="auto"/>
                <w:highlight w:val="none"/>
                <w:lang w:val="en-US" w:eastAsia="zh-CN"/>
              </w:rPr>
              <w:t>mg/m</w:t>
            </w:r>
            <w:r>
              <w:rPr>
                <w:rFonts w:hint="default" w:ascii="Times New Roman" w:hAnsi="Times New Roman" w:eastAsia="宋体" w:cs="Times New Roman"/>
                <w:color w:val="auto"/>
                <w:highlight w:val="none"/>
                <w:vertAlign w:val="superscript"/>
                <w:lang w:val="en-US" w:eastAsia="zh-CN"/>
              </w:rPr>
              <w:t>3</w:t>
            </w:r>
            <w:r>
              <w:rPr>
                <w:rFonts w:hint="eastAsia" w:cs="Times New Roman"/>
                <w:color w:val="auto"/>
                <w:highlight w:val="none"/>
                <w:lang w:val="en-US" w:eastAsia="zh-CN"/>
              </w:rPr>
              <w:t>。</w:t>
            </w:r>
            <w:r>
              <w:rPr>
                <w:rFonts w:hint="eastAsia" w:ascii="Times New Roman" w:hAnsi="Times New Roman" w:eastAsia="宋体" w:cs="Times New Roman"/>
                <w:color w:val="auto"/>
                <w:highlight w:val="none"/>
                <w:lang w:val="en-US" w:eastAsia="zh-CN"/>
              </w:rPr>
              <w:t>则颗粒物总量控制指标计算如下：</w:t>
            </w:r>
          </w:p>
          <w:p w14:paraId="58C425C1">
            <w:pPr>
              <w:spacing w:line="440" w:lineRule="exact"/>
              <w:ind w:firstLine="420" w:firstLineChars="200"/>
              <w:rPr>
                <w:rFonts w:hint="eastAsia" w:ascii="Times New Roman" w:hAnsi="宋体" w:eastAsia="宋体" w:cs="Times New Roman"/>
                <w:color w:val="auto"/>
                <w:highlight w:val="none"/>
              </w:rPr>
            </w:pPr>
            <w:r>
              <w:rPr>
                <w:rFonts w:hint="eastAsia" w:ascii="Times New Roman" w:hAnsi="宋体" w:eastAsia="宋体" w:cs="Times New Roman"/>
                <w:color w:val="auto"/>
                <w:highlight w:val="none"/>
              </w:rPr>
              <w:t>颗粒物的核定排放量为：</w:t>
            </w:r>
            <w:r>
              <w:rPr>
                <w:rFonts w:hint="eastAsia" w:hAnsi="宋体" w:cs="Times New Roman"/>
                <w:color w:val="auto"/>
                <w:highlight w:val="none"/>
                <w:lang w:val="en-US" w:eastAsia="zh-CN"/>
              </w:rPr>
              <w:t>50</w:t>
            </w:r>
            <w:r>
              <w:rPr>
                <w:rFonts w:hint="eastAsia" w:ascii="Times New Roman" w:hAnsi="宋体" w:cs="Times New Roman"/>
                <w:color w:val="auto"/>
                <w:highlight w:val="none"/>
                <w:lang w:val="en-US" w:eastAsia="zh-CN"/>
              </w:rPr>
              <w:t>00</w:t>
            </w:r>
            <w:r>
              <w:rPr>
                <w:rFonts w:hint="eastAsia" w:hAnsi="宋体" w:cs="Times New Roman"/>
                <w:color w:val="auto"/>
                <w:highlight w:val="none"/>
                <w:lang w:val="en-US" w:eastAsia="zh-CN"/>
              </w:rPr>
              <w:t>0</w:t>
            </w:r>
            <w:r>
              <w:rPr>
                <w:rFonts w:hint="eastAsia" w:ascii="Times New Roman" w:hAnsi="宋体" w:eastAsia="宋体" w:cs="Times New Roman"/>
                <w:color w:val="auto"/>
                <w:highlight w:val="none"/>
                <w:lang w:val="en-US" w:eastAsia="zh-CN"/>
              </w:rPr>
              <w:t>m</w:t>
            </w:r>
            <w:r>
              <w:rPr>
                <w:rFonts w:hint="eastAsia" w:ascii="Times New Roman" w:hAnsi="宋体" w:eastAsia="宋体" w:cs="Times New Roman"/>
                <w:color w:val="auto"/>
                <w:highlight w:val="none"/>
                <w:vertAlign w:val="superscript"/>
                <w:lang w:val="en-US" w:eastAsia="zh-CN"/>
              </w:rPr>
              <w:t>3</w:t>
            </w:r>
            <w:r>
              <w:rPr>
                <w:rFonts w:hint="eastAsia" w:ascii="Times New Roman" w:hAnsi="宋体" w:eastAsia="宋体" w:cs="Times New Roman"/>
                <w:color w:val="auto"/>
                <w:highlight w:val="none"/>
                <w:lang w:val="en-US" w:eastAsia="zh-CN"/>
              </w:rPr>
              <w:t>/h</w:t>
            </w:r>
            <w:r>
              <w:rPr>
                <w:rFonts w:hint="eastAsia" w:ascii="Times New Roman" w:hAnsi="宋体" w:eastAsia="宋体" w:cs="Times New Roman"/>
                <w:color w:val="auto"/>
                <w:highlight w:val="none"/>
              </w:rPr>
              <w:t>×</w:t>
            </w:r>
            <w:r>
              <w:rPr>
                <w:rFonts w:hint="eastAsia" w:hAnsi="宋体" w:cs="Times New Roman"/>
                <w:color w:val="auto"/>
                <w:highlight w:val="none"/>
                <w:lang w:val="en-US" w:eastAsia="zh-CN"/>
              </w:rPr>
              <w:t>72</w:t>
            </w:r>
            <w:r>
              <w:rPr>
                <w:rFonts w:hint="eastAsia" w:ascii="Times New Roman" w:hAnsi="宋体" w:eastAsia="宋体" w:cs="Times New Roman"/>
                <w:color w:val="auto"/>
                <w:highlight w:val="none"/>
                <w:lang w:val="en-US" w:eastAsia="zh-CN"/>
              </w:rPr>
              <w:t>00h</w:t>
            </w:r>
            <w:r>
              <w:rPr>
                <w:rFonts w:hint="eastAsia" w:ascii="Times New Roman" w:hAnsi="宋体" w:eastAsia="宋体" w:cs="Times New Roman"/>
                <w:color w:val="auto"/>
                <w:highlight w:val="none"/>
              </w:rPr>
              <w:t>×10mg/m</w:t>
            </w:r>
            <w:r>
              <w:rPr>
                <w:rFonts w:hint="eastAsia" w:ascii="Times New Roman" w:hAnsi="宋体" w:eastAsia="宋体" w:cs="Times New Roman"/>
                <w:color w:val="auto"/>
                <w:highlight w:val="none"/>
                <w:vertAlign w:val="superscript"/>
              </w:rPr>
              <w:t>3</w:t>
            </w:r>
            <w:r>
              <w:rPr>
                <w:rFonts w:hint="eastAsia" w:ascii="Times New Roman" w:hAnsi="宋体" w:eastAsia="宋体" w:cs="Times New Roman"/>
                <w:color w:val="auto"/>
                <w:highlight w:val="none"/>
              </w:rPr>
              <w:t>×10</w:t>
            </w:r>
            <w:r>
              <w:rPr>
                <w:rFonts w:hint="eastAsia" w:ascii="Times New Roman" w:hAnsi="宋体" w:eastAsia="宋体" w:cs="Times New Roman"/>
                <w:color w:val="auto"/>
                <w:highlight w:val="none"/>
                <w:vertAlign w:val="superscript"/>
              </w:rPr>
              <w:t>-9</w:t>
            </w:r>
            <w:r>
              <w:rPr>
                <w:rFonts w:hint="eastAsia" w:hAnsi="宋体" w:cs="Times New Roman"/>
                <w:color w:val="auto"/>
                <w:highlight w:val="none"/>
                <w:vertAlign w:val="baseline"/>
                <w:lang w:val="en-US" w:eastAsia="zh-CN"/>
              </w:rPr>
              <w:t>+</w:t>
            </w:r>
            <w:r>
              <w:rPr>
                <w:rFonts w:hint="eastAsia" w:hAnsi="宋体" w:cs="Times New Roman"/>
                <w:color w:val="auto"/>
                <w:highlight w:val="none"/>
                <w:lang w:val="en-US" w:eastAsia="zh-CN"/>
              </w:rPr>
              <w:t>50</w:t>
            </w:r>
            <w:r>
              <w:rPr>
                <w:rFonts w:hint="eastAsia" w:ascii="Times New Roman" w:hAnsi="宋体" w:cs="Times New Roman"/>
                <w:color w:val="auto"/>
                <w:highlight w:val="none"/>
                <w:lang w:val="en-US" w:eastAsia="zh-CN"/>
              </w:rPr>
              <w:t>000</w:t>
            </w:r>
            <w:r>
              <w:rPr>
                <w:rFonts w:hint="eastAsia" w:ascii="Times New Roman" w:hAnsi="宋体" w:eastAsia="宋体" w:cs="Times New Roman"/>
                <w:color w:val="auto"/>
                <w:highlight w:val="none"/>
                <w:lang w:val="en-US" w:eastAsia="zh-CN"/>
              </w:rPr>
              <w:t>m</w:t>
            </w:r>
            <w:r>
              <w:rPr>
                <w:rFonts w:hint="eastAsia" w:ascii="Times New Roman" w:hAnsi="宋体" w:eastAsia="宋体" w:cs="Times New Roman"/>
                <w:color w:val="auto"/>
                <w:highlight w:val="none"/>
                <w:vertAlign w:val="superscript"/>
                <w:lang w:val="en-US" w:eastAsia="zh-CN"/>
              </w:rPr>
              <w:t>3</w:t>
            </w:r>
            <w:r>
              <w:rPr>
                <w:rFonts w:hint="eastAsia" w:ascii="Times New Roman" w:hAnsi="宋体" w:eastAsia="宋体" w:cs="Times New Roman"/>
                <w:color w:val="auto"/>
                <w:highlight w:val="none"/>
                <w:lang w:val="en-US" w:eastAsia="zh-CN"/>
              </w:rPr>
              <w:t>/h</w:t>
            </w:r>
            <w:r>
              <w:rPr>
                <w:rFonts w:hint="eastAsia" w:ascii="Times New Roman" w:hAnsi="宋体" w:eastAsia="宋体" w:cs="Times New Roman"/>
                <w:color w:val="auto"/>
                <w:highlight w:val="none"/>
              </w:rPr>
              <w:t>×</w:t>
            </w:r>
            <w:r>
              <w:rPr>
                <w:rFonts w:hint="eastAsia" w:hAnsi="宋体" w:cs="Times New Roman"/>
                <w:color w:val="auto"/>
                <w:highlight w:val="none"/>
                <w:lang w:val="en-US" w:eastAsia="zh-CN"/>
              </w:rPr>
              <w:t>72</w:t>
            </w:r>
            <w:r>
              <w:rPr>
                <w:rFonts w:hint="eastAsia" w:ascii="Times New Roman" w:hAnsi="宋体" w:eastAsia="宋体" w:cs="Times New Roman"/>
                <w:color w:val="auto"/>
                <w:highlight w:val="none"/>
                <w:lang w:val="en-US" w:eastAsia="zh-CN"/>
              </w:rPr>
              <w:t>00h</w:t>
            </w:r>
            <w:r>
              <w:rPr>
                <w:rFonts w:hint="eastAsia" w:ascii="Times New Roman" w:hAnsi="宋体" w:eastAsia="宋体" w:cs="Times New Roman"/>
                <w:color w:val="auto"/>
                <w:highlight w:val="none"/>
              </w:rPr>
              <w:t>×10mg/m</w:t>
            </w:r>
            <w:r>
              <w:rPr>
                <w:rFonts w:hint="eastAsia" w:ascii="Times New Roman" w:hAnsi="宋体" w:eastAsia="宋体" w:cs="Times New Roman"/>
                <w:color w:val="auto"/>
                <w:highlight w:val="none"/>
                <w:vertAlign w:val="superscript"/>
              </w:rPr>
              <w:t>3</w:t>
            </w:r>
            <w:r>
              <w:rPr>
                <w:rFonts w:hint="eastAsia" w:ascii="Times New Roman" w:hAnsi="宋体" w:eastAsia="宋体" w:cs="Times New Roman"/>
                <w:color w:val="auto"/>
                <w:highlight w:val="none"/>
              </w:rPr>
              <w:t>×10</w:t>
            </w:r>
            <w:r>
              <w:rPr>
                <w:rFonts w:hint="eastAsia" w:ascii="Times New Roman" w:hAnsi="宋体" w:eastAsia="宋体" w:cs="Times New Roman"/>
                <w:color w:val="auto"/>
                <w:highlight w:val="none"/>
                <w:vertAlign w:val="superscript"/>
              </w:rPr>
              <w:t>-9</w:t>
            </w:r>
            <w:r>
              <w:rPr>
                <w:rFonts w:hint="eastAsia" w:ascii="Times New Roman" w:hAnsi="宋体" w:eastAsia="宋体" w:cs="Times New Roman"/>
                <w:color w:val="auto"/>
                <w:highlight w:val="none"/>
              </w:rPr>
              <w:t>=</w:t>
            </w:r>
            <w:r>
              <w:rPr>
                <w:rFonts w:hint="eastAsia" w:hAnsi="宋体" w:cs="Times New Roman"/>
                <w:color w:val="auto"/>
                <w:highlight w:val="none"/>
                <w:lang w:val="en-US" w:eastAsia="zh-CN"/>
              </w:rPr>
              <w:t>7.2</w:t>
            </w:r>
            <w:r>
              <w:rPr>
                <w:rFonts w:hint="eastAsia" w:ascii="Times New Roman" w:hAnsi="宋体" w:eastAsia="宋体" w:cs="Times New Roman"/>
                <w:color w:val="auto"/>
                <w:highlight w:val="none"/>
              </w:rPr>
              <w:t>t/a。</w:t>
            </w:r>
          </w:p>
          <w:p w14:paraId="5659F562">
            <w:pPr>
              <w:spacing w:line="440" w:lineRule="exact"/>
              <w:ind w:firstLine="420" w:firstLineChars="200"/>
              <w:rPr>
                <w:rFonts w:hAnsi="宋体"/>
                <w:color w:val="auto"/>
                <w:highlight w:val="none"/>
              </w:rPr>
            </w:pPr>
            <w:r>
              <w:rPr>
                <w:rFonts w:hint="eastAsia" w:hAnsi="宋体"/>
                <w:color w:val="auto"/>
                <w:highlight w:val="none"/>
              </w:rPr>
              <w:t>因此，本评价建议本项目废气污染物总量控制目标值为</w:t>
            </w:r>
            <w:r>
              <w:rPr>
                <w:rFonts w:hint="eastAsia" w:hAnsi="宋体"/>
                <w:color w:val="auto"/>
                <w:highlight w:val="none"/>
                <w:lang w:val="en-US" w:eastAsia="zh-CN"/>
              </w:rPr>
              <w:t>颗粒物7.2</w:t>
            </w:r>
            <w:r>
              <w:rPr>
                <w:rFonts w:hint="eastAsia" w:hAnsi="宋体"/>
                <w:color w:val="auto"/>
                <w:highlight w:val="none"/>
              </w:rPr>
              <w:t>t/a</w:t>
            </w:r>
            <w:r>
              <w:rPr>
                <w:rFonts w:hint="eastAsia" w:hAnsi="宋体"/>
                <w:color w:val="auto"/>
                <w:highlight w:val="none"/>
                <w:lang w:val="en-US" w:eastAsia="zh-CN"/>
              </w:rPr>
              <w:t>、</w:t>
            </w:r>
            <w:r>
              <w:rPr>
                <w:rFonts w:hint="eastAsia" w:hAnsi="宋体"/>
                <w:color w:val="auto"/>
                <w:highlight w:val="none"/>
              </w:rPr>
              <w:t>SO</w:t>
            </w:r>
            <w:r>
              <w:rPr>
                <w:rFonts w:hint="eastAsia" w:hAnsi="宋体"/>
                <w:color w:val="auto"/>
                <w:highlight w:val="none"/>
                <w:vertAlign w:val="subscript"/>
              </w:rPr>
              <w:t>2</w:t>
            </w:r>
            <w:r>
              <w:rPr>
                <w:rFonts w:hint="eastAsia" w:hAnsi="宋体"/>
                <w:color w:val="auto"/>
                <w:highlight w:val="none"/>
              </w:rPr>
              <w:t xml:space="preserve"> 0t/a、氮氧化物 0t/a。</w:t>
            </w:r>
          </w:p>
          <w:p w14:paraId="0A6F12E5">
            <w:pPr>
              <w:spacing w:line="440" w:lineRule="exact"/>
              <w:ind w:firstLine="420" w:firstLineChars="200"/>
              <w:rPr>
                <w:rFonts w:hAnsi="宋体"/>
                <w:color w:val="auto"/>
                <w:highlight w:val="none"/>
              </w:rPr>
            </w:pPr>
            <w:r>
              <w:rPr>
                <w:rFonts w:hint="eastAsia" w:ascii="宋体" w:hAnsi="宋体"/>
                <w:color w:val="auto"/>
                <w:highlight w:val="none"/>
              </w:rPr>
              <w:t>②</w:t>
            </w:r>
            <w:r>
              <w:rPr>
                <w:rFonts w:hint="eastAsia" w:hAnsi="宋体"/>
                <w:color w:val="auto"/>
                <w:highlight w:val="none"/>
              </w:rPr>
              <w:t>废水污染物总量控制目标值的确定</w:t>
            </w:r>
          </w:p>
          <w:p w14:paraId="5D954CA8">
            <w:pPr>
              <w:spacing w:line="440" w:lineRule="exact"/>
              <w:ind w:firstLine="420" w:firstLineChars="200"/>
              <w:rPr>
                <w:rFonts w:hAnsi="宋体"/>
                <w:color w:val="auto"/>
                <w:highlight w:val="none"/>
              </w:rPr>
            </w:pPr>
            <w:r>
              <w:rPr>
                <w:rFonts w:hint="eastAsia" w:ascii="Times New Roman" w:hAnsi="宋体" w:eastAsia="宋体" w:cs="Times New Roman"/>
                <w:color w:val="auto"/>
                <w:highlight w:val="none"/>
                <w:lang w:val="en-US" w:eastAsia="zh-CN"/>
              </w:rPr>
              <w:t>拟建</w:t>
            </w:r>
            <w:r>
              <w:rPr>
                <w:rFonts w:hint="eastAsia" w:ascii="Times New Roman" w:hAnsi="宋体" w:eastAsia="宋体" w:cs="Times New Roman"/>
                <w:color w:val="auto"/>
                <w:highlight w:val="none"/>
              </w:rPr>
              <w:t>项目</w:t>
            </w:r>
            <w:r>
              <w:rPr>
                <w:rFonts w:hint="eastAsia" w:ascii="Times New Roman" w:hAnsi="Times New Roman" w:cs="Times New Roman"/>
                <w:color w:val="auto"/>
                <w:sz w:val="21"/>
                <w:szCs w:val="21"/>
                <w:highlight w:val="none"/>
                <w:lang w:val="en-US" w:eastAsia="zh-CN"/>
              </w:rPr>
              <w:t>生产废水经污水池、</w:t>
            </w:r>
            <w:r>
              <w:rPr>
                <w:rFonts w:hint="eastAsia" w:cs="Times New Roman"/>
                <w:color w:val="auto"/>
                <w:sz w:val="21"/>
                <w:szCs w:val="21"/>
                <w:highlight w:val="none"/>
                <w:lang w:val="en-US" w:eastAsia="zh-CN"/>
              </w:rPr>
              <w:t>污水沉淀池</w:t>
            </w:r>
            <w:r>
              <w:rPr>
                <w:rFonts w:hint="eastAsia" w:ascii="Times New Roman" w:hAnsi="Times New Roman" w:cs="Times New Roman"/>
                <w:color w:val="auto"/>
                <w:sz w:val="21"/>
                <w:szCs w:val="21"/>
                <w:highlight w:val="none"/>
                <w:lang w:val="en-US" w:eastAsia="zh-CN"/>
              </w:rPr>
              <w:t>、浓缩罐、板框压滤机处理后，全部回用于生产</w:t>
            </w:r>
            <w:r>
              <w:rPr>
                <w:rFonts w:hint="eastAsia" w:hAnsi="宋体" w:cs="Times New Roman"/>
                <w:color w:val="auto"/>
                <w:highlight w:val="none"/>
                <w:lang w:val="en-US" w:eastAsia="zh-CN"/>
              </w:rPr>
              <w:t>；</w:t>
            </w:r>
            <w:r>
              <w:rPr>
                <w:rFonts w:hint="eastAsia" w:ascii="Times New Roman" w:hAnsi="宋体" w:eastAsia="宋体" w:cs="Times New Roman"/>
                <w:color w:val="auto"/>
                <w:highlight w:val="none"/>
              </w:rPr>
              <w:t>职工生活污水全部用于厂区内泼洒抑尘</w:t>
            </w:r>
            <w:r>
              <w:rPr>
                <w:rFonts w:hint="eastAsia" w:hAnsi="宋体" w:cs="Times New Roman"/>
                <w:color w:val="auto"/>
                <w:highlight w:val="none"/>
                <w:lang w:eastAsia="zh-CN"/>
              </w:rPr>
              <w:t>；</w:t>
            </w:r>
            <w:r>
              <w:rPr>
                <w:rFonts w:hint="eastAsia"/>
                <w:color w:val="auto"/>
                <w:szCs w:val="21"/>
                <w:highlight w:val="none"/>
              </w:rPr>
              <w:t>车辆冲洗废水经沉淀池沉淀后循环利用，不外排</w:t>
            </w:r>
            <w:r>
              <w:rPr>
                <w:rFonts w:hint="eastAsia"/>
                <w:color w:val="auto"/>
                <w:szCs w:val="21"/>
                <w:highlight w:val="none"/>
                <w:lang w:eastAsia="zh-CN"/>
              </w:rPr>
              <w:t>。</w:t>
            </w:r>
            <w:r>
              <w:rPr>
                <w:rFonts w:hint="eastAsia" w:ascii="Times New Roman" w:hAnsi="宋体" w:eastAsia="宋体" w:cs="Times New Roman"/>
                <w:color w:val="auto"/>
                <w:highlight w:val="none"/>
                <w:lang w:val="en-US" w:eastAsia="zh-CN"/>
              </w:rPr>
              <w:t>拟建项目无废水外排</w:t>
            </w:r>
            <w:r>
              <w:rPr>
                <w:rFonts w:hint="eastAsia" w:hAnsi="宋体"/>
                <w:color w:val="auto"/>
                <w:highlight w:val="none"/>
              </w:rPr>
              <w:t>。因此，本评价建议</w:t>
            </w:r>
            <w:r>
              <w:rPr>
                <w:rFonts w:hint="eastAsia" w:hAnsi="宋体"/>
                <w:color w:val="auto"/>
                <w:highlight w:val="none"/>
                <w:lang w:val="en-US" w:eastAsia="zh-CN"/>
              </w:rPr>
              <w:t>拟建</w:t>
            </w:r>
            <w:r>
              <w:rPr>
                <w:rFonts w:hint="eastAsia" w:hAnsi="宋体"/>
                <w:color w:val="auto"/>
                <w:highlight w:val="none"/>
              </w:rPr>
              <w:t>项目废水污染物总量控制目标值为COD 0t/a、氨氮0t/a。</w:t>
            </w:r>
          </w:p>
          <w:p w14:paraId="2E880676">
            <w:pPr>
              <w:spacing w:line="440" w:lineRule="exact"/>
              <w:ind w:firstLine="420" w:firstLineChars="200"/>
              <w:rPr>
                <w:rFonts w:hint="eastAsia" w:hAnsi="宋体"/>
                <w:color w:val="auto"/>
                <w:highlight w:val="none"/>
              </w:rPr>
            </w:pPr>
            <w:r>
              <w:rPr>
                <w:rFonts w:hint="eastAsia" w:hAnsi="宋体"/>
                <w:color w:val="auto"/>
                <w:highlight w:val="none"/>
              </w:rPr>
              <w:t>综上所述，本评价建议项目污染物总量控制目标值为</w:t>
            </w:r>
            <w:r>
              <w:rPr>
                <w:rFonts w:hint="eastAsia" w:hAnsi="宋体"/>
                <w:color w:val="auto"/>
                <w:highlight w:val="none"/>
                <w:lang w:val="en-US" w:eastAsia="zh-CN"/>
              </w:rPr>
              <w:t>颗粒物7.2</w:t>
            </w:r>
            <w:r>
              <w:rPr>
                <w:rFonts w:hint="eastAsia" w:hAnsi="宋体"/>
                <w:color w:val="auto"/>
                <w:highlight w:val="none"/>
              </w:rPr>
              <w:t>t/a</w:t>
            </w:r>
            <w:r>
              <w:rPr>
                <w:rFonts w:hint="eastAsia" w:hAnsi="宋体"/>
                <w:color w:val="auto"/>
                <w:highlight w:val="none"/>
                <w:lang w:eastAsia="zh-CN"/>
              </w:rPr>
              <w:t>、</w:t>
            </w:r>
            <w:r>
              <w:rPr>
                <w:rFonts w:hint="eastAsia" w:hAnsi="宋体"/>
                <w:color w:val="auto"/>
                <w:highlight w:val="none"/>
              </w:rPr>
              <w:t>SO</w:t>
            </w:r>
            <w:r>
              <w:rPr>
                <w:rFonts w:hint="eastAsia" w:hAnsi="宋体"/>
                <w:color w:val="auto"/>
                <w:highlight w:val="none"/>
                <w:vertAlign w:val="subscript"/>
              </w:rPr>
              <w:t>2</w:t>
            </w:r>
            <w:r>
              <w:rPr>
                <w:rFonts w:hint="eastAsia" w:hAnsi="宋体"/>
                <w:color w:val="auto"/>
                <w:highlight w:val="none"/>
              </w:rPr>
              <w:t xml:space="preserve"> 0t/a、NO</w:t>
            </w:r>
            <w:r>
              <w:rPr>
                <w:rFonts w:hint="eastAsia" w:hAnsi="宋体"/>
                <w:color w:val="auto"/>
                <w:highlight w:val="none"/>
                <w:vertAlign w:val="subscript"/>
              </w:rPr>
              <w:t>X</w:t>
            </w:r>
            <w:r>
              <w:rPr>
                <w:rFonts w:hint="eastAsia" w:hAnsi="宋体"/>
                <w:color w:val="auto"/>
                <w:highlight w:val="none"/>
              </w:rPr>
              <w:t xml:space="preserve"> 0t/a、COD 0t/a、氨氮0t/a。</w:t>
            </w:r>
          </w:p>
          <w:p w14:paraId="438E2F05">
            <w:pPr>
              <w:spacing w:line="440" w:lineRule="exact"/>
              <w:ind w:firstLine="420" w:firstLineChars="200"/>
              <w:rPr>
                <w:rFonts w:hint="eastAsia" w:hAnsi="宋体"/>
                <w:color w:val="auto"/>
                <w:highlight w:val="none"/>
              </w:rPr>
            </w:pPr>
          </w:p>
          <w:p w14:paraId="2F8D3B91">
            <w:pPr>
              <w:spacing w:line="440" w:lineRule="exact"/>
              <w:ind w:firstLine="420" w:firstLineChars="200"/>
              <w:rPr>
                <w:rFonts w:hint="eastAsia" w:hAnsi="宋体"/>
                <w:color w:val="auto"/>
                <w:highlight w:val="none"/>
              </w:rPr>
            </w:pPr>
          </w:p>
          <w:p w14:paraId="482BD7F3">
            <w:pPr>
              <w:spacing w:line="440" w:lineRule="exact"/>
              <w:ind w:firstLine="420" w:firstLineChars="200"/>
              <w:rPr>
                <w:rFonts w:hint="eastAsia" w:hAnsi="宋体"/>
                <w:color w:val="auto"/>
                <w:highlight w:val="none"/>
              </w:rPr>
            </w:pPr>
          </w:p>
          <w:p w14:paraId="03C38561">
            <w:pPr>
              <w:spacing w:line="440" w:lineRule="exact"/>
              <w:ind w:firstLine="420" w:firstLineChars="200"/>
              <w:rPr>
                <w:rFonts w:hint="eastAsia" w:hAnsi="宋体"/>
                <w:color w:val="auto"/>
                <w:highlight w:val="none"/>
              </w:rPr>
            </w:pPr>
          </w:p>
          <w:p w14:paraId="41E72267">
            <w:pPr>
              <w:pStyle w:val="35"/>
              <w:rPr>
                <w:color w:val="auto"/>
              </w:rPr>
            </w:pPr>
          </w:p>
        </w:tc>
      </w:tr>
    </w:tbl>
    <w:p w14:paraId="50984E44">
      <w:pPr>
        <w:pStyle w:val="24"/>
        <w:jc w:val="center"/>
        <w:outlineLvl w:val="0"/>
        <w:rPr>
          <w:rFonts w:ascii="黑体" w:hAnsi="黑体" w:eastAsia="黑体"/>
          <w:snapToGrid w:val="0"/>
          <w:color w:val="auto"/>
          <w:sz w:val="30"/>
          <w:szCs w:val="30"/>
        </w:rPr>
      </w:pPr>
      <w:r>
        <w:rPr>
          <w:rFonts w:ascii="黑体" w:hAnsi="黑体" w:eastAsia="黑体"/>
          <w:snapToGrid w:val="0"/>
          <w:color w:val="auto"/>
          <w:sz w:val="36"/>
          <w:szCs w:val="36"/>
        </w:rPr>
        <w:br w:type="page"/>
      </w:r>
      <w:bookmarkStart w:id="19" w:name="_Toc14668"/>
      <w:r>
        <w:rPr>
          <w:rFonts w:hint="eastAsia" w:ascii="黑体" w:hAnsi="黑体" w:eastAsia="黑体"/>
          <w:snapToGrid w:val="0"/>
          <w:color w:val="auto"/>
          <w:sz w:val="30"/>
          <w:szCs w:val="30"/>
        </w:rPr>
        <w:t>四、主要环境影响和保护措施</w:t>
      </w:r>
      <w:bookmarkEnd w:id="19"/>
    </w:p>
    <w:tbl>
      <w:tblPr>
        <w:tblStyle w:val="28"/>
        <w:tblW w:w="8908"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746"/>
        <w:gridCol w:w="8162"/>
      </w:tblGrid>
      <w:tr w14:paraId="48A89A4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888" w:hRule="atLeast"/>
          <w:jc w:val="center"/>
        </w:trPr>
        <w:tc>
          <w:tcPr>
            <w:tcW w:w="746" w:type="dxa"/>
            <w:tcMar>
              <w:left w:w="28" w:type="dxa"/>
              <w:right w:w="28" w:type="dxa"/>
            </w:tcMar>
            <w:vAlign w:val="center"/>
          </w:tcPr>
          <w:p w14:paraId="578E125C">
            <w:pPr>
              <w:pStyle w:val="24"/>
              <w:adjustRightInd w:val="0"/>
              <w:snapToGrid w:val="0"/>
              <w:spacing w:before="0" w:beforeAutospacing="0" w:after="0" w:afterAutospacing="0"/>
              <w:jc w:val="center"/>
              <w:rPr>
                <w:rFonts w:cs="宋体"/>
                <w:color w:val="auto"/>
                <w:kern w:val="2"/>
                <w:sz w:val="21"/>
                <w:szCs w:val="21"/>
              </w:rPr>
            </w:pPr>
            <w:r>
              <w:rPr>
                <w:rFonts w:hint="eastAsia" w:cs="宋体"/>
                <w:color w:val="auto"/>
                <w:kern w:val="2"/>
                <w:sz w:val="21"/>
                <w:szCs w:val="21"/>
              </w:rPr>
              <w:t>施工</w:t>
            </w:r>
          </w:p>
          <w:p w14:paraId="7C6CA5CF">
            <w:pPr>
              <w:pStyle w:val="24"/>
              <w:adjustRightInd w:val="0"/>
              <w:snapToGrid w:val="0"/>
              <w:spacing w:before="0" w:beforeAutospacing="0" w:after="0" w:afterAutospacing="0"/>
              <w:jc w:val="center"/>
              <w:rPr>
                <w:rFonts w:cs="宋体"/>
                <w:color w:val="auto"/>
                <w:kern w:val="2"/>
                <w:sz w:val="21"/>
                <w:szCs w:val="21"/>
              </w:rPr>
            </w:pPr>
            <w:r>
              <w:rPr>
                <w:rFonts w:hint="eastAsia" w:cs="宋体"/>
                <w:color w:val="auto"/>
                <w:kern w:val="2"/>
                <w:sz w:val="21"/>
                <w:szCs w:val="21"/>
              </w:rPr>
              <w:t>期环</w:t>
            </w:r>
          </w:p>
          <w:p w14:paraId="4D2328E4">
            <w:pPr>
              <w:pStyle w:val="24"/>
              <w:adjustRightInd w:val="0"/>
              <w:snapToGrid w:val="0"/>
              <w:spacing w:before="0" w:beforeAutospacing="0" w:after="0" w:afterAutospacing="0"/>
              <w:jc w:val="center"/>
              <w:rPr>
                <w:rFonts w:cs="宋体"/>
                <w:color w:val="auto"/>
                <w:kern w:val="2"/>
                <w:sz w:val="21"/>
                <w:szCs w:val="21"/>
              </w:rPr>
            </w:pPr>
            <w:r>
              <w:rPr>
                <w:rFonts w:hint="eastAsia" w:cs="宋体"/>
                <w:color w:val="auto"/>
                <w:kern w:val="2"/>
                <w:sz w:val="21"/>
                <w:szCs w:val="21"/>
              </w:rPr>
              <w:t>境保</w:t>
            </w:r>
          </w:p>
          <w:p w14:paraId="5E7BC972">
            <w:pPr>
              <w:pStyle w:val="24"/>
              <w:adjustRightInd w:val="0"/>
              <w:snapToGrid w:val="0"/>
              <w:spacing w:before="0" w:beforeAutospacing="0" w:after="0" w:afterAutospacing="0"/>
              <w:jc w:val="center"/>
              <w:rPr>
                <w:rFonts w:cs="宋体"/>
                <w:color w:val="auto"/>
                <w:kern w:val="2"/>
                <w:sz w:val="21"/>
                <w:szCs w:val="21"/>
              </w:rPr>
            </w:pPr>
            <w:r>
              <w:rPr>
                <w:rFonts w:hint="eastAsia" w:cs="宋体"/>
                <w:color w:val="auto"/>
                <w:kern w:val="2"/>
                <w:sz w:val="21"/>
                <w:szCs w:val="21"/>
              </w:rPr>
              <w:t>护措</w:t>
            </w:r>
          </w:p>
          <w:p w14:paraId="1F2282FB">
            <w:pPr>
              <w:pStyle w:val="24"/>
              <w:adjustRightInd w:val="0"/>
              <w:snapToGrid w:val="0"/>
              <w:spacing w:before="0" w:beforeAutospacing="0" w:after="0" w:afterAutospacing="0"/>
              <w:jc w:val="center"/>
              <w:rPr>
                <w:rFonts w:cs="宋体"/>
                <w:bCs/>
                <w:color w:val="auto"/>
                <w:kern w:val="2"/>
                <w:sz w:val="21"/>
                <w:szCs w:val="21"/>
              </w:rPr>
            </w:pPr>
            <w:r>
              <w:rPr>
                <w:rFonts w:hint="eastAsia" w:cs="宋体"/>
                <w:color w:val="auto"/>
                <w:kern w:val="2"/>
                <w:sz w:val="21"/>
                <w:szCs w:val="21"/>
              </w:rPr>
              <w:t>施</w:t>
            </w:r>
          </w:p>
        </w:tc>
        <w:tc>
          <w:tcPr>
            <w:tcW w:w="8162" w:type="dxa"/>
            <w:vAlign w:val="center"/>
          </w:tcPr>
          <w:p w14:paraId="4FB44EDC">
            <w:pPr>
              <w:pStyle w:val="24"/>
              <w:keepNext w:val="0"/>
              <w:keepLines w:val="0"/>
              <w:pageBreakBefore w:val="0"/>
              <w:widowControl/>
              <w:kinsoku/>
              <w:wordWrap/>
              <w:overflowPunct/>
              <w:topLinePunct w:val="0"/>
              <w:autoSpaceDE/>
              <w:autoSpaceDN/>
              <w:bidi w:val="0"/>
              <w:adjustRightInd w:val="0"/>
              <w:snapToGrid w:val="0"/>
              <w:spacing w:before="0" w:beforeAutospacing="0" w:after="0" w:afterAutospacing="0" w:line="430" w:lineRule="exact"/>
              <w:ind w:firstLine="422" w:firstLineChars="200"/>
              <w:textAlignment w:val="auto"/>
              <w:rPr>
                <w:rFonts w:ascii="Times New Roman" w:hAnsi="Times New Roman"/>
                <w:b/>
                <w:color w:val="auto"/>
                <w:sz w:val="21"/>
                <w:szCs w:val="21"/>
              </w:rPr>
            </w:pPr>
            <w:r>
              <w:rPr>
                <w:rFonts w:hint="eastAsia" w:ascii="Times New Roman" w:hAnsi="Times New Roman"/>
                <w:b/>
                <w:color w:val="auto"/>
                <w:sz w:val="21"/>
                <w:szCs w:val="21"/>
              </w:rPr>
              <w:t>1.</w:t>
            </w:r>
            <w:r>
              <w:rPr>
                <w:rFonts w:ascii="Times New Roman" w:hAnsi="Times New Roman"/>
                <w:b/>
                <w:color w:val="auto"/>
                <w:sz w:val="21"/>
                <w:szCs w:val="21"/>
              </w:rPr>
              <w:t>大气环境影响分析</w:t>
            </w:r>
          </w:p>
          <w:p w14:paraId="17194094">
            <w:pPr>
              <w:pStyle w:val="24"/>
              <w:keepNext w:val="0"/>
              <w:keepLines w:val="0"/>
              <w:pageBreakBefore w:val="0"/>
              <w:widowControl/>
              <w:kinsoku/>
              <w:wordWrap/>
              <w:overflowPunct/>
              <w:topLinePunct w:val="0"/>
              <w:autoSpaceDE/>
              <w:autoSpaceDN/>
              <w:bidi w:val="0"/>
              <w:adjustRightInd w:val="0"/>
              <w:snapToGrid w:val="0"/>
              <w:spacing w:before="0" w:beforeAutospacing="0" w:after="0" w:afterAutospacing="0" w:line="430" w:lineRule="exact"/>
              <w:ind w:firstLine="420" w:firstLineChars="200"/>
              <w:textAlignment w:val="auto"/>
              <w:rPr>
                <w:rFonts w:ascii="Times New Roman" w:hAnsi="Times New Roman"/>
                <w:color w:val="auto"/>
                <w:sz w:val="21"/>
                <w:szCs w:val="21"/>
              </w:rPr>
            </w:pPr>
            <w:r>
              <w:rPr>
                <w:rFonts w:hint="eastAsia" w:ascii="Times New Roman" w:hAnsi="Times New Roman"/>
                <w:color w:val="auto"/>
                <w:sz w:val="21"/>
                <w:szCs w:val="21"/>
              </w:rPr>
              <w:t>拟建</w:t>
            </w:r>
            <w:r>
              <w:rPr>
                <w:rFonts w:ascii="Times New Roman" w:hAnsi="Times New Roman"/>
                <w:color w:val="auto"/>
                <w:sz w:val="21"/>
                <w:szCs w:val="21"/>
              </w:rPr>
              <w:t>项目施工期扬尘主要为项目土建施工产生扬尘及建筑垃圾、建材堆置和运输产生的扬尘。同时运输车辆进出工地，车辆轮胎不可避免的将工地的泥土带出，遗洒在车辆经过的路面，在其它车辆通过时产生二次扬尘。以上扬尘将伴随整个施工过程，是施工扬尘重点防治对象。</w:t>
            </w:r>
          </w:p>
          <w:p w14:paraId="3DE5C940">
            <w:pPr>
              <w:pStyle w:val="24"/>
              <w:keepNext w:val="0"/>
              <w:keepLines w:val="0"/>
              <w:pageBreakBefore w:val="0"/>
              <w:widowControl/>
              <w:kinsoku/>
              <w:wordWrap/>
              <w:overflowPunct/>
              <w:topLinePunct w:val="0"/>
              <w:autoSpaceDE/>
              <w:autoSpaceDN/>
              <w:bidi w:val="0"/>
              <w:adjustRightInd w:val="0"/>
              <w:snapToGrid w:val="0"/>
              <w:spacing w:before="0" w:beforeAutospacing="0" w:after="0" w:afterAutospacing="0" w:line="430" w:lineRule="exact"/>
              <w:ind w:firstLine="420" w:firstLineChars="200"/>
              <w:textAlignment w:val="auto"/>
              <w:rPr>
                <w:rFonts w:ascii="Times New Roman" w:hAnsi="Times New Roman"/>
                <w:color w:val="auto"/>
                <w:sz w:val="21"/>
                <w:szCs w:val="21"/>
              </w:rPr>
            </w:pPr>
            <w:r>
              <w:rPr>
                <w:rFonts w:ascii="Times New Roman" w:hAnsi="Times New Roman"/>
                <w:color w:val="auto"/>
                <w:sz w:val="21"/>
                <w:szCs w:val="21"/>
              </w:rPr>
              <w:t>（一）施工期场地处置措施</w:t>
            </w:r>
          </w:p>
          <w:p w14:paraId="11876B0C">
            <w:pPr>
              <w:pStyle w:val="24"/>
              <w:keepNext w:val="0"/>
              <w:keepLines w:val="0"/>
              <w:pageBreakBefore w:val="0"/>
              <w:widowControl/>
              <w:kinsoku/>
              <w:wordWrap/>
              <w:overflowPunct/>
              <w:topLinePunct w:val="0"/>
              <w:autoSpaceDE/>
              <w:autoSpaceDN/>
              <w:bidi w:val="0"/>
              <w:adjustRightInd w:val="0"/>
              <w:snapToGrid w:val="0"/>
              <w:spacing w:before="0" w:beforeAutospacing="0" w:after="0" w:afterAutospacing="0" w:line="430" w:lineRule="exact"/>
              <w:ind w:firstLine="420" w:firstLineChars="200"/>
              <w:textAlignment w:val="auto"/>
              <w:rPr>
                <w:rFonts w:ascii="Times New Roman" w:hAnsi="Times New Roman"/>
                <w:color w:val="auto"/>
                <w:sz w:val="21"/>
                <w:szCs w:val="21"/>
              </w:rPr>
            </w:pPr>
            <w:r>
              <w:rPr>
                <w:rFonts w:ascii="Times New Roman" w:hAnsi="Times New Roman"/>
                <w:color w:val="auto"/>
                <w:sz w:val="21"/>
                <w:szCs w:val="21"/>
              </w:rPr>
              <w:t>为进一步控制施</w:t>
            </w:r>
            <w:r>
              <w:rPr>
                <w:rFonts w:hint="eastAsia" w:ascii="Times New Roman" w:hAnsi="Times New Roman" w:cs="Times New Roman"/>
                <w:color w:val="auto"/>
                <w:sz w:val="21"/>
                <w:szCs w:val="21"/>
              </w:rPr>
              <w:t>工扬尘污染，根据</w:t>
            </w:r>
            <w:r>
              <w:rPr>
                <w:rFonts w:hint="eastAsia" w:ascii="Times New Roman" w:hAnsi="Times New Roman" w:cs="Times New Roman"/>
                <w:color w:val="auto"/>
                <w:sz w:val="21"/>
                <w:szCs w:val="21"/>
                <w:highlight w:val="none"/>
              </w:rPr>
              <w:t>《</w:t>
            </w:r>
            <w:r>
              <w:rPr>
                <w:rFonts w:hint="eastAsia" w:ascii="Times New Roman" w:hAnsi="Times New Roman" w:cs="Times New Roman"/>
                <w:color w:val="auto"/>
                <w:sz w:val="21"/>
                <w:szCs w:val="21"/>
                <w:highlight w:val="none"/>
                <w:lang w:val="en-US" w:eastAsia="zh-CN"/>
              </w:rPr>
              <w:t>关于印发</w:t>
            </w:r>
            <w:r>
              <w:rPr>
                <w:rFonts w:hint="eastAsia" w:ascii="Times New Roman" w:hAnsi="Times New Roman" w:cs="Times New Roman"/>
                <w:color w:val="auto"/>
                <w:sz w:val="21"/>
                <w:szCs w:val="21"/>
                <w:highlight w:val="none"/>
              </w:rPr>
              <w:t>《</w:t>
            </w:r>
            <w:r>
              <w:rPr>
                <w:rFonts w:hint="eastAsia" w:ascii="Times New Roman" w:hAnsi="Times New Roman" w:cs="Times New Roman"/>
                <w:color w:val="auto"/>
                <w:sz w:val="21"/>
                <w:szCs w:val="21"/>
                <w:highlight w:val="none"/>
                <w:lang w:val="en-US" w:eastAsia="zh-CN"/>
              </w:rPr>
              <w:t>2025年房屋建筑和市政工程施工扬尘污染防治工作要点</w:t>
            </w:r>
            <w:r>
              <w:rPr>
                <w:rFonts w:hint="eastAsia" w:ascii="Times New Roman" w:hAnsi="Times New Roman" w:cs="Times New Roman"/>
                <w:color w:val="auto"/>
                <w:sz w:val="21"/>
                <w:szCs w:val="21"/>
                <w:highlight w:val="none"/>
              </w:rPr>
              <w:t>》</w:t>
            </w:r>
            <w:r>
              <w:rPr>
                <w:rFonts w:hint="eastAsia" w:ascii="Times New Roman" w:hAnsi="Times New Roman" w:cs="Times New Roman"/>
                <w:color w:val="auto"/>
                <w:sz w:val="21"/>
                <w:szCs w:val="21"/>
                <w:highlight w:val="none"/>
                <w:lang w:val="en-US" w:eastAsia="zh-CN"/>
              </w:rPr>
              <w:t>的通知》（冀建质安函〔2025〕99号</w:t>
            </w:r>
            <w:r>
              <w:rPr>
                <w:rFonts w:hint="eastAsia" w:ascii="Times New Roman" w:hAnsi="Times New Roman" w:cs="Times New Roman"/>
                <w:color w:val="auto"/>
                <w:sz w:val="21"/>
                <w:szCs w:val="21"/>
                <w:highlight w:val="none"/>
                <w:lang w:eastAsia="zh-CN"/>
              </w:rPr>
              <w:t>）</w:t>
            </w:r>
            <w:r>
              <w:rPr>
                <w:rFonts w:hint="eastAsia" w:ascii="Times New Roman" w:hAnsi="Times New Roman" w:cs="Times New Roman"/>
                <w:color w:val="auto"/>
                <w:sz w:val="21"/>
                <w:szCs w:val="21"/>
              </w:rPr>
              <w:t>、《</w:t>
            </w:r>
            <w:r>
              <w:rPr>
                <w:rFonts w:hint="eastAsia" w:ascii="Times New Roman" w:hAnsi="Times New Roman" w:cs="Times New Roman"/>
                <w:color w:val="auto"/>
                <w:sz w:val="21"/>
                <w:szCs w:val="21"/>
                <w:lang w:val="en-US" w:eastAsia="zh-CN"/>
              </w:rPr>
              <w:t>关于印发《京津冀及周边地区、汾渭平原2023-2024年秋冬季大气污染综合治理攻坚方案》的通知 》（环大气〔2023〕73号）</w:t>
            </w:r>
            <w:r>
              <w:rPr>
                <w:rFonts w:hint="eastAsia" w:ascii="Times New Roman" w:hAnsi="Times New Roman" w:cs="Times New Roman"/>
                <w:color w:val="auto"/>
                <w:sz w:val="21"/>
                <w:szCs w:val="21"/>
              </w:rPr>
              <w:t>及《河北省扬尘污染防治办法》</w:t>
            </w:r>
            <w:r>
              <w:rPr>
                <w:rFonts w:hint="eastAsia" w:ascii="Times New Roman" w:hAnsi="Times New Roman" w:cs="Times New Roman"/>
                <w:color w:val="auto"/>
                <w:sz w:val="21"/>
                <w:szCs w:val="21"/>
                <w:lang w:eastAsia="zh-CN"/>
              </w:rPr>
              <w:t>（</w:t>
            </w:r>
            <w:r>
              <w:rPr>
                <w:rFonts w:hint="eastAsia" w:ascii="Times New Roman" w:hAnsi="Times New Roman" w:cs="Times New Roman"/>
                <w:color w:val="auto"/>
                <w:sz w:val="21"/>
                <w:szCs w:val="21"/>
              </w:rPr>
              <w:t>2020年4月1日起实行</w:t>
            </w:r>
            <w:r>
              <w:rPr>
                <w:rFonts w:hint="eastAsia" w:ascii="Times New Roman" w:hAnsi="Times New Roman" w:cs="Times New Roman"/>
                <w:color w:val="auto"/>
                <w:sz w:val="21"/>
                <w:szCs w:val="21"/>
                <w:lang w:eastAsia="zh-CN"/>
              </w:rPr>
              <w:t>）</w:t>
            </w:r>
            <w:r>
              <w:rPr>
                <w:rFonts w:hint="eastAsia" w:ascii="Times New Roman" w:hAnsi="Times New Roman"/>
                <w:color w:val="auto"/>
                <w:sz w:val="21"/>
                <w:szCs w:val="21"/>
              </w:rPr>
              <w:t>）</w:t>
            </w:r>
            <w:r>
              <w:rPr>
                <w:rFonts w:ascii="Times New Roman" w:hAnsi="Times New Roman"/>
                <w:color w:val="auto"/>
                <w:sz w:val="21"/>
                <w:szCs w:val="21"/>
              </w:rPr>
              <w:t>，本施工场地采取如下防尘和抑尘措施：</w:t>
            </w:r>
          </w:p>
          <w:p w14:paraId="78972524">
            <w:pPr>
              <w:pStyle w:val="24"/>
              <w:keepNext w:val="0"/>
              <w:keepLines w:val="0"/>
              <w:pageBreakBefore w:val="0"/>
              <w:widowControl/>
              <w:kinsoku/>
              <w:wordWrap/>
              <w:overflowPunct/>
              <w:topLinePunct w:val="0"/>
              <w:autoSpaceDE/>
              <w:autoSpaceDN/>
              <w:bidi w:val="0"/>
              <w:adjustRightInd w:val="0"/>
              <w:snapToGrid w:val="0"/>
              <w:spacing w:before="0" w:beforeAutospacing="0" w:after="0" w:afterAutospacing="0" w:line="430" w:lineRule="exact"/>
              <w:ind w:firstLine="420" w:firstLineChars="200"/>
              <w:textAlignment w:val="auto"/>
              <w:rPr>
                <w:rFonts w:hint="eastAsia" w:ascii="Times New Roman" w:hAnsi="Times New Roman" w:eastAsia="宋体" w:cs="Times New Roman"/>
                <w:color w:val="auto"/>
                <w:sz w:val="21"/>
                <w:szCs w:val="21"/>
                <w:lang w:eastAsia="zh-CN"/>
              </w:rPr>
            </w:pPr>
            <w:r>
              <w:rPr>
                <w:rFonts w:hint="eastAsia" w:ascii="Times New Roman" w:hAnsi="Times New Roman" w:cs="Times New Roman"/>
                <w:color w:val="auto"/>
                <w:sz w:val="21"/>
                <w:szCs w:val="21"/>
                <w:lang w:eastAsia="zh-CN"/>
              </w:rPr>
              <w:t>（</w:t>
            </w:r>
            <w:r>
              <w:rPr>
                <w:rFonts w:hint="eastAsia" w:ascii="Times New Roman" w:hAnsi="Times New Roman" w:cs="Times New Roman"/>
                <w:color w:val="auto"/>
                <w:sz w:val="21"/>
                <w:szCs w:val="21"/>
                <w:lang w:val="en-US" w:eastAsia="zh-CN"/>
              </w:rPr>
              <w:t>1</w:t>
            </w:r>
            <w:r>
              <w:rPr>
                <w:rFonts w:hint="eastAsia" w:ascii="Times New Roman" w:hAnsi="Times New Roman" w:cs="Times New Roman"/>
                <w:color w:val="auto"/>
                <w:sz w:val="21"/>
                <w:szCs w:val="21"/>
                <w:lang w:eastAsia="zh-CN"/>
              </w:rPr>
              <w:t>）</w:t>
            </w:r>
            <w:r>
              <w:rPr>
                <w:rFonts w:hint="eastAsia" w:ascii="Times New Roman" w:hAnsi="Times New Roman" w:cs="Times New Roman"/>
                <w:color w:val="auto"/>
                <w:sz w:val="21"/>
                <w:szCs w:val="21"/>
              </w:rPr>
              <w:t>施工现场周边按照规范要求设置硬质封闭围挡或者围墙，并进行妥善维护</w:t>
            </w:r>
            <w:r>
              <w:rPr>
                <w:rFonts w:hint="eastAsia" w:ascii="Times New Roman" w:hAnsi="Times New Roman" w:cs="Times New Roman"/>
                <w:color w:val="auto"/>
                <w:sz w:val="21"/>
                <w:szCs w:val="21"/>
                <w:lang w:eastAsia="zh-CN"/>
              </w:rPr>
              <w:t>；</w:t>
            </w:r>
            <w:r>
              <w:rPr>
                <w:rFonts w:hint="eastAsia" w:ascii="Times New Roman" w:hAnsi="Times New Roman" w:cs="Times New Roman"/>
                <w:color w:val="auto"/>
                <w:sz w:val="21"/>
                <w:szCs w:val="21"/>
              </w:rPr>
              <w:t>施工现场出入口、主要道路、加工区等进行硬化处理，裸露地面采取绿化、遮盖、喷洒抑尘剂等防尘措施</w:t>
            </w:r>
            <w:r>
              <w:rPr>
                <w:rFonts w:hint="eastAsia" w:ascii="Times New Roman" w:hAnsi="Times New Roman" w:cs="Times New Roman"/>
                <w:color w:val="auto"/>
                <w:sz w:val="21"/>
                <w:szCs w:val="21"/>
                <w:lang w:eastAsia="zh-CN"/>
              </w:rPr>
              <w:t>；</w:t>
            </w:r>
          </w:p>
          <w:p w14:paraId="4C5049CA">
            <w:pPr>
              <w:pStyle w:val="24"/>
              <w:keepNext w:val="0"/>
              <w:keepLines w:val="0"/>
              <w:pageBreakBefore w:val="0"/>
              <w:widowControl/>
              <w:kinsoku/>
              <w:wordWrap/>
              <w:overflowPunct/>
              <w:topLinePunct w:val="0"/>
              <w:autoSpaceDE/>
              <w:autoSpaceDN/>
              <w:bidi w:val="0"/>
              <w:adjustRightInd w:val="0"/>
              <w:snapToGrid w:val="0"/>
              <w:spacing w:before="0" w:beforeAutospacing="0" w:after="0" w:afterAutospacing="0" w:line="430" w:lineRule="exact"/>
              <w:ind w:firstLine="420" w:firstLineChars="200"/>
              <w:textAlignment w:val="auto"/>
              <w:rPr>
                <w:rFonts w:hint="eastAsia" w:ascii="Times New Roman" w:hAnsi="Times New Roman" w:eastAsia="宋体" w:cs="Times New Roman"/>
                <w:color w:val="auto"/>
                <w:sz w:val="21"/>
                <w:szCs w:val="21"/>
                <w:lang w:eastAsia="zh-CN"/>
              </w:rPr>
            </w:pPr>
            <w:r>
              <w:rPr>
                <w:rFonts w:hint="eastAsia" w:ascii="Times New Roman" w:hAnsi="Times New Roman" w:cs="Times New Roman"/>
                <w:color w:val="auto"/>
                <w:sz w:val="21"/>
                <w:szCs w:val="21"/>
                <w:lang w:eastAsia="zh-CN"/>
              </w:rPr>
              <w:t>（</w:t>
            </w:r>
            <w:r>
              <w:rPr>
                <w:rFonts w:hint="eastAsia" w:ascii="Times New Roman" w:hAnsi="Times New Roman" w:cs="Times New Roman"/>
                <w:color w:val="auto"/>
                <w:sz w:val="21"/>
                <w:szCs w:val="21"/>
                <w:lang w:val="en-US" w:eastAsia="zh-CN"/>
              </w:rPr>
              <w:t>2</w:t>
            </w:r>
            <w:r>
              <w:rPr>
                <w:rFonts w:hint="eastAsia" w:ascii="Times New Roman" w:hAnsi="Times New Roman" w:cs="Times New Roman"/>
                <w:color w:val="auto"/>
                <w:sz w:val="21"/>
                <w:szCs w:val="21"/>
                <w:lang w:eastAsia="zh-CN"/>
              </w:rPr>
              <w:t>）</w:t>
            </w:r>
            <w:r>
              <w:rPr>
                <w:rFonts w:hint="eastAsia" w:ascii="Times New Roman" w:hAnsi="Times New Roman" w:cs="Times New Roman"/>
                <w:color w:val="auto"/>
                <w:sz w:val="21"/>
                <w:szCs w:val="21"/>
              </w:rPr>
              <w:t>在施工现场出入口明显位置设置公示牌，公示施工现场负责人、环保监督员、防尘措施、扬尘监督管理部门、举报投诉电话等信息</w:t>
            </w:r>
            <w:r>
              <w:rPr>
                <w:rFonts w:hint="eastAsia" w:ascii="Times New Roman" w:hAnsi="Times New Roman" w:cs="Times New Roman"/>
                <w:color w:val="auto"/>
                <w:sz w:val="21"/>
                <w:szCs w:val="21"/>
                <w:lang w:eastAsia="zh-CN"/>
              </w:rPr>
              <w:t>；</w:t>
            </w:r>
          </w:p>
          <w:p w14:paraId="07AF946E">
            <w:pPr>
              <w:pStyle w:val="24"/>
              <w:keepNext w:val="0"/>
              <w:keepLines w:val="0"/>
              <w:pageBreakBefore w:val="0"/>
              <w:widowControl/>
              <w:kinsoku/>
              <w:wordWrap/>
              <w:overflowPunct/>
              <w:topLinePunct w:val="0"/>
              <w:autoSpaceDE/>
              <w:autoSpaceDN/>
              <w:bidi w:val="0"/>
              <w:adjustRightInd w:val="0"/>
              <w:snapToGrid w:val="0"/>
              <w:spacing w:before="0" w:beforeAutospacing="0" w:after="0" w:afterAutospacing="0" w:line="430" w:lineRule="exact"/>
              <w:ind w:firstLine="420" w:firstLineChars="200"/>
              <w:textAlignment w:val="auto"/>
              <w:rPr>
                <w:rFonts w:hint="eastAsia" w:ascii="Times New Roman" w:hAnsi="Times New Roman" w:eastAsia="宋体" w:cs="Times New Roman"/>
                <w:color w:val="auto"/>
                <w:sz w:val="21"/>
                <w:szCs w:val="21"/>
                <w:lang w:eastAsia="zh-CN"/>
              </w:rPr>
            </w:pPr>
            <w:r>
              <w:rPr>
                <w:rFonts w:hint="eastAsia" w:ascii="Times New Roman" w:hAnsi="Times New Roman" w:cs="Times New Roman"/>
                <w:color w:val="auto"/>
                <w:sz w:val="21"/>
                <w:szCs w:val="21"/>
                <w:lang w:eastAsia="zh-CN"/>
              </w:rPr>
              <w:t>（</w:t>
            </w:r>
            <w:r>
              <w:rPr>
                <w:rFonts w:hint="eastAsia" w:ascii="Times New Roman" w:hAnsi="Times New Roman" w:cs="Times New Roman"/>
                <w:color w:val="auto"/>
                <w:sz w:val="21"/>
                <w:szCs w:val="21"/>
                <w:lang w:val="en-US" w:eastAsia="zh-CN"/>
              </w:rPr>
              <w:t>3</w:t>
            </w:r>
            <w:r>
              <w:rPr>
                <w:rFonts w:hint="eastAsia" w:ascii="Times New Roman" w:hAnsi="Times New Roman" w:cs="Times New Roman"/>
                <w:color w:val="auto"/>
                <w:sz w:val="21"/>
                <w:szCs w:val="21"/>
                <w:lang w:eastAsia="zh-CN"/>
              </w:rPr>
              <w:t>）</w:t>
            </w:r>
            <w:r>
              <w:rPr>
                <w:rFonts w:hint="eastAsia" w:ascii="Times New Roman" w:hAnsi="Times New Roman" w:cs="Times New Roman"/>
                <w:color w:val="auto"/>
                <w:sz w:val="21"/>
                <w:szCs w:val="21"/>
              </w:rPr>
              <w:t>施工现场出入口必须配备车辆冲洗设施，设置排水、泥浆沉淀池等设施，建立冲洗制度并设专人管理，严禁车辆带泥上路，配备洒水设备，并有专人负责。重污染天气时相应增加洒水频次</w:t>
            </w:r>
            <w:r>
              <w:rPr>
                <w:rFonts w:hint="eastAsia" w:ascii="Times New Roman" w:hAnsi="Times New Roman" w:cs="Times New Roman"/>
                <w:color w:val="auto"/>
                <w:sz w:val="21"/>
                <w:szCs w:val="21"/>
                <w:lang w:eastAsia="zh-CN"/>
              </w:rPr>
              <w:t>；</w:t>
            </w:r>
          </w:p>
          <w:p w14:paraId="020A924A">
            <w:pPr>
              <w:pStyle w:val="24"/>
              <w:keepNext w:val="0"/>
              <w:keepLines w:val="0"/>
              <w:pageBreakBefore w:val="0"/>
              <w:widowControl/>
              <w:kinsoku/>
              <w:wordWrap/>
              <w:overflowPunct/>
              <w:topLinePunct w:val="0"/>
              <w:autoSpaceDE/>
              <w:autoSpaceDN/>
              <w:bidi w:val="0"/>
              <w:adjustRightInd w:val="0"/>
              <w:snapToGrid w:val="0"/>
              <w:spacing w:before="0" w:beforeAutospacing="0" w:after="0" w:afterAutospacing="0" w:line="430" w:lineRule="exact"/>
              <w:ind w:firstLine="420" w:firstLineChars="200"/>
              <w:textAlignment w:val="auto"/>
              <w:rPr>
                <w:rFonts w:hint="eastAsia" w:ascii="Times New Roman" w:hAnsi="Times New Roman" w:eastAsia="宋体" w:cs="Times New Roman"/>
                <w:color w:val="auto"/>
                <w:sz w:val="21"/>
                <w:szCs w:val="21"/>
                <w:lang w:eastAsia="zh-CN"/>
              </w:rPr>
            </w:pPr>
            <w:r>
              <w:rPr>
                <w:rFonts w:hint="eastAsia" w:ascii="Times New Roman" w:hAnsi="Times New Roman" w:cs="Times New Roman"/>
                <w:color w:val="auto"/>
                <w:sz w:val="21"/>
                <w:szCs w:val="21"/>
                <w:lang w:eastAsia="zh-CN"/>
              </w:rPr>
              <w:t>（</w:t>
            </w:r>
            <w:r>
              <w:rPr>
                <w:rFonts w:hint="eastAsia" w:ascii="Times New Roman" w:hAnsi="Times New Roman" w:cs="Times New Roman"/>
                <w:color w:val="auto"/>
                <w:sz w:val="21"/>
                <w:szCs w:val="21"/>
                <w:lang w:val="en-US" w:eastAsia="zh-CN"/>
              </w:rPr>
              <w:t>4</w:t>
            </w:r>
            <w:r>
              <w:rPr>
                <w:rFonts w:hint="eastAsia" w:ascii="Times New Roman" w:hAnsi="Times New Roman" w:cs="Times New Roman"/>
                <w:color w:val="auto"/>
                <w:sz w:val="21"/>
                <w:szCs w:val="21"/>
                <w:lang w:eastAsia="zh-CN"/>
              </w:rPr>
              <w:t>）</w:t>
            </w:r>
            <w:r>
              <w:rPr>
                <w:rFonts w:hint="eastAsia" w:ascii="Times New Roman" w:hAnsi="Times New Roman" w:cs="Times New Roman"/>
                <w:color w:val="auto"/>
                <w:sz w:val="21"/>
                <w:szCs w:val="21"/>
              </w:rPr>
              <w:t>项目主要使用商品混凝</w:t>
            </w:r>
            <w:r>
              <w:rPr>
                <w:rFonts w:hint="eastAsia" w:ascii="Times New Roman" w:hAnsi="Times New Roman" w:cs="Times New Roman"/>
                <w:color w:val="auto"/>
                <w:sz w:val="21"/>
                <w:szCs w:val="21"/>
                <w:lang w:val="en-US" w:eastAsia="zh-CN"/>
              </w:rPr>
              <w:t>土</w:t>
            </w:r>
            <w:r>
              <w:rPr>
                <w:rFonts w:hint="eastAsia" w:ascii="Times New Roman" w:hAnsi="Times New Roman" w:cs="Times New Roman"/>
                <w:color w:val="auto"/>
                <w:sz w:val="21"/>
                <w:szCs w:val="21"/>
              </w:rPr>
              <w:t>等成品建材</w:t>
            </w:r>
            <w:r>
              <w:rPr>
                <w:rFonts w:hint="eastAsia" w:ascii="Times New Roman" w:hAnsi="Times New Roman" w:cs="Times New Roman"/>
                <w:color w:val="auto"/>
                <w:sz w:val="21"/>
                <w:szCs w:val="21"/>
                <w:lang w:eastAsia="zh-CN"/>
              </w:rPr>
              <w:t>，</w:t>
            </w:r>
            <w:r>
              <w:rPr>
                <w:rFonts w:hint="eastAsia" w:ascii="Times New Roman" w:hAnsi="Times New Roman" w:cs="Times New Roman"/>
                <w:color w:val="auto"/>
                <w:sz w:val="21"/>
                <w:szCs w:val="21"/>
              </w:rPr>
              <w:t>施工现场不设混凝</w:t>
            </w:r>
            <w:r>
              <w:rPr>
                <w:rFonts w:hint="eastAsia" w:ascii="Times New Roman" w:hAnsi="Times New Roman" w:cs="Times New Roman"/>
                <w:color w:val="auto"/>
                <w:sz w:val="21"/>
                <w:szCs w:val="21"/>
                <w:lang w:val="en-US" w:eastAsia="zh-CN"/>
              </w:rPr>
              <w:t>土</w:t>
            </w:r>
            <w:r>
              <w:rPr>
                <w:rFonts w:hint="eastAsia" w:ascii="Times New Roman" w:hAnsi="Times New Roman" w:cs="Times New Roman"/>
                <w:color w:val="auto"/>
                <w:sz w:val="21"/>
                <w:szCs w:val="21"/>
              </w:rPr>
              <w:t>搅拌站。运输车辆加盖苫布、防止物料飘洒。采取物料堆存过程加盖苫布等措施，施工材料堆存过程对周围环境影响较小</w:t>
            </w:r>
            <w:r>
              <w:rPr>
                <w:rFonts w:hint="eastAsia" w:ascii="Times New Roman" w:hAnsi="Times New Roman" w:cs="Times New Roman"/>
                <w:color w:val="auto"/>
                <w:sz w:val="21"/>
                <w:szCs w:val="21"/>
                <w:lang w:eastAsia="zh-CN"/>
              </w:rPr>
              <w:t>；</w:t>
            </w:r>
          </w:p>
          <w:p w14:paraId="0925E182">
            <w:pPr>
              <w:pStyle w:val="24"/>
              <w:keepNext w:val="0"/>
              <w:keepLines w:val="0"/>
              <w:pageBreakBefore w:val="0"/>
              <w:widowControl/>
              <w:kinsoku/>
              <w:wordWrap/>
              <w:overflowPunct/>
              <w:topLinePunct w:val="0"/>
              <w:autoSpaceDE/>
              <w:autoSpaceDN/>
              <w:bidi w:val="0"/>
              <w:adjustRightInd w:val="0"/>
              <w:snapToGrid w:val="0"/>
              <w:spacing w:before="0" w:beforeAutospacing="0" w:after="0" w:afterAutospacing="0" w:line="430" w:lineRule="exact"/>
              <w:ind w:firstLine="420" w:firstLineChars="200"/>
              <w:textAlignment w:val="auto"/>
              <w:rPr>
                <w:rFonts w:hint="eastAsia" w:ascii="Times New Roman" w:hAnsi="Times New Roman" w:eastAsia="宋体" w:cs="Times New Roman"/>
                <w:color w:val="auto"/>
                <w:sz w:val="21"/>
                <w:szCs w:val="21"/>
                <w:lang w:eastAsia="zh-CN"/>
              </w:rPr>
            </w:pPr>
            <w:r>
              <w:rPr>
                <w:rFonts w:hint="eastAsia" w:ascii="Times New Roman" w:hAnsi="Times New Roman" w:cs="Times New Roman"/>
                <w:color w:val="auto"/>
                <w:sz w:val="21"/>
                <w:szCs w:val="21"/>
                <w:lang w:eastAsia="zh-CN"/>
              </w:rPr>
              <w:t>（</w:t>
            </w:r>
            <w:r>
              <w:rPr>
                <w:rFonts w:hint="eastAsia" w:ascii="Times New Roman" w:hAnsi="Times New Roman" w:cs="Times New Roman"/>
                <w:color w:val="auto"/>
                <w:sz w:val="21"/>
                <w:szCs w:val="21"/>
                <w:lang w:val="en-US" w:eastAsia="zh-CN"/>
              </w:rPr>
              <w:t>5</w:t>
            </w:r>
            <w:r>
              <w:rPr>
                <w:rFonts w:hint="eastAsia" w:ascii="Times New Roman" w:hAnsi="Times New Roman" w:cs="Times New Roman"/>
                <w:color w:val="auto"/>
                <w:sz w:val="21"/>
                <w:szCs w:val="21"/>
                <w:lang w:eastAsia="zh-CN"/>
              </w:rPr>
              <w:t>）</w:t>
            </w:r>
            <w:r>
              <w:rPr>
                <w:rFonts w:hint="eastAsia" w:ascii="Times New Roman" w:hAnsi="Times New Roman" w:cs="Times New Roman"/>
                <w:color w:val="auto"/>
                <w:sz w:val="21"/>
                <w:szCs w:val="21"/>
              </w:rPr>
              <w:t>施工现场的建筑垃圾必须设置垃圾存放点 集中堆放并严密覆善，及时清运。生活垃圾应用封闭式容器存放，日产日清，严禁随意丢弃</w:t>
            </w:r>
            <w:r>
              <w:rPr>
                <w:rFonts w:hint="eastAsia" w:ascii="Times New Roman" w:hAnsi="Times New Roman" w:cs="Times New Roman"/>
                <w:color w:val="auto"/>
                <w:sz w:val="21"/>
                <w:szCs w:val="21"/>
                <w:lang w:eastAsia="zh-CN"/>
              </w:rPr>
              <w:t>；</w:t>
            </w:r>
          </w:p>
          <w:p w14:paraId="0B5E18B4">
            <w:pPr>
              <w:pStyle w:val="24"/>
              <w:keepNext w:val="0"/>
              <w:keepLines w:val="0"/>
              <w:pageBreakBefore w:val="0"/>
              <w:widowControl/>
              <w:kinsoku/>
              <w:wordWrap/>
              <w:overflowPunct/>
              <w:topLinePunct w:val="0"/>
              <w:autoSpaceDE/>
              <w:autoSpaceDN/>
              <w:bidi w:val="0"/>
              <w:adjustRightInd w:val="0"/>
              <w:snapToGrid w:val="0"/>
              <w:spacing w:before="0" w:beforeAutospacing="0" w:after="0" w:afterAutospacing="0" w:line="430" w:lineRule="exact"/>
              <w:ind w:firstLine="420" w:firstLineChars="200"/>
              <w:textAlignment w:val="auto"/>
              <w:rPr>
                <w:rFonts w:hint="eastAsia" w:ascii="Times New Roman" w:hAnsi="Times New Roman" w:eastAsia="宋体" w:cs="Times New Roman"/>
                <w:color w:val="auto"/>
                <w:sz w:val="21"/>
                <w:szCs w:val="21"/>
                <w:lang w:eastAsia="zh-CN"/>
              </w:rPr>
            </w:pPr>
            <w:r>
              <w:rPr>
                <w:rFonts w:hint="eastAsia" w:ascii="Times New Roman" w:hAnsi="Times New Roman" w:cs="Times New Roman"/>
                <w:color w:val="auto"/>
                <w:sz w:val="21"/>
                <w:szCs w:val="21"/>
                <w:lang w:eastAsia="zh-CN"/>
              </w:rPr>
              <w:t>（</w:t>
            </w:r>
            <w:r>
              <w:rPr>
                <w:rFonts w:hint="eastAsia" w:ascii="Times New Roman" w:hAnsi="Times New Roman" w:cs="Times New Roman"/>
                <w:color w:val="auto"/>
                <w:sz w:val="21"/>
                <w:szCs w:val="21"/>
                <w:lang w:val="en-US" w:eastAsia="zh-CN"/>
              </w:rPr>
              <w:t>6</w:t>
            </w:r>
            <w:r>
              <w:rPr>
                <w:rFonts w:hint="eastAsia" w:ascii="Times New Roman" w:hAnsi="Times New Roman" w:cs="Times New Roman"/>
                <w:color w:val="auto"/>
                <w:sz w:val="21"/>
                <w:szCs w:val="21"/>
                <w:lang w:eastAsia="zh-CN"/>
              </w:rPr>
              <w:t>）</w:t>
            </w:r>
            <w:r>
              <w:rPr>
                <w:rFonts w:hint="eastAsia" w:ascii="Times New Roman" w:hAnsi="Times New Roman" w:cs="Times New Roman"/>
                <w:color w:val="auto"/>
                <w:sz w:val="21"/>
                <w:szCs w:val="21"/>
              </w:rPr>
              <w:t>建筑物内保持干净整洁，清扫时应当洒水防尘</w:t>
            </w:r>
            <w:r>
              <w:rPr>
                <w:rFonts w:hint="eastAsia" w:ascii="Times New Roman" w:hAnsi="Times New Roman" w:cs="Times New Roman"/>
                <w:color w:val="auto"/>
                <w:sz w:val="21"/>
                <w:szCs w:val="21"/>
                <w:lang w:eastAsia="zh-CN"/>
              </w:rPr>
              <w:t>；</w:t>
            </w:r>
          </w:p>
          <w:p w14:paraId="03307FC0">
            <w:pPr>
              <w:pStyle w:val="24"/>
              <w:keepNext w:val="0"/>
              <w:keepLines w:val="0"/>
              <w:pageBreakBefore w:val="0"/>
              <w:widowControl/>
              <w:kinsoku/>
              <w:wordWrap/>
              <w:overflowPunct/>
              <w:topLinePunct w:val="0"/>
              <w:autoSpaceDE/>
              <w:autoSpaceDN/>
              <w:bidi w:val="0"/>
              <w:adjustRightInd w:val="0"/>
              <w:snapToGrid w:val="0"/>
              <w:spacing w:before="0" w:beforeAutospacing="0" w:after="0" w:afterAutospacing="0" w:line="430" w:lineRule="exact"/>
              <w:ind w:firstLine="420" w:firstLineChars="200"/>
              <w:textAlignment w:val="auto"/>
              <w:rPr>
                <w:rFonts w:hint="eastAsia" w:ascii="Times New Roman" w:hAnsi="Times New Roman" w:eastAsia="宋体" w:cs="Times New Roman"/>
                <w:color w:val="auto"/>
                <w:sz w:val="21"/>
                <w:szCs w:val="21"/>
                <w:lang w:eastAsia="zh-CN"/>
              </w:rPr>
            </w:pPr>
            <w:r>
              <w:rPr>
                <w:rFonts w:hint="eastAsia" w:ascii="Times New Roman" w:hAnsi="Times New Roman" w:cs="Times New Roman"/>
                <w:color w:val="auto"/>
                <w:sz w:val="21"/>
                <w:szCs w:val="21"/>
                <w:lang w:eastAsia="zh-CN"/>
              </w:rPr>
              <w:t>（</w:t>
            </w:r>
            <w:r>
              <w:rPr>
                <w:rFonts w:hint="eastAsia" w:ascii="Times New Roman" w:hAnsi="Times New Roman" w:cs="Times New Roman"/>
                <w:color w:val="auto"/>
                <w:sz w:val="21"/>
                <w:szCs w:val="21"/>
                <w:lang w:val="en-US" w:eastAsia="zh-CN"/>
              </w:rPr>
              <w:t>7</w:t>
            </w:r>
            <w:r>
              <w:rPr>
                <w:rFonts w:hint="eastAsia" w:ascii="Times New Roman" w:hAnsi="Times New Roman" w:cs="Times New Roman"/>
                <w:color w:val="auto"/>
                <w:sz w:val="21"/>
                <w:szCs w:val="21"/>
                <w:lang w:eastAsia="zh-CN"/>
              </w:rPr>
              <w:t>）</w:t>
            </w:r>
            <w:r>
              <w:rPr>
                <w:rFonts w:hint="eastAsia" w:ascii="Times New Roman" w:hAnsi="Times New Roman" w:cs="Times New Roman"/>
                <w:color w:val="auto"/>
                <w:sz w:val="21"/>
                <w:szCs w:val="21"/>
              </w:rPr>
              <w:t>高空作业施工中，施工层建筑垃圾应当采用封闭式管道运送或者装袋用垂直升降机械运送，禁止高空抛掷、扬撒</w:t>
            </w:r>
            <w:r>
              <w:rPr>
                <w:rFonts w:hint="eastAsia" w:ascii="Times New Roman" w:hAnsi="Times New Roman" w:cs="Times New Roman"/>
                <w:color w:val="auto"/>
                <w:sz w:val="21"/>
                <w:szCs w:val="21"/>
                <w:lang w:eastAsia="zh-CN"/>
              </w:rPr>
              <w:t>；</w:t>
            </w:r>
          </w:p>
          <w:p w14:paraId="0463AB9C">
            <w:pPr>
              <w:pStyle w:val="24"/>
              <w:keepNext w:val="0"/>
              <w:keepLines w:val="0"/>
              <w:pageBreakBefore w:val="0"/>
              <w:widowControl/>
              <w:kinsoku/>
              <w:wordWrap/>
              <w:overflowPunct/>
              <w:topLinePunct w:val="0"/>
              <w:autoSpaceDE/>
              <w:autoSpaceDN/>
              <w:bidi w:val="0"/>
              <w:adjustRightInd w:val="0"/>
              <w:snapToGrid w:val="0"/>
              <w:spacing w:before="0" w:beforeAutospacing="0" w:after="0" w:afterAutospacing="0" w:line="430" w:lineRule="exact"/>
              <w:ind w:firstLine="420" w:firstLineChars="200"/>
              <w:textAlignment w:val="auto"/>
              <w:rPr>
                <w:rFonts w:hint="eastAsia" w:ascii="Times New Roman" w:hAnsi="Times New Roman" w:eastAsia="宋体" w:cs="Times New Roman"/>
                <w:color w:val="auto"/>
                <w:sz w:val="21"/>
                <w:szCs w:val="21"/>
                <w:lang w:eastAsia="zh-CN"/>
              </w:rPr>
            </w:pPr>
            <w:r>
              <w:rPr>
                <w:rFonts w:hint="eastAsia" w:ascii="Times New Roman" w:hAnsi="Times New Roman" w:cs="Times New Roman"/>
                <w:color w:val="auto"/>
                <w:sz w:val="21"/>
                <w:szCs w:val="21"/>
                <w:lang w:eastAsia="zh-CN"/>
              </w:rPr>
              <w:t>（</w:t>
            </w:r>
            <w:r>
              <w:rPr>
                <w:rFonts w:hint="eastAsia" w:ascii="Times New Roman" w:hAnsi="Times New Roman" w:cs="Times New Roman"/>
                <w:color w:val="auto"/>
                <w:sz w:val="21"/>
                <w:szCs w:val="21"/>
                <w:lang w:val="en-US" w:eastAsia="zh-CN"/>
              </w:rPr>
              <w:t>8</w:t>
            </w:r>
            <w:r>
              <w:rPr>
                <w:rFonts w:hint="eastAsia" w:ascii="Times New Roman" w:hAnsi="Times New Roman" w:cs="Times New Roman"/>
                <w:color w:val="auto"/>
                <w:sz w:val="21"/>
                <w:szCs w:val="21"/>
                <w:lang w:eastAsia="zh-CN"/>
              </w:rPr>
              <w:t>）</w:t>
            </w:r>
            <w:r>
              <w:rPr>
                <w:rFonts w:hint="eastAsia" w:ascii="Times New Roman" w:hAnsi="Times New Roman" w:cs="Times New Roman"/>
                <w:color w:val="auto"/>
                <w:sz w:val="21"/>
                <w:szCs w:val="21"/>
              </w:rPr>
              <w:t>装饰装修施工中，在施工现场进行机械剔凿、清理作业时应当采取封闭、遮盖、喷淋等防尘措施</w:t>
            </w:r>
            <w:r>
              <w:rPr>
                <w:rFonts w:hint="eastAsia" w:ascii="Times New Roman" w:hAnsi="Times New Roman" w:cs="Times New Roman"/>
                <w:color w:val="auto"/>
                <w:sz w:val="21"/>
                <w:szCs w:val="21"/>
                <w:lang w:eastAsia="zh-CN"/>
              </w:rPr>
              <w:t>；</w:t>
            </w:r>
          </w:p>
          <w:p w14:paraId="2ADF579E">
            <w:pPr>
              <w:pStyle w:val="24"/>
              <w:keepNext w:val="0"/>
              <w:keepLines w:val="0"/>
              <w:pageBreakBefore w:val="0"/>
              <w:widowControl/>
              <w:kinsoku/>
              <w:wordWrap/>
              <w:overflowPunct/>
              <w:topLinePunct w:val="0"/>
              <w:autoSpaceDE/>
              <w:autoSpaceDN/>
              <w:bidi w:val="0"/>
              <w:adjustRightInd w:val="0"/>
              <w:snapToGrid w:val="0"/>
              <w:spacing w:before="0" w:beforeAutospacing="0" w:after="0" w:afterAutospacing="0" w:line="430" w:lineRule="exact"/>
              <w:ind w:firstLine="420" w:firstLineChars="200"/>
              <w:textAlignment w:val="auto"/>
              <w:rPr>
                <w:rFonts w:hint="eastAsia" w:ascii="Times New Roman" w:hAnsi="Times New Roman" w:eastAsia="宋体" w:cs="Times New Roman"/>
                <w:color w:val="auto"/>
                <w:sz w:val="21"/>
                <w:szCs w:val="21"/>
                <w:lang w:eastAsia="zh-CN"/>
              </w:rPr>
            </w:pPr>
            <w:r>
              <w:rPr>
                <w:rFonts w:hint="eastAsia" w:ascii="Times New Roman" w:hAnsi="Times New Roman" w:cs="Times New Roman"/>
                <w:color w:val="auto"/>
                <w:sz w:val="21"/>
                <w:szCs w:val="21"/>
                <w:lang w:eastAsia="zh-CN"/>
              </w:rPr>
              <w:t>（</w:t>
            </w:r>
            <w:r>
              <w:rPr>
                <w:rFonts w:hint="eastAsia" w:ascii="Times New Roman" w:hAnsi="Times New Roman" w:cs="Times New Roman"/>
                <w:color w:val="auto"/>
                <w:sz w:val="21"/>
                <w:szCs w:val="21"/>
                <w:lang w:val="en-US" w:eastAsia="zh-CN"/>
              </w:rPr>
              <w:t>9</w:t>
            </w:r>
            <w:r>
              <w:rPr>
                <w:rFonts w:hint="eastAsia" w:ascii="Times New Roman" w:hAnsi="Times New Roman" w:cs="Times New Roman"/>
                <w:color w:val="auto"/>
                <w:sz w:val="21"/>
                <w:szCs w:val="21"/>
                <w:lang w:eastAsia="zh-CN"/>
              </w:rPr>
              <w:t>）</w:t>
            </w:r>
            <w:r>
              <w:rPr>
                <w:rFonts w:hint="eastAsia" w:ascii="Times New Roman" w:hAnsi="Times New Roman" w:cs="Times New Roman"/>
                <w:color w:val="auto"/>
                <w:sz w:val="21"/>
                <w:szCs w:val="21"/>
              </w:rPr>
              <w:t>施工工地应当安装视频监控设备和扬尘污染物在线监测设备，并分别与建设主管部门、环境保护主管部门的监控设备联网，县级以上人民政府建立统一平台后，并入监控系统进行联网监控。发生故障应当在二十四小时内修复</w:t>
            </w:r>
            <w:r>
              <w:rPr>
                <w:rFonts w:hint="eastAsia" w:ascii="Times New Roman" w:hAnsi="Times New Roman" w:cs="Times New Roman"/>
                <w:color w:val="auto"/>
                <w:sz w:val="21"/>
                <w:szCs w:val="21"/>
                <w:lang w:eastAsia="zh-CN"/>
              </w:rPr>
              <w:t>；</w:t>
            </w:r>
          </w:p>
          <w:p w14:paraId="7297DD2C">
            <w:pPr>
              <w:pStyle w:val="24"/>
              <w:keepNext w:val="0"/>
              <w:keepLines w:val="0"/>
              <w:pageBreakBefore w:val="0"/>
              <w:widowControl/>
              <w:kinsoku/>
              <w:wordWrap/>
              <w:overflowPunct/>
              <w:topLinePunct w:val="0"/>
              <w:autoSpaceDE/>
              <w:autoSpaceDN/>
              <w:bidi w:val="0"/>
              <w:adjustRightInd w:val="0"/>
              <w:snapToGrid w:val="0"/>
              <w:spacing w:before="0" w:beforeAutospacing="0" w:after="0" w:afterAutospacing="0" w:line="430" w:lineRule="exact"/>
              <w:ind w:firstLine="420" w:firstLineChars="200"/>
              <w:textAlignment w:val="auto"/>
              <w:rPr>
                <w:rFonts w:hint="eastAsia" w:ascii="Times New Roman" w:hAnsi="Times New Roman" w:eastAsia="宋体" w:cs="Times New Roman"/>
                <w:color w:val="auto"/>
                <w:sz w:val="21"/>
                <w:szCs w:val="21"/>
                <w:lang w:eastAsia="zh-CN"/>
              </w:rPr>
            </w:pPr>
            <w:r>
              <w:rPr>
                <w:rFonts w:hint="eastAsia" w:ascii="Times New Roman" w:hAnsi="Times New Roman" w:cs="Times New Roman"/>
                <w:color w:val="auto"/>
                <w:sz w:val="21"/>
                <w:szCs w:val="21"/>
                <w:lang w:eastAsia="zh-CN"/>
              </w:rPr>
              <w:t>（</w:t>
            </w:r>
            <w:r>
              <w:rPr>
                <w:rFonts w:hint="eastAsia" w:ascii="Times New Roman" w:hAnsi="Times New Roman" w:cs="Times New Roman"/>
                <w:color w:val="auto"/>
                <w:sz w:val="21"/>
                <w:szCs w:val="21"/>
                <w:lang w:val="en-US" w:eastAsia="zh-CN"/>
              </w:rPr>
              <w:t>10</w:t>
            </w:r>
            <w:r>
              <w:rPr>
                <w:rFonts w:hint="eastAsia" w:ascii="Times New Roman" w:hAnsi="Times New Roman" w:cs="Times New Roman"/>
                <w:color w:val="auto"/>
                <w:sz w:val="21"/>
                <w:szCs w:val="21"/>
                <w:lang w:eastAsia="zh-CN"/>
              </w:rPr>
              <w:t>）</w:t>
            </w:r>
            <w:r>
              <w:rPr>
                <w:rFonts w:hint="eastAsia" w:ascii="Times New Roman" w:hAnsi="Times New Roman" w:cs="Times New Roman"/>
                <w:color w:val="auto"/>
                <w:sz w:val="21"/>
                <w:szCs w:val="21"/>
              </w:rPr>
              <w:t>遇有4级以上大风或重污染天气预警时，必须采取扬尘防治应急措施，严禁土方开挖、土方回填或其他有可能产生扬尘的作业</w:t>
            </w:r>
            <w:r>
              <w:rPr>
                <w:rFonts w:hint="eastAsia" w:ascii="Times New Roman" w:hAnsi="Times New Roman" w:cs="Times New Roman"/>
                <w:color w:val="auto"/>
                <w:sz w:val="21"/>
                <w:szCs w:val="21"/>
                <w:lang w:eastAsia="zh-CN"/>
              </w:rPr>
              <w:t>；</w:t>
            </w:r>
          </w:p>
          <w:p w14:paraId="471A1E30">
            <w:pPr>
              <w:pStyle w:val="24"/>
              <w:keepNext w:val="0"/>
              <w:keepLines w:val="0"/>
              <w:pageBreakBefore w:val="0"/>
              <w:widowControl/>
              <w:kinsoku/>
              <w:wordWrap/>
              <w:overflowPunct/>
              <w:topLinePunct w:val="0"/>
              <w:autoSpaceDE/>
              <w:autoSpaceDN/>
              <w:bidi w:val="0"/>
              <w:adjustRightInd w:val="0"/>
              <w:snapToGrid w:val="0"/>
              <w:spacing w:before="0" w:beforeAutospacing="0" w:after="0" w:afterAutospacing="0" w:line="430" w:lineRule="exact"/>
              <w:ind w:firstLine="420" w:firstLineChars="200"/>
              <w:textAlignment w:val="auto"/>
              <w:rPr>
                <w:rFonts w:hint="eastAsia" w:ascii="Times New Roman" w:hAnsi="Times New Roman" w:eastAsia="宋体" w:cs="Times New Roman"/>
                <w:color w:val="auto"/>
                <w:sz w:val="21"/>
                <w:szCs w:val="21"/>
                <w:lang w:eastAsia="zh-CN"/>
              </w:rPr>
            </w:pPr>
            <w:r>
              <w:rPr>
                <w:rFonts w:hint="eastAsia" w:ascii="Times New Roman" w:hAnsi="Times New Roman" w:cs="Times New Roman"/>
                <w:color w:val="auto"/>
                <w:sz w:val="21"/>
                <w:szCs w:val="21"/>
                <w:lang w:eastAsia="zh-CN"/>
              </w:rPr>
              <w:t>（</w:t>
            </w:r>
            <w:r>
              <w:rPr>
                <w:rFonts w:hint="eastAsia" w:ascii="Times New Roman" w:hAnsi="Times New Roman" w:cs="Times New Roman"/>
                <w:color w:val="auto"/>
                <w:sz w:val="21"/>
                <w:szCs w:val="21"/>
                <w:lang w:val="en-US" w:eastAsia="zh-CN"/>
              </w:rPr>
              <w:t>11</w:t>
            </w:r>
            <w:r>
              <w:rPr>
                <w:rFonts w:hint="eastAsia" w:ascii="Times New Roman" w:hAnsi="Times New Roman" w:cs="Times New Roman"/>
                <w:color w:val="auto"/>
                <w:sz w:val="21"/>
                <w:szCs w:val="21"/>
                <w:lang w:eastAsia="zh-CN"/>
              </w:rPr>
              <w:t>）</w:t>
            </w:r>
            <w:r>
              <w:rPr>
                <w:rFonts w:hint="eastAsia" w:ascii="Times New Roman" w:hAnsi="Times New Roman" w:cs="Times New Roman"/>
                <w:color w:val="auto"/>
                <w:sz w:val="21"/>
                <w:szCs w:val="21"/>
              </w:rPr>
              <w:t>建筑垃圾等应当及时清运，不得高空抛掷、扬撒</w:t>
            </w:r>
            <w:r>
              <w:rPr>
                <w:rFonts w:hint="eastAsia" w:ascii="Times New Roman" w:hAnsi="Times New Roman" w:cs="Times New Roman"/>
                <w:color w:val="auto"/>
                <w:sz w:val="21"/>
                <w:szCs w:val="21"/>
                <w:lang w:eastAsia="zh-CN"/>
              </w:rPr>
              <w:t>；</w:t>
            </w:r>
            <w:r>
              <w:rPr>
                <w:rFonts w:hint="eastAsia" w:ascii="Times New Roman" w:hAnsi="Times New Roman" w:cs="Times New Roman"/>
                <w:color w:val="auto"/>
                <w:sz w:val="21"/>
                <w:szCs w:val="21"/>
              </w:rPr>
              <w:t>不能及时清运的，应当采用遮盖等防尘措施</w:t>
            </w:r>
            <w:r>
              <w:rPr>
                <w:rFonts w:hint="eastAsia" w:ascii="Times New Roman" w:hAnsi="Times New Roman" w:cs="Times New Roman"/>
                <w:color w:val="auto"/>
                <w:sz w:val="21"/>
                <w:szCs w:val="21"/>
                <w:lang w:eastAsia="zh-CN"/>
              </w:rPr>
              <w:t>；</w:t>
            </w:r>
          </w:p>
          <w:p w14:paraId="14A4C6BD">
            <w:pPr>
              <w:pStyle w:val="24"/>
              <w:keepNext w:val="0"/>
              <w:keepLines w:val="0"/>
              <w:pageBreakBefore w:val="0"/>
              <w:widowControl/>
              <w:kinsoku/>
              <w:wordWrap/>
              <w:overflowPunct/>
              <w:topLinePunct w:val="0"/>
              <w:autoSpaceDE/>
              <w:autoSpaceDN/>
              <w:bidi w:val="0"/>
              <w:adjustRightInd w:val="0"/>
              <w:snapToGrid w:val="0"/>
              <w:spacing w:before="0" w:beforeAutospacing="0" w:after="0" w:afterAutospacing="0" w:line="430" w:lineRule="exact"/>
              <w:ind w:firstLine="420" w:firstLineChars="200"/>
              <w:textAlignment w:val="auto"/>
              <w:rPr>
                <w:rFonts w:ascii="Times New Roman" w:hAnsi="Times New Roman" w:cs="Times New Roman"/>
                <w:color w:val="auto"/>
                <w:sz w:val="21"/>
                <w:szCs w:val="21"/>
              </w:rPr>
            </w:pPr>
            <w:r>
              <w:rPr>
                <w:rFonts w:hint="eastAsia" w:ascii="Times New Roman" w:hAnsi="Times New Roman" w:cs="Times New Roman"/>
                <w:color w:val="auto"/>
                <w:sz w:val="21"/>
                <w:szCs w:val="21"/>
                <w:lang w:eastAsia="zh-CN"/>
              </w:rPr>
              <w:t>（</w:t>
            </w:r>
            <w:r>
              <w:rPr>
                <w:rFonts w:hint="eastAsia" w:ascii="Times New Roman" w:hAnsi="Times New Roman" w:cs="Times New Roman"/>
                <w:color w:val="auto"/>
                <w:sz w:val="21"/>
                <w:szCs w:val="21"/>
                <w:lang w:val="en-US" w:eastAsia="zh-CN"/>
              </w:rPr>
              <w:t>12</w:t>
            </w:r>
            <w:r>
              <w:rPr>
                <w:rFonts w:hint="eastAsia" w:ascii="Times New Roman" w:hAnsi="Times New Roman" w:cs="Times New Roman"/>
                <w:color w:val="auto"/>
                <w:sz w:val="21"/>
                <w:szCs w:val="21"/>
                <w:lang w:eastAsia="zh-CN"/>
              </w:rPr>
              <w:t>）</w:t>
            </w:r>
            <w:r>
              <w:rPr>
                <w:rFonts w:hint="eastAsia" w:ascii="Times New Roman" w:hAnsi="Times New Roman" w:cs="Times New Roman"/>
                <w:color w:val="auto"/>
                <w:sz w:val="21"/>
                <w:szCs w:val="21"/>
              </w:rPr>
              <w:t>在非道路移动机械进入施工现场前，施工单位应当核验环保登记号码标识、信息采集卡和信息采集表，并做好进出施工现场信息登记。严禁夫经生态环境部门信息编码登记的非道路移动机械进入施工现场作业。</w:t>
            </w:r>
          </w:p>
          <w:p w14:paraId="6F0101AF">
            <w:pPr>
              <w:pStyle w:val="24"/>
              <w:keepNext w:val="0"/>
              <w:keepLines w:val="0"/>
              <w:pageBreakBefore w:val="0"/>
              <w:widowControl/>
              <w:kinsoku/>
              <w:wordWrap/>
              <w:overflowPunct/>
              <w:topLinePunct w:val="0"/>
              <w:autoSpaceDE/>
              <w:autoSpaceDN/>
              <w:bidi w:val="0"/>
              <w:adjustRightInd w:val="0"/>
              <w:snapToGrid w:val="0"/>
              <w:spacing w:before="0" w:beforeAutospacing="0" w:after="0" w:afterAutospacing="0" w:line="430" w:lineRule="exact"/>
              <w:ind w:firstLine="420" w:firstLineChars="200"/>
              <w:textAlignment w:val="auto"/>
              <w:rPr>
                <w:rFonts w:ascii="Times New Roman" w:hAnsi="Times New Roman"/>
                <w:color w:val="auto"/>
                <w:sz w:val="21"/>
                <w:szCs w:val="21"/>
              </w:rPr>
            </w:pPr>
            <w:r>
              <w:rPr>
                <w:rFonts w:ascii="Times New Roman" w:hAnsi="Times New Roman"/>
                <w:color w:val="auto"/>
                <w:sz w:val="21"/>
                <w:szCs w:val="21"/>
              </w:rPr>
              <w:t>采取以上措施后，可有效的控制施工扬尘，可有效的控制施工扬尘，扬尘排放浓度满足《河北省地方标准 施工场地扬尘排放标准》（DB13/2934-2019）表1中：扬尘排放浓度限值80ug/m</w:t>
            </w:r>
            <w:r>
              <w:rPr>
                <w:rFonts w:ascii="Times New Roman" w:hAnsi="Times New Roman"/>
                <w:color w:val="auto"/>
                <w:sz w:val="21"/>
                <w:szCs w:val="21"/>
                <w:vertAlign w:val="superscript"/>
              </w:rPr>
              <w:t>3</w:t>
            </w:r>
            <w:r>
              <w:rPr>
                <w:rFonts w:ascii="Times New Roman" w:hAnsi="Times New Roman"/>
                <w:color w:val="auto"/>
                <w:sz w:val="21"/>
                <w:szCs w:val="21"/>
              </w:rPr>
              <w:t>。况且施工扬尘造成的影响仅是短期的、局部的行为，施工结束后将自然消失，施工期产生的颗粒物不会对当地环境质量造成影响。</w:t>
            </w:r>
          </w:p>
          <w:p w14:paraId="57DBB3BA">
            <w:pPr>
              <w:pStyle w:val="24"/>
              <w:keepNext w:val="0"/>
              <w:keepLines w:val="0"/>
              <w:pageBreakBefore w:val="0"/>
              <w:widowControl/>
              <w:kinsoku/>
              <w:wordWrap/>
              <w:overflowPunct/>
              <w:topLinePunct w:val="0"/>
              <w:autoSpaceDE/>
              <w:autoSpaceDN/>
              <w:bidi w:val="0"/>
              <w:adjustRightInd w:val="0"/>
              <w:snapToGrid w:val="0"/>
              <w:spacing w:before="0" w:beforeAutospacing="0" w:after="0" w:afterAutospacing="0" w:line="430" w:lineRule="exact"/>
              <w:ind w:firstLine="420" w:firstLineChars="200"/>
              <w:textAlignment w:val="auto"/>
              <w:rPr>
                <w:rFonts w:ascii="Times New Roman" w:hAnsi="Times New Roman"/>
                <w:color w:val="auto"/>
                <w:sz w:val="21"/>
                <w:szCs w:val="21"/>
              </w:rPr>
            </w:pPr>
            <w:r>
              <w:rPr>
                <w:rFonts w:ascii="Times New Roman" w:hAnsi="Times New Roman"/>
                <w:color w:val="auto"/>
                <w:sz w:val="21"/>
                <w:szCs w:val="21"/>
              </w:rPr>
              <w:t>（二）施工期场地监测方案</w:t>
            </w:r>
          </w:p>
          <w:p w14:paraId="0A846554">
            <w:pPr>
              <w:pStyle w:val="24"/>
              <w:keepNext w:val="0"/>
              <w:keepLines w:val="0"/>
              <w:pageBreakBefore w:val="0"/>
              <w:widowControl/>
              <w:kinsoku/>
              <w:wordWrap/>
              <w:overflowPunct/>
              <w:topLinePunct w:val="0"/>
              <w:autoSpaceDE/>
              <w:autoSpaceDN/>
              <w:bidi w:val="0"/>
              <w:adjustRightInd w:val="0"/>
              <w:snapToGrid w:val="0"/>
              <w:spacing w:before="0" w:beforeAutospacing="0" w:after="0" w:afterAutospacing="0" w:line="440" w:lineRule="exact"/>
              <w:ind w:firstLine="420" w:firstLineChars="200"/>
              <w:textAlignment w:val="auto"/>
              <w:rPr>
                <w:rFonts w:ascii="Times New Roman" w:hAnsi="Times New Roman" w:eastAsia="宋体"/>
                <w:color w:val="auto"/>
                <w:sz w:val="21"/>
                <w:szCs w:val="21"/>
                <w:highlight w:val="yellow"/>
              </w:rPr>
            </w:pPr>
            <w:r>
              <w:rPr>
                <w:rFonts w:ascii="Times New Roman" w:hAnsi="Times New Roman" w:eastAsia="宋体"/>
                <w:color w:val="auto"/>
                <w:sz w:val="21"/>
                <w:szCs w:val="21"/>
                <w:highlight w:val="none"/>
              </w:rPr>
              <w:t>本项目应在施工期在厂区内设置扬尘监测点，根据</w:t>
            </w:r>
            <w:r>
              <w:rPr>
                <w:rFonts w:ascii="Times New Roman" w:hAnsi="Times New Roman"/>
                <w:color w:val="auto"/>
                <w:sz w:val="21"/>
                <w:szCs w:val="21"/>
                <w:highlight w:val="none"/>
              </w:rPr>
              <w:t>《</w:t>
            </w:r>
            <w:r>
              <w:rPr>
                <w:rFonts w:hint="eastAsia" w:ascii="Times New Roman" w:hAnsi="Times New Roman"/>
                <w:color w:val="auto"/>
                <w:sz w:val="21"/>
                <w:szCs w:val="21"/>
                <w:highlight w:val="none"/>
              </w:rPr>
              <w:t>扬尘在线监测系统建设与运行技术规范</w:t>
            </w:r>
            <w:r>
              <w:rPr>
                <w:rFonts w:ascii="Times New Roman" w:hAnsi="Times New Roman"/>
                <w:color w:val="auto"/>
                <w:sz w:val="21"/>
                <w:szCs w:val="21"/>
                <w:highlight w:val="none"/>
              </w:rPr>
              <w:t>》（DB13/</w:t>
            </w:r>
            <w:r>
              <w:rPr>
                <w:rFonts w:hint="eastAsia" w:ascii="Times New Roman" w:hAnsi="Times New Roman"/>
                <w:color w:val="auto"/>
                <w:sz w:val="21"/>
                <w:szCs w:val="21"/>
                <w:highlight w:val="none"/>
              </w:rPr>
              <w:t>T</w:t>
            </w:r>
            <w:r>
              <w:rPr>
                <w:rFonts w:ascii="Times New Roman" w:hAnsi="Times New Roman"/>
                <w:color w:val="auto"/>
                <w:sz w:val="21"/>
                <w:szCs w:val="21"/>
                <w:highlight w:val="none"/>
              </w:rPr>
              <w:t>2935-2019）</w:t>
            </w:r>
            <w:r>
              <w:rPr>
                <w:rFonts w:ascii="Times New Roman" w:hAnsi="Times New Roman" w:eastAsia="宋体"/>
                <w:color w:val="auto"/>
                <w:sz w:val="21"/>
                <w:szCs w:val="21"/>
                <w:highlight w:val="none"/>
              </w:rPr>
              <w:t>5.</w:t>
            </w:r>
            <w:r>
              <w:rPr>
                <w:rFonts w:hint="eastAsia" w:ascii="Times New Roman" w:hAnsi="Times New Roman" w:eastAsia="宋体"/>
                <w:color w:val="auto"/>
                <w:sz w:val="21"/>
                <w:szCs w:val="21"/>
                <w:highlight w:val="none"/>
                <w:lang w:val="en-US" w:eastAsia="zh-CN"/>
              </w:rPr>
              <w:t>1.1.1</w:t>
            </w:r>
            <w:r>
              <w:rPr>
                <w:rFonts w:ascii="Times New Roman" w:hAnsi="Times New Roman" w:eastAsia="宋体"/>
                <w:color w:val="auto"/>
                <w:sz w:val="21"/>
                <w:szCs w:val="21"/>
                <w:highlight w:val="none"/>
              </w:rPr>
              <w:t>及5.</w:t>
            </w:r>
            <w:r>
              <w:rPr>
                <w:rFonts w:hint="eastAsia" w:ascii="Times New Roman" w:hAnsi="Times New Roman" w:eastAsia="宋体"/>
                <w:color w:val="auto"/>
                <w:sz w:val="21"/>
                <w:szCs w:val="21"/>
                <w:highlight w:val="none"/>
                <w:lang w:val="en-US" w:eastAsia="zh-CN"/>
              </w:rPr>
              <w:t>1.1.3</w:t>
            </w:r>
            <w:r>
              <w:rPr>
                <w:rFonts w:ascii="Times New Roman" w:hAnsi="Times New Roman" w:eastAsia="宋体"/>
                <w:color w:val="auto"/>
                <w:sz w:val="21"/>
                <w:szCs w:val="21"/>
                <w:highlight w:val="none"/>
              </w:rPr>
              <w:t>中要求：占地面积</w:t>
            </w:r>
            <w:r>
              <w:rPr>
                <w:rFonts w:hint="eastAsia" w:ascii="Times New Roman" w:hAnsi="Times New Roman"/>
                <w:color w:val="auto"/>
                <w:sz w:val="21"/>
                <w:szCs w:val="21"/>
                <w:highlight w:val="none"/>
                <w:lang w:val="en-US" w:eastAsia="zh-CN"/>
              </w:rPr>
              <w:t>5</w:t>
            </w:r>
            <w:r>
              <w:rPr>
                <w:rFonts w:ascii="Times New Roman" w:hAnsi="Times New Roman" w:eastAsia="宋体"/>
                <w:color w:val="auto"/>
                <w:sz w:val="21"/>
                <w:szCs w:val="21"/>
                <w:highlight w:val="none"/>
              </w:rPr>
              <w:t>000m</w:t>
            </w:r>
            <w:r>
              <w:rPr>
                <w:rFonts w:ascii="Times New Roman" w:hAnsi="Times New Roman" w:eastAsia="宋体"/>
                <w:color w:val="auto"/>
                <w:sz w:val="21"/>
                <w:szCs w:val="21"/>
                <w:highlight w:val="none"/>
                <w:vertAlign w:val="superscript"/>
              </w:rPr>
              <w:t>2</w:t>
            </w:r>
            <w:r>
              <w:rPr>
                <w:rFonts w:hint="eastAsia" w:ascii="Times New Roman" w:hAnsi="Times New Roman" w:eastAsia="宋体"/>
                <w:color w:val="auto"/>
                <w:sz w:val="21"/>
                <w:szCs w:val="21"/>
                <w:highlight w:val="none"/>
                <w:lang w:val="en-US" w:eastAsia="zh-CN"/>
              </w:rPr>
              <w:t>＜S</w:t>
            </w:r>
            <w:r>
              <w:rPr>
                <w:rFonts w:hint="eastAsia" w:ascii="Times New Roman" w:hAnsi="Times New Roman" w:eastAsia="宋体"/>
                <w:color w:val="auto"/>
                <w:sz w:val="21"/>
                <w:szCs w:val="21"/>
                <w:highlight w:val="none"/>
                <w:lang w:eastAsia="zh-CN"/>
              </w:rPr>
              <w:t>≤</w:t>
            </w:r>
            <w:r>
              <w:rPr>
                <w:rFonts w:hint="eastAsia" w:ascii="Times New Roman" w:hAnsi="Times New Roman" w:eastAsia="宋体"/>
                <w:color w:val="auto"/>
                <w:sz w:val="21"/>
                <w:szCs w:val="21"/>
                <w:highlight w:val="none"/>
                <w:lang w:val="en-US" w:eastAsia="zh-CN"/>
              </w:rPr>
              <w:t>10</w:t>
            </w:r>
            <w:r>
              <w:rPr>
                <w:rFonts w:ascii="Times New Roman" w:hAnsi="Times New Roman" w:eastAsia="宋体"/>
                <w:color w:val="auto"/>
                <w:sz w:val="21"/>
                <w:szCs w:val="21"/>
                <w:highlight w:val="none"/>
              </w:rPr>
              <w:t>0</w:t>
            </w:r>
            <w:r>
              <w:rPr>
                <w:rFonts w:hint="eastAsia" w:ascii="Times New Roman" w:hAnsi="Times New Roman" w:eastAsia="宋体"/>
                <w:color w:val="auto"/>
                <w:sz w:val="21"/>
                <w:szCs w:val="21"/>
                <w:highlight w:val="none"/>
                <w:lang w:val="en-US" w:eastAsia="zh-CN"/>
              </w:rPr>
              <w:t>0</w:t>
            </w:r>
            <w:r>
              <w:rPr>
                <w:rFonts w:ascii="Times New Roman" w:hAnsi="Times New Roman" w:eastAsia="宋体"/>
                <w:color w:val="auto"/>
                <w:sz w:val="21"/>
                <w:szCs w:val="21"/>
                <w:highlight w:val="none"/>
              </w:rPr>
              <w:t>0m</w:t>
            </w:r>
            <w:r>
              <w:rPr>
                <w:rFonts w:ascii="Times New Roman" w:hAnsi="Times New Roman" w:eastAsia="宋体"/>
                <w:color w:val="auto"/>
                <w:sz w:val="21"/>
                <w:szCs w:val="21"/>
                <w:highlight w:val="none"/>
                <w:vertAlign w:val="superscript"/>
              </w:rPr>
              <w:t>2</w:t>
            </w:r>
            <w:r>
              <w:rPr>
                <w:rFonts w:ascii="Times New Roman" w:hAnsi="Times New Roman" w:eastAsia="宋体"/>
                <w:color w:val="auto"/>
                <w:sz w:val="21"/>
                <w:szCs w:val="21"/>
                <w:highlight w:val="none"/>
              </w:rPr>
              <w:t>，监测点数</w:t>
            </w:r>
            <w:r>
              <w:rPr>
                <w:rFonts w:hint="eastAsia" w:ascii="Times New Roman" w:hAnsi="Times New Roman" w:eastAsia="宋体"/>
                <w:color w:val="auto"/>
                <w:sz w:val="21"/>
                <w:szCs w:val="21"/>
                <w:highlight w:val="none"/>
                <w:lang w:eastAsia="zh-CN"/>
              </w:rPr>
              <w:t>量</w:t>
            </w:r>
            <w:r>
              <w:rPr>
                <w:rFonts w:ascii="Times New Roman" w:hAnsi="Times New Roman" w:eastAsia="宋体"/>
                <w:color w:val="auto"/>
                <w:sz w:val="21"/>
                <w:szCs w:val="21"/>
                <w:highlight w:val="none"/>
              </w:rPr>
              <w:t>≥</w:t>
            </w:r>
            <w:r>
              <w:rPr>
                <w:rFonts w:hint="eastAsia" w:ascii="Times New Roman" w:hAnsi="Times New Roman"/>
                <w:color w:val="auto"/>
                <w:sz w:val="21"/>
                <w:szCs w:val="21"/>
                <w:highlight w:val="none"/>
                <w:lang w:val="en-US" w:eastAsia="zh-CN"/>
              </w:rPr>
              <w:t>2</w:t>
            </w:r>
            <w:r>
              <w:rPr>
                <w:rFonts w:ascii="Times New Roman" w:hAnsi="Times New Roman" w:eastAsia="宋体"/>
                <w:color w:val="auto"/>
                <w:sz w:val="21"/>
                <w:szCs w:val="21"/>
                <w:highlight w:val="none"/>
              </w:rPr>
              <w:t>个，监测点位</w:t>
            </w:r>
            <w:r>
              <w:rPr>
                <w:rFonts w:hint="eastAsia" w:ascii="Times New Roman" w:hAnsi="Times New Roman" w:eastAsia="宋体"/>
                <w:color w:val="auto"/>
                <w:sz w:val="21"/>
                <w:szCs w:val="21"/>
                <w:highlight w:val="none"/>
                <w:lang w:val="en-US" w:eastAsia="zh-CN"/>
              </w:rPr>
              <w:t>应</w:t>
            </w:r>
            <w:r>
              <w:rPr>
                <w:rFonts w:ascii="Times New Roman" w:hAnsi="Times New Roman" w:eastAsia="宋体"/>
                <w:color w:val="auto"/>
                <w:sz w:val="21"/>
                <w:szCs w:val="21"/>
                <w:highlight w:val="none"/>
              </w:rPr>
              <w:t>优先设置于车辆进出口处</w:t>
            </w:r>
            <w:r>
              <w:rPr>
                <w:rFonts w:hint="eastAsia" w:ascii="Times New Roman" w:hAnsi="Times New Roman" w:eastAsia="宋体"/>
                <w:color w:val="auto"/>
                <w:sz w:val="21"/>
                <w:szCs w:val="21"/>
                <w:highlight w:val="none"/>
                <w:lang w:eastAsia="zh-CN"/>
              </w:rPr>
              <w:t>，</w:t>
            </w:r>
            <w:r>
              <w:rPr>
                <w:rFonts w:hint="eastAsia" w:ascii="Times New Roman" w:hAnsi="Times New Roman" w:eastAsia="宋体"/>
                <w:color w:val="auto"/>
                <w:sz w:val="21"/>
                <w:szCs w:val="21"/>
                <w:highlight w:val="none"/>
                <w:lang w:val="en-US" w:eastAsia="zh-CN"/>
              </w:rPr>
              <w:t>监测点位数量多于数量，其他监测点位应结合常年主导风向，设置在工地所在区域主导风向下风向的施工场地边界，兼顾扬尘最大落地浓度。</w:t>
            </w:r>
            <w:r>
              <w:rPr>
                <w:rFonts w:ascii="Times New Roman" w:hAnsi="Times New Roman" w:eastAsia="宋体"/>
                <w:color w:val="auto"/>
                <w:sz w:val="21"/>
                <w:szCs w:val="21"/>
                <w:highlight w:val="none"/>
              </w:rPr>
              <w:t>本项目</w:t>
            </w:r>
            <w:r>
              <w:rPr>
                <w:rFonts w:hint="eastAsia" w:ascii="Times New Roman" w:hAnsi="Times New Roman"/>
                <w:color w:val="auto"/>
                <w:sz w:val="21"/>
                <w:szCs w:val="21"/>
                <w:highlight w:val="none"/>
                <w:lang w:val="en-US" w:eastAsia="zh-CN"/>
              </w:rPr>
              <w:t>厂区</w:t>
            </w:r>
            <w:r>
              <w:rPr>
                <w:rFonts w:ascii="Times New Roman" w:hAnsi="Times New Roman" w:eastAsia="宋体"/>
                <w:color w:val="auto"/>
                <w:sz w:val="21"/>
                <w:szCs w:val="21"/>
                <w:highlight w:val="none"/>
              </w:rPr>
              <w:t>占</w:t>
            </w:r>
            <w:r>
              <w:rPr>
                <w:rFonts w:hint="eastAsia" w:ascii="Times New Roman" w:hAnsi="Times New Roman" w:eastAsia="宋体"/>
                <w:color w:val="auto"/>
                <w:sz w:val="21"/>
                <w:szCs w:val="21"/>
                <w:highlight w:val="none"/>
                <w:lang w:val="en-US" w:eastAsia="zh-CN"/>
              </w:rPr>
              <w:t>地面积</w:t>
            </w:r>
            <w:r>
              <w:rPr>
                <w:rFonts w:hint="eastAsia" w:ascii="Times New Roman" w:hAnsi="Times New Roman" w:eastAsia="宋体" w:cs="Times New Roman"/>
                <w:color w:val="auto"/>
                <w:sz w:val="21"/>
                <w:szCs w:val="21"/>
                <w:highlight w:val="none"/>
                <w:lang w:val="en-US" w:eastAsia="zh-CN"/>
              </w:rPr>
              <w:t>5662.53</w:t>
            </w:r>
            <w:r>
              <w:rPr>
                <w:rFonts w:hint="eastAsia" w:ascii="Times New Roman" w:hAnsi="Times New Roman" w:eastAsia="宋体"/>
                <w:color w:val="auto"/>
                <w:sz w:val="21"/>
                <w:szCs w:val="21"/>
                <w:highlight w:val="none"/>
                <w:lang w:val="en-US" w:eastAsia="zh-CN"/>
              </w:rPr>
              <w:t>m</w:t>
            </w:r>
            <w:r>
              <w:rPr>
                <w:rFonts w:hint="eastAsia" w:ascii="Times New Roman" w:hAnsi="Times New Roman" w:eastAsia="宋体"/>
                <w:color w:val="auto"/>
                <w:sz w:val="21"/>
                <w:szCs w:val="21"/>
                <w:highlight w:val="none"/>
                <w:vertAlign w:val="superscript"/>
                <w:lang w:val="en-US" w:eastAsia="zh-CN"/>
              </w:rPr>
              <w:t>2</w:t>
            </w:r>
            <w:r>
              <w:rPr>
                <w:rFonts w:hint="eastAsia" w:ascii="Times New Roman" w:hAnsi="Times New Roman" w:eastAsia="宋体"/>
                <w:color w:val="auto"/>
                <w:sz w:val="21"/>
                <w:szCs w:val="21"/>
                <w:highlight w:val="none"/>
                <w:lang w:val="en-US" w:eastAsia="zh-CN"/>
              </w:rPr>
              <w:t>，施工期</w:t>
            </w:r>
            <w:r>
              <w:rPr>
                <w:rFonts w:hint="eastAsia" w:ascii="Times New Roman" w:hAnsi="Times New Roman" w:eastAsia="宋体"/>
                <w:color w:val="auto"/>
                <w:sz w:val="21"/>
                <w:szCs w:val="21"/>
                <w:highlight w:val="none"/>
                <w:lang w:eastAsia="zh-CN"/>
              </w:rPr>
              <w:t>共设置</w:t>
            </w:r>
            <w:r>
              <w:rPr>
                <w:rFonts w:hint="eastAsia" w:ascii="Times New Roman" w:hAnsi="Times New Roman" w:eastAsia="宋体"/>
                <w:color w:val="auto"/>
                <w:sz w:val="21"/>
                <w:szCs w:val="21"/>
                <w:highlight w:val="none"/>
                <w:lang w:val="en-US" w:eastAsia="zh-CN"/>
              </w:rPr>
              <w:t>1个车辆进出口，</w:t>
            </w:r>
            <w:r>
              <w:rPr>
                <w:rFonts w:ascii="Times New Roman" w:hAnsi="Times New Roman" w:eastAsia="宋体"/>
                <w:color w:val="auto"/>
                <w:sz w:val="21"/>
                <w:szCs w:val="21"/>
                <w:highlight w:val="none"/>
              </w:rPr>
              <w:t>因此，</w:t>
            </w:r>
            <w:r>
              <w:rPr>
                <w:rFonts w:hint="eastAsia" w:ascii="Times New Roman" w:hAnsi="Times New Roman" w:eastAsia="宋体"/>
                <w:color w:val="auto"/>
                <w:sz w:val="21"/>
                <w:szCs w:val="21"/>
                <w:highlight w:val="none"/>
                <w:lang w:val="en-US" w:eastAsia="zh-CN"/>
              </w:rPr>
              <w:t>项目设置</w:t>
            </w:r>
            <w:r>
              <w:rPr>
                <w:rFonts w:hint="eastAsia" w:ascii="Times New Roman" w:hAnsi="Times New Roman"/>
                <w:color w:val="auto"/>
                <w:sz w:val="21"/>
                <w:szCs w:val="21"/>
                <w:highlight w:val="none"/>
                <w:lang w:val="en-US" w:eastAsia="zh-CN"/>
              </w:rPr>
              <w:t>2</w:t>
            </w:r>
            <w:r>
              <w:rPr>
                <w:rFonts w:hint="eastAsia" w:ascii="Times New Roman" w:hAnsi="Times New Roman" w:eastAsia="宋体"/>
                <w:color w:val="auto"/>
                <w:sz w:val="21"/>
                <w:szCs w:val="21"/>
                <w:highlight w:val="none"/>
                <w:lang w:val="en-US" w:eastAsia="zh-CN"/>
              </w:rPr>
              <w:t>个扬尘监测点，分别在项目</w:t>
            </w:r>
            <w:r>
              <w:rPr>
                <w:rFonts w:ascii="Times New Roman" w:hAnsi="Times New Roman" w:eastAsia="宋体"/>
                <w:color w:val="auto"/>
                <w:sz w:val="21"/>
                <w:szCs w:val="21"/>
                <w:highlight w:val="none"/>
              </w:rPr>
              <w:t>厂区车辆进出口设置</w:t>
            </w:r>
            <w:r>
              <w:rPr>
                <w:rFonts w:hint="eastAsia" w:ascii="Times New Roman" w:hAnsi="Times New Roman" w:eastAsia="宋体"/>
                <w:color w:val="auto"/>
                <w:sz w:val="21"/>
                <w:szCs w:val="21"/>
                <w:highlight w:val="none"/>
                <w:lang w:val="en-US" w:eastAsia="zh-CN"/>
              </w:rPr>
              <w:t>1</w:t>
            </w:r>
            <w:r>
              <w:rPr>
                <w:rFonts w:ascii="Times New Roman" w:hAnsi="Times New Roman" w:eastAsia="宋体"/>
                <w:color w:val="auto"/>
                <w:sz w:val="21"/>
                <w:szCs w:val="21"/>
                <w:highlight w:val="none"/>
              </w:rPr>
              <w:t>个监测点位</w:t>
            </w:r>
            <w:r>
              <w:rPr>
                <w:rFonts w:hint="eastAsia" w:ascii="Times New Roman" w:hAnsi="Times New Roman" w:eastAsia="宋体"/>
                <w:color w:val="auto"/>
                <w:sz w:val="21"/>
                <w:szCs w:val="21"/>
                <w:highlight w:val="none"/>
                <w:lang w:eastAsia="zh-CN"/>
              </w:rPr>
              <w:t>，</w:t>
            </w:r>
            <w:r>
              <w:rPr>
                <w:rFonts w:hint="eastAsia" w:ascii="Times New Roman" w:hAnsi="Times New Roman" w:eastAsia="宋体"/>
                <w:color w:val="auto"/>
                <w:sz w:val="21"/>
                <w:szCs w:val="21"/>
                <w:highlight w:val="none"/>
                <w:lang w:val="en-US" w:eastAsia="zh-CN"/>
              </w:rPr>
              <w:t>在主导风向下风向施工场地边界</w:t>
            </w:r>
            <w:r>
              <w:rPr>
                <w:rFonts w:ascii="Times New Roman" w:hAnsi="Times New Roman" w:eastAsia="宋体"/>
                <w:color w:val="auto"/>
                <w:sz w:val="21"/>
                <w:szCs w:val="21"/>
                <w:highlight w:val="none"/>
              </w:rPr>
              <w:t>设置</w:t>
            </w:r>
            <w:r>
              <w:rPr>
                <w:rFonts w:hint="eastAsia" w:ascii="Times New Roman" w:hAnsi="Times New Roman"/>
                <w:color w:val="auto"/>
                <w:sz w:val="21"/>
                <w:szCs w:val="21"/>
                <w:highlight w:val="none"/>
                <w:lang w:val="en-US" w:eastAsia="zh-CN"/>
              </w:rPr>
              <w:t>1</w:t>
            </w:r>
            <w:r>
              <w:rPr>
                <w:rFonts w:ascii="Times New Roman" w:hAnsi="Times New Roman" w:eastAsia="宋体"/>
                <w:color w:val="auto"/>
                <w:sz w:val="21"/>
                <w:szCs w:val="21"/>
                <w:highlight w:val="none"/>
              </w:rPr>
              <w:t>个监测点位。</w:t>
            </w:r>
          </w:p>
          <w:p w14:paraId="7738E9D3">
            <w:pPr>
              <w:pStyle w:val="24"/>
              <w:keepNext w:val="0"/>
              <w:keepLines w:val="0"/>
              <w:pageBreakBefore w:val="0"/>
              <w:widowControl/>
              <w:kinsoku/>
              <w:wordWrap/>
              <w:overflowPunct/>
              <w:topLinePunct w:val="0"/>
              <w:autoSpaceDE/>
              <w:autoSpaceDN/>
              <w:bidi w:val="0"/>
              <w:adjustRightInd w:val="0"/>
              <w:snapToGrid w:val="0"/>
              <w:spacing w:before="0" w:beforeAutospacing="0" w:after="0" w:afterAutospacing="0" w:line="430" w:lineRule="exact"/>
              <w:ind w:firstLine="422" w:firstLineChars="200"/>
              <w:textAlignment w:val="auto"/>
              <w:rPr>
                <w:rFonts w:ascii="Times New Roman" w:hAnsi="Times New Roman"/>
                <w:b/>
                <w:color w:val="auto"/>
                <w:sz w:val="21"/>
                <w:szCs w:val="21"/>
              </w:rPr>
            </w:pPr>
            <w:r>
              <w:rPr>
                <w:rFonts w:hint="eastAsia" w:ascii="Times New Roman" w:hAnsi="Times New Roman"/>
                <w:b/>
                <w:color w:val="auto"/>
                <w:sz w:val="21"/>
                <w:szCs w:val="21"/>
              </w:rPr>
              <w:t>2</w:t>
            </w:r>
            <w:r>
              <w:rPr>
                <w:rFonts w:ascii="Times New Roman" w:hAnsi="Times New Roman"/>
                <w:b/>
                <w:color w:val="auto"/>
                <w:sz w:val="21"/>
                <w:szCs w:val="21"/>
              </w:rPr>
              <w:t>.水环境影响分析</w:t>
            </w:r>
          </w:p>
          <w:p w14:paraId="50001D8B">
            <w:pPr>
              <w:pStyle w:val="24"/>
              <w:keepNext w:val="0"/>
              <w:keepLines w:val="0"/>
              <w:pageBreakBefore w:val="0"/>
              <w:widowControl/>
              <w:kinsoku/>
              <w:wordWrap/>
              <w:overflowPunct/>
              <w:topLinePunct w:val="0"/>
              <w:autoSpaceDE/>
              <w:autoSpaceDN/>
              <w:bidi w:val="0"/>
              <w:adjustRightInd w:val="0"/>
              <w:snapToGrid w:val="0"/>
              <w:spacing w:before="0" w:beforeAutospacing="0" w:after="0" w:afterAutospacing="0" w:line="430" w:lineRule="exact"/>
              <w:ind w:firstLine="420" w:firstLineChars="200"/>
              <w:textAlignment w:val="auto"/>
              <w:rPr>
                <w:rFonts w:ascii="Times New Roman" w:hAnsi="Times New Roman"/>
                <w:color w:val="auto"/>
                <w:sz w:val="21"/>
                <w:szCs w:val="21"/>
              </w:rPr>
            </w:pPr>
            <w:r>
              <w:rPr>
                <w:rFonts w:ascii="Times New Roman" w:hAnsi="Times New Roman"/>
                <w:color w:val="auto"/>
                <w:sz w:val="21"/>
                <w:szCs w:val="21"/>
              </w:rPr>
              <w:t>施工期废水主要是施工人员的盥洗废水。</w:t>
            </w:r>
            <w:r>
              <w:rPr>
                <w:rFonts w:hint="eastAsia" w:ascii="Times New Roman" w:hAnsi="Times New Roman"/>
                <w:color w:val="auto"/>
                <w:sz w:val="21"/>
                <w:szCs w:val="21"/>
              </w:rPr>
              <w:t>本项目施工量较小，</w:t>
            </w:r>
            <w:r>
              <w:rPr>
                <w:rFonts w:ascii="Times New Roman" w:hAnsi="Times New Roman"/>
                <w:color w:val="auto"/>
                <w:sz w:val="21"/>
                <w:szCs w:val="21"/>
              </w:rPr>
              <w:t>所需施工人员较少，施工人员的盥洗废水</w:t>
            </w:r>
            <w:r>
              <w:rPr>
                <w:rFonts w:hint="eastAsia" w:ascii="Times New Roman" w:hAnsi="Times New Roman"/>
                <w:color w:val="auto"/>
                <w:sz w:val="21"/>
                <w:szCs w:val="21"/>
              </w:rPr>
              <w:t>产生量</w:t>
            </w:r>
            <w:r>
              <w:rPr>
                <w:rFonts w:ascii="Times New Roman" w:hAnsi="Times New Roman"/>
                <w:color w:val="auto"/>
                <w:sz w:val="21"/>
                <w:szCs w:val="21"/>
              </w:rPr>
              <w:t>较小，主要水污染物为COD</w:t>
            </w:r>
            <w:r>
              <w:rPr>
                <w:rFonts w:ascii="Times New Roman" w:hAnsi="Times New Roman"/>
                <w:color w:val="auto"/>
                <w:sz w:val="21"/>
                <w:szCs w:val="21"/>
                <w:vertAlign w:val="subscript"/>
              </w:rPr>
              <w:t>Cr</w:t>
            </w:r>
            <w:r>
              <w:rPr>
                <w:rFonts w:ascii="Times New Roman" w:hAnsi="Times New Roman"/>
                <w:color w:val="auto"/>
                <w:sz w:val="21"/>
                <w:szCs w:val="21"/>
              </w:rPr>
              <w:t>、BOD</w:t>
            </w:r>
            <w:r>
              <w:rPr>
                <w:rFonts w:ascii="Times New Roman" w:hAnsi="Times New Roman"/>
                <w:color w:val="auto"/>
                <w:sz w:val="21"/>
                <w:szCs w:val="21"/>
                <w:vertAlign w:val="subscript"/>
              </w:rPr>
              <w:t>5</w:t>
            </w:r>
            <w:r>
              <w:rPr>
                <w:rFonts w:ascii="Times New Roman" w:hAnsi="Times New Roman"/>
                <w:color w:val="auto"/>
                <w:sz w:val="21"/>
                <w:szCs w:val="21"/>
              </w:rPr>
              <w:t>、SS、NH</w:t>
            </w:r>
            <w:r>
              <w:rPr>
                <w:rFonts w:ascii="Times New Roman" w:hAnsi="Times New Roman"/>
                <w:color w:val="auto"/>
                <w:sz w:val="21"/>
                <w:szCs w:val="21"/>
                <w:vertAlign w:val="subscript"/>
              </w:rPr>
              <w:t>3</w:t>
            </w:r>
            <w:r>
              <w:rPr>
                <w:rFonts w:ascii="Times New Roman" w:hAnsi="Times New Roman"/>
                <w:color w:val="auto"/>
                <w:sz w:val="21"/>
                <w:szCs w:val="21"/>
              </w:rPr>
              <w:t>-N，浓度分别为COD</w:t>
            </w:r>
            <w:r>
              <w:rPr>
                <w:rFonts w:hint="eastAsia" w:ascii="Times New Roman" w:hAnsi="Times New Roman"/>
                <w:color w:val="auto"/>
                <w:sz w:val="21"/>
                <w:szCs w:val="21"/>
              </w:rPr>
              <w:t xml:space="preserve"> </w:t>
            </w:r>
            <w:r>
              <w:rPr>
                <w:rFonts w:ascii="Times New Roman" w:hAnsi="Times New Roman"/>
                <w:color w:val="auto"/>
                <w:sz w:val="21"/>
                <w:szCs w:val="21"/>
              </w:rPr>
              <w:t>400mg/L、BOD</w:t>
            </w:r>
            <w:r>
              <w:rPr>
                <w:rFonts w:ascii="Times New Roman" w:hAnsi="Times New Roman"/>
                <w:color w:val="auto"/>
                <w:sz w:val="21"/>
                <w:szCs w:val="21"/>
                <w:vertAlign w:val="subscript"/>
              </w:rPr>
              <w:t>5</w:t>
            </w:r>
            <w:r>
              <w:rPr>
                <w:rFonts w:hint="eastAsia" w:ascii="Times New Roman" w:hAnsi="Times New Roman"/>
                <w:color w:val="auto"/>
                <w:sz w:val="21"/>
                <w:szCs w:val="21"/>
                <w:vertAlign w:val="subscript"/>
              </w:rPr>
              <w:t xml:space="preserve"> </w:t>
            </w:r>
            <w:r>
              <w:rPr>
                <w:rFonts w:ascii="Times New Roman" w:hAnsi="Times New Roman"/>
                <w:color w:val="auto"/>
                <w:sz w:val="21"/>
                <w:szCs w:val="21"/>
              </w:rPr>
              <w:t>220mg/L、SS 200mg/L、氨氮40mg/L。施工人员的盥洗废水中污染物较为简单，且浓度较低</w:t>
            </w:r>
            <w:r>
              <w:rPr>
                <w:rFonts w:hint="eastAsia" w:ascii="Times New Roman" w:hAnsi="Times New Roman"/>
                <w:color w:val="auto"/>
                <w:sz w:val="21"/>
                <w:szCs w:val="21"/>
              </w:rPr>
              <w:t>，</w:t>
            </w:r>
            <w:r>
              <w:rPr>
                <w:rFonts w:ascii="Times New Roman" w:hAnsi="Times New Roman"/>
                <w:color w:val="auto"/>
                <w:sz w:val="21"/>
                <w:szCs w:val="21"/>
              </w:rPr>
              <w:t>用于施工场地泼洒抑尘，不外排，不直接向地表水体排放，不会对地表水体产生污染。</w:t>
            </w:r>
          </w:p>
          <w:p w14:paraId="67F5DF21">
            <w:pPr>
              <w:pStyle w:val="24"/>
              <w:keepNext w:val="0"/>
              <w:keepLines w:val="0"/>
              <w:pageBreakBefore w:val="0"/>
              <w:widowControl/>
              <w:kinsoku/>
              <w:wordWrap/>
              <w:overflowPunct/>
              <w:topLinePunct w:val="0"/>
              <w:autoSpaceDE/>
              <w:autoSpaceDN/>
              <w:bidi w:val="0"/>
              <w:adjustRightInd w:val="0"/>
              <w:snapToGrid w:val="0"/>
              <w:spacing w:before="0" w:beforeAutospacing="0" w:after="0" w:afterAutospacing="0" w:line="430" w:lineRule="exact"/>
              <w:ind w:firstLine="422" w:firstLineChars="200"/>
              <w:textAlignment w:val="auto"/>
              <w:rPr>
                <w:rFonts w:ascii="Times New Roman" w:hAnsi="Times New Roman"/>
                <w:b/>
                <w:color w:val="auto"/>
                <w:sz w:val="21"/>
                <w:szCs w:val="21"/>
              </w:rPr>
            </w:pPr>
            <w:r>
              <w:rPr>
                <w:rFonts w:hint="eastAsia" w:ascii="Times New Roman" w:hAnsi="Times New Roman"/>
                <w:b/>
                <w:color w:val="auto"/>
                <w:sz w:val="21"/>
                <w:szCs w:val="21"/>
              </w:rPr>
              <w:t>3</w:t>
            </w:r>
            <w:r>
              <w:rPr>
                <w:rFonts w:ascii="Times New Roman" w:hAnsi="Times New Roman"/>
                <w:b/>
                <w:color w:val="auto"/>
                <w:sz w:val="21"/>
                <w:szCs w:val="21"/>
              </w:rPr>
              <w:t>.声环境影响分析</w:t>
            </w:r>
          </w:p>
          <w:p w14:paraId="1BBF746F">
            <w:pPr>
              <w:pStyle w:val="24"/>
              <w:keepNext w:val="0"/>
              <w:keepLines w:val="0"/>
              <w:pageBreakBefore w:val="0"/>
              <w:widowControl/>
              <w:kinsoku/>
              <w:wordWrap/>
              <w:overflowPunct/>
              <w:topLinePunct w:val="0"/>
              <w:autoSpaceDE/>
              <w:autoSpaceDN/>
              <w:bidi w:val="0"/>
              <w:adjustRightInd w:val="0"/>
              <w:snapToGrid w:val="0"/>
              <w:spacing w:before="0" w:beforeAutospacing="0" w:after="0" w:afterAutospacing="0" w:line="430" w:lineRule="exact"/>
              <w:ind w:firstLine="420" w:firstLineChars="200"/>
              <w:textAlignment w:val="auto"/>
              <w:rPr>
                <w:rFonts w:ascii="Times New Roman" w:hAnsi="Times New Roman"/>
                <w:color w:val="auto"/>
                <w:sz w:val="21"/>
                <w:szCs w:val="21"/>
                <w:highlight w:val="yellow"/>
              </w:rPr>
            </w:pPr>
            <w:r>
              <w:rPr>
                <w:rFonts w:ascii="Times New Roman" w:hAnsi="Times New Roman"/>
                <w:color w:val="auto"/>
                <w:sz w:val="21"/>
                <w:szCs w:val="21"/>
              </w:rPr>
              <w:t>项目施工过程中，在不同的施工阶段，将有不同的施工机械进驻现场，在基础挖掘、建筑施工和建筑材料运输等过程中施工的机械产生的噪声值较高，在75～90dB(A)之间。经预测计算，昼间距施工设备20m、夜间150m可达到《建筑施工场界环境噪声排放标准》</w:t>
            </w:r>
            <w:r>
              <w:rPr>
                <w:rFonts w:hint="eastAsia" w:ascii="Times New Roman" w:hAnsi="Times New Roman"/>
                <w:color w:val="auto"/>
                <w:sz w:val="21"/>
                <w:szCs w:val="21"/>
                <w:lang w:eastAsia="zh-CN"/>
              </w:rPr>
              <w:t>（</w:t>
            </w:r>
            <w:r>
              <w:rPr>
                <w:rFonts w:ascii="Times New Roman" w:hAnsi="Times New Roman"/>
                <w:color w:val="auto"/>
                <w:sz w:val="21"/>
                <w:szCs w:val="21"/>
              </w:rPr>
              <w:t>GB12523-2011</w:t>
            </w:r>
            <w:r>
              <w:rPr>
                <w:rFonts w:hint="eastAsia" w:ascii="Times New Roman" w:hAnsi="Times New Roman"/>
                <w:color w:val="auto"/>
                <w:sz w:val="21"/>
                <w:szCs w:val="21"/>
                <w:lang w:eastAsia="zh-CN"/>
              </w:rPr>
              <w:t>）</w:t>
            </w:r>
            <w:r>
              <w:rPr>
                <w:rFonts w:ascii="Times New Roman" w:hAnsi="Times New Roman"/>
                <w:color w:val="auto"/>
                <w:sz w:val="21"/>
                <w:szCs w:val="21"/>
              </w:rPr>
              <w:t>的要</w:t>
            </w:r>
            <w:r>
              <w:rPr>
                <w:rFonts w:ascii="Times New Roman" w:hAnsi="Times New Roman" w:cs="Times New Roman"/>
                <w:color w:val="auto"/>
                <w:sz w:val="21"/>
                <w:szCs w:val="21"/>
              </w:rPr>
              <w:t>求。施工场地距最近居民点</w:t>
            </w:r>
            <w:r>
              <w:rPr>
                <w:rFonts w:hint="eastAsia" w:ascii="Times New Roman" w:hAnsi="Times New Roman" w:cs="Times New Roman"/>
                <w:color w:val="auto"/>
                <w:sz w:val="21"/>
                <w:szCs w:val="21"/>
              </w:rPr>
              <w:t>为</w:t>
            </w:r>
            <w:r>
              <w:rPr>
                <w:rFonts w:hint="eastAsia" w:ascii="Times New Roman" w:hAnsi="Times New Roman" w:cs="Times New Roman"/>
                <w:color w:val="auto"/>
                <w:sz w:val="21"/>
                <w:szCs w:val="21"/>
                <w:lang w:val="en-US" w:eastAsia="zh-CN"/>
              </w:rPr>
              <w:t>710</w:t>
            </w:r>
            <w:r>
              <w:rPr>
                <w:rFonts w:ascii="Times New Roman" w:hAnsi="Times New Roman" w:cs="Times New Roman"/>
                <w:color w:val="auto"/>
                <w:sz w:val="21"/>
                <w:szCs w:val="21"/>
              </w:rPr>
              <w:t>m的</w:t>
            </w:r>
            <w:r>
              <w:rPr>
                <w:rFonts w:hint="eastAsia" w:ascii="Times New Roman" w:hAnsi="Times New Roman" w:cs="Times New Roman"/>
                <w:color w:val="auto"/>
                <w:sz w:val="21"/>
                <w:szCs w:val="21"/>
                <w:lang w:val="en-US" w:eastAsia="zh-CN"/>
              </w:rPr>
              <w:t>大井峪村</w:t>
            </w:r>
            <w:r>
              <w:rPr>
                <w:rFonts w:ascii="Times New Roman" w:hAnsi="Times New Roman" w:cs="Times New Roman"/>
                <w:color w:val="auto"/>
                <w:sz w:val="21"/>
                <w:szCs w:val="21"/>
              </w:rPr>
              <w:t>，施工</w:t>
            </w:r>
            <w:r>
              <w:rPr>
                <w:rFonts w:ascii="Times New Roman" w:hAnsi="Times New Roman"/>
                <w:color w:val="auto"/>
                <w:sz w:val="21"/>
                <w:szCs w:val="21"/>
              </w:rPr>
              <w:t>噪声会对其声环境质量产生</w:t>
            </w:r>
            <w:r>
              <w:rPr>
                <w:rFonts w:hint="eastAsia" w:ascii="Times New Roman" w:hAnsi="Times New Roman"/>
                <w:color w:val="auto"/>
                <w:sz w:val="21"/>
                <w:szCs w:val="21"/>
              </w:rPr>
              <w:t>一定的</w:t>
            </w:r>
            <w:r>
              <w:rPr>
                <w:rFonts w:ascii="Times New Roman" w:hAnsi="Times New Roman"/>
                <w:color w:val="auto"/>
                <w:sz w:val="21"/>
                <w:szCs w:val="21"/>
              </w:rPr>
              <w:t>影响。</w:t>
            </w:r>
          </w:p>
          <w:p w14:paraId="3348FFED">
            <w:pPr>
              <w:pStyle w:val="24"/>
              <w:keepNext w:val="0"/>
              <w:keepLines w:val="0"/>
              <w:pageBreakBefore w:val="0"/>
              <w:widowControl/>
              <w:kinsoku/>
              <w:wordWrap/>
              <w:overflowPunct/>
              <w:topLinePunct w:val="0"/>
              <w:autoSpaceDE/>
              <w:autoSpaceDN/>
              <w:bidi w:val="0"/>
              <w:adjustRightInd w:val="0"/>
              <w:snapToGrid w:val="0"/>
              <w:spacing w:before="0" w:beforeAutospacing="0" w:after="0" w:afterAutospacing="0" w:line="430" w:lineRule="exact"/>
              <w:ind w:firstLine="420" w:firstLineChars="200"/>
              <w:textAlignment w:val="auto"/>
              <w:rPr>
                <w:rFonts w:hint="default" w:ascii="Times New Roman" w:hAnsi="Times New Roman" w:eastAsia="宋体"/>
                <w:color w:val="auto"/>
                <w:sz w:val="21"/>
                <w:szCs w:val="21"/>
                <w:highlight w:val="yellow"/>
                <w:lang w:val="en-US" w:eastAsia="zh-CN"/>
              </w:rPr>
            </w:pPr>
            <w:r>
              <w:rPr>
                <w:rFonts w:ascii="Times New Roman" w:hAnsi="Times New Roman"/>
                <w:color w:val="auto"/>
                <w:sz w:val="21"/>
                <w:szCs w:val="21"/>
              </w:rPr>
              <w:t>为最大限度避免和减轻施工及运输噪声对周围声环境的不利影响，本评价</w:t>
            </w:r>
            <w:r>
              <w:rPr>
                <w:rFonts w:hint="eastAsia" w:ascii="Times New Roman" w:hAnsi="Times New Roman"/>
                <w:color w:val="auto"/>
                <w:sz w:val="21"/>
                <w:szCs w:val="21"/>
              </w:rPr>
              <w:t>要求</w:t>
            </w:r>
            <w:r>
              <w:rPr>
                <w:rFonts w:ascii="Times New Roman" w:hAnsi="Times New Roman"/>
                <w:color w:val="auto"/>
                <w:sz w:val="21"/>
                <w:szCs w:val="21"/>
              </w:rPr>
              <w:t>建设单位在进行工程施工时采取以下噪声控制对策和措施：</w:t>
            </w:r>
          </w:p>
          <w:p w14:paraId="039D21E9">
            <w:pPr>
              <w:pStyle w:val="24"/>
              <w:keepNext w:val="0"/>
              <w:keepLines w:val="0"/>
              <w:pageBreakBefore w:val="0"/>
              <w:widowControl/>
              <w:kinsoku/>
              <w:wordWrap/>
              <w:overflowPunct/>
              <w:topLinePunct w:val="0"/>
              <w:autoSpaceDE/>
              <w:autoSpaceDN/>
              <w:bidi w:val="0"/>
              <w:adjustRightInd w:val="0"/>
              <w:snapToGrid w:val="0"/>
              <w:spacing w:before="0" w:beforeAutospacing="0" w:after="0" w:afterAutospacing="0" w:line="430" w:lineRule="exact"/>
              <w:ind w:firstLine="420" w:firstLineChars="200"/>
              <w:textAlignment w:val="auto"/>
              <w:rPr>
                <w:rFonts w:hint="eastAsia" w:ascii="Times New Roman" w:hAnsi="Times New Roman" w:cs="Times New Roman"/>
                <w:color w:val="auto"/>
                <w:sz w:val="21"/>
                <w:szCs w:val="21"/>
                <w:lang w:eastAsia="zh-CN"/>
              </w:rPr>
            </w:pPr>
            <w:r>
              <w:rPr>
                <w:rFonts w:hint="eastAsia" w:ascii="Times New Roman" w:hAnsi="Times New Roman" w:cs="Times New Roman"/>
                <w:color w:val="auto"/>
                <w:sz w:val="21"/>
                <w:szCs w:val="21"/>
              </w:rPr>
              <w:t>（</w:t>
            </w:r>
            <w:r>
              <w:rPr>
                <w:rFonts w:hint="eastAsia" w:ascii="Times New Roman" w:hAnsi="Times New Roman" w:cs="Times New Roman"/>
                <w:color w:val="auto"/>
                <w:sz w:val="21"/>
                <w:szCs w:val="21"/>
                <w:lang w:val="en-US" w:eastAsia="zh-CN"/>
              </w:rPr>
              <w:t>1</w:t>
            </w:r>
            <w:r>
              <w:rPr>
                <w:rFonts w:hint="eastAsia" w:ascii="Times New Roman" w:hAnsi="Times New Roman" w:cs="Times New Roman"/>
                <w:color w:val="auto"/>
                <w:sz w:val="21"/>
                <w:szCs w:val="21"/>
              </w:rPr>
              <w:t>）</w:t>
            </w:r>
            <w:r>
              <w:rPr>
                <w:rFonts w:ascii="Times New Roman" w:hAnsi="Times New Roman" w:cs="Times New Roman"/>
                <w:color w:val="auto"/>
                <w:sz w:val="21"/>
                <w:szCs w:val="21"/>
              </w:rPr>
              <w:t>从声源上控制，建设单位应要求施工单位使用的主要机械设备为低噪声设备，并在施工中应有专人对其进行保养维护，施工单位应对现场使用设备的人员进行培训，严格按照操作规范使用各类机械</w:t>
            </w:r>
            <w:r>
              <w:rPr>
                <w:rFonts w:hint="eastAsia" w:ascii="Times New Roman" w:hAnsi="Times New Roman" w:cs="Times New Roman"/>
                <w:color w:val="auto"/>
                <w:sz w:val="21"/>
                <w:szCs w:val="21"/>
                <w:lang w:eastAsia="zh-CN"/>
              </w:rPr>
              <w:t>；</w:t>
            </w:r>
          </w:p>
          <w:p w14:paraId="01346FE4">
            <w:pPr>
              <w:pStyle w:val="24"/>
              <w:keepNext w:val="0"/>
              <w:keepLines w:val="0"/>
              <w:pageBreakBefore w:val="0"/>
              <w:widowControl/>
              <w:kinsoku/>
              <w:wordWrap/>
              <w:overflowPunct/>
              <w:topLinePunct w:val="0"/>
              <w:autoSpaceDE/>
              <w:autoSpaceDN/>
              <w:bidi w:val="0"/>
              <w:adjustRightInd w:val="0"/>
              <w:snapToGrid w:val="0"/>
              <w:spacing w:before="0" w:beforeAutospacing="0" w:after="0" w:afterAutospacing="0" w:line="430" w:lineRule="exact"/>
              <w:ind w:firstLine="420" w:firstLineChars="200"/>
              <w:textAlignment w:val="auto"/>
              <w:rPr>
                <w:rFonts w:hint="eastAsia" w:ascii="Times New Roman" w:hAnsi="Times New Roman" w:eastAsia="宋体" w:cs="Times New Roman"/>
                <w:color w:val="auto"/>
                <w:sz w:val="21"/>
                <w:szCs w:val="21"/>
                <w:lang w:eastAsia="zh-CN"/>
              </w:rPr>
            </w:pPr>
            <w:r>
              <w:rPr>
                <w:rFonts w:hint="eastAsia" w:ascii="Times New Roman" w:hAnsi="Times New Roman"/>
                <w:color w:val="auto"/>
                <w:sz w:val="21"/>
                <w:szCs w:val="21"/>
              </w:rPr>
              <w:t>（2）</w:t>
            </w:r>
            <w:r>
              <w:rPr>
                <w:rFonts w:ascii="Times New Roman" w:hAnsi="Times New Roman"/>
                <w:color w:val="auto"/>
                <w:sz w:val="21"/>
                <w:szCs w:val="21"/>
              </w:rPr>
              <w:t>合理安排施工时间</w:t>
            </w:r>
            <w:r>
              <w:rPr>
                <w:rFonts w:ascii="Times New Roman" w:hAnsi="Times New Roman" w:cs="Times New Roman"/>
                <w:color w:val="auto"/>
                <w:sz w:val="21"/>
                <w:szCs w:val="21"/>
              </w:rPr>
              <w:t>和施工进度</w:t>
            </w:r>
            <w:r>
              <w:rPr>
                <w:rFonts w:ascii="Times New Roman" w:hAnsi="Times New Roman"/>
                <w:color w:val="auto"/>
                <w:sz w:val="21"/>
                <w:szCs w:val="21"/>
              </w:rPr>
              <w:t>，</w:t>
            </w:r>
            <w:r>
              <w:rPr>
                <w:rFonts w:ascii="Times New Roman" w:hAnsi="Times New Roman" w:cs="Times New Roman"/>
                <w:color w:val="auto"/>
                <w:sz w:val="21"/>
                <w:szCs w:val="21"/>
              </w:rPr>
              <w:t>并禁止在夜间与中午进行施工作业，以减缓噪声对邻近居民区的影响</w:t>
            </w:r>
            <w:r>
              <w:rPr>
                <w:rFonts w:hint="eastAsia" w:ascii="Times New Roman" w:hAnsi="Times New Roman" w:cs="Times New Roman"/>
                <w:color w:val="auto"/>
                <w:sz w:val="21"/>
                <w:szCs w:val="21"/>
                <w:lang w:eastAsia="zh-CN"/>
              </w:rPr>
              <w:t>；</w:t>
            </w:r>
          </w:p>
          <w:p w14:paraId="02B4F0EC">
            <w:pPr>
              <w:pStyle w:val="24"/>
              <w:keepNext w:val="0"/>
              <w:keepLines w:val="0"/>
              <w:pageBreakBefore w:val="0"/>
              <w:widowControl/>
              <w:kinsoku/>
              <w:wordWrap/>
              <w:overflowPunct/>
              <w:topLinePunct w:val="0"/>
              <w:autoSpaceDE/>
              <w:autoSpaceDN/>
              <w:bidi w:val="0"/>
              <w:adjustRightInd w:val="0"/>
              <w:snapToGrid w:val="0"/>
              <w:spacing w:before="0" w:beforeAutospacing="0" w:after="0" w:afterAutospacing="0" w:line="430" w:lineRule="exact"/>
              <w:ind w:firstLine="420" w:firstLineChars="200"/>
              <w:textAlignment w:val="auto"/>
              <w:rPr>
                <w:rFonts w:hint="eastAsia" w:ascii="Times New Roman" w:hAnsi="Times New Roman" w:eastAsia="宋体" w:cs="Times New Roman"/>
                <w:color w:val="auto"/>
                <w:sz w:val="21"/>
                <w:szCs w:val="21"/>
                <w:lang w:eastAsia="zh-CN"/>
              </w:rPr>
            </w:pPr>
            <w:r>
              <w:rPr>
                <w:rFonts w:ascii="Times New Roman" w:hAnsi="Times New Roman" w:cs="Times New Roman"/>
                <w:color w:val="auto"/>
                <w:sz w:val="21"/>
                <w:szCs w:val="21"/>
              </w:rPr>
              <w:t>（3）采取距离防护措施，在不影响施工情况下将强噪声设备尽量不集中安排，并将其移至距居民等敏感点较远处，同时对相对固定的机械设备尽量入棚操作</w:t>
            </w:r>
            <w:r>
              <w:rPr>
                <w:rFonts w:hint="eastAsia" w:ascii="Times New Roman" w:hAnsi="Times New Roman" w:cs="Times New Roman"/>
                <w:color w:val="auto"/>
                <w:sz w:val="21"/>
                <w:szCs w:val="21"/>
                <w:lang w:eastAsia="zh-CN"/>
              </w:rPr>
              <w:t>；</w:t>
            </w:r>
          </w:p>
          <w:p w14:paraId="0E40A8B3">
            <w:pPr>
              <w:pStyle w:val="24"/>
              <w:keepNext w:val="0"/>
              <w:keepLines w:val="0"/>
              <w:pageBreakBefore w:val="0"/>
              <w:widowControl/>
              <w:kinsoku/>
              <w:wordWrap/>
              <w:overflowPunct/>
              <w:topLinePunct w:val="0"/>
              <w:autoSpaceDE/>
              <w:autoSpaceDN/>
              <w:bidi w:val="0"/>
              <w:adjustRightInd w:val="0"/>
              <w:snapToGrid w:val="0"/>
              <w:spacing w:before="0" w:beforeAutospacing="0" w:after="0" w:afterAutospacing="0" w:line="430" w:lineRule="exact"/>
              <w:ind w:firstLine="420" w:firstLineChars="200"/>
              <w:textAlignment w:val="auto"/>
              <w:rPr>
                <w:rFonts w:hint="eastAsia" w:ascii="Times New Roman" w:hAnsi="Times New Roman" w:eastAsia="宋体" w:cs="Times New Roman"/>
                <w:color w:val="auto"/>
                <w:sz w:val="21"/>
                <w:szCs w:val="21"/>
                <w:lang w:eastAsia="zh-CN"/>
              </w:rPr>
            </w:pPr>
            <w:r>
              <w:rPr>
                <w:rFonts w:ascii="Times New Roman" w:hAnsi="Times New Roman" w:cs="Times New Roman"/>
                <w:color w:val="auto"/>
                <w:sz w:val="21"/>
                <w:szCs w:val="21"/>
              </w:rPr>
              <w:t>（4）在土石方和建筑结构施工阶段，对建筑物的外部采用围档，减轻施工噪声对外环境的影响</w:t>
            </w:r>
            <w:r>
              <w:rPr>
                <w:rFonts w:hint="eastAsia" w:ascii="Times New Roman" w:hAnsi="Times New Roman" w:cs="Times New Roman"/>
                <w:color w:val="auto"/>
                <w:sz w:val="21"/>
                <w:szCs w:val="21"/>
                <w:lang w:eastAsia="zh-CN"/>
              </w:rPr>
              <w:t>；</w:t>
            </w:r>
          </w:p>
          <w:p w14:paraId="6BDFB848">
            <w:pPr>
              <w:pStyle w:val="24"/>
              <w:keepNext w:val="0"/>
              <w:keepLines w:val="0"/>
              <w:pageBreakBefore w:val="0"/>
              <w:widowControl/>
              <w:kinsoku/>
              <w:wordWrap/>
              <w:overflowPunct/>
              <w:topLinePunct w:val="0"/>
              <w:autoSpaceDE/>
              <w:autoSpaceDN/>
              <w:bidi w:val="0"/>
              <w:adjustRightInd w:val="0"/>
              <w:snapToGrid w:val="0"/>
              <w:spacing w:before="0" w:beforeAutospacing="0" w:after="0" w:afterAutospacing="0" w:line="430" w:lineRule="exact"/>
              <w:ind w:firstLine="420" w:firstLineChars="200"/>
              <w:textAlignment w:val="auto"/>
              <w:rPr>
                <w:rFonts w:hint="eastAsia" w:ascii="Times New Roman" w:hAnsi="Times New Roman" w:eastAsia="宋体" w:cs="Times New Roman"/>
                <w:color w:val="auto"/>
                <w:sz w:val="21"/>
                <w:szCs w:val="21"/>
                <w:lang w:eastAsia="zh-CN"/>
              </w:rPr>
            </w:pPr>
            <w:r>
              <w:rPr>
                <w:rFonts w:ascii="Times New Roman" w:hAnsi="Times New Roman" w:cs="Times New Roman"/>
                <w:color w:val="auto"/>
                <w:sz w:val="21"/>
                <w:szCs w:val="21"/>
              </w:rPr>
              <w:t>（5）施工场所施工车辆出入地点应尽量远离居民点，车辆通过居民点时应低速、禁鸣</w:t>
            </w:r>
            <w:r>
              <w:rPr>
                <w:rFonts w:hint="eastAsia" w:ascii="Times New Roman" w:hAnsi="Times New Roman" w:cs="Times New Roman"/>
                <w:color w:val="auto"/>
                <w:sz w:val="21"/>
                <w:szCs w:val="21"/>
                <w:lang w:eastAsia="zh-CN"/>
              </w:rPr>
              <w:t>；</w:t>
            </w:r>
          </w:p>
          <w:p w14:paraId="5AC8E29F">
            <w:pPr>
              <w:pStyle w:val="24"/>
              <w:keepNext w:val="0"/>
              <w:keepLines w:val="0"/>
              <w:pageBreakBefore w:val="0"/>
              <w:widowControl/>
              <w:kinsoku/>
              <w:wordWrap/>
              <w:overflowPunct/>
              <w:topLinePunct w:val="0"/>
              <w:autoSpaceDE/>
              <w:autoSpaceDN/>
              <w:bidi w:val="0"/>
              <w:adjustRightInd w:val="0"/>
              <w:snapToGrid w:val="0"/>
              <w:spacing w:before="0" w:beforeAutospacing="0" w:after="0" w:afterAutospacing="0" w:line="430" w:lineRule="exact"/>
              <w:ind w:firstLine="420" w:firstLineChars="200"/>
              <w:textAlignment w:val="auto"/>
              <w:rPr>
                <w:rFonts w:hint="eastAsia" w:ascii="Times New Roman" w:hAnsi="Times New Roman" w:eastAsia="宋体" w:cs="Times New Roman"/>
                <w:color w:val="auto"/>
                <w:sz w:val="21"/>
                <w:szCs w:val="21"/>
                <w:lang w:eastAsia="zh-CN"/>
              </w:rPr>
            </w:pPr>
            <w:r>
              <w:rPr>
                <w:rFonts w:ascii="Times New Roman" w:hAnsi="Times New Roman" w:cs="Times New Roman"/>
                <w:color w:val="auto"/>
                <w:sz w:val="21"/>
                <w:szCs w:val="21"/>
              </w:rPr>
              <w:t>（6）建设管理部门就加强对施工工地的噪声管理，施工单位也应对施工噪声定期进行自查，避免施工噪声扰民</w:t>
            </w:r>
            <w:r>
              <w:rPr>
                <w:rFonts w:hint="eastAsia" w:ascii="Times New Roman" w:hAnsi="Times New Roman" w:cs="Times New Roman"/>
                <w:color w:val="auto"/>
                <w:sz w:val="21"/>
                <w:szCs w:val="21"/>
                <w:lang w:eastAsia="zh-CN"/>
              </w:rPr>
              <w:t>；</w:t>
            </w:r>
          </w:p>
          <w:p w14:paraId="14A3F254">
            <w:pPr>
              <w:pStyle w:val="24"/>
              <w:keepNext w:val="0"/>
              <w:keepLines w:val="0"/>
              <w:pageBreakBefore w:val="0"/>
              <w:widowControl/>
              <w:kinsoku/>
              <w:wordWrap/>
              <w:overflowPunct/>
              <w:topLinePunct w:val="0"/>
              <w:autoSpaceDE/>
              <w:autoSpaceDN/>
              <w:bidi w:val="0"/>
              <w:adjustRightInd w:val="0"/>
              <w:snapToGrid w:val="0"/>
              <w:spacing w:before="0" w:beforeAutospacing="0" w:after="0" w:afterAutospacing="0" w:line="430" w:lineRule="exact"/>
              <w:ind w:firstLine="420" w:firstLineChars="200"/>
              <w:textAlignment w:val="auto"/>
              <w:rPr>
                <w:rFonts w:ascii="Times New Roman" w:hAnsi="Times New Roman" w:cs="Times New Roman"/>
                <w:color w:val="auto"/>
                <w:sz w:val="21"/>
                <w:szCs w:val="21"/>
              </w:rPr>
            </w:pPr>
            <w:r>
              <w:rPr>
                <w:rFonts w:hint="eastAsia" w:ascii="Times New Roman" w:hAnsi="Times New Roman" w:cs="Times New Roman"/>
                <w:color w:val="auto"/>
                <w:sz w:val="21"/>
                <w:szCs w:val="21"/>
                <w:lang w:eastAsia="zh-CN"/>
              </w:rPr>
              <w:t>（</w:t>
            </w:r>
            <w:r>
              <w:rPr>
                <w:rFonts w:hint="eastAsia" w:ascii="Times New Roman" w:hAnsi="Times New Roman" w:cs="Times New Roman"/>
                <w:color w:val="auto"/>
                <w:sz w:val="21"/>
                <w:szCs w:val="21"/>
                <w:lang w:val="en-US" w:eastAsia="zh-CN"/>
              </w:rPr>
              <w:t>7</w:t>
            </w:r>
            <w:r>
              <w:rPr>
                <w:rFonts w:hint="eastAsia" w:ascii="Times New Roman" w:hAnsi="Times New Roman" w:cs="Times New Roman"/>
                <w:color w:val="auto"/>
                <w:sz w:val="21"/>
                <w:szCs w:val="21"/>
                <w:lang w:eastAsia="zh-CN"/>
              </w:rPr>
              <w:t>）</w:t>
            </w:r>
            <w:r>
              <w:rPr>
                <w:rFonts w:ascii="Times New Roman" w:hAnsi="Times New Roman" w:cs="Times New Roman"/>
                <w:color w:val="auto"/>
                <w:sz w:val="21"/>
                <w:szCs w:val="21"/>
              </w:rPr>
              <w:t>建设与施工单位应与施工周围单位、居民建立良好关系，及时让他们了解施工进度及采取的降噪措施，并取得居民的理解，若因工艺或特殊需要必须连续施工的，施工单位应在施工前三日内报环保部门备案，并向施工场地周围的单位和居民等发布公告，以征得公众的理解与支持。</w:t>
            </w:r>
          </w:p>
          <w:p w14:paraId="2FF54346">
            <w:pPr>
              <w:pStyle w:val="24"/>
              <w:keepNext w:val="0"/>
              <w:keepLines w:val="0"/>
              <w:pageBreakBefore w:val="0"/>
              <w:widowControl/>
              <w:kinsoku/>
              <w:wordWrap/>
              <w:overflowPunct/>
              <w:topLinePunct w:val="0"/>
              <w:autoSpaceDE/>
              <w:autoSpaceDN/>
              <w:bidi w:val="0"/>
              <w:adjustRightInd w:val="0"/>
              <w:snapToGrid w:val="0"/>
              <w:spacing w:before="0" w:beforeAutospacing="0" w:after="0" w:afterAutospacing="0" w:line="430" w:lineRule="exact"/>
              <w:ind w:firstLine="420" w:firstLineChars="200"/>
              <w:textAlignment w:val="auto"/>
              <w:rPr>
                <w:rFonts w:ascii="Times New Roman" w:hAnsi="Times New Roman"/>
                <w:color w:val="auto"/>
                <w:sz w:val="21"/>
                <w:szCs w:val="21"/>
              </w:rPr>
            </w:pPr>
            <w:r>
              <w:rPr>
                <w:rFonts w:ascii="Times New Roman" w:hAnsi="Times New Roman"/>
                <w:color w:val="auto"/>
                <w:sz w:val="21"/>
                <w:szCs w:val="21"/>
              </w:rPr>
              <w:t>通过采取以上降噪措施后，可最大限度的降低施工噪声对周围声环境的影响，随着施工期的结束，施工噪声的影响也将结束。</w:t>
            </w:r>
          </w:p>
          <w:p w14:paraId="3C29A37E">
            <w:pPr>
              <w:pStyle w:val="24"/>
              <w:keepNext w:val="0"/>
              <w:keepLines w:val="0"/>
              <w:pageBreakBefore w:val="0"/>
              <w:widowControl/>
              <w:kinsoku/>
              <w:wordWrap/>
              <w:overflowPunct/>
              <w:topLinePunct w:val="0"/>
              <w:autoSpaceDE/>
              <w:autoSpaceDN/>
              <w:bidi w:val="0"/>
              <w:adjustRightInd w:val="0"/>
              <w:snapToGrid w:val="0"/>
              <w:spacing w:before="0" w:beforeAutospacing="0" w:after="0" w:afterAutospacing="0" w:line="430" w:lineRule="exact"/>
              <w:ind w:firstLine="422" w:firstLineChars="200"/>
              <w:textAlignment w:val="auto"/>
              <w:rPr>
                <w:rFonts w:ascii="Times New Roman" w:hAnsi="Times New Roman"/>
                <w:b/>
                <w:color w:val="auto"/>
                <w:sz w:val="21"/>
                <w:szCs w:val="21"/>
              </w:rPr>
            </w:pPr>
            <w:r>
              <w:rPr>
                <w:rFonts w:hint="eastAsia" w:ascii="Times New Roman" w:hAnsi="Times New Roman"/>
                <w:b/>
                <w:color w:val="auto"/>
                <w:sz w:val="21"/>
                <w:szCs w:val="21"/>
              </w:rPr>
              <w:t>4</w:t>
            </w:r>
            <w:r>
              <w:rPr>
                <w:rFonts w:ascii="Times New Roman" w:hAnsi="Times New Roman"/>
                <w:b/>
                <w:color w:val="auto"/>
                <w:sz w:val="21"/>
                <w:szCs w:val="21"/>
              </w:rPr>
              <w:t>.固体废物影响分析</w:t>
            </w:r>
          </w:p>
          <w:p w14:paraId="56330544">
            <w:pPr>
              <w:pStyle w:val="24"/>
              <w:keepNext w:val="0"/>
              <w:keepLines w:val="0"/>
              <w:pageBreakBefore w:val="0"/>
              <w:widowControl/>
              <w:kinsoku/>
              <w:wordWrap/>
              <w:overflowPunct/>
              <w:topLinePunct w:val="0"/>
              <w:autoSpaceDE/>
              <w:autoSpaceDN/>
              <w:bidi w:val="0"/>
              <w:adjustRightInd w:val="0"/>
              <w:snapToGrid w:val="0"/>
              <w:spacing w:before="0" w:beforeAutospacing="0" w:after="0" w:afterAutospacing="0" w:line="430" w:lineRule="exact"/>
              <w:ind w:firstLine="420" w:firstLineChars="200"/>
              <w:textAlignment w:val="auto"/>
              <w:rPr>
                <w:rFonts w:ascii="Times New Roman" w:hAnsi="Times New Roman"/>
                <w:color w:val="auto"/>
                <w:sz w:val="21"/>
                <w:szCs w:val="21"/>
              </w:rPr>
            </w:pPr>
            <w:r>
              <w:rPr>
                <w:rFonts w:hint="eastAsia" w:ascii="Times New Roman" w:hAnsi="Times New Roman"/>
                <w:color w:val="auto"/>
                <w:sz w:val="21"/>
                <w:szCs w:val="21"/>
              </w:rPr>
              <w:t>本项目施工期产生的固体废物主要为建筑垃圾和生活垃圾。根据《国家危险废物名录</w:t>
            </w:r>
            <w:r>
              <w:rPr>
                <w:rFonts w:hint="eastAsia" w:ascii="Times New Roman" w:hAnsi="Times New Roman"/>
                <w:color w:val="auto"/>
                <w:sz w:val="21"/>
                <w:szCs w:val="21"/>
                <w:lang w:eastAsia="zh-CN"/>
              </w:rPr>
              <w:t>（</w:t>
            </w:r>
            <w:r>
              <w:rPr>
                <w:rFonts w:hint="eastAsia" w:ascii="Times New Roman" w:hAnsi="Times New Roman"/>
                <w:color w:val="auto"/>
                <w:sz w:val="21"/>
                <w:szCs w:val="21"/>
                <w:lang w:val="en-US" w:eastAsia="zh-CN"/>
              </w:rPr>
              <w:t>2025年版</w:t>
            </w:r>
            <w:r>
              <w:rPr>
                <w:rFonts w:hint="eastAsia" w:ascii="Times New Roman" w:hAnsi="Times New Roman"/>
                <w:color w:val="auto"/>
                <w:sz w:val="21"/>
                <w:szCs w:val="21"/>
                <w:lang w:eastAsia="zh-CN"/>
              </w:rPr>
              <w:t>）</w:t>
            </w:r>
            <w:r>
              <w:rPr>
                <w:rFonts w:hint="eastAsia" w:ascii="Times New Roman" w:hAnsi="Times New Roman"/>
                <w:color w:val="auto"/>
                <w:sz w:val="21"/>
                <w:szCs w:val="21"/>
              </w:rPr>
              <w:t>》及《危险废物鉴别标准》（GB5085.1～7-2007），施工过程中产生的固体废物均属一般固体废物。</w:t>
            </w:r>
          </w:p>
          <w:p w14:paraId="7CE41329">
            <w:pPr>
              <w:pStyle w:val="24"/>
              <w:keepNext w:val="0"/>
              <w:keepLines w:val="0"/>
              <w:pageBreakBefore w:val="0"/>
              <w:widowControl/>
              <w:kinsoku/>
              <w:wordWrap/>
              <w:overflowPunct/>
              <w:topLinePunct w:val="0"/>
              <w:autoSpaceDE/>
              <w:autoSpaceDN/>
              <w:bidi w:val="0"/>
              <w:adjustRightInd w:val="0"/>
              <w:snapToGrid w:val="0"/>
              <w:spacing w:before="0" w:beforeAutospacing="0" w:after="0" w:afterAutospacing="0" w:line="430" w:lineRule="exact"/>
              <w:ind w:firstLine="420" w:firstLineChars="200"/>
              <w:textAlignment w:val="auto"/>
              <w:rPr>
                <w:rFonts w:ascii="Times New Roman" w:hAnsi="Times New Roman"/>
                <w:color w:val="auto"/>
                <w:sz w:val="21"/>
                <w:szCs w:val="21"/>
              </w:rPr>
            </w:pPr>
            <w:r>
              <w:rPr>
                <w:rFonts w:hint="eastAsia" w:ascii="Times New Roman" w:hAnsi="Times New Roman"/>
                <w:color w:val="auto"/>
                <w:sz w:val="21"/>
                <w:szCs w:val="21"/>
              </w:rPr>
              <w:t>为避免施工期建筑垃圾对周围环境产生不利影响，本评价根据《城市建筑垃圾管理规定》（建设部令第139号），要求建设单位采取以下防范措施：</w:t>
            </w:r>
          </w:p>
          <w:p w14:paraId="2116487F">
            <w:pPr>
              <w:pStyle w:val="24"/>
              <w:keepNext w:val="0"/>
              <w:keepLines w:val="0"/>
              <w:pageBreakBefore w:val="0"/>
              <w:widowControl/>
              <w:kinsoku/>
              <w:wordWrap/>
              <w:overflowPunct/>
              <w:topLinePunct w:val="0"/>
              <w:autoSpaceDE/>
              <w:autoSpaceDN/>
              <w:bidi w:val="0"/>
              <w:adjustRightInd w:val="0"/>
              <w:snapToGrid w:val="0"/>
              <w:spacing w:before="0" w:beforeAutospacing="0" w:after="0" w:afterAutospacing="0" w:line="430" w:lineRule="exact"/>
              <w:ind w:firstLine="420" w:firstLineChars="200"/>
              <w:textAlignment w:val="auto"/>
              <w:rPr>
                <w:rFonts w:ascii="Times New Roman" w:hAnsi="Times New Roman"/>
                <w:color w:val="auto"/>
                <w:sz w:val="21"/>
                <w:szCs w:val="21"/>
              </w:rPr>
            </w:pPr>
            <w:r>
              <w:rPr>
                <w:rFonts w:hint="eastAsia" w:ascii="Times New Roman" w:hAnsi="Times New Roman"/>
                <w:color w:val="auto"/>
                <w:sz w:val="21"/>
                <w:szCs w:val="21"/>
              </w:rPr>
              <w:t>（1）施工单位应指派专人负责施工区建筑垃圾的收集及转运工作，不得随意倾倒、抛撒或者堆放建筑垃圾，不得将建筑垃圾混入生活垃圾，不得擅自设立弃置场受纳建筑垃圾。</w:t>
            </w:r>
          </w:p>
          <w:p w14:paraId="0B014FD3">
            <w:pPr>
              <w:pStyle w:val="24"/>
              <w:keepNext w:val="0"/>
              <w:keepLines w:val="0"/>
              <w:pageBreakBefore w:val="0"/>
              <w:widowControl/>
              <w:kinsoku/>
              <w:wordWrap/>
              <w:overflowPunct/>
              <w:topLinePunct w:val="0"/>
              <w:autoSpaceDE/>
              <w:autoSpaceDN/>
              <w:bidi w:val="0"/>
              <w:adjustRightInd w:val="0"/>
              <w:snapToGrid w:val="0"/>
              <w:spacing w:before="0" w:beforeAutospacing="0" w:after="0" w:afterAutospacing="0" w:line="430" w:lineRule="exact"/>
              <w:ind w:firstLine="420" w:firstLineChars="200"/>
              <w:textAlignment w:val="auto"/>
              <w:rPr>
                <w:rFonts w:ascii="Times New Roman" w:hAnsi="Times New Roman"/>
                <w:color w:val="auto"/>
                <w:sz w:val="21"/>
                <w:szCs w:val="21"/>
              </w:rPr>
            </w:pPr>
            <w:r>
              <w:rPr>
                <w:rFonts w:hint="eastAsia" w:ascii="Times New Roman" w:hAnsi="Times New Roman"/>
                <w:color w:val="auto"/>
                <w:sz w:val="21"/>
                <w:szCs w:val="21"/>
              </w:rPr>
              <w:t>（2）施工单位应及时清运工程施工过程中产生的建筑垃圾并按照当地人民政府市容环境卫生主管部门的有关规定处置，不得将建筑垃圾交给个人或者未经核准从事建筑垃圾运输的单位运输。</w:t>
            </w:r>
          </w:p>
          <w:p w14:paraId="764DAAF6">
            <w:pPr>
              <w:pStyle w:val="24"/>
              <w:keepNext w:val="0"/>
              <w:keepLines w:val="0"/>
              <w:pageBreakBefore w:val="0"/>
              <w:widowControl/>
              <w:kinsoku/>
              <w:wordWrap/>
              <w:overflowPunct/>
              <w:topLinePunct w:val="0"/>
              <w:autoSpaceDE/>
              <w:autoSpaceDN/>
              <w:bidi w:val="0"/>
              <w:adjustRightInd w:val="0"/>
              <w:snapToGrid w:val="0"/>
              <w:spacing w:before="0" w:beforeAutospacing="0" w:after="0" w:afterAutospacing="0" w:line="430" w:lineRule="exact"/>
              <w:ind w:firstLine="420" w:firstLineChars="200"/>
              <w:textAlignment w:val="auto"/>
              <w:rPr>
                <w:rFonts w:ascii="Times New Roman" w:hAnsi="Times New Roman"/>
                <w:color w:val="auto"/>
                <w:sz w:val="21"/>
                <w:szCs w:val="21"/>
              </w:rPr>
            </w:pPr>
            <w:r>
              <w:rPr>
                <w:rFonts w:hint="eastAsia" w:ascii="Times New Roman" w:hAnsi="Times New Roman"/>
                <w:color w:val="auto"/>
                <w:sz w:val="21"/>
                <w:szCs w:val="21"/>
              </w:rPr>
              <w:t>（3）各类建材的包装箱、袋等应派专人负责收集分类存放，统一运往废品收购站回收利用。</w:t>
            </w:r>
          </w:p>
          <w:p w14:paraId="7E3C162C">
            <w:pPr>
              <w:pStyle w:val="24"/>
              <w:keepNext w:val="0"/>
              <w:keepLines w:val="0"/>
              <w:pageBreakBefore w:val="0"/>
              <w:widowControl/>
              <w:kinsoku/>
              <w:wordWrap/>
              <w:overflowPunct/>
              <w:topLinePunct w:val="0"/>
              <w:autoSpaceDE/>
              <w:autoSpaceDN/>
              <w:bidi w:val="0"/>
              <w:adjustRightInd w:val="0"/>
              <w:snapToGrid w:val="0"/>
              <w:spacing w:before="0" w:beforeAutospacing="0" w:after="0" w:afterAutospacing="0" w:line="430" w:lineRule="exact"/>
              <w:ind w:firstLine="420" w:firstLineChars="200"/>
              <w:textAlignment w:val="auto"/>
              <w:rPr>
                <w:rFonts w:cs="宋体"/>
                <w:bCs/>
                <w:color w:val="auto"/>
                <w:spacing w:val="-10"/>
                <w:szCs w:val="21"/>
              </w:rPr>
            </w:pPr>
            <w:r>
              <w:rPr>
                <w:rFonts w:hint="eastAsia" w:ascii="Times New Roman" w:hAnsi="Times New Roman"/>
                <w:color w:val="auto"/>
                <w:sz w:val="21"/>
                <w:szCs w:val="21"/>
              </w:rPr>
              <w:t>综上所述，施工期产生的固体废物全部得到妥善处置，不会对周围环境产生明显影响。</w:t>
            </w:r>
          </w:p>
        </w:tc>
      </w:tr>
      <w:tr w14:paraId="1EB53DA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333" w:hRule="atLeast"/>
          <w:jc w:val="center"/>
        </w:trPr>
        <w:tc>
          <w:tcPr>
            <w:tcW w:w="746" w:type="dxa"/>
            <w:tcMar>
              <w:left w:w="28" w:type="dxa"/>
              <w:right w:w="28" w:type="dxa"/>
            </w:tcMar>
            <w:vAlign w:val="center"/>
          </w:tcPr>
          <w:p w14:paraId="4E2293F2">
            <w:pPr>
              <w:adjustRightInd w:val="0"/>
              <w:snapToGrid w:val="0"/>
              <w:jc w:val="center"/>
              <w:rPr>
                <w:rFonts w:ascii="宋体" w:hAnsi="宋体" w:cs="宋体"/>
                <w:bCs/>
                <w:color w:val="auto"/>
                <w:szCs w:val="21"/>
              </w:rPr>
            </w:pPr>
            <w:r>
              <w:rPr>
                <w:rFonts w:hint="eastAsia" w:ascii="宋体" w:hAnsi="宋体" w:cs="宋体"/>
                <w:bCs/>
                <w:color w:val="auto"/>
                <w:szCs w:val="21"/>
              </w:rPr>
              <w:t>运营</w:t>
            </w:r>
          </w:p>
          <w:p w14:paraId="46920E3C">
            <w:pPr>
              <w:adjustRightInd w:val="0"/>
              <w:snapToGrid w:val="0"/>
              <w:jc w:val="center"/>
              <w:rPr>
                <w:rFonts w:ascii="宋体" w:hAnsi="宋体" w:cs="宋体"/>
                <w:bCs/>
                <w:color w:val="auto"/>
                <w:szCs w:val="21"/>
              </w:rPr>
            </w:pPr>
            <w:r>
              <w:rPr>
                <w:rFonts w:hint="eastAsia" w:ascii="宋体" w:hAnsi="宋体" w:cs="宋体"/>
                <w:bCs/>
                <w:color w:val="auto"/>
                <w:szCs w:val="21"/>
              </w:rPr>
              <w:t>期环</w:t>
            </w:r>
          </w:p>
          <w:p w14:paraId="70229188">
            <w:pPr>
              <w:adjustRightInd w:val="0"/>
              <w:snapToGrid w:val="0"/>
              <w:jc w:val="center"/>
              <w:rPr>
                <w:rFonts w:ascii="宋体" w:hAnsi="宋体" w:cs="宋体"/>
                <w:bCs/>
                <w:color w:val="auto"/>
                <w:szCs w:val="21"/>
              </w:rPr>
            </w:pPr>
            <w:r>
              <w:rPr>
                <w:rFonts w:hint="eastAsia" w:ascii="宋体" w:hAnsi="宋体" w:cs="宋体"/>
                <w:bCs/>
                <w:color w:val="auto"/>
                <w:szCs w:val="21"/>
              </w:rPr>
              <w:t>境影</w:t>
            </w:r>
          </w:p>
          <w:p w14:paraId="3203238C">
            <w:pPr>
              <w:adjustRightInd w:val="0"/>
              <w:snapToGrid w:val="0"/>
              <w:jc w:val="center"/>
              <w:rPr>
                <w:rFonts w:ascii="宋体" w:hAnsi="宋体" w:cs="宋体"/>
                <w:bCs/>
                <w:color w:val="auto"/>
                <w:szCs w:val="21"/>
              </w:rPr>
            </w:pPr>
            <w:r>
              <w:rPr>
                <w:rFonts w:hint="eastAsia" w:ascii="宋体" w:hAnsi="宋体" w:cs="宋体"/>
                <w:bCs/>
                <w:color w:val="auto"/>
                <w:szCs w:val="21"/>
              </w:rPr>
              <w:t>响和</w:t>
            </w:r>
          </w:p>
          <w:p w14:paraId="7E8B45E2">
            <w:pPr>
              <w:adjustRightInd w:val="0"/>
              <w:snapToGrid w:val="0"/>
              <w:jc w:val="center"/>
              <w:rPr>
                <w:rFonts w:ascii="宋体" w:hAnsi="宋体" w:cs="宋体"/>
                <w:bCs/>
                <w:color w:val="auto"/>
                <w:szCs w:val="21"/>
              </w:rPr>
            </w:pPr>
            <w:r>
              <w:rPr>
                <w:rFonts w:hint="eastAsia" w:ascii="宋体" w:hAnsi="宋体" w:cs="宋体"/>
                <w:bCs/>
                <w:color w:val="auto"/>
                <w:szCs w:val="21"/>
              </w:rPr>
              <w:t>保护</w:t>
            </w:r>
          </w:p>
          <w:p w14:paraId="7321763B">
            <w:pPr>
              <w:adjustRightInd w:val="0"/>
              <w:snapToGrid w:val="0"/>
              <w:jc w:val="center"/>
              <w:rPr>
                <w:rFonts w:ascii="宋体" w:hAnsi="宋体" w:cs="宋体"/>
                <w:bCs/>
                <w:color w:val="auto"/>
                <w:szCs w:val="21"/>
              </w:rPr>
            </w:pPr>
            <w:r>
              <w:rPr>
                <w:rFonts w:hint="eastAsia" w:ascii="宋体" w:hAnsi="宋体" w:cs="宋体"/>
                <w:bCs/>
                <w:color w:val="auto"/>
                <w:szCs w:val="21"/>
              </w:rPr>
              <w:t>措施</w:t>
            </w:r>
          </w:p>
        </w:tc>
        <w:tc>
          <w:tcPr>
            <w:tcW w:w="8162" w:type="dxa"/>
            <w:vAlign w:val="center"/>
          </w:tcPr>
          <w:p w14:paraId="66980B86">
            <w:pPr>
              <w:pStyle w:val="24"/>
              <w:keepNext w:val="0"/>
              <w:keepLines w:val="0"/>
              <w:pageBreakBefore w:val="0"/>
              <w:kinsoku/>
              <w:wordWrap/>
              <w:overflowPunct/>
              <w:topLinePunct w:val="0"/>
              <w:autoSpaceDE/>
              <w:autoSpaceDN/>
              <w:bidi w:val="0"/>
              <w:adjustRightInd w:val="0"/>
              <w:snapToGrid w:val="0"/>
              <w:spacing w:before="0" w:beforeAutospacing="0" w:after="0" w:afterAutospacing="0" w:line="440" w:lineRule="exact"/>
              <w:ind w:firstLine="422" w:firstLineChars="200"/>
              <w:textAlignment w:val="auto"/>
              <w:rPr>
                <w:rFonts w:ascii="Times New Roman" w:hAnsi="Times New Roman"/>
                <w:b/>
                <w:color w:val="auto"/>
                <w:sz w:val="21"/>
                <w:szCs w:val="21"/>
              </w:rPr>
            </w:pPr>
            <w:r>
              <w:rPr>
                <w:rFonts w:ascii="Times New Roman" w:hAnsi="Times New Roman"/>
                <w:b/>
                <w:color w:val="auto"/>
                <w:sz w:val="21"/>
                <w:szCs w:val="21"/>
              </w:rPr>
              <w:t>1.废气</w:t>
            </w:r>
          </w:p>
          <w:p w14:paraId="18ADFCEA">
            <w:pPr>
              <w:pStyle w:val="24"/>
              <w:keepNext w:val="0"/>
              <w:keepLines w:val="0"/>
              <w:pageBreakBefore w:val="0"/>
              <w:kinsoku/>
              <w:wordWrap/>
              <w:overflowPunct/>
              <w:topLinePunct w:val="0"/>
              <w:autoSpaceDE/>
              <w:autoSpaceDN/>
              <w:bidi w:val="0"/>
              <w:adjustRightInd w:val="0"/>
              <w:snapToGrid w:val="0"/>
              <w:spacing w:before="0" w:beforeAutospacing="0" w:after="0" w:afterAutospacing="0" w:line="440" w:lineRule="exact"/>
              <w:ind w:firstLine="422" w:firstLineChars="200"/>
              <w:textAlignment w:val="auto"/>
              <w:rPr>
                <w:rFonts w:ascii="Times New Roman" w:hAnsi="Times New Roman"/>
                <w:b/>
                <w:color w:val="auto"/>
                <w:sz w:val="21"/>
                <w:szCs w:val="21"/>
              </w:rPr>
            </w:pPr>
            <w:r>
              <w:rPr>
                <w:rFonts w:ascii="Times New Roman" w:hAnsi="Times New Roman"/>
                <w:b/>
                <w:color w:val="auto"/>
                <w:sz w:val="21"/>
                <w:szCs w:val="21"/>
              </w:rPr>
              <w:t>1.1拟建项目污染物产生及排放情况</w:t>
            </w:r>
          </w:p>
          <w:p w14:paraId="250A7329">
            <w:pPr>
              <w:pStyle w:val="24"/>
              <w:keepNext w:val="0"/>
              <w:keepLines w:val="0"/>
              <w:pageBreakBefore w:val="0"/>
              <w:kinsoku/>
              <w:wordWrap/>
              <w:overflowPunct/>
              <w:topLinePunct w:val="0"/>
              <w:autoSpaceDE/>
              <w:autoSpaceDN/>
              <w:bidi w:val="0"/>
              <w:adjustRightInd w:val="0"/>
              <w:snapToGrid w:val="0"/>
              <w:spacing w:before="0" w:beforeAutospacing="0" w:after="0" w:afterAutospacing="0" w:line="440" w:lineRule="exact"/>
              <w:ind w:firstLine="422" w:firstLineChars="200"/>
              <w:textAlignment w:val="auto"/>
              <w:rPr>
                <w:rFonts w:ascii="Times New Roman" w:hAnsi="Times New Roman"/>
                <w:b/>
                <w:color w:val="auto"/>
                <w:sz w:val="21"/>
                <w:szCs w:val="21"/>
              </w:rPr>
            </w:pPr>
            <w:r>
              <w:rPr>
                <w:rFonts w:ascii="Times New Roman" w:hAnsi="Times New Roman"/>
                <w:b/>
                <w:color w:val="auto"/>
                <w:sz w:val="21"/>
                <w:szCs w:val="21"/>
              </w:rPr>
              <w:t>1.1.1拟建项目废气污染源</w:t>
            </w:r>
          </w:p>
          <w:p w14:paraId="0F87757A">
            <w:pPr>
              <w:pStyle w:val="24"/>
              <w:keepNext w:val="0"/>
              <w:keepLines w:val="0"/>
              <w:pageBreakBefore w:val="0"/>
              <w:widowControl/>
              <w:kinsoku/>
              <w:wordWrap/>
              <w:overflowPunct/>
              <w:topLinePunct w:val="0"/>
              <w:autoSpaceDE/>
              <w:autoSpaceDN/>
              <w:bidi w:val="0"/>
              <w:adjustRightInd w:val="0"/>
              <w:snapToGrid w:val="0"/>
              <w:spacing w:before="0" w:beforeAutospacing="0" w:after="0" w:afterAutospacing="0" w:line="440" w:lineRule="exact"/>
              <w:ind w:firstLine="420" w:firstLineChars="200"/>
              <w:textAlignment w:val="auto"/>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拟建项目营运期废气污染源主要为原料卸料、堆存过程产生的颗粒物，</w:t>
            </w:r>
            <w:r>
              <w:rPr>
                <w:rFonts w:hint="eastAsia" w:ascii="Times New Roman" w:hAnsi="Times New Roman" w:eastAsia="宋体" w:cs="Times New Roman"/>
                <w:color w:val="auto"/>
                <w:sz w:val="21"/>
                <w:szCs w:val="21"/>
                <w:lang w:val="en-US" w:eastAsia="zh-CN"/>
              </w:rPr>
              <w:t>钢渣处理生产线</w:t>
            </w:r>
            <w:r>
              <w:rPr>
                <w:rFonts w:hint="eastAsia" w:ascii="Times New Roman" w:hAnsi="Times New Roman" w:eastAsia="宋体" w:cs="Times New Roman"/>
                <w:color w:val="auto"/>
                <w:sz w:val="21"/>
                <w:szCs w:val="21"/>
              </w:rPr>
              <w:t>上料</w:t>
            </w:r>
            <w:r>
              <w:rPr>
                <w:rFonts w:hint="eastAsia" w:ascii="Times New Roman" w:hAnsi="Times New Roman" w:eastAsia="宋体" w:cs="Times New Roman"/>
                <w:color w:val="auto"/>
                <w:sz w:val="21"/>
                <w:szCs w:val="21"/>
                <w:lang w:eastAsia="zh-CN"/>
              </w:rPr>
              <w:t>、</w:t>
            </w:r>
            <w:r>
              <w:rPr>
                <w:rFonts w:hint="eastAsia" w:ascii="Times New Roman" w:hAnsi="Times New Roman" w:eastAsia="宋体" w:cs="Times New Roman"/>
                <w:color w:val="auto"/>
                <w:sz w:val="21"/>
                <w:szCs w:val="21"/>
                <w:lang w:val="en-US" w:eastAsia="zh-CN"/>
              </w:rPr>
              <w:t>鄂破、筛分、锤破</w:t>
            </w:r>
            <w:r>
              <w:rPr>
                <w:rFonts w:hint="eastAsia" w:ascii="Times New Roman" w:hAnsi="Times New Roman" w:eastAsia="宋体" w:cs="Times New Roman"/>
                <w:color w:val="auto"/>
                <w:sz w:val="21"/>
                <w:szCs w:val="21"/>
              </w:rPr>
              <w:t>过程产生的颗粒物，</w:t>
            </w:r>
            <w:r>
              <w:rPr>
                <w:rFonts w:hint="eastAsia" w:ascii="Times New Roman" w:hAnsi="Times New Roman" w:eastAsia="宋体" w:cs="Times New Roman"/>
                <w:color w:val="auto"/>
                <w:sz w:val="21"/>
                <w:szCs w:val="21"/>
                <w:lang w:val="en-US" w:eastAsia="zh-CN"/>
              </w:rPr>
              <w:t>废钢破碎尾料分选生产线一次漂洗前上料仓上料</w:t>
            </w:r>
            <w:r>
              <w:rPr>
                <w:rFonts w:hint="eastAsia" w:ascii="Times New Roman" w:hAnsi="Times New Roman" w:cs="Times New Roman"/>
                <w:color w:val="auto"/>
                <w:sz w:val="21"/>
                <w:szCs w:val="21"/>
                <w:lang w:val="en-US" w:eastAsia="zh-CN"/>
              </w:rPr>
              <w:t>、筛分、空分</w:t>
            </w:r>
            <w:r>
              <w:rPr>
                <w:rFonts w:hint="eastAsia" w:ascii="Times New Roman" w:hAnsi="Times New Roman" w:eastAsia="宋体" w:cs="Times New Roman"/>
                <w:color w:val="auto"/>
                <w:sz w:val="21"/>
                <w:szCs w:val="21"/>
              </w:rPr>
              <w:t>过程产生的颗粒物。</w:t>
            </w:r>
          </w:p>
          <w:p w14:paraId="1F97E057">
            <w:pPr>
              <w:keepNext w:val="0"/>
              <w:keepLines w:val="0"/>
              <w:pageBreakBefore w:val="0"/>
              <w:kinsoku/>
              <w:wordWrap/>
              <w:overflowPunct/>
              <w:topLinePunct w:val="0"/>
              <w:autoSpaceDE/>
              <w:autoSpaceDN/>
              <w:bidi w:val="0"/>
              <w:spacing w:line="440" w:lineRule="exact"/>
              <w:ind w:firstLine="422" w:firstLineChars="200"/>
              <w:jc w:val="center"/>
              <w:textAlignment w:val="auto"/>
              <w:rPr>
                <w:b/>
                <w:snapToGrid w:val="0"/>
                <w:color w:val="auto"/>
                <w:kern w:val="0"/>
                <w:lang w:bidi="ar"/>
              </w:rPr>
            </w:pPr>
            <w:r>
              <w:rPr>
                <w:rFonts w:hint="eastAsia"/>
                <w:b/>
                <w:snapToGrid w:val="0"/>
                <w:color w:val="auto"/>
                <w:kern w:val="0"/>
                <w:lang w:bidi="ar"/>
              </w:rPr>
              <w:t>表</w:t>
            </w:r>
            <w:r>
              <w:rPr>
                <w:rFonts w:hint="eastAsia"/>
                <w:b/>
                <w:snapToGrid w:val="0"/>
                <w:color w:val="auto"/>
                <w:kern w:val="0"/>
                <w:lang w:val="en-US" w:eastAsia="zh-CN" w:bidi="ar"/>
              </w:rPr>
              <w:t>23</w:t>
            </w:r>
            <w:r>
              <w:rPr>
                <w:rFonts w:hint="eastAsia"/>
                <w:b/>
                <w:snapToGrid w:val="0"/>
                <w:color w:val="auto"/>
                <w:kern w:val="0"/>
                <w:lang w:bidi="ar"/>
              </w:rPr>
              <w:t xml:space="preserve"> 项目废气主要产污环节、污染物种类、排放形式、治理措施一览表</w:t>
            </w:r>
          </w:p>
          <w:tbl>
            <w:tblPr>
              <w:tblStyle w:val="28"/>
              <w:tblW w:w="5066"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28" w:type="dxa"/>
                <w:bottom w:w="0" w:type="dxa"/>
                <w:right w:w="28" w:type="dxa"/>
              </w:tblCellMar>
            </w:tblPr>
            <w:tblGrid>
              <w:gridCol w:w="412"/>
              <w:gridCol w:w="658"/>
              <w:gridCol w:w="1241"/>
              <w:gridCol w:w="818"/>
              <w:gridCol w:w="4169"/>
              <w:gridCol w:w="753"/>
            </w:tblGrid>
            <w:tr w14:paraId="78DAB6F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83" w:hRule="exact"/>
                <w:jc w:val="center"/>
              </w:trPr>
              <w:tc>
                <w:tcPr>
                  <w:tcW w:w="255" w:type="pct"/>
                  <w:tcBorders>
                    <w:tl2br w:val="nil"/>
                    <w:tr2bl w:val="nil"/>
                  </w:tcBorders>
                  <w:vAlign w:val="center"/>
                </w:tcPr>
                <w:p w14:paraId="0ED84117">
                  <w:pPr>
                    <w:jc w:val="center"/>
                    <w:rPr>
                      <w:color w:val="auto"/>
                      <w:spacing w:val="-10"/>
                      <w:sz w:val="18"/>
                      <w:szCs w:val="18"/>
                    </w:rPr>
                  </w:pPr>
                  <w:r>
                    <w:rPr>
                      <w:rFonts w:hint="eastAsia"/>
                      <w:color w:val="auto"/>
                      <w:spacing w:val="-10"/>
                      <w:sz w:val="18"/>
                      <w:szCs w:val="18"/>
                    </w:rPr>
                    <w:t>序号</w:t>
                  </w:r>
                </w:p>
              </w:tc>
              <w:tc>
                <w:tcPr>
                  <w:tcW w:w="1179" w:type="pct"/>
                  <w:gridSpan w:val="2"/>
                  <w:tcBorders>
                    <w:tl2br w:val="nil"/>
                    <w:tr2bl w:val="nil"/>
                  </w:tcBorders>
                  <w:vAlign w:val="center"/>
                </w:tcPr>
                <w:p w14:paraId="308D5A90">
                  <w:pPr>
                    <w:jc w:val="center"/>
                    <w:rPr>
                      <w:color w:val="auto"/>
                      <w:spacing w:val="-10"/>
                      <w:sz w:val="18"/>
                      <w:szCs w:val="18"/>
                    </w:rPr>
                  </w:pPr>
                  <w:r>
                    <w:rPr>
                      <w:rFonts w:hint="eastAsia"/>
                      <w:color w:val="auto"/>
                      <w:spacing w:val="-10"/>
                      <w:sz w:val="18"/>
                      <w:szCs w:val="18"/>
                      <w:highlight w:val="none"/>
                    </w:rPr>
                    <w:t>污染源</w:t>
                  </w:r>
                </w:p>
              </w:tc>
              <w:tc>
                <w:tcPr>
                  <w:tcW w:w="508" w:type="pct"/>
                  <w:tcBorders>
                    <w:tl2br w:val="nil"/>
                    <w:tr2bl w:val="nil"/>
                  </w:tcBorders>
                  <w:vAlign w:val="center"/>
                </w:tcPr>
                <w:p w14:paraId="1A49B70B">
                  <w:pPr>
                    <w:jc w:val="center"/>
                    <w:rPr>
                      <w:color w:val="auto"/>
                      <w:spacing w:val="-10"/>
                      <w:sz w:val="18"/>
                      <w:szCs w:val="18"/>
                    </w:rPr>
                  </w:pPr>
                  <w:r>
                    <w:rPr>
                      <w:rFonts w:hint="eastAsia"/>
                      <w:color w:val="auto"/>
                      <w:spacing w:val="-10"/>
                      <w:sz w:val="18"/>
                      <w:szCs w:val="18"/>
                    </w:rPr>
                    <w:t>污染因子</w:t>
                  </w:r>
                </w:p>
              </w:tc>
              <w:tc>
                <w:tcPr>
                  <w:tcW w:w="2589" w:type="pct"/>
                  <w:tcBorders>
                    <w:tl2br w:val="nil"/>
                    <w:tr2bl w:val="nil"/>
                  </w:tcBorders>
                  <w:vAlign w:val="center"/>
                </w:tcPr>
                <w:p w14:paraId="0E1A7E21">
                  <w:pPr>
                    <w:jc w:val="center"/>
                    <w:rPr>
                      <w:color w:val="auto"/>
                      <w:spacing w:val="-10"/>
                      <w:sz w:val="18"/>
                      <w:szCs w:val="18"/>
                    </w:rPr>
                  </w:pPr>
                  <w:r>
                    <w:rPr>
                      <w:rFonts w:hint="eastAsia"/>
                      <w:color w:val="auto"/>
                      <w:spacing w:val="-10"/>
                      <w:sz w:val="18"/>
                      <w:szCs w:val="18"/>
                    </w:rPr>
                    <w:t>治理措施</w:t>
                  </w:r>
                </w:p>
              </w:tc>
              <w:tc>
                <w:tcPr>
                  <w:tcW w:w="467" w:type="pct"/>
                  <w:tcBorders>
                    <w:tl2br w:val="nil"/>
                    <w:tr2bl w:val="nil"/>
                  </w:tcBorders>
                  <w:vAlign w:val="center"/>
                </w:tcPr>
                <w:p w14:paraId="5A4433F3">
                  <w:pPr>
                    <w:jc w:val="center"/>
                    <w:rPr>
                      <w:color w:val="auto"/>
                      <w:spacing w:val="-10"/>
                      <w:sz w:val="18"/>
                      <w:szCs w:val="18"/>
                    </w:rPr>
                  </w:pPr>
                  <w:r>
                    <w:rPr>
                      <w:rFonts w:hint="eastAsia"/>
                      <w:color w:val="auto"/>
                      <w:spacing w:val="-10"/>
                      <w:sz w:val="18"/>
                      <w:szCs w:val="18"/>
                    </w:rPr>
                    <w:t>排放形式</w:t>
                  </w:r>
                </w:p>
              </w:tc>
            </w:tr>
            <w:tr w14:paraId="4E1DFDA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97" w:hRule="exact"/>
                <w:jc w:val="center"/>
              </w:trPr>
              <w:tc>
                <w:tcPr>
                  <w:tcW w:w="255" w:type="pct"/>
                  <w:vMerge w:val="restart"/>
                  <w:tcBorders>
                    <w:tl2br w:val="nil"/>
                    <w:tr2bl w:val="nil"/>
                  </w:tcBorders>
                  <w:vAlign w:val="center"/>
                </w:tcPr>
                <w:p w14:paraId="310D6FCE">
                  <w:pPr>
                    <w:jc w:val="center"/>
                    <w:rPr>
                      <w:color w:val="auto"/>
                      <w:spacing w:val="-10"/>
                      <w:sz w:val="18"/>
                      <w:szCs w:val="18"/>
                    </w:rPr>
                  </w:pPr>
                  <w:r>
                    <w:rPr>
                      <w:rFonts w:hint="eastAsia"/>
                      <w:color w:val="auto"/>
                      <w:spacing w:val="-10"/>
                      <w:sz w:val="18"/>
                      <w:szCs w:val="18"/>
                    </w:rPr>
                    <w:t>1</w:t>
                  </w:r>
                </w:p>
              </w:tc>
              <w:tc>
                <w:tcPr>
                  <w:tcW w:w="408" w:type="pct"/>
                  <w:vMerge w:val="restart"/>
                  <w:tcBorders>
                    <w:tl2br w:val="nil"/>
                    <w:tr2bl w:val="nil"/>
                  </w:tcBorders>
                  <w:vAlign w:val="center"/>
                </w:tcPr>
                <w:p w14:paraId="2020189A">
                  <w:pPr>
                    <w:jc w:val="center"/>
                    <w:rPr>
                      <w:rFonts w:hint="default" w:eastAsia="宋体"/>
                      <w:color w:val="auto"/>
                      <w:spacing w:val="-10"/>
                      <w:sz w:val="18"/>
                      <w:szCs w:val="18"/>
                      <w:lang w:val="en-US" w:eastAsia="zh-CN"/>
                    </w:rPr>
                  </w:pPr>
                  <w:r>
                    <w:rPr>
                      <w:rFonts w:hint="eastAsia"/>
                      <w:color w:val="auto"/>
                      <w:spacing w:val="-10"/>
                      <w:sz w:val="18"/>
                      <w:szCs w:val="18"/>
                      <w:lang w:val="en-US" w:eastAsia="zh-CN"/>
                    </w:rPr>
                    <w:t>钢渣处理生产线</w:t>
                  </w:r>
                </w:p>
              </w:tc>
              <w:tc>
                <w:tcPr>
                  <w:tcW w:w="770" w:type="pct"/>
                  <w:tcBorders>
                    <w:tl2br w:val="nil"/>
                    <w:tr2bl w:val="nil"/>
                  </w:tcBorders>
                  <w:shd w:val="clear" w:color="auto" w:fill="auto"/>
                  <w:vAlign w:val="center"/>
                </w:tcPr>
                <w:p w14:paraId="2356E2A8">
                  <w:pPr>
                    <w:jc w:val="center"/>
                    <w:rPr>
                      <w:rFonts w:hint="eastAsia" w:ascii="Times New Roman" w:hAnsi="Times New Roman" w:eastAsia="宋体" w:cs="Times New Roman"/>
                      <w:color w:val="auto"/>
                      <w:spacing w:val="-10"/>
                      <w:kern w:val="2"/>
                      <w:sz w:val="18"/>
                      <w:szCs w:val="18"/>
                      <w:lang w:val="en-US" w:eastAsia="zh-CN" w:bidi="ar-SA"/>
                    </w:rPr>
                  </w:pPr>
                  <w:r>
                    <w:rPr>
                      <w:rFonts w:hint="eastAsia"/>
                      <w:color w:val="auto"/>
                      <w:spacing w:val="-10"/>
                      <w:sz w:val="18"/>
                      <w:szCs w:val="18"/>
                      <w:lang w:val="en-US" w:eastAsia="zh-CN"/>
                    </w:rPr>
                    <w:t>钢渣上料仓</w:t>
                  </w:r>
                </w:p>
              </w:tc>
              <w:tc>
                <w:tcPr>
                  <w:tcW w:w="508" w:type="pct"/>
                  <w:tcBorders>
                    <w:tl2br w:val="nil"/>
                    <w:tr2bl w:val="nil"/>
                  </w:tcBorders>
                  <w:shd w:val="clear" w:color="auto" w:fill="auto"/>
                  <w:vAlign w:val="center"/>
                </w:tcPr>
                <w:p w14:paraId="4ADB1C22">
                  <w:pPr>
                    <w:jc w:val="center"/>
                    <w:rPr>
                      <w:rFonts w:hint="eastAsia" w:ascii="Times New Roman" w:hAnsi="Times New Roman" w:eastAsia="宋体" w:cs="Times New Roman"/>
                      <w:color w:val="auto"/>
                      <w:spacing w:val="-10"/>
                      <w:kern w:val="2"/>
                      <w:sz w:val="18"/>
                      <w:szCs w:val="18"/>
                      <w:lang w:val="en-US" w:eastAsia="zh-CN" w:bidi="ar-SA"/>
                    </w:rPr>
                  </w:pPr>
                  <w:r>
                    <w:rPr>
                      <w:rFonts w:hint="eastAsia"/>
                      <w:color w:val="auto"/>
                      <w:spacing w:val="-10"/>
                      <w:sz w:val="18"/>
                      <w:szCs w:val="18"/>
                    </w:rPr>
                    <w:t>颗粒物</w:t>
                  </w:r>
                </w:p>
              </w:tc>
              <w:tc>
                <w:tcPr>
                  <w:tcW w:w="2589" w:type="pct"/>
                  <w:vMerge w:val="restart"/>
                  <w:tcBorders>
                    <w:tl2br w:val="nil"/>
                    <w:tr2bl w:val="nil"/>
                  </w:tcBorders>
                  <w:vAlign w:val="center"/>
                </w:tcPr>
                <w:p w14:paraId="006FC769">
                  <w:pPr>
                    <w:jc w:val="center"/>
                    <w:rPr>
                      <w:color w:val="auto"/>
                      <w:spacing w:val="-10"/>
                      <w:sz w:val="18"/>
                      <w:szCs w:val="18"/>
                      <w:highlight w:val="yellow"/>
                    </w:rPr>
                  </w:pPr>
                  <w:r>
                    <w:rPr>
                      <w:rFonts w:hint="eastAsia"/>
                      <w:color w:val="auto"/>
                      <w:spacing w:val="-10"/>
                      <w:sz w:val="18"/>
                      <w:szCs w:val="18"/>
                      <w:highlight w:val="none"/>
                      <w:lang w:val="en-US" w:eastAsia="zh-CN"/>
                    </w:rPr>
                    <w:t>上料仓三面围挡，上方设集气罩，上料一侧设置软帘，并设感应喷淋装置，上料时进行喷淋；鄂破机、锤式破碎机全封闭，入料口、出料口均设置引风管；</w:t>
                  </w:r>
                  <w:r>
                    <w:rPr>
                      <w:rFonts w:hint="eastAsia"/>
                      <w:color w:val="auto"/>
                      <w:spacing w:val="-10"/>
                      <w:sz w:val="18"/>
                      <w:szCs w:val="18"/>
                      <w:highlight w:val="none"/>
                    </w:rPr>
                    <w:t>振动筛封闭处理，入料口、筛面、出料口均设置集气管</w:t>
                  </w:r>
                  <w:r>
                    <w:rPr>
                      <w:rFonts w:hint="eastAsia"/>
                      <w:color w:val="auto"/>
                      <w:spacing w:val="-10"/>
                      <w:sz w:val="18"/>
                      <w:szCs w:val="18"/>
                      <w:highlight w:val="none"/>
                      <w:lang w:eastAsia="zh-CN"/>
                    </w:rPr>
                    <w:t>；</w:t>
                  </w:r>
                  <w:r>
                    <w:rPr>
                      <w:rFonts w:hint="eastAsia"/>
                      <w:color w:val="auto"/>
                      <w:spacing w:val="-10"/>
                      <w:sz w:val="18"/>
                      <w:szCs w:val="18"/>
                      <w:highlight w:val="none"/>
                      <w:lang w:val="en-US" w:eastAsia="zh-CN"/>
                    </w:rPr>
                    <w:t>将以上废气收集后通过集尘管</w:t>
                  </w:r>
                  <w:r>
                    <w:rPr>
                      <w:rFonts w:hint="default" w:ascii="Times New Roman" w:hAnsi="Times New Roman" w:eastAsia="宋体" w:cs="Times New Roman"/>
                      <w:color w:val="auto"/>
                      <w:spacing w:val="-10"/>
                      <w:sz w:val="18"/>
                      <w:szCs w:val="18"/>
                      <w:highlight w:val="none"/>
                      <w:lang w:val="en-US" w:eastAsia="zh-CN"/>
                    </w:rPr>
                    <w:t>道引入</w:t>
                  </w:r>
                  <w:r>
                    <w:rPr>
                      <w:rFonts w:hint="eastAsia" w:ascii="Times New Roman" w:hAnsi="Times New Roman" w:eastAsia="宋体" w:cs="Times New Roman"/>
                      <w:color w:val="auto"/>
                      <w:spacing w:val="-10"/>
                      <w:sz w:val="18"/>
                      <w:szCs w:val="18"/>
                      <w:highlight w:val="none"/>
                      <w:lang w:val="en-US" w:eastAsia="zh-CN"/>
                    </w:rPr>
                    <w:t>脉冲布袋除尘器处理后，通过15m高排气筒</w:t>
                  </w:r>
                  <w:r>
                    <w:rPr>
                      <w:rFonts w:hint="eastAsia"/>
                      <w:color w:val="auto"/>
                      <w:spacing w:val="-10"/>
                      <w:sz w:val="18"/>
                      <w:szCs w:val="18"/>
                      <w:highlight w:val="none"/>
                    </w:rPr>
                    <w:t>（DA00</w:t>
                  </w:r>
                  <w:r>
                    <w:rPr>
                      <w:rFonts w:hint="eastAsia"/>
                      <w:color w:val="auto"/>
                      <w:spacing w:val="-10"/>
                      <w:sz w:val="18"/>
                      <w:szCs w:val="18"/>
                      <w:highlight w:val="none"/>
                      <w:lang w:val="en-US" w:eastAsia="zh-CN"/>
                    </w:rPr>
                    <w:t>1</w:t>
                  </w:r>
                  <w:r>
                    <w:rPr>
                      <w:rFonts w:hint="eastAsia"/>
                      <w:color w:val="auto"/>
                      <w:spacing w:val="-10"/>
                      <w:sz w:val="18"/>
                      <w:szCs w:val="18"/>
                      <w:highlight w:val="none"/>
                    </w:rPr>
                    <w:t>）</w:t>
                  </w:r>
                  <w:r>
                    <w:rPr>
                      <w:rFonts w:hint="eastAsia" w:ascii="Times New Roman" w:hAnsi="Times New Roman" w:eastAsia="宋体" w:cs="Times New Roman"/>
                      <w:color w:val="auto"/>
                      <w:spacing w:val="-10"/>
                      <w:sz w:val="18"/>
                      <w:szCs w:val="18"/>
                      <w:highlight w:val="none"/>
                      <w:lang w:val="en-US" w:eastAsia="zh-CN"/>
                    </w:rPr>
                    <w:t>排放</w:t>
                  </w:r>
                </w:p>
              </w:tc>
              <w:tc>
                <w:tcPr>
                  <w:tcW w:w="467" w:type="pct"/>
                  <w:vMerge w:val="restart"/>
                  <w:tcBorders>
                    <w:tl2br w:val="nil"/>
                    <w:tr2bl w:val="nil"/>
                  </w:tcBorders>
                  <w:vAlign w:val="center"/>
                </w:tcPr>
                <w:p w14:paraId="103C8DAA">
                  <w:pPr>
                    <w:jc w:val="center"/>
                    <w:rPr>
                      <w:color w:val="auto"/>
                      <w:spacing w:val="-10"/>
                      <w:sz w:val="18"/>
                      <w:szCs w:val="18"/>
                    </w:rPr>
                  </w:pPr>
                  <w:r>
                    <w:rPr>
                      <w:rFonts w:hint="eastAsia"/>
                      <w:color w:val="auto"/>
                      <w:spacing w:val="-10"/>
                      <w:sz w:val="18"/>
                      <w:szCs w:val="18"/>
                    </w:rPr>
                    <w:t>有组织</w:t>
                  </w:r>
                </w:p>
              </w:tc>
            </w:tr>
            <w:tr w14:paraId="6B5C878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97" w:hRule="exact"/>
                <w:jc w:val="center"/>
              </w:trPr>
              <w:tc>
                <w:tcPr>
                  <w:tcW w:w="255" w:type="pct"/>
                  <w:vMerge w:val="continue"/>
                  <w:tcBorders>
                    <w:tl2br w:val="nil"/>
                    <w:tr2bl w:val="nil"/>
                  </w:tcBorders>
                  <w:vAlign w:val="center"/>
                </w:tcPr>
                <w:p w14:paraId="4E531E54">
                  <w:pPr>
                    <w:jc w:val="center"/>
                    <w:rPr>
                      <w:color w:val="auto"/>
                      <w:spacing w:val="-10"/>
                      <w:sz w:val="18"/>
                      <w:szCs w:val="18"/>
                    </w:rPr>
                  </w:pPr>
                </w:p>
              </w:tc>
              <w:tc>
                <w:tcPr>
                  <w:tcW w:w="408" w:type="pct"/>
                  <w:vMerge w:val="continue"/>
                  <w:tcBorders>
                    <w:tl2br w:val="nil"/>
                    <w:tr2bl w:val="nil"/>
                  </w:tcBorders>
                  <w:vAlign w:val="center"/>
                </w:tcPr>
                <w:p w14:paraId="007E1AC8">
                  <w:pPr>
                    <w:jc w:val="center"/>
                    <w:rPr>
                      <w:rFonts w:hint="default" w:eastAsia="宋体"/>
                      <w:color w:val="auto"/>
                      <w:spacing w:val="-10"/>
                      <w:sz w:val="18"/>
                      <w:szCs w:val="18"/>
                      <w:lang w:val="en-US" w:eastAsia="zh-CN"/>
                    </w:rPr>
                  </w:pPr>
                </w:p>
              </w:tc>
              <w:tc>
                <w:tcPr>
                  <w:tcW w:w="770" w:type="pct"/>
                  <w:tcBorders>
                    <w:tl2br w:val="nil"/>
                    <w:tr2bl w:val="nil"/>
                  </w:tcBorders>
                  <w:vAlign w:val="center"/>
                </w:tcPr>
                <w:p w14:paraId="0A6CBA22">
                  <w:pPr>
                    <w:jc w:val="center"/>
                    <w:rPr>
                      <w:rFonts w:hint="default" w:ascii="Times New Roman" w:hAnsi="Times New Roman" w:eastAsia="宋体" w:cs="Times New Roman"/>
                      <w:color w:val="auto"/>
                      <w:spacing w:val="-10"/>
                      <w:kern w:val="2"/>
                      <w:sz w:val="18"/>
                      <w:szCs w:val="18"/>
                      <w:lang w:val="en-US" w:eastAsia="zh-CN" w:bidi="ar-SA"/>
                    </w:rPr>
                  </w:pPr>
                  <w:r>
                    <w:rPr>
                      <w:rFonts w:hint="eastAsia"/>
                      <w:color w:val="auto"/>
                      <w:spacing w:val="-10"/>
                      <w:sz w:val="18"/>
                      <w:szCs w:val="18"/>
                      <w:lang w:val="en-US" w:eastAsia="zh-CN"/>
                    </w:rPr>
                    <w:t>鄂式</w:t>
                  </w:r>
                  <w:r>
                    <w:rPr>
                      <w:rFonts w:hint="eastAsia"/>
                      <w:color w:val="auto"/>
                      <w:spacing w:val="-10"/>
                      <w:sz w:val="18"/>
                      <w:szCs w:val="18"/>
                    </w:rPr>
                    <w:t>破碎机</w:t>
                  </w:r>
                </w:p>
              </w:tc>
              <w:tc>
                <w:tcPr>
                  <w:tcW w:w="508" w:type="pct"/>
                  <w:tcBorders>
                    <w:tl2br w:val="nil"/>
                    <w:tr2bl w:val="nil"/>
                  </w:tcBorders>
                  <w:vAlign w:val="center"/>
                </w:tcPr>
                <w:p w14:paraId="76994F96">
                  <w:pPr>
                    <w:jc w:val="center"/>
                    <w:rPr>
                      <w:rFonts w:hint="eastAsia" w:ascii="Times New Roman" w:hAnsi="Times New Roman" w:eastAsia="宋体" w:cs="Times New Roman"/>
                      <w:color w:val="auto"/>
                      <w:spacing w:val="-10"/>
                      <w:kern w:val="2"/>
                      <w:sz w:val="18"/>
                      <w:szCs w:val="18"/>
                      <w:lang w:val="en-US" w:eastAsia="zh-CN" w:bidi="ar-SA"/>
                    </w:rPr>
                  </w:pPr>
                  <w:r>
                    <w:rPr>
                      <w:rFonts w:hint="eastAsia"/>
                      <w:color w:val="auto"/>
                      <w:spacing w:val="-10"/>
                      <w:sz w:val="18"/>
                      <w:szCs w:val="18"/>
                    </w:rPr>
                    <w:t>颗粒物</w:t>
                  </w:r>
                </w:p>
              </w:tc>
              <w:tc>
                <w:tcPr>
                  <w:tcW w:w="2589" w:type="pct"/>
                  <w:vMerge w:val="continue"/>
                  <w:tcBorders>
                    <w:tl2br w:val="nil"/>
                    <w:tr2bl w:val="nil"/>
                  </w:tcBorders>
                  <w:vAlign w:val="center"/>
                </w:tcPr>
                <w:p w14:paraId="78EB51DA">
                  <w:pPr>
                    <w:jc w:val="center"/>
                    <w:rPr>
                      <w:color w:val="auto"/>
                      <w:spacing w:val="-10"/>
                      <w:sz w:val="18"/>
                      <w:szCs w:val="18"/>
                      <w:highlight w:val="yellow"/>
                    </w:rPr>
                  </w:pPr>
                </w:p>
              </w:tc>
              <w:tc>
                <w:tcPr>
                  <w:tcW w:w="467" w:type="pct"/>
                  <w:vMerge w:val="continue"/>
                  <w:tcBorders>
                    <w:tl2br w:val="nil"/>
                    <w:tr2bl w:val="nil"/>
                  </w:tcBorders>
                  <w:vAlign w:val="center"/>
                </w:tcPr>
                <w:p w14:paraId="39EDA296">
                  <w:pPr>
                    <w:jc w:val="center"/>
                    <w:rPr>
                      <w:color w:val="auto"/>
                      <w:spacing w:val="-10"/>
                      <w:sz w:val="18"/>
                      <w:szCs w:val="18"/>
                    </w:rPr>
                  </w:pPr>
                </w:p>
              </w:tc>
            </w:tr>
            <w:tr w14:paraId="2AAA49F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97" w:hRule="exact"/>
                <w:jc w:val="center"/>
              </w:trPr>
              <w:tc>
                <w:tcPr>
                  <w:tcW w:w="255" w:type="pct"/>
                  <w:vMerge w:val="continue"/>
                  <w:tcBorders>
                    <w:tl2br w:val="nil"/>
                    <w:tr2bl w:val="nil"/>
                  </w:tcBorders>
                  <w:vAlign w:val="center"/>
                </w:tcPr>
                <w:p w14:paraId="54EB04BA">
                  <w:pPr>
                    <w:jc w:val="center"/>
                    <w:rPr>
                      <w:color w:val="auto"/>
                      <w:spacing w:val="-10"/>
                      <w:sz w:val="18"/>
                      <w:szCs w:val="18"/>
                    </w:rPr>
                  </w:pPr>
                </w:p>
              </w:tc>
              <w:tc>
                <w:tcPr>
                  <w:tcW w:w="408" w:type="pct"/>
                  <w:vMerge w:val="continue"/>
                  <w:tcBorders>
                    <w:tl2br w:val="nil"/>
                    <w:tr2bl w:val="nil"/>
                  </w:tcBorders>
                  <w:vAlign w:val="center"/>
                </w:tcPr>
                <w:p w14:paraId="5157E223">
                  <w:pPr>
                    <w:jc w:val="center"/>
                    <w:rPr>
                      <w:rFonts w:hint="default" w:eastAsia="宋体"/>
                      <w:color w:val="auto"/>
                      <w:spacing w:val="-10"/>
                      <w:sz w:val="18"/>
                      <w:szCs w:val="18"/>
                      <w:lang w:val="en-US" w:eastAsia="zh-CN"/>
                    </w:rPr>
                  </w:pPr>
                </w:p>
              </w:tc>
              <w:tc>
                <w:tcPr>
                  <w:tcW w:w="770" w:type="pct"/>
                  <w:tcBorders>
                    <w:tl2br w:val="nil"/>
                    <w:tr2bl w:val="nil"/>
                  </w:tcBorders>
                  <w:vAlign w:val="center"/>
                </w:tcPr>
                <w:p w14:paraId="21E66736">
                  <w:pPr>
                    <w:jc w:val="center"/>
                    <w:rPr>
                      <w:rFonts w:hint="default" w:ascii="Times New Roman" w:hAnsi="Times New Roman" w:eastAsia="宋体" w:cs="Times New Roman"/>
                      <w:color w:val="auto"/>
                      <w:spacing w:val="-10"/>
                      <w:kern w:val="2"/>
                      <w:sz w:val="18"/>
                      <w:szCs w:val="18"/>
                      <w:lang w:val="en-US" w:eastAsia="zh-CN" w:bidi="ar-SA"/>
                    </w:rPr>
                  </w:pPr>
                  <w:r>
                    <w:rPr>
                      <w:rFonts w:hint="eastAsia"/>
                      <w:color w:val="auto"/>
                      <w:spacing w:val="-10"/>
                      <w:sz w:val="18"/>
                      <w:szCs w:val="18"/>
                      <w:lang w:val="en-US" w:eastAsia="zh-CN"/>
                    </w:rPr>
                    <w:t>振动筛</w:t>
                  </w:r>
                </w:p>
              </w:tc>
              <w:tc>
                <w:tcPr>
                  <w:tcW w:w="508" w:type="pct"/>
                  <w:tcBorders>
                    <w:tl2br w:val="nil"/>
                    <w:tr2bl w:val="nil"/>
                  </w:tcBorders>
                  <w:vAlign w:val="center"/>
                </w:tcPr>
                <w:p w14:paraId="0401C927">
                  <w:pPr>
                    <w:jc w:val="center"/>
                    <w:rPr>
                      <w:rFonts w:hint="eastAsia" w:ascii="Times New Roman" w:hAnsi="Times New Roman" w:eastAsia="宋体" w:cs="Times New Roman"/>
                      <w:color w:val="auto"/>
                      <w:spacing w:val="-10"/>
                      <w:kern w:val="2"/>
                      <w:sz w:val="18"/>
                      <w:szCs w:val="18"/>
                      <w:lang w:val="en-US" w:eastAsia="zh-CN" w:bidi="ar-SA"/>
                    </w:rPr>
                  </w:pPr>
                  <w:r>
                    <w:rPr>
                      <w:rFonts w:hint="eastAsia"/>
                      <w:color w:val="auto"/>
                      <w:spacing w:val="-10"/>
                      <w:sz w:val="18"/>
                      <w:szCs w:val="18"/>
                    </w:rPr>
                    <w:t>颗粒物</w:t>
                  </w:r>
                </w:p>
              </w:tc>
              <w:tc>
                <w:tcPr>
                  <w:tcW w:w="2589" w:type="pct"/>
                  <w:vMerge w:val="continue"/>
                  <w:tcBorders>
                    <w:tl2br w:val="nil"/>
                    <w:tr2bl w:val="nil"/>
                  </w:tcBorders>
                  <w:vAlign w:val="center"/>
                </w:tcPr>
                <w:p w14:paraId="0BF72931">
                  <w:pPr>
                    <w:jc w:val="center"/>
                    <w:rPr>
                      <w:color w:val="auto"/>
                      <w:spacing w:val="-10"/>
                      <w:sz w:val="18"/>
                      <w:szCs w:val="18"/>
                      <w:highlight w:val="yellow"/>
                    </w:rPr>
                  </w:pPr>
                </w:p>
              </w:tc>
              <w:tc>
                <w:tcPr>
                  <w:tcW w:w="467" w:type="pct"/>
                  <w:vMerge w:val="continue"/>
                  <w:tcBorders>
                    <w:tl2br w:val="nil"/>
                    <w:tr2bl w:val="nil"/>
                  </w:tcBorders>
                  <w:vAlign w:val="center"/>
                </w:tcPr>
                <w:p w14:paraId="3D6F6BF4">
                  <w:pPr>
                    <w:jc w:val="center"/>
                    <w:rPr>
                      <w:color w:val="auto"/>
                      <w:spacing w:val="-10"/>
                      <w:sz w:val="18"/>
                      <w:szCs w:val="18"/>
                    </w:rPr>
                  </w:pPr>
                </w:p>
              </w:tc>
            </w:tr>
            <w:tr w14:paraId="4FABFF0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97" w:hRule="exact"/>
                <w:jc w:val="center"/>
              </w:trPr>
              <w:tc>
                <w:tcPr>
                  <w:tcW w:w="255" w:type="pct"/>
                  <w:vMerge w:val="continue"/>
                  <w:tcBorders>
                    <w:tl2br w:val="nil"/>
                    <w:tr2bl w:val="nil"/>
                  </w:tcBorders>
                  <w:vAlign w:val="center"/>
                </w:tcPr>
                <w:p w14:paraId="225D9420">
                  <w:pPr>
                    <w:jc w:val="center"/>
                    <w:rPr>
                      <w:color w:val="auto"/>
                      <w:spacing w:val="-10"/>
                      <w:sz w:val="18"/>
                      <w:szCs w:val="18"/>
                    </w:rPr>
                  </w:pPr>
                </w:p>
              </w:tc>
              <w:tc>
                <w:tcPr>
                  <w:tcW w:w="408" w:type="pct"/>
                  <w:vMerge w:val="continue"/>
                  <w:tcBorders>
                    <w:tl2br w:val="nil"/>
                    <w:tr2bl w:val="nil"/>
                  </w:tcBorders>
                  <w:vAlign w:val="center"/>
                </w:tcPr>
                <w:p w14:paraId="66AED7D7">
                  <w:pPr>
                    <w:jc w:val="center"/>
                    <w:rPr>
                      <w:rFonts w:hint="default" w:eastAsia="宋体"/>
                      <w:color w:val="auto"/>
                      <w:spacing w:val="-10"/>
                      <w:sz w:val="18"/>
                      <w:szCs w:val="18"/>
                      <w:lang w:val="en-US" w:eastAsia="zh-CN"/>
                    </w:rPr>
                  </w:pPr>
                </w:p>
              </w:tc>
              <w:tc>
                <w:tcPr>
                  <w:tcW w:w="770" w:type="pct"/>
                  <w:tcBorders>
                    <w:tl2br w:val="nil"/>
                    <w:tr2bl w:val="nil"/>
                  </w:tcBorders>
                  <w:shd w:val="clear" w:color="auto" w:fill="auto"/>
                  <w:vAlign w:val="center"/>
                </w:tcPr>
                <w:p w14:paraId="1107E78D">
                  <w:pPr>
                    <w:jc w:val="center"/>
                    <w:rPr>
                      <w:rFonts w:hint="default" w:ascii="Times New Roman" w:hAnsi="Times New Roman" w:eastAsia="宋体" w:cs="Times New Roman"/>
                      <w:color w:val="auto"/>
                      <w:spacing w:val="-10"/>
                      <w:kern w:val="2"/>
                      <w:sz w:val="18"/>
                      <w:szCs w:val="18"/>
                      <w:lang w:val="en-US" w:eastAsia="zh-CN" w:bidi="ar-SA"/>
                    </w:rPr>
                  </w:pPr>
                  <w:r>
                    <w:rPr>
                      <w:rFonts w:hint="eastAsia" w:cs="Times New Roman"/>
                      <w:color w:val="auto"/>
                      <w:spacing w:val="-10"/>
                      <w:kern w:val="2"/>
                      <w:sz w:val="18"/>
                      <w:szCs w:val="18"/>
                      <w:lang w:val="en-US" w:eastAsia="zh-CN" w:bidi="ar-SA"/>
                    </w:rPr>
                    <w:t>锤式破碎机</w:t>
                  </w:r>
                </w:p>
              </w:tc>
              <w:tc>
                <w:tcPr>
                  <w:tcW w:w="508" w:type="pct"/>
                  <w:tcBorders>
                    <w:tl2br w:val="nil"/>
                    <w:tr2bl w:val="nil"/>
                  </w:tcBorders>
                  <w:shd w:val="clear" w:color="auto" w:fill="auto"/>
                  <w:vAlign w:val="center"/>
                </w:tcPr>
                <w:p w14:paraId="615EC583">
                  <w:pPr>
                    <w:jc w:val="center"/>
                    <w:rPr>
                      <w:rFonts w:hint="eastAsia" w:ascii="Times New Roman" w:hAnsi="Times New Roman" w:eastAsia="宋体" w:cs="Times New Roman"/>
                      <w:color w:val="auto"/>
                      <w:spacing w:val="-10"/>
                      <w:kern w:val="2"/>
                      <w:sz w:val="18"/>
                      <w:szCs w:val="18"/>
                      <w:lang w:val="en-US" w:eastAsia="zh-CN" w:bidi="ar-SA"/>
                    </w:rPr>
                  </w:pPr>
                  <w:r>
                    <w:rPr>
                      <w:rFonts w:hint="eastAsia"/>
                      <w:color w:val="auto"/>
                      <w:spacing w:val="-10"/>
                      <w:sz w:val="18"/>
                      <w:szCs w:val="18"/>
                    </w:rPr>
                    <w:t>颗粒物</w:t>
                  </w:r>
                </w:p>
              </w:tc>
              <w:tc>
                <w:tcPr>
                  <w:tcW w:w="2589" w:type="pct"/>
                  <w:vMerge w:val="continue"/>
                  <w:tcBorders>
                    <w:tl2br w:val="nil"/>
                    <w:tr2bl w:val="nil"/>
                  </w:tcBorders>
                  <w:vAlign w:val="center"/>
                </w:tcPr>
                <w:p w14:paraId="46804442">
                  <w:pPr>
                    <w:jc w:val="center"/>
                    <w:rPr>
                      <w:color w:val="auto"/>
                      <w:spacing w:val="-10"/>
                      <w:sz w:val="18"/>
                      <w:szCs w:val="18"/>
                      <w:highlight w:val="yellow"/>
                    </w:rPr>
                  </w:pPr>
                </w:p>
              </w:tc>
              <w:tc>
                <w:tcPr>
                  <w:tcW w:w="467" w:type="pct"/>
                  <w:vMerge w:val="continue"/>
                  <w:tcBorders>
                    <w:tl2br w:val="nil"/>
                    <w:tr2bl w:val="nil"/>
                  </w:tcBorders>
                  <w:vAlign w:val="center"/>
                </w:tcPr>
                <w:p w14:paraId="7688C8C8">
                  <w:pPr>
                    <w:jc w:val="center"/>
                    <w:rPr>
                      <w:color w:val="auto"/>
                      <w:spacing w:val="-10"/>
                      <w:sz w:val="18"/>
                      <w:szCs w:val="18"/>
                    </w:rPr>
                  </w:pPr>
                </w:p>
              </w:tc>
            </w:tr>
            <w:tr w14:paraId="4A39418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482" w:hRule="exact"/>
                <w:jc w:val="center"/>
              </w:trPr>
              <w:tc>
                <w:tcPr>
                  <w:tcW w:w="255" w:type="pct"/>
                  <w:vMerge w:val="restart"/>
                  <w:tcBorders>
                    <w:tl2br w:val="nil"/>
                    <w:tr2bl w:val="nil"/>
                  </w:tcBorders>
                  <w:vAlign w:val="center"/>
                </w:tcPr>
                <w:p w14:paraId="371163FF">
                  <w:pPr>
                    <w:jc w:val="center"/>
                    <w:rPr>
                      <w:rFonts w:hint="eastAsia" w:eastAsia="宋体"/>
                      <w:color w:val="auto"/>
                      <w:spacing w:val="-10"/>
                      <w:sz w:val="18"/>
                      <w:szCs w:val="18"/>
                      <w:lang w:val="en-US" w:eastAsia="zh-CN"/>
                    </w:rPr>
                  </w:pPr>
                  <w:r>
                    <w:rPr>
                      <w:rFonts w:hint="eastAsia"/>
                      <w:color w:val="auto"/>
                      <w:spacing w:val="-10"/>
                      <w:sz w:val="18"/>
                      <w:szCs w:val="18"/>
                      <w:lang w:val="en-US" w:eastAsia="zh-CN"/>
                    </w:rPr>
                    <w:t>2</w:t>
                  </w:r>
                </w:p>
              </w:tc>
              <w:tc>
                <w:tcPr>
                  <w:tcW w:w="408" w:type="pct"/>
                  <w:vMerge w:val="restart"/>
                  <w:tcBorders>
                    <w:tl2br w:val="nil"/>
                    <w:tr2bl w:val="nil"/>
                  </w:tcBorders>
                  <w:shd w:val="clear" w:color="auto" w:fill="auto"/>
                  <w:vAlign w:val="center"/>
                </w:tcPr>
                <w:p w14:paraId="79A74B37">
                  <w:pPr>
                    <w:tabs>
                      <w:tab w:val="left" w:pos="272"/>
                    </w:tabs>
                    <w:jc w:val="center"/>
                    <w:rPr>
                      <w:rFonts w:hint="eastAsia" w:ascii="Times New Roman" w:hAnsi="Times New Roman" w:eastAsia="宋体" w:cs="Times New Roman"/>
                      <w:color w:val="auto"/>
                      <w:spacing w:val="-10"/>
                      <w:kern w:val="2"/>
                      <w:sz w:val="18"/>
                      <w:szCs w:val="18"/>
                      <w:lang w:val="en-US" w:eastAsia="zh-CN" w:bidi="ar-SA"/>
                    </w:rPr>
                  </w:pPr>
                  <w:r>
                    <w:rPr>
                      <w:rFonts w:hint="eastAsia" w:ascii="Times New Roman" w:hAnsi="Times New Roman" w:eastAsia="宋体" w:cs="Times New Roman"/>
                      <w:color w:val="auto"/>
                      <w:spacing w:val="-10"/>
                      <w:sz w:val="18"/>
                      <w:szCs w:val="18"/>
                      <w:lang w:val="en-US" w:eastAsia="zh-CN"/>
                    </w:rPr>
                    <w:t>废钢破碎尾料分选生产线</w:t>
                  </w:r>
                </w:p>
                <w:p w14:paraId="358C2FD1">
                  <w:pPr>
                    <w:jc w:val="center"/>
                    <w:rPr>
                      <w:color w:val="auto"/>
                      <w:spacing w:val="-10"/>
                      <w:sz w:val="18"/>
                      <w:szCs w:val="18"/>
                    </w:rPr>
                  </w:pPr>
                </w:p>
              </w:tc>
              <w:tc>
                <w:tcPr>
                  <w:tcW w:w="770" w:type="pct"/>
                  <w:tcBorders>
                    <w:tl2br w:val="nil"/>
                    <w:tr2bl w:val="nil"/>
                  </w:tcBorders>
                  <w:shd w:val="clear" w:color="auto" w:fill="auto"/>
                  <w:vAlign w:val="center"/>
                </w:tcPr>
                <w:p w14:paraId="2299402B">
                  <w:pPr>
                    <w:jc w:val="center"/>
                    <w:rPr>
                      <w:rFonts w:hint="eastAsia" w:ascii="Times New Roman" w:hAnsi="Times New Roman" w:eastAsia="宋体" w:cs="Times New Roman"/>
                      <w:color w:val="auto"/>
                      <w:spacing w:val="-10"/>
                      <w:kern w:val="2"/>
                      <w:sz w:val="18"/>
                      <w:szCs w:val="18"/>
                      <w:lang w:val="en-US" w:eastAsia="zh-CN" w:bidi="ar-SA"/>
                    </w:rPr>
                  </w:pPr>
                  <w:r>
                    <w:rPr>
                      <w:rFonts w:hint="eastAsia" w:ascii="Times New Roman" w:hAnsi="Times New Roman" w:eastAsia="宋体" w:cs="Times New Roman"/>
                      <w:color w:val="auto"/>
                      <w:spacing w:val="-10"/>
                      <w:kern w:val="2"/>
                      <w:sz w:val="18"/>
                      <w:szCs w:val="18"/>
                      <w:lang w:val="en-US" w:eastAsia="zh-CN" w:bidi="ar-SA"/>
                    </w:rPr>
                    <w:t>1</w:t>
                  </w:r>
                  <w:r>
                    <w:rPr>
                      <w:rFonts w:hint="eastAsia" w:ascii="Times New Roman" w:hAnsi="Times New Roman" w:eastAsia="宋体" w:cs="Times New Roman"/>
                      <w:color w:val="auto"/>
                      <w:spacing w:val="-10"/>
                      <w:kern w:val="2"/>
                      <w:sz w:val="18"/>
                      <w:szCs w:val="18"/>
                      <w:vertAlign w:val="superscript"/>
                      <w:lang w:val="en-US" w:eastAsia="zh-CN" w:bidi="ar-SA"/>
                    </w:rPr>
                    <w:t>#</w:t>
                  </w:r>
                  <w:r>
                    <w:rPr>
                      <w:rFonts w:hint="eastAsia" w:ascii="Times New Roman" w:hAnsi="Times New Roman" w:eastAsia="宋体" w:cs="Times New Roman"/>
                      <w:color w:val="auto"/>
                      <w:spacing w:val="-10"/>
                      <w:kern w:val="2"/>
                      <w:sz w:val="18"/>
                      <w:szCs w:val="18"/>
                      <w:lang w:val="en-US" w:eastAsia="zh-CN" w:bidi="ar-SA"/>
                    </w:rPr>
                    <w:t>线一次漂洗前上料仓</w:t>
                  </w:r>
                </w:p>
              </w:tc>
              <w:tc>
                <w:tcPr>
                  <w:tcW w:w="508" w:type="pct"/>
                  <w:tcBorders>
                    <w:tl2br w:val="nil"/>
                    <w:tr2bl w:val="nil"/>
                  </w:tcBorders>
                  <w:vAlign w:val="center"/>
                </w:tcPr>
                <w:p w14:paraId="6D511666">
                  <w:pPr>
                    <w:jc w:val="center"/>
                    <w:rPr>
                      <w:rFonts w:hint="eastAsia" w:ascii="Times New Roman" w:hAnsi="Times New Roman" w:eastAsia="宋体" w:cs="Times New Roman"/>
                      <w:color w:val="auto"/>
                      <w:spacing w:val="-10"/>
                      <w:kern w:val="2"/>
                      <w:sz w:val="18"/>
                      <w:szCs w:val="18"/>
                      <w:lang w:val="en-US" w:eastAsia="zh-CN" w:bidi="ar-SA"/>
                    </w:rPr>
                  </w:pPr>
                  <w:r>
                    <w:rPr>
                      <w:rFonts w:hint="eastAsia"/>
                      <w:color w:val="auto"/>
                      <w:spacing w:val="-10"/>
                      <w:sz w:val="18"/>
                      <w:szCs w:val="18"/>
                    </w:rPr>
                    <w:t>颗粒物</w:t>
                  </w:r>
                </w:p>
              </w:tc>
              <w:tc>
                <w:tcPr>
                  <w:tcW w:w="2589" w:type="pct"/>
                  <w:vMerge w:val="restart"/>
                  <w:tcBorders>
                    <w:tl2br w:val="nil"/>
                    <w:tr2bl w:val="nil"/>
                  </w:tcBorders>
                  <w:vAlign w:val="center"/>
                </w:tcPr>
                <w:p w14:paraId="274DCDA0">
                  <w:pPr>
                    <w:jc w:val="center"/>
                    <w:rPr>
                      <w:color w:val="auto"/>
                      <w:spacing w:val="-10"/>
                      <w:sz w:val="18"/>
                      <w:szCs w:val="18"/>
                    </w:rPr>
                  </w:pPr>
                  <w:r>
                    <w:rPr>
                      <w:rFonts w:hint="eastAsia"/>
                      <w:color w:val="auto"/>
                      <w:spacing w:val="-10"/>
                      <w:sz w:val="18"/>
                      <w:szCs w:val="18"/>
                      <w:highlight w:val="none"/>
                      <w:lang w:val="en-US" w:eastAsia="zh-CN"/>
                    </w:rPr>
                    <w:t>上料仓均三面围挡，上方均设集气罩，上料一侧设置软帘，并设感应喷淋装置，上料时进行喷淋；</w:t>
                  </w:r>
                  <w:r>
                    <w:rPr>
                      <w:rFonts w:hint="eastAsia"/>
                      <w:color w:val="auto"/>
                      <w:spacing w:val="-11"/>
                      <w:sz w:val="18"/>
                      <w:szCs w:val="18"/>
                      <w:highlight w:val="none"/>
                      <w:lang w:val="en-US" w:eastAsia="zh-CN"/>
                    </w:rPr>
                    <w:t>滚筒筛</w:t>
                  </w:r>
                  <w:r>
                    <w:rPr>
                      <w:rFonts w:hint="eastAsia"/>
                      <w:color w:val="auto"/>
                      <w:spacing w:val="-11"/>
                      <w:sz w:val="18"/>
                      <w:szCs w:val="18"/>
                      <w:highlight w:val="none"/>
                    </w:rPr>
                    <w:t>全封闭，入料口、出料口设</w:t>
                  </w:r>
                  <w:r>
                    <w:rPr>
                      <w:rFonts w:hint="eastAsia" w:ascii="Times New Roman" w:hAnsi="Times New Roman" w:cs="Times New Roman"/>
                      <w:color w:val="auto"/>
                      <w:spacing w:val="-11"/>
                      <w:sz w:val="18"/>
                      <w:szCs w:val="18"/>
                      <w:highlight w:val="none"/>
                      <w:lang w:val="en-US" w:eastAsia="zh-CN"/>
                    </w:rPr>
                    <w:t>集气</w:t>
                  </w:r>
                  <w:r>
                    <w:rPr>
                      <w:rFonts w:hint="eastAsia"/>
                      <w:color w:val="auto"/>
                      <w:spacing w:val="-11"/>
                      <w:sz w:val="18"/>
                      <w:szCs w:val="18"/>
                      <w:highlight w:val="none"/>
                    </w:rPr>
                    <w:t>管</w:t>
                  </w:r>
                  <w:r>
                    <w:rPr>
                      <w:rFonts w:hint="eastAsia"/>
                      <w:color w:val="auto"/>
                      <w:spacing w:val="-11"/>
                      <w:sz w:val="18"/>
                      <w:szCs w:val="18"/>
                      <w:highlight w:val="none"/>
                      <w:lang w:eastAsia="zh-CN"/>
                    </w:rPr>
                    <w:t>；</w:t>
                  </w:r>
                  <w:r>
                    <w:rPr>
                      <w:rFonts w:hint="eastAsia"/>
                      <w:color w:val="auto"/>
                      <w:spacing w:val="-11"/>
                      <w:sz w:val="18"/>
                      <w:szCs w:val="18"/>
                      <w:highlight w:val="none"/>
                      <w:lang w:val="en-US" w:eastAsia="zh-CN"/>
                    </w:rPr>
                    <w:t>空气分选机入料口、出料口设集气罩</w:t>
                  </w:r>
                  <w:r>
                    <w:rPr>
                      <w:rFonts w:hint="eastAsia"/>
                      <w:color w:val="auto"/>
                      <w:spacing w:val="-10"/>
                      <w:sz w:val="18"/>
                      <w:szCs w:val="18"/>
                      <w:highlight w:val="none"/>
                      <w:lang w:val="en-US" w:eastAsia="zh-CN"/>
                    </w:rPr>
                    <w:t>，将废气收集后通过集尘管</w:t>
                  </w:r>
                  <w:r>
                    <w:rPr>
                      <w:rFonts w:hint="default" w:ascii="Times New Roman" w:hAnsi="Times New Roman" w:eastAsia="宋体" w:cs="Times New Roman"/>
                      <w:color w:val="auto"/>
                      <w:spacing w:val="-10"/>
                      <w:sz w:val="18"/>
                      <w:szCs w:val="18"/>
                      <w:highlight w:val="none"/>
                      <w:lang w:val="en-US" w:eastAsia="zh-CN"/>
                    </w:rPr>
                    <w:t>道引入</w:t>
                  </w:r>
                  <w:r>
                    <w:rPr>
                      <w:rFonts w:hint="eastAsia" w:ascii="Times New Roman" w:hAnsi="Times New Roman" w:eastAsia="宋体" w:cs="Times New Roman"/>
                      <w:color w:val="auto"/>
                      <w:spacing w:val="-10"/>
                      <w:sz w:val="18"/>
                      <w:szCs w:val="18"/>
                      <w:highlight w:val="none"/>
                      <w:lang w:val="en-US" w:eastAsia="zh-CN"/>
                    </w:rPr>
                    <w:t>脉冲布袋除尘器处理后，通过15m高排气筒</w:t>
                  </w:r>
                  <w:r>
                    <w:rPr>
                      <w:rFonts w:hint="eastAsia"/>
                      <w:color w:val="auto"/>
                      <w:spacing w:val="-10"/>
                      <w:sz w:val="18"/>
                      <w:szCs w:val="18"/>
                      <w:highlight w:val="none"/>
                    </w:rPr>
                    <w:t>（DA00</w:t>
                  </w:r>
                  <w:r>
                    <w:rPr>
                      <w:rFonts w:hint="eastAsia"/>
                      <w:color w:val="auto"/>
                      <w:spacing w:val="-10"/>
                      <w:sz w:val="18"/>
                      <w:szCs w:val="18"/>
                      <w:highlight w:val="none"/>
                      <w:lang w:val="en-US" w:eastAsia="zh-CN"/>
                    </w:rPr>
                    <w:t>2</w:t>
                  </w:r>
                  <w:r>
                    <w:rPr>
                      <w:rFonts w:hint="eastAsia"/>
                      <w:color w:val="auto"/>
                      <w:spacing w:val="-10"/>
                      <w:sz w:val="18"/>
                      <w:szCs w:val="18"/>
                      <w:highlight w:val="none"/>
                    </w:rPr>
                    <w:t>）</w:t>
                  </w:r>
                  <w:r>
                    <w:rPr>
                      <w:rFonts w:hint="eastAsia" w:ascii="Times New Roman" w:hAnsi="Times New Roman" w:eastAsia="宋体" w:cs="Times New Roman"/>
                      <w:color w:val="auto"/>
                      <w:spacing w:val="-10"/>
                      <w:sz w:val="18"/>
                      <w:szCs w:val="18"/>
                      <w:highlight w:val="none"/>
                      <w:lang w:val="en-US" w:eastAsia="zh-CN"/>
                    </w:rPr>
                    <w:t>排放</w:t>
                  </w:r>
                </w:p>
              </w:tc>
              <w:tc>
                <w:tcPr>
                  <w:tcW w:w="467" w:type="pct"/>
                  <w:vMerge w:val="continue"/>
                  <w:tcBorders>
                    <w:tl2br w:val="nil"/>
                    <w:tr2bl w:val="nil"/>
                  </w:tcBorders>
                  <w:vAlign w:val="center"/>
                </w:tcPr>
                <w:p w14:paraId="3DD655D3">
                  <w:pPr>
                    <w:jc w:val="center"/>
                    <w:rPr>
                      <w:color w:val="auto"/>
                      <w:spacing w:val="-10"/>
                      <w:sz w:val="18"/>
                      <w:szCs w:val="18"/>
                    </w:rPr>
                  </w:pPr>
                </w:p>
              </w:tc>
            </w:tr>
            <w:tr w14:paraId="37A1F64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17" w:hRule="exact"/>
                <w:jc w:val="center"/>
              </w:trPr>
              <w:tc>
                <w:tcPr>
                  <w:tcW w:w="255" w:type="pct"/>
                  <w:vMerge w:val="continue"/>
                  <w:tcBorders>
                    <w:tl2br w:val="nil"/>
                    <w:tr2bl w:val="nil"/>
                  </w:tcBorders>
                  <w:vAlign w:val="center"/>
                </w:tcPr>
                <w:p w14:paraId="7C7BE562">
                  <w:pPr>
                    <w:jc w:val="center"/>
                    <w:rPr>
                      <w:rFonts w:hint="eastAsia"/>
                      <w:color w:val="auto"/>
                      <w:spacing w:val="-10"/>
                      <w:sz w:val="18"/>
                      <w:szCs w:val="18"/>
                      <w:lang w:val="en-US" w:eastAsia="zh-CN"/>
                    </w:rPr>
                  </w:pPr>
                </w:p>
              </w:tc>
              <w:tc>
                <w:tcPr>
                  <w:tcW w:w="408" w:type="pct"/>
                  <w:vMerge w:val="continue"/>
                  <w:tcBorders>
                    <w:tl2br w:val="nil"/>
                    <w:tr2bl w:val="nil"/>
                  </w:tcBorders>
                  <w:shd w:val="clear" w:color="auto" w:fill="auto"/>
                  <w:vAlign w:val="center"/>
                </w:tcPr>
                <w:p w14:paraId="7CCF15F7">
                  <w:pPr>
                    <w:jc w:val="center"/>
                    <w:rPr>
                      <w:color w:val="auto"/>
                      <w:spacing w:val="-10"/>
                      <w:sz w:val="18"/>
                      <w:szCs w:val="18"/>
                    </w:rPr>
                  </w:pPr>
                </w:p>
              </w:tc>
              <w:tc>
                <w:tcPr>
                  <w:tcW w:w="770" w:type="pct"/>
                  <w:tcBorders>
                    <w:tl2br w:val="nil"/>
                    <w:tr2bl w:val="nil"/>
                  </w:tcBorders>
                  <w:shd w:val="clear" w:color="auto" w:fill="auto"/>
                  <w:vAlign w:val="center"/>
                </w:tcPr>
                <w:p w14:paraId="78085929">
                  <w:pPr>
                    <w:jc w:val="center"/>
                    <w:rPr>
                      <w:rFonts w:hint="eastAsia" w:ascii="Times New Roman" w:hAnsi="Times New Roman" w:eastAsia="宋体" w:cs="Times New Roman"/>
                      <w:color w:val="auto"/>
                      <w:spacing w:val="-10"/>
                      <w:kern w:val="2"/>
                      <w:sz w:val="18"/>
                      <w:szCs w:val="18"/>
                      <w:highlight w:val="none"/>
                      <w:lang w:val="en-US" w:eastAsia="zh-CN" w:bidi="ar-SA"/>
                    </w:rPr>
                  </w:pPr>
                  <w:r>
                    <w:rPr>
                      <w:rFonts w:hint="eastAsia" w:cs="Times New Roman"/>
                      <w:color w:val="auto"/>
                      <w:spacing w:val="-10"/>
                      <w:kern w:val="2"/>
                      <w:sz w:val="18"/>
                      <w:szCs w:val="18"/>
                      <w:highlight w:val="none"/>
                      <w:lang w:val="en-US" w:eastAsia="zh-CN" w:bidi="ar-SA"/>
                    </w:rPr>
                    <w:t>1</w:t>
                  </w:r>
                  <w:r>
                    <w:rPr>
                      <w:rFonts w:hint="eastAsia" w:cs="Times New Roman"/>
                      <w:color w:val="auto"/>
                      <w:spacing w:val="-10"/>
                      <w:kern w:val="2"/>
                      <w:sz w:val="18"/>
                      <w:szCs w:val="18"/>
                      <w:highlight w:val="none"/>
                      <w:vertAlign w:val="superscript"/>
                      <w:lang w:val="en-US" w:eastAsia="zh-CN" w:bidi="ar-SA"/>
                    </w:rPr>
                    <w:t>#</w:t>
                  </w:r>
                  <w:r>
                    <w:rPr>
                      <w:rFonts w:hint="eastAsia" w:cs="Times New Roman"/>
                      <w:color w:val="auto"/>
                      <w:spacing w:val="-10"/>
                      <w:kern w:val="2"/>
                      <w:sz w:val="18"/>
                      <w:szCs w:val="18"/>
                      <w:highlight w:val="none"/>
                      <w:lang w:val="en-US" w:eastAsia="zh-CN" w:bidi="ar-SA"/>
                    </w:rPr>
                    <w:t>线滚筒筛</w:t>
                  </w:r>
                </w:p>
              </w:tc>
              <w:tc>
                <w:tcPr>
                  <w:tcW w:w="508" w:type="pct"/>
                  <w:tcBorders>
                    <w:tl2br w:val="nil"/>
                    <w:tr2bl w:val="nil"/>
                  </w:tcBorders>
                  <w:shd w:val="clear" w:color="auto" w:fill="auto"/>
                  <w:vAlign w:val="center"/>
                </w:tcPr>
                <w:p w14:paraId="515C1381">
                  <w:pPr>
                    <w:jc w:val="center"/>
                    <w:rPr>
                      <w:rFonts w:hint="eastAsia" w:ascii="Times New Roman" w:hAnsi="Times New Roman" w:eastAsia="宋体" w:cs="Times New Roman"/>
                      <w:color w:val="auto"/>
                      <w:spacing w:val="-10"/>
                      <w:kern w:val="2"/>
                      <w:sz w:val="18"/>
                      <w:szCs w:val="18"/>
                      <w:lang w:val="en-US" w:eastAsia="zh-CN" w:bidi="ar-SA"/>
                    </w:rPr>
                  </w:pPr>
                  <w:r>
                    <w:rPr>
                      <w:rFonts w:hint="eastAsia"/>
                      <w:color w:val="auto"/>
                      <w:spacing w:val="-10"/>
                      <w:sz w:val="18"/>
                      <w:szCs w:val="18"/>
                    </w:rPr>
                    <w:t>颗粒物</w:t>
                  </w:r>
                </w:p>
              </w:tc>
              <w:tc>
                <w:tcPr>
                  <w:tcW w:w="2589" w:type="pct"/>
                  <w:vMerge w:val="continue"/>
                  <w:tcBorders>
                    <w:tl2br w:val="nil"/>
                    <w:tr2bl w:val="nil"/>
                  </w:tcBorders>
                  <w:vAlign w:val="center"/>
                </w:tcPr>
                <w:p w14:paraId="7DB38F14">
                  <w:pPr>
                    <w:jc w:val="center"/>
                    <w:rPr>
                      <w:rFonts w:hint="eastAsia"/>
                      <w:color w:val="auto"/>
                      <w:spacing w:val="-10"/>
                      <w:sz w:val="18"/>
                      <w:szCs w:val="18"/>
                      <w:highlight w:val="none"/>
                      <w:lang w:val="en-US" w:eastAsia="zh-CN"/>
                    </w:rPr>
                  </w:pPr>
                </w:p>
              </w:tc>
              <w:tc>
                <w:tcPr>
                  <w:tcW w:w="467" w:type="pct"/>
                  <w:vMerge w:val="continue"/>
                  <w:tcBorders>
                    <w:tl2br w:val="nil"/>
                    <w:tr2bl w:val="nil"/>
                  </w:tcBorders>
                  <w:vAlign w:val="center"/>
                </w:tcPr>
                <w:p w14:paraId="75E867BD">
                  <w:pPr>
                    <w:jc w:val="center"/>
                    <w:rPr>
                      <w:color w:val="auto"/>
                      <w:spacing w:val="-10"/>
                      <w:sz w:val="18"/>
                      <w:szCs w:val="18"/>
                    </w:rPr>
                  </w:pPr>
                </w:p>
              </w:tc>
            </w:tr>
            <w:tr w14:paraId="294FEA9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17" w:hRule="exact"/>
                <w:jc w:val="center"/>
              </w:trPr>
              <w:tc>
                <w:tcPr>
                  <w:tcW w:w="255" w:type="pct"/>
                  <w:vMerge w:val="continue"/>
                  <w:tcBorders>
                    <w:tl2br w:val="nil"/>
                    <w:tr2bl w:val="nil"/>
                  </w:tcBorders>
                  <w:vAlign w:val="center"/>
                </w:tcPr>
                <w:p w14:paraId="7C1D9A60">
                  <w:pPr>
                    <w:jc w:val="center"/>
                    <w:rPr>
                      <w:rFonts w:hint="eastAsia"/>
                      <w:color w:val="auto"/>
                      <w:spacing w:val="-10"/>
                      <w:sz w:val="18"/>
                      <w:szCs w:val="18"/>
                      <w:lang w:val="en-US" w:eastAsia="zh-CN"/>
                    </w:rPr>
                  </w:pPr>
                </w:p>
              </w:tc>
              <w:tc>
                <w:tcPr>
                  <w:tcW w:w="408" w:type="pct"/>
                  <w:vMerge w:val="continue"/>
                  <w:tcBorders>
                    <w:tl2br w:val="nil"/>
                    <w:tr2bl w:val="nil"/>
                  </w:tcBorders>
                  <w:shd w:val="clear" w:color="auto" w:fill="auto"/>
                  <w:vAlign w:val="center"/>
                </w:tcPr>
                <w:p w14:paraId="68819CA3">
                  <w:pPr>
                    <w:jc w:val="center"/>
                    <w:rPr>
                      <w:color w:val="auto"/>
                      <w:spacing w:val="-10"/>
                      <w:sz w:val="18"/>
                      <w:szCs w:val="18"/>
                    </w:rPr>
                  </w:pPr>
                </w:p>
              </w:tc>
              <w:tc>
                <w:tcPr>
                  <w:tcW w:w="770" w:type="pct"/>
                  <w:tcBorders>
                    <w:tl2br w:val="nil"/>
                    <w:tr2bl w:val="nil"/>
                  </w:tcBorders>
                  <w:shd w:val="clear" w:color="auto" w:fill="auto"/>
                  <w:vAlign w:val="center"/>
                </w:tcPr>
                <w:p w14:paraId="34591AC4">
                  <w:pPr>
                    <w:jc w:val="center"/>
                    <w:rPr>
                      <w:rFonts w:hint="eastAsia" w:ascii="Times New Roman" w:hAnsi="Times New Roman" w:eastAsia="宋体" w:cs="Times New Roman"/>
                      <w:color w:val="auto"/>
                      <w:spacing w:val="-10"/>
                      <w:kern w:val="2"/>
                      <w:sz w:val="18"/>
                      <w:szCs w:val="18"/>
                      <w:highlight w:val="none"/>
                      <w:lang w:val="en-US" w:eastAsia="zh-CN" w:bidi="ar-SA"/>
                    </w:rPr>
                  </w:pPr>
                  <w:r>
                    <w:rPr>
                      <w:rFonts w:hint="eastAsia" w:cs="Times New Roman"/>
                      <w:color w:val="auto"/>
                      <w:spacing w:val="-10"/>
                      <w:kern w:val="2"/>
                      <w:sz w:val="18"/>
                      <w:szCs w:val="18"/>
                      <w:highlight w:val="none"/>
                      <w:lang w:val="en-US" w:eastAsia="zh-CN" w:bidi="ar-SA"/>
                    </w:rPr>
                    <w:t>1</w:t>
                  </w:r>
                  <w:r>
                    <w:rPr>
                      <w:rFonts w:hint="eastAsia" w:cs="Times New Roman"/>
                      <w:color w:val="auto"/>
                      <w:spacing w:val="-10"/>
                      <w:kern w:val="2"/>
                      <w:sz w:val="18"/>
                      <w:szCs w:val="18"/>
                      <w:highlight w:val="none"/>
                      <w:vertAlign w:val="superscript"/>
                      <w:lang w:val="en-US" w:eastAsia="zh-CN" w:bidi="ar-SA"/>
                    </w:rPr>
                    <w:t>#</w:t>
                  </w:r>
                  <w:r>
                    <w:rPr>
                      <w:rFonts w:hint="eastAsia" w:cs="Times New Roman"/>
                      <w:color w:val="auto"/>
                      <w:spacing w:val="-10"/>
                      <w:kern w:val="2"/>
                      <w:sz w:val="18"/>
                      <w:szCs w:val="18"/>
                      <w:highlight w:val="none"/>
                      <w:lang w:val="en-US" w:eastAsia="zh-CN" w:bidi="ar-SA"/>
                    </w:rPr>
                    <w:t>空气分选机</w:t>
                  </w:r>
                </w:p>
              </w:tc>
              <w:tc>
                <w:tcPr>
                  <w:tcW w:w="508" w:type="pct"/>
                  <w:tcBorders>
                    <w:tl2br w:val="nil"/>
                    <w:tr2bl w:val="nil"/>
                  </w:tcBorders>
                  <w:shd w:val="clear" w:color="auto" w:fill="auto"/>
                  <w:vAlign w:val="center"/>
                </w:tcPr>
                <w:p w14:paraId="63C11EB3">
                  <w:pPr>
                    <w:jc w:val="center"/>
                    <w:rPr>
                      <w:rFonts w:hint="eastAsia" w:ascii="Times New Roman" w:hAnsi="Times New Roman" w:eastAsia="宋体" w:cs="Times New Roman"/>
                      <w:color w:val="auto"/>
                      <w:spacing w:val="-10"/>
                      <w:kern w:val="2"/>
                      <w:sz w:val="18"/>
                      <w:szCs w:val="18"/>
                      <w:lang w:val="en-US" w:eastAsia="zh-CN" w:bidi="ar-SA"/>
                    </w:rPr>
                  </w:pPr>
                  <w:r>
                    <w:rPr>
                      <w:rFonts w:hint="eastAsia"/>
                      <w:color w:val="auto"/>
                      <w:spacing w:val="-10"/>
                      <w:sz w:val="18"/>
                      <w:szCs w:val="18"/>
                    </w:rPr>
                    <w:t>颗粒物</w:t>
                  </w:r>
                </w:p>
              </w:tc>
              <w:tc>
                <w:tcPr>
                  <w:tcW w:w="2589" w:type="pct"/>
                  <w:vMerge w:val="continue"/>
                  <w:tcBorders>
                    <w:tl2br w:val="nil"/>
                    <w:tr2bl w:val="nil"/>
                  </w:tcBorders>
                  <w:vAlign w:val="center"/>
                </w:tcPr>
                <w:p w14:paraId="3D16C190">
                  <w:pPr>
                    <w:jc w:val="center"/>
                    <w:rPr>
                      <w:rFonts w:hint="eastAsia"/>
                      <w:color w:val="auto"/>
                      <w:spacing w:val="-10"/>
                      <w:sz w:val="18"/>
                      <w:szCs w:val="18"/>
                      <w:highlight w:val="none"/>
                      <w:lang w:val="en-US" w:eastAsia="zh-CN"/>
                    </w:rPr>
                  </w:pPr>
                </w:p>
              </w:tc>
              <w:tc>
                <w:tcPr>
                  <w:tcW w:w="467" w:type="pct"/>
                  <w:vMerge w:val="continue"/>
                  <w:tcBorders>
                    <w:tl2br w:val="nil"/>
                    <w:tr2bl w:val="nil"/>
                  </w:tcBorders>
                  <w:vAlign w:val="center"/>
                </w:tcPr>
                <w:p w14:paraId="1EE15816">
                  <w:pPr>
                    <w:jc w:val="center"/>
                    <w:rPr>
                      <w:color w:val="auto"/>
                      <w:spacing w:val="-10"/>
                      <w:sz w:val="18"/>
                      <w:szCs w:val="18"/>
                    </w:rPr>
                  </w:pPr>
                </w:p>
              </w:tc>
            </w:tr>
            <w:tr w14:paraId="706A117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492" w:hRule="exact"/>
                <w:jc w:val="center"/>
              </w:trPr>
              <w:tc>
                <w:tcPr>
                  <w:tcW w:w="255" w:type="pct"/>
                  <w:vMerge w:val="continue"/>
                  <w:tcBorders>
                    <w:tl2br w:val="nil"/>
                    <w:tr2bl w:val="nil"/>
                  </w:tcBorders>
                  <w:vAlign w:val="center"/>
                </w:tcPr>
                <w:p w14:paraId="00DCBBC6">
                  <w:pPr>
                    <w:jc w:val="center"/>
                    <w:rPr>
                      <w:color w:val="auto"/>
                      <w:spacing w:val="-10"/>
                      <w:sz w:val="18"/>
                      <w:szCs w:val="18"/>
                    </w:rPr>
                  </w:pPr>
                </w:p>
              </w:tc>
              <w:tc>
                <w:tcPr>
                  <w:tcW w:w="408" w:type="pct"/>
                  <w:vMerge w:val="continue"/>
                  <w:tcBorders>
                    <w:tl2br w:val="nil"/>
                    <w:tr2bl w:val="nil"/>
                  </w:tcBorders>
                  <w:vAlign w:val="center"/>
                </w:tcPr>
                <w:p w14:paraId="2E84C267">
                  <w:pPr>
                    <w:jc w:val="center"/>
                    <w:rPr>
                      <w:color w:val="auto"/>
                      <w:spacing w:val="-10"/>
                      <w:sz w:val="18"/>
                      <w:szCs w:val="18"/>
                    </w:rPr>
                  </w:pPr>
                </w:p>
              </w:tc>
              <w:tc>
                <w:tcPr>
                  <w:tcW w:w="770" w:type="pct"/>
                  <w:tcBorders>
                    <w:tl2br w:val="nil"/>
                    <w:tr2bl w:val="nil"/>
                  </w:tcBorders>
                  <w:shd w:val="clear" w:color="auto" w:fill="auto"/>
                  <w:vAlign w:val="center"/>
                </w:tcPr>
                <w:p w14:paraId="1E5B11B9">
                  <w:pPr>
                    <w:jc w:val="center"/>
                    <w:rPr>
                      <w:rFonts w:hint="eastAsia" w:ascii="Times New Roman" w:hAnsi="Times New Roman" w:eastAsia="宋体" w:cs="Times New Roman"/>
                      <w:color w:val="auto"/>
                      <w:spacing w:val="-10"/>
                      <w:kern w:val="2"/>
                      <w:sz w:val="18"/>
                      <w:szCs w:val="18"/>
                      <w:lang w:val="en-US" w:eastAsia="zh-CN" w:bidi="ar-SA"/>
                    </w:rPr>
                  </w:pPr>
                  <w:r>
                    <w:rPr>
                      <w:rFonts w:hint="eastAsia" w:ascii="Times New Roman" w:hAnsi="Times New Roman" w:eastAsia="宋体" w:cs="Times New Roman"/>
                      <w:color w:val="auto"/>
                      <w:spacing w:val="-10"/>
                      <w:kern w:val="2"/>
                      <w:sz w:val="18"/>
                      <w:szCs w:val="18"/>
                      <w:lang w:val="en-US" w:eastAsia="zh-CN" w:bidi="ar-SA"/>
                    </w:rPr>
                    <w:t>2</w:t>
                  </w:r>
                  <w:r>
                    <w:rPr>
                      <w:rFonts w:hint="eastAsia" w:ascii="Times New Roman" w:hAnsi="Times New Roman" w:eastAsia="宋体" w:cs="Times New Roman"/>
                      <w:color w:val="auto"/>
                      <w:spacing w:val="-10"/>
                      <w:kern w:val="2"/>
                      <w:sz w:val="18"/>
                      <w:szCs w:val="18"/>
                      <w:vertAlign w:val="superscript"/>
                      <w:lang w:val="en-US" w:eastAsia="zh-CN" w:bidi="ar-SA"/>
                    </w:rPr>
                    <w:t>#</w:t>
                  </w:r>
                  <w:r>
                    <w:rPr>
                      <w:rFonts w:hint="eastAsia" w:ascii="Times New Roman" w:hAnsi="Times New Roman" w:eastAsia="宋体" w:cs="Times New Roman"/>
                      <w:color w:val="auto"/>
                      <w:spacing w:val="-10"/>
                      <w:kern w:val="2"/>
                      <w:sz w:val="18"/>
                      <w:szCs w:val="18"/>
                      <w:lang w:val="en-US" w:eastAsia="zh-CN" w:bidi="ar-SA"/>
                    </w:rPr>
                    <w:t>线一次漂洗前上料仓</w:t>
                  </w:r>
                </w:p>
              </w:tc>
              <w:tc>
                <w:tcPr>
                  <w:tcW w:w="508" w:type="pct"/>
                  <w:tcBorders>
                    <w:tl2br w:val="nil"/>
                    <w:tr2bl w:val="nil"/>
                  </w:tcBorders>
                  <w:vAlign w:val="center"/>
                </w:tcPr>
                <w:p w14:paraId="56E0FCF0">
                  <w:pPr>
                    <w:jc w:val="center"/>
                    <w:rPr>
                      <w:rFonts w:hint="eastAsia" w:ascii="Times New Roman" w:hAnsi="Times New Roman" w:eastAsia="宋体" w:cs="Times New Roman"/>
                      <w:color w:val="auto"/>
                      <w:spacing w:val="-10"/>
                      <w:kern w:val="2"/>
                      <w:sz w:val="18"/>
                      <w:szCs w:val="18"/>
                      <w:lang w:val="en-US" w:eastAsia="zh-CN" w:bidi="ar-SA"/>
                    </w:rPr>
                  </w:pPr>
                  <w:r>
                    <w:rPr>
                      <w:rFonts w:hint="eastAsia"/>
                      <w:color w:val="auto"/>
                      <w:spacing w:val="-10"/>
                      <w:sz w:val="18"/>
                      <w:szCs w:val="18"/>
                    </w:rPr>
                    <w:t>颗粒物</w:t>
                  </w:r>
                </w:p>
              </w:tc>
              <w:tc>
                <w:tcPr>
                  <w:tcW w:w="2589" w:type="pct"/>
                  <w:vMerge w:val="continue"/>
                  <w:tcBorders>
                    <w:tl2br w:val="nil"/>
                    <w:tr2bl w:val="nil"/>
                  </w:tcBorders>
                  <w:vAlign w:val="center"/>
                </w:tcPr>
                <w:p w14:paraId="6233E2AD">
                  <w:pPr>
                    <w:jc w:val="center"/>
                    <w:rPr>
                      <w:color w:val="auto"/>
                      <w:spacing w:val="-10"/>
                      <w:sz w:val="18"/>
                      <w:szCs w:val="18"/>
                    </w:rPr>
                  </w:pPr>
                </w:p>
              </w:tc>
              <w:tc>
                <w:tcPr>
                  <w:tcW w:w="467" w:type="pct"/>
                  <w:vMerge w:val="continue"/>
                  <w:tcBorders>
                    <w:tl2br w:val="nil"/>
                    <w:tr2bl w:val="nil"/>
                  </w:tcBorders>
                  <w:vAlign w:val="center"/>
                </w:tcPr>
                <w:p w14:paraId="5213F842">
                  <w:pPr>
                    <w:jc w:val="center"/>
                    <w:rPr>
                      <w:color w:val="auto"/>
                      <w:spacing w:val="-10"/>
                      <w:sz w:val="18"/>
                      <w:szCs w:val="18"/>
                    </w:rPr>
                  </w:pPr>
                </w:p>
              </w:tc>
            </w:tr>
            <w:tr w14:paraId="4B79808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16" w:hRule="exact"/>
                <w:jc w:val="center"/>
              </w:trPr>
              <w:tc>
                <w:tcPr>
                  <w:tcW w:w="255" w:type="pct"/>
                  <w:vMerge w:val="continue"/>
                  <w:tcBorders>
                    <w:tl2br w:val="nil"/>
                    <w:tr2bl w:val="nil"/>
                  </w:tcBorders>
                  <w:vAlign w:val="center"/>
                </w:tcPr>
                <w:p w14:paraId="4E53D56A">
                  <w:pPr>
                    <w:jc w:val="center"/>
                    <w:rPr>
                      <w:color w:val="auto"/>
                      <w:spacing w:val="-10"/>
                      <w:sz w:val="18"/>
                      <w:szCs w:val="18"/>
                    </w:rPr>
                  </w:pPr>
                </w:p>
              </w:tc>
              <w:tc>
                <w:tcPr>
                  <w:tcW w:w="408" w:type="pct"/>
                  <w:vMerge w:val="continue"/>
                  <w:tcBorders>
                    <w:tl2br w:val="nil"/>
                    <w:tr2bl w:val="nil"/>
                  </w:tcBorders>
                  <w:vAlign w:val="center"/>
                </w:tcPr>
                <w:p w14:paraId="575AE5B8">
                  <w:pPr>
                    <w:jc w:val="center"/>
                    <w:rPr>
                      <w:color w:val="auto"/>
                      <w:spacing w:val="-10"/>
                      <w:sz w:val="18"/>
                      <w:szCs w:val="18"/>
                    </w:rPr>
                  </w:pPr>
                </w:p>
              </w:tc>
              <w:tc>
                <w:tcPr>
                  <w:tcW w:w="770" w:type="pct"/>
                  <w:tcBorders>
                    <w:tl2br w:val="nil"/>
                    <w:tr2bl w:val="nil"/>
                  </w:tcBorders>
                  <w:shd w:val="clear" w:color="auto" w:fill="auto"/>
                  <w:vAlign w:val="center"/>
                </w:tcPr>
                <w:p w14:paraId="7C38B5F9">
                  <w:pPr>
                    <w:jc w:val="center"/>
                    <w:rPr>
                      <w:rFonts w:hint="eastAsia" w:ascii="Times New Roman" w:hAnsi="Times New Roman" w:eastAsia="宋体" w:cs="Times New Roman"/>
                      <w:color w:val="auto"/>
                      <w:spacing w:val="-10"/>
                      <w:kern w:val="2"/>
                      <w:sz w:val="18"/>
                      <w:szCs w:val="18"/>
                      <w:highlight w:val="none"/>
                      <w:lang w:val="en-US" w:eastAsia="zh-CN" w:bidi="ar-SA"/>
                    </w:rPr>
                  </w:pPr>
                  <w:r>
                    <w:rPr>
                      <w:rFonts w:hint="eastAsia" w:cs="Times New Roman"/>
                      <w:color w:val="auto"/>
                      <w:spacing w:val="-10"/>
                      <w:kern w:val="2"/>
                      <w:sz w:val="18"/>
                      <w:szCs w:val="18"/>
                      <w:highlight w:val="none"/>
                      <w:lang w:val="en-US" w:eastAsia="zh-CN" w:bidi="ar-SA"/>
                    </w:rPr>
                    <w:t>2</w:t>
                  </w:r>
                  <w:r>
                    <w:rPr>
                      <w:rFonts w:hint="eastAsia" w:cs="Times New Roman"/>
                      <w:color w:val="auto"/>
                      <w:spacing w:val="-10"/>
                      <w:kern w:val="2"/>
                      <w:sz w:val="18"/>
                      <w:szCs w:val="18"/>
                      <w:highlight w:val="none"/>
                      <w:vertAlign w:val="superscript"/>
                      <w:lang w:val="en-US" w:eastAsia="zh-CN" w:bidi="ar-SA"/>
                    </w:rPr>
                    <w:t>#</w:t>
                  </w:r>
                  <w:r>
                    <w:rPr>
                      <w:rFonts w:hint="eastAsia" w:cs="Times New Roman"/>
                      <w:color w:val="auto"/>
                      <w:spacing w:val="-10"/>
                      <w:kern w:val="2"/>
                      <w:sz w:val="18"/>
                      <w:szCs w:val="18"/>
                      <w:highlight w:val="none"/>
                      <w:lang w:val="en-US" w:eastAsia="zh-CN" w:bidi="ar-SA"/>
                    </w:rPr>
                    <w:t>线滚筒筛</w:t>
                  </w:r>
                </w:p>
              </w:tc>
              <w:tc>
                <w:tcPr>
                  <w:tcW w:w="508" w:type="pct"/>
                  <w:tcBorders>
                    <w:tl2br w:val="nil"/>
                    <w:tr2bl w:val="nil"/>
                  </w:tcBorders>
                  <w:vAlign w:val="center"/>
                </w:tcPr>
                <w:p w14:paraId="20E97A3E">
                  <w:pPr>
                    <w:jc w:val="center"/>
                    <w:rPr>
                      <w:rFonts w:hint="eastAsia"/>
                      <w:color w:val="auto"/>
                      <w:spacing w:val="-10"/>
                      <w:sz w:val="18"/>
                      <w:szCs w:val="18"/>
                    </w:rPr>
                  </w:pPr>
                  <w:r>
                    <w:rPr>
                      <w:rFonts w:hint="eastAsia"/>
                      <w:color w:val="auto"/>
                      <w:spacing w:val="-10"/>
                      <w:sz w:val="18"/>
                      <w:szCs w:val="18"/>
                    </w:rPr>
                    <w:t>颗粒物</w:t>
                  </w:r>
                </w:p>
              </w:tc>
              <w:tc>
                <w:tcPr>
                  <w:tcW w:w="2589" w:type="pct"/>
                  <w:vMerge w:val="continue"/>
                  <w:tcBorders>
                    <w:tl2br w:val="nil"/>
                    <w:tr2bl w:val="nil"/>
                  </w:tcBorders>
                  <w:vAlign w:val="center"/>
                </w:tcPr>
                <w:p w14:paraId="2353C34E">
                  <w:pPr>
                    <w:jc w:val="center"/>
                    <w:rPr>
                      <w:color w:val="auto"/>
                      <w:spacing w:val="-10"/>
                      <w:sz w:val="18"/>
                      <w:szCs w:val="18"/>
                    </w:rPr>
                  </w:pPr>
                </w:p>
              </w:tc>
              <w:tc>
                <w:tcPr>
                  <w:tcW w:w="467" w:type="pct"/>
                  <w:vMerge w:val="continue"/>
                  <w:tcBorders>
                    <w:tl2br w:val="nil"/>
                    <w:tr2bl w:val="nil"/>
                  </w:tcBorders>
                  <w:vAlign w:val="center"/>
                </w:tcPr>
                <w:p w14:paraId="13D13EF9">
                  <w:pPr>
                    <w:jc w:val="center"/>
                    <w:rPr>
                      <w:color w:val="auto"/>
                      <w:spacing w:val="-10"/>
                      <w:sz w:val="18"/>
                      <w:szCs w:val="18"/>
                    </w:rPr>
                  </w:pPr>
                </w:p>
              </w:tc>
            </w:tr>
            <w:tr w14:paraId="24BB6D8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404" w:hRule="exact"/>
                <w:jc w:val="center"/>
              </w:trPr>
              <w:tc>
                <w:tcPr>
                  <w:tcW w:w="255" w:type="pct"/>
                  <w:vMerge w:val="continue"/>
                  <w:tcBorders>
                    <w:tl2br w:val="nil"/>
                    <w:tr2bl w:val="nil"/>
                  </w:tcBorders>
                  <w:vAlign w:val="center"/>
                </w:tcPr>
                <w:p w14:paraId="38CD6814">
                  <w:pPr>
                    <w:jc w:val="center"/>
                    <w:rPr>
                      <w:color w:val="auto"/>
                      <w:spacing w:val="-10"/>
                      <w:sz w:val="18"/>
                      <w:szCs w:val="18"/>
                    </w:rPr>
                  </w:pPr>
                </w:p>
              </w:tc>
              <w:tc>
                <w:tcPr>
                  <w:tcW w:w="408" w:type="pct"/>
                  <w:vMerge w:val="continue"/>
                  <w:tcBorders>
                    <w:tl2br w:val="nil"/>
                    <w:tr2bl w:val="nil"/>
                  </w:tcBorders>
                  <w:vAlign w:val="center"/>
                </w:tcPr>
                <w:p w14:paraId="0A24EF5F">
                  <w:pPr>
                    <w:jc w:val="center"/>
                    <w:rPr>
                      <w:color w:val="auto"/>
                      <w:spacing w:val="-10"/>
                      <w:sz w:val="18"/>
                      <w:szCs w:val="18"/>
                    </w:rPr>
                  </w:pPr>
                </w:p>
              </w:tc>
              <w:tc>
                <w:tcPr>
                  <w:tcW w:w="770" w:type="pct"/>
                  <w:tcBorders>
                    <w:tl2br w:val="nil"/>
                    <w:tr2bl w:val="nil"/>
                  </w:tcBorders>
                  <w:shd w:val="clear" w:color="auto" w:fill="auto"/>
                  <w:vAlign w:val="center"/>
                </w:tcPr>
                <w:p w14:paraId="51B8E21F">
                  <w:pPr>
                    <w:jc w:val="center"/>
                    <w:rPr>
                      <w:rFonts w:hint="eastAsia" w:ascii="Times New Roman" w:hAnsi="Times New Roman" w:eastAsia="宋体" w:cs="Times New Roman"/>
                      <w:color w:val="auto"/>
                      <w:spacing w:val="-10"/>
                      <w:kern w:val="2"/>
                      <w:sz w:val="18"/>
                      <w:szCs w:val="18"/>
                      <w:highlight w:val="none"/>
                      <w:lang w:val="en-US" w:eastAsia="zh-CN" w:bidi="ar-SA"/>
                    </w:rPr>
                  </w:pPr>
                  <w:r>
                    <w:rPr>
                      <w:rFonts w:hint="eastAsia" w:cs="Times New Roman"/>
                      <w:color w:val="auto"/>
                      <w:spacing w:val="-10"/>
                      <w:kern w:val="2"/>
                      <w:sz w:val="18"/>
                      <w:szCs w:val="18"/>
                      <w:highlight w:val="none"/>
                      <w:lang w:val="en-US" w:eastAsia="zh-CN" w:bidi="ar-SA"/>
                    </w:rPr>
                    <w:t>2</w:t>
                  </w:r>
                  <w:r>
                    <w:rPr>
                      <w:rFonts w:hint="eastAsia" w:cs="Times New Roman"/>
                      <w:color w:val="auto"/>
                      <w:spacing w:val="-10"/>
                      <w:kern w:val="2"/>
                      <w:sz w:val="18"/>
                      <w:szCs w:val="18"/>
                      <w:highlight w:val="none"/>
                      <w:vertAlign w:val="superscript"/>
                      <w:lang w:val="en-US" w:eastAsia="zh-CN" w:bidi="ar-SA"/>
                    </w:rPr>
                    <w:t>#</w:t>
                  </w:r>
                  <w:r>
                    <w:rPr>
                      <w:rFonts w:hint="eastAsia" w:cs="Times New Roman"/>
                      <w:color w:val="auto"/>
                      <w:spacing w:val="-10"/>
                      <w:kern w:val="2"/>
                      <w:sz w:val="18"/>
                      <w:szCs w:val="18"/>
                      <w:highlight w:val="none"/>
                      <w:lang w:val="en-US" w:eastAsia="zh-CN" w:bidi="ar-SA"/>
                    </w:rPr>
                    <w:t>空气分选机</w:t>
                  </w:r>
                </w:p>
              </w:tc>
              <w:tc>
                <w:tcPr>
                  <w:tcW w:w="508" w:type="pct"/>
                  <w:tcBorders>
                    <w:tl2br w:val="nil"/>
                    <w:tr2bl w:val="nil"/>
                  </w:tcBorders>
                  <w:vAlign w:val="center"/>
                </w:tcPr>
                <w:p w14:paraId="70831BE9">
                  <w:pPr>
                    <w:jc w:val="center"/>
                    <w:rPr>
                      <w:rFonts w:hint="eastAsia"/>
                      <w:color w:val="auto"/>
                      <w:spacing w:val="-10"/>
                      <w:sz w:val="18"/>
                      <w:szCs w:val="18"/>
                    </w:rPr>
                  </w:pPr>
                  <w:r>
                    <w:rPr>
                      <w:rFonts w:hint="eastAsia"/>
                      <w:color w:val="auto"/>
                      <w:spacing w:val="-10"/>
                      <w:sz w:val="18"/>
                      <w:szCs w:val="18"/>
                    </w:rPr>
                    <w:t>颗粒物</w:t>
                  </w:r>
                </w:p>
              </w:tc>
              <w:tc>
                <w:tcPr>
                  <w:tcW w:w="2589" w:type="pct"/>
                  <w:vMerge w:val="continue"/>
                  <w:tcBorders>
                    <w:tl2br w:val="nil"/>
                    <w:tr2bl w:val="nil"/>
                  </w:tcBorders>
                  <w:vAlign w:val="center"/>
                </w:tcPr>
                <w:p w14:paraId="5ECDEEE1">
                  <w:pPr>
                    <w:jc w:val="center"/>
                    <w:rPr>
                      <w:color w:val="auto"/>
                      <w:spacing w:val="-10"/>
                      <w:sz w:val="18"/>
                      <w:szCs w:val="18"/>
                    </w:rPr>
                  </w:pPr>
                </w:p>
              </w:tc>
              <w:tc>
                <w:tcPr>
                  <w:tcW w:w="467" w:type="pct"/>
                  <w:vMerge w:val="continue"/>
                  <w:tcBorders>
                    <w:tl2br w:val="nil"/>
                    <w:tr2bl w:val="nil"/>
                  </w:tcBorders>
                  <w:vAlign w:val="center"/>
                </w:tcPr>
                <w:p w14:paraId="3E462A8E">
                  <w:pPr>
                    <w:jc w:val="center"/>
                    <w:rPr>
                      <w:color w:val="auto"/>
                      <w:spacing w:val="-10"/>
                      <w:sz w:val="18"/>
                      <w:szCs w:val="18"/>
                    </w:rPr>
                  </w:pPr>
                </w:p>
              </w:tc>
            </w:tr>
            <w:tr w14:paraId="070E4BC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942" w:hRule="exact"/>
                <w:jc w:val="center"/>
              </w:trPr>
              <w:tc>
                <w:tcPr>
                  <w:tcW w:w="255" w:type="pct"/>
                  <w:tcBorders>
                    <w:tl2br w:val="nil"/>
                    <w:tr2bl w:val="nil"/>
                  </w:tcBorders>
                  <w:vAlign w:val="center"/>
                </w:tcPr>
                <w:p w14:paraId="63F6721F">
                  <w:pPr>
                    <w:jc w:val="center"/>
                    <w:rPr>
                      <w:rFonts w:hint="eastAsia" w:eastAsia="宋体"/>
                      <w:color w:val="auto"/>
                      <w:spacing w:val="-10"/>
                      <w:sz w:val="18"/>
                      <w:szCs w:val="18"/>
                      <w:lang w:val="en-US" w:eastAsia="zh-CN"/>
                    </w:rPr>
                  </w:pPr>
                  <w:r>
                    <w:rPr>
                      <w:rFonts w:hint="eastAsia"/>
                      <w:color w:val="auto"/>
                      <w:spacing w:val="-10"/>
                      <w:sz w:val="18"/>
                      <w:szCs w:val="18"/>
                      <w:lang w:val="en-US" w:eastAsia="zh-CN"/>
                    </w:rPr>
                    <w:t>3</w:t>
                  </w:r>
                </w:p>
              </w:tc>
              <w:tc>
                <w:tcPr>
                  <w:tcW w:w="1179" w:type="pct"/>
                  <w:gridSpan w:val="2"/>
                  <w:tcBorders>
                    <w:tl2br w:val="nil"/>
                    <w:tr2bl w:val="nil"/>
                  </w:tcBorders>
                  <w:shd w:val="clear" w:color="auto" w:fill="auto"/>
                  <w:vAlign w:val="center"/>
                </w:tcPr>
                <w:p w14:paraId="71BFBAA4">
                  <w:pPr>
                    <w:jc w:val="center"/>
                    <w:rPr>
                      <w:rFonts w:hint="eastAsia" w:ascii="Times New Roman" w:hAnsi="Times New Roman" w:eastAsia="宋体" w:cs="Times New Roman"/>
                      <w:color w:val="auto"/>
                      <w:spacing w:val="-10"/>
                      <w:kern w:val="2"/>
                      <w:sz w:val="18"/>
                      <w:szCs w:val="18"/>
                      <w:highlight w:val="none"/>
                      <w:lang w:val="en-US" w:eastAsia="zh-CN" w:bidi="ar-SA"/>
                    </w:rPr>
                  </w:pPr>
                  <w:r>
                    <w:rPr>
                      <w:rFonts w:hint="eastAsia"/>
                      <w:color w:val="auto"/>
                      <w:spacing w:val="-10"/>
                      <w:sz w:val="18"/>
                      <w:szCs w:val="18"/>
                      <w:highlight w:val="none"/>
                      <w:lang w:val="en-US" w:eastAsia="zh-CN"/>
                    </w:rPr>
                    <w:t>各生产车间</w:t>
                  </w:r>
                </w:p>
              </w:tc>
              <w:tc>
                <w:tcPr>
                  <w:tcW w:w="508" w:type="pct"/>
                  <w:tcBorders>
                    <w:tl2br w:val="nil"/>
                    <w:tr2bl w:val="nil"/>
                  </w:tcBorders>
                  <w:shd w:val="clear" w:color="auto" w:fill="auto"/>
                  <w:vAlign w:val="center"/>
                </w:tcPr>
                <w:p w14:paraId="05D7FED6">
                  <w:pPr>
                    <w:jc w:val="center"/>
                    <w:rPr>
                      <w:rFonts w:hint="eastAsia" w:ascii="Times New Roman" w:hAnsi="Times New Roman" w:eastAsia="宋体" w:cs="Times New Roman"/>
                      <w:color w:val="auto"/>
                      <w:spacing w:val="-10"/>
                      <w:kern w:val="2"/>
                      <w:sz w:val="18"/>
                      <w:szCs w:val="18"/>
                      <w:highlight w:val="none"/>
                      <w:lang w:val="en-US" w:eastAsia="zh-CN" w:bidi="ar-SA"/>
                    </w:rPr>
                  </w:pPr>
                  <w:r>
                    <w:rPr>
                      <w:rFonts w:hint="eastAsia"/>
                      <w:color w:val="auto"/>
                      <w:spacing w:val="-10"/>
                      <w:sz w:val="18"/>
                      <w:szCs w:val="18"/>
                      <w:highlight w:val="none"/>
                    </w:rPr>
                    <w:t>颗粒物</w:t>
                  </w:r>
                </w:p>
              </w:tc>
              <w:tc>
                <w:tcPr>
                  <w:tcW w:w="2589" w:type="pct"/>
                  <w:tcBorders>
                    <w:tl2br w:val="nil"/>
                    <w:tr2bl w:val="nil"/>
                  </w:tcBorders>
                  <w:shd w:val="clear" w:color="auto" w:fill="auto"/>
                  <w:vAlign w:val="center"/>
                </w:tcPr>
                <w:p w14:paraId="0CB00C98">
                  <w:pPr>
                    <w:jc w:val="center"/>
                    <w:rPr>
                      <w:rFonts w:ascii="Times New Roman" w:hAnsi="Times New Roman" w:eastAsia="宋体" w:cs="Times New Roman"/>
                      <w:color w:val="auto"/>
                      <w:spacing w:val="-10"/>
                      <w:kern w:val="2"/>
                      <w:sz w:val="18"/>
                      <w:szCs w:val="18"/>
                      <w:highlight w:val="none"/>
                      <w:lang w:val="en-US" w:eastAsia="zh-CN" w:bidi="ar-SA"/>
                    </w:rPr>
                  </w:pPr>
                  <w:r>
                    <w:rPr>
                      <w:rFonts w:hint="eastAsia" w:cs="Times New Roman"/>
                      <w:color w:val="auto"/>
                      <w:spacing w:val="-10"/>
                      <w:sz w:val="18"/>
                      <w:szCs w:val="18"/>
                      <w:highlight w:val="none"/>
                      <w:lang w:val="en-US" w:eastAsia="zh-CN"/>
                    </w:rPr>
                    <w:t>封闭车间</w:t>
                  </w:r>
                  <w:r>
                    <w:rPr>
                      <w:rFonts w:hint="eastAsia" w:ascii="Times New Roman" w:hAnsi="Times New Roman" w:eastAsia="宋体" w:cs="Times New Roman"/>
                      <w:color w:val="auto"/>
                      <w:spacing w:val="-10"/>
                      <w:sz w:val="18"/>
                      <w:szCs w:val="18"/>
                      <w:highlight w:val="none"/>
                      <w:lang w:val="en-US" w:eastAsia="zh-CN"/>
                    </w:rPr>
                    <w:t>，</w:t>
                  </w:r>
                  <w:r>
                    <w:rPr>
                      <w:rFonts w:hint="eastAsia" w:cs="Times New Roman"/>
                      <w:color w:val="auto"/>
                      <w:spacing w:val="-10"/>
                      <w:sz w:val="18"/>
                      <w:szCs w:val="18"/>
                      <w:highlight w:val="none"/>
                      <w:lang w:val="en-US" w:eastAsia="zh-CN"/>
                    </w:rPr>
                    <w:t>物料</w:t>
                  </w:r>
                  <w:r>
                    <w:rPr>
                      <w:rFonts w:hint="eastAsia" w:ascii="Times New Roman" w:hAnsi="Times New Roman" w:eastAsia="宋体" w:cs="Times New Roman"/>
                      <w:color w:val="auto"/>
                      <w:spacing w:val="-10"/>
                      <w:sz w:val="18"/>
                      <w:szCs w:val="18"/>
                      <w:highlight w:val="none"/>
                      <w:lang w:val="en-US" w:eastAsia="zh-CN"/>
                    </w:rPr>
                    <w:t>堆存区域上方设置可覆盖整个区域的喷淋装置（电伴热）</w:t>
                  </w:r>
                  <w:r>
                    <w:rPr>
                      <w:rFonts w:hint="eastAsia" w:cs="Times New Roman"/>
                      <w:color w:val="auto"/>
                      <w:spacing w:val="-10"/>
                      <w:sz w:val="18"/>
                      <w:szCs w:val="18"/>
                      <w:highlight w:val="none"/>
                      <w:lang w:val="en-US" w:eastAsia="zh-CN"/>
                    </w:rPr>
                    <w:t>，</w:t>
                  </w:r>
                  <w:r>
                    <w:rPr>
                      <w:rFonts w:hint="eastAsia" w:ascii="Times New Roman" w:hAnsi="Times New Roman" w:eastAsia="宋体" w:cs="Times New Roman"/>
                      <w:color w:val="auto"/>
                      <w:spacing w:val="-10"/>
                      <w:sz w:val="18"/>
                      <w:szCs w:val="18"/>
                      <w:highlight w:val="none"/>
                      <w:lang w:val="en-US" w:eastAsia="zh-CN"/>
                    </w:rPr>
                    <w:t>喷淋管路使用保温棉包裹，每隔5m设置1个喷淋口，物料转运均为封闭式皮带通廊，</w:t>
                  </w:r>
                  <w:r>
                    <w:rPr>
                      <w:rFonts w:hint="eastAsia" w:cs="Times New Roman"/>
                      <w:color w:val="auto"/>
                      <w:spacing w:val="-10"/>
                      <w:sz w:val="18"/>
                      <w:szCs w:val="18"/>
                      <w:highlight w:val="none"/>
                      <w:lang w:val="en-US" w:eastAsia="zh-CN"/>
                    </w:rPr>
                    <w:t>各</w:t>
                  </w:r>
                  <w:r>
                    <w:rPr>
                      <w:rFonts w:hint="eastAsia" w:ascii="Times New Roman" w:hAnsi="Times New Roman" w:eastAsia="宋体" w:cs="Times New Roman"/>
                      <w:color w:val="auto"/>
                      <w:spacing w:val="-10"/>
                      <w:sz w:val="18"/>
                      <w:szCs w:val="18"/>
                      <w:highlight w:val="none"/>
                      <w:lang w:val="en-US" w:eastAsia="zh-CN"/>
                    </w:rPr>
                    <w:t>车间出入口</w:t>
                  </w:r>
                  <w:r>
                    <w:rPr>
                      <w:rFonts w:hint="eastAsia" w:cs="Times New Roman"/>
                      <w:color w:val="auto"/>
                      <w:spacing w:val="-10"/>
                      <w:sz w:val="18"/>
                      <w:szCs w:val="18"/>
                      <w:highlight w:val="none"/>
                      <w:lang w:val="en-US" w:eastAsia="zh-CN"/>
                    </w:rPr>
                    <w:t>均</w:t>
                  </w:r>
                  <w:r>
                    <w:rPr>
                      <w:rFonts w:hint="eastAsia" w:ascii="Times New Roman" w:hAnsi="Times New Roman" w:eastAsia="宋体" w:cs="Times New Roman"/>
                      <w:color w:val="auto"/>
                      <w:spacing w:val="-10"/>
                      <w:sz w:val="18"/>
                      <w:szCs w:val="18"/>
                      <w:highlight w:val="none"/>
                      <w:lang w:val="en-US" w:eastAsia="zh-CN"/>
                    </w:rPr>
                    <w:t>设置自动感应门</w:t>
                  </w:r>
                </w:p>
              </w:tc>
              <w:tc>
                <w:tcPr>
                  <w:tcW w:w="467" w:type="pct"/>
                  <w:tcBorders>
                    <w:tl2br w:val="nil"/>
                    <w:tr2bl w:val="nil"/>
                  </w:tcBorders>
                  <w:shd w:val="clear" w:color="auto" w:fill="auto"/>
                  <w:vAlign w:val="center"/>
                </w:tcPr>
                <w:p w14:paraId="76206FF0">
                  <w:pPr>
                    <w:jc w:val="center"/>
                    <w:rPr>
                      <w:rFonts w:ascii="Times New Roman" w:hAnsi="Times New Roman" w:eastAsia="宋体" w:cs="Times New Roman"/>
                      <w:color w:val="auto"/>
                      <w:spacing w:val="-10"/>
                      <w:kern w:val="2"/>
                      <w:sz w:val="18"/>
                      <w:szCs w:val="18"/>
                      <w:highlight w:val="none"/>
                      <w:lang w:val="en-US" w:eastAsia="zh-CN" w:bidi="ar-SA"/>
                    </w:rPr>
                  </w:pPr>
                  <w:r>
                    <w:rPr>
                      <w:rFonts w:hint="eastAsia"/>
                      <w:color w:val="auto"/>
                      <w:spacing w:val="-10"/>
                      <w:sz w:val="18"/>
                      <w:szCs w:val="18"/>
                      <w:highlight w:val="none"/>
                    </w:rPr>
                    <w:t>无组织</w:t>
                  </w:r>
                </w:p>
              </w:tc>
            </w:tr>
          </w:tbl>
          <w:p w14:paraId="55934DF4">
            <w:pPr>
              <w:pStyle w:val="24"/>
              <w:adjustRightInd w:val="0"/>
              <w:snapToGrid w:val="0"/>
              <w:spacing w:before="0" w:beforeAutospacing="0" w:after="0" w:afterAutospacing="0" w:line="440" w:lineRule="exact"/>
              <w:ind w:firstLine="422" w:firstLineChars="200"/>
              <w:rPr>
                <w:rFonts w:ascii="Times New Roman" w:hAnsi="Times New Roman"/>
                <w:b/>
                <w:color w:val="auto"/>
                <w:sz w:val="21"/>
                <w:szCs w:val="21"/>
              </w:rPr>
            </w:pPr>
            <w:r>
              <w:rPr>
                <w:rFonts w:hint="eastAsia" w:ascii="Times New Roman" w:hAnsi="Times New Roman"/>
                <w:b/>
                <w:color w:val="auto"/>
                <w:sz w:val="21"/>
                <w:szCs w:val="21"/>
              </w:rPr>
              <w:t>1.1.2有组织废气产生及排放情况</w:t>
            </w:r>
          </w:p>
          <w:p w14:paraId="0F57131C">
            <w:pPr>
              <w:pStyle w:val="24"/>
              <w:adjustRightInd w:val="0"/>
              <w:snapToGrid w:val="0"/>
              <w:spacing w:before="0" w:beforeAutospacing="0" w:after="0" w:afterAutospacing="0" w:line="440" w:lineRule="exact"/>
              <w:ind w:firstLine="420" w:firstLineChars="200"/>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（1）源强核算</w:t>
            </w:r>
          </w:p>
          <w:p w14:paraId="677DC2D2">
            <w:pPr>
              <w:pStyle w:val="24"/>
              <w:adjustRightInd w:val="0"/>
              <w:snapToGrid w:val="0"/>
              <w:spacing w:before="0" w:beforeAutospacing="0" w:after="0" w:afterAutospacing="0" w:line="440" w:lineRule="exact"/>
              <w:ind w:firstLine="420" w:firstLineChars="200"/>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项目各产尘点源强如下：①</w:t>
            </w:r>
            <w:r>
              <w:rPr>
                <w:rFonts w:hint="eastAsia" w:ascii="Times New Roman" w:hAnsi="Times New Roman"/>
                <w:color w:val="auto"/>
                <w:sz w:val="21"/>
                <w:szCs w:val="21"/>
              </w:rPr>
              <w:t>本项目钢渣处理生产线主要为</w:t>
            </w:r>
            <w:r>
              <w:rPr>
                <w:rFonts w:hint="eastAsia" w:ascii="Times New Roman" w:hAnsi="Times New Roman"/>
                <w:color w:val="auto"/>
                <w:sz w:val="21"/>
                <w:szCs w:val="21"/>
                <w:lang w:val="en-US" w:eastAsia="zh-CN"/>
              </w:rPr>
              <w:t>上料、</w:t>
            </w:r>
            <w:r>
              <w:rPr>
                <w:rFonts w:hint="eastAsia" w:ascii="Times New Roman" w:hAnsi="Times New Roman"/>
                <w:color w:val="auto"/>
                <w:sz w:val="21"/>
                <w:szCs w:val="21"/>
              </w:rPr>
              <w:t>破碎、筛分等工序，参</w:t>
            </w:r>
            <w:r>
              <w:rPr>
                <w:rFonts w:hint="eastAsia" w:ascii="Times New Roman" w:hAnsi="Times New Roman" w:eastAsia="宋体" w:cs="Times New Roman"/>
                <w:color w:val="auto"/>
                <w:sz w:val="21"/>
                <w:szCs w:val="21"/>
              </w:rPr>
              <w:t>考《排放源统计调查产排污核算方法和系数手册》中42废弃资源综合利用行业系数手册，处理钢渣以破碎+筛分为工序，所有规模颗粒物产生系数</w:t>
            </w:r>
            <w:r>
              <w:rPr>
                <w:rFonts w:hint="eastAsia" w:ascii="Times New Roman" w:hAnsi="Times New Roman" w:eastAsia="宋体" w:cs="Times New Roman"/>
                <w:color w:val="auto"/>
                <w:sz w:val="21"/>
                <w:szCs w:val="21"/>
                <w:lang w:val="en-US" w:eastAsia="zh-CN"/>
              </w:rPr>
              <w:t>为</w:t>
            </w:r>
            <w:r>
              <w:rPr>
                <w:rFonts w:hint="eastAsia" w:ascii="Times New Roman" w:hAnsi="Times New Roman" w:eastAsia="宋体" w:cs="Times New Roman"/>
                <w:color w:val="auto"/>
                <w:sz w:val="21"/>
                <w:szCs w:val="21"/>
              </w:rPr>
              <w:t>660g/t-产品</w:t>
            </w:r>
            <w:r>
              <w:rPr>
                <w:rFonts w:hint="eastAsia" w:ascii="Times New Roman" w:hAnsi="Times New Roman" w:eastAsia="宋体" w:cs="Times New Roman"/>
                <w:color w:val="auto"/>
                <w:sz w:val="21"/>
                <w:szCs w:val="21"/>
                <w:lang w:eastAsia="zh-CN"/>
              </w:rPr>
              <w:t>；</w:t>
            </w:r>
            <w:r>
              <w:rPr>
                <w:rFonts w:hint="eastAsia" w:ascii="Times New Roman" w:hAnsi="Times New Roman" w:eastAsia="宋体" w:cs="Times New Roman"/>
                <w:color w:val="auto"/>
                <w:sz w:val="21"/>
                <w:szCs w:val="21"/>
                <w:lang w:val="en-US" w:eastAsia="zh-CN"/>
              </w:rPr>
              <w:t>②</w:t>
            </w:r>
            <w:r>
              <w:rPr>
                <w:rFonts w:hint="eastAsia" w:ascii="Times New Roman" w:hAnsi="Times New Roman" w:eastAsia="宋体" w:cs="Times New Roman"/>
                <w:color w:val="auto"/>
                <w:sz w:val="21"/>
                <w:szCs w:val="21"/>
              </w:rPr>
              <w:t>本项目废钢破碎尾料上料仓上料会产生上料粉尘，上料废钢破碎尾料主要因细碎料和泥土在上料过程会由粉尘产生，参考《</w:t>
            </w:r>
            <w:r>
              <w:rPr>
                <w:rFonts w:hint="eastAsia" w:ascii="Times New Roman" w:hAnsi="Times New Roman" w:eastAsia="宋体" w:cs="Times New Roman"/>
                <w:color w:val="auto"/>
                <w:sz w:val="21"/>
                <w:szCs w:val="21"/>
                <w:highlight w:val="none"/>
              </w:rPr>
              <w:t>逸散</w:t>
            </w:r>
            <w:r>
              <w:rPr>
                <w:rFonts w:hint="eastAsia" w:ascii="Times New Roman" w:hAnsi="Times New Roman" w:eastAsia="宋体" w:cs="Times New Roman"/>
                <w:color w:val="auto"/>
                <w:sz w:val="21"/>
                <w:szCs w:val="21"/>
              </w:rPr>
              <w:t>性工业粉尘控制技术》（中国环境科学出版社）中相关参数可知，上料过程产污系数取0.02kg/t-物料</w:t>
            </w:r>
            <w:r>
              <w:rPr>
                <w:rFonts w:hint="eastAsia" w:ascii="Times New Roman" w:hAnsi="Times New Roman" w:cs="Times New Roman"/>
                <w:color w:val="auto"/>
                <w:sz w:val="21"/>
                <w:szCs w:val="21"/>
                <w:lang w:eastAsia="zh-CN"/>
              </w:rPr>
              <w:t>；</w:t>
            </w:r>
            <w:r>
              <w:rPr>
                <w:rFonts w:hint="eastAsia" w:ascii="Times New Roman" w:hAnsi="Times New Roman" w:eastAsia="宋体" w:cs="Times New Roman"/>
                <w:color w:val="auto"/>
                <w:sz w:val="21"/>
                <w:szCs w:val="21"/>
                <w:highlight w:val="none"/>
              </w:rPr>
              <w:t>筛分过程产生的颗粒物参照《采石场大气污染物源强分析研究》（资源调查与环境第24卷第4期；2003；2897-294）</w:t>
            </w:r>
            <w:r>
              <w:rPr>
                <w:rFonts w:hint="eastAsia" w:ascii="Times New Roman" w:hAnsi="Times New Roman" w:cs="Times New Roman"/>
                <w:color w:val="auto"/>
                <w:sz w:val="21"/>
                <w:szCs w:val="21"/>
                <w:highlight w:val="none"/>
                <w:lang w:eastAsia="zh-CN"/>
              </w:rPr>
              <w:t>，</w:t>
            </w:r>
            <w:r>
              <w:rPr>
                <w:rFonts w:hint="eastAsia" w:ascii="Times New Roman" w:hAnsi="Times New Roman" w:eastAsia="宋体" w:cs="Times New Roman"/>
                <w:color w:val="auto"/>
                <w:sz w:val="21"/>
                <w:szCs w:val="21"/>
                <w:highlight w:val="none"/>
              </w:rPr>
              <w:t>筛分工序产生的颗粒物为原料量为0.05%</w:t>
            </w:r>
            <w:r>
              <w:rPr>
                <w:rFonts w:hint="eastAsia" w:ascii="Times New Roman" w:hAnsi="Times New Roman" w:cs="Times New Roman"/>
                <w:color w:val="auto"/>
                <w:sz w:val="21"/>
                <w:szCs w:val="21"/>
                <w:highlight w:val="none"/>
                <w:lang w:val="en-US" w:eastAsia="zh-CN"/>
              </w:rPr>
              <w:t>，参考同类项目，一次空气分选过程中产生的粉尘产污系数取0.248 kg/t-原料</w:t>
            </w:r>
            <w:r>
              <w:rPr>
                <w:rFonts w:hint="eastAsia" w:ascii="Times New Roman" w:hAnsi="Times New Roman" w:eastAsia="宋体" w:cs="Times New Roman"/>
                <w:color w:val="auto"/>
                <w:sz w:val="21"/>
                <w:szCs w:val="21"/>
                <w:lang w:val="en-US" w:eastAsia="zh-CN"/>
              </w:rPr>
              <w:t>。项目各产尘点颗粒物产生情况见下表。</w:t>
            </w:r>
          </w:p>
          <w:p w14:paraId="0F85EB62">
            <w:pPr>
              <w:spacing w:line="480" w:lineRule="exact"/>
              <w:ind w:firstLine="422" w:firstLineChars="200"/>
              <w:jc w:val="center"/>
              <w:rPr>
                <w:b/>
                <w:snapToGrid w:val="0"/>
                <w:color w:val="auto"/>
                <w:kern w:val="0"/>
                <w:lang w:bidi="ar"/>
              </w:rPr>
            </w:pPr>
            <w:r>
              <w:rPr>
                <w:rFonts w:hint="eastAsia"/>
                <w:b/>
                <w:snapToGrid w:val="0"/>
                <w:color w:val="auto"/>
                <w:kern w:val="0"/>
                <w:lang w:bidi="ar"/>
              </w:rPr>
              <w:t>表</w:t>
            </w:r>
            <w:r>
              <w:rPr>
                <w:rFonts w:hint="eastAsia"/>
                <w:b/>
                <w:snapToGrid w:val="0"/>
                <w:color w:val="auto"/>
                <w:kern w:val="0"/>
                <w:lang w:val="en-US" w:eastAsia="zh-CN" w:bidi="ar"/>
              </w:rPr>
              <w:t>24</w:t>
            </w:r>
            <w:r>
              <w:rPr>
                <w:rFonts w:hint="eastAsia"/>
                <w:b/>
                <w:snapToGrid w:val="0"/>
                <w:color w:val="auto"/>
                <w:kern w:val="0"/>
                <w:lang w:bidi="ar"/>
              </w:rPr>
              <w:t xml:space="preserve"> 拟建项目各</w:t>
            </w:r>
            <w:r>
              <w:rPr>
                <w:rFonts w:hint="eastAsia"/>
                <w:b/>
                <w:snapToGrid w:val="0"/>
                <w:color w:val="auto"/>
                <w:kern w:val="0"/>
                <w:lang w:val="en-US" w:eastAsia="zh-CN" w:bidi="ar"/>
              </w:rPr>
              <w:t>污染源污染物</w:t>
            </w:r>
            <w:r>
              <w:rPr>
                <w:rFonts w:hint="eastAsia"/>
                <w:b/>
                <w:snapToGrid w:val="0"/>
                <w:color w:val="auto"/>
                <w:kern w:val="0"/>
                <w:lang w:bidi="ar"/>
              </w:rPr>
              <w:t>产生量一览表</w:t>
            </w:r>
          </w:p>
          <w:tbl>
            <w:tblPr>
              <w:tblStyle w:val="28"/>
              <w:tblW w:w="8037"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484"/>
              <w:gridCol w:w="791"/>
              <w:gridCol w:w="1337"/>
              <w:gridCol w:w="830"/>
              <w:gridCol w:w="1530"/>
              <w:gridCol w:w="690"/>
              <w:gridCol w:w="1222"/>
              <w:gridCol w:w="1153"/>
            </w:tblGrid>
            <w:tr w14:paraId="1D78E83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80" w:hRule="exact"/>
                <w:jc w:val="center"/>
              </w:trPr>
              <w:tc>
                <w:tcPr>
                  <w:tcW w:w="484" w:type="dxa"/>
                  <w:vAlign w:val="center"/>
                </w:tcPr>
                <w:p w14:paraId="50E42249">
                  <w:pPr>
                    <w:jc w:val="center"/>
                    <w:rPr>
                      <w:color w:val="auto"/>
                      <w:spacing w:val="-11"/>
                      <w:sz w:val="18"/>
                      <w:szCs w:val="18"/>
                    </w:rPr>
                  </w:pPr>
                  <w:r>
                    <w:rPr>
                      <w:rFonts w:hint="eastAsia"/>
                      <w:color w:val="auto"/>
                      <w:spacing w:val="-11"/>
                      <w:sz w:val="18"/>
                      <w:szCs w:val="18"/>
                    </w:rPr>
                    <w:t>序号</w:t>
                  </w:r>
                </w:p>
              </w:tc>
              <w:tc>
                <w:tcPr>
                  <w:tcW w:w="791" w:type="dxa"/>
                  <w:vAlign w:val="center"/>
                </w:tcPr>
                <w:p w14:paraId="5235364E">
                  <w:pPr>
                    <w:jc w:val="center"/>
                    <w:rPr>
                      <w:rFonts w:hint="default" w:eastAsia="宋体"/>
                      <w:color w:val="auto"/>
                      <w:spacing w:val="-11"/>
                      <w:sz w:val="18"/>
                      <w:szCs w:val="18"/>
                      <w:lang w:val="en-US" w:eastAsia="zh-CN"/>
                    </w:rPr>
                  </w:pPr>
                  <w:r>
                    <w:rPr>
                      <w:rFonts w:hint="eastAsia"/>
                      <w:color w:val="auto"/>
                      <w:spacing w:val="-11"/>
                      <w:sz w:val="18"/>
                      <w:szCs w:val="18"/>
                      <w:lang w:val="en-US" w:eastAsia="zh-CN"/>
                    </w:rPr>
                    <w:t>生产线</w:t>
                  </w:r>
                </w:p>
              </w:tc>
              <w:tc>
                <w:tcPr>
                  <w:tcW w:w="1337" w:type="dxa"/>
                  <w:vAlign w:val="center"/>
                </w:tcPr>
                <w:p w14:paraId="650C89B8">
                  <w:pPr>
                    <w:jc w:val="center"/>
                    <w:rPr>
                      <w:rFonts w:hint="eastAsia"/>
                      <w:color w:val="auto"/>
                      <w:spacing w:val="-11"/>
                      <w:sz w:val="18"/>
                      <w:szCs w:val="18"/>
                    </w:rPr>
                  </w:pPr>
                  <w:r>
                    <w:rPr>
                      <w:rFonts w:hint="eastAsia"/>
                      <w:color w:val="auto"/>
                      <w:spacing w:val="-11"/>
                      <w:sz w:val="18"/>
                      <w:szCs w:val="18"/>
                    </w:rPr>
                    <w:t>产尘点</w:t>
                  </w:r>
                </w:p>
              </w:tc>
              <w:tc>
                <w:tcPr>
                  <w:tcW w:w="830" w:type="dxa"/>
                  <w:vAlign w:val="center"/>
                </w:tcPr>
                <w:p w14:paraId="17B26189">
                  <w:pPr>
                    <w:jc w:val="center"/>
                    <w:rPr>
                      <w:color w:val="auto"/>
                      <w:spacing w:val="-11"/>
                      <w:sz w:val="18"/>
                      <w:szCs w:val="18"/>
                    </w:rPr>
                  </w:pPr>
                  <w:r>
                    <w:rPr>
                      <w:rFonts w:hint="eastAsia"/>
                      <w:color w:val="auto"/>
                      <w:spacing w:val="-11"/>
                      <w:sz w:val="18"/>
                      <w:szCs w:val="18"/>
                    </w:rPr>
                    <w:t>设备、设施数量</w:t>
                  </w:r>
                </w:p>
              </w:tc>
              <w:tc>
                <w:tcPr>
                  <w:tcW w:w="1530" w:type="dxa"/>
                  <w:vAlign w:val="center"/>
                </w:tcPr>
                <w:p w14:paraId="09572080">
                  <w:pPr>
                    <w:jc w:val="center"/>
                    <w:rPr>
                      <w:color w:val="auto"/>
                      <w:spacing w:val="-11"/>
                      <w:sz w:val="18"/>
                      <w:szCs w:val="18"/>
                    </w:rPr>
                  </w:pPr>
                  <w:r>
                    <w:rPr>
                      <w:rFonts w:hint="eastAsia"/>
                      <w:color w:val="auto"/>
                      <w:spacing w:val="-11"/>
                      <w:sz w:val="18"/>
                      <w:szCs w:val="18"/>
                      <w:lang w:val="en-US" w:eastAsia="zh-CN"/>
                    </w:rPr>
                    <w:t>本工序</w:t>
                  </w:r>
                  <w:r>
                    <w:rPr>
                      <w:rFonts w:hint="eastAsia"/>
                      <w:color w:val="auto"/>
                      <w:spacing w:val="-11"/>
                      <w:sz w:val="18"/>
                      <w:szCs w:val="18"/>
                    </w:rPr>
                    <w:t>物料处理量</w:t>
                  </w:r>
                  <w:r>
                    <w:rPr>
                      <w:rFonts w:hint="eastAsia"/>
                      <w:color w:val="auto"/>
                      <w:spacing w:val="-11"/>
                      <w:sz w:val="18"/>
                      <w:szCs w:val="18"/>
                      <w:lang w:val="en-US" w:eastAsia="zh-CN"/>
                    </w:rPr>
                    <w:t>或</w:t>
                  </w:r>
                  <w:r>
                    <w:rPr>
                      <w:rFonts w:hint="eastAsia"/>
                      <w:color w:val="auto"/>
                      <w:spacing w:val="-11"/>
                      <w:sz w:val="18"/>
                      <w:szCs w:val="18"/>
                    </w:rPr>
                    <w:t>产品</w:t>
                  </w:r>
                  <w:r>
                    <w:rPr>
                      <w:rFonts w:hint="eastAsia"/>
                      <w:color w:val="auto"/>
                      <w:spacing w:val="-11"/>
                      <w:sz w:val="18"/>
                      <w:szCs w:val="18"/>
                      <w:lang w:val="en-US" w:eastAsia="zh-CN"/>
                    </w:rPr>
                    <w:t>产量</w:t>
                  </w:r>
                  <w:r>
                    <w:rPr>
                      <w:rFonts w:hint="eastAsia"/>
                      <w:color w:val="auto"/>
                      <w:spacing w:val="-11"/>
                      <w:sz w:val="18"/>
                      <w:szCs w:val="18"/>
                    </w:rPr>
                    <w:t>（</w:t>
                  </w:r>
                  <w:r>
                    <w:rPr>
                      <w:rFonts w:hint="eastAsia"/>
                      <w:color w:val="auto"/>
                      <w:spacing w:val="-11"/>
                      <w:sz w:val="18"/>
                      <w:szCs w:val="18"/>
                      <w:lang w:val="en-US" w:eastAsia="zh-CN"/>
                    </w:rPr>
                    <w:t>万</w:t>
                  </w:r>
                  <w:r>
                    <w:rPr>
                      <w:rFonts w:hint="eastAsia"/>
                      <w:color w:val="auto"/>
                      <w:spacing w:val="-11"/>
                      <w:sz w:val="18"/>
                      <w:szCs w:val="18"/>
                    </w:rPr>
                    <w:t>t/a）</w:t>
                  </w:r>
                </w:p>
              </w:tc>
              <w:tc>
                <w:tcPr>
                  <w:tcW w:w="690" w:type="dxa"/>
                  <w:vAlign w:val="center"/>
                </w:tcPr>
                <w:p w14:paraId="069F7D19">
                  <w:pPr>
                    <w:jc w:val="center"/>
                    <w:rPr>
                      <w:rFonts w:hint="eastAsia" w:eastAsia="宋体"/>
                      <w:color w:val="auto"/>
                      <w:spacing w:val="-11"/>
                      <w:sz w:val="18"/>
                      <w:szCs w:val="18"/>
                      <w:lang w:val="en-US" w:eastAsia="zh-CN"/>
                    </w:rPr>
                  </w:pPr>
                  <w:r>
                    <w:rPr>
                      <w:rFonts w:hint="eastAsia"/>
                      <w:color w:val="auto"/>
                      <w:spacing w:val="-11"/>
                      <w:sz w:val="18"/>
                      <w:szCs w:val="18"/>
                      <w:lang w:val="en-US" w:eastAsia="zh-CN"/>
                    </w:rPr>
                    <w:t>污染物</w:t>
                  </w:r>
                </w:p>
              </w:tc>
              <w:tc>
                <w:tcPr>
                  <w:tcW w:w="1222" w:type="dxa"/>
                  <w:vAlign w:val="center"/>
                </w:tcPr>
                <w:p w14:paraId="5216260D">
                  <w:pPr>
                    <w:jc w:val="center"/>
                    <w:rPr>
                      <w:color w:val="auto"/>
                      <w:spacing w:val="-11"/>
                      <w:sz w:val="18"/>
                      <w:szCs w:val="18"/>
                    </w:rPr>
                  </w:pPr>
                  <w:r>
                    <w:rPr>
                      <w:rFonts w:hint="eastAsia"/>
                      <w:color w:val="auto"/>
                      <w:spacing w:val="-11"/>
                      <w:sz w:val="18"/>
                      <w:szCs w:val="18"/>
                    </w:rPr>
                    <w:t>产</w:t>
                  </w:r>
                  <w:r>
                    <w:rPr>
                      <w:rFonts w:hint="eastAsia"/>
                      <w:color w:val="auto"/>
                      <w:spacing w:val="-11"/>
                      <w:sz w:val="18"/>
                      <w:szCs w:val="18"/>
                      <w:lang w:val="en-US" w:eastAsia="zh-CN"/>
                    </w:rPr>
                    <w:t>生</w:t>
                  </w:r>
                  <w:r>
                    <w:rPr>
                      <w:rFonts w:hint="eastAsia"/>
                      <w:color w:val="auto"/>
                      <w:spacing w:val="-11"/>
                      <w:sz w:val="18"/>
                      <w:szCs w:val="18"/>
                    </w:rPr>
                    <w:t>系数</w:t>
                  </w:r>
                </w:p>
              </w:tc>
              <w:tc>
                <w:tcPr>
                  <w:tcW w:w="1153" w:type="dxa"/>
                  <w:vAlign w:val="center"/>
                </w:tcPr>
                <w:p w14:paraId="3D15BB5E">
                  <w:pPr>
                    <w:jc w:val="center"/>
                    <w:rPr>
                      <w:color w:val="auto"/>
                      <w:spacing w:val="-11"/>
                      <w:sz w:val="18"/>
                      <w:szCs w:val="18"/>
                    </w:rPr>
                  </w:pPr>
                  <w:r>
                    <w:rPr>
                      <w:rFonts w:hint="eastAsia"/>
                      <w:color w:val="auto"/>
                      <w:spacing w:val="-11"/>
                      <w:sz w:val="18"/>
                      <w:szCs w:val="18"/>
                    </w:rPr>
                    <w:t>产生量（t/a）</w:t>
                  </w:r>
                </w:p>
              </w:tc>
            </w:tr>
            <w:tr w14:paraId="176524A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484" w:type="dxa"/>
                  <w:vMerge w:val="restart"/>
                  <w:vAlign w:val="center"/>
                </w:tcPr>
                <w:p w14:paraId="3F8DD3DF">
                  <w:pPr>
                    <w:jc w:val="center"/>
                    <w:rPr>
                      <w:color w:val="auto"/>
                      <w:spacing w:val="-11"/>
                      <w:sz w:val="18"/>
                      <w:szCs w:val="18"/>
                    </w:rPr>
                  </w:pPr>
                  <w:r>
                    <w:rPr>
                      <w:rFonts w:hint="eastAsia"/>
                      <w:color w:val="auto"/>
                      <w:spacing w:val="-11"/>
                      <w:sz w:val="18"/>
                      <w:szCs w:val="18"/>
                    </w:rPr>
                    <w:t>1</w:t>
                  </w:r>
                </w:p>
              </w:tc>
              <w:tc>
                <w:tcPr>
                  <w:tcW w:w="791" w:type="dxa"/>
                  <w:vMerge w:val="restart"/>
                  <w:vAlign w:val="center"/>
                </w:tcPr>
                <w:p w14:paraId="1160A0F1">
                  <w:pPr>
                    <w:jc w:val="center"/>
                    <w:rPr>
                      <w:rFonts w:hint="eastAsia" w:eastAsia="宋体"/>
                      <w:color w:val="auto"/>
                      <w:spacing w:val="-11"/>
                      <w:sz w:val="18"/>
                      <w:szCs w:val="18"/>
                      <w:lang w:val="en-US" w:eastAsia="zh-CN"/>
                    </w:rPr>
                  </w:pPr>
                  <w:r>
                    <w:rPr>
                      <w:rFonts w:hint="eastAsia"/>
                      <w:color w:val="auto"/>
                      <w:spacing w:val="-10"/>
                      <w:sz w:val="18"/>
                      <w:szCs w:val="18"/>
                      <w:lang w:val="en-US" w:eastAsia="zh-CN"/>
                    </w:rPr>
                    <w:t>钢渣处理生产线</w:t>
                  </w:r>
                </w:p>
              </w:tc>
              <w:tc>
                <w:tcPr>
                  <w:tcW w:w="1337" w:type="dxa"/>
                  <w:vAlign w:val="center"/>
                </w:tcPr>
                <w:p w14:paraId="4A538ADE">
                  <w:pPr>
                    <w:jc w:val="center"/>
                    <w:rPr>
                      <w:rFonts w:hint="eastAsia" w:ascii="Times New Roman" w:hAnsi="Times New Roman" w:eastAsia="宋体" w:cs="Times New Roman"/>
                      <w:color w:val="auto"/>
                      <w:spacing w:val="-10"/>
                      <w:kern w:val="2"/>
                      <w:sz w:val="18"/>
                      <w:szCs w:val="18"/>
                      <w:lang w:val="en-US" w:eastAsia="zh-CN" w:bidi="ar-SA"/>
                    </w:rPr>
                  </w:pPr>
                  <w:r>
                    <w:rPr>
                      <w:rFonts w:hint="eastAsia"/>
                      <w:color w:val="auto"/>
                      <w:spacing w:val="-10"/>
                      <w:sz w:val="18"/>
                      <w:szCs w:val="18"/>
                      <w:lang w:val="en-US" w:eastAsia="zh-CN"/>
                    </w:rPr>
                    <w:t>钢渣上料仓</w:t>
                  </w:r>
                </w:p>
              </w:tc>
              <w:tc>
                <w:tcPr>
                  <w:tcW w:w="830" w:type="dxa"/>
                  <w:vAlign w:val="center"/>
                </w:tcPr>
                <w:p w14:paraId="3AA4CE50">
                  <w:pPr>
                    <w:jc w:val="center"/>
                    <w:rPr>
                      <w:color w:val="auto"/>
                      <w:spacing w:val="-11"/>
                      <w:sz w:val="18"/>
                      <w:szCs w:val="18"/>
                    </w:rPr>
                  </w:pPr>
                  <w:r>
                    <w:rPr>
                      <w:rFonts w:hint="eastAsia"/>
                      <w:color w:val="auto"/>
                      <w:spacing w:val="-11"/>
                      <w:sz w:val="18"/>
                      <w:szCs w:val="18"/>
                    </w:rPr>
                    <w:t>1</w:t>
                  </w:r>
                </w:p>
              </w:tc>
              <w:tc>
                <w:tcPr>
                  <w:tcW w:w="1530" w:type="dxa"/>
                  <w:vMerge w:val="restart"/>
                  <w:vAlign w:val="center"/>
                </w:tcPr>
                <w:p w14:paraId="226C0278">
                  <w:pPr>
                    <w:jc w:val="center"/>
                    <w:rPr>
                      <w:rFonts w:hint="default" w:eastAsia="宋体"/>
                      <w:color w:val="auto"/>
                      <w:spacing w:val="-11"/>
                      <w:sz w:val="18"/>
                      <w:szCs w:val="18"/>
                      <w:highlight w:val="cyan"/>
                      <w:lang w:val="en-US" w:eastAsia="zh-CN"/>
                    </w:rPr>
                  </w:pPr>
                  <w:r>
                    <w:rPr>
                      <w:rFonts w:hint="eastAsia"/>
                      <w:color w:val="auto"/>
                      <w:spacing w:val="-11"/>
                      <w:sz w:val="18"/>
                      <w:szCs w:val="18"/>
                      <w:highlight w:val="none"/>
                      <w:lang w:val="en-US" w:eastAsia="zh-CN"/>
                    </w:rPr>
                    <w:t>20</w:t>
                  </w:r>
                </w:p>
              </w:tc>
              <w:tc>
                <w:tcPr>
                  <w:tcW w:w="690" w:type="dxa"/>
                  <w:vAlign w:val="center"/>
                </w:tcPr>
                <w:p w14:paraId="58705AB8">
                  <w:pPr>
                    <w:jc w:val="center"/>
                    <w:rPr>
                      <w:rFonts w:hint="eastAsia" w:eastAsia="宋体"/>
                      <w:color w:val="auto"/>
                      <w:spacing w:val="-11"/>
                      <w:sz w:val="18"/>
                      <w:szCs w:val="18"/>
                      <w:lang w:val="en-US" w:eastAsia="zh-CN"/>
                    </w:rPr>
                  </w:pPr>
                  <w:r>
                    <w:rPr>
                      <w:rFonts w:hint="eastAsia"/>
                      <w:color w:val="auto"/>
                      <w:spacing w:val="-11"/>
                      <w:sz w:val="18"/>
                      <w:szCs w:val="18"/>
                      <w:lang w:val="en-US" w:eastAsia="zh-CN"/>
                    </w:rPr>
                    <w:t>颗粒物</w:t>
                  </w:r>
                </w:p>
              </w:tc>
              <w:tc>
                <w:tcPr>
                  <w:tcW w:w="1222" w:type="dxa"/>
                  <w:vMerge w:val="restart"/>
                  <w:shd w:val="clear" w:color="auto" w:fill="auto"/>
                  <w:vAlign w:val="center"/>
                </w:tcPr>
                <w:p w14:paraId="4E3C4342">
                  <w:pPr>
                    <w:jc w:val="center"/>
                    <w:rPr>
                      <w:rFonts w:hint="default" w:ascii="Times New Roman" w:hAnsi="Times New Roman" w:eastAsia="宋体" w:cs="Times New Roman"/>
                      <w:color w:val="auto"/>
                      <w:spacing w:val="-11"/>
                      <w:kern w:val="2"/>
                      <w:sz w:val="18"/>
                      <w:szCs w:val="18"/>
                      <w:lang w:val="en-US" w:eastAsia="zh-CN" w:bidi="ar-SA"/>
                    </w:rPr>
                  </w:pPr>
                  <w:r>
                    <w:rPr>
                      <w:rFonts w:hint="eastAsia"/>
                      <w:color w:val="auto"/>
                      <w:spacing w:val="-11"/>
                      <w:sz w:val="18"/>
                      <w:szCs w:val="18"/>
                      <w:lang w:val="en-US" w:eastAsia="zh-CN"/>
                    </w:rPr>
                    <w:t>660g/t-产品</w:t>
                  </w:r>
                </w:p>
              </w:tc>
              <w:tc>
                <w:tcPr>
                  <w:tcW w:w="1153" w:type="dxa"/>
                  <w:vMerge w:val="restart"/>
                  <w:shd w:val="clear" w:color="auto" w:fill="auto"/>
                  <w:vAlign w:val="center"/>
                </w:tcPr>
                <w:p w14:paraId="75B4BD44">
                  <w:pPr>
                    <w:jc w:val="center"/>
                    <w:rPr>
                      <w:rFonts w:hint="default" w:ascii="Times New Roman" w:hAnsi="Times New Roman" w:eastAsia="宋体" w:cs="Times New Roman"/>
                      <w:color w:val="auto"/>
                      <w:spacing w:val="-11"/>
                      <w:kern w:val="2"/>
                      <w:sz w:val="18"/>
                      <w:szCs w:val="18"/>
                      <w:lang w:val="en-US" w:eastAsia="zh-CN" w:bidi="ar-SA"/>
                    </w:rPr>
                  </w:pPr>
                  <w:r>
                    <w:rPr>
                      <w:rFonts w:hint="eastAsia" w:cs="Times New Roman"/>
                      <w:color w:val="auto"/>
                      <w:spacing w:val="-11"/>
                      <w:sz w:val="18"/>
                      <w:szCs w:val="18"/>
                      <w:highlight w:val="none"/>
                      <w:lang w:val="en-US" w:eastAsia="zh-CN"/>
                    </w:rPr>
                    <w:t>132</w:t>
                  </w:r>
                </w:p>
              </w:tc>
            </w:tr>
            <w:tr w14:paraId="343CE68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484" w:type="dxa"/>
                  <w:vMerge w:val="continue"/>
                  <w:vAlign w:val="center"/>
                </w:tcPr>
                <w:p w14:paraId="72EC8E52">
                  <w:pPr>
                    <w:jc w:val="center"/>
                    <w:rPr>
                      <w:color w:val="auto"/>
                      <w:spacing w:val="-11"/>
                      <w:sz w:val="18"/>
                      <w:szCs w:val="18"/>
                    </w:rPr>
                  </w:pPr>
                </w:p>
              </w:tc>
              <w:tc>
                <w:tcPr>
                  <w:tcW w:w="791" w:type="dxa"/>
                  <w:vMerge w:val="continue"/>
                  <w:vAlign w:val="center"/>
                </w:tcPr>
                <w:p w14:paraId="41363A36">
                  <w:pPr>
                    <w:jc w:val="center"/>
                    <w:rPr>
                      <w:color w:val="auto"/>
                      <w:spacing w:val="-10"/>
                      <w:sz w:val="18"/>
                      <w:szCs w:val="18"/>
                    </w:rPr>
                  </w:pPr>
                </w:p>
              </w:tc>
              <w:tc>
                <w:tcPr>
                  <w:tcW w:w="1337" w:type="dxa"/>
                  <w:vAlign w:val="center"/>
                </w:tcPr>
                <w:p w14:paraId="71EB6625">
                  <w:pPr>
                    <w:jc w:val="center"/>
                    <w:rPr>
                      <w:rFonts w:hint="eastAsia" w:ascii="Times New Roman" w:hAnsi="Times New Roman" w:eastAsia="宋体" w:cs="Times New Roman"/>
                      <w:color w:val="auto"/>
                      <w:spacing w:val="-10"/>
                      <w:kern w:val="2"/>
                      <w:sz w:val="18"/>
                      <w:szCs w:val="18"/>
                      <w:lang w:val="en-US" w:eastAsia="zh-CN" w:bidi="ar-SA"/>
                    </w:rPr>
                  </w:pPr>
                  <w:r>
                    <w:rPr>
                      <w:rFonts w:hint="eastAsia"/>
                      <w:color w:val="auto"/>
                      <w:spacing w:val="-10"/>
                      <w:sz w:val="18"/>
                      <w:szCs w:val="18"/>
                      <w:lang w:val="en-US" w:eastAsia="zh-CN"/>
                    </w:rPr>
                    <w:t>鄂式</w:t>
                  </w:r>
                  <w:r>
                    <w:rPr>
                      <w:rFonts w:hint="eastAsia"/>
                      <w:color w:val="auto"/>
                      <w:spacing w:val="-10"/>
                      <w:sz w:val="18"/>
                      <w:szCs w:val="18"/>
                    </w:rPr>
                    <w:t>破碎机</w:t>
                  </w:r>
                </w:p>
              </w:tc>
              <w:tc>
                <w:tcPr>
                  <w:tcW w:w="830" w:type="dxa"/>
                  <w:vAlign w:val="center"/>
                </w:tcPr>
                <w:p w14:paraId="30394895">
                  <w:pPr>
                    <w:jc w:val="center"/>
                    <w:rPr>
                      <w:color w:val="auto"/>
                      <w:spacing w:val="-11"/>
                      <w:sz w:val="18"/>
                      <w:szCs w:val="18"/>
                    </w:rPr>
                  </w:pPr>
                  <w:r>
                    <w:rPr>
                      <w:rFonts w:hint="eastAsia"/>
                      <w:color w:val="auto"/>
                      <w:spacing w:val="-11"/>
                      <w:sz w:val="18"/>
                      <w:szCs w:val="18"/>
                    </w:rPr>
                    <w:t>1</w:t>
                  </w:r>
                </w:p>
              </w:tc>
              <w:tc>
                <w:tcPr>
                  <w:tcW w:w="1530" w:type="dxa"/>
                  <w:vMerge w:val="continue"/>
                  <w:vAlign w:val="center"/>
                </w:tcPr>
                <w:p w14:paraId="3C194544">
                  <w:pPr>
                    <w:jc w:val="center"/>
                    <w:rPr>
                      <w:rFonts w:hint="default" w:eastAsia="宋体"/>
                      <w:color w:val="auto"/>
                      <w:spacing w:val="-11"/>
                      <w:sz w:val="18"/>
                      <w:szCs w:val="18"/>
                      <w:highlight w:val="cyan"/>
                      <w:lang w:val="en-US" w:eastAsia="zh-CN"/>
                    </w:rPr>
                  </w:pPr>
                </w:p>
              </w:tc>
              <w:tc>
                <w:tcPr>
                  <w:tcW w:w="690" w:type="dxa"/>
                  <w:vAlign w:val="center"/>
                </w:tcPr>
                <w:p w14:paraId="76911939">
                  <w:pPr>
                    <w:jc w:val="center"/>
                    <w:rPr>
                      <w:rFonts w:hint="eastAsia"/>
                      <w:color w:val="auto"/>
                      <w:spacing w:val="-11"/>
                      <w:sz w:val="18"/>
                      <w:szCs w:val="18"/>
                    </w:rPr>
                  </w:pPr>
                  <w:r>
                    <w:rPr>
                      <w:rFonts w:hint="eastAsia"/>
                      <w:color w:val="auto"/>
                      <w:spacing w:val="-11"/>
                      <w:sz w:val="18"/>
                      <w:szCs w:val="18"/>
                      <w:lang w:val="en-US" w:eastAsia="zh-CN"/>
                    </w:rPr>
                    <w:t>颗粒物</w:t>
                  </w:r>
                </w:p>
              </w:tc>
              <w:tc>
                <w:tcPr>
                  <w:tcW w:w="1222" w:type="dxa"/>
                  <w:vMerge w:val="continue"/>
                  <w:vAlign w:val="center"/>
                </w:tcPr>
                <w:p w14:paraId="51856A37">
                  <w:pPr>
                    <w:jc w:val="center"/>
                    <w:rPr>
                      <w:rFonts w:hint="eastAsia" w:ascii="Times New Roman" w:hAnsi="Times New Roman" w:eastAsia="宋体" w:cs="Times New Roman"/>
                      <w:color w:val="auto"/>
                      <w:spacing w:val="-11"/>
                      <w:sz w:val="18"/>
                      <w:szCs w:val="18"/>
                      <w:highlight w:val="none"/>
                      <w:lang w:val="en-US" w:eastAsia="zh-CN"/>
                    </w:rPr>
                  </w:pPr>
                </w:p>
              </w:tc>
              <w:tc>
                <w:tcPr>
                  <w:tcW w:w="1153" w:type="dxa"/>
                  <w:vMerge w:val="continue"/>
                  <w:vAlign w:val="center"/>
                </w:tcPr>
                <w:p w14:paraId="3AC3C85B">
                  <w:pPr>
                    <w:jc w:val="center"/>
                    <w:rPr>
                      <w:rFonts w:hint="eastAsia" w:ascii="Times New Roman" w:hAnsi="Times New Roman" w:eastAsia="宋体" w:cs="Times New Roman"/>
                      <w:color w:val="auto"/>
                      <w:spacing w:val="-11"/>
                      <w:sz w:val="18"/>
                      <w:szCs w:val="18"/>
                      <w:highlight w:val="none"/>
                      <w:lang w:val="en-US" w:eastAsia="zh-CN"/>
                    </w:rPr>
                  </w:pPr>
                </w:p>
              </w:tc>
            </w:tr>
            <w:tr w14:paraId="44648F9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484" w:type="dxa"/>
                  <w:vMerge w:val="continue"/>
                  <w:vAlign w:val="center"/>
                </w:tcPr>
                <w:p w14:paraId="0BCEC235">
                  <w:pPr>
                    <w:jc w:val="center"/>
                    <w:rPr>
                      <w:rFonts w:hint="eastAsia" w:eastAsia="宋体"/>
                      <w:color w:val="auto"/>
                      <w:spacing w:val="-11"/>
                      <w:sz w:val="18"/>
                      <w:szCs w:val="18"/>
                      <w:lang w:val="en-US" w:eastAsia="zh-CN"/>
                    </w:rPr>
                  </w:pPr>
                </w:p>
              </w:tc>
              <w:tc>
                <w:tcPr>
                  <w:tcW w:w="791" w:type="dxa"/>
                  <w:vMerge w:val="continue"/>
                  <w:vAlign w:val="center"/>
                </w:tcPr>
                <w:p w14:paraId="29B91871">
                  <w:pPr>
                    <w:jc w:val="center"/>
                    <w:rPr>
                      <w:color w:val="auto"/>
                      <w:spacing w:val="-10"/>
                      <w:sz w:val="18"/>
                      <w:szCs w:val="18"/>
                    </w:rPr>
                  </w:pPr>
                </w:p>
              </w:tc>
              <w:tc>
                <w:tcPr>
                  <w:tcW w:w="1337" w:type="dxa"/>
                  <w:vAlign w:val="center"/>
                </w:tcPr>
                <w:p w14:paraId="4EB4DF85">
                  <w:pPr>
                    <w:jc w:val="center"/>
                    <w:rPr>
                      <w:rFonts w:hint="eastAsia" w:ascii="Times New Roman" w:hAnsi="Times New Roman" w:eastAsia="宋体" w:cs="Times New Roman"/>
                      <w:color w:val="auto"/>
                      <w:spacing w:val="-10"/>
                      <w:kern w:val="2"/>
                      <w:sz w:val="18"/>
                      <w:szCs w:val="18"/>
                      <w:lang w:val="en-US" w:eastAsia="zh-CN" w:bidi="ar-SA"/>
                    </w:rPr>
                  </w:pPr>
                  <w:r>
                    <w:rPr>
                      <w:rFonts w:hint="eastAsia"/>
                      <w:color w:val="auto"/>
                      <w:spacing w:val="-10"/>
                      <w:sz w:val="18"/>
                      <w:szCs w:val="18"/>
                      <w:lang w:val="en-US" w:eastAsia="zh-CN"/>
                    </w:rPr>
                    <w:t>振动筛</w:t>
                  </w:r>
                </w:p>
              </w:tc>
              <w:tc>
                <w:tcPr>
                  <w:tcW w:w="830" w:type="dxa"/>
                  <w:vAlign w:val="center"/>
                </w:tcPr>
                <w:p w14:paraId="1A7DD8B8">
                  <w:pPr>
                    <w:jc w:val="center"/>
                    <w:rPr>
                      <w:rFonts w:hint="eastAsia" w:eastAsia="宋体"/>
                      <w:color w:val="auto"/>
                      <w:spacing w:val="-11"/>
                      <w:sz w:val="18"/>
                      <w:szCs w:val="18"/>
                      <w:lang w:val="en-US" w:eastAsia="zh-CN"/>
                    </w:rPr>
                  </w:pPr>
                  <w:r>
                    <w:rPr>
                      <w:rFonts w:hint="eastAsia"/>
                      <w:color w:val="auto"/>
                      <w:spacing w:val="-11"/>
                      <w:sz w:val="18"/>
                      <w:szCs w:val="18"/>
                      <w:lang w:val="en-US" w:eastAsia="zh-CN"/>
                    </w:rPr>
                    <w:t>1</w:t>
                  </w:r>
                </w:p>
              </w:tc>
              <w:tc>
                <w:tcPr>
                  <w:tcW w:w="1530" w:type="dxa"/>
                  <w:vMerge w:val="continue"/>
                  <w:vAlign w:val="center"/>
                </w:tcPr>
                <w:p w14:paraId="3CC1D333">
                  <w:pPr>
                    <w:jc w:val="center"/>
                    <w:rPr>
                      <w:rFonts w:hint="default"/>
                      <w:color w:val="auto"/>
                      <w:spacing w:val="-11"/>
                      <w:sz w:val="18"/>
                      <w:szCs w:val="18"/>
                      <w:highlight w:val="cyan"/>
                      <w:lang w:val="en-US" w:eastAsia="zh-CN"/>
                    </w:rPr>
                  </w:pPr>
                </w:p>
              </w:tc>
              <w:tc>
                <w:tcPr>
                  <w:tcW w:w="690" w:type="dxa"/>
                  <w:vAlign w:val="center"/>
                </w:tcPr>
                <w:p w14:paraId="1A2CF038">
                  <w:pPr>
                    <w:jc w:val="center"/>
                    <w:rPr>
                      <w:rFonts w:hint="eastAsia"/>
                      <w:color w:val="auto"/>
                      <w:spacing w:val="-11"/>
                      <w:sz w:val="18"/>
                      <w:szCs w:val="18"/>
                      <w:lang w:val="en-US" w:eastAsia="zh-CN"/>
                    </w:rPr>
                  </w:pPr>
                  <w:r>
                    <w:rPr>
                      <w:rFonts w:hint="eastAsia"/>
                      <w:color w:val="auto"/>
                      <w:spacing w:val="-11"/>
                      <w:sz w:val="18"/>
                      <w:szCs w:val="18"/>
                      <w:lang w:val="en-US" w:eastAsia="zh-CN"/>
                    </w:rPr>
                    <w:t>颗粒物</w:t>
                  </w:r>
                </w:p>
              </w:tc>
              <w:tc>
                <w:tcPr>
                  <w:tcW w:w="1222" w:type="dxa"/>
                  <w:vMerge w:val="continue"/>
                  <w:vAlign w:val="center"/>
                </w:tcPr>
                <w:p w14:paraId="1C2953B3">
                  <w:pPr>
                    <w:jc w:val="center"/>
                    <w:rPr>
                      <w:rFonts w:hint="eastAsia" w:ascii="Times New Roman" w:hAnsi="Times New Roman" w:eastAsia="宋体" w:cs="Times New Roman"/>
                      <w:color w:val="auto"/>
                      <w:spacing w:val="-11"/>
                      <w:sz w:val="18"/>
                      <w:szCs w:val="18"/>
                      <w:highlight w:val="none"/>
                      <w:lang w:val="en-US" w:eastAsia="zh-CN"/>
                    </w:rPr>
                  </w:pPr>
                </w:p>
              </w:tc>
              <w:tc>
                <w:tcPr>
                  <w:tcW w:w="1153" w:type="dxa"/>
                  <w:vMerge w:val="continue"/>
                  <w:vAlign w:val="center"/>
                </w:tcPr>
                <w:p w14:paraId="0B7889B5">
                  <w:pPr>
                    <w:jc w:val="center"/>
                    <w:rPr>
                      <w:rFonts w:hint="eastAsia" w:ascii="Times New Roman" w:hAnsi="Times New Roman" w:eastAsia="宋体" w:cs="Times New Roman"/>
                      <w:color w:val="auto"/>
                      <w:spacing w:val="-11"/>
                      <w:sz w:val="18"/>
                      <w:szCs w:val="18"/>
                      <w:highlight w:val="none"/>
                      <w:lang w:val="en-US" w:eastAsia="zh-CN"/>
                    </w:rPr>
                  </w:pPr>
                </w:p>
              </w:tc>
            </w:tr>
            <w:tr w14:paraId="380A19A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9" w:hRule="exact"/>
                <w:jc w:val="center"/>
              </w:trPr>
              <w:tc>
                <w:tcPr>
                  <w:tcW w:w="484" w:type="dxa"/>
                  <w:vMerge w:val="continue"/>
                  <w:vAlign w:val="center"/>
                </w:tcPr>
                <w:p w14:paraId="5143B891">
                  <w:pPr>
                    <w:jc w:val="center"/>
                    <w:rPr>
                      <w:rFonts w:hint="eastAsia" w:ascii="Times New Roman" w:hAnsi="Times New Roman" w:eastAsia="宋体" w:cs="Times New Roman"/>
                      <w:color w:val="auto"/>
                      <w:spacing w:val="-11"/>
                      <w:kern w:val="2"/>
                      <w:sz w:val="18"/>
                      <w:szCs w:val="18"/>
                      <w:lang w:val="en-US" w:eastAsia="zh-CN" w:bidi="ar-SA"/>
                    </w:rPr>
                  </w:pPr>
                </w:p>
              </w:tc>
              <w:tc>
                <w:tcPr>
                  <w:tcW w:w="791" w:type="dxa"/>
                  <w:vMerge w:val="continue"/>
                  <w:vAlign w:val="center"/>
                </w:tcPr>
                <w:p w14:paraId="5D9D2BE8">
                  <w:pPr>
                    <w:jc w:val="center"/>
                    <w:rPr>
                      <w:rFonts w:hint="eastAsia" w:eastAsia="宋体"/>
                      <w:color w:val="auto"/>
                      <w:spacing w:val="-10"/>
                      <w:sz w:val="18"/>
                      <w:szCs w:val="18"/>
                      <w:lang w:val="en-US" w:eastAsia="zh-CN"/>
                    </w:rPr>
                  </w:pPr>
                </w:p>
              </w:tc>
              <w:tc>
                <w:tcPr>
                  <w:tcW w:w="1337" w:type="dxa"/>
                  <w:vAlign w:val="center"/>
                </w:tcPr>
                <w:p w14:paraId="1ADDEB1C">
                  <w:pPr>
                    <w:jc w:val="center"/>
                    <w:rPr>
                      <w:rFonts w:hint="eastAsia" w:ascii="Times New Roman" w:hAnsi="Times New Roman" w:eastAsia="宋体" w:cs="Times New Roman"/>
                      <w:color w:val="auto"/>
                      <w:spacing w:val="-10"/>
                      <w:kern w:val="2"/>
                      <w:sz w:val="18"/>
                      <w:szCs w:val="18"/>
                      <w:lang w:val="en-US" w:eastAsia="zh-CN" w:bidi="ar-SA"/>
                    </w:rPr>
                  </w:pPr>
                  <w:r>
                    <w:rPr>
                      <w:rFonts w:hint="eastAsia" w:cs="Times New Roman"/>
                      <w:color w:val="auto"/>
                      <w:spacing w:val="-10"/>
                      <w:kern w:val="2"/>
                      <w:sz w:val="18"/>
                      <w:szCs w:val="18"/>
                      <w:lang w:val="en-US" w:eastAsia="zh-CN" w:bidi="ar-SA"/>
                    </w:rPr>
                    <w:t>锤式破碎机</w:t>
                  </w:r>
                </w:p>
              </w:tc>
              <w:tc>
                <w:tcPr>
                  <w:tcW w:w="830" w:type="dxa"/>
                  <w:vAlign w:val="center"/>
                </w:tcPr>
                <w:p w14:paraId="48AC8482">
                  <w:pPr>
                    <w:jc w:val="center"/>
                    <w:rPr>
                      <w:rFonts w:hint="eastAsia" w:eastAsia="宋体"/>
                      <w:color w:val="auto"/>
                      <w:spacing w:val="-11"/>
                      <w:sz w:val="18"/>
                      <w:szCs w:val="18"/>
                      <w:lang w:val="en-US" w:eastAsia="zh-CN"/>
                    </w:rPr>
                  </w:pPr>
                  <w:r>
                    <w:rPr>
                      <w:rFonts w:hint="eastAsia"/>
                      <w:color w:val="auto"/>
                      <w:spacing w:val="-11"/>
                      <w:sz w:val="18"/>
                      <w:szCs w:val="18"/>
                      <w:lang w:val="en-US" w:eastAsia="zh-CN"/>
                    </w:rPr>
                    <w:t>1</w:t>
                  </w:r>
                </w:p>
              </w:tc>
              <w:tc>
                <w:tcPr>
                  <w:tcW w:w="1530" w:type="dxa"/>
                  <w:vMerge w:val="continue"/>
                  <w:vAlign w:val="center"/>
                </w:tcPr>
                <w:p w14:paraId="426B9FEE">
                  <w:pPr>
                    <w:jc w:val="center"/>
                    <w:rPr>
                      <w:rFonts w:hint="default" w:ascii="Times New Roman" w:hAnsi="Times New Roman" w:eastAsia="宋体" w:cs="Times New Roman"/>
                      <w:color w:val="auto"/>
                      <w:spacing w:val="-11"/>
                      <w:sz w:val="18"/>
                      <w:szCs w:val="18"/>
                      <w:highlight w:val="cyan"/>
                      <w:lang w:val="en-US" w:eastAsia="zh-CN"/>
                    </w:rPr>
                  </w:pPr>
                </w:p>
              </w:tc>
              <w:tc>
                <w:tcPr>
                  <w:tcW w:w="690" w:type="dxa"/>
                  <w:vAlign w:val="center"/>
                </w:tcPr>
                <w:p w14:paraId="550B9DCC">
                  <w:pPr>
                    <w:jc w:val="center"/>
                    <w:rPr>
                      <w:rFonts w:hint="eastAsia"/>
                      <w:color w:val="auto"/>
                      <w:spacing w:val="-11"/>
                      <w:sz w:val="18"/>
                      <w:szCs w:val="18"/>
                      <w:lang w:val="en-US" w:eastAsia="zh-CN"/>
                    </w:rPr>
                  </w:pPr>
                  <w:r>
                    <w:rPr>
                      <w:rFonts w:hint="eastAsia"/>
                      <w:color w:val="auto"/>
                      <w:spacing w:val="-11"/>
                      <w:sz w:val="18"/>
                      <w:szCs w:val="18"/>
                      <w:lang w:val="en-US" w:eastAsia="zh-CN"/>
                    </w:rPr>
                    <w:t>颗粒物</w:t>
                  </w:r>
                </w:p>
              </w:tc>
              <w:tc>
                <w:tcPr>
                  <w:tcW w:w="1222" w:type="dxa"/>
                  <w:vMerge w:val="continue"/>
                  <w:vAlign w:val="center"/>
                </w:tcPr>
                <w:p w14:paraId="0E4F3E82">
                  <w:pPr>
                    <w:jc w:val="center"/>
                    <w:rPr>
                      <w:rFonts w:hint="eastAsia" w:ascii="Times New Roman" w:hAnsi="Times New Roman" w:eastAsia="宋体" w:cs="Times New Roman"/>
                      <w:color w:val="auto"/>
                      <w:spacing w:val="-11"/>
                      <w:kern w:val="2"/>
                      <w:sz w:val="18"/>
                      <w:szCs w:val="18"/>
                      <w:lang w:val="en-US" w:eastAsia="zh-CN" w:bidi="ar-SA"/>
                    </w:rPr>
                  </w:pPr>
                </w:p>
              </w:tc>
              <w:tc>
                <w:tcPr>
                  <w:tcW w:w="1153" w:type="dxa"/>
                  <w:vMerge w:val="continue"/>
                  <w:vAlign w:val="center"/>
                </w:tcPr>
                <w:p w14:paraId="2372ADE8">
                  <w:pPr>
                    <w:jc w:val="center"/>
                    <w:rPr>
                      <w:rFonts w:hint="eastAsia" w:ascii="Times New Roman" w:hAnsi="Times New Roman" w:eastAsia="宋体" w:cs="Times New Roman"/>
                      <w:color w:val="auto"/>
                      <w:spacing w:val="-11"/>
                      <w:sz w:val="18"/>
                      <w:szCs w:val="18"/>
                      <w:highlight w:val="none"/>
                      <w:lang w:val="en-US" w:eastAsia="zh-CN"/>
                    </w:rPr>
                  </w:pPr>
                </w:p>
              </w:tc>
            </w:tr>
            <w:tr w14:paraId="6889FDD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82" w:hRule="exact"/>
                <w:jc w:val="center"/>
              </w:trPr>
              <w:tc>
                <w:tcPr>
                  <w:tcW w:w="484" w:type="dxa"/>
                  <w:vMerge w:val="restart"/>
                  <w:vAlign w:val="center"/>
                </w:tcPr>
                <w:p w14:paraId="1C911B0B">
                  <w:pPr>
                    <w:jc w:val="center"/>
                    <w:rPr>
                      <w:rFonts w:hint="default" w:ascii="Times New Roman" w:hAnsi="Times New Roman" w:eastAsia="宋体" w:cs="Times New Roman"/>
                      <w:color w:val="auto"/>
                      <w:spacing w:val="-11"/>
                      <w:kern w:val="2"/>
                      <w:sz w:val="18"/>
                      <w:szCs w:val="18"/>
                      <w:lang w:val="en-US" w:eastAsia="zh-CN" w:bidi="ar-SA"/>
                    </w:rPr>
                  </w:pPr>
                  <w:r>
                    <w:rPr>
                      <w:rFonts w:hint="eastAsia" w:cs="Times New Roman"/>
                      <w:color w:val="auto"/>
                      <w:spacing w:val="-11"/>
                      <w:kern w:val="2"/>
                      <w:sz w:val="18"/>
                      <w:szCs w:val="18"/>
                      <w:lang w:val="en-US" w:eastAsia="zh-CN" w:bidi="ar-SA"/>
                    </w:rPr>
                    <w:t>2</w:t>
                  </w:r>
                </w:p>
              </w:tc>
              <w:tc>
                <w:tcPr>
                  <w:tcW w:w="791" w:type="dxa"/>
                  <w:vMerge w:val="restart"/>
                  <w:vAlign w:val="center"/>
                </w:tcPr>
                <w:p w14:paraId="1D0751B9">
                  <w:pPr>
                    <w:tabs>
                      <w:tab w:val="left" w:pos="272"/>
                    </w:tabs>
                    <w:jc w:val="center"/>
                    <w:rPr>
                      <w:rFonts w:hint="eastAsia" w:ascii="Times New Roman" w:hAnsi="Times New Roman" w:eastAsia="宋体" w:cs="Times New Roman"/>
                      <w:color w:val="auto"/>
                      <w:spacing w:val="-10"/>
                      <w:kern w:val="2"/>
                      <w:sz w:val="18"/>
                      <w:szCs w:val="18"/>
                      <w:lang w:val="en-US" w:eastAsia="zh-CN" w:bidi="ar-SA"/>
                    </w:rPr>
                  </w:pPr>
                  <w:r>
                    <w:rPr>
                      <w:rFonts w:hint="eastAsia" w:ascii="Times New Roman" w:hAnsi="Times New Roman" w:eastAsia="宋体" w:cs="Times New Roman"/>
                      <w:color w:val="auto"/>
                      <w:spacing w:val="-10"/>
                      <w:sz w:val="18"/>
                      <w:szCs w:val="18"/>
                      <w:lang w:val="en-US" w:eastAsia="zh-CN"/>
                    </w:rPr>
                    <w:t>废钢破碎尾料分选生产线</w:t>
                  </w:r>
                </w:p>
                <w:p w14:paraId="08BF5E4D">
                  <w:pPr>
                    <w:jc w:val="center"/>
                    <w:rPr>
                      <w:color w:val="auto"/>
                      <w:spacing w:val="-10"/>
                      <w:sz w:val="18"/>
                      <w:szCs w:val="18"/>
                    </w:rPr>
                  </w:pPr>
                </w:p>
              </w:tc>
              <w:tc>
                <w:tcPr>
                  <w:tcW w:w="1337" w:type="dxa"/>
                  <w:shd w:val="clear" w:color="auto" w:fill="auto"/>
                  <w:vAlign w:val="center"/>
                </w:tcPr>
                <w:p w14:paraId="65403F41">
                  <w:pPr>
                    <w:jc w:val="center"/>
                    <w:rPr>
                      <w:rFonts w:hint="eastAsia" w:ascii="Times New Roman" w:hAnsi="Times New Roman" w:eastAsia="宋体" w:cs="Times New Roman"/>
                      <w:color w:val="auto"/>
                      <w:spacing w:val="-10"/>
                      <w:kern w:val="2"/>
                      <w:sz w:val="18"/>
                      <w:szCs w:val="18"/>
                      <w:lang w:val="en-US" w:eastAsia="zh-CN" w:bidi="ar-SA"/>
                    </w:rPr>
                  </w:pPr>
                  <w:r>
                    <w:rPr>
                      <w:rFonts w:hint="eastAsia" w:ascii="Times New Roman" w:hAnsi="Times New Roman" w:eastAsia="宋体" w:cs="Times New Roman"/>
                      <w:color w:val="auto"/>
                      <w:spacing w:val="-10"/>
                      <w:kern w:val="2"/>
                      <w:sz w:val="18"/>
                      <w:szCs w:val="18"/>
                      <w:lang w:val="en-US" w:eastAsia="zh-CN" w:bidi="ar-SA"/>
                    </w:rPr>
                    <w:t>1</w:t>
                  </w:r>
                  <w:r>
                    <w:rPr>
                      <w:rFonts w:hint="eastAsia" w:ascii="Times New Roman" w:hAnsi="Times New Roman" w:eastAsia="宋体" w:cs="Times New Roman"/>
                      <w:color w:val="auto"/>
                      <w:spacing w:val="-10"/>
                      <w:kern w:val="2"/>
                      <w:sz w:val="18"/>
                      <w:szCs w:val="18"/>
                      <w:vertAlign w:val="superscript"/>
                      <w:lang w:val="en-US" w:eastAsia="zh-CN" w:bidi="ar-SA"/>
                    </w:rPr>
                    <w:t>#</w:t>
                  </w:r>
                  <w:r>
                    <w:rPr>
                      <w:rFonts w:hint="eastAsia" w:ascii="Times New Roman" w:hAnsi="Times New Roman" w:eastAsia="宋体" w:cs="Times New Roman"/>
                      <w:color w:val="auto"/>
                      <w:spacing w:val="-10"/>
                      <w:kern w:val="2"/>
                      <w:sz w:val="18"/>
                      <w:szCs w:val="18"/>
                      <w:lang w:val="en-US" w:eastAsia="zh-CN" w:bidi="ar-SA"/>
                    </w:rPr>
                    <w:t>线一次漂洗前上料仓</w:t>
                  </w:r>
                </w:p>
              </w:tc>
              <w:tc>
                <w:tcPr>
                  <w:tcW w:w="830" w:type="dxa"/>
                  <w:vAlign w:val="center"/>
                </w:tcPr>
                <w:p w14:paraId="2E120C7D">
                  <w:pPr>
                    <w:jc w:val="center"/>
                    <w:rPr>
                      <w:rFonts w:hint="eastAsia" w:eastAsia="宋体"/>
                      <w:color w:val="auto"/>
                      <w:spacing w:val="-11"/>
                      <w:sz w:val="18"/>
                      <w:szCs w:val="18"/>
                      <w:lang w:val="en-US" w:eastAsia="zh-CN"/>
                    </w:rPr>
                  </w:pPr>
                  <w:r>
                    <w:rPr>
                      <w:rFonts w:hint="eastAsia"/>
                      <w:color w:val="auto"/>
                      <w:spacing w:val="-11"/>
                      <w:sz w:val="18"/>
                      <w:szCs w:val="18"/>
                      <w:lang w:val="en-US" w:eastAsia="zh-CN"/>
                    </w:rPr>
                    <w:t>1</w:t>
                  </w:r>
                </w:p>
              </w:tc>
              <w:tc>
                <w:tcPr>
                  <w:tcW w:w="1530" w:type="dxa"/>
                  <w:vAlign w:val="center"/>
                </w:tcPr>
                <w:p w14:paraId="5F4A27F6">
                  <w:pPr>
                    <w:jc w:val="center"/>
                    <w:rPr>
                      <w:rFonts w:hint="default" w:ascii="Times New Roman" w:hAnsi="Times New Roman" w:eastAsia="宋体" w:cs="Times New Roman"/>
                      <w:color w:val="auto"/>
                      <w:spacing w:val="-11"/>
                      <w:sz w:val="18"/>
                      <w:szCs w:val="18"/>
                      <w:highlight w:val="none"/>
                      <w:lang w:val="en-US" w:eastAsia="zh-CN"/>
                    </w:rPr>
                  </w:pPr>
                  <w:r>
                    <w:rPr>
                      <w:rFonts w:hint="eastAsia" w:cs="Times New Roman"/>
                      <w:color w:val="auto"/>
                      <w:spacing w:val="-11"/>
                      <w:sz w:val="18"/>
                      <w:szCs w:val="18"/>
                      <w:highlight w:val="none"/>
                      <w:lang w:val="en-US" w:eastAsia="zh-CN"/>
                    </w:rPr>
                    <w:t>25</w:t>
                  </w:r>
                </w:p>
              </w:tc>
              <w:tc>
                <w:tcPr>
                  <w:tcW w:w="690" w:type="dxa"/>
                  <w:vAlign w:val="center"/>
                </w:tcPr>
                <w:p w14:paraId="4FCA62FF">
                  <w:pPr>
                    <w:jc w:val="center"/>
                    <w:rPr>
                      <w:rFonts w:hint="eastAsia"/>
                      <w:color w:val="auto"/>
                      <w:spacing w:val="-11"/>
                      <w:sz w:val="18"/>
                      <w:szCs w:val="18"/>
                      <w:lang w:val="en-US" w:eastAsia="zh-CN"/>
                    </w:rPr>
                  </w:pPr>
                  <w:r>
                    <w:rPr>
                      <w:rFonts w:hint="eastAsia"/>
                      <w:color w:val="auto"/>
                      <w:spacing w:val="-11"/>
                      <w:sz w:val="18"/>
                      <w:szCs w:val="18"/>
                      <w:lang w:val="en-US" w:eastAsia="zh-CN"/>
                    </w:rPr>
                    <w:t>颗粒物</w:t>
                  </w:r>
                </w:p>
              </w:tc>
              <w:tc>
                <w:tcPr>
                  <w:tcW w:w="1222" w:type="dxa"/>
                  <w:vAlign w:val="center"/>
                </w:tcPr>
                <w:p w14:paraId="04BDD360">
                  <w:pPr>
                    <w:jc w:val="center"/>
                    <w:rPr>
                      <w:rFonts w:hint="eastAsia" w:ascii="Times New Roman" w:hAnsi="Times New Roman" w:eastAsia="宋体" w:cs="Times New Roman"/>
                      <w:color w:val="auto"/>
                      <w:spacing w:val="-11"/>
                      <w:sz w:val="18"/>
                      <w:szCs w:val="18"/>
                      <w:lang w:val="en-US" w:eastAsia="zh-CN"/>
                    </w:rPr>
                  </w:pPr>
                  <w:r>
                    <w:rPr>
                      <w:rFonts w:hint="eastAsia" w:ascii="Times New Roman" w:hAnsi="Times New Roman" w:eastAsia="宋体" w:cs="Times New Roman"/>
                      <w:color w:val="auto"/>
                      <w:spacing w:val="-11"/>
                      <w:sz w:val="18"/>
                      <w:szCs w:val="18"/>
                      <w:lang w:val="en-US" w:eastAsia="zh-CN"/>
                    </w:rPr>
                    <w:t>0.02kg/t-物料</w:t>
                  </w:r>
                </w:p>
              </w:tc>
              <w:tc>
                <w:tcPr>
                  <w:tcW w:w="1153" w:type="dxa"/>
                  <w:vAlign w:val="center"/>
                </w:tcPr>
                <w:p w14:paraId="14EFEB54">
                  <w:pPr>
                    <w:jc w:val="center"/>
                    <w:rPr>
                      <w:rFonts w:hint="default" w:ascii="Times New Roman" w:hAnsi="Times New Roman" w:eastAsia="宋体" w:cs="Times New Roman"/>
                      <w:color w:val="auto"/>
                      <w:spacing w:val="-11"/>
                      <w:sz w:val="18"/>
                      <w:szCs w:val="18"/>
                      <w:highlight w:val="none"/>
                      <w:lang w:val="en-US" w:eastAsia="zh-CN"/>
                    </w:rPr>
                  </w:pPr>
                  <w:r>
                    <w:rPr>
                      <w:rFonts w:hint="eastAsia" w:cs="Times New Roman"/>
                      <w:color w:val="auto"/>
                      <w:spacing w:val="-11"/>
                      <w:sz w:val="18"/>
                      <w:szCs w:val="18"/>
                      <w:highlight w:val="none"/>
                      <w:lang w:val="en-US" w:eastAsia="zh-CN"/>
                    </w:rPr>
                    <w:t>5</w:t>
                  </w:r>
                </w:p>
              </w:tc>
            </w:tr>
            <w:tr w14:paraId="00988C4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exact"/>
                <w:jc w:val="center"/>
              </w:trPr>
              <w:tc>
                <w:tcPr>
                  <w:tcW w:w="484" w:type="dxa"/>
                  <w:vMerge w:val="continue"/>
                  <w:vAlign w:val="center"/>
                </w:tcPr>
                <w:p w14:paraId="298E64B3">
                  <w:pPr>
                    <w:jc w:val="center"/>
                    <w:rPr>
                      <w:rFonts w:hint="eastAsia"/>
                      <w:color w:val="auto"/>
                      <w:spacing w:val="-11"/>
                      <w:sz w:val="18"/>
                      <w:szCs w:val="18"/>
                      <w:lang w:val="en-US" w:eastAsia="zh-CN"/>
                    </w:rPr>
                  </w:pPr>
                </w:p>
              </w:tc>
              <w:tc>
                <w:tcPr>
                  <w:tcW w:w="791" w:type="dxa"/>
                  <w:vMerge w:val="continue"/>
                  <w:vAlign w:val="center"/>
                </w:tcPr>
                <w:p w14:paraId="21FC4071">
                  <w:pPr>
                    <w:jc w:val="center"/>
                    <w:rPr>
                      <w:color w:val="auto"/>
                      <w:spacing w:val="-10"/>
                      <w:sz w:val="18"/>
                      <w:szCs w:val="18"/>
                    </w:rPr>
                  </w:pPr>
                </w:p>
              </w:tc>
              <w:tc>
                <w:tcPr>
                  <w:tcW w:w="1337" w:type="dxa"/>
                  <w:shd w:val="clear" w:color="auto" w:fill="auto"/>
                  <w:vAlign w:val="center"/>
                </w:tcPr>
                <w:p w14:paraId="7F19EEDE">
                  <w:pPr>
                    <w:jc w:val="center"/>
                    <w:rPr>
                      <w:rFonts w:hint="eastAsia" w:ascii="Times New Roman" w:hAnsi="Times New Roman" w:eastAsia="宋体" w:cs="Times New Roman"/>
                      <w:color w:val="auto"/>
                      <w:spacing w:val="-10"/>
                      <w:kern w:val="2"/>
                      <w:sz w:val="18"/>
                      <w:szCs w:val="18"/>
                      <w:highlight w:val="none"/>
                      <w:lang w:val="en-US" w:eastAsia="zh-CN" w:bidi="ar-SA"/>
                    </w:rPr>
                  </w:pPr>
                  <w:r>
                    <w:rPr>
                      <w:rFonts w:hint="eastAsia" w:cs="Times New Roman"/>
                      <w:color w:val="auto"/>
                      <w:spacing w:val="-10"/>
                      <w:kern w:val="2"/>
                      <w:sz w:val="18"/>
                      <w:szCs w:val="18"/>
                      <w:highlight w:val="none"/>
                      <w:lang w:val="en-US" w:eastAsia="zh-CN" w:bidi="ar-SA"/>
                    </w:rPr>
                    <w:t>1</w:t>
                  </w:r>
                  <w:r>
                    <w:rPr>
                      <w:rFonts w:hint="eastAsia" w:cs="Times New Roman"/>
                      <w:color w:val="auto"/>
                      <w:spacing w:val="-10"/>
                      <w:kern w:val="2"/>
                      <w:sz w:val="18"/>
                      <w:szCs w:val="18"/>
                      <w:highlight w:val="none"/>
                      <w:vertAlign w:val="superscript"/>
                      <w:lang w:val="en-US" w:eastAsia="zh-CN" w:bidi="ar-SA"/>
                    </w:rPr>
                    <w:t>#</w:t>
                  </w:r>
                  <w:r>
                    <w:rPr>
                      <w:rFonts w:hint="eastAsia" w:cs="Times New Roman"/>
                      <w:color w:val="auto"/>
                      <w:spacing w:val="-10"/>
                      <w:kern w:val="2"/>
                      <w:sz w:val="18"/>
                      <w:szCs w:val="18"/>
                      <w:highlight w:val="none"/>
                      <w:lang w:val="en-US" w:eastAsia="zh-CN" w:bidi="ar-SA"/>
                    </w:rPr>
                    <w:t>线滚筒筛</w:t>
                  </w:r>
                </w:p>
              </w:tc>
              <w:tc>
                <w:tcPr>
                  <w:tcW w:w="830" w:type="dxa"/>
                  <w:shd w:val="clear" w:color="auto" w:fill="auto"/>
                  <w:vAlign w:val="center"/>
                </w:tcPr>
                <w:p w14:paraId="70E3819A">
                  <w:pPr>
                    <w:jc w:val="center"/>
                    <w:rPr>
                      <w:rFonts w:hint="eastAsia" w:ascii="Times New Roman" w:hAnsi="Times New Roman" w:eastAsia="宋体" w:cs="Times New Roman"/>
                      <w:color w:val="auto"/>
                      <w:spacing w:val="-11"/>
                      <w:kern w:val="2"/>
                      <w:sz w:val="18"/>
                      <w:szCs w:val="18"/>
                      <w:highlight w:val="none"/>
                      <w:lang w:val="en-US" w:eastAsia="zh-CN" w:bidi="ar-SA"/>
                    </w:rPr>
                  </w:pPr>
                  <w:r>
                    <w:rPr>
                      <w:rFonts w:hint="eastAsia"/>
                      <w:color w:val="auto"/>
                      <w:spacing w:val="-11"/>
                      <w:sz w:val="18"/>
                      <w:szCs w:val="18"/>
                      <w:highlight w:val="none"/>
                      <w:lang w:val="en-US" w:eastAsia="zh-CN"/>
                    </w:rPr>
                    <w:t>1</w:t>
                  </w:r>
                </w:p>
              </w:tc>
              <w:tc>
                <w:tcPr>
                  <w:tcW w:w="1530" w:type="dxa"/>
                  <w:shd w:val="clear" w:color="auto" w:fill="auto"/>
                  <w:vAlign w:val="center"/>
                </w:tcPr>
                <w:p w14:paraId="6C2C5A4B">
                  <w:pPr>
                    <w:jc w:val="center"/>
                    <w:rPr>
                      <w:rFonts w:hint="eastAsia" w:ascii="Times New Roman" w:hAnsi="Times New Roman" w:eastAsia="宋体" w:cs="Times New Roman"/>
                      <w:color w:val="auto"/>
                      <w:spacing w:val="-11"/>
                      <w:kern w:val="2"/>
                      <w:sz w:val="18"/>
                      <w:szCs w:val="18"/>
                      <w:highlight w:val="none"/>
                      <w:lang w:val="en-US" w:eastAsia="zh-CN" w:bidi="ar-SA"/>
                    </w:rPr>
                  </w:pPr>
                  <w:r>
                    <w:rPr>
                      <w:rFonts w:hint="eastAsia" w:cs="Times New Roman"/>
                      <w:color w:val="auto"/>
                      <w:spacing w:val="-11"/>
                      <w:sz w:val="18"/>
                      <w:szCs w:val="18"/>
                      <w:highlight w:val="none"/>
                      <w:lang w:val="en-US" w:eastAsia="zh-CN"/>
                    </w:rPr>
                    <w:t>25</w:t>
                  </w:r>
                </w:p>
              </w:tc>
              <w:tc>
                <w:tcPr>
                  <w:tcW w:w="690" w:type="dxa"/>
                  <w:shd w:val="clear" w:color="auto" w:fill="auto"/>
                  <w:vAlign w:val="center"/>
                </w:tcPr>
                <w:p w14:paraId="0612A4A2">
                  <w:pPr>
                    <w:jc w:val="center"/>
                    <w:rPr>
                      <w:rFonts w:hint="eastAsia" w:ascii="Times New Roman" w:hAnsi="Times New Roman" w:eastAsia="宋体" w:cs="Times New Roman"/>
                      <w:color w:val="auto"/>
                      <w:spacing w:val="-11"/>
                      <w:kern w:val="2"/>
                      <w:sz w:val="18"/>
                      <w:szCs w:val="18"/>
                      <w:highlight w:val="none"/>
                      <w:lang w:val="en-US" w:eastAsia="zh-CN" w:bidi="ar-SA"/>
                    </w:rPr>
                  </w:pPr>
                  <w:r>
                    <w:rPr>
                      <w:rFonts w:hint="eastAsia"/>
                      <w:color w:val="auto"/>
                      <w:spacing w:val="-11"/>
                      <w:sz w:val="18"/>
                      <w:szCs w:val="18"/>
                      <w:highlight w:val="none"/>
                      <w:lang w:val="en-US" w:eastAsia="zh-CN"/>
                    </w:rPr>
                    <w:t>颗粒物</w:t>
                  </w:r>
                </w:p>
              </w:tc>
              <w:tc>
                <w:tcPr>
                  <w:tcW w:w="1222" w:type="dxa"/>
                  <w:shd w:val="clear" w:color="auto" w:fill="auto"/>
                  <w:vAlign w:val="center"/>
                </w:tcPr>
                <w:p w14:paraId="3CBF8A85">
                  <w:pPr>
                    <w:jc w:val="center"/>
                    <w:rPr>
                      <w:rFonts w:hint="default" w:ascii="Times New Roman" w:hAnsi="Times New Roman" w:eastAsia="宋体" w:cs="Times New Roman"/>
                      <w:color w:val="auto"/>
                      <w:spacing w:val="-11"/>
                      <w:kern w:val="2"/>
                      <w:sz w:val="18"/>
                      <w:szCs w:val="18"/>
                      <w:highlight w:val="none"/>
                      <w:lang w:val="en-US" w:eastAsia="zh-CN" w:bidi="ar-SA"/>
                    </w:rPr>
                  </w:pPr>
                  <w:r>
                    <w:rPr>
                      <w:rFonts w:hint="eastAsia" w:cs="Times New Roman"/>
                      <w:color w:val="auto"/>
                      <w:spacing w:val="-11"/>
                      <w:kern w:val="2"/>
                      <w:sz w:val="18"/>
                      <w:szCs w:val="18"/>
                      <w:highlight w:val="none"/>
                      <w:lang w:val="en-US" w:eastAsia="zh-CN" w:bidi="ar-SA"/>
                    </w:rPr>
                    <w:t>0.05%</w:t>
                  </w:r>
                </w:p>
              </w:tc>
              <w:tc>
                <w:tcPr>
                  <w:tcW w:w="1153" w:type="dxa"/>
                  <w:shd w:val="clear" w:color="auto" w:fill="auto"/>
                  <w:vAlign w:val="center"/>
                </w:tcPr>
                <w:p w14:paraId="4524A5E0">
                  <w:pPr>
                    <w:jc w:val="center"/>
                    <w:rPr>
                      <w:rFonts w:hint="eastAsia" w:ascii="Times New Roman" w:hAnsi="Times New Roman" w:eastAsia="宋体" w:cs="Times New Roman"/>
                      <w:color w:val="auto"/>
                      <w:spacing w:val="-11"/>
                      <w:kern w:val="2"/>
                      <w:sz w:val="18"/>
                      <w:szCs w:val="18"/>
                      <w:highlight w:val="none"/>
                      <w:lang w:val="en-US" w:eastAsia="zh-CN" w:bidi="ar-SA"/>
                    </w:rPr>
                  </w:pPr>
                  <w:r>
                    <w:rPr>
                      <w:rFonts w:hint="eastAsia" w:cs="Times New Roman"/>
                      <w:color w:val="auto"/>
                      <w:spacing w:val="-11"/>
                      <w:sz w:val="18"/>
                      <w:szCs w:val="18"/>
                      <w:highlight w:val="none"/>
                      <w:lang w:val="en-US" w:eastAsia="zh-CN"/>
                    </w:rPr>
                    <w:t>125</w:t>
                  </w:r>
                </w:p>
              </w:tc>
            </w:tr>
            <w:tr w14:paraId="21059E4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exact"/>
                <w:jc w:val="center"/>
              </w:trPr>
              <w:tc>
                <w:tcPr>
                  <w:tcW w:w="484" w:type="dxa"/>
                  <w:vMerge w:val="continue"/>
                  <w:vAlign w:val="center"/>
                </w:tcPr>
                <w:p w14:paraId="215DE49E">
                  <w:pPr>
                    <w:jc w:val="center"/>
                    <w:rPr>
                      <w:rFonts w:hint="eastAsia"/>
                      <w:color w:val="auto"/>
                      <w:spacing w:val="-11"/>
                      <w:sz w:val="18"/>
                      <w:szCs w:val="18"/>
                      <w:lang w:val="en-US" w:eastAsia="zh-CN"/>
                    </w:rPr>
                  </w:pPr>
                </w:p>
              </w:tc>
              <w:tc>
                <w:tcPr>
                  <w:tcW w:w="791" w:type="dxa"/>
                  <w:vMerge w:val="continue"/>
                  <w:vAlign w:val="center"/>
                </w:tcPr>
                <w:p w14:paraId="6C8045FD">
                  <w:pPr>
                    <w:jc w:val="center"/>
                    <w:rPr>
                      <w:color w:val="auto"/>
                      <w:spacing w:val="-10"/>
                      <w:sz w:val="18"/>
                      <w:szCs w:val="18"/>
                    </w:rPr>
                  </w:pPr>
                </w:p>
              </w:tc>
              <w:tc>
                <w:tcPr>
                  <w:tcW w:w="1337" w:type="dxa"/>
                  <w:shd w:val="clear" w:color="auto" w:fill="auto"/>
                  <w:vAlign w:val="center"/>
                </w:tcPr>
                <w:p w14:paraId="020D3986">
                  <w:pPr>
                    <w:jc w:val="center"/>
                    <w:rPr>
                      <w:rFonts w:hint="eastAsia" w:ascii="Times New Roman" w:hAnsi="Times New Roman" w:eastAsia="宋体" w:cs="Times New Roman"/>
                      <w:color w:val="auto"/>
                      <w:spacing w:val="-10"/>
                      <w:kern w:val="2"/>
                      <w:sz w:val="18"/>
                      <w:szCs w:val="18"/>
                      <w:highlight w:val="none"/>
                      <w:lang w:val="en-US" w:eastAsia="zh-CN" w:bidi="ar-SA"/>
                    </w:rPr>
                  </w:pPr>
                  <w:r>
                    <w:rPr>
                      <w:rFonts w:hint="eastAsia" w:cs="Times New Roman"/>
                      <w:color w:val="auto"/>
                      <w:spacing w:val="-10"/>
                      <w:kern w:val="2"/>
                      <w:sz w:val="18"/>
                      <w:szCs w:val="18"/>
                      <w:highlight w:val="none"/>
                      <w:lang w:val="en-US" w:eastAsia="zh-CN" w:bidi="ar-SA"/>
                    </w:rPr>
                    <w:t>1</w:t>
                  </w:r>
                  <w:r>
                    <w:rPr>
                      <w:rFonts w:hint="eastAsia" w:cs="Times New Roman"/>
                      <w:color w:val="auto"/>
                      <w:spacing w:val="-10"/>
                      <w:kern w:val="2"/>
                      <w:sz w:val="18"/>
                      <w:szCs w:val="18"/>
                      <w:highlight w:val="none"/>
                      <w:vertAlign w:val="superscript"/>
                      <w:lang w:val="en-US" w:eastAsia="zh-CN" w:bidi="ar-SA"/>
                    </w:rPr>
                    <w:t>#</w:t>
                  </w:r>
                  <w:r>
                    <w:rPr>
                      <w:rFonts w:hint="eastAsia" w:cs="Times New Roman"/>
                      <w:color w:val="auto"/>
                      <w:spacing w:val="-10"/>
                      <w:kern w:val="2"/>
                      <w:sz w:val="18"/>
                      <w:szCs w:val="18"/>
                      <w:highlight w:val="none"/>
                      <w:lang w:val="en-US" w:eastAsia="zh-CN" w:bidi="ar-SA"/>
                    </w:rPr>
                    <w:t>空气分选机</w:t>
                  </w:r>
                </w:p>
              </w:tc>
              <w:tc>
                <w:tcPr>
                  <w:tcW w:w="830" w:type="dxa"/>
                  <w:shd w:val="clear" w:color="auto" w:fill="auto"/>
                  <w:vAlign w:val="center"/>
                </w:tcPr>
                <w:p w14:paraId="480F33B2">
                  <w:pPr>
                    <w:jc w:val="center"/>
                    <w:rPr>
                      <w:rFonts w:hint="eastAsia" w:ascii="Times New Roman" w:hAnsi="Times New Roman" w:eastAsia="宋体" w:cs="Times New Roman"/>
                      <w:color w:val="auto"/>
                      <w:spacing w:val="-11"/>
                      <w:kern w:val="2"/>
                      <w:sz w:val="18"/>
                      <w:szCs w:val="18"/>
                      <w:highlight w:val="none"/>
                      <w:lang w:val="en-US" w:eastAsia="zh-CN" w:bidi="ar-SA"/>
                    </w:rPr>
                  </w:pPr>
                  <w:r>
                    <w:rPr>
                      <w:rFonts w:hint="eastAsia"/>
                      <w:color w:val="auto"/>
                      <w:spacing w:val="-11"/>
                      <w:sz w:val="18"/>
                      <w:szCs w:val="18"/>
                      <w:highlight w:val="none"/>
                      <w:lang w:val="en-US" w:eastAsia="zh-CN"/>
                    </w:rPr>
                    <w:t>1</w:t>
                  </w:r>
                </w:p>
              </w:tc>
              <w:tc>
                <w:tcPr>
                  <w:tcW w:w="1530" w:type="dxa"/>
                  <w:shd w:val="clear" w:color="auto" w:fill="auto"/>
                  <w:vAlign w:val="center"/>
                </w:tcPr>
                <w:p w14:paraId="6EAAF2FD">
                  <w:pPr>
                    <w:jc w:val="center"/>
                    <w:rPr>
                      <w:rFonts w:hint="default" w:ascii="Times New Roman" w:hAnsi="Times New Roman" w:eastAsia="宋体" w:cs="Times New Roman"/>
                      <w:color w:val="auto"/>
                      <w:spacing w:val="-11"/>
                      <w:kern w:val="2"/>
                      <w:sz w:val="18"/>
                      <w:szCs w:val="18"/>
                      <w:highlight w:val="none"/>
                      <w:lang w:val="en-US" w:eastAsia="zh-CN" w:bidi="ar-SA"/>
                    </w:rPr>
                  </w:pPr>
                  <w:r>
                    <w:rPr>
                      <w:rFonts w:hint="eastAsia" w:cs="Times New Roman"/>
                      <w:color w:val="auto"/>
                      <w:spacing w:val="-11"/>
                      <w:sz w:val="18"/>
                      <w:szCs w:val="18"/>
                      <w:highlight w:val="none"/>
                      <w:lang w:val="en-US" w:eastAsia="zh-CN"/>
                    </w:rPr>
                    <w:t>16.675</w:t>
                  </w:r>
                </w:p>
              </w:tc>
              <w:tc>
                <w:tcPr>
                  <w:tcW w:w="690" w:type="dxa"/>
                  <w:shd w:val="clear" w:color="auto" w:fill="auto"/>
                  <w:vAlign w:val="center"/>
                </w:tcPr>
                <w:p w14:paraId="217669E7">
                  <w:pPr>
                    <w:jc w:val="center"/>
                    <w:rPr>
                      <w:rFonts w:hint="eastAsia" w:ascii="Times New Roman" w:hAnsi="Times New Roman" w:eastAsia="宋体" w:cs="Times New Roman"/>
                      <w:color w:val="auto"/>
                      <w:spacing w:val="-11"/>
                      <w:kern w:val="2"/>
                      <w:sz w:val="18"/>
                      <w:szCs w:val="18"/>
                      <w:highlight w:val="none"/>
                      <w:lang w:val="en-US" w:eastAsia="zh-CN" w:bidi="ar-SA"/>
                    </w:rPr>
                  </w:pPr>
                  <w:r>
                    <w:rPr>
                      <w:rFonts w:hint="eastAsia"/>
                      <w:color w:val="auto"/>
                      <w:spacing w:val="-11"/>
                      <w:sz w:val="18"/>
                      <w:szCs w:val="18"/>
                      <w:highlight w:val="none"/>
                      <w:lang w:val="en-US" w:eastAsia="zh-CN"/>
                    </w:rPr>
                    <w:t>颗粒物</w:t>
                  </w:r>
                </w:p>
              </w:tc>
              <w:tc>
                <w:tcPr>
                  <w:tcW w:w="1222" w:type="dxa"/>
                  <w:shd w:val="clear" w:color="auto" w:fill="auto"/>
                  <w:vAlign w:val="center"/>
                </w:tcPr>
                <w:p w14:paraId="10186329">
                  <w:pPr>
                    <w:jc w:val="center"/>
                    <w:rPr>
                      <w:rFonts w:hint="eastAsia" w:ascii="Times New Roman" w:hAnsi="Times New Roman" w:eastAsia="宋体" w:cs="Times New Roman"/>
                      <w:color w:val="auto"/>
                      <w:spacing w:val="-11"/>
                      <w:kern w:val="2"/>
                      <w:sz w:val="18"/>
                      <w:szCs w:val="18"/>
                      <w:highlight w:val="none"/>
                      <w:lang w:val="en-US" w:eastAsia="zh-CN" w:bidi="ar-SA"/>
                    </w:rPr>
                  </w:pPr>
                  <w:r>
                    <w:rPr>
                      <w:rFonts w:hint="eastAsia" w:ascii="Times New Roman" w:hAnsi="Times New Roman" w:eastAsia="宋体" w:cs="Times New Roman"/>
                      <w:color w:val="auto"/>
                      <w:spacing w:val="-11"/>
                      <w:sz w:val="18"/>
                      <w:szCs w:val="18"/>
                      <w:highlight w:val="none"/>
                      <w:lang w:val="en-US" w:eastAsia="zh-CN"/>
                    </w:rPr>
                    <w:t>0.</w:t>
                  </w:r>
                  <w:r>
                    <w:rPr>
                      <w:rFonts w:hint="eastAsia" w:cs="Times New Roman"/>
                      <w:color w:val="auto"/>
                      <w:spacing w:val="-11"/>
                      <w:sz w:val="18"/>
                      <w:szCs w:val="18"/>
                      <w:highlight w:val="none"/>
                      <w:lang w:val="en-US" w:eastAsia="zh-CN"/>
                    </w:rPr>
                    <w:t>248</w:t>
                  </w:r>
                  <w:r>
                    <w:rPr>
                      <w:rFonts w:hint="eastAsia" w:ascii="Times New Roman" w:hAnsi="Times New Roman" w:eastAsia="宋体" w:cs="Times New Roman"/>
                      <w:color w:val="auto"/>
                      <w:spacing w:val="-11"/>
                      <w:sz w:val="18"/>
                      <w:szCs w:val="18"/>
                      <w:highlight w:val="none"/>
                      <w:lang w:val="en-US" w:eastAsia="zh-CN"/>
                    </w:rPr>
                    <w:t>kg/t-原料</w:t>
                  </w:r>
                </w:p>
              </w:tc>
              <w:tc>
                <w:tcPr>
                  <w:tcW w:w="1153" w:type="dxa"/>
                  <w:shd w:val="clear" w:color="auto" w:fill="auto"/>
                  <w:vAlign w:val="center"/>
                </w:tcPr>
                <w:p w14:paraId="0002BA85">
                  <w:pPr>
                    <w:jc w:val="center"/>
                    <w:rPr>
                      <w:rFonts w:hint="default" w:ascii="Times New Roman" w:hAnsi="Times New Roman" w:eastAsia="宋体" w:cs="Times New Roman"/>
                      <w:color w:val="auto"/>
                      <w:spacing w:val="-11"/>
                      <w:kern w:val="2"/>
                      <w:sz w:val="18"/>
                      <w:szCs w:val="18"/>
                      <w:highlight w:val="none"/>
                      <w:lang w:val="en-US" w:eastAsia="zh-CN" w:bidi="ar-SA"/>
                    </w:rPr>
                  </w:pPr>
                  <w:r>
                    <w:rPr>
                      <w:rFonts w:hint="eastAsia" w:cs="Times New Roman"/>
                      <w:color w:val="auto"/>
                      <w:spacing w:val="-11"/>
                      <w:sz w:val="18"/>
                      <w:szCs w:val="18"/>
                      <w:highlight w:val="none"/>
                      <w:lang w:val="en-US" w:eastAsia="zh-CN"/>
                    </w:rPr>
                    <w:t>41.354</w:t>
                  </w:r>
                </w:p>
              </w:tc>
            </w:tr>
            <w:tr w14:paraId="410557D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94" w:hRule="exact"/>
                <w:jc w:val="center"/>
              </w:trPr>
              <w:tc>
                <w:tcPr>
                  <w:tcW w:w="484" w:type="dxa"/>
                  <w:vMerge w:val="continue"/>
                  <w:vAlign w:val="center"/>
                </w:tcPr>
                <w:p w14:paraId="41C8CB11">
                  <w:pPr>
                    <w:jc w:val="center"/>
                    <w:rPr>
                      <w:rFonts w:hint="eastAsia" w:ascii="Times New Roman" w:hAnsi="Times New Roman" w:eastAsia="宋体" w:cs="Times New Roman"/>
                      <w:color w:val="auto"/>
                      <w:spacing w:val="-11"/>
                      <w:kern w:val="2"/>
                      <w:sz w:val="18"/>
                      <w:szCs w:val="18"/>
                      <w:lang w:val="en-US" w:eastAsia="zh-CN" w:bidi="ar-SA"/>
                    </w:rPr>
                  </w:pPr>
                </w:p>
              </w:tc>
              <w:tc>
                <w:tcPr>
                  <w:tcW w:w="791" w:type="dxa"/>
                  <w:vMerge w:val="continue"/>
                  <w:vAlign w:val="center"/>
                </w:tcPr>
                <w:p w14:paraId="219D1CDA">
                  <w:pPr>
                    <w:jc w:val="center"/>
                    <w:rPr>
                      <w:color w:val="auto"/>
                      <w:spacing w:val="-10"/>
                      <w:sz w:val="18"/>
                      <w:szCs w:val="18"/>
                    </w:rPr>
                  </w:pPr>
                </w:p>
              </w:tc>
              <w:tc>
                <w:tcPr>
                  <w:tcW w:w="1337" w:type="dxa"/>
                  <w:shd w:val="clear" w:color="auto" w:fill="auto"/>
                  <w:vAlign w:val="center"/>
                </w:tcPr>
                <w:p w14:paraId="4666B769">
                  <w:pPr>
                    <w:jc w:val="center"/>
                    <w:rPr>
                      <w:rFonts w:hint="eastAsia" w:ascii="Times New Roman" w:hAnsi="Times New Roman" w:eastAsia="宋体" w:cs="Times New Roman"/>
                      <w:color w:val="auto"/>
                      <w:spacing w:val="-10"/>
                      <w:kern w:val="2"/>
                      <w:sz w:val="18"/>
                      <w:szCs w:val="18"/>
                      <w:lang w:val="en-US" w:eastAsia="zh-CN" w:bidi="ar-SA"/>
                    </w:rPr>
                  </w:pPr>
                  <w:r>
                    <w:rPr>
                      <w:rFonts w:hint="eastAsia" w:ascii="Times New Roman" w:hAnsi="Times New Roman" w:eastAsia="宋体" w:cs="Times New Roman"/>
                      <w:color w:val="auto"/>
                      <w:spacing w:val="-10"/>
                      <w:kern w:val="2"/>
                      <w:sz w:val="18"/>
                      <w:szCs w:val="18"/>
                      <w:lang w:val="en-US" w:eastAsia="zh-CN" w:bidi="ar-SA"/>
                    </w:rPr>
                    <w:t>2</w:t>
                  </w:r>
                  <w:r>
                    <w:rPr>
                      <w:rFonts w:hint="eastAsia" w:ascii="Times New Roman" w:hAnsi="Times New Roman" w:eastAsia="宋体" w:cs="Times New Roman"/>
                      <w:color w:val="auto"/>
                      <w:spacing w:val="-10"/>
                      <w:kern w:val="2"/>
                      <w:sz w:val="18"/>
                      <w:szCs w:val="18"/>
                      <w:vertAlign w:val="superscript"/>
                      <w:lang w:val="en-US" w:eastAsia="zh-CN" w:bidi="ar-SA"/>
                    </w:rPr>
                    <w:t>#</w:t>
                  </w:r>
                  <w:r>
                    <w:rPr>
                      <w:rFonts w:hint="eastAsia" w:ascii="Times New Roman" w:hAnsi="Times New Roman" w:eastAsia="宋体" w:cs="Times New Roman"/>
                      <w:color w:val="auto"/>
                      <w:spacing w:val="-10"/>
                      <w:kern w:val="2"/>
                      <w:sz w:val="18"/>
                      <w:szCs w:val="18"/>
                      <w:lang w:val="en-US" w:eastAsia="zh-CN" w:bidi="ar-SA"/>
                    </w:rPr>
                    <w:t>线一次漂洗前上料仓</w:t>
                  </w:r>
                </w:p>
              </w:tc>
              <w:tc>
                <w:tcPr>
                  <w:tcW w:w="830" w:type="dxa"/>
                  <w:vAlign w:val="center"/>
                </w:tcPr>
                <w:p w14:paraId="07A71562">
                  <w:pPr>
                    <w:jc w:val="center"/>
                    <w:rPr>
                      <w:rFonts w:hint="eastAsia" w:eastAsia="宋体"/>
                      <w:color w:val="auto"/>
                      <w:spacing w:val="-11"/>
                      <w:sz w:val="18"/>
                      <w:szCs w:val="18"/>
                      <w:lang w:val="en-US" w:eastAsia="zh-CN"/>
                    </w:rPr>
                  </w:pPr>
                  <w:r>
                    <w:rPr>
                      <w:rFonts w:hint="eastAsia"/>
                      <w:color w:val="auto"/>
                      <w:spacing w:val="-11"/>
                      <w:sz w:val="18"/>
                      <w:szCs w:val="18"/>
                      <w:lang w:val="en-US" w:eastAsia="zh-CN"/>
                    </w:rPr>
                    <w:t>1</w:t>
                  </w:r>
                </w:p>
              </w:tc>
              <w:tc>
                <w:tcPr>
                  <w:tcW w:w="1530" w:type="dxa"/>
                  <w:vAlign w:val="center"/>
                </w:tcPr>
                <w:p w14:paraId="1F8E3F01">
                  <w:pPr>
                    <w:jc w:val="center"/>
                    <w:rPr>
                      <w:rFonts w:hint="default" w:ascii="Times New Roman" w:hAnsi="Times New Roman" w:eastAsia="宋体" w:cs="Times New Roman"/>
                      <w:color w:val="auto"/>
                      <w:spacing w:val="-11"/>
                      <w:sz w:val="18"/>
                      <w:szCs w:val="18"/>
                      <w:highlight w:val="none"/>
                      <w:lang w:val="en-US" w:eastAsia="zh-CN"/>
                    </w:rPr>
                  </w:pPr>
                  <w:r>
                    <w:rPr>
                      <w:rFonts w:hint="eastAsia" w:cs="Times New Roman"/>
                      <w:color w:val="auto"/>
                      <w:spacing w:val="-11"/>
                      <w:sz w:val="18"/>
                      <w:szCs w:val="18"/>
                      <w:highlight w:val="none"/>
                      <w:lang w:val="en-US" w:eastAsia="zh-CN"/>
                    </w:rPr>
                    <w:t>25</w:t>
                  </w:r>
                </w:p>
              </w:tc>
              <w:tc>
                <w:tcPr>
                  <w:tcW w:w="690" w:type="dxa"/>
                  <w:vAlign w:val="center"/>
                </w:tcPr>
                <w:p w14:paraId="6F131CB0">
                  <w:pPr>
                    <w:jc w:val="center"/>
                    <w:rPr>
                      <w:rFonts w:hint="eastAsia"/>
                      <w:color w:val="auto"/>
                      <w:spacing w:val="-11"/>
                      <w:sz w:val="18"/>
                      <w:szCs w:val="18"/>
                      <w:lang w:val="en-US" w:eastAsia="zh-CN"/>
                    </w:rPr>
                  </w:pPr>
                  <w:r>
                    <w:rPr>
                      <w:rFonts w:hint="eastAsia"/>
                      <w:color w:val="auto"/>
                      <w:spacing w:val="-11"/>
                      <w:sz w:val="18"/>
                      <w:szCs w:val="18"/>
                      <w:lang w:val="en-US" w:eastAsia="zh-CN"/>
                    </w:rPr>
                    <w:t>颗粒物</w:t>
                  </w:r>
                </w:p>
              </w:tc>
              <w:tc>
                <w:tcPr>
                  <w:tcW w:w="1222" w:type="dxa"/>
                  <w:vAlign w:val="center"/>
                </w:tcPr>
                <w:p w14:paraId="7FE37A0E">
                  <w:pPr>
                    <w:jc w:val="center"/>
                    <w:rPr>
                      <w:rFonts w:hint="eastAsia" w:ascii="Times New Roman" w:hAnsi="Times New Roman" w:eastAsia="宋体" w:cs="Times New Roman"/>
                      <w:color w:val="auto"/>
                      <w:spacing w:val="-11"/>
                      <w:sz w:val="18"/>
                      <w:szCs w:val="18"/>
                      <w:lang w:val="en-US" w:eastAsia="zh-CN"/>
                    </w:rPr>
                  </w:pPr>
                  <w:r>
                    <w:rPr>
                      <w:rFonts w:hint="eastAsia" w:ascii="Times New Roman" w:hAnsi="Times New Roman" w:eastAsia="宋体" w:cs="Times New Roman"/>
                      <w:color w:val="auto"/>
                      <w:spacing w:val="-11"/>
                      <w:sz w:val="18"/>
                      <w:szCs w:val="18"/>
                      <w:lang w:val="en-US" w:eastAsia="zh-CN"/>
                    </w:rPr>
                    <w:t>0.02kg/t-物料</w:t>
                  </w:r>
                </w:p>
              </w:tc>
              <w:tc>
                <w:tcPr>
                  <w:tcW w:w="1153" w:type="dxa"/>
                  <w:vAlign w:val="center"/>
                </w:tcPr>
                <w:p w14:paraId="69C0D7B2">
                  <w:pPr>
                    <w:jc w:val="center"/>
                    <w:rPr>
                      <w:rFonts w:hint="default" w:ascii="Times New Roman" w:hAnsi="Times New Roman" w:eastAsia="宋体" w:cs="Times New Roman"/>
                      <w:color w:val="auto"/>
                      <w:spacing w:val="-11"/>
                      <w:sz w:val="18"/>
                      <w:szCs w:val="18"/>
                      <w:highlight w:val="none"/>
                      <w:lang w:val="en-US" w:eastAsia="zh-CN"/>
                    </w:rPr>
                  </w:pPr>
                  <w:r>
                    <w:rPr>
                      <w:rFonts w:hint="eastAsia" w:cs="Times New Roman"/>
                      <w:color w:val="auto"/>
                      <w:spacing w:val="-11"/>
                      <w:sz w:val="18"/>
                      <w:szCs w:val="18"/>
                      <w:highlight w:val="none"/>
                      <w:lang w:val="en-US" w:eastAsia="zh-CN"/>
                    </w:rPr>
                    <w:t>5</w:t>
                  </w:r>
                </w:p>
              </w:tc>
            </w:tr>
            <w:tr w14:paraId="1F2CFA3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exact"/>
                <w:jc w:val="center"/>
              </w:trPr>
              <w:tc>
                <w:tcPr>
                  <w:tcW w:w="484" w:type="dxa"/>
                  <w:vMerge w:val="continue"/>
                  <w:vAlign w:val="center"/>
                </w:tcPr>
                <w:p w14:paraId="1BBAFBE5">
                  <w:pPr>
                    <w:jc w:val="center"/>
                    <w:rPr>
                      <w:rFonts w:hint="eastAsia"/>
                      <w:color w:val="auto"/>
                      <w:spacing w:val="-11"/>
                      <w:sz w:val="18"/>
                      <w:szCs w:val="18"/>
                      <w:lang w:val="en-US" w:eastAsia="zh-CN"/>
                    </w:rPr>
                  </w:pPr>
                </w:p>
              </w:tc>
              <w:tc>
                <w:tcPr>
                  <w:tcW w:w="791" w:type="dxa"/>
                  <w:vMerge w:val="continue"/>
                  <w:vAlign w:val="center"/>
                </w:tcPr>
                <w:p w14:paraId="0D24F772">
                  <w:pPr>
                    <w:jc w:val="center"/>
                    <w:rPr>
                      <w:color w:val="auto"/>
                      <w:spacing w:val="-10"/>
                      <w:sz w:val="18"/>
                      <w:szCs w:val="18"/>
                    </w:rPr>
                  </w:pPr>
                </w:p>
              </w:tc>
              <w:tc>
                <w:tcPr>
                  <w:tcW w:w="1337" w:type="dxa"/>
                  <w:shd w:val="clear" w:color="auto" w:fill="auto"/>
                  <w:vAlign w:val="center"/>
                </w:tcPr>
                <w:p w14:paraId="6CC8777A">
                  <w:pPr>
                    <w:jc w:val="center"/>
                    <w:rPr>
                      <w:rFonts w:hint="eastAsia" w:ascii="Times New Roman" w:hAnsi="Times New Roman" w:eastAsia="宋体" w:cs="Times New Roman"/>
                      <w:color w:val="auto"/>
                      <w:spacing w:val="-10"/>
                      <w:kern w:val="2"/>
                      <w:sz w:val="18"/>
                      <w:szCs w:val="18"/>
                      <w:highlight w:val="none"/>
                      <w:lang w:val="en-US" w:eastAsia="zh-CN" w:bidi="ar-SA"/>
                    </w:rPr>
                  </w:pPr>
                  <w:r>
                    <w:rPr>
                      <w:rFonts w:hint="eastAsia" w:cs="Times New Roman"/>
                      <w:color w:val="auto"/>
                      <w:spacing w:val="-10"/>
                      <w:kern w:val="2"/>
                      <w:sz w:val="18"/>
                      <w:szCs w:val="18"/>
                      <w:highlight w:val="none"/>
                      <w:lang w:val="en-US" w:eastAsia="zh-CN" w:bidi="ar-SA"/>
                    </w:rPr>
                    <w:t>2</w:t>
                  </w:r>
                  <w:r>
                    <w:rPr>
                      <w:rFonts w:hint="eastAsia" w:cs="Times New Roman"/>
                      <w:color w:val="auto"/>
                      <w:spacing w:val="-10"/>
                      <w:kern w:val="2"/>
                      <w:sz w:val="18"/>
                      <w:szCs w:val="18"/>
                      <w:highlight w:val="none"/>
                      <w:vertAlign w:val="superscript"/>
                      <w:lang w:val="en-US" w:eastAsia="zh-CN" w:bidi="ar-SA"/>
                    </w:rPr>
                    <w:t>#</w:t>
                  </w:r>
                  <w:r>
                    <w:rPr>
                      <w:rFonts w:hint="eastAsia" w:cs="Times New Roman"/>
                      <w:color w:val="auto"/>
                      <w:spacing w:val="-10"/>
                      <w:kern w:val="2"/>
                      <w:sz w:val="18"/>
                      <w:szCs w:val="18"/>
                      <w:highlight w:val="none"/>
                      <w:lang w:val="en-US" w:eastAsia="zh-CN" w:bidi="ar-SA"/>
                    </w:rPr>
                    <w:t>线滚筒筛</w:t>
                  </w:r>
                </w:p>
              </w:tc>
              <w:tc>
                <w:tcPr>
                  <w:tcW w:w="830" w:type="dxa"/>
                  <w:vAlign w:val="center"/>
                </w:tcPr>
                <w:p w14:paraId="7420589B">
                  <w:pPr>
                    <w:jc w:val="center"/>
                    <w:rPr>
                      <w:rFonts w:hint="default"/>
                      <w:color w:val="auto"/>
                      <w:spacing w:val="-11"/>
                      <w:sz w:val="18"/>
                      <w:szCs w:val="18"/>
                      <w:highlight w:val="none"/>
                      <w:lang w:val="en-US" w:eastAsia="zh-CN"/>
                    </w:rPr>
                  </w:pPr>
                  <w:r>
                    <w:rPr>
                      <w:rFonts w:hint="eastAsia"/>
                      <w:color w:val="auto"/>
                      <w:spacing w:val="-11"/>
                      <w:sz w:val="18"/>
                      <w:szCs w:val="18"/>
                      <w:highlight w:val="none"/>
                      <w:lang w:val="en-US" w:eastAsia="zh-CN"/>
                    </w:rPr>
                    <w:t>1</w:t>
                  </w:r>
                </w:p>
              </w:tc>
              <w:tc>
                <w:tcPr>
                  <w:tcW w:w="1530" w:type="dxa"/>
                  <w:vAlign w:val="center"/>
                </w:tcPr>
                <w:p w14:paraId="3037F0BB">
                  <w:pPr>
                    <w:jc w:val="center"/>
                    <w:rPr>
                      <w:rFonts w:hint="default" w:cs="Times New Roman"/>
                      <w:color w:val="auto"/>
                      <w:spacing w:val="-11"/>
                      <w:sz w:val="18"/>
                      <w:szCs w:val="18"/>
                      <w:highlight w:val="none"/>
                      <w:lang w:val="en-US" w:eastAsia="zh-CN"/>
                    </w:rPr>
                  </w:pPr>
                  <w:r>
                    <w:rPr>
                      <w:rFonts w:hint="eastAsia" w:cs="Times New Roman"/>
                      <w:color w:val="auto"/>
                      <w:spacing w:val="-11"/>
                      <w:sz w:val="18"/>
                      <w:szCs w:val="18"/>
                      <w:highlight w:val="none"/>
                      <w:lang w:val="en-US" w:eastAsia="zh-CN"/>
                    </w:rPr>
                    <w:t>25</w:t>
                  </w:r>
                </w:p>
              </w:tc>
              <w:tc>
                <w:tcPr>
                  <w:tcW w:w="690" w:type="dxa"/>
                  <w:vAlign w:val="center"/>
                </w:tcPr>
                <w:p w14:paraId="4C0E39FA">
                  <w:pPr>
                    <w:jc w:val="center"/>
                    <w:rPr>
                      <w:rFonts w:hint="eastAsia"/>
                      <w:color w:val="auto"/>
                      <w:spacing w:val="-11"/>
                      <w:sz w:val="18"/>
                      <w:szCs w:val="18"/>
                      <w:highlight w:val="none"/>
                      <w:lang w:val="en-US" w:eastAsia="zh-CN"/>
                    </w:rPr>
                  </w:pPr>
                  <w:r>
                    <w:rPr>
                      <w:rFonts w:hint="eastAsia"/>
                      <w:color w:val="auto"/>
                      <w:spacing w:val="-11"/>
                      <w:sz w:val="18"/>
                      <w:szCs w:val="18"/>
                      <w:highlight w:val="none"/>
                      <w:lang w:val="en-US" w:eastAsia="zh-CN"/>
                    </w:rPr>
                    <w:t>颗粒物</w:t>
                  </w:r>
                </w:p>
                <w:p w14:paraId="4BD9825E">
                  <w:pPr>
                    <w:jc w:val="center"/>
                    <w:rPr>
                      <w:rFonts w:hint="eastAsia"/>
                      <w:color w:val="auto"/>
                      <w:spacing w:val="-11"/>
                      <w:sz w:val="18"/>
                      <w:szCs w:val="18"/>
                      <w:highlight w:val="none"/>
                      <w:lang w:val="en-US" w:eastAsia="zh-CN"/>
                    </w:rPr>
                  </w:pPr>
                </w:p>
              </w:tc>
              <w:tc>
                <w:tcPr>
                  <w:tcW w:w="1222" w:type="dxa"/>
                  <w:vAlign w:val="center"/>
                </w:tcPr>
                <w:p w14:paraId="14A60082">
                  <w:pPr>
                    <w:jc w:val="center"/>
                    <w:rPr>
                      <w:rFonts w:hint="eastAsia" w:ascii="Times New Roman" w:hAnsi="Times New Roman" w:eastAsia="宋体" w:cs="Times New Roman"/>
                      <w:color w:val="auto"/>
                      <w:spacing w:val="-11"/>
                      <w:sz w:val="18"/>
                      <w:szCs w:val="18"/>
                      <w:highlight w:val="none"/>
                      <w:lang w:val="en-US" w:eastAsia="zh-CN"/>
                    </w:rPr>
                  </w:pPr>
                  <w:r>
                    <w:rPr>
                      <w:rFonts w:hint="eastAsia" w:cs="Times New Roman"/>
                      <w:color w:val="auto"/>
                      <w:spacing w:val="-11"/>
                      <w:kern w:val="2"/>
                      <w:sz w:val="18"/>
                      <w:szCs w:val="18"/>
                      <w:highlight w:val="none"/>
                      <w:lang w:val="en-US" w:eastAsia="zh-CN" w:bidi="ar-SA"/>
                    </w:rPr>
                    <w:t>0.05%</w:t>
                  </w:r>
                </w:p>
              </w:tc>
              <w:tc>
                <w:tcPr>
                  <w:tcW w:w="1153" w:type="dxa"/>
                  <w:vAlign w:val="center"/>
                </w:tcPr>
                <w:p w14:paraId="685AC6EC">
                  <w:pPr>
                    <w:jc w:val="center"/>
                    <w:rPr>
                      <w:rFonts w:hint="default" w:cs="Times New Roman"/>
                      <w:color w:val="auto"/>
                      <w:spacing w:val="-11"/>
                      <w:sz w:val="18"/>
                      <w:szCs w:val="18"/>
                      <w:highlight w:val="none"/>
                      <w:lang w:val="en-US" w:eastAsia="zh-CN"/>
                    </w:rPr>
                  </w:pPr>
                  <w:r>
                    <w:rPr>
                      <w:rFonts w:hint="eastAsia" w:cs="Times New Roman"/>
                      <w:color w:val="auto"/>
                      <w:spacing w:val="-11"/>
                      <w:sz w:val="18"/>
                      <w:szCs w:val="18"/>
                      <w:highlight w:val="none"/>
                      <w:lang w:val="en-US" w:eastAsia="zh-CN"/>
                    </w:rPr>
                    <w:t>125</w:t>
                  </w:r>
                </w:p>
              </w:tc>
            </w:tr>
            <w:tr w14:paraId="6D591C2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exact"/>
                <w:jc w:val="center"/>
              </w:trPr>
              <w:tc>
                <w:tcPr>
                  <w:tcW w:w="484" w:type="dxa"/>
                  <w:vMerge w:val="continue"/>
                  <w:vAlign w:val="center"/>
                </w:tcPr>
                <w:p w14:paraId="07CBD8D7">
                  <w:pPr>
                    <w:jc w:val="center"/>
                    <w:rPr>
                      <w:rFonts w:hint="eastAsia"/>
                      <w:color w:val="auto"/>
                      <w:spacing w:val="-11"/>
                      <w:sz w:val="18"/>
                      <w:szCs w:val="18"/>
                      <w:lang w:val="en-US" w:eastAsia="zh-CN"/>
                    </w:rPr>
                  </w:pPr>
                </w:p>
              </w:tc>
              <w:tc>
                <w:tcPr>
                  <w:tcW w:w="791" w:type="dxa"/>
                  <w:vMerge w:val="continue"/>
                  <w:vAlign w:val="center"/>
                </w:tcPr>
                <w:p w14:paraId="20AAE7D5">
                  <w:pPr>
                    <w:jc w:val="center"/>
                    <w:rPr>
                      <w:color w:val="auto"/>
                      <w:spacing w:val="-10"/>
                      <w:sz w:val="18"/>
                      <w:szCs w:val="18"/>
                    </w:rPr>
                  </w:pPr>
                </w:p>
              </w:tc>
              <w:tc>
                <w:tcPr>
                  <w:tcW w:w="1337" w:type="dxa"/>
                  <w:shd w:val="clear" w:color="auto" w:fill="auto"/>
                  <w:vAlign w:val="center"/>
                </w:tcPr>
                <w:p w14:paraId="0222E18B">
                  <w:pPr>
                    <w:jc w:val="center"/>
                    <w:rPr>
                      <w:rFonts w:hint="eastAsia" w:ascii="Times New Roman" w:hAnsi="Times New Roman" w:eastAsia="宋体" w:cs="Times New Roman"/>
                      <w:color w:val="auto"/>
                      <w:spacing w:val="-10"/>
                      <w:kern w:val="2"/>
                      <w:sz w:val="18"/>
                      <w:szCs w:val="18"/>
                      <w:highlight w:val="none"/>
                      <w:lang w:val="en-US" w:eastAsia="zh-CN" w:bidi="ar-SA"/>
                    </w:rPr>
                  </w:pPr>
                  <w:r>
                    <w:rPr>
                      <w:rFonts w:hint="eastAsia" w:cs="Times New Roman"/>
                      <w:color w:val="auto"/>
                      <w:spacing w:val="-10"/>
                      <w:kern w:val="2"/>
                      <w:sz w:val="18"/>
                      <w:szCs w:val="18"/>
                      <w:highlight w:val="none"/>
                      <w:lang w:val="en-US" w:eastAsia="zh-CN" w:bidi="ar-SA"/>
                    </w:rPr>
                    <w:t>2</w:t>
                  </w:r>
                  <w:r>
                    <w:rPr>
                      <w:rFonts w:hint="eastAsia" w:cs="Times New Roman"/>
                      <w:color w:val="auto"/>
                      <w:spacing w:val="-10"/>
                      <w:kern w:val="2"/>
                      <w:sz w:val="18"/>
                      <w:szCs w:val="18"/>
                      <w:highlight w:val="none"/>
                      <w:vertAlign w:val="superscript"/>
                      <w:lang w:val="en-US" w:eastAsia="zh-CN" w:bidi="ar-SA"/>
                    </w:rPr>
                    <w:t>#</w:t>
                  </w:r>
                  <w:r>
                    <w:rPr>
                      <w:rFonts w:hint="eastAsia" w:cs="Times New Roman"/>
                      <w:color w:val="auto"/>
                      <w:spacing w:val="-10"/>
                      <w:kern w:val="2"/>
                      <w:sz w:val="18"/>
                      <w:szCs w:val="18"/>
                      <w:highlight w:val="none"/>
                      <w:lang w:val="en-US" w:eastAsia="zh-CN" w:bidi="ar-SA"/>
                    </w:rPr>
                    <w:t>空气分选机</w:t>
                  </w:r>
                </w:p>
              </w:tc>
              <w:tc>
                <w:tcPr>
                  <w:tcW w:w="830" w:type="dxa"/>
                  <w:vAlign w:val="center"/>
                </w:tcPr>
                <w:p w14:paraId="71422BBA">
                  <w:pPr>
                    <w:jc w:val="center"/>
                    <w:rPr>
                      <w:rFonts w:hint="default"/>
                      <w:color w:val="auto"/>
                      <w:spacing w:val="-11"/>
                      <w:sz w:val="18"/>
                      <w:szCs w:val="18"/>
                      <w:highlight w:val="none"/>
                      <w:lang w:val="en-US" w:eastAsia="zh-CN"/>
                    </w:rPr>
                  </w:pPr>
                  <w:r>
                    <w:rPr>
                      <w:rFonts w:hint="eastAsia"/>
                      <w:color w:val="auto"/>
                      <w:spacing w:val="-11"/>
                      <w:sz w:val="18"/>
                      <w:szCs w:val="18"/>
                      <w:highlight w:val="none"/>
                      <w:lang w:val="en-US" w:eastAsia="zh-CN"/>
                    </w:rPr>
                    <w:t>1</w:t>
                  </w:r>
                </w:p>
              </w:tc>
              <w:tc>
                <w:tcPr>
                  <w:tcW w:w="1530" w:type="dxa"/>
                  <w:vAlign w:val="center"/>
                </w:tcPr>
                <w:p w14:paraId="28D1775C">
                  <w:pPr>
                    <w:jc w:val="center"/>
                    <w:rPr>
                      <w:rFonts w:hint="default" w:cs="Times New Roman"/>
                      <w:color w:val="auto"/>
                      <w:spacing w:val="-11"/>
                      <w:sz w:val="18"/>
                      <w:szCs w:val="18"/>
                      <w:highlight w:val="none"/>
                      <w:lang w:val="en-US" w:eastAsia="zh-CN"/>
                    </w:rPr>
                  </w:pPr>
                  <w:r>
                    <w:rPr>
                      <w:rFonts w:hint="eastAsia" w:cs="Times New Roman"/>
                      <w:color w:val="auto"/>
                      <w:spacing w:val="-11"/>
                      <w:sz w:val="18"/>
                      <w:szCs w:val="18"/>
                      <w:highlight w:val="none"/>
                      <w:lang w:val="en-US" w:eastAsia="zh-CN"/>
                    </w:rPr>
                    <w:t>16.675</w:t>
                  </w:r>
                </w:p>
              </w:tc>
              <w:tc>
                <w:tcPr>
                  <w:tcW w:w="690" w:type="dxa"/>
                  <w:vAlign w:val="center"/>
                </w:tcPr>
                <w:p w14:paraId="7CF04094">
                  <w:pPr>
                    <w:jc w:val="center"/>
                    <w:rPr>
                      <w:rFonts w:hint="eastAsia"/>
                      <w:color w:val="auto"/>
                      <w:spacing w:val="-11"/>
                      <w:sz w:val="18"/>
                      <w:szCs w:val="18"/>
                      <w:highlight w:val="none"/>
                      <w:lang w:val="en-US" w:eastAsia="zh-CN"/>
                    </w:rPr>
                  </w:pPr>
                  <w:r>
                    <w:rPr>
                      <w:rFonts w:hint="eastAsia"/>
                      <w:color w:val="auto"/>
                      <w:spacing w:val="-11"/>
                      <w:sz w:val="18"/>
                      <w:szCs w:val="18"/>
                      <w:highlight w:val="none"/>
                      <w:lang w:val="en-US" w:eastAsia="zh-CN"/>
                    </w:rPr>
                    <w:t>颗粒物</w:t>
                  </w:r>
                </w:p>
                <w:p w14:paraId="37A63B74">
                  <w:pPr>
                    <w:jc w:val="center"/>
                    <w:rPr>
                      <w:rFonts w:hint="eastAsia"/>
                      <w:color w:val="auto"/>
                      <w:spacing w:val="-11"/>
                      <w:sz w:val="18"/>
                      <w:szCs w:val="18"/>
                      <w:highlight w:val="none"/>
                      <w:lang w:val="en-US" w:eastAsia="zh-CN"/>
                    </w:rPr>
                  </w:pPr>
                </w:p>
              </w:tc>
              <w:tc>
                <w:tcPr>
                  <w:tcW w:w="1222" w:type="dxa"/>
                  <w:vAlign w:val="center"/>
                </w:tcPr>
                <w:p w14:paraId="0D18D594">
                  <w:pPr>
                    <w:jc w:val="center"/>
                    <w:rPr>
                      <w:rFonts w:hint="eastAsia" w:ascii="Times New Roman" w:hAnsi="Times New Roman" w:eastAsia="宋体" w:cs="Times New Roman"/>
                      <w:color w:val="auto"/>
                      <w:spacing w:val="-11"/>
                      <w:kern w:val="2"/>
                      <w:sz w:val="18"/>
                      <w:szCs w:val="18"/>
                      <w:highlight w:val="none"/>
                      <w:lang w:val="en-US" w:eastAsia="zh-CN" w:bidi="ar-SA"/>
                    </w:rPr>
                  </w:pPr>
                  <w:r>
                    <w:rPr>
                      <w:rFonts w:hint="eastAsia" w:ascii="Times New Roman" w:hAnsi="Times New Roman" w:eastAsia="宋体" w:cs="Times New Roman"/>
                      <w:color w:val="auto"/>
                      <w:spacing w:val="-11"/>
                      <w:sz w:val="18"/>
                      <w:szCs w:val="18"/>
                      <w:highlight w:val="none"/>
                      <w:lang w:val="en-US" w:eastAsia="zh-CN"/>
                    </w:rPr>
                    <w:t>0.</w:t>
                  </w:r>
                  <w:r>
                    <w:rPr>
                      <w:rFonts w:hint="eastAsia" w:cs="Times New Roman"/>
                      <w:color w:val="auto"/>
                      <w:spacing w:val="-11"/>
                      <w:sz w:val="18"/>
                      <w:szCs w:val="18"/>
                      <w:highlight w:val="none"/>
                      <w:lang w:val="en-US" w:eastAsia="zh-CN"/>
                    </w:rPr>
                    <w:t>248</w:t>
                  </w:r>
                  <w:r>
                    <w:rPr>
                      <w:rFonts w:hint="eastAsia" w:ascii="Times New Roman" w:hAnsi="Times New Roman" w:eastAsia="宋体" w:cs="Times New Roman"/>
                      <w:color w:val="auto"/>
                      <w:spacing w:val="-11"/>
                      <w:sz w:val="18"/>
                      <w:szCs w:val="18"/>
                      <w:highlight w:val="none"/>
                      <w:lang w:val="en-US" w:eastAsia="zh-CN"/>
                    </w:rPr>
                    <w:t>kg/t-原料</w:t>
                  </w:r>
                </w:p>
              </w:tc>
              <w:tc>
                <w:tcPr>
                  <w:tcW w:w="1153" w:type="dxa"/>
                  <w:vAlign w:val="center"/>
                </w:tcPr>
                <w:p w14:paraId="040FBCC0">
                  <w:pPr>
                    <w:jc w:val="center"/>
                    <w:rPr>
                      <w:rFonts w:hint="default" w:cs="Times New Roman"/>
                      <w:color w:val="auto"/>
                      <w:spacing w:val="-11"/>
                      <w:sz w:val="18"/>
                      <w:szCs w:val="18"/>
                      <w:highlight w:val="none"/>
                      <w:lang w:val="en-US" w:eastAsia="zh-CN"/>
                    </w:rPr>
                  </w:pPr>
                  <w:r>
                    <w:rPr>
                      <w:rFonts w:hint="eastAsia" w:cs="Times New Roman"/>
                      <w:color w:val="auto"/>
                      <w:spacing w:val="-11"/>
                      <w:sz w:val="18"/>
                      <w:szCs w:val="18"/>
                      <w:highlight w:val="none"/>
                      <w:lang w:val="en-US" w:eastAsia="zh-CN"/>
                    </w:rPr>
                    <w:t>41.354</w:t>
                  </w:r>
                </w:p>
              </w:tc>
            </w:tr>
          </w:tbl>
          <w:p w14:paraId="1F11BFC7">
            <w:pPr>
              <w:pStyle w:val="24"/>
              <w:adjustRightInd w:val="0"/>
              <w:snapToGrid w:val="0"/>
              <w:spacing w:before="0" w:beforeAutospacing="0" w:after="0" w:afterAutospacing="0" w:line="440" w:lineRule="exact"/>
              <w:ind w:firstLine="420" w:firstLineChars="200"/>
              <w:rPr>
                <w:rFonts w:ascii="Times New Roman" w:hAnsi="Times New Roman"/>
                <w:color w:val="auto"/>
                <w:sz w:val="21"/>
                <w:szCs w:val="21"/>
                <w:highlight w:val="none"/>
              </w:rPr>
            </w:pPr>
            <w:r>
              <w:rPr>
                <w:rFonts w:hint="eastAsia" w:ascii="Times New Roman" w:hAnsi="Times New Roman"/>
                <w:color w:val="auto"/>
                <w:sz w:val="21"/>
                <w:szCs w:val="21"/>
              </w:rPr>
              <w:t>（</w:t>
            </w:r>
            <w:r>
              <w:rPr>
                <w:rFonts w:hint="eastAsia" w:ascii="Times New Roman" w:hAnsi="Times New Roman"/>
                <w:color w:val="auto"/>
                <w:sz w:val="21"/>
                <w:szCs w:val="21"/>
                <w:highlight w:val="none"/>
              </w:rPr>
              <w:t>2）治理设施</w:t>
            </w:r>
          </w:p>
          <w:p w14:paraId="4B9E50C6">
            <w:pPr>
              <w:pStyle w:val="24"/>
              <w:adjustRightInd w:val="0"/>
              <w:snapToGrid w:val="0"/>
              <w:spacing w:before="0" w:beforeAutospacing="0" w:after="0" w:afterAutospacing="0" w:line="440" w:lineRule="exact"/>
              <w:ind w:firstLine="420" w:firstLineChars="200"/>
              <w:rPr>
                <w:rFonts w:hint="eastAsia" w:ascii="Times New Roman" w:hAnsi="Times New Roman"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项目除尘器治理设施相关情况见表</w:t>
            </w:r>
            <w:r>
              <w:rPr>
                <w:rFonts w:hint="eastAsia" w:ascii="Times New Roman" w:hAnsi="Times New Roman" w:cs="Times New Roman"/>
                <w:color w:val="auto"/>
                <w:sz w:val="21"/>
                <w:szCs w:val="21"/>
                <w:lang w:val="en-US" w:eastAsia="zh-CN"/>
              </w:rPr>
              <w:t>25及表26。</w:t>
            </w:r>
          </w:p>
          <w:p w14:paraId="7CA6DBDA">
            <w:pPr>
              <w:pStyle w:val="24"/>
              <w:adjustRightInd w:val="0"/>
              <w:snapToGrid w:val="0"/>
              <w:spacing w:before="0" w:beforeAutospacing="0" w:after="0" w:afterAutospacing="0" w:line="440" w:lineRule="exact"/>
              <w:ind w:firstLine="420" w:firstLineChars="200"/>
              <w:rPr>
                <w:rFonts w:hint="eastAsia" w:ascii="Times New Roman" w:hAnsi="Times New Roman" w:cs="Times New Roman"/>
                <w:color w:val="auto"/>
                <w:sz w:val="21"/>
                <w:szCs w:val="21"/>
                <w:lang w:val="en-US" w:eastAsia="zh-CN"/>
              </w:rPr>
            </w:pPr>
          </w:p>
          <w:p w14:paraId="41FE39AA">
            <w:pPr>
              <w:pStyle w:val="24"/>
              <w:adjustRightInd w:val="0"/>
              <w:snapToGrid w:val="0"/>
              <w:spacing w:before="0" w:beforeAutospacing="0" w:after="0" w:afterAutospacing="0" w:line="440" w:lineRule="exact"/>
              <w:ind w:firstLine="420" w:firstLineChars="200"/>
              <w:rPr>
                <w:rFonts w:hint="eastAsia" w:ascii="Times New Roman" w:hAnsi="Times New Roman" w:cs="Times New Roman"/>
                <w:color w:val="auto"/>
                <w:sz w:val="21"/>
                <w:szCs w:val="21"/>
                <w:lang w:val="en-US" w:eastAsia="zh-CN"/>
              </w:rPr>
            </w:pPr>
          </w:p>
          <w:p w14:paraId="436FC1D2">
            <w:pPr>
              <w:pStyle w:val="24"/>
              <w:adjustRightInd w:val="0"/>
              <w:snapToGrid w:val="0"/>
              <w:spacing w:before="0" w:beforeAutospacing="0" w:after="0" w:afterAutospacing="0" w:line="440" w:lineRule="exact"/>
              <w:ind w:firstLine="420" w:firstLineChars="200"/>
              <w:rPr>
                <w:rFonts w:hint="eastAsia" w:ascii="Times New Roman" w:hAnsi="Times New Roman" w:cs="Times New Roman"/>
                <w:color w:val="auto"/>
                <w:sz w:val="21"/>
                <w:szCs w:val="21"/>
                <w:lang w:val="en-US" w:eastAsia="zh-CN"/>
              </w:rPr>
            </w:pPr>
          </w:p>
          <w:p w14:paraId="66DA3E1D">
            <w:pPr>
              <w:pStyle w:val="24"/>
              <w:adjustRightInd w:val="0"/>
              <w:snapToGrid w:val="0"/>
              <w:spacing w:before="0" w:beforeAutospacing="0" w:after="0" w:afterAutospacing="0" w:line="440" w:lineRule="exact"/>
              <w:ind w:firstLine="420" w:firstLineChars="200"/>
              <w:rPr>
                <w:rFonts w:hint="eastAsia" w:ascii="Times New Roman" w:hAnsi="Times New Roman" w:cs="Times New Roman"/>
                <w:color w:val="auto"/>
                <w:sz w:val="21"/>
                <w:szCs w:val="21"/>
                <w:lang w:val="en-US" w:eastAsia="zh-CN"/>
              </w:rPr>
            </w:pPr>
          </w:p>
          <w:p w14:paraId="28DCF0B3">
            <w:pPr>
              <w:pStyle w:val="24"/>
              <w:adjustRightInd w:val="0"/>
              <w:snapToGrid w:val="0"/>
              <w:spacing w:before="0" w:beforeAutospacing="0" w:after="0" w:afterAutospacing="0" w:line="440" w:lineRule="exact"/>
              <w:ind w:firstLine="420" w:firstLineChars="200"/>
              <w:rPr>
                <w:rFonts w:hint="eastAsia" w:ascii="Times New Roman" w:hAnsi="Times New Roman" w:cs="Times New Roman"/>
                <w:color w:val="auto"/>
                <w:sz w:val="21"/>
                <w:szCs w:val="21"/>
                <w:lang w:val="en-US" w:eastAsia="zh-CN"/>
              </w:rPr>
            </w:pPr>
          </w:p>
          <w:p w14:paraId="3E889DEF">
            <w:pPr>
              <w:pStyle w:val="24"/>
              <w:adjustRightInd w:val="0"/>
              <w:snapToGrid w:val="0"/>
              <w:spacing w:before="0" w:beforeAutospacing="0" w:after="0" w:afterAutospacing="0" w:line="440" w:lineRule="exact"/>
              <w:ind w:firstLine="420" w:firstLineChars="200"/>
              <w:rPr>
                <w:rFonts w:hint="eastAsia" w:ascii="Times New Roman" w:hAnsi="Times New Roman" w:cs="Times New Roman"/>
                <w:color w:val="auto"/>
                <w:sz w:val="21"/>
                <w:szCs w:val="21"/>
                <w:lang w:val="en-US" w:eastAsia="zh-CN"/>
              </w:rPr>
            </w:pPr>
          </w:p>
          <w:p w14:paraId="399BA8A8">
            <w:pPr>
              <w:pStyle w:val="24"/>
              <w:adjustRightInd w:val="0"/>
              <w:snapToGrid w:val="0"/>
              <w:spacing w:before="0" w:beforeAutospacing="0" w:after="0" w:afterAutospacing="0" w:line="440" w:lineRule="exact"/>
              <w:ind w:firstLine="420" w:firstLineChars="200"/>
              <w:rPr>
                <w:rFonts w:hint="eastAsia" w:ascii="Times New Roman" w:hAnsi="Times New Roman" w:cs="Times New Roman"/>
                <w:color w:val="auto"/>
                <w:sz w:val="21"/>
                <w:szCs w:val="21"/>
                <w:lang w:val="en-US" w:eastAsia="zh-CN"/>
              </w:rPr>
            </w:pPr>
          </w:p>
          <w:p w14:paraId="067EF814">
            <w:pPr>
              <w:keepNext w:val="0"/>
              <w:keepLines w:val="0"/>
              <w:pageBreakBefore w:val="0"/>
              <w:widowControl w:val="0"/>
              <w:kinsoku/>
              <w:wordWrap/>
              <w:overflowPunct/>
              <w:topLinePunct w:val="0"/>
              <w:autoSpaceDE/>
              <w:autoSpaceDN/>
              <w:bidi w:val="0"/>
              <w:adjustRightInd/>
              <w:snapToGrid/>
              <w:spacing w:line="460" w:lineRule="exact"/>
              <w:ind w:firstLine="422" w:firstLineChars="200"/>
              <w:jc w:val="center"/>
              <w:textAlignment w:val="auto"/>
              <w:rPr>
                <w:b/>
                <w:snapToGrid w:val="0"/>
                <w:color w:val="auto"/>
                <w:kern w:val="0"/>
                <w:lang w:bidi="ar"/>
              </w:rPr>
            </w:pPr>
            <w:r>
              <w:rPr>
                <w:rFonts w:hint="eastAsia"/>
                <w:b/>
                <w:snapToGrid w:val="0"/>
                <w:color w:val="auto"/>
                <w:kern w:val="0"/>
                <w:lang w:bidi="ar"/>
              </w:rPr>
              <w:t>表</w:t>
            </w:r>
            <w:r>
              <w:rPr>
                <w:rFonts w:hint="eastAsia"/>
                <w:b/>
                <w:snapToGrid w:val="0"/>
                <w:color w:val="auto"/>
                <w:kern w:val="0"/>
                <w:lang w:val="en-US" w:eastAsia="zh-CN" w:bidi="ar"/>
              </w:rPr>
              <w:t>25</w:t>
            </w:r>
            <w:r>
              <w:rPr>
                <w:rFonts w:hint="eastAsia"/>
                <w:b/>
                <w:snapToGrid w:val="0"/>
                <w:color w:val="auto"/>
                <w:kern w:val="0"/>
                <w:lang w:bidi="ar"/>
              </w:rPr>
              <w:t xml:space="preserve"> 集气罩相关参数及废气量核算一览表</w:t>
            </w:r>
          </w:p>
          <w:tbl>
            <w:tblPr>
              <w:tblStyle w:val="28"/>
              <w:tblW w:w="8025"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553"/>
              <w:gridCol w:w="859"/>
              <w:gridCol w:w="1964"/>
              <w:gridCol w:w="572"/>
              <w:gridCol w:w="1023"/>
              <w:gridCol w:w="845"/>
              <w:gridCol w:w="669"/>
              <w:gridCol w:w="839"/>
              <w:gridCol w:w="701"/>
            </w:tblGrid>
            <w:tr w14:paraId="2473F78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412" w:type="dxa"/>
                  <w:gridSpan w:val="2"/>
                  <w:vAlign w:val="center"/>
                </w:tcPr>
                <w:p w14:paraId="7D7295EB">
                  <w:pPr>
                    <w:jc w:val="center"/>
                    <w:rPr>
                      <w:color w:val="auto"/>
                      <w:spacing w:val="-11"/>
                      <w:sz w:val="18"/>
                      <w:szCs w:val="18"/>
                    </w:rPr>
                  </w:pPr>
                  <w:r>
                    <w:rPr>
                      <w:rFonts w:hint="eastAsia"/>
                      <w:color w:val="auto"/>
                      <w:spacing w:val="-11"/>
                      <w:sz w:val="18"/>
                      <w:szCs w:val="18"/>
                    </w:rPr>
                    <w:t>污染源</w:t>
                  </w:r>
                </w:p>
              </w:tc>
              <w:tc>
                <w:tcPr>
                  <w:tcW w:w="1964" w:type="dxa"/>
                  <w:vAlign w:val="center"/>
                </w:tcPr>
                <w:p w14:paraId="3720660A">
                  <w:pPr>
                    <w:jc w:val="center"/>
                    <w:rPr>
                      <w:color w:val="auto"/>
                      <w:spacing w:val="-11"/>
                      <w:sz w:val="18"/>
                      <w:szCs w:val="18"/>
                    </w:rPr>
                  </w:pPr>
                  <w:r>
                    <w:rPr>
                      <w:rFonts w:hint="eastAsia"/>
                      <w:color w:val="auto"/>
                      <w:spacing w:val="-11"/>
                      <w:sz w:val="18"/>
                      <w:szCs w:val="18"/>
                    </w:rPr>
                    <w:t>颗粒物收集方式</w:t>
                  </w:r>
                </w:p>
              </w:tc>
              <w:tc>
                <w:tcPr>
                  <w:tcW w:w="572" w:type="dxa"/>
                  <w:vAlign w:val="center"/>
                </w:tcPr>
                <w:p w14:paraId="5F617177">
                  <w:pPr>
                    <w:jc w:val="center"/>
                    <w:rPr>
                      <w:color w:val="auto"/>
                      <w:spacing w:val="-11"/>
                      <w:sz w:val="18"/>
                      <w:szCs w:val="18"/>
                    </w:rPr>
                  </w:pPr>
                  <w:r>
                    <w:rPr>
                      <w:rFonts w:hint="eastAsia"/>
                      <w:color w:val="auto"/>
                      <w:spacing w:val="-11"/>
                      <w:sz w:val="18"/>
                      <w:szCs w:val="18"/>
                    </w:rPr>
                    <w:t>收集效率</w:t>
                  </w:r>
                </w:p>
              </w:tc>
              <w:tc>
                <w:tcPr>
                  <w:tcW w:w="1023" w:type="dxa"/>
                  <w:vAlign w:val="center"/>
                </w:tcPr>
                <w:p w14:paraId="7B7A1D6C">
                  <w:pPr>
                    <w:jc w:val="center"/>
                    <w:rPr>
                      <w:color w:val="auto"/>
                      <w:spacing w:val="-11"/>
                      <w:sz w:val="18"/>
                      <w:szCs w:val="18"/>
                    </w:rPr>
                  </w:pPr>
                  <w:r>
                    <w:rPr>
                      <w:rFonts w:hint="eastAsia"/>
                      <w:color w:val="auto"/>
                      <w:spacing w:val="-11"/>
                      <w:sz w:val="18"/>
                      <w:szCs w:val="18"/>
                    </w:rPr>
                    <w:t>集气罩尺寸</w:t>
                  </w:r>
                </w:p>
              </w:tc>
              <w:tc>
                <w:tcPr>
                  <w:tcW w:w="845" w:type="dxa"/>
                  <w:vAlign w:val="center"/>
                </w:tcPr>
                <w:p w14:paraId="061CAEC4">
                  <w:pPr>
                    <w:jc w:val="center"/>
                    <w:rPr>
                      <w:color w:val="auto"/>
                      <w:spacing w:val="-11"/>
                      <w:sz w:val="18"/>
                      <w:szCs w:val="18"/>
                    </w:rPr>
                  </w:pPr>
                  <w:r>
                    <w:rPr>
                      <w:rFonts w:hint="eastAsia"/>
                      <w:color w:val="auto"/>
                      <w:spacing w:val="-11"/>
                      <w:sz w:val="18"/>
                      <w:szCs w:val="18"/>
                      <w:lang w:val="en-US" w:eastAsia="zh-CN"/>
                    </w:rPr>
                    <w:t>计算风量</w:t>
                  </w:r>
                  <w:r>
                    <w:rPr>
                      <w:rFonts w:hint="eastAsia"/>
                      <w:color w:val="auto"/>
                      <w:spacing w:val="-11"/>
                      <w:sz w:val="18"/>
                      <w:szCs w:val="18"/>
                    </w:rPr>
                    <w:t>（</w:t>
                  </w:r>
                  <w:r>
                    <w:rPr>
                      <w:color w:val="auto"/>
                      <w:spacing w:val="-11"/>
                      <w:sz w:val="18"/>
                      <w:szCs w:val="18"/>
                    </w:rPr>
                    <w:t>m</w:t>
                  </w:r>
                  <w:r>
                    <w:rPr>
                      <w:color w:val="auto"/>
                      <w:spacing w:val="-11"/>
                      <w:sz w:val="18"/>
                      <w:szCs w:val="18"/>
                      <w:vertAlign w:val="superscript"/>
                    </w:rPr>
                    <w:t>3</w:t>
                  </w:r>
                  <w:r>
                    <w:rPr>
                      <w:color w:val="auto"/>
                      <w:spacing w:val="-11"/>
                      <w:sz w:val="18"/>
                      <w:szCs w:val="18"/>
                    </w:rPr>
                    <w:t>/</w:t>
                  </w:r>
                  <w:r>
                    <w:rPr>
                      <w:rFonts w:hint="eastAsia"/>
                      <w:color w:val="auto"/>
                      <w:spacing w:val="-11"/>
                      <w:sz w:val="18"/>
                      <w:szCs w:val="18"/>
                    </w:rPr>
                    <w:t>h）</w:t>
                  </w:r>
                </w:p>
              </w:tc>
              <w:tc>
                <w:tcPr>
                  <w:tcW w:w="669" w:type="dxa"/>
                  <w:vAlign w:val="center"/>
                </w:tcPr>
                <w:p w14:paraId="76EAB58F">
                  <w:pPr>
                    <w:jc w:val="center"/>
                    <w:rPr>
                      <w:rFonts w:hint="default" w:eastAsia="宋体"/>
                      <w:color w:val="auto"/>
                      <w:spacing w:val="-11"/>
                      <w:sz w:val="18"/>
                      <w:szCs w:val="18"/>
                      <w:lang w:val="en-US" w:eastAsia="zh-CN"/>
                    </w:rPr>
                  </w:pPr>
                  <w:r>
                    <w:rPr>
                      <w:rFonts w:hint="eastAsia"/>
                      <w:color w:val="auto"/>
                      <w:spacing w:val="-11"/>
                      <w:sz w:val="18"/>
                      <w:szCs w:val="18"/>
                      <w:lang w:val="en-US" w:eastAsia="zh-CN"/>
                    </w:rPr>
                    <w:t>处理设备</w:t>
                  </w:r>
                </w:p>
              </w:tc>
              <w:tc>
                <w:tcPr>
                  <w:tcW w:w="839" w:type="dxa"/>
                  <w:vAlign w:val="center"/>
                </w:tcPr>
                <w:p w14:paraId="24E3CD2B">
                  <w:pPr>
                    <w:jc w:val="center"/>
                    <w:rPr>
                      <w:rFonts w:hint="default"/>
                      <w:color w:val="auto"/>
                      <w:spacing w:val="-11"/>
                      <w:sz w:val="18"/>
                      <w:szCs w:val="18"/>
                      <w:lang w:val="en-US" w:eastAsia="zh-CN"/>
                    </w:rPr>
                  </w:pPr>
                  <w:r>
                    <w:rPr>
                      <w:rFonts w:hint="eastAsia"/>
                      <w:color w:val="auto"/>
                      <w:spacing w:val="-11"/>
                      <w:sz w:val="18"/>
                      <w:szCs w:val="18"/>
                      <w:lang w:val="en-US" w:eastAsia="zh-CN"/>
                    </w:rPr>
                    <w:t>设计风量</w:t>
                  </w:r>
                  <w:r>
                    <w:rPr>
                      <w:rFonts w:hint="eastAsia"/>
                      <w:color w:val="auto"/>
                      <w:spacing w:val="-11"/>
                      <w:sz w:val="18"/>
                      <w:szCs w:val="18"/>
                    </w:rPr>
                    <w:t>（</w:t>
                  </w:r>
                  <w:r>
                    <w:rPr>
                      <w:color w:val="auto"/>
                      <w:spacing w:val="-11"/>
                      <w:sz w:val="18"/>
                      <w:szCs w:val="18"/>
                    </w:rPr>
                    <w:t>m</w:t>
                  </w:r>
                  <w:r>
                    <w:rPr>
                      <w:color w:val="auto"/>
                      <w:spacing w:val="-11"/>
                      <w:sz w:val="18"/>
                      <w:szCs w:val="18"/>
                      <w:vertAlign w:val="superscript"/>
                    </w:rPr>
                    <w:t>3</w:t>
                  </w:r>
                  <w:r>
                    <w:rPr>
                      <w:color w:val="auto"/>
                      <w:spacing w:val="-11"/>
                      <w:sz w:val="18"/>
                      <w:szCs w:val="18"/>
                    </w:rPr>
                    <w:t>/</w:t>
                  </w:r>
                  <w:r>
                    <w:rPr>
                      <w:rFonts w:hint="eastAsia"/>
                      <w:color w:val="auto"/>
                      <w:spacing w:val="-11"/>
                      <w:sz w:val="18"/>
                      <w:szCs w:val="18"/>
                    </w:rPr>
                    <w:t>h）</w:t>
                  </w:r>
                </w:p>
              </w:tc>
              <w:tc>
                <w:tcPr>
                  <w:tcW w:w="701" w:type="dxa"/>
                  <w:vAlign w:val="center"/>
                </w:tcPr>
                <w:p w14:paraId="6A791947">
                  <w:pPr>
                    <w:jc w:val="center"/>
                    <w:rPr>
                      <w:rFonts w:hint="default" w:eastAsia="宋体"/>
                      <w:color w:val="auto"/>
                      <w:spacing w:val="-11"/>
                      <w:sz w:val="18"/>
                      <w:szCs w:val="18"/>
                      <w:lang w:val="en-US" w:eastAsia="zh-CN"/>
                    </w:rPr>
                  </w:pPr>
                  <w:r>
                    <w:rPr>
                      <w:rFonts w:hint="eastAsia"/>
                      <w:color w:val="auto"/>
                      <w:spacing w:val="-11"/>
                      <w:sz w:val="18"/>
                      <w:szCs w:val="18"/>
                      <w:lang w:val="en-US" w:eastAsia="zh-CN"/>
                    </w:rPr>
                    <w:t>排气筒名称</w:t>
                  </w:r>
                </w:p>
              </w:tc>
            </w:tr>
            <w:tr w14:paraId="6F88B7D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553" w:type="dxa"/>
                  <w:vMerge w:val="restart"/>
                  <w:vAlign w:val="center"/>
                </w:tcPr>
                <w:p w14:paraId="1C1F80E3">
                  <w:pPr>
                    <w:jc w:val="center"/>
                    <w:rPr>
                      <w:rFonts w:hint="default" w:eastAsia="宋体"/>
                      <w:color w:val="auto"/>
                      <w:spacing w:val="-11"/>
                      <w:sz w:val="18"/>
                      <w:szCs w:val="18"/>
                      <w:lang w:val="en-US" w:eastAsia="zh-CN"/>
                    </w:rPr>
                  </w:pPr>
                  <w:r>
                    <w:rPr>
                      <w:rFonts w:hint="eastAsia"/>
                      <w:color w:val="auto"/>
                      <w:spacing w:val="-11"/>
                      <w:sz w:val="18"/>
                      <w:szCs w:val="18"/>
                      <w:lang w:val="en-US" w:eastAsia="zh-CN"/>
                    </w:rPr>
                    <w:t>钢渣处理生产线</w:t>
                  </w:r>
                </w:p>
              </w:tc>
              <w:tc>
                <w:tcPr>
                  <w:tcW w:w="859" w:type="dxa"/>
                  <w:shd w:val="clear" w:color="auto" w:fill="auto"/>
                  <w:vAlign w:val="center"/>
                </w:tcPr>
                <w:p w14:paraId="0C7CACFA">
                  <w:pPr>
                    <w:jc w:val="center"/>
                    <w:rPr>
                      <w:rFonts w:hint="default" w:ascii="Times New Roman" w:hAnsi="Times New Roman" w:eastAsia="宋体" w:cs="Times New Roman"/>
                      <w:color w:val="auto"/>
                      <w:spacing w:val="-11"/>
                      <w:kern w:val="2"/>
                      <w:sz w:val="18"/>
                      <w:szCs w:val="18"/>
                      <w:lang w:val="en-US" w:eastAsia="zh-CN" w:bidi="ar-SA"/>
                    </w:rPr>
                  </w:pPr>
                  <w:r>
                    <w:rPr>
                      <w:rFonts w:hint="eastAsia"/>
                      <w:color w:val="auto"/>
                      <w:spacing w:val="-10"/>
                      <w:sz w:val="18"/>
                      <w:szCs w:val="18"/>
                      <w:lang w:val="en-US" w:eastAsia="zh-CN"/>
                    </w:rPr>
                    <w:t>钢渣上料仓</w:t>
                  </w:r>
                </w:p>
              </w:tc>
              <w:tc>
                <w:tcPr>
                  <w:tcW w:w="1964" w:type="dxa"/>
                  <w:shd w:val="clear" w:color="auto" w:fill="auto"/>
                  <w:vAlign w:val="center"/>
                </w:tcPr>
                <w:p w14:paraId="06E0BF79">
                  <w:pPr>
                    <w:jc w:val="center"/>
                    <w:rPr>
                      <w:rFonts w:hint="default" w:ascii="Times New Roman" w:hAnsi="Times New Roman" w:eastAsia="宋体" w:cs="Times New Roman"/>
                      <w:color w:val="auto"/>
                      <w:spacing w:val="-11"/>
                      <w:kern w:val="2"/>
                      <w:sz w:val="18"/>
                      <w:szCs w:val="18"/>
                      <w:lang w:val="en-US" w:eastAsia="zh-CN" w:bidi="ar-SA"/>
                    </w:rPr>
                  </w:pPr>
                  <w:r>
                    <w:rPr>
                      <w:rFonts w:hint="eastAsia"/>
                      <w:color w:val="auto"/>
                      <w:spacing w:val="-11"/>
                      <w:sz w:val="18"/>
                      <w:szCs w:val="18"/>
                    </w:rPr>
                    <w:t>上料仓三面围挡，顶部设置集气罩</w:t>
                  </w:r>
                </w:p>
              </w:tc>
              <w:tc>
                <w:tcPr>
                  <w:tcW w:w="572" w:type="dxa"/>
                  <w:shd w:val="clear" w:color="auto" w:fill="auto"/>
                  <w:vAlign w:val="center"/>
                </w:tcPr>
                <w:p w14:paraId="2DFC6A82">
                  <w:pPr>
                    <w:jc w:val="center"/>
                    <w:rPr>
                      <w:rFonts w:hint="default" w:ascii="Times New Roman" w:hAnsi="Times New Roman" w:eastAsia="宋体" w:cs="Times New Roman"/>
                      <w:color w:val="auto"/>
                      <w:spacing w:val="-11"/>
                      <w:kern w:val="2"/>
                      <w:sz w:val="18"/>
                      <w:szCs w:val="18"/>
                      <w:lang w:val="en-US" w:eastAsia="zh-CN" w:bidi="ar-SA"/>
                    </w:rPr>
                  </w:pPr>
                  <w:r>
                    <w:rPr>
                      <w:rFonts w:hint="eastAsia"/>
                      <w:color w:val="auto"/>
                      <w:spacing w:val="-11"/>
                      <w:sz w:val="18"/>
                      <w:szCs w:val="18"/>
                    </w:rPr>
                    <w:t>9</w:t>
                  </w:r>
                  <w:r>
                    <w:rPr>
                      <w:rFonts w:hint="eastAsia"/>
                      <w:color w:val="auto"/>
                      <w:spacing w:val="-11"/>
                      <w:sz w:val="18"/>
                      <w:szCs w:val="18"/>
                      <w:lang w:val="en-US" w:eastAsia="zh-CN"/>
                    </w:rPr>
                    <w:t>5</w:t>
                  </w:r>
                  <w:r>
                    <w:rPr>
                      <w:rFonts w:hint="eastAsia"/>
                      <w:color w:val="auto"/>
                      <w:spacing w:val="-11"/>
                      <w:sz w:val="18"/>
                      <w:szCs w:val="18"/>
                    </w:rPr>
                    <w:t>%</w:t>
                  </w:r>
                </w:p>
              </w:tc>
              <w:tc>
                <w:tcPr>
                  <w:tcW w:w="1023" w:type="dxa"/>
                  <w:shd w:val="clear" w:color="auto" w:fill="auto"/>
                  <w:vAlign w:val="center"/>
                </w:tcPr>
                <w:p w14:paraId="262DFB75">
                  <w:pPr>
                    <w:jc w:val="center"/>
                    <w:rPr>
                      <w:rFonts w:hint="eastAsia" w:ascii="Times New Roman" w:hAnsi="Times New Roman" w:eastAsia="宋体" w:cs="Times New Roman"/>
                      <w:color w:val="auto"/>
                      <w:spacing w:val="-11"/>
                      <w:kern w:val="2"/>
                      <w:sz w:val="18"/>
                      <w:szCs w:val="18"/>
                      <w:highlight w:val="none"/>
                      <w:lang w:val="en-US" w:eastAsia="zh-CN" w:bidi="ar-SA"/>
                    </w:rPr>
                  </w:pPr>
                  <w:r>
                    <w:rPr>
                      <w:rFonts w:hint="eastAsia"/>
                      <w:color w:val="auto"/>
                      <w:spacing w:val="-11"/>
                      <w:sz w:val="18"/>
                      <w:szCs w:val="18"/>
                      <w:highlight w:val="none"/>
                      <w:lang w:val="en-US" w:eastAsia="zh-CN"/>
                    </w:rPr>
                    <w:t>2.3</w:t>
                  </w:r>
                  <w:r>
                    <w:rPr>
                      <w:rFonts w:hint="eastAsia"/>
                      <w:color w:val="auto"/>
                      <w:spacing w:val="-11"/>
                      <w:sz w:val="18"/>
                      <w:szCs w:val="18"/>
                      <w:highlight w:val="none"/>
                    </w:rPr>
                    <w:t>m*</w:t>
                  </w:r>
                  <w:r>
                    <w:rPr>
                      <w:rFonts w:hint="eastAsia"/>
                      <w:color w:val="auto"/>
                      <w:spacing w:val="-11"/>
                      <w:sz w:val="18"/>
                      <w:szCs w:val="18"/>
                      <w:highlight w:val="none"/>
                      <w:lang w:val="en-US" w:eastAsia="zh-CN"/>
                    </w:rPr>
                    <w:t>2.5</w:t>
                  </w:r>
                  <w:r>
                    <w:rPr>
                      <w:rFonts w:hint="eastAsia"/>
                      <w:color w:val="auto"/>
                      <w:spacing w:val="-11"/>
                      <w:sz w:val="18"/>
                      <w:szCs w:val="18"/>
                      <w:highlight w:val="none"/>
                    </w:rPr>
                    <w:t>m</w:t>
                  </w:r>
                </w:p>
              </w:tc>
              <w:tc>
                <w:tcPr>
                  <w:tcW w:w="845" w:type="dxa"/>
                  <w:shd w:val="clear" w:color="auto" w:fill="auto"/>
                  <w:vAlign w:val="center"/>
                </w:tcPr>
                <w:p w14:paraId="04113C2B">
                  <w:pPr>
                    <w:jc w:val="center"/>
                    <w:rPr>
                      <w:rFonts w:hint="default" w:ascii="Times New Roman" w:hAnsi="Times New Roman" w:eastAsia="宋体" w:cs="Times New Roman"/>
                      <w:color w:val="auto"/>
                      <w:spacing w:val="-11"/>
                      <w:kern w:val="2"/>
                      <w:sz w:val="18"/>
                      <w:szCs w:val="18"/>
                      <w:highlight w:val="none"/>
                      <w:lang w:val="en-US" w:eastAsia="zh-CN" w:bidi="ar-SA"/>
                    </w:rPr>
                  </w:pPr>
                  <w:r>
                    <w:rPr>
                      <w:rFonts w:hint="eastAsia" w:cs="Times New Roman"/>
                      <w:color w:val="auto"/>
                      <w:spacing w:val="-11"/>
                      <w:sz w:val="18"/>
                      <w:szCs w:val="18"/>
                      <w:highlight w:val="none"/>
                      <w:lang w:val="en-US" w:eastAsia="zh-CN"/>
                    </w:rPr>
                    <w:t>10350</w:t>
                  </w:r>
                  <w:r>
                    <w:rPr>
                      <w:rFonts w:hint="default" w:ascii="Times New Roman" w:hAnsi="Times New Roman" w:cs="Times New Roman"/>
                      <w:color w:val="auto"/>
                      <w:spacing w:val="-11"/>
                      <w:sz w:val="18"/>
                      <w:szCs w:val="18"/>
                      <w:highlight w:val="none"/>
                      <w:vertAlign w:val="superscript"/>
                    </w:rPr>
                    <w:t>①</w:t>
                  </w:r>
                </w:p>
              </w:tc>
              <w:tc>
                <w:tcPr>
                  <w:tcW w:w="669" w:type="dxa"/>
                  <w:vMerge w:val="restart"/>
                  <w:vAlign w:val="center"/>
                </w:tcPr>
                <w:p w14:paraId="3B917D97">
                  <w:pPr>
                    <w:jc w:val="center"/>
                    <w:rPr>
                      <w:rFonts w:hint="eastAsia" w:eastAsia="宋体"/>
                      <w:color w:val="auto"/>
                      <w:spacing w:val="-11"/>
                      <w:sz w:val="18"/>
                      <w:szCs w:val="18"/>
                      <w:lang w:eastAsia="zh-CN"/>
                    </w:rPr>
                  </w:pPr>
                  <w:r>
                    <w:rPr>
                      <w:color w:val="auto"/>
                      <w:spacing w:val="-11"/>
                      <w:sz w:val="18"/>
                      <w:szCs w:val="18"/>
                    </w:rPr>
                    <w:t>脉冲布袋除尘器</w:t>
                  </w:r>
                </w:p>
              </w:tc>
              <w:tc>
                <w:tcPr>
                  <w:tcW w:w="839" w:type="dxa"/>
                  <w:vMerge w:val="restart"/>
                  <w:vAlign w:val="center"/>
                </w:tcPr>
                <w:p w14:paraId="0E10D6EB">
                  <w:pPr>
                    <w:jc w:val="center"/>
                    <w:rPr>
                      <w:rFonts w:hint="default" w:eastAsia="宋体"/>
                      <w:color w:val="auto"/>
                      <w:spacing w:val="-11"/>
                      <w:sz w:val="18"/>
                      <w:szCs w:val="18"/>
                      <w:highlight w:val="yellow"/>
                      <w:lang w:val="en-US" w:eastAsia="zh-CN"/>
                    </w:rPr>
                  </w:pPr>
                  <w:r>
                    <w:rPr>
                      <w:rFonts w:hint="eastAsia"/>
                      <w:color w:val="auto"/>
                      <w:spacing w:val="-11"/>
                      <w:sz w:val="18"/>
                      <w:szCs w:val="18"/>
                      <w:highlight w:val="none"/>
                      <w:lang w:val="en-US" w:eastAsia="zh-CN"/>
                    </w:rPr>
                    <w:t>50000</w:t>
                  </w:r>
                  <w:r>
                    <w:rPr>
                      <w:rFonts w:hint="eastAsia" w:ascii="宋体" w:hAnsi="宋体" w:eastAsia="宋体" w:cs="宋体"/>
                      <w:color w:val="auto"/>
                      <w:spacing w:val="-10"/>
                      <w:sz w:val="18"/>
                      <w:szCs w:val="18"/>
                      <w:highlight w:val="none"/>
                      <w:vertAlign w:val="superscript"/>
                    </w:rPr>
                    <w:t>③</w:t>
                  </w:r>
                </w:p>
              </w:tc>
              <w:tc>
                <w:tcPr>
                  <w:tcW w:w="701" w:type="dxa"/>
                  <w:vMerge w:val="restart"/>
                  <w:vAlign w:val="center"/>
                </w:tcPr>
                <w:p w14:paraId="24AD5BD5">
                  <w:pPr>
                    <w:jc w:val="center"/>
                    <w:rPr>
                      <w:rFonts w:hint="default" w:eastAsia="宋体"/>
                      <w:color w:val="auto"/>
                      <w:spacing w:val="-11"/>
                      <w:sz w:val="18"/>
                      <w:szCs w:val="18"/>
                      <w:lang w:val="en-US" w:eastAsia="zh-CN"/>
                    </w:rPr>
                  </w:pPr>
                  <w:r>
                    <w:rPr>
                      <w:rFonts w:hint="eastAsia"/>
                      <w:color w:val="auto"/>
                      <w:spacing w:val="-11"/>
                      <w:sz w:val="18"/>
                      <w:szCs w:val="18"/>
                      <w:lang w:val="en-US" w:eastAsia="zh-CN"/>
                    </w:rPr>
                    <w:t>DA001</w:t>
                  </w:r>
                </w:p>
              </w:tc>
            </w:tr>
            <w:tr w14:paraId="7940E3F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553" w:type="dxa"/>
                  <w:vMerge w:val="continue"/>
                  <w:vAlign w:val="center"/>
                </w:tcPr>
                <w:p w14:paraId="0825AA94">
                  <w:pPr>
                    <w:jc w:val="center"/>
                    <w:rPr>
                      <w:rFonts w:hint="eastAsia" w:ascii="Times New Roman" w:hAnsi="Times New Roman" w:eastAsia="宋体" w:cs="Times New Roman"/>
                      <w:color w:val="auto"/>
                      <w:spacing w:val="-11"/>
                      <w:kern w:val="2"/>
                      <w:sz w:val="18"/>
                      <w:szCs w:val="18"/>
                      <w:lang w:val="en-US" w:eastAsia="zh-CN" w:bidi="ar-SA"/>
                    </w:rPr>
                  </w:pPr>
                </w:p>
              </w:tc>
              <w:tc>
                <w:tcPr>
                  <w:tcW w:w="859" w:type="dxa"/>
                  <w:shd w:val="clear" w:color="auto" w:fill="auto"/>
                  <w:vAlign w:val="center"/>
                </w:tcPr>
                <w:p w14:paraId="73578767">
                  <w:pPr>
                    <w:jc w:val="center"/>
                    <w:rPr>
                      <w:rFonts w:hint="eastAsia" w:ascii="Times New Roman" w:hAnsi="Times New Roman" w:eastAsia="宋体" w:cs="Times New Roman"/>
                      <w:color w:val="auto"/>
                      <w:spacing w:val="-10"/>
                      <w:kern w:val="2"/>
                      <w:sz w:val="18"/>
                      <w:szCs w:val="18"/>
                      <w:lang w:val="en-US" w:eastAsia="zh-CN" w:bidi="ar-SA"/>
                    </w:rPr>
                  </w:pPr>
                  <w:r>
                    <w:rPr>
                      <w:rFonts w:hint="eastAsia"/>
                      <w:color w:val="auto"/>
                      <w:spacing w:val="-10"/>
                      <w:sz w:val="18"/>
                      <w:szCs w:val="18"/>
                      <w:lang w:val="en-US" w:eastAsia="zh-CN"/>
                    </w:rPr>
                    <w:t>鄂式</w:t>
                  </w:r>
                  <w:r>
                    <w:rPr>
                      <w:rFonts w:hint="eastAsia"/>
                      <w:color w:val="auto"/>
                      <w:spacing w:val="-10"/>
                      <w:sz w:val="18"/>
                      <w:szCs w:val="18"/>
                    </w:rPr>
                    <w:t>破碎机</w:t>
                  </w:r>
                </w:p>
              </w:tc>
              <w:tc>
                <w:tcPr>
                  <w:tcW w:w="1964" w:type="dxa"/>
                  <w:vAlign w:val="center"/>
                </w:tcPr>
                <w:p w14:paraId="52C4DEE9">
                  <w:pPr>
                    <w:jc w:val="center"/>
                    <w:rPr>
                      <w:color w:val="auto"/>
                      <w:spacing w:val="-11"/>
                      <w:sz w:val="18"/>
                      <w:szCs w:val="18"/>
                    </w:rPr>
                  </w:pPr>
                  <w:r>
                    <w:rPr>
                      <w:rFonts w:hint="eastAsia"/>
                      <w:color w:val="auto"/>
                      <w:spacing w:val="-11"/>
                      <w:sz w:val="18"/>
                      <w:szCs w:val="18"/>
                    </w:rPr>
                    <w:t>破碎机全封闭，入料口、出料口设</w:t>
                  </w:r>
                  <w:r>
                    <w:rPr>
                      <w:rFonts w:hint="eastAsia" w:ascii="Times New Roman" w:hAnsi="Times New Roman" w:cs="Times New Roman"/>
                      <w:color w:val="auto"/>
                      <w:spacing w:val="-11"/>
                      <w:sz w:val="18"/>
                      <w:szCs w:val="18"/>
                      <w:lang w:val="en-US" w:eastAsia="zh-CN"/>
                    </w:rPr>
                    <w:t>集气</w:t>
                  </w:r>
                  <w:r>
                    <w:rPr>
                      <w:rFonts w:hint="eastAsia"/>
                      <w:color w:val="auto"/>
                      <w:spacing w:val="-11"/>
                      <w:sz w:val="18"/>
                      <w:szCs w:val="18"/>
                    </w:rPr>
                    <w:t>管</w:t>
                  </w:r>
                </w:p>
              </w:tc>
              <w:tc>
                <w:tcPr>
                  <w:tcW w:w="572" w:type="dxa"/>
                  <w:shd w:val="clear" w:color="auto" w:fill="auto"/>
                  <w:vAlign w:val="center"/>
                </w:tcPr>
                <w:p w14:paraId="12DED109">
                  <w:pPr>
                    <w:jc w:val="center"/>
                    <w:rPr>
                      <w:rFonts w:hint="eastAsia" w:ascii="Times New Roman" w:hAnsi="Times New Roman" w:eastAsia="宋体" w:cs="Times New Roman"/>
                      <w:color w:val="auto"/>
                      <w:spacing w:val="-11"/>
                      <w:kern w:val="2"/>
                      <w:sz w:val="18"/>
                      <w:szCs w:val="18"/>
                      <w:lang w:val="en-US" w:eastAsia="zh-CN" w:bidi="ar-SA"/>
                    </w:rPr>
                  </w:pPr>
                  <w:r>
                    <w:rPr>
                      <w:rFonts w:hint="eastAsia"/>
                      <w:color w:val="auto"/>
                      <w:spacing w:val="-11"/>
                      <w:sz w:val="18"/>
                      <w:szCs w:val="18"/>
                      <w:lang w:val="en-US" w:eastAsia="zh-CN"/>
                    </w:rPr>
                    <w:t>95</w:t>
                  </w:r>
                  <w:r>
                    <w:rPr>
                      <w:rFonts w:hint="eastAsia"/>
                      <w:color w:val="auto"/>
                      <w:spacing w:val="-11"/>
                      <w:sz w:val="18"/>
                      <w:szCs w:val="18"/>
                    </w:rPr>
                    <w:t>%</w:t>
                  </w:r>
                </w:p>
              </w:tc>
              <w:tc>
                <w:tcPr>
                  <w:tcW w:w="1023" w:type="dxa"/>
                  <w:shd w:val="clear" w:color="auto" w:fill="auto"/>
                  <w:vAlign w:val="center"/>
                </w:tcPr>
                <w:p w14:paraId="066AD0BD">
                  <w:pPr>
                    <w:jc w:val="center"/>
                    <w:rPr>
                      <w:rFonts w:hint="eastAsia" w:ascii="Times New Roman" w:hAnsi="Times New Roman" w:eastAsia="宋体" w:cs="Times New Roman"/>
                      <w:color w:val="auto"/>
                      <w:spacing w:val="-11"/>
                      <w:kern w:val="2"/>
                      <w:sz w:val="18"/>
                      <w:szCs w:val="18"/>
                      <w:lang w:val="en-US" w:eastAsia="zh-CN" w:bidi="ar-SA"/>
                    </w:rPr>
                  </w:pPr>
                  <w:r>
                    <w:rPr>
                      <w:rFonts w:hint="eastAsia" w:ascii="Times New Roman" w:hAnsi="Times New Roman" w:cs="Times New Roman"/>
                      <w:color w:val="auto"/>
                      <w:spacing w:val="-11"/>
                      <w:sz w:val="18"/>
                      <w:szCs w:val="18"/>
                      <w:lang w:val="en-US" w:eastAsia="zh-CN"/>
                    </w:rPr>
                    <w:t>集气管直径</w:t>
                  </w:r>
                  <w:r>
                    <w:rPr>
                      <w:rFonts w:hint="default" w:ascii="Times New Roman" w:hAnsi="Times New Roman" w:cs="Times New Roman"/>
                      <w:color w:val="auto"/>
                      <w:spacing w:val="-11"/>
                      <w:sz w:val="18"/>
                      <w:szCs w:val="18"/>
                      <w:lang w:val="en-US" w:eastAsia="zh-CN"/>
                    </w:rPr>
                    <w:t>0.5m</w:t>
                  </w:r>
                </w:p>
              </w:tc>
              <w:tc>
                <w:tcPr>
                  <w:tcW w:w="845" w:type="dxa"/>
                  <w:vAlign w:val="center"/>
                </w:tcPr>
                <w:p w14:paraId="130CC618">
                  <w:pPr>
                    <w:jc w:val="center"/>
                    <w:rPr>
                      <w:rFonts w:hint="default" w:ascii="Times New Roman" w:hAnsi="Times New Roman" w:cs="Times New Roman"/>
                      <w:color w:val="auto"/>
                      <w:spacing w:val="-11"/>
                      <w:sz w:val="18"/>
                      <w:szCs w:val="18"/>
                    </w:rPr>
                  </w:pPr>
                  <w:r>
                    <w:rPr>
                      <w:rFonts w:hint="default" w:ascii="Times New Roman" w:hAnsi="Times New Roman" w:cs="Times New Roman"/>
                      <w:color w:val="auto"/>
                      <w:spacing w:val="-11"/>
                      <w:sz w:val="18"/>
                      <w:szCs w:val="18"/>
                    </w:rPr>
                    <w:t>12000</w:t>
                  </w:r>
                  <w:r>
                    <w:rPr>
                      <w:rFonts w:hint="default" w:ascii="Times New Roman" w:hAnsi="Times New Roman" w:eastAsia="微软雅黑" w:cs="Times New Roman"/>
                      <w:color w:val="auto"/>
                      <w:spacing w:val="-11"/>
                      <w:sz w:val="18"/>
                      <w:szCs w:val="18"/>
                      <w:vertAlign w:val="superscript"/>
                      <w:lang w:val="en-US" w:eastAsia="zh-CN"/>
                    </w:rPr>
                    <w:t>②</w:t>
                  </w:r>
                </w:p>
              </w:tc>
              <w:tc>
                <w:tcPr>
                  <w:tcW w:w="669" w:type="dxa"/>
                  <w:vMerge w:val="continue"/>
                  <w:vAlign w:val="center"/>
                </w:tcPr>
                <w:p w14:paraId="452BDDCC">
                  <w:pPr>
                    <w:jc w:val="center"/>
                    <w:rPr>
                      <w:rFonts w:hint="eastAsia" w:eastAsia="宋体"/>
                      <w:color w:val="auto"/>
                      <w:spacing w:val="-11"/>
                      <w:sz w:val="18"/>
                      <w:szCs w:val="18"/>
                      <w:lang w:eastAsia="zh-CN"/>
                    </w:rPr>
                  </w:pPr>
                </w:p>
              </w:tc>
              <w:tc>
                <w:tcPr>
                  <w:tcW w:w="839" w:type="dxa"/>
                  <w:vMerge w:val="continue"/>
                  <w:vAlign w:val="center"/>
                </w:tcPr>
                <w:p w14:paraId="4D2927E6">
                  <w:pPr>
                    <w:jc w:val="center"/>
                    <w:rPr>
                      <w:rFonts w:hint="default" w:eastAsia="宋体"/>
                      <w:color w:val="auto"/>
                      <w:spacing w:val="-11"/>
                      <w:sz w:val="18"/>
                      <w:szCs w:val="18"/>
                      <w:highlight w:val="yellow"/>
                      <w:lang w:val="en-US" w:eastAsia="zh-CN"/>
                    </w:rPr>
                  </w:pPr>
                </w:p>
              </w:tc>
              <w:tc>
                <w:tcPr>
                  <w:tcW w:w="701" w:type="dxa"/>
                  <w:vMerge w:val="continue"/>
                  <w:vAlign w:val="center"/>
                </w:tcPr>
                <w:p w14:paraId="297972C0">
                  <w:pPr>
                    <w:jc w:val="center"/>
                    <w:rPr>
                      <w:rFonts w:hint="default" w:eastAsia="宋体"/>
                      <w:color w:val="auto"/>
                      <w:spacing w:val="-11"/>
                      <w:sz w:val="18"/>
                      <w:szCs w:val="18"/>
                      <w:lang w:val="en-US" w:eastAsia="zh-CN"/>
                    </w:rPr>
                  </w:pPr>
                </w:p>
              </w:tc>
            </w:tr>
            <w:tr w14:paraId="61126FD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553" w:type="dxa"/>
                  <w:vMerge w:val="continue"/>
                  <w:vAlign w:val="center"/>
                </w:tcPr>
                <w:p w14:paraId="4ECEB80B">
                  <w:pPr>
                    <w:jc w:val="center"/>
                    <w:rPr>
                      <w:rFonts w:hint="eastAsia" w:ascii="Times New Roman" w:hAnsi="Times New Roman" w:eastAsia="宋体" w:cs="Times New Roman"/>
                      <w:color w:val="auto"/>
                      <w:spacing w:val="-10"/>
                      <w:kern w:val="2"/>
                      <w:sz w:val="18"/>
                      <w:szCs w:val="18"/>
                      <w:lang w:val="en-US" w:eastAsia="zh-CN" w:bidi="ar-SA"/>
                    </w:rPr>
                  </w:pPr>
                </w:p>
              </w:tc>
              <w:tc>
                <w:tcPr>
                  <w:tcW w:w="859" w:type="dxa"/>
                  <w:shd w:val="clear" w:color="auto" w:fill="auto"/>
                  <w:vAlign w:val="center"/>
                </w:tcPr>
                <w:p w14:paraId="6C1229D8">
                  <w:pPr>
                    <w:jc w:val="center"/>
                    <w:rPr>
                      <w:rFonts w:hint="eastAsia" w:ascii="Times New Roman" w:hAnsi="Times New Roman" w:eastAsia="宋体" w:cs="Times New Roman"/>
                      <w:color w:val="auto"/>
                      <w:spacing w:val="-10"/>
                      <w:kern w:val="2"/>
                      <w:sz w:val="18"/>
                      <w:szCs w:val="18"/>
                      <w:lang w:val="en-US" w:eastAsia="zh-CN" w:bidi="ar-SA"/>
                    </w:rPr>
                  </w:pPr>
                  <w:r>
                    <w:rPr>
                      <w:rFonts w:hint="eastAsia"/>
                      <w:color w:val="auto"/>
                      <w:spacing w:val="-10"/>
                      <w:sz w:val="18"/>
                      <w:szCs w:val="18"/>
                      <w:lang w:val="en-US" w:eastAsia="zh-CN"/>
                    </w:rPr>
                    <w:t>振动筛</w:t>
                  </w:r>
                </w:p>
              </w:tc>
              <w:tc>
                <w:tcPr>
                  <w:tcW w:w="1964" w:type="dxa"/>
                  <w:vAlign w:val="center"/>
                </w:tcPr>
                <w:p w14:paraId="2B40421F">
                  <w:pPr>
                    <w:jc w:val="center"/>
                    <w:rPr>
                      <w:rFonts w:hint="eastAsia" w:ascii="Times New Roman" w:hAnsi="Times New Roman" w:eastAsia="宋体" w:cs="Times New Roman"/>
                      <w:color w:val="auto"/>
                      <w:spacing w:val="-11"/>
                      <w:kern w:val="2"/>
                      <w:sz w:val="18"/>
                      <w:szCs w:val="18"/>
                      <w:lang w:val="en-US" w:eastAsia="zh-CN" w:bidi="ar-SA"/>
                    </w:rPr>
                  </w:pPr>
                  <w:r>
                    <w:rPr>
                      <w:rFonts w:hint="eastAsia"/>
                      <w:color w:val="auto"/>
                      <w:spacing w:val="-11"/>
                      <w:sz w:val="18"/>
                      <w:szCs w:val="18"/>
                    </w:rPr>
                    <w:t>振动筛筛面封闭，入料口、筛面、出料口设集气管</w:t>
                  </w:r>
                </w:p>
              </w:tc>
              <w:tc>
                <w:tcPr>
                  <w:tcW w:w="572" w:type="dxa"/>
                  <w:vAlign w:val="center"/>
                </w:tcPr>
                <w:p w14:paraId="0A27F368">
                  <w:pPr>
                    <w:jc w:val="center"/>
                    <w:rPr>
                      <w:rFonts w:hint="eastAsia" w:ascii="Times New Roman" w:hAnsi="Times New Roman" w:eastAsia="宋体" w:cs="Times New Roman"/>
                      <w:color w:val="auto"/>
                      <w:spacing w:val="-11"/>
                      <w:kern w:val="2"/>
                      <w:sz w:val="18"/>
                      <w:szCs w:val="18"/>
                      <w:lang w:val="en-US" w:eastAsia="zh-CN" w:bidi="ar-SA"/>
                    </w:rPr>
                  </w:pPr>
                  <w:r>
                    <w:rPr>
                      <w:rFonts w:hint="eastAsia"/>
                      <w:color w:val="auto"/>
                      <w:spacing w:val="-11"/>
                      <w:sz w:val="18"/>
                      <w:szCs w:val="18"/>
                      <w:lang w:val="en-US" w:eastAsia="zh-CN"/>
                    </w:rPr>
                    <w:t>95</w:t>
                  </w:r>
                  <w:r>
                    <w:rPr>
                      <w:rFonts w:hint="eastAsia"/>
                      <w:color w:val="auto"/>
                      <w:spacing w:val="-11"/>
                      <w:sz w:val="18"/>
                      <w:szCs w:val="18"/>
                    </w:rPr>
                    <w:t>%</w:t>
                  </w:r>
                </w:p>
              </w:tc>
              <w:tc>
                <w:tcPr>
                  <w:tcW w:w="1023" w:type="dxa"/>
                  <w:vAlign w:val="center"/>
                </w:tcPr>
                <w:p w14:paraId="4F794A7E">
                  <w:pPr>
                    <w:jc w:val="center"/>
                    <w:rPr>
                      <w:rFonts w:hint="eastAsia" w:ascii="Times New Roman" w:hAnsi="Times New Roman" w:eastAsia="宋体" w:cs="Times New Roman"/>
                      <w:color w:val="auto"/>
                      <w:spacing w:val="-11"/>
                      <w:kern w:val="2"/>
                      <w:sz w:val="18"/>
                      <w:szCs w:val="18"/>
                      <w:lang w:val="en-US" w:eastAsia="zh-CN" w:bidi="ar-SA"/>
                    </w:rPr>
                  </w:pPr>
                  <w:r>
                    <w:rPr>
                      <w:rFonts w:hint="eastAsia" w:ascii="Times New Roman" w:hAnsi="Times New Roman" w:cs="Times New Roman"/>
                      <w:color w:val="auto"/>
                      <w:spacing w:val="-11"/>
                      <w:sz w:val="18"/>
                      <w:szCs w:val="18"/>
                      <w:lang w:val="en-US" w:eastAsia="zh-CN"/>
                    </w:rPr>
                    <w:t>集气管直径</w:t>
                  </w:r>
                  <w:r>
                    <w:rPr>
                      <w:rFonts w:hint="default" w:ascii="Times New Roman" w:hAnsi="Times New Roman" w:cs="Times New Roman"/>
                      <w:color w:val="auto"/>
                      <w:spacing w:val="-11"/>
                      <w:sz w:val="18"/>
                      <w:szCs w:val="18"/>
                      <w:lang w:val="en-US" w:eastAsia="zh-CN"/>
                    </w:rPr>
                    <w:t>0.5m</w:t>
                  </w:r>
                </w:p>
              </w:tc>
              <w:tc>
                <w:tcPr>
                  <w:tcW w:w="845" w:type="dxa"/>
                  <w:vAlign w:val="center"/>
                </w:tcPr>
                <w:p w14:paraId="26D5B5FB">
                  <w:pPr>
                    <w:jc w:val="center"/>
                    <w:rPr>
                      <w:rFonts w:hint="eastAsia" w:ascii="Times New Roman" w:hAnsi="Times New Roman" w:eastAsia="宋体" w:cs="Times New Roman"/>
                      <w:color w:val="auto"/>
                      <w:spacing w:val="-11"/>
                      <w:kern w:val="2"/>
                      <w:sz w:val="18"/>
                      <w:szCs w:val="18"/>
                      <w:lang w:val="en-US" w:eastAsia="zh-CN" w:bidi="ar-SA"/>
                    </w:rPr>
                  </w:pPr>
                  <w:r>
                    <w:rPr>
                      <w:rFonts w:hint="default" w:ascii="Times New Roman" w:hAnsi="Times New Roman" w:cs="Times New Roman"/>
                      <w:color w:val="auto"/>
                      <w:spacing w:val="-11"/>
                      <w:sz w:val="18"/>
                      <w:szCs w:val="18"/>
                    </w:rPr>
                    <w:t>12000</w:t>
                  </w:r>
                  <w:r>
                    <w:rPr>
                      <w:rFonts w:hint="default" w:ascii="Times New Roman" w:hAnsi="Times New Roman" w:eastAsia="微软雅黑" w:cs="Times New Roman"/>
                      <w:color w:val="auto"/>
                      <w:spacing w:val="-11"/>
                      <w:sz w:val="18"/>
                      <w:szCs w:val="18"/>
                      <w:vertAlign w:val="superscript"/>
                      <w:lang w:val="en-US" w:eastAsia="zh-CN"/>
                    </w:rPr>
                    <w:t>②</w:t>
                  </w:r>
                </w:p>
              </w:tc>
              <w:tc>
                <w:tcPr>
                  <w:tcW w:w="669" w:type="dxa"/>
                  <w:vMerge w:val="continue"/>
                  <w:vAlign w:val="center"/>
                </w:tcPr>
                <w:p w14:paraId="4605EA20">
                  <w:pPr>
                    <w:jc w:val="center"/>
                    <w:rPr>
                      <w:color w:val="auto"/>
                      <w:spacing w:val="-11"/>
                      <w:sz w:val="18"/>
                      <w:szCs w:val="18"/>
                    </w:rPr>
                  </w:pPr>
                </w:p>
              </w:tc>
              <w:tc>
                <w:tcPr>
                  <w:tcW w:w="839" w:type="dxa"/>
                  <w:vMerge w:val="continue"/>
                  <w:vAlign w:val="center"/>
                </w:tcPr>
                <w:p w14:paraId="600DDD82">
                  <w:pPr>
                    <w:jc w:val="center"/>
                    <w:rPr>
                      <w:color w:val="auto"/>
                      <w:spacing w:val="-11"/>
                      <w:sz w:val="18"/>
                      <w:szCs w:val="18"/>
                      <w:highlight w:val="yellow"/>
                    </w:rPr>
                  </w:pPr>
                </w:p>
              </w:tc>
              <w:tc>
                <w:tcPr>
                  <w:tcW w:w="701" w:type="dxa"/>
                  <w:vMerge w:val="continue"/>
                  <w:vAlign w:val="center"/>
                </w:tcPr>
                <w:p w14:paraId="74D9E6C5">
                  <w:pPr>
                    <w:jc w:val="center"/>
                    <w:rPr>
                      <w:rFonts w:hint="eastAsia"/>
                      <w:color w:val="auto"/>
                      <w:spacing w:val="-11"/>
                      <w:sz w:val="18"/>
                      <w:szCs w:val="18"/>
                    </w:rPr>
                  </w:pPr>
                </w:p>
              </w:tc>
            </w:tr>
            <w:tr w14:paraId="2C95BEC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9" w:hRule="atLeast"/>
                <w:jc w:val="center"/>
              </w:trPr>
              <w:tc>
                <w:tcPr>
                  <w:tcW w:w="553" w:type="dxa"/>
                  <w:vMerge w:val="continue"/>
                  <w:vAlign w:val="center"/>
                </w:tcPr>
                <w:p w14:paraId="7EA59BAA">
                  <w:pPr>
                    <w:jc w:val="center"/>
                    <w:rPr>
                      <w:rFonts w:hint="eastAsia" w:ascii="Times New Roman" w:hAnsi="Times New Roman" w:eastAsia="宋体" w:cs="Times New Roman"/>
                      <w:color w:val="auto"/>
                      <w:spacing w:val="-10"/>
                      <w:kern w:val="2"/>
                      <w:sz w:val="18"/>
                      <w:szCs w:val="18"/>
                      <w:lang w:val="en-US" w:eastAsia="zh-CN" w:bidi="ar-SA"/>
                    </w:rPr>
                  </w:pPr>
                </w:p>
              </w:tc>
              <w:tc>
                <w:tcPr>
                  <w:tcW w:w="859" w:type="dxa"/>
                  <w:shd w:val="clear" w:color="auto" w:fill="auto"/>
                  <w:vAlign w:val="center"/>
                </w:tcPr>
                <w:p w14:paraId="5269ECC0">
                  <w:pPr>
                    <w:jc w:val="center"/>
                    <w:rPr>
                      <w:rFonts w:hint="default" w:ascii="Times New Roman" w:hAnsi="Times New Roman" w:eastAsia="宋体" w:cs="Times New Roman"/>
                      <w:color w:val="auto"/>
                      <w:spacing w:val="-10"/>
                      <w:kern w:val="2"/>
                      <w:sz w:val="18"/>
                      <w:szCs w:val="18"/>
                      <w:lang w:val="en-US" w:eastAsia="zh-CN" w:bidi="ar-SA"/>
                    </w:rPr>
                  </w:pPr>
                  <w:r>
                    <w:rPr>
                      <w:rFonts w:hint="eastAsia" w:cs="Times New Roman"/>
                      <w:color w:val="auto"/>
                      <w:spacing w:val="-10"/>
                      <w:kern w:val="2"/>
                      <w:sz w:val="18"/>
                      <w:szCs w:val="18"/>
                      <w:lang w:val="en-US" w:eastAsia="zh-CN" w:bidi="ar-SA"/>
                    </w:rPr>
                    <w:t>锤式破碎机</w:t>
                  </w:r>
                </w:p>
              </w:tc>
              <w:tc>
                <w:tcPr>
                  <w:tcW w:w="1964" w:type="dxa"/>
                  <w:vAlign w:val="center"/>
                </w:tcPr>
                <w:p w14:paraId="10BEC6A0">
                  <w:pPr>
                    <w:jc w:val="center"/>
                    <w:rPr>
                      <w:rFonts w:hint="eastAsia" w:ascii="Times New Roman" w:hAnsi="Times New Roman" w:eastAsia="宋体" w:cs="Times New Roman"/>
                      <w:color w:val="auto"/>
                      <w:spacing w:val="-11"/>
                      <w:kern w:val="2"/>
                      <w:sz w:val="18"/>
                      <w:szCs w:val="18"/>
                      <w:lang w:val="en-US" w:eastAsia="zh-CN" w:bidi="ar-SA"/>
                    </w:rPr>
                  </w:pPr>
                  <w:r>
                    <w:rPr>
                      <w:rFonts w:hint="eastAsia"/>
                      <w:color w:val="auto"/>
                      <w:spacing w:val="-11"/>
                      <w:sz w:val="18"/>
                      <w:szCs w:val="18"/>
                    </w:rPr>
                    <w:t>破碎机全封闭，入料口、出料口设</w:t>
                  </w:r>
                  <w:r>
                    <w:rPr>
                      <w:rFonts w:hint="eastAsia" w:ascii="Times New Roman" w:hAnsi="Times New Roman" w:cs="Times New Roman"/>
                      <w:color w:val="auto"/>
                      <w:spacing w:val="-11"/>
                      <w:sz w:val="18"/>
                      <w:szCs w:val="18"/>
                      <w:lang w:val="en-US" w:eastAsia="zh-CN"/>
                    </w:rPr>
                    <w:t>集气</w:t>
                  </w:r>
                  <w:r>
                    <w:rPr>
                      <w:rFonts w:hint="eastAsia"/>
                      <w:color w:val="auto"/>
                      <w:spacing w:val="-11"/>
                      <w:sz w:val="18"/>
                      <w:szCs w:val="18"/>
                    </w:rPr>
                    <w:t>管</w:t>
                  </w:r>
                </w:p>
              </w:tc>
              <w:tc>
                <w:tcPr>
                  <w:tcW w:w="572" w:type="dxa"/>
                  <w:vAlign w:val="center"/>
                </w:tcPr>
                <w:p w14:paraId="7760F034">
                  <w:pPr>
                    <w:jc w:val="center"/>
                    <w:rPr>
                      <w:rFonts w:hint="eastAsia" w:ascii="Times New Roman" w:hAnsi="Times New Roman" w:eastAsia="宋体" w:cs="Times New Roman"/>
                      <w:color w:val="auto"/>
                      <w:spacing w:val="-11"/>
                      <w:kern w:val="2"/>
                      <w:sz w:val="18"/>
                      <w:szCs w:val="18"/>
                      <w:lang w:val="en-US" w:eastAsia="zh-CN" w:bidi="ar-SA"/>
                    </w:rPr>
                  </w:pPr>
                  <w:r>
                    <w:rPr>
                      <w:rFonts w:hint="eastAsia"/>
                      <w:color w:val="auto"/>
                      <w:spacing w:val="-11"/>
                      <w:sz w:val="18"/>
                      <w:szCs w:val="18"/>
                      <w:lang w:val="en-US" w:eastAsia="zh-CN"/>
                    </w:rPr>
                    <w:t>95</w:t>
                  </w:r>
                  <w:r>
                    <w:rPr>
                      <w:rFonts w:hint="eastAsia"/>
                      <w:color w:val="auto"/>
                      <w:spacing w:val="-11"/>
                      <w:sz w:val="18"/>
                      <w:szCs w:val="18"/>
                    </w:rPr>
                    <w:t>%</w:t>
                  </w:r>
                </w:p>
              </w:tc>
              <w:tc>
                <w:tcPr>
                  <w:tcW w:w="1023" w:type="dxa"/>
                  <w:vAlign w:val="center"/>
                </w:tcPr>
                <w:p w14:paraId="5B1326E9">
                  <w:pPr>
                    <w:jc w:val="center"/>
                    <w:rPr>
                      <w:rFonts w:hint="eastAsia" w:ascii="Times New Roman" w:hAnsi="Times New Roman" w:eastAsia="宋体" w:cs="Times New Roman"/>
                      <w:color w:val="auto"/>
                      <w:spacing w:val="-11"/>
                      <w:kern w:val="2"/>
                      <w:sz w:val="18"/>
                      <w:szCs w:val="18"/>
                      <w:lang w:val="en-US" w:eastAsia="zh-CN" w:bidi="ar-SA"/>
                    </w:rPr>
                  </w:pPr>
                  <w:r>
                    <w:rPr>
                      <w:rFonts w:hint="eastAsia" w:ascii="Times New Roman" w:hAnsi="Times New Roman" w:cs="Times New Roman"/>
                      <w:color w:val="auto"/>
                      <w:spacing w:val="-11"/>
                      <w:sz w:val="18"/>
                      <w:szCs w:val="18"/>
                      <w:lang w:val="en-US" w:eastAsia="zh-CN"/>
                    </w:rPr>
                    <w:t>集气管直径</w:t>
                  </w:r>
                  <w:r>
                    <w:rPr>
                      <w:rFonts w:hint="default" w:ascii="Times New Roman" w:hAnsi="Times New Roman" w:cs="Times New Roman"/>
                      <w:color w:val="auto"/>
                      <w:spacing w:val="-11"/>
                      <w:sz w:val="18"/>
                      <w:szCs w:val="18"/>
                      <w:lang w:val="en-US" w:eastAsia="zh-CN"/>
                    </w:rPr>
                    <w:t>0.5m</w:t>
                  </w:r>
                </w:p>
              </w:tc>
              <w:tc>
                <w:tcPr>
                  <w:tcW w:w="845" w:type="dxa"/>
                  <w:vAlign w:val="center"/>
                </w:tcPr>
                <w:p w14:paraId="336DFE7D">
                  <w:pPr>
                    <w:jc w:val="center"/>
                    <w:rPr>
                      <w:rFonts w:hint="eastAsia" w:ascii="Times New Roman" w:hAnsi="Times New Roman" w:eastAsia="宋体" w:cs="Times New Roman"/>
                      <w:color w:val="auto"/>
                      <w:spacing w:val="-11"/>
                      <w:kern w:val="2"/>
                      <w:sz w:val="18"/>
                      <w:szCs w:val="18"/>
                      <w:lang w:val="en-US" w:eastAsia="zh-CN" w:bidi="ar-SA"/>
                    </w:rPr>
                  </w:pPr>
                  <w:r>
                    <w:rPr>
                      <w:rFonts w:hint="default" w:ascii="Times New Roman" w:hAnsi="Times New Roman" w:cs="Times New Roman"/>
                      <w:color w:val="auto"/>
                      <w:spacing w:val="-11"/>
                      <w:sz w:val="18"/>
                      <w:szCs w:val="18"/>
                    </w:rPr>
                    <w:t>12000</w:t>
                  </w:r>
                  <w:r>
                    <w:rPr>
                      <w:rFonts w:hint="default" w:ascii="Times New Roman" w:hAnsi="Times New Roman" w:eastAsia="微软雅黑" w:cs="Times New Roman"/>
                      <w:color w:val="auto"/>
                      <w:spacing w:val="-11"/>
                      <w:sz w:val="18"/>
                      <w:szCs w:val="18"/>
                      <w:vertAlign w:val="superscript"/>
                      <w:lang w:val="en-US" w:eastAsia="zh-CN"/>
                    </w:rPr>
                    <w:t>②</w:t>
                  </w:r>
                </w:p>
              </w:tc>
              <w:tc>
                <w:tcPr>
                  <w:tcW w:w="669" w:type="dxa"/>
                  <w:vMerge w:val="continue"/>
                  <w:vAlign w:val="center"/>
                </w:tcPr>
                <w:p w14:paraId="667282BA">
                  <w:pPr>
                    <w:jc w:val="center"/>
                    <w:rPr>
                      <w:color w:val="auto"/>
                      <w:spacing w:val="-11"/>
                      <w:sz w:val="18"/>
                      <w:szCs w:val="18"/>
                    </w:rPr>
                  </w:pPr>
                </w:p>
              </w:tc>
              <w:tc>
                <w:tcPr>
                  <w:tcW w:w="839" w:type="dxa"/>
                  <w:vMerge w:val="continue"/>
                  <w:vAlign w:val="center"/>
                </w:tcPr>
                <w:p w14:paraId="2907288A">
                  <w:pPr>
                    <w:jc w:val="center"/>
                    <w:rPr>
                      <w:color w:val="auto"/>
                      <w:spacing w:val="-11"/>
                      <w:sz w:val="18"/>
                      <w:szCs w:val="18"/>
                      <w:highlight w:val="yellow"/>
                    </w:rPr>
                  </w:pPr>
                </w:p>
              </w:tc>
              <w:tc>
                <w:tcPr>
                  <w:tcW w:w="701" w:type="dxa"/>
                  <w:vMerge w:val="continue"/>
                  <w:vAlign w:val="center"/>
                </w:tcPr>
                <w:p w14:paraId="67BCD055">
                  <w:pPr>
                    <w:jc w:val="center"/>
                    <w:rPr>
                      <w:rFonts w:hint="eastAsia"/>
                      <w:color w:val="auto"/>
                      <w:spacing w:val="-11"/>
                      <w:sz w:val="18"/>
                      <w:szCs w:val="18"/>
                    </w:rPr>
                  </w:pPr>
                </w:p>
              </w:tc>
            </w:tr>
            <w:tr w14:paraId="1C35526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553" w:type="dxa"/>
                  <w:vMerge w:val="restart"/>
                  <w:vAlign w:val="center"/>
                </w:tcPr>
                <w:p w14:paraId="537D6DF0">
                  <w:pPr>
                    <w:tabs>
                      <w:tab w:val="left" w:pos="272"/>
                    </w:tabs>
                    <w:jc w:val="center"/>
                    <w:rPr>
                      <w:rFonts w:hint="eastAsia" w:ascii="Times New Roman" w:hAnsi="Times New Roman" w:eastAsia="宋体" w:cs="Times New Roman"/>
                      <w:color w:val="auto"/>
                      <w:spacing w:val="-10"/>
                      <w:kern w:val="2"/>
                      <w:sz w:val="18"/>
                      <w:szCs w:val="18"/>
                      <w:lang w:val="en-US" w:eastAsia="zh-CN" w:bidi="ar-SA"/>
                    </w:rPr>
                  </w:pPr>
                  <w:r>
                    <w:rPr>
                      <w:rFonts w:hint="eastAsia" w:ascii="Times New Roman" w:hAnsi="Times New Roman" w:eastAsia="宋体" w:cs="Times New Roman"/>
                      <w:color w:val="auto"/>
                      <w:spacing w:val="-10"/>
                      <w:sz w:val="18"/>
                      <w:szCs w:val="18"/>
                      <w:lang w:val="en-US" w:eastAsia="zh-CN"/>
                    </w:rPr>
                    <w:t>废钢破碎尾料分选生产线</w:t>
                  </w:r>
                </w:p>
              </w:tc>
              <w:tc>
                <w:tcPr>
                  <w:tcW w:w="859" w:type="dxa"/>
                  <w:shd w:val="clear" w:color="auto" w:fill="auto"/>
                  <w:vAlign w:val="center"/>
                </w:tcPr>
                <w:p w14:paraId="020EDE1E">
                  <w:pPr>
                    <w:jc w:val="center"/>
                    <w:rPr>
                      <w:rFonts w:hint="default" w:ascii="Times New Roman" w:hAnsi="Times New Roman" w:eastAsia="宋体" w:cs="Times New Roman"/>
                      <w:color w:val="auto"/>
                      <w:spacing w:val="-10"/>
                      <w:kern w:val="2"/>
                      <w:sz w:val="18"/>
                      <w:szCs w:val="18"/>
                      <w:lang w:val="en-US" w:eastAsia="zh-CN" w:bidi="ar-SA"/>
                    </w:rPr>
                  </w:pPr>
                  <w:r>
                    <w:rPr>
                      <w:rFonts w:hint="eastAsia" w:ascii="Times New Roman" w:hAnsi="Times New Roman" w:eastAsia="宋体" w:cs="Times New Roman"/>
                      <w:color w:val="auto"/>
                      <w:spacing w:val="-10"/>
                      <w:kern w:val="2"/>
                      <w:sz w:val="18"/>
                      <w:szCs w:val="18"/>
                      <w:lang w:val="en-US" w:eastAsia="zh-CN" w:bidi="ar-SA"/>
                    </w:rPr>
                    <w:t>1</w:t>
                  </w:r>
                  <w:r>
                    <w:rPr>
                      <w:rFonts w:hint="eastAsia" w:ascii="Times New Roman" w:hAnsi="Times New Roman" w:eastAsia="宋体" w:cs="Times New Roman"/>
                      <w:color w:val="auto"/>
                      <w:spacing w:val="-10"/>
                      <w:kern w:val="2"/>
                      <w:sz w:val="18"/>
                      <w:szCs w:val="18"/>
                      <w:vertAlign w:val="superscript"/>
                      <w:lang w:val="en-US" w:eastAsia="zh-CN" w:bidi="ar-SA"/>
                    </w:rPr>
                    <w:t>#</w:t>
                  </w:r>
                  <w:r>
                    <w:rPr>
                      <w:rFonts w:hint="eastAsia" w:ascii="Times New Roman" w:hAnsi="Times New Roman" w:eastAsia="宋体" w:cs="Times New Roman"/>
                      <w:color w:val="auto"/>
                      <w:spacing w:val="-10"/>
                      <w:kern w:val="2"/>
                      <w:sz w:val="18"/>
                      <w:szCs w:val="18"/>
                      <w:lang w:val="en-US" w:eastAsia="zh-CN" w:bidi="ar-SA"/>
                    </w:rPr>
                    <w:t>线一次漂洗前上料仓</w:t>
                  </w:r>
                </w:p>
              </w:tc>
              <w:tc>
                <w:tcPr>
                  <w:tcW w:w="1964" w:type="dxa"/>
                  <w:vAlign w:val="center"/>
                </w:tcPr>
                <w:p w14:paraId="5E770B0D">
                  <w:pPr>
                    <w:jc w:val="center"/>
                    <w:rPr>
                      <w:rFonts w:hint="eastAsia" w:ascii="Times New Roman" w:hAnsi="Times New Roman" w:eastAsia="宋体" w:cs="Times New Roman"/>
                      <w:color w:val="auto"/>
                      <w:spacing w:val="-11"/>
                      <w:kern w:val="2"/>
                      <w:sz w:val="18"/>
                      <w:szCs w:val="18"/>
                      <w:highlight w:val="none"/>
                      <w:lang w:val="en-US" w:eastAsia="zh-CN" w:bidi="ar-SA"/>
                    </w:rPr>
                  </w:pPr>
                  <w:r>
                    <w:rPr>
                      <w:rFonts w:hint="eastAsia"/>
                      <w:color w:val="auto"/>
                      <w:spacing w:val="-11"/>
                      <w:sz w:val="18"/>
                      <w:szCs w:val="18"/>
                    </w:rPr>
                    <w:t>上料仓三面围挡，顶部设置集气罩</w:t>
                  </w:r>
                </w:p>
              </w:tc>
              <w:tc>
                <w:tcPr>
                  <w:tcW w:w="572" w:type="dxa"/>
                  <w:shd w:val="clear" w:color="auto" w:fill="auto"/>
                  <w:vAlign w:val="center"/>
                </w:tcPr>
                <w:p w14:paraId="184442B2">
                  <w:pPr>
                    <w:jc w:val="center"/>
                    <w:rPr>
                      <w:rFonts w:hint="eastAsia" w:ascii="Times New Roman" w:hAnsi="Times New Roman" w:eastAsia="宋体" w:cs="Times New Roman"/>
                      <w:color w:val="auto"/>
                      <w:spacing w:val="-11"/>
                      <w:kern w:val="2"/>
                      <w:sz w:val="18"/>
                      <w:szCs w:val="18"/>
                      <w:lang w:val="en-US" w:eastAsia="zh-CN" w:bidi="ar-SA"/>
                    </w:rPr>
                  </w:pPr>
                  <w:r>
                    <w:rPr>
                      <w:rFonts w:hint="eastAsia"/>
                      <w:color w:val="auto"/>
                      <w:spacing w:val="-11"/>
                      <w:sz w:val="18"/>
                      <w:szCs w:val="18"/>
                    </w:rPr>
                    <w:t>9</w:t>
                  </w:r>
                  <w:r>
                    <w:rPr>
                      <w:rFonts w:hint="eastAsia"/>
                      <w:color w:val="auto"/>
                      <w:spacing w:val="-11"/>
                      <w:sz w:val="18"/>
                      <w:szCs w:val="18"/>
                      <w:lang w:val="en-US" w:eastAsia="zh-CN"/>
                    </w:rPr>
                    <w:t>5</w:t>
                  </w:r>
                  <w:r>
                    <w:rPr>
                      <w:rFonts w:hint="eastAsia"/>
                      <w:color w:val="auto"/>
                      <w:spacing w:val="-11"/>
                      <w:sz w:val="18"/>
                      <w:szCs w:val="18"/>
                    </w:rPr>
                    <w:t>%</w:t>
                  </w:r>
                </w:p>
              </w:tc>
              <w:tc>
                <w:tcPr>
                  <w:tcW w:w="1023" w:type="dxa"/>
                  <w:shd w:val="clear" w:color="auto" w:fill="auto"/>
                  <w:vAlign w:val="center"/>
                </w:tcPr>
                <w:p w14:paraId="7F966AFB">
                  <w:pPr>
                    <w:jc w:val="center"/>
                    <w:rPr>
                      <w:rFonts w:hint="eastAsia" w:ascii="Times New Roman" w:hAnsi="Times New Roman" w:eastAsia="宋体" w:cs="Times New Roman"/>
                      <w:color w:val="auto"/>
                      <w:spacing w:val="-11"/>
                      <w:kern w:val="2"/>
                      <w:sz w:val="18"/>
                      <w:szCs w:val="18"/>
                      <w:highlight w:val="none"/>
                      <w:lang w:val="en-US" w:eastAsia="zh-CN" w:bidi="ar-SA"/>
                    </w:rPr>
                  </w:pPr>
                  <w:r>
                    <w:rPr>
                      <w:rFonts w:hint="eastAsia"/>
                      <w:color w:val="auto"/>
                      <w:spacing w:val="-11"/>
                      <w:sz w:val="18"/>
                      <w:szCs w:val="18"/>
                      <w:highlight w:val="none"/>
                      <w:lang w:val="en-US" w:eastAsia="zh-CN"/>
                    </w:rPr>
                    <w:t>2.3</w:t>
                  </w:r>
                  <w:r>
                    <w:rPr>
                      <w:rFonts w:hint="eastAsia"/>
                      <w:color w:val="auto"/>
                      <w:spacing w:val="-11"/>
                      <w:sz w:val="18"/>
                      <w:szCs w:val="18"/>
                      <w:highlight w:val="none"/>
                    </w:rPr>
                    <w:t>m*</w:t>
                  </w:r>
                  <w:r>
                    <w:rPr>
                      <w:rFonts w:hint="eastAsia"/>
                      <w:color w:val="auto"/>
                      <w:spacing w:val="-11"/>
                      <w:sz w:val="18"/>
                      <w:szCs w:val="18"/>
                      <w:highlight w:val="none"/>
                      <w:lang w:val="en-US" w:eastAsia="zh-CN"/>
                    </w:rPr>
                    <w:t>2.5</w:t>
                  </w:r>
                  <w:r>
                    <w:rPr>
                      <w:rFonts w:hint="eastAsia"/>
                      <w:color w:val="auto"/>
                      <w:spacing w:val="-11"/>
                      <w:sz w:val="18"/>
                      <w:szCs w:val="18"/>
                      <w:highlight w:val="none"/>
                    </w:rPr>
                    <w:t>m</w:t>
                  </w:r>
                </w:p>
              </w:tc>
              <w:tc>
                <w:tcPr>
                  <w:tcW w:w="845" w:type="dxa"/>
                  <w:vAlign w:val="center"/>
                </w:tcPr>
                <w:p w14:paraId="3F9CF39E">
                  <w:pPr>
                    <w:jc w:val="center"/>
                    <w:rPr>
                      <w:rFonts w:hint="default" w:ascii="Times New Roman" w:hAnsi="Times New Roman" w:eastAsia="宋体" w:cs="Times New Roman"/>
                      <w:color w:val="auto"/>
                      <w:spacing w:val="-11"/>
                      <w:kern w:val="2"/>
                      <w:sz w:val="18"/>
                      <w:szCs w:val="18"/>
                      <w:highlight w:val="none"/>
                      <w:lang w:val="en-US" w:eastAsia="zh-CN" w:bidi="ar-SA"/>
                    </w:rPr>
                  </w:pPr>
                  <w:r>
                    <w:rPr>
                      <w:rFonts w:hint="eastAsia" w:cs="Times New Roman"/>
                      <w:color w:val="auto"/>
                      <w:spacing w:val="-11"/>
                      <w:sz w:val="18"/>
                      <w:szCs w:val="18"/>
                      <w:highlight w:val="none"/>
                      <w:lang w:val="en-US" w:eastAsia="zh-CN"/>
                    </w:rPr>
                    <w:t>10350</w:t>
                  </w:r>
                  <w:r>
                    <w:rPr>
                      <w:rFonts w:hint="default" w:ascii="Times New Roman" w:hAnsi="Times New Roman" w:cs="Times New Roman"/>
                      <w:color w:val="auto"/>
                      <w:spacing w:val="-11"/>
                      <w:sz w:val="18"/>
                      <w:szCs w:val="18"/>
                      <w:highlight w:val="none"/>
                      <w:vertAlign w:val="superscript"/>
                    </w:rPr>
                    <w:t>①</w:t>
                  </w:r>
                </w:p>
              </w:tc>
              <w:tc>
                <w:tcPr>
                  <w:tcW w:w="669" w:type="dxa"/>
                  <w:vMerge w:val="restart"/>
                  <w:vAlign w:val="center"/>
                </w:tcPr>
                <w:p w14:paraId="18822B62">
                  <w:pPr>
                    <w:jc w:val="center"/>
                    <w:rPr>
                      <w:color w:val="auto"/>
                      <w:spacing w:val="-11"/>
                      <w:sz w:val="18"/>
                      <w:szCs w:val="18"/>
                    </w:rPr>
                  </w:pPr>
                  <w:r>
                    <w:rPr>
                      <w:color w:val="auto"/>
                      <w:spacing w:val="-11"/>
                      <w:sz w:val="18"/>
                      <w:szCs w:val="18"/>
                    </w:rPr>
                    <w:t>脉冲布袋除尘器</w:t>
                  </w:r>
                </w:p>
              </w:tc>
              <w:tc>
                <w:tcPr>
                  <w:tcW w:w="839" w:type="dxa"/>
                  <w:vMerge w:val="restart"/>
                  <w:vAlign w:val="center"/>
                </w:tcPr>
                <w:p w14:paraId="12F02120">
                  <w:pPr>
                    <w:jc w:val="center"/>
                    <w:rPr>
                      <w:rFonts w:hint="default" w:eastAsia="宋体"/>
                      <w:color w:val="auto"/>
                      <w:spacing w:val="-11"/>
                      <w:sz w:val="18"/>
                      <w:szCs w:val="18"/>
                      <w:highlight w:val="yellow"/>
                      <w:lang w:val="en-US" w:eastAsia="zh-CN"/>
                    </w:rPr>
                  </w:pPr>
                  <w:r>
                    <w:rPr>
                      <w:rFonts w:hint="eastAsia"/>
                      <w:color w:val="auto"/>
                      <w:spacing w:val="-11"/>
                      <w:sz w:val="18"/>
                      <w:szCs w:val="18"/>
                      <w:highlight w:val="none"/>
                      <w:lang w:val="en-US" w:eastAsia="zh-CN"/>
                    </w:rPr>
                    <w:t>50000</w:t>
                  </w:r>
                  <w:r>
                    <w:rPr>
                      <w:rFonts w:hint="eastAsia"/>
                      <w:color w:val="auto"/>
                      <w:spacing w:val="-10"/>
                      <w:sz w:val="18"/>
                      <w:szCs w:val="18"/>
                      <w:highlight w:val="none"/>
                      <w:vertAlign w:val="superscript"/>
                    </w:rPr>
                    <w:t>④</w:t>
                  </w:r>
                </w:p>
              </w:tc>
              <w:tc>
                <w:tcPr>
                  <w:tcW w:w="701" w:type="dxa"/>
                  <w:vMerge w:val="restart"/>
                  <w:vAlign w:val="center"/>
                </w:tcPr>
                <w:p w14:paraId="3AFD8A39">
                  <w:pPr>
                    <w:jc w:val="center"/>
                    <w:rPr>
                      <w:rFonts w:hint="eastAsia"/>
                      <w:color w:val="auto"/>
                      <w:spacing w:val="-11"/>
                      <w:sz w:val="18"/>
                      <w:szCs w:val="18"/>
                    </w:rPr>
                  </w:pPr>
                  <w:r>
                    <w:rPr>
                      <w:rFonts w:hint="eastAsia"/>
                      <w:color w:val="auto"/>
                      <w:spacing w:val="-11"/>
                      <w:sz w:val="18"/>
                      <w:szCs w:val="18"/>
                      <w:lang w:val="en-US" w:eastAsia="zh-CN"/>
                    </w:rPr>
                    <w:t>DA002</w:t>
                  </w:r>
                </w:p>
              </w:tc>
            </w:tr>
            <w:tr w14:paraId="6D03DB8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553" w:type="dxa"/>
                  <w:vMerge w:val="continue"/>
                  <w:vAlign w:val="center"/>
                </w:tcPr>
                <w:p w14:paraId="3E7D57A5">
                  <w:pPr>
                    <w:tabs>
                      <w:tab w:val="left" w:pos="272"/>
                    </w:tabs>
                    <w:jc w:val="center"/>
                    <w:rPr>
                      <w:rFonts w:hint="eastAsia" w:ascii="Times New Roman" w:hAnsi="Times New Roman" w:eastAsia="宋体" w:cs="Times New Roman"/>
                      <w:color w:val="auto"/>
                      <w:spacing w:val="-10"/>
                      <w:sz w:val="18"/>
                      <w:szCs w:val="18"/>
                      <w:lang w:val="en-US" w:eastAsia="zh-CN"/>
                    </w:rPr>
                  </w:pPr>
                </w:p>
              </w:tc>
              <w:tc>
                <w:tcPr>
                  <w:tcW w:w="859" w:type="dxa"/>
                  <w:shd w:val="clear" w:color="auto" w:fill="auto"/>
                  <w:vAlign w:val="center"/>
                </w:tcPr>
                <w:p w14:paraId="10F23BEF">
                  <w:pPr>
                    <w:jc w:val="center"/>
                    <w:rPr>
                      <w:rFonts w:hint="eastAsia" w:ascii="Times New Roman" w:hAnsi="Times New Roman" w:eastAsia="宋体" w:cs="Times New Roman"/>
                      <w:color w:val="auto"/>
                      <w:spacing w:val="-10"/>
                      <w:kern w:val="2"/>
                      <w:sz w:val="18"/>
                      <w:szCs w:val="18"/>
                      <w:lang w:val="en-US" w:eastAsia="zh-CN" w:bidi="ar-SA"/>
                    </w:rPr>
                  </w:pPr>
                  <w:r>
                    <w:rPr>
                      <w:rFonts w:hint="eastAsia" w:ascii="Times New Roman" w:hAnsi="Times New Roman" w:eastAsia="宋体" w:cs="Times New Roman"/>
                      <w:color w:val="auto"/>
                      <w:spacing w:val="-10"/>
                      <w:kern w:val="2"/>
                      <w:sz w:val="18"/>
                      <w:szCs w:val="18"/>
                      <w:lang w:val="en-US" w:eastAsia="zh-CN" w:bidi="ar-SA"/>
                    </w:rPr>
                    <w:t>1</w:t>
                  </w:r>
                  <w:r>
                    <w:rPr>
                      <w:rFonts w:hint="eastAsia" w:ascii="Times New Roman" w:hAnsi="Times New Roman" w:eastAsia="宋体" w:cs="Times New Roman"/>
                      <w:color w:val="auto"/>
                      <w:spacing w:val="-10"/>
                      <w:kern w:val="2"/>
                      <w:sz w:val="18"/>
                      <w:szCs w:val="18"/>
                      <w:vertAlign w:val="superscript"/>
                      <w:lang w:val="en-US" w:eastAsia="zh-CN" w:bidi="ar-SA"/>
                    </w:rPr>
                    <w:t>#</w:t>
                  </w:r>
                  <w:r>
                    <w:rPr>
                      <w:rFonts w:hint="eastAsia" w:ascii="Times New Roman" w:hAnsi="Times New Roman" w:eastAsia="宋体" w:cs="Times New Roman"/>
                      <w:color w:val="auto"/>
                      <w:spacing w:val="-10"/>
                      <w:kern w:val="2"/>
                      <w:sz w:val="18"/>
                      <w:szCs w:val="18"/>
                      <w:lang w:val="en-US" w:eastAsia="zh-CN" w:bidi="ar-SA"/>
                    </w:rPr>
                    <w:t>线一次漂洗前</w:t>
                  </w:r>
                  <w:r>
                    <w:rPr>
                      <w:rFonts w:hint="eastAsia" w:cs="Times New Roman"/>
                      <w:color w:val="auto"/>
                      <w:spacing w:val="-10"/>
                      <w:kern w:val="2"/>
                      <w:sz w:val="18"/>
                      <w:szCs w:val="18"/>
                      <w:highlight w:val="none"/>
                      <w:lang w:val="en-US" w:eastAsia="zh-CN" w:bidi="ar-SA"/>
                    </w:rPr>
                    <w:t>滚筒筛</w:t>
                  </w:r>
                </w:p>
              </w:tc>
              <w:tc>
                <w:tcPr>
                  <w:tcW w:w="1964" w:type="dxa"/>
                  <w:shd w:val="clear" w:color="auto" w:fill="auto"/>
                  <w:vAlign w:val="center"/>
                </w:tcPr>
                <w:p w14:paraId="1F42CB78">
                  <w:pPr>
                    <w:jc w:val="center"/>
                    <w:rPr>
                      <w:rFonts w:hint="eastAsia" w:ascii="Times New Roman" w:hAnsi="Times New Roman" w:eastAsia="宋体" w:cs="Times New Roman"/>
                      <w:color w:val="auto"/>
                      <w:spacing w:val="-11"/>
                      <w:kern w:val="2"/>
                      <w:sz w:val="18"/>
                      <w:szCs w:val="18"/>
                      <w:highlight w:val="none"/>
                      <w:lang w:val="en-US" w:eastAsia="zh-CN" w:bidi="ar-SA"/>
                    </w:rPr>
                  </w:pPr>
                  <w:r>
                    <w:rPr>
                      <w:rFonts w:hint="eastAsia" w:cs="Times New Roman"/>
                      <w:color w:val="auto"/>
                      <w:spacing w:val="-10"/>
                      <w:kern w:val="2"/>
                      <w:sz w:val="18"/>
                      <w:szCs w:val="18"/>
                      <w:highlight w:val="none"/>
                      <w:lang w:val="en-US" w:eastAsia="zh-CN" w:bidi="ar-SA"/>
                    </w:rPr>
                    <w:t>滚筒筛</w:t>
                  </w:r>
                  <w:r>
                    <w:rPr>
                      <w:rFonts w:hint="eastAsia"/>
                      <w:color w:val="auto"/>
                      <w:spacing w:val="-11"/>
                      <w:sz w:val="18"/>
                      <w:szCs w:val="18"/>
                      <w:highlight w:val="none"/>
                    </w:rPr>
                    <w:t>全封闭，入料口、出料口设</w:t>
                  </w:r>
                  <w:r>
                    <w:rPr>
                      <w:rFonts w:hint="eastAsia" w:ascii="Times New Roman" w:hAnsi="Times New Roman" w:cs="Times New Roman"/>
                      <w:color w:val="auto"/>
                      <w:spacing w:val="-11"/>
                      <w:sz w:val="18"/>
                      <w:szCs w:val="18"/>
                      <w:highlight w:val="none"/>
                      <w:lang w:val="en-US" w:eastAsia="zh-CN"/>
                    </w:rPr>
                    <w:t>集气</w:t>
                  </w:r>
                  <w:r>
                    <w:rPr>
                      <w:rFonts w:hint="eastAsia"/>
                      <w:color w:val="auto"/>
                      <w:spacing w:val="-11"/>
                      <w:sz w:val="18"/>
                      <w:szCs w:val="18"/>
                      <w:highlight w:val="none"/>
                    </w:rPr>
                    <w:t>管</w:t>
                  </w:r>
                </w:p>
              </w:tc>
              <w:tc>
                <w:tcPr>
                  <w:tcW w:w="572" w:type="dxa"/>
                  <w:shd w:val="clear" w:color="auto" w:fill="auto"/>
                  <w:vAlign w:val="center"/>
                </w:tcPr>
                <w:p w14:paraId="2DD61597">
                  <w:pPr>
                    <w:jc w:val="center"/>
                    <w:rPr>
                      <w:rFonts w:hint="eastAsia" w:ascii="Times New Roman" w:hAnsi="Times New Roman" w:eastAsia="宋体" w:cs="Times New Roman"/>
                      <w:color w:val="auto"/>
                      <w:spacing w:val="-11"/>
                      <w:kern w:val="2"/>
                      <w:sz w:val="18"/>
                      <w:szCs w:val="18"/>
                      <w:highlight w:val="none"/>
                      <w:lang w:val="en-US" w:eastAsia="zh-CN" w:bidi="ar-SA"/>
                    </w:rPr>
                  </w:pPr>
                  <w:r>
                    <w:rPr>
                      <w:rFonts w:hint="eastAsia"/>
                      <w:color w:val="auto"/>
                      <w:spacing w:val="-11"/>
                      <w:sz w:val="18"/>
                      <w:szCs w:val="18"/>
                      <w:highlight w:val="none"/>
                    </w:rPr>
                    <w:t>9</w:t>
                  </w:r>
                  <w:r>
                    <w:rPr>
                      <w:rFonts w:hint="eastAsia"/>
                      <w:color w:val="auto"/>
                      <w:spacing w:val="-11"/>
                      <w:sz w:val="18"/>
                      <w:szCs w:val="18"/>
                      <w:highlight w:val="none"/>
                      <w:lang w:val="en-US" w:eastAsia="zh-CN"/>
                    </w:rPr>
                    <w:t>5</w:t>
                  </w:r>
                  <w:r>
                    <w:rPr>
                      <w:rFonts w:hint="eastAsia"/>
                      <w:color w:val="auto"/>
                      <w:spacing w:val="-11"/>
                      <w:sz w:val="18"/>
                      <w:szCs w:val="18"/>
                      <w:highlight w:val="none"/>
                    </w:rPr>
                    <w:t>%</w:t>
                  </w:r>
                </w:p>
              </w:tc>
              <w:tc>
                <w:tcPr>
                  <w:tcW w:w="1023" w:type="dxa"/>
                  <w:shd w:val="clear" w:color="auto" w:fill="auto"/>
                  <w:vAlign w:val="center"/>
                </w:tcPr>
                <w:p w14:paraId="7FD6DF78">
                  <w:pPr>
                    <w:jc w:val="center"/>
                    <w:rPr>
                      <w:rFonts w:hint="eastAsia" w:ascii="Times New Roman" w:hAnsi="Times New Roman" w:eastAsia="宋体" w:cs="Times New Roman"/>
                      <w:color w:val="auto"/>
                      <w:spacing w:val="-11"/>
                      <w:kern w:val="2"/>
                      <w:sz w:val="18"/>
                      <w:szCs w:val="18"/>
                      <w:highlight w:val="none"/>
                      <w:lang w:val="en-US" w:eastAsia="zh-CN" w:bidi="ar-SA"/>
                    </w:rPr>
                  </w:pPr>
                  <w:r>
                    <w:rPr>
                      <w:rFonts w:hint="eastAsia" w:ascii="Times New Roman" w:hAnsi="Times New Roman" w:cs="Times New Roman"/>
                      <w:color w:val="auto"/>
                      <w:spacing w:val="-11"/>
                      <w:sz w:val="18"/>
                      <w:szCs w:val="18"/>
                      <w:highlight w:val="none"/>
                      <w:lang w:val="en-US" w:eastAsia="zh-CN"/>
                    </w:rPr>
                    <w:t>集气管直径</w:t>
                  </w:r>
                  <w:r>
                    <w:rPr>
                      <w:rFonts w:hint="default" w:ascii="Times New Roman" w:hAnsi="Times New Roman" w:cs="Times New Roman"/>
                      <w:color w:val="auto"/>
                      <w:spacing w:val="-11"/>
                      <w:sz w:val="18"/>
                      <w:szCs w:val="18"/>
                      <w:highlight w:val="none"/>
                      <w:lang w:val="en-US" w:eastAsia="zh-CN"/>
                    </w:rPr>
                    <w:t>0.5m</w:t>
                  </w:r>
                </w:p>
              </w:tc>
              <w:tc>
                <w:tcPr>
                  <w:tcW w:w="845" w:type="dxa"/>
                  <w:shd w:val="clear" w:color="auto" w:fill="auto"/>
                  <w:vAlign w:val="center"/>
                </w:tcPr>
                <w:p w14:paraId="4092133C">
                  <w:pPr>
                    <w:jc w:val="center"/>
                    <w:rPr>
                      <w:rFonts w:hint="eastAsia" w:ascii="Times New Roman" w:hAnsi="Times New Roman" w:eastAsia="宋体" w:cs="Times New Roman"/>
                      <w:color w:val="auto"/>
                      <w:spacing w:val="-11"/>
                      <w:kern w:val="2"/>
                      <w:sz w:val="18"/>
                      <w:szCs w:val="18"/>
                      <w:highlight w:val="none"/>
                      <w:lang w:val="en-US" w:eastAsia="zh-CN" w:bidi="ar-SA"/>
                    </w:rPr>
                  </w:pPr>
                  <w:r>
                    <w:rPr>
                      <w:rFonts w:hint="default" w:ascii="Times New Roman" w:hAnsi="Times New Roman" w:cs="Times New Roman"/>
                      <w:color w:val="auto"/>
                      <w:spacing w:val="-11"/>
                      <w:sz w:val="18"/>
                      <w:szCs w:val="18"/>
                      <w:highlight w:val="none"/>
                    </w:rPr>
                    <w:t>12000</w:t>
                  </w:r>
                  <w:r>
                    <w:rPr>
                      <w:rFonts w:hint="default" w:ascii="Times New Roman" w:hAnsi="Times New Roman" w:eastAsia="微软雅黑" w:cs="Times New Roman"/>
                      <w:color w:val="auto"/>
                      <w:spacing w:val="-11"/>
                      <w:sz w:val="18"/>
                      <w:szCs w:val="18"/>
                      <w:highlight w:val="none"/>
                      <w:vertAlign w:val="superscript"/>
                      <w:lang w:val="en-US" w:eastAsia="zh-CN"/>
                    </w:rPr>
                    <w:t>②</w:t>
                  </w:r>
                </w:p>
              </w:tc>
              <w:tc>
                <w:tcPr>
                  <w:tcW w:w="669" w:type="dxa"/>
                  <w:vMerge w:val="continue"/>
                  <w:vAlign w:val="center"/>
                </w:tcPr>
                <w:p w14:paraId="1979A778">
                  <w:pPr>
                    <w:jc w:val="center"/>
                    <w:rPr>
                      <w:color w:val="auto"/>
                      <w:spacing w:val="-11"/>
                      <w:sz w:val="18"/>
                      <w:szCs w:val="18"/>
                    </w:rPr>
                  </w:pPr>
                </w:p>
              </w:tc>
              <w:tc>
                <w:tcPr>
                  <w:tcW w:w="839" w:type="dxa"/>
                  <w:vMerge w:val="continue"/>
                  <w:vAlign w:val="center"/>
                </w:tcPr>
                <w:p w14:paraId="7DF1E5AD">
                  <w:pPr>
                    <w:jc w:val="center"/>
                    <w:rPr>
                      <w:rFonts w:hint="eastAsia"/>
                      <w:color w:val="auto"/>
                      <w:spacing w:val="-11"/>
                      <w:sz w:val="18"/>
                      <w:szCs w:val="18"/>
                      <w:highlight w:val="none"/>
                      <w:lang w:val="en-US" w:eastAsia="zh-CN"/>
                    </w:rPr>
                  </w:pPr>
                </w:p>
              </w:tc>
              <w:tc>
                <w:tcPr>
                  <w:tcW w:w="701" w:type="dxa"/>
                  <w:vMerge w:val="continue"/>
                  <w:vAlign w:val="center"/>
                </w:tcPr>
                <w:p w14:paraId="72DDDE59">
                  <w:pPr>
                    <w:jc w:val="center"/>
                    <w:rPr>
                      <w:rFonts w:hint="eastAsia"/>
                      <w:color w:val="auto"/>
                      <w:spacing w:val="-11"/>
                      <w:sz w:val="18"/>
                      <w:szCs w:val="18"/>
                      <w:lang w:val="en-US" w:eastAsia="zh-CN"/>
                    </w:rPr>
                  </w:pPr>
                </w:p>
              </w:tc>
            </w:tr>
            <w:tr w14:paraId="5AC20CF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4" w:hRule="atLeast"/>
                <w:jc w:val="center"/>
              </w:trPr>
              <w:tc>
                <w:tcPr>
                  <w:tcW w:w="553" w:type="dxa"/>
                  <w:vMerge w:val="continue"/>
                  <w:vAlign w:val="center"/>
                </w:tcPr>
                <w:p w14:paraId="20526361">
                  <w:pPr>
                    <w:tabs>
                      <w:tab w:val="left" w:pos="272"/>
                    </w:tabs>
                    <w:jc w:val="center"/>
                    <w:rPr>
                      <w:rFonts w:hint="eastAsia" w:ascii="Times New Roman" w:hAnsi="Times New Roman" w:eastAsia="宋体" w:cs="Times New Roman"/>
                      <w:color w:val="auto"/>
                      <w:spacing w:val="-10"/>
                      <w:sz w:val="18"/>
                      <w:szCs w:val="18"/>
                      <w:lang w:val="en-US" w:eastAsia="zh-CN"/>
                    </w:rPr>
                  </w:pPr>
                </w:p>
              </w:tc>
              <w:tc>
                <w:tcPr>
                  <w:tcW w:w="859" w:type="dxa"/>
                  <w:vMerge w:val="restart"/>
                  <w:shd w:val="clear" w:color="auto" w:fill="auto"/>
                  <w:vAlign w:val="center"/>
                </w:tcPr>
                <w:p w14:paraId="7638485E">
                  <w:pPr>
                    <w:jc w:val="center"/>
                    <w:rPr>
                      <w:rFonts w:hint="eastAsia" w:ascii="Times New Roman" w:hAnsi="Times New Roman" w:eastAsia="宋体" w:cs="Times New Roman"/>
                      <w:color w:val="auto"/>
                      <w:spacing w:val="-10"/>
                      <w:kern w:val="2"/>
                      <w:sz w:val="18"/>
                      <w:szCs w:val="18"/>
                      <w:lang w:val="en-US" w:eastAsia="zh-CN" w:bidi="ar-SA"/>
                    </w:rPr>
                  </w:pPr>
                  <w:r>
                    <w:rPr>
                      <w:rFonts w:hint="eastAsia" w:ascii="Times New Roman" w:hAnsi="Times New Roman" w:eastAsia="宋体" w:cs="Times New Roman"/>
                      <w:color w:val="auto"/>
                      <w:spacing w:val="-10"/>
                      <w:kern w:val="2"/>
                      <w:sz w:val="18"/>
                      <w:szCs w:val="18"/>
                      <w:lang w:val="en-US" w:eastAsia="zh-CN" w:bidi="ar-SA"/>
                    </w:rPr>
                    <w:t>1</w:t>
                  </w:r>
                  <w:r>
                    <w:rPr>
                      <w:rFonts w:hint="eastAsia" w:ascii="Times New Roman" w:hAnsi="Times New Roman" w:eastAsia="宋体" w:cs="Times New Roman"/>
                      <w:color w:val="auto"/>
                      <w:spacing w:val="-10"/>
                      <w:kern w:val="2"/>
                      <w:sz w:val="18"/>
                      <w:szCs w:val="18"/>
                      <w:vertAlign w:val="superscript"/>
                      <w:lang w:val="en-US" w:eastAsia="zh-CN" w:bidi="ar-SA"/>
                    </w:rPr>
                    <w:t>#</w:t>
                  </w:r>
                  <w:r>
                    <w:rPr>
                      <w:rFonts w:hint="eastAsia" w:ascii="Times New Roman" w:hAnsi="Times New Roman" w:eastAsia="宋体" w:cs="Times New Roman"/>
                      <w:color w:val="auto"/>
                      <w:spacing w:val="-10"/>
                      <w:kern w:val="2"/>
                      <w:sz w:val="18"/>
                      <w:szCs w:val="18"/>
                      <w:lang w:val="en-US" w:eastAsia="zh-CN" w:bidi="ar-SA"/>
                    </w:rPr>
                    <w:t>线一次漂洗前</w:t>
                  </w:r>
                  <w:r>
                    <w:rPr>
                      <w:rFonts w:hint="eastAsia" w:cs="Times New Roman"/>
                      <w:color w:val="auto"/>
                      <w:spacing w:val="-10"/>
                      <w:kern w:val="2"/>
                      <w:sz w:val="18"/>
                      <w:szCs w:val="18"/>
                      <w:highlight w:val="none"/>
                      <w:lang w:val="en-US" w:eastAsia="zh-CN" w:bidi="ar-SA"/>
                    </w:rPr>
                    <w:t>空气分选机</w:t>
                  </w:r>
                </w:p>
              </w:tc>
              <w:tc>
                <w:tcPr>
                  <w:tcW w:w="1964" w:type="dxa"/>
                  <w:shd w:val="clear" w:color="auto" w:fill="auto"/>
                  <w:vAlign w:val="center"/>
                </w:tcPr>
                <w:p w14:paraId="2C53F451">
                  <w:pPr>
                    <w:jc w:val="center"/>
                    <w:rPr>
                      <w:rFonts w:hint="eastAsia" w:ascii="Times New Roman" w:hAnsi="Times New Roman" w:eastAsia="宋体" w:cs="Times New Roman"/>
                      <w:color w:val="auto"/>
                      <w:spacing w:val="-11"/>
                      <w:kern w:val="2"/>
                      <w:sz w:val="18"/>
                      <w:szCs w:val="18"/>
                      <w:highlight w:val="none"/>
                      <w:lang w:val="en-US" w:eastAsia="zh-CN" w:bidi="ar-SA"/>
                    </w:rPr>
                  </w:pPr>
                  <w:r>
                    <w:rPr>
                      <w:rFonts w:hint="eastAsia"/>
                      <w:color w:val="auto"/>
                      <w:spacing w:val="-11"/>
                      <w:sz w:val="18"/>
                      <w:szCs w:val="18"/>
                      <w:highlight w:val="none"/>
                      <w:lang w:val="en-US" w:eastAsia="zh-CN"/>
                    </w:rPr>
                    <w:t>空气分选机入料口设集气罩</w:t>
                  </w:r>
                </w:p>
              </w:tc>
              <w:tc>
                <w:tcPr>
                  <w:tcW w:w="572" w:type="dxa"/>
                  <w:shd w:val="clear" w:color="auto" w:fill="auto"/>
                  <w:vAlign w:val="center"/>
                </w:tcPr>
                <w:p w14:paraId="3E065962">
                  <w:pPr>
                    <w:jc w:val="center"/>
                    <w:rPr>
                      <w:rFonts w:hint="eastAsia" w:ascii="Times New Roman" w:hAnsi="Times New Roman" w:eastAsia="宋体" w:cs="Times New Roman"/>
                      <w:color w:val="auto"/>
                      <w:spacing w:val="-11"/>
                      <w:kern w:val="2"/>
                      <w:sz w:val="18"/>
                      <w:szCs w:val="18"/>
                      <w:highlight w:val="none"/>
                      <w:lang w:val="en-US" w:eastAsia="zh-CN" w:bidi="ar-SA"/>
                    </w:rPr>
                  </w:pPr>
                  <w:r>
                    <w:rPr>
                      <w:rFonts w:hint="eastAsia"/>
                      <w:color w:val="auto"/>
                      <w:spacing w:val="-11"/>
                      <w:sz w:val="18"/>
                      <w:szCs w:val="18"/>
                      <w:highlight w:val="none"/>
                    </w:rPr>
                    <w:t>9</w:t>
                  </w:r>
                  <w:r>
                    <w:rPr>
                      <w:rFonts w:hint="eastAsia"/>
                      <w:color w:val="auto"/>
                      <w:spacing w:val="-11"/>
                      <w:sz w:val="18"/>
                      <w:szCs w:val="18"/>
                      <w:highlight w:val="none"/>
                      <w:lang w:val="en-US" w:eastAsia="zh-CN"/>
                    </w:rPr>
                    <w:t>5</w:t>
                  </w:r>
                  <w:r>
                    <w:rPr>
                      <w:rFonts w:hint="eastAsia"/>
                      <w:color w:val="auto"/>
                      <w:spacing w:val="-11"/>
                      <w:sz w:val="18"/>
                      <w:szCs w:val="18"/>
                      <w:highlight w:val="none"/>
                    </w:rPr>
                    <w:t>%</w:t>
                  </w:r>
                </w:p>
              </w:tc>
              <w:tc>
                <w:tcPr>
                  <w:tcW w:w="1023" w:type="dxa"/>
                  <w:shd w:val="clear" w:color="auto" w:fill="auto"/>
                  <w:vAlign w:val="center"/>
                </w:tcPr>
                <w:p w14:paraId="308DB8F8">
                  <w:pPr>
                    <w:jc w:val="center"/>
                    <w:rPr>
                      <w:rFonts w:hint="eastAsia" w:ascii="Times New Roman" w:hAnsi="Times New Roman" w:eastAsia="宋体" w:cs="Times New Roman"/>
                      <w:color w:val="auto"/>
                      <w:spacing w:val="-11"/>
                      <w:kern w:val="2"/>
                      <w:sz w:val="18"/>
                      <w:szCs w:val="18"/>
                      <w:highlight w:val="none"/>
                      <w:lang w:val="en-US" w:eastAsia="zh-CN" w:bidi="ar-SA"/>
                    </w:rPr>
                  </w:pPr>
                  <w:r>
                    <w:rPr>
                      <w:rFonts w:hint="eastAsia" w:eastAsia="宋体"/>
                      <w:color w:val="auto"/>
                      <w:spacing w:val="-11"/>
                      <w:sz w:val="18"/>
                      <w:szCs w:val="18"/>
                      <w:highlight w:val="none"/>
                      <w:lang w:val="en-US" w:eastAsia="zh-CN"/>
                    </w:rPr>
                    <w:t>0.6</w:t>
                  </w:r>
                  <w:r>
                    <w:rPr>
                      <w:rFonts w:hint="eastAsia"/>
                      <w:color w:val="auto"/>
                      <w:spacing w:val="-11"/>
                      <w:sz w:val="18"/>
                      <w:szCs w:val="18"/>
                      <w:highlight w:val="none"/>
                    </w:rPr>
                    <w:t>m*</w:t>
                  </w:r>
                  <w:r>
                    <w:rPr>
                      <w:rFonts w:hint="eastAsia"/>
                      <w:color w:val="auto"/>
                      <w:spacing w:val="-11"/>
                      <w:sz w:val="18"/>
                      <w:szCs w:val="18"/>
                      <w:highlight w:val="none"/>
                      <w:lang w:val="en-US" w:eastAsia="zh-CN"/>
                    </w:rPr>
                    <w:t>0.6</w:t>
                  </w:r>
                  <w:r>
                    <w:rPr>
                      <w:rFonts w:hint="eastAsia"/>
                      <w:color w:val="auto"/>
                      <w:spacing w:val="-11"/>
                      <w:sz w:val="18"/>
                      <w:szCs w:val="18"/>
                      <w:highlight w:val="none"/>
                    </w:rPr>
                    <w:t>m</w:t>
                  </w:r>
                </w:p>
              </w:tc>
              <w:tc>
                <w:tcPr>
                  <w:tcW w:w="845" w:type="dxa"/>
                  <w:shd w:val="clear" w:color="auto" w:fill="auto"/>
                  <w:vAlign w:val="center"/>
                </w:tcPr>
                <w:p w14:paraId="51D10C76">
                  <w:pPr>
                    <w:jc w:val="center"/>
                    <w:rPr>
                      <w:rFonts w:hint="eastAsia" w:ascii="Times New Roman" w:hAnsi="Times New Roman" w:eastAsia="宋体" w:cs="Times New Roman"/>
                      <w:color w:val="auto"/>
                      <w:spacing w:val="-11"/>
                      <w:kern w:val="2"/>
                      <w:sz w:val="18"/>
                      <w:szCs w:val="18"/>
                      <w:highlight w:val="none"/>
                      <w:lang w:val="en-US" w:eastAsia="zh-CN" w:bidi="ar-SA"/>
                    </w:rPr>
                  </w:pPr>
                  <w:r>
                    <w:rPr>
                      <w:rFonts w:hint="eastAsia" w:ascii="Times New Roman" w:hAnsi="Times New Roman" w:eastAsia="宋体" w:cs="Times New Roman"/>
                      <w:color w:val="auto"/>
                      <w:spacing w:val="-11"/>
                      <w:kern w:val="2"/>
                      <w:sz w:val="18"/>
                      <w:szCs w:val="18"/>
                      <w:highlight w:val="none"/>
                      <w:lang w:val="en-US" w:eastAsia="zh-CN" w:bidi="ar-SA"/>
                    </w:rPr>
                    <w:t>648</w:t>
                  </w:r>
                  <w:r>
                    <w:rPr>
                      <w:rFonts w:hint="default" w:ascii="Times New Roman" w:hAnsi="Times New Roman" w:cs="Times New Roman"/>
                      <w:color w:val="auto"/>
                      <w:spacing w:val="-11"/>
                      <w:sz w:val="18"/>
                      <w:szCs w:val="18"/>
                      <w:highlight w:val="none"/>
                      <w:vertAlign w:val="superscript"/>
                    </w:rPr>
                    <w:t>①</w:t>
                  </w:r>
                </w:p>
              </w:tc>
              <w:tc>
                <w:tcPr>
                  <w:tcW w:w="669" w:type="dxa"/>
                  <w:vMerge w:val="continue"/>
                  <w:vAlign w:val="center"/>
                </w:tcPr>
                <w:p w14:paraId="2250A0A9">
                  <w:pPr>
                    <w:jc w:val="center"/>
                    <w:rPr>
                      <w:color w:val="auto"/>
                      <w:spacing w:val="-11"/>
                      <w:sz w:val="18"/>
                      <w:szCs w:val="18"/>
                    </w:rPr>
                  </w:pPr>
                </w:p>
              </w:tc>
              <w:tc>
                <w:tcPr>
                  <w:tcW w:w="839" w:type="dxa"/>
                  <w:vMerge w:val="continue"/>
                  <w:vAlign w:val="center"/>
                </w:tcPr>
                <w:p w14:paraId="12F8285B">
                  <w:pPr>
                    <w:jc w:val="center"/>
                    <w:rPr>
                      <w:rFonts w:hint="eastAsia"/>
                      <w:color w:val="auto"/>
                      <w:spacing w:val="-11"/>
                      <w:sz w:val="18"/>
                      <w:szCs w:val="18"/>
                      <w:highlight w:val="none"/>
                      <w:lang w:val="en-US" w:eastAsia="zh-CN"/>
                    </w:rPr>
                  </w:pPr>
                </w:p>
              </w:tc>
              <w:tc>
                <w:tcPr>
                  <w:tcW w:w="701" w:type="dxa"/>
                  <w:vMerge w:val="continue"/>
                  <w:vAlign w:val="center"/>
                </w:tcPr>
                <w:p w14:paraId="13DEF63E">
                  <w:pPr>
                    <w:jc w:val="center"/>
                    <w:rPr>
                      <w:rFonts w:hint="eastAsia"/>
                      <w:color w:val="auto"/>
                      <w:spacing w:val="-11"/>
                      <w:sz w:val="18"/>
                      <w:szCs w:val="18"/>
                      <w:lang w:val="en-US" w:eastAsia="zh-CN"/>
                    </w:rPr>
                  </w:pPr>
                </w:p>
              </w:tc>
            </w:tr>
            <w:tr w14:paraId="434A0B4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6" w:hRule="atLeast"/>
                <w:jc w:val="center"/>
              </w:trPr>
              <w:tc>
                <w:tcPr>
                  <w:tcW w:w="553" w:type="dxa"/>
                  <w:vMerge w:val="continue"/>
                  <w:vAlign w:val="center"/>
                </w:tcPr>
                <w:p w14:paraId="4BB44329">
                  <w:pPr>
                    <w:tabs>
                      <w:tab w:val="left" w:pos="272"/>
                    </w:tabs>
                    <w:jc w:val="center"/>
                    <w:rPr>
                      <w:rFonts w:hint="eastAsia" w:ascii="Times New Roman" w:hAnsi="Times New Roman" w:eastAsia="宋体" w:cs="Times New Roman"/>
                      <w:color w:val="auto"/>
                      <w:spacing w:val="-10"/>
                      <w:sz w:val="18"/>
                      <w:szCs w:val="18"/>
                      <w:lang w:val="en-US" w:eastAsia="zh-CN"/>
                    </w:rPr>
                  </w:pPr>
                </w:p>
              </w:tc>
              <w:tc>
                <w:tcPr>
                  <w:tcW w:w="859" w:type="dxa"/>
                  <w:vMerge w:val="continue"/>
                  <w:shd w:val="clear" w:color="auto" w:fill="auto"/>
                  <w:vAlign w:val="center"/>
                </w:tcPr>
                <w:p w14:paraId="732FE8E6">
                  <w:pPr>
                    <w:jc w:val="center"/>
                    <w:rPr>
                      <w:rFonts w:hint="eastAsia" w:ascii="Times New Roman" w:hAnsi="Times New Roman" w:eastAsia="宋体" w:cs="Times New Roman"/>
                      <w:color w:val="auto"/>
                      <w:spacing w:val="-10"/>
                      <w:kern w:val="2"/>
                      <w:sz w:val="18"/>
                      <w:szCs w:val="18"/>
                      <w:lang w:val="en-US" w:eastAsia="zh-CN" w:bidi="ar-SA"/>
                    </w:rPr>
                  </w:pPr>
                </w:p>
              </w:tc>
              <w:tc>
                <w:tcPr>
                  <w:tcW w:w="1964" w:type="dxa"/>
                  <w:shd w:val="clear" w:color="auto" w:fill="auto"/>
                  <w:vAlign w:val="center"/>
                </w:tcPr>
                <w:p w14:paraId="220D44D1">
                  <w:pPr>
                    <w:jc w:val="center"/>
                    <w:rPr>
                      <w:rFonts w:hint="eastAsia"/>
                      <w:color w:val="auto"/>
                      <w:spacing w:val="-11"/>
                      <w:sz w:val="18"/>
                      <w:szCs w:val="18"/>
                      <w:highlight w:val="none"/>
                      <w:lang w:val="en-US" w:eastAsia="zh-CN"/>
                    </w:rPr>
                  </w:pPr>
                  <w:r>
                    <w:rPr>
                      <w:rFonts w:hint="eastAsia"/>
                      <w:color w:val="auto"/>
                      <w:spacing w:val="-11"/>
                      <w:sz w:val="18"/>
                      <w:szCs w:val="18"/>
                      <w:highlight w:val="none"/>
                      <w:lang w:val="en-US" w:eastAsia="zh-CN"/>
                    </w:rPr>
                    <w:t>空气分选机出料口设集气罩</w:t>
                  </w:r>
                </w:p>
              </w:tc>
              <w:tc>
                <w:tcPr>
                  <w:tcW w:w="572" w:type="dxa"/>
                  <w:shd w:val="clear" w:color="auto" w:fill="auto"/>
                  <w:vAlign w:val="center"/>
                </w:tcPr>
                <w:p w14:paraId="5A80138C">
                  <w:pPr>
                    <w:jc w:val="center"/>
                    <w:rPr>
                      <w:rFonts w:hint="eastAsia" w:ascii="Times New Roman" w:hAnsi="Times New Roman" w:eastAsia="宋体" w:cs="Times New Roman"/>
                      <w:color w:val="auto"/>
                      <w:spacing w:val="-11"/>
                      <w:kern w:val="2"/>
                      <w:sz w:val="18"/>
                      <w:szCs w:val="18"/>
                      <w:highlight w:val="none"/>
                      <w:lang w:val="en-US" w:eastAsia="zh-CN" w:bidi="ar-SA"/>
                    </w:rPr>
                  </w:pPr>
                  <w:r>
                    <w:rPr>
                      <w:rFonts w:hint="eastAsia"/>
                      <w:color w:val="auto"/>
                      <w:spacing w:val="-11"/>
                      <w:sz w:val="18"/>
                      <w:szCs w:val="18"/>
                      <w:highlight w:val="none"/>
                    </w:rPr>
                    <w:t>9</w:t>
                  </w:r>
                  <w:r>
                    <w:rPr>
                      <w:rFonts w:hint="eastAsia"/>
                      <w:color w:val="auto"/>
                      <w:spacing w:val="-11"/>
                      <w:sz w:val="18"/>
                      <w:szCs w:val="18"/>
                      <w:highlight w:val="none"/>
                      <w:lang w:val="en-US" w:eastAsia="zh-CN"/>
                    </w:rPr>
                    <w:t>5</w:t>
                  </w:r>
                  <w:r>
                    <w:rPr>
                      <w:rFonts w:hint="eastAsia"/>
                      <w:color w:val="auto"/>
                      <w:spacing w:val="-11"/>
                      <w:sz w:val="18"/>
                      <w:szCs w:val="18"/>
                      <w:highlight w:val="none"/>
                    </w:rPr>
                    <w:t>%</w:t>
                  </w:r>
                </w:p>
              </w:tc>
              <w:tc>
                <w:tcPr>
                  <w:tcW w:w="1023" w:type="dxa"/>
                  <w:shd w:val="clear" w:color="auto" w:fill="auto"/>
                  <w:vAlign w:val="center"/>
                </w:tcPr>
                <w:p w14:paraId="410556F8">
                  <w:pPr>
                    <w:jc w:val="center"/>
                    <w:rPr>
                      <w:rFonts w:hint="eastAsia" w:ascii="Times New Roman" w:hAnsi="Times New Roman" w:eastAsia="宋体" w:cs="Times New Roman"/>
                      <w:color w:val="auto"/>
                      <w:spacing w:val="-11"/>
                      <w:kern w:val="2"/>
                      <w:sz w:val="18"/>
                      <w:szCs w:val="18"/>
                      <w:highlight w:val="none"/>
                      <w:lang w:val="en-US" w:eastAsia="zh-CN" w:bidi="ar-SA"/>
                    </w:rPr>
                  </w:pPr>
                  <w:r>
                    <w:rPr>
                      <w:rFonts w:hint="eastAsia" w:eastAsia="宋体"/>
                      <w:color w:val="auto"/>
                      <w:spacing w:val="-11"/>
                      <w:sz w:val="18"/>
                      <w:szCs w:val="18"/>
                      <w:highlight w:val="none"/>
                      <w:lang w:val="en-US" w:eastAsia="zh-CN"/>
                    </w:rPr>
                    <w:t>0.6</w:t>
                  </w:r>
                  <w:r>
                    <w:rPr>
                      <w:rFonts w:hint="eastAsia"/>
                      <w:color w:val="auto"/>
                      <w:spacing w:val="-11"/>
                      <w:sz w:val="18"/>
                      <w:szCs w:val="18"/>
                      <w:highlight w:val="none"/>
                    </w:rPr>
                    <w:t>m*</w:t>
                  </w:r>
                  <w:r>
                    <w:rPr>
                      <w:rFonts w:hint="eastAsia"/>
                      <w:color w:val="auto"/>
                      <w:spacing w:val="-11"/>
                      <w:sz w:val="18"/>
                      <w:szCs w:val="18"/>
                      <w:highlight w:val="none"/>
                      <w:lang w:val="en-US" w:eastAsia="zh-CN"/>
                    </w:rPr>
                    <w:t>0.6</w:t>
                  </w:r>
                  <w:r>
                    <w:rPr>
                      <w:rFonts w:hint="eastAsia"/>
                      <w:color w:val="auto"/>
                      <w:spacing w:val="-11"/>
                      <w:sz w:val="18"/>
                      <w:szCs w:val="18"/>
                      <w:highlight w:val="none"/>
                    </w:rPr>
                    <w:t>m</w:t>
                  </w:r>
                </w:p>
              </w:tc>
              <w:tc>
                <w:tcPr>
                  <w:tcW w:w="845" w:type="dxa"/>
                  <w:shd w:val="clear" w:color="auto" w:fill="auto"/>
                  <w:vAlign w:val="center"/>
                </w:tcPr>
                <w:p w14:paraId="171C1694">
                  <w:pPr>
                    <w:jc w:val="center"/>
                    <w:rPr>
                      <w:rFonts w:hint="eastAsia" w:ascii="Times New Roman" w:hAnsi="Times New Roman" w:eastAsia="宋体" w:cs="Times New Roman"/>
                      <w:color w:val="auto"/>
                      <w:spacing w:val="-11"/>
                      <w:kern w:val="2"/>
                      <w:sz w:val="18"/>
                      <w:szCs w:val="18"/>
                      <w:highlight w:val="none"/>
                      <w:lang w:val="en-US" w:eastAsia="zh-CN" w:bidi="ar-SA"/>
                    </w:rPr>
                  </w:pPr>
                  <w:r>
                    <w:rPr>
                      <w:rFonts w:hint="eastAsia" w:ascii="Times New Roman" w:hAnsi="Times New Roman" w:eastAsia="宋体" w:cs="Times New Roman"/>
                      <w:color w:val="auto"/>
                      <w:spacing w:val="-11"/>
                      <w:kern w:val="2"/>
                      <w:sz w:val="18"/>
                      <w:szCs w:val="18"/>
                      <w:highlight w:val="none"/>
                      <w:lang w:val="en-US" w:eastAsia="zh-CN" w:bidi="ar-SA"/>
                    </w:rPr>
                    <w:t>648</w:t>
                  </w:r>
                  <w:r>
                    <w:rPr>
                      <w:rFonts w:hint="default" w:ascii="Times New Roman" w:hAnsi="Times New Roman" w:cs="Times New Roman"/>
                      <w:color w:val="auto"/>
                      <w:spacing w:val="-11"/>
                      <w:sz w:val="18"/>
                      <w:szCs w:val="18"/>
                      <w:highlight w:val="none"/>
                      <w:vertAlign w:val="superscript"/>
                    </w:rPr>
                    <w:t>①</w:t>
                  </w:r>
                </w:p>
              </w:tc>
              <w:tc>
                <w:tcPr>
                  <w:tcW w:w="669" w:type="dxa"/>
                  <w:vMerge w:val="continue"/>
                  <w:vAlign w:val="center"/>
                </w:tcPr>
                <w:p w14:paraId="1075408D">
                  <w:pPr>
                    <w:jc w:val="center"/>
                    <w:rPr>
                      <w:color w:val="auto"/>
                      <w:spacing w:val="-11"/>
                      <w:sz w:val="18"/>
                      <w:szCs w:val="18"/>
                    </w:rPr>
                  </w:pPr>
                </w:p>
              </w:tc>
              <w:tc>
                <w:tcPr>
                  <w:tcW w:w="839" w:type="dxa"/>
                  <w:vMerge w:val="continue"/>
                  <w:vAlign w:val="center"/>
                </w:tcPr>
                <w:p w14:paraId="33FBB2CC">
                  <w:pPr>
                    <w:jc w:val="center"/>
                    <w:rPr>
                      <w:rFonts w:hint="eastAsia"/>
                      <w:color w:val="auto"/>
                      <w:spacing w:val="-11"/>
                      <w:sz w:val="18"/>
                      <w:szCs w:val="18"/>
                      <w:highlight w:val="none"/>
                      <w:lang w:val="en-US" w:eastAsia="zh-CN"/>
                    </w:rPr>
                  </w:pPr>
                </w:p>
              </w:tc>
              <w:tc>
                <w:tcPr>
                  <w:tcW w:w="701" w:type="dxa"/>
                  <w:vMerge w:val="continue"/>
                  <w:vAlign w:val="center"/>
                </w:tcPr>
                <w:p w14:paraId="05A53136">
                  <w:pPr>
                    <w:jc w:val="center"/>
                    <w:rPr>
                      <w:rFonts w:hint="eastAsia"/>
                      <w:color w:val="auto"/>
                      <w:spacing w:val="-11"/>
                      <w:sz w:val="18"/>
                      <w:szCs w:val="18"/>
                      <w:lang w:val="en-US" w:eastAsia="zh-CN"/>
                    </w:rPr>
                  </w:pPr>
                </w:p>
              </w:tc>
            </w:tr>
            <w:tr w14:paraId="08C170F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46" w:hRule="atLeast"/>
                <w:jc w:val="center"/>
              </w:trPr>
              <w:tc>
                <w:tcPr>
                  <w:tcW w:w="553" w:type="dxa"/>
                  <w:vMerge w:val="continue"/>
                  <w:vAlign w:val="center"/>
                </w:tcPr>
                <w:p w14:paraId="3F804E22">
                  <w:pPr>
                    <w:tabs>
                      <w:tab w:val="left" w:pos="272"/>
                    </w:tabs>
                    <w:jc w:val="center"/>
                    <w:rPr>
                      <w:rFonts w:hint="eastAsia" w:ascii="Times New Roman" w:hAnsi="Times New Roman" w:eastAsia="宋体" w:cs="Times New Roman"/>
                      <w:color w:val="auto"/>
                      <w:spacing w:val="-10"/>
                      <w:sz w:val="18"/>
                      <w:szCs w:val="18"/>
                      <w:lang w:val="en-US" w:eastAsia="zh-CN"/>
                    </w:rPr>
                  </w:pPr>
                </w:p>
              </w:tc>
              <w:tc>
                <w:tcPr>
                  <w:tcW w:w="859" w:type="dxa"/>
                  <w:shd w:val="clear" w:color="auto" w:fill="auto"/>
                  <w:vAlign w:val="center"/>
                </w:tcPr>
                <w:p w14:paraId="3C3A4D1B">
                  <w:pPr>
                    <w:jc w:val="center"/>
                    <w:rPr>
                      <w:rFonts w:hint="eastAsia" w:ascii="Times New Roman" w:hAnsi="Times New Roman" w:eastAsia="宋体" w:cs="Times New Roman"/>
                      <w:color w:val="auto"/>
                      <w:spacing w:val="-10"/>
                      <w:kern w:val="2"/>
                      <w:sz w:val="18"/>
                      <w:szCs w:val="18"/>
                      <w:lang w:val="en-US" w:eastAsia="zh-CN" w:bidi="ar-SA"/>
                    </w:rPr>
                  </w:pPr>
                  <w:r>
                    <w:rPr>
                      <w:rFonts w:hint="eastAsia" w:ascii="Times New Roman" w:hAnsi="Times New Roman" w:eastAsia="宋体" w:cs="Times New Roman"/>
                      <w:color w:val="auto"/>
                      <w:spacing w:val="-10"/>
                      <w:kern w:val="2"/>
                      <w:sz w:val="18"/>
                      <w:szCs w:val="18"/>
                      <w:lang w:val="en-US" w:eastAsia="zh-CN" w:bidi="ar-SA"/>
                    </w:rPr>
                    <w:t>2</w:t>
                  </w:r>
                  <w:r>
                    <w:rPr>
                      <w:rFonts w:hint="eastAsia" w:ascii="Times New Roman" w:hAnsi="Times New Roman" w:eastAsia="宋体" w:cs="Times New Roman"/>
                      <w:color w:val="auto"/>
                      <w:spacing w:val="-10"/>
                      <w:kern w:val="2"/>
                      <w:sz w:val="18"/>
                      <w:szCs w:val="18"/>
                      <w:vertAlign w:val="superscript"/>
                      <w:lang w:val="en-US" w:eastAsia="zh-CN" w:bidi="ar-SA"/>
                    </w:rPr>
                    <w:t>#</w:t>
                  </w:r>
                  <w:r>
                    <w:rPr>
                      <w:rFonts w:hint="eastAsia" w:ascii="Times New Roman" w:hAnsi="Times New Roman" w:eastAsia="宋体" w:cs="Times New Roman"/>
                      <w:color w:val="auto"/>
                      <w:spacing w:val="-10"/>
                      <w:kern w:val="2"/>
                      <w:sz w:val="18"/>
                      <w:szCs w:val="18"/>
                      <w:lang w:val="en-US" w:eastAsia="zh-CN" w:bidi="ar-SA"/>
                    </w:rPr>
                    <w:t>线一次漂洗前上料仓</w:t>
                  </w:r>
                </w:p>
              </w:tc>
              <w:tc>
                <w:tcPr>
                  <w:tcW w:w="1964" w:type="dxa"/>
                  <w:vAlign w:val="center"/>
                </w:tcPr>
                <w:p w14:paraId="6603975D">
                  <w:pPr>
                    <w:jc w:val="center"/>
                    <w:rPr>
                      <w:rFonts w:hint="eastAsia" w:ascii="Times New Roman" w:hAnsi="Times New Roman" w:eastAsia="宋体" w:cs="Times New Roman"/>
                      <w:color w:val="auto"/>
                      <w:spacing w:val="-11"/>
                      <w:kern w:val="2"/>
                      <w:sz w:val="18"/>
                      <w:szCs w:val="18"/>
                      <w:highlight w:val="none"/>
                      <w:lang w:val="en-US" w:eastAsia="zh-CN" w:bidi="ar-SA"/>
                    </w:rPr>
                  </w:pPr>
                  <w:r>
                    <w:rPr>
                      <w:rFonts w:hint="eastAsia"/>
                      <w:color w:val="auto"/>
                      <w:spacing w:val="-11"/>
                      <w:sz w:val="18"/>
                      <w:szCs w:val="18"/>
                    </w:rPr>
                    <w:t>上料仓三面围挡，顶部设置集气罩</w:t>
                  </w:r>
                </w:p>
              </w:tc>
              <w:tc>
                <w:tcPr>
                  <w:tcW w:w="572" w:type="dxa"/>
                  <w:shd w:val="clear" w:color="auto" w:fill="auto"/>
                  <w:vAlign w:val="center"/>
                </w:tcPr>
                <w:p w14:paraId="6EB1FF30">
                  <w:pPr>
                    <w:jc w:val="center"/>
                    <w:rPr>
                      <w:rFonts w:hint="eastAsia" w:ascii="Times New Roman" w:hAnsi="Times New Roman" w:eastAsia="宋体" w:cs="Times New Roman"/>
                      <w:color w:val="auto"/>
                      <w:spacing w:val="-11"/>
                      <w:kern w:val="2"/>
                      <w:sz w:val="18"/>
                      <w:szCs w:val="18"/>
                      <w:lang w:val="en-US" w:eastAsia="zh-CN" w:bidi="ar-SA"/>
                    </w:rPr>
                  </w:pPr>
                  <w:r>
                    <w:rPr>
                      <w:rFonts w:hint="eastAsia"/>
                      <w:color w:val="auto"/>
                      <w:spacing w:val="-11"/>
                      <w:sz w:val="18"/>
                      <w:szCs w:val="18"/>
                    </w:rPr>
                    <w:t>9</w:t>
                  </w:r>
                  <w:r>
                    <w:rPr>
                      <w:rFonts w:hint="eastAsia"/>
                      <w:color w:val="auto"/>
                      <w:spacing w:val="-11"/>
                      <w:sz w:val="18"/>
                      <w:szCs w:val="18"/>
                      <w:lang w:val="en-US" w:eastAsia="zh-CN"/>
                    </w:rPr>
                    <w:t>5</w:t>
                  </w:r>
                  <w:r>
                    <w:rPr>
                      <w:rFonts w:hint="eastAsia"/>
                      <w:color w:val="auto"/>
                      <w:spacing w:val="-11"/>
                      <w:sz w:val="18"/>
                      <w:szCs w:val="18"/>
                    </w:rPr>
                    <w:t>%</w:t>
                  </w:r>
                </w:p>
              </w:tc>
              <w:tc>
                <w:tcPr>
                  <w:tcW w:w="1023" w:type="dxa"/>
                  <w:shd w:val="clear" w:color="auto" w:fill="auto"/>
                  <w:vAlign w:val="center"/>
                </w:tcPr>
                <w:p w14:paraId="2DBF6ADC">
                  <w:pPr>
                    <w:jc w:val="center"/>
                    <w:rPr>
                      <w:rFonts w:hint="eastAsia" w:ascii="Times New Roman" w:hAnsi="Times New Roman" w:eastAsia="宋体" w:cs="Times New Roman"/>
                      <w:color w:val="auto"/>
                      <w:spacing w:val="-11"/>
                      <w:kern w:val="2"/>
                      <w:sz w:val="18"/>
                      <w:szCs w:val="18"/>
                      <w:highlight w:val="none"/>
                      <w:lang w:val="en-US" w:eastAsia="zh-CN" w:bidi="ar-SA"/>
                    </w:rPr>
                  </w:pPr>
                  <w:r>
                    <w:rPr>
                      <w:rFonts w:hint="eastAsia"/>
                      <w:color w:val="auto"/>
                      <w:spacing w:val="-11"/>
                      <w:sz w:val="18"/>
                      <w:szCs w:val="18"/>
                      <w:highlight w:val="none"/>
                      <w:lang w:val="en-US" w:eastAsia="zh-CN"/>
                    </w:rPr>
                    <w:t>2.3</w:t>
                  </w:r>
                  <w:r>
                    <w:rPr>
                      <w:rFonts w:hint="eastAsia"/>
                      <w:color w:val="auto"/>
                      <w:spacing w:val="-11"/>
                      <w:sz w:val="18"/>
                      <w:szCs w:val="18"/>
                      <w:highlight w:val="none"/>
                    </w:rPr>
                    <w:t>m*</w:t>
                  </w:r>
                  <w:r>
                    <w:rPr>
                      <w:rFonts w:hint="eastAsia"/>
                      <w:color w:val="auto"/>
                      <w:spacing w:val="-11"/>
                      <w:sz w:val="18"/>
                      <w:szCs w:val="18"/>
                      <w:highlight w:val="none"/>
                      <w:lang w:val="en-US" w:eastAsia="zh-CN"/>
                    </w:rPr>
                    <w:t>2.5</w:t>
                  </w:r>
                  <w:r>
                    <w:rPr>
                      <w:rFonts w:hint="eastAsia"/>
                      <w:color w:val="auto"/>
                      <w:spacing w:val="-11"/>
                      <w:sz w:val="18"/>
                      <w:szCs w:val="18"/>
                      <w:highlight w:val="none"/>
                    </w:rPr>
                    <w:t>m</w:t>
                  </w:r>
                </w:p>
              </w:tc>
              <w:tc>
                <w:tcPr>
                  <w:tcW w:w="845" w:type="dxa"/>
                  <w:vAlign w:val="center"/>
                </w:tcPr>
                <w:p w14:paraId="5029A3D0">
                  <w:pPr>
                    <w:jc w:val="center"/>
                    <w:rPr>
                      <w:rFonts w:hint="default" w:ascii="Times New Roman" w:hAnsi="Times New Roman" w:eastAsia="微软雅黑" w:cs="Times New Roman"/>
                      <w:color w:val="auto"/>
                      <w:spacing w:val="-11"/>
                      <w:kern w:val="2"/>
                      <w:sz w:val="18"/>
                      <w:szCs w:val="18"/>
                      <w:highlight w:val="none"/>
                      <w:lang w:val="en-US" w:eastAsia="zh-CN" w:bidi="ar-SA"/>
                    </w:rPr>
                  </w:pPr>
                  <w:r>
                    <w:rPr>
                      <w:rFonts w:hint="eastAsia" w:cs="Times New Roman"/>
                      <w:color w:val="auto"/>
                      <w:spacing w:val="-11"/>
                      <w:sz w:val="18"/>
                      <w:szCs w:val="18"/>
                      <w:highlight w:val="none"/>
                      <w:lang w:val="en-US" w:eastAsia="zh-CN"/>
                    </w:rPr>
                    <w:t>10350</w:t>
                  </w:r>
                  <w:r>
                    <w:rPr>
                      <w:rFonts w:hint="default" w:ascii="Times New Roman" w:hAnsi="Times New Roman" w:cs="Times New Roman"/>
                      <w:color w:val="auto"/>
                      <w:spacing w:val="-11"/>
                      <w:sz w:val="18"/>
                      <w:szCs w:val="18"/>
                      <w:highlight w:val="none"/>
                      <w:vertAlign w:val="superscript"/>
                    </w:rPr>
                    <w:t>①</w:t>
                  </w:r>
                </w:p>
              </w:tc>
              <w:tc>
                <w:tcPr>
                  <w:tcW w:w="669" w:type="dxa"/>
                  <w:vMerge w:val="continue"/>
                  <w:vAlign w:val="center"/>
                </w:tcPr>
                <w:p w14:paraId="70BA0354">
                  <w:pPr>
                    <w:jc w:val="center"/>
                    <w:rPr>
                      <w:color w:val="auto"/>
                      <w:spacing w:val="-11"/>
                      <w:sz w:val="18"/>
                      <w:szCs w:val="18"/>
                    </w:rPr>
                  </w:pPr>
                </w:p>
              </w:tc>
              <w:tc>
                <w:tcPr>
                  <w:tcW w:w="839" w:type="dxa"/>
                  <w:vMerge w:val="continue"/>
                  <w:vAlign w:val="center"/>
                </w:tcPr>
                <w:p w14:paraId="3B7AF9CF">
                  <w:pPr>
                    <w:jc w:val="center"/>
                    <w:rPr>
                      <w:rFonts w:hint="eastAsia"/>
                      <w:color w:val="auto"/>
                      <w:spacing w:val="-11"/>
                      <w:sz w:val="18"/>
                      <w:szCs w:val="18"/>
                      <w:lang w:val="en-US" w:eastAsia="zh-CN"/>
                    </w:rPr>
                  </w:pPr>
                </w:p>
              </w:tc>
              <w:tc>
                <w:tcPr>
                  <w:tcW w:w="701" w:type="dxa"/>
                  <w:vMerge w:val="continue"/>
                  <w:vAlign w:val="center"/>
                </w:tcPr>
                <w:p w14:paraId="53D69D1B">
                  <w:pPr>
                    <w:jc w:val="center"/>
                    <w:rPr>
                      <w:rFonts w:hint="eastAsia"/>
                      <w:color w:val="auto"/>
                      <w:spacing w:val="-11"/>
                      <w:sz w:val="18"/>
                      <w:szCs w:val="18"/>
                      <w:lang w:val="en-US" w:eastAsia="zh-CN"/>
                    </w:rPr>
                  </w:pPr>
                </w:p>
              </w:tc>
            </w:tr>
            <w:tr w14:paraId="0EB00F0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24" w:hRule="atLeast"/>
                <w:jc w:val="center"/>
              </w:trPr>
              <w:tc>
                <w:tcPr>
                  <w:tcW w:w="553" w:type="dxa"/>
                  <w:vMerge w:val="continue"/>
                  <w:vAlign w:val="center"/>
                </w:tcPr>
                <w:p w14:paraId="0F42817B">
                  <w:pPr>
                    <w:jc w:val="center"/>
                    <w:rPr>
                      <w:rFonts w:hint="eastAsia"/>
                      <w:color w:val="auto"/>
                      <w:spacing w:val="-10"/>
                      <w:sz w:val="18"/>
                      <w:szCs w:val="18"/>
                      <w:lang w:val="en-US" w:eastAsia="zh-CN"/>
                    </w:rPr>
                  </w:pPr>
                </w:p>
              </w:tc>
              <w:tc>
                <w:tcPr>
                  <w:tcW w:w="859" w:type="dxa"/>
                  <w:shd w:val="clear" w:color="auto" w:fill="auto"/>
                  <w:vAlign w:val="center"/>
                </w:tcPr>
                <w:p w14:paraId="017D5D26">
                  <w:pPr>
                    <w:jc w:val="center"/>
                    <w:rPr>
                      <w:rFonts w:hint="eastAsia" w:ascii="Times New Roman" w:hAnsi="Times New Roman" w:eastAsia="宋体" w:cs="Times New Roman"/>
                      <w:color w:val="auto"/>
                      <w:spacing w:val="-10"/>
                      <w:kern w:val="2"/>
                      <w:sz w:val="18"/>
                      <w:szCs w:val="18"/>
                      <w:highlight w:val="none"/>
                      <w:lang w:val="en-US" w:eastAsia="zh-CN" w:bidi="ar-SA"/>
                    </w:rPr>
                  </w:pPr>
                  <w:r>
                    <w:rPr>
                      <w:rFonts w:hint="eastAsia" w:ascii="Times New Roman" w:hAnsi="Times New Roman" w:eastAsia="宋体" w:cs="Times New Roman"/>
                      <w:color w:val="auto"/>
                      <w:spacing w:val="-10"/>
                      <w:kern w:val="2"/>
                      <w:sz w:val="18"/>
                      <w:szCs w:val="18"/>
                      <w:lang w:val="en-US" w:eastAsia="zh-CN" w:bidi="ar-SA"/>
                    </w:rPr>
                    <w:t>2</w:t>
                  </w:r>
                  <w:r>
                    <w:rPr>
                      <w:rFonts w:hint="eastAsia" w:ascii="Times New Roman" w:hAnsi="Times New Roman" w:eastAsia="宋体" w:cs="Times New Roman"/>
                      <w:color w:val="auto"/>
                      <w:spacing w:val="-10"/>
                      <w:kern w:val="2"/>
                      <w:sz w:val="18"/>
                      <w:szCs w:val="18"/>
                      <w:vertAlign w:val="superscript"/>
                      <w:lang w:val="en-US" w:eastAsia="zh-CN" w:bidi="ar-SA"/>
                    </w:rPr>
                    <w:t>#</w:t>
                  </w:r>
                  <w:r>
                    <w:rPr>
                      <w:rFonts w:hint="eastAsia" w:ascii="Times New Roman" w:hAnsi="Times New Roman" w:eastAsia="宋体" w:cs="Times New Roman"/>
                      <w:color w:val="auto"/>
                      <w:spacing w:val="-10"/>
                      <w:kern w:val="2"/>
                      <w:sz w:val="18"/>
                      <w:szCs w:val="18"/>
                      <w:lang w:val="en-US" w:eastAsia="zh-CN" w:bidi="ar-SA"/>
                    </w:rPr>
                    <w:t>线一次漂洗前</w:t>
                  </w:r>
                  <w:r>
                    <w:rPr>
                      <w:rFonts w:hint="eastAsia" w:cs="Times New Roman"/>
                      <w:color w:val="auto"/>
                      <w:spacing w:val="-10"/>
                      <w:kern w:val="2"/>
                      <w:sz w:val="18"/>
                      <w:szCs w:val="18"/>
                      <w:highlight w:val="none"/>
                      <w:lang w:val="en-US" w:eastAsia="zh-CN" w:bidi="ar-SA"/>
                    </w:rPr>
                    <w:t>滚筒筛</w:t>
                  </w:r>
                </w:p>
              </w:tc>
              <w:tc>
                <w:tcPr>
                  <w:tcW w:w="1964" w:type="dxa"/>
                  <w:vAlign w:val="center"/>
                </w:tcPr>
                <w:p w14:paraId="44E7F850">
                  <w:pPr>
                    <w:jc w:val="center"/>
                    <w:rPr>
                      <w:rFonts w:hint="eastAsia" w:ascii="Times New Roman" w:hAnsi="Times New Roman" w:eastAsia="宋体" w:cs="Times New Roman"/>
                      <w:color w:val="auto"/>
                      <w:spacing w:val="-11"/>
                      <w:kern w:val="2"/>
                      <w:sz w:val="18"/>
                      <w:szCs w:val="18"/>
                      <w:highlight w:val="none"/>
                      <w:lang w:val="en-US" w:eastAsia="zh-CN" w:bidi="ar-SA"/>
                    </w:rPr>
                  </w:pPr>
                  <w:r>
                    <w:rPr>
                      <w:rFonts w:hint="eastAsia" w:cs="Times New Roman"/>
                      <w:color w:val="auto"/>
                      <w:spacing w:val="-10"/>
                      <w:kern w:val="2"/>
                      <w:sz w:val="18"/>
                      <w:szCs w:val="18"/>
                      <w:highlight w:val="none"/>
                      <w:lang w:val="en-US" w:eastAsia="zh-CN" w:bidi="ar-SA"/>
                    </w:rPr>
                    <w:t>滚筒筛</w:t>
                  </w:r>
                  <w:r>
                    <w:rPr>
                      <w:rFonts w:hint="eastAsia"/>
                      <w:color w:val="auto"/>
                      <w:spacing w:val="-11"/>
                      <w:sz w:val="18"/>
                      <w:szCs w:val="18"/>
                      <w:highlight w:val="none"/>
                    </w:rPr>
                    <w:t>全封闭，入料口、出料口设</w:t>
                  </w:r>
                  <w:r>
                    <w:rPr>
                      <w:rFonts w:hint="eastAsia" w:ascii="Times New Roman" w:hAnsi="Times New Roman" w:cs="Times New Roman"/>
                      <w:color w:val="auto"/>
                      <w:spacing w:val="-11"/>
                      <w:sz w:val="18"/>
                      <w:szCs w:val="18"/>
                      <w:highlight w:val="none"/>
                      <w:lang w:val="en-US" w:eastAsia="zh-CN"/>
                    </w:rPr>
                    <w:t>集气</w:t>
                  </w:r>
                  <w:r>
                    <w:rPr>
                      <w:rFonts w:hint="eastAsia"/>
                      <w:color w:val="auto"/>
                      <w:spacing w:val="-11"/>
                      <w:sz w:val="18"/>
                      <w:szCs w:val="18"/>
                      <w:highlight w:val="none"/>
                    </w:rPr>
                    <w:t>管</w:t>
                  </w:r>
                </w:p>
              </w:tc>
              <w:tc>
                <w:tcPr>
                  <w:tcW w:w="572" w:type="dxa"/>
                  <w:shd w:val="clear" w:color="auto" w:fill="auto"/>
                  <w:vAlign w:val="center"/>
                </w:tcPr>
                <w:p w14:paraId="293DEFF3">
                  <w:pPr>
                    <w:jc w:val="center"/>
                    <w:rPr>
                      <w:rFonts w:hint="eastAsia" w:ascii="Times New Roman" w:hAnsi="Times New Roman" w:eastAsia="宋体" w:cs="Times New Roman"/>
                      <w:color w:val="auto"/>
                      <w:spacing w:val="-11"/>
                      <w:kern w:val="2"/>
                      <w:sz w:val="18"/>
                      <w:szCs w:val="18"/>
                      <w:highlight w:val="none"/>
                      <w:lang w:val="en-US" w:eastAsia="zh-CN" w:bidi="ar-SA"/>
                    </w:rPr>
                  </w:pPr>
                  <w:r>
                    <w:rPr>
                      <w:rFonts w:hint="eastAsia"/>
                      <w:color w:val="auto"/>
                      <w:spacing w:val="-11"/>
                      <w:sz w:val="18"/>
                      <w:szCs w:val="18"/>
                      <w:highlight w:val="none"/>
                    </w:rPr>
                    <w:t>9</w:t>
                  </w:r>
                  <w:r>
                    <w:rPr>
                      <w:rFonts w:hint="eastAsia"/>
                      <w:color w:val="auto"/>
                      <w:spacing w:val="-11"/>
                      <w:sz w:val="18"/>
                      <w:szCs w:val="18"/>
                      <w:highlight w:val="none"/>
                      <w:lang w:val="en-US" w:eastAsia="zh-CN"/>
                    </w:rPr>
                    <w:t>5</w:t>
                  </w:r>
                  <w:r>
                    <w:rPr>
                      <w:rFonts w:hint="eastAsia"/>
                      <w:color w:val="auto"/>
                      <w:spacing w:val="-11"/>
                      <w:sz w:val="18"/>
                      <w:szCs w:val="18"/>
                      <w:highlight w:val="none"/>
                    </w:rPr>
                    <w:t>%</w:t>
                  </w:r>
                </w:p>
              </w:tc>
              <w:tc>
                <w:tcPr>
                  <w:tcW w:w="1023" w:type="dxa"/>
                  <w:shd w:val="clear" w:color="auto" w:fill="auto"/>
                  <w:vAlign w:val="center"/>
                </w:tcPr>
                <w:p w14:paraId="694A8F00">
                  <w:pPr>
                    <w:jc w:val="center"/>
                    <w:rPr>
                      <w:rFonts w:hint="eastAsia" w:ascii="Times New Roman" w:hAnsi="Times New Roman" w:eastAsia="宋体" w:cs="Times New Roman"/>
                      <w:color w:val="auto"/>
                      <w:spacing w:val="-11"/>
                      <w:kern w:val="2"/>
                      <w:sz w:val="18"/>
                      <w:szCs w:val="18"/>
                      <w:highlight w:val="none"/>
                      <w:lang w:val="en-US" w:eastAsia="zh-CN" w:bidi="ar-SA"/>
                    </w:rPr>
                  </w:pPr>
                  <w:r>
                    <w:rPr>
                      <w:rFonts w:hint="eastAsia" w:ascii="Times New Roman" w:hAnsi="Times New Roman" w:cs="Times New Roman"/>
                      <w:color w:val="auto"/>
                      <w:spacing w:val="-11"/>
                      <w:sz w:val="18"/>
                      <w:szCs w:val="18"/>
                      <w:highlight w:val="none"/>
                      <w:lang w:val="en-US" w:eastAsia="zh-CN"/>
                    </w:rPr>
                    <w:t>集气管直径</w:t>
                  </w:r>
                  <w:r>
                    <w:rPr>
                      <w:rFonts w:hint="default" w:ascii="Times New Roman" w:hAnsi="Times New Roman" w:cs="Times New Roman"/>
                      <w:color w:val="auto"/>
                      <w:spacing w:val="-11"/>
                      <w:sz w:val="18"/>
                      <w:szCs w:val="18"/>
                      <w:highlight w:val="none"/>
                      <w:lang w:val="en-US" w:eastAsia="zh-CN"/>
                    </w:rPr>
                    <w:t>0.5m</w:t>
                  </w:r>
                </w:p>
              </w:tc>
              <w:tc>
                <w:tcPr>
                  <w:tcW w:w="845" w:type="dxa"/>
                  <w:vAlign w:val="center"/>
                </w:tcPr>
                <w:p w14:paraId="7D78F26C">
                  <w:pPr>
                    <w:jc w:val="center"/>
                    <w:rPr>
                      <w:rFonts w:hint="default" w:ascii="Times New Roman" w:hAnsi="Times New Roman" w:eastAsia="宋体" w:cs="Times New Roman"/>
                      <w:color w:val="auto"/>
                      <w:spacing w:val="-11"/>
                      <w:kern w:val="2"/>
                      <w:sz w:val="18"/>
                      <w:szCs w:val="18"/>
                      <w:highlight w:val="none"/>
                      <w:lang w:val="en-US" w:eastAsia="zh-CN" w:bidi="ar-SA"/>
                    </w:rPr>
                  </w:pPr>
                  <w:r>
                    <w:rPr>
                      <w:rFonts w:hint="default" w:ascii="Times New Roman" w:hAnsi="Times New Roman" w:cs="Times New Roman"/>
                      <w:color w:val="auto"/>
                      <w:spacing w:val="-11"/>
                      <w:sz w:val="18"/>
                      <w:szCs w:val="18"/>
                      <w:highlight w:val="none"/>
                    </w:rPr>
                    <w:t>12000</w:t>
                  </w:r>
                  <w:r>
                    <w:rPr>
                      <w:rFonts w:hint="default" w:ascii="Times New Roman" w:hAnsi="Times New Roman" w:eastAsia="微软雅黑" w:cs="Times New Roman"/>
                      <w:color w:val="auto"/>
                      <w:spacing w:val="-11"/>
                      <w:sz w:val="18"/>
                      <w:szCs w:val="18"/>
                      <w:highlight w:val="none"/>
                      <w:vertAlign w:val="superscript"/>
                      <w:lang w:val="en-US" w:eastAsia="zh-CN"/>
                    </w:rPr>
                    <w:t>②</w:t>
                  </w:r>
                </w:p>
              </w:tc>
              <w:tc>
                <w:tcPr>
                  <w:tcW w:w="669" w:type="dxa"/>
                  <w:vMerge w:val="continue"/>
                  <w:vAlign w:val="center"/>
                </w:tcPr>
                <w:p w14:paraId="6A74F765">
                  <w:pPr>
                    <w:jc w:val="center"/>
                    <w:rPr>
                      <w:color w:val="auto"/>
                      <w:spacing w:val="-11"/>
                      <w:sz w:val="18"/>
                      <w:szCs w:val="18"/>
                    </w:rPr>
                  </w:pPr>
                </w:p>
              </w:tc>
              <w:tc>
                <w:tcPr>
                  <w:tcW w:w="839" w:type="dxa"/>
                  <w:vMerge w:val="continue"/>
                  <w:vAlign w:val="center"/>
                </w:tcPr>
                <w:p w14:paraId="4149F201">
                  <w:pPr>
                    <w:jc w:val="center"/>
                    <w:rPr>
                      <w:color w:val="auto"/>
                      <w:spacing w:val="-11"/>
                      <w:sz w:val="18"/>
                      <w:szCs w:val="18"/>
                    </w:rPr>
                  </w:pPr>
                </w:p>
              </w:tc>
              <w:tc>
                <w:tcPr>
                  <w:tcW w:w="701" w:type="dxa"/>
                  <w:vMerge w:val="continue"/>
                  <w:vAlign w:val="center"/>
                </w:tcPr>
                <w:p w14:paraId="5818742D">
                  <w:pPr>
                    <w:jc w:val="center"/>
                    <w:rPr>
                      <w:rFonts w:hint="eastAsia"/>
                      <w:color w:val="auto"/>
                      <w:spacing w:val="-11"/>
                      <w:sz w:val="18"/>
                      <w:szCs w:val="18"/>
                    </w:rPr>
                  </w:pPr>
                </w:p>
              </w:tc>
            </w:tr>
            <w:tr w14:paraId="6F57972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53" w:type="dxa"/>
                  <w:vMerge w:val="continue"/>
                  <w:vAlign w:val="center"/>
                </w:tcPr>
                <w:p w14:paraId="13EB44D0">
                  <w:pPr>
                    <w:jc w:val="center"/>
                    <w:rPr>
                      <w:rFonts w:hint="eastAsia"/>
                      <w:color w:val="auto"/>
                      <w:spacing w:val="-10"/>
                      <w:sz w:val="18"/>
                      <w:szCs w:val="18"/>
                      <w:lang w:val="en-US" w:eastAsia="zh-CN"/>
                    </w:rPr>
                  </w:pPr>
                </w:p>
              </w:tc>
              <w:tc>
                <w:tcPr>
                  <w:tcW w:w="859" w:type="dxa"/>
                  <w:vMerge w:val="restart"/>
                  <w:shd w:val="clear" w:color="auto" w:fill="auto"/>
                  <w:vAlign w:val="center"/>
                </w:tcPr>
                <w:p w14:paraId="7A198937">
                  <w:pPr>
                    <w:jc w:val="center"/>
                    <w:rPr>
                      <w:rFonts w:hint="default" w:cs="Times New Roman"/>
                      <w:color w:val="auto"/>
                      <w:spacing w:val="-10"/>
                      <w:kern w:val="2"/>
                      <w:sz w:val="18"/>
                      <w:szCs w:val="18"/>
                      <w:highlight w:val="none"/>
                      <w:lang w:val="en-US" w:eastAsia="zh-CN" w:bidi="ar-SA"/>
                    </w:rPr>
                  </w:pPr>
                  <w:r>
                    <w:rPr>
                      <w:rFonts w:hint="eastAsia" w:ascii="Times New Roman" w:hAnsi="Times New Roman" w:eastAsia="宋体" w:cs="Times New Roman"/>
                      <w:color w:val="auto"/>
                      <w:spacing w:val="-10"/>
                      <w:kern w:val="2"/>
                      <w:sz w:val="18"/>
                      <w:szCs w:val="18"/>
                      <w:lang w:val="en-US" w:eastAsia="zh-CN" w:bidi="ar-SA"/>
                    </w:rPr>
                    <w:t>2</w:t>
                  </w:r>
                  <w:r>
                    <w:rPr>
                      <w:rFonts w:hint="eastAsia" w:ascii="Times New Roman" w:hAnsi="Times New Roman" w:eastAsia="宋体" w:cs="Times New Roman"/>
                      <w:color w:val="auto"/>
                      <w:spacing w:val="-10"/>
                      <w:kern w:val="2"/>
                      <w:sz w:val="18"/>
                      <w:szCs w:val="18"/>
                      <w:vertAlign w:val="superscript"/>
                      <w:lang w:val="en-US" w:eastAsia="zh-CN" w:bidi="ar-SA"/>
                    </w:rPr>
                    <w:t>#</w:t>
                  </w:r>
                  <w:r>
                    <w:rPr>
                      <w:rFonts w:hint="eastAsia" w:ascii="Times New Roman" w:hAnsi="Times New Roman" w:eastAsia="宋体" w:cs="Times New Roman"/>
                      <w:color w:val="auto"/>
                      <w:spacing w:val="-10"/>
                      <w:kern w:val="2"/>
                      <w:sz w:val="18"/>
                      <w:szCs w:val="18"/>
                      <w:lang w:val="en-US" w:eastAsia="zh-CN" w:bidi="ar-SA"/>
                    </w:rPr>
                    <w:t>线一次漂洗前</w:t>
                  </w:r>
                  <w:r>
                    <w:rPr>
                      <w:rFonts w:hint="eastAsia" w:cs="Times New Roman"/>
                      <w:color w:val="auto"/>
                      <w:spacing w:val="-10"/>
                      <w:kern w:val="2"/>
                      <w:sz w:val="18"/>
                      <w:szCs w:val="18"/>
                      <w:highlight w:val="none"/>
                      <w:lang w:val="en-US" w:eastAsia="zh-CN" w:bidi="ar-SA"/>
                    </w:rPr>
                    <w:t>空气分选机</w:t>
                  </w:r>
                </w:p>
              </w:tc>
              <w:tc>
                <w:tcPr>
                  <w:tcW w:w="1964" w:type="dxa"/>
                  <w:vAlign w:val="center"/>
                </w:tcPr>
                <w:p w14:paraId="2F0D2905">
                  <w:pPr>
                    <w:jc w:val="center"/>
                    <w:rPr>
                      <w:rFonts w:hint="default"/>
                      <w:color w:val="auto"/>
                      <w:spacing w:val="-11"/>
                      <w:sz w:val="18"/>
                      <w:szCs w:val="18"/>
                      <w:highlight w:val="none"/>
                      <w:lang w:val="en-US" w:eastAsia="zh-CN"/>
                    </w:rPr>
                  </w:pPr>
                  <w:r>
                    <w:rPr>
                      <w:rFonts w:hint="eastAsia"/>
                      <w:color w:val="auto"/>
                      <w:spacing w:val="-11"/>
                      <w:sz w:val="18"/>
                      <w:szCs w:val="18"/>
                      <w:highlight w:val="none"/>
                      <w:lang w:val="en-US" w:eastAsia="zh-CN"/>
                    </w:rPr>
                    <w:t>空气分选机入料口设集气罩</w:t>
                  </w:r>
                </w:p>
              </w:tc>
              <w:tc>
                <w:tcPr>
                  <w:tcW w:w="572" w:type="dxa"/>
                  <w:shd w:val="clear" w:color="auto" w:fill="auto"/>
                  <w:vAlign w:val="center"/>
                </w:tcPr>
                <w:p w14:paraId="4CD9D9A5">
                  <w:pPr>
                    <w:jc w:val="center"/>
                    <w:rPr>
                      <w:rFonts w:hint="eastAsia" w:ascii="Times New Roman" w:hAnsi="Times New Roman" w:eastAsia="宋体" w:cs="Times New Roman"/>
                      <w:color w:val="auto"/>
                      <w:spacing w:val="-11"/>
                      <w:kern w:val="2"/>
                      <w:sz w:val="18"/>
                      <w:szCs w:val="18"/>
                      <w:highlight w:val="none"/>
                      <w:lang w:val="en-US" w:eastAsia="zh-CN" w:bidi="ar-SA"/>
                    </w:rPr>
                  </w:pPr>
                  <w:r>
                    <w:rPr>
                      <w:rFonts w:hint="eastAsia"/>
                      <w:color w:val="auto"/>
                      <w:spacing w:val="-11"/>
                      <w:sz w:val="18"/>
                      <w:szCs w:val="18"/>
                      <w:highlight w:val="none"/>
                    </w:rPr>
                    <w:t>9</w:t>
                  </w:r>
                  <w:r>
                    <w:rPr>
                      <w:rFonts w:hint="eastAsia"/>
                      <w:color w:val="auto"/>
                      <w:spacing w:val="-11"/>
                      <w:sz w:val="18"/>
                      <w:szCs w:val="18"/>
                      <w:highlight w:val="none"/>
                      <w:lang w:val="en-US" w:eastAsia="zh-CN"/>
                    </w:rPr>
                    <w:t>5</w:t>
                  </w:r>
                  <w:r>
                    <w:rPr>
                      <w:rFonts w:hint="eastAsia"/>
                      <w:color w:val="auto"/>
                      <w:spacing w:val="-11"/>
                      <w:sz w:val="18"/>
                      <w:szCs w:val="18"/>
                      <w:highlight w:val="none"/>
                    </w:rPr>
                    <w:t>%</w:t>
                  </w:r>
                </w:p>
              </w:tc>
              <w:tc>
                <w:tcPr>
                  <w:tcW w:w="1023" w:type="dxa"/>
                  <w:shd w:val="clear" w:color="auto" w:fill="auto"/>
                  <w:vAlign w:val="center"/>
                </w:tcPr>
                <w:p w14:paraId="2447CD55">
                  <w:pPr>
                    <w:jc w:val="center"/>
                    <w:rPr>
                      <w:rFonts w:hint="default" w:ascii="Times New Roman" w:hAnsi="Times New Roman" w:eastAsia="宋体" w:cs="Times New Roman"/>
                      <w:color w:val="auto"/>
                      <w:spacing w:val="-11"/>
                      <w:kern w:val="2"/>
                      <w:sz w:val="18"/>
                      <w:szCs w:val="18"/>
                      <w:highlight w:val="none"/>
                      <w:lang w:val="en-US" w:eastAsia="zh-CN" w:bidi="ar-SA"/>
                    </w:rPr>
                  </w:pPr>
                  <w:r>
                    <w:rPr>
                      <w:rFonts w:hint="eastAsia" w:eastAsia="宋体"/>
                      <w:color w:val="auto"/>
                      <w:spacing w:val="-11"/>
                      <w:sz w:val="18"/>
                      <w:szCs w:val="18"/>
                      <w:highlight w:val="none"/>
                      <w:lang w:val="en-US" w:eastAsia="zh-CN"/>
                    </w:rPr>
                    <w:t>0.6</w:t>
                  </w:r>
                  <w:r>
                    <w:rPr>
                      <w:rFonts w:hint="eastAsia"/>
                      <w:color w:val="auto"/>
                      <w:spacing w:val="-11"/>
                      <w:sz w:val="18"/>
                      <w:szCs w:val="18"/>
                      <w:highlight w:val="none"/>
                    </w:rPr>
                    <w:t>m*</w:t>
                  </w:r>
                  <w:r>
                    <w:rPr>
                      <w:rFonts w:hint="eastAsia"/>
                      <w:color w:val="auto"/>
                      <w:spacing w:val="-11"/>
                      <w:sz w:val="18"/>
                      <w:szCs w:val="18"/>
                      <w:highlight w:val="none"/>
                      <w:lang w:val="en-US" w:eastAsia="zh-CN"/>
                    </w:rPr>
                    <w:t>0.6</w:t>
                  </w:r>
                  <w:r>
                    <w:rPr>
                      <w:rFonts w:hint="eastAsia"/>
                      <w:color w:val="auto"/>
                      <w:spacing w:val="-11"/>
                      <w:sz w:val="18"/>
                      <w:szCs w:val="18"/>
                      <w:highlight w:val="none"/>
                    </w:rPr>
                    <w:t>m</w:t>
                  </w:r>
                </w:p>
              </w:tc>
              <w:tc>
                <w:tcPr>
                  <w:tcW w:w="845" w:type="dxa"/>
                  <w:vAlign w:val="center"/>
                </w:tcPr>
                <w:p w14:paraId="0912F4B1">
                  <w:pPr>
                    <w:jc w:val="center"/>
                    <w:rPr>
                      <w:rFonts w:hint="default" w:ascii="Times New Roman" w:hAnsi="Times New Roman" w:eastAsia="宋体" w:cs="Times New Roman"/>
                      <w:color w:val="auto"/>
                      <w:spacing w:val="-11"/>
                      <w:kern w:val="2"/>
                      <w:sz w:val="18"/>
                      <w:szCs w:val="18"/>
                      <w:highlight w:val="none"/>
                      <w:lang w:val="en-US" w:eastAsia="zh-CN" w:bidi="ar-SA"/>
                    </w:rPr>
                  </w:pPr>
                  <w:r>
                    <w:rPr>
                      <w:rFonts w:hint="eastAsia" w:ascii="Times New Roman" w:hAnsi="Times New Roman" w:eastAsia="宋体" w:cs="Times New Roman"/>
                      <w:color w:val="auto"/>
                      <w:spacing w:val="-11"/>
                      <w:kern w:val="2"/>
                      <w:sz w:val="18"/>
                      <w:szCs w:val="18"/>
                      <w:highlight w:val="none"/>
                      <w:lang w:val="en-US" w:eastAsia="zh-CN" w:bidi="ar-SA"/>
                    </w:rPr>
                    <w:t>648</w:t>
                  </w:r>
                  <w:r>
                    <w:rPr>
                      <w:rFonts w:hint="default" w:ascii="Times New Roman" w:hAnsi="Times New Roman" w:cs="Times New Roman"/>
                      <w:color w:val="auto"/>
                      <w:spacing w:val="-11"/>
                      <w:sz w:val="18"/>
                      <w:szCs w:val="18"/>
                      <w:highlight w:val="none"/>
                      <w:vertAlign w:val="superscript"/>
                    </w:rPr>
                    <w:t>①</w:t>
                  </w:r>
                </w:p>
              </w:tc>
              <w:tc>
                <w:tcPr>
                  <w:tcW w:w="669" w:type="dxa"/>
                  <w:vMerge w:val="continue"/>
                  <w:vAlign w:val="center"/>
                </w:tcPr>
                <w:p w14:paraId="1C0AC0A9">
                  <w:pPr>
                    <w:jc w:val="center"/>
                    <w:rPr>
                      <w:color w:val="auto"/>
                      <w:spacing w:val="-11"/>
                      <w:sz w:val="18"/>
                      <w:szCs w:val="18"/>
                    </w:rPr>
                  </w:pPr>
                </w:p>
              </w:tc>
              <w:tc>
                <w:tcPr>
                  <w:tcW w:w="839" w:type="dxa"/>
                  <w:vMerge w:val="continue"/>
                  <w:vAlign w:val="center"/>
                </w:tcPr>
                <w:p w14:paraId="64A0BB5F">
                  <w:pPr>
                    <w:jc w:val="center"/>
                    <w:rPr>
                      <w:color w:val="auto"/>
                      <w:spacing w:val="-11"/>
                      <w:sz w:val="18"/>
                      <w:szCs w:val="18"/>
                    </w:rPr>
                  </w:pPr>
                </w:p>
              </w:tc>
              <w:tc>
                <w:tcPr>
                  <w:tcW w:w="701" w:type="dxa"/>
                  <w:vMerge w:val="continue"/>
                  <w:vAlign w:val="center"/>
                </w:tcPr>
                <w:p w14:paraId="595DB656">
                  <w:pPr>
                    <w:jc w:val="center"/>
                    <w:rPr>
                      <w:rFonts w:hint="eastAsia"/>
                      <w:color w:val="auto"/>
                      <w:spacing w:val="-11"/>
                      <w:sz w:val="18"/>
                      <w:szCs w:val="18"/>
                    </w:rPr>
                  </w:pPr>
                </w:p>
              </w:tc>
            </w:tr>
            <w:tr w14:paraId="02F3843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6" w:hRule="atLeast"/>
                <w:jc w:val="center"/>
              </w:trPr>
              <w:tc>
                <w:tcPr>
                  <w:tcW w:w="553" w:type="dxa"/>
                  <w:vMerge w:val="continue"/>
                  <w:vAlign w:val="center"/>
                </w:tcPr>
                <w:p w14:paraId="004B3894">
                  <w:pPr>
                    <w:jc w:val="center"/>
                    <w:rPr>
                      <w:rFonts w:hint="eastAsia"/>
                      <w:color w:val="auto"/>
                      <w:spacing w:val="-10"/>
                      <w:sz w:val="18"/>
                      <w:szCs w:val="18"/>
                      <w:lang w:val="en-US" w:eastAsia="zh-CN"/>
                    </w:rPr>
                  </w:pPr>
                </w:p>
              </w:tc>
              <w:tc>
                <w:tcPr>
                  <w:tcW w:w="859" w:type="dxa"/>
                  <w:vMerge w:val="continue"/>
                  <w:shd w:val="clear" w:color="auto" w:fill="auto"/>
                  <w:vAlign w:val="center"/>
                </w:tcPr>
                <w:p w14:paraId="689DFF69">
                  <w:pPr>
                    <w:jc w:val="center"/>
                    <w:rPr>
                      <w:rFonts w:hint="eastAsia" w:cs="Times New Roman"/>
                      <w:color w:val="auto"/>
                      <w:spacing w:val="-10"/>
                      <w:kern w:val="2"/>
                      <w:sz w:val="18"/>
                      <w:szCs w:val="18"/>
                      <w:highlight w:val="none"/>
                      <w:lang w:val="en-US" w:eastAsia="zh-CN" w:bidi="ar-SA"/>
                    </w:rPr>
                  </w:pPr>
                </w:p>
              </w:tc>
              <w:tc>
                <w:tcPr>
                  <w:tcW w:w="1964" w:type="dxa"/>
                  <w:vAlign w:val="center"/>
                </w:tcPr>
                <w:p w14:paraId="342C969C">
                  <w:pPr>
                    <w:jc w:val="center"/>
                    <w:rPr>
                      <w:rFonts w:hint="eastAsia"/>
                      <w:color w:val="auto"/>
                      <w:spacing w:val="-11"/>
                      <w:sz w:val="18"/>
                      <w:szCs w:val="18"/>
                      <w:highlight w:val="none"/>
                      <w:lang w:val="en-US" w:eastAsia="zh-CN"/>
                    </w:rPr>
                  </w:pPr>
                  <w:r>
                    <w:rPr>
                      <w:rFonts w:hint="eastAsia"/>
                      <w:color w:val="auto"/>
                      <w:spacing w:val="-11"/>
                      <w:sz w:val="18"/>
                      <w:szCs w:val="18"/>
                      <w:highlight w:val="none"/>
                      <w:lang w:val="en-US" w:eastAsia="zh-CN"/>
                    </w:rPr>
                    <w:t>空气分选机出料口设集气罩</w:t>
                  </w:r>
                </w:p>
              </w:tc>
              <w:tc>
                <w:tcPr>
                  <w:tcW w:w="572" w:type="dxa"/>
                  <w:shd w:val="clear" w:color="auto" w:fill="auto"/>
                  <w:vAlign w:val="center"/>
                </w:tcPr>
                <w:p w14:paraId="6ECDCF07">
                  <w:pPr>
                    <w:jc w:val="center"/>
                    <w:rPr>
                      <w:rFonts w:hint="eastAsia" w:ascii="Times New Roman" w:hAnsi="Times New Roman" w:eastAsia="宋体" w:cs="Times New Roman"/>
                      <w:color w:val="auto"/>
                      <w:spacing w:val="-11"/>
                      <w:kern w:val="2"/>
                      <w:sz w:val="18"/>
                      <w:szCs w:val="18"/>
                      <w:highlight w:val="none"/>
                      <w:lang w:val="en-US" w:eastAsia="zh-CN" w:bidi="ar-SA"/>
                    </w:rPr>
                  </w:pPr>
                  <w:r>
                    <w:rPr>
                      <w:rFonts w:hint="eastAsia"/>
                      <w:color w:val="auto"/>
                      <w:spacing w:val="-11"/>
                      <w:sz w:val="18"/>
                      <w:szCs w:val="18"/>
                      <w:highlight w:val="none"/>
                    </w:rPr>
                    <w:t>9</w:t>
                  </w:r>
                  <w:r>
                    <w:rPr>
                      <w:rFonts w:hint="eastAsia"/>
                      <w:color w:val="auto"/>
                      <w:spacing w:val="-11"/>
                      <w:sz w:val="18"/>
                      <w:szCs w:val="18"/>
                      <w:highlight w:val="none"/>
                      <w:lang w:val="en-US" w:eastAsia="zh-CN"/>
                    </w:rPr>
                    <w:t>5</w:t>
                  </w:r>
                  <w:r>
                    <w:rPr>
                      <w:rFonts w:hint="eastAsia"/>
                      <w:color w:val="auto"/>
                      <w:spacing w:val="-11"/>
                      <w:sz w:val="18"/>
                      <w:szCs w:val="18"/>
                      <w:highlight w:val="none"/>
                    </w:rPr>
                    <w:t>%</w:t>
                  </w:r>
                </w:p>
              </w:tc>
              <w:tc>
                <w:tcPr>
                  <w:tcW w:w="1023" w:type="dxa"/>
                  <w:shd w:val="clear" w:color="auto" w:fill="auto"/>
                  <w:vAlign w:val="center"/>
                </w:tcPr>
                <w:p w14:paraId="311F3467">
                  <w:pPr>
                    <w:jc w:val="center"/>
                    <w:rPr>
                      <w:rFonts w:hint="eastAsia" w:ascii="Times New Roman" w:hAnsi="Times New Roman" w:eastAsia="宋体" w:cs="Times New Roman"/>
                      <w:color w:val="auto"/>
                      <w:spacing w:val="-11"/>
                      <w:kern w:val="2"/>
                      <w:sz w:val="18"/>
                      <w:szCs w:val="18"/>
                      <w:highlight w:val="none"/>
                      <w:lang w:val="en-US" w:eastAsia="zh-CN" w:bidi="ar-SA"/>
                    </w:rPr>
                  </w:pPr>
                  <w:r>
                    <w:rPr>
                      <w:rFonts w:hint="eastAsia" w:eastAsia="宋体"/>
                      <w:color w:val="auto"/>
                      <w:spacing w:val="-11"/>
                      <w:sz w:val="18"/>
                      <w:szCs w:val="18"/>
                      <w:highlight w:val="none"/>
                      <w:lang w:val="en-US" w:eastAsia="zh-CN"/>
                    </w:rPr>
                    <w:t>0.6</w:t>
                  </w:r>
                  <w:r>
                    <w:rPr>
                      <w:rFonts w:hint="eastAsia"/>
                      <w:color w:val="auto"/>
                      <w:spacing w:val="-11"/>
                      <w:sz w:val="18"/>
                      <w:szCs w:val="18"/>
                      <w:highlight w:val="none"/>
                    </w:rPr>
                    <w:t>m*</w:t>
                  </w:r>
                  <w:r>
                    <w:rPr>
                      <w:rFonts w:hint="eastAsia"/>
                      <w:color w:val="auto"/>
                      <w:spacing w:val="-11"/>
                      <w:sz w:val="18"/>
                      <w:szCs w:val="18"/>
                      <w:highlight w:val="none"/>
                      <w:lang w:val="en-US" w:eastAsia="zh-CN"/>
                    </w:rPr>
                    <w:t>0.6</w:t>
                  </w:r>
                  <w:r>
                    <w:rPr>
                      <w:rFonts w:hint="eastAsia"/>
                      <w:color w:val="auto"/>
                      <w:spacing w:val="-11"/>
                      <w:sz w:val="18"/>
                      <w:szCs w:val="18"/>
                      <w:highlight w:val="none"/>
                    </w:rPr>
                    <w:t>m</w:t>
                  </w:r>
                </w:p>
              </w:tc>
              <w:tc>
                <w:tcPr>
                  <w:tcW w:w="845" w:type="dxa"/>
                  <w:vAlign w:val="center"/>
                </w:tcPr>
                <w:p w14:paraId="49ED61BE">
                  <w:pPr>
                    <w:jc w:val="center"/>
                    <w:rPr>
                      <w:rFonts w:hint="default" w:ascii="Times New Roman" w:hAnsi="Times New Roman" w:eastAsia="宋体" w:cs="Times New Roman"/>
                      <w:color w:val="auto"/>
                      <w:spacing w:val="-11"/>
                      <w:kern w:val="2"/>
                      <w:sz w:val="18"/>
                      <w:szCs w:val="18"/>
                      <w:highlight w:val="none"/>
                      <w:lang w:val="en-US" w:eastAsia="zh-CN" w:bidi="ar-SA"/>
                    </w:rPr>
                  </w:pPr>
                  <w:r>
                    <w:rPr>
                      <w:rFonts w:hint="eastAsia" w:ascii="Times New Roman" w:hAnsi="Times New Roman" w:eastAsia="宋体" w:cs="Times New Roman"/>
                      <w:color w:val="auto"/>
                      <w:spacing w:val="-11"/>
                      <w:kern w:val="2"/>
                      <w:sz w:val="18"/>
                      <w:szCs w:val="18"/>
                      <w:highlight w:val="none"/>
                      <w:lang w:val="en-US" w:eastAsia="zh-CN" w:bidi="ar-SA"/>
                    </w:rPr>
                    <w:t>648</w:t>
                  </w:r>
                  <w:r>
                    <w:rPr>
                      <w:rFonts w:hint="default" w:ascii="Times New Roman" w:hAnsi="Times New Roman" w:cs="Times New Roman"/>
                      <w:color w:val="auto"/>
                      <w:spacing w:val="-11"/>
                      <w:sz w:val="18"/>
                      <w:szCs w:val="18"/>
                      <w:highlight w:val="none"/>
                      <w:vertAlign w:val="superscript"/>
                    </w:rPr>
                    <w:t>①</w:t>
                  </w:r>
                </w:p>
              </w:tc>
              <w:tc>
                <w:tcPr>
                  <w:tcW w:w="669" w:type="dxa"/>
                  <w:vMerge w:val="continue"/>
                  <w:vAlign w:val="center"/>
                </w:tcPr>
                <w:p w14:paraId="6770ECD2">
                  <w:pPr>
                    <w:jc w:val="center"/>
                    <w:rPr>
                      <w:color w:val="auto"/>
                      <w:spacing w:val="-11"/>
                      <w:sz w:val="18"/>
                      <w:szCs w:val="18"/>
                    </w:rPr>
                  </w:pPr>
                </w:p>
              </w:tc>
              <w:tc>
                <w:tcPr>
                  <w:tcW w:w="839" w:type="dxa"/>
                  <w:vMerge w:val="continue"/>
                  <w:vAlign w:val="center"/>
                </w:tcPr>
                <w:p w14:paraId="2F4C91EC">
                  <w:pPr>
                    <w:jc w:val="center"/>
                    <w:rPr>
                      <w:color w:val="auto"/>
                      <w:spacing w:val="-11"/>
                      <w:sz w:val="18"/>
                      <w:szCs w:val="18"/>
                    </w:rPr>
                  </w:pPr>
                </w:p>
              </w:tc>
              <w:tc>
                <w:tcPr>
                  <w:tcW w:w="701" w:type="dxa"/>
                  <w:vMerge w:val="continue"/>
                  <w:vAlign w:val="center"/>
                </w:tcPr>
                <w:p w14:paraId="162D70B6">
                  <w:pPr>
                    <w:jc w:val="center"/>
                    <w:rPr>
                      <w:rFonts w:hint="eastAsia"/>
                      <w:color w:val="auto"/>
                      <w:spacing w:val="-11"/>
                      <w:sz w:val="18"/>
                      <w:szCs w:val="18"/>
                    </w:rPr>
                  </w:pPr>
                </w:p>
              </w:tc>
            </w:tr>
            <w:tr w14:paraId="1AE99ED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8025" w:type="dxa"/>
                  <w:gridSpan w:val="9"/>
                  <w:vAlign w:val="center"/>
                </w:tcPr>
                <w:p w14:paraId="64F2A85D">
                  <w:pPr>
                    <w:jc w:val="left"/>
                    <w:rPr>
                      <w:rFonts w:hint="default" w:ascii="Times New Roman" w:hAnsi="Times New Roman" w:cs="Times New Roman"/>
                      <w:color w:val="auto"/>
                      <w:spacing w:val="-10"/>
                      <w:sz w:val="18"/>
                      <w:szCs w:val="18"/>
                      <w:lang w:val="en-US" w:eastAsia="zh-CN"/>
                    </w:rPr>
                  </w:pPr>
                  <w:r>
                    <w:rPr>
                      <w:rFonts w:hint="default" w:ascii="Times New Roman" w:hAnsi="Times New Roman" w:cs="Times New Roman"/>
                      <w:color w:val="auto"/>
                      <w:spacing w:val="-10"/>
                      <w:sz w:val="18"/>
                      <w:szCs w:val="18"/>
                      <w:lang w:val="en-US" w:eastAsia="zh-CN"/>
                    </w:rPr>
                    <w:t>备注①：集气罩抽风量按照公式Q＝3600×F×v</w:t>
                  </w:r>
                  <w:r>
                    <w:rPr>
                      <w:rFonts w:hint="default" w:ascii="Times New Roman" w:hAnsi="Times New Roman" w:cs="Times New Roman"/>
                      <w:color w:val="auto"/>
                      <w:spacing w:val="-10"/>
                      <w:sz w:val="18"/>
                      <w:szCs w:val="18"/>
                      <w:vertAlign w:val="subscript"/>
                      <w:lang w:val="en-US" w:eastAsia="zh-CN"/>
                    </w:rPr>
                    <w:t>0</w:t>
                  </w:r>
                  <w:r>
                    <w:rPr>
                      <w:rFonts w:hint="default" w:ascii="Times New Roman" w:hAnsi="Times New Roman" w:cs="Times New Roman"/>
                      <w:color w:val="auto"/>
                      <w:spacing w:val="-10"/>
                      <w:sz w:val="18"/>
                      <w:szCs w:val="18"/>
                      <w:lang w:val="en-US" w:eastAsia="zh-CN"/>
                    </w:rPr>
                    <w:t>进行计算。式中：Q：排风量，m</w:t>
                  </w:r>
                  <w:r>
                    <w:rPr>
                      <w:rFonts w:hint="default" w:ascii="Times New Roman" w:hAnsi="Times New Roman" w:cs="Times New Roman"/>
                      <w:color w:val="auto"/>
                      <w:spacing w:val="-10"/>
                      <w:sz w:val="18"/>
                      <w:szCs w:val="18"/>
                      <w:vertAlign w:val="superscript"/>
                      <w:lang w:val="en-US" w:eastAsia="zh-CN"/>
                    </w:rPr>
                    <w:t>3</w:t>
                  </w:r>
                  <w:r>
                    <w:rPr>
                      <w:rFonts w:hint="default" w:ascii="Times New Roman" w:hAnsi="Times New Roman" w:cs="Times New Roman"/>
                      <w:color w:val="auto"/>
                      <w:spacing w:val="-10"/>
                      <w:sz w:val="18"/>
                      <w:szCs w:val="18"/>
                      <w:lang w:val="en-US" w:eastAsia="zh-CN"/>
                    </w:rPr>
                    <w:t>/h。F：罩口面积，m</w:t>
                  </w:r>
                  <w:r>
                    <w:rPr>
                      <w:rFonts w:hint="default" w:ascii="Times New Roman" w:hAnsi="Times New Roman" w:cs="Times New Roman"/>
                      <w:color w:val="auto"/>
                      <w:spacing w:val="-10"/>
                      <w:sz w:val="18"/>
                      <w:szCs w:val="18"/>
                      <w:vertAlign w:val="superscript"/>
                      <w:lang w:val="en-US" w:eastAsia="zh-CN"/>
                    </w:rPr>
                    <w:t>2</w:t>
                  </w:r>
                  <w:r>
                    <w:rPr>
                      <w:rFonts w:hint="default" w:ascii="Times New Roman" w:hAnsi="Times New Roman" w:cs="Times New Roman"/>
                      <w:color w:val="auto"/>
                      <w:spacing w:val="-10"/>
                      <w:sz w:val="18"/>
                      <w:szCs w:val="18"/>
                      <w:lang w:val="en-US" w:eastAsia="zh-CN"/>
                    </w:rPr>
                    <w:t>。v</w:t>
                  </w:r>
                  <w:r>
                    <w:rPr>
                      <w:rFonts w:hint="default" w:ascii="Times New Roman" w:hAnsi="Times New Roman" w:cs="Times New Roman"/>
                      <w:color w:val="auto"/>
                      <w:spacing w:val="-10"/>
                      <w:sz w:val="18"/>
                      <w:szCs w:val="18"/>
                      <w:vertAlign w:val="subscript"/>
                      <w:lang w:val="en-US" w:eastAsia="zh-CN"/>
                    </w:rPr>
                    <w:t>0</w:t>
                  </w:r>
                  <w:r>
                    <w:rPr>
                      <w:rFonts w:hint="default" w:ascii="Times New Roman" w:hAnsi="Times New Roman" w:cs="Times New Roman"/>
                      <w:color w:val="auto"/>
                      <w:spacing w:val="-10"/>
                      <w:sz w:val="18"/>
                      <w:szCs w:val="18"/>
                      <w:lang w:val="en-US" w:eastAsia="zh-CN"/>
                    </w:rPr>
                    <w:t>：罩口上的吸气平均速度，m/s，取0.</w:t>
                  </w:r>
                  <w:r>
                    <w:rPr>
                      <w:rFonts w:hint="eastAsia" w:cs="Times New Roman"/>
                      <w:color w:val="auto"/>
                      <w:spacing w:val="-10"/>
                      <w:sz w:val="18"/>
                      <w:szCs w:val="18"/>
                      <w:lang w:val="en-US" w:eastAsia="zh-CN"/>
                    </w:rPr>
                    <w:t>5</w:t>
                  </w:r>
                  <w:r>
                    <w:rPr>
                      <w:rFonts w:hint="default" w:ascii="Times New Roman" w:hAnsi="Times New Roman" w:cs="Times New Roman"/>
                      <w:color w:val="auto"/>
                      <w:spacing w:val="-10"/>
                      <w:sz w:val="18"/>
                      <w:szCs w:val="18"/>
                      <w:lang w:val="en-US" w:eastAsia="zh-CN"/>
                    </w:rPr>
                    <w:t>m。</w:t>
                  </w:r>
                </w:p>
                <w:p w14:paraId="06CA3D3C">
                  <w:pPr>
                    <w:jc w:val="left"/>
                    <w:rPr>
                      <w:rFonts w:hint="default" w:ascii="Times New Roman" w:hAnsi="Times New Roman" w:cs="Times New Roman"/>
                      <w:color w:val="auto"/>
                      <w:spacing w:val="-10"/>
                      <w:sz w:val="18"/>
                      <w:szCs w:val="18"/>
                      <w:lang w:val="en-US" w:eastAsia="zh-CN"/>
                    </w:rPr>
                  </w:pPr>
                  <w:r>
                    <w:rPr>
                      <w:rFonts w:hint="default" w:ascii="Times New Roman" w:hAnsi="Times New Roman" w:cs="Times New Roman"/>
                      <w:color w:val="auto"/>
                      <w:spacing w:val="-10"/>
                      <w:sz w:val="18"/>
                      <w:szCs w:val="18"/>
                      <w:lang w:val="en-US" w:eastAsia="zh-CN"/>
                    </w:rPr>
                    <w:t>备注②：参照《唐山市人民政府关于对采石场实施环节保护专项整治行动的通知》（唐政【2013】128号）中“采石场环境保护专项整治标准”第八条“单台破碎、筛分设备的除尘设计风量按大于12000m</w:t>
                  </w:r>
                  <w:r>
                    <w:rPr>
                      <w:rFonts w:hint="default" w:ascii="Times New Roman" w:hAnsi="Times New Roman" w:cs="Times New Roman"/>
                      <w:color w:val="auto"/>
                      <w:spacing w:val="-10"/>
                      <w:sz w:val="18"/>
                      <w:szCs w:val="18"/>
                      <w:vertAlign w:val="superscript"/>
                      <w:lang w:val="en-US" w:eastAsia="zh-CN"/>
                    </w:rPr>
                    <w:t>3</w:t>
                  </w:r>
                  <w:r>
                    <w:rPr>
                      <w:rFonts w:hint="default" w:ascii="Times New Roman" w:hAnsi="Times New Roman" w:cs="Times New Roman"/>
                      <w:color w:val="auto"/>
                      <w:spacing w:val="-10"/>
                      <w:sz w:val="18"/>
                      <w:szCs w:val="18"/>
                      <w:lang w:val="en-US" w:eastAsia="zh-CN"/>
                    </w:rPr>
                    <w:t>/h计算”，本项目颚破、锤破、振动筛除尘设计风量均按12000m</w:t>
                  </w:r>
                  <w:r>
                    <w:rPr>
                      <w:rFonts w:hint="default" w:ascii="Times New Roman" w:hAnsi="Times New Roman" w:cs="Times New Roman"/>
                      <w:color w:val="auto"/>
                      <w:spacing w:val="-10"/>
                      <w:sz w:val="18"/>
                      <w:szCs w:val="18"/>
                      <w:vertAlign w:val="superscript"/>
                      <w:lang w:val="en-US" w:eastAsia="zh-CN"/>
                    </w:rPr>
                    <w:t>3</w:t>
                  </w:r>
                  <w:r>
                    <w:rPr>
                      <w:rFonts w:hint="default" w:ascii="Times New Roman" w:hAnsi="Times New Roman" w:cs="Times New Roman"/>
                      <w:color w:val="auto"/>
                      <w:spacing w:val="-10"/>
                      <w:sz w:val="18"/>
                      <w:szCs w:val="18"/>
                      <w:lang w:val="en-US" w:eastAsia="zh-CN"/>
                    </w:rPr>
                    <w:t>/h计算</w:t>
                  </w:r>
                  <w:r>
                    <w:rPr>
                      <w:rFonts w:hint="default" w:ascii="Times New Roman" w:hAnsi="Times New Roman" w:cs="Times New Roman"/>
                      <w:color w:val="auto"/>
                      <w:spacing w:val="-10"/>
                      <w:sz w:val="18"/>
                      <w:szCs w:val="18"/>
                    </w:rPr>
                    <w:t>。</w:t>
                  </w:r>
                </w:p>
                <w:p w14:paraId="04DEC5DC">
                  <w:pPr>
                    <w:jc w:val="left"/>
                    <w:rPr>
                      <w:rFonts w:hint="eastAsia" w:ascii="Times New Roman" w:hAnsi="Times New Roman" w:cs="Times New Roman"/>
                      <w:color w:val="auto"/>
                      <w:spacing w:val="-10"/>
                      <w:sz w:val="18"/>
                      <w:szCs w:val="18"/>
                      <w:highlight w:val="cyan"/>
                    </w:rPr>
                  </w:pPr>
                  <w:r>
                    <w:rPr>
                      <w:rFonts w:hint="eastAsia"/>
                      <w:color w:val="auto"/>
                      <w:spacing w:val="-10"/>
                      <w:sz w:val="18"/>
                      <w:szCs w:val="18"/>
                    </w:rPr>
                    <w:t>备注</w:t>
                  </w:r>
                  <w:r>
                    <w:rPr>
                      <w:rFonts w:hint="eastAsia" w:ascii="宋体" w:hAnsi="宋体" w:eastAsia="宋体" w:cs="宋体"/>
                      <w:color w:val="auto"/>
                      <w:spacing w:val="-10"/>
                      <w:sz w:val="18"/>
                      <w:szCs w:val="18"/>
                    </w:rPr>
                    <w:t>③</w:t>
                  </w:r>
                  <w:r>
                    <w:rPr>
                      <w:rFonts w:hint="eastAsia"/>
                      <w:color w:val="auto"/>
                      <w:spacing w:val="-10"/>
                      <w:sz w:val="18"/>
                      <w:szCs w:val="18"/>
                    </w:rPr>
                    <w:t>：经计算，项目</w:t>
                  </w:r>
                  <w:r>
                    <w:rPr>
                      <w:rFonts w:hint="eastAsia"/>
                      <w:color w:val="auto"/>
                      <w:spacing w:val="-11"/>
                      <w:sz w:val="18"/>
                      <w:szCs w:val="18"/>
                      <w:lang w:val="en-US" w:eastAsia="zh-CN"/>
                    </w:rPr>
                    <w:t>钢渣处理生产线</w:t>
                  </w:r>
                  <w:r>
                    <w:rPr>
                      <w:rFonts w:hint="eastAsia"/>
                      <w:color w:val="auto"/>
                      <w:spacing w:val="-10"/>
                      <w:sz w:val="18"/>
                      <w:szCs w:val="18"/>
                      <w:highlight w:val="none"/>
                    </w:rPr>
                    <w:t>上料、破碎、筛分</w:t>
                  </w:r>
                  <w:r>
                    <w:rPr>
                      <w:rFonts w:hint="eastAsia"/>
                      <w:color w:val="auto"/>
                      <w:spacing w:val="-10"/>
                      <w:sz w:val="18"/>
                      <w:szCs w:val="18"/>
                    </w:rPr>
                    <w:t>集气风量为Q总</w:t>
                  </w:r>
                  <w:r>
                    <w:rPr>
                      <w:rFonts w:hint="eastAsia"/>
                      <w:color w:val="auto"/>
                      <w:spacing w:val="-10"/>
                      <w:sz w:val="18"/>
                      <w:szCs w:val="18"/>
                      <w:highlight w:val="none"/>
                    </w:rPr>
                    <w:t>=</w:t>
                  </w:r>
                  <w:r>
                    <w:rPr>
                      <w:rFonts w:hint="eastAsia"/>
                      <w:color w:val="auto"/>
                      <w:spacing w:val="-10"/>
                      <w:sz w:val="18"/>
                      <w:szCs w:val="18"/>
                      <w:highlight w:val="none"/>
                      <w:lang w:val="en-US" w:eastAsia="zh-CN"/>
                    </w:rPr>
                    <w:t>46350</w:t>
                  </w:r>
                  <w:r>
                    <w:rPr>
                      <w:rFonts w:hint="eastAsia"/>
                      <w:color w:val="auto"/>
                      <w:spacing w:val="-10"/>
                      <w:sz w:val="18"/>
                      <w:szCs w:val="18"/>
                      <w:highlight w:val="none"/>
                    </w:rPr>
                    <w:t>m</w:t>
                  </w:r>
                  <w:r>
                    <w:rPr>
                      <w:rFonts w:hint="eastAsia"/>
                      <w:color w:val="auto"/>
                      <w:spacing w:val="-10"/>
                      <w:sz w:val="18"/>
                      <w:szCs w:val="18"/>
                      <w:highlight w:val="none"/>
                      <w:vertAlign w:val="superscript"/>
                    </w:rPr>
                    <w:t>3</w:t>
                  </w:r>
                  <w:r>
                    <w:rPr>
                      <w:rFonts w:hint="eastAsia"/>
                      <w:color w:val="auto"/>
                      <w:spacing w:val="-10"/>
                      <w:sz w:val="18"/>
                      <w:szCs w:val="18"/>
                      <w:highlight w:val="none"/>
                    </w:rPr>
                    <w:t>/h</w:t>
                  </w:r>
                  <w:r>
                    <w:rPr>
                      <w:rFonts w:hint="eastAsia"/>
                      <w:color w:val="auto"/>
                      <w:spacing w:val="-10"/>
                      <w:sz w:val="18"/>
                      <w:szCs w:val="18"/>
                    </w:rPr>
                    <w:t>，考虑到一定的风压损失，环评建议本项目风机总风量</w:t>
                  </w:r>
                  <w:r>
                    <w:rPr>
                      <w:rFonts w:hint="eastAsia" w:ascii="Times New Roman" w:hAnsi="Times New Roman" w:cs="Times New Roman"/>
                      <w:color w:val="auto"/>
                      <w:spacing w:val="-10"/>
                      <w:sz w:val="18"/>
                      <w:szCs w:val="18"/>
                    </w:rPr>
                    <w:t>为</w:t>
                  </w:r>
                  <w:r>
                    <w:rPr>
                      <w:rFonts w:hint="eastAsia" w:cs="Times New Roman"/>
                      <w:color w:val="auto"/>
                      <w:spacing w:val="-10"/>
                      <w:sz w:val="18"/>
                      <w:szCs w:val="18"/>
                      <w:highlight w:val="none"/>
                      <w:lang w:val="en-US" w:eastAsia="zh-CN"/>
                    </w:rPr>
                    <w:t>50</w:t>
                  </w:r>
                  <w:r>
                    <w:rPr>
                      <w:rFonts w:hint="eastAsia" w:ascii="Times New Roman" w:hAnsi="Times New Roman" w:cs="Times New Roman"/>
                      <w:color w:val="auto"/>
                      <w:spacing w:val="-10"/>
                      <w:sz w:val="18"/>
                      <w:szCs w:val="18"/>
                      <w:highlight w:val="none"/>
                    </w:rPr>
                    <w:t>000m</w:t>
                  </w:r>
                  <w:r>
                    <w:rPr>
                      <w:rFonts w:hint="eastAsia" w:ascii="Times New Roman" w:hAnsi="Times New Roman" w:cs="Times New Roman"/>
                      <w:color w:val="auto"/>
                      <w:spacing w:val="-10"/>
                      <w:sz w:val="18"/>
                      <w:szCs w:val="18"/>
                      <w:highlight w:val="none"/>
                      <w:vertAlign w:val="superscript"/>
                    </w:rPr>
                    <w:t>3</w:t>
                  </w:r>
                  <w:r>
                    <w:rPr>
                      <w:rFonts w:hint="eastAsia" w:ascii="Times New Roman" w:hAnsi="Times New Roman" w:cs="Times New Roman"/>
                      <w:color w:val="auto"/>
                      <w:spacing w:val="-10"/>
                      <w:sz w:val="18"/>
                      <w:szCs w:val="18"/>
                      <w:highlight w:val="none"/>
                    </w:rPr>
                    <w:t>/h。</w:t>
                  </w:r>
                </w:p>
                <w:p w14:paraId="5E906919">
                  <w:pPr>
                    <w:jc w:val="left"/>
                    <w:rPr>
                      <w:rFonts w:hint="eastAsia"/>
                      <w:color w:val="auto"/>
                      <w:spacing w:val="-11"/>
                      <w:sz w:val="18"/>
                      <w:szCs w:val="18"/>
                    </w:rPr>
                  </w:pPr>
                  <w:r>
                    <w:rPr>
                      <w:rFonts w:hint="eastAsia" w:ascii="Times New Roman" w:hAnsi="Times New Roman" w:eastAsia="宋体" w:cs="Times New Roman"/>
                      <w:color w:val="auto"/>
                      <w:spacing w:val="-10"/>
                      <w:sz w:val="18"/>
                      <w:szCs w:val="18"/>
                      <w:lang w:val="en-US" w:eastAsia="zh-CN"/>
                    </w:rPr>
                    <w:t>备</w:t>
                  </w:r>
                  <w:r>
                    <w:rPr>
                      <w:rFonts w:hint="default" w:ascii="Times New Roman" w:hAnsi="Times New Roman" w:eastAsia="宋体" w:cs="Times New Roman"/>
                      <w:color w:val="auto"/>
                      <w:spacing w:val="-10"/>
                      <w:sz w:val="18"/>
                      <w:szCs w:val="18"/>
                      <w:lang w:val="en-US" w:eastAsia="zh-CN"/>
                    </w:rPr>
                    <w:t>注</w:t>
                  </w:r>
                  <w:r>
                    <w:rPr>
                      <w:rFonts w:hint="eastAsia" w:ascii="Times New Roman" w:hAnsi="Times New Roman" w:eastAsia="宋体" w:cs="Times New Roman"/>
                      <w:color w:val="auto"/>
                      <w:spacing w:val="-10"/>
                      <w:sz w:val="18"/>
                      <w:szCs w:val="18"/>
                      <w:lang w:val="en-US" w:eastAsia="zh-CN"/>
                    </w:rPr>
                    <w:t>④：经计算，项目废钢破碎尾料分选生产线上料集气风量为Q总</w:t>
                  </w:r>
                  <w:r>
                    <w:rPr>
                      <w:rFonts w:hint="eastAsia" w:cs="Times New Roman"/>
                      <w:color w:val="auto"/>
                      <w:spacing w:val="-10"/>
                      <w:sz w:val="18"/>
                      <w:szCs w:val="18"/>
                      <w:lang w:val="en-US" w:eastAsia="zh-CN"/>
                    </w:rPr>
                    <w:t>=</w:t>
                  </w:r>
                  <w:r>
                    <w:rPr>
                      <w:rFonts w:hint="eastAsia" w:cs="Times New Roman"/>
                      <w:color w:val="auto"/>
                      <w:spacing w:val="-10"/>
                      <w:sz w:val="18"/>
                      <w:szCs w:val="18"/>
                      <w:highlight w:val="none"/>
                      <w:lang w:val="en-US" w:eastAsia="zh-CN"/>
                    </w:rPr>
                    <w:t>47292</w:t>
                  </w:r>
                  <w:r>
                    <w:rPr>
                      <w:rFonts w:hint="eastAsia" w:ascii="Times New Roman" w:hAnsi="Times New Roman" w:eastAsia="宋体" w:cs="Times New Roman"/>
                      <w:color w:val="auto"/>
                      <w:spacing w:val="-10"/>
                      <w:sz w:val="18"/>
                      <w:szCs w:val="18"/>
                      <w:lang w:val="en-US" w:eastAsia="zh-CN"/>
                    </w:rPr>
                    <w:t>m</w:t>
                  </w:r>
                  <w:r>
                    <w:rPr>
                      <w:rFonts w:hint="eastAsia" w:ascii="Times New Roman" w:hAnsi="Times New Roman" w:eastAsia="宋体" w:cs="Times New Roman"/>
                      <w:color w:val="auto"/>
                      <w:spacing w:val="-10"/>
                      <w:sz w:val="18"/>
                      <w:szCs w:val="18"/>
                      <w:vertAlign w:val="superscript"/>
                      <w:lang w:val="en-US" w:eastAsia="zh-CN"/>
                    </w:rPr>
                    <w:t>3</w:t>
                  </w:r>
                  <w:r>
                    <w:rPr>
                      <w:rFonts w:hint="eastAsia" w:ascii="Times New Roman" w:hAnsi="Times New Roman" w:eastAsia="宋体" w:cs="Times New Roman"/>
                      <w:color w:val="auto"/>
                      <w:spacing w:val="-10"/>
                      <w:sz w:val="18"/>
                      <w:szCs w:val="18"/>
                      <w:lang w:val="en-US" w:eastAsia="zh-CN"/>
                    </w:rPr>
                    <w:t>/h，考虑到一定的风压损失，环评建议本项目风机总风量为</w:t>
                  </w:r>
                  <w:r>
                    <w:rPr>
                      <w:rFonts w:hint="eastAsia" w:cs="Times New Roman"/>
                      <w:color w:val="auto"/>
                      <w:spacing w:val="-10"/>
                      <w:sz w:val="18"/>
                      <w:szCs w:val="18"/>
                      <w:highlight w:val="none"/>
                      <w:lang w:val="en-US" w:eastAsia="zh-CN"/>
                    </w:rPr>
                    <w:t>50000</w:t>
                  </w:r>
                  <w:r>
                    <w:rPr>
                      <w:rFonts w:hint="eastAsia" w:ascii="Times New Roman" w:hAnsi="Times New Roman" w:eastAsia="宋体" w:cs="Times New Roman"/>
                      <w:color w:val="auto"/>
                      <w:spacing w:val="-10"/>
                      <w:sz w:val="18"/>
                      <w:szCs w:val="18"/>
                      <w:highlight w:val="none"/>
                      <w:lang w:val="en-US" w:eastAsia="zh-CN"/>
                    </w:rPr>
                    <w:t>m</w:t>
                  </w:r>
                  <w:r>
                    <w:rPr>
                      <w:rFonts w:hint="eastAsia" w:ascii="Times New Roman" w:hAnsi="Times New Roman" w:eastAsia="宋体" w:cs="Times New Roman"/>
                      <w:color w:val="auto"/>
                      <w:spacing w:val="-10"/>
                      <w:sz w:val="18"/>
                      <w:szCs w:val="18"/>
                      <w:highlight w:val="none"/>
                      <w:vertAlign w:val="superscript"/>
                      <w:lang w:val="en-US" w:eastAsia="zh-CN"/>
                    </w:rPr>
                    <w:t>3</w:t>
                  </w:r>
                  <w:r>
                    <w:rPr>
                      <w:rFonts w:hint="eastAsia" w:ascii="Times New Roman" w:hAnsi="Times New Roman" w:eastAsia="宋体" w:cs="Times New Roman"/>
                      <w:color w:val="auto"/>
                      <w:spacing w:val="-10"/>
                      <w:sz w:val="18"/>
                      <w:szCs w:val="18"/>
                      <w:highlight w:val="none"/>
                      <w:lang w:val="en-US" w:eastAsia="zh-CN"/>
                    </w:rPr>
                    <w:t>/h。</w:t>
                  </w:r>
                </w:p>
              </w:tc>
            </w:tr>
          </w:tbl>
          <w:p w14:paraId="5CFA9B3C">
            <w:pPr>
              <w:keepNext w:val="0"/>
              <w:keepLines w:val="0"/>
              <w:pageBreakBefore w:val="0"/>
              <w:widowControl w:val="0"/>
              <w:kinsoku/>
              <w:wordWrap/>
              <w:overflowPunct/>
              <w:topLinePunct w:val="0"/>
              <w:autoSpaceDE/>
              <w:autoSpaceDN/>
              <w:bidi w:val="0"/>
              <w:adjustRightInd/>
              <w:snapToGrid/>
              <w:spacing w:line="460" w:lineRule="exact"/>
              <w:ind w:firstLine="422" w:firstLineChars="200"/>
              <w:jc w:val="center"/>
              <w:textAlignment w:val="auto"/>
              <w:rPr>
                <w:rFonts w:hint="eastAsia"/>
                <w:b/>
                <w:snapToGrid w:val="0"/>
                <w:color w:val="auto"/>
                <w:kern w:val="0"/>
                <w:highlight w:val="none"/>
                <w:lang w:bidi="ar"/>
              </w:rPr>
            </w:pPr>
          </w:p>
          <w:p w14:paraId="0026EFE8">
            <w:pPr>
              <w:keepNext w:val="0"/>
              <w:keepLines w:val="0"/>
              <w:pageBreakBefore w:val="0"/>
              <w:widowControl w:val="0"/>
              <w:kinsoku/>
              <w:wordWrap/>
              <w:overflowPunct/>
              <w:topLinePunct w:val="0"/>
              <w:autoSpaceDE/>
              <w:autoSpaceDN/>
              <w:bidi w:val="0"/>
              <w:adjustRightInd/>
              <w:snapToGrid/>
              <w:spacing w:line="460" w:lineRule="exact"/>
              <w:ind w:firstLine="422" w:firstLineChars="200"/>
              <w:jc w:val="center"/>
              <w:textAlignment w:val="auto"/>
              <w:rPr>
                <w:rFonts w:hint="eastAsia"/>
                <w:b/>
                <w:snapToGrid w:val="0"/>
                <w:color w:val="auto"/>
                <w:kern w:val="0"/>
                <w:highlight w:val="none"/>
                <w:lang w:bidi="ar"/>
              </w:rPr>
            </w:pPr>
          </w:p>
          <w:p w14:paraId="29901788">
            <w:pPr>
              <w:keepNext w:val="0"/>
              <w:keepLines w:val="0"/>
              <w:pageBreakBefore w:val="0"/>
              <w:widowControl w:val="0"/>
              <w:kinsoku/>
              <w:wordWrap/>
              <w:overflowPunct/>
              <w:topLinePunct w:val="0"/>
              <w:autoSpaceDE/>
              <w:autoSpaceDN/>
              <w:bidi w:val="0"/>
              <w:adjustRightInd/>
              <w:snapToGrid/>
              <w:spacing w:line="460" w:lineRule="exact"/>
              <w:ind w:firstLine="422" w:firstLineChars="200"/>
              <w:jc w:val="center"/>
              <w:textAlignment w:val="auto"/>
              <w:rPr>
                <w:rFonts w:hint="eastAsia"/>
                <w:b/>
                <w:snapToGrid w:val="0"/>
                <w:color w:val="auto"/>
                <w:kern w:val="0"/>
                <w:highlight w:val="none"/>
                <w:lang w:bidi="ar"/>
              </w:rPr>
            </w:pPr>
          </w:p>
          <w:p w14:paraId="642D1700">
            <w:pPr>
              <w:keepNext w:val="0"/>
              <w:keepLines w:val="0"/>
              <w:pageBreakBefore w:val="0"/>
              <w:widowControl w:val="0"/>
              <w:kinsoku/>
              <w:wordWrap/>
              <w:overflowPunct/>
              <w:topLinePunct w:val="0"/>
              <w:autoSpaceDE/>
              <w:autoSpaceDN/>
              <w:bidi w:val="0"/>
              <w:adjustRightInd/>
              <w:snapToGrid/>
              <w:spacing w:line="460" w:lineRule="exact"/>
              <w:ind w:firstLine="422" w:firstLineChars="200"/>
              <w:jc w:val="center"/>
              <w:textAlignment w:val="auto"/>
              <w:rPr>
                <w:rFonts w:hint="eastAsia"/>
                <w:b/>
                <w:snapToGrid w:val="0"/>
                <w:color w:val="auto"/>
                <w:kern w:val="0"/>
                <w:highlight w:val="none"/>
                <w:lang w:bidi="ar"/>
              </w:rPr>
            </w:pPr>
          </w:p>
          <w:p w14:paraId="0EA2FCD0">
            <w:pPr>
              <w:keepNext w:val="0"/>
              <w:keepLines w:val="0"/>
              <w:pageBreakBefore w:val="0"/>
              <w:widowControl w:val="0"/>
              <w:kinsoku/>
              <w:wordWrap/>
              <w:overflowPunct/>
              <w:topLinePunct w:val="0"/>
              <w:autoSpaceDE/>
              <w:autoSpaceDN/>
              <w:bidi w:val="0"/>
              <w:adjustRightInd/>
              <w:snapToGrid/>
              <w:spacing w:line="460" w:lineRule="exact"/>
              <w:ind w:firstLine="422" w:firstLineChars="200"/>
              <w:jc w:val="center"/>
              <w:textAlignment w:val="auto"/>
              <w:rPr>
                <w:rFonts w:hint="eastAsia"/>
                <w:b/>
                <w:snapToGrid w:val="0"/>
                <w:color w:val="auto"/>
                <w:kern w:val="0"/>
                <w:highlight w:val="none"/>
                <w:lang w:bidi="ar"/>
              </w:rPr>
            </w:pPr>
          </w:p>
          <w:p w14:paraId="06C34F83">
            <w:pPr>
              <w:keepNext w:val="0"/>
              <w:keepLines w:val="0"/>
              <w:pageBreakBefore w:val="0"/>
              <w:widowControl w:val="0"/>
              <w:kinsoku/>
              <w:wordWrap/>
              <w:overflowPunct/>
              <w:topLinePunct w:val="0"/>
              <w:autoSpaceDE/>
              <w:autoSpaceDN/>
              <w:bidi w:val="0"/>
              <w:adjustRightInd/>
              <w:snapToGrid/>
              <w:spacing w:line="460" w:lineRule="exact"/>
              <w:ind w:firstLine="422" w:firstLineChars="200"/>
              <w:jc w:val="center"/>
              <w:textAlignment w:val="auto"/>
              <w:rPr>
                <w:rFonts w:hint="eastAsia"/>
                <w:b/>
                <w:snapToGrid w:val="0"/>
                <w:color w:val="auto"/>
                <w:kern w:val="0"/>
                <w:highlight w:val="none"/>
                <w:lang w:bidi="ar"/>
              </w:rPr>
            </w:pPr>
          </w:p>
          <w:p w14:paraId="7DE03168">
            <w:pPr>
              <w:keepNext w:val="0"/>
              <w:keepLines w:val="0"/>
              <w:pageBreakBefore w:val="0"/>
              <w:widowControl w:val="0"/>
              <w:kinsoku/>
              <w:wordWrap/>
              <w:overflowPunct/>
              <w:topLinePunct w:val="0"/>
              <w:autoSpaceDE/>
              <w:autoSpaceDN/>
              <w:bidi w:val="0"/>
              <w:adjustRightInd/>
              <w:snapToGrid/>
              <w:spacing w:line="460" w:lineRule="exact"/>
              <w:ind w:firstLine="422" w:firstLineChars="200"/>
              <w:jc w:val="center"/>
              <w:textAlignment w:val="auto"/>
              <w:rPr>
                <w:rFonts w:hint="eastAsia"/>
                <w:b/>
                <w:snapToGrid w:val="0"/>
                <w:color w:val="auto"/>
                <w:kern w:val="0"/>
                <w:highlight w:val="none"/>
                <w:lang w:bidi="ar"/>
              </w:rPr>
            </w:pPr>
          </w:p>
          <w:p w14:paraId="1C87304C">
            <w:pPr>
              <w:keepNext w:val="0"/>
              <w:keepLines w:val="0"/>
              <w:pageBreakBefore w:val="0"/>
              <w:widowControl w:val="0"/>
              <w:kinsoku/>
              <w:wordWrap/>
              <w:overflowPunct/>
              <w:topLinePunct w:val="0"/>
              <w:autoSpaceDE/>
              <w:autoSpaceDN/>
              <w:bidi w:val="0"/>
              <w:adjustRightInd/>
              <w:snapToGrid/>
              <w:spacing w:line="460" w:lineRule="exact"/>
              <w:ind w:firstLine="422" w:firstLineChars="200"/>
              <w:jc w:val="center"/>
              <w:textAlignment w:val="auto"/>
              <w:rPr>
                <w:rFonts w:hint="eastAsia"/>
                <w:b/>
                <w:snapToGrid w:val="0"/>
                <w:color w:val="auto"/>
                <w:kern w:val="0"/>
                <w:highlight w:val="none"/>
                <w:lang w:bidi="ar"/>
              </w:rPr>
            </w:pPr>
            <w:r>
              <w:rPr>
                <w:rFonts w:hint="eastAsia"/>
                <w:b/>
                <w:snapToGrid w:val="0"/>
                <w:color w:val="auto"/>
                <w:kern w:val="0"/>
                <w:highlight w:val="none"/>
                <w:lang w:bidi="ar"/>
              </w:rPr>
              <w:t>表</w:t>
            </w:r>
            <w:r>
              <w:rPr>
                <w:rFonts w:hint="eastAsia"/>
                <w:b/>
                <w:snapToGrid w:val="0"/>
                <w:color w:val="auto"/>
                <w:kern w:val="0"/>
                <w:highlight w:val="none"/>
                <w:lang w:val="en-US" w:eastAsia="zh-CN" w:bidi="ar"/>
              </w:rPr>
              <w:t>26</w:t>
            </w:r>
            <w:r>
              <w:rPr>
                <w:rFonts w:hint="eastAsia"/>
                <w:b/>
                <w:snapToGrid w:val="0"/>
                <w:color w:val="auto"/>
                <w:kern w:val="0"/>
                <w:highlight w:val="none"/>
                <w:lang w:bidi="ar"/>
              </w:rPr>
              <w:t xml:space="preserve">  布袋除尘器相关参数一览表</w:t>
            </w:r>
          </w:p>
          <w:tbl>
            <w:tblPr>
              <w:tblStyle w:val="28"/>
              <w:tblW w:w="8002"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534"/>
              <w:gridCol w:w="2489"/>
              <w:gridCol w:w="2489"/>
              <w:gridCol w:w="2490"/>
            </w:tblGrid>
            <w:tr w14:paraId="792A915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534" w:type="dxa"/>
                  <w:tcBorders>
                    <w:tl2br w:val="nil"/>
                    <w:tr2bl w:val="nil"/>
                  </w:tcBorders>
                  <w:vAlign w:val="center"/>
                </w:tcPr>
                <w:p w14:paraId="29C1485C">
                  <w:pPr>
                    <w:jc w:val="center"/>
                    <w:rPr>
                      <w:color w:val="auto"/>
                      <w:spacing w:val="-11"/>
                      <w:sz w:val="18"/>
                      <w:szCs w:val="18"/>
                      <w:highlight w:val="none"/>
                    </w:rPr>
                  </w:pPr>
                  <w:r>
                    <w:rPr>
                      <w:rFonts w:hint="eastAsia"/>
                      <w:color w:val="auto"/>
                      <w:spacing w:val="-11"/>
                      <w:sz w:val="18"/>
                      <w:szCs w:val="18"/>
                      <w:highlight w:val="none"/>
                    </w:rPr>
                    <w:t>序号</w:t>
                  </w:r>
                </w:p>
              </w:tc>
              <w:tc>
                <w:tcPr>
                  <w:tcW w:w="2489" w:type="dxa"/>
                  <w:tcBorders>
                    <w:tl2br w:val="nil"/>
                    <w:tr2bl w:val="nil"/>
                  </w:tcBorders>
                  <w:vAlign w:val="center"/>
                </w:tcPr>
                <w:p w14:paraId="68C8DC91">
                  <w:pPr>
                    <w:jc w:val="center"/>
                    <w:rPr>
                      <w:color w:val="auto"/>
                      <w:spacing w:val="-11"/>
                      <w:sz w:val="18"/>
                      <w:szCs w:val="18"/>
                      <w:highlight w:val="none"/>
                    </w:rPr>
                  </w:pPr>
                  <w:r>
                    <w:rPr>
                      <w:rFonts w:hint="eastAsia"/>
                      <w:color w:val="auto"/>
                      <w:spacing w:val="-11"/>
                      <w:sz w:val="18"/>
                      <w:szCs w:val="18"/>
                      <w:highlight w:val="none"/>
                    </w:rPr>
                    <w:t>项目</w:t>
                  </w:r>
                </w:p>
              </w:tc>
              <w:tc>
                <w:tcPr>
                  <w:tcW w:w="2489" w:type="dxa"/>
                  <w:tcBorders>
                    <w:tl2br w:val="nil"/>
                    <w:tr2bl w:val="nil"/>
                  </w:tcBorders>
                  <w:vAlign w:val="center"/>
                </w:tcPr>
                <w:p w14:paraId="186F3423">
                  <w:pPr>
                    <w:jc w:val="center"/>
                    <w:rPr>
                      <w:rFonts w:hint="eastAsia" w:ascii="Times New Roman" w:hAnsi="Times New Roman" w:eastAsia="宋体" w:cs="Times New Roman"/>
                      <w:color w:val="auto"/>
                      <w:spacing w:val="-10"/>
                      <w:sz w:val="18"/>
                      <w:szCs w:val="18"/>
                      <w:highlight w:val="none"/>
                      <w:lang w:val="en-US" w:eastAsia="zh-CN"/>
                    </w:rPr>
                  </w:pPr>
                  <w:r>
                    <w:rPr>
                      <w:rFonts w:hint="eastAsia" w:ascii="Times New Roman" w:hAnsi="Times New Roman" w:eastAsia="宋体" w:cs="Times New Roman"/>
                      <w:color w:val="auto"/>
                      <w:spacing w:val="-10"/>
                      <w:sz w:val="18"/>
                      <w:szCs w:val="18"/>
                      <w:highlight w:val="none"/>
                      <w:lang w:val="en-US" w:eastAsia="zh-CN"/>
                    </w:rPr>
                    <w:t>废钢破碎尾料生产线布袋除尘器</w:t>
                  </w:r>
                </w:p>
              </w:tc>
              <w:tc>
                <w:tcPr>
                  <w:tcW w:w="2490" w:type="dxa"/>
                  <w:tcBorders>
                    <w:tl2br w:val="nil"/>
                    <w:tr2bl w:val="nil"/>
                  </w:tcBorders>
                  <w:vAlign w:val="center"/>
                </w:tcPr>
                <w:p w14:paraId="1A6C0DFD">
                  <w:pPr>
                    <w:jc w:val="center"/>
                    <w:rPr>
                      <w:rFonts w:hint="eastAsia" w:ascii="Times New Roman" w:hAnsi="Times New Roman" w:eastAsia="宋体" w:cs="Times New Roman"/>
                      <w:color w:val="auto"/>
                      <w:spacing w:val="-10"/>
                      <w:sz w:val="18"/>
                      <w:szCs w:val="18"/>
                      <w:highlight w:val="none"/>
                      <w:lang w:val="en-US" w:eastAsia="zh-CN"/>
                    </w:rPr>
                  </w:pPr>
                  <w:r>
                    <w:rPr>
                      <w:rFonts w:hint="eastAsia" w:ascii="Times New Roman" w:hAnsi="Times New Roman" w:eastAsia="宋体" w:cs="Times New Roman"/>
                      <w:color w:val="auto"/>
                      <w:spacing w:val="-10"/>
                      <w:sz w:val="18"/>
                      <w:szCs w:val="18"/>
                      <w:highlight w:val="none"/>
                      <w:lang w:val="en-US" w:eastAsia="zh-CN"/>
                    </w:rPr>
                    <w:t>钢渣处理生产线布袋除尘器</w:t>
                  </w:r>
                </w:p>
              </w:tc>
            </w:tr>
            <w:tr w14:paraId="07A2039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534" w:type="dxa"/>
                  <w:tcBorders>
                    <w:tl2br w:val="nil"/>
                    <w:tr2bl w:val="nil"/>
                  </w:tcBorders>
                  <w:shd w:val="clear" w:color="auto" w:fill="auto"/>
                  <w:vAlign w:val="center"/>
                </w:tcPr>
                <w:p w14:paraId="30FC13C3">
                  <w:pPr>
                    <w:jc w:val="center"/>
                    <w:rPr>
                      <w:rFonts w:hint="eastAsia" w:ascii="Times New Roman" w:hAnsi="Times New Roman" w:eastAsia="宋体" w:cs="Times New Roman"/>
                      <w:color w:val="auto"/>
                      <w:spacing w:val="-11"/>
                      <w:kern w:val="2"/>
                      <w:sz w:val="18"/>
                      <w:szCs w:val="18"/>
                      <w:highlight w:val="none"/>
                      <w:lang w:val="en-US" w:eastAsia="zh-CN" w:bidi="ar-SA"/>
                    </w:rPr>
                  </w:pPr>
                  <w:r>
                    <w:rPr>
                      <w:rFonts w:hint="eastAsia"/>
                      <w:color w:val="auto"/>
                      <w:spacing w:val="-11"/>
                      <w:sz w:val="18"/>
                      <w:szCs w:val="18"/>
                      <w:highlight w:val="none"/>
                    </w:rPr>
                    <w:t>1</w:t>
                  </w:r>
                </w:p>
              </w:tc>
              <w:tc>
                <w:tcPr>
                  <w:tcW w:w="2489" w:type="dxa"/>
                  <w:tcBorders>
                    <w:tl2br w:val="nil"/>
                    <w:tr2bl w:val="nil"/>
                  </w:tcBorders>
                  <w:shd w:val="clear" w:color="auto" w:fill="auto"/>
                  <w:vAlign w:val="center"/>
                </w:tcPr>
                <w:p w14:paraId="5E3BBD1B">
                  <w:pPr>
                    <w:jc w:val="center"/>
                    <w:rPr>
                      <w:rFonts w:hint="eastAsia" w:ascii="Times New Roman" w:hAnsi="Times New Roman" w:eastAsia="宋体" w:cs="Times New Roman"/>
                      <w:color w:val="auto"/>
                      <w:spacing w:val="-11"/>
                      <w:kern w:val="2"/>
                      <w:sz w:val="18"/>
                      <w:szCs w:val="18"/>
                      <w:highlight w:val="none"/>
                      <w:lang w:val="en-US" w:eastAsia="zh-CN" w:bidi="ar-SA"/>
                    </w:rPr>
                  </w:pPr>
                  <w:r>
                    <w:rPr>
                      <w:rFonts w:hint="eastAsia"/>
                      <w:color w:val="auto"/>
                      <w:spacing w:val="-11"/>
                      <w:sz w:val="18"/>
                      <w:szCs w:val="18"/>
                      <w:highlight w:val="none"/>
                    </w:rPr>
                    <w:t>处理风量</w:t>
                  </w:r>
                </w:p>
              </w:tc>
              <w:tc>
                <w:tcPr>
                  <w:tcW w:w="2489" w:type="dxa"/>
                  <w:tcBorders>
                    <w:tl2br w:val="nil"/>
                    <w:tr2bl w:val="nil"/>
                  </w:tcBorders>
                  <w:shd w:val="clear" w:color="auto" w:fill="auto"/>
                  <w:vAlign w:val="center"/>
                </w:tcPr>
                <w:p w14:paraId="6BF55BE8">
                  <w:pPr>
                    <w:jc w:val="center"/>
                    <w:rPr>
                      <w:rFonts w:hint="eastAsia" w:ascii="Times New Roman" w:hAnsi="Times New Roman" w:eastAsia="宋体" w:cs="Times New Roman"/>
                      <w:color w:val="auto"/>
                      <w:spacing w:val="-11"/>
                      <w:kern w:val="2"/>
                      <w:sz w:val="18"/>
                      <w:szCs w:val="18"/>
                      <w:highlight w:val="none"/>
                      <w:lang w:val="en-US" w:eastAsia="zh-CN" w:bidi="ar-SA"/>
                    </w:rPr>
                  </w:pPr>
                  <w:r>
                    <w:rPr>
                      <w:rFonts w:hint="eastAsia"/>
                      <w:color w:val="auto"/>
                      <w:spacing w:val="-11"/>
                      <w:sz w:val="18"/>
                      <w:szCs w:val="18"/>
                      <w:highlight w:val="none"/>
                      <w:lang w:val="en-US" w:eastAsia="zh-CN"/>
                    </w:rPr>
                    <w:t>50</w:t>
                  </w:r>
                  <w:r>
                    <w:rPr>
                      <w:rFonts w:hint="eastAsia"/>
                      <w:color w:val="auto"/>
                      <w:spacing w:val="-11"/>
                      <w:sz w:val="18"/>
                      <w:szCs w:val="18"/>
                      <w:highlight w:val="none"/>
                    </w:rPr>
                    <w:t>000m</w:t>
                  </w:r>
                  <w:r>
                    <w:rPr>
                      <w:rFonts w:hint="eastAsia"/>
                      <w:color w:val="auto"/>
                      <w:spacing w:val="-11"/>
                      <w:sz w:val="18"/>
                      <w:szCs w:val="18"/>
                      <w:highlight w:val="none"/>
                      <w:vertAlign w:val="superscript"/>
                    </w:rPr>
                    <w:t>3</w:t>
                  </w:r>
                  <w:r>
                    <w:rPr>
                      <w:rFonts w:hint="eastAsia"/>
                      <w:color w:val="auto"/>
                      <w:spacing w:val="-11"/>
                      <w:sz w:val="18"/>
                      <w:szCs w:val="18"/>
                      <w:highlight w:val="none"/>
                    </w:rPr>
                    <w:t>/h</w:t>
                  </w:r>
                </w:p>
              </w:tc>
              <w:tc>
                <w:tcPr>
                  <w:tcW w:w="2490" w:type="dxa"/>
                  <w:tcBorders>
                    <w:tl2br w:val="nil"/>
                    <w:tr2bl w:val="nil"/>
                  </w:tcBorders>
                  <w:shd w:val="clear" w:color="auto" w:fill="auto"/>
                  <w:vAlign w:val="center"/>
                </w:tcPr>
                <w:p w14:paraId="026B71B7">
                  <w:pPr>
                    <w:jc w:val="center"/>
                    <w:rPr>
                      <w:rFonts w:hint="eastAsia" w:ascii="Times New Roman" w:hAnsi="Times New Roman" w:eastAsia="宋体" w:cs="Times New Roman"/>
                      <w:color w:val="auto"/>
                      <w:spacing w:val="-11"/>
                      <w:kern w:val="2"/>
                      <w:sz w:val="18"/>
                      <w:szCs w:val="18"/>
                      <w:highlight w:val="none"/>
                      <w:lang w:val="en-US" w:eastAsia="zh-CN" w:bidi="ar-SA"/>
                    </w:rPr>
                  </w:pPr>
                  <w:r>
                    <w:rPr>
                      <w:rFonts w:hint="eastAsia"/>
                      <w:color w:val="auto"/>
                      <w:spacing w:val="-11"/>
                      <w:sz w:val="18"/>
                      <w:szCs w:val="18"/>
                      <w:highlight w:val="none"/>
                      <w:lang w:val="en-US" w:eastAsia="zh-CN"/>
                    </w:rPr>
                    <w:t>50</w:t>
                  </w:r>
                  <w:r>
                    <w:rPr>
                      <w:rFonts w:hint="eastAsia"/>
                      <w:color w:val="auto"/>
                      <w:spacing w:val="-11"/>
                      <w:sz w:val="18"/>
                      <w:szCs w:val="18"/>
                      <w:highlight w:val="none"/>
                    </w:rPr>
                    <w:t>000m</w:t>
                  </w:r>
                  <w:r>
                    <w:rPr>
                      <w:rFonts w:hint="eastAsia"/>
                      <w:color w:val="auto"/>
                      <w:spacing w:val="-11"/>
                      <w:sz w:val="18"/>
                      <w:szCs w:val="18"/>
                      <w:highlight w:val="none"/>
                      <w:vertAlign w:val="superscript"/>
                    </w:rPr>
                    <w:t>3</w:t>
                  </w:r>
                  <w:r>
                    <w:rPr>
                      <w:rFonts w:hint="eastAsia"/>
                      <w:color w:val="auto"/>
                      <w:spacing w:val="-11"/>
                      <w:sz w:val="18"/>
                      <w:szCs w:val="18"/>
                      <w:highlight w:val="none"/>
                    </w:rPr>
                    <w:t>/h</w:t>
                  </w:r>
                </w:p>
              </w:tc>
            </w:tr>
            <w:tr w14:paraId="6D82DB7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534" w:type="dxa"/>
                  <w:tcBorders>
                    <w:tl2br w:val="nil"/>
                    <w:tr2bl w:val="nil"/>
                  </w:tcBorders>
                  <w:shd w:val="clear" w:color="auto" w:fill="auto"/>
                  <w:vAlign w:val="center"/>
                </w:tcPr>
                <w:p w14:paraId="47E6235A">
                  <w:pPr>
                    <w:jc w:val="center"/>
                    <w:rPr>
                      <w:rFonts w:hint="eastAsia" w:ascii="Times New Roman" w:hAnsi="Times New Roman" w:eastAsia="宋体" w:cs="Times New Roman"/>
                      <w:color w:val="auto"/>
                      <w:spacing w:val="-11"/>
                      <w:kern w:val="2"/>
                      <w:sz w:val="18"/>
                      <w:szCs w:val="18"/>
                      <w:highlight w:val="none"/>
                      <w:lang w:val="en-US" w:eastAsia="zh-CN" w:bidi="ar-SA"/>
                    </w:rPr>
                  </w:pPr>
                  <w:r>
                    <w:rPr>
                      <w:rFonts w:hint="eastAsia"/>
                      <w:color w:val="auto"/>
                      <w:spacing w:val="-11"/>
                      <w:sz w:val="18"/>
                      <w:szCs w:val="18"/>
                      <w:highlight w:val="none"/>
                    </w:rPr>
                    <w:t>2</w:t>
                  </w:r>
                </w:p>
              </w:tc>
              <w:tc>
                <w:tcPr>
                  <w:tcW w:w="2489" w:type="dxa"/>
                  <w:tcBorders>
                    <w:tl2br w:val="nil"/>
                    <w:tr2bl w:val="nil"/>
                  </w:tcBorders>
                  <w:shd w:val="clear" w:color="auto" w:fill="auto"/>
                  <w:vAlign w:val="center"/>
                </w:tcPr>
                <w:p w14:paraId="51CC49C5">
                  <w:pPr>
                    <w:jc w:val="center"/>
                    <w:rPr>
                      <w:rFonts w:hint="eastAsia" w:ascii="Times New Roman" w:hAnsi="Times New Roman" w:eastAsia="宋体" w:cs="Times New Roman"/>
                      <w:color w:val="auto"/>
                      <w:spacing w:val="-11"/>
                      <w:kern w:val="2"/>
                      <w:sz w:val="18"/>
                      <w:szCs w:val="18"/>
                      <w:highlight w:val="none"/>
                      <w:lang w:val="en-US" w:eastAsia="zh-CN" w:bidi="ar-SA"/>
                    </w:rPr>
                  </w:pPr>
                  <w:r>
                    <w:rPr>
                      <w:rFonts w:hint="eastAsia"/>
                      <w:color w:val="auto"/>
                      <w:spacing w:val="-11"/>
                      <w:sz w:val="18"/>
                      <w:szCs w:val="18"/>
                      <w:highlight w:val="none"/>
                    </w:rPr>
                    <w:t>过滤面积</w:t>
                  </w:r>
                </w:p>
              </w:tc>
              <w:tc>
                <w:tcPr>
                  <w:tcW w:w="2489" w:type="dxa"/>
                  <w:tcBorders>
                    <w:tl2br w:val="nil"/>
                    <w:tr2bl w:val="nil"/>
                  </w:tcBorders>
                  <w:shd w:val="clear" w:color="auto" w:fill="auto"/>
                  <w:vAlign w:val="center"/>
                </w:tcPr>
                <w:p w14:paraId="4A0BF3B5">
                  <w:pPr>
                    <w:jc w:val="center"/>
                    <w:rPr>
                      <w:rFonts w:hint="eastAsia" w:ascii="Times New Roman" w:hAnsi="Times New Roman" w:eastAsia="宋体" w:cs="Times New Roman"/>
                      <w:color w:val="auto"/>
                      <w:spacing w:val="-11"/>
                      <w:kern w:val="2"/>
                      <w:sz w:val="18"/>
                      <w:szCs w:val="18"/>
                      <w:highlight w:val="none"/>
                      <w:lang w:val="en-US" w:eastAsia="zh-CN" w:bidi="ar-SA"/>
                    </w:rPr>
                  </w:pPr>
                  <w:r>
                    <w:rPr>
                      <w:rFonts w:hint="eastAsia"/>
                      <w:color w:val="auto"/>
                      <w:spacing w:val="-11"/>
                      <w:sz w:val="18"/>
                      <w:szCs w:val="18"/>
                      <w:highlight w:val="none"/>
                    </w:rPr>
                    <w:t>不低于</w:t>
                  </w:r>
                  <w:r>
                    <w:rPr>
                      <w:rFonts w:hint="eastAsia"/>
                      <w:color w:val="auto"/>
                      <w:spacing w:val="-11"/>
                      <w:sz w:val="18"/>
                      <w:szCs w:val="18"/>
                      <w:highlight w:val="none"/>
                      <w:lang w:val="en-US" w:eastAsia="zh-CN"/>
                    </w:rPr>
                    <w:t>1042</w:t>
                  </w:r>
                  <w:r>
                    <w:rPr>
                      <w:rFonts w:hint="eastAsia"/>
                      <w:color w:val="auto"/>
                      <w:spacing w:val="-11"/>
                      <w:sz w:val="18"/>
                      <w:szCs w:val="18"/>
                      <w:highlight w:val="none"/>
                    </w:rPr>
                    <w:t>m</w:t>
                  </w:r>
                  <w:r>
                    <w:rPr>
                      <w:rFonts w:hint="eastAsia"/>
                      <w:color w:val="auto"/>
                      <w:spacing w:val="-11"/>
                      <w:sz w:val="18"/>
                      <w:szCs w:val="18"/>
                      <w:highlight w:val="none"/>
                      <w:vertAlign w:val="superscript"/>
                    </w:rPr>
                    <w:t>2</w:t>
                  </w:r>
                </w:p>
              </w:tc>
              <w:tc>
                <w:tcPr>
                  <w:tcW w:w="2490" w:type="dxa"/>
                  <w:tcBorders>
                    <w:tl2br w:val="nil"/>
                    <w:tr2bl w:val="nil"/>
                  </w:tcBorders>
                  <w:shd w:val="clear" w:color="auto" w:fill="auto"/>
                  <w:vAlign w:val="center"/>
                </w:tcPr>
                <w:p w14:paraId="50B6200C">
                  <w:pPr>
                    <w:jc w:val="center"/>
                    <w:rPr>
                      <w:rFonts w:hint="eastAsia" w:ascii="Times New Roman" w:hAnsi="Times New Roman" w:eastAsia="宋体" w:cs="Times New Roman"/>
                      <w:color w:val="auto"/>
                      <w:spacing w:val="-11"/>
                      <w:kern w:val="2"/>
                      <w:sz w:val="18"/>
                      <w:szCs w:val="18"/>
                      <w:highlight w:val="none"/>
                      <w:lang w:val="en-US" w:eastAsia="zh-CN" w:bidi="ar-SA"/>
                    </w:rPr>
                  </w:pPr>
                  <w:r>
                    <w:rPr>
                      <w:rFonts w:hint="eastAsia"/>
                      <w:color w:val="auto"/>
                      <w:spacing w:val="-11"/>
                      <w:sz w:val="18"/>
                      <w:szCs w:val="18"/>
                      <w:highlight w:val="none"/>
                    </w:rPr>
                    <w:t>不低于</w:t>
                  </w:r>
                  <w:r>
                    <w:rPr>
                      <w:rFonts w:hint="eastAsia"/>
                      <w:color w:val="auto"/>
                      <w:spacing w:val="-11"/>
                      <w:sz w:val="18"/>
                      <w:szCs w:val="18"/>
                      <w:highlight w:val="none"/>
                      <w:lang w:val="en-US" w:eastAsia="zh-CN"/>
                    </w:rPr>
                    <w:t>1042</w:t>
                  </w:r>
                  <w:r>
                    <w:rPr>
                      <w:rFonts w:hint="eastAsia"/>
                      <w:color w:val="auto"/>
                      <w:spacing w:val="-11"/>
                      <w:sz w:val="18"/>
                      <w:szCs w:val="18"/>
                      <w:highlight w:val="none"/>
                    </w:rPr>
                    <w:t>m</w:t>
                  </w:r>
                  <w:r>
                    <w:rPr>
                      <w:rFonts w:hint="eastAsia"/>
                      <w:color w:val="auto"/>
                      <w:spacing w:val="-11"/>
                      <w:sz w:val="18"/>
                      <w:szCs w:val="18"/>
                      <w:highlight w:val="none"/>
                      <w:vertAlign w:val="superscript"/>
                    </w:rPr>
                    <w:t>2</w:t>
                  </w:r>
                </w:p>
              </w:tc>
            </w:tr>
            <w:tr w14:paraId="507F3C4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534" w:type="dxa"/>
                  <w:tcBorders>
                    <w:tl2br w:val="nil"/>
                    <w:tr2bl w:val="nil"/>
                  </w:tcBorders>
                  <w:shd w:val="clear" w:color="auto" w:fill="auto"/>
                  <w:vAlign w:val="center"/>
                </w:tcPr>
                <w:p w14:paraId="3729C156">
                  <w:pPr>
                    <w:jc w:val="center"/>
                    <w:rPr>
                      <w:rFonts w:hint="eastAsia" w:ascii="Times New Roman" w:hAnsi="Times New Roman" w:eastAsia="宋体" w:cs="Times New Roman"/>
                      <w:color w:val="auto"/>
                      <w:spacing w:val="-11"/>
                      <w:kern w:val="2"/>
                      <w:sz w:val="18"/>
                      <w:szCs w:val="18"/>
                      <w:highlight w:val="none"/>
                      <w:lang w:val="en-US" w:eastAsia="zh-CN" w:bidi="ar-SA"/>
                    </w:rPr>
                  </w:pPr>
                  <w:r>
                    <w:rPr>
                      <w:rFonts w:hint="eastAsia"/>
                      <w:color w:val="auto"/>
                      <w:spacing w:val="-11"/>
                      <w:sz w:val="18"/>
                      <w:szCs w:val="18"/>
                      <w:highlight w:val="none"/>
                    </w:rPr>
                    <w:t>3</w:t>
                  </w:r>
                </w:p>
              </w:tc>
              <w:tc>
                <w:tcPr>
                  <w:tcW w:w="2489" w:type="dxa"/>
                  <w:tcBorders>
                    <w:tl2br w:val="nil"/>
                    <w:tr2bl w:val="nil"/>
                  </w:tcBorders>
                  <w:shd w:val="clear" w:color="auto" w:fill="auto"/>
                  <w:vAlign w:val="center"/>
                </w:tcPr>
                <w:p w14:paraId="03BD7A46">
                  <w:pPr>
                    <w:jc w:val="center"/>
                    <w:rPr>
                      <w:rFonts w:hint="eastAsia" w:ascii="Times New Roman" w:hAnsi="Times New Roman" w:eastAsia="宋体" w:cs="Times New Roman"/>
                      <w:color w:val="auto"/>
                      <w:spacing w:val="-11"/>
                      <w:kern w:val="2"/>
                      <w:sz w:val="18"/>
                      <w:szCs w:val="18"/>
                      <w:highlight w:val="none"/>
                      <w:lang w:val="en-US" w:eastAsia="zh-CN" w:bidi="ar-SA"/>
                    </w:rPr>
                  </w:pPr>
                  <w:r>
                    <w:rPr>
                      <w:rFonts w:hint="eastAsia"/>
                      <w:color w:val="auto"/>
                      <w:spacing w:val="-11"/>
                      <w:sz w:val="18"/>
                      <w:szCs w:val="18"/>
                      <w:highlight w:val="none"/>
                    </w:rPr>
                    <w:t>过滤风速</w:t>
                  </w:r>
                </w:p>
              </w:tc>
              <w:tc>
                <w:tcPr>
                  <w:tcW w:w="2489" w:type="dxa"/>
                  <w:tcBorders>
                    <w:tl2br w:val="nil"/>
                    <w:tr2bl w:val="nil"/>
                  </w:tcBorders>
                  <w:shd w:val="clear" w:color="auto" w:fill="auto"/>
                  <w:vAlign w:val="center"/>
                </w:tcPr>
                <w:p w14:paraId="63C8E5C1">
                  <w:pPr>
                    <w:jc w:val="center"/>
                    <w:rPr>
                      <w:rFonts w:hint="eastAsia" w:ascii="Times New Roman" w:hAnsi="Times New Roman" w:eastAsia="宋体" w:cs="Times New Roman"/>
                      <w:color w:val="auto"/>
                      <w:spacing w:val="-11"/>
                      <w:kern w:val="2"/>
                      <w:sz w:val="18"/>
                      <w:szCs w:val="18"/>
                      <w:highlight w:val="none"/>
                      <w:lang w:val="en-US" w:eastAsia="zh-CN" w:bidi="ar-SA"/>
                    </w:rPr>
                  </w:pPr>
                  <w:r>
                    <w:rPr>
                      <w:rFonts w:hint="eastAsia"/>
                      <w:color w:val="auto"/>
                      <w:spacing w:val="-11"/>
                      <w:sz w:val="18"/>
                      <w:szCs w:val="18"/>
                      <w:highlight w:val="none"/>
                    </w:rPr>
                    <w:t>0.8m/min</w:t>
                  </w:r>
                </w:p>
              </w:tc>
              <w:tc>
                <w:tcPr>
                  <w:tcW w:w="2490" w:type="dxa"/>
                  <w:tcBorders>
                    <w:tl2br w:val="nil"/>
                    <w:tr2bl w:val="nil"/>
                  </w:tcBorders>
                  <w:shd w:val="clear" w:color="auto" w:fill="auto"/>
                  <w:vAlign w:val="center"/>
                </w:tcPr>
                <w:p w14:paraId="70FEA4E6">
                  <w:pPr>
                    <w:jc w:val="center"/>
                    <w:rPr>
                      <w:rFonts w:hint="eastAsia" w:ascii="Times New Roman" w:hAnsi="Times New Roman" w:eastAsia="宋体" w:cs="Times New Roman"/>
                      <w:color w:val="auto"/>
                      <w:spacing w:val="-11"/>
                      <w:kern w:val="2"/>
                      <w:sz w:val="18"/>
                      <w:szCs w:val="18"/>
                      <w:highlight w:val="none"/>
                      <w:lang w:val="en-US" w:eastAsia="zh-CN" w:bidi="ar-SA"/>
                    </w:rPr>
                  </w:pPr>
                  <w:r>
                    <w:rPr>
                      <w:rFonts w:hint="eastAsia"/>
                      <w:color w:val="auto"/>
                      <w:spacing w:val="-11"/>
                      <w:sz w:val="18"/>
                      <w:szCs w:val="18"/>
                      <w:highlight w:val="none"/>
                    </w:rPr>
                    <w:t>0.8m/min</w:t>
                  </w:r>
                </w:p>
              </w:tc>
            </w:tr>
            <w:tr w14:paraId="2B42C97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534" w:type="dxa"/>
                  <w:tcBorders>
                    <w:tl2br w:val="nil"/>
                    <w:tr2bl w:val="nil"/>
                  </w:tcBorders>
                  <w:shd w:val="clear" w:color="auto" w:fill="auto"/>
                  <w:vAlign w:val="center"/>
                </w:tcPr>
                <w:p w14:paraId="4A0FA52B">
                  <w:pPr>
                    <w:jc w:val="center"/>
                    <w:rPr>
                      <w:rFonts w:hint="eastAsia" w:ascii="Times New Roman" w:hAnsi="Times New Roman" w:eastAsia="宋体" w:cs="Times New Roman"/>
                      <w:color w:val="auto"/>
                      <w:spacing w:val="-11"/>
                      <w:kern w:val="2"/>
                      <w:sz w:val="18"/>
                      <w:szCs w:val="18"/>
                      <w:highlight w:val="none"/>
                      <w:lang w:val="en-US" w:eastAsia="zh-CN" w:bidi="ar-SA"/>
                    </w:rPr>
                  </w:pPr>
                  <w:r>
                    <w:rPr>
                      <w:rFonts w:hint="eastAsia"/>
                      <w:color w:val="auto"/>
                      <w:spacing w:val="-11"/>
                      <w:sz w:val="18"/>
                      <w:szCs w:val="18"/>
                      <w:highlight w:val="none"/>
                    </w:rPr>
                    <w:t>4</w:t>
                  </w:r>
                </w:p>
              </w:tc>
              <w:tc>
                <w:tcPr>
                  <w:tcW w:w="2489" w:type="dxa"/>
                  <w:tcBorders>
                    <w:tl2br w:val="nil"/>
                    <w:tr2bl w:val="nil"/>
                  </w:tcBorders>
                  <w:shd w:val="clear" w:color="auto" w:fill="auto"/>
                  <w:vAlign w:val="center"/>
                </w:tcPr>
                <w:p w14:paraId="570A48D0">
                  <w:pPr>
                    <w:jc w:val="center"/>
                    <w:rPr>
                      <w:rFonts w:hint="eastAsia" w:ascii="Times New Roman" w:hAnsi="Times New Roman" w:eastAsia="宋体" w:cs="Times New Roman"/>
                      <w:color w:val="auto"/>
                      <w:spacing w:val="-11"/>
                      <w:kern w:val="2"/>
                      <w:sz w:val="18"/>
                      <w:szCs w:val="18"/>
                      <w:highlight w:val="none"/>
                      <w:lang w:val="en-US" w:eastAsia="zh-CN" w:bidi="ar-SA"/>
                    </w:rPr>
                  </w:pPr>
                  <w:r>
                    <w:rPr>
                      <w:rFonts w:hint="eastAsia"/>
                      <w:color w:val="auto"/>
                      <w:spacing w:val="-11"/>
                      <w:sz w:val="18"/>
                      <w:szCs w:val="18"/>
                      <w:highlight w:val="none"/>
                    </w:rPr>
                    <w:t>滤袋材质</w:t>
                  </w:r>
                </w:p>
              </w:tc>
              <w:tc>
                <w:tcPr>
                  <w:tcW w:w="2489" w:type="dxa"/>
                  <w:tcBorders>
                    <w:tl2br w:val="nil"/>
                    <w:tr2bl w:val="nil"/>
                  </w:tcBorders>
                  <w:shd w:val="clear" w:color="auto" w:fill="auto"/>
                  <w:vAlign w:val="center"/>
                </w:tcPr>
                <w:p w14:paraId="74C864ED">
                  <w:pPr>
                    <w:jc w:val="center"/>
                    <w:rPr>
                      <w:rFonts w:hint="eastAsia" w:ascii="Times New Roman" w:hAnsi="Times New Roman" w:eastAsia="宋体" w:cs="Times New Roman"/>
                      <w:color w:val="auto"/>
                      <w:spacing w:val="-11"/>
                      <w:kern w:val="2"/>
                      <w:sz w:val="18"/>
                      <w:szCs w:val="18"/>
                      <w:highlight w:val="none"/>
                      <w:lang w:val="en-US" w:eastAsia="zh-CN" w:bidi="ar-SA"/>
                    </w:rPr>
                  </w:pPr>
                  <w:r>
                    <w:rPr>
                      <w:rFonts w:hint="eastAsia"/>
                      <w:color w:val="auto"/>
                      <w:spacing w:val="-11"/>
                      <w:sz w:val="18"/>
                      <w:szCs w:val="18"/>
                      <w:highlight w:val="none"/>
                    </w:rPr>
                    <w:t>涤纶针刺毡覆膜</w:t>
                  </w:r>
                </w:p>
              </w:tc>
              <w:tc>
                <w:tcPr>
                  <w:tcW w:w="2490" w:type="dxa"/>
                  <w:tcBorders>
                    <w:tl2br w:val="nil"/>
                    <w:tr2bl w:val="nil"/>
                  </w:tcBorders>
                  <w:shd w:val="clear" w:color="auto" w:fill="auto"/>
                  <w:vAlign w:val="center"/>
                </w:tcPr>
                <w:p w14:paraId="5257C0D2">
                  <w:pPr>
                    <w:jc w:val="center"/>
                    <w:rPr>
                      <w:rFonts w:hint="eastAsia" w:ascii="Times New Roman" w:hAnsi="Times New Roman" w:eastAsia="宋体" w:cs="Times New Roman"/>
                      <w:color w:val="auto"/>
                      <w:spacing w:val="-11"/>
                      <w:kern w:val="2"/>
                      <w:sz w:val="18"/>
                      <w:szCs w:val="18"/>
                      <w:highlight w:val="none"/>
                      <w:lang w:val="en-US" w:eastAsia="zh-CN" w:bidi="ar-SA"/>
                    </w:rPr>
                  </w:pPr>
                  <w:r>
                    <w:rPr>
                      <w:rFonts w:hint="eastAsia"/>
                      <w:color w:val="auto"/>
                      <w:spacing w:val="-11"/>
                      <w:sz w:val="18"/>
                      <w:szCs w:val="18"/>
                      <w:highlight w:val="none"/>
                    </w:rPr>
                    <w:t>涤纶针刺毡覆膜</w:t>
                  </w:r>
                </w:p>
              </w:tc>
            </w:tr>
            <w:tr w14:paraId="42B6103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534" w:type="dxa"/>
                  <w:tcBorders>
                    <w:tl2br w:val="nil"/>
                    <w:tr2bl w:val="nil"/>
                  </w:tcBorders>
                  <w:shd w:val="clear" w:color="auto" w:fill="auto"/>
                  <w:vAlign w:val="center"/>
                </w:tcPr>
                <w:p w14:paraId="283F7AAF">
                  <w:pPr>
                    <w:jc w:val="center"/>
                    <w:rPr>
                      <w:rFonts w:hint="eastAsia" w:ascii="Times New Roman" w:hAnsi="Times New Roman" w:eastAsia="宋体" w:cs="Times New Roman"/>
                      <w:color w:val="auto"/>
                      <w:spacing w:val="-11"/>
                      <w:kern w:val="2"/>
                      <w:sz w:val="18"/>
                      <w:szCs w:val="18"/>
                      <w:highlight w:val="none"/>
                      <w:lang w:val="en-US" w:eastAsia="zh-CN" w:bidi="ar-SA"/>
                    </w:rPr>
                  </w:pPr>
                  <w:r>
                    <w:rPr>
                      <w:rFonts w:hint="eastAsia"/>
                      <w:color w:val="auto"/>
                      <w:spacing w:val="-11"/>
                      <w:sz w:val="18"/>
                      <w:szCs w:val="18"/>
                      <w:highlight w:val="none"/>
                    </w:rPr>
                    <w:t>5</w:t>
                  </w:r>
                </w:p>
              </w:tc>
              <w:tc>
                <w:tcPr>
                  <w:tcW w:w="2489" w:type="dxa"/>
                  <w:tcBorders>
                    <w:tl2br w:val="nil"/>
                    <w:tr2bl w:val="nil"/>
                  </w:tcBorders>
                  <w:shd w:val="clear" w:color="auto" w:fill="auto"/>
                  <w:vAlign w:val="center"/>
                </w:tcPr>
                <w:p w14:paraId="3A0F6ABC">
                  <w:pPr>
                    <w:jc w:val="center"/>
                    <w:rPr>
                      <w:rFonts w:hint="eastAsia" w:ascii="Times New Roman" w:hAnsi="Times New Roman" w:eastAsia="宋体" w:cs="Times New Roman"/>
                      <w:color w:val="auto"/>
                      <w:spacing w:val="-11"/>
                      <w:kern w:val="2"/>
                      <w:sz w:val="18"/>
                      <w:szCs w:val="18"/>
                      <w:highlight w:val="none"/>
                      <w:lang w:val="en-US" w:eastAsia="zh-CN" w:bidi="ar-SA"/>
                    </w:rPr>
                  </w:pPr>
                  <w:r>
                    <w:rPr>
                      <w:rFonts w:hint="eastAsia"/>
                      <w:color w:val="auto"/>
                      <w:spacing w:val="-11"/>
                      <w:sz w:val="18"/>
                      <w:szCs w:val="18"/>
                      <w:highlight w:val="none"/>
                    </w:rPr>
                    <w:t>滤袋规格</w:t>
                  </w:r>
                </w:p>
              </w:tc>
              <w:tc>
                <w:tcPr>
                  <w:tcW w:w="2489" w:type="dxa"/>
                  <w:tcBorders>
                    <w:tl2br w:val="nil"/>
                    <w:tr2bl w:val="nil"/>
                  </w:tcBorders>
                  <w:shd w:val="clear" w:color="auto" w:fill="auto"/>
                  <w:vAlign w:val="center"/>
                </w:tcPr>
                <w:p w14:paraId="2262C31C">
                  <w:pPr>
                    <w:jc w:val="center"/>
                    <w:rPr>
                      <w:rFonts w:hint="default" w:ascii="Times New Roman" w:hAnsi="Times New Roman" w:eastAsia="宋体" w:cs="Times New Roman"/>
                      <w:color w:val="auto"/>
                      <w:spacing w:val="-11"/>
                      <w:kern w:val="2"/>
                      <w:sz w:val="18"/>
                      <w:szCs w:val="18"/>
                      <w:highlight w:val="none"/>
                      <w:lang w:val="en-US" w:eastAsia="zh-CN" w:bidi="ar-SA"/>
                    </w:rPr>
                  </w:pPr>
                  <w:r>
                    <w:rPr>
                      <w:rFonts w:hint="default" w:ascii="Times New Roman" w:hAnsi="Times New Roman" w:cs="Times New Roman"/>
                      <w:color w:val="auto"/>
                      <w:spacing w:val="-11"/>
                      <w:sz w:val="18"/>
                      <w:szCs w:val="18"/>
                      <w:highlight w:val="none"/>
                    </w:rPr>
                    <w:t>φ130mm×3000mm</w:t>
                  </w:r>
                </w:p>
              </w:tc>
              <w:tc>
                <w:tcPr>
                  <w:tcW w:w="2490" w:type="dxa"/>
                  <w:tcBorders>
                    <w:tl2br w:val="nil"/>
                    <w:tr2bl w:val="nil"/>
                  </w:tcBorders>
                  <w:shd w:val="clear" w:color="auto" w:fill="auto"/>
                  <w:vAlign w:val="center"/>
                </w:tcPr>
                <w:p w14:paraId="51FD7389">
                  <w:pPr>
                    <w:jc w:val="center"/>
                    <w:rPr>
                      <w:rFonts w:hint="default" w:ascii="Times New Roman" w:hAnsi="Times New Roman" w:eastAsia="宋体" w:cs="Times New Roman"/>
                      <w:color w:val="auto"/>
                      <w:spacing w:val="-11"/>
                      <w:kern w:val="2"/>
                      <w:sz w:val="18"/>
                      <w:szCs w:val="18"/>
                      <w:highlight w:val="none"/>
                      <w:lang w:val="en-US" w:eastAsia="zh-CN" w:bidi="ar-SA"/>
                    </w:rPr>
                  </w:pPr>
                  <w:r>
                    <w:rPr>
                      <w:rFonts w:hint="default" w:ascii="Times New Roman" w:hAnsi="Times New Roman" w:cs="Times New Roman"/>
                      <w:color w:val="auto"/>
                      <w:spacing w:val="-11"/>
                      <w:sz w:val="18"/>
                      <w:szCs w:val="18"/>
                      <w:highlight w:val="none"/>
                    </w:rPr>
                    <w:t>φ130mm×3000mm</w:t>
                  </w:r>
                </w:p>
              </w:tc>
            </w:tr>
            <w:tr w14:paraId="0CDCD0A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534" w:type="dxa"/>
                  <w:tcBorders>
                    <w:tl2br w:val="nil"/>
                    <w:tr2bl w:val="nil"/>
                  </w:tcBorders>
                  <w:shd w:val="clear" w:color="auto" w:fill="auto"/>
                  <w:vAlign w:val="center"/>
                </w:tcPr>
                <w:p w14:paraId="3C304263">
                  <w:pPr>
                    <w:jc w:val="center"/>
                    <w:rPr>
                      <w:rFonts w:hint="eastAsia" w:ascii="Times New Roman" w:hAnsi="Times New Roman" w:eastAsia="宋体" w:cs="Times New Roman"/>
                      <w:color w:val="auto"/>
                      <w:spacing w:val="-11"/>
                      <w:kern w:val="2"/>
                      <w:sz w:val="18"/>
                      <w:szCs w:val="18"/>
                      <w:highlight w:val="none"/>
                      <w:lang w:val="en-US" w:eastAsia="zh-CN" w:bidi="ar-SA"/>
                    </w:rPr>
                  </w:pPr>
                  <w:r>
                    <w:rPr>
                      <w:rFonts w:hint="eastAsia"/>
                      <w:color w:val="auto"/>
                      <w:spacing w:val="-11"/>
                      <w:sz w:val="18"/>
                      <w:szCs w:val="18"/>
                      <w:highlight w:val="none"/>
                      <w:lang w:val="en-US" w:eastAsia="zh-CN"/>
                    </w:rPr>
                    <w:t>6</w:t>
                  </w:r>
                </w:p>
              </w:tc>
              <w:tc>
                <w:tcPr>
                  <w:tcW w:w="2489" w:type="dxa"/>
                  <w:tcBorders>
                    <w:tl2br w:val="nil"/>
                    <w:tr2bl w:val="nil"/>
                  </w:tcBorders>
                  <w:shd w:val="clear" w:color="auto" w:fill="auto"/>
                  <w:vAlign w:val="center"/>
                </w:tcPr>
                <w:p w14:paraId="48A3BE2D">
                  <w:pPr>
                    <w:jc w:val="center"/>
                    <w:rPr>
                      <w:rFonts w:hint="eastAsia" w:ascii="Times New Roman" w:hAnsi="Times New Roman" w:eastAsia="宋体" w:cs="Times New Roman"/>
                      <w:color w:val="auto"/>
                      <w:spacing w:val="-11"/>
                      <w:kern w:val="2"/>
                      <w:sz w:val="18"/>
                      <w:szCs w:val="18"/>
                      <w:highlight w:val="none"/>
                      <w:lang w:val="en-US" w:eastAsia="zh-CN" w:bidi="ar-SA"/>
                    </w:rPr>
                  </w:pPr>
                  <w:r>
                    <w:rPr>
                      <w:rFonts w:hint="eastAsia"/>
                      <w:color w:val="auto"/>
                      <w:spacing w:val="-11"/>
                      <w:sz w:val="18"/>
                      <w:szCs w:val="18"/>
                      <w:highlight w:val="none"/>
                    </w:rPr>
                    <w:t>滤袋总数</w:t>
                  </w:r>
                </w:p>
              </w:tc>
              <w:tc>
                <w:tcPr>
                  <w:tcW w:w="2489" w:type="dxa"/>
                  <w:tcBorders>
                    <w:tl2br w:val="nil"/>
                    <w:tr2bl w:val="nil"/>
                  </w:tcBorders>
                  <w:shd w:val="clear" w:color="auto" w:fill="auto"/>
                  <w:vAlign w:val="center"/>
                </w:tcPr>
                <w:p w14:paraId="58E178AD">
                  <w:pPr>
                    <w:jc w:val="center"/>
                    <w:rPr>
                      <w:rFonts w:hint="default" w:ascii="Times New Roman" w:hAnsi="Times New Roman" w:eastAsia="宋体" w:cs="Times New Roman"/>
                      <w:color w:val="auto"/>
                      <w:spacing w:val="-11"/>
                      <w:kern w:val="2"/>
                      <w:sz w:val="18"/>
                      <w:szCs w:val="18"/>
                      <w:highlight w:val="none"/>
                      <w:lang w:val="en-US" w:eastAsia="zh-CN" w:bidi="ar-SA"/>
                    </w:rPr>
                  </w:pPr>
                  <w:r>
                    <w:rPr>
                      <w:rFonts w:hint="eastAsia"/>
                      <w:color w:val="auto"/>
                      <w:spacing w:val="-11"/>
                      <w:sz w:val="18"/>
                      <w:szCs w:val="18"/>
                      <w:highlight w:val="none"/>
                      <w:lang w:val="en-US" w:eastAsia="zh-CN"/>
                    </w:rPr>
                    <w:t>851</w:t>
                  </w:r>
                  <w:r>
                    <w:rPr>
                      <w:rFonts w:hint="eastAsia"/>
                      <w:color w:val="auto"/>
                      <w:spacing w:val="-11"/>
                      <w:sz w:val="18"/>
                      <w:szCs w:val="18"/>
                      <w:highlight w:val="none"/>
                    </w:rPr>
                    <w:t>条</w:t>
                  </w:r>
                </w:p>
              </w:tc>
              <w:tc>
                <w:tcPr>
                  <w:tcW w:w="2490" w:type="dxa"/>
                  <w:tcBorders>
                    <w:tl2br w:val="nil"/>
                    <w:tr2bl w:val="nil"/>
                  </w:tcBorders>
                  <w:shd w:val="clear" w:color="auto" w:fill="auto"/>
                  <w:vAlign w:val="center"/>
                </w:tcPr>
                <w:p w14:paraId="3B2D5DC8">
                  <w:pPr>
                    <w:jc w:val="center"/>
                    <w:rPr>
                      <w:rFonts w:hint="default" w:ascii="Times New Roman" w:hAnsi="Times New Roman" w:cs="Times New Roman"/>
                      <w:color w:val="auto"/>
                      <w:spacing w:val="-11"/>
                      <w:sz w:val="18"/>
                      <w:szCs w:val="18"/>
                      <w:highlight w:val="none"/>
                    </w:rPr>
                  </w:pPr>
                  <w:r>
                    <w:rPr>
                      <w:rFonts w:hint="eastAsia"/>
                      <w:color w:val="auto"/>
                      <w:spacing w:val="-11"/>
                      <w:sz w:val="18"/>
                      <w:szCs w:val="18"/>
                      <w:highlight w:val="none"/>
                      <w:lang w:val="en-US" w:eastAsia="zh-CN"/>
                    </w:rPr>
                    <w:t>851</w:t>
                  </w:r>
                  <w:r>
                    <w:rPr>
                      <w:rFonts w:hint="eastAsia"/>
                      <w:color w:val="auto"/>
                      <w:spacing w:val="-11"/>
                      <w:sz w:val="18"/>
                      <w:szCs w:val="18"/>
                      <w:highlight w:val="none"/>
                    </w:rPr>
                    <w:t>条</w:t>
                  </w:r>
                </w:p>
              </w:tc>
            </w:tr>
            <w:tr w14:paraId="3376514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534" w:type="dxa"/>
                  <w:tcBorders>
                    <w:tl2br w:val="nil"/>
                    <w:tr2bl w:val="nil"/>
                  </w:tcBorders>
                  <w:shd w:val="clear" w:color="auto" w:fill="auto"/>
                  <w:vAlign w:val="center"/>
                </w:tcPr>
                <w:p w14:paraId="0343CC49">
                  <w:pPr>
                    <w:jc w:val="center"/>
                    <w:rPr>
                      <w:rFonts w:hint="eastAsia" w:ascii="Times New Roman" w:hAnsi="Times New Roman" w:eastAsia="宋体" w:cs="Times New Roman"/>
                      <w:color w:val="auto"/>
                      <w:spacing w:val="-11"/>
                      <w:kern w:val="2"/>
                      <w:sz w:val="18"/>
                      <w:szCs w:val="18"/>
                      <w:highlight w:val="none"/>
                      <w:lang w:val="en-US" w:eastAsia="zh-CN" w:bidi="ar-SA"/>
                    </w:rPr>
                  </w:pPr>
                  <w:r>
                    <w:rPr>
                      <w:rFonts w:hint="eastAsia"/>
                      <w:color w:val="auto"/>
                      <w:spacing w:val="-11"/>
                      <w:sz w:val="18"/>
                      <w:szCs w:val="18"/>
                      <w:highlight w:val="none"/>
                    </w:rPr>
                    <w:t>7</w:t>
                  </w:r>
                </w:p>
              </w:tc>
              <w:tc>
                <w:tcPr>
                  <w:tcW w:w="2489" w:type="dxa"/>
                  <w:tcBorders>
                    <w:tl2br w:val="nil"/>
                    <w:tr2bl w:val="nil"/>
                  </w:tcBorders>
                  <w:shd w:val="clear" w:color="auto" w:fill="auto"/>
                  <w:vAlign w:val="center"/>
                </w:tcPr>
                <w:p w14:paraId="14300CAC">
                  <w:pPr>
                    <w:jc w:val="center"/>
                    <w:rPr>
                      <w:rFonts w:hint="eastAsia" w:ascii="Times New Roman" w:hAnsi="Times New Roman" w:eastAsia="宋体" w:cs="Times New Roman"/>
                      <w:color w:val="auto"/>
                      <w:spacing w:val="-11"/>
                      <w:kern w:val="2"/>
                      <w:sz w:val="18"/>
                      <w:szCs w:val="18"/>
                      <w:highlight w:val="none"/>
                      <w:lang w:val="en-US" w:eastAsia="zh-CN" w:bidi="ar-SA"/>
                    </w:rPr>
                  </w:pPr>
                  <w:r>
                    <w:rPr>
                      <w:rFonts w:hint="eastAsia"/>
                      <w:color w:val="auto"/>
                      <w:spacing w:val="-11"/>
                      <w:sz w:val="18"/>
                      <w:szCs w:val="18"/>
                      <w:highlight w:val="none"/>
                    </w:rPr>
                    <w:t>运行温度</w:t>
                  </w:r>
                </w:p>
              </w:tc>
              <w:tc>
                <w:tcPr>
                  <w:tcW w:w="2489" w:type="dxa"/>
                  <w:tcBorders>
                    <w:tl2br w:val="nil"/>
                    <w:tr2bl w:val="nil"/>
                  </w:tcBorders>
                  <w:shd w:val="clear" w:color="auto" w:fill="auto"/>
                  <w:vAlign w:val="center"/>
                </w:tcPr>
                <w:p w14:paraId="23A7BB02">
                  <w:pPr>
                    <w:jc w:val="center"/>
                    <w:rPr>
                      <w:rFonts w:hint="eastAsia" w:ascii="Times New Roman" w:hAnsi="Times New Roman" w:eastAsia="宋体" w:cs="Times New Roman"/>
                      <w:color w:val="auto"/>
                      <w:spacing w:val="-11"/>
                      <w:kern w:val="2"/>
                      <w:sz w:val="18"/>
                      <w:szCs w:val="18"/>
                      <w:highlight w:val="none"/>
                      <w:lang w:val="en-US" w:eastAsia="zh-CN" w:bidi="ar-SA"/>
                    </w:rPr>
                  </w:pPr>
                  <w:r>
                    <w:rPr>
                      <w:rFonts w:hint="eastAsia"/>
                      <w:color w:val="auto"/>
                      <w:spacing w:val="-11"/>
                      <w:sz w:val="18"/>
                      <w:szCs w:val="18"/>
                      <w:highlight w:val="none"/>
                    </w:rPr>
                    <w:t>120℃</w:t>
                  </w:r>
                </w:p>
              </w:tc>
              <w:tc>
                <w:tcPr>
                  <w:tcW w:w="2490" w:type="dxa"/>
                  <w:tcBorders>
                    <w:tl2br w:val="nil"/>
                    <w:tr2bl w:val="nil"/>
                  </w:tcBorders>
                  <w:shd w:val="clear" w:color="auto" w:fill="auto"/>
                  <w:vAlign w:val="center"/>
                </w:tcPr>
                <w:p w14:paraId="4651C44D">
                  <w:pPr>
                    <w:jc w:val="center"/>
                    <w:rPr>
                      <w:rFonts w:hint="eastAsia" w:ascii="Times New Roman" w:hAnsi="Times New Roman" w:eastAsia="宋体" w:cs="Times New Roman"/>
                      <w:color w:val="auto"/>
                      <w:spacing w:val="-11"/>
                      <w:kern w:val="2"/>
                      <w:sz w:val="18"/>
                      <w:szCs w:val="18"/>
                      <w:highlight w:val="none"/>
                      <w:lang w:val="en-US" w:eastAsia="zh-CN" w:bidi="ar-SA"/>
                    </w:rPr>
                  </w:pPr>
                  <w:r>
                    <w:rPr>
                      <w:rFonts w:hint="eastAsia"/>
                      <w:color w:val="auto"/>
                      <w:spacing w:val="-11"/>
                      <w:sz w:val="18"/>
                      <w:szCs w:val="18"/>
                      <w:highlight w:val="none"/>
                    </w:rPr>
                    <w:t>120℃</w:t>
                  </w:r>
                </w:p>
              </w:tc>
            </w:tr>
            <w:tr w14:paraId="49EC76A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534" w:type="dxa"/>
                  <w:tcBorders>
                    <w:tl2br w:val="nil"/>
                    <w:tr2bl w:val="nil"/>
                  </w:tcBorders>
                  <w:shd w:val="clear" w:color="auto" w:fill="auto"/>
                  <w:vAlign w:val="center"/>
                </w:tcPr>
                <w:p w14:paraId="60C088E0">
                  <w:pPr>
                    <w:jc w:val="center"/>
                    <w:rPr>
                      <w:rFonts w:hint="eastAsia" w:ascii="Times New Roman" w:hAnsi="Times New Roman" w:eastAsia="宋体" w:cs="Times New Roman"/>
                      <w:color w:val="auto"/>
                      <w:spacing w:val="-11"/>
                      <w:kern w:val="2"/>
                      <w:sz w:val="18"/>
                      <w:szCs w:val="18"/>
                      <w:highlight w:val="none"/>
                      <w:lang w:val="en-US" w:eastAsia="zh-CN" w:bidi="ar-SA"/>
                    </w:rPr>
                  </w:pPr>
                  <w:r>
                    <w:rPr>
                      <w:rFonts w:hint="eastAsia"/>
                      <w:color w:val="auto"/>
                      <w:spacing w:val="-11"/>
                      <w:sz w:val="18"/>
                      <w:szCs w:val="18"/>
                      <w:highlight w:val="none"/>
                    </w:rPr>
                    <w:t>8</w:t>
                  </w:r>
                </w:p>
              </w:tc>
              <w:tc>
                <w:tcPr>
                  <w:tcW w:w="2489" w:type="dxa"/>
                  <w:tcBorders>
                    <w:tl2br w:val="nil"/>
                    <w:tr2bl w:val="nil"/>
                  </w:tcBorders>
                  <w:shd w:val="clear" w:color="auto" w:fill="auto"/>
                  <w:vAlign w:val="center"/>
                </w:tcPr>
                <w:p w14:paraId="05924B5E">
                  <w:pPr>
                    <w:jc w:val="center"/>
                    <w:rPr>
                      <w:rFonts w:hint="eastAsia" w:ascii="Times New Roman" w:hAnsi="Times New Roman" w:eastAsia="宋体" w:cs="Times New Roman"/>
                      <w:color w:val="auto"/>
                      <w:spacing w:val="-11"/>
                      <w:kern w:val="2"/>
                      <w:sz w:val="18"/>
                      <w:szCs w:val="18"/>
                      <w:highlight w:val="none"/>
                      <w:lang w:val="en-US" w:eastAsia="zh-CN" w:bidi="ar-SA"/>
                    </w:rPr>
                  </w:pPr>
                  <w:r>
                    <w:rPr>
                      <w:rFonts w:hint="eastAsia"/>
                      <w:color w:val="auto"/>
                      <w:spacing w:val="-11"/>
                      <w:sz w:val="18"/>
                      <w:szCs w:val="18"/>
                      <w:highlight w:val="none"/>
                    </w:rPr>
                    <w:t>喷吹压力</w:t>
                  </w:r>
                </w:p>
              </w:tc>
              <w:tc>
                <w:tcPr>
                  <w:tcW w:w="2489" w:type="dxa"/>
                  <w:tcBorders>
                    <w:tl2br w:val="nil"/>
                    <w:tr2bl w:val="nil"/>
                  </w:tcBorders>
                  <w:shd w:val="clear" w:color="auto" w:fill="auto"/>
                  <w:vAlign w:val="center"/>
                </w:tcPr>
                <w:p w14:paraId="00D9C61D">
                  <w:pPr>
                    <w:jc w:val="center"/>
                    <w:rPr>
                      <w:rFonts w:hint="eastAsia" w:ascii="Times New Roman" w:hAnsi="Times New Roman" w:eastAsia="宋体" w:cs="Times New Roman"/>
                      <w:color w:val="auto"/>
                      <w:spacing w:val="-11"/>
                      <w:kern w:val="2"/>
                      <w:sz w:val="18"/>
                      <w:szCs w:val="18"/>
                      <w:highlight w:val="none"/>
                      <w:lang w:val="en-US" w:eastAsia="zh-CN" w:bidi="ar-SA"/>
                    </w:rPr>
                  </w:pPr>
                  <w:r>
                    <w:rPr>
                      <w:rFonts w:hint="eastAsia"/>
                      <w:color w:val="auto"/>
                      <w:spacing w:val="-11"/>
                      <w:sz w:val="18"/>
                      <w:szCs w:val="18"/>
                      <w:highlight w:val="none"/>
                    </w:rPr>
                    <w:t>0.25～0.45Mpa</w:t>
                  </w:r>
                </w:p>
              </w:tc>
              <w:tc>
                <w:tcPr>
                  <w:tcW w:w="2490" w:type="dxa"/>
                  <w:tcBorders>
                    <w:tl2br w:val="nil"/>
                    <w:tr2bl w:val="nil"/>
                  </w:tcBorders>
                  <w:shd w:val="clear" w:color="auto" w:fill="auto"/>
                  <w:vAlign w:val="center"/>
                </w:tcPr>
                <w:p w14:paraId="2292354B">
                  <w:pPr>
                    <w:jc w:val="center"/>
                    <w:rPr>
                      <w:rFonts w:hint="eastAsia" w:ascii="Times New Roman" w:hAnsi="Times New Roman" w:eastAsia="宋体" w:cs="Times New Roman"/>
                      <w:color w:val="auto"/>
                      <w:spacing w:val="-11"/>
                      <w:kern w:val="2"/>
                      <w:sz w:val="18"/>
                      <w:szCs w:val="18"/>
                      <w:highlight w:val="none"/>
                      <w:lang w:val="en-US" w:eastAsia="zh-CN" w:bidi="ar-SA"/>
                    </w:rPr>
                  </w:pPr>
                  <w:r>
                    <w:rPr>
                      <w:rFonts w:hint="eastAsia"/>
                      <w:color w:val="auto"/>
                      <w:spacing w:val="-11"/>
                      <w:sz w:val="18"/>
                      <w:szCs w:val="18"/>
                      <w:highlight w:val="none"/>
                    </w:rPr>
                    <w:t>0.25～0.45Mpa</w:t>
                  </w:r>
                </w:p>
              </w:tc>
            </w:tr>
            <w:tr w14:paraId="22EB648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534" w:type="dxa"/>
                  <w:tcBorders>
                    <w:tl2br w:val="nil"/>
                    <w:tr2bl w:val="nil"/>
                  </w:tcBorders>
                  <w:shd w:val="clear" w:color="auto" w:fill="auto"/>
                  <w:vAlign w:val="center"/>
                </w:tcPr>
                <w:p w14:paraId="4F2B730E">
                  <w:pPr>
                    <w:jc w:val="center"/>
                    <w:rPr>
                      <w:rFonts w:hint="eastAsia" w:ascii="Times New Roman" w:hAnsi="Times New Roman" w:eastAsia="宋体" w:cs="Times New Roman"/>
                      <w:color w:val="auto"/>
                      <w:spacing w:val="-11"/>
                      <w:kern w:val="2"/>
                      <w:sz w:val="18"/>
                      <w:szCs w:val="18"/>
                      <w:highlight w:val="none"/>
                      <w:lang w:val="en-US" w:eastAsia="zh-CN" w:bidi="ar-SA"/>
                    </w:rPr>
                  </w:pPr>
                  <w:r>
                    <w:rPr>
                      <w:rFonts w:hint="eastAsia"/>
                      <w:color w:val="auto"/>
                      <w:spacing w:val="-11"/>
                      <w:sz w:val="18"/>
                      <w:szCs w:val="18"/>
                      <w:highlight w:val="none"/>
                    </w:rPr>
                    <w:t>9</w:t>
                  </w:r>
                </w:p>
              </w:tc>
              <w:tc>
                <w:tcPr>
                  <w:tcW w:w="2489" w:type="dxa"/>
                  <w:tcBorders>
                    <w:tl2br w:val="nil"/>
                    <w:tr2bl w:val="nil"/>
                  </w:tcBorders>
                  <w:shd w:val="clear" w:color="auto" w:fill="auto"/>
                  <w:vAlign w:val="center"/>
                </w:tcPr>
                <w:p w14:paraId="79C76680">
                  <w:pPr>
                    <w:jc w:val="center"/>
                    <w:rPr>
                      <w:rFonts w:hint="eastAsia" w:ascii="Times New Roman" w:hAnsi="Times New Roman" w:eastAsia="宋体" w:cs="Times New Roman"/>
                      <w:color w:val="auto"/>
                      <w:spacing w:val="-11"/>
                      <w:kern w:val="2"/>
                      <w:sz w:val="18"/>
                      <w:szCs w:val="18"/>
                      <w:highlight w:val="none"/>
                      <w:lang w:val="en-US" w:eastAsia="zh-CN" w:bidi="ar-SA"/>
                    </w:rPr>
                  </w:pPr>
                  <w:r>
                    <w:rPr>
                      <w:rFonts w:hint="eastAsia"/>
                      <w:color w:val="auto"/>
                      <w:spacing w:val="-11"/>
                      <w:sz w:val="18"/>
                      <w:szCs w:val="18"/>
                      <w:highlight w:val="none"/>
                    </w:rPr>
                    <w:t>除尘器设计效率</w:t>
                  </w:r>
                </w:p>
              </w:tc>
              <w:tc>
                <w:tcPr>
                  <w:tcW w:w="2489" w:type="dxa"/>
                  <w:tcBorders>
                    <w:tl2br w:val="nil"/>
                    <w:tr2bl w:val="nil"/>
                  </w:tcBorders>
                  <w:shd w:val="clear" w:color="auto" w:fill="auto"/>
                  <w:vAlign w:val="center"/>
                </w:tcPr>
                <w:p w14:paraId="7566EADD">
                  <w:pPr>
                    <w:jc w:val="center"/>
                    <w:rPr>
                      <w:rFonts w:hint="eastAsia" w:ascii="Times New Roman" w:hAnsi="Times New Roman" w:eastAsia="宋体" w:cs="Times New Roman"/>
                      <w:color w:val="auto"/>
                      <w:spacing w:val="-11"/>
                      <w:kern w:val="2"/>
                      <w:sz w:val="18"/>
                      <w:szCs w:val="18"/>
                      <w:highlight w:val="none"/>
                      <w:lang w:val="en-US" w:eastAsia="zh-CN" w:bidi="ar-SA"/>
                    </w:rPr>
                  </w:pPr>
                  <w:r>
                    <w:rPr>
                      <w:rFonts w:hint="eastAsia"/>
                      <w:color w:val="auto"/>
                      <w:spacing w:val="-11"/>
                      <w:sz w:val="18"/>
                      <w:szCs w:val="18"/>
                      <w:highlight w:val="none"/>
                    </w:rPr>
                    <w:t>99%</w:t>
                  </w:r>
                </w:p>
              </w:tc>
              <w:tc>
                <w:tcPr>
                  <w:tcW w:w="2490" w:type="dxa"/>
                  <w:tcBorders>
                    <w:tl2br w:val="nil"/>
                    <w:tr2bl w:val="nil"/>
                  </w:tcBorders>
                  <w:shd w:val="clear" w:color="auto" w:fill="auto"/>
                  <w:vAlign w:val="center"/>
                </w:tcPr>
                <w:p w14:paraId="52B71313">
                  <w:pPr>
                    <w:jc w:val="center"/>
                    <w:rPr>
                      <w:rFonts w:hint="eastAsia" w:ascii="Times New Roman" w:hAnsi="Times New Roman" w:eastAsia="宋体" w:cs="Times New Roman"/>
                      <w:color w:val="auto"/>
                      <w:spacing w:val="-11"/>
                      <w:kern w:val="2"/>
                      <w:sz w:val="18"/>
                      <w:szCs w:val="18"/>
                      <w:highlight w:val="none"/>
                      <w:lang w:val="en-US" w:eastAsia="zh-CN" w:bidi="ar-SA"/>
                    </w:rPr>
                  </w:pPr>
                  <w:r>
                    <w:rPr>
                      <w:rFonts w:hint="eastAsia"/>
                      <w:color w:val="auto"/>
                      <w:spacing w:val="-11"/>
                      <w:sz w:val="18"/>
                      <w:szCs w:val="18"/>
                      <w:highlight w:val="none"/>
                    </w:rPr>
                    <w:t>99%</w:t>
                  </w:r>
                </w:p>
              </w:tc>
            </w:tr>
            <w:tr w14:paraId="3422E09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534" w:type="dxa"/>
                  <w:tcBorders>
                    <w:tl2br w:val="nil"/>
                    <w:tr2bl w:val="nil"/>
                  </w:tcBorders>
                  <w:shd w:val="clear" w:color="auto" w:fill="auto"/>
                  <w:vAlign w:val="center"/>
                </w:tcPr>
                <w:p w14:paraId="2E28401E">
                  <w:pPr>
                    <w:jc w:val="center"/>
                    <w:rPr>
                      <w:rFonts w:hint="eastAsia" w:ascii="Times New Roman" w:hAnsi="Times New Roman" w:eastAsia="宋体" w:cs="Times New Roman"/>
                      <w:color w:val="auto"/>
                      <w:spacing w:val="-11"/>
                      <w:kern w:val="2"/>
                      <w:sz w:val="18"/>
                      <w:szCs w:val="18"/>
                      <w:highlight w:val="none"/>
                      <w:lang w:val="en-US" w:eastAsia="zh-CN" w:bidi="ar-SA"/>
                    </w:rPr>
                  </w:pPr>
                  <w:r>
                    <w:rPr>
                      <w:rFonts w:hint="eastAsia"/>
                      <w:color w:val="auto"/>
                      <w:spacing w:val="-11"/>
                      <w:sz w:val="18"/>
                      <w:szCs w:val="18"/>
                      <w:highlight w:val="none"/>
                    </w:rPr>
                    <w:t>10</w:t>
                  </w:r>
                </w:p>
              </w:tc>
              <w:tc>
                <w:tcPr>
                  <w:tcW w:w="2489" w:type="dxa"/>
                  <w:tcBorders>
                    <w:tl2br w:val="nil"/>
                    <w:tr2bl w:val="nil"/>
                  </w:tcBorders>
                  <w:shd w:val="clear" w:color="auto" w:fill="auto"/>
                  <w:vAlign w:val="center"/>
                </w:tcPr>
                <w:p w14:paraId="3AB457E5">
                  <w:pPr>
                    <w:jc w:val="center"/>
                    <w:rPr>
                      <w:rFonts w:hint="eastAsia" w:ascii="Times New Roman" w:hAnsi="Times New Roman" w:eastAsia="宋体" w:cs="Times New Roman"/>
                      <w:color w:val="auto"/>
                      <w:spacing w:val="-11"/>
                      <w:kern w:val="2"/>
                      <w:sz w:val="18"/>
                      <w:szCs w:val="18"/>
                      <w:highlight w:val="none"/>
                      <w:lang w:val="en-US" w:eastAsia="zh-CN" w:bidi="ar-SA"/>
                    </w:rPr>
                  </w:pPr>
                  <w:r>
                    <w:rPr>
                      <w:rFonts w:hint="eastAsia"/>
                      <w:color w:val="auto"/>
                      <w:spacing w:val="-11"/>
                      <w:sz w:val="18"/>
                      <w:szCs w:val="18"/>
                      <w:highlight w:val="none"/>
                    </w:rPr>
                    <w:t>保证效率</w:t>
                  </w:r>
                </w:p>
              </w:tc>
              <w:tc>
                <w:tcPr>
                  <w:tcW w:w="2489" w:type="dxa"/>
                  <w:tcBorders>
                    <w:tl2br w:val="nil"/>
                    <w:tr2bl w:val="nil"/>
                  </w:tcBorders>
                  <w:shd w:val="clear" w:color="auto" w:fill="auto"/>
                  <w:vAlign w:val="center"/>
                </w:tcPr>
                <w:p w14:paraId="35796D3B">
                  <w:pPr>
                    <w:jc w:val="center"/>
                    <w:rPr>
                      <w:rFonts w:hint="eastAsia" w:ascii="Times New Roman" w:hAnsi="Times New Roman" w:eastAsia="宋体" w:cs="Times New Roman"/>
                      <w:color w:val="auto"/>
                      <w:spacing w:val="-11"/>
                      <w:kern w:val="2"/>
                      <w:sz w:val="18"/>
                      <w:szCs w:val="18"/>
                      <w:highlight w:val="none"/>
                      <w:lang w:val="en-US" w:eastAsia="zh-CN" w:bidi="ar-SA"/>
                    </w:rPr>
                  </w:pPr>
                  <w:r>
                    <w:rPr>
                      <w:rFonts w:hint="eastAsia"/>
                      <w:color w:val="auto"/>
                      <w:spacing w:val="-11"/>
                      <w:sz w:val="18"/>
                      <w:szCs w:val="18"/>
                      <w:highlight w:val="none"/>
                    </w:rPr>
                    <w:t>99%</w:t>
                  </w:r>
                </w:p>
              </w:tc>
              <w:tc>
                <w:tcPr>
                  <w:tcW w:w="2490" w:type="dxa"/>
                  <w:tcBorders>
                    <w:tl2br w:val="nil"/>
                    <w:tr2bl w:val="nil"/>
                  </w:tcBorders>
                  <w:shd w:val="clear" w:color="auto" w:fill="auto"/>
                  <w:vAlign w:val="center"/>
                </w:tcPr>
                <w:p w14:paraId="64E7A67F">
                  <w:pPr>
                    <w:jc w:val="center"/>
                    <w:rPr>
                      <w:rFonts w:hint="eastAsia" w:ascii="Times New Roman" w:hAnsi="Times New Roman" w:eastAsia="宋体" w:cs="Times New Roman"/>
                      <w:color w:val="auto"/>
                      <w:spacing w:val="-11"/>
                      <w:kern w:val="2"/>
                      <w:sz w:val="18"/>
                      <w:szCs w:val="18"/>
                      <w:highlight w:val="none"/>
                      <w:lang w:val="en-US" w:eastAsia="zh-CN" w:bidi="ar-SA"/>
                    </w:rPr>
                  </w:pPr>
                  <w:r>
                    <w:rPr>
                      <w:rFonts w:hint="eastAsia"/>
                      <w:color w:val="auto"/>
                      <w:spacing w:val="-11"/>
                      <w:sz w:val="18"/>
                      <w:szCs w:val="18"/>
                      <w:highlight w:val="none"/>
                    </w:rPr>
                    <w:t>99%</w:t>
                  </w:r>
                </w:p>
              </w:tc>
            </w:tr>
            <w:tr w14:paraId="70CD1AA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534" w:type="dxa"/>
                  <w:tcBorders>
                    <w:tl2br w:val="nil"/>
                    <w:tr2bl w:val="nil"/>
                  </w:tcBorders>
                  <w:shd w:val="clear" w:color="auto" w:fill="auto"/>
                  <w:vAlign w:val="center"/>
                </w:tcPr>
                <w:p w14:paraId="616BEA06">
                  <w:pPr>
                    <w:jc w:val="center"/>
                    <w:rPr>
                      <w:rFonts w:hint="eastAsia" w:ascii="Times New Roman" w:hAnsi="Times New Roman" w:eastAsia="宋体" w:cs="Times New Roman"/>
                      <w:color w:val="auto"/>
                      <w:spacing w:val="-11"/>
                      <w:kern w:val="2"/>
                      <w:sz w:val="18"/>
                      <w:szCs w:val="18"/>
                      <w:highlight w:val="none"/>
                      <w:lang w:val="en-US" w:eastAsia="zh-CN" w:bidi="ar-SA"/>
                    </w:rPr>
                  </w:pPr>
                  <w:r>
                    <w:rPr>
                      <w:rFonts w:hint="eastAsia"/>
                      <w:color w:val="auto"/>
                      <w:spacing w:val="-11"/>
                      <w:sz w:val="18"/>
                      <w:szCs w:val="18"/>
                      <w:highlight w:val="none"/>
                    </w:rPr>
                    <w:t>11</w:t>
                  </w:r>
                </w:p>
              </w:tc>
              <w:tc>
                <w:tcPr>
                  <w:tcW w:w="2489" w:type="dxa"/>
                  <w:tcBorders>
                    <w:tl2br w:val="nil"/>
                    <w:tr2bl w:val="nil"/>
                  </w:tcBorders>
                  <w:shd w:val="clear" w:color="auto" w:fill="auto"/>
                  <w:vAlign w:val="center"/>
                </w:tcPr>
                <w:p w14:paraId="2AE6F68E">
                  <w:pPr>
                    <w:jc w:val="center"/>
                    <w:rPr>
                      <w:rFonts w:hint="eastAsia" w:ascii="Times New Roman" w:hAnsi="Times New Roman" w:eastAsia="宋体" w:cs="Times New Roman"/>
                      <w:color w:val="auto"/>
                      <w:spacing w:val="-11"/>
                      <w:kern w:val="2"/>
                      <w:sz w:val="18"/>
                      <w:szCs w:val="18"/>
                      <w:highlight w:val="none"/>
                      <w:lang w:val="en-US" w:eastAsia="zh-CN" w:bidi="ar-SA"/>
                    </w:rPr>
                  </w:pPr>
                  <w:r>
                    <w:rPr>
                      <w:rFonts w:hint="eastAsia"/>
                      <w:color w:val="auto"/>
                      <w:spacing w:val="-11"/>
                      <w:sz w:val="18"/>
                      <w:szCs w:val="18"/>
                      <w:highlight w:val="none"/>
                    </w:rPr>
                    <w:t>出口含尘浓度</w:t>
                  </w:r>
                </w:p>
              </w:tc>
              <w:tc>
                <w:tcPr>
                  <w:tcW w:w="2489" w:type="dxa"/>
                  <w:tcBorders>
                    <w:tl2br w:val="nil"/>
                    <w:tr2bl w:val="nil"/>
                  </w:tcBorders>
                  <w:shd w:val="clear" w:color="auto" w:fill="auto"/>
                  <w:vAlign w:val="center"/>
                </w:tcPr>
                <w:p w14:paraId="52D4B140">
                  <w:pPr>
                    <w:jc w:val="center"/>
                    <w:rPr>
                      <w:rFonts w:hint="eastAsia" w:ascii="Times New Roman" w:hAnsi="Times New Roman" w:eastAsia="宋体" w:cs="Times New Roman"/>
                      <w:color w:val="auto"/>
                      <w:spacing w:val="-11"/>
                      <w:kern w:val="2"/>
                      <w:sz w:val="18"/>
                      <w:szCs w:val="18"/>
                      <w:highlight w:val="none"/>
                      <w:lang w:val="en-US" w:eastAsia="zh-CN" w:bidi="ar-SA"/>
                    </w:rPr>
                  </w:pPr>
                  <w:r>
                    <w:rPr>
                      <w:rFonts w:hint="eastAsia"/>
                      <w:color w:val="auto"/>
                      <w:spacing w:val="-11"/>
                      <w:sz w:val="18"/>
                      <w:szCs w:val="18"/>
                      <w:highlight w:val="none"/>
                    </w:rPr>
                    <w:t>≤10mg/m</w:t>
                  </w:r>
                  <w:r>
                    <w:rPr>
                      <w:rFonts w:hint="eastAsia"/>
                      <w:color w:val="auto"/>
                      <w:spacing w:val="-11"/>
                      <w:sz w:val="18"/>
                      <w:szCs w:val="18"/>
                      <w:highlight w:val="none"/>
                      <w:vertAlign w:val="superscript"/>
                    </w:rPr>
                    <w:t>3</w:t>
                  </w:r>
                </w:p>
              </w:tc>
              <w:tc>
                <w:tcPr>
                  <w:tcW w:w="2490" w:type="dxa"/>
                  <w:tcBorders>
                    <w:tl2br w:val="nil"/>
                    <w:tr2bl w:val="nil"/>
                  </w:tcBorders>
                  <w:shd w:val="clear" w:color="auto" w:fill="auto"/>
                  <w:vAlign w:val="center"/>
                </w:tcPr>
                <w:p w14:paraId="5907EB61">
                  <w:pPr>
                    <w:jc w:val="center"/>
                    <w:rPr>
                      <w:rFonts w:hint="eastAsia" w:ascii="Times New Roman" w:hAnsi="Times New Roman" w:eastAsia="宋体" w:cs="Times New Roman"/>
                      <w:color w:val="auto"/>
                      <w:spacing w:val="-11"/>
                      <w:kern w:val="2"/>
                      <w:sz w:val="18"/>
                      <w:szCs w:val="18"/>
                      <w:highlight w:val="none"/>
                      <w:lang w:val="en-US" w:eastAsia="zh-CN" w:bidi="ar-SA"/>
                    </w:rPr>
                  </w:pPr>
                  <w:r>
                    <w:rPr>
                      <w:rFonts w:hint="eastAsia"/>
                      <w:color w:val="auto"/>
                      <w:spacing w:val="-11"/>
                      <w:sz w:val="18"/>
                      <w:szCs w:val="18"/>
                      <w:highlight w:val="none"/>
                    </w:rPr>
                    <w:t>≤10mg/m</w:t>
                  </w:r>
                  <w:r>
                    <w:rPr>
                      <w:rFonts w:hint="eastAsia"/>
                      <w:color w:val="auto"/>
                      <w:spacing w:val="-11"/>
                      <w:sz w:val="18"/>
                      <w:szCs w:val="18"/>
                      <w:highlight w:val="none"/>
                      <w:vertAlign w:val="superscript"/>
                    </w:rPr>
                    <w:t>3</w:t>
                  </w:r>
                </w:p>
              </w:tc>
            </w:tr>
            <w:tr w14:paraId="1A8520E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534" w:type="dxa"/>
                  <w:tcBorders>
                    <w:tl2br w:val="nil"/>
                    <w:tr2bl w:val="nil"/>
                  </w:tcBorders>
                  <w:shd w:val="clear" w:color="auto" w:fill="auto"/>
                  <w:vAlign w:val="center"/>
                </w:tcPr>
                <w:p w14:paraId="4EF0316B">
                  <w:pPr>
                    <w:jc w:val="center"/>
                    <w:rPr>
                      <w:rFonts w:hint="eastAsia" w:ascii="Times New Roman" w:hAnsi="Times New Roman" w:eastAsia="宋体" w:cs="Times New Roman"/>
                      <w:color w:val="auto"/>
                      <w:spacing w:val="-11"/>
                      <w:kern w:val="2"/>
                      <w:sz w:val="18"/>
                      <w:szCs w:val="18"/>
                      <w:highlight w:val="none"/>
                      <w:lang w:val="en-US" w:eastAsia="zh-CN" w:bidi="ar-SA"/>
                    </w:rPr>
                  </w:pPr>
                  <w:r>
                    <w:rPr>
                      <w:rFonts w:hint="eastAsia"/>
                      <w:color w:val="auto"/>
                      <w:spacing w:val="-11"/>
                      <w:sz w:val="18"/>
                      <w:szCs w:val="18"/>
                      <w:highlight w:val="none"/>
                    </w:rPr>
                    <w:t>12</w:t>
                  </w:r>
                </w:p>
              </w:tc>
              <w:tc>
                <w:tcPr>
                  <w:tcW w:w="2489" w:type="dxa"/>
                  <w:tcBorders>
                    <w:tl2br w:val="nil"/>
                    <w:tr2bl w:val="nil"/>
                  </w:tcBorders>
                  <w:shd w:val="clear" w:color="auto" w:fill="auto"/>
                  <w:vAlign w:val="center"/>
                </w:tcPr>
                <w:p w14:paraId="6B9CADD2">
                  <w:pPr>
                    <w:jc w:val="center"/>
                    <w:rPr>
                      <w:rFonts w:hint="eastAsia" w:ascii="Times New Roman" w:hAnsi="Times New Roman" w:eastAsia="宋体" w:cs="Times New Roman"/>
                      <w:color w:val="auto"/>
                      <w:spacing w:val="-11"/>
                      <w:kern w:val="2"/>
                      <w:sz w:val="18"/>
                      <w:szCs w:val="18"/>
                      <w:highlight w:val="none"/>
                      <w:lang w:val="en-US" w:eastAsia="zh-CN" w:bidi="ar-SA"/>
                    </w:rPr>
                  </w:pPr>
                  <w:r>
                    <w:rPr>
                      <w:rFonts w:hint="eastAsia"/>
                      <w:color w:val="auto"/>
                      <w:spacing w:val="-11"/>
                      <w:sz w:val="18"/>
                      <w:szCs w:val="18"/>
                      <w:highlight w:val="none"/>
                    </w:rPr>
                    <w:t>清灰方式</w:t>
                  </w:r>
                </w:p>
              </w:tc>
              <w:tc>
                <w:tcPr>
                  <w:tcW w:w="2489" w:type="dxa"/>
                  <w:tcBorders>
                    <w:tl2br w:val="nil"/>
                    <w:tr2bl w:val="nil"/>
                  </w:tcBorders>
                  <w:shd w:val="clear" w:color="auto" w:fill="auto"/>
                  <w:vAlign w:val="center"/>
                </w:tcPr>
                <w:p w14:paraId="73F1663B">
                  <w:pPr>
                    <w:jc w:val="center"/>
                    <w:rPr>
                      <w:rFonts w:hint="eastAsia" w:ascii="Times New Roman" w:hAnsi="Times New Roman" w:eastAsia="宋体" w:cs="Times New Roman"/>
                      <w:color w:val="auto"/>
                      <w:spacing w:val="-11"/>
                      <w:kern w:val="2"/>
                      <w:sz w:val="18"/>
                      <w:szCs w:val="18"/>
                      <w:highlight w:val="none"/>
                      <w:lang w:val="en-US" w:eastAsia="zh-CN" w:bidi="ar-SA"/>
                    </w:rPr>
                  </w:pPr>
                  <w:r>
                    <w:rPr>
                      <w:rFonts w:hint="eastAsia"/>
                      <w:color w:val="auto"/>
                      <w:spacing w:val="-11"/>
                      <w:sz w:val="18"/>
                      <w:szCs w:val="18"/>
                      <w:highlight w:val="none"/>
                    </w:rPr>
                    <w:t>低压脉冲清灰</w:t>
                  </w:r>
                </w:p>
              </w:tc>
              <w:tc>
                <w:tcPr>
                  <w:tcW w:w="2490" w:type="dxa"/>
                  <w:tcBorders>
                    <w:tl2br w:val="nil"/>
                    <w:tr2bl w:val="nil"/>
                  </w:tcBorders>
                  <w:shd w:val="clear" w:color="auto" w:fill="auto"/>
                  <w:vAlign w:val="center"/>
                </w:tcPr>
                <w:p w14:paraId="36FB547E">
                  <w:pPr>
                    <w:jc w:val="center"/>
                    <w:rPr>
                      <w:rFonts w:hint="eastAsia" w:ascii="Times New Roman" w:hAnsi="Times New Roman" w:eastAsia="宋体" w:cs="Times New Roman"/>
                      <w:color w:val="auto"/>
                      <w:spacing w:val="-11"/>
                      <w:kern w:val="2"/>
                      <w:sz w:val="18"/>
                      <w:szCs w:val="18"/>
                      <w:highlight w:val="none"/>
                      <w:lang w:val="en-US" w:eastAsia="zh-CN" w:bidi="ar-SA"/>
                    </w:rPr>
                  </w:pPr>
                  <w:r>
                    <w:rPr>
                      <w:rFonts w:hint="eastAsia"/>
                      <w:color w:val="auto"/>
                      <w:spacing w:val="-11"/>
                      <w:sz w:val="18"/>
                      <w:szCs w:val="18"/>
                      <w:highlight w:val="none"/>
                    </w:rPr>
                    <w:t>低压脉冲清灰</w:t>
                  </w:r>
                </w:p>
              </w:tc>
            </w:tr>
            <w:tr w14:paraId="2C72527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534" w:type="dxa"/>
                  <w:tcBorders>
                    <w:tl2br w:val="nil"/>
                    <w:tr2bl w:val="nil"/>
                  </w:tcBorders>
                  <w:shd w:val="clear" w:color="auto" w:fill="auto"/>
                  <w:vAlign w:val="center"/>
                </w:tcPr>
                <w:p w14:paraId="67DFD35C">
                  <w:pPr>
                    <w:jc w:val="center"/>
                    <w:rPr>
                      <w:rFonts w:hint="default" w:ascii="Times New Roman" w:hAnsi="Times New Roman" w:eastAsia="宋体" w:cs="Times New Roman"/>
                      <w:color w:val="auto"/>
                      <w:spacing w:val="-11"/>
                      <w:kern w:val="2"/>
                      <w:sz w:val="18"/>
                      <w:szCs w:val="18"/>
                      <w:highlight w:val="none"/>
                      <w:lang w:val="en-US" w:eastAsia="zh-CN" w:bidi="ar-SA"/>
                    </w:rPr>
                  </w:pPr>
                  <w:r>
                    <w:rPr>
                      <w:rFonts w:hint="eastAsia" w:eastAsia="宋体"/>
                      <w:color w:val="auto"/>
                      <w:spacing w:val="-11"/>
                      <w:sz w:val="18"/>
                      <w:szCs w:val="18"/>
                      <w:highlight w:val="none"/>
                      <w:lang w:val="en-US" w:eastAsia="zh-CN"/>
                    </w:rPr>
                    <w:t>13</w:t>
                  </w:r>
                </w:p>
              </w:tc>
              <w:tc>
                <w:tcPr>
                  <w:tcW w:w="2489" w:type="dxa"/>
                  <w:tcBorders>
                    <w:tl2br w:val="nil"/>
                    <w:tr2bl w:val="nil"/>
                  </w:tcBorders>
                  <w:shd w:val="clear" w:color="auto" w:fill="auto"/>
                  <w:vAlign w:val="center"/>
                </w:tcPr>
                <w:p w14:paraId="77A797E0">
                  <w:pPr>
                    <w:jc w:val="center"/>
                    <w:rPr>
                      <w:rFonts w:hint="eastAsia" w:ascii="Times New Roman" w:hAnsi="Times New Roman" w:eastAsia="宋体" w:cs="Times New Roman"/>
                      <w:color w:val="auto"/>
                      <w:spacing w:val="-11"/>
                      <w:kern w:val="2"/>
                      <w:sz w:val="18"/>
                      <w:szCs w:val="18"/>
                      <w:highlight w:val="none"/>
                      <w:lang w:val="en-US" w:eastAsia="zh-CN" w:bidi="ar-SA"/>
                    </w:rPr>
                  </w:pPr>
                  <w:r>
                    <w:rPr>
                      <w:rFonts w:hint="eastAsia"/>
                      <w:color w:val="auto"/>
                      <w:spacing w:val="-11"/>
                      <w:sz w:val="18"/>
                      <w:szCs w:val="18"/>
                      <w:highlight w:val="none"/>
                    </w:rPr>
                    <w:t>漏风率</w:t>
                  </w:r>
                </w:p>
              </w:tc>
              <w:tc>
                <w:tcPr>
                  <w:tcW w:w="2489" w:type="dxa"/>
                  <w:tcBorders>
                    <w:tl2br w:val="nil"/>
                    <w:tr2bl w:val="nil"/>
                  </w:tcBorders>
                  <w:shd w:val="clear" w:color="auto" w:fill="auto"/>
                  <w:vAlign w:val="center"/>
                </w:tcPr>
                <w:p w14:paraId="6FC8F864">
                  <w:pPr>
                    <w:jc w:val="center"/>
                    <w:rPr>
                      <w:rFonts w:hint="eastAsia" w:ascii="Times New Roman" w:hAnsi="Times New Roman" w:eastAsia="宋体" w:cs="Times New Roman"/>
                      <w:color w:val="auto"/>
                      <w:spacing w:val="-11"/>
                      <w:kern w:val="2"/>
                      <w:sz w:val="18"/>
                      <w:szCs w:val="18"/>
                      <w:highlight w:val="none"/>
                      <w:lang w:val="en-US" w:eastAsia="zh-CN" w:bidi="ar-SA"/>
                    </w:rPr>
                  </w:pPr>
                  <w:r>
                    <w:rPr>
                      <w:rFonts w:hint="eastAsia"/>
                      <w:color w:val="auto"/>
                      <w:spacing w:val="-11"/>
                      <w:sz w:val="18"/>
                      <w:szCs w:val="18"/>
                      <w:highlight w:val="none"/>
                    </w:rPr>
                    <w:t>＜2%</w:t>
                  </w:r>
                </w:p>
              </w:tc>
              <w:tc>
                <w:tcPr>
                  <w:tcW w:w="2490" w:type="dxa"/>
                  <w:tcBorders>
                    <w:tl2br w:val="nil"/>
                    <w:tr2bl w:val="nil"/>
                  </w:tcBorders>
                  <w:shd w:val="clear" w:color="auto" w:fill="auto"/>
                  <w:vAlign w:val="center"/>
                </w:tcPr>
                <w:p w14:paraId="6B12EEBC">
                  <w:pPr>
                    <w:jc w:val="center"/>
                    <w:rPr>
                      <w:rFonts w:hint="eastAsia" w:ascii="Times New Roman" w:hAnsi="Times New Roman" w:eastAsia="宋体" w:cs="Times New Roman"/>
                      <w:color w:val="auto"/>
                      <w:spacing w:val="-11"/>
                      <w:kern w:val="2"/>
                      <w:sz w:val="18"/>
                      <w:szCs w:val="18"/>
                      <w:highlight w:val="none"/>
                      <w:lang w:val="en-US" w:eastAsia="zh-CN" w:bidi="ar-SA"/>
                    </w:rPr>
                  </w:pPr>
                  <w:r>
                    <w:rPr>
                      <w:rFonts w:hint="eastAsia"/>
                      <w:color w:val="auto"/>
                      <w:spacing w:val="-11"/>
                      <w:sz w:val="18"/>
                      <w:szCs w:val="18"/>
                      <w:highlight w:val="none"/>
                    </w:rPr>
                    <w:t>＜2%</w:t>
                  </w:r>
                </w:p>
              </w:tc>
            </w:tr>
          </w:tbl>
          <w:p w14:paraId="3D3A7455">
            <w:pPr>
              <w:pStyle w:val="24"/>
              <w:adjustRightInd w:val="0"/>
              <w:snapToGrid w:val="0"/>
              <w:spacing w:before="0" w:beforeAutospacing="0" w:after="0" w:afterAutospacing="0" w:line="440" w:lineRule="exact"/>
              <w:ind w:firstLine="420" w:firstLineChars="200"/>
              <w:rPr>
                <w:rFonts w:ascii="Times New Roman" w:hAnsi="Times New Roman"/>
                <w:color w:val="auto"/>
                <w:sz w:val="21"/>
                <w:szCs w:val="21"/>
              </w:rPr>
            </w:pPr>
            <w:r>
              <w:rPr>
                <w:rFonts w:hint="eastAsia" w:ascii="Times New Roman" w:hAnsi="Times New Roman"/>
                <w:color w:val="auto"/>
                <w:sz w:val="21"/>
                <w:szCs w:val="21"/>
              </w:rPr>
              <w:t>（3）污染物达标排放情况</w:t>
            </w:r>
          </w:p>
          <w:p w14:paraId="1F9A841C">
            <w:pPr>
              <w:pStyle w:val="24"/>
              <w:adjustRightInd w:val="0"/>
              <w:snapToGrid w:val="0"/>
              <w:spacing w:before="0" w:beforeAutospacing="0" w:after="0" w:afterAutospacing="0" w:line="440" w:lineRule="exact"/>
              <w:ind w:firstLine="420" w:firstLineChars="200"/>
              <w:rPr>
                <w:rFonts w:hint="eastAsia" w:ascii="Times New Roman" w:hAnsi="Times New Roman"/>
                <w:color w:val="auto"/>
                <w:sz w:val="21"/>
                <w:szCs w:val="21"/>
              </w:rPr>
            </w:pPr>
            <w:r>
              <w:rPr>
                <w:rFonts w:hint="eastAsia" w:ascii="Times New Roman" w:hAnsi="Times New Roman"/>
                <w:color w:val="auto"/>
                <w:sz w:val="21"/>
                <w:szCs w:val="21"/>
              </w:rPr>
              <w:t>拟建项目污染物达标排放情况详见下表。</w:t>
            </w:r>
          </w:p>
          <w:p w14:paraId="41341ADC">
            <w:pPr>
              <w:spacing w:line="480" w:lineRule="exact"/>
              <w:ind w:firstLine="422" w:firstLineChars="200"/>
              <w:jc w:val="center"/>
              <w:rPr>
                <w:rFonts w:hint="eastAsia"/>
                <w:b/>
                <w:snapToGrid w:val="0"/>
                <w:color w:val="auto"/>
                <w:kern w:val="0"/>
                <w:lang w:bidi="ar"/>
              </w:rPr>
            </w:pPr>
            <w:r>
              <w:rPr>
                <w:rFonts w:hint="eastAsia" w:ascii="Times New Roman" w:hAnsi="Times New Roman" w:eastAsia="宋体" w:cs="Times New Roman"/>
                <w:b/>
                <w:snapToGrid w:val="0"/>
                <w:color w:val="auto"/>
                <w:kern w:val="0"/>
                <w:highlight w:val="none"/>
                <w:lang w:val="en-US" w:eastAsia="zh-CN" w:bidi="ar"/>
              </w:rPr>
              <w:t>表</w:t>
            </w:r>
            <w:r>
              <w:rPr>
                <w:rFonts w:hint="eastAsia" w:cs="Times New Roman"/>
                <w:b/>
                <w:snapToGrid w:val="0"/>
                <w:color w:val="auto"/>
                <w:kern w:val="0"/>
                <w:highlight w:val="none"/>
                <w:lang w:val="en-US" w:eastAsia="zh-CN" w:bidi="ar"/>
              </w:rPr>
              <w:t>27</w:t>
            </w:r>
            <w:r>
              <w:rPr>
                <w:rFonts w:hint="eastAsia" w:ascii="Times New Roman" w:hAnsi="Times New Roman" w:eastAsia="宋体" w:cs="Times New Roman"/>
                <w:b/>
                <w:snapToGrid w:val="0"/>
                <w:color w:val="auto"/>
                <w:kern w:val="0"/>
                <w:highlight w:val="none"/>
                <w:lang w:bidi="ar"/>
              </w:rPr>
              <w:t xml:space="preserve"> </w:t>
            </w:r>
            <w:r>
              <w:rPr>
                <w:rFonts w:hint="eastAsia" w:ascii="Times New Roman" w:hAnsi="Times New Roman" w:eastAsia="宋体" w:cs="Times New Roman"/>
                <w:b/>
                <w:snapToGrid w:val="0"/>
                <w:color w:val="auto"/>
                <w:kern w:val="0"/>
                <w:highlight w:val="none"/>
                <w:lang w:val="en-US" w:eastAsia="zh-CN" w:bidi="ar"/>
              </w:rPr>
              <w:t>拟建项目</w:t>
            </w:r>
            <w:r>
              <w:rPr>
                <w:rFonts w:hint="eastAsia" w:ascii="Times New Roman" w:hAnsi="Times New Roman" w:eastAsia="宋体" w:cs="Times New Roman"/>
                <w:b/>
                <w:snapToGrid w:val="0"/>
                <w:color w:val="auto"/>
                <w:kern w:val="0"/>
                <w:highlight w:val="none"/>
                <w:lang w:bidi="ar"/>
              </w:rPr>
              <w:t>污染物排放情况一览表</w:t>
            </w:r>
          </w:p>
          <w:tbl>
            <w:tblPr>
              <w:tblStyle w:val="28"/>
              <w:tblW w:w="8095" w:type="dxa"/>
              <w:tblInd w:w="-79" w:type="dxa"/>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
            <w:tblGrid>
              <w:gridCol w:w="1376"/>
              <w:gridCol w:w="691"/>
              <w:gridCol w:w="817"/>
              <w:gridCol w:w="745"/>
              <w:gridCol w:w="834"/>
              <w:gridCol w:w="677"/>
              <w:gridCol w:w="955"/>
              <w:gridCol w:w="770"/>
              <w:gridCol w:w="610"/>
              <w:gridCol w:w="620"/>
            </w:tblGrid>
            <w:tr w14:paraId="618FF713">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713" w:hRule="exact"/>
              </w:trPr>
              <w:tc>
                <w:tcPr>
                  <w:tcW w:w="1376" w:type="dxa"/>
                  <w:tcBorders>
                    <w:tl2br w:val="nil"/>
                    <w:tr2bl w:val="nil"/>
                  </w:tcBorders>
                  <w:shd w:val="clear" w:color="auto" w:fill="auto"/>
                  <w:vAlign w:val="center"/>
                </w:tcPr>
                <w:p w14:paraId="1C926415">
                  <w:pPr>
                    <w:jc w:val="center"/>
                    <w:rPr>
                      <w:color w:val="auto"/>
                      <w:spacing w:val="-11"/>
                      <w:sz w:val="18"/>
                      <w:szCs w:val="18"/>
                    </w:rPr>
                  </w:pPr>
                  <w:r>
                    <w:rPr>
                      <w:rFonts w:hint="eastAsia"/>
                      <w:color w:val="auto"/>
                      <w:spacing w:val="-11"/>
                      <w:sz w:val="18"/>
                      <w:szCs w:val="18"/>
                    </w:rPr>
                    <w:t>污染源</w:t>
                  </w:r>
                </w:p>
              </w:tc>
              <w:tc>
                <w:tcPr>
                  <w:tcW w:w="691" w:type="dxa"/>
                  <w:tcBorders>
                    <w:tl2br w:val="nil"/>
                    <w:tr2bl w:val="nil"/>
                  </w:tcBorders>
                  <w:shd w:val="clear" w:color="auto" w:fill="auto"/>
                  <w:vAlign w:val="center"/>
                </w:tcPr>
                <w:p w14:paraId="04B5FAF3">
                  <w:pPr>
                    <w:jc w:val="center"/>
                    <w:rPr>
                      <w:color w:val="auto"/>
                      <w:spacing w:val="-11"/>
                      <w:sz w:val="18"/>
                      <w:szCs w:val="18"/>
                    </w:rPr>
                  </w:pPr>
                  <w:r>
                    <w:rPr>
                      <w:rFonts w:hint="eastAsia"/>
                      <w:color w:val="auto"/>
                      <w:spacing w:val="-11"/>
                      <w:sz w:val="18"/>
                      <w:szCs w:val="18"/>
                    </w:rPr>
                    <w:t>污染因子</w:t>
                  </w:r>
                </w:p>
              </w:tc>
              <w:tc>
                <w:tcPr>
                  <w:tcW w:w="817" w:type="dxa"/>
                  <w:tcBorders>
                    <w:tl2br w:val="nil"/>
                    <w:tr2bl w:val="nil"/>
                  </w:tcBorders>
                  <w:shd w:val="clear" w:color="auto" w:fill="auto"/>
                  <w:vAlign w:val="center"/>
                </w:tcPr>
                <w:p w14:paraId="0FD96E5F">
                  <w:pPr>
                    <w:jc w:val="center"/>
                    <w:rPr>
                      <w:color w:val="auto"/>
                      <w:spacing w:val="-11"/>
                      <w:sz w:val="18"/>
                      <w:szCs w:val="18"/>
                    </w:rPr>
                  </w:pPr>
                  <w:r>
                    <w:rPr>
                      <w:rFonts w:hint="eastAsia"/>
                      <w:color w:val="auto"/>
                      <w:spacing w:val="-11"/>
                      <w:sz w:val="18"/>
                      <w:szCs w:val="18"/>
                    </w:rPr>
                    <w:t>产生量</w:t>
                  </w:r>
                </w:p>
                <w:p w14:paraId="06029C12">
                  <w:pPr>
                    <w:jc w:val="center"/>
                    <w:rPr>
                      <w:color w:val="auto"/>
                      <w:spacing w:val="-11"/>
                      <w:sz w:val="18"/>
                      <w:szCs w:val="18"/>
                    </w:rPr>
                  </w:pPr>
                  <w:r>
                    <w:rPr>
                      <w:rFonts w:hint="eastAsia"/>
                      <w:color w:val="auto"/>
                      <w:spacing w:val="-11"/>
                      <w:sz w:val="18"/>
                      <w:szCs w:val="18"/>
                    </w:rPr>
                    <w:t>（t/a）</w:t>
                  </w:r>
                </w:p>
              </w:tc>
              <w:tc>
                <w:tcPr>
                  <w:tcW w:w="745" w:type="dxa"/>
                  <w:tcBorders>
                    <w:tl2br w:val="nil"/>
                    <w:tr2bl w:val="nil"/>
                  </w:tcBorders>
                  <w:shd w:val="clear" w:color="auto" w:fill="auto"/>
                  <w:vAlign w:val="center"/>
                </w:tcPr>
                <w:p w14:paraId="6355F4DA">
                  <w:pPr>
                    <w:jc w:val="center"/>
                    <w:rPr>
                      <w:color w:val="auto"/>
                      <w:spacing w:val="-11"/>
                      <w:sz w:val="18"/>
                      <w:szCs w:val="18"/>
                    </w:rPr>
                  </w:pPr>
                  <w:r>
                    <w:rPr>
                      <w:rFonts w:hint="eastAsia"/>
                      <w:color w:val="auto"/>
                      <w:spacing w:val="-11"/>
                      <w:sz w:val="18"/>
                      <w:szCs w:val="18"/>
                    </w:rPr>
                    <w:t>捕集率</w:t>
                  </w:r>
                </w:p>
                <w:p w14:paraId="575E6626">
                  <w:pPr>
                    <w:jc w:val="center"/>
                    <w:rPr>
                      <w:color w:val="auto"/>
                      <w:spacing w:val="-11"/>
                      <w:sz w:val="18"/>
                      <w:szCs w:val="18"/>
                    </w:rPr>
                  </w:pPr>
                  <w:r>
                    <w:rPr>
                      <w:rFonts w:hint="eastAsia"/>
                      <w:color w:val="auto"/>
                      <w:spacing w:val="-11"/>
                      <w:sz w:val="18"/>
                      <w:szCs w:val="18"/>
                    </w:rPr>
                    <w:t>（%）</w:t>
                  </w:r>
                </w:p>
              </w:tc>
              <w:tc>
                <w:tcPr>
                  <w:tcW w:w="834" w:type="dxa"/>
                  <w:tcBorders>
                    <w:tl2br w:val="nil"/>
                    <w:tr2bl w:val="nil"/>
                  </w:tcBorders>
                  <w:shd w:val="clear" w:color="auto" w:fill="auto"/>
                  <w:vAlign w:val="center"/>
                </w:tcPr>
                <w:p w14:paraId="4BDAB87D">
                  <w:pPr>
                    <w:jc w:val="center"/>
                    <w:rPr>
                      <w:color w:val="auto"/>
                      <w:spacing w:val="-11"/>
                      <w:sz w:val="18"/>
                      <w:szCs w:val="18"/>
                    </w:rPr>
                  </w:pPr>
                  <w:r>
                    <w:rPr>
                      <w:rFonts w:hint="eastAsia"/>
                      <w:color w:val="auto"/>
                      <w:spacing w:val="-11"/>
                      <w:sz w:val="18"/>
                      <w:szCs w:val="18"/>
                    </w:rPr>
                    <w:t>处理措施</w:t>
                  </w:r>
                </w:p>
              </w:tc>
              <w:tc>
                <w:tcPr>
                  <w:tcW w:w="677" w:type="dxa"/>
                  <w:tcBorders>
                    <w:tl2br w:val="nil"/>
                    <w:tr2bl w:val="nil"/>
                  </w:tcBorders>
                  <w:shd w:val="clear" w:color="auto" w:fill="auto"/>
                  <w:vAlign w:val="center"/>
                </w:tcPr>
                <w:p w14:paraId="7205465F">
                  <w:pPr>
                    <w:jc w:val="center"/>
                    <w:rPr>
                      <w:color w:val="auto"/>
                      <w:spacing w:val="-11"/>
                      <w:sz w:val="18"/>
                      <w:szCs w:val="18"/>
                    </w:rPr>
                  </w:pPr>
                  <w:r>
                    <w:rPr>
                      <w:rFonts w:hint="eastAsia"/>
                      <w:color w:val="auto"/>
                      <w:spacing w:val="-11"/>
                      <w:sz w:val="18"/>
                      <w:szCs w:val="18"/>
                    </w:rPr>
                    <w:t>处理效率（%）</w:t>
                  </w:r>
                </w:p>
              </w:tc>
              <w:tc>
                <w:tcPr>
                  <w:tcW w:w="955" w:type="dxa"/>
                  <w:tcBorders>
                    <w:tl2br w:val="nil"/>
                    <w:tr2bl w:val="nil"/>
                  </w:tcBorders>
                  <w:shd w:val="clear" w:color="auto" w:fill="auto"/>
                  <w:vAlign w:val="center"/>
                </w:tcPr>
                <w:p w14:paraId="37E720C0">
                  <w:pPr>
                    <w:jc w:val="center"/>
                    <w:rPr>
                      <w:color w:val="auto"/>
                      <w:spacing w:val="-11"/>
                      <w:sz w:val="18"/>
                      <w:szCs w:val="18"/>
                    </w:rPr>
                  </w:pPr>
                  <w:r>
                    <w:rPr>
                      <w:rFonts w:hint="eastAsia"/>
                      <w:color w:val="auto"/>
                      <w:spacing w:val="-11"/>
                      <w:sz w:val="18"/>
                      <w:szCs w:val="18"/>
                    </w:rPr>
                    <w:t>排放浓度</w:t>
                  </w:r>
                </w:p>
                <w:p w14:paraId="34407266">
                  <w:pPr>
                    <w:jc w:val="center"/>
                    <w:rPr>
                      <w:color w:val="auto"/>
                      <w:spacing w:val="-11"/>
                      <w:sz w:val="18"/>
                      <w:szCs w:val="18"/>
                    </w:rPr>
                  </w:pPr>
                  <w:r>
                    <w:rPr>
                      <w:rFonts w:hint="eastAsia"/>
                      <w:color w:val="auto"/>
                      <w:spacing w:val="-11"/>
                      <w:sz w:val="18"/>
                      <w:szCs w:val="18"/>
                    </w:rPr>
                    <w:t>（mg/m</w:t>
                  </w:r>
                  <w:r>
                    <w:rPr>
                      <w:rFonts w:hint="eastAsia"/>
                      <w:color w:val="auto"/>
                      <w:spacing w:val="-11"/>
                      <w:sz w:val="18"/>
                      <w:szCs w:val="18"/>
                      <w:vertAlign w:val="superscript"/>
                    </w:rPr>
                    <w:t>3</w:t>
                  </w:r>
                  <w:r>
                    <w:rPr>
                      <w:rFonts w:hint="eastAsia"/>
                      <w:color w:val="auto"/>
                      <w:spacing w:val="-11"/>
                      <w:sz w:val="18"/>
                      <w:szCs w:val="18"/>
                    </w:rPr>
                    <w:t>）</w:t>
                  </w:r>
                </w:p>
              </w:tc>
              <w:tc>
                <w:tcPr>
                  <w:tcW w:w="770" w:type="dxa"/>
                  <w:tcBorders>
                    <w:tl2br w:val="nil"/>
                    <w:tr2bl w:val="nil"/>
                  </w:tcBorders>
                  <w:shd w:val="clear" w:color="auto" w:fill="auto"/>
                  <w:vAlign w:val="center"/>
                </w:tcPr>
                <w:p w14:paraId="4F41E9FD">
                  <w:pPr>
                    <w:jc w:val="center"/>
                    <w:rPr>
                      <w:color w:val="auto"/>
                      <w:spacing w:val="-11"/>
                      <w:sz w:val="18"/>
                      <w:szCs w:val="18"/>
                    </w:rPr>
                  </w:pPr>
                  <w:r>
                    <w:rPr>
                      <w:rFonts w:hint="eastAsia"/>
                      <w:color w:val="auto"/>
                      <w:spacing w:val="-11"/>
                      <w:sz w:val="18"/>
                      <w:szCs w:val="18"/>
                    </w:rPr>
                    <w:t>排放速率</w:t>
                  </w:r>
                </w:p>
                <w:p w14:paraId="1D952EC4">
                  <w:pPr>
                    <w:jc w:val="center"/>
                    <w:rPr>
                      <w:color w:val="auto"/>
                      <w:spacing w:val="-11"/>
                      <w:sz w:val="18"/>
                      <w:szCs w:val="18"/>
                    </w:rPr>
                  </w:pPr>
                  <w:r>
                    <w:rPr>
                      <w:rFonts w:hint="eastAsia"/>
                      <w:color w:val="auto"/>
                      <w:spacing w:val="-11"/>
                      <w:sz w:val="18"/>
                      <w:szCs w:val="18"/>
                    </w:rPr>
                    <w:t>（kg/h）</w:t>
                  </w:r>
                </w:p>
              </w:tc>
              <w:tc>
                <w:tcPr>
                  <w:tcW w:w="610" w:type="dxa"/>
                  <w:tcBorders>
                    <w:tl2br w:val="nil"/>
                    <w:tr2bl w:val="nil"/>
                  </w:tcBorders>
                  <w:shd w:val="clear" w:color="auto" w:fill="auto"/>
                  <w:vAlign w:val="center"/>
                </w:tcPr>
                <w:p w14:paraId="00CF6EF1">
                  <w:pPr>
                    <w:jc w:val="center"/>
                    <w:rPr>
                      <w:color w:val="auto"/>
                      <w:spacing w:val="-11"/>
                      <w:sz w:val="18"/>
                      <w:szCs w:val="18"/>
                    </w:rPr>
                  </w:pPr>
                  <w:r>
                    <w:rPr>
                      <w:rFonts w:hint="eastAsia"/>
                      <w:color w:val="auto"/>
                      <w:spacing w:val="-11"/>
                      <w:sz w:val="18"/>
                      <w:szCs w:val="18"/>
                    </w:rPr>
                    <w:t>排放量</w:t>
                  </w:r>
                </w:p>
                <w:p w14:paraId="5C0872AB">
                  <w:pPr>
                    <w:jc w:val="center"/>
                    <w:rPr>
                      <w:color w:val="auto"/>
                      <w:spacing w:val="-11"/>
                      <w:sz w:val="18"/>
                      <w:szCs w:val="18"/>
                    </w:rPr>
                  </w:pPr>
                  <w:r>
                    <w:rPr>
                      <w:rFonts w:hint="eastAsia"/>
                      <w:color w:val="auto"/>
                      <w:spacing w:val="-11"/>
                      <w:sz w:val="18"/>
                      <w:szCs w:val="18"/>
                    </w:rPr>
                    <w:t>（t/a）</w:t>
                  </w:r>
                </w:p>
              </w:tc>
              <w:tc>
                <w:tcPr>
                  <w:tcW w:w="620" w:type="dxa"/>
                  <w:tcBorders>
                    <w:tl2br w:val="nil"/>
                    <w:tr2bl w:val="nil"/>
                  </w:tcBorders>
                  <w:shd w:val="clear" w:color="auto" w:fill="auto"/>
                  <w:vAlign w:val="center"/>
                </w:tcPr>
                <w:p w14:paraId="4F99B73D">
                  <w:pPr>
                    <w:jc w:val="center"/>
                    <w:rPr>
                      <w:color w:val="auto"/>
                      <w:spacing w:val="-11"/>
                      <w:sz w:val="18"/>
                      <w:szCs w:val="18"/>
                    </w:rPr>
                  </w:pPr>
                  <w:r>
                    <w:rPr>
                      <w:rFonts w:hint="eastAsia"/>
                      <w:color w:val="auto"/>
                      <w:spacing w:val="-11"/>
                      <w:sz w:val="18"/>
                      <w:szCs w:val="18"/>
                    </w:rPr>
                    <w:t>排气筒编号</w:t>
                  </w:r>
                </w:p>
              </w:tc>
            </w:tr>
            <w:tr w14:paraId="43AA7568">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709" w:hRule="exact"/>
              </w:trPr>
              <w:tc>
                <w:tcPr>
                  <w:tcW w:w="1376" w:type="dxa"/>
                  <w:tcBorders>
                    <w:tl2br w:val="nil"/>
                    <w:tr2bl w:val="nil"/>
                  </w:tcBorders>
                  <w:shd w:val="clear" w:color="auto" w:fill="auto"/>
                  <w:vAlign w:val="center"/>
                </w:tcPr>
                <w:p w14:paraId="0F4C95A4">
                  <w:pPr>
                    <w:jc w:val="center"/>
                    <w:rPr>
                      <w:rFonts w:hint="default" w:eastAsia="宋体"/>
                      <w:color w:val="auto"/>
                      <w:spacing w:val="-11"/>
                      <w:sz w:val="18"/>
                      <w:szCs w:val="18"/>
                      <w:lang w:val="en-US" w:eastAsia="zh-CN"/>
                    </w:rPr>
                  </w:pPr>
                  <w:r>
                    <w:rPr>
                      <w:rFonts w:hint="eastAsia"/>
                      <w:color w:val="auto"/>
                      <w:spacing w:val="-11"/>
                      <w:sz w:val="18"/>
                      <w:szCs w:val="18"/>
                      <w:lang w:val="en-US" w:eastAsia="zh-CN"/>
                    </w:rPr>
                    <w:t>钢渣处理生产线上料、破碎、筛分、磁选</w:t>
                  </w:r>
                </w:p>
              </w:tc>
              <w:tc>
                <w:tcPr>
                  <w:tcW w:w="691" w:type="dxa"/>
                  <w:tcBorders>
                    <w:tl2br w:val="nil"/>
                    <w:tr2bl w:val="nil"/>
                  </w:tcBorders>
                  <w:shd w:val="clear" w:color="auto" w:fill="auto"/>
                  <w:vAlign w:val="center"/>
                </w:tcPr>
                <w:p w14:paraId="6DD2B8D7">
                  <w:pPr>
                    <w:jc w:val="center"/>
                    <w:rPr>
                      <w:rFonts w:hint="eastAsia"/>
                      <w:color w:val="auto"/>
                      <w:spacing w:val="-11"/>
                      <w:sz w:val="18"/>
                      <w:szCs w:val="18"/>
                    </w:rPr>
                  </w:pPr>
                  <w:r>
                    <w:rPr>
                      <w:rFonts w:hint="eastAsia"/>
                      <w:color w:val="auto"/>
                      <w:spacing w:val="-11"/>
                      <w:sz w:val="18"/>
                      <w:szCs w:val="18"/>
                    </w:rPr>
                    <w:t>颗粒物</w:t>
                  </w:r>
                </w:p>
              </w:tc>
              <w:tc>
                <w:tcPr>
                  <w:tcW w:w="817" w:type="dxa"/>
                  <w:tcBorders>
                    <w:tl2br w:val="nil"/>
                    <w:tr2bl w:val="nil"/>
                  </w:tcBorders>
                  <w:shd w:val="clear" w:color="auto" w:fill="auto"/>
                  <w:vAlign w:val="center"/>
                </w:tcPr>
                <w:p w14:paraId="14163E43">
                  <w:pPr>
                    <w:jc w:val="center"/>
                    <w:rPr>
                      <w:rFonts w:hint="default" w:eastAsia="宋体"/>
                      <w:color w:val="auto"/>
                      <w:spacing w:val="-11"/>
                      <w:sz w:val="18"/>
                      <w:szCs w:val="18"/>
                      <w:highlight w:val="none"/>
                      <w:lang w:val="en-US" w:eastAsia="zh-CN"/>
                    </w:rPr>
                  </w:pPr>
                  <w:r>
                    <w:rPr>
                      <w:rFonts w:hint="eastAsia"/>
                      <w:color w:val="auto"/>
                      <w:spacing w:val="-11"/>
                      <w:sz w:val="18"/>
                      <w:szCs w:val="18"/>
                      <w:highlight w:val="none"/>
                      <w:lang w:val="en-US" w:eastAsia="zh-CN"/>
                    </w:rPr>
                    <w:t>132</w:t>
                  </w:r>
                </w:p>
              </w:tc>
              <w:tc>
                <w:tcPr>
                  <w:tcW w:w="745" w:type="dxa"/>
                  <w:tcBorders>
                    <w:tl2br w:val="nil"/>
                    <w:tr2bl w:val="nil"/>
                  </w:tcBorders>
                  <w:shd w:val="clear" w:color="auto" w:fill="auto"/>
                  <w:vAlign w:val="center"/>
                </w:tcPr>
                <w:p w14:paraId="545F747C">
                  <w:pPr>
                    <w:jc w:val="center"/>
                    <w:rPr>
                      <w:rFonts w:hint="eastAsia"/>
                      <w:color w:val="auto"/>
                      <w:spacing w:val="-11"/>
                      <w:sz w:val="18"/>
                      <w:szCs w:val="18"/>
                    </w:rPr>
                  </w:pPr>
                  <w:r>
                    <w:rPr>
                      <w:rFonts w:hint="eastAsia" w:cs="Times New Roman"/>
                      <w:color w:val="auto"/>
                      <w:spacing w:val="-11"/>
                      <w:sz w:val="18"/>
                      <w:szCs w:val="18"/>
                      <w:highlight w:val="none"/>
                      <w:lang w:val="en-US" w:eastAsia="zh-CN"/>
                    </w:rPr>
                    <w:t>95</w:t>
                  </w:r>
                </w:p>
              </w:tc>
              <w:tc>
                <w:tcPr>
                  <w:tcW w:w="834" w:type="dxa"/>
                  <w:tcBorders>
                    <w:tl2br w:val="nil"/>
                    <w:tr2bl w:val="nil"/>
                  </w:tcBorders>
                  <w:shd w:val="clear" w:color="auto" w:fill="auto"/>
                  <w:vAlign w:val="center"/>
                </w:tcPr>
                <w:p w14:paraId="19D7F959">
                  <w:pPr>
                    <w:jc w:val="center"/>
                    <w:rPr>
                      <w:rFonts w:hint="eastAsia" w:ascii="Times New Roman" w:hAnsi="Times New Roman" w:eastAsia="宋体" w:cs="Times New Roman"/>
                      <w:color w:val="auto"/>
                      <w:spacing w:val="-11"/>
                      <w:sz w:val="18"/>
                      <w:szCs w:val="18"/>
                      <w:lang w:eastAsia="zh-CN"/>
                    </w:rPr>
                  </w:pPr>
                  <w:r>
                    <w:rPr>
                      <w:rFonts w:hint="eastAsia" w:ascii="Times New Roman" w:hAnsi="Times New Roman" w:eastAsia="宋体" w:cs="Times New Roman"/>
                      <w:color w:val="auto"/>
                      <w:spacing w:val="-11"/>
                      <w:sz w:val="18"/>
                      <w:szCs w:val="18"/>
                    </w:rPr>
                    <w:t>布袋除尘器</w:t>
                  </w:r>
                </w:p>
              </w:tc>
              <w:tc>
                <w:tcPr>
                  <w:tcW w:w="677" w:type="dxa"/>
                  <w:tcBorders>
                    <w:tl2br w:val="nil"/>
                    <w:tr2bl w:val="nil"/>
                  </w:tcBorders>
                  <w:shd w:val="clear" w:color="auto" w:fill="auto"/>
                  <w:vAlign w:val="center"/>
                </w:tcPr>
                <w:p w14:paraId="1E4D09A3">
                  <w:pPr>
                    <w:jc w:val="center"/>
                    <w:rPr>
                      <w:rFonts w:hint="default" w:eastAsia="宋体"/>
                      <w:color w:val="auto"/>
                      <w:spacing w:val="-11"/>
                      <w:sz w:val="18"/>
                      <w:szCs w:val="18"/>
                      <w:highlight w:val="none"/>
                      <w:lang w:val="en-US" w:eastAsia="zh-CN"/>
                    </w:rPr>
                  </w:pPr>
                  <w:r>
                    <w:rPr>
                      <w:rFonts w:hint="eastAsia"/>
                      <w:color w:val="auto"/>
                      <w:spacing w:val="-11"/>
                      <w:sz w:val="18"/>
                      <w:szCs w:val="18"/>
                      <w:highlight w:val="none"/>
                    </w:rPr>
                    <w:t>99</w:t>
                  </w:r>
                </w:p>
              </w:tc>
              <w:tc>
                <w:tcPr>
                  <w:tcW w:w="955" w:type="dxa"/>
                  <w:tcBorders>
                    <w:tl2br w:val="nil"/>
                    <w:tr2bl w:val="nil"/>
                  </w:tcBorders>
                  <w:shd w:val="clear" w:color="auto" w:fill="auto"/>
                  <w:vAlign w:val="center"/>
                </w:tcPr>
                <w:p w14:paraId="39197986">
                  <w:pPr>
                    <w:jc w:val="center"/>
                    <w:rPr>
                      <w:rFonts w:hint="default" w:eastAsia="宋体"/>
                      <w:color w:val="auto"/>
                      <w:spacing w:val="-11"/>
                      <w:sz w:val="18"/>
                      <w:szCs w:val="18"/>
                      <w:highlight w:val="none"/>
                      <w:lang w:val="en-US" w:eastAsia="zh-CN"/>
                    </w:rPr>
                  </w:pPr>
                  <w:r>
                    <w:rPr>
                      <w:rFonts w:hint="eastAsia"/>
                      <w:color w:val="auto"/>
                      <w:spacing w:val="-11"/>
                      <w:sz w:val="18"/>
                      <w:szCs w:val="18"/>
                      <w:highlight w:val="none"/>
                      <w:lang w:val="en-US" w:eastAsia="zh-CN"/>
                    </w:rPr>
                    <w:t>3.5</w:t>
                  </w:r>
                </w:p>
              </w:tc>
              <w:tc>
                <w:tcPr>
                  <w:tcW w:w="770" w:type="dxa"/>
                  <w:tcBorders>
                    <w:tl2br w:val="nil"/>
                    <w:tr2bl w:val="nil"/>
                  </w:tcBorders>
                  <w:shd w:val="clear" w:color="auto" w:fill="auto"/>
                  <w:vAlign w:val="center"/>
                </w:tcPr>
                <w:p w14:paraId="0E6C85E5">
                  <w:pPr>
                    <w:jc w:val="center"/>
                    <w:rPr>
                      <w:rFonts w:hint="default" w:eastAsia="宋体"/>
                      <w:color w:val="auto"/>
                      <w:spacing w:val="-11"/>
                      <w:sz w:val="18"/>
                      <w:szCs w:val="18"/>
                      <w:highlight w:val="none"/>
                      <w:lang w:val="en-US" w:eastAsia="zh-CN"/>
                    </w:rPr>
                  </w:pPr>
                  <w:r>
                    <w:rPr>
                      <w:rFonts w:hint="eastAsia"/>
                      <w:color w:val="auto"/>
                      <w:spacing w:val="-11"/>
                      <w:sz w:val="18"/>
                      <w:szCs w:val="18"/>
                      <w:highlight w:val="none"/>
                      <w:lang w:val="en-US" w:eastAsia="zh-CN"/>
                    </w:rPr>
                    <w:t>0.174</w:t>
                  </w:r>
                </w:p>
              </w:tc>
              <w:tc>
                <w:tcPr>
                  <w:tcW w:w="610" w:type="dxa"/>
                  <w:tcBorders>
                    <w:tl2br w:val="nil"/>
                    <w:tr2bl w:val="nil"/>
                  </w:tcBorders>
                  <w:shd w:val="clear" w:color="auto" w:fill="auto"/>
                  <w:vAlign w:val="center"/>
                </w:tcPr>
                <w:p w14:paraId="14C91E83">
                  <w:pPr>
                    <w:jc w:val="center"/>
                    <w:rPr>
                      <w:rFonts w:hint="default" w:eastAsia="宋体"/>
                      <w:color w:val="auto"/>
                      <w:spacing w:val="-11"/>
                      <w:sz w:val="18"/>
                      <w:szCs w:val="18"/>
                      <w:highlight w:val="none"/>
                      <w:lang w:val="en-US" w:eastAsia="zh-CN"/>
                    </w:rPr>
                  </w:pPr>
                  <w:r>
                    <w:rPr>
                      <w:rFonts w:hint="eastAsia"/>
                      <w:color w:val="auto"/>
                      <w:spacing w:val="-11"/>
                      <w:sz w:val="18"/>
                      <w:szCs w:val="18"/>
                      <w:highlight w:val="none"/>
                      <w:lang w:val="en-US" w:eastAsia="zh-CN"/>
                    </w:rPr>
                    <w:t>1.254</w:t>
                  </w:r>
                </w:p>
              </w:tc>
              <w:tc>
                <w:tcPr>
                  <w:tcW w:w="620" w:type="dxa"/>
                  <w:tcBorders>
                    <w:tl2br w:val="nil"/>
                    <w:tr2bl w:val="nil"/>
                  </w:tcBorders>
                  <w:shd w:val="clear" w:color="auto" w:fill="auto"/>
                  <w:vAlign w:val="center"/>
                </w:tcPr>
                <w:p w14:paraId="617E8A6B">
                  <w:pPr>
                    <w:jc w:val="center"/>
                    <w:rPr>
                      <w:color w:val="auto"/>
                      <w:spacing w:val="-11"/>
                      <w:sz w:val="18"/>
                      <w:szCs w:val="18"/>
                    </w:rPr>
                  </w:pPr>
                  <w:r>
                    <w:rPr>
                      <w:rFonts w:hint="eastAsia"/>
                      <w:color w:val="auto"/>
                      <w:spacing w:val="-11"/>
                      <w:sz w:val="18"/>
                      <w:szCs w:val="18"/>
                    </w:rPr>
                    <w:t>DA</w:t>
                  </w:r>
                </w:p>
                <w:p w14:paraId="49BE7DEA">
                  <w:pPr>
                    <w:jc w:val="center"/>
                    <w:rPr>
                      <w:rFonts w:hint="eastAsia" w:eastAsia="宋体"/>
                      <w:color w:val="auto"/>
                      <w:spacing w:val="-11"/>
                      <w:sz w:val="18"/>
                      <w:szCs w:val="18"/>
                      <w:lang w:eastAsia="zh-CN"/>
                    </w:rPr>
                  </w:pPr>
                  <w:r>
                    <w:rPr>
                      <w:rFonts w:hint="eastAsia"/>
                      <w:color w:val="auto"/>
                      <w:spacing w:val="-11"/>
                      <w:sz w:val="18"/>
                      <w:szCs w:val="18"/>
                    </w:rPr>
                    <w:t>00</w:t>
                  </w:r>
                  <w:r>
                    <w:rPr>
                      <w:rFonts w:hint="eastAsia"/>
                      <w:color w:val="auto"/>
                      <w:spacing w:val="-11"/>
                      <w:sz w:val="18"/>
                      <w:szCs w:val="18"/>
                      <w:lang w:val="en-US" w:eastAsia="zh-CN"/>
                    </w:rPr>
                    <w:t>1</w:t>
                  </w:r>
                </w:p>
              </w:tc>
            </w:tr>
            <w:tr w14:paraId="08BDE2C2">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888" w:hRule="exact"/>
              </w:trPr>
              <w:tc>
                <w:tcPr>
                  <w:tcW w:w="1376" w:type="dxa"/>
                  <w:tcBorders>
                    <w:tl2br w:val="nil"/>
                    <w:tr2bl w:val="nil"/>
                  </w:tcBorders>
                  <w:shd w:val="clear" w:color="auto" w:fill="auto"/>
                  <w:vAlign w:val="center"/>
                </w:tcPr>
                <w:p w14:paraId="16C9A9D2">
                  <w:pPr>
                    <w:jc w:val="center"/>
                    <w:rPr>
                      <w:rFonts w:hint="default" w:ascii="Times New Roman" w:hAnsi="Times New Roman" w:eastAsia="宋体" w:cs="Times New Roman"/>
                      <w:color w:val="auto"/>
                      <w:spacing w:val="-10"/>
                      <w:kern w:val="2"/>
                      <w:sz w:val="18"/>
                      <w:szCs w:val="18"/>
                      <w:lang w:val="en-US" w:eastAsia="zh-CN" w:bidi="ar-SA"/>
                    </w:rPr>
                  </w:pPr>
                  <w:r>
                    <w:rPr>
                      <w:rFonts w:hint="eastAsia" w:ascii="Times New Roman" w:hAnsi="Times New Roman" w:eastAsia="宋体" w:cs="Times New Roman"/>
                      <w:color w:val="auto"/>
                      <w:spacing w:val="-10"/>
                      <w:sz w:val="18"/>
                      <w:szCs w:val="18"/>
                      <w:highlight w:val="none"/>
                      <w:lang w:val="en-US" w:eastAsia="zh-CN"/>
                    </w:rPr>
                    <w:t>废钢破碎尾料分选生产线上料</w:t>
                  </w:r>
                  <w:r>
                    <w:rPr>
                      <w:rFonts w:hint="eastAsia" w:cs="Times New Roman"/>
                      <w:color w:val="auto"/>
                      <w:spacing w:val="-10"/>
                      <w:sz w:val="18"/>
                      <w:szCs w:val="18"/>
                      <w:highlight w:val="none"/>
                      <w:lang w:val="en-US" w:eastAsia="zh-CN"/>
                    </w:rPr>
                    <w:t>、筛分及空气分选</w:t>
                  </w:r>
                </w:p>
              </w:tc>
              <w:tc>
                <w:tcPr>
                  <w:tcW w:w="691" w:type="dxa"/>
                  <w:tcBorders>
                    <w:tl2br w:val="nil"/>
                    <w:tr2bl w:val="nil"/>
                  </w:tcBorders>
                  <w:shd w:val="clear" w:color="auto" w:fill="auto"/>
                  <w:vAlign w:val="center"/>
                </w:tcPr>
                <w:p w14:paraId="3422D27B">
                  <w:pPr>
                    <w:jc w:val="center"/>
                    <w:rPr>
                      <w:color w:val="auto"/>
                      <w:spacing w:val="-11"/>
                      <w:sz w:val="18"/>
                      <w:szCs w:val="18"/>
                    </w:rPr>
                  </w:pPr>
                  <w:r>
                    <w:rPr>
                      <w:rFonts w:hint="eastAsia"/>
                      <w:color w:val="auto"/>
                      <w:spacing w:val="-11"/>
                      <w:sz w:val="18"/>
                      <w:szCs w:val="18"/>
                    </w:rPr>
                    <w:t>颗粒物</w:t>
                  </w:r>
                </w:p>
              </w:tc>
              <w:tc>
                <w:tcPr>
                  <w:tcW w:w="817" w:type="dxa"/>
                  <w:tcBorders>
                    <w:tl2br w:val="nil"/>
                    <w:tr2bl w:val="nil"/>
                  </w:tcBorders>
                  <w:shd w:val="clear" w:color="auto" w:fill="auto"/>
                  <w:vAlign w:val="center"/>
                </w:tcPr>
                <w:p w14:paraId="4815D92A">
                  <w:pPr>
                    <w:jc w:val="center"/>
                    <w:rPr>
                      <w:rFonts w:hint="default" w:ascii="Times New Roman" w:hAnsi="Times New Roman" w:eastAsia="宋体" w:cs="Times New Roman"/>
                      <w:color w:val="auto"/>
                      <w:spacing w:val="-11"/>
                      <w:kern w:val="2"/>
                      <w:sz w:val="18"/>
                      <w:szCs w:val="18"/>
                      <w:highlight w:val="none"/>
                      <w:lang w:val="en-US" w:eastAsia="zh-CN" w:bidi="ar-SA"/>
                    </w:rPr>
                  </w:pPr>
                  <w:r>
                    <w:rPr>
                      <w:rFonts w:hint="eastAsia" w:cs="Times New Roman"/>
                      <w:color w:val="auto"/>
                      <w:spacing w:val="-11"/>
                      <w:sz w:val="18"/>
                      <w:szCs w:val="18"/>
                      <w:highlight w:val="none"/>
                      <w:lang w:val="en-US" w:eastAsia="zh-CN"/>
                    </w:rPr>
                    <w:t>342.708</w:t>
                  </w:r>
                </w:p>
              </w:tc>
              <w:tc>
                <w:tcPr>
                  <w:tcW w:w="745" w:type="dxa"/>
                  <w:tcBorders>
                    <w:tl2br w:val="nil"/>
                    <w:tr2bl w:val="nil"/>
                  </w:tcBorders>
                  <w:shd w:val="clear" w:color="auto" w:fill="auto"/>
                  <w:vAlign w:val="center"/>
                </w:tcPr>
                <w:p w14:paraId="5127BF41">
                  <w:pPr>
                    <w:jc w:val="center"/>
                    <w:rPr>
                      <w:rFonts w:hint="eastAsia" w:ascii="Times New Roman" w:hAnsi="Times New Roman" w:eastAsia="宋体" w:cs="Times New Roman"/>
                      <w:color w:val="auto"/>
                      <w:spacing w:val="-11"/>
                      <w:kern w:val="2"/>
                      <w:sz w:val="18"/>
                      <w:szCs w:val="18"/>
                      <w:lang w:val="en-US" w:eastAsia="zh-CN" w:bidi="ar-SA"/>
                    </w:rPr>
                  </w:pPr>
                  <w:r>
                    <w:rPr>
                      <w:rFonts w:hint="eastAsia" w:cs="Times New Roman"/>
                      <w:color w:val="auto"/>
                      <w:spacing w:val="-11"/>
                      <w:sz w:val="18"/>
                      <w:szCs w:val="18"/>
                      <w:highlight w:val="none"/>
                      <w:lang w:val="en-US" w:eastAsia="zh-CN"/>
                    </w:rPr>
                    <w:t>95</w:t>
                  </w:r>
                </w:p>
              </w:tc>
              <w:tc>
                <w:tcPr>
                  <w:tcW w:w="834" w:type="dxa"/>
                  <w:tcBorders>
                    <w:tl2br w:val="nil"/>
                    <w:tr2bl w:val="nil"/>
                  </w:tcBorders>
                  <w:shd w:val="clear" w:color="auto" w:fill="auto"/>
                  <w:vAlign w:val="center"/>
                </w:tcPr>
                <w:p w14:paraId="40423490">
                  <w:pPr>
                    <w:jc w:val="center"/>
                    <w:rPr>
                      <w:rFonts w:hint="eastAsia" w:ascii="Times New Roman" w:hAnsi="Times New Roman" w:eastAsia="宋体" w:cs="Times New Roman"/>
                      <w:color w:val="auto"/>
                      <w:spacing w:val="-11"/>
                      <w:kern w:val="2"/>
                      <w:sz w:val="18"/>
                      <w:szCs w:val="18"/>
                      <w:lang w:val="en-US" w:eastAsia="zh-CN" w:bidi="ar-SA"/>
                    </w:rPr>
                  </w:pPr>
                  <w:r>
                    <w:rPr>
                      <w:rFonts w:hint="eastAsia" w:ascii="Times New Roman" w:hAnsi="Times New Roman" w:eastAsia="宋体" w:cs="Times New Roman"/>
                      <w:color w:val="auto"/>
                      <w:spacing w:val="-11"/>
                      <w:sz w:val="18"/>
                      <w:szCs w:val="18"/>
                    </w:rPr>
                    <w:t>布袋除尘器</w:t>
                  </w:r>
                </w:p>
              </w:tc>
              <w:tc>
                <w:tcPr>
                  <w:tcW w:w="677" w:type="dxa"/>
                  <w:tcBorders>
                    <w:tl2br w:val="nil"/>
                    <w:tr2bl w:val="nil"/>
                  </w:tcBorders>
                  <w:shd w:val="clear" w:color="auto" w:fill="auto"/>
                  <w:vAlign w:val="center"/>
                </w:tcPr>
                <w:p w14:paraId="5CFA14C0">
                  <w:pPr>
                    <w:jc w:val="center"/>
                    <w:rPr>
                      <w:rFonts w:hint="default" w:ascii="Times New Roman" w:hAnsi="Times New Roman" w:eastAsia="宋体" w:cs="Times New Roman"/>
                      <w:color w:val="auto"/>
                      <w:spacing w:val="-11"/>
                      <w:kern w:val="2"/>
                      <w:sz w:val="18"/>
                      <w:szCs w:val="18"/>
                      <w:lang w:val="en-US" w:eastAsia="zh-CN" w:bidi="ar-SA"/>
                    </w:rPr>
                  </w:pPr>
                  <w:r>
                    <w:rPr>
                      <w:rFonts w:hint="eastAsia"/>
                      <w:color w:val="auto"/>
                      <w:spacing w:val="-11"/>
                      <w:sz w:val="18"/>
                      <w:szCs w:val="18"/>
                      <w:highlight w:val="none"/>
                    </w:rPr>
                    <w:t>99</w:t>
                  </w:r>
                </w:p>
              </w:tc>
              <w:tc>
                <w:tcPr>
                  <w:tcW w:w="955" w:type="dxa"/>
                  <w:tcBorders>
                    <w:tl2br w:val="nil"/>
                    <w:tr2bl w:val="nil"/>
                  </w:tcBorders>
                  <w:shd w:val="clear" w:color="auto" w:fill="auto"/>
                  <w:vAlign w:val="center"/>
                </w:tcPr>
                <w:p w14:paraId="1C316866">
                  <w:pPr>
                    <w:jc w:val="center"/>
                    <w:rPr>
                      <w:rFonts w:hint="default" w:ascii="Times New Roman" w:hAnsi="Times New Roman" w:eastAsia="宋体" w:cs="Times New Roman"/>
                      <w:color w:val="auto"/>
                      <w:spacing w:val="-11"/>
                      <w:kern w:val="2"/>
                      <w:sz w:val="18"/>
                      <w:szCs w:val="18"/>
                      <w:highlight w:val="none"/>
                      <w:lang w:val="en-US" w:eastAsia="zh-CN" w:bidi="ar-SA"/>
                    </w:rPr>
                  </w:pPr>
                  <w:r>
                    <w:rPr>
                      <w:rFonts w:hint="eastAsia" w:cs="Times New Roman"/>
                      <w:color w:val="auto"/>
                      <w:spacing w:val="-11"/>
                      <w:kern w:val="2"/>
                      <w:sz w:val="18"/>
                      <w:szCs w:val="18"/>
                      <w:highlight w:val="none"/>
                      <w:lang w:val="en-US" w:eastAsia="zh-CN" w:bidi="ar-SA"/>
                    </w:rPr>
                    <w:t>9.0</w:t>
                  </w:r>
                </w:p>
              </w:tc>
              <w:tc>
                <w:tcPr>
                  <w:tcW w:w="770" w:type="dxa"/>
                  <w:tcBorders>
                    <w:tl2br w:val="nil"/>
                    <w:tr2bl w:val="nil"/>
                  </w:tcBorders>
                  <w:shd w:val="clear" w:color="auto" w:fill="auto"/>
                  <w:vAlign w:val="center"/>
                </w:tcPr>
                <w:p w14:paraId="333CEEA7">
                  <w:pPr>
                    <w:jc w:val="center"/>
                    <w:rPr>
                      <w:rFonts w:hint="default" w:ascii="Times New Roman" w:hAnsi="Times New Roman" w:eastAsia="宋体" w:cs="Times New Roman"/>
                      <w:color w:val="auto"/>
                      <w:spacing w:val="-11"/>
                      <w:kern w:val="2"/>
                      <w:sz w:val="18"/>
                      <w:szCs w:val="18"/>
                      <w:highlight w:val="none"/>
                      <w:lang w:val="en-US" w:eastAsia="zh-CN" w:bidi="ar-SA"/>
                    </w:rPr>
                  </w:pPr>
                  <w:r>
                    <w:rPr>
                      <w:rFonts w:hint="eastAsia" w:cs="Times New Roman"/>
                      <w:color w:val="auto"/>
                      <w:spacing w:val="-11"/>
                      <w:kern w:val="2"/>
                      <w:sz w:val="18"/>
                      <w:szCs w:val="18"/>
                      <w:highlight w:val="none"/>
                      <w:lang w:val="en-US" w:eastAsia="zh-CN" w:bidi="ar-SA"/>
                    </w:rPr>
                    <w:t>0.452</w:t>
                  </w:r>
                </w:p>
              </w:tc>
              <w:tc>
                <w:tcPr>
                  <w:tcW w:w="610" w:type="dxa"/>
                  <w:tcBorders>
                    <w:tl2br w:val="nil"/>
                    <w:tr2bl w:val="nil"/>
                  </w:tcBorders>
                  <w:shd w:val="clear" w:color="auto" w:fill="auto"/>
                  <w:vAlign w:val="center"/>
                </w:tcPr>
                <w:p w14:paraId="3B01EC8E">
                  <w:pPr>
                    <w:jc w:val="center"/>
                    <w:rPr>
                      <w:rFonts w:hint="default" w:ascii="Times New Roman" w:hAnsi="Times New Roman" w:eastAsia="宋体" w:cs="Times New Roman"/>
                      <w:color w:val="auto"/>
                      <w:spacing w:val="-11"/>
                      <w:kern w:val="2"/>
                      <w:sz w:val="18"/>
                      <w:szCs w:val="18"/>
                      <w:highlight w:val="none"/>
                      <w:lang w:val="en-US" w:eastAsia="zh-CN" w:bidi="ar-SA"/>
                    </w:rPr>
                  </w:pPr>
                  <w:r>
                    <w:rPr>
                      <w:rFonts w:hint="eastAsia" w:cs="Times New Roman"/>
                      <w:color w:val="auto"/>
                      <w:spacing w:val="-11"/>
                      <w:kern w:val="2"/>
                      <w:sz w:val="18"/>
                      <w:szCs w:val="18"/>
                      <w:highlight w:val="none"/>
                      <w:lang w:val="en-US" w:eastAsia="zh-CN" w:bidi="ar-SA"/>
                    </w:rPr>
                    <w:t>3.256</w:t>
                  </w:r>
                </w:p>
              </w:tc>
              <w:tc>
                <w:tcPr>
                  <w:tcW w:w="620" w:type="dxa"/>
                  <w:tcBorders>
                    <w:tl2br w:val="nil"/>
                    <w:tr2bl w:val="nil"/>
                  </w:tcBorders>
                  <w:shd w:val="clear" w:color="auto" w:fill="auto"/>
                  <w:vAlign w:val="center"/>
                </w:tcPr>
                <w:p w14:paraId="56B8A046">
                  <w:pPr>
                    <w:jc w:val="center"/>
                    <w:rPr>
                      <w:color w:val="auto"/>
                      <w:spacing w:val="-11"/>
                      <w:sz w:val="18"/>
                      <w:szCs w:val="18"/>
                    </w:rPr>
                  </w:pPr>
                  <w:r>
                    <w:rPr>
                      <w:rFonts w:hint="eastAsia"/>
                      <w:color w:val="auto"/>
                      <w:spacing w:val="-11"/>
                      <w:sz w:val="18"/>
                      <w:szCs w:val="18"/>
                    </w:rPr>
                    <w:t>DA</w:t>
                  </w:r>
                </w:p>
                <w:p w14:paraId="5A709986">
                  <w:pPr>
                    <w:jc w:val="center"/>
                    <w:rPr>
                      <w:rFonts w:hint="eastAsia" w:eastAsia="宋体"/>
                      <w:color w:val="auto"/>
                      <w:spacing w:val="-11"/>
                      <w:sz w:val="18"/>
                      <w:szCs w:val="18"/>
                      <w:lang w:eastAsia="zh-CN"/>
                    </w:rPr>
                  </w:pPr>
                  <w:r>
                    <w:rPr>
                      <w:rFonts w:hint="eastAsia"/>
                      <w:color w:val="auto"/>
                      <w:spacing w:val="-11"/>
                      <w:sz w:val="18"/>
                      <w:szCs w:val="18"/>
                    </w:rPr>
                    <w:t>00</w:t>
                  </w:r>
                  <w:r>
                    <w:rPr>
                      <w:rFonts w:hint="eastAsia"/>
                      <w:color w:val="auto"/>
                      <w:spacing w:val="-11"/>
                      <w:sz w:val="18"/>
                      <w:szCs w:val="18"/>
                      <w:lang w:val="en-US" w:eastAsia="zh-CN"/>
                    </w:rPr>
                    <w:t>2</w:t>
                  </w:r>
                </w:p>
              </w:tc>
            </w:tr>
          </w:tbl>
          <w:p w14:paraId="512DB79B">
            <w:pPr>
              <w:pStyle w:val="24"/>
              <w:adjustRightInd w:val="0"/>
              <w:snapToGrid w:val="0"/>
              <w:spacing w:before="0" w:beforeAutospacing="0" w:after="0" w:afterAutospacing="0" w:line="440" w:lineRule="exact"/>
              <w:ind w:firstLine="420" w:firstLineChars="200"/>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rPr>
              <w:t>由上表可知，拟建项目</w:t>
            </w:r>
            <w:r>
              <w:rPr>
                <w:rFonts w:hint="eastAsia" w:ascii="Times New Roman" w:hAnsi="Times New Roman" w:eastAsia="宋体" w:cs="Times New Roman"/>
                <w:color w:val="auto"/>
                <w:sz w:val="21"/>
                <w:szCs w:val="21"/>
                <w:lang w:val="en-US" w:eastAsia="zh-CN"/>
              </w:rPr>
              <w:t>钢渣处理生产线上料、破碎、筛分颗粒物排放浓度可满足《钢铁工业大气污染物超低排放标准》（DB13/2169-2018）及《关于下达唐山市2019年五大行业大气污染治理重点工作任务的通知》（唐环气[2019]1号）的限值要求；废钢破碎尾料分选生产线上料</w:t>
            </w:r>
            <w:r>
              <w:rPr>
                <w:rFonts w:hint="eastAsia" w:ascii="Times New Roman" w:hAnsi="Times New Roman" w:cs="Times New Roman"/>
                <w:color w:val="auto"/>
                <w:sz w:val="21"/>
                <w:szCs w:val="21"/>
                <w:lang w:val="en-US" w:eastAsia="zh-CN"/>
              </w:rPr>
              <w:t>、筛分、分选</w:t>
            </w:r>
            <w:r>
              <w:rPr>
                <w:rFonts w:hint="eastAsia" w:ascii="Times New Roman" w:hAnsi="Times New Roman" w:eastAsia="宋体" w:cs="Times New Roman"/>
                <w:color w:val="auto"/>
                <w:sz w:val="21"/>
                <w:szCs w:val="21"/>
                <w:lang w:val="en-US" w:eastAsia="zh-CN"/>
              </w:rPr>
              <w:t>颗粒物排放浓度可满足《钢铁工业大气污染物超低排放标准》（DB13/2169-2018）的限值要求。</w:t>
            </w:r>
          </w:p>
          <w:p w14:paraId="5C79B38B">
            <w:pPr>
              <w:pStyle w:val="24"/>
              <w:adjustRightInd w:val="0"/>
              <w:snapToGrid w:val="0"/>
              <w:spacing w:before="0" w:beforeAutospacing="0" w:after="0" w:afterAutospacing="0" w:line="440" w:lineRule="exact"/>
              <w:ind w:firstLine="422" w:firstLineChars="200"/>
              <w:rPr>
                <w:rFonts w:ascii="Times New Roman" w:hAnsi="Times New Roman"/>
                <w:b/>
                <w:color w:val="auto"/>
                <w:sz w:val="21"/>
                <w:szCs w:val="21"/>
              </w:rPr>
            </w:pPr>
            <w:r>
              <w:rPr>
                <w:rFonts w:hint="eastAsia" w:ascii="Times New Roman" w:hAnsi="Times New Roman"/>
                <w:b/>
                <w:color w:val="auto"/>
                <w:sz w:val="21"/>
                <w:szCs w:val="21"/>
              </w:rPr>
              <w:t>1.1.3无组织废气产生及排放情况</w:t>
            </w:r>
          </w:p>
          <w:p w14:paraId="054FD586">
            <w:pPr>
              <w:pStyle w:val="24"/>
              <w:adjustRightInd w:val="0"/>
              <w:snapToGrid w:val="0"/>
              <w:spacing w:before="0" w:beforeAutospacing="0" w:after="0" w:afterAutospacing="0" w:line="440" w:lineRule="exact"/>
              <w:ind w:firstLine="420" w:firstLineChars="200"/>
              <w:rPr>
                <w:rFonts w:ascii="Times New Roman" w:hAnsi="Times New Roman"/>
                <w:color w:val="auto"/>
                <w:sz w:val="21"/>
                <w:szCs w:val="21"/>
              </w:rPr>
            </w:pPr>
            <w:r>
              <w:rPr>
                <w:rFonts w:hint="eastAsia" w:ascii="Times New Roman" w:hAnsi="Times New Roman"/>
                <w:color w:val="auto"/>
                <w:sz w:val="21"/>
                <w:szCs w:val="21"/>
              </w:rPr>
              <w:t>拟建项目无组织废气污染源主要为原料卸车、存储、转运产生的粉尘，除尘系统受收集装置效率的影响逸散的粉尘。</w:t>
            </w:r>
          </w:p>
          <w:p w14:paraId="3C0719F0">
            <w:pPr>
              <w:pStyle w:val="24"/>
              <w:keepNext w:val="0"/>
              <w:keepLines w:val="0"/>
              <w:pageBreakBefore w:val="0"/>
              <w:numPr>
                <w:ilvl w:val="0"/>
                <w:numId w:val="9"/>
              </w:numPr>
              <w:kinsoku/>
              <w:wordWrap/>
              <w:overflowPunct/>
              <w:topLinePunct w:val="0"/>
              <w:autoSpaceDE/>
              <w:autoSpaceDN/>
              <w:bidi w:val="0"/>
              <w:adjustRightInd w:val="0"/>
              <w:snapToGrid w:val="0"/>
              <w:spacing w:before="0" w:beforeAutospacing="0" w:after="0" w:afterAutospacing="0" w:line="430" w:lineRule="exact"/>
              <w:ind w:firstLine="420" w:firstLineChars="200"/>
              <w:textAlignment w:val="auto"/>
              <w:rPr>
                <w:rFonts w:hint="eastAsia" w:ascii="Times New Roman" w:hAnsi="Times New Roman"/>
                <w:color w:val="auto"/>
                <w:sz w:val="21"/>
                <w:szCs w:val="21"/>
                <w:highlight w:val="none"/>
                <w:lang w:val="en-US" w:eastAsia="zh-CN"/>
              </w:rPr>
            </w:pPr>
            <w:r>
              <w:rPr>
                <w:rFonts w:hint="eastAsia" w:ascii="Times New Roman" w:hAnsi="Times New Roman"/>
                <w:color w:val="auto"/>
                <w:sz w:val="21"/>
                <w:szCs w:val="21"/>
                <w:highlight w:val="none"/>
                <w:lang w:val="en-US" w:eastAsia="zh-CN"/>
              </w:rPr>
              <w:t>无组织废气控制措施</w:t>
            </w:r>
          </w:p>
          <w:p w14:paraId="61C5D2C4">
            <w:pPr>
              <w:pStyle w:val="24"/>
              <w:keepNext w:val="0"/>
              <w:keepLines w:val="0"/>
              <w:pageBreakBefore w:val="0"/>
              <w:kinsoku/>
              <w:wordWrap/>
              <w:overflowPunct/>
              <w:topLinePunct w:val="0"/>
              <w:autoSpaceDE/>
              <w:autoSpaceDN/>
              <w:bidi w:val="0"/>
              <w:adjustRightInd w:val="0"/>
              <w:snapToGrid w:val="0"/>
              <w:spacing w:before="0" w:beforeAutospacing="0" w:after="0" w:afterAutospacing="0" w:line="430" w:lineRule="exact"/>
              <w:ind w:firstLine="420" w:firstLineChars="200"/>
              <w:textAlignment w:val="auto"/>
              <w:rPr>
                <w:rFonts w:hint="eastAsia" w:ascii="Times New Roman" w:hAnsi="Times New Roman" w:eastAsia="宋体" w:cs="Times New Roman"/>
                <w:color w:val="auto"/>
                <w:sz w:val="21"/>
                <w:szCs w:val="21"/>
                <w:highlight w:val="none"/>
              </w:rPr>
            </w:pPr>
            <w:r>
              <w:rPr>
                <w:rFonts w:hint="eastAsia" w:ascii="Times New Roman" w:hAnsi="Times New Roman" w:eastAsia="宋体" w:cs="Times New Roman"/>
                <w:color w:val="auto"/>
                <w:sz w:val="21"/>
                <w:szCs w:val="21"/>
                <w:highlight w:val="none"/>
              </w:rPr>
              <w:t>①原料及产品运输条件控制措施</w:t>
            </w:r>
          </w:p>
          <w:p w14:paraId="446DD9DE">
            <w:pPr>
              <w:pStyle w:val="24"/>
              <w:keepNext w:val="0"/>
              <w:keepLines w:val="0"/>
              <w:pageBreakBefore w:val="0"/>
              <w:kinsoku/>
              <w:wordWrap/>
              <w:overflowPunct/>
              <w:topLinePunct w:val="0"/>
              <w:autoSpaceDE/>
              <w:autoSpaceDN/>
              <w:bidi w:val="0"/>
              <w:adjustRightInd w:val="0"/>
              <w:snapToGrid w:val="0"/>
              <w:spacing w:before="0" w:beforeAutospacing="0" w:after="0" w:afterAutospacing="0" w:line="430" w:lineRule="exact"/>
              <w:ind w:firstLine="420" w:firstLineChars="200"/>
              <w:textAlignment w:val="auto"/>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a.</w:t>
            </w:r>
            <w:r>
              <w:rPr>
                <w:rFonts w:hint="eastAsia" w:ascii="Times New Roman" w:hAnsi="Times New Roman" w:eastAsia="宋体" w:cs="Times New Roman"/>
                <w:color w:val="auto"/>
                <w:sz w:val="21"/>
                <w:szCs w:val="21"/>
                <w:highlight w:val="none"/>
              </w:rPr>
              <w:t>本项目</w:t>
            </w:r>
            <w:r>
              <w:rPr>
                <w:rFonts w:hint="eastAsia" w:ascii="Times New Roman" w:hAnsi="Times New Roman" w:cs="Times New Roman"/>
                <w:color w:val="auto"/>
                <w:sz w:val="21"/>
                <w:szCs w:val="21"/>
                <w:highlight w:val="none"/>
                <w:lang w:val="en-US" w:eastAsia="zh-CN"/>
              </w:rPr>
              <w:t>原料及产品均</w:t>
            </w:r>
            <w:r>
              <w:rPr>
                <w:rFonts w:hint="eastAsia" w:ascii="Times New Roman" w:hAnsi="Times New Roman" w:eastAsia="宋体" w:cs="Times New Roman"/>
                <w:color w:val="auto"/>
                <w:sz w:val="21"/>
                <w:szCs w:val="21"/>
                <w:highlight w:val="none"/>
                <w:lang w:val="en-US" w:eastAsia="zh-CN"/>
              </w:rPr>
              <w:t>采用</w:t>
            </w:r>
            <w:r>
              <w:rPr>
                <w:rFonts w:hint="eastAsia" w:ascii="Times New Roman" w:hAnsi="Times New Roman"/>
                <w:color w:val="auto"/>
                <w:sz w:val="21"/>
                <w:szCs w:val="21"/>
                <w:highlight w:val="none"/>
                <w:lang w:val="en-US" w:eastAsia="zh-CN"/>
              </w:rPr>
              <w:t>汽车运输，</w:t>
            </w:r>
            <w:r>
              <w:rPr>
                <w:rFonts w:hint="eastAsia" w:ascii="Times New Roman" w:hAnsi="Times New Roman" w:eastAsia="宋体" w:cs="Times New Roman"/>
                <w:color w:val="auto"/>
                <w:sz w:val="21"/>
                <w:szCs w:val="21"/>
                <w:highlight w:val="none"/>
                <w:lang w:val="en-US" w:eastAsia="zh-CN"/>
              </w:rPr>
              <w:t>运输车辆装载高度最高点不超过车辆槽帮上沿40cm，两侧边缘低于槽帮上缘10cm，车斗应用苫布覆盖，苫布边缘至少要遮住槽帮上沿以下15cm</w:t>
            </w:r>
            <w:r>
              <w:rPr>
                <w:rFonts w:hint="eastAsia" w:ascii="Times New Roman" w:hAnsi="Times New Roman" w:cs="Times New Roman"/>
                <w:color w:val="auto"/>
                <w:sz w:val="21"/>
                <w:szCs w:val="21"/>
                <w:highlight w:val="none"/>
                <w:lang w:val="en-US" w:eastAsia="zh-CN"/>
              </w:rPr>
              <w:t>；</w:t>
            </w:r>
            <w:r>
              <w:rPr>
                <w:rFonts w:hint="eastAsia" w:ascii="Times New Roman" w:hAnsi="Times New Roman" w:eastAsia="宋体" w:cs="Times New Roman"/>
                <w:color w:val="auto"/>
                <w:sz w:val="21"/>
                <w:szCs w:val="21"/>
                <w:highlight w:val="none"/>
                <w:lang w:val="en-US" w:eastAsia="zh-CN"/>
              </w:rPr>
              <w:t>b.厂区</w:t>
            </w:r>
            <w:r>
              <w:rPr>
                <w:rFonts w:hint="eastAsia" w:ascii="Times New Roman" w:hAnsi="Times New Roman" w:cs="Times New Roman"/>
                <w:color w:val="auto"/>
                <w:sz w:val="21"/>
                <w:szCs w:val="21"/>
                <w:highlight w:val="none"/>
                <w:lang w:val="en-US" w:eastAsia="zh-CN"/>
              </w:rPr>
              <w:t>及车间</w:t>
            </w:r>
            <w:r>
              <w:rPr>
                <w:rFonts w:hint="eastAsia" w:ascii="Times New Roman" w:hAnsi="Times New Roman" w:eastAsia="宋体" w:cs="Times New Roman"/>
                <w:color w:val="auto"/>
                <w:sz w:val="21"/>
                <w:szCs w:val="21"/>
                <w:highlight w:val="none"/>
                <w:lang w:val="en-US" w:eastAsia="zh-CN"/>
              </w:rPr>
              <w:t>出入口设置符合要求的车辆冲洗平台</w:t>
            </w:r>
            <w:r>
              <w:rPr>
                <w:rFonts w:hint="eastAsia" w:ascii="Times New Roman" w:hAnsi="Times New Roman" w:eastAsia="宋体" w:cs="Times New Roman"/>
                <w:color w:val="auto"/>
                <w:sz w:val="21"/>
                <w:szCs w:val="21"/>
                <w:highlight w:val="none"/>
              </w:rPr>
              <w:t>，对运输车辆进行清洗，避免运输车辆将泥土物料遗洒在道路上而造成的二次扬尘污染</w:t>
            </w:r>
            <w:r>
              <w:rPr>
                <w:rFonts w:hint="eastAsia" w:ascii="Times New Roman" w:hAnsi="Times New Roman" w:eastAsia="宋体" w:cs="Times New Roman"/>
                <w:color w:val="auto"/>
                <w:sz w:val="21"/>
                <w:szCs w:val="21"/>
                <w:highlight w:val="none"/>
                <w:lang w:val="en-US" w:eastAsia="zh-CN"/>
              </w:rPr>
              <w:t>，为保证车辆冲洗效果，冲洗介质可使用温水、添加防冻物质等有效防冻措施；c.厂区内永久道路硬化，保持清洁，湿式清扫，路面无明显可见积尘，其它道路平整压实，并采取定期洒水清扫等抑尘措施</w:t>
            </w:r>
            <w:r>
              <w:rPr>
                <w:rFonts w:hint="eastAsia" w:ascii="Times New Roman" w:hAnsi="Times New Roman" w:eastAsia="宋体" w:cs="Times New Roman"/>
                <w:color w:val="auto"/>
                <w:sz w:val="21"/>
                <w:szCs w:val="21"/>
                <w:highlight w:val="none"/>
              </w:rPr>
              <w:t>。</w:t>
            </w:r>
          </w:p>
          <w:p w14:paraId="69AE3BD1">
            <w:pPr>
              <w:pStyle w:val="24"/>
              <w:keepNext w:val="0"/>
              <w:keepLines w:val="0"/>
              <w:pageBreakBefore w:val="0"/>
              <w:kinsoku/>
              <w:wordWrap/>
              <w:overflowPunct/>
              <w:topLinePunct w:val="0"/>
              <w:autoSpaceDE/>
              <w:autoSpaceDN/>
              <w:bidi w:val="0"/>
              <w:adjustRightInd w:val="0"/>
              <w:snapToGrid w:val="0"/>
              <w:spacing w:before="0" w:beforeAutospacing="0" w:after="0" w:afterAutospacing="0" w:line="430" w:lineRule="exact"/>
              <w:ind w:firstLine="420" w:firstLineChars="200"/>
              <w:textAlignment w:val="auto"/>
              <w:rPr>
                <w:rFonts w:hint="eastAsia" w:ascii="Times New Roman" w:hAnsi="Times New Roman" w:eastAsia="宋体" w:cs="Times New Roman"/>
                <w:color w:val="auto"/>
                <w:sz w:val="21"/>
                <w:szCs w:val="21"/>
                <w:highlight w:val="none"/>
              </w:rPr>
            </w:pPr>
            <w:r>
              <w:rPr>
                <w:rFonts w:hint="eastAsia" w:ascii="Times New Roman" w:hAnsi="Times New Roman" w:eastAsia="宋体" w:cs="Times New Roman"/>
                <w:color w:val="auto"/>
                <w:sz w:val="21"/>
                <w:szCs w:val="21"/>
                <w:highlight w:val="none"/>
              </w:rPr>
              <w:t>②车间内无组织面源控制措施</w:t>
            </w:r>
          </w:p>
          <w:p w14:paraId="1B17B0B3">
            <w:pPr>
              <w:pStyle w:val="24"/>
              <w:keepNext w:val="0"/>
              <w:keepLines w:val="0"/>
              <w:pageBreakBefore w:val="0"/>
              <w:kinsoku/>
              <w:wordWrap/>
              <w:overflowPunct/>
              <w:topLinePunct w:val="0"/>
              <w:autoSpaceDE/>
              <w:autoSpaceDN/>
              <w:bidi w:val="0"/>
              <w:adjustRightInd w:val="0"/>
              <w:snapToGrid w:val="0"/>
              <w:spacing w:before="0" w:beforeAutospacing="0" w:after="0" w:afterAutospacing="0" w:line="430" w:lineRule="exact"/>
              <w:ind w:firstLine="420" w:firstLineChars="200"/>
              <w:textAlignment w:val="auto"/>
              <w:rPr>
                <w:rFonts w:hint="eastAsia" w:ascii="Times New Roman" w:hAnsi="Times New Roman" w:eastAsia="宋体" w:cs="Times New Roman"/>
                <w:color w:val="auto"/>
                <w:sz w:val="21"/>
                <w:szCs w:val="21"/>
                <w:highlight w:val="none"/>
              </w:rPr>
            </w:pPr>
            <w:r>
              <w:rPr>
                <w:rFonts w:hint="eastAsia" w:ascii="Times New Roman" w:hAnsi="Times New Roman" w:eastAsia="宋体" w:cs="Times New Roman"/>
                <w:color w:val="auto"/>
                <w:sz w:val="21"/>
                <w:szCs w:val="21"/>
                <w:highlight w:val="none"/>
                <w:lang w:val="en-US" w:eastAsia="zh-CN"/>
              </w:rPr>
              <w:t>a.项目原料均存储于封闭的车间内，各生产车间地面全硬化，物料堆存区顶部设置带电伴热的喷雾抑尘装置</w:t>
            </w:r>
            <w:r>
              <w:rPr>
                <w:rFonts w:hint="eastAsia" w:ascii="Times New Roman" w:hAnsi="Times New Roman" w:cs="Times New Roman"/>
                <w:color w:val="auto"/>
                <w:sz w:val="21"/>
                <w:szCs w:val="21"/>
                <w:highlight w:val="none"/>
                <w:lang w:val="en-US" w:eastAsia="zh-CN"/>
              </w:rPr>
              <w:t>（电伴热）</w:t>
            </w:r>
            <w:r>
              <w:rPr>
                <w:rFonts w:hint="eastAsia" w:cs="Times New Roman"/>
                <w:color w:val="auto"/>
                <w:spacing w:val="-10"/>
                <w:sz w:val="18"/>
                <w:szCs w:val="18"/>
                <w:highlight w:val="none"/>
                <w:lang w:val="en-US" w:eastAsia="zh-CN"/>
              </w:rPr>
              <w:t>，</w:t>
            </w:r>
            <w:r>
              <w:rPr>
                <w:rFonts w:hint="eastAsia" w:ascii="Times New Roman" w:hAnsi="Times New Roman" w:cs="Times New Roman"/>
                <w:color w:val="auto"/>
                <w:sz w:val="21"/>
                <w:szCs w:val="21"/>
                <w:highlight w:val="none"/>
                <w:lang w:val="en-US" w:eastAsia="zh-CN"/>
              </w:rPr>
              <w:t>喷淋管路使用保温棉包裹，每隔5m设置1个喷淋口，</w:t>
            </w:r>
            <w:r>
              <w:rPr>
                <w:rFonts w:hint="eastAsia" w:ascii="Times New Roman" w:hAnsi="Times New Roman" w:eastAsia="宋体" w:cs="Times New Roman"/>
                <w:color w:val="auto"/>
                <w:sz w:val="21"/>
                <w:szCs w:val="21"/>
                <w:highlight w:val="none"/>
                <w:lang w:val="en-US" w:eastAsia="zh-CN"/>
              </w:rPr>
              <w:t>对物料暂存区域全覆盖</w:t>
            </w:r>
            <w:r>
              <w:rPr>
                <w:rFonts w:hint="eastAsia" w:ascii="Times New Roman" w:hAnsi="Times New Roman" w:eastAsia="宋体" w:cs="Times New Roman"/>
                <w:color w:val="auto"/>
                <w:sz w:val="21"/>
                <w:szCs w:val="21"/>
                <w:highlight w:val="none"/>
              </w:rPr>
              <w:t>，减少无组织排放</w:t>
            </w:r>
            <w:r>
              <w:rPr>
                <w:rFonts w:hint="eastAsia" w:ascii="Times New Roman" w:hAnsi="Times New Roman" w:eastAsia="宋体" w:cs="Times New Roman"/>
                <w:color w:val="auto"/>
                <w:sz w:val="21"/>
                <w:szCs w:val="21"/>
                <w:highlight w:val="none"/>
                <w:lang w:val="en-US" w:eastAsia="zh-CN"/>
              </w:rPr>
              <w:t>；b.除尘器卸灰处彩钢封闭，卸灰阀连接吨包，确保除尘灰不落地；c.项目散状物料运输采用封闭皮带通廊输送，物料运输系统全封闭，运输过程中不得有可视性物料</w:t>
            </w:r>
            <w:r>
              <w:rPr>
                <w:rFonts w:hint="eastAsia" w:ascii="Times New Roman" w:hAnsi="Times New Roman" w:eastAsia="宋体" w:cs="Times New Roman"/>
                <w:color w:val="auto"/>
                <w:sz w:val="21"/>
                <w:szCs w:val="21"/>
                <w:highlight w:val="none"/>
              </w:rPr>
              <w:t>，防止</w:t>
            </w:r>
            <w:r>
              <w:rPr>
                <w:rFonts w:hint="eastAsia" w:ascii="Times New Roman" w:hAnsi="Times New Roman" w:eastAsia="宋体" w:cs="Times New Roman"/>
                <w:color w:val="auto"/>
                <w:sz w:val="21"/>
                <w:szCs w:val="21"/>
                <w:highlight w:val="none"/>
                <w:lang w:val="en-US" w:eastAsia="zh-CN"/>
              </w:rPr>
              <w:t>物料输送</w:t>
            </w:r>
            <w:r>
              <w:rPr>
                <w:rFonts w:hint="eastAsia" w:ascii="Times New Roman" w:hAnsi="Times New Roman" w:eastAsia="宋体" w:cs="Times New Roman"/>
                <w:color w:val="auto"/>
                <w:sz w:val="21"/>
                <w:szCs w:val="21"/>
                <w:highlight w:val="none"/>
              </w:rPr>
              <w:t>过程中粉尘向外环境排放</w:t>
            </w:r>
            <w:r>
              <w:rPr>
                <w:rFonts w:hint="eastAsia" w:ascii="Times New Roman" w:hAnsi="Times New Roman" w:eastAsia="宋体" w:cs="Times New Roman"/>
                <w:color w:val="auto"/>
                <w:sz w:val="21"/>
                <w:szCs w:val="21"/>
                <w:highlight w:val="none"/>
                <w:lang w:eastAsia="zh-CN"/>
              </w:rPr>
              <w:t>；</w:t>
            </w:r>
            <w:r>
              <w:rPr>
                <w:rFonts w:hint="eastAsia" w:ascii="Times New Roman" w:hAnsi="Times New Roman" w:eastAsia="宋体" w:cs="Times New Roman"/>
                <w:color w:val="auto"/>
                <w:sz w:val="21"/>
                <w:szCs w:val="21"/>
                <w:highlight w:val="none"/>
                <w:lang w:val="en-US" w:eastAsia="zh-CN"/>
              </w:rPr>
              <w:t>d.生产车间、出入口设置自动感应门，确保作业时料场处于全封闭状态</w:t>
            </w:r>
            <w:r>
              <w:rPr>
                <w:rFonts w:hint="eastAsia" w:ascii="Times New Roman" w:hAnsi="Times New Roman" w:eastAsia="宋体" w:cs="Times New Roman"/>
                <w:color w:val="auto"/>
                <w:sz w:val="21"/>
                <w:szCs w:val="21"/>
                <w:highlight w:val="none"/>
              </w:rPr>
              <w:t>。</w:t>
            </w:r>
          </w:p>
          <w:p w14:paraId="63ED3871">
            <w:pPr>
              <w:pStyle w:val="24"/>
              <w:adjustRightInd w:val="0"/>
              <w:snapToGrid w:val="0"/>
              <w:spacing w:before="0" w:beforeAutospacing="0" w:after="0" w:afterAutospacing="0" w:line="440" w:lineRule="exact"/>
              <w:ind w:firstLine="420" w:firstLineChars="200"/>
              <w:rPr>
                <w:rFonts w:ascii="Times New Roman" w:hAnsi="Times New Roman"/>
                <w:color w:val="auto"/>
                <w:sz w:val="21"/>
                <w:szCs w:val="21"/>
              </w:rPr>
            </w:pPr>
            <w:r>
              <w:rPr>
                <w:rFonts w:ascii="Times New Roman" w:hAnsi="Times New Roman"/>
                <w:color w:val="auto"/>
                <w:sz w:val="21"/>
                <w:szCs w:val="21"/>
              </w:rPr>
              <w:t>（</w:t>
            </w:r>
            <w:r>
              <w:rPr>
                <w:rFonts w:hint="eastAsia" w:ascii="Times New Roman" w:hAnsi="Times New Roman"/>
                <w:color w:val="auto"/>
                <w:sz w:val="21"/>
                <w:szCs w:val="21"/>
                <w:lang w:val="en-US" w:eastAsia="zh-CN"/>
              </w:rPr>
              <w:t>2</w:t>
            </w:r>
            <w:r>
              <w:rPr>
                <w:rFonts w:ascii="Times New Roman" w:hAnsi="Times New Roman"/>
                <w:color w:val="auto"/>
                <w:sz w:val="21"/>
                <w:szCs w:val="21"/>
              </w:rPr>
              <w:t>）</w:t>
            </w:r>
            <w:r>
              <w:rPr>
                <w:rFonts w:hint="eastAsia" w:ascii="Times New Roman" w:hAnsi="Times New Roman"/>
                <w:color w:val="auto"/>
                <w:sz w:val="21"/>
                <w:szCs w:val="21"/>
              </w:rPr>
              <w:t>原料卸料、堆存及产品装料、堆存</w:t>
            </w:r>
          </w:p>
          <w:p w14:paraId="71939F08">
            <w:pPr>
              <w:pStyle w:val="24"/>
              <w:adjustRightInd w:val="0"/>
              <w:snapToGrid w:val="0"/>
              <w:spacing w:before="0" w:beforeAutospacing="0" w:after="0" w:afterAutospacing="0" w:line="440" w:lineRule="exact"/>
              <w:ind w:firstLine="420" w:firstLineChars="200"/>
              <w:rPr>
                <w:rFonts w:hint="eastAsia" w:ascii="Times New Roman" w:hAnsi="Times New Roman" w:eastAsia="宋体" w:cs="Times New Roman"/>
                <w:color w:val="auto"/>
                <w:spacing w:val="-10"/>
                <w:sz w:val="21"/>
                <w:szCs w:val="21"/>
                <w:lang w:val="en-US" w:eastAsia="zh-CN"/>
              </w:rPr>
            </w:pPr>
            <w:r>
              <w:rPr>
                <w:rFonts w:hint="eastAsia" w:ascii="Times New Roman" w:hAnsi="Times New Roman"/>
                <w:color w:val="auto"/>
                <w:sz w:val="21"/>
                <w:szCs w:val="21"/>
                <w:lang w:val="en-US" w:eastAsia="zh-CN"/>
              </w:rPr>
              <w:t>本项目原料</w:t>
            </w:r>
            <w:r>
              <w:rPr>
                <w:rFonts w:hint="eastAsia" w:ascii="Times New Roman" w:hAnsi="Times New Roman" w:eastAsia="宋体" w:cs="Times New Roman"/>
                <w:color w:val="auto"/>
                <w:spacing w:val="-10"/>
                <w:sz w:val="21"/>
                <w:szCs w:val="21"/>
                <w:lang w:val="en-US" w:eastAsia="zh-CN"/>
              </w:rPr>
              <w:t>主要为废钢破碎尾料、钢渣，产品为铁粉、铁料、有色金属混合料、不锈钢、橡胶、轻质塑料、沉水塑料、磁性钢渣粉、非磁性钢渣粉。由于橡胶、铁料、有色金属混合料、不锈钢，比重大且直径较大，因此不考虑其堆存、转运过程产生的废气，沉水塑料、轻质塑料为吨包袋储存， 因此不考虑其堆存、转运过程产生的废气。</w:t>
            </w:r>
          </w:p>
          <w:p w14:paraId="079A2D03">
            <w:pPr>
              <w:pStyle w:val="24"/>
              <w:adjustRightInd w:val="0"/>
              <w:snapToGrid w:val="0"/>
              <w:spacing w:before="0" w:beforeAutospacing="0" w:after="0" w:afterAutospacing="0" w:line="440" w:lineRule="exact"/>
              <w:ind w:firstLine="380" w:firstLineChars="200"/>
              <w:rPr>
                <w:rFonts w:hint="eastAsia" w:ascii="Times New Roman" w:hAnsi="Times New Roman"/>
                <w:color w:val="auto"/>
                <w:sz w:val="21"/>
                <w:szCs w:val="21"/>
                <w:highlight w:val="none"/>
                <w:lang w:eastAsia="zh-CN"/>
              </w:rPr>
            </w:pPr>
            <w:r>
              <w:rPr>
                <w:rFonts w:hint="eastAsia" w:ascii="Times New Roman" w:hAnsi="Times New Roman" w:eastAsia="宋体" w:cs="Times New Roman"/>
                <w:color w:val="auto"/>
                <w:spacing w:val="-10"/>
                <w:sz w:val="21"/>
                <w:szCs w:val="21"/>
                <w:lang w:val="en-US" w:eastAsia="zh-CN"/>
              </w:rPr>
              <w:t>项目废钢破碎尾料</w:t>
            </w:r>
            <w:r>
              <w:rPr>
                <w:rFonts w:hint="eastAsia" w:ascii="Times New Roman" w:hAnsi="Times New Roman"/>
                <w:color w:val="auto"/>
                <w:sz w:val="21"/>
                <w:szCs w:val="21"/>
                <w:highlight w:val="none"/>
                <w:lang w:val="en-US" w:eastAsia="zh-CN"/>
              </w:rPr>
              <w:t>主要储存在1</w:t>
            </w:r>
            <w:r>
              <w:rPr>
                <w:rFonts w:hint="eastAsia" w:ascii="Times New Roman" w:hAnsi="Times New Roman"/>
                <w:color w:val="auto"/>
                <w:sz w:val="21"/>
                <w:szCs w:val="21"/>
                <w:highlight w:val="none"/>
                <w:vertAlign w:val="superscript"/>
                <w:lang w:val="en-US" w:eastAsia="zh-CN"/>
              </w:rPr>
              <w:t>#</w:t>
            </w:r>
            <w:r>
              <w:rPr>
                <w:rFonts w:hint="eastAsia" w:ascii="Times New Roman" w:hAnsi="Times New Roman"/>
                <w:color w:val="auto"/>
                <w:sz w:val="21"/>
                <w:szCs w:val="21"/>
                <w:highlight w:val="none"/>
                <w:lang w:val="en-US" w:eastAsia="zh-CN"/>
              </w:rPr>
              <w:t>生产车间</w:t>
            </w:r>
            <w:r>
              <w:rPr>
                <w:rFonts w:hint="eastAsia" w:ascii="Times New Roman" w:hAnsi="Times New Roman" w:eastAsia="宋体" w:cs="Times New Roman"/>
                <w:color w:val="auto"/>
                <w:spacing w:val="-10"/>
                <w:sz w:val="21"/>
                <w:szCs w:val="21"/>
                <w:lang w:val="en-US" w:eastAsia="zh-CN"/>
              </w:rPr>
              <w:t>废钢破碎尾料</w:t>
            </w:r>
            <w:r>
              <w:rPr>
                <w:rFonts w:hint="eastAsia" w:ascii="Times New Roman" w:hAnsi="Times New Roman" w:cs="Times New Roman"/>
                <w:color w:val="auto"/>
                <w:spacing w:val="-10"/>
                <w:sz w:val="21"/>
                <w:szCs w:val="21"/>
                <w:lang w:val="en-US" w:eastAsia="zh-CN"/>
              </w:rPr>
              <w:t>暂存区</w:t>
            </w:r>
            <w:r>
              <w:rPr>
                <w:rFonts w:hint="eastAsia" w:ascii="Times New Roman" w:hAnsi="Times New Roman"/>
                <w:color w:val="auto"/>
                <w:sz w:val="21"/>
                <w:szCs w:val="21"/>
                <w:highlight w:val="none"/>
                <w:lang w:val="en-US" w:eastAsia="zh-CN"/>
              </w:rPr>
              <w:t>，年</w:t>
            </w:r>
            <w:r>
              <w:rPr>
                <w:rFonts w:hint="eastAsia" w:ascii="Times New Roman" w:hAnsi="Times New Roman" w:cs="Times New Roman"/>
                <w:color w:val="auto"/>
                <w:sz w:val="21"/>
                <w:szCs w:val="21"/>
                <w:highlight w:val="none"/>
                <w:lang w:val="en-US" w:eastAsia="zh-CN"/>
              </w:rPr>
              <w:t>周转</w:t>
            </w:r>
            <w:r>
              <w:rPr>
                <w:rFonts w:hint="eastAsia" w:ascii="Times New Roman" w:hAnsi="Times New Roman" w:eastAsia="宋体" w:cs="Times New Roman"/>
                <w:color w:val="auto"/>
                <w:sz w:val="21"/>
                <w:szCs w:val="21"/>
                <w:highlight w:val="none"/>
                <w:lang w:val="en-US" w:eastAsia="zh-CN"/>
              </w:rPr>
              <w:t>量为</w:t>
            </w:r>
            <w:r>
              <w:rPr>
                <w:rFonts w:hint="eastAsia" w:ascii="Times New Roman" w:hAnsi="Times New Roman" w:cs="Times New Roman"/>
                <w:color w:val="auto"/>
                <w:sz w:val="21"/>
                <w:szCs w:val="21"/>
                <w:highlight w:val="none"/>
                <w:lang w:val="en-US" w:eastAsia="zh-CN"/>
              </w:rPr>
              <w:t>50万</w:t>
            </w:r>
            <w:r>
              <w:rPr>
                <w:rFonts w:hint="eastAsia" w:ascii="Times New Roman" w:hAnsi="Times New Roman" w:eastAsia="宋体" w:cs="Times New Roman"/>
                <w:color w:val="auto"/>
                <w:sz w:val="21"/>
                <w:szCs w:val="21"/>
                <w:highlight w:val="none"/>
                <w:lang w:val="en-US" w:eastAsia="zh-CN"/>
              </w:rPr>
              <w:t>t</w:t>
            </w:r>
            <w:r>
              <w:rPr>
                <w:rFonts w:hint="eastAsia" w:ascii="Times New Roman" w:hAnsi="Times New Roman" w:cs="Times New Roman"/>
                <w:color w:val="auto"/>
                <w:sz w:val="21"/>
                <w:szCs w:val="21"/>
                <w:highlight w:val="none"/>
                <w:lang w:val="en-US" w:eastAsia="zh-CN"/>
              </w:rPr>
              <w:t>、</w:t>
            </w:r>
            <w:r>
              <w:rPr>
                <w:rFonts w:hint="eastAsia" w:ascii="Times New Roman" w:hAnsi="Times New Roman"/>
                <w:color w:val="auto"/>
                <w:sz w:val="21"/>
                <w:szCs w:val="21"/>
                <w:highlight w:val="none"/>
              </w:rPr>
              <w:t>含水率为</w:t>
            </w:r>
            <w:r>
              <w:rPr>
                <w:rFonts w:hint="eastAsia" w:ascii="Times New Roman" w:hAnsi="Times New Roman"/>
                <w:color w:val="auto"/>
                <w:sz w:val="21"/>
                <w:szCs w:val="21"/>
                <w:highlight w:val="none"/>
                <w:lang w:val="en-US" w:eastAsia="zh-CN"/>
              </w:rPr>
              <w:t>12</w:t>
            </w:r>
            <w:r>
              <w:rPr>
                <w:rFonts w:hint="eastAsia" w:ascii="Times New Roman" w:hAnsi="Times New Roman"/>
                <w:color w:val="auto"/>
                <w:sz w:val="21"/>
                <w:szCs w:val="21"/>
                <w:highlight w:val="none"/>
              </w:rPr>
              <w:t>%</w:t>
            </w:r>
            <w:r>
              <w:rPr>
                <w:rFonts w:hint="eastAsia" w:ascii="Times New Roman" w:hAnsi="Times New Roman"/>
                <w:color w:val="auto"/>
                <w:sz w:val="21"/>
                <w:szCs w:val="21"/>
                <w:highlight w:val="none"/>
                <w:lang w:eastAsia="zh-CN"/>
              </w:rPr>
              <w:t>；</w:t>
            </w:r>
            <w:r>
              <w:rPr>
                <w:rFonts w:hint="eastAsia" w:ascii="Times New Roman" w:hAnsi="Times New Roman" w:eastAsia="宋体" w:cs="Times New Roman"/>
                <w:color w:val="auto"/>
                <w:spacing w:val="-10"/>
                <w:sz w:val="21"/>
                <w:szCs w:val="21"/>
                <w:lang w:val="en-US" w:eastAsia="zh-CN"/>
              </w:rPr>
              <w:t>钢渣</w:t>
            </w:r>
            <w:r>
              <w:rPr>
                <w:rFonts w:hint="eastAsia" w:ascii="Times New Roman" w:hAnsi="Times New Roman"/>
                <w:color w:val="auto"/>
                <w:sz w:val="21"/>
                <w:szCs w:val="21"/>
                <w:highlight w:val="none"/>
                <w:lang w:val="en-US" w:eastAsia="zh-CN"/>
              </w:rPr>
              <w:t>主要储存在2</w:t>
            </w:r>
            <w:r>
              <w:rPr>
                <w:rFonts w:hint="eastAsia" w:ascii="Times New Roman" w:hAnsi="Times New Roman"/>
                <w:color w:val="auto"/>
                <w:sz w:val="21"/>
                <w:szCs w:val="21"/>
                <w:highlight w:val="none"/>
                <w:vertAlign w:val="superscript"/>
                <w:lang w:val="en-US" w:eastAsia="zh-CN"/>
              </w:rPr>
              <w:t>#</w:t>
            </w:r>
            <w:r>
              <w:rPr>
                <w:rFonts w:hint="eastAsia" w:ascii="Times New Roman" w:hAnsi="Times New Roman"/>
                <w:color w:val="auto"/>
                <w:sz w:val="21"/>
                <w:szCs w:val="21"/>
                <w:highlight w:val="none"/>
                <w:lang w:val="en-US" w:eastAsia="zh-CN"/>
              </w:rPr>
              <w:t>生产车间</w:t>
            </w:r>
            <w:r>
              <w:rPr>
                <w:rFonts w:hint="eastAsia" w:ascii="Times New Roman" w:hAnsi="Times New Roman" w:cs="Times New Roman"/>
                <w:color w:val="auto"/>
                <w:spacing w:val="-10"/>
                <w:sz w:val="21"/>
                <w:szCs w:val="21"/>
                <w:lang w:val="en-US" w:eastAsia="zh-CN"/>
              </w:rPr>
              <w:t>钢渣暂存区</w:t>
            </w:r>
            <w:r>
              <w:rPr>
                <w:rFonts w:hint="eastAsia" w:ascii="Times New Roman" w:hAnsi="Times New Roman"/>
                <w:color w:val="auto"/>
                <w:sz w:val="21"/>
                <w:szCs w:val="21"/>
                <w:highlight w:val="none"/>
                <w:lang w:val="en-US" w:eastAsia="zh-CN"/>
              </w:rPr>
              <w:t>，年</w:t>
            </w:r>
            <w:r>
              <w:rPr>
                <w:rFonts w:hint="eastAsia" w:ascii="Times New Roman" w:hAnsi="Times New Roman" w:cs="Times New Roman"/>
                <w:color w:val="auto"/>
                <w:sz w:val="21"/>
                <w:szCs w:val="21"/>
                <w:highlight w:val="none"/>
                <w:lang w:val="en-US" w:eastAsia="zh-CN"/>
              </w:rPr>
              <w:t>周转</w:t>
            </w:r>
            <w:r>
              <w:rPr>
                <w:rFonts w:hint="eastAsia" w:ascii="Times New Roman" w:hAnsi="Times New Roman" w:eastAsia="宋体" w:cs="Times New Roman"/>
                <w:color w:val="auto"/>
                <w:sz w:val="21"/>
                <w:szCs w:val="21"/>
                <w:highlight w:val="none"/>
                <w:lang w:val="en-US" w:eastAsia="zh-CN"/>
              </w:rPr>
              <w:t>量为</w:t>
            </w:r>
            <w:r>
              <w:rPr>
                <w:rFonts w:hint="eastAsia" w:ascii="Times New Roman" w:hAnsi="Times New Roman" w:cs="Times New Roman"/>
                <w:color w:val="auto"/>
                <w:sz w:val="21"/>
                <w:szCs w:val="21"/>
                <w:highlight w:val="none"/>
                <w:lang w:val="en-US" w:eastAsia="zh-CN"/>
              </w:rPr>
              <w:t>20万</w:t>
            </w:r>
            <w:r>
              <w:rPr>
                <w:rFonts w:hint="eastAsia" w:ascii="Times New Roman" w:hAnsi="Times New Roman" w:eastAsia="宋体" w:cs="Times New Roman"/>
                <w:color w:val="auto"/>
                <w:sz w:val="21"/>
                <w:szCs w:val="21"/>
                <w:highlight w:val="none"/>
                <w:lang w:val="en-US" w:eastAsia="zh-CN"/>
              </w:rPr>
              <w:t>t</w:t>
            </w:r>
            <w:r>
              <w:rPr>
                <w:rFonts w:hint="eastAsia" w:ascii="Times New Roman" w:hAnsi="Times New Roman" w:cs="Times New Roman"/>
                <w:color w:val="auto"/>
                <w:sz w:val="21"/>
                <w:szCs w:val="21"/>
                <w:highlight w:val="none"/>
                <w:lang w:val="en-US" w:eastAsia="zh-CN"/>
              </w:rPr>
              <w:t>、</w:t>
            </w:r>
            <w:r>
              <w:rPr>
                <w:rFonts w:hint="eastAsia" w:ascii="Times New Roman" w:hAnsi="Times New Roman"/>
                <w:color w:val="auto"/>
                <w:sz w:val="21"/>
                <w:szCs w:val="21"/>
                <w:highlight w:val="none"/>
              </w:rPr>
              <w:t>含水率为</w:t>
            </w:r>
            <w:r>
              <w:rPr>
                <w:rFonts w:hint="eastAsia" w:ascii="Times New Roman" w:hAnsi="Times New Roman"/>
                <w:color w:val="auto"/>
                <w:sz w:val="21"/>
                <w:szCs w:val="21"/>
                <w:highlight w:val="none"/>
                <w:lang w:val="en-US" w:eastAsia="zh-CN"/>
              </w:rPr>
              <w:t>5</w:t>
            </w:r>
            <w:r>
              <w:rPr>
                <w:rFonts w:hint="eastAsia" w:ascii="Times New Roman" w:hAnsi="Times New Roman"/>
                <w:color w:val="auto"/>
                <w:sz w:val="21"/>
                <w:szCs w:val="21"/>
                <w:highlight w:val="none"/>
              </w:rPr>
              <w:t>%</w:t>
            </w:r>
            <w:r>
              <w:rPr>
                <w:rFonts w:hint="eastAsia" w:ascii="Times New Roman" w:hAnsi="Times New Roman"/>
                <w:color w:val="auto"/>
                <w:sz w:val="21"/>
                <w:szCs w:val="21"/>
                <w:highlight w:val="none"/>
                <w:lang w:eastAsia="zh-CN"/>
              </w:rPr>
              <w:t>；</w:t>
            </w:r>
            <w:r>
              <w:rPr>
                <w:rFonts w:hint="eastAsia" w:ascii="Times New Roman" w:hAnsi="Times New Roman" w:eastAsia="宋体" w:cs="Times New Roman"/>
                <w:color w:val="auto"/>
                <w:spacing w:val="-10"/>
                <w:sz w:val="21"/>
                <w:szCs w:val="21"/>
                <w:lang w:val="en-US" w:eastAsia="zh-CN"/>
              </w:rPr>
              <w:t>铁粉</w:t>
            </w:r>
            <w:r>
              <w:rPr>
                <w:rFonts w:hint="eastAsia" w:ascii="Times New Roman" w:hAnsi="Times New Roman"/>
                <w:color w:val="auto"/>
                <w:sz w:val="21"/>
                <w:szCs w:val="21"/>
                <w:highlight w:val="none"/>
                <w:lang w:val="en-US" w:eastAsia="zh-CN"/>
              </w:rPr>
              <w:t>主要储存在1</w:t>
            </w:r>
            <w:r>
              <w:rPr>
                <w:rFonts w:hint="eastAsia" w:ascii="Times New Roman" w:hAnsi="Times New Roman"/>
                <w:color w:val="auto"/>
                <w:sz w:val="21"/>
                <w:szCs w:val="21"/>
                <w:highlight w:val="none"/>
                <w:vertAlign w:val="superscript"/>
                <w:lang w:val="en-US" w:eastAsia="zh-CN"/>
              </w:rPr>
              <w:t>#</w:t>
            </w:r>
            <w:r>
              <w:rPr>
                <w:rFonts w:hint="eastAsia" w:ascii="Times New Roman" w:hAnsi="Times New Roman"/>
                <w:color w:val="auto"/>
                <w:sz w:val="21"/>
                <w:szCs w:val="21"/>
                <w:highlight w:val="none"/>
                <w:lang w:val="en-US" w:eastAsia="zh-CN"/>
              </w:rPr>
              <w:t>生产车间铁粉储料池，年</w:t>
            </w:r>
            <w:r>
              <w:rPr>
                <w:rFonts w:hint="eastAsia" w:ascii="Times New Roman" w:hAnsi="Times New Roman" w:cs="Times New Roman"/>
                <w:color w:val="auto"/>
                <w:sz w:val="21"/>
                <w:szCs w:val="21"/>
                <w:highlight w:val="none"/>
                <w:lang w:val="en-US" w:eastAsia="zh-CN"/>
              </w:rPr>
              <w:t>周转</w:t>
            </w:r>
            <w:r>
              <w:rPr>
                <w:rFonts w:hint="eastAsia" w:ascii="Times New Roman" w:hAnsi="Times New Roman" w:eastAsia="宋体" w:cs="Times New Roman"/>
                <w:color w:val="auto"/>
                <w:sz w:val="21"/>
                <w:szCs w:val="21"/>
                <w:highlight w:val="none"/>
                <w:lang w:val="en-US" w:eastAsia="zh-CN"/>
              </w:rPr>
              <w:t>量为</w:t>
            </w:r>
            <w:r>
              <w:rPr>
                <w:rFonts w:hint="eastAsia" w:ascii="Times New Roman" w:hAnsi="Times New Roman" w:cs="Times New Roman"/>
                <w:color w:val="auto"/>
                <w:sz w:val="21"/>
                <w:szCs w:val="21"/>
                <w:highlight w:val="none"/>
                <w:lang w:val="en-US" w:eastAsia="zh-CN"/>
              </w:rPr>
              <w:t>4.28万</w:t>
            </w:r>
            <w:r>
              <w:rPr>
                <w:rFonts w:hint="eastAsia" w:ascii="Times New Roman" w:hAnsi="Times New Roman" w:eastAsia="宋体" w:cs="Times New Roman"/>
                <w:color w:val="auto"/>
                <w:sz w:val="21"/>
                <w:szCs w:val="21"/>
                <w:highlight w:val="none"/>
                <w:lang w:val="en-US" w:eastAsia="zh-CN"/>
              </w:rPr>
              <w:t>t</w:t>
            </w:r>
            <w:r>
              <w:rPr>
                <w:rFonts w:hint="eastAsia" w:ascii="Times New Roman" w:hAnsi="Times New Roman" w:cs="Times New Roman"/>
                <w:color w:val="auto"/>
                <w:sz w:val="21"/>
                <w:szCs w:val="21"/>
                <w:highlight w:val="none"/>
                <w:lang w:val="en-US" w:eastAsia="zh-CN"/>
              </w:rPr>
              <w:t>、</w:t>
            </w:r>
            <w:r>
              <w:rPr>
                <w:rFonts w:hint="eastAsia" w:ascii="Times New Roman" w:hAnsi="Times New Roman"/>
                <w:color w:val="auto"/>
                <w:sz w:val="21"/>
                <w:szCs w:val="21"/>
                <w:highlight w:val="none"/>
              </w:rPr>
              <w:t>含水率为</w:t>
            </w:r>
            <w:r>
              <w:rPr>
                <w:rFonts w:hint="eastAsia" w:ascii="Times New Roman" w:hAnsi="Times New Roman"/>
                <w:color w:val="auto"/>
                <w:sz w:val="21"/>
                <w:szCs w:val="21"/>
                <w:highlight w:val="none"/>
                <w:lang w:val="en-US" w:eastAsia="zh-CN"/>
              </w:rPr>
              <w:t>15</w:t>
            </w:r>
            <w:r>
              <w:rPr>
                <w:rFonts w:hint="eastAsia" w:ascii="Times New Roman" w:hAnsi="Times New Roman"/>
                <w:color w:val="auto"/>
                <w:sz w:val="21"/>
                <w:szCs w:val="21"/>
                <w:highlight w:val="none"/>
              </w:rPr>
              <w:t>%</w:t>
            </w:r>
            <w:r>
              <w:rPr>
                <w:rFonts w:hint="eastAsia" w:ascii="Times New Roman" w:hAnsi="Times New Roman"/>
                <w:color w:val="auto"/>
                <w:sz w:val="21"/>
                <w:szCs w:val="21"/>
                <w:highlight w:val="none"/>
                <w:lang w:eastAsia="zh-CN"/>
              </w:rPr>
              <w:t>；土</w:t>
            </w:r>
            <w:r>
              <w:rPr>
                <w:rFonts w:hint="eastAsia" w:ascii="Times New Roman" w:hAnsi="Times New Roman"/>
                <w:color w:val="auto"/>
                <w:sz w:val="21"/>
                <w:szCs w:val="21"/>
                <w:highlight w:val="none"/>
                <w:lang w:val="en-US" w:eastAsia="zh-CN"/>
              </w:rPr>
              <w:t>主要储存在1</w:t>
            </w:r>
            <w:r>
              <w:rPr>
                <w:rFonts w:hint="eastAsia" w:ascii="Times New Roman" w:hAnsi="Times New Roman"/>
                <w:color w:val="auto"/>
                <w:sz w:val="21"/>
                <w:szCs w:val="21"/>
                <w:highlight w:val="none"/>
                <w:vertAlign w:val="superscript"/>
                <w:lang w:val="en-US" w:eastAsia="zh-CN"/>
              </w:rPr>
              <w:t>#</w:t>
            </w:r>
            <w:r>
              <w:rPr>
                <w:rFonts w:hint="eastAsia" w:ascii="Times New Roman" w:hAnsi="Times New Roman"/>
                <w:color w:val="auto"/>
                <w:sz w:val="21"/>
                <w:szCs w:val="21"/>
                <w:highlight w:val="none"/>
                <w:lang w:val="en-US" w:eastAsia="zh-CN"/>
              </w:rPr>
              <w:t>生产车间废土暂存区，年周转量为15.8万t，含水率为12%</w:t>
            </w:r>
            <w:r>
              <w:rPr>
                <w:rFonts w:hint="eastAsia" w:ascii="Times New Roman" w:hAnsi="Times New Roman"/>
                <w:color w:val="auto"/>
                <w:sz w:val="21"/>
                <w:szCs w:val="21"/>
                <w:highlight w:val="none"/>
                <w:lang w:eastAsia="zh-CN"/>
              </w:rPr>
              <w:t>；</w:t>
            </w:r>
            <w:r>
              <w:rPr>
                <w:rFonts w:hint="eastAsia" w:ascii="Times New Roman" w:hAnsi="Times New Roman" w:eastAsia="宋体" w:cs="Times New Roman"/>
                <w:color w:val="auto"/>
                <w:spacing w:val="-10"/>
                <w:sz w:val="21"/>
                <w:szCs w:val="21"/>
                <w:lang w:val="en-US" w:eastAsia="zh-CN"/>
              </w:rPr>
              <w:t>磁性钢渣粉</w:t>
            </w:r>
            <w:r>
              <w:rPr>
                <w:rFonts w:hint="eastAsia" w:ascii="Times New Roman" w:hAnsi="Times New Roman"/>
                <w:color w:val="auto"/>
                <w:sz w:val="21"/>
                <w:szCs w:val="21"/>
                <w:highlight w:val="none"/>
                <w:lang w:val="en-US" w:eastAsia="zh-CN"/>
              </w:rPr>
              <w:t>主要储存在2</w:t>
            </w:r>
            <w:r>
              <w:rPr>
                <w:rFonts w:hint="eastAsia" w:ascii="Times New Roman" w:hAnsi="Times New Roman"/>
                <w:color w:val="auto"/>
                <w:sz w:val="21"/>
                <w:szCs w:val="21"/>
                <w:highlight w:val="none"/>
                <w:vertAlign w:val="superscript"/>
                <w:lang w:val="en-US" w:eastAsia="zh-CN"/>
              </w:rPr>
              <w:t>#</w:t>
            </w:r>
            <w:r>
              <w:rPr>
                <w:rFonts w:hint="eastAsia" w:ascii="Times New Roman" w:hAnsi="Times New Roman"/>
                <w:color w:val="auto"/>
                <w:sz w:val="21"/>
                <w:szCs w:val="21"/>
                <w:highlight w:val="none"/>
                <w:lang w:val="en-US" w:eastAsia="zh-CN"/>
              </w:rPr>
              <w:t>生产车间</w:t>
            </w:r>
            <w:r>
              <w:rPr>
                <w:rFonts w:hint="eastAsia" w:ascii="Times New Roman" w:hAnsi="Times New Roman" w:eastAsia="宋体" w:cs="Times New Roman"/>
                <w:color w:val="auto"/>
                <w:spacing w:val="-10"/>
                <w:sz w:val="21"/>
                <w:szCs w:val="21"/>
                <w:lang w:val="en-US" w:eastAsia="zh-CN"/>
              </w:rPr>
              <w:t>磁性钢渣粉</w:t>
            </w:r>
            <w:r>
              <w:rPr>
                <w:rFonts w:hint="eastAsia" w:ascii="Times New Roman" w:hAnsi="Times New Roman" w:cs="Times New Roman"/>
                <w:color w:val="auto"/>
                <w:spacing w:val="-10"/>
                <w:sz w:val="21"/>
                <w:szCs w:val="21"/>
                <w:lang w:val="en-US" w:eastAsia="zh-CN"/>
              </w:rPr>
              <w:t>暂存区</w:t>
            </w:r>
            <w:r>
              <w:rPr>
                <w:rFonts w:hint="eastAsia" w:ascii="Times New Roman" w:hAnsi="Times New Roman"/>
                <w:color w:val="auto"/>
                <w:sz w:val="21"/>
                <w:szCs w:val="21"/>
                <w:highlight w:val="none"/>
                <w:lang w:val="en-US" w:eastAsia="zh-CN"/>
              </w:rPr>
              <w:t>，年</w:t>
            </w:r>
            <w:r>
              <w:rPr>
                <w:rFonts w:hint="eastAsia" w:ascii="Times New Roman" w:hAnsi="Times New Roman" w:cs="Times New Roman"/>
                <w:color w:val="auto"/>
                <w:sz w:val="21"/>
                <w:szCs w:val="21"/>
                <w:highlight w:val="none"/>
                <w:lang w:val="en-US" w:eastAsia="zh-CN"/>
              </w:rPr>
              <w:t>周转</w:t>
            </w:r>
            <w:r>
              <w:rPr>
                <w:rFonts w:hint="eastAsia" w:ascii="Times New Roman" w:hAnsi="Times New Roman" w:eastAsia="宋体" w:cs="Times New Roman"/>
                <w:color w:val="auto"/>
                <w:sz w:val="21"/>
                <w:szCs w:val="21"/>
                <w:highlight w:val="none"/>
                <w:lang w:val="en-US" w:eastAsia="zh-CN"/>
              </w:rPr>
              <w:t>量为</w:t>
            </w:r>
            <w:r>
              <w:rPr>
                <w:rFonts w:hint="eastAsia" w:ascii="Times New Roman" w:hAnsi="Times New Roman" w:cs="Times New Roman"/>
                <w:color w:val="auto"/>
                <w:sz w:val="21"/>
                <w:szCs w:val="21"/>
                <w:highlight w:val="none"/>
                <w:lang w:val="en-US" w:eastAsia="zh-CN"/>
              </w:rPr>
              <w:t>4万</w:t>
            </w:r>
            <w:r>
              <w:rPr>
                <w:rFonts w:hint="eastAsia" w:ascii="Times New Roman" w:hAnsi="Times New Roman" w:eastAsia="宋体" w:cs="Times New Roman"/>
                <w:color w:val="auto"/>
                <w:sz w:val="21"/>
                <w:szCs w:val="21"/>
                <w:highlight w:val="none"/>
                <w:lang w:val="en-US" w:eastAsia="zh-CN"/>
              </w:rPr>
              <w:t>t</w:t>
            </w:r>
            <w:r>
              <w:rPr>
                <w:rFonts w:hint="eastAsia" w:ascii="Times New Roman" w:hAnsi="Times New Roman" w:cs="Times New Roman"/>
                <w:color w:val="auto"/>
                <w:sz w:val="21"/>
                <w:szCs w:val="21"/>
                <w:highlight w:val="none"/>
                <w:lang w:val="en-US" w:eastAsia="zh-CN"/>
              </w:rPr>
              <w:t>、</w:t>
            </w:r>
            <w:r>
              <w:rPr>
                <w:rFonts w:hint="eastAsia" w:ascii="Times New Roman" w:hAnsi="Times New Roman"/>
                <w:color w:val="auto"/>
                <w:sz w:val="21"/>
                <w:szCs w:val="21"/>
                <w:highlight w:val="none"/>
              </w:rPr>
              <w:t>含水率为</w:t>
            </w:r>
            <w:r>
              <w:rPr>
                <w:rFonts w:hint="eastAsia" w:ascii="Times New Roman" w:hAnsi="Times New Roman"/>
                <w:color w:val="auto"/>
                <w:sz w:val="21"/>
                <w:szCs w:val="21"/>
                <w:highlight w:val="none"/>
                <w:lang w:val="en-US" w:eastAsia="zh-CN"/>
              </w:rPr>
              <w:t>12</w:t>
            </w:r>
            <w:r>
              <w:rPr>
                <w:rFonts w:hint="eastAsia" w:ascii="Times New Roman" w:hAnsi="Times New Roman"/>
                <w:color w:val="auto"/>
                <w:sz w:val="21"/>
                <w:szCs w:val="21"/>
                <w:highlight w:val="none"/>
              </w:rPr>
              <w:t>%</w:t>
            </w:r>
            <w:r>
              <w:rPr>
                <w:rFonts w:hint="eastAsia" w:ascii="Times New Roman" w:hAnsi="Times New Roman"/>
                <w:color w:val="auto"/>
                <w:sz w:val="21"/>
                <w:szCs w:val="21"/>
                <w:highlight w:val="none"/>
                <w:lang w:eastAsia="zh-CN"/>
              </w:rPr>
              <w:t>；</w:t>
            </w:r>
            <w:r>
              <w:rPr>
                <w:rFonts w:hint="eastAsia" w:ascii="Times New Roman" w:hAnsi="Times New Roman"/>
                <w:color w:val="auto"/>
                <w:sz w:val="21"/>
                <w:szCs w:val="21"/>
                <w:highlight w:val="none"/>
                <w:lang w:val="en-US" w:eastAsia="zh-CN"/>
              </w:rPr>
              <w:t>非</w:t>
            </w:r>
            <w:r>
              <w:rPr>
                <w:rFonts w:hint="eastAsia" w:ascii="Times New Roman" w:hAnsi="Times New Roman" w:eastAsia="宋体" w:cs="Times New Roman"/>
                <w:color w:val="auto"/>
                <w:spacing w:val="-10"/>
                <w:sz w:val="21"/>
                <w:szCs w:val="21"/>
                <w:highlight w:val="none"/>
                <w:lang w:val="en-US" w:eastAsia="zh-CN"/>
              </w:rPr>
              <w:t>磁性钢渣粉</w:t>
            </w:r>
            <w:r>
              <w:rPr>
                <w:rFonts w:hint="eastAsia" w:ascii="Times New Roman" w:hAnsi="Times New Roman"/>
                <w:color w:val="auto"/>
                <w:sz w:val="21"/>
                <w:szCs w:val="21"/>
                <w:highlight w:val="none"/>
                <w:lang w:val="en-US" w:eastAsia="zh-CN"/>
              </w:rPr>
              <w:t>主要储存在2</w:t>
            </w:r>
            <w:r>
              <w:rPr>
                <w:rFonts w:hint="eastAsia" w:ascii="Times New Roman" w:hAnsi="Times New Roman"/>
                <w:color w:val="auto"/>
                <w:sz w:val="21"/>
                <w:szCs w:val="21"/>
                <w:highlight w:val="none"/>
                <w:vertAlign w:val="superscript"/>
                <w:lang w:val="en-US" w:eastAsia="zh-CN"/>
              </w:rPr>
              <w:t>#</w:t>
            </w:r>
            <w:r>
              <w:rPr>
                <w:rFonts w:hint="eastAsia" w:ascii="Times New Roman" w:hAnsi="Times New Roman"/>
                <w:color w:val="auto"/>
                <w:sz w:val="21"/>
                <w:szCs w:val="21"/>
                <w:highlight w:val="none"/>
                <w:lang w:val="en-US" w:eastAsia="zh-CN"/>
              </w:rPr>
              <w:t>生产车间非</w:t>
            </w:r>
            <w:r>
              <w:rPr>
                <w:rFonts w:hint="eastAsia" w:ascii="Times New Roman" w:hAnsi="Times New Roman" w:eastAsia="宋体" w:cs="Times New Roman"/>
                <w:color w:val="auto"/>
                <w:spacing w:val="-10"/>
                <w:sz w:val="21"/>
                <w:szCs w:val="21"/>
                <w:highlight w:val="none"/>
                <w:lang w:val="en-US" w:eastAsia="zh-CN"/>
              </w:rPr>
              <w:t>磁性钢渣粉</w:t>
            </w:r>
            <w:r>
              <w:rPr>
                <w:rFonts w:hint="eastAsia" w:ascii="Times New Roman" w:hAnsi="Times New Roman" w:cs="Times New Roman"/>
                <w:color w:val="auto"/>
                <w:spacing w:val="-10"/>
                <w:sz w:val="21"/>
                <w:szCs w:val="21"/>
                <w:highlight w:val="none"/>
                <w:lang w:val="en-US" w:eastAsia="zh-CN"/>
              </w:rPr>
              <w:t>暂存区</w:t>
            </w:r>
            <w:r>
              <w:rPr>
                <w:rFonts w:hint="eastAsia" w:ascii="Times New Roman" w:hAnsi="Times New Roman"/>
                <w:color w:val="auto"/>
                <w:sz w:val="21"/>
                <w:szCs w:val="21"/>
                <w:highlight w:val="none"/>
                <w:lang w:val="en-US" w:eastAsia="zh-CN"/>
              </w:rPr>
              <w:t>，年</w:t>
            </w:r>
            <w:r>
              <w:rPr>
                <w:rFonts w:hint="eastAsia" w:ascii="Times New Roman" w:hAnsi="Times New Roman" w:cs="Times New Roman"/>
                <w:color w:val="auto"/>
                <w:sz w:val="21"/>
                <w:szCs w:val="21"/>
                <w:highlight w:val="none"/>
                <w:lang w:val="en-US" w:eastAsia="zh-CN"/>
              </w:rPr>
              <w:t>周转</w:t>
            </w:r>
            <w:r>
              <w:rPr>
                <w:rFonts w:hint="eastAsia" w:ascii="Times New Roman" w:hAnsi="Times New Roman" w:eastAsia="宋体" w:cs="Times New Roman"/>
                <w:color w:val="auto"/>
                <w:sz w:val="21"/>
                <w:szCs w:val="21"/>
                <w:highlight w:val="none"/>
                <w:lang w:val="en-US" w:eastAsia="zh-CN"/>
              </w:rPr>
              <w:t>量为</w:t>
            </w:r>
            <w:r>
              <w:rPr>
                <w:rFonts w:hint="eastAsia" w:ascii="Times New Roman" w:hAnsi="Times New Roman" w:cs="Times New Roman"/>
                <w:color w:val="auto"/>
                <w:sz w:val="21"/>
                <w:szCs w:val="21"/>
                <w:highlight w:val="none"/>
                <w:lang w:val="en-US" w:eastAsia="zh-CN"/>
              </w:rPr>
              <w:t>16.4万</w:t>
            </w:r>
            <w:r>
              <w:rPr>
                <w:rFonts w:hint="eastAsia" w:ascii="Times New Roman" w:hAnsi="Times New Roman" w:eastAsia="宋体" w:cs="Times New Roman"/>
                <w:color w:val="auto"/>
                <w:sz w:val="21"/>
                <w:szCs w:val="21"/>
                <w:highlight w:val="none"/>
                <w:lang w:val="en-US" w:eastAsia="zh-CN"/>
              </w:rPr>
              <w:t>t</w:t>
            </w:r>
            <w:r>
              <w:rPr>
                <w:rFonts w:hint="eastAsia" w:ascii="Times New Roman" w:hAnsi="Times New Roman" w:cs="Times New Roman"/>
                <w:color w:val="auto"/>
                <w:sz w:val="21"/>
                <w:szCs w:val="21"/>
                <w:highlight w:val="none"/>
                <w:lang w:val="en-US" w:eastAsia="zh-CN"/>
              </w:rPr>
              <w:t>、</w:t>
            </w:r>
            <w:r>
              <w:rPr>
                <w:rFonts w:hint="eastAsia" w:ascii="Times New Roman" w:hAnsi="Times New Roman"/>
                <w:color w:val="auto"/>
                <w:sz w:val="21"/>
                <w:szCs w:val="21"/>
                <w:highlight w:val="none"/>
              </w:rPr>
              <w:t>含水率为</w:t>
            </w:r>
            <w:r>
              <w:rPr>
                <w:rFonts w:hint="eastAsia" w:ascii="Times New Roman" w:hAnsi="Times New Roman"/>
                <w:color w:val="auto"/>
                <w:sz w:val="21"/>
                <w:szCs w:val="21"/>
                <w:highlight w:val="none"/>
                <w:lang w:val="en-US" w:eastAsia="zh-CN"/>
              </w:rPr>
              <w:t>12</w:t>
            </w:r>
            <w:r>
              <w:rPr>
                <w:rFonts w:hint="eastAsia" w:ascii="Times New Roman" w:hAnsi="Times New Roman"/>
                <w:color w:val="auto"/>
                <w:sz w:val="21"/>
                <w:szCs w:val="21"/>
                <w:highlight w:val="none"/>
              </w:rPr>
              <w:t>%</w:t>
            </w:r>
            <w:r>
              <w:rPr>
                <w:rFonts w:hint="eastAsia" w:ascii="Times New Roman" w:hAnsi="Times New Roman"/>
                <w:color w:val="auto"/>
                <w:sz w:val="21"/>
                <w:szCs w:val="21"/>
                <w:highlight w:val="none"/>
                <w:lang w:eastAsia="zh-CN"/>
              </w:rPr>
              <w:t>。</w:t>
            </w:r>
          </w:p>
          <w:p w14:paraId="182CAAAA">
            <w:pPr>
              <w:pStyle w:val="24"/>
              <w:adjustRightInd w:val="0"/>
              <w:snapToGrid w:val="0"/>
              <w:spacing w:before="0" w:beforeAutospacing="0" w:after="0" w:afterAutospacing="0" w:line="440" w:lineRule="exact"/>
              <w:ind w:firstLine="380" w:firstLineChars="200"/>
              <w:rPr>
                <w:rFonts w:ascii="Times New Roman" w:hAnsi="Times New Roman"/>
                <w:color w:val="auto"/>
                <w:sz w:val="21"/>
                <w:szCs w:val="21"/>
              </w:rPr>
            </w:pPr>
            <w:r>
              <w:rPr>
                <w:rFonts w:hint="eastAsia" w:ascii="Times New Roman" w:hAnsi="Times New Roman" w:eastAsia="宋体" w:cs="Times New Roman"/>
                <w:color w:val="auto"/>
                <w:spacing w:val="-10"/>
                <w:sz w:val="21"/>
                <w:szCs w:val="21"/>
                <w:lang w:val="en-US" w:eastAsia="zh-CN"/>
              </w:rPr>
              <w:t>废钢破碎尾料</w:t>
            </w:r>
            <w:r>
              <w:rPr>
                <w:rFonts w:hint="eastAsia" w:ascii="Times New Roman" w:hAnsi="Times New Roman" w:cs="Times New Roman"/>
                <w:color w:val="auto"/>
                <w:spacing w:val="-10"/>
                <w:sz w:val="21"/>
                <w:szCs w:val="21"/>
                <w:lang w:val="en-US" w:eastAsia="zh-CN"/>
              </w:rPr>
              <w:t>、</w:t>
            </w:r>
            <w:r>
              <w:rPr>
                <w:rFonts w:hint="eastAsia" w:ascii="Times New Roman" w:hAnsi="Times New Roman" w:eastAsia="宋体" w:cs="Times New Roman"/>
                <w:color w:val="auto"/>
                <w:spacing w:val="-10"/>
                <w:sz w:val="21"/>
                <w:szCs w:val="21"/>
                <w:lang w:val="en-US" w:eastAsia="zh-CN"/>
              </w:rPr>
              <w:t>钢渣</w:t>
            </w:r>
            <w:r>
              <w:rPr>
                <w:rFonts w:hint="eastAsia" w:ascii="Times New Roman" w:hAnsi="Times New Roman" w:cs="Times New Roman"/>
                <w:color w:val="auto"/>
                <w:spacing w:val="-10"/>
                <w:sz w:val="21"/>
                <w:szCs w:val="21"/>
                <w:lang w:val="en-US" w:eastAsia="zh-CN"/>
              </w:rPr>
              <w:t>、</w:t>
            </w:r>
            <w:r>
              <w:rPr>
                <w:rFonts w:hint="eastAsia" w:ascii="Times New Roman" w:hAnsi="Times New Roman" w:eastAsia="宋体" w:cs="Times New Roman"/>
                <w:color w:val="auto"/>
                <w:spacing w:val="-10"/>
                <w:sz w:val="21"/>
                <w:szCs w:val="21"/>
                <w:lang w:val="en-US" w:eastAsia="zh-CN"/>
              </w:rPr>
              <w:t>铁粉</w:t>
            </w:r>
            <w:r>
              <w:rPr>
                <w:rFonts w:hint="eastAsia" w:ascii="Times New Roman" w:hAnsi="Times New Roman" w:cs="Times New Roman"/>
                <w:color w:val="auto"/>
                <w:spacing w:val="-10"/>
                <w:sz w:val="21"/>
                <w:szCs w:val="21"/>
                <w:lang w:val="en-US" w:eastAsia="zh-CN"/>
              </w:rPr>
              <w:t>、</w:t>
            </w:r>
            <w:r>
              <w:rPr>
                <w:rFonts w:hint="eastAsia" w:ascii="Times New Roman" w:hAnsi="Times New Roman"/>
                <w:color w:val="auto"/>
                <w:sz w:val="21"/>
                <w:szCs w:val="21"/>
                <w:highlight w:val="none"/>
                <w:lang w:eastAsia="zh-CN"/>
              </w:rPr>
              <w:t>土、</w:t>
            </w:r>
            <w:r>
              <w:rPr>
                <w:rFonts w:hint="eastAsia" w:ascii="Times New Roman" w:hAnsi="Times New Roman" w:eastAsia="宋体" w:cs="Times New Roman"/>
                <w:color w:val="auto"/>
                <w:spacing w:val="-10"/>
                <w:sz w:val="21"/>
                <w:szCs w:val="21"/>
                <w:lang w:val="en-US" w:eastAsia="zh-CN"/>
              </w:rPr>
              <w:t>磁性</w:t>
            </w:r>
            <w:r>
              <w:rPr>
                <w:rFonts w:hint="eastAsia" w:ascii="Times New Roman" w:hAnsi="Times New Roman" w:eastAsia="宋体" w:cs="Times New Roman"/>
                <w:color w:val="auto"/>
                <w:spacing w:val="-10"/>
                <w:sz w:val="21"/>
                <w:szCs w:val="21"/>
                <w:highlight w:val="none"/>
                <w:lang w:val="en-US" w:eastAsia="zh-CN"/>
              </w:rPr>
              <w:t>钢渣粉</w:t>
            </w:r>
            <w:r>
              <w:rPr>
                <w:rFonts w:hint="eastAsia" w:ascii="Times New Roman" w:hAnsi="Times New Roman" w:cs="Times New Roman"/>
                <w:color w:val="auto"/>
                <w:spacing w:val="-10"/>
                <w:sz w:val="21"/>
                <w:szCs w:val="21"/>
                <w:highlight w:val="none"/>
                <w:lang w:val="en-US" w:eastAsia="zh-CN"/>
              </w:rPr>
              <w:t>、</w:t>
            </w:r>
            <w:r>
              <w:rPr>
                <w:rFonts w:hint="eastAsia" w:ascii="Times New Roman" w:hAnsi="Times New Roman"/>
                <w:color w:val="auto"/>
                <w:sz w:val="21"/>
                <w:szCs w:val="21"/>
                <w:highlight w:val="none"/>
                <w:lang w:val="en-US" w:eastAsia="zh-CN"/>
              </w:rPr>
              <w:t>非</w:t>
            </w:r>
            <w:r>
              <w:rPr>
                <w:rFonts w:hint="eastAsia" w:ascii="Times New Roman" w:hAnsi="Times New Roman" w:eastAsia="宋体" w:cs="Times New Roman"/>
                <w:color w:val="auto"/>
                <w:spacing w:val="-10"/>
                <w:sz w:val="21"/>
                <w:szCs w:val="21"/>
                <w:highlight w:val="none"/>
                <w:lang w:val="en-US" w:eastAsia="zh-CN"/>
              </w:rPr>
              <w:t>磁性钢渣粉</w:t>
            </w:r>
            <w:r>
              <w:rPr>
                <w:rFonts w:hint="eastAsia" w:ascii="Times New Roman" w:hAnsi="Times New Roman" w:cs="Times New Roman"/>
                <w:color w:val="auto"/>
                <w:spacing w:val="-10"/>
                <w:sz w:val="21"/>
                <w:szCs w:val="21"/>
                <w:highlight w:val="none"/>
                <w:lang w:val="en-US" w:eastAsia="zh-CN"/>
              </w:rPr>
              <w:t>装卸、堆存</w:t>
            </w:r>
            <w:r>
              <w:rPr>
                <w:rFonts w:ascii="Times New Roman" w:hAnsi="Times New Roman"/>
                <w:color w:val="auto"/>
                <w:sz w:val="21"/>
                <w:szCs w:val="21"/>
                <w:highlight w:val="none"/>
              </w:rPr>
              <w:t>均在</w:t>
            </w:r>
            <w:r>
              <w:rPr>
                <w:rFonts w:hint="eastAsia" w:ascii="Times New Roman" w:hAnsi="Times New Roman"/>
                <w:color w:val="auto"/>
                <w:sz w:val="21"/>
                <w:szCs w:val="21"/>
                <w:highlight w:val="none"/>
                <w:lang w:val="en-US" w:eastAsia="zh-CN"/>
              </w:rPr>
              <w:t>封闭生产车间内</w:t>
            </w:r>
            <w:r>
              <w:rPr>
                <w:rFonts w:ascii="Times New Roman" w:hAnsi="Times New Roman"/>
                <w:color w:val="auto"/>
                <w:sz w:val="21"/>
                <w:szCs w:val="21"/>
                <w:highlight w:val="none"/>
              </w:rPr>
              <w:t>进行，</w:t>
            </w:r>
            <w:r>
              <w:rPr>
                <w:rFonts w:hint="eastAsia" w:ascii="Times New Roman" w:hAnsi="Times New Roman"/>
                <w:color w:val="auto"/>
                <w:sz w:val="21"/>
                <w:szCs w:val="21"/>
                <w:highlight w:val="none"/>
                <w:lang w:val="en-US" w:eastAsia="zh-CN"/>
              </w:rPr>
              <w:t>生产车间</w:t>
            </w:r>
            <w:r>
              <w:rPr>
                <w:rFonts w:ascii="Times New Roman" w:hAnsi="Times New Roman"/>
                <w:color w:val="auto"/>
                <w:sz w:val="21"/>
                <w:szCs w:val="21"/>
                <w:highlight w:val="none"/>
              </w:rPr>
              <w:t>留有装卸场地及车辆行驶道路，物料不在厂区内进行露天转运，</w:t>
            </w:r>
            <w:r>
              <w:rPr>
                <w:rFonts w:hint="eastAsia" w:ascii="Times New Roman" w:hAnsi="Times New Roman"/>
                <w:color w:val="auto"/>
                <w:sz w:val="21"/>
                <w:szCs w:val="21"/>
                <w:highlight w:val="none"/>
              </w:rPr>
              <w:t>项目在</w:t>
            </w:r>
            <w:r>
              <w:rPr>
                <w:rFonts w:hint="eastAsia" w:ascii="Times New Roman" w:hAnsi="Times New Roman" w:eastAsia="宋体" w:cs="Times New Roman"/>
                <w:color w:val="auto"/>
                <w:spacing w:val="-10"/>
                <w:sz w:val="21"/>
                <w:szCs w:val="21"/>
                <w:highlight w:val="none"/>
                <w:lang w:val="en-US" w:eastAsia="zh-CN"/>
              </w:rPr>
              <w:t>废钢破碎尾料、钢渣、铁粉</w:t>
            </w:r>
            <w:r>
              <w:rPr>
                <w:rFonts w:hint="eastAsia" w:ascii="Times New Roman" w:hAnsi="Times New Roman" w:cs="Times New Roman"/>
                <w:color w:val="auto"/>
                <w:spacing w:val="-10"/>
                <w:sz w:val="21"/>
                <w:szCs w:val="21"/>
                <w:lang w:val="en-US" w:eastAsia="zh-CN"/>
              </w:rPr>
              <w:t>、</w:t>
            </w:r>
            <w:r>
              <w:rPr>
                <w:rFonts w:hint="eastAsia" w:ascii="Times New Roman" w:hAnsi="Times New Roman"/>
                <w:color w:val="auto"/>
                <w:sz w:val="21"/>
                <w:szCs w:val="21"/>
                <w:highlight w:val="none"/>
                <w:lang w:eastAsia="zh-CN"/>
              </w:rPr>
              <w:t>土</w:t>
            </w:r>
            <w:r>
              <w:rPr>
                <w:rFonts w:hint="eastAsia" w:ascii="Times New Roman" w:hAnsi="Times New Roman" w:eastAsia="宋体" w:cs="Times New Roman"/>
                <w:color w:val="auto"/>
                <w:spacing w:val="-10"/>
                <w:sz w:val="21"/>
                <w:szCs w:val="21"/>
                <w:highlight w:val="none"/>
                <w:lang w:val="en-US" w:eastAsia="zh-CN"/>
              </w:rPr>
              <w:t>、磁性钢渣粉、</w:t>
            </w:r>
            <w:r>
              <w:rPr>
                <w:rFonts w:hint="eastAsia" w:ascii="Times New Roman" w:hAnsi="Times New Roman"/>
                <w:color w:val="auto"/>
                <w:sz w:val="21"/>
                <w:szCs w:val="21"/>
                <w:highlight w:val="none"/>
                <w:lang w:val="en-US" w:eastAsia="zh-CN"/>
              </w:rPr>
              <w:t>非</w:t>
            </w:r>
            <w:r>
              <w:rPr>
                <w:rFonts w:hint="eastAsia" w:ascii="Times New Roman" w:hAnsi="Times New Roman" w:eastAsia="宋体" w:cs="Times New Roman"/>
                <w:color w:val="auto"/>
                <w:spacing w:val="-10"/>
                <w:sz w:val="21"/>
                <w:szCs w:val="21"/>
                <w:highlight w:val="none"/>
                <w:lang w:val="en-US" w:eastAsia="zh-CN"/>
              </w:rPr>
              <w:t>磁性钢渣粉</w:t>
            </w:r>
            <w:r>
              <w:rPr>
                <w:rFonts w:hint="eastAsia" w:ascii="Times New Roman" w:hAnsi="Times New Roman"/>
                <w:color w:val="auto"/>
                <w:sz w:val="21"/>
                <w:szCs w:val="21"/>
                <w:highlight w:val="none"/>
                <w:lang w:val="en-US" w:eastAsia="zh-CN"/>
              </w:rPr>
              <w:t>物料暂存区</w:t>
            </w:r>
            <w:r>
              <w:rPr>
                <w:rFonts w:hint="eastAsia" w:ascii="Times New Roman" w:hAnsi="Times New Roman"/>
                <w:color w:val="auto"/>
                <w:sz w:val="21"/>
                <w:szCs w:val="21"/>
              </w:rPr>
              <w:t>顶部</w:t>
            </w:r>
            <w:r>
              <w:rPr>
                <w:rFonts w:ascii="Times New Roman" w:hAnsi="Times New Roman"/>
                <w:color w:val="auto"/>
                <w:sz w:val="21"/>
                <w:szCs w:val="21"/>
              </w:rPr>
              <w:t>设置喷淋抑尘装置（电伴热），喷淋管路使用保温棉包裹，每隔5m设置1个喷淋口，喷淋口辐射面积为5m×3.5m，定期向料堆喷水，并在原料卸车过程中增加喷淋次数。</w:t>
            </w:r>
          </w:p>
          <w:p w14:paraId="0E0DCCFC">
            <w:pPr>
              <w:pStyle w:val="24"/>
              <w:adjustRightInd w:val="0"/>
              <w:snapToGrid w:val="0"/>
              <w:spacing w:before="0" w:beforeAutospacing="0" w:after="0" w:afterAutospacing="0" w:line="440" w:lineRule="exact"/>
              <w:ind w:firstLine="420" w:firstLineChars="200"/>
              <w:rPr>
                <w:rFonts w:ascii="Times New Roman" w:hAnsi="Times New Roman"/>
                <w:color w:val="auto"/>
                <w:sz w:val="21"/>
                <w:szCs w:val="21"/>
              </w:rPr>
            </w:pPr>
            <w:r>
              <w:rPr>
                <w:rFonts w:hint="eastAsia" w:ascii="Times New Roman" w:hAnsi="Times New Roman"/>
                <w:color w:val="auto"/>
                <w:sz w:val="21"/>
                <w:szCs w:val="21"/>
              </w:rPr>
              <w:t>项目</w:t>
            </w:r>
            <w:r>
              <w:rPr>
                <w:rFonts w:ascii="Times New Roman" w:hAnsi="Times New Roman"/>
                <w:color w:val="auto"/>
                <w:sz w:val="21"/>
                <w:szCs w:val="21"/>
              </w:rPr>
              <w:t>原料及成品装卸、存储扬尘产生量参照环境保护部关于发布《大气可吸入颗粒物一次源排放清单编制技术指南（试行）》等5项技术指南的公告（公告2014年第92号）中《扬尘源颗粒物排放清单编制技术指南》中的堆场扬尘源排放量计算方法进行计算。</w:t>
            </w:r>
          </w:p>
          <w:p w14:paraId="58F70133">
            <w:pPr>
              <w:pStyle w:val="24"/>
              <w:adjustRightInd w:val="0"/>
              <w:snapToGrid w:val="0"/>
              <w:spacing w:before="0" w:beforeAutospacing="0" w:after="0" w:afterAutospacing="0" w:line="440" w:lineRule="exact"/>
              <w:ind w:firstLine="420" w:firstLineChars="200"/>
              <w:rPr>
                <w:rFonts w:ascii="Times New Roman" w:hAnsi="Times New Roman"/>
                <w:color w:val="auto"/>
                <w:sz w:val="21"/>
                <w:szCs w:val="21"/>
              </w:rPr>
            </w:pPr>
            <w:r>
              <w:rPr>
                <w:rFonts w:hint="eastAsia" w:ascii="Times New Roman" w:hAnsi="Times New Roman"/>
                <w:color w:val="auto"/>
                <w:sz w:val="21"/>
                <w:szCs w:val="21"/>
              </w:rPr>
              <w:t>a</w:t>
            </w:r>
            <w:r>
              <w:rPr>
                <w:rFonts w:ascii="Times New Roman" w:hAnsi="Times New Roman"/>
                <w:color w:val="auto"/>
                <w:sz w:val="21"/>
                <w:szCs w:val="21"/>
              </w:rPr>
              <w:t>装卸、运输物料过程扬尘排放系数</w:t>
            </w:r>
            <w:r>
              <w:rPr>
                <w:rFonts w:hint="eastAsia" w:ascii="Times New Roman" w:hAnsi="Times New Roman"/>
                <w:color w:val="auto"/>
                <w:sz w:val="21"/>
                <w:szCs w:val="21"/>
              </w:rPr>
              <w:t>E</w:t>
            </w:r>
            <w:r>
              <w:rPr>
                <w:rFonts w:hint="eastAsia" w:ascii="Times New Roman" w:hAnsi="Times New Roman"/>
                <w:color w:val="auto"/>
                <w:sz w:val="21"/>
                <w:szCs w:val="21"/>
                <w:vertAlign w:val="subscript"/>
              </w:rPr>
              <w:t>h</w:t>
            </w:r>
          </w:p>
          <w:p w14:paraId="5C377520">
            <w:pPr>
              <w:pStyle w:val="24"/>
              <w:adjustRightInd w:val="0"/>
              <w:snapToGrid w:val="0"/>
              <w:spacing w:before="0" w:beforeAutospacing="0" w:after="0" w:afterAutospacing="0" w:line="440" w:lineRule="exact"/>
              <w:ind w:firstLine="420" w:firstLineChars="200"/>
              <w:rPr>
                <w:rFonts w:ascii="Times New Roman" w:hAnsi="Times New Roman"/>
                <w:color w:val="auto"/>
                <w:sz w:val="21"/>
                <w:szCs w:val="21"/>
              </w:rPr>
            </w:pPr>
            <w:r>
              <w:rPr>
                <w:rFonts w:ascii="Times New Roman" w:hAnsi="Times New Roman"/>
                <w:color w:val="auto"/>
                <w:sz w:val="21"/>
                <w:szCs w:val="21"/>
              </w:rPr>
              <w:t>物料装卸、运输过程扬尘排放系数E</w:t>
            </w:r>
            <w:r>
              <w:rPr>
                <w:rFonts w:ascii="Times New Roman" w:hAnsi="Times New Roman"/>
                <w:color w:val="auto"/>
                <w:sz w:val="21"/>
                <w:szCs w:val="21"/>
                <w:vertAlign w:val="subscript"/>
              </w:rPr>
              <w:t>h</w:t>
            </w:r>
            <w:r>
              <w:rPr>
                <w:rFonts w:ascii="Times New Roman" w:hAnsi="Times New Roman"/>
                <w:color w:val="auto"/>
                <w:sz w:val="21"/>
                <w:szCs w:val="21"/>
              </w:rPr>
              <w:t>的估算采用公式(1)进行计算。</w:t>
            </w:r>
          </w:p>
          <w:p w14:paraId="364E1CCD">
            <w:pPr>
              <w:pStyle w:val="79"/>
              <w:rPr>
                <w:rFonts w:eastAsia="仿宋"/>
                <w:color w:val="auto"/>
                <w:sz w:val="24"/>
              </w:rPr>
            </w:pPr>
            <w:r>
              <w:rPr>
                <w:rFonts w:hint="eastAsia" w:eastAsia="仿宋"/>
                <w:color w:val="auto"/>
                <w:sz w:val="24"/>
              </w:rPr>
              <w:drawing>
                <wp:anchor distT="0" distB="0" distL="114300" distR="114300" simplePos="0" relativeHeight="251660288" behindDoc="0" locked="0" layoutInCell="1" allowOverlap="1">
                  <wp:simplePos x="0" y="0"/>
                  <wp:positionH relativeFrom="column">
                    <wp:posOffset>346075</wp:posOffset>
                  </wp:positionH>
                  <wp:positionV relativeFrom="paragraph">
                    <wp:posOffset>26670</wp:posOffset>
                  </wp:positionV>
                  <wp:extent cx="2714625" cy="581660"/>
                  <wp:effectExtent l="0" t="0" r="13335" b="12700"/>
                  <wp:wrapNone/>
                  <wp:docPr id="190" name="图片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 name="图片 108"/>
                          <pic:cNvPicPr>
                            <a:picLocks noChangeAspect="1" noChangeArrowheads="1"/>
                          </pic:cNvPicPr>
                        </pic:nvPicPr>
                        <pic:blipFill>
                          <a:blip r:embed="rId9" cstate="print"/>
                          <a:srcRect/>
                          <a:stretch>
                            <a:fillRect/>
                          </a:stretch>
                        </pic:blipFill>
                        <pic:spPr>
                          <a:xfrm>
                            <a:off x="0" y="0"/>
                            <a:ext cx="2714625" cy="581891"/>
                          </a:xfrm>
                          <a:prstGeom prst="rect">
                            <a:avLst/>
                          </a:prstGeom>
                          <a:noFill/>
                          <a:ln w="9525">
                            <a:noFill/>
                            <a:miter lim="800000"/>
                            <a:headEnd/>
                            <a:tailEnd/>
                          </a:ln>
                        </pic:spPr>
                      </pic:pic>
                    </a:graphicData>
                  </a:graphic>
                </wp:anchor>
              </w:drawing>
            </w:r>
          </w:p>
          <w:p w14:paraId="07188674">
            <w:pPr>
              <w:pStyle w:val="79"/>
              <w:rPr>
                <w:rFonts w:eastAsia="仿宋"/>
                <w:color w:val="auto"/>
                <w:sz w:val="24"/>
              </w:rPr>
            </w:pPr>
          </w:p>
          <w:p w14:paraId="339A7C59">
            <w:pPr>
              <w:pStyle w:val="79"/>
              <w:rPr>
                <w:rFonts w:eastAsia="仿宋"/>
                <w:color w:val="auto"/>
                <w:sz w:val="24"/>
              </w:rPr>
            </w:pPr>
            <w:r>
              <w:rPr>
                <w:rFonts w:hint="eastAsia" w:eastAsia="仿宋"/>
                <w:color w:val="auto"/>
                <w:sz w:val="24"/>
              </w:rPr>
              <w:t xml:space="preserve">                              </w:t>
            </w:r>
            <w:r>
              <w:rPr>
                <w:rFonts w:hint="eastAsia" w:ascii="宋体" w:hAnsi="宋体" w:cs="宋体"/>
                <w:color w:val="auto"/>
                <w:szCs w:val="21"/>
              </w:rPr>
              <w:t>…………… 公式(1)</w:t>
            </w:r>
          </w:p>
          <w:p w14:paraId="64FF18F1">
            <w:pPr>
              <w:spacing w:line="440" w:lineRule="exact"/>
              <w:ind w:firstLine="482"/>
              <w:rPr>
                <w:rFonts w:eastAsiaTheme="minorEastAsia"/>
                <w:color w:val="auto"/>
                <w:szCs w:val="21"/>
              </w:rPr>
            </w:pPr>
            <w:r>
              <w:rPr>
                <w:rFonts w:eastAsiaTheme="minorEastAsia"/>
                <w:color w:val="auto"/>
                <w:szCs w:val="21"/>
              </w:rPr>
              <w:t>式中：</w:t>
            </w:r>
          </w:p>
          <w:p w14:paraId="02438159">
            <w:pPr>
              <w:spacing w:line="440" w:lineRule="exact"/>
              <w:ind w:firstLine="482"/>
              <w:rPr>
                <w:rFonts w:eastAsiaTheme="minorEastAsia"/>
                <w:color w:val="auto"/>
                <w:szCs w:val="21"/>
              </w:rPr>
            </w:pPr>
            <w:r>
              <w:rPr>
                <w:rFonts w:eastAsiaTheme="minorEastAsia"/>
                <w:color w:val="auto"/>
                <w:szCs w:val="21"/>
              </w:rPr>
              <w:t>E</w:t>
            </w:r>
            <w:r>
              <w:rPr>
                <w:rFonts w:eastAsiaTheme="minorEastAsia"/>
                <w:color w:val="auto"/>
                <w:szCs w:val="21"/>
                <w:vertAlign w:val="subscript"/>
              </w:rPr>
              <w:t>h</w:t>
            </w:r>
            <w:r>
              <w:rPr>
                <w:rFonts w:eastAsiaTheme="minorEastAsia"/>
                <w:color w:val="auto"/>
                <w:szCs w:val="21"/>
              </w:rPr>
              <w:t>——为堆场装卸扬尘的排放系数，kg/t。</w:t>
            </w:r>
          </w:p>
          <w:p w14:paraId="18DB058C">
            <w:pPr>
              <w:spacing w:line="440" w:lineRule="exact"/>
              <w:ind w:firstLine="482"/>
              <w:rPr>
                <w:rFonts w:eastAsiaTheme="minorEastAsia"/>
                <w:color w:val="auto"/>
                <w:szCs w:val="21"/>
              </w:rPr>
            </w:pPr>
            <w:r>
              <w:rPr>
                <w:rFonts w:eastAsiaTheme="minorEastAsia"/>
                <w:color w:val="auto"/>
                <w:szCs w:val="21"/>
              </w:rPr>
              <w:t>k</w:t>
            </w:r>
            <w:r>
              <w:rPr>
                <w:rFonts w:eastAsiaTheme="minorEastAsia"/>
                <w:color w:val="auto"/>
                <w:szCs w:val="21"/>
                <w:vertAlign w:val="subscript"/>
              </w:rPr>
              <w:t>i</w:t>
            </w:r>
            <w:r>
              <w:rPr>
                <w:rFonts w:eastAsiaTheme="minorEastAsia"/>
                <w:color w:val="auto"/>
                <w:szCs w:val="21"/>
              </w:rPr>
              <w:t>——物料的粒度乘数，参考《扬尘源颗粒物排放清单编制技术指南》表10中TSP的粒度乘数为0.74。</w:t>
            </w:r>
          </w:p>
          <w:p w14:paraId="33AB4E2C">
            <w:pPr>
              <w:spacing w:line="440" w:lineRule="exact"/>
              <w:ind w:firstLine="482"/>
              <w:rPr>
                <w:rFonts w:eastAsiaTheme="minorEastAsia"/>
                <w:color w:val="auto"/>
                <w:szCs w:val="21"/>
              </w:rPr>
            </w:pPr>
            <w:r>
              <w:rPr>
                <w:rFonts w:eastAsiaTheme="minorEastAsia"/>
                <w:color w:val="auto"/>
                <w:szCs w:val="21"/>
              </w:rPr>
              <w:t>u——地面平均风速，m/s；物料装卸在</w:t>
            </w:r>
            <w:r>
              <w:rPr>
                <w:rFonts w:hint="eastAsia" w:eastAsiaTheme="minorEastAsia"/>
                <w:color w:val="auto"/>
                <w:szCs w:val="21"/>
                <w:lang w:val="en-US" w:eastAsia="zh-CN"/>
              </w:rPr>
              <w:t>封</w:t>
            </w:r>
            <w:r>
              <w:rPr>
                <w:rFonts w:hint="eastAsia" w:eastAsiaTheme="minorEastAsia"/>
                <w:color w:val="auto"/>
                <w:szCs w:val="21"/>
                <w:highlight w:val="none"/>
                <w:lang w:val="en-US" w:eastAsia="zh-CN"/>
              </w:rPr>
              <w:t>闭车间</w:t>
            </w:r>
            <w:r>
              <w:rPr>
                <w:rFonts w:eastAsiaTheme="minorEastAsia"/>
                <w:color w:val="auto"/>
                <w:szCs w:val="21"/>
                <w:highlight w:val="none"/>
              </w:rPr>
              <w:t>内，取风</w:t>
            </w:r>
            <w:r>
              <w:rPr>
                <w:rFonts w:eastAsiaTheme="minorEastAsia"/>
                <w:color w:val="auto"/>
                <w:szCs w:val="21"/>
              </w:rPr>
              <w:t>速0.5m/s。</w:t>
            </w:r>
          </w:p>
          <w:p w14:paraId="4E5BF1A9">
            <w:pPr>
              <w:spacing w:line="440" w:lineRule="exact"/>
              <w:ind w:firstLine="482"/>
              <w:rPr>
                <w:rFonts w:eastAsiaTheme="minorEastAsia"/>
                <w:color w:val="auto"/>
                <w:szCs w:val="21"/>
              </w:rPr>
            </w:pPr>
            <w:r>
              <w:rPr>
                <w:rFonts w:eastAsiaTheme="minorEastAsia"/>
                <w:color w:val="auto"/>
                <w:szCs w:val="21"/>
              </w:rPr>
              <w:t>M——物料含水率，%。</w:t>
            </w:r>
          </w:p>
          <w:p w14:paraId="47D765CB">
            <w:pPr>
              <w:spacing w:line="440" w:lineRule="exact"/>
              <w:ind w:firstLine="482"/>
              <w:rPr>
                <w:rFonts w:eastAsiaTheme="minorEastAsia"/>
                <w:color w:val="auto"/>
                <w:szCs w:val="21"/>
              </w:rPr>
            </w:pPr>
            <w:r>
              <w:rPr>
                <w:rFonts w:eastAsiaTheme="minorEastAsia"/>
                <w:color w:val="auto"/>
                <w:szCs w:val="21"/>
              </w:rPr>
              <w:t>η——污染控制技术对扬尘的去除效率，%。参考《扬尘源颗粒物排放清单编制技术指南》表12“建筑料</w:t>
            </w:r>
            <w:r>
              <w:rPr>
                <w:rFonts w:eastAsiaTheme="minorEastAsia"/>
                <w:color w:val="auto"/>
                <w:szCs w:val="21"/>
                <w:highlight w:val="none"/>
              </w:rPr>
              <w:t>堆的三边用孔隙率50%的围挡遮围”TSP控制效率为90%</w:t>
            </w:r>
            <w:r>
              <w:rPr>
                <w:rFonts w:hint="eastAsia" w:eastAsiaTheme="minorEastAsia"/>
                <w:color w:val="auto"/>
                <w:szCs w:val="21"/>
                <w:highlight w:val="none"/>
                <w:lang w:eastAsia="zh-CN"/>
              </w:rPr>
              <w:t>。</w:t>
            </w:r>
            <w:r>
              <w:rPr>
                <w:rFonts w:eastAsiaTheme="minorEastAsia"/>
                <w:color w:val="auto"/>
                <w:szCs w:val="21"/>
                <w:highlight w:val="none"/>
              </w:rPr>
              <w:t>拟建项目</w:t>
            </w:r>
            <w:r>
              <w:rPr>
                <w:rFonts w:hint="eastAsia" w:eastAsiaTheme="minorEastAsia"/>
                <w:color w:val="auto"/>
                <w:szCs w:val="21"/>
                <w:highlight w:val="none"/>
                <w:lang w:val="en-US" w:eastAsia="zh-CN"/>
              </w:rPr>
              <w:t>原料及产品暂存于封闭的车间内，</w:t>
            </w:r>
            <w:r>
              <w:rPr>
                <w:rFonts w:hint="eastAsia"/>
                <w:color w:val="auto"/>
                <w:szCs w:val="21"/>
                <w:highlight w:val="none"/>
              </w:rPr>
              <w:t>同时物料存储区顶部</w:t>
            </w:r>
            <w:r>
              <w:rPr>
                <w:color w:val="auto"/>
                <w:szCs w:val="21"/>
                <w:highlight w:val="none"/>
              </w:rPr>
              <w:t>设置喷淋抑尘装置（电伴热）</w:t>
            </w:r>
            <w:r>
              <w:rPr>
                <w:rFonts w:hint="eastAsia" w:eastAsiaTheme="minorEastAsia"/>
                <w:color w:val="auto"/>
                <w:szCs w:val="21"/>
                <w:highlight w:val="none"/>
                <w:lang w:eastAsia="zh-CN"/>
              </w:rPr>
              <w:t>。</w:t>
            </w:r>
            <w:r>
              <w:rPr>
                <w:rFonts w:eastAsiaTheme="minorEastAsia"/>
                <w:color w:val="auto"/>
                <w:szCs w:val="21"/>
                <w:highlight w:val="none"/>
              </w:rPr>
              <w:t>抑尘效率要高于上述围挡遮围措施，</w:t>
            </w:r>
            <w:r>
              <w:rPr>
                <w:rFonts w:hint="eastAsia" w:eastAsiaTheme="minorEastAsia"/>
                <w:color w:val="auto"/>
                <w:szCs w:val="21"/>
                <w:highlight w:val="none"/>
                <w:lang w:val="en-US" w:eastAsia="zh-CN"/>
              </w:rPr>
              <w:t>因此</w:t>
            </w:r>
            <w:r>
              <w:rPr>
                <w:rFonts w:hint="eastAsia"/>
                <w:color w:val="auto"/>
                <w:sz w:val="21"/>
                <w:szCs w:val="21"/>
                <w:highlight w:val="none"/>
                <w:lang w:val="en-US" w:eastAsia="zh-CN"/>
              </w:rPr>
              <w:t>生产车间</w:t>
            </w:r>
            <w:r>
              <w:rPr>
                <w:rFonts w:eastAsiaTheme="minorEastAsia"/>
                <w:color w:val="auto"/>
                <w:szCs w:val="21"/>
                <w:highlight w:val="none"/>
              </w:rPr>
              <w:t>颗粒物控制效率按9</w:t>
            </w:r>
            <w:r>
              <w:rPr>
                <w:rFonts w:hint="eastAsia" w:eastAsiaTheme="minorEastAsia"/>
                <w:color w:val="auto"/>
                <w:szCs w:val="21"/>
                <w:highlight w:val="none"/>
                <w:lang w:val="en-US" w:eastAsia="zh-CN"/>
              </w:rPr>
              <w:t>9</w:t>
            </w:r>
            <w:r>
              <w:rPr>
                <w:rFonts w:eastAsiaTheme="minorEastAsia"/>
                <w:color w:val="auto"/>
                <w:szCs w:val="21"/>
                <w:highlight w:val="none"/>
              </w:rPr>
              <w:t>%计</w:t>
            </w:r>
            <w:r>
              <w:rPr>
                <w:rFonts w:eastAsiaTheme="minorEastAsia"/>
                <w:color w:val="auto"/>
                <w:szCs w:val="21"/>
              </w:rPr>
              <w:t>。</w:t>
            </w:r>
          </w:p>
          <w:p w14:paraId="2B918E89">
            <w:pPr>
              <w:spacing w:line="440" w:lineRule="exact"/>
              <w:ind w:firstLine="482"/>
              <w:rPr>
                <w:rFonts w:eastAsiaTheme="minorEastAsia"/>
                <w:color w:val="auto"/>
                <w:szCs w:val="21"/>
              </w:rPr>
            </w:pPr>
            <w:r>
              <w:rPr>
                <w:rFonts w:eastAsiaTheme="minorEastAsia"/>
                <w:color w:val="auto"/>
                <w:szCs w:val="21"/>
              </w:rPr>
              <w:t>物料装卸过程颗粒物排放系数E</w:t>
            </w:r>
            <w:r>
              <w:rPr>
                <w:rFonts w:eastAsiaTheme="minorEastAsia"/>
                <w:color w:val="auto"/>
                <w:szCs w:val="21"/>
                <w:vertAlign w:val="subscript"/>
              </w:rPr>
              <w:t>h</w:t>
            </w:r>
            <w:r>
              <w:rPr>
                <w:rFonts w:eastAsiaTheme="minorEastAsia"/>
                <w:color w:val="auto"/>
                <w:szCs w:val="21"/>
              </w:rPr>
              <w:t>计算参数及结果见表</w:t>
            </w:r>
            <w:r>
              <w:rPr>
                <w:rFonts w:hint="eastAsia" w:eastAsiaTheme="minorEastAsia"/>
                <w:color w:val="auto"/>
                <w:szCs w:val="21"/>
                <w:lang w:val="en-US" w:eastAsia="zh-CN"/>
              </w:rPr>
              <w:t>28</w:t>
            </w:r>
            <w:r>
              <w:rPr>
                <w:rFonts w:eastAsiaTheme="minorEastAsia"/>
                <w:color w:val="auto"/>
                <w:szCs w:val="21"/>
              </w:rPr>
              <w:t>。</w:t>
            </w:r>
          </w:p>
          <w:p w14:paraId="07EF1424">
            <w:pPr>
              <w:spacing w:line="440" w:lineRule="exact"/>
              <w:ind w:firstLine="422" w:firstLineChars="200"/>
              <w:jc w:val="center"/>
              <w:rPr>
                <w:b/>
                <w:snapToGrid w:val="0"/>
                <w:color w:val="auto"/>
                <w:kern w:val="0"/>
                <w:lang w:val="zh-CN" w:bidi="ar"/>
              </w:rPr>
            </w:pPr>
            <w:r>
              <w:rPr>
                <w:b/>
                <w:snapToGrid w:val="0"/>
                <w:color w:val="auto"/>
                <w:kern w:val="0"/>
                <w:lang w:val="zh-CN" w:bidi="ar"/>
              </w:rPr>
              <w:t>表</w:t>
            </w:r>
            <w:r>
              <w:rPr>
                <w:rFonts w:hint="eastAsia"/>
                <w:b/>
                <w:snapToGrid w:val="0"/>
                <w:color w:val="auto"/>
                <w:kern w:val="0"/>
                <w:lang w:val="en-US" w:eastAsia="zh-CN" w:bidi="ar"/>
              </w:rPr>
              <w:t>28</w:t>
            </w:r>
            <w:r>
              <w:rPr>
                <w:rFonts w:hint="eastAsia"/>
                <w:b/>
                <w:snapToGrid w:val="0"/>
                <w:color w:val="auto"/>
                <w:kern w:val="0"/>
                <w:lang w:bidi="ar"/>
              </w:rPr>
              <w:t xml:space="preserve"> </w:t>
            </w:r>
            <w:r>
              <w:rPr>
                <w:rFonts w:hint="eastAsia"/>
                <w:b/>
                <w:snapToGrid w:val="0"/>
                <w:color w:val="auto"/>
                <w:kern w:val="0"/>
                <w:lang w:val="zh-CN" w:bidi="ar"/>
              </w:rPr>
              <w:t>扬尘排放系数</w:t>
            </w:r>
            <w:r>
              <w:rPr>
                <w:b/>
                <w:snapToGrid w:val="0"/>
                <w:color w:val="auto"/>
                <w:kern w:val="0"/>
                <w:lang w:val="zh-CN" w:bidi="ar"/>
              </w:rPr>
              <w:t>E</w:t>
            </w:r>
            <w:r>
              <w:rPr>
                <w:rFonts w:hint="eastAsia"/>
                <w:b/>
                <w:snapToGrid w:val="0"/>
                <w:color w:val="auto"/>
                <w:kern w:val="0"/>
                <w:lang w:val="zh-CN" w:bidi="ar"/>
              </w:rPr>
              <w:t>h</w:t>
            </w:r>
            <w:r>
              <w:rPr>
                <w:b/>
                <w:snapToGrid w:val="0"/>
                <w:color w:val="auto"/>
                <w:kern w:val="0"/>
                <w:lang w:val="zh-CN" w:bidi="ar"/>
              </w:rPr>
              <w:t>计算参数及结果</w:t>
            </w:r>
          </w:p>
          <w:tbl>
            <w:tblPr>
              <w:tblStyle w:val="28"/>
              <w:tblW w:w="7964"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28" w:type="dxa"/>
                <w:bottom w:w="0" w:type="dxa"/>
                <w:right w:w="28" w:type="dxa"/>
              </w:tblCellMar>
            </w:tblPr>
            <w:tblGrid>
              <w:gridCol w:w="576"/>
              <w:gridCol w:w="2363"/>
              <w:gridCol w:w="1118"/>
              <w:gridCol w:w="926"/>
              <w:gridCol w:w="926"/>
              <w:gridCol w:w="869"/>
              <w:gridCol w:w="1186"/>
            </w:tblGrid>
            <w:tr w14:paraId="57C0B83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72" w:hRule="atLeast"/>
                <w:jc w:val="center"/>
              </w:trPr>
              <w:tc>
                <w:tcPr>
                  <w:tcW w:w="2939" w:type="dxa"/>
                  <w:gridSpan w:val="2"/>
                  <w:tcBorders>
                    <w:tl2br w:val="nil"/>
                    <w:tr2bl w:val="nil"/>
                  </w:tcBorders>
                  <w:vAlign w:val="center"/>
                </w:tcPr>
                <w:p w14:paraId="197EB9CB">
                  <w:pPr>
                    <w:spacing w:line="0" w:lineRule="atLeast"/>
                    <w:jc w:val="center"/>
                    <w:rPr>
                      <w:color w:val="auto"/>
                      <w:spacing w:val="-12"/>
                      <w:sz w:val="18"/>
                      <w:szCs w:val="18"/>
                    </w:rPr>
                  </w:pPr>
                  <w:r>
                    <w:rPr>
                      <w:color w:val="auto"/>
                      <w:spacing w:val="-12"/>
                      <w:sz w:val="18"/>
                      <w:szCs w:val="18"/>
                    </w:rPr>
                    <w:t>项目</w:t>
                  </w:r>
                </w:p>
              </w:tc>
              <w:tc>
                <w:tcPr>
                  <w:tcW w:w="1118" w:type="dxa"/>
                  <w:tcBorders>
                    <w:tl2br w:val="nil"/>
                    <w:tr2bl w:val="nil"/>
                  </w:tcBorders>
                  <w:vAlign w:val="center"/>
                </w:tcPr>
                <w:p w14:paraId="4FC5625C">
                  <w:pPr>
                    <w:spacing w:line="0" w:lineRule="atLeast"/>
                    <w:jc w:val="center"/>
                    <w:rPr>
                      <w:color w:val="auto"/>
                      <w:spacing w:val="-12"/>
                      <w:sz w:val="18"/>
                      <w:szCs w:val="18"/>
                    </w:rPr>
                  </w:pPr>
                  <w:r>
                    <w:rPr>
                      <w:color w:val="auto"/>
                      <w:sz w:val="18"/>
                      <w:szCs w:val="18"/>
                    </w:rPr>
                    <w:t>k</w:t>
                  </w:r>
                  <w:r>
                    <w:rPr>
                      <w:color w:val="auto"/>
                      <w:sz w:val="18"/>
                      <w:szCs w:val="18"/>
                      <w:vertAlign w:val="subscript"/>
                    </w:rPr>
                    <w:t>i</w:t>
                  </w:r>
                </w:p>
              </w:tc>
              <w:tc>
                <w:tcPr>
                  <w:tcW w:w="926" w:type="dxa"/>
                  <w:tcBorders>
                    <w:tl2br w:val="nil"/>
                    <w:tr2bl w:val="nil"/>
                  </w:tcBorders>
                  <w:vAlign w:val="center"/>
                </w:tcPr>
                <w:p w14:paraId="4C4AC01A">
                  <w:pPr>
                    <w:spacing w:line="0" w:lineRule="atLeast"/>
                    <w:jc w:val="center"/>
                    <w:rPr>
                      <w:color w:val="auto"/>
                      <w:spacing w:val="-12"/>
                      <w:sz w:val="18"/>
                      <w:szCs w:val="18"/>
                    </w:rPr>
                  </w:pPr>
                  <w:r>
                    <w:rPr>
                      <w:color w:val="auto"/>
                      <w:sz w:val="18"/>
                      <w:szCs w:val="18"/>
                    </w:rPr>
                    <w:t>M（%）</w:t>
                  </w:r>
                </w:p>
              </w:tc>
              <w:tc>
                <w:tcPr>
                  <w:tcW w:w="926" w:type="dxa"/>
                  <w:tcBorders>
                    <w:tl2br w:val="nil"/>
                    <w:tr2bl w:val="nil"/>
                  </w:tcBorders>
                  <w:vAlign w:val="center"/>
                </w:tcPr>
                <w:p w14:paraId="1881A78D">
                  <w:pPr>
                    <w:spacing w:line="0" w:lineRule="atLeast"/>
                    <w:jc w:val="center"/>
                    <w:rPr>
                      <w:color w:val="auto"/>
                      <w:spacing w:val="-12"/>
                      <w:sz w:val="18"/>
                      <w:szCs w:val="18"/>
                    </w:rPr>
                  </w:pPr>
                  <w:r>
                    <w:rPr>
                      <w:color w:val="auto"/>
                      <w:sz w:val="18"/>
                      <w:szCs w:val="18"/>
                    </w:rPr>
                    <w:t>η（%）</w:t>
                  </w:r>
                </w:p>
              </w:tc>
              <w:tc>
                <w:tcPr>
                  <w:tcW w:w="869" w:type="dxa"/>
                  <w:tcBorders>
                    <w:tl2br w:val="nil"/>
                    <w:tr2bl w:val="nil"/>
                  </w:tcBorders>
                  <w:vAlign w:val="center"/>
                </w:tcPr>
                <w:p w14:paraId="7674206B">
                  <w:pPr>
                    <w:spacing w:line="0" w:lineRule="atLeast"/>
                    <w:jc w:val="center"/>
                    <w:rPr>
                      <w:color w:val="auto"/>
                      <w:spacing w:val="-12"/>
                      <w:sz w:val="18"/>
                      <w:szCs w:val="18"/>
                    </w:rPr>
                  </w:pPr>
                  <w:r>
                    <w:rPr>
                      <w:color w:val="auto"/>
                      <w:sz w:val="18"/>
                      <w:szCs w:val="18"/>
                    </w:rPr>
                    <w:t>u（m/s）</w:t>
                  </w:r>
                </w:p>
              </w:tc>
              <w:tc>
                <w:tcPr>
                  <w:tcW w:w="1186" w:type="dxa"/>
                  <w:tcBorders>
                    <w:tl2br w:val="nil"/>
                    <w:tr2bl w:val="nil"/>
                  </w:tcBorders>
                  <w:vAlign w:val="center"/>
                </w:tcPr>
                <w:p w14:paraId="4952A0F7">
                  <w:pPr>
                    <w:spacing w:line="0" w:lineRule="atLeast"/>
                    <w:jc w:val="center"/>
                    <w:rPr>
                      <w:color w:val="auto"/>
                      <w:spacing w:val="-12"/>
                      <w:sz w:val="18"/>
                      <w:szCs w:val="18"/>
                    </w:rPr>
                  </w:pPr>
                  <w:r>
                    <w:rPr>
                      <w:color w:val="auto"/>
                      <w:sz w:val="18"/>
                      <w:szCs w:val="18"/>
                    </w:rPr>
                    <w:t>E</w:t>
                  </w:r>
                  <w:r>
                    <w:rPr>
                      <w:color w:val="auto"/>
                      <w:sz w:val="18"/>
                      <w:szCs w:val="18"/>
                      <w:vertAlign w:val="subscript"/>
                    </w:rPr>
                    <w:t>h</w:t>
                  </w:r>
                  <w:r>
                    <w:rPr>
                      <w:color w:val="auto"/>
                      <w:sz w:val="18"/>
                      <w:szCs w:val="18"/>
                    </w:rPr>
                    <w:t>（kg/t）</w:t>
                  </w:r>
                </w:p>
              </w:tc>
            </w:tr>
            <w:tr w14:paraId="734A71C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356" w:hRule="atLeast"/>
                <w:jc w:val="center"/>
              </w:trPr>
              <w:tc>
                <w:tcPr>
                  <w:tcW w:w="576" w:type="dxa"/>
                  <w:vMerge w:val="restart"/>
                  <w:tcBorders>
                    <w:tl2br w:val="nil"/>
                    <w:tr2bl w:val="nil"/>
                  </w:tcBorders>
                  <w:vAlign w:val="center"/>
                </w:tcPr>
                <w:p w14:paraId="7181120E">
                  <w:pPr>
                    <w:jc w:val="center"/>
                    <w:rPr>
                      <w:rFonts w:hint="eastAsia" w:ascii="Times New Roman" w:hAnsi="Times New Roman" w:eastAsia="宋体" w:cs="Times New Roman"/>
                      <w:color w:val="auto"/>
                      <w:spacing w:val="-11"/>
                      <w:sz w:val="18"/>
                      <w:szCs w:val="18"/>
                      <w:highlight w:val="none"/>
                    </w:rPr>
                  </w:pPr>
                  <w:r>
                    <w:rPr>
                      <w:rFonts w:hint="eastAsia" w:cs="Times New Roman"/>
                      <w:color w:val="auto"/>
                      <w:spacing w:val="-11"/>
                      <w:sz w:val="18"/>
                      <w:szCs w:val="18"/>
                      <w:highlight w:val="none"/>
                      <w:lang w:val="en-US" w:eastAsia="zh-CN"/>
                    </w:rPr>
                    <w:t>1</w:t>
                  </w:r>
                  <w:r>
                    <w:rPr>
                      <w:rFonts w:hint="eastAsia" w:cs="Times New Roman"/>
                      <w:color w:val="auto"/>
                      <w:spacing w:val="-11"/>
                      <w:sz w:val="18"/>
                      <w:szCs w:val="18"/>
                      <w:highlight w:val="none"/>
                      <w:vertAlign w:val="superscript"/>
                      <w:lang w:val="en-US" w:eastAsia="zh-CN"/>
                    </w:rPr>
                    <w:t>#</w:t>
                  </w:r>
                  <w:r>
                    <w:rPr>
                      <w:rFonts w:hint="eastAsia" w:cs="Times New Roman"/>
                      <w:color w:val="auto"/>
                      <w:spacing w:val="-11"/>
                      <w:sz w:val="18"/>
                      <w:szCs w:val="18"/>
                      <w:highlight w:val="none"/>
                      <w:lang w:val="en-US" w:eastAsia="zh-CN"/>
                    </w:rPr>
                    <w:t>生产车间</w:t>
                  </w:r>
                </w:p>
              </w:tc>
              <w:tc>
                <w:tcPr>
                  <w:tcW w:w="2363" w:type="dxa"/>
                  <w:tcBorders>
                    <w:tl2br w:val="nil"/>
                    <w:tr2bl w:val="nil"/>
                  </w:tcBorders>
                  <w:vAlign w:val="center"/>
                </w:tcPr>
                <w:p w14:paraId="388A8EC7">
                  <w:pPr>
                    <w:jc w:val="center"/>
                    <w:rPr>
                      <w:rFonts w:hint="eastAsia" w:ascii="Times New Roman" w:hAnsi="Times New Roman" w:eastAsia="宋体" w:cs="Times New Roman"/>
                      <w:color w:val="auto"/>
                      <w:spacing w:val="-11"/>
                      <w:sz w:val="18"/>
                      <w:szCs w:val="18"/>
                      <w:highlight w:val="none"/>
                    </w:rPr>
                  </w:pPr>
                  <w:r>
                    <w:rPr>
                      <w:rFonts w:hint="eastAsia" w:ascii="Times New Roman" w:hAnsi="Times New Roman" w:eastAsia="宋体" w:cs="Times New Roman"/>
                      <w:color w:val="auto"/>
                      <w:spacing w:val="-11"/>
                      <w:sz w:val="18"/>
                      <w:szCs w:val="18"/>
                      <w:highlight w:val="none"/>
                      <w:lang w:val="en-US" w:eastAsia="zh-CN"/>
                    </w:rPr>
                    <w:t>废钢破碎尾料</w:t>
                  </w:r>
                  <w:r>
                    <w:rPr>
                      <w:rFonts w:hint="eastAsia" w:ascii="Times New Roman" w:hAnsi="Times New Roman" w:eastAsia="宋体" w:cs="Times New Roman"/>
                      <w:color w:val="auto"/>
                      <w:spacing w:val="-11"/>
                      <w:sz w:val="18"/>
                      <w:szCs w:val="18"/>
                      <w:highlight w:val="none"/>
                    </w:rPr>
                    <w:t>堆存与装卸</w:t>
                  </w:r>
                </w:p>
              </w:tc>
              <w:tc>
                <w:tcPr>
                  <w:tcW w:w="1118" w:type="dxa"/>
                  <w:tcBorders>
                    <w:tl2br w:val="nil"/>
                    <w:tr2bl w:val="nil"/>
                  </w:tcBorders>
                  <w:vAlign w:val="center"/>
                </w:tcPr>
                <w:p w14:paraId="597D8AC1">
                  <w:pPr>
                    <w:jc w:val="center"/>
                    <w:rPr>
                      <w:color w:val="auto"/>
                      <w:spacing w:val="-11"/>
                      <w:sz w:val="18"/>
                      <w:szCs w:val="18"/>
                      <w:highlight w:val="none"/>
                    </w:rPr>
                  </w:pPr>
                  <w:r>
                    <w:rPr>
                      <w:color w:val="auto"/>
                      <w:spacing w:val="-11"/>
                      <w:sz w:val="18"/>
                      <w:szCs w:val="18"/>
                      <w:highlight w:val="none"/>
                    </w:rPr>
                    <w:t>0.74</w:t>
                  </w:r>
                </w:p>
              </w:tc>
              <w:tc>
                <w:tcPr>
                  <w:tcW w:w="926" w:type="dxa"/>
                  <w:tcBorders>
                    <w:tl2br w:val="nil"/>
                    <w:tr2bl w:val="nil"/>
                  </w:tcBorders>
                  <w:vAlign w:val="center"/>
                </w:tcPr>
                <w:p w14:paraId="7A224D81">
                  <w:pPr>
                    <w:jc w:val="center"/>
                    <w:rPr>
                      <w:rFonts w:hint="default" w:eastAsia="宋体"/>
                      <w:color w:val="auto"/>
                      <w:spacing w:val="-11"/>
                      <w:sz w:val="18"/>
                      <w:szCs w:val="18"/>
                      <w:highlight w:val="none"/>
                      <w:lang w:val="en-US" w:eastAsia="zh-CN"/>
                    </w:rPr>
                  </w:pPr>
                  <w:r>
                    <w:rPr>
                      <w:rFonts w:hint="eastAsia"/>
                      <w:color w:val="auto"/>
                      <w:spacing w:val="-11"/>
                      <w:sz w:val="18"/>
                      <w:szCs w:val="18"/>
                      <w:highlight w:val="none"/>
                      <w:lang w:val="en-US" w:eastAsia="zh-CN"/>
                    </w:rPr>
                    <w:t>12</w:t>
                  </w:r>
                </w:p>
              </w:tc>
              <w:tc>
                <w:tcPr>
                  <w:tcW w:w="926" w:type="dxa"/>
                  <w:tcBorders>
                    <w:tl2br w:val="nil"/>
                    <w:tr2bl w:val="nil"/>
                  </w:tcBorders>
                  <w:shd w:val="clear" w:color="auto" w:fill="auto"/>
                  <w:vAlign w:val="center"/>
                </w:tcPr>
                <w:p w14:paraId="41245E69">
                  <w:pPr>
                    <w:jc w:val="center"/>
                    <w:rPr>
                      <w:rFonts w:hint="default" w:ascii="Times New Roman" w:hAnsi="Times New Roman" w:eastAsia="宋体" w:cs="Times New Roman"/>
                      <w:color w:val="auto"/>
                      <w:spacing w:val="-11"/>
                      <w:kern w:val="2"/>
                      <w:sz w:val="18"/>
                      <w:szCs w:val="18"/>
                      <w:highlight w:val="none"/>
                      <w:lang w:val="en-US" w:eastAsia="zh-CN" w:bidi="ar-SA"/>
                    </w:rPr>
                  </w:pPr>
                  <w:r>
                    <w:rPr>
                      <w:rFonts w:hint="eastAsia"/>
                      <w:color w:val="auto"/>
                      <w:spacing w:val="-11"/>
                      <w:sz w:val="18"/>
                      <w:szCs w:val="18"/>
                      <w:highlight w:val="none"/>
                      <w:lang w:val="en-US" w:eastAsia="zh-CN"/>
                    </w:rPr>
                    <w:t>99</w:t>
                  </w:r>
                </w:p>
              </w:tc>
              <w:tc>
                <w:tcPr>
                  <w:tcW w:w="869" w:type="dxa"/>
                  <w:tcBorders>
                    <w:tl2br w:val="nil"/>
                    <w:tr2bl w:val="nil"/>
                  </w:tcBorders>
                  <w:shd w:val="clear" w:color="auto" w:fill="auto"/>
                  <w:vAlign w:val="center"/>
                </w:tcPr>
                <w:p w14:paraId="2E82AFA7">
                  <w:pPr>
                    <w:jc w:val="center"/>
                    <w:rPr>
                      <w:rFonts w:ascii="Times New Roman" w:hAnsi="Times New Roman" w:eastAsia="宋体" w:cs="Times New Roman"/>
                      <w:color w:val="auto"/>
                      <w:spacing w:val="-11"/>
                      <w:kern w:val="2"/>
                      <w:sz w:val="18"/>
                      <w:szCs w:val="18"/>
                      <w:highlight w:val="none"/>
                      <w:lang w:val="en-US" w:eastAsia="zh-CN" w:bidi="ar-SA"/>
                    </w:rPr>
                  </w:pPr>
                  <w:r>
                    <w:rPr>
                      <w:color w:val="auto"/>
                      <w:spacing w:val="-11"/>
                      <w:sz w:val="18"/>
                      <w:szCs w:val="18"/>
                      <w:highlight w:val="none"/>
                    </w:rPr>
                    <w:t>0.5</w:t>
                  </w:r>
                </w:p>
              </w:tc>
              <w:tc>
                <w:tcPr>
                  <w:tcW w:w="1186" w:type="dxa"/>
                  <w:tcBorders>
                    <w:tl2br w:val="nil"/>
                    <w:tr2bl w:val="nil"/>
                  </w:tcBorders>
                  <w:shd w:val="clear" w:color="auto" w:fill="auto"/>
                  <w:vAlign w:val="center"/>
                </w:tcPr>
                <w:p w14:paraId="789291A7">
                  <w:pPr>
                    <w:jc w:val="center"/>
                    <w:rPr>
                      <w:rFonts w:hint="default" w:ascii="Times New Roman" w:hAnsi="Times New Roman" w:eastAsia="宋体" w:cs="Times New Roman"/>
                      <w:color w:val="auto"/>
                      <w:spacing w:val="-11"/>
                      <w:kern w:val="2"/>
                      <w:sz w:val="18"/>
                      <w:szCs w:val="18"/>
                      <w:highlight w:val="none"/>
                      <w:lang w:val="en-US" w:eastAsia="zh-CN" w:bidi="ar-SA"/>
                    </w:rPr>
                  </w:pPr>
                  <w:r>
                    <w:rPr>
                      <w:rFonts w:hint="eastAsia"/>
                      <w:color w:val="auto"/>
                      <w:spacing w:val="-11"/>
                      <w:sz w:val="18"/>
                      <w:szCs w:val="18"/>
                      <w:highlight w:val="none"/>
                      <w:lang w:val="en-US" w:eastAsia="zh-CN"/>
                    </w:rPr>
                    <w:t>0.00009</w:t>
                  </w:r>
                </w:p>
              </w:tc>
            </w:tr>
            <w:tr w14:paraId="65076EB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91" w:hRule="atLeast"/>
                <w:jc w:val="center"/>
              </w:trPr>
              <w:tc>
                <w:tcPr>
                  <w:tcW w:w="576" w:type="dxa"/>
                  <w:vMerge w:val="continue"/>
                  <w:tcBorders>
                    <w:tl2br w:val="nil"/>
                    <w:tr2bl w:val="nil"/>
                  </w:tcBorders>
                  <w:vAlign w:val="center"/>
                </w:tcPr>
                <w:p w14:paraId="43DC2B3F">
                  <w:pPr>
                    <w:jc w:val="center"/>
                    <w:rPr>
                      <w:rFonts w:hint="eastAsia" w:ascii="Times New Roman" w:hAnsi="Times New Roman" w:eastAsia="宋体" w:cs="Times New Roman"/>
                      <w:color w:val="auto"/>
                      <w:spacing w:val="-11"/>
                      <w:sz w:val="18"/>
                      <w:szCs w:val="18"/>
                      <w:highlight w:val="none"/>
                    </w:rPr>
                  </w:pPr>
                </w:p>
              </w:tc>
              <w:tc>
                <w:tcPr>
                  <w:tcW w:w="2363" w:type="dxa"/>
                  <w:tcBorders>
                    <w:tl2br w:val="nil"/>
                    <w:tr2bl w:val="nil"/>
                  </w:tcBorders>
                  <w:shd w:val="clear" w:color="auto" w:fill="auto"/>
                  <w:vAlign w:val="center"/>
                </w:tcPr>
                <w:p w14:paraId="7B954187">
                  <w:pPr>
                    <w:jc w:val="center"/>
                    <w:rPr>
                      <w:rFonts w:hint="eastAsia" w:ascii="Times New Roman" w:hAnsi="Times New Roman" w:eastAsia="宋体" w:cs="Times New Roman"/>
                      <w:color w:val="auto"/>
                      <w:spacing w:val="-11"/>
                      <w:kern w:val="2"/>
                      <w:sz w:val="18"/>
                      <w:szCs w:val="18"/>
                      <w:highlight w:val="none"/>
                      <w:lang w:val="en-US" w:eastAsia="zh-CN" w:bidi="ar-SA"/>
                    </w:rPr>
                  </w:pPr>
                  <w:r>
                    <w:rPr>
                      <w:rFonts w:hint="eastAsia" w:ascii="Times New Roman" w:hAnsi="Times New Roman" w:eastAsia="宋体" w:cs="Times New Roman"/>
                      <w:color w:val="auto"/>
                      <w:spacing w:val="-11"/>
                      <w:sz w:val="18"/>
                      <w:szCs w:val="18"/>
                      <w:highlight w:val="none"/>
                      <w:lang w:val="en-US" w:eastAsia="zh-CN"/>
                    </w:rPr>
                    <w:t>铁粉</w:t>
                  </w:r>
                  <w:r>
                    <w:rPr>
                      <w:rFonts w:hint="eastAsia" w:ascii="Times New Roman" w:hAnsi="Times New Roman" w:eastAsia="宋体" w:cs="Times New Roman"/>
                      <w:color w:val="auto"/>
                      <w:spacing w:val="-11"/>
                      <w:sz w:val="18"/>
                      <w:szCs w:val="18"/>
                      <w:highlight w:val="none"/>
                    </w:rPr>
                    <w:t>堆存与装卸</w:t>
                  </w:r>
                </w:p>
              </w:tc>
              <w:tc>
                <w:tcPr>
                  <w:tcW w:w="1118" w:type="dxa"/>
                  <w:tcBorders>
                    <w:tl2br w:val="nil"/>
                    <w:tr2bl w:val="nil"/>
                  </w:tcBorders>
                  <w:shd w:val="clear" w:color="auto" w:fill="auto"/>
                  <w:vAlign w:val="center"/>
                </w:tcPr>
                <w:p w14:paraId="584AAA8A">
                  <w:pPr>
                    <w:jc w:val="center"/>
                    <w:rPr>
                      <w:rFonts w:ascii="Times New Roman" w:hAnsi="Times New Roman" w:eastAsia="宋体" w:cs="Times New Roman"/>
                      <w:color w:val="auto"/>
                      <w:spacing w:val="-11"/>
                      <w:kern w:val="2"/>
                      <w:sz w:val="18"/>
                      <w:szCs w:val="18"/>
                      <w:highlight w:val="none"/>
                      <w:lang w:val="en-US" w:eastAsia="zh-CN" w:bidi="ar-SA"/>
                    </w:rPr>
                  </w:pPr>
                  <w:r>
                    <w:rPr>
                      <w:color w:val="auto"/>
                      <w:spacing w:val="-11"/>
                      <w:sz w:val="18"/>
                      <w:szCs w:val="18"/>
                      <w:highlight w:val="none"/>
                    </w:rPr>
                    <w:t>0.74</w:t>
                  </w:r>
                </w:p>
              </w:tc>
              <w:tc>
                <w:tcPr>
                  <w:tcW w:w="926" w:type="dxa"/>
                  <w:tcBorders>
                    <w:tl2br w:val="nil"/>
                    <w:tr2bl w:val="nil"/>
                  </w:tcBorders>
                  <w:shd w:val="clear" w:color="auto" w:fill="auto"/>
                  <w:vAlign w:val="center"/>
                </w:tcPr>
                <w:p w14:paraId="45B9FBD4">
                  <w:pPr>
                    <w:jc w:val="center"/>
                    <w:rPr>
                      <w:rFonts w:hint="eastAsia" w:ascii="Times New Roman" w:hAnsi="Times New Roman" w:eastAsia="宋体" w:cs="Times New Roman"/>
                      <w:color w:val="auto"/>
                      <w:spacing w:val="-11"/>
                      <w:kern w:val="2"/>
                      <w:sz w:val="18"/>
                      <w:szCs w:val="18"/>
                      <w:highlight w:val="none"/>
                      <w:lang w:val="en-US" w:eastAsia="zh-CN" w:bidi="ar-SA"/>
                    </w:rPr>
                  </w:pPr>
                  <w:r>
                    <w:rPr>
                      <w:rFonts w:hint="eastAsia"/>
                      <w:color w:val="auto"/>
                      <w:spacing w:val="-11"/>
                      <w:sz w:val="18"/>
                      <w:szCs w:val="18"/>
                      <w:highlight w:val="none"/>
                      <w:lang w:val="en-US" w:eastAsia="zh-CN"/>
                    </w:rPr>
                    <w:t>15</w:t>
                  </w:r>
                </w:p>
              </w:tc>
              <w:tc>
                <w:tcPr>
                  <w:tcW w:w="926" w:type="dxa"/>
                  <w:tcBorders>
                    <w:tl2br w:val="nil"/>
                    <w:tr2bl w:val="nil"/>
                  </w:tcBorders>
                  <w:shd w:val="clear" w:color="auto" w:fill="auto"/>
                  <w:vAlign w:val="center"/>
                </w:tcPr>
                <w:p w14:paraId="09DC5D05">
                  <w:pPr>
                    <w:jc w:val="center"/>
                    <w:rPr>
                      <w:rFonts w:hint="eastAsia" w:ascii="Times New Roman" w:hAnsi="Times New Roman" w:eastAsia="宋体" w:cs="Times New Roman"/>
                      <w:color w:val="auto"/>
                      <w:spacing w:val="-11"/>
                      <w:kern w:val="2"/>
                      <w:sz w:val="18"/>
                      <w:szCs w:val="18"/>
                      <w:highlight w:val="none"/>
                      <w:lang w:val="en-US" w:eastAsia="zh-CN" w:bidi="ar-SA"/>
                    </w:rPr>
                  </w:pPr>
                  <w:r>
                    <w:rPr>
                      <w:rFonts w:hint="eastAsia"/>
                      <w:color w:val="auto"/>
                      <w:spacing w:val="-11"/>
                      <w:sz w:val="18"/>
                      <w:szCs w:val="18"/>
                      <w:highlight w:val="none"/>
                      <w:lang w:val="en-US" w:eastAsia="zh-CN"/>
                    </w:rPr>
                    <w:t>99</w:t>
                  </w:r>
                </w:p>
              </w:tc>
              <w:tc>
                <w:tcPr>
                  <w:tcW w:w="869" w:type="dxa"/>
                  <w:tcBorders>
                    <w:tl2br w:val="nil"/>
                    <w:tr2bl w:val="nil"/>
                  </w:tcBorders>
                  <w:shd w:val="clear" w:color="auto" w:fill="auto"/>
                  <w:vAlign w:val="center"/>
                </w:tcPr>
                <w:p w14:paraId="25021CC0">
                  <w:pPr>
                    <w:jc w:val="center"/>
                    <w:rPr>
                      <w:rFonts w:ascii="Times New Roman" w:hAnsi="Times New Roman" w:eastAsia="宋体" w:cs="Times New Roman"/>
                      <w:color w:val="auto"/>
                      <w:spacing w:val="-11"/>
                      <w:kern w:val="2"/>
                      <w:sz w:val="18"/>
                      <w:szCs w:val="18"/>
                      <w:highlight w:val="none"/>
                      <w:lang w:val="en-US" w:eastAsia="zh-CN" w:bidi="ar-SA"/>
                    </w:rPr>
                  </w:pPr>
                  <w:r>
                    <w:rPr>
                      <w:color w:val="auto"/>
                      <w:spacing w:val="-11"/>
                      <w:sz w:val="18"/>
                      <w:szCs w:val="18"/>
                      <w:highlight w:val="none"/>
                    </w:rPr>
                    <w:t>0.5</w:t>
                  </w:r>
                </w:p>
              </w:tc>
              <w:tc>
                <w:tcPr>
                  <w:tcW w:w="1186" w:type="dxa"/>
                  <w:tcBorders>
                    <w:tl2br w:val="nil"/>
                    <w:tr2bl w:val="nil"/>
                  </w:tcBorders>
                  <w:shd w:val="clear" w:color="auto" w:fill="auto"/>
                  <w:vAlign w:val="center"/>
                </w:tcPr>
                <w:p w14:paraId="35C010F9">
                  <w:pPr>
                    <w:jc w:val="center"/>
                    <w:rPr>
                      <w:rFonts w:hint="eastAsia" w:ascii="Times New Roman" w:hAnsi="Times New Roman" w:eastAsia="宋体" w:cs="Times New Roman"/>
                      <w:color w:val="auto"/>
                      <w:spacing w:val="-11"/>
                      <w:kern w:val="2"/>
                      <w:sz w:val="18"/>
                      <w:szCs w:val="18"/>
                      <w:highlight w:val="none"/>
                      <w:lang w:val="en-US" w:eastAsia="zh-CN" w:bidi="ar-SA"/>
                    </w:rPr>
                  </w:pPr>
                  <w:r>
                    <w:rPr>
                      <w:rFonts w:hint="eastAsia"/>
                      <w:color w:val="auto"/>
                      <w:spacing w:val="-11"/>
                      <w:sz w:val="18"/>
                      <w:szCs w:val="18"/>
                      <w:highlight w:val="none"/>
                      <w:lang w:val="en-US" w:eastAsia="zh-CN"/>
                    </w:rPr>
                    <w:t>0.00006</w:t>
                  </w:r>
                </w:p>
              </w:tc>
            </w:tr>
            <w:tr w14:paraId="12F6A1F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5" w:hRule="atLeast"/>
                <w:jc w:val="center"/>
              </w:trPr>
              <w:tc>
                <w:tcPr>
                  <w:tcW w:w="576" w:type="dxa"/>
                  <w:vMerge w:val="continue"/>
                  <w:tcBorders>
                    <w:tl2br w:val="nil"/>
                    <w:tr2bl w:val="nil"/>
                  </w:tcBorders>
                  <w:vAlign w:val="center"/>
                </w:tcPr>
                <w:p w14:paraId="7AEDE2DF">
                  <w:pPr>
                    <w:jc w:val="center"/>
                    <w:rPr>
                      <w:rFonts w:hint="eastAsia" w:ascii="Times New Roman" w:hAnsi="Times New Roman" w:eastAsia="宋体" w:cs="Times New Roman"/>
                      <w:color w:val="auto"/>
                      <w:spacing w:val="-11"/>
                      <w:sz w:val="18"/>
                      <w:szCs w:val="18"/>
                      <w:highlight w:val="none"/>
                    </w:rPr>
                  </w:pPr>
                </w:p>
              </w:tc>
              <w:tc>
                <w:tcPr>
                  <w:tcW w:w="2363" w:type="dxa"/>
                  <w:tcBorders>
                    <w:tl2br w:val="nil"/>
                    <w:tr2bl w:val="nil"/>
                  </w:tcBorders>
                  <w:shd w:val="clear" w:color="auto" w:fill="auto"/>
                  <w:vAlign w:val="center"/>
                </w:tcPr>
                <w:p w14:paraId="47D64E59">
                  <w:pPr>
                    <w:jc w:val="center"/>
                    <w:rPr>
                      <w:rFonts w:hint="eastAsia" w:ascii="Times New Roman" w:hAnsi="Times New Roman" w:eastAsia="宋体" w:cs="Times New Roman"/>
                      <w:color w:val="auto"/>
                      <w:spacing w:val="-11"/>
                      <w:sz w:val="18"/>
                      <w:szCs w:val="18"/>
                      <w:highlight w:val="none"/>
                      <w:lang w:val="en-US" w:eastAsia="zh-CN"/>
                    </w:rPr>
                  </w:pPr>
                  <w:r>
                    <w:rPr>
                      <w:rFonts w:hint="eastAsia" w:cs="Times New Roman"/>
                      <w:color w:val="auto"/>
                      <w:spacing w:val="-11"/>
                      <w:sz w:val="18"/>
                      <w:szCs w:val="18"/>
                      <w:highlight w:val="none"/>
                      <w:lang w:val="en-US" w:eastAsia="zh-CN"/>
                    </w:rPr>
                    <w:t>土</w:t>
                  </w:r>
                  <w:r>
                    <w:rPr>
                      <w:rFonts w:hint="eastAsia" w:ascii="Times New Roman" w:hAnsi="Times New Roman" w:eastAsia="宋体" w:cs="Times New Roman"/>
                      <w:color w:val="auto"/>
                      <w:spacing w:val="-11"/>
                      <w:sz w:val="18"/>
                      <w:szCs w:val="18"/>
                      <w:highlight w:val="none"/>
                      <w:lang w:val="en-US" w:eastAsia="zh-CN"/>
                    </w:rPr>
                    <w:t>料</w:t>
                  </w:r>
                  <w:r>
                    <w:rPr>
                      <w:rFonts w:hint="eastAsia" w:ascii="Times New Roman" w:hAnsi="Times New Roman" w:eastAsia="宋体" w:cs="Times New Roman"/>
                      <w:color w:val="auto"/>
                      <w:spacing w:val="-11"/>
                      <w:sz w:val="18"/>
                      <w:szCs w:val="18"/>
                      <w:highlight w:val="none"/>
                    </w:rPr>
                    <w:t>堆存与装卸</w:t>
                  </w:r>
                </w:p>
              </w:tc>
              <w:tc>
                <w:tcPr>
                  <w:tcW w:w="1118" w:type="dxa"/>
                  <w:tcBorders>
                    <w:tl2br w:val="nil"/>
                    <w:tr2bl w:val="nil"/>
                  </w:tcBorders>
                  <w:shd w:val="clear" w:color="auto" w:fill="auto"/>
                  <w:vAlign w:val="center"/>
                </w:tcPr>
                <w:p w14:paraId="6478F6F9">
                  <w:pPr>
                    <w:jc w:val="center"/>
                    <w:rPr>
                      <w:rFonts w:hint="default" w:eastAsia="宋体"/>
                      <w:color w:val="auto"/>
                      <w:spacing w:val="-11"/>
                      <w:sz w:val="18"/>
                      <w:szCs w:val="18"/>
                      <w:highlight w:val="none"/>
                      <w:lang w:val="en-US" w:eastAsia="zh-CN"/>
                    </w:rPr>
                  </w:pPr>
                  <w:r>
                    <w:rPr>
                      <w:rFonts w:hint="eastAsia"/>
                      <w:color w:val="auto"/>
                      <w:spacing w:val="-11"/>
                      <w:sz w:val="18"/>
                      <w:szCs w:val="18"/>
                      <w:highlight w:val="none"/>
                      <w:lang w:val="en-US" w:eastAsia="zh-CN"/>
                    </w:rPr>
                    <w:t>0.74</w:t>
                  </w:r>
                </w:p>
              </w:tc>
              <w:tc>
                <w:tcPr>
                  <w:tcW w:w="926" w:type="dxa"/>
                  <w:tcBorders>
                    <w:tl2br w:val="nil"/>
                    <w:tr2bl w:val="nil"/>
                  </w:tcBorders>
                  <w:shd w:val="clear" w:color="auto" w:fill="auto"/>
                  <w:vAlign w:val="center"/>
                </w:tcPr>
                <w:p w14:paraId="0CB59D7B">
                  <w:pPr>
                    <w:tabs>
                      <w:tab w:val="left" w:pos="341"/>
                      <w:tab w:val="center" w:pos="495"/>
                    </w:tabs>
                    <w:jc w:val="left"/>
                    <w:rPr>
                      <w:rFonts w:hint="default"/>
                      <w:color w:val="auto"/>
                      <w:spacing w:val="-11"/>
                      <w:sz w:val="18"/>
                      <w:szCs w:val="18"/>
                      <w:highlight w:val="none"/>
                      <w:lang w:val="en-US" w:eastAsia="zh-CN"/>
                    </w:rPr>
                  </w:pPr>
                  <w:r>
                    <w:rPr>
                      <w:rFonts w:hint="eastAsia"/>
                      <w:color w:val="auto"/>
                      <w:spacing w:val="-11"/>
                      <w:sz w:val="18"/>
                      <w:szCs w:val="18"/>
                      <w:highlight w:val="none"/>
                      <w:lang w:val="en-US" w:eastAsia="zh-CN"/>
                    </w:rPr>
                    <w:tab/>
                  </w:r>
                  <w:r>
                    <w:rPr>
                      <w:rFonts w:hint="eastAsia"/>
                      <w:color w:val="auto"/>
                      <w:spacing w:val="-11"/>
                      <w:sz w:val="18"/>
                      <w:szCs w:val="18"/>
                      <w:highlight w:val="none"/>
                      <w:lang w:val="en-US" w:eastAsia="zh-CN"/>
                    </w:rPr>
                    <w:t>18</w:t>
                  </w:r>
                </w:p>
              </w:tc>
              <w:tc>
                <w:tcPr>
                  <w:tcW w:w="926" w:type="dxa"/>
                  <w:tcBorders>
                    <w:tl2br w:val="nil"/>
                    <w:tr2bl w:val="nil"/>
                  </w:tcBorders>
                  <w:shd w:val="clear" w:color="auto" w:fill="auto"/>
                  <w:vAlign w:val="center"/>
                </w:tcPr>
                <w:p w14:paraId="236A287D">
                  <w:pPr>
                    <w:jc w:val="center"/>
                    <w:rPr>
                      <w:rFonts w:hint="default"/>
                      <w:color w:val="auto"/>
                      <w:spacing w:val="-11"/>
                      <w:sz w:val="18"/>
                      <w:szCs w:val="18"/>
                      <w:highlight w:val="none"/>
                      <w:lang w:val="en-US" w:eastAsia="zh-CN"/>
                    </w:rPr>
                  </w:pPr>
                  <w:r>
                    <w:rPr>
                      <w:rFonts w:hint="eastAsia"/>
                      <w:color w:val="auto"/>
                      <w:spacing w:val="-11"/>
                      <w:sz w:val="18"/>
                      <w:szCs w:val="18"/>
                      <w:highlight w:val="none"/>
                      <w:lang w:val="en-US" w:eastAsia="zh-CN"/>
                    </w:rPr>
                    <w:t>99</w:t>
                  </w:r>
                </w:p>
              </w:tc>
              <w:tc>
                <w:tcPr>
                  <w:tcW w:w="869" w:type="dxa"/>
                  <w:tcBorders>
                    <w:tl2br w:val="nil"/>
                    <w:tr2bl w:val="nil"/>
                  </w:tcBorders>
                  <w:shd w:val="clear" w:color="auto" w:fill="auto"/>
                  <w:vAlign w:val="center"/>
                </w:tcPr>
                <w:p w14:paraId="4D9A3733">
                  <w:pPr>
                    <w:jc w:val="center"/>
                    <w:rPr>
                      <w:rFonts w:hint="default" w:eastAsia="宋体"/>
                      <w:color w:val="auto"/>
                      <w:spacing w:val="-11"/>
                      <w:sz w:val="18"/>
                      <w:szCs w:val="18"/>
                      <w:highlight w:val="none"/>
                      <w:lang w:val="en-US" w:eastAsia="zh-CN"/>
                    </w:rPr>
                  </w:pPr>
                  <w:r>
                    <w:rPr>
                      <w:rFonts w:hint="eastAsia"/>
                      <w:color w:val="auto"/>
                      <w:spacing w:val="-11"/>
                      <w:sz w:val="18"/>
                      <w:szCs w:val="18"/>
                      <w:highlight w:val="none"/>
                      <w:lang w:val="en-US" w:eastAsia="zh-CN"/>
                    </w:rPr>
                    <w:t>0.5</w:t>
                  </w:r>
                </w:p>
              </w:tc>
              <w:tc>
                <w:tcPr>
                  <w:tcW w:w="1186" w:type="dxa"/>
                  <w:tcBorders>
                    <w:tl2br w:val="nil"/>
                    <w:tr2bl w:val="nil"/>
                  </w:tcBorders>
                  <w:shd w:val="clear" w:color="auto" w:fill="auto"/>
                  <w:vAlign w:val="center"/>
                </w:tcPr>
                <w:p w14:paraId="2124C841">
                  <w:pPr>
                    <w:jc w:val="center"/>
                    <w:rPr>
                      <w:rFonts w:hint="default"/>
                      <w:color w:val="auto"/>
                      <w:spacing w:val="-11"/>
                      <w:sz w:val="18"/>
                      <w:szCs w:val="18"/>
                      <w:highlight w:val="none"/>
                      <w:lang w:val="en-US" w:eastAsia="zh-CN"/>
                    </w:rPr>
                  </w:pPr>
                  <w:r>
                    <w:rPr>
                      <w:rFonts w:hint="eastAsia"/>
                      <w:color w:val="auto"/>
                      <w:spacing w:val="-11"/>
                      <w:sz w:val="18"/>
                      <w:szCs w:val="18"/>
                      <w:highlight w:val="none"/>
                      <w:lang w:val="en-US" w:eastAsia="zh-CN"/>
                    </w:rPr>
                    <w:t>0.00005</w:t>
                  </w:r>
                </w:p>
              </w:tc>
            </w:tr>
            <w:tr w14:paraId="7BC50A2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56" w:hRule="atLeast"/>
                <w:jc w:val="center"/>
              </w:trPr>
              <w:tc>
                <w:tcPr>
                  <w:tcW w:w="576" w:type="dxa"/>
                  <w:vMerge w:val="restart"/>
                  <w:tcBorders>
                    <w:tl2br w:val="nil"/>
                    <w:tr2bl w:val="nil"/>
                  </w:tcBorders>
                  <w:vAlign w:val="center"/>
                </w:tcPr>
                <w:p w14:paraId="27545D19">
                  <w:pPr>
                    <w:jc w:val="center"/>
                    <w:rPr>
                      <w:rFonts w:hint="eastAsia" w:ascii="Times New Roman" w:hAnsi="Times New Roman" w:eastAsia="宋体" w:cs="Times New Roman"/>
                      <w:color w:val="auto"/>
                      <w:spacing w:val="-11"/>
                      <w:sz w:val="18"/>
                      <w:szCs w:val="18"/>
                      <w:highlight w:val="none"/>
                      <w:lang w:val="en-US" w:eastAsia="zh-CN"/>
                    </w:rPr>
                  </w:pPr>
                  <w:r>
                    <w:rPr>
                      <w:rFonts w:hint="eastAsia" w:cs="Times New Roman"/>
                      <w:color w:val="auto"/>
                      <w:spacing w:val="-11"/>
                      <w:sz w:val="18"/>
                      <w:szCs w:val="18"/>
                      <w:highlight w:val="none"/>
                      <w:lang w:val="en-US" w:eastAsia="zh-CN"/>
                    </w:rPr>
                    <w:t>2</w:t>
                  </w:r>
                  <w:r>
                    <w:rPr>
                      <w:rFonts w:hint="eastAsia" w:cs="Times New Roman"/>
                      <w:color w:val="auto"/>
                      <w:spacing w:val="-11"/>
                      <w:sz w:val="18"/>
                      <w:szCs w:val="18"/>
                      <w:highlight w:val="none"/>
                      <w:vertAlign w:val="superscript"/>
                      <w:lang w:val="en-US" w:eastAsia="zh-CN"/>
                    </w:rPr>
                    <w:t>#</w:t>
                  </w:r>
                  <w:r>
                    <w:rPr>
                      <w:rFonts w:hint="eastAsia" w:cs="Times New Roman"/>
                      <w:color w:val="auto"/>
                      <w:spacing w:val="-11"/>
                      <w:sz w:val="18"/>
                      <w:szCs w:val="18"/>
                      <w:highlight w:val="none"/>
                      <w:lang w:val="en-US" w:eastAsia="zh-CN"/>
                    </w:rPr>
                    <w:t>生产车间</w:t>
                  </w:r>
                </w:p>
              </w:tc>
              <w:tc>
                <w:tcPr>
                  <w:tcW w:w="2363" w:type="dxa"/>
                  <w:tcBorders>
                    <w:tl2br w:val="nil"/>
                    <w:tr2bl w:val="nil"/>
                  </w:tcBorders>
                  <w:vAlign w:val="center"/>
                </w:tcPr>
                <w:p w14:paraId="13D5AFE0">
                  <w:pPr>
                    <w:jc w:val="center"/>
                    <w:rPr>
                      <w:rFonts w:hint="eastAsia" w:ascii="Times New Roman" w:hAnsi="Times New Roman" w:eastAsia="宋体" w:cs="Times New Roman"/>
                      <w:color w:val="auto"/>
                      <w:spacing w:val="-11"/>
                      <w:sz w:val="18"/>
                      <w:szCs w:val="18"/>
                      <w:highlight w:val="none"/>
                      <w:lang w:val="en-US" w:eastAsia="zh-CN"/>
                    </w:rPr>
                  </w:pPr>
                  <w:r>
                    <w:rPr>
                      <w:rFonts w:hint="eastAsia" w:ascii="Times New Roman" w:hAnsi="Times New Roman" w:eastAsia="宋体" w:cs="Times New Roman"/>
                      <w:color w:val="auto"/>
                      <w:spacing w:val="-11"/>
                      <w:sz w:val="18"/>
                      <w:szCs w:val="18"/>
                      <w:highlight w:val="none"/>
                      <w:lang w:val="en-US" w:eastAsia="zh-CN"/>
                    </w:rPr>
                    <w:t>钢渣</w:t>
                  </w:r>
                  <w:r>
                    <w:rPr>
                      <w:rFonts w:hint="eastAsia" w:ascii="Times New Roman" w:hAnsi="Times New Roman" w:eastAsia="宋体" w:cs="Times New Roman"/>
                      <w:color w:val="auto"/>
                      <w:spacing w:val="-11"/>
                      <w:sz w:val="18"/>
                      <w:szCs w:val="18"/>
                      <w:highlight w:val="none"/>
                    </w:rPr>
                    <w:t>堆存与装卸</w:t>
                  </w:r>
                </w:p>
              </w:tc>
              <w:tc>
                <w:tcPr>
                  <w:tcW w:w="1118" w:type="dxa"/>
                  <w:tcBorders>
                    <w:tl2br w:val="nil"/>
                    <w:tr2bl w:val="nil"/>
                  </w:tcBorders>
                  <w:shd w:val="clear" w:color="auto" w:fill="auto"/>
                  <w:vAlign w:val="center"/>
                </w:tcPr>
                <w:p w14:paraId="751E8BC2">
                  <w:pPr>
                    <w:jc w:val="center"/>
                    <w:rPr>
                      <w:rFonts w:ascii="Times New Roman" w:hAnsi="Times New Roman" w:eastAsia="宋体" w:cs="Times New Roman"/>
                      <w:color w:val="auto"/>
                      <w:spacing w:val="-11"/>
                      <w:kern w:val="2"/>
                      <w:sz w:val="18"/>
                      <w:szCs w:val="18"/>
                      <w:highlight w:val="none"/>
                      <w:lang w:val="en-US" w:eastAsia="zh-CN" w:bidi="ar-SA"/>
                    </w:rPr>
                  </w:pPr>
                  <w:r>
                    <w:rPr>
                      <w:color w:val="auto"/>
                      <w:spacing w:val="-11"/>
                      <w:sz w:val="18"/>
                      <w:szCs w:val="18"/>
                      <w:highlight w:val="none"/>
                    </w:rPr>
                    <w:t>0.74</w:t>
                  </w:r>
                </w:p>
              </w:tc>
              <w:tc>
                <w:tcPr>
                  <w:tcW w:w="926" w:type="dxa"/>
                  <w:tcBorders>
                    <w:tl2br w:val="nil"/>
                    <w:tr2bl w:val="nil"/>
                  </w:tcBorders>
                  <w:shd w:val="clear" w:color="auto" w:fill="auto"/>
                  <w:vAlign w:val="center"/>
                </w:tcPr>
                <w:p w14:paraId="339EEC2A">
                  <w:pPr>
                    <w:jc w:val="center"/>
                    <w:rPr>
                      <w:rFonts w:hint="eastAsia" w:ascii="Times New Roman" w:hAnsi="Times New Roman" w:eastAsia="宋体" w:cs="Times New Roman"/>
                      <w:color w:val="auto"/>
                      <w:spacing w:val="-11"/>
                      <w:kern w:val="2"/>
                      <w:sz w:val="18"/>
                      <w:szCs w:val="18"/>
                      <w:highlight w:val="none"/>
                      <w:lang w:val="en-US" w:eastAsia="zh-CN" w:bidi="ar-SA"/>
                    </w:rPr>
                  </w:pPr>
                  <w:r>
                    <w:rPr>
                      <w:rFonts w:hint="eastAsia"/>
                      <w:color w:val="auto"/>
                      <w:spacing w:val="-11"/>
                      <w:sz w:val="18"/>
                      <w:szCs w:val="18"/>
                      <w:highlight w:val="none"/>
                    </w:rPr>
                    <w:t>5</w:t>
                  </w:r>
                </w:p>
              </w:tc>
              <w:tc>
                <w:tcPr>
                  <w:tcW w:w="926" w:type="dxa"/>
                  <w:tcBorders>
                    <w:tl2br w:val="nil"/>
                    <w:tr2bl w:val="nil"/>
                  </w:tcBorders>
                  <w:shd w:val="clear" w:color="auto" w:fill="auto"/>
                  <w:vAlign w:val="center"/>
                </w:tcPr>
                <w:p w14:paraId="7FEEEEEE">
                  <w:pPr>
                    <w:jc w:val="center"/>
                    <w:rPr>
                      <w:rFonts w:hint="eastAsia" w:ascii="Times New Roman" w:hAnsi="Times New Roman" w:eastAsia="宋体" w:cs="Times New Roman"/>
                      <w:color w:val="auto"/>
                      <w:spacing w:val="-11"/>
                      <w:kern w:val="2"/>
                      <w:sz w:val="18"/>
                      <w:szCs w:val="18"/>
                      <w:highlight w:val="none"/>
                      <w:lang w:val="en-US" w:eastAsia="zh-CN" w:bidi="ar-SA"/>
                    </w:rPr>
                  </w:pPr>
                  <w:r>
                    <w:rPr>
                      <w:rFonts w:hint="eastAsia"/>
                      <w:color w:val="auto"/>
                      <w:spacing w:val="-11"/>
                      <w:sz w:val="18"/>
                      <w:szCs w:val="18"/>
                      <w:highlight w:val="none"/>
                      <w:lang w:val="en-US" w:eastAsia="zh-CN"/>
                    </w:rPr>
                    <w:t>99</w:t>
                  </w:r>
                </w:p>
              </w:tc>
              <w:tc>
                <w:tcPr>
                  <w:tcW w:w="869" w:type="dxa"/>
                  <w:tcBorders>
                    <w:tl2br w:val="nil"/>
                    <w:tr2bl w:val="nil"/>
                  </w:tcBorders>
                  <w:shd w:val="clear" w:color="auto" w:fill="auto"/>
                  <w:vAlign w:val="center"/>
                </w:tcPr>
                <w:p w14:paraId="56043519">
                  <w:pPr>
                    <w:jc w:val="center"/>
                    <w:rPr>
                      <w:rFonts w:ascii="Times New Roman" w:hAnsi="Times New Roman" w:eastAsia="宋体" w:cs="Times New Roman"/>
                      <w:color w:val="auto"/>
                      <w:spacing w:val="-11"/>
                      <w:kern w:val="2"/>
                      <w:sz w:val="18"/>
                      <w:szCs w:val="18"/>
                      <w:highlight w:val="none"/>
                      <w:lang w:val="en-US" w:eastAsia="zh-CN" w:bidi="ar-SA"/>
                    </w:rPr>
                  </w:pPr>
                  <w:r>
                    <w:rPr>
                      <w:color w:val="auto"/>
                      <w:spacing w:val="-11"/>
                      <w:sz w:val="18"/>
                      <w:szCs w:val="18"/>
                      <w:highlight w:val="none"/>
                    </w:rPr>
                    <w:t>0.5</w:t>
                  </w:r>
                </w:p>
              </w:tc>
              <w:tc>
                <w:tcPr>
                  <w:tcW w:w="1186" w:type="dxa"/>
                  <w:tcBorders>
                    <w:tl2br w:val="nil"/>
                    <w:tr2bl w:val="nil"/>
                  </w:tcBorders>
                  <w:shd w:val="clear" w:color="auto" w:fill="auto"/>
                  <w:vAlign w:val="center"/>
                </w:tcPr>
                <w:p w14:paraId="20ABFC77">
                  <w:pPr>
                    <w:jc w:val="center"/>
                    <w:rPr>
                      <w:rFonts w:hint="eastAsia" w:ascii="Times New Roman" w:hAnsi="Times New Roman" w:eastAsia="宋体" w:cs="Times New Roman"/>
                      <w:color w:val="auto"/>
                      <w:spacing w:val="-11"/>
                      <w:kern w:val="2"/>
                      <w:sz w:val="18"/>
                      <w:szCs w:val="18"/>
                      <w:highlight w:val="none"/>
                      <w:lang w:val="en-US" w:eastAsia="zh-CN" w:bidi="ar-SA"/>
                    </w:rPr>
                  </w:pPr>
                  <w:r>
                    <w:rPr>
                      <w:rFonts w:hint="eastAsia"/>
                      <w:color w:val="auto"/>
                      <w:spacing w:val="-11"/>
                      <w:sz w:val="18"/>
                      <w:szCs w:val="18"/>
                      <w:highlight w:val="none"/>
                      <w:lang w:val="en-US" w:eastAsia="zh-CN"/>
                    </w:rPr>
                    <w:t>0.0003</w:t>
                  </w:r>
                </w:p>
              </w:tc>
            </w:tr>
            <w:tr w14:paraId="22AAF28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56" w:hRule="atLeast"/>
                <w:jc w:val="center"/>
              </w:trPr>
              <w:tc>
                <w:tcPr>
                  <w:tcW w:w="576" w:type="dxa"/>
                  <w:vMerge w:val="continue"/>
                  <w:tcBorders>
                    <w:tl2br w:val="nil"/>
                    <w:tr2bl w:val="nil"/>
                  </w:tcBorders>
                  <w:vAlign w:val="center"/>
                </w:tcPr>
                <w:p w14:paraId="60F88B34">
                  <w:pPr>
                    <w:jc w:val="center"/>
                    <w:rPr>
                      <w:rFonts w:hint="eastAsia" w:ascii="Times New Roman" w:hAnsi="Times New Roman" w:eastAsia="宋体" w:cs="Times New Roman"/>
                      <w:color w:val="auto"/>
                      <w:spacing w:val="-11"/>
                      <w:sz w:val="18"/>
                      <w:szCs w:val="18"/>
                      <w:highlight w:val="none"/>
                      <w:lang w:val="en-US" w:eastAsia="zh-CN"/>
                    </w:rPr>
                  </w:pPr>
                </w:p>
              </w:tc>
              <w:tc>
                <w:tcPr>
                  <w:tcW w:w="2363" w:type="dxa"/>
                  <w:tcBorders>
                    <w:tl2br w:val="nil"/>
                    <w:tr2bl w:val="nil"/>
                  </w:tcBorders>
                  <w:vAlign w:val="center"/>
                </w:tcPr>
                <w:p w14:paraId="39FC8D53">
                  <w:pPr>
                    <w:jc w:val="center"/>
                    <w:rPr>
                      <w:rFonts w:hint="eastAsia" w:ascii="Times New Roman" w:hAnsi="Times New Roman" w:eastAsia="宋体" w:cs="Times New Roman"/>
                      <w:color w:val="auto"/>
                      <w:spacing w:val="-11"/>
                      <w:sz w:val="18"/>
                      <w:szCs w:val="18"/>
                      <w:highlight w:val="none"/>
                      <w:lang w:val="en-US" w:eastAsia="zh-CN"/>
                    </w:rPr>
                  </w:pPr>
                  <w:r>
                    <w:rPr>
                      <w:rFonts w:hint="eastAsia" w:ascii="Times New Roman" w:hAnsi="Times New Roman" w:eastAsia="宋体" w:cs="Times New Roman"/>
                      <w:color w:val="auto"/>
                      <w:spacing w:val="-11"/>
                      <w:sz w:val="18"/>
                      <w:szCs w:val="18"/>
                      <w:highlight w:val="none"/>
                      <w:lang w:val="en-US" w:eastAsia="zh-CN"/>
                    </w:rPr>
                    <w:t>磁性钢渣粉</w:t>
                  </w:r>
                  <w:r>
                    <w:rPr>
                      <w:rFonts w:hint="eastAsia" w:ascii="Times New Roman" w:hAnsi="Times New Roman" w:eastAsia="宋体" w:cs="Times New Roman"/>
                      <w:color w:val="auto"/>
                      <w:spacing w:val="-11"/>
                      <w:sz w:val="18"/>
                      <w:szCs w:val="18"/>
                      <w:highlight w:val="none"/>
                    </w:rPr>
                    <w:t>堆存与装卸</w:t>
                  </w:r>
                </w:p>
              </w:tc>
              <w:tc>
                <w:tcPr>
                  <w:tcW w:w="1118" w:type="dxa"/>
                  <w:tcBorders>
                    <w:tl2br w:val="nil"/>
                    <w:tr2bl w:val="nil"/>
                  </w:tcBorders>
                  <w:vAlign w:val="center"/>
                </w:tcPr>
                <w:p w14:paraId="36519B22">
                  <w:pPr>
                    <w:jc w:val="center"/>
                    <w:rPr>
                      <w:rFonts w:hint="default" w:eastAsia="宋体"/>
                      <w:color w:val="auto"/>
                      <w:spacing w:val="-11"/>
                      <w:sz w:val="18"/>
                      <w:szCs w:val="18"/>
                      <w:highlight w:val="none"/>
                      <w:lang w:val="en-US" w:eastAsia="zh-CN"/>
                    </w:rPr>
                  </w:pPr>
                  <w:r>
                    <w:rPr>
                      <w:rFonts w:hint="eastAsia"/>
                      <w:color w:val="auto"/>
                      <w:spacing w:val="-11"/>
                      <w:sz w:val="18"/>
                      <w:szCs w:val="18"/>
                      <w:highlight w:val="none"/>
                      <w:lang w:val="en-US" w:eastAsia="zh-CN"/>
                    </w:rPr>
                    <w:t>0.74</w:t>
                  </w:r>
                </w:p>
              </w:tc>
              <w:tc>
                <w:tcPr>
                  <w:tcW w:w="926" w:type="dxa"/>
                  <w:tcBorders>
                    <w:tl2br w:val="nil"/>
                    <w:tr2bl w:val="nil"/>
                  </w:tcBorders>
                  <w:vAlign w:val="center"/>
                </w:tcPr>
                <w:p w14:paraId="1B90D6D4">
                  <w:pPr>
                    <w:jc w:val="center"/>
                    <w:rPr>
                      <w:rFonts w:hint="default" w:eastAsia="宋体"/>
                      <w:color w:val="auto"/>
                      <w:spacing w:val="-11"/>
                      <w:sz w:val="18"/>
                      <w:szCs w:val="18"/>
                      <w:highlight w:val="none"/>
                      <w:lang w:val="en-US" w:eastAsia="zh-CN"/>
                    </w:rPr>
                  </w:pPr>
                  <w:r>
                    <w:rPr>
                      <w:rFonts w:hint="eastAsia"/>
                      <w:color w:val="auto"/>
                      <w:spacing w:val="-11"/>
                      <w:sz w:val="18"/>
                      <w:szCs w:val="18"/>
                      <w:highlight w:val="none"/>
                      <w:lang w:val="en-US" w:eastAsia="zh-CN"/>
                    </w:rPr>
                    <w:t>12</w:t>
                  </w:r>
                </w:p>
              </w:tc>
              <w:tc>
                <w:tcPr>
                  <w:tcW w:w="926" w:type="dxa"/>
                  <w:tcBorders>
                    <w:tl2br w:val="nil"/>
                    <w:tr2bl w:val="nil"/>
                  </w:tcBorders>
                  <w:shd w:val="clear" w:color="auto" w:fill="auto"/>
                  <w:vAlign w:val="center"/>
                </w:tcPr>
                <w:p w14:paraId="05543B60">
                  <w:pPr>
                    <w:jc w:val="center"/>
                    <w:rPr>
                      <w:rFonts w:hint="eastAsia" w:ascii="Times New Roman" w:hAnsi="Times New Roman" w:eastAsia="宋体" w:cs="Times New Roman"/>
                      <w:color w:val="auto"/>
                      <w:spacing w:val="-11"/>
                      <w:kern w:val="2"/>
                      <w:sz w:val="18"/>
                      <w:szCs w:val="18"/>
                      <w:highlight w:val="none"/>
                      <w:lang w:val="en-US" w:eastAsia="zh-CN" w:bidi="ar-SA"/>
                    </w:rPr>
                  </w:pPr>
                  <w:r>
                    <w:rPr>
                      <w:rFonts w:hint="eastAsia"/>
                      <w:color w:val="auto"/>
                      <w:spacing w:val="-11"/>
                      <w:sz w:val="18"/>
                      <w:szCs w:val="18"/>
                      <w:highlight w:val="none"/>
                      <w:lang w:val="en-US" w:eastAsia="zh-CN"/>
                    </w:rPr>
                    <w:t>99</w:t>
                  </w:r>
                </w:p>
              </w:tc>
              <w:tc>
                <w:tcPr>
                  <w:tcW w:w="869" w:type="dxa"/>
                  <w:tcBorders>
                    <w:tl2br w:val="nil"/>
                    <w:tr2bl w:val="nil"/>
                  </w:tcBorders>
                  <w:shd w:val="clear" w:color="auto" w:fill="auto"/>
                  <w:vAlign w:val="center"/>
                </w:tcPr>
                <w:p w14:paraId="4F1A2818">
                  <w:pPr>
                    <w:jc w:val="center"/>
                    <w:rPr>
                      <w:rFonts w:ascii="Times New Roman" w:hAnsi="Times New Roman" w:eastAsia="宋体" w:cs="Times New Roman"/>
                      <w:color w:val="auto"/>
                      <w:spacing w:val="-11"/>
                      <w:kern w:val="2"/>
                      <w:sz w:val="18"/>
                      <w:szCs w:val="18"/>
                      <w:highlight w:val="none"/>
                      <w:lang w:val="en-US" w:eastAsia="zh-CN" w:bidi="ar-SA"/>
                    </w:rPr>
                  </w:pPr>
                  <w:r>
                    <w:rPr>
                      <w:color w:val="auto"/>
                      <w:spacing w:val="-11"/>
                      <w:sz w:val="18"/>
                      <w:szCs w:val="18"/>
                      <w:highlight w:val="none"/>
                    </w:rPr>
                    <w:t>0.5</w:t>
                  </w:r>
                </w:p>
              </w:tc>
              <w:tc>
                <w:tcPr>
                  <w:tcW w:w="1186" w:type="dxa"/>
                  <w:tcBorders>
                    <w:tl2br w:val="nil"/>
                    <w:tr2bl w:val="nil"/>
                  </w:tcBorders>
                  <w:vAlign w:val="center"/>
                </w:tcPr>
                <w:p w14:paraId="46A74A58">
                  <w:pPr>
                    <w:jc w:val="center"/>
                    <w:rPr>
                      <w:rFonts w:hint="default"/>
                      <w:color w:val="auto"/>
                      <w:spacing w:val="-11"/>
                      <w:sz w:val="18"/>
                      <w:szCs w:val="18"/>
                      <w:highlight w:val="none"/>
                      <w:lang w:val="en-US" w:eastAsia="zh-CN"/>
                    </w:rPr>
                  </w:pPr>
                  <w:r>
                    <w:rPr>
                      <w:rFonts w:hint="eastAsia"/>
                      <w:color w:val="auto"/>
                      <w:spacing w:val="-11"/>
                      <w:sz w:val="18"/>
                      <w:szCs w:val="18"/>
                      <w:highlight w:val="none"/>
                      <w:lang w:val="en-US" w:eastAsia="zh-CN"/>
                    </w:rPr>
                    <w:t>0.00009</w:t>
                  </w:r>
                </w:p>
              </w:tc>
            </w:tr>
            <w:tr w14:paraId="60A0D70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56" w:hRule="atLeast"/>
                <w:jc w:val="center"/>
              </w:trPr>
              <w:tc>
                <w:tcPr>
                  <w:tcW w:w="576" w:type="dxa"/>
                  <w:vMerge w:val="continue"/>
                  <w:tcBorders>
                    <w:tl2br w:val="nil"/>
                    <w:tr2bl w:val="nil"/>
                  </w:tcBorders>
                  <w:vAlign w:val="center"/>
                </w:tcPr>
                <w:p w14:paraId="20439760">
                  <w:pPr>
                    <w:jc w:val="center"/>
                    <w:rPr>
                      <w:rFonts w:hint="eastAsia" w:ascii="Times New Roman" w:hAnsi="Times New Roman" w:eastAsia="宋体" w:cs="Times New Roman"/>
                      <w:color w:val="auto"/>
                      <w:spacing w:val="-11"/>
                      <w:sz w:val="18"/>
                      <w:szCs w:val="18"/>
                      <w:highlight w:val="none"/>
                      <w:lang w:val="en-US" w:eastAsia="zh-CN"/>
                    </w:rPr>
                  </w:pPr>
                </w:p>
              </w:tc>
              <w:tc>
                <w:tcPr>
                  <w:tcW w:w="2363" w:type="dxa"/>
                  <w:tcBorders>
                    <w:tl2br w:val="nil"/>
                    <w:tr2bl w:val="nil"/>
                  </w:tcBorders>
                  <w:vAlign w:val="center"/>
                </w:tcPr>
                <w:p w14:paraId="30AF1300">
                  <w:pPr>
                    <w:jc w:val="center"/>
                    <w:rPr>
                      <w:rFonts w:hint="eastAsia" w:ascii="Times New Roman" w:hAnsi="Times New Roman" w:eastAsia="宋体" w:cs="Times New Roman"/>
                      <w:color w:val="auto"/>
                      <w:spacing w:val="-11"/>
                      <w:sz w:val="18"/>
                      <w:szCs w:val="18"/>
                      <w:highlight w:val="none"/>
                      <w:lang w:val="en-US" w:eastAsia="zh-CN"/>
                    </w:rPr>
                  </w:pPr>
                  <w:r>
                    <w:rPr>
                      <w:rFonts w:hint="eastAsia" w:ascii="Times New Roman" w:hAnsi="Times New Roman" w:eastAsia="宋体" w:cs="Times New Roman"/>
                      <w:color w:val="auto"/>
                      <w:spacing w:val="-11"/>
                      <w:sz w:val="18"/>
                      <w:szCs w:val="18"/>
                      <w:highlight w:val="none"/>
                      <w:lang w:val="en-US" w:eastAsia="zh-CN"/>
                    </w:rPr>
                    <w:t>非磁性钢渣粉</w:t>
                  </w:r>
                  <w:r>
                    <w:rPr>
                      <w:rFonts w:hint="eastAsia" w:ascii="Times New Roman" w:hAnsi="Times New Roman" w:eastAsia="宋体" w:cs="Times New Roman"/>
                      <w:color w:val="auto"/>
                      <w:spacing w:val="-11"/>
                      <w:sz w:val="18"/>
                      <w:szCs w:val="18"/>
                      <w:highlight w:val="none"/>
                    </w:rPr>
                    <w:t>堆存与装卸</w:t>
                  </w:r>
                </w:p>
              </w:tc>
              <w:tc>
                <w:tcPr>
                  <w:tcW w:w="1118" w:type="dxa"/>
                  <w:tcBorders>
                    <w:tl2br w:val="nil"/>
                    <w:tr2bl w:val="nil"/>
                  </w:tcBorders>
                  <w:vAlign w:val="center"/>
                </w:tcPr>
                <w:p w14:paraId="12453192">
                  <w:pPr>
                    <w:jc w:val="center"/>
                    <w:rPr>
                      <w:rFonts w:hint="default" w:eastAsia="宋体"/>
                      <w:color w:val="auto"/>
                      <w:spacing w:val="-11"/>
                      <w:sz w:val="18"/>
                      <w:szCs w:val="18"/>
                      <w:highlight w:val="none"/>
                      <w:lang w:val="en-US" w:eastAsia="zh-CN"/>
                    </w:rPr>
                  </w:pPr>
                  <w:r>
                    <w:rPr>
                      <w:rFonts w:hint="eastAsia"/>
                      <w:color w:val="auto"/>
                      <w:spacing w:val="-11"/>
                      <w:sz w:val="18"/>
                      <w:szCs w:val="18"/>
                      <w:highlight w:val="none"/>
                      <w:lang w:val="en-US" w:eastAsia="zh-CN"/>
                    </w:rPr>
                    <w:t>0.74</w:t>
                  </w:r>
                </w:p>
              </w:tc>
              <w:tc>
                <w:tcPr>
                  <w:tcW w:w="926" w:type="dxa"/>
                  <w:tcBorders>
                    <w:tl2br w:val="nil"/>
                    <w:tr2bl w:val="nil"/>
                  </w:tcBorders>
                  <w:vAlign w:val="center"/>
                </w:tcPr>
                <w:p w14:paraId="5CCA1034">
                  <w:pPr>
                    <w:jc w:val="center"/>
                    <w:rPr>
                      <w:rFonts w:hint="default" w:eastAsia="宋体"/>
                      <w:color w:val="auto"/>
                      <w:spacing w:val="-11"/>
                      <w:sz w:val="18"/>
                      <w:szCs w:val="18"/>
                      <w:highlight w:val="none"/>
                      <w:lang w:val="en-US" w:eastAsia="zh-CN"/>
                    </w:rPr>
                  </w:pPr>
                  <w:r>
                    <w:rPr>
                      <w:rFonts w:hint="eastAsia"/>
                      <w:color w:val="auto"/>
                      <w:spacing w:val="-11"/>
                      <w:sz w:val="18"/>
                      <w:szCs w:val="18"/>
                      <w:highlight w:val="none"/>
                      <w:lang w:val="en-US" w:eastAsia="zh-CN"/>
                    </w:rPr>
                    <w:t>12</w:t>
                  </w:r>
                </w:p>
              </w:tc>
              <w:tc>
                <w:tcPr>
                  <w:tcW w:w="926" w:type="dxa"/>
                  <w:tcBorders>
                    <w:tl2br w:val="nil"/>
                    <w:tr2bl w:val="nil"/>
                  </w:tcBorders>
                  <w:shd w:val="clear" w:color="auto" w:fill="auto"/>
                  <w:vAlign w:val="center"/>
                </w:tcPr>
                <w:p w14:paraId="59639E84">
                  <w:pPr>
                    <w:jc w:val="center"/>
                    <w:rPr>
                      <w:rFonts w:hint="eastAsia" w:ascii="Times New Roman" w:hAnsi="Times New Roman" w:eastAsia="宋体" w:cs="Times New Roman"/>
                      <w:color w:val="auto"/>
                      <w:spacing w:val="-11"/>
                      <w:kern w:val="2"/>
                      <w:sz w:val="18"/>
                      <w:szCs w:val="18"/>
                      <w:highlight w:val="none"/>
                      <w:lang w:val="en-US" w:eastAsia="zh-CN" w:bidi="ar-SA"/>
                    </w:rPr>
                  </w:pPr>
                  <w:r>
                    <w:rPr>
                      <w:rFonts w:hint="eastAsia"/>
                      <w:color w:val="auto"/>
                      <w:spacing w:val="-11"/>
                      <w:sz w:val="18"/>
                      <w:szCs w:val="18"/>
                      <w:highlight w:val="none"/>
                      <w:lang w:val="en-US" w:eastAsia="zh-CN"/>
                    </w:rPr>
                    <w:t>99</w:t>
                  </w:r>
                </w:p>
              </w:tc>
              <w:tc>
                <w:tcPr>
                  <w:tcW w:w="869" w:type="dxa"/>
                  <w:tcBorders>
                    <w:tl2br w:val="nil"/>
                    <w:tr2bl w:val="nil"/>
                  </w:tcBorders>
                  <w:shd w:val="clear" w:color="auto" w:fill="auto"/>
                  <w:vAlign w:val="center"/>
                </w:tcPr>
                <w:p w14:paraId="1D817B05">
                  <w:pPr>
                    <w:jc w:val="center"/>
                    <w:rPr>
                      <w:rFonts w:ascii="Times New Roman" w:hAnsi="Times New Roman" w:eastAsia="宋体" w:cs="Times New Roman"/>
                      <w:color w:val="auto"/>
                      <w:spacing w:val="-11"/>
                      <w:kern w:val="2"/>
                      <w:sz w:val="18"/>
                      <w:szCs w:val="18"/>
                      <w:highlight w:val="none"/>
                      <w:lang w:val="en-US" w:eastAsia="zh-CN" w:bidi="ar-SA"/>
                    </w:rPr>
                  </w:pPr>
                  <w:r>
                    <w:rPr>
                      <w:color w:val="auto"/>
                      <w:spacing w:val="-11"/>
                      <w:sz w:val="18"/>
                      <w:szCs w:val="18"/>
                      <w:highlight w:val="none"/>
                    </w:rPr>
                    <w:t>0.5</w:t>
                  </w:r>
                </w:p>
              </w:tc>
              <w:tc>
                <w:tcPr>
                  <w:tcW w:w="1186" w:type="dxa"/>
                  <w:tcBorders>
                    <w:tl2br w:val="nil"/>
                    <w:tr2bl w:val="nil"/>
                  </w:tcBorders>
                  <w:vAlign w:val="center"/>
                </w:tcPr>
                <w:p w14:paraId="2A26A6F5">
                  <w:pPr>
                    <w:jc w:val="center"/>
                    <w:rPr>
                      <w:rFonts w:hint="eastAsia"/>
                      <w:color w:val="auto"/>
                      <w:spacing w:val="-11"/>
                      <w:sz w:val="18"/>
                      <w:szCs w:val="18"/>
                      <w:highlight w:val="none"/>
                      <w:lang w:val="en-US" w:eastAsia="zh-CN"/>
                    </w:rPr>
                  </w:pPr>
                  <w:r>
                    <w:rPr>
                      <w:rFonts w:hint="eastAsia"/>
                      <w:color w:val="auto"/>
                      <w:spacing w:val="-11"/>
                      <w:sz w:val="18"/>
                      <w:szCs w:val="18"/>
                      <w:highlight w:val="none"/>
                      <w:lang w:val="en-US" w:eastAsia="zh-CN"/>
                    </w:rPr>
                    <w:t>0.00009</w:t>
                  </w:r>
                </w:p>
              </w:tc>
            </w:tr>
          </w:tbl>
          <w:p w14:paraId="6E4D1021">
            <w:pPr>
              <w:spacing w:line="440" w:lineRule="exact"/>
              <w:ind w:firstLine="482"/>
              <w:rPr>
                <w:color w:val="auto"/>
                <w:szCs w:val="21"/>
              </w:rPr>
            </w:pPr>
            <w:r>
              <w:rPr>
                <w:rFonts w:hint="eastAsia"/>
                <w:color w:val="auto"/>
                <w:szCs w:val="21"/>
              </w:rPr>
              <w:t>b</w:t>
            </w:r>
            <w:r>
              <w:rPr>
                <w:color w:val="auto"/>
                <w:szCs w:val="21"/>
              </w:rPr>
              <w:t>堆场风蚀扬尘排放系数</w:t>
            </w:r>
            <w:r>
              <w:rPr>
                <w:rFonts w:hint="eastAsia"/>
                <w:color w:val="auto"/>
                <w:szCs w:val="21"/>
              </w:rPr>
              <w:t>Ew</w:t>
            </w:r>
          </w:p>
          <w:p w14:paraId="47A17D26">
            <w:pPr>
              <w:spacing w:line="440" w:lineRule="exact"/>
              <w:ind w:firstLine="482"/>
              <w:rPr>
                <w:color w:val="auto"/>
                <w:szCs w:val="21"/>
              </w:rPr>
            </w:pPr>
            <w:r>
              <w:rPr>
                <w:color w:val="auto"/>
                <w:szCs w:val="21"/>
              </w:rPr>
              <w:drawing>
                <wp:anchor distT="0" distB="0" distL="114300" distR="114300" simplePos="0" relativeHeight="251663360" behindDoc="0" locked="0" layoutInCell="1" allowOverlap="1">
                  <wp:simplePos x="0" y="0"/>
                  <wp:positionH relativeFrom="column">
                    <wp:posOffset>191770</wp:posOffset>
                  </wp:positionH>
                  <wp:positionV relativeFrom="paragraph">
                    <wp:posOffset>261620</wp:posOffset>
                  </wp:positionV>
                  <wp:extent cx="2023110" cy="427355"/>
                  <wp:effectExtent l="0" t="0" r="3810" b="14605"/>
                  <wp:wrapNone/>
                  <wp:docPr id="191" name="图片 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 name="图片 110"/>
                          <pic:cNvPicPr>
                            <a:picLocks noChangeAspect="1" noChangeArrowheads="1"/>
                          </pic:cNvPicPr>
                        </pic:nvPicPr>
                        <pic:blipFill>
                          <a:blip r:embed="rId10" cstate="print"/>
                          <a:srcRect t="9415"/>
                          <a:stretch>
                            <a:fillRect/>
                          </a:stretch>
                        </pic:blipFill>
                        <pic:spPr>
                          <a:xfrm>
                            <a:off x="0" y="0"/>
                            <a:ext cx="2023110" cy="427355"/>
                          </a:xfrm>
                          <a:prstGeom prst="rect">
                            <a:avLst/>
                          </a:prstGeom>
                          <a:noFill/>
                          <a:ln w="9525">
                            <a:noFill/>
                            <a:miter lim="800000"/>
                            <a:headEnd/>
                            <a:tailEnd/>
                          </a:ln>
                        </pic:spPr>
                      </pic:pic>
                    </a:graphicData>
                  </a:graphic>
                </wp:anchor>
              </w:drawing>
            </w:r>
            <w:r>
              <w:rPr>
                <w:color w:val="auto"/>
                <w:szCs w:val="21"/>
              </w:rPr>
              <w:t>堆场风蚀扬尘排放系数Ew的计算方法用下式计算：</w:t>
            </w:r>
          </w:p>
          <w:p w14:paraId="166B70C1">
            <w:pPr>
              <w:pStyle w:val="79"/>
              <w:rPr>
                <w:rFonts w:eastAsia="仿宋"/>
                <w:color w:val="auto"/>
              </w:rPr>
            </w:pPr>
          </w:p>
          <w:p w14:paraId="27926BA2">
            <w:pPr>
              <w:pStyle w:val="79"/>
              <w:rPr>
                <w:rFonts w:eastAsia="仿宋"/>
                <w:color w:val="auto"/>
                <w:sz w:val="24"/>
              </w:rPr>
            </w:pPr>
            <w:r>
              <w:rPr>
                <w:rFonts w:hint="eastAsia" w:eastAsia="仿宋"/>
                <w:color w:val="auto"/>
              </w:rPr>
              <w:t xml:space="preserve">              </w:t>
            </w:r>
            <w:r>
              <w:rPr>
                <w:rFonts w:eastAsia="仿宋"/>
                <w:color w:val="auto"/>
              </w:rPr>
              <w:t>…</w:t>
            </w:r>
            <w:r>
              <w:rPr>
                <w:rFonts w:hint="eastAsia" w:ascii="宋体" w:hAnsi="宋体" w:cs="宋体"/>
                <w:color w:val="auto"/>
                <w:szCs w:val="21"/>
              </w:rPr>
              <w:t>…………………………公式(2)</w:t>
            </w:r>
          </w:p>
          <w:p w14:paraId="4D8625FF">
            <w:pPr>
              <w:spacing w:line="440" w:lineRule="exact"/>
              <w:ind w:firstLine="482"/>
              <w:rPr>
                <w:color w:val="auto"/>
                <w:szCs w:val="21"/>
              </w:rPr>
            </w:pPr>
            <w:r>
              <w:rPr>
                <w:color w:val="auto"/>
                <w:szCs w:val="21"/>
              </w:rPr>
              <w:t>式中：</w:t>
            </w:r>
          </w:p>
          <w:p w14:paraId="3F4B01DF">
            <w:pPr>
              <w:spacing w:line="440" w:lineRule="exact"/>
              <w:ind w:firstLine="482"/>
              <w:rPr>
                <w:color w:val="auto"/>
                <w:szCs w:val="21"/>
              </w:rPr>
            </w:pPr>
            <w:r>
              <w:rPr>
                <w:color w:val="auto"/>
                <w:szCs w:val="21"/>
              </w:rPr>
              <w:t>E</w:t>
            </w:r>
            <w:r>
              <w:rPr>
                <w:color w:val="auto"/>
                <w:szCs w:val="21"/>
                <w:vertAlign w:val="subscript"/>
              </w:rPr>
              <w:t>w</w:t>
            </w:r>
            <w:r>
              <w:rPr>
                <w:color w:val="auto"/>
                <w:szCs w:val="21"/>
              </w:rPr>
              <w:t>——堆场风蚀扬尘的排放系数，kg/m</w:t>
            </w:r>
            <w:r>
              <w:rPr>
                <w:color w:val="auto"/>
                <w:szCs w:val="21"/>
                <w:vertAlign w:val="superscript"/>
              </w:rPr>
              <w:t>2</w:t>
            </w:r>
            <w:r>
              <w:rPr>
                <w:color w:val="auto"/>
                <w:szCs w:val="21"/>
              </w:rPr>
              <w:t>。</w:t>
            </w:r>
          </w:p>
          <w:p w14:paraId="761263B8">
            <w:pPr>
              <w:spacing w:line="440" w:lineRule="exact"/>
              <w:ind w:firstLine="482"/>
              <w:rPr>
                <w:color w:val="auto"/>
                <w:szCs w:val="21"/>
              </w:rPr>
            </w:pPr>
            <w:r>
              <w:rPr>
                <w:color w:val="auto"/>
                <w:szCs w:val="21"/>
              </w:rPr>
              <w:t>k</w:t>
            </w:r>
            <w:r>
              <w:rPr>
                <w:color w:val="auto"/>
                <w:szCs w:val="21"/>
                <w:vertAlign w:val="subscript"/>
              </w:rPr>
              <w:t>i</w:t>
            </w:r>
            <w:r>
              <w:rPr>
                <w:color w:val="auto"/>
                <w:szCs w:val="21"/>
              </w:rPr>
              <w:t>——物料的粒度乘数，参考《扬尘源颗粒物排放清单编制技术指南》表13中TSP的粒度乘数为1.0。</w:t>
            </w:r>
          </w:p>
          <w:p w14:paraId="1BB35B81">
            <w:pPr>
              <w:spacing w:line="440" w:lineRule="exact"/>
              <w:ind w:firstLine="482"/>
              <w:rPr>
                <w:color w:val="auto"/>
                <w:szCs w:val="21"/>
              </w:rPr>
            </w:pPr>
            <w:r>
              <w:rPr>
                <w:color w:val="auto"/>
                <w:szCs w:val="21"/>
              </w:rPr>
              <w:t>n——料堆每年受扰动的次数。</w:t>
            </w:r>
          </w:p>
          <w:p w14:paraId="07698E7F">
            <w:pPr>
              <w:spacing w:line="440" w:lineRule="exact"/>
              <w:ind w:firstLine="482"/>
              <w:rPr>
                <w:color w:val="auto"/>
                <w:szCs w:val="21"/>
              </w:rPr>
            </w:pPr>
            <w:r>
              <w:rPr>
                <w:color w:val="auto"/>
                <w:szCs w:val="21"/>
              </w:rPr>
              <w:t>P</w:t>
            </w:r>
            <w:r>
              <w:rPr>
                <w:color w:val="auto"/>
                <w:szCs w:val="21"/>
                <w:vertAlign w:val="subscript"/>
              </w:rPr>
              <w:t>i</w:t>
            </w:r>
            <w:r>
              <w:rPr>
                <w:color w:val="auto"/>
                <w:szCs w:val="21"/>
              </w:rPr>
              <w:t>——第i次扰动中观测的最大风速的风蚀潜势，g/</w:t>
            </w:r>
            <w:r>
              <w:rPr>
                <w:rFonts w:hint="eastAsia"/>
                <w:color w:val="auto"/>
                <w:szCs w:val="21"/>
              </w:rPr>
              <w:t>m</w:t>
            </w:r>
            <w:r>
              <w:rPr>
                <w:color w:val="auto"/>
                <w:szCs w:val="21"/>
                <w:vertAlign w:val="superscript"/>
              </w:rPr>
              <w:t>2</w:t>
            </w:r>
            <w:r>
              <w:rPr>
                <w:color w:val="auto"/>
                <w:szCs w:val="21"/>
              </w:rPr>
              <w:t>，通过公式(3)求得。</w:t>
            </w:r>
          </w:p>
          <w:p w14:paraId="415DF1C5">
            <w:pPr>
              <w:pStyle w:val="79"/>
              <w:ind w:firstLine="480"/>
              <w:rPr>
                <w:rFonts w:eastAsia="仿宋"/>
                <w:color w:val="auto"/>
              </w:rPr>
            </w:pPr>
            <w:r>
              <w:rPr>
                <w:color w:val="auto"/>
                <w:szCs w:val="21"/>
              </w:rPr>
              <w:drawing>
                <wp:anchor distT="0" distB="0" distL="114300" distR="114300" simplePos="0" relativeHeight="251659264" behindDoc="0" locked="0" layoutInCell="1" allowOverlap="1">
                  <wp:simplePos x="0" y="0"/>
                  <wp:positionH relativeFrom="column">
                    <wp:posOffset>208915</wp:posOffset>
                  </wp:positionH>
                  <wp:positionV relativeFrom="paragraph">
                    <wp:posOffset>30480</wp:posOffset>
                  </wp:positionV>
                  <wp:extent cx="3317875" cy="795020"/>
                  <wp:effectExtent l="0" t="0" r="4445" b="12700"/>
                  <wp:wrapNone/>
                  <wp:docPr id="192" name="图片 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 name="图片 111"/>
                          <pic:cNvPicPr>
                            <a:picLocks noChangeAspect="1" noChangeArrowheads="1"/>
                          </pic:cNvPicPr>
                        </pic:nvPicPr>
                        <pic:blipFill>
                          <a:blip r:embed="rId11" cstate="print"/>
                          <a:srcRect l="9023" r="3760" b="3256"/>
                          <a:stretch>
                            <a:fillRect/>
                          </a:stretch>
                        </pic:blipFill>
                        <pic:spPr>
                          <a:xfrm>
                            <a:off x="0" y="0"/>
                            <a:ext cx="3317875" cy="795020"/>
                          </a:xfrm>
                          <a:prstGeom prst="rect">
                            <a:avLst/>
                          </a:prstGeom>
                          <a:noFill/>
                          <a:ln w="9525">
                            <a:noFill/>
                            <a:miter lim="800000"/>
                            <a:headEnd/>
                            <a:tailEnd/>
                          </a:ln>
                        </pic:spPr>
                      </pic:pic>
                    </a:graphicData>
                  </a:graphic>
                </wp:anchor>
              </w:drawing>
            </w:r>
          </w:p>
          <w:p w14:paraId="371CC8F2">
            <w:pPr>
              <w:pStyle w:val="79"/>
              <w:ind w:firstLine="480"/>
              <w:rPr>
                <w:rFonts w:eastAsia="仿宋"/>
                <w:color w:val="auto"/>
              </w:rPr>
            </w:pPr>
          </w:p>
          <w:p w14:paraId="15B11776">
            <w:pPr>
              <w:pStyle w:val="79"/>
              <w:ind w:firstLine="480"/>
              <w:rPr>
                <w:rFonts w:eastAsia="仿宋"/>
                <w:color w:val="auto"/>
              </w:rPr>
            </w:pPr>
          </w:p>
          <w:p w14:paraId="79312340">
            <w:pPr>
              <w:pStyle w:val="79"/>
              <w:ind w:firstLine="480"/>
              <w:rPr>
                <w:rFonts w:eastAsia="仿宋"/>
                <w:color w:val="auto"/>
                <w:sz w:val="24"/>
              </w:rPr>
            </w:pPr>
            <w:r>
              <w:rPr>
                <w:rFonts w:hint="eastAsia" w:eastAsia="仿宋"/>
                <w:color w:val="auto"/>
              </w:rPr>
              <w:t xml:space="preserve">                                           </w:t>
            </w:r>
            <w:r>
              <w:rPr>
                <w:rFonts w:hint="eastAsia" w:ascii="宋体" w:hAnsi="宋体" w:cs="宋体"/>
                <w:color w:val="auto"/>
                <w:szCs w:val="21"/>
              </w:rPr>
              <w:t>……公式(3)</w:t>
            </w:r>
          </w:p>
          <w:p w14:paraId="2EE457EA">
            <w:pPr>
              <w:pStyle w:val="79"/>
              <w:ind w:firstLine="480"/>
              <w:rPr>
                <w:rFonts w:eastAsia="仿宋"/>
                <w:color w:val="auto"/>
                <w:sz w:val="24"/>
              </w:rPr>
            </w:pPr>
          </w:p>
          <w:p w14:paraId="36CFD453">
            <w:pPr>
              <w:spacing w:line="440" w:lineRule="exact"/>
              <w:ind w:firstLine="482"/>
              <w:rPr>
                <w:color w:val="auto"/>
                <w:szCs w:val="21"/>
              </w:rPr>
            </w:pPr>
            <w:r>
              <w:rPr>
                <w:color w:val="auto"/>
                <w:szCs w:val="21"/>
              </w:rPr>
              <w:t>η——污染控制技术对扬尘的去除效率，%。</w:t>
            </w:r>
          </w:p>
          <w:p w14:paraId="6F0A814C">
            <w:pPr>
              <w:spacing w:line="440" w:lineRule="exact"/>
              <w:ind w:firstLine="482"/>
              <w:rPr>
                <w:color w:val="auto"/>
                <w:szCs w:val="21"/>
              </w:rPr>
            </w:pPr>
            <w:r>
              <w:rPr>
                <w:color w:val="auto"/>
                <w:szCs w:val="21"/>
              </w:rPr>
              <w:t>u</w:t>
            </w:r>
            <w:r>
              <w:rPr>
                <w:color w:val="auto"/>
                <w:szCs w:val="21"/>
                <w:vertAlign w:val="superscript"/>
              </w:rPr>
              <w:t>*</w:t>
            </w:r>
            <w:r>
              <w:rPr>
                <w:color w:val="auto"/>
                <w:szCs w:val="21"/>
              </w:rPr>
              <w:t>——摩擦风速，m/s。计算方法见公式(4)。</w:t>
            </w:r>
          </w:p>
          <w:p w14:paraId="7A03B826">
            <w:pPr>
              <w:tabs>
                <w:tab w:val="left" w:pos="4253"/>
              </w:tabs>
              <w:spacing w:line="440" w:lineRule="exact"/>
              <w:ind w:firstLine="480"/>
              <w:rPr>
                <w:color w:val="auto"/>
                <w:szCs w:val="21"/>
              </w:rPr>
            </w:pPr>
            <w:r>
              <w:rPr>
                <w:color w:val="auto"/>
                <w:szCs w:val="21"/>
              </w:rPr>
              <w:t>u</w:t>
            </w:r>
            <w:r>
              <w:rPr>
                <w:color w:val="auto"/>
                <w:szCs w:val="21"/>
                <w:vertAlign w:val="subscript"/>
              </w:rPr>
              <w:t>t</w:t>
            </w:r>
            <w:r>
              <w:rPr>
                <w:color w:val="auto"/>
                <w:szCs w:val="21"/>
                <w:vertAlign w:val="superscript"/>
              </w:rPr>
              <w:t>*</w:t>
            </w:r>
            <w:r>
              <w:rPr>
                <w:color w:val="auto"/>
                <w:szCs w:val="21"/>
              </w:rPr>
              <w:t>——阈值摩擦风速，即起尘的临界摩擦风速，m/s，参考《扬尘源颗粒物排放清单编制技术指南》中的表15阈值摩擦风速参考值。</w:t>
            </w:r>
          </w:p>
          <w:p w14:paraId="68E95D0C">
            <w:pPr>
              <w:pStyle w:val="79"/>
              <w:rPr>
                <w:rFonts w:eastAsia="仿宋"/>
                <w:color w:val="auto"/>
              </w:rPr>
            </w:pPr>
            <w:r>
              <w:rPr>
                <w:rFonts w:hint="eastAsia" w:eastAsia="仿宋"/>
                <w:color w:val="auto"/>
              </w:rPr>
              <w:drawing>
                <wp:anchor distT="0" distB="0" distL="114300" distR="114300" simplePos="0" relativeHeight="251661312" behindDoc="0" locked="0" layoutInCell="1" allowOverlap="1">
                  <wp:simplePos x="0" y="0"/>
                  <wp:positionH relativeFrom="column">
                    <wp:posOffset>191770</wp:posOffset>
                  </wp:positionH>
                  <wp:positionV relativeFrom="paragraph">
                    <wp:posOffset>62865</wp:posOffset>
                  </wp:positionV>
                  <wp:extent cx="2308225" cy="320040"/>
                  <wp:effectExtent l="0" t="0" r="8255" b="0"/>
                  <wp:wrapNone/>
                  <wp:docPr id="193" name="图片 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 name="图片 112"/>
                          <pic:cNvPicPr>
                            <a:picLocks noChangeAspect="1" noChangeArrowheads="1"/>
                          </pic:cNvPicPr>
                        </pic:nvPicPr>
                        <pic:blipFill>
                          <a:blip r:embed="rId12" cstate="print"/>
                          <a:srcRect l="6363" t="14510" r="4648"/>
                          <a:stretch>
                            <a:fillRect/>
                          </a:stretch>
                        </pic:blipFill>
                        <pic:spPr>
                          <a:xfrm>
                            <a:off x="0" y="0"/>
                            <a:ext cx="2308225" cy="320040"/>
                          </a:xfrm>
                          <a:prstGeom prst="rect">
                            <a:avLst/>
                          </a:prstGeom>
                          <a:noFill/>
                          <a:ln w="9525">
                            <a:noFill/>
                            <a:miter lim="800000"/>
                            <a:headEnd/>
                            <a:tailEnd/>
                          </a:ln>
                        </pic:spPr>
                      </pic:pic>
                    </a:graphicData>
                  </a:graphic>
                </wp:anchor>
              </w:drawing>
            </w:r>
          </w:p>
          <w:p w14:paraId="1DB2EB9F">
            <w:pPr>
              <w:pStyle w:val="79"/>
              <w:rPr>
                <w:rFonts w:eastAsia="仿宋"/>
                <w:color w:val="auto"/>
                <w:sz w:val="24"/>
              </w:rPr>
            </w:pPr>
            <w:r>
              <w:rPr>
                <w:rFonts w:hint="eastAsia" w:eastAsia="仿宋"/>
                <w:color w:val="auto"/>
              </w:rPr>
              <w:t xml:space="preserve">                   </w:t>
            </w:r>
            <w:r>
              <w:rPr>
                <w:rFonts w:hint="eastAsia" w:ascii="宋体" w:hAnsi="宋体" w:cs="宋体"/>
                <w:color w:val="auto"/>
                <w:szCs w:val="21"/>
              </w:rPr>
              <w:t>…………………公式(4)</w:t>
            </w:r>
          </w:p>
          <w:p w14:paraId="326F6547">
            <w:pPr>
              <w:spacing w:line="440" w:lineRule="exact"/>
              <w:ind w:firstLine="482"/>
              <w:rPr>
                <w:color w:val="auto"/>
                <w:szCs w:val="21"/>
              </w:rPr>
            </w:pPr>
            <w:r>
              <w:rPr>
                <w:color w:val="auto"/>
                <w:szCs w:val="21"/>
              </w:rPr>
              <w:t>式中：</w:t>
            </w:r>
          </w:p>
          <w:p w14:paraId="7EEEF960">
            <w:pPr>
              <w:spacing w:line="440" w:lineRule="exact"/>
              <w:ind w:firstLine="482"/>
              <w:rPr>
                <w:color w:val="auto"/>
                <w:szCs w:val="21"/>
              </w:rPr>
            </w:pPr>
            <w:r>
              <w:rPr>
                <w:color w:val="auto"/>
                <w:szCs w:val="21"/>
              </w:rPr>
              <w:t>u(z)——地面风速，m/s。</w:t>
            </w:r>
          </w:p>
          <w:p w14:paraId="49938C4C">
            <w:pPr>
              <w:spacing w:line="440" w:lineRule="exact"/>
              <w:ind w:firstLine="482"/>
              <w:rPr>
                <w:color w:val="auto"/>
                <w:szCs w:val="21"/>
              </w:rPr>
            </w:pPr>
            <w:r>
              <w:rPr>
                <w:color w:val="auto"/>
                <w:szCs w:val="21"/>
              </w:rPr>
              <w:t>z——地面风速检测高度，m，为1m。</w:t>
            </w:r>
          </w:p>
          <w:p w14:paraId="481A5EA7">
            <w:pPr>
              <w:spacing w:line="440" w:lineRule="exact"/>
              <w:ind w:firstLine="482"/>
              <w:rPr>
                <w:color w:val="auto"/>
                <w:szCs w:val="21"/>
              </w:rPr>
            </w:pPr>
            <w:r>
              <w:rPr>
                <w:color w:val="auto"/>
                <w:szCs w:val="21"/>
              </w:rPr>
              <w:t>z</w:t>
            </w:r>
            <w:r>
              <w:rPr>
                <w:color w:val="auto"/>
                <w:szCs w:val="21"/>
                <w:vertAlign w:val="subscript"/>
              </w:rPr>
              <w:t>0</w:t>
            </w:r>
            <w:r>
              <w:rPr>
                <w:color w:val="auto"/>
                <w:szCs w:val="21"/>
              </w:rPr>
              <w:t>——地面粗糙度，m，城市取值0.6，郊区取值0.2。本次计算取0.2。</w:t>
            </w:r>
          </w:p>
          <w:p w14:paraId="1366258C">
            <w:pPr>
              <w:spacing w:line="440" w:lineRule="exact"/>
              <w:ind w:firstLine="482"/>
              <w:rPr>
                <w:color w:val="auto"/>
                <w:szCs w:val="21"/>
              </w:rPr>
            </w:pPr>
            <w:r>
              <w:rPr>
                <w:color w:val="auto"/>
                <w:szCs w:val="21"/>
              </w:rPr>
              <w:t>项</w:t>
            </w:r>
            <w:r>
              <w:rPr>
                <w:color w:val="auto"/>
                <w:szCs w:val="21"/>
                <w:highlight w:val="none"/>
              </w:rPr>
              <w:t>目</w:t>
            </w:r>
            <w:r>
              <w:rPr>
                <w:rFonts w:hint="eastAsia"/>
                <w:color w:val="auto"/>
                <w:szCs w:val="21"/>
                <w:highlight w:val="none"/>
                <w:lang w:val="en-US" w:eastAsia="zh-CN"/>
              </w:rPr>
              <w:t>物料</w:t>
            </w:r>
            <w:r>
              <w:rPr>
                <w:color w:val="auto"/>
                <w:szCs w:val="21"/>
                <w:highlight w:val="none"/>
              </w:rPr>
              <w:t>堆存过</w:t>
            </w:r>
            <w:r>
              <w:rPr>
                <w:color w:val="auto"/>
                <w:szCs w:val="21"/>
              </w:rPr>
              <w:t>程颗粒物排放系数E</w:t>
            </w:r>
            <w:r>
              <w:rPr>
                <w:color w:val="auto"/>
                <w:szCs w:val="21"/>
                <w:vertAlign w:val="subscript"/>
              </w:rPr>
              <w:t>w</w:t>
            </w:r>
            <w:r>
              <w:rPr>
                <w:color w:val="auto"/>
                <w:szCs w:val="21"/>
              </w:rPr>
              <w:t>计算参数及结果见表</w:t>
            </w:r>
            <w:r>
              <w:rPr>
                <w:rFonts w:hint="eastAsia"/>
                <w:color w:val="auto"/>
                <w:szCs w:val="21"/>
                <w:lang w:val="en-US" w:eastAsia="zh-CN"/>
              </w:rPr>
              <w:t>29</w:t>
            </w:r>
            <w:r>
              <w:rPr>
                <w:color w:val="auto"/>
                <w:szCs w:val="21"/>
              </w:rPr>
              <w:t>。</w:t>
            </w:r>
          </w:p>
          <w:p w14:paraId="7C28FCC6">
            <w:pPr>
              <w:spacing w:line="440" w:lineRule="exact"/>
              <w:ind w:firstLine="422" w:firstLineChars="200"/>
              <w:jc w:val="center"/>
              <w:rPr>
                <w:b/>
                <w:snapToGrid w:val="0"/>
                <w:color w:val="auto"/>
                <w:kern w:val="0"/>
                <w:lang w:val="zh-CN" w:bidi="ar"/>
              </w:rPr>
            </w:pPr>
            <w:r>
              <w:rPr>
                <w:rFonts w:hint="eastAsia"/>
                <w:b/>
                <w:snapToGrid w:val="0"/>
                <w:color w:val="auto"/>
                <w:kern w:val="0"/>
                <w:lang w:val="zh-CN" w:bidi="ar"/>
              </w:rPr>
              <w:t>表</w:t>
            </w:r>
            <w:r>
              <w:rPr>
                <w:rFonts w:hint="eastAsia"/>
                <w:b/>
                <w:snapToGrid w:val="0"/>
                <w:color w:val="auto"/>
                <w:kern w:val="0"/>
                <w:lang w:val="en-US" w:eastAsia="zh-CN" w:bidi="ar"/>
              </w:rPr>
              <w:t>29</w:t>
            </w:r>
            <w:r>
              <w:rPr>
                <w:rFonts w:hint="eastAsia"/>
                <w:b/>
                <w:snapToGrid w:val="0"/>
                <w:color w:val="auto"/>
                <w:kern w:val="0"/>
                <w:lang w:bidi="ar"/>
              </w:rPr>
              <w:t xml:space="preserve"> </w:t>
            </w:r>
            <w:r>
              <w:rPr>
                <w:rFonts w:hint="eastAsia"/>
                <w:b/>
                <w:snapToGrid w:val="0"/>
                <w:color w:val="auto"/>
                <w:kern w:val="0"/>
                <w:lang w:val="zh-CN" w:bidi="ar"/>
              </w:rPr>
              <w:t xml:space="preserve"> 颗粒物排放系数Ew计算参数及结果</w:t>
            </w:r>
          </w:p>
          <w:tbl>
            <w:tblPr>
              <w:tblStyle w:val="28"/>
              <w:tblW w:w="8016"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28" w:type="dxa"/>
                <w:bottom w:w="0" w:type="dxa"/>
                <w:right w:w="28" w:type="dxa"/>
              </w:tblCellMar>
            </w:tblPr>
            <w:tblGrid>
              <w:gridCol w:w="811"/>
              <w:gridCol w:w="1293"/>
              <w:gridCol w:w="920"/>
              <w:gridCol w:w="788"/>
              <w:gridCol w:w="657"/>
              <w:gridCol w:w="788"/>
              <w:gridCol w:w="920"/>
              <w:gridCol w:w="788"/>
              <w:gridCol w:w="1051"/>
            </w:tblGrid>
            <w:tr w14:paraId="284E1D8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04" w:hRule="atLeast"/>
                <w:jc w:val="center"/>
              </w:trPr>
              <w:tc>
                <w:tcPr>
                  <w:tcW w:w="2104" w:type="dxa"/>
                  <w:gridSpan w:val="2"/>
                  <w:tcBorders>
                    <w:tl2br w:val="nil"/>
                    <w:tr2bl w:val="nil"/>
                  </w:tcBorders>
                  <w:vAlign w:val="center"/>
                </w:tcPr>
                <w:p w14:paraId="58493CD5">
                  <w:pPr>
                    <w:spacing w:line="0" w:lineRule="atLeast"/>
                    <w:jc w:val="center"/>
                    <w:rPr>
                      <w:color w:val="auto"/>
                      <w:spacing w:val="-12"/>
                      <w:sz w:val="18"/>
                      <w:szCs w:val="18"/>
                    </w:rPr>
                  </w:pPr>
                  <w:r>
                    <w:rPr>
                      <w:color w:val="auto"/>
                      <w:spacing w:val="-12"/>
                      <w:sz w:val="18"/>
                      <w:szCs w:val="18"/>
                    </w:rPr>
                    <w:t>项目</w:t>
                  </w:r>
                </w:p>
              </w:tc>
              <w:tc>
                <w:tcPr>
                  <w:tcW w:w="920" w:type="dxa"/>
                  <w:tcBorders>
                    <w:tl2br w:val="nil"/>
                    <w:tr2bl w:val="nil"/>
                  </w:tcBorders>
                  <w:vAlign w:val="center"/>
                </w:tcPr>
                <w:p w14:paraId="42AD594F">
                  <w:pPr>
                    <w:spacing w:line="0" w:lineRule="atLeast"/>
                    <w:jc w:val="center"/>
                    <w:rPr>
                      <w:color w:val="auto"/>
                      <w:spacing w:val="-12"/>
                      <w:sz w:val="18"/>
                      <w:szCs w:val="18"/>
                    </w:rPr>
                  </w:pPr>
                  <w:r>
                    <w:rPr>
                      <w:color w:val="auto"/>
                      <w:sz w:val="18"/>
                      <w:szCs w:val="18"/>
                    </w:rPr>
                    <w:t>u(z)（m/s）</w:t>
                  </w:r>
                </w:p>
              </w:tc>
              <w:tc>
                <w:tcPr>
                  <w:tcW w:w="788" w:type="dxa"/>
                  <w:tcBorders>
                    <w:tl2br w:val="nil"/>
                    <w:tr2bl w:val="nil"/>
                  </w:tcBorders>
                  <w:vAlign w:val="center"/>
                </w:tcPr>
                <w:p w14:paraId="7B72C5BE">
                  <w:pPr>
                    <w:spacing w:line="0" w:lineRule="atLeast"/>
                    <w:jc w:val="center"/>
                    <w:rPr>
                      <w:color w:val="auto"/>
                      <w:spacing w:val="-12"/>
                      <w:sz w:val="18"/>
                      <w:szCs w:val="18"/>
                    </w:rPr>
                  </w:pPr>
                  <w:r>
                    <w:rPr>
                      <w:color w:val="auto"/>
                      <w:sz w:val="18"/>
                      <w:szCs w:val="18"/>
                    </w:rPr>
                    <w:t>z（m）</w:t>
                  </w:r>
                </w:p>
              </w:tc>
              <w:tc>
                <w:tcPr>
                  <w:tcW w:w="657" w:type="dxa"/>
                  <w:tcBorders>
                    <w:tl2br w:val="nil"/>
                    <w:tr2bl w:val="nil"/>
                  </w:tcBorders>
                  <w:vAlign w:val="center"/>
                </w:tcPr>
                <w:p w14:paraId="09C2B38A">
                  <w:pPr>
                    <w:spacing w:line="0" w:lineRule="atLeast"/>
                    <w:jc w:val="center"/>
                    <w:rPr>
                      <w:color w:val="auto"/>
                      <w:spacing w:val="-12"/>
                      <w:sz w:val="18"/>
                      <w:szCs w:val="18"/>
                    </w:rPr>
                  </w:pPr>
                  <w:r>
                    <w:rPr>
                      <w:color w:val="auto"/>
                      <w:sz w:val="18"/>
                      <w:szCs w:val="18"/>
                    </w:rPr>
                    <w:t>z</w:t>
                  </w:r>
                  <w:r>
                    <w:rPr>
                      <w:color w:val="auto"/>
                      <w:sz w:val="18"/>
                      <w:szCs w:val="18"/>
                      <w:vertAlign w:val="subscript"/>
                    </w:rPr>
                    <w:t>0</w:t>
                  </w:r>
                  <w:r>
                    <w:rPr>
                      <w:color w:val="auto"/>
                      <w:sz w:val="18"/>
                      <w:szCs w:val="18"/>
                    </w:rPr>
                    <w:t>（m）</w:t>
                  </w:r>
                </w:p>
              </w:tc>
              <w:tc>
                <w:tcPr>
                  <w:tcW w:w="788" w:type="dxa"/>
                  <w:tcBorders>
                    <w:tl2br w:val="nil"/>
                    <w:tr2bl w:val="nil"/>
                  </w:tcBorders>
                  <w:vAlign w:val="center"/>
                </w:tcPr>
                <w:p w14:paraId="561ACEAC">
                  <w:pPr>
                    <w:spacing w:line="0" w:lineRule="atLeast"/>
                    <w:jc w:val="center"/>
                    <w:rPr>
                      <w:color w:val="auto"/>
                      <w:spacing w:val="-12"/>
                      <w:sz w:val="18"/>
                      <w:szCs w:val="18"/>
                    </w:rPr>
                  </w:pPr>
                  <w:r>
                    <w:rPr>
                      <w:color w:val="auto"/>
                      <w:sz w:val="18"/>
                      <w:szCs w:val="18"/>
                    </w:rPr>
                    <w:t>u</w:t>
                  </w:r>
                  <w:r>
                    <w:rPr>
                      <w:color w:val="auto"/>
                      <w:sz w:val="18"/>
                      <w:szCs w:val="18"/>
                      <w:vertAlign w:val="superscript"/>
                    </w:rPr>
                    <w:t>*</w:t>
                  </w:r>
                  <w:r>
                    <w:rPr>
                      <w:color w:val="auto"/>
                      <w:sz w:val="18"/>
                      <w:szCs w:val="18"/>
                    </w:rPr>
                    <w:t>（m/s）</w:t>
                  </w:r>
                </w:p>
              </w:tc>
              <w:tc>
                <w:tcPr>
                  <w:tcW w:w="920" w:type="dxa"/>
                  <w:tcBorders>
                    <w:tl2br w:val="nil"/>
                    <w:tr2bl w:val="nil"/>
                  </w:tcBorders>
                  <w:vAlign w:val="center"/>
                </w:tcPr>
                <w:p w14:paraId="7568207F">
                  <w:pPr>
                    <w:spacing w:line="0" w:lineRule="atLeast"/>
                    <w:jc w:val="center"/>
                    <w:rPr>
                      <w:color w:val="auto"/>
                      <w:spacing w:val="-12"/>
                      <w:sz w:val="18"/>
                      <w:szCs w:val="18"/>
                    </w:rPr>
                  </w:pPr>
                  <w:r>
                    <w:rPr>
                      <w:color w:val="auto"/>
                      <w:sz w:val="18"/>
                      <w:szCs w:val="18"/>
                    </w:rPr>
                    <w:t>u</w:t>
                  </w:r>
                  <w:r>
                    <w:rPr>
                      <w:color w:val="auto"/>
                      <w:sz w:val="18"/>
                      <w:szCs w:val="18"/>
                      <w:vertAlign w:val="subscript"/>
                    </w:rPr>
                    <w:t>t</w:t>
                  </w:r>
                  <w:r>
                    <w:rPr>
                      <w:color w:val="auto"/>
                      <w:sz w:val="18"/>
                      <w:szCs w:val="18"/>
                      <w:vertAlign w:val="superscript"/>
                    </w:rPr>
                    <w:t>*</w:t>
                  </w:r>
                  <w:r>
                    <w:rPr>
                      <w:color w:val="auto"/>
                      <w:sz w:val="18"/>
                      <w:szCs w:val="18"/>
                    </w:rPr>
                    <w:t>（m/s）</w:t>
                  </w:r>
                </w:p>
              </w:tc>
              <w:tc>
                <w:tcPr>
                  <w:tcW w:w="788" w:type="dxa"/>
                  <w:tcBorders>
                    <w:tl2br w:val="nil"/>
                    <w:tr2bl w:val="nil"/>
                  </w:tcBorders>
                  <w:vAlign w:val="center"/>
                </w:tcPr>
                <w:p w14:paraId="6A7AFB2F">
                  <w:pPr>
                    <w:spacing w:line="0" w:lineRule="atLeast"/>
                    <w:jc w:val="center"/>
                    <w:rPr>
                      <w:color w:val="auto"/>
                      <w:spacing w:val="-12"/>
                      <w:sz w:val="18"/>
                      <w:szCs w:val="18"/>
                    </w:rPr>
                  </w:pPr>
                  <w:r>
                    <w:rPr>
                      <w:color w:val="auto"/>
                      <w:sz w:val="18"/>
                      <w:szCs w:val="18"/>
                    </w:rPr>
                    <w:t>P</w:t>
                  </w:r>
                  <w:r>
                    <w:rPr>
                      <w:color w:val="auto"/>
                      <w:sz w:val="18"/>
                      <w:szCs w:val="18"/>
                      <w:vertAlign w:val="subscript"/>
                    </w:rPr>
                    <w:t>i</w:t>
                  </w:r>
                  <w:r>
                    <w:rPr>
                      <w:color w:val="auto"/>
                      <w:sz w:val="18"/>
                      <w:szCs w:val="18"/>
                    </w:rPr>
                    <w:t>（g/m</w:t>
                  </w:r>
                  <w:r>
                    <w:rPr>
                      <w:color w:val="auto"/>
                      <w:sz w:val="18"/>
                      <w:szCs w:val="18"/>
                      <w:vertAlign w:val="superscript"/>
                    </w:rPr>
                    <w:t>2</w:t>
                  </w:r>
                  <w:r>
                    <w:rPr>
                      <w:color w:val="auto"/>
                      <w:sz w:val="18"/>
                      <w:szCs w:val="18"/>
                    </w:rPr>
                    <w:t>）</w:t>
                  </w:r>
                </w:p>
              </w:tc>
              <w:tc>
                <w:tcPr>
                  <w:tcW w:w="1051" w:type="dxa"/>
                  <w:tcBorders>
                    <w:tl2br w:val="nil"/>
                    <w:tr2bl w:val="nil"/>
                  </w:tcBorders>
                  <w:vAlign w:val="center"/>
                </w:tcPr>
                <w:p w14:paraId="145F8650">
                  <w:pPr>
                    <w:spacing w:line="0" w:lineRule="atLeast"/>
                    <w:jc w:val="center"/>
                    <w:rPr>
                      <w:color w:val="auto"/>
                      <w:spacing w:val="-12"/>
                      <w:sz w:val="18"/>
                      <w:szCs w:val="18"/>
                    </w:rPr>
                  </w:pPr>
                  <w:r>
                    <w:rPr>
                      <w:color w:val="auto"/>
                      <w:sz w:val="18"/>
                      <w:szCs w:val="18"/>
                    </w:rPr>
                    <w:t>Ew（kg/m</w:t>
                  </w:r>
                  <w:r>
                    <w:rPr>
                      <w:color w:val="auto"/>
                      <w:sz w:val="18"/>
                      <w:szCs w:val="18"/>
                      <w:vertAlign w:val="superscript"/>
                    </w:rPr>
                    <w:t>2</w:t>
                  </w:r>
                  <w:r>
                    <w:rPr>
                      <w:color w:val="auto"/>
                      <w:sz w:val="18"/>
                      <w:szCs w:val="18"/>
                    </w:rPr>
                    <w:t>）</w:t>
                  </w:r>
                </w:p>
              </w:tc>
            </w:tr>
            <w:tr w14:paraId="1C95F30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74" w:hRule="atLeast"/>
                <w:jc w:val="center"/>
              </w:trPr>
              <w:tc>
                <w:tcPr>
                  <w:tcW w:w="811" w:type="dxa"/>
                  <w:vMerge w:val="restart"/>
                  <w:tcBorders>
                    <w:tl2br w:val="nil"/>
                    <w:tr2bl w:val="nil"/>
                  </w:tcBorders>
                  <w:shd w:val="clear" w:color="auto" w:fill="auto"/>
                  <w:vAlign w:val="center"/>
                </w:tcPr>
                <w:p w14:paraId="05523593">
                  <w:pPr>
                    <w:jc w:val="center"/>
                    <w:rPr>
                      <w:rFonts w:hint="eastAsia" w:ascii="Times New Roman" w:hAnsi="Times New Roman" w:eastAsia="宋体" w:cs="Times New Roman"/>
                      <w:color w:val="auto"/>
                      <w:spacing w:val="-11"/>
                      <w:sz w:val="18"/>
                      <w:szCs w:val="18"/>
                      <w:highlight w:val="none"/>
                      <w:lang w:val="en-US" w:eastAsia="zh-CN"/>
                    </w:rPr>
                  </w:pPr>
                  <w:r>
                    <w:rPr>
                      <w:rFonts w:hint="eastAsia" w:cs="Times New Roman"/>
                      <w:color w:val="auto"/>
                      <w:spacing w:val="-11"/>
                      <w:sz w:val="18"/>
                      <w:szCs w:val="18"/>
                      <w:highlight w:val="none"/>
                      <w:lang w:val="en-US" w:eastAsia="zh-CN"/>
                    </w:rPr>
                    <w:t>1</w:t>
                  </w:r>
                  <w:r>
                    <w:rPr>
                      <w:rFonts w:hint="eastAsia" w:cs="Times New Roman"/>
                      <w:color w:val="auto"/>
                      <w:spacing w:val="-11"/>
                      <w:sz w:val="18"/>
                      <w:szCs w:val="18"/>
                      <w:highlight w:val="none"/>
                      <w:vertAlign w:val="superscript"/>
                      <w:lang w:val="en-US" w:eastAsia="zh-CN"/>
                    </w:rPr>
                    <w:t>#</w:t>
                  </w:r>
                  <w:r>
                    <w:rPr>
                      <w:rFonts w:hint="eastAsia" w:cs="Times New Roman"/>
                      <w:color w:val="auto"/>
                      <w:spacing w:val="-11"/>
                      <w:sz w:val="18"/>
                      <w:szCs w:val="18"/>
                      <w:highlight w:val="none"/>
                      <w:lang w:val="en-US" w:eastAsia="zh-CN"/>
                    </w:rPr>
                    <w:t>生产车间</w:t>
                  </w:r>
                </w:p>
              </w:tc>
              <w:tc>
                <w:tcPr>
                  <w:tcW w:w="1293" w:type="dxa"/>
                  <w:tcBorders>
                    <w:tl2br w:val="nil"/>
                    <w:tr2bl w:val="nil"/>
                  </w:tcBorders>
                  <w:vAlign w:val="center"/>
                </w:tcPr>
                <w:p w14:paraId="4F887E9B">
                  <w:pPr>
                    <w:jc w:val="center"/>
                    <w:rPr>
                      <w:rFonts w:hint="eastAsia" w:ascii="Times New Roman" w:hAnsi="Times New Roman" w:eastAsia="宋体" w:cs="Times New Roman"/>
                      <w:color w:val="auto"/>
                      <w:spacing w:val="-11"/>
                      <w:sz w:val="18"/>
                      <w:szCs w:val="18"/>
                      <w:highlight w:val="none"/>
                      <w:lang w:val="en-US" w:eastAsia="zh-CN"/>
                    </w:rPr>
                  </w:pPr>
                  <w:r>
                    <w:rPr>
                      <w:rFonts w:hint="eastAsia" w:ascii="Times New Roman" w:hAnsi="Times New Roman" w:eastAsia="宋体" w:cs="Times New Roman"/>
                      <w:color w:val="auto"/>
                      <w:spacing w:val="-11"/>
                      <w:sz w:val="18"/>
                      <w:szCs w:val="18"/>
                      <w:highlight w:val="none"/>
                      <w:lang w:val="en-US" w:eastAsia="zh-CN"/>
                    </w:rPr>
                    <w:t>废钢破碎尾料</w:t>
                  </w:r>
                  <w:r>
                    <w:rPr>
                      <w:rFonts w:hint="eastAsia" w:ascii="Times New Roman" w:hAnsi="Times New Roman" w:eastAsia="宋体" w:cs="Times New Roman"/>
                      <w:color w:val="auto"/>
                      <w:spacing w:val="-11"/>
                      <w:sz w:val="18"/>
                      <w:szCs w:val="18"/>
                      <w:highlight w:val="none"/>
                    </w:rPr>
                    <w:t>堆存与装卸</w:t>
                  </w:r>
                </w:p>
              </w:tc>
              <w:tc>
                <w:tcPr>
                  <w:tcW w:w="920" w:type="dxa"/>
                  <w:tcBorders>
                    <w:tl2br w:val="nil"/>
                    <w:tr2bl w:val="nil"/>
                  </w:tcBorders>
                  <w:vAlign w:val="center"/>
                </w:tcPr>
                <w:p w14:paraId="56C3B5F1">
                  <w:pPr>
                    <w:spacing w:line="0" w:lineRule="atLeast"/>
                    <w:jc w:val="center"/>
                    <w:rPr>
                      <w:color w:val="auto"/>
                      <w:spacing w:val="-12"/>
                      <w:sz w:val="18"/>
                      <w:szCs w:val="18"/>
                    </w:rPr>
                  </w:pPr>
                  <w:r>
                    <w:rPr>
                      <w:color w:val="auto"/>
                      <w:spacing w:val="-12"/>
                      <w:sz w:val="18"/>
                      <w:szCs w:val="18"/>
                    </w:rPr>
                    <w:t>0.5</w:t>
                  </w:r>
                </w:p>
              </w:tc>
              <w:tc>
                <w:tcPr>
                  <w:tcW w:w="788" w:type="dxa"/>
                  <w:tcBorders>
                    <w:tl2br w:val="nil"/>
                    <w:tr2bl w:val="nil"/>
                  </w:tcBorders>
                  <w:vAlign w:val="center"/>
                </w:tcPr>
                <w:p w14:paraId="7B1505F9">
                  <w:pPr>
                    <w:spacing w:line="0" w:lineRule="atLeast"/>
                    <w:jc w:val="center"/>
                    <w:rPr>
                      <w:color w:val="auto"/>
                      <w:spacing w:val="-12"/>
                      <w:sz w:val="18"/>
                      <w:szCs w:val="18"/>
                    </w:rPr>
                  </w:pPr>
                  <w:r>
                    <w:rPr>
                      <w:color w:val="auto"/>
                      <w:spacing w:val="-12"/>
                      <w:sz w:val="18"/>
                      <w:szCs w:val="18"/>
                    </w:rPr>
                    <w:t>1</w:t>
                  </w:r>
                </w:p>
              </w:tc>
              <w:tc>
                <w:tcPr>
                  <w:tcW w:w="657" w:type="dxa"/>
                  <w:tcBorders>
                    <w:tl2br w:val="nil"/>
                    <w:tr2bl w:val="nil"/>
                  </w:tcBorders>
                  <w:vAlign w:val="center"/>
                </w:tcPr>
                <w:p w14:paraId="73ADC9CA">
                  <w:pPr>
                    <w:spacing w:line="0" w:lineRule="atLeast"/>
                    <w:jc w:val="center"/>
                    <w:rPr>
                      <w:color w:val="auto"/>
                      <w:spacing w:val="-12"/>
                      <w:sz w:val="18"/>
                      <w:szCs w:val="18"/>
                    </w:rPr>
                  </w:pPr>
                  <w:r>
                    <w:rPr>
                      <w:color w:val="auto"/>
                      <w:spacing w:val="-12"/>
                      <w:sz w:val="18"/>
                      <w:szCs w:val="18"/>
                    </w:rPr>
                    <w:t>0.2</w:t>
                  </w:r>
                </w:p>
              </w:tc>
              <w:tc>
                <w:tcPr>
                  <w:tcW w:w="788" w:type="dxa"/>
                  <w:tcBorders>
                    <w:tl2br w:val="nil"/>
                    <w:tr2bl w:val="nil"/>
                  </w:tcBorders>
                  <w:vAlign w:val="center"/>
                </w:tcPr>
                <w:p w14:paraId="06B76ED5">
                  <w:pPr>
                    <w:spacing w:line="0" w:lineRule="atLeast"/>
                    <w:jc w:val="center"/>
                    <w:rPr>
                      <w:color w:val="auto"/>
                      <w:spacing w:val="-12"/>
                      <w:sz w:val="18"/>
                      <w:szCs w:val="18"/>
                    </w:rPr>
                  </w:pPr>
                  <w:r>
                    <w:rPr>
                      <w:color w:val="auto"/>
                      <w:spacing w:val="-12"/>
                      <w:sz w:val="18"/>
                      <w:szCs w:val="18"/>
                    </w:rPr>
                    <w:t>0.12</w:t>
                  </w:r>
                </w:p>
              </w:tc>
              <w:tc>
                <w:tcPr>
                  <w:tcW w:w="920" w:type="dxa"/>
                  <w:tcBorders>
                    <w:tl2br w:val="nil"/>
                    <w:tr2bl w:val="nil"/>
                  </w:tcBorders>
                  <w:vAlign w:val="center"/>
                </w:tcPr>
                <w:p w14:paraId="0DECA0FA">
                  <w:pPr>
                    <w:spacing w:line="0" w:lineRule="atLeast"/>
                    <w:jc w:val="center"/>
                    <w:rPr>
                      <w:color w:val="auto"/>
                      <w:spacing w:val="-12"/>
                      <w:sz w:val="18"/>
                      <w:szCs w:val="18"/>
                    </w:rPr>
                  </w:pPr>
                  <w:r>
                    <w:rPr>
                      <w:color w:val="auto"/>
                      <w:spacing w:val="-12"/>
                      <w:sz w:val="18"/>
                      <w:szCs w:val="18"/>
                    </w:rPr>
                    <w:t>1.</w:t>
                  </w:r>
                  <w:r>
                    <w:rPr>
                      <w:rFonts w:hint="eastAsia"/>
                      <w:color w:val="auto"/>
                      <w:spacing w:val="-12"/>
                      <w:sz w:val="18"/>
                      <w:szCs w:val="18"/>
                    </w:rPr>
                    <w:t>33</w:t>
                  </w:r>
                </w:p>
              </w:tc>
              <w:tc>
                <w:tcPr>
                  <w:tcW w:w="788" w:type="dxa"/>
                  <w:tcBorders>
                    <w:tl2br w:val="nil"/>
                    <w:tr2bl w:val="nil"/>
                  </w:tcBorders>
                  <w:vAlign w:val="center"/>
                </w:tcPr>
                <w:p w14:paraId="42D22277">
                  <w:pPr>
                    <w:spacing w:line="0" w:lineRule="atLeast"/>
                    <w:jc w:val="center"/>
                    <w:rPr>
                      <w:color w:val="auto"/>
                      <w:spacing w:val="-12"/>
                      <w:sz w:val="18"/>
                      <w:szCs w:val="18"/>
                    </w:rPr>
                  </w:pPr>
                  <w:r>
                    <w:rPr>
                      <w:color w:val="auto"/>
                      <w:spacing w:val="-12"/>
                      <w:sz w:val="18"/>
                      <w:szCs w:val="18"/>
                    </w:rPr>
                    <w:t>0</w:t>
                  </w:r>
                </w:p>
              </w:tc>
              <w:tc>
                <w:tcPr>
                  <w:tcW w:w="1051" w:type="dxa"/>
                  <w:tcBorders>
                    <w:tl2br w:val="nil"/>
                    <w:tr2bl w:val="nil"/>
                  </w:tcBorders>
                  <w:vAlign w:val="center"/>
                </w:tcPr>
                <w:p w14:paraId="0640688D">
                  <w:pPr>
                    <w:spacing w:line="0" w:lineRule="atLeast"/>
                    <w:jc w:val="center"/>
                    <w:rPr>
                      <w:color w:val="auto"/>
                      <w:spacing w:val="-12"/>
                      <w:sz w:val="18"/>
                      <w:szCs w:val="18"/>
                    </w:rPr>
                  </w:pPr>
                  <w:r>
                    <w:rPr>
                      <w:color w:val="auto"/>
                      <w:spacing w:val="-12"/>
                      <w:sz w:val="18"/>
                      <w:szCs w:val="18"/>
                    </w:rPr>
                    <w:t>0</w:t>
                  </w:r>
                </w:p>
              </w:tc>
            </w:tr>
            <w:tr w14:paraId="1690AFE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60" w:hRule="atLeast"/>
                <w:jc w:val="center"/>
              </w:trPr>
              <w:tc>
                <w:tcPr>
                  <w:tcW w:w="811" w:type="dxa"/>
                  <w:vMerge w:val="continue"/>
                  <w:tcBorders>
                    <w:tl2br w:val="nil"/>
                    <w:tr2bl w:val="nil"/>
                  </w:tcBorders>
                  <w:vAlign w:val="center"/>
                </w:tcPr>
                <w:p w14:paraId="05440646">
                  <w:pPr>
                    <w:jc w:val="center"/>
                    <w:rPr>
                      <w:rFonts w:hint="eastAsia" w:ascii="Times New Roman" w:hAnsi="Times New Roman" w:eastAsia="宋体" w:cs="Times New Roman"/>
                      <w:color w:val="auto"/>
                      <w:spacing w:val="-11"/>
                      <w:sz w:val="18"/>
                      <w:szCs w:val="18"/>
                      <w:highlight w:val="none"/>
                      <w:lang w:val="en-US" w:eastAsia="zh-CN"/>
                    </w:rPr>
                  </w:pPr>
                </w:p>
              </w:tc>
              <w:tc>
                <w:tcPr>
                  <w:tcW w:w="1293" w:type="dxa"/>
                  <w:tcBorders>
                    <w:tl2br w:val="nil"/>
                    <w:tr2bl w:val="nil"/>
                  </w:tcBorders>
                  <w:shd w:val="clear" w:color="auto" w:fill="auto"/>
                  <w:vAlign w:val="center"/>
                </w:tcPr>
                <w:p w14:paraId="5ED48BDF">
                  <w:pPr>
                    <w:jc w:val="center"/>
                    <w:rPr>
                      <w:rFonts w:hint="eastAsia" w:ascii="Times New Roman" w:hAnsi="Times New Roman" w:eastAsia="宋体" w:cs="Times New Roman"/>
                      <w:color w:val="auto"/>
                      <w:spacing w:val="-11"/>
                      <w:kern w:val="2"/>
                      <w:sz w:val="18"/>
                      <w:szCs w:val="18"/>
                      <w:highlight w:val="none"/>
                      <w:lang w:val="en-US" w:eastAsia="zh-CN" w:bidi="ar-SA"/>
                    </w:rPr>
                  </w:pPr>
                  <w:r>
                    <w:rPr>
                      <w:rFonts w:hint="eastAsia" w:ascii="Times New Roman" w:hAnsi="Times New Roman" w:eastAsia="宋体" w:cs="Times New Roman"/>
                      <w:color w:val="auto"/>
                      <w:spacing w:val="-11"/>
                      <w:sz w:val="18"/>
                      <w:szCs w:val="18"/>
                      <w:highlight w:val="none"/>
                      <w:lang w:val="en-US" w:eastAsia="zh-CN"/>
                    </w:rPr>
                    <w:t>铁粉</w:t>
                  </w:r>
                  <w:r>
                    <w:rPr>
                      <w:rFonts w:hint="eastAsia" w:ascii="Times New Roman" w:hAnsi="Times New Roman" w:eastAsia="宋体" w:cs="Times New Roman"/>
                      <w:color w:val="auto"/>
                      <w:spacing w:val="-11"/>
                      <w:sz w:val="18"/>
                      <w:szCs w:val="18"/>
                      <w:highlight w:val="none"/>
                    </w:rPr>
                    <w:t>堆存与装卸</w:t>
                  </w:r>
                </w:p>
              </w:tc>
              <w:tc>
                <w:tcPr>
                  <w:tcW w:w="920" w:type="dxa"/>
                  <w:tcBorders>
                    <w:tl2br w:val="nil"/>
                    <w:tr2bl w:val="nil"/>
                  </w:tcBorders>
                  <w:shd w:val="clear" w:color="auto" w:fill="auto"/>
                  <w:vAlign w:val="center"/>
                </w:tcPr>
                <w:p w14:paraId="4F480CE4">
                  <w:pPr>
                    <w:spacing w:line="0" w:lineRule="atLeast"/>
                    <w:jc w:val="center"/>
                    <w:rPr>
                      <w:rFonts w:ascii="Times New Roman" w:hAnsi="Times New Roman" w:eastAsia="宋体" w:cs="Times New Roman"/>
                      <w:color w:val="auto"/>
                      <w:spacing w:val="-12"/>
                      <w:kern w:val="2"/>
                      <w:sz w:val="18"/>
                      <w:szCs w:val="18"/>
                      <w:lang w:val="en-US" w:eastAsia="zh-CN" w:bidi="ar-SA"/>
                    </w:rPr>
                  </w:pPr>
                  <w:r>
                    <w:rPr>
                      <w:rFonts w:hint="eastAsia"/>
                      <w:color w:val="auto"/>
                      <w:spacing w:val="-12"/>
                      <w:sz w:val="18"/>
                      <w:szCs w:val="18"/>
                      <w:lang w:val="en-US" w:eastAsia="zh-CN"/>
                    </w:rPr>
                    <w:t>0.5</w:t>
                  </w:r>
                </w:p>
              </w:tc>
              <w:tc>
                <w:tcPr>
                  <w:tcW w:w="788" w:type="dxa"/>
                  <w:tcBorders>
                    <w:tl2br w:val="nil"/>
                    <w:tr2bl w:val="nil"/>
                  </w:tcBorders>
                  <w:shd w:val="clear" w:color="auto" w:fill="auto"/>
                  <w:vAlign w:val="center"/>
                </w:tcPr>
                <w:p w14:paraId="3BBD7598">
                  <w:pPr>
                    <w:spacing w:line="0" w:lineRule="atLeast"/>
                    <w:jc w:val="center"/>
                    <w:rPr>
                      <w:rFonts w:ascii="Times New Roman" w:hAnsi="Times New Roman" w:eastAsia="宋体" w:cs="Times New Roman"/>
                      <w:color w:val="auto"/>
                      <w:spacing w:val="-12"/>
                      <w:kern w:val="2"/>
                      <w:sz w:val="18"/>
                      <w:szCs w:val="18"/>
                      <w:lang w:val="en-US" w:eastAsia="zh-CN" w:bidi="ar-SA"/>
                    </w:rPr>
                  </w:pPr>
                  <w:r>
                    <w:rPr>
                      <w:color w:val="auto"/>
                      <w:spacing w:val="-12"/>
                      <w:sz w:val="18"/>
                      <w:szCs w:val="18"/>
                    </w:rPr>
                    <w:t>1</w:t>
                  </w:r>
                </w:p>
              </w:tc>
              <w:tc>
                <w:tcPr>
                  <w:tcW w:w="657" w:type="dxa"/>
                  <w:tcBorders>
                    <w:tl2br w:val="nil"/>
                    <w:tr2bl w:val="nil"/>
                  </w:tcBorders>
                  <w:shd w:val="clear" w:color="auto" w:fill="auto"/>
                  <w:vAlign w:val="center"/>
                </w:tcPr>
                <w:p w14:paraId="5C271171">
                  <w:pPr>
                    <w:spacing w:line="0" w:lineRule="atLeast"/>
                    <w:jc w:val="center"/>
                    <w:rPr>
                      <w:rFonts w:ascii="Times New Roman" w:hAnsi="Times New Roman" w:eastAsia="宋体" w:cs="Times New Roman"/>
                      <w:color w:val="auto"/>
                      <w:spacing w:val="-12"/>
                      <w:kern w:val="2"/>
                      <w:sz w:val="18"/>
                      <w:szCs w:val="18"/>
                      <w:lang w:val="en-US" w:eastAsia="zh-CN" w:bidi="ar-SA"/>
                    </w:rPr>
                  </w:pPr>
                  <w:r>
                    <w:rPr>
                      <w:color w:val="auto"/>
                      <w:spacing w:val="-12"/>
                      <w:sz w:val="18"/>
                      <w:szCs w:val="18"/>
                    </w:rPr>
                    <w:t>0.2</w:t>
                  </w:r>
                </w:p>
              </w:tc>
              <w:tc>
                <w:tcPr>
                  <w:tcW w:w="788" w:type="dxa"/>
                  <w:tcBorders>
                    <w:tl2br w:val="nil"/>
                    <w:tr2bl w:val="nil"/>
                  </w:tcBorders>
                  <w:shd w:val="clear" w:color="auto" w:fill="auto"/>
                  <w:vAlign w:val="center"/>
                </w:tcPr>
                <w:p w14:paraId="3F92892B">
                  <w:pPr>
                    <w:spacing w:line="0" w:lineRule="atLeast"/>
                    <w:jc w:val="center"/>
                    <w:rPr>
                      <w:rFonts w:ascii="Times New Roman" w:hAnsi="Times New Roman" w:eastAsia="宋体" w:cs="Times New Roman"/>
                      <w:color w:val="auto"/>
                      <w:spacing w:val="-12"/>
                      <w:kern w:val="2"/>
                      <w:sz w:val="18"/>
                      <w:szCs w:val="18"/>
                      <w:lang w:val="en-US" w:eastAsia="zh-CN" w:bidi="ar-SA"/>
                    </w:rPr>
                  </w:pPr>
                  <w:r>
                    <w:rPr>
                      <w:color w:val="auto"/>
                      <w:spacing w:val="-12"/>
                      <w:sz w:val="18"/>
                      <w:szCs w:val="18"/>
                    </w:rPr>
                    <w:t>0.12</w:t>
                  </w:r>
                </w:p>
              </w:tc>
              <w:tc>
                <w:tcPr>
                  <w:tcW w:w="920" w:type="dxa"/>
                  <w:tcBorders>
                    <w:tl2br w:val="nil"/>
                    <w:tr2bl w:val="nil"/>
                  </w:tcBorders>
                  <w:shd w:val="clear" w:color="auto" w:fill="auto"/>
                  <w:vAlign w:val="center"/>
                </w:tcPr>
                <w:p w14:paraId="1B5266CE">
                  <w:pPr>
                    <w:spacing w:line="0" w:lineRule="atLeast"/>
                    <w:jc w:val="center"/>
                    <w:rPr>
                      <w:rFonts w:ascii="Times New Roman" w:hAnsi="Times New Roman" w:eastAsia="宋体" w:cs="Times New Roman"/>
                      <w:color w:val="auto"/>
                      <w:spacing w:val="-12"/>
                      <w:kern w:val="2"/>
                      <w:sz w:val="18"/>
                      <w:szCs w:val="18"/>
                      <w:lang w:val="en-US" w:eastAsia="zh-CN" w:bidi="ar-SA"/>
                    </w:rPr>
                  </w:pPr>
                  <w:r>
                    <w:rPr>
                      <w:color w:val="auto"/>
                      <w:spacing w:val="-12"/>
                      <w:sz w:val="18"/>
                      <w:szCs w:val="18"/>
                    </w:rPr>
                    <w:t>1.</w:t>
                  </w:r>
                  <w:r>
                    <w:rPr>
                      <w:rFonts w:hint="eastAsia"/>
                      <w:color w:val="auto"/>
                      <w:spacing w:val="-12"/>
                      <w:sz w:val="18"/>
                      <w:szCs w:val="18"/>
                    </w:rPr>
                    <w:t>33</w:t>
                  </w:r>
                </w:p>
              </w:tc>
              <w:tc>
                <w:tcPr>
                  <w:tcW w:w="788" w:type="dxa"/>
                  <w:tcBorders>
                    <w:tl2br w:val="nil"/>
                    <w:tr2bl w:val="nil"/>
                  </w:tcBorders>
                  <w:shd w:val="clear" w:color="auto" w:fill="auto"/>
                  <w:vAlign w:val="center"/>
                </w:tcPr>
                <w:p w14:paraId="56376B7B">
                  <w:pPr>
                    <w:spacing w:line="0" w:lineRule="atLeast"/>
                    <w:jc w:val="center"/>
                    <w:rPr>
                      <w:rFonts w:ascii="Times New Roman" w:hAnsi="Times New Roman" w:eastAsia="宋体" w:cs="Times New Roman"/>
                      <w:color w:val="auto"/>
                      <w:spacing w:val="-12"/>
                      <w:kern w:val="2"/>
                      <w:sz w:val="18"/>
                      <w:szCs w:val="18"/>
                      <w:lang w:val="en-US" w:eastAsia="zh-CN" w:bidi="ar-SA"/>
                    </w:rPr>
                  </w:pPr>
                  <w:r>
                    <w:rPr>
                      <w:color w:val="auto"/>
                      <w:spacing w:val="-12"/>
                      <w:sz w:val="18"/>
                      <w:szCs w:val="18"/>
                    </w:rPr>
                    <w:t>0</w:t>
                  </w:r>
                </w:p>
              </w:tc>
              <w:tc>
                <w:tcPr>
                  <w:tcW w:w="1051" w:type="dxa"/>
                  <w:tcBorders>
                    <w:tl2br w:val="nil"/>
                    <w:tr2bl w:val="nil"/>
                  </w:tcBorders>
                  <w:shd w:val="clear" w:color="auto" w:fill="auto"/>
                  <w:vAlign w:val="center"/>
                </w:tcPr>
                <w:p w14:paraId="39200C4A">
                  <w:pPr>
                    <w:spacing w:line="0" w:lineRule="atLeast"/>
                    <w:jc w:val="center"/>
                    <w:rPr>
                      <w:rFonts w:ascii="Times New Roman" w:hAnsi="Times New Roman" w:eastAsia="宋体" w:cs="Times New Roman"/>
                      <w:color w:val="auto"/>
                      <w:spacing w:val="-12"/>
                      <w:kern w:val="2"/>
                      <w:sz w:val="18"/>
                      <w:szCs w:val="18"/>
                      <w:lang w:val="en-US" w:eastAsia="zh-CN" w:bidi="ar-SA"/>
                    </w:rPr>
                  </w:pPr>
                  <w:r>
                    <w:rPr>
                      <w:color w:val="auto"/>
                      <w:spacing w:val="-12"/>
                      <w:sz w:val="18"/>
                      <w:szCs w:val="18"/>
                    </w:rPr>
                    <w:t>0</w:t>
                  </w:r>
                </w:p>
              </w:tc>
            </w:tr>
            <w:tr w14:paraId="3A29FD0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73" w:hRule="atLeast"/>
                <w:jc w:val="center"/>
              </w:trPr>
              <w:tc>
                <w:tcPr>
                  <w:tcW w:w="811" w:type="dxa"/>
                  <w:vMerge w:val="continue"/>
                  <w:tcBorders>
                    <w:tl2br w:val="nil"/>
                    <w:tr2bl w:val="nil"/>
                  </w:tcBorders>
                  <w:vAlign w:val="center"/>
                </w:tcPr>
                <w:p w14:paraId="6E87C887">
                  <w:pPr>
                    <w:jc w:val="center"/>
                    <w:rPr>
                      <w:rFonts w:hint="eastAsia" w:ascii="Times New Roman" w:hAnsi="Times New Roman" w:eastAsia="宋体" w:cs="Times New Roman"/>
                      <w:color w:val="auto"/>
                      <w:spacing w:val="-11"/>
                      <w:sz w:val="18"/>
                      <w:szCs w:val="18"/>
                      <w:highlight w:val="none"/>
                      <w:lang w:val="en-US" w:eastAsia="zh-CN"/>
                    </w:rPr>
                  </w:pPr>
                </w:p>
              </w:tc>
              <w:tc>
                <w:tcPr>
                  <w:tcW w:w="1293" w:type="dxa"/>
                  <w:tcBorders>
                    <w:tl2br w:val="nil"/>
                    <w:tr2bl w:val="nil"/>
                  </w:tcBorders>
                  <w:shd w:val="clear" w:color="auto" w:fill="auto"/>
                  <w:vAlign w:val="center"/>
                </w:tcPr>
                <w:p w14:paraId="0902BC95">
                  <w:pPr>
                    <w:jc w:val="center"/>
                    <w:rPr>
                      <w:rFonts w:hint="eastAsia" w:ascii="Times New Roman" w:hAnsi="Times New Roman" w:eastAsia="宋体" w:cs="Times New Roman"/>
                      <w:color w:val="auto"/>
                      <w:spacing w:val="-11"/>
                      <w:sz w:val="18"/>
                      <w:szCs w:val="18"/>
                      <w:highlight w:val="none"/>
                      <w:lang w:val="en-US" w:eastAsia="zh-CN"/>
                    </w:rPr>
                  </w:pPr>
                  <w:r>
                    <w:rPr>
                      <w:rFonts w:hint="eastAsia" w:cs="Times New Roman"/>
                      <w:color w:val="auto"/>
                      <w:spacing w:val="-11"/>
                      <w:sz w:val="18"/>
                      <w:szCs w:val="18"/>
                      <w:highlight w:val="none"/>
                      <w:lang w:val="en-US" w:eastAsia="zh-CN"/>
                    </w:rPr>
                    <w:t>土</w:t>
                  </w:r>
                  <w:r>
                    <w:rPr>
                      <w:rFonts w:hint="eastAsia" w:ascii="Times New Roman" w:hAnsi="Times New Roman" w:eastAsia="宋体" w:cs="Times New Roman"/>
                      <w:color w:val="auto"/>
                      <w:spacing w:val="-11"/>
                      <w:sz w:val="18"/>
                      <w:szCs w:val="18"/>
                      <w:highlight w:val="none"/>
                    </w:rPr>
                    <w:t>堆存与装卸</w:t>
                  </w:r>
                </w:p>
              </w:tc>
              <w:tc>
                <w:tcPr>
                  <w:tcW w:w="920" w:type="dxa"/>
                  <w:tcBorders>
                    <w:tl2br w:val="nil"/>
                    <w:tr2bl w:val="nil"/>
                  </w:tcBorders>
                  <w:shd w:val="clear" w:color="auto" w:fill="auto"/>
                  <w:vAlign w:val="center"/>
                </w:tcPr>
                <w:p w14:paraId="1294ADD8">
                  <w:pPr>
                    <w:spacing w:line="0" w:lineRule="atLeast"/>
                    <w:jc w:val="center"/>
                    <w:rPr>
                      <w:rFonts w:hint="default"/>
                      <w:color w:val="auto"/>
                      <w:spacing w:val="-12"/>
                      <w:sz w:val="18"/>
                      <w:szCs w:val="18"/>
                      <w:highlight w:val="none"/>
                      <w:lang w:val="en-US" w:eastAsia="zh-CN"/>
                    </w:rPr>
                  </w:pPr>
                  <w:r>
                    <w:rPr>
                      <w:rFonts w:hint="eastAsia"/>
                      <w:color w:val="auto"/>
                      <w:spacing w:val="-12"/>
                      <w:sz w:val="18"/>
                      <w:szCs w:val="18"/>
                      <w:highlight w:val="none"/>
                      <w:lang w:val="en-US" w:eastAsia="zh-CN"/>
                    </w:rPr>
                    <w:t>0.5</w:t>
                  </w:r>
                </w:p>
              </w:tc>
              <w:tc>
                <w:tcPr>
                  <w:tcW w:w="788" w:type="dxa"/>
                  <w:tcBorders>
                    <w:tl2br w:val="nil"/>
                    <w:tr2bl w:val="nil"/>
                  </w:tcBorders>
                  <w:shd w:val="clear" w:color="auto" w:fill="auto"/>
                  <w:vAlign w:val="center"/>
                </w:tcPr>
                <w:p w14:paraId="705B8479">
                  <w:pPr>
                    <w:spacing w:line="0" w:lineRule="atLeast"/>
                    <w:jc w:val="center"/>
                    <w:rPr>
                      <w:rFonts w:hint="eastAsia" w:eastAsia="宋体"/>
                      <w:color w:val="auto"/>
                      <w:spacing w:val="-12"/>
                      <w:sz w:val="18"/>
                      <w:szCs w:val="18"/>
                      <w:highlight w:val="none"/>
                      <w:lang w:val="en-US" w:eastAsia="zh-CN"/>
                    </w:rPr>
                  </w:pPr>
                  <w:r>
                    <w:rPr>
                      <w:rFonts w:hint="eastAsia"/>
                      <w:color w:val="auto"/>
                      <w:spacing w:val="-12"/>
                      <w:sz w:val="18"/>
                      <w:szCs w:val="18"/>
                      <w:highlight w:val="none"/>
                      <w:lang w:val="en-US" w:eastAsia="zh-CN"/>
                    </w:rPr>
                    <w:t>1</w:t>
                  </w:r>
                </w:p>
              </w:tc>
              <w:tc>
                <w:tcPr>
                  <w:tcW w:w="657" w:type="dxa"/>
                  <w:tcBorders>
                    <w:tl2br w:val="nil"/>
                    <w:tr2bl w:val="nil"/>
                  </w:tcBorders>
                  <w:shd w:val="clear" w:color="auto" w:fill="auto"/>
                  <w:vAlign w:val="center"/>
                </w:tcPr>
                <w:p w14:paraId="0088C0FE">
                  <w:pPr>
                    <w:spacing w:line="0" w:lineRule="atLeast"/>
                    <w:jc w:val="center"/>
                    <w:rPr>
                      <w:rFonts w:hint="default" w:eastAsia="宋体"/>
                      <w:color w:val="auto"/>
                      <w:spacing w:val="-12"/>
                      <w:sz w:val="18"/>
                      <w:szCs w:val="18"/>
                      <w:highlight w:val="none"/>
                      <w:lang w:val="en-US" w:eastAsia="zh-CN"/>
                    </w:rPr>
                  </w:pPr>
                  <w:r>
                    <w:rPr>
                      <w:rFonts w:hint="eastAsia"/>
                      <w:color w:val="auto"/>
                      <w:spacing w:val="-12"/>
                      <w:sz w:val="18"/>
                      <w:szCs w:val="18"/>
                      <w:highlight w:val="none"/>
                      <w:lang w:val="en-US" w:eastAsia="zh-CN"/>
                    </w:rPr>
                    <w:t>0.2</w:t>
                  </w:r>
                </w:p>
              </w:tc>
              <w:tc>
                <w:tcPr>
                  <w:tcW w:w="788" w:type="dxa"/>
                  <w:tcBorders>
                    <w:tl2br w:val="nil"/>
                    <w:tr2bl w:val="nil"/>
                  </w:tcBorders>
                  <w:shd w:val="clear" w:color="auto" w:fill="auto"/>
                  <w:vAlign w:val="center"/>
                </w:tcPr>
                <w:p w14:paraId="2D882553">
                  <w:pPr>
                    <w:spacing w:line="0" w:lineRule="atLeast"/>
                    <w:jc w:val="center"/>
                    <w:rPr>
                      <w:rFonts w:hint="default" w:eastAsia="宋体"/>
                      <w:color w:val="auto"/>
                      <w:spacing w:val="-12"/>
                      <w:sz w:val="18"/>
                      <w:szCs w:val="18"/>
                      <w:highlight w:val="none"/>
                      <w:lang w:val="en-US" w:eastAsia="zh-CN"/>
                    </w:rPr>
                  </w:pPr>
                  <w:r>
                    <w:rPr>
                      <w:rFonts w:hint="eastAsia"/>
                      <w:color w:val="auto"/>
                      <w:spacing w:val="-12"/>
                      <w:sz w:val="18"/>
                      <w:szCs w:val="18"/>
                      <w:highlight w:val="none"/>
                      <w:lang w:val="en-US" w:eastAsia="zh-CN"/>
                    </w:rPr>
                    <w:t>0.12</w:t>
                  </w:r>
                </w:p>
              </w:tc>
              <w:tc>
                <w:tcPr>
                  <w:tcW w:w="920" w:type="dxa"/>
                  <w:tcBorders>
                    <w:tl2br w:val="nil"/>
                    <w:tr2bl w:val="nil"/>
                  </w:tcBorders>
                  <w:shd w:val="clear" w:color="auto" w:fill="auto"/>
                  <w:vAlign w:val="center"/>
                </w:tcPr>
                <w:p w14:paraId="0868BA91">
                  <w:pPr>
                    <w:spacing w:line="0" w:lineRule="atLeast"/>
                    <w:jc w:val="center"/>
                    <w:rPr>
                      <w:rFonts w:hint="default" w:eastAsia="宋体"/>
                      <w:color w:val="auto"/>
                      <w:spacing w:val="-12"/>
                      <w:sz w:val="18"/>
                      <w:szCs w:val="18"/>
                      <w:highlight w:val="none"/>
                      <w:lang w:val="en-US" w:eastAsia="zh-CN"/>
                    </w:rPr>
                  </w:pPr>
                  <w:r>
                    <w:rPr>
                      <w:rFonts w:hint="eastAsia"/>
                      <w:color w:val="auto"/>
                      <w:spacing w:val="-12"/>
                      <w:sz w:val="18"/>
                      <w:szCs w:val="18"/>
                      <w:highlight w:val="none"/>
                      <w:lang w:val="en-US" w:eastAsia="zh-CN"/>
                    </w:rPr>
                    <w:t>1.33</w:t>
                  </w:r>
                </w:p>
              </w:tc>
              <w:tc>
                <w:tcPr>
                  <w:tcW w:w="788" w:type="dxa"/>
                  <w:tcBorders>
                    <w:tl2br w:val="nil"/>
                    <w:tr2bl w:val="nil"/>
                  </w:tcBorders>
                  <w:shd w:val="clear" w:color="auto" w:fill="auto"/>
                  <w:vAlign w:val="center"/>
                </w:tcPr>
                <w:p w14:paraId="1E8EFC52">
                  <w:pPr>
                    <w:spacing w:line="0" w:lineRule="atLeast"/>
                    <w:jc w:val="center"/>
                    <w:rPr>
                      <w:rFonts w:hint="eastAsia" w:eastAsia="宋体"/>
                      <w:color w:val="auto"/>
                      <w:spacing w:val="-12"/>
                      <w:sz w:val="18"/>
                      <w:szCs w:val="18"/>
                      <w:highlight w:val="none"/>
                      <w:lang w:val="en-US" w:eastAsia="zh-CN"/>
                    </w:rPr>
                  </w:pPr>
                  <w:r>
                    <w:rPr>
                      <w:rFonts w:hint="eastAsia"/>
                      <w:color w:val="auto"/>
                      <w:spacing w:val="-12"/>
                      <w:sz w:val="18"/>
                      <w:szCs w:val="18"/>
                      <w:highlight w:val="none"/>
                      <w:lang w:val="en-US" w:eastAsia="zh-CN"/>
                    </w:rPr>
                    <w:t>0</w:t>
                  </w:r>
                </w:p>
              </w:tc>
              <w:tc>
                <w:tcPr>
                  <w:tcW w:w="1051" w:type="dxa"/>
                  <w:tcBorders>
                    <w:tl2br w:val="nil"/>
                    <w:tr2bl w:val="nil"/>
                  </w:tcBorders>
                  <w:shd w:val="clear" w:color="auto" w:fill="auto"/>
                  <w:vAlign w:val="center"/>
                </w:tcPr>
                <w:p w14:paraId="120880CE">
                  <w:pPr>
                    <w:spacing w:line="0" w:lineRule="atLeast"/>
                    <w:jc w:val="center"/>
                    <w:rPr>
                      <w:rFonts w:hint="eastAsia" w:eastAsia="宋体"/>
                      <w:color w:val="auto"/>
                      <w:spacing w:val="-12"/>
                      <w:sz w:val="18"/>
                      <w:szCs w:val="18"/>
                      <w:highlight w:val="none"/>
                      <w:lang w:val="en-US" w:eastAsia="zh-CN"/>
                    </w:rPr>
                  </w:pPr>
                  <w:r>
                    <w:rPr>
                      <w:rFonts w:hint="eastAsia"/>
                      <w:color w:val="auto"/>
                      <w:spacing w:val="-12"/>
                      <w:sz w:val="18"/>
                      <w:szCs w:val="18"/>
                      <w:highlight w:val="none"/>
                      <w:lang w:val="en-US" w:eastAsia="zh-CN"/>
                    </w:rPr>
                    <w:t>0</w:t>
                  </w:r>
                </w:p>
              </w:tc>
            </w:tr>
            <w:tr w14:paraId="2CA8488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74" w:hRule="atLeast"/>
                <w:jc w:val="center"/>
              </w:trPr>
              <w:tc>
                <w:tcPr>
                  <w:tcW w:w="811" w:type="dxa"/>
                  <w:vMerge w:val="restart"/>
                  <w:tcBorders>
                    <w:tl2br w:val="nil"/>
                    <w:tr2bl w:val="nil"/>
                  </w:tcBorders>
                  <w:shd w:val="clear" w:color="auto" w:fill="auto"/>
                  <w:vAlign w:val="center"/>
                </w:tcPr>
                <w:p w14:paraId="563BE611">
                  <w:pPr>
                    <w:jc w:val="center"/>
                    <w:rPr>
                      <w:rFonts w:hint="eastAsia" w:ascii="Times New Roman" w:hAnsi="Times New Roman" w:eastAsia="宋体" w:cs="Times New Roman"/>
                      <w:color w:val="auto"/>
                      <w:spacing w:val="-11"/>
                      <w:kern w:val="2"/>
                      <w:sz w:val="18"/>
                      <w:szCs w:val="18"/>
                      <w:highlight w:val="none"/>
                      <w:lang w:val="en-US" w:eastAsia="zh-CN" w:bidi="ar-SA"/>
                    </w:rPr>
                  </w:pPr>
                  <w:r>
                    <w:rPr>
                      <w:rFonts w:hint="eastAsia" w:cs="Times New Roman"/>
                      <w:color w:val="auto"/>
                      <w:spacing w:val="-11"/>
                      <w:sz w:val="18"/>
                      <w:szCs w:val="18"/>
                      <w:highlight w:val="none"/>
                      <w:lang w:val="en-US" w:eastAsia="zh-CN"/>
                    </w:rPr>
                    <w:t>2</w:t>
                  </w:r>
                  <w:r>
                    <w:rPr>
                      <w:rFonts w:hint="eastAsia" w:cs="Times New Roman"/>
                      <w:color w:val="auto"/>
                      <w:spacing w:val="-11"/>
                      <w:sz w:val="18"/>
                      <w:szCs w:val="18"/>
                      <w:highlight w:val="none"/>
                      <w:vertAlign w:val="superscript"/>
                      <w:lang w:val="en-US" w:eastAsia="zh-CN"/>
                    </w:rPr>
                    <w:t>#</w:t>
                  </w:r>
                  <w:r>
                    <w:rPr>
                      <w:rFonts w:hint="eastAsia" w:cs="Times New Roman"/>
                      <w:color w:val="auto"/>
                      <w:spacing w:val="-11"/>
                      <w:sz w:val="18"/>
                      <w:szCs w:val="18"/>
                      <w:highlight w:val="none"/>
                      <w:lang w:val="en-US" w:eastAsia="zh-CN"/>
                    </w:rPr>
                    <w:t>生产车间</w:t>
                  </w:r>
                </w:p>
              </w:tc>
              <w:tc>
                <w:tcPr>
                  <w:tcW w:w="1293" w:type="dxa"/>
                  <w:tcBorders>
                    <w:tl2br w:val="nil"/>
                    <w:tr2bl w:val="nil"/>
                  </w:tcBorders>
                  <w:vAlign w:val="center"/>
                </w:tcPr>
                <w:p w14:paraId="206B67F5">
                  <w:pPr>
                    <w:jc w:val="center"/>
                    <w:rPr>
                      <w:rFonts w:hint="eastAsia" w:ascii="Times New Roman" w:hAnsi="Times New Roman" w:eastAsia="宋体" w:cs="Times New Roman"/>
                      <w:color w:val="auto"/>
                      <w:spacing w:val="-11"/>
                      <w:sz w:val="18"/>
                      <w:szCs w:val="18"/>
                      <w:highlight w:val="none"/>
                      <w:lang w:val="en-US" w:eastAsia="zh-CN"/>
                    </w:rPr>
                  </w:pPr>
                  <w:r>
                    <w:rPr>
                      <w:rFonts w:hint="eastAsia" w:ascii="Times New Roman" w:hAnsi="Times New Roman" w:eastAsia="宋体" w:cs="Times New Roman"/>
                      <w:color w:val="auto"/>
                      <w:spacing w:val="-11"/>
                      <w:sz w:val="18"/>
                      <w:szCs w:val="18"/>
                      <w:highlight w:val="none"/>
                      <w:lang w:val="en-US" w:eastAsia="zh-CN"/>
                    </w:rPr>
                    <w:t>钢渣</w:t>
                  </w:r>
                  <w:r>
                    <w:rPr>
                      <w:rFonts w:hint="eastAsia" w:ascii="Times New Roman" w:hAnsi="Times New Roman" w:eastAsia="宋体" w:cs="Times New Roman"/>
                      <w:color w:val="auto"/>
                      <w:spacing w:val="-11"/>
                      <w:sz w:val="18"/>
                      <w:szCs w:val="18"/>
                      <w:highlight w:val="none"/>
                    </w:rPr>
                    <w:t>堆存与装卸</w:t>
                  </w:r>
                </w:p>
              </w:tc>
              <w:tc>
                <w:tcPr>
                  <w:tcW w:w="920" w:type="dxa"/>
                  <w:tcBorders>
                    <w:tl2br w:val="nil"/>
                    <w:tr2bl w:val="nil"/>
                  </w:tcBorders>
                  <w:vAlign w:val="center"/>
                </w:tcPr>
                <w:p w14:paraId="7B590FE2">
                  <w:pPr>
                    <w:spacing w:line="0" w:lineRule="atLeast"/>
                    <w:jc w:val="center"/>
                    <w:rPr>
                      <w:rFonts w:hint="default" w:eastAsia="宋体"/>
                      <w:color w:val="auto"/>
                      <w:spacing w:val="-12"/>
                      <w:sz w:val="18"/>
                      <w:szCs w:val="18"/>
                      <w:lang w:val="en-US" w:eastAsia="zh-CN"/>
                    </w:rPr>
                  </w:pPr>
                  <w:r>
                    <w:rPr>
                      <w:rFonts w:hint="eastAsia"/>
                      <w:color w:val="auto"/>
                      <w:spacing w:val="-12"/>
                      <w:sz w:val="18"/>
                      <w:szCs w:val="18"/>
                      <w:lang w:val="en-US" w:eastAsia="zh-CN"/>
                    </w:rPr>
                    <w:t>0.5</w:t>
                  </w:r>
                </w:p>
              </w:tc>
              <w:tc>
                <w:tcPr>
                  <w:tcW w:w="788" w:type="dxa"/>
                  <w:tcBorders>
                    <w:tl2br w:val="nil"/>
                    <w:tr2bl w:val="nil"/>
                  </w:tcBorders>
                  <w:shd w:val="clear" w:color="auto" w:fill="auto"/>
                  <w:vAlign w:val="center"/>
                </w:tcPr>
                <w:p w14:paraId="2AD719C9">
                  <w:pPr>
                    <w:spacing w:line="0" w:lineRule="atLeast"/>
                    <w:jc w:val="center"/>
                    <w:rPr>
                      <w:rFonts w:ascii="Times New Roman" w:hAnsi="Times New Roman" w:eastAsia="宋体" w:cs="Times New Roman"/>
                      <w:color w:val="auto"/>
                      <w:spacing w:val="-12"/>
                      <w:kern w:val="2"/>
                      <w:sz w:val="18"/>
                      <w:szCs w:val="18"/>
                      <w:lang w:val="en-US" w:eastAsia="zh-CN" w:bidi="ar-SA"/>
                    </w:rPr>
                  </w:pPr>
                  <w:r>
                    <w:rPr>
                      <w:color w:val="auto"/>
                      <w:spacing w:val="-12"/>
                      <w:sz w:val="18"/>
                      <w:szCs w:val="18"/>
                    </w:rPr>
                    <w:t>1</w:t>
                  </w:r>
                </w:p>
              </w:tc>
              <w:tc>
                <w:tcPr>
                  <w:tcW w:w="657" w:type="dxa"/>
                  <w:tcBorders>
                    <w:tl2br w:val="nil"/>
                    <w:tr2bl w:val="nil"/>
                  </w:tcBorders>
                  <w:shd w:val="clear" w:color="auto" w:fill="auto"/>
                  <w:vAlign w:val="center"/>
                </w:tcPr>
                <w:p w14:paraId="4C2FC2AC">
                  <w:pPr>
                    <w:spacing w:line="0" w:lineRule="atLeast"/>
                    <w:jc w:val="center"/>
                    <w:rPr>
                      <w:rFonts w:ascii="Times New Roman" w:hAnsi="Times New Roman" w:eastAsia="宋体" w:cs="Times New Roman"/>
                      <w:color w:val="auto"/>
                      <w:spacing w:val="-12"/>
                      <w:kern w:val="2"/>
                      <w:sz w:val="18"/>
                      <w:szCs w:val="18"/>
                      <w:lang w:val="en-US" w:eastAsia="zh-CN" w:bidi="ar-SA"/>
                    </w:rPr>
                  </w:pPr>
                  <w:r>
                    <w:rPr>
                      <w:color w:val="auto"/>
                      <w:spacing w:val="-12"/>
                      <w:sz w:val="18"/>
                      <w:szCs w:val="18"/>
                    </w:rPr>
                    <w:t>0.2</w:t>
                  </w:r>
                </w:p>
              </w:tc>
              <w:tc>
                <w:tcPr>
                  <w:tcW w:w="788" w:type="dxa"/>
                  <w:tcBorders>
                    <w:tl2br w:val="nil"/>
                    <w:tr2bl w:val="nil"/>
                  </w:tcBorders>
                  <w:shd w:val="clear" w:color="auto" w:fill="auto"/>
                  <w:vAlign w:val="center"/>
                </w:tcPr>
                <w:p w14:paraId="5134AE24">
                  <w:pPr>
                    <w:spacing w:line="0" w:lineRule="atLeast"/>
                    <w:jc w:val="center"/>
                    <w:rPr>
                      <w:rFonts w:ascii="Times New Roman" w:hAnsi="Times New Roman" w:eastAsia="宋体" w:cs="Times New Roman"/>
                      <w:color w:val="auto"/>
                      <w:spacing w:val="-12"/>
                      <w:kern w:val="2"/>
                      <w:sz w:val="18"/>
                      <w:szCs w:val="18"/>
                      <w:lang w:val="en-US" w:eastAsia="zh-CN" w:bidi="ar-SA"/>
                    </w:rPr>
                  </w:pPr>
                  <w:r>
                    <w:rPr>
                      <w:color w:val="auto"/>
                      <w:spacing w:val="-12"/>
                      <w:sz w:val="18"/>
                      <w:szCs w:val="18"/>
                    </w:rPr>
                    <w:t>0.12</w:t>
                  </w:r>
                </w:p>
              </w:tc>
              <w:tc>
                <w:tcPr>
                  <w:tcW w:w="920" w:type="dxa"/>
                  <w:tcBorders>
                    <w:tl2br w:val="nil"/>
                    <w:tr2bl w:val="nil"/>
                  </w:tcBorders>
                  <w:shd w:val="clear" w:color="auto" w:fill="auto"/>
                  <w:vAlign w:val="center"/>
                </w:tcPr>
                <w:p w14:paraId="22E8D09F">
                  <w:pPr>
                    <w:spacing w:line="0" w:lineRule="atLeast"/>
                    <w:jc w:val="center"/>
                    <w:rPr>
                      <w:rFonts w:ascii="Times New Roman" w:hAnsi="Times New Roman" w:eastAsia="宋体" w:cs="Times New Roman"/>
                      <w:color w:val="auto"/>
                      <w:spacing w:val="-12"/>
                      <w:kern w:val="2"/>
                      <w:sz w:val="18"/>
                      <w:szCs w:val="18"/>
                      <w:lang w:val="en-US" w:eastAsia="zh-CN" w:bidi="ar-SA"/>
                    </w:rPr>
                  </w:pPr>
                  <w:r>
                    <w:rPr>
                      <w:color w:val="auto"/>
                      <w:spacing w:val="-12"/>
                      <w:sz w:val="18"/>
                      <w:szCs w:val="18"/>
                    </w:rPr>
                    <w:t>1.</w:t>
                  </w:r>
                  <w:r>
                    <w:rPr>
                      <w:rFonts w:hint="eastAsia"/>
                      <w:color w:val="auto"/>
                      <w:spacing w:val="-12"/>
                      <w:sz w:val="18"/>
                      <w:szCs w:val="18"/>
                    </w:rPr>
                    <w:t>33</w:t>
                  </w:r>
                </w:p>
              </w:tc>
              <w:tc>
                <w:tcPr>
                  <w:tcW w:w="788" w:type="dxa"/>
                  <w:tcBorders>
                    <w:tl2br w:val="nil"/>
                    <w:tr2bl w:val="nil"/>
                  </w:tcBorders>
                  <w:shd w:val="clear" w:color="auto" w:fill="auto"/>
                  <w:vAlign w:val="center"/>
                </w:tcPr>
                <w:p w14:paraId="75279452">
                  <w:pPr>
                    <w:spacing w:line="0" w:lineRule="atLeast"/>
                    <w:jc w:val="center"/>
                    <w:rPr>
                      <w:rFonts w:ascii="Times New Roman" w:hAnsi="Times New Roman" w:eastAsia="宋体" w:cs="Times New Roman"/>
                      <w:color w:val="auto"/>
                      <w:spacing w:val="-12"/>
                      <w:kern w:val="2"/>
                      <w:sz w:val="18"/>
                      <w:szCs w:val="18"/>
                      <w:lang w:val="en-US" w:eastAsia="zh-CN" w:bidi="ar-SA"/>
                    </w:rPr>
                  </w:pPr>
                  <w:r>
                    <w:rPr>
                      <w:color w:val="auto"/>
                      <w:spacing w:val="-12"/>
                      <w:sz w:val="18"/>
                      <w:szCs w:val="18"/>
                    </w:rPr>
                    <w:t>0</w:t>
                  </w:r>
                </w:p>
              </w:tc>
              <w:tc>
                <w:tcPr>
                  <w:tcW w:w="1051" w:type="dxa"/>
                  <w:tcBorders>
                    <w:tl2br w:val="nil"/>
                    <w:tr2bl w:val="nil"/>
                  </w:tcBorders>
                  <w:shd w:val="clear" w:color="auto" w:fill="auto"/>
                  <w:vAlign w:val="center"/>
                </w:tcPr>
                <w:p w14:paraId="091E2B57">
                  <w:pPr>
                    <w:spacing w:line="0" w:lineRule="atLeast"/>
                    <w:jc w:val="center"/>
                    <w:rPr>
                      <w:rFonts w:ascii="Times New Roman" w:hAnsi="Times New Roman" w:eastAsia="宋体" w:cs="Times New Roman"/>
                      <w:color w:val="auto"/>
                      <w:spacing w:val="-12"/>
                      <w:kern w:val="2"/>
                      <w:sz w:val="18"/>
                      <w:szCs w:val="18"/>
                      <w:lang w:val="en-US" w:eastAsia="zh-CN" w:bidi="ar-SA"/>
                    </w:rPr>
                  </w:pPr>
                  <w:r>
                    <w:rPr>
                      <w:color w:val="auto"/>
                      <w:spacing w:val="-12"/>
                      <w:sz w:val="18"/>
                      <w:szCs w:val="18"/>
                    </w:rPr>
                    <w:t>0</w:t>
                  </w:r>
                </w:p>
              </w:tc>
            </w:tr>
            <w:tr w14:paraId="513B9FA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74" w:hRule="atLeast"/>
                <w:jc w:val="center"/>
              </w:trPr>
              <w:tc>
                <w:tcPr>
                  <w:tcW w:w="811" w:type="dxa"/>
                  <w:vMerge w:val="continue"/>
                  <w:tcBorders>
                    <w:tl2br w:val="nil"/>
                    <w:tr2bl w:val="nil"/>
                  </w:tcBorders>
                  <w:vAlign w:val="center"/>
                </w:tcPr>
                <w:p w14:paraId="798A1B48">
                  <w:pPr>
                    <w:jc w:val="center"/>
                    <w:rPr>
                      <w:rFonts w:hint="eastAsia" w:ascii="Times New Roman" w:hAnsi="Times New Roman" w:eastAsia="宋体" w:cs="Times New Roman"/>
                      <w:color w:val="auto"/>
                      <w:spacing w:val="-11"/>
                      <w:sz w:val="18"/>
                      <w:szCs w:val="18"/>
                      <w:highlight w:val="none"/>
                      <w:lang w:val="en-US" w:eastAsia="zh-CN"/>
                    </w:rPr>
                  </w:pPr>
                </w:p>
              </w:tc>
              <w:tc>
                <w:tcPr>
                  <w:tcW w:w="1293" w:type="dxa"/>
                  <w:tcBorders>
                    <w:tl2br w:val="nil"/>
                    <w:tr2bl w:val="nil"/>
                  </w:tcBorders>
                  <w:vAlign w:val="center"/>
                </w:tcPr>
                <w:p w14:paraId="453E5020">
                  <w:pPr>
                    <w:jc w:val="center"/>
                    <w:rPr>
                      <w:rFonts w:hint="eastAsia" w:ascii="Times New Roman" w:hAnsi="Times New Roman" w:eastAsia="宋体" w:cs="Times New Roman"/>
                      <w:color w:val="auto"/>
                      <w:spacing w:val="-11"/>
                      <w:sz w:val="18"/>
                      <w:szCs w:val="18"/>
                      <w:highlight w:val="none"/>
                      <w:lang w:val="en-US" w:eastAsia="zh-CN"/>
                    </w:rPr>
                  </w:pPr>
                  <w:r>
                    <w:rPr>
                      <w:rFonts w:hint="eastAsia" w:ascii="Times New Roman" w:hAnsi="Times New Roman" w:eastAsia="宋体" w:cs="Times New Roman"/>
                      <w:color w:val="auto"/>
                      <w:spacing w:val="-11"/>
                      <w:sz w:val="18"/>
                      <w:szCs w:val="18"/>
                      <w:highlight w:val="none"/>
                      <w:lang w:val="en-US" w:eastAsia="zh-CN"/>
                    </w:rPr>
                    <w:t>磁性钢渣粉</w:t>
                  </w:r>
                  <w:r>
                    <w:rPr>
                      <w:rFonts w:hint="eastAsia" w:ascii="Times New Roman" w:hAnsi="Times New Roman" w:eastAsia="宋体" w:cs="Times New Roman"/>
                      <w:color w:val="auto"/>
                      <w:spacing w:val="-11"/>
                      <w:sz w:val="18"/>
                      <w:szCs w:val="18"/>
                      <w:highlight w:val="none"/>
                    </w:rPr>
                    <w:t>堆存与装卸</w:t>
                  </w:r>
                </w:p>
              </w:tc>
              <w:tc>
                <w:tcPr>
                  <w:tcW w:w="920" w:type="dxa"/>
                  <w:tcBorders>
                    <w:tl2br w:val="nil"/>
                    <w:tr2bl w:val="nil"/>
                  </w:tcBorders>
                  <w:vAlign w:val="center"/>
                </w:tcPr>
                <w:p w14:paraId="0CF7220B">
                  <w:pPr>
                    <w:spacing w:line="0" w:lineRule="atLeast"/>
                    <w:jc w:val="center"/>
                    <w:rPr>
                      <w:color w:val="auto"/>
                      <w:spacing w:val="-12"/>
                      <w:sz w:val="18"/>
                      <w:szCs w:val="18"/>
                    </w:rPr>
                  </w:pPr>
                  <w:r>
                    <w:rPr>
                      <w:rFonts w:hint="eastAsia"/>
                      <w:color w:val="auto"/>
                      <w:spacing w:val="-12"/>
                      <w:sz w:val="18"/>
                      <w:szCs w:val="18"/>
                      <w:lang w:val="en-US" w:eastAsia="zh-CN"/>
                    </w:rPr>
                    <w:t>0.5</w:t>
                  </w:r>
                </w:p>
              </w:tc>
              <w:tc>
                <w:tcPr>
                  <w:tcW w:w="788" w:type="dxa"/>
                  <w:tcBorders>
                    <w:tl2br w:val="nil"/>
                    <w:tr2bl w:val="nil"/>
                  </w:tcBorders>
                  <w:vAlign w:val="center"/>
                </w:tcPr>
                <w:p w14:paraId="58A9096F">
                  <w:pPr>
                    <w:spacing w:line="0" w:lineRule="atLeast"/>
                    <w:jc w:val="center"/>
                    <w:rPr>
                      <w:color w:val="auto"/>
                      <w:spacing w:val="-12"/>
                      <w:sz w:val="18"/>
                      <w:szCs w:val="18"/>
                    </w:rPr>
                  </w:pPr>
                  <w:r>
                    <w:rPr>
                      <w:color w:val="auto"/>
                      <w:spacing w:val="-12"/>
                      <w:sz w:val="18"/>
                      <w:szCs w:val="18"/>
                    </w:rPr>
                    <w:t>1</w:t>
                  </w:r>
                </w:p>
              </w:tc>
              <w:tc>
                <w:tcPr>
                  <w:tcW w:w="657" w:type="dxa"/>
                  <w:tcBorders>
                    <w:tl2br w:val="nil"/>
                    <w:tr2bl w:val="nil"/>
                  </w:tcBorders>
                  <w:vAlign w:val="center"/>
                </w:tcPr>
                <w:p w14:paraId="3619F3D6">
                  <w:pPr>
                    <w:spacing w:line="0" w:lineRule="atLeast"/>
                    <w:jc w:val="center"/>
                    <w:rPr>
                      <w:color w:val="auto"/>
                      <w:spacing w:val="-12"/>
                      <w:sz w:val="18"/>
                      <w:szCs w:val="18"/>
                    </w:rPr>
                  </w:pPr>
                  <w:r>
                    <w:rPr>
                      <w:color w:val="auto"/>
                      <w:spacing w:val="-12"/>
                      <w:sz w:val="18"/>
                      <w:szCs w:val="18"/>
                    </w:rPr>
                    <w:t>0.2</w:t>
                  </w:r>
                </w:p>
              </w:tc>
              <w:tc>
                <w:tcPr>
                  <w:tcW w:w="788" w:type="dxa"/>
                  <w:tcBorders>
                    <w:tl2br w:val="nil"/>
                    <w:tr2bl w:val="nil"/>
                  </w:tcBorders>
                  <w:vAlign w:val="center"/>
                </w:tcPr>
                <w:p w14:paraId="58B61CDE">
                  <w:pPr>
                    <w:spacing w:line="0" w:lineRule="atLeast"/>
                    <w:jc w:val="center"/>
                    <w:rPr>
                      <w:color w:val="auto"/>
                      <w:spacing w:val="-12"/>
                      <w:sz w:val="18"/>
                      <w:szCs w:val="18"/>
                    </w:rPr>
                  </w:pPr>
                  <w:r>
                    <w:rPr>
                      <w:color w:val="auto"/>
                      <w:spacing w:val="-12"/>
                      <w:sz w:val="18"/>
                      <w:szCs w:val="18"/>
                    </w:rPr>
                    <w:t>0.12</w:t>
                  </w:r>
                </w:p>
              </w:tc>
              <w:tc>
                <w:tcPr>
                  <w:tcW w:w="920" w:type="dxa"/>
                  <w:tcBorders>
                    <w:tl2br w:val="nil"/>
                    <w:tr2bl w:val="nil"/>
                  </w:tcBorders>
                  <w:vAlign w:val="center"/>
                </w:tcPr>
                <w:p w14:paraId="395459A8">
                  <w:pPr>
                    <w:spacing w:line="0" w:lineRule="atLeast"/>
                    <w:jc w:val="center"/>
                    <w:rPr>
                      <w:color w:val="auto"/>
                      <w:spacing w:val="-12"/>
                      <w:sz w:val="18"/>
                      <w:szCs w:val="18"/>
                    </w:rPr>
                  </w:pPr>
                  <w:r>
                    <w:rPr>
                      <w:color w:val="auto"/>
                      <w:spacing w:val="-12"/>
                      <w:sz w:val="18"/>
                      <w:szCs w:val="18"/>
                    </w:rPr>
                    <w:t>1.</w:t>
                  </w:r>
                  <w:r>
                    <w:rPr>
                      <w:rFonts w:hint="eastAsia"/>
                      <w:color w:val="auto"/>
                      <w:spacing w:val="-12"/>
                      <w:sz w:val="18"/>
                      <w:szCs w:val="18"/>
                    </w:rPr>
                    <w:t>33</w:t>
                  </w:r>
                </w:p>
              </w:tc>
              <w:tc>
                <w:tcPr>
                  <w:tcW w:w="788" w:type="dxa"/>
                  <w:tcBorders>
                    <w:tl2br w:val="nil"/>
                    <w:tr2bl w:val="nil"/>
                  </w:tcBorders>
                  <w:vAlign w:val="center"/>
                </w:tcPr>
                <w:p w14:paraId="65EA6556">
                  <w:pPr>
                    <w:spacing w:line="0" w:lineRule="atLeast"/>
                    <w:jc w:val="center"/>
                    <w:rPr>
                      <w:color w:val="auto"/>
                      <w:spacing w:val="-12"/>
                      <w:sz w:val="18"/>
                      <w:szCs w:val="18"/>
                    </w:rPr>
                  </w:pPr>
                  <w:r>
                    <w:rPr>
                      <w:color w:val="auto"/>
                      <w:spacing w:val="-12"/>
                      <w:sz w:val="18"/>
                      <w:szCs w:val="18"/>
                    </w:rPr>
                    <w:t>0</w:t>
                  </w:r>
                </w:p>
              </w:tc>
              <w:tc>
                <w:tcPr>
                  <w:tcW w:w="1051" w:type="dxa"/>
                  <w:tcBorders>
                    <w:tl2br w:val="nil"/>
                    <w:tr2bl w:val="nil"/>
                  </w:tcBorders>
                  <w:vAlign w:val="center"/>
                </w:tcPr>
                <w:p w14:paraId="5A8FE867">
                  <w:pPr>
                    <w:spacing w:line="0" w:lineRule="atLeast"/>
                    <w:jc w:val="center"/>
                    <w:rPr>
                      <w:color w:val="auto"/>
                      <w:spacing w:val="-12"/>
                      <w:sz w:val="18"/>
                      <w:szCs w:val="18"/>
                    </w:rPr>
                  </w:pPr>
                  <w:r>
                    <w:rPr>
                      <w:color w:val="auto"/>
                      <w:spacing w:val="-12"/>
                      <w:sz w:val="18"/>
                      <w:szCs w:val="18"/>
                    </w:rPr>
                    <w:t>0</w:t>
                  </w:r>
                </w:p>
              </w:tc>
            </w:tr>
            <w:tr w14:paraId="40D4A3E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74" w:hRule="atLeast"/>
                <w:jc w:val="center"/>
              </w:trPr>
              <w:tc>
                <w:tcPr>
                  <w:tcW w:w="811" w:type="dxa"/>
                  <w:vMerge w:val="continue"/>
                  <w:tcBorders>
                    <w:tl2br w:val="nil"/>
                    <w:tr2bl w:val="nil"/>
                  </w:tcBorders>
                  <w:vAlign w:val="center"/>
                </w:tcPr>
                <w:p w14:paraId="3B129A55">
                  <w:pPr>
                    <w:jc w:val="center"/>
                    <w:rPr>
                      <w:rFonts w:hint="eastAsia" w:ascii="Times New Roman" w:hAnsi="Times New Roman" w:eastAsia="宋体" w:cs="Times New Roman"/>
                      <w:color w:val="auto"/>
                      <w:spacing w:val="-11"/>
                      <w:sz w:val="18"/>
                      <w:szCs w:val="18"/>
                      <w:highlight w:val="none"/>
                      <w:lang w:val="en-US" w:eastAsia="zh-CN"/>
                    </w:rPr>
                  </w:pPr>
                </w:p>
              </w:tc>
              <w:tc>
                <w:tcPr>
                  <w:tcW w:w="1293" w:type="dxa"/>
                  <w:tcBorders>
                    <w:tl2br w:val="nil"/>
                    <w:tr2bl w:val="nil"/>
                  </w:tcBorders>
                  <w:vAlign w:val="center"/>
                </w:tcPr>
                <w:p w14:paraId="22156AB9">
                  <w:pPr>
                    <w:jc w:val="center"/>
                    <w:rPr>
                      <w:rFonts w:hint="eastAsia" w:ascii="Times New Roman" w:hAnsi="Times New Roman" w:eastAsia="宋体" w:cs="Times New Roman"/>
                      <w:color w:val="auto"/>
                      <w:spacing w:val="-11"/>
                      <w:sz w:val="18"/>
                      <w:szCs w:val="18"/>
                      <w:highlight w:val="none"/>
                      <w:lang w:val="en-US" w:eastAsia="zh-CN"/>
                    </w:rPr>
                  </w:pPr>
                  <w:r>
                    <w:rPr>
                      <w:rFonts w:hint="eastAsia" w:ascii="Times New Roman" w:hAnsi="Times New Roman" w:eastAsia="宋体" w:cs="Times New Roman"/>
                      <w:color w:val="auto"/>
                      <w:spacing w:val="-11"/>
                      <w:sz w:val="18"/>
                      <w:szCs w:val="18"/>
                      <w:highlight w:val="none"/>
                      <w:lang w:val="en-US" w:eastAsia="zh-CN"/>
                    </w:rPr>
                    <w:t>非磁性钢渣粉</w:t>
                  </w:r>
                  <w:r>
                    <w:rPr>
                      <w:rFonts w:hint="eastAsia" w:ascii="Times New Roman" w:hAnsi="Times New Roman" w:eastAsia="宋体" w:cs="Times New Roman"/>
                      <w:color w:val="auto"/>
                      <w:spacing w:val="-11"/>
                      <w:sz w:val="18"/>
                      <w:szCs w:val="18"/>
                      <w:highlight w:val="none"/>
                    </w:rPr>
                    <w:t>堆存与装卸</w:t>
                  </w:r>
                </w:p>
              </w:tc>
              <w:tc>
                <w:tcPr>
                  <w:tcW w:w="920" w:type="dxa"/>
                  <w:tcBorders>
                    <w:tl2br w:val="nil"/>
                    <w:tr2bl w:val="nil"/>
                  </w:tcBorders>
                  <w:vAlign w:val="center"/>
                </w:tcPr>
                <w:p w14:paraId="2723D0AC">
                  <w:pPr>
                    <w:spacing w:line="0" w:lineRule="atLeast"/>
                    <w:jc w:val="center"/>
                    <w:rPr>
                      <w:color w:val="auto"/>
                      <w:spacing w:val="-12"/>
                      <w:sz w:val="18"/>
                      <w:szCs w:val="18"/>
                    </w:rPr>
                  </w:pPr>
                  <w:r>
                    <w:rPr>
                      <w:rFonts w:hint="eastAsia"/>
                      <w:color w:val="auto"/>
                      <w:spacing w:val="-12"/>
                      <w:sz w:val="18"/>
                      <w:szCs w:val="18"/>
                      <w:lang w:val="en-US" w:eastAsia="zh-CN"/>
                    </w:rPr>
                    <w:t>0.5</w:t>
                  </w:r>
                </w:p>
              </w:tc>
              <w:tc>
                <w:tcPr>
                  <w:tcW w:w="788" w:type="dxa"/>
                  <w:tcBorders>
                    <w:tl2br w:val="nil"/>
                    <w:tr2bl w:val="nil"/>
                  </w:tcBorders>
                  <w:vAlign w:val="center"/>
                </w:tcPr>
                <w:p w14:paraId="63673A84">
                  <w:pPr>
                    <w:spacing w:line="0" w:lineRule="atLeast"/>
                    <w:jc w:val="center"/>
                    <w:rPr>
                      <w:color w:val="auto"/>
                      <w:spacing w:val="-12"/>
                      <w:sz w:val="18"/>
                      <w:szCs w:val="18"/>
                    </w:rPr>
                  </w:pPr>
                  <w:r>
                    <w:rPr>
                      <w:color w:val="auto"/>
                      <w:spacing w:val="-12"/>
                      <w:sz w:val="18"/>
                      <w:szCs w:val="18"/>
                    </w:rPr>
                    <w:t>1</w:t>
                  </w:r>
                </w:p>
              </w:tc>
              <w:tc>
                <w:tcPr>
                  <w:tcW w:w="657" w:type="dxa"/>
                  <w:tcBorders>
                    <w:tl2br w:val="nil"/>
                    <w:tr2bl w:val="nil"/>
                  </w:tcBorders>
                  <w:vAlign w:val="center"/>
                </w:tcPr>
                <w:p w14:paraId="7B36C408">
                  <w:pPr>
                    <w:spacing w:line="0" w:lineRule="atLeast"/>
                    <w:jc w:val="center"/>
                    <w:rPr>
                      <w:color w:val="auto"/>
                      <w:spacing w:val="-12"/>
                      <w:sz w:val="18"/>
                      <w:szCs w:val="18"/>
                    </w:rPr>
                  </w:pPr>
                  <w:r>
                    <w:rPr>
                      <w:color w:val="auto"/>
                      <w:spacing w:val="-12"/>
                      <w:sz w:val="18"/>
                      <w:szCs w:val="18"/>
                    </w:rPr>
                    <w:t>0.2</w:t>
                  </w:r>
                </w:p>
              </w:tc>
              <w:tc>
                <w:tcPr>
                  <w:tcW w:w="788" w:type="dxa"/>
                  <w:tcBorders>
                    <w:tl2br w:val="nil"/>
                    <w:tr2bl w:val="nil"/>
                  </w:tcBorders>
                  <w:vAlign w:val="center"/>
                </w:tcPr>
                <w:p w14:paraId="4BBA4B94">
                  <w:pPr>
                    <w:spacing w:line="0" w:lineRule="atLeast"/>
                    <w:jc w:val="center"/>
                    <w:rPr>
                      <w:color w:val="auto"/>
                      <w:spacing w:val="-12"/>
                      <w:sz w:val="18"/>
                      <w:szCs w:val="18"/>
                    </w:rPr>
                  </w:pPr>
                  <w:r>
                    <w:rPr>
                      <w:color w:val="auto"/>
                      <w:spacing w:val="-12"/>
                      <w:sz w:val="18"/>
                      <w:szCs w:val="18"/>
                    </w:rPr>
                    <w:t>0.12</w:t>
                  </w:r>
                </w:p>
              </w:tc>
              <w:tc>
                <w:tcPr>
                  <w:tcW w:w="920" w:type="dxa"/>
                  <w:tcBorders>
                    <w:tl2br w:val="nil"/>
                    <w:tr2bl w:val="nil"/>
                  </w:tcBorders>
                  <w:vAlign w:val="center"/>
                </w:tcPr>
                <w:p w14:paraId="7ACC1B63">
                  <w:pPr>
                    <w:spacing w:line="0" w:lineRule="atLeast"/>
                    <w:jc w:val="center"/>
                    <w:rPr>
                      <w:color w:val="auto"/>
                      <w:spacing w:val="-12"/>
                      <w:sz w:val="18"/>
                      <w:szCs w:val="18"/>
                    </w:rPr>
                  </w:pPr>
                  <w:r>
                    <w:rPr>
                      <w:color w:val="auto"/>
                      <w:spacing w:val="-12"/>
                      <w:sz w:val="18"/>
                      <w:szCs w:val="18"/>
                    </w:rPr>
                    <w:t>1.</w:t>
                  </w:r>
                  <w:r>
                    <w:rPr>
                      <w:rFonts w:hint="eastAsia"/>
                      <w:color w:val="auto"/>
                      <w:spacing w:val="-12"/>
                      <w:sz w:val="18"/>
                      <w:szCs w:val="18"/>
                    </w:rPr>
                    <w:t>33</w:t>
                  </w:r>
                </w:p>
              </w:tc>
              <w:tc>
                <w:tcPr>
                  <w:tcW w:w="788" w:type="dxa"/>
                  <w:tcBorders>
                    <w:tl2br w:val="nil"/>
                    <w:tr2bl w:val="nil"/>
                  </w:tcBorders>
                  <w:vAlign w:val="center"/>
                </w:tcPr>
                <w:p w14:paraId="3DE1DB78">
                  <w:pPr>
                    <w:spacing w:line="0" w:lineRule="atLeast"/>
                    <w:jc w:val="center"/>
                    <w:rPr>
                      <w:color w:val="auto"/>
                      <w:spacing w:val="-12"/>
                      <w:sz w:val="18"/>
                      <w:szCs w:val="18"/>
                    </w:rPr>
                  </w:pPr>
                  <w:r>
                    <w:rPr>
                      <w:color w:val="auto"/>
                      <w:spacing w:val="-12"/>
                      <w:sz w:val="18"/>
                      <w:szCs w:val="18"/>
                    </w:rPr>
                    <w:t>0</w:t>
                  </w:r>
                </w:p>
              </w:tc>
              <w:tc>
                <w:tcPr>
                  <w:tcW w:w="1051" w:type="dxa"/>
                  <w:tcBorders>
                    <w:tl2br w:val="nil"/>
                    <w:tr2bl w:val="nil"/>
                  </w:tcBorders>
                  <w:vAlign w:val="center"/>
                </w:tcPr>
                <w:p w14:paraId="085CEFAB">
                  <w:pPr>
                    <w:spacing w:line="0" w:lineRule="atLeast"/>
                    <w:jc w:val="center"/>
                    <w:rPr>
                      <w:color w:val="auto"/>
                      <w:spacing w:val="-12"/>
                      <w:sz w:val="18"/>
                      <w:szCs w:val="18"/>
                    </w:rPr>
                  </w:pPr>
                  <w:r>
                    <w:rPr>
                      <w:color w:val="auto"/>
                      <w:spacing w:val="-12"/>
                      <w:sz w:val="18"/>
                      <w:szCs w:val="18"/>
                    </w:rPr>
                    <w:t>0</w:t>
                  </w:r>
                </w:p>
              </w:tc>
            </w:tr>
          </w:tbl>
          <w:p w14:paraId="7BAFD23D">
            <w:pPr>
              <w:tabs>
                <w:tab w:val="left" w:pos="4253"/>
              </w:tabs>
              <w:spacing w:line="440" w:lineRule="exact"/>
              <w:ind w:firstLine="482"/>
              <w:rPr>
                <w:color w:val="auto"/>
                <w:szCs w:val="21"/>
                <w:highlight w:val="none"/>
              </w:rPr>
            </w:pPr>
            <w:r>
              <w:rPr>
                <w:color w:val="auto"/>
                <w:szCs w:val="21"/>
                <w:highlight w:val="none"/>
              </w:rPr>
              <w:t>项目</w:t>
            </w:r>
            <w:r>
              <w:rPr>
                <w:rFonts w:hint="eastAsia"/>
                <w:color w:val="auto"/>
                <w:sz w:val="21"/>
                <w:szCs w:val="21"/>
                <w:highlight w:val="none"/>
                <w:lang w:val="en-US" w:eastAsia="zh-CN"/>
              </w:rPr>
              <w:t>原料及成品均</w:t>
            </w:r>
            <w:r>
              <w:rPr>
                <w:color w:val="auto"/>
                <w:szCs w:val="21"/>
                <w:highlight w:val="none"/>
              </w:rPr>
              <w:t>在</w:t>
            </w:r>
            <w:r>
              <w:rPr>
                <w:rFonts w:hint="eastAsia"/>
                <w:color w:val="auto"/>
                <w:sz w:val="21"/>
                <w:szCs w:val="21"/>
                <w:highlight w:val="none"/>
                <w:lang w:val="en-US" w:eastAsia="zh-CN"/>
              </w:rPr>
              <w:t>封闭的车间</w:t>
            </w:r>
            <w:r>
              <w:rPr>
                <w:color w:val="auto"/>
                <w:szCs w:val="21"/>
                <w:highlight w:val="none"/>
              </w:rPr>
              <w:t>内堆存，属于静小风模式，</w:t>
            </w:r>
            <w:r>
              <w:rPr>
                <w:rFonts w:hint="eastAsia"/>
                <w:color w:val="auto"/>
                <w:sz w:val="21"/>
                <w:szCs w:val="21"/>
                <w:highlight w:val="none"/>
                <w:lang w:val="en-US" w:eastAsia="zh-CN"/>
              </w:rPr>
              <w:t>生产车间</w:t>
            </w:r>
            <w:r>
              <w:rPr>
                <w:rFonts w:hint="eastAsia"/>
                <w:color w:val="auto"/>
                <w:szCs w:val="21"/>
                <w:highlight w:val="none"/>
              </w:rPr>
              <w:t>为封闭</w:t>
            </w:r>
            <w:r>
              <w:rPr>
                <w:rFonts w:hint="eastAsia"/>
                <w:color w:val="auto"/>
                <w:szCs w:val="21"/>
                <w:highlight w:val="none"/>
                <w:lang w:val="en-US" w:eastAsia="zh-CN"/>
              </w:rPr>
              <w:t>车间</w:t>
            </w:r>
            <w:r>
              <w:rPr>
                <w:rFonts w:hint="eastAsia"/>
                <w:color w:val="auto"/>
                <w:szCs w:val="21"/>
                <w:highlight w:val="none"/>
              </w:rPr>
              <w:t>，封闭</w:t>
            </w:r>
            <w:r>
              <w:rPr>
                <w:rFonts w:hint="eastAsia"/>
                <w:color w:val="auto"/>
                <w:szCs w:val="21"/>
                <w:highlight w:val="none"/>
                <w:lang w:val="en-US" w:eastAsia="zh-CN"/>
              </w:rPr>
              <w:t>库房</w:t>
            </w:r>
            <w:r>
              <w:rPr>
                <w:color w:val="auto"/>
                <w:szCs w:val="21"/>
                <w:highlight w:val="none"/>
              </w:rPr>
              <w:t>内平均风速取≤0.5m/s，堆存过程风蚀扬尘排放系数 Ew为0，因此项目堆场风蚀扬尘为0。</w:t>
            </w:r>
          </w:p>
          <w:p w14:paraId="26F5DA0C">
            <w:pPr>
              <w:spacing w:line="440" w:lineRule="exact"/>
              <w:ind w:firstLine="482"/>
              <w:rPr>
                <w:color w:val="auto"/>
                <w:szCs w:val="21"/>
              </w:rPr>
            </w:pPr>
            <w:r>
              <w:rPr>
                <w:color w:val="auto"/>
                <w:szCs w:val="21"/>
              </w:rPr>
              <w:t>c堆场扬尘源中颗粒物总排放量W</w:t>
            </w:r>
            <w:r>
              <w:rPr>
                <w:color w:val="auto"/>
                <w:szCs w:val="21"/>
                <w:vertAlign w:val="subscript"/>
              </w:rPr>
              <w:t>Y</w:t>
            </w:r>
          </w:p>
          <w:p w14:paraId="0CAF0E32">
            <w:pPr>
              <w:spacing w:line="440" w:lineRule="exact"/>
              <w:ind w:firstLine="482"/>
              <w:rPr>
                <w:color w:val="auto"/>
                <w:szCs w:val="21"/>
              </w:rPr>
            </w:pPr>
            <w:r>
              <w:rPr>
                <w:color w:val="auto"/>
                <w:szCs w:val="21"/>
              </w:rPr>
              <w:t>堆场的扬尘源排放量是装卸、运输引起的扬尘与堆积存放期间风蚀扬尘的加和，计算公式如下：</w:t>
            </w:r>
          </w:p>
          <w:p w14:paraId="78FFFF25">
            <w:pPr>
              <w:spacing w:line="440" w:lineRule="exact"/>
              <w:ind w:firstLine="482"/>
              <w:rPr>
                <w:color w:val="auto"/>
                <w:szCs w:val="21"/>
              </w:rPr>
            </w:pPr>
          </w:p>
          <w:p w14:paraId="2C492A57">
            <w:pPr>
              <w:pStyle w:val="27"/>
              <w:ind w:firstLine="640"/>
              <w:rPr>
                <w:color w:val="auto"/>
              </w:rPr>
            </w:pPr>
            <w:r>
              <w:rPr>
                <w:rFonts w:hint="eastAsia"/>
                <w:color w:val="auto"/>
              </w:rPr>
              <w:drawing>
                <wp:anchor distT="0" distB="0" distL="114300" distR="114300" simplePos="0" relativeHeight="251662336" behindDoc="0" locked="0" layoutInCell="1" allowOverlap="1">
                  <wp:simplePos x="0" y="0"/>
                  <wp:positionH relativeFrom="column">
                    <wp:posOffset>191770</wp:posOffset>
                  </wp:positionH>
                  <wp:positionV relativeFrom="paragraph">
                    <wp:posOffset>54610</wp:posOffset>
                  </wp:positionV>
                  <wp:extent cx="3000375" cy="439420"/>
                  <wp:effectExtent l="0" t="0" r="1905" b="2540"/>
                  <wp:wrapNone/>
                  <wp:docPr id="75" name="图片 1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图片 114"/>
                          <pic:cNvPicPr>
                            <a:picLocks noChangeAspect="1" noChangeArrowheads="1"/>
                          </pic:cNvPicPr>
                        </pic:nvPicPr>
                        <pic:blipFill>
                          <a:blip r:embed="rId13" cstate="print"/>
                          <a:srcRect/>
                          <a:stretch>
                            <a:fillRect/>
                          </a:stretch>
                        </pic:blipFill>
                        <pic:spPr>
                          <a:xfrm>
                            <a:off x="0" y="0"/>
                            <a:ext cx="3000268" cy="439387"/>
                          </a:xfrm>
                          <a:prstGeom prst="rect">
                            <a:avLst/>
                          </a:prstGeom>
                          <a:noFill/>
                          <a:ln w="9525">
                            <a:noFill/>
                            <a:miter lim="800000"/>
                            <a:headEnd/>
                            <a:tailEnd/>
                          </a:ln>
                        </pic:spPr>
                      </pic:pic>
                    </a:graphicData>
                  </a:graphic>
                </wp:anchor>
              </w:drawing>
            </w:r>
          </w:p>
          <w:p w14:paraId="135D9DB5">
            <w:pPr>
              <w:pStyle w:val="79"/>
              <w:rPr>
                <w:rFonts w:eastAsia="仿宋"/>
                <w:color w:val="auto"/>
                <w:sz w:val="24"/>
              </w:rPr>
            </w:pPr>
            <w:r>
              <w:rPr>
                <w:rFonts w:hint="eastAsia" w:eastAsia="仿宋"/>
                <w:color w:val="auto"/>
                <w:sz w:val="24"/>
              </w:rPr>
              <w:t xml:space="preserve">                               </w:t>
            </w:r>
            <w:r>
              <w:rPr>
                <w:rFonts w:eastAsia="仿宋"/>
                <w:color w:val="auto"/>
                <w:sz w:val="24"/>
              </w:rPr>
              <w:t>……… 公式(5)</w:t>
            </w:r>
          </w:p>
          <w:p w14:paraId="03603915">
            <w:pPr>
              <w:spacing w:line="440" w:lineRule="exact"/>
              <w:ind w:firstLine="482"/>
              <w:rPr>
                <w:color w:val="auto"/>
                <w:szCs w:val="21"/>
              </w:rPr>
            </w:pPr>
            <w:r>
              <w:rPr>
                <w:color w:val="auto"/>
                <w:szCs w:val="21"/>
              </w:rPr>
              <w:t>式中：</w:t>
            </w:r>
          </w:p>
          <w:p w14:paraId="5309A364">
            <w:pPr>
              <w:spacing w:line="440" w:lineRule="exact"/>
              <w:ind w:firstLine="482"/>
              <w:rPr>
                <w:color w:val="auto"/>
                <w:szCs w:val="21"/>
              </w:rPr>
            </w:pPr>
            <w:r>
              <w:rPr>
                <w:color w:val="auto"/>
                <w:szCs w:val="21"/>
              </w:rPr>
              <w:t>W</w:t>
            </w:r>
            <w:r>
              <w:rPr>
                <w:color w:val="auto"/>
                <w:szCs w:val="21"/>
                <w:vertAlign w:val="subscript"/>
              </w:rPr>
              <w:t>Y</w:t>
            </w:r>
            <w:r>
              <w:rPr>
                <w:color w:val="auto"/>
                <w:szCs w:val="21"/>
              </w:rPr>
              <w:t>——堆场扬尘源中颗粒物总排放量，t/a。</w:t>
            </w:r>
          </w:p>
          <w:p w14:paraId="493D286B">
            <w:pPr>
              <w:spacing w:line="440" w:lineRule="exact"/>
              <w:ind w:firstLine="482"/>
              <w:rPr>
                <w:color w:val="auto"/>
                <w:szCs w:val="21"/>
              </w:rPr>
            </w:pPr>
            <w:r>
              <w:rPr>
                <w:color w:val="auto"/>
                <w:szCs w:val="21"/>
              </w:rPr>
              <w:t>E</w:t>
            </w:r>
            <w:r>
              <w:rPr>
                <w:color w:val="auto"/>
                <w:szCs w:val="21"/>
                <w:vertAlign w:val="subscript"/>
              </w:rPr>
              <w:t>h</w:t>
            </w:r>
            <w:r>
              <w:rPr>
                <w:color w:val="auto"/>
                <w:szCs w:val="21"/>
              </w:rPr>
              <w:t>——堆场装卸运输过程的扬尘颗粒物排放系数，kg/t，其估算公式见(1)。</w:t>
            </w:r>
          </w:p>
          <w:p w14:paraId="4B6312F4">
            <w:pPr>
              <w:spacing w:line="440" w:lineRule="exact"/>
              <w:ind w:firstLine="482"/>
              <w:rPr>
                <w:color w:val="auto"/>
                <w:szCs w:val="21"/>
              </w:rPr>
            </w:pPr>
            <w:r>
              <w:rPr>
                <w:color w:val="auto"/>
                <w:szCs w:val="21"/>
              </w:rPr>
              <w:t>m——每年物料装卸总次数。</w:t>
            </w:r>
          </w:p>
          <w:p w14:paraId="54BC0530">
            <w:pPr>
              <w:spacing w:line="440" w:lineRule="exact"/>
              <w:ind w:firstLine="482"/>
              <w:rPr>
                <w:color w:val="auto"/>
                <w:szCs w:val="21"/>
              </w:rPr>
            </w:pPr>
            <w:r>
              <w:rPr>
                <w:color w:val="auto"/>
                <w:szCs w:val="21"/>
              </w:rPr>
              <w:t>G</w:t>
            </w:r>
            <w:r>
              <w:rPr>
                <w:color w:val="auto"/>
                <w:szCs w:val="21"/>
                <w:vertAlign w:val="subscript"/>
              </w:rPr>
              <w:t>Yi</w:t>
            </w:r>
            <w:r>
              <w:rPr>
                <w:color w:val="auto"/>
                <w:szCs w:val="21"/>
              </w:rPr>
              <w:t>——第i次装卸过程的物料装卸量，项目运输车辆载重3</w:t>
            </w:r>
            <w:r>
              <w:rPr>
                <w:rFonts w:hint="eastAsia"/>
                <w:color w:val="auto"/>
                <w:szCs w:val="21"/>
              </w:rPr>
              <w:t>0</w:t>
            </w:r>
            <w:r>
              <w:rPr>
                <w:color w:val="auto"/>
                <w:szCs w:val="21"/>
              </w:rPr>
              <w:t>t。</w:t>
            </w:r>
          </w:p>
          <w:p w14:paraId="60D80DAE">
            <w:pPr>
              <w:spacing w:line="440" w:lineRule="exact"/>
              <w:ind w:firstLine="482"/>
              <w:rPr>
                <w:color w:val="auto"/>
                <w:szCs w:val="21"/>
              </w:rPr>
            </w:pPr>
            <w:r>
              <w:rPr>
                <w:color w:val="auto"/>
                <w:szCs w:val="21"/>
              </w:rPr>
              <w:t>E</w:t>
            </w:r>
            <w:r>
              <w:rPr>
                <w:color w:val="auto"/>
                <w:szCs w:val="21"/>
                <w:vertAlign w:val="subscript"/>
              </w:rPr>
              <w:t>w</w:t>
            </w:r>
            <w:r>
              <w:rPr>
                <w:color w:val="auto"/>
                <w:szCs w:val="21"/>
              </w:rPr>
              <w:t>——料堆受到风蚀作用的颗粒物排放系数，kg/m</w:t>
            </w:r>
            <w:r>
              <w:rPr>
                <w:color w:val="auto"/>
                <w:szCs w:val="21"/>
                <w:vertAlign w:val="superscript"/>
              </w:rPr>
              <w:t>2</w:t>
            </w:r>
            <w:r>
              <w:rPr>
                <w:color w:val="auto"/>
                <w:szCs w:val="21"/>
              </w:rPr>
              <w:t>，其估算公式见(2)。</w:t>
            </w:r>
          </w:p>
          <w:p w14:paraId="2F16105C">
            <w:pPr>
              <w:spacing w:line="440" w:lineRule="exact"/>
              <w:ind w:firstLine="482"/>
              <w:rPr>
                <w:color w:val="auto"/>
                <w:szCs w:val="21"/>
              </w:rPr>
            </w:pPr>
            <w:r>
              <w:rPr>
                <w:color w:val="auto"/>
                <w:szCs w:val="21"/>
              </w:rPr>
              <w:t>A</w:t>
            </w:r>
            <w:r>
              <w:rPr>
                <w:color w:val="auto"/>
                <w:szCs w:val="21"/>
                <w:vertAlign w:val="subscript"/>
              </w:rPr>
              <w:t>Y</w:t>
            </w:r>
            <w:r>
              <w:rPr>
                <w:color w:val="auto"/>
                <w:szCs w:val="21"/>
              </w:rPr>
              <w:t>——料堆表面积，m</w:t>
            </w:r>
            <w:r>
              <w:rPr>
                <w:color w:val="auto"/>
                <w:szCs w:val="21"/>
                <w:vertAlign w:val="superscript"/>
              </w:rPr>
              <w:t>2</w:t>
            </w:r>
            <w:r>
              <w:rPr>
                <w:color w:val="auto"/>
                <w:szCs w:val="21"/>
              </w:rPr>
              <w:t xml:space="preserve">。                                                                                                                                                                                                                                                                                                                                                                                                                                                                                                                                                                                                                                                                                                                                                                                                                                                                                                                                                                                                                                                                                                                                                                                                                                                                                                                                                                                                                                                                                                                                                                                                                                                                                                                                                                                                                                                                                                                                                                                                                                                                                                                                                                                                                                                                                                                                                                                                                                                                                                                                                                                                                                                                                                                                                                                                                                                                                                                                                                                                                                                                                                                                                                                                                                                                                                                                                       </w:t>
            </w:r>
          </w:p>
          <w:p w14:paraId="777E5362">
            <w:pPr>
              <w:spacing w:line="440" w:lineRule="exact"/>
              <w:ind w:firstLine="482"/>
              <w:rPr>
                <w:color w:val="auto"/>
                <w:szCs w:val="21"/>
              </w:rPr>
            </w:pPr>
            <w:r>
              <w:rPr>
                <w:rFonts w:hint="eastAsia"/>
                <w:color w:val="auto"/>
                <w:sz w:val="21"/>
                <w:szCs w:val="21"/>
                <w:highlight w:val="none"/>
                <w:lang w:val="en-US" w:eastAsia="zh-CN"/>
              </w:rPr>
              <w:t>生产车间</w:t>
            </w:r>
            <w:r>
              <w:rPr>
                <w:rFonts w:hint="eastAsia"/>
                <w:color w:val="auto"/>
                <w:szCs w:val="21"/>
                <w:highlight w:val="none"/>
              </w:rPr>
              <w:t>内物料卸车与堆</w:t>
            </w:r>
            <w:r>
              <w:rPr>
                <w:rFonts w:hint="eastAsia"/>
                <w:color w:val="auto"/>
                <w:szCs w:val="21"/>
              </w:rPr>
              <w:t>存</w:t>
            </w:r>
            <w:r>
              <w:rPr>
                <w:color w:val="auto"/>
                <w:szCs w:val="21"/>
              </w:rPr>
              <w:t>颗粒物排放量计算参数及结果见表</w:t>
            </w:r>
            <w:r>
              <w:rPr>
                <w:rFonts w:hint="eastAsia"/>
                <w:color w:val="auto"/>
                <w:szCs w:val="21"/>
                <w:lang w:val="en-US" w:eastAsia="zh-CN"/>
              </w:rPr>
              <w:t>30</w:t>
            </w:r>
            <w:r>
              <w:rPr>
                <w:color w:val="auto"/>
                <w:szCs w:val="21"/>
              </w:rPr>
              <w:t>。</w:t>
            </w:r>
          </w:p>
          <w:p w14:paraId="3407B854">
            <w:pPr>
              <w:spacing w:line="440" w:lineRule="exact"/>
              <w:ind w:firstLine="422" w:firstLineChars="200"/>
              <w:jc w:val="center"/>
              <w:rPr>
                <w:b/>
                <w:snapToGrid w:val="0"/>
                <w:color w:val="auto"/>
                <w:kern w:val="0"/>
                <w:lang w:val="zh-CN" w:bidi="ar"/>
              </w:rPr>
            </w:pPr>
            <w:bookmarkStart w:id="20" w:name="_Ref472415374"/>
            <w:r>
              <w:rPr>
                <w:rFonts w:hint="eastAsia"/>
                <w:b/>
                <w:snapToGrid w:val="0"/>
                <w:color w:val="auto"/>
                <w:kern w:val="0"/>
                <w:lang w:val="zh-CN" w:bidi="ar"/>
              </w:rPr>
              <w:t>表</w:t>
            </w:r>
            <w:bookmarkEnd w:id="20"/>
            <w:r>
              <w:rPr>
                <w:rFonts w:hint="eastAsia"/>
                <w:b/>
                <w:snapToGrid w:val="0"/>
                <w:color w:val="auto"/>
                <w:kern w:val="0"/>
                <w:lang w:val="en-US" w:eastAsia="zh-CN" w:bidi="ar"/>
              </w:rPr>
              <w:t>30</w:t>
            </w:r>
            <w:r>
              <w:rPr>
                <w:rFonts w:hint="eastAsia"/>
                <w:b/>
                <w:snapToGrid w:val="0"/>
                <w:color w:val="auto"/>
                <w:kern w:val="0"/>
                <w:lang w:val="zh-CN" w:bidi="ar"/>
              </w:rPr>
              <w:t xml:space="preserve"> </w:t>
            </w:r>
            <w:bookmarkStart w:id="21" w:name="OLE_LINK1"/>
            <w:r>
              <w:rPr>
                <w:rFonts w:hint="eastAsia"/>
                <w:b/>
                <w:snapToGrid w:val="0"/>
                <w:color w:val="auto"/>
                <w:kern w:val="0"/>
                <w:lang w:val="zh-CN" w:bidi="ar"/>
              </w:rPr>
              <w:t>物料堆存过程颗粒物排放量计算参数及结果</w:t>
            </w:r>
          </w:p>
          <w:tbl>
            <w:tblPr>
              <w:tblStyle w:val="28"/>
              <w:tblW w:w="8077"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28" w:type="dxa"/>
                <w:bottom w:w="0" w:type="dxa"/>
                <w:right w:w="28" w:type="dxa"/>
              </w:tblCellMar>
            </w:tblPr>
            <w:tblGrid>
              <w:gridCol w:w="806"/>
              <w:gridCol w:w="1386"/>
              <w:gridCol w:w="1101"/>
              <w:gridCol w:w="963"/>
              <w:gridCol w:w="788"/>
              <w:gridCol w:w="1238"/>
              <w:gridCol w:w="826"/>
              <w:gridCol w:w="969"/>
            </w:tblGrid>
            <w:tr w14:paraId="0CAF59E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2192" w:type="dxa"/>
                  <w:gridSpan w:val="2"/>
                  <w:tcBorders>
                    <w:tl2br w:val="nil"/>
                    <w:tr2bl w:val="nil"/>
                  </w:tcBorders>
                  <w:vAlign w:val="center"/>
                </w:tcPr>
                <w:p w14:paraId="47DB46BF">
                  <w:pPr>
                    <w:spacing w:line="0" w:lineRule="atLeast"/>
                    <w:jc w:val="center"/>
                    <w:rPr>
                      <w:color w:val="auto"/>
                      <w:spacing w:val="-12"/>
                      <w:sz w:val="18"/>
                      <w:szCs w:val="18"/>
                    </w:rPr>
                  </w:pPr>
                  <w:r>
                    <w:rPr>
                      <w:color w:val="auto"/>
                      <w:spacing w:val="-12"/>
                      <w:sz w:val="18"/>
                      <w:szCs w:val="18"/>
                    </w:rPr>
                    <w:t>项目</w:t>
                  </w:r>
                </w:p>
              </w:tc>
              <w:tc>
                <w:tcPr>
                  <w:tcW w:w="1101" w:type="dxa"/>
                  <w:tcBorders>
                    <w:tl2br w:val="nil"/>
                    <w:tr2bl w:val="nil"/>
                  </w:tcBorders>
                  <w:vAlign w:val="center"/>
                </w:tcPr>
                <w:p w14:paraId="350EC263">
                  <w:pPr>
                    <w:spacing w:line="0" w:lineRule="atLeast"/>
                    <w:jc w:val="center"/>
                    <w:rPr>
                      <w:color w:val="auto"/>
                      <w:spacing w:val="-12"/>
                      <w:sz w:val="18"/>
                      <w:szCs w:val="18"/>
                    </w:rPr>
                  </w:pPr>
                  <w:r>
                    <w:rPr>
                      <w:color w:val="auto"/>
                      <w:sz w:val="18"/>
                      <w:szCs w:val="18"/>
                    </w:rPr>
                    <w:t>E</w:t>
                  </w:r>
                  <w:r>
                    <w:rPr>
                      <w:color w:val="auto"/>
                      <w:sz w:val="18"/>
                      <w:szCs w:val="18"/>
                      <w:vertAlign w:val="subscript"/>
                    </w:rPr>
                    <w:t>h</w:t>
                  </w:r>
                  <w:r>
                    <w:rPr>
                      <w:color w:val="auto"/>
                      <w:sz w:val="18"/>
                      <w:szCs w:val="18"/>
                    </w:rPr>
                    <w:t>（kg/t）</w:t>
                  </w:r>
                </w:p>
              </w:tc>
              <w:tc>
                <w:tcPr>
                  <w:tcW w:w="963" w:type="dxa"/>
                  <w:tcBorders>
                    <w:tl2br w:val="nil"/>
                    <w:tr2bl w:val="nil"/>
                  </w:tcBorders>
                  <w:vAlign w:val="center"/>
                </w:tcPr>
                <w:p w14:paraId="678CC727">
                  <w:pPr>
                    <w:spacing w:line="0" w:lineRule="atLeast"/>
                    <w:jc w:val="center"/>
                    <w:rPr>
                      <w:color w:val="auto"/>
                      <w:spacing w:val="-12"/>
                      <w:sz w:val="18"/>
                      <w:szCs w:val="18"/>
                    </w:rPr>
                  </w:pPr>
                  <w:r>
                    <w:rPr>
                      <w:color w:val="auto"/>
                      <w:spacing w:val="-12"/>
                      <w:sz w:val="18"/>
                      <w:szCs w:val="18"/>
                    </w:rPr>
                    <w:t>M（次）</w:t>
                  </w:r>
                </w:p>
              </w:tc>
              <w:tc>
                <w:tcPr>
                  <w:tcW w:w="788" w:type="dxa"/>
                  <w:tcBorders>
                    <w:tl2br w:val="nil"/>
                    <w:tr2bl w:val="nil"/>
                  </w:tcBorders>
                  <w:vAlign w:val="center"/>
                </w:tcPr>
                <w:p w14:paraId="31289B53">
                  <w:pPr>
                    <w:spacing w:line="0" w:lineRule="atLeast"/>
                    <w:jc w:val="center"/>
                    <w:rPr>
                      <w:color w:val="auto"/>
                      <w:spacing w:val="-12"/>
                      <w:sz w:val="18"/>
                      <w:szCs w:val="18"/>
                    </w:rPr>
                  </w:pPr>
                  <w:r>
                    <w:rPr>
                      <w:color w:val="auto"/>
                      <w:sz w:val="18"/>
                      <w:szCs w:val="18"/>
                    </w:rPr>
                    <w:t>G</w:t>
                  </w:r>
                  <w:r>
                    <w:rPr>
                      <w:color w:val="auto"/>
                      <w:sz w:val="18"/>
                      <w:szCs w:val="18"/>
                      <w:vertAlign w:val="subscript"/>
                    </w:rPr>
                    <w:t>Yi</w:t>
                  </w:r>
                  <w:r>
                    <w:rPr>
                      <w:color w:val="auto"/>
                      <w:sz w:val="18"/>
                      <w:szCs w:val="18"/>
                    </w:rPr>
                    <w:t>（t）</w:t>
                  </w:r>
                </w:p>
              </w:tc>
              <w:tc>
                <w:tcPr>
                  <w:tcW w:w="1238" w:type="dxa"/>
                  <w:tcBorders>
                    <w:tl2br w:val="nil"/>
                    <w:tr2bl w:val="nil"/>
                  </w:tcBorders>
                  <w:vAlign w:val="center"/>
                </w:tcPr>
                <w:p w14:paraId="7AFEFB2B">
                  <w:pPr>
                    <w:spacing w:line="0" w:lineRule="atLeast"/>
                    <w:jc w:val="center"/>
                    <w:rPr>
                      <w:color w:val="auto"/>
                      <w:spacing w:val="-12"/>
                      <w:sz w:val="18"/>
                      <w:szCs w:val="18"/>
                    </w:rPr>
                  </w:pPr>
                  <w:r>
                    <w:rPr>
                      <w:color w:val="auto"/>
                      <w:sz w:val="18"/>
                      <w:szCs w:val="18"/>
                    </w:rPr>
                    <w:t>Ew（kg/m</w:t>
                  </w:r>
                  <w:r>
                    <w:rPr>
                      <w:color w:val="auto"/>
                      <w:sz w:val="18"/>
                      <w:szCs w:val="18"/>
                      <w:vertAlign w:val="superscript"/>
                    </w:rPr>
                    <w:t>2</w:t>
                  </w:r>
                  <w:r>
                    <w:rPr>
                      <w:color w:val="auto"/>
                      <w:sz w:val="18"/>
                      <w:szCs w:val="18"/>
                    </w:rPr>
                    <w:t>）</w:t>
                  </w:r>
                </w:p>
              </w:tc>
              <w:tc>
                <w:tcPr>
                  <w:tcW w:w="826" w:type="dxa"/>
                  <w:tcBorders>
                    <w:tl2br w:val="nil"/>
                    <w:tr2bl w:val="nil"/>
                  </w:tcBorders>
                  <w:vAlign w:val="center"/>
                </w:tcPr>
                <w:p w14:paraId="7BF33BFF">
                  <w:pPr>
                    <w:spacing w:line="0" w:lineRule="atLeast"/>
                    <w:jc w:val="center"/>
                    <w:rPr>
                      <w:color w:val="auto"/>
                      <w:spacing w:val="-12"/>
                      <w:sz w:val="18"/>
                      <w:szCs w:val="18"/>
                    </w:rPr>
                  </w:pPr>
                  <w:r>
                    <w:rPr>
                      <w:color w:val="auto"/>
                      <w:sz w:val="18"/>
                      <w:szCs w:val="18"/>
                    </w:rPr>
                    <w:t>A</w:t>
                  </w:r>
                  <w:r>
                    <w:rPr>
                      <w:color w:val="auto"/>
                      <w:sz w:val="18"/>
                      <w:szCs w:val="18"/>
                      <w:vertAlign w:val="subscript"/>
                    </w:rPr>
                    <w:t>Y</w:t>
                  </w:r>
                  <w:r>
                    <w:rPr>
                      <w:color w:val="auto"/>
                      <w:sz w:val="18"/>
                      <w:szCs w:val="18"/>
                    </w:rPr>
                    <w:t>（m</w:t>
                  </w:r>
                  <w:r>
                    <w:rPr>
                      <w:color w:val="auto"/>
                      <w:sz w:val="18"/>
                      <w:szCs w:val="18"/>
                      <w:vertAlign w:val="superscript"/>
                    </w:rPr>
                    <w:t>2</w:t>
                  </w:r>
                  <w:r>
                    <w:rPr>
                      <w:color w:val="auto"/>
                      <w:sz w:val="18"/>
                      <w:szCs w:val="18"/>
                    </w:rPr>
                    <w:t>）</w:t>
                  </w:r>
                </w:p>
              </w:tc>
              <w:tc>
                <w:tcPr>
                  <w:tcW w:w="969" w:type="dxa"/>
                  <w:tcBorders>
                    <w:tl2br w:val="nil"/>
                    <w:tr2bl w:val="nil"/>
                  </w:tcBorders>
                  <w:vAlign w:val="center"/>
                </w:tcPr>
                <w:p w14:paraId="6994A97D">
                  <w:pPr>
                    <w:spacing w:line="0" w:lineRule="atLeast"/>
                    <w:jc w:val="center"/>
                    <w:rPr>
                      <w:color w:val="auto"/>
                      <w:spacing w:val="-12"/>
                      <w:sz w:val="18"/>
                      <w:szCs w:val="18"/>
                    </w:rPr>
                  </w:pPr>
                  <w:r>
                    <w:rPr>
                      <w:color w:val="auto"/>
                      <w:sz w:val="18"/>
                      <w:szCs w:val="18"/>
                    </w:rPr>
                    <w:t>W</w:t>
                  </w:r>
                  <w:r>
                    <w:rPr>
                      <w:color w:val="auto"/>
                      <w:sz w:val="18"/>
                      <w:szCs w:val="18"/>
                      <w:vertAlign w:val="subscript"/>
                    </w:rPr>
                    <w:t>Y</w:t>
                  </w:r>
                  <w:r>
                    <w:rPr>
                      <w:color w:val="auto"/>
                      <w:sz w:val="18"/>
                      <w:szCs w:val="18"/>
                    </w:rPr>
                    <w:t>（t/a）</w:t>
                  </w:r>
                </w:p>
              </w:tc>
            </w:tr>
            <w:tr w14:paraId="61DBFA6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806" w:type="dxa"/>
                  <w:vMerge w:val="restart"/>
                  <w:tcBorders>
                    <w:tl2br w:val="nil"/>
                    <w:tr2bl w:val="nil"/>
                  </w:tcBorders>
                  <w:vAlign w:val="center"/>
                </w:tcPr>
                <w:p w14:paraId="40C986C8">
                  <w:pPr>
                    <w:jc w:val="center"/>
                    <w:rPr>
                      <w:rFonts w:hint="default" w:ascii="Times New Roman" w:hAnsi="Times New Roman" w:eastAsia="宋体" w:cs="Times New Roman"/>
                      <w:color w:val="auto"/>
                      <w:spacing w:val="-11"/>
                      <w:sz w:val="18"/>
                      <w:szCs w:val="18"/>
                      <w:highlight w:val="none"/>
                      <w:lang w:val="en-US" w:eastAsia="zh-CN"/>
                    </w:rPr>
                  </w:pPr>
                  <w:bookmarkStart w:id="22" w:name="OLE_LINK3" w:colFirst="7" w:colLast="7"/>
                  <w:r>
                    <w:rPr>
                      <w:rFonts w:hint="eastAsia" w:cs="Times New Roman"/>
                      <w:color w:val="auto"/>
                      <w:spacing w:val="-11"/>
                      <w:sz w:val="18"/>
                      <w:szCs w:val="18"/>
                      <w:highlight w:val="none"/>
                      <w:lang w:val="en-US" w:eastAsia="zh-CN"/>
                    </w:rPr>
                    <w:t>1</w:t>
                  </w:r>
                  <w:r>
                    <w:rPr>
                      <w:rFonts w:hint="eastAsia" w:cs="Times New Roman"/>
                      <w:color w:val="auto"/>
                      <w:spacing w:val="-11"/>
                      <w:sz w:val="18"/>
                      <w:szCs w:val="18"/>
                      <w:highlight w:val="none"/>
                      <w:vertAlign w:val="superscript"/>
                      <w:lang w:val="en-US" w:eastAsia="zh-CN"/>
                    </w:rPr>
                    <w:t>#</w:t>
                  </w:r>
                  <w:r>
                    <w:rPr>
                      <w:rFonts w:hint="eastAsia" w:cs="Times New Roman"/>
                      <w:color w:val="auto"/>
                      <w:spacing w:val="-11"/>
                      <w:sz w:val="18"/>
                      <w:szCs w:val="18"/>
                      <w:highlight w:val="none"/>
                      <w:lang w:val="en-US" w:eastAsia="zh-CN"/>
                    </w:rPr>
                    <w:t>生产车间</w:t>
                  </w:r>
                </w:p>
              </w:tc>
              <w:tc>
                <w:tcPr>
                  <w:tcW w:w="1386" w:type="dxa"/>
                  <w:tcBorders>
                    <w:tl2br w:val="nil"/>
                    <w:tr2bl w:val="nil"/>
                  </w:tcBorders>
                  <w:shd w:val="clear" w:color="auto" w:fill="auto"/>
                  <w:vAlign w:val="center"/>
                </w:tcPr>
                <w:p w14:paraId="2BC86F97">
                  <w:pPr>
                    <w:jc w:val="center"/>
                    <w:rPr>
                      <w:rFonts w:hint="eastAsia" w:ascii="Times New Roman" w:hAnsi="Times New Roman" w:eastAsia="宋体" w:cs="Times New Roman"/>
                      <w:color w:val="auto"/>
                      <w:spacing w:val="-11"/>
                      <w:kern w:val="2"/>
                      <w:sz w:val="18"/>
                      <w:szCs w:val="18"/>
                      <w:highlight w:val="none"/>
                      <w:lang w:val="en-US" w:eastAsia="zh-CN" w:bidi="ar-SA"/>
                    </w:rPr>
                  </w:pPr>
                  <w:r>
                    <w:rPr>
                      <w:rFonts w:hint="eastAsia" w:ascii="Times New Roman" w:hAnsi="Times New Roman" w:eastAsia="宋体" w:cs="Times New Roman"/>
                      <w:color w:val="auto"/>
                      <w:spacing w:val="-11"/>
                      <w:sz w:val="18"/>
                      <w:szCs w:val="18"/>
                      <w:highlight w:val="none"/>
                      <w:lang w:val="en-US" w:eastAsia="zh-CN"/>
                    </w:rPr>
                    <w:t>废钢破碎尾料</w:t>
                  </w:r>
                  <w:r>
                    <w:rPr>
                      <w:rFonts w:hint="eastAsia" w:ascii="Times New Roman" w:hAnsi="Times New Roman" w:eastAsia="宋体" w:cs="Times New Roman"/>
                      <w:color w:val="auto"/>
                      <w:spacing w:val="-11"/>
                      <w:sz w:val="18"/>
                      <w:szCs w:val="18"/>
                      <w:highlight w:val="none"/>
                    </w:rPr>
                    <w:t>堆存与装卸</w:t>
                  </w:r>
                </w:p>
              </w:tc>
              <w:tc>
                <w:tcPr>
                  <w:tcW w:w="1101" w:type="dxa"/>
                  <w:tcBorders>
                    <w:tl2br w:val="nil"/>
                    <w:tr2bl w:val="nil"/>
                  </w:tcBorders>
                  <w:shd w:val="clear" w:color="auto" w:fill="auto"/>
                  <w:vAlign w:val="center"/>
                </w:tcPr>
                <w:p w14:paraId="236F77AD">
                  <w:pPr>
                    <w:jc w:val="center"/>
                    <w:rPr>
                      <w:rFonts w:hint="default" w:ascii="Times New Roman" w:hAnsi="Times New Roman" w:eastAsia="宋体" w:cs="Times New Roman"/>
                      <w:color w:val="auto"/>
                      <w:spacing w:val="-11"/>
                      <w:kern w:val="2"/>
                      <w:sz w:val="18"/>
                      <w:szCs w:val="18"/>
                      <w:highlight w:val="none"/>
                      <w:lang w:val="en-US" w:eastAsia="zh-CN" w:bidi="ar-SA"/>
                    </w:rPr>
                  </w:pPr>
                  <w:r>
                    <w:rPr>
                      <w:rFonts w:hint="eastAsia"/>
                      <w:color w:val="auto"/>
                      <w:spacing w:val="-11"/>
                      <w:sz w:val="18"/>
                      <w:szCs w:val="18"/>
                      <w:highlight w:val="none"/>
                      <w:lang w:val="en-US" w:eastAsia="zh-CN"/>
                    </w:rPr>
                    <w:t>0.00009</w:t>
                  </w:r>
                </w:p>
              </w:tc>
              <w:tc>
                <w:tcPr>
                  <w:tcW w:w="963" w:type="dxa"/>
                  <w:tcBorders>
                    <w:tl2br w:val="nil"/>
                    <w:tr2bl w:val="nil"/>
                  </w:tcBorders>
                  <w:vAlign w:val="center"/>
                </w:tcPr>
                <w:p w14:paraId="3F6313FE">
                  <w:pPr>
                    <w:jc w:val="center"/>
                    <w:rPr>
                      <w:rFonts w:hint="default" w:ascii="Times New Roman" w:hAnsi="Times New Roman" w:eastAsia="宋体" w:cs="Times New Roman"/>
                      <w:color w:val="auto"/>
                      <w:spacing w:val="-11"/>
                      <w:sz w:val="18"/>
                      <w:szCs w:val="18"/>
                      <w:highlight w:val="none"/>
                      <w:lang w:val="en-US" w:eastAsia="zh-CN"/>
                    </w:rPr>
                  </w:pPr>
                  <w:r>
                    <w:rPr>
                      <w:rFonts w:hint="eastAsia" w:ascii="Times New Roman" w:hAnsi="Times New Roman" w:eastAsia="宋体" w:cs="Times New Roman"/>
                      <w:color w:val="auto"/>
                      <w:spacing w:val="-11"/>
                      <w:sz w:val="18"/>
                      <w:szCs w:val="18"/>
                      <w:highlight w:val="none"/>
                      <w:lang w:val="en-US" w:eastAsia="zh-CN"/>
                    </w:rPr>
                    <w:t>16667</w:t>
                  </w:r>
                </w:p>
              </w:tc>
              <w:tc>
                <w:tcPr>
                  <w:tcW w:w="788" w:type="dxa"/>
                  <w:tcBorders>
                    <w:tl2br w:val="nil"/>
                    <w:tr2bl w:val="nil"/>
                  </w:tcBorders>
                  <w:vAlign w:val="center"/>
                </w:tcPr>
                <w:p w14:paraId="5E503AFC">
                  <w:pPr>
                    <w:jc w:val="center"/>
                    <w:rPr>
                      <w:rFonts w:hint="eastAsia" w:ascii="Times New Roman" w:hAnsi="Times New Roman" w:eastAsia="宋体" w:cs="Times New Roman"/>
                      <w:color w:val="auto"/>
                      <w:spacing w:val="-11"/>
                      <w:sz w:val="18"/>
                      <w:szCs w:val="18"/>
                      <w:highlight w:val="none"/>
                      <w:lang w:val="en-US" w:eastAsia="zh-CN"/>
                    </w:rPr>
                  </w:pPr>
                  <w:r>
                    <w:rPr>
                      <w:rFonts w:hint="eastAsia" w:ascii="Times New Roman" w:hAnsi="Times New Roman" w:eastAsia="宋体" w:cs="Times New Roman"/>
                      <w:color w:val="auto"/>
                      <w:spacing w:val="-11"/>
                      <w:sz w:val="18"/>
                      <w:szCs w:val="18"/>
                      <w:highlight w:val="none"/>
                      <w:lang w:val="en-US" w:eastAsia="zh-CN"/>
                    </w:rPr>
                    <w:t>30</w:t>
                  </w:r>
                </w:p>
              </w:tc>
              <w:tc>
                <w:tcPr>
                  <w:tcW w:w="1238" w:type="dxa"/>
                  <w:tcBorders>
                    <w:tl2br w:val="nil"/>
                    <w:tr2bl w:val="nil"/>
                  </w:tcBorders>
                  <w:vAlign w:val="center"/>
                </w:tcPr>
                <w:p w14:paraId="659E66CB">
                  <w:pPr>
                    <w:jc w:val="center"/>
                    <w:rPr>
                      <w:rFonts w:hint="eastAsia" w:ascii="Times New Roman" w:hAnsi="Times New Roman" w:eastAsia="宋体" w:cs="Times New Roman"/>
                      <w:color w:val="auto"/>
                      <w:spacing w:val="-11"/>
                      <w:sz w:val="18"/>
                      <w:szCs w:val="18"/>
                      <w:highlight w:val="none"/>
                      <w:lang w:val="en-US" w:eastAsia="zh-CN"/>
                    </w:rPr>
                  </w:pPr>
                  <w:r>
                    <w:rPr>
                      <w:rFonts w:hint="eastAsia" w:ascii="Times New Roman" w:hAnsi="Times New Roman" w:eastAsia="宋体" w:cs="Times New Roman"/>
                      <w:color w:val="auto"/>
                      <w:spacing w:val="-11"/>
                      <w:sz w:val="18"/>
                      <w:szCs w:val="18"/>
                      <w:highlight w:val="none"/>
                      <w:lang w:val="en-US" w:eastAsia="zh-CN"/>
                    </w:rPr>
                    <w:t>0</w:t>
                  </w:r>
                </w:p>
              </w:tc>
              <w:tc>
                <w:tcPr>
                  <w:tcW w:w="826" w:type="dxa"/>
                  <w:tcBorders>
                    <w:tl2br w:val="nil"/>
                    <w:tr2bl w:val="nil"/>
                  </w:tcBorders>
                  <w:vAlign w:val="center"/>
                </w:tcPr>
                <w:p w14:paraId="4E84079C">
                  <w:pPr>
                    <w:jc w:val="center"/>
                    <w:rPr>
                      <w:rFonts w:hint="eastAsia" w:ascii="Times New Roman" w:hAnsi="Times New Roman" w:eastAsia="宋体" w:cs="Times New Roman"/>
                      <w:color w:val="auto"/>
                      <w:spacing w:val="-11"/>
                      <w:sz w:val="18"/>
                      <w:szCs w:val="18"/>
                      <w:highlight w:val="none"/>
                      <w:lang w:val="en-US" w:eastAsia="zh-CN"/>
                    </w:rPr>
                  </w:pPr>
                  <w:r>
                    <w:rPr>
                      <w:rFonts w:hint="eastAsia" w:ascii="Times New Roman" w:hAnsi="Times New Roman" w:eastAsia="宋体" w:cs="Times New Roman"/>
                      <w:color w:val="auto"/>
                      <w:spacing w:val="-11"/>
                      <w:sz w:val="18"/>
                      <w:szCs w:val="18"/>
                      <w:highlight w:val="none"/>
                      <w:lang w:val="en-US" w:eastAsia="zh-CN"/>
                    </w:rPr>
                    <w:t>--</w:t>
                  </w:r>
                </w:p>
              </w:tc>
              <w:tc>
                <w:tcPr>
                  <w:tcW w:w="969" w:type="dxa"/>
                  <w:tcBorders>
                    <w:tl2br w:val="nil"/>
                    <w:tr2bl w:val="nil"/>
                  </w:tcBorders>
                  <w:vAlign w:val="center"/>
                </w:tcPr>
                <w:p w14:paraId="7579DDF8">
                  <w:pPr>
                    <w:jc w:val="center"/>
                    <w:rPr>
                      <w:rFonts w:hint="default" w:ascii="Times New Roman" w:hAnsi="Times New Roman" w:eastAsia="宋体" w:cs="Times New Roman"/>
                      <w:color w:val="auto"/>
                      <w:spacing w:val="-11"/>
                      <w:sz w:val="18"/>
                      <w:szCs w:val="18"/>
                      <w:highlight w:val="none"/>
                      <w:lang w:val="en-US" w:eastAsia="zh-CN"/>
                    </w:rPr>
                  </w:pPr>
                  <w:r>
                    <w:rPr>
                      <w:rFonts w:hint="eastAsia" w:cs="Times New Roman"/>
                      <w:color w:val="auto"/>
                      <w:spacing w:val="-11"/>
                      <w:sz w:val="18"/>
                      <w:szCs w:val="18"/>
                      <w:highlight w:val="none"/>
                      <w:lang w:val="en-US" w:eastAsia="zh-CN"/>
                    </w:rPr>
                    <w:t>0.045</w:t>
                  </w:r>
                </w:p>
              </w:tc>
            </w:tr>
            <w:tr w14:paraId="71D1F0B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8" w:hRule="atLeast"/>
                <w:jc w:val="center"/>
              </w:trPr>
              <w:tc>
                <w:tcPr>
                  <w:tcW w:w="806" w:type="dxa"/>
                  <w:vMerge w:val="continue"/>
                  <w:tcBorders>
                    <w:tl2br w:val="nil"/>
                    <w:tr2bl w:val="nil"/>
                  </w:tcBorders>
                  <w:vAlign w:val="center"/>
                </w:tcPr>
                <w:p w14:paraId="533EE2D5">
                  <w:pPr>
                    <w:jc w:val="center"/>
                    <w:rPr>
                      <w:rFonts w:hint="eastAsia" w:ascii="Times New Roman" w:hAnsi="Times New Roman" w:eastAsia="宋体" w:cs="Times New Roman"/>
                      <w:color w:val="auto"/>
                      <w:spacing w:val="-11"/>
                      <w:sz w:val="18"/>
                      <w:szCs w:val="18"/>
                      <w:highlight w:val="none"/>
                    </w:rPr>
                  </w:pPr>
                </w:p>
              </w:tc>
              <w:tc>
                <w:tcPr>
                  <w:tcW w:w="1386" w:type="dxa"/>
                  <w:tcBorders>
                    <w:tl2br w:val="nil"/>
                    <w:tr2bl w:val="nil"/>
                  </w:tcBorders>
                  <w:shd w:val="clear" w:color="auto" w:fill="auto"/>
                  <w:vAlign w:val="center"/>
                </w:tcPr>
                <w:p w14:paraId="7743F80D">
                  <w:pPr>
                    <w:jc w:val="center"/>
                    <w:rPr>
                      <w:rFonts w:hint="eastAsia" w:ascii="Times New Roman" w:hAnsi="Times New Roman" w:eastAsia="宋体" w:cs="Times New Roman"/>
                      <w:color w:val="auto"/>
                      <w:spacing w:val="-11"/>
                      <w:kern w:val="2"/>
                      <w:sz w:val="18"/>
                      <w:szCs w:val="18"/>
                      <w:highlight w:val="none"/>
                      <w:lang w:val="en-US" w:eastAsia="zh-CN" w:bidi="ar-SA"/>
                    </w:rPr>
                  </w:pPr>
                  <w:r>
                    <w:rPr>
                      <w:rFonts w:hint="eastAsia" w:ascii="Times New Roman" w:hAnsi="Times New Roman" w:eastAsia="宋体" w:cs="Times New Roman"/>
                      <w:color w:val="auto"/>
                      <w:spacing w:val="-11"/>
                      <w:sz w:val="18"/>
                      <w:szCs w:val="18"/>
                      <w:highlight w:val="none"/>
                      <w:lang w:val="en-US" w:eastAsia="zh-CN"/>
                    </w:rPr>
                    <w:t>铁粉</w:t>
                  </w:r>
                  <w:r>
                    <w:rPr>
                      <w:rFonts w:hint="eastAsia" w:ascii="Times New Roman" w:hAnsi="Times New Roman" w:eastAsia="宋体" w:cs="Times New Roman"/>
                      <w:color w:val="auto"/>
                      <w:spacing w:val="-11"/>
                      <w:sz w:val="18"/>
                      <w:szCs w:val="18"/>
                      <w:highlight w:val="none"/>
                    </w:rPr>
                    <w:t>堆存与装卸</w:t>
                  </w:r>
                </w:p>
              </w:tc>
              <w:tc>
                <w:tcPr>
                  <w:tcW w:w="1101" w:type="dxa"/>
                  <w:tcBorders>
                    <w:tl2br w:val="nil"/>
                    <w:tr2bl w:val="nil"/>
                  </w:tcBorders>
                  <w:shd w:val="clear" w:color="auto" w:fill="auto"/>
                  <w:vAlign w:val="center"/>
                </w:tcPr>
                <w:p w14:paraId="41D51AC4">
                  <w:pPr>
                    <w:jc w:val="center"/>
                    <w:rPr>
                      <w:rFonts w:hint="eastAsia" w:ascii="Times New Roman" w:hAnsi="Times New Roman" w:eastAsia="宋体" w:cs="Times New Roman"/>
                      <w:color w:val="auto"/>
                      <w:spacing w:val="-11"/>
                      <w:kern w:val="2"/>
                      <w:sz w:val="18"/>
                      <w:szCs w:val="18"/>
                      <w:highlight w:val="none"/>
                      <w:lang w:val="en-US" w:eastAsia="zh-CN" w:bidi="ar-SA"/>
                    </w:rPr>
                  </w:pPr>
                  <w:r>
                    <w:rPr>
                      <w:rFonts w:hint="eastAsia"/>
                      <w:color w:val="auto"/>
                      <w:spacing w:val="-11"/>
                      <w:sz w:val="18"/>
                      <w:szCs w:val="18"/>
                      <w:highlight w:val="none"/>
                      <w:lang w:val="en-US" w:eastAsia="zh-CN"/>
                    </w:rPr>
                    <w:t>0.00006</w:t>
                  </w:r>
                </w:p>
              </w:tc>
              <w:tc>
                <w:tcPr>
                  <w:tcW w:w="963" w:type="dxa"/>
                  <w:tcBorders>
                    <w:tl2br w:val="nil"/>
                    <w:tr2bl w:val="nil"/>
                  </w:tcBorders>
                  <w:shd w:val="clear" w:color="auto" w:fill="auto"/>
                  <w:vAlign w:val="center"/>
                </w:tcPr>
                <w:p w14:paraId="5DBDA7A6">
                  <w:pPr>
                    <w:jc w:val="center"/>
                    <w:rPr>
                      <w:rFonts w:hint="default" w:ascii="Times New Roman" w:hAnsi="Times New Roman" w:eastAsia="宋体" w:cs="Times New Roman"/>
                      <w:color w:val="auto"/>
                      <w:spacing w:val="-11"/>
                      <w:kern w:val="2"/>
                      <w:sz w:val="18"/>
                      <w:szCs w:val="18"/>
                      <w:highlight w:val="none"/>
                      <w:lang w:val="en-US" w:eastAsia="zh-CN" w:bidi="ar-SA"/>
                    </w:rPr>
                  </w:pPr>
                  <w:r>
                    <w:rPr>
                      <w:rFonts w:hint="eastAsia" w:cs="Times New Roman"/>
                      <w:color w:val="auto"/>
                      <w:spacing w:val="-11"/>
                      <w:sz w:val="18"/>
                      <w:szCs w:val="18"/>
                      <w:highlight w:val="none"/>
                      <w:lang w:val="en-US" w:eastAsia="zh-CN"/>
                    </w:rPr>
                    <w:t>1427</w:t>
                  </w:r>
                </w:p>
              </w:tc>
              <w:tc>
                <w:tcPr>
                  <w:tcW w:w="788" w:type="dxa"/>
                  <w:tcBorders>
                    <w:tl2br w:val="nil"/>
                    <w:tr2bl w:val="nil"/>
                  </w:tcBorders>
                  <w:shd w:val="clear" w:color="auto" w:fill="auto"/>
                  <w:vAlign w:val="center"/>
                </w:tcPr>
                <w:p w14:paraId="103B5186">
                  <w:pPr>
                    <w:jc w:val="center"/>
                    <w:rPr>
                      <w:rFonts w:hint="eastAsia" w:ascii="Times New Roman" w:hAnsi="Times New Roman" w:eastAsia="宋体" w:cs="Times New Roman"/>
                      <w:color w:val="auto"/>
                      <w:spacing w:val="-11"/>
                      <w:kern w:val="2"/>
                      <w:sz w:val="18"/>
                      <w:szCs w:val="18"/>
                      <w:highlight w:val="none"/>
                      <w:lang w:val="en-US" w:eastAsia="zh-CN" w:bidi="ar-SA"/>
                    </w:rPr>
                  </w:pPr>
                  <w:r>
                    <w:rPr>
                      <w:rFonts w:hint="eastAsia" w:ascii="Times New Roman" w:hAnsi="Times New Roman" w:eastAsia="宋体" w:cs="Times New Roman"/>
                      <w:color w:val="auto"/>
                      <w:spacing w:val="-11"/>
                      <w:sz w:val="18"/>
                      <w:szCs w:val="18"/>
                      <w:highlight w:val="none"/>
                      <w:lang w:val="en-US" w:eastAsia="zh-CN"/>
                    </w:rPr>
                    <w:t>30</w:t>
                  </w:r>
                </w:p>
              </w:tc>
              <w:tc>
                <w:tcPr>
                  <w:tcW w:w="1238" w:type="dxa"/>
                  <w:tcBorders>
                    <w:tl2br w:val="nil"/>
                    <w:tr2bl w:val="nil"/>
                  </w:tcBorders>
                  <w:shd w:val="clear" w:color="auto" w:fill="auto"/>
                  <w:vAlign w:val="center"/>
                </w:tcPr>
                <w:p w14:paraId="217FC03C">
                  <w:pPr>
                    <w:jc w:val="center"/>
                    <w:rPr>
                      <w:rFonts w:hint="eastAsia" w:ascii="Times New Roman" w:hAnsi="Times New Roman" w:eastAsia="宋体" w:cs="Times New Roman"/>
                      <w:color w:val="auto"/>
                      <w:spacing w:val="-11"/>
                      <w:kern w:val="2"/>
                      <w:sz w:val="18"/>
                      <w:szCs w:val="18"/>
                      <w:highlight w:val="none"/>
                      <w:lang w:val="en-US" w:eastAsia="zh-CN" w:bidi="ar-SA"/>
                    </w:rPr>
                  </w:pPr>
                  <w:r>
                    <w:rPr>
                      <w:rFonts w:hint="eastAsia" w:ascii="Times New Roman" w:hAnsi="Times New Roman" w:eastAsia="宋体" w:cs="Times New Roman"/>
                      <w:color w:val="auto"/>
                      <w:spacing w:val="-11"/>
                      <w:sz w:val="18"/>
                      <w:szCs w:val="18"/>
                      <w:highlight w:val="none"/>
                      <w:lang w:val="en-US" w:eastAsia="zh-CN"/>
                    </w:rPr>
                    <w:t>0</w:t>
                  </w:r>
                </w:p>
              </w:tc>
              <w:tc>
                <w:tcPr>
                  <w:tcW w:w="826" w:type="dxa"/>
                  <w:tcBorders>
                    <w:tl2br w:val="nil"/>
                    <w:tr2bl w:val="nil"/>
                  </w:tcBorders>
                  <w:shd w:val="clear" w:color="auto" w:fill="auto"/>
                  <w:vAlign w:val="center"/>
                </w:tcPr>
                <w:p w14:paraId="35970AEA">
                  <w:pPr>
                    <w:jc w:val="center"/>
                    <w:rPr>
                      <w:rFonts w:hint="eastAsia" w:ascii="Times New Roman" w:hAnsi="Times New Roman" w:eastAsia="宋体" w:cs="Times New Roman"/>
                      <w:color w:val="auto"/>
                      <w:spacing w:val="-11"/>
                      <w:kern w:val="2"/>
                      <w:sz w:val="18"/>
                      <w:szCs w:val="18"/>
                      <w:highlight w:val="none"/>
                      <w:lang w:val="en-US" w:eastAsia="zh-CN" w:bidi="ar-SA"/>
                    </w:rPr>
                  </w:pPr>
                  <w:r>
                    <w:rPr>
                      <w:rFonts w:hint="eastAsia" w:ascii="Times New Roman" w:hAnsi="Times New Roman" w:eastAsia="宋体" w:cs="Times New Roman"/>
                      <w:color w:val="auto"/>
                      <w:spacing w:val="-11"/>
                      <w:sz w:val="18"/>
                      <w:szCs w:val="18"/>
                      <w:highlight w:val="none"/>
                      <w:lang w:val="en-US" w:eastAsia="zh-CN"/>
                    </w:rPr>
                    <w:t>--</w:t>
                  </w:r>
                </w:p>
              </w:tc>
              <w:tc>
                <w:tcPr>
                  <w:tcW w:w="969" w:type="dxa"/>
                  <w:tcBorders>
                    <w:tl2br w:val="nil"/>
                    <w:tr2bl w:val="nil"/>
                  </w:tcBorders>
                  <w:shd w:val="clear" w:color="auto" w:fill="auto"/>
                  <w:vAlign w:val="center"/>
                </w:tcPr>
                <w:p w14:paraId="73F144AE">
                  <w:pPr>
                    <w:jc w:val="center"/>
                    <w:rPr>
                      <w:rFonts w:hint="default" w:ascii="Times New Roman" w:hAnsi="Times New Roman" w:eastAsia="宋体" w:cs="Times New Roman"/>
                      <w:color w:val="auto"/>
                      <w:spacing w:val="-11"/>
                      <w:kern w:val="2"/>
                      <w:sz w:val="18"/>
                      <w:szCs w:val="18"/>
                      <w:highlight w:val="none"/>
                      <w:lang w:val="en-US" w:eastAsia="zh-CN" w:bidi="ar-SA"/>
                    </w:rPr>
                  </w:pPr>
                  <w:r>
                    <w:rPr>
                      <w:rFonts w:hint="eastAsia" w:ascii="Times New Roman" w:hAnsi="Times New Roman" w:eastAsia="宋体" w:cs="Times New Roman"/>
                      <w:color w:val="auto"/>
                      <w:spacing w:val="-11"/>
                      <w:sz w:val="18"/>
                      <w:szCs w:val="18"/>
                      <w:highlight w:val="none"/>
                      <w:lang w:val="en-US" w:eastAsia="zh-CN"/>
                    </w:rPr>
                    <w:t>0.00</w:t>
                  </w:r>
                  <w:r>
                    <w:rPr>
                      <w:rFonts w:hint="eastAsia" w:cs="Times New Roman"/>
                      <w:color w:val="auto"/>
                      <w:spacing w:val="-11"/>
                      <w:sz w:val="18"/>
                      <w:szCs w:val="18"/>
                      <w:highlight w:val="none"/>
                      <w:lang w:val="en-US" w:eastAsia="zh-CN"/>
                    </w:rPr>
                    <w:t>3</w:t>
                  </w:r>
                </w:p>
              </w:tc>
            </w:tr>
            <w:tr w14:paraId="6DB57F1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95" w:hRule="atLeast"/>
                <w:jc w:val="center"/>
              </w:trPr>
              <w:tc>
                <w:tcPr>
                  <w:tcW w:w="806" w:type="dxa"/>
                  <w:vMerge w:val="continue"/>
                  <w:tcBorders>
                    <w:tl2br w:val="nil"/>
                    <w:tr2bl w:val="nil"/>
                  </w:tcBorders>
                  <w:vAlign w:val="center"/>
                </w:tcPr>
                <w:p w14:paraId="708D15F8">
                  <w:pPr>
                    <w:jc w:val="center"/>
                    <w:rPr>
                      <w:rFonts w:hint="eastAsia" w:ascii="Times New Roman" w:hAnsi="Times New Roman" w:eastAsia="宋体" w:cs="Times New Roman"/>
                      <w:color w:val="auto"/>
                      <w:spacing w:val="-11"/>
                      <w:sz w:val="18"/>
                      <w:szCs w:val="18"/>
                      <w:highlight w:val="none"/>
                    </w:rPr>
                  </w:pPr>
                </w:p>
              </w:tc>
              <w:tc>
                <w:tcPr>
                  <w:tcW w:w="1386" w:type="dxa"/>
                  <w:tcBorders>
                    <w:tl2br w:val="nil"/>
                    <w:tr2bl w:val="nil"/>
                  </w:tcBorders>
                  <w:shd w:val="clear" w:color="auto" w:fill="auto"/>
                  <w:vAlign w:val="center"/>
                </w:tcPr>
                <w:p w14:paraId="5AF42AD5">
                  <w:pPr>
                    <w:jc w:val="center"/>
                    <w:rPr>
                      <w:rFonts w:hint="eastAsia" w:ascii="Times New Roman" w:hAnsi="Times New Roman" w:eastAsia="宋体" w:cs="Times New Roman"/>
                      <w:color w:val="auto"/>
                      <w:spacing w:val="-11"/>
                      <w:sz w:val="18"/>
                      <w:szCs w:val="18"/>
                      <w:highlight w:val="none"/>
                      <w:lang w:val="en-US" w:eastAsia="zh-CN"/>
                    </w:rPr>
                  </w:pPr>
                  <w:r>
                    <w:rPr>
                      <w:rFonts w:hint="eastAsia" w:cs="Times New Roman"/>
                      <w:color w:val="auto"/>
                      <w:spacing w:val="-11"/>
                      <w:sz w:val="18"/>
                      <w:szCs w:val="18"/>
                      <w:highlight w:val="none"/>
                      <w:lang w:val="en-US" w:eastAsia="zh-CN"/>
                    </w:rPr>
                    <w:t>土</w:t>
                  </w:r>
                  <w:r>
                    <w:rPr>
                      <w:rFonts w:hint="eastAsia" w:ascii="Times New Roman" w:hAnsi="Times New Roman" w:eastAsia="宋体" w:cs="Times New Roman"/>
                      <w:color w:val="auto"/>
                      <w:spacing w:val="-11"/>
                      <w:sz w:val="18"/>
                      <w:szCs w:val="18"/>
                      <w:highlight w:val="none"/>
                    </w:rPr>
                    <w:t>堆存与装卸</w:t>
                  </w:r>
                </w:p>
              </w:tc>
              <w:tc>
                <w:tcPr>
                  <w:tcW w:w="1101" w:type="dxa"/>
                  <w:tcBorders>
                    <w:tl2br w:val="nil"/>
                    <w:tr2bl w:val="nil"/>
                  </w:tcBorders>
                  <w:shd w:val="clear" w:color="auto" w:fill="auto"/>
                  <w:vAlign w:val="center"/>
                </w:tcPr>
                <w:p w14:paraId="0B57F6C5">
                  <w:pPr>
                    <w:jc w:val="center"/>
                    <w:rPr>
                      <w:rFonts w:hint="default"/>
                      <w:color w:val="auto"/>
                      <w:spacing w:val="-11"/>
                      <w:sz w:val="18"/>
                      <w:szCs w:val="18"/>
                      <w:highlight w:val="none"/>
                      <w:lang w:val="en-US" w:eastAsia="zh-CN"/>
                    </w:rPr>
                  </w:pPr>
                  <w:r>
                    <w:rPr>
                      <w:rFonts w:hint="eastAsia"/>
                      <w:color w:val="auto"/>
                      <w:spacing w:val="-11"/>
                      <w:sz w:val="18"/>
                      <w:szCs w:val="18"/>
                      <w:highlight w:val="none"/>
                      <w:lang w:val="en-US" w:eastAsia="zh-CN"/>
                    </w:rPr>
                    <w:t>0.00005</w:t>
                  </w:r>
                </w:p>
              </w:tc>
              <w:tc>
                <w:tcPr>
                  <w:tcW w:w="963" w:type="dxa"/>
                  <w:tcBorders>
                    <w:tl2br w:val="nil"/>
                    <w:tr2bl w:val="nil"/>
                  </w:tcBorders>
                  <w:shd w:val="clear" w:color="auto" w:fill="auto"/>
                  <w:vAlign w:val="center"/>
                </w:tcPr>
                <w:p w14:paraId="65B60FA0">
                  <w:pPr>
                    <w:jc w:val="center"/>
                    <w:rPr>
                      <w:rFonts w:hint="default" w:cs="Times New Roman"/>
                      <w:color w:val="auto"/>
                      <w:spacing w:val="-11"/>
                      <w:sz w:val="18"/>
                      <w:szCs w:val="18"/>
                      <w:highlight w:val="none"/>
                      <w:lang w:val="en-US" w:eastAsia="zh-CN"/>
                    </w:rPr>
                  </w:pPr>
                  <w:r>
                    <w:rPr>
                      <w:rFonts w:hint="eastAsia" w:cs="Times New Roman"/>
                      <w:color w:val="auto"/>
                      <w:spacing w:val="-11"/>
                      <w:sz w:val="18"/>
                      <w:szCs w:val="18"/>
                      <w:highlight w:val="none"/>
                      <w:lang w:val="en-US" w:eastAsia="zh-CN"/>
                    </w:rPr>
                    <w:t>5500</w:t>
                  </w:r>
                </w:p>
              </w:tc>
              <w:tc>
                <w:tcPr>
                  <w:tcW w:w="788" w:type="dxa"/>
                  <w:tcBorders>
                    <w:tl2br w:val="nil"/>
                    <w:tr2bl w:val="nil"/>
                  </w:tcBorders>
                  <w:shd w:val="clear" w:color="auto" w:fill="auto"/>
                  <w:vAlign w:val="center"/>
                </w:tcPr>
                <w:p w14:paraId="60F5D4D0">
                  <w:pPr>
                    <w:jc w:val="center"/>
                    <w:rPr>
                      <w:rFonts w:hint="eastAsia" w:ascii="Times New Roman" w:hAnsi="Times New Roman" w:eastAsia="宋体" w:cs="Times New Roman"/>
                      <w:color w:val="auto"/>
                      <w:spacing w:val="-11"/>
                      <w:kern w:val="2"/>
                      <w:sz w:val="18"/>
                      <w:szCs w:val="18"/>
                      <w:highlight w:val="none"/>
                      <w:lang w:val="en-US" w:eastAsia="zh-CN" w:bidi="ar-SA"/>
                    </w:rPr>
                  </w:pPr>
                  <w:r>
                    <w:rPr>
                      <w:rFonts w:hint="eastAsia" w:ascii="Times New Roman" w:hAnsi="Times New Roman" w:eastAsia="宋体" w:cs="Times New Roman"/>
                      <w:color w:val="auto"/>
                      <w:spacing w:val="-11"/>
                      <w:sz w:val="18"/>
                      <w:szCs w:val="18"/>
                      <w:highlight w:val="none"/>
                      <w:lang w:val="en-US" w:eastAsia="zh-CN"/>
                    </w:rPr>
                    <w:t>30</w:t>
                  </w:r>
                </w:p>
              </w:tc>
              <w:tc>
                <w:tcPr>
                  <w:tcW w:w="1238" w:type="dxa"/>
                  <w:tcBorders>
                    <w:tl2br w:val="nil"/>
                    <w:tr2bl w:val="nil"/>
                  </w:tcBorders>
                  <w:shd w:val="clear" w:color="auto" w:fill="auto"/>
                  <w:vAlign w:val="center"/>
                </w:tcPr>
                <w:p w14:paraId="5B8E4A39">
                  <w:pPr>
                    <w:jc w:val="center"/>
                    <w:rPr>
                      <w:rFonts w:hint="eastAsia" w:ascii="Times New Roman" w:hAnsi="Times New Roman" w:eastAsia="宋体" w:cs="Times New Roman"/>
                      <w:color w:val="auto"/>
                      <w:spacing w:val="-11"/>
                      <w:kern w:val="2"/>
                      <w:sz w:val="18"/>
                      <w:szCs w:val="18"/>
                      <w:highlight w:val="none"/>
                      <w:lang w:val="en-US" w:eastAsia="zh-CN" w:bidi="ar-SA"/>
                    </w:rPr>
                  </w:pPr>
                  <w:r>
                    <w:rPr>
                      <w:rFonts w:hint="eastAsia" w:ascii="Times New Roman" w:hAnsi="Times New Roman" w:eastAsia="宋体" w:cs="Times New Roman"/>
                      <w:color w:val="auto"/>
                      <w:spacing w:val="-11"/>
                      <w:sz w:val="18"/>
                      <w:szCs w:val="18"/>
                      <w:highlight w:val="none"/>
                      <w:lang w:val="en-US" w:eastAsia="zh-CN"/>
                    </w:rPr>
                    <w:t>0</w:t>
                  </w:r>
                </w:p>
              </w:tc>
              <w:tc>
                <w:tcPr>
                  <w:tcW w:w="826" w:type="dxa"/>
                  <w:tcBorders>
                    <w:tl2br w:val="nil"/>
                    <w:tr2bl w:val="nil"/>
                  </w:tcBorders>
                  <w:shd w:val="clear" w:color="auto" w:fill="auto"/>
                  <w:vAlign w:val="center"/>
                </w:tcPr>
                <w:p w14:paraId="3C84FCF3">
                  <w:pPr>
                    <w:jc w:val="center"/>
                    <w:rPr>
                      <w:rFonts w:hint="eastAsia" w:ascii="Times New Roman" w:hAnsi="Times New Roman" w:eastAsia="宋体" w:cs="Times New Roman"/>
                      <w:color w:val="auto"/>
                      <w:spacing w:val="-11"/>
                      <w:kern w:val="2"/>
                      <w:sz w:val="18"/>
                      <w:szCs w:val="18"/>
                      <w:highlight w:val="none"/>
                      <w:lang w:val="en-US" w:eastAsia="zh-CN" w:bidi="ar-SA"/>
                    </w:rPr>
                  </w:pPr>
                  <w:r>
                    <w:rPr>
                      <w:rFonts w:hint="eastAsia" w:ascii="Times New Roman" w:hAnsi="Times New Roman" w:eastAsia="宋体" w:cs="Times New Roman"/>
                      <w:color w:val="auto"/>
                      <w:spacing w:val="-11"/>
                      <w:sz w:val="18"/>
                      <w:szCs w:val="18"/>
                      <w:highlight w:val="none"/>
                      <w:lang w:val="en-US" w:eastAsia="zh-CN"/>
                    </w:rPr>
                    <w:t>--</w:t>
                  </w:r>
                </w:p>
              </w:tc>
              <w:tc>
                <w:tcPr>
                  <w:tcW w:w="969" w:type="dxa"/>
                  <w:tcBorders>
                    <w:tl2br w:val="nil"/>
                    <w:tr2bl w:val="nil"/>
                  </w:tcBorders>
                  <w:shd w:val="clear" w:color="auto" w:fill="auto"/>
                  <w:vAlign w:val="center"/>
                </w:tcPr>
                <w:p w14:paraId="470418D6">
                  <w:pPr>
                    <w:jc w:val="center"/>
                    <w:rPr>
                      <w:rFonts w:hint="default" w:ascii="Times New Roman" w:hAnsi="Times New Roman" w:eastAsia="宋体" w:cs="Times New Roman"/>
                      <w:color w:val="auto"/>
                      <w:spacing w:val="-11"/>
                      <w:sz w:val="18"/>
                      <w:szCs w:val="18"/>
                      <w:highlight w:val="none"/>
                      <w:lang w:val="en-US" w:eastAsia="zh-CN"/>
                    </w:rPr>
                  </w:pPr>
                  <w:r>
                    <w:rPr>
                      <w:rFonts w:hint="eastAsia" w:cs="Times New Roman"/>
                      <w:color w:val="auto"/>
                      <w:spacing w:val="-11"/>
                      <w:sz w:val="18"/>
                      <w:szCs w:val="18"/>
                      <w:highlight w:val="none"/>
                      <w:lang w:val="en-US" w:eastAsia="zh-CN"/>
                    </w:rPr>
                    <w:t>0.008</w:t>
                  </w:r>
                </w:p>
              </w:tc>
            </w:tr>
            <w:bookmarkEnd w:id="22"/>
            <w:tr w14:paraId="6BC57E9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806" w:type="dxa"/>
                  <w:vMerge w:val="restart"/>
                  <w:tcBorders>
                    <w:tl2br w:val="nil"/>
                    <w:tr2bl w:val="nil"/>
                  </w:tcBorders>
                  <w:vAlign w:val="center"/>
                </w:tcPr>
                <w:p w14:paraId="3ED0BBF0">
                  <w:pPr>
                    <w:jc w:val="center"/>
                    <w:rPr>
                      <w:rFonts w:hint="eastAsia" w:ascii="Times New Roman" w:hAnsi="Times New Roman" w:eastAsia="宋体" w:cs="Times New Roman"/>
                      <w:color w:val="auto"/>
                      <w:spacing w:val="-11"/>
                      <w:sz w:val="18"/>
                      <w:szCs w:val="18"/>
                      <w:highlight w:val="none"/>
                      <w:lang w:val="en-US" w:eastAsia="zh-CN"/>
                    </w:rPr>
                  </w:pPr>
                  <w:r>
                    <w:rPr>
                      <w:rFonts w:hint="eastAsia" w:cs="Times New Roman"/>
                      <w:color w:val="auto"/>
                      <w:spacing w:val="-11"/>
                      <w:sz w:val="18"/>
                      <w:szCs w:val="18"/>
                      <w:highlight w:val="none"/>
                      <w:lang w:val="en-US" w:eastAsia="zh-CN"/>
                    </w:rPr>
                    <w:t>2</w:t>
                  </w:r>
                  <w:r>
                    <w:rPr>
                      <w:rFonts w:hint="eastAsia" w:cs="Times New Roman"/>
                      <w:color w:val="auto"/>
                      <w:spacing w:val="-11"/>
                      <w:sz w:val="18"/>
                      <w:szCs w:val="18"/>
                      <w:highlight w:val="none"/>
                      <w:vertAlign w:val="superscript"/>
                      <w:lang w:val="en-US" w:eastAsia="zh-CN"/>
                    </w:rPr>
                    <w:t>#</w:t>
                  </w:r>
                  <w:r>
                    <w:rPr>
                      <w:rFonts w:hint="eastAsia" w:cs="Times New Roman"/>
                      <w:color w:val="auto"/>
                      <w:spacing w:val="-11"/>
                      <w:sz w:val="18"/>
                      <w:szCs w:val="18"/>
                      <w:highlight w:val="none"/>
                      <w:lang w:val="en-US" w:eastAsia="zh-CN"/>
                    </w:rPr>
                    <w:t>生产车间</w:t>
                  </w:r>
                </w:p>
              </w:tc>
              <w:tc>
                <w:tcPr>
                  <w:tcW w:w="1386" w:type="dxa"/>
                  <w:tcBorders>
                    <w:tl2br w:val="nil"/>
                    <w:tr2bl w:val="nil"/>
                  </w:tcBorders>
                  <w:shd w:val="clear" w:color="auto" w:fill="auto"/>
                  <w:vAlign w:val="center"/>
                </w:tcPr>
                <w:p w14:paraId="5FB3FB9E">
                  <w:pPr>
                    <w:jc w:val="center"/>
                    <w:rPr>
                      <w:rFonts w:hint="eastAsia" w:ascii="Times New Roman" w:hAnsi="Times New Roman" w:eastAsia="宋体" w:cs="Times New Roman"/>
                      <w:color w:val="auto"/>
                      <w:spacing w:val="-11"/>
                      <w:kern w:val="2"/>
                      <w:sz w:val="18"/>
                      <w:szCs w:val="18"/>
                      <w:highlight w:val="none"/>
                      <w:lang w:val="en-US" w:eastAsia="zh-CN" w:bidi="ar-SA"/>
                    </w:rPr>
                  </w:pPr>
                  <w:r>
                    <w:rPr>
                      <w:rFonts w:hint="eastAsia" w:ascii="Times New Roman" w:hAnsi="Times New Roman" w:eastAsia="宋体" w:cs="Times New Roman"/>
                      <w:color w:val="auto"/>
                      <w:spacing w:val="-11"/>
                      <w:sz w:val="18"/>
                      <w:szCs w:val="18"/>
                      <w:highlight w:val="none"/>
                      <w:lang w:val="en-US" w:eastAsia="zh-CN"/>
                    </w:rPr>
                    <w:t>钢渣</w:t>
                  </w:r>
                  <w:r>
                    <w:rPr>
                      <w:rFonts w:hint="eastAsia" w:ascii="Times New Roman" w:hAnsi="Times New Roman" w:eastAsia="宋体" w:cs="Times New Roman"/>
                      <w:color w:val="auto"/>
                      <w:spacing w:val="-11"/>
                      <w:sz w:val="18"/>
                      <w:szCs w:val="18"/>
                      <w:highlight w:val="none"/>
                    </w:rPr>
                    <w:t>堆存与装卸</w:t>
                  </w:r>
                </w:p>
              </w:tc>
              <w:tc>
                <w:tcPr>
                  <w:tcW w:w="1101" w:type="dxa"/>
                  <w:tcBorders>
                    <w:tl2br w:val="nil"/>
                    <w:tr2bl w:val="nil"/>
                  </w:tcBorders>
                  <w:shd w:val="clear" w:color="auto" w:fill="auto"/>
                  <w:vAlign w:val="center"/>
                </w:tcPr>
                <w:p w14:paraId="747E641D">
                  <w:pPr>
                    <w:jc w:val="center"/>
                    <w:rPr>
                      <w:rFonts w:hint="eastAsia" w:ascii="Times New Roman" w:hAnsi="Times New Roman" w:eastAsia="宋体" w:cs="Times New Roman"/>
                      <w:color w:val="auto"/>
                      <w:spacing w:val="-11"/>
                      <w:kern w:val="2"/>
                      <w:sz w:val="18"/>
                      <w:szCs w:val="18"/>
                      <w:highlight w:val="none"/>
                      <w:lang w:val="en-US" w:eastAsia="zh-CN" w:bidi="ar-SA"/>
                    </w:rPr>
                  </w:pPr>
                  <w:r>
                    <w:rPr>
                      <w:rFonts w:hint="eastAsia"/>
                      <w:color w:val="auto"/>
                      <w:spacing w:val="-11"/>
                      <w:sz w:val="18"/>
                      <w:szCs w:val="18"/>
                      <w:highlight w:val="none"/>
                      <w:lang w:val="en-US" w:eastAsia="zh-CN"/>
                    </w:rPr>
                    <w:t>0.0003</w:t>
                  </w:r>
                </w:p>
              </w:tc>
              <w:tc>
                <w:tcPr>
                  <w:tcW w:w="963" w:type="dxa"/>
                  <w:tcBorders>
                    <w:tl2br w:val="nil"/>
                    <w:tr2bl w:val="nil"/>
                  </w:tcBorders>
                  <w:vAlign w:val="center"/>
                </w:tcPr>
                <w:p w14:paraId="7BFD95BB">
                  <w:pPr>
                    <w:jc w:val="center"/>
                    <w:rPr>
                      <w:rFonts w:hint="eastAsia" w:ascii="Times New Roman" w:hAnsi="Times New Roman" w:eastAsia="宋体" w:cs="Times New Roman"/>
                      <w:color w:val="auto"/>
                      <w:spacing w:val="-11"/>
                      <w:sz w:val="18"/>
                      <w:szCs w:val="18"/>
                      <w:highlight w:val="none"/>
                      <w:lang w:val="en-US" w:eastAsia="zh-CN"/>
                    </w:rPr>
                  </w:pPr>
                  <w:r>
                    <w:rPr>
                      <w:rFonts w:hint="eastAsia" w:ascii="Times New Roman" w:hAnsi="Times New Roman" w:eastAsia="宋体" w:cs="Times New Roman"/>
                      <w:color w:val="auto"/>
                      <w:spacing w:val="-11"/>
                      <w:sz w:val="18"/>
                      <w:szCs w:val="18"/>
                      <w:highlight w:val="none"/>
                      <w:lang w:val="en-US" w:eastAsia="zh-CN"/>
                    </w:rPr>
                    <w:t>6667</w:t>
                  </w:r>
                </w:p>
              </w:tc>
              <w:tc>
                <w:tcPr>
                  <w:tcW w:w="788" w:type="dxa"/>
                  <w:tcBorders>
                    <w:tl2br w:val="nil"/>
                    <w:tr2bl w:val="nil"/>
                  </w:tcBorders>
                  <w:vAlign w:val="center"/>
                </w:tcPr>
                <w:p w14:paraId="6A399A56">
                  <w:pPr>
                    <w:jc w:val="center"/>
                    <w:rPr>
                      <w:rFonts w:hint="default" w:ascii="Times New Roman" w:hAnsi="Times New Roman" w:eastAsia="宋体" w:cs="Times New Roman"/>
                      <w:color w:val="auto"/>
                      <w:spacing w:val="-11"/>
                      <w:sz w:val="18"/>
                      <w:szCs w:val="18"/>
                      <w:highlight w:val="none"/>
                      <w:lang w:val="en-US" w:eastAsia="zh-CN"/>
                    </w:rPr>
                  </w:pPr>
                  <w:r>
                    <w:rPr>
                      <w:rFonts w:hint="eastAsia" w:ascii="Times New Roman" w:hAnsi="Times New Roman" w:eastAsia="宋体" w:cs="Times New Roman"/>
                      <w:color w:val="auto"/>
                      <w:spacing w:val="-11"/>
                      <w:sz w:val="18"/>
                      <w:szCs w:val="18"/>
                      <w:highlight w:val="none"/>
                      <w:lang w:val="en-US" w:eastAsia="zh-CN"/>
                    </w:rPr>
                    <w:t>30</w:t>
                  </w:r>
                </w:p>
              </w:tc>
              <w:tc>
                <w:tcPr>
                  <w:tcW w:w="1238" w:type="dxa"/>
                  <w:tcBorders>
                    <w:tl2br w:val="nil"/>
                    <w:tr2bl w:val="nil"/>
                  </w:tcBorders>
                  <w:shd w:val="clear" w:color="auto" w:fill="auto"/>
                  <w:vAlign w:val="center"/>
                </w:tcPr>
                <w:p w14:paraId="2389A794">
                  <w:pPr>
                    <w:jc w:val="center"/>
                    <w:rPr>
                      <w:rFonts w:hint="eastAsia" w:ascii="Times New Roman" w:hAnsi="Times New Roman" w:eastAsia="宋体" w:cs="Times New Roman"/>
                      <w:color w:val="auto"/>
                      <w:spacing w:val="-11"/>
                      <w:sz w:val="18"/>
                      <w:szCs w:val="18"/>
                      <w:highlight w:val="none"/>
                      <w:lang w:val="en-US" w:eastAsia="zh-CN"/>
                    </w:rPr>
                  </w:pPr>
                  <w:r>
                    <w:rPr>
                      <w:rFonts w:hint="eastAsia" w:ascii="Times New Roman" w:hAnsi="Times New Roman" w:eastAsia="宋体" w:cs="Times New Roman"/>
                      <w:color w:val="auto"/>
                      <w:spacing w:val="-11"/>
                      <w:sz w:val="18"/>
                      <w:szCs w:val="18"/>
                      <w:highlight w:val="none"/>
                      <w:lang w:val="en-US" w:eastAsia="zh-CN"/>
                    </w:rPr>
                    <w:t>0</w:t>
                  </w:r>
                </w:p>
              </w:tc>
              <w:tc>
                <w:tcPr>
                  <w:tcW w:w="826" w:type="dxa"/>
                  <w:tcBorders>
                    <w:tl2br w:val="nil"/>
                    <w:tr2bl w:val="nil"/>
                  </w:tcBorders>
                  <w:shd w:val="clear" w:color="auto" w:fill="auto"/>
                  <w:vAlign w:val="center"/>
                </w:tcPr>
                <w:p w14:paraId="59089A15">
                  <w:pPr>
                    <w:jc w:val="center"/>
                    <w:rPr>
                      <w:rFonts w:hint="eastAsia" w:ascii="Times New Roman" w:hAnsi="Times New Roman" w:eastAsia="宋体" w:cs="Times New Roman"/>
                      <w:color w:val="auto"/>
                      <w:spacing w:val="-11"/>
                      <w:sz w:val="18"/>
                      <w:szCs w:val="18"/>
                      <w:highlight w:val="none"/>
                      <w:lang w:val="en-US" w:eastAsia="zh-CN"/>
                    </w:rPr>
                  </w:pPr>
                  <w:r>
                    <w:rPr>
                      <w:rFonts w:hint="eastAsia" w:ascii="Times New Roman" w:hAnsi="Times New Roman" w:eastAsia="宋体" w:cs="Times New Roman"/>
                      <w:color w:val="auto"/>
                      <w:spacing w:val="-11"/>
                      <w:sz w:val="18"/>
                      <w:szCs w:val="18"/>
                      <w:highlight w:val="none"/>
                      <w:lang w:val="en-US" w:eastAsia="zh-CN"/>
                    </w:rPr>
                    <w:t>--</w:t>
                  </w:r>
                </w:p>
              </w:tc>
              <w:tc>
                <w:tcPr>
                  <w:tcW w:w="969" w:type="dxa"/>
                  <w:tcBorders>
                    <w:tl2br w:val="nil"/>
                    <w:tr2bl w:val="nil"/>
                  </w:tcBorders>
                  <w:vAlign w:val="center"/>
                </w:tcPr>
                <w:p w14:paraId="42634266">
                  <w:pPr>
                    <w:jc w:val="center"/>
                    <w:rPr>
                      <w:rFonts w:hint="eastAsia" w:ascii="Times New Roman" w:hAnsi="Times New Roman" w:eastAsia="宋体" w:cs="Times New Roman"/>
                      <w:color w:val="auto"/>
                      <w:spacing w:val="-11"/>
                      <w:sz w:val="18"/>
                      <w:szCs w:val="18"/>
                      <w:highlight w:val="none"/>
                      <w:lang w:val="en-US" w:eastAsia="zh-CN"/>
                    </w:rPr>
                  </w:pPr>
                  <w:r>
                    <w:rPr>
                      <w:rFonts w:hint="eastAsia" w:ascii="Times New Roman" w:hAnsi="Times New Roman" w:eastAsia="宋体" w:cs="Times New Roman"/>
                      <w:color w:val="auto"/>
                      <w:spacing w:val="-11"/>
                      <w:sz w:val="18"/>
                      <w:szCs w:val="18"/>
                      <w:highlight w:val="none"/>
                      <w:lang w:val="en-US" w:eastAsia="zh-CN"/>
                    </w:rPr>
                    <w:t>0.06</w:t>
                  </w:r>
                </w:p>
              </w:tc>
            </w:tr>
            <w:tr w14:paraId="7A2E1D8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806" w:type="dxa"/>
                  <w:vMerge w:val="continue"/>
                  <w:tcBorders>
                    <w:tl2br w:val="nil"/>
                    <w:tr2bl w:val="nil"/>
                  </w:tcBorders>
                  <w:vAlign w:val="center"/>
                </w:tcPr>
                <w:p w14:paraId="3B63C414">
                  <w:pPr>
                    <w:jc w:val="center"/>
                    <w:rPr>
                      <w:rFonts w:hint="eastAsia" w:ascii="Times New Roman" w:hAnsi="Times New Roman" w:eastAsia="宋体" w:cs="Times New Roman"/>
                      <w:color w:val="auto"/>
                      <w:spacing w:val="-11"/>
                      <w:sz w:val="18"/>
                      <w:szCs w:val="18"/>
                      <w:highlight w:val="none"/>
                      <w:lang w:val="en-US" w:eastAsia="zh-CN"/>
                    </w:rPr>
                  </w:pPr>
                </w:p>
              </w:tc>
              <w:tc>
                <w:tcPr>
                  <w:tcW w:w="1386" w:type="dxa"/>
                  <w:tcBorders>
                    <w:tl2br w:val="nil"/>
                    <w:tr2bl w:val="nil"/>
                  </w:tcBorders>
                  <w:shd w:val="clear" w:color="auto" w:fill="auto"/>
                  <w:vAlign w:val="center"/>
                </w:tcPr>
                <w:p w14:paraId="6246E273">
                  <w:pPr>
                    <w:jc w:val="center"/>
                    <w:rPr>
                      <w:rFonts w:hint="eastAsia" w:ascii="Times New Roman" w:hAnsi="Times New Roman" w:eastAsia="宋体" w:cs="Times New Roman"/>
                      <w:color w:val="auto"/>
                      <w:spacing w:val="-11"/>
                      <w:kern w:val="2"/>
                      <w:sz w:val="18"/>
                      <w:szCs w:val="18"/>
                      <w:highlight w:val="none"/>
                      <w:lang w:val="en-US" w:eastAsia="zh-CN" w:bidi="ar-SA"/>
                    </w:rPr>
                  </w:pPr>
                  <w:r>
                    <w:rPr>
                      <w:rFonts w:hint="eastAsia" w:ascii="Times New Roman" w:hAnsi="Times New Roman" w:eastAsia="宋体" w:cs="Times New Roman"/>
                      <w:color w:val="auto"/>
                      <w:spacing w:val="-11"/>
                      <w:sz w:val="18"/>
                      <w:szCs w:val="18"/>
                      <w:highlight w:val="none"/>
                      <w:lang w:val="en-US" w:eastAsia="zh-CN"/>
                    </w:rPr>
                    <w:t>磁性钢渣粉</w:t>
                  </w:r>
                  <w:r>
                    <w:rPr>
                      <w:rFonts w:hint="eastAsia" w:ascii="Times New Roman" w:hAnsi="Times New Roman" w:eastAsia="宋体" w:cs="Times New Roman"/>
                      <w:color w:val="auto"/>
                      <w:spacing w:val="-11"/>
                      <w:sz w:val="18"/>
                      <w:szCs w:val="18"/>
                      <w:highlight w:val="none"/>
                    </w:rPr>
                    <w:t>堆存与装卸</w:t>
                  </w:r>
                </w:p>
              </w:tc>
              <w:tc>
                <w:tcPr>
                  <w:tcW w:w="1101" w:type="dxa"/>
                  <w:tcBorders>
                    <w:tl2br w:val="nil"/>
                    <w:tr2bl w:val="nil"/>
                  </w:tcBorders>
                  <w:shd w:val="clear" w:color="auto" w:fill="auto"/>
                  <w:vAlign w:val="center"/>
                </w:tcPr>
                <w:p w14:paraId="50D80444">
                  <w:pPr>
                    <w:jc w:val="center"/>
                    <w:rPr>
                      <w:rFonts w:hint="eastAsia" w:ascii="Times New Roman" w:hAnsi="Times New Roman" w:eastAsia="宋体" w:cs="Times New Roman"/>
                      <w:color w:val="auto"/>
                      <w:spacing w:val="-11"/>
                      <w:kern w:val="2"/>
                      <w:sz w:val="18"/>
                      <w:szCs w:val="18"/>
                      <w:highlight w:val="none"/>
                      <w:lang w:val="en-US" w:eastAsia="zh-CN" w:bidi="ar-SA"/>
                    </w:rPr>
                  </w:pPr>
                  <w:r>
                    <w:rPr>
                      <w:rFonts w:hint="eastAsia"/>
                      <w:color w:val="auto"/>
                      <w:spacing w:val="-11"/>
                      <w:sz w:val="18"/>
                      <w:szCs w:val="18"/>
                      <w:highlight w:val="none"/>
                      <w:lang w:val="en-US" w:eastAsia="zh-CN"/>
                    </w:rPr>
                    <w:t>0.00009</w:t>
                  </w:r>
                </w:p>
              </w:tc>
              <w:tc>
                <w:tcPr>
                  <w:tcW w:w="963" w:type="dxa"/>
                  <w:tcBorders>
                    <w:tl2br w:val="nil"/>
                    <w:tr2bl w:val="nil"/>
                  </w:tcBorders>
                  <w:vAlign w:val="center"/>
                </w:tcPr>
                <w:p w14:paraId="30B9C265">
                  <w:pPr>
                    <w:jc w:val="center"/>
                    <w:rPr>
                      <w:rFonts w:hint="default" w:ascii="Times New Roman" w:hAnsi="Times New Roman" w:eastAsia="宋体" w:cs="Times New Roman"/>
                      <w:color w:val="auto"/>
                      <w:spacing w:val="-11"/>
                      <w:sz w:val="18"/>
                      <w:szCs w:val="18"/>
                      <w:highlight w:val="yellow"/>
                      <w:lang w:val="en-US" w:eastAsia="zh-CN"/>
                    </w:rPr>
                  </w:pPr>
                  <w:r>
                    <w:rPr>
                      <w:rFonts w:hint="eastAsia" w:ascii="Times New Roman" w:hAnsi="Times New Roman" w:eastAsia="宋体" w:cs="Times New Roman"/>
                      <w:color w:val="auto"/>
                      <w:spacing w:val="-11"/>
                      <w:sz w:val="18"/>
                      <w:szCs w:val="18"/>
                      <w:highlight w:val="none"/>
                      <w:lang w:val="en-US" w:eastAsia="zh-CN"/>
                    </w:rPr>
                    <w:t>1334</w:t>
                  </w:r>
                </w:p>
              </w:tc>
              <w:tc>
                <w:tcPr>
                  <w:tcW w:w="788" w:type="dxa"/>
                  <w:tcBorders>
                    <w:tl2br w:val="nil"/>
                    <w:tr2bl w:val="nil"/>
                  </w:tcBorders>
                  <w:vAlign w:val="center"/>
                </w:tcPr>
                <w:p w14:paraId="2034DDD1">
                  <w:pPr>
                    <w:jc w:val="center"/>
                    <w:rPr>
                      <w:rFonts w:hint="default" w:ascii="Times New Roman" w:hAnsi="Times New Roman" w:eastAsia="宋体" w:cs="Times New Roman"/>
                      <w:color w:val="auto"/>
                      <w:spacing w:val="-11"/>
                      <w:sz w:val="18"/>
                      <w:szCs w:val="18"/>
                      <w:highlight w:val="none"/>
                      <w:lang w:val="en-US" w:eastAsia="zh-CN"/>
                    </w:rPr>
                  </w:pPr>
                  <w:r>
                    <w:rPr>
                      <w:rFonts w:hint="eastAsia" w:ascii="Times New Roman" w:hAnsi="Times New Roman" w:eastAsia="宋体" w:cs="Times New Roman"/>
                      <w:color w:val="auto"/>
                      <w:spacing w:val="-11"/>
                      <w:sz w:val="18"/>
                      <w:szCs w:val="18"/>
                      <w:highlight w:val="none"/>
                      <w:lang w:val="en-US" w:eastAsia="zh-CN"/>
                    </w:rPr>
                    <w:t>30</w:t>
                  </w:r>
                </w:p>
              </w:tc>
              <w:tc>
                <w:tcPr>
                  <w:tcW w:w="1238" w:type="dxa"/>
                  <w:tcBorders>
                    <w:tl2br w:val="nil"/>
                    <w:tr2bl w:val="nil"/>
                  </w:tcBorders>
                  <w:shd w:val="clear" w:color="auto" w:fill="auto"/>
                  <w:vAlign w:val="center"/>
                </w:tcPr>
                <w:p w14:paraId="5CBD2DB8">
                  <w:pPr>
                    <w:jc w:val="center"/>
                    <w:rPr>
                      <w:rFonts w:hint="eastAsia" w:ascii="Times New Roman" w:hAnsi="Times New Roman" w:eastAsia="宋体" w:cs="Times New Roman"/>
                      <w:color w:val="auto"/>
                      <w:spacing w:val="-11"/>
                      <w:sz w:val="18"/>
                      <w:szCs w:val="18"/>
                      <w:highlight w:val="none"/>
                      <w:lang w:val="en-US" w:eastAsia="zh-CN"/>
                    </w:rPr>
                  </w:pPr>
                  <w:r>
                    <w:rPr>
                      <w:rFonts w:hint="eastAsia" w:ascii="Times New Roman" w:hAnsi="Times New Roman" w:eastAsia="宋体" w:cs="Times New Roman"/>
                      <w:color w:val="auto"/>
                      <w:spacing w:val="-11"/>
                      <w:sz w:val="18"/>
                      <w:szCs w:val="18"/>
                      <w:highlight w:val="none"/>
                      <w:lang w:val="en-US" w:eastAsia="zh-CN"/>
                    </w:rPr>
                    <w:t>0</w:t>
                  </w:r>
                </w:p>
              </w:tc>
              <w:tc>
                <w:tcPr>
                  <w:tcW w:w="826" w:type="dxa"/>
                  <w:tcBorders>
                    <w:tl2br w:val="nil"/>
                    <w:tr2bl w:val="nil"/>
                  </w:tcBorders>
                  <w:shd w:val="clear" w:color="auto" w:fill="auto"/>
                  <w:vAlign w:val="center"/>
                </w:tcPr>
                <w:p w14:paraId="3FE5BD8D">
                  <w:pPr>
                    <w:jc w:val="center"/>
                    <w:rPr>
                      <w:rFonts w:hint="eastAsia" w:ascii="Times New Roman" w:hAnsi="Times New Roman" w:eastAsia="宋体" w:cs="Times New Roman"/>
                      <w:color w:val="auto"/>
                      <w:spacing w:val="-11"/>
                      <w:sz w:val="18"/>
                      <w:szCs w:val="18"/>
                      <w:highlight w:val="none"/>
                      <w:lang w:val="en-US" w:eastAsia="zh-CN"/>
                    </w:rPr>
                  </w:pPr>
                  <w:r>
                    <w:rPr>
                      <w:rFonts w:hint="eastAsia" w:ascii="Times New Roman" w:hAnsi="Times New Roman" w:eastAsia="宋体" w:cs="Times New Roman"/>
                      <w:color w:val="auto"/>
                      <w:spacing w:val="-11"/>
                      <w:sz w:val="18"/>
                      <w:szCs w:val="18"/>
                      <w:highlight w:val="none"/>
                      <w:lang w:val="en-US" w:eastAsia="zh-CN"/>
                    </w:rPr>
                    <w:t>--</w:t>
                  </w:r>
                </w:p>
              </w:tc>
              <w:tc>
                <w:tcPr>
                  <w:tcW w:w="969" w:type="dxa"/>
                  <w:tcBorders>
                    <w:tl2br w:val="nil"/>
                    <w:tr2bl w:val="nil"/>
                  </w:tcBorders>
                  <w:vAlign w:val="center"/>
                </w:tcPr>
                <w:p w14:paraId="4701B769">
                  <w:pPr>
                    <w:jc w:val="center"/>
                    <w:rPr>
                      <w:rFonts w:hint="eastAsia" w:ascii="Times New Roman" w:hAnsi="Times New Roman" w:eastAsia="宋体" w:cs="Times New Roman"/>
                      <w:color w:val="auto"/>
                      <w:spacing w:val="-11"/>
                      <w:sz w:val="18"/>
                      <w:szCs w:val="18"/>
                      <w:highlight w:val="yellow"/>
                      <w:lang w:val="en-US" w:eastAsia="zh-CN"/>
                    </w:rPr>
                  </w:pPr>
                  <w:r>
                    <w:rPr>
                      <w:rFonts w:hint="eastAsia" w:ascii="Times New Roman" w:hAnsi="Times New Roman" w:eastAsia="宋体" w:cs="Times New Roman"/>
                      <w:color w:val="auto"/>
                      <w:spacing w:val="-11"/>
                      <w:sz w:val="18"/>
                      <w:szCs w:val="18"/>
                      <w:highlight w:val="none"/>
                      <w:lang w:val="en-US" w:eastAsia="zh-CN"/>
                    </w:rPr>
                    <w:t>0.004</w:t>
                  </w:r>
                </w:p>
              </w:tc>
            </w:tr>
            <w:tr w14:paraId="57BCE3D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806" w:type="dxa"/>
                  <w:vMerge w:val="continue"/>
                  <w:tcBorders>
                    <w:tl2br w:val="nil"/>
                    <w:tr2bl w:val="nil"/>
                  </w:tcBorders>
                  <w:vAlign w:val="center"/>
                </w:tcPr>
                <w:p w14:paraId="2E0512AA">
                  <w:pPr>
                    <w:jc w:val="center"/>
                    <w:rPr>
                      <w:rFonts w:hint="eastAsia" w:ascii="Times New Roman" w:hAnsi="Times New Roman" w:eastAsia="宋体" w:cs="Times New Roman"/>
                      <w:color w:val="auto"/>
                      <w:spacing w:val="-11"/>
                      <w:sz w:val="18"/>
                      <w:szCs w:val="18"/>
                      <w:highlight w:val="none"/>
                      <w:lang w:val="en-US" w:eastAsia="zh-CN"/>
                    </w:rPr>
                  </w:pPr>
                </w:p>
              </w:tc>
              <w:tc>
                <w:tcPr>
                  <w:tcW w:w="1386" w:type="dxa"/>
                  <w:tcBorders>
                    <w:tl2br w:val="nil"/>
                    <w:tr2bl w:val="nil"/>
                  </w:tcBorders>
                  <w:shd w:val="clear" w:color="auto" w:fill="auto"/>
                  <w:vAlign w:val="center"/>
                </w:tcPr>
                <w:p w14:paraId="3DC9A741">
                  <w:pPr>
                    <w:jc w:val="center"/>
                    <w:rPr>
                      <w:rFonts w:hint="eastAsia" w:ascii="Times New Roman" w:hAnsi="Times New Roman" w:eastAsia="宋体" w:cs="Times New Roman"/>
                      <w:color w:val="auto"/>
                      <w:spacing w:val="-11"/>
                      <w:kern w:val="2"/>
                      <w:sz w:val="18"/>
                      <w:szCs w:val="18"/>
                      <w:highlight w:val="none"/>
                      <w:lang w:val="en-US" w:eastAsia="zh-CN" w:bidi="ar-SA"/>
                    </w:rPr>
                  </w:pPr>
                  <w:r>
                    <w:rPr>
                      <w:rFonts w:hint="eastAsia" w:ascii="Times New Roman" w:hAnsi="Times New Roman" w:eastAsia="宋体" w:cs="Times New Roman"/>
                      <w:color w:val="auto"/>
                      <w:spacing w:val="-11"/>
                      <w:sz w:val="18"/>
                      <w:szCs w:val="18"/>
                      <w:highlight w:val="none"/>
                      <w:lang w:val="en-US" w:eastAsia="zh-CN"/>
                    </w:rPr>
                    <w:t>非磁性钢渣粉</w:t>
                  </w:r>
                  <w:r>
                    <w:rPr>
                      <w:rFonts w:hint="eastAsia" w:ascii="Times New Roman" w:hAnsi="Times New Roman" w:eastAsia="宋体" w:cs="Times New Roman"/>
                      <w:color w:val="auto"/>
                      <w:spacing w:val="-11"/>
                      <w:sz w:val="18"/>
                      <w:szCs w:val="18"/>
                      <w:highlight w:val="none"/>
                    </w:rPr>
                    <w:t>堆存与装卸</w:t>
                  </w:r>
                </w:p>
              </w:tc>
              <w:tc>
                <w:tcPr>
                  <w:tcW w:w="1101" w:type="dxa"/>
                  <w:tcBorders>
                    <w:tl2br w:val="nil"/>
                    <w:tr2bl w:val="nil"/>
                  </w:tcBorders>
                  <w:shd w:val="clear" w:color="auto" w:fill="auto"/>
                  <w:vAlign w:val="center"/>
                </w:tcPr>
                <w:p w14:paraId="40695155">
                  <w:pPr>
                    <w:jc w:val="center"/>
                    <w:rPr>
                      <w:rFonts w:hint="eastAsia" w:ascii="Times New Roman" w:hAnsi="Times New Roman" w:eastAsia="宋体" w:cs="Times New Roman"/>
                      <w:color w:val="auto"/>
                      <w:spacing w:val="-11"/>
                      <w:kern w:val="2"/>
                      <w:sz w:val="18"/>
                      <w:szCs w:val="18"/>
                      <w:highlight w:val="none"/>
                      <w:lang w:val="en-US" w:eastAsia="zh-CN" w:bidi="ar-SA"/>
                    </w:rPr>
                  </w:pPr>
                  <w:r>
                    <w:rPr>
                      <w:rFonts w:hint="eastAsia"/>
                      <w:color w:val="auto"/>
                      <w:spacing w:val="-11"/>
                      <w:sz w:val="18"/>
                      <w:szCs w:val="18"/>
                      <w:highlight w:val="none"/>
                      <w:lang w:val="en-US" w:eastAsia="zh-CN"/>
                    </w:rPr>
                    <w:t>0.00009</w:t>
                  </w:r>
                </w:p>
              </w:tc>
              <w:tc>
                <w:tcPr>
                  <w:tcW w:w="963" w:type="dxa"/>
                  <w:tcBorders>
                    <w:tl2br w:val="nil"/>
                    <w:tr2bl w:val="nil"/>
                  </w:tcBorders>
                  <w:vAlign w:val="center"/>
                </w:tcPr>
                <w:p w14:paraId="425EDA66">
                  <w:pPr>
                    <w:jc w:val="center"/>
                    <w:rPr>
                      <w:rFonts w:hint="default" w:ascii="Times New Roman" w:hAnsi="Times New Roman" w:eastAsia="宋体" w:cs="Times New Roman"/>
                      <w:color w:val="auto"/>
                      <w:spacing w:val="-11"/>
                      <w:sz w:val="18"/>
                      <w:szCs w:val="18"/>
                      <w:highlight w:val="yellow"/>
                      <w:lang w:val="en-US" w:eastAsia="zh-CN"/>
                    </w:rPr>
                  </w:pPr>
                  <w:r>
                    <w:rPr>
                      <w:rFonts w:hint="eastAsia" w:ascii="Times New Roman" w:hAnsi="Times New Roman" w:eastAsia="宋体" w:cs="Times New Roman"/>
                      <w:color w:val="auto"/>
                      <w:spacing w:val="-11"/>
                      <w:sz w:val="18"/>
                      <w:szCs w:val="18"/>
                      <w:highlight w:val="none"/>
                      <w:lang w:val="en-US" w:eastAsia="zh-CN"/>
                    </w:rPr>
                    <w:t>5467</w:t>
                  </w:r>
                </w:p>
              </w:tc>
              <w:tc>
                <w:tcPr>
                  <w:tcW w:w="788" w:type="dxa"/>
                  <w:tcBorders>
                    <w:tl2br w:val="nil"/>
                    <w:tr2bl w:val="nil"/>
                  </w:tcBorders>
                  <w:vAlign w:val="center"/>
                </w:tcPr>
                <w:p w14:paraId="13BF2577">
                  <w:pPr>
                    <w:jc w:val="center"/>
                    <w:rPr>
                      <w:rFonts w:hint="default" w:ascii="Times New Roman" w:hAnsi="Times New Roman" w:eastAsia="宋体" w:cs="Times New Roman"/>
                      <w:color w:val="auto"/>
                      <w:spacing w:val="-11"/>
                      <w:sz w:val="18"/>
                      <w:szCs w:val="18"/>
                      <w:highlight w:val="none"/>
                      <w:lang w:val="en-US" w:eastAsia="zh-CN"/>
                    </w:rPr>
                  </w:pPr>
                  <w:r>
                    <w:rPr>
                      <w:rFonts w:hint="eastAsia" w:ascii="Times New Roman" w:hAnsi="Times New Roman" w:eastAsia="宋体" w:cs="Times New Roman"/>
                      <w:color w:val="auto"/>
                      <w:spacing w:val="-11"/>
                      <w:sz w:val="18"/>
                      <w:szCs w:val="18"/>
                      <w:highlight w:val="none"/>
                      <w:lang w:val="en-US" w:eastAsia="zh-CN"/>
                    </w:rPr>
                    <w:t>30</w:t>
                  </w:r>
                </w:p>
              </w:tc>
              <w:tc>
                <w:tcPr>
                  <w:tcW w:w="1238" w:type="dxa"/>
                  <w:tcBorders>
                    <w:tl2br w:val="nil"/>
                    <w:tr2bl w:val="nil"/>
                  </w:tcBorders>
                  <w:shd w:val="clear" w:color="auto" w:fill="auto"/>
                  <w:vAlign w:val="center"/>
                </w:tcPr>
                <w:p w14:paraId="5B7693FB">
                  <w:pPr>
                    <w:jc w:val="center"/>
                    <w:rPr>
                      <w:rFonts w:hint="eastAsia" w:ascii="Times New Roman" w:hAnsi="Times New Roman" w:eastAsia="宋体" w:cs="Times New Roman"/>
                      <w:color w:val="auto"/>
                      <w:spacing w:val="-11"/>
                      <w:sz w:val="18"/>
                      <w:szCs w:val="18"/>
                      <w:highlight w:val="none"/>
                      <w:lang w:val="en-US" w:eastAsia="zh-CN"/>
                    </w:rPr>
                  </w:pPr>
                  <w:r>
                    <w:rPr>
                      <w:rFonts w:hint="eastAsia" w:ascii="Times New Roman" w:hAnsi="Times New Roman" w:eastAsia="宋体" w:cs="Times New Roman"/>
                      <w:color w:val="auto"/>
                      <w:spacing w:val="-11"/>
                      <w:sz w:val="18"/>
                      <w:szCs w:val="18"/>
                      <w:highlight w:val="none"/>
                      <w:lang w:val="en-US" w:eastAsia="zh-CN"/>
                    </w:rPr>
                    <w:t>0</w:t>
                  </w:r>
                </w:p>
              </w:tc>
              <w:tc>
                <w:tcPr>
                  <w:tcW w:w="826" w:type="dxa"/>
                  <w:tcBorders>
                    <w:tl2br w:val="nil"/>
                    <w:tr2bl w:val="nil"/>
                  </w:tcBorders>
                  <w:shd w:val="clear" w:color="auto" w:fill="auto"/>
                  <w:vAlign w:val="center"/>
                </w:tcPr>
                <w:p w14:paraId="16C1A94E">
                  <w:pPr>
                    <w:jc w:val="center"/>
                    <w:rPr>
                      <w:rFonts w:hint="eastAsia" w:ascii="Times New Roman" w:hAnsi="Times New Roman" w:eastAsia="宋体" w:cs="Times New Roman"/>
                      <w:color w:val="auto"/>
                      <w:spacing w:val="-11"/>
                      <w:sz w:val="18"/>
                      <w:szCs w:val="18"/>
                      <w:highlight w:val="none"/>
                      <w:lang w:val="en-US" w:eastAsia="zh-CN"/>
                    </w:rPr>
                  </w:pPr>
                  <w:r>
                    <w:rPr>
                      <w:rFonts w:hint="eastAsia" w:ascii="Times New Roman" w:hAnsi="Times New Roman" w:eastAsia="宋体" w:cs="Times New Roman"/>
                      <w:color w:val="auto"/>
                      <w:spacing w:val="-11"/>
                      <w:sz w:val="18"/>
                      <w:szCs w:val="18"/>
                      <w:highlight w:val="none"/>
                      <w:lang w:val="en-US" w:eastAsia="zh-CN"/>
                    </w:rPr>
                    <w:t>--</w:t>
                  </w:r>
                </w:p>
              </w:tc>
              <w:tc>
                <w:tcPr>
                  <w:tcW w:w="969" w:type="dxa"/>
                  <w:tcBorders>
                    <w:tl2br w:val="nil"/>
                    <w:tr2bl w:val="nil"/>
                  </w:tcBorders>
                  <w:vAlign w:val="center"/>
                </w:tcPr>
                <w:p w14:paraId="76EDFB53">
                  <w:pPr>
                    <w:jc w:val="center"/>
                    <w:rPr>
                      <w:rFonts w:hint="default" w:ascii="Times New Roman" w:hAnsi="Times New Roman" w:eastAsia="宋体" w:cs="Times New Roman"/>
                      <w:color w:val="auto"/>
                      <w:spacing w:val="-11"/>
                      <w:sz w:val="18"/>
                      <w:szCs w:val="18"/>
                      <w:highlight w:val="yellow"/>
                      <w:lang w:val="en-US" w:eastAsia="zh-CN"/>
                    </w:rPr>
                  </w:pPr>
                  <w:r>
                    <w:rPr>
                      <w:rFonts w:hint="eastAsia" w:ascii="Times New Roman" w:hAnsi="Times New Roman" w:eastAsia="宋体" w:cs="Times New Roman"/>
                      <w:color w:val="auto"/>
                      <w:spacing w:val="-11"/>
                      <w:sz w:val="18"/>
                      <w:szCs w:val="18"/>
                      <w:highlight w:val="none"/>
                      <w:lang w:val="en-US" w:eastAsia="zh-CN"/>
                    </w:rPr>
                    <w:t>0.015</w:t>
                  </w:r>
                </w:p>
              </w:tc>
            </w:tr>
            <w:tr w14:paraId="2564213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2192" w:type="dxa"/>
                  <w:gridSpan w:val="2"/>
                  <w:tcBorders>
                    <w:tl2br w:val="nil"/>
                    <w:tr2bl w:val="nil"/>
                  </w:tcBorders>
                  <w:vAlign w:val="center"/>
                </w:tcPr>
                <w:p w14:paraId="597CF5F7">
                  <w:pPr>
                    <w:spacing w:line="0" w:lineRule="atLeast"/>
                    <w:jc w:val="center"/>
                    <w:rPr>
                      <w:color w:val="auto"/>
                      <w:spacing w:val="-12"/>
                      <w:sz w:val="18"/>
                      <w:szCs w:val="18"/>
                    </w:rPr>
                  </w:pPr>
                  <w:r>
                    <w:rPr>
                      <w:color w:val="auto"/>
                      <w:spacing w:val="-12"/>
                      <w:sz w:val="18"/>
                      <w:szCs w:val="18"/>
                    </w:rPr>
                    <w:t>合计</w:t>
                  </w:r>
                </w:p>
              </w:tc>
              <w:tc>
                <w:tcPr>
                  <w:tcW w:w="1101" w:type="dxa"/>
                  <w:tcBorders>
                    <w:tl2br w:val="nil"/>
                    <w:tr2bl w:val="nil"/>
                  </w:tcBorders>
                  <w:vAlign w:val="center"/>
                </w:tcPr>
                <w:p w14:paraId="65C31FBE">
                  <w:pPr>
                    <w:spacing w:line="0" w:lineRule="atLeast"/>
                    <w:jc w:val="center"/>
                    <w:rPr>
                      <w:color w:val="auto"/>
                      <w:spacing w:val="-12"/>
                      <w:sz w:val="18"/>
                      <w:szCs w:val="18"/>
                    </w:rPr>
                  </w:pPr>
                  <w:r>
                    <w:rPr>
                      <w:color w:val="auto"/>
                      <w:spacing w:val="-12"/>
                      <w:sz w:val="18"/>
                      <w:szCs w:val="18"/>
                    </w:rPr>
                    <w:t>--</w:t>
                  </w:r>
                </w:p>
              </w:tc>
              <w:tc>
                <w:tcPr>
                  <w:tcW w:w="963" w:type="dxa"/>
                  <w:tcBorders>
                    <w:tl2br w:val="nil"/>
                    <w:tr2bl w:val="nil"/>
                  </w:tcBorders>
                  <w:vAlign w:val="center"/>
                </w:tcPr>
                <w:p w14:paraId="5AC3A149">
                  <w:pPr>
                    <w:jc w:val="center"/>
                    <w:rPr>
                      <w:rFonts w:hint="eastAsia" w:ascii="Times New Roman" w:hAnsi="Times New Roman" w:eastAsia="宋体" w:cs="Times New Roman"/>
                      <w:color w:val="auto"/>
                      <w:spacing w:val="-11"/>
                      <w:sz w:val="18"/>
                      <w:szCs w:val="18"/>
                      <w:highlight w:val="none"/>
                      <w:lang w:val="en-US" w:eastAsia="zh-CN"/>
                    </w:rPr>
                  </w:pPr>
                  <w:r>
                    <w:rPr>
                      <w:rFonts w:hint="eastAsia" w:ascii="Times New Roman" w:hAnsi="Times New Roman" w:eastAsia="宋体" w:cs="Times New Roman"/>
                      <w:color w:val="auto"/>
                      <w:spacing w:val="-11"/>
                      <w:sz w:val="18"/>
                      <w:szCs w:val="18"/>
                      <w:highlight w:val="none"/>
                      <w:lang w:val="en-US" w:eastAsia="zh-CN"/>
                    </w:rPr>
                    <w:t>--</w:t>
                  </w:r>
                </w:p>
              </w:tc>
              <w:tc>
                <w:tcPr>
                  <w:tcW w:w="788" w:type="dxa"/>
                  <w:tcBorders>
                    <w:tl2br w:val="nil"/>
                    <w:tr2bl w:val="nil"/>
                  </w:tcBorders>
                  <w:vAlign w:val="center"/>
                </w:tcPr>
                <w:p w14:paraId="699EA0C2">
                  <w:pPr>
                    <w:jc w:val="center"/>
                    <w:rPr>
                      <w:rFonts w:hint="eastAsia" w:ascii="Times New Roman" w:hAnsi="Times New Roman" w:eastAsia="宋体" w:cs="Times New Roman"/>
                      <w:color w:val="auto"/>
                      <w:spacing w:val="-11"/>
                      <w:sz w:val="18"/>
                      <w:szCs w:val="18"/>
                      <w:highlight w:val="none"/>
                      <w:lang w:val="en-US" w:eastAsia="zh-CN"/>
                    </w:rPr>
                  </w:pPr>
                  <w:r>
                    <w:rPr>
                      <w:rFonts w:hint="eastAsia" w:ascii="Times New Roman" w:hAnsi="Times New Roman" w:eastAsia="宋体" w:cs="Times New Roman"/>
                      <w:color w:val="auto"/>
                      <w:spacing w:val="-11"/>
                      <w:sz w:val="18"/>
                      <w:szCs w:val="18"/>
                      <w:highlight w:val="none"/>
                      <w:lang w:val="en-US" w:eastAsia="zh-CN"/>
                    </w:rPr>
                    <w:t>--</w:t>
                  </w:r>
                </w:p>
              </w:tc>
              <w:tc>
                <w:tcPr>
                  <w:tcW w:w="1238" w:type="dxa"/>
                  <w:tcBorders>
                    <w:tl2br w:val="nil"/>
                    <w:tr2bl w:val="nil"/>
                  </w:tcBorders>
                  <w:vAlign w:val="center"/>
                </w:tcPr>
                <w:p w14:paraId="49FE82E9">
                  <w:pPr>
                    <w:jc w:val="center"/>
                    <w:rPr>
                      <w:rFonts w:hint="eastAsia" w:ascii="Times New Roman" w:hAnsi="Times New Roman" w:eastAsia="宋体" w:cs="Times New Roman"/>
                      <w:color w:val="auto"/>
                      <w:spacing w:val="-11"/>
                      <w:sz w:val="18"/>
                      <w:szCs w:val="18"/>
                      <w:highlight w:val="none"/>
                      <w:lang w:val="en-US" w:eastAsia="zh-CN"/>
                    </w:rPr>
                  </w:pPr>
                  <w:r>
                    <w:rPr>
                      <w:rFonts w:hint="eastAsia" w:ascii="Times New Roman" w:hAnsi="Times New Roman" w:eastAsia="宋体" w:cs="Times New Roman"/>
                      <w:color w:val="auto"/>
                      <w:spacing w:val="-11"/>
                      <w:sz w:val="18"/>
                      <w:szCs w:val="18"/>
                      <w:highlight w:val="none"/>
                      <w:lang w:val="en-US" w:eastAsia="zh-CN"/>
                    </w:rPr>
                    <w:t>--</w:t>
                  </w:r>
                </w:p>
              </w:tc>
              <w:tc>
                <w:tcPr>
                  <w:tcW w:w="826" w:type="dxa"/>
                  <w:tcBorders>
                    <w:tl2br w:val="nil"/>
                    <w:tr2bl w:val="nil"/>
                  </w:tcBorders>
                  <w:vAlign w:val="center"/>
                </w:tcPr>
                <w:p w14:paraId="249751C1">
                  <w:pPr>
                    <w:jc w:val="center"/>
                    <w:rPr>
                      <w:rFonts w:hint="eastAsia" w:ascii="Times New Roman" w:hAnsi="Times New Roman" w:eastAsia="宋体" w:cs="Times New Roman"/>
                      <w:color w:val="auto"/>
                      <w:spacing w:val="-11"/>
                      <w:sz w:val="18"/>
                      <w:szCs w:val="18"/>
                      <w:highlight w:val="none"/>
                      <w:lang w:val="en-US" w:eastAsia="zh-CN"/>
                    </w:rPr>
                  </w:pPr>
                  <w:r>
                    <w:rPr>
                      <w:rFonts w:hint="eastAsia" w:ascii="Times New Roman" w:hAnsi="Times New Roman" w:eastAsia="宋体" w:cs="Times New Roman"/>
                      <w:color w:val="auto"/>
                      <w:spacing w:val="-11"/>
                      <w:sz w:val="18"/>
                      <w:szCs w:val="18"/>
                      <w:highlight w:val="none"/>
                      <w:lang w:val="en-US" w:eastAsia="zh-CN"/>
                    </w:rPr>
                    <w:t>--</w:t>
                  </w:r>
                </w:p>
              </w:tc>
              <w:tc>
                <w:tcPr>
                  <w:tcW w:w="969" w:type="dxa"/>
                  <w:tcBorders>
                    <w:tl2br w:val="nil"/>
                    <w:tr2bl w:val="nil"/>
                  </w:tcBorders>
                  <w:vAlign w:val="center"/>
                </w:tcPr>
                <w:p w14:paraId="09B71523">
                  <w:pPr>
                    <w:jc w:val="center"/>
                    <w:rPr>
                      <w:rFonts w:hint="default" w:ascii="Times New Roman" w:hAnsi="Times New Roman" w:eastAsia="宋体" w:cs="Times New Roman"/>
                      <w:color w:val="auto"/>
                      <w:spacing w:val="-11"/>
                      <w:sz w:val="18"/>
                      <w:szCs w:val="18"/>
                      <w:highlight w:val="none"/>
                      <w:lang w:val="en-US" w:eastAsia="zh-CN"/>
                    </w:rPr>
                  </w:pPr>
                  <w:r>
                    <w:rPr>
                      <w:rFonts w:hint="eastAsia" w:cs="Times New Roman"/>
                      <w:color w:val="auto"/>
                      <w:spacing w:val="-11"/>
                      <w:sz w:val="18"/>
                      <w:szCs w:val="18"/>
                      <w:highlight w:val="none"/>
                      <w:lang w:val="en-US" w:eastAsia="zh-CN"/>
                    </w:rPr>
                    <w:t>0.135</w:t>
                  </w:r>
                </w:p>
              </w:tc>
            </w:tr>
            <w:bookmarkEnd w:id="21"/>
          </w:tbl>
          <w:p w14:paraId="23B0C0E7">
            <w:pPr>
              <w:pStyle w:val="24"/>
              <w:adjustRightInd w:val="0"/>
              <w:snapToGrid w:val="0"/>
              <w:spacing w:before="0" w:beforeAutospacing="0" w:after="0" w:afterAutospacing="0" w:line="440" w:lineRule="exact"/>
              <w:ind w:firstLine="420" w:firstLineChars="200"/>
              <w:rPr>
                <w:rFonts w:ascii="Times New Roman" w:hAnsi="Times New Roman"/>
                <w:color w:val="auto"/>
                <w:sz w:val="21"/>
                <w:szCs w:val="21"/>
              </w:rPr>
            </w:pPr>
            <w:r>
              <w:rPr>
                <w:rFonts w:ascii="Times New Roman" w:hAnsi="Times New Roman"/>
                <w:color w:val="auto"/>
                <w:sz w:val="21"/>
                <w:szCs w:val="21"/>
              </w:rPr>
              <w:t>由上述计算，项目</w:t>
            </w:r>
            <w:r>
              <w:rPr>
                <w:rFonts w:hint="eastAsia" w:ascii="Times New Roman" w:hAnsi="Times New Roman"/>
                <w:color w:val="auto"/>
                <w:sz w:val="21"/>
                <w:szCs w:val="21"/>
                <w:highlight w:val="none"/>
                <w:lang w:val="en-US" w:eastAsia="zh-CN"/>
              </w:rPr>
              <w:t>物料</w:t>
            </w:r>
            <w:r>
              <w:rPr>
                <w:rFonts w:ascii="Times New Roman" w:hAnsi="Times New Roman"/>
                <w:color w:val="auto"/>
                <w:sz w:val="21"/>
                <w:szCs w:val="21"/>
              </w:rPr>
              <w:t>装卸、堆存年排放颗</w:t>
            </w:r>
            <w:r>
              <w:rPr>
                <w:rFonts w:ascii="Times New Roman" w:hAnsi="Times New Roman"/>
                <w:color w:val="auto"/>
                <w:sz w:val="21"/>
                <w:szCs w:val="21"/>
                <w:highlight w:val="none"/>
              </w:rPr>
              <w:t>粒物为</w:t>
            </w:r>
            <w:r>
              <w:rPr>
                <w:rFonts w:hint="eastAsia" w:ascii="Times New Roman" w:hAnsi="Times New Roman"/>
                <w:color w:val="auto"/>
                <w:sz w:val="21"/>
                <w:szCs w:val="21"/>
                <w:highlight w:val="none"/>
                <w:lang w:val="en-US" w:eastAsia="zh-CN"/>
              </w:rPr>
              <w:t>0.135</w:t>
            </w:r>
            <w:r>
              <w:rPr>
                <w:rFonts w:ascii="Times New Roman" w:hAnsi="Times New Roman"/>
                <w:color w:val="auto"/>
                <w:sz w:val="21"/>
                <w:szCs w:val="21"/>
                <w:highlight w:val="none"/>
              </w:rPr>
              <w:t>t/a。</w:t>
            </w:r>
          </w:p>
          <w:p w14:paraId="468E6187">
            <w:pPr>
              <w:pStyle w:val="24"/>
              <w:adjustRightInd w:val="0"/>
              <w:snapToGrid w:val="0"/>
              <w:spacing w:before="0" w:beforeAutospacing="0" w:after="0" w:afterAutospacing="0" w:line="440" w:lineRule="exact"/>
              <w:ind w:firstLine="420" w:firstLineChars="200"/>
              <w:rPr>
                <w:rFonts w:ascii="Times New Roman" w:hAnsi="Times New Roman"/>
                <w:color w:val="auto"/>
                <w:sz w:val="21"/>
                <w:szCs w:val="21"/>
              </w:rPr>
            </w:pPr>
            <w:r>
              <w:rPr>
                <w:rFonts w:ascii="Times New Roman" w:hAnsi="Times New Roman"/>
                <w:color w:val="auto"/>
                <w:sz w:val="21"/>
                <w:szCs w:val="21"/>
              </w:rPr>
              <w:t>（</w:t>
            </w:r>
            <w:r>
              <w:rPr>
                <w:rFonts w:hint="eastAsia" w:ascii="Times New Roman" w:hAnsi="Times New Roman"/>
                <w:color w:val="auto"/>
                <w:sz w:val="21"/>
                <w:szCs w:val="21"/>
              </w:rPr>
              <w:t>2</w:t>
            </w:r>
            <w:r>
              <w:rPr>
                <w:rFonts w:ascii="Times New Roman" w:hAnsi="Times New Roman"/>
                <w:color w:val="auto"/>
                <w:sz w:val="21"/>
                <w:szCs w:val="21"/>
              </w:rPr>
              <w:t>）</w:t>
            </w:r>
            <w:r>
              <w:rPr>
                <w:rFonts w:hint="eastAsia" w:ascii="Times New Roman" w:hAnsi="Times New Roman"/>
                <w:color w:val="auto"/>
                <w:sz w:val="21"/>
                <w:szCs w:val="21"/>
              </w:rPr>
              <w:t>逸散粉尘</w:t>
            </w:r>
          </w:p>
          <w:p w14:paraId="22F97B0F">
            <w:pPr>
              <w:pStyle w:val="24"/>
              <w:adjustRightInd w:val="0"/>
              <w:snapToGrid w:val="0"/>
              <w:spacing w:before="0" w:beforeAutospacing="0" w:after="0" w:afterAutospacing="0" w:line="440" w:lineRule="exact"/>
              <w:ind w:firstLine="420" w:firstLineChars="200"/>
              <w:rPr>
                <w:rFonts w:ascii="Times New Roman" w:hAnsi="Times New Roman"/>
                <w:color w:val="auto"/>
                <w:sz w:val="21"/>
                <w:szCs w:val="21"/>
              </w:rPr>
            </w:pPr>
            <w:r>
              <w:rPr>
                <w:rFonts w:hint="eastAsia" w:ascii="Times New Roman" w:hAnsi="Times New Roman"/>
                <w:color w:val="auto"/>
                <w:sz w:val="21"/>
                <w:szCs w:val="21"/>
              </w:rPr>
              <w:t>除尘系统受收集装置效率的影响逸散的粉尘</w:t>
            </w:r>
            <w:r>
              <w:rPr>
                <w:rFonts w:ascii="Times New Roman" w:hAnsi="Times New Roman"/>
                <w:color w:val="auto"/>
                <w:sz w:val="21"/>
                <w:szCs w:val="21"/>
              </w:rPr>
              <w:t>以无组织形式逸散在车间内，车间颗粒物无组织逸散量</w:t>
            </w:r>
            <w:r>
              <w:rPr>
                <w:rFonts w:hint="eastAsia" w:ascii="Times New Roman" w:hAnsi="Times New Roman"/>
                <w:color w:val="auto"/>
                <w:sz w:val="21"/>
                <w:szCs w:val="21"/>
              </w:rPr>
              <w:t>分别</w:t>
            </w:r>
            <w:r>
              <w:rPr>
                <w:rFonts w:ascii="Times New Roman" w:hAnsi="Times New Roman"/>
                <w:color w:val="auto"/>
                <w:sz w:val="21"/>
                <w:szCs w:val="21"/>
              </w:rPr>
              <w:t>为</w:t>
            </w:r>
            <w:r>
              <w:rPr>
                <w:rFonts w:hint="eastAsia" w:ascii="Times New Roman" w:hAnsi="Times New Roman"/>
                <w:color w:val="auto"/>
                <w:sz w:val="21"/>
                <w:szCs w:val="21"/>
                <w:lang w:val="en-US" w:eastAsia="zh-CN"/>
              </w:rPr>
              <w:t>6.6</w:t>
            </w:r>
            <w:r>
              <w:rPr>
                <w:rFonts w:ascii="Times New Roman" w:hAnsi="Times New Roman"/>
                <w:color w:val="auto"/>
                <w:sz w:val="21"/>
                <w:szCs w:val="21"/>
              </w:rPr>
              <w:t>t/a</w:t>
            </w:r>
            <w:r>
              <w:rPr>
                <w:rFonts w:hint="eastAsia" w:ascii="Times New Roman" w:hAnsi="Times New Roman"/>
                <w:color w:val="auto"/>
                <w:sz w:val="21"/>
                <w:szCs w:val="21"/>
                <w:highlight w:val="none"/>
              </w:rPr>
              <w:t>、</w:t>
            </w:r>
            <w:r>
              <w:rPr>
                <w:rFonts w:hint="eastAsia" w:ascii="Times New Roman" w:hAnsi="Times New Roman"/>
                <w:color w:val="auto"/>
                <w:sz w:val="21"/>
                <w:szCs w:val="21"/>
                <w:highlight w:val="none"/>
                <w:lang w:val="en-US" w:eastAsia="zh-CN"/>
              </w:rPr>
              <w:t>17.135</w:t>
            </w:r>
            <w:r>
              <w:rPr>
                <w:rFonts w:ascii="Times New Roman" w:hAnsi="Times New Roman"/>
                <w:color w:val="auto"/>
                <w:sz w:val="21"/>
                <w:szCs w:val="21"/>
                <w:highlight w:val="none"/>
              </w:rPr>
              <w:t>t/a，项目</w:t>
            </w:r>
            <w:r>
              <w:rPr>
                <w:rFonts w:hint="eastAsia" w:ascii="Times New Roman" w:hAnsi="Times New Roman"/>
                <w:color w:val="auto"/>
                <w:sz w:val="21"/>
                <w:szCs w:val="21"/>
                <w:highlight w:val="none"/>
                <w:lang w:val="en-US" w:eastAsia="zh-CN"/>
              </w:rPr>
              <w:t>生产</w:t>
            </w:r>
            <w:r>
              <w:rPr>
                <w:rFonts w:ascii="Times New Roman" w:hAnsi="Times New Roman"/>
                <w:color w:val="auto"/>
                <w:sz w:val="21"/>
                <w:szCs w:val="21"/>
                <w:highlight w:val="none"/>
              </w:rPr>
              <w:t>车间</w:t>
            </w:r>
            <w:r>
              <w:rPr>
                <w:rFonts w:hint="eastAsia" w:ascii="Times New Roman" w:hAnsi="Times New Roman"/>
                <w:color w:val="auto"/>
                <w:sz w:val="21"/>
                <w:szCs w:val="21"/>
                <w:highlight w:val="none"/>
              </w:rPr>
              <w:t>均</w:t>
            </w:r>
            <w:r>
              <w:rPr>
                <w:rFonts w:ascii="Times New Roman" w:hAnsi="Times New Roman"/>
                <w:color w:val="auto"/>
                <w:sz w:val="21"/>
                <w:szCs w:val="21"/>
                <w:highlight w:val="none"/>
              </w:rPr>
              <w:t>为封闭式结构，综合抑尘效率为9</w:t>
            </w:r>
            <w:r>
              <w:rPr>
                <w:rFonts w:hint="eastAsia" w:ascii="Times New Roman" w:hAnsi="Times New Roman"/>
                <w:color w:val="auto"/>
                <w:sz w:val="21"/>
                <w:szCs w:val="21"/>
                <w:highlight w:val="none"/>
                <w:lang w:val="en-US" w:eastAsia="zh-CN"/>
              </w:rPr>
              <w:t>8</w:t>
            </w:r>
            <w:r>
              <w:rPr>
                <w:rFonts w:ascii="Times New Roman" w:hAnsi="Times New Roman"/>
                <w:color w:val="auto"/>
                <w:sz w:val="21"/>
                <w:szCs w:val="21"/>
                <w:highlight w:val="none"/>
              </w:rPr>
              <w:t>%</w:t>
            </w:r>
            <w:r>
              <w:rPr>
                <w:rFonts w:ascii="Times New Roman" w:hAnsi="Times New Roman"/>
                <w:color w:val="auto"/>
                <w:sz w:val="21"/>
                <w:szCs w:val="21"/>
              </w:rPr>
              <w:t>，</w:t>
            </w:r>
            <w:r>
              <w:rPr>
                <w:rFonts w:hint="eastAsia" w:ascii="Times New Roman" w:hAnsi="Times New Roman"/>
                <w:color w:val="auto"/>
                <w:sz w:val="21"/>
                <w:szCs w:val="21"/>
                <w:lang w:val="en-US" w:eastAsia="zh-CN"/>
              </w:rPr>
              <w:t>2</w:t>
            </w:r>
            <w:r>
              <w:rPr>
                <w:rFonts w:ascii="Times New Roman" w:hAnsi="Times New Roman"/>
                <w:color w:val="auto"/>
                <w:sz w:val="21"/>
                <w:szCs w:val="21"/>
              </w:rPr>
              <w:t>%的粉尘通过车间进出口逸散，</w:t>
            </w:r>
            <w:r>
              <w:rPr>
                <w:rFonts w:hint="eastAsia" w:ascii="Times New Roman" w:hAnsi="Times New Roman"/>
                <w:color w:val="auto"/>
                <w:sz w:val="21"/>
                <w:szCs w:val="21"/>
              </w:rPr>
              <w:t>各</w:t>
            </w:r>
            <w:r>
              <w:rPr>
                <w:rFonts w:ascii="Times New Roman" w:hAnsi="Times New Roman"/>
                <w:color w:val="auto"/>
                <w:sz w:val="21"/>
                <w:szCs w:val="21"/>
              </w:rPr>
              <w:t>车间无组织</w:t>
            </w:r>
            <w:r>
              <w:rPr>
                <w:rFonts w:hint="eastAsia" w:ascii="Times New Roman" w:hAnsi="Times New Roman"/>
                <w:color w:val="auto"/>
                <w:sz w:val="21"/>
                <w:szCs w:val="21"/>
              </w:rPr>
              <w:t>逸散粉尘</w:t>
            </w:r>
            <w:r>
              <w:rPr>
                <w:rFonts w:hint="eastAsia" w:ascii="Times New Roman" w:hAnsi="Times New Roman"/>
                <w:color w:val="auto"/>
                <w:sz w:val="21"/>
                <w:szCs w:val="21"/>
                <w:lang w:val="en-US" w:eastAsia="zh-CN"/>
              </w:rPr>
              <w:t>见</w:t>
            </w:r>
            <w:r>
              <w:rPr>
                <w:rFonts w:hint="eastAsia" w:ascii="Times New Roman" w:hAnsi="Times New Roman"/>
                <w:color w:val="auto"/>
                <w:sz w:val="21"/>
                <w:szCs w:val="21"/>
              </w:rPr>
              <w:t>表</w:t>
            </w:r>
            <w:r>
              <w:rPr>
                <w:rFonts w:hint="eastAsia" w:ascii="Times New Roman" w:hAnsi="Times New Roman"/>
                <w:color w:val="auto"/>
                <w:sz w:val="21"/>
                <w:szCs w:val="21"/>
                <w:lang w:val="en-US" w:eastAsia="zh-CN"/>
              </w:rPr>
              <w:t>31</w:t>
            </w:r>
            <w:r>
              <w:rPr>
                <w:rFonts w:ascii="Times New Roman" w:hAnsi="Times New Roman"/>
                <w:color w:val="auto"/>
                <w:sz w:val="21"/>
                <w:szCs w:val="21"/>
              </w:rPr>
              <w:t>。</w:t>
            </w:r>
          </w:p>
          <w:p w14:paraId="5AFAAA08">
            <w:pPr>
              <w:spacing w:line="440" w:lineRule="exact"/>
              <w:ind w:firstLine="422" w:firstLineChars="200"/>
              <w:jc w:val="center"/>
              <w:rPr>
                <w:b/>
                <w:snapToGrid w:val="0"/>
                <w:color w:val="auto"/>
                <w:kern w:val="0"/>
                <w:lang w:bidi="ar"/>
              </w:rPr>
            </w:pPr>
            <w:r>
              <w:rPr>
                <w:b/>
                <w:snapToGrid w:val="0"/>
                <w:color w:val="auto"/>
                <w:kern w:val="0"/>
                <w:lang w:bidi="ar"/>
              </w:rPr>
              <w:t>表</w:t>
            </w:r>
            <w:r>
              <w:rPr>
                <w:rFonts w:hint="eastAsia"/>
                <w:b/>
                <w:snapToGrid w:val="0"/>
                <w:color w:val="auto"/>
                <w:kern w:val="0"/>
                <w:lang w:val="en-US" w:eastAsia="zh-CN" w:bidi="ar"/>
              </w:rPr>
              <w:t xml:space="preserve">31 </w:t>
            </w:r>
            <w:r>
              <w:rPr>
                <w:rFonts w:hint="eastAsia"/>
                <w:b/>
                <w:snapToGrid w:val="0"/>
                <w:color w:val="auto"/>
                <w:kern w:val="0"/>
                <w:lang w:bidi="ar"/>
              </w:rPr>
              <w:t>各库房及</w:t>
            </w:r>
            <w:r>
              <w:rPr>
                <w:b/>
                <w:snapToGrid w:val="0"/>
                <w:color w:val="auto"/>
                <w:kern w:val="0"/>
                <w:lang w:bidi="ar"/>
              </w:rPr>
              <w:t>车间无组织</w:t>
            </w:r>
            <w:r>
              <w:rPr>
                <w:rFonts w:hint="eastAsia"/>
                <w:b/>
                <w:snapToGrid w:val="0"/>
                <w:color w:val="auto"/>
                <w:kern w:val="0"/>
                <w:lang w:bidi="ar"/>
              </w:rPr>
              <w:t>逸散粉尘</w:t>
            </w:r>
            <w:r>
              <w:rPr>
                <w:b/>
                <w:snapToGrid w:val="0"/>
                <w:color w:val="auto"/>
                <w:kern w:val="0"/>
                <w:lang w:bidi="ar"/>
              </w:rPr>
              <w:t>排放情况表</w:t>
            </w:r>
          </w:p>
          <w:tbl>
            <w:tblPr>
              <w:tblStyle w:val="28"/>
              <w:tblW w:w="8065" w:type="dxa"/>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565"/>
              <w:gridCol w:w="1816"/>
              <w:gridCol w:w="958"/>
              <w:gridCol w:w="1184"/>
              <w:gridCol w:w="1422"/>
              <w:gridCol w:w="1120"/>
            </w:tblGrid>
            <w:tr w14:paraId="4414AC4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340" w:hRule="atLeast"/>
                <w:tblHeader/>
              </w:trPr>
              <w:tc>
                <w:tcPr>
                  <w:tcW w:w="3381" w:type="dxa"/>
                  <w:gridSpan w:val="2"/>
                  <w:tcBorders>
                    <w:tl2br w:val="nil"/>
                    <w:tr2bl w:val="nil"/>
                  </w:tcBorders>
                  <w:vAlign w:val="center"/>
                </w:tcPr>
                <w:p w14:paraId="2A0E6064">
                  <w:pPr>
                    <w:spacing w:line="0" w:lineRule="atLeast"/>
                    <w:jc w:val="center"/>
                    <w:rPr>
                      <w:color w:val="auto"/>
                      <w:spacing w:val="-12"/>
                      <w:sz w:val="18"/>
                      <w:szCs w:val="18"/>
                    </w:rPr>
                  </w:pPr>
                  <w:r>
                    <w:rPr>
                      <w:color w:val="auto"/>
                      <w:spacing w:val="-12"/>
                      <w:sz w:val="18"/>
                      <w:szCs w:val="18"/>
                    </w:rPr>
                    <w:t>污染源</w:t>
                  </w:r>
                </w:p>
              </w:tc>
              <w:tc>
                <w:tcPr>
                  <w:tcW w:w="958" w:type="dxa"/>
                  <w:tcBorders>
                    <w:tl2br w:val="nil"/>
                    <w:tr2bl w:val="nil"/>
                  </w:tcBorders>
                  <w:vAlign w:val="center"/>
                </w:tcPr>
                <w:p w14:paraId="00349825">
                  <w:pPr>
                    <w:spacing w:line="0" w:lineRule="atLeast"/>
                    <w:jc w:val="center"/>
                    <w:rPr>
                      <w:color w:val="auto"/>
                      <w:spacing w:val="-12"/>
                      <w:sz w:val="18"/>
                      <w:szCs w:val="18"/>
                    </w:rPr>
                  </w:pPr>
                  <w:r>
                    <w:rPr>
                      <w:color w:val="auto"/>
                      <w:spacing w:val="-12"/>
                      <w:sz w:val="18"/>
                      <w:szCs w:val="18"/>
                    </w:rPr>
                    <w:t>污染物</w:t>
                  </w:r>
                </w:p>
              </w:tc>
              <w:tc>
                <w:tcPr>
                  <w:tcW w:w="1184" w:type="dxa"/>
                  <w:tcBorders>
                    <w:tl2br w:val="nil"/>
                    <w:tr2bl w:val="nil"/>
                  </w:tcBorders>
                  <w:vAlign w:val="center"/>
                </w:tcPr>
                <w:p w14:paraId="3E1C1B6B">
                  <w:pPr>
                    <w:spacing w:line="0" w:lineRule="atLeast"/>
                    <w:jc w:val="center"/>
                    <w:rPr>
                      <w:color w:val="auto"/>
                      <w:spacing w:val="-12"/>
                      <w:sz w:val="18"/>
                      <w:szCs w:val="18"/>
                    </w:rPr>
                  </w:pPr>
                  <w:r>
                    <w:rPr>
                      <w:color w:val="auto"/>
                      <w:spacing w:val="-12"/>
                      <w:sz w:val="18"/>
                      <w:szCs w:val="18"/>
                    </w:rPr>
                    <w:t>产生量（t/a）</w:t>
                  </w:r>
                </w:p>
              </w:tc>
              <w:tc>
                <w:tcPr>
                  <w:tcW w:w="1422" w:type="dxa"/>
                  <w:tcBorders>
                    <w:tl2br w:val="nil"/>
                    <w:tr2bl w:val="nil"/>
                  </w:tcBorders>
                  <w:vAlign w:val="center"/>
                </w:tcPr>
                <w:p w14:paraId="6BAFDC40">
                  <w:pPr>
                    <w:spacing w:line="0" w:lineRule="atLeast"/>
                    <w:jc w:val="center"/>
                    <w:rPr>
                      <w:color w:val="auto"/>
                      <w:spacing w:val="-12"/>
                      <w:sz w:val="18"/>
                      <w:szCs w:val="18"/>
                    </w:rPr>
                  </w:pPr>
                  <w:r>
                    <w:rPr>
                      <w:color w:val="auto"/>
                      <w:spacing w:val="-12"/>
                      <w:sz w:val="18"/>
                      <w:szCs w:val="18"/>
                    </w:rPr>
                    <w:t>排放速率（kg/h）</w:t>
                  </w:r>
                </w:p>
              </w:tc>
              <w:tc>
                <w:tcPr>
                  <w:tcW w:w="1120" w:type="dxa"/>
                  <w:tcBorders>
                    <w:tl2br w:val="nil"/>
                    <w:tr2bl w:val="nil"/>
                  </w:tcBorders>
                  <w:vAlign w:val="center"/>
                </w:tcPr>
                <w:p w14:paraId="6C20D384">
                  <w:pPr>
                    <w:spacing w:line="0" w:lineRule="atLeast"/>
                    <w:jc w:val="center"/>
                    <w:rPr>
                      <w:color w:val="auto"/>
                      <w:spacing w:val="-12"/>
                      <w:sz w:val="18"/>
                      <w:szCs w:val="18"/>
                    </w:rPr>
                  </w:pPr>
                  <w:r>
                    <w:rPr>
                      <w:color w:val="auto"/>
                      <w:spacing w:val="-12"/>
                      <w:sz w:val="18"/>
                      <w:szCs w:val="18"/>
                    </w:rPr>
                    <w:t>排放量（t/a）</w:t>
                  </w:r>
                </w:p>
              </w:tc>
            </w:tr>
            <w:tr w14:paraId="49B13FD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blHeader/>
              </w:trPr>
              <w:tc>
                <w:tcPr>
                  <w:tcW w:w="1565" w:type="dxa"/>
                  <w:tcBorders>
                    <w:tl2br w:val="nil"/>
                    <w:tr2bl w:val="nil"/>
                  </w:tcBorders>
                  <w:shd w:val="clear" w:color="auto" w:fill="auto"/>
                  <w:vAlign w:val="center"/>
                </w:tcPr>
                <w:p w14:paraId="75FC38BA">
                  <w:pPr>
                    <w:jc w:val="center"/>
                    <w:rPr>
                      <w:rFonts w:hint="eastAsia" w:ascii="Times New Roman" w:hAnsi="Times New Roman" w:eastAsia="宋体" w:cs="Times New Roman"/>
                      <w:color w:val="auto"/>
                      <w:spacing w:val="-10"/>
                      <w:kern w:val="2"/>
                      <w:sz w:val="18"/>
                      <w:szCs w:val="18"/>
                      <w:highlight w:val="none"/>
                      <w:lang w:val="en-US" w:eastAsia="zh-CN" w:bidi="ar-SA"/>
                    </w:rPr>
                  </w:pPr>
                  <w:r>
                    <w:rPr>
                      <w:rFonts w:hint="eastAsia" w:ascii="Times New Roman" w:hAnsi="Times New Roman" w:eastAsia="宋体" w:cs="Times New Roman"/>
                      <w:color w:val="auto"/>
                      <w:spacing w:val="-10"/>
                      <w:sz w:val="18"/>
                      <w:szCs w:val="18"/>
                      <w:highlight w:val="none"/>
                      <w:lang w:val="en-US" w:eastAsia="zh-CN"/>
                    </w:rPr>
                    <w:t>废钢破碎尾料分选生产线上料</w:t>
                  </w:r>
                </w:p>
              </w:tc>
              <w:tc>
                <w:tcPr>
                  <w:tcW w:w="1816" w:type="dxa"/>
                  <w:tcBorders>
                    <w:tl2br w:val="nil"/>
                    <w:tr2bl w:val="nil"/>
                  </w:tcBorders>
                  <w:shd w:val="clear" w:color="auto" w:fill="auto"/>
                  <w:vAlign w:val="center"/>
                </w:tcPr>
                <w:p w14:paraId="0A74A914">
                  <w:pPr>
                    <w:spacing w:line="0" w:lineRule="atLeast"/>
                    <w:jc w:val="center"/>
                    <w:rPr>
                      <w:rFonts w:hint="eastAsia" w:ascii="Times New Roman" w:hAnsi="Times New Roman" w:eastAsia="宋体" w:cs="Times New Roman"/>
                      <w:color w:val="auto"/>
                      <w:spacing w:val="-12"/>
                      <w:kern w:val="2"/>
                      <w:sz w:val="18"/>
                      <w:szCs w:val="18"/>
                      <w:lang w:val="en-US" w:eastAsia="zh-CN" w:bidi="ar-SA"/>
                    </w:rPr>
                  </w:pPr>
                  <w:r>
                    <w:rPr>
                      <w:rFonts w:hint="eastAsia"/>
                      <w:color w:val="auto"/>
                      <w:spacing w:val="-12"/>
                      <w:sz w:val="18"/>
                      <w:szCs w:val="18"/>
                    </w:rPr>
                    <w:t>除尘系统受收集装置效率的影响逸散粉尘</w:t>
                  </w:r>
                </w:p>
              </w:tc>
              <w:tc>
                <w:tcPr>
                  <w:tcW w:w="958" w:type="dxa"/>
                  <w:tcBorders>
                    <w:tl2br w:val="nil"/>
                    <w:tr2bl w:val="nil"/>
                  </w:tcBorders>
                  <w:shd w:val="clear" w:color="auto" w:fill="auto"/>
                  <w:vAlign w:val="center"/>
                </w:tcPr>
                <w:p w14:paraId="776C71AE">
                  <w:pPr>
                    <w:spacing w:line="0" w:lineRule="atLeast"/>
                    <w:jc w:val="center"/>
                    <w:rPr>
                      <w:rFonts w:ascii="Times New Roman" w:hAnsi="Times New Roman" w:eastAsia="宋体" w:cs="Times New Roman"/>
                      <w:color w:val="auto"/>
                      <w:spacing w:val="-12"/>
                      <w:kern w:val="2"/>
                      <w:sz w:val="18"/>
                      <w:szCs w:val="18"/>
                      <w:lang w:val="en-US" w:eastAsia="zh-CN" w:bidi="ar-SA"/>
                    </w:rPr>
                  </w:pPr>
                  <w:r>
                    <w:rPr>
                      <w:color w:val="auto"/>
                      <w:spacing w:val="-12"/>
                      <w:sz w:val="18"/>
                      <w:szCs w:val="18"/>
                    </w:rPr>
                    <w:t>颗粒物</w:t>
                  </w:r>
                </w:p>
              </w:tc>
              <w:tc>
                <w:tcPr>
                  <w:tcW w:w="1184" w:type="dxa"/>
                  <w:tcBorders>
                    <w:tl2br w:val="nil"/>
                    <w:tr2bl w:val="nil"/>
                  </w:tcBorders>
                  <w:shd w:val="clear" w:color="auto" w:fill="auto"/>
                  <w:vAlign w:val="center"/>
                </w:tcPr>
                <w:p w14:paraId="105F9983">
                  <w:pPr>
                    <w:spacing w:line="0" w:lineRule="atLeast"/>
                    <w:jc w:val="center"/>
                    <w:rPr>
                      <w:rFonts w:hint="default" w:ascii="Times New Roman" w:hAnsi="Times New Roman" w:eastAsia="宋体" w:cs="Times New Roman"/>
                      <w:color w:val="auto"/>
                      <w:spacing w:val="-12"/>
                      <w:kern w:val="2"/>
                      <w:sz w:val="18"/>
                      <w:szCs w:val="18"/>
                      <w:highlight w:val="none"/>
                      <w:lang w:val="en-US" w:eastAsia="zh-CN" w:bidi="ar-SA"/>
                    </w:rPr>
                  </w:pPr>
                  <w:r>
                    <w:rPr>
                      <w:rFonts w:hint="eastAsia"/>
                      <w:color w:val="auto"/>
                      <w:spacing w:val="-12"/>
                      <w:sz w:val="18"/>
                      <w:szCs w:val="18"/>
                      <w:highlight w:val="none"/>
                      <w:lang w:val="en-US" w:eastAsia="zh-CN"/>
                    </w:rPr>
                    <w:t>17.135</w:t>
                  </w:r>
                </w:p>
              </w:tc>
              <w:tc>
                <w:tcPr>
                  <w:tcW w:w="1422" w:type="dxa"/>
                  <w:tcBorders>
                    <w:tl2br w:val="nil"/>
                    <w:tr2bl w:val="nil"/>
                  </w:tcBorders>
                  <w:shd w:val="clear" w:color="auto" w:fill="auto"/>
                  <w:vAlign w:val="center"/>
                </w:tcPr>
                <w:p w14:paraId="4166B381">
                  <w:pPr>
                    <w:spacing w:line="0" w:lineRule="atLeast"/>
                    <w:jc w:val="center"/>
                    <w:rPr>
                      <w:rFonts w:hint="default" w:ascii="Times New Roman" w:hAnsi="Times New Roman" w:eastAsia="宋体" w:cs="Times New Roman"/>
                      <w:color w:val="auto"/>
                      <w:spacing w:val="-12"/>
                      <w:kern w:val="2"/>
                      <w:sz w:val="18"/>
                      <w:szCs w:val="18"/>
                      <w:highlight w:val="none"/>
                      <w:lang w:val="en-US" w:eastAsia="zh-CN" w:bidi="ar-SA"/>
                    </w:rPr>
                  </w:pPr>
                  <w:r>
                    <w:rPr>
                      <w:rFonts w:hint="eastAsia" w:cs="Times New Roman"/>
                      <w:color w:val="auto"/>
                      <w:spacing w:val="-12"/>
                      <w:kern w:val="2"/>
                      <w:sz w:val="18"/>
                      <w:szCs w:val="18"/>
                      <w:highlight w:val="none"/>
                      <w:lang w:val="en-US" w:eastAsia="zh-CN" w:bidi="ar-SA"/>
                    </w:rPr>
                    <w:t>0.048</w:t>
                  </w:r>
                </w:p>
              </w:tc>
              <w:tc>
                <w:tcPr>
                  <w:tcW w:w="1120" w:type="dxa"/>
                  <w:tcBorders>
                    <w:tl2br w:val="nil"/>
                    <w:tr2bl w:val="nil"/>
                  </w:tcBorders>
                  <w:shd w:val="clear" w:color="auto" w:fill="auto"/>
                  <w:vAlign w:val="center"/>
                </w:tcPr>
                <w:p w14:paraId="1151496E">
                  <w:pPr>
                    <w:spacing w:line="0" w:lineRule="atLeast"/>
                    <w:jc w:val="center"/>
                    <w:rPr>
                      <w:rFonts w:hint="default" w:ascii="Times New Roman" w:hAnsi="Times New Roman" w:eastAsia="宋体" w:cs="Times New Roman"/>
                      <w:color w:val="auto"/>
                      <w:spacing w:val="-12"/>
                      <w:kern w:val="2"/>
                      <w:sz w:val="18"/>
                      <w:szCs w:val="18"/>
                      <w:highlight w:val="none"/>
                      <w:lang w:val="en-US" w:eastAsia="zh-CN" w:bidi="ar-SA"/>
                    </w:rPr>
                  </w:pPr>
                  <w:r>
                    <w:rPr>
                      <w:rFonts w:hint="eastAsia" w:cs="Times New Roman"/>
                      <w:color w:val="auto"/>
                      <w:spacing w:val="-12"/>
                      <w:kern w:val="2"/>
                      <w:sz w:val="18"/>
                      <w:szCs w:val="18"/>
                      <w:highlight w:val="none"/>
                      <w:lang w:val="en-US" w:eastAsia="zh-CN" w:bidi="ar-SA"/>
                    </w:rPr>
                    <w:t>0.343</w:t>
                  </w:r>
                </w:p>
              </w:tc>
            </w:tr>
            <w:tr w14:paraId="748666E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565" w:type="dxa"/>
                  <w:tcBorders>
                    <w:tl2br w:val="nil"/>
                    <w:tr2bl w:val="nil"/>
                  </w:tcBorders>
                  <w:shd w:val="clear" w:color="auto" w:fill="auto"/>
                  <w:vAlign w:val="center"/>
                </w:tcPr>
                <w:p w14:paraId="2AB3ED54">
                  <w:pPr>
                    <w:jc w:val="center"/>
                    <w:rPr>
                      <w:rFonts w:hint="default" w:ascii="Times New Roman" w:hAnsi="Times New Roman" w:eastAsia="宋体" w:cs="Times New Roman"/>
                      <w:color w:val="auto"/>
                      <w:spacing w:val="-11"/>
                      <w:kern w:val="2"/>
                      <w:sz w:val="18"/>
                      <w:szCs w:val="18"/>
                      <w:highlight w:val="none"/>
                      <w:lang w:val="en-US" w:eastAsia="zh-CN" w:bidi="ar-SA"/>
                    </w:rPr>
                  </w:pPr>
                  <w:r>
                    <w:rPr>
                      <w:rFonts w:hint="eastAsia"/>
                      <w:color w:val="auto"/>
                      <w:spacing w:val="-11"/>
                      <w:sz w:val="18"/>
                      <w:szCs w:val="18"/>
                      <w:highlight w:val="none"/>
                      <w:lang w:val="en-US" w:eastAsia="zh-CN"/>
                    </w:rPr>
                    <w:t>钢渣处理生产线上料、破碎、筛分</w:t>
                  </w:r>
                </w:p>
              </w:tc>
              <w:tc>
                <w:tcPr>
                  <w:tcW w:w="1816" w:type="dxa"/>
                  <w:tcBorders>
                    <w:tl2br w:val="nil"/>
                    <w:tr2bl w:val="nil"/>
                  </w:tcBorders>
                  <w:shd w:val="clear" w:color="auto" w:fill="auto"/>
                  <w:vAlign w:val="center"/>
                </w:tcPr>
                <w:p w14:paraId="5EA3B216">
                  <w:pPr>
                    <w:spacing w:line="0" w:lineRule="atLeast"/>
                    <w:jc w:val="center"/>
                    <w:rPr>
                      <w:rFonts w:hint="eastAsia" w:ascii="Times New Roman" w:hAnsi="Times New Roman" w:eastAsia="宋体" w:cs="Times New Roman"/>
                      <w:color w:val="auto"/>
                      <w:spacing w:val="-12"/>
                      <w:kern w:val="2"/>
                      <w:sz w:val="18"/>
                      <w:szCs w:val="18"/>
                      <w:lang w:val="en-US" w:eastAsia="zh-CN" w:bidi="ar-SA"/>
                    </w:rPr>
                  </w:pPr>
                  <w:r>
                    <w:rPr>
                      <w:rFonts w:hint="eastAsia"/>
                      <w:color w:val="auto"/>
                      <w:spacing w:val="-12"/>
                      <w:sz w:val="18"/>
                      <w:szCs w:val="18"/>
                    </w:rPr>
                    <w:t>除尘系统受收集装置效率的影响逸散粉尘</w:t>
                  </w:r>
                </w:p>
              </w:tc>
              <w:tc>
                <w:tcPr>
                  <w:tcW w:w="958" w:type="dxa"/>
                  <w:tcBorders>
                    <w:tl2br w:val="nil"/>
                    <w:tr2bl w:val="nil"/>
                  </w:tcBorders>
                  <w:shd w:val="clear" w:color="auto" w:fill="auto"/>
                  <w:vAlign w:val="center"/>
                </w:tcPr>
                <w:p w14:paraId="6B374927">
                  <w:pPr>
                    <w:spacing w:line="0" w:lineRule="atLeast"/>
                    <w:jc w:val="center"/>
                    <w:rPr>
                      <w:rFonts w:ascii="Times New Roman" w:hAnsi="Times New Roman" w:eastAsia="宋体" w:cs="Times New Roman"/>
                      <w:color w:val="auto"/>
                      <w:spacing w:val="-12"/>
                      <w:kern w:val="2"/>
                      <w:sz w:val="18"/>
                      <w:szCs w:val="18"/>
                      <w:lang w:val="en-US" w:eastAsia="zh-CN" w:bidi="ar-SA"/>
                    </w:rPr>
                  </w:pPr>
                  <w:r>
                    <w:rPr>
                      <w:color w:val="auto"/>
                      <w:spacing w:val="-12"/>
                      <w:sz w:val="18"/>
                      <w:szCs w:val="18"/>
                    </w:rPr>
                    <w:t>颗粒物</w:t>
                  </w:r>
                </w:p>
              </w:tc>
              <w:tc>
                <w:tcPr>
                  <w:tcW w:w="1184" w:type="dxa"/>
                  <w:tcBorders>
                    <w:tl2br w:val="nil"/>
                    <w:tr2bl w:val="nil"/>
                  </w:tcBorders>
                  <w:shd w:val="clear" w:color="auto" w:fill="auto"/>
                  <w:vAlign w:val="center"/>
                </w:tcPr>
                <w:p w14:paraId="58BB7206">
                  <w:pPr>
                    <w:spacing w:line="0" w:lineRule="atLeast"/>
                    <w:jc w:val="center"/>
                    <w:rPr>
                      <w:rFonts w:hint="default" w:ascii="Times New Roman" w:hAnsi="Times New Roman" w:eastAsia="宋体" w:cs="Times New Roman"/>
                      <w:color w:val="auto"/>
                      <w:spacing w:val="-12"/>
                      <w:kern w:val="2"/>
                      <w:sz w:val="18"/>
                      <w:szCs w:val="18"/>
                      <w:lang w:val="en-US" w:eastAsia="zh-CN" w:bidi="ar-SA"/>
                    </w:rPr>
                  </w:pPr>
                  <w:r>
                    <w:rPr>
                      <w:rFonts w:hint="eastAsia"/>
                      <w:color w:val="auto"/>
                      <w:spacing w:val="-12"/>
                      <w:sz w:val="18"/>
                      <w:szCs w:val="18"/>
                      <w:lang w:val="en-US" w:eastAsia="zh-CN"/>
                    </w:rPr>
                    <w:t>6.6</w:t>
                  </w:r>
                </w:p>
              </w:tc>
              <w:tc>
                <w:tcPr>
                  <w:tcW w:w="1422" w:type="dxa"/>
                  <w:tcBorders>
                    <w:tl2br w:val="nil"/>
                    <w:tr2bl w:val="nil"/>
                  </w:tcBorders>
                  <w:shd w:val="clear" w:color="auto" w:fill="auto"/>
                  <w:vAlign w:val="center"/>
                </w:tcPr>
                <w:p w14:paraId="37C28505">
                  <w:pPr>
                    <w:spacing w:line="0" w:lineRule="atLeast"/>
                    <w:jc w:val="center"/>
                    <w:rPr>
                      <w:rFonts w:hint="default" w:ascii="Times New Roman" w:hAnsi="Times New Roman" w:eastAsia="宋体" w:cs="Times New Roman"/>
                      <w:color w:val="auto"/>
                      <w:spacing w:val="-12"/>
                      <w:kern w:val="2"/>
                      <w:sz w:val="18"/>
                      <w:szCs w:val="18"/>
                      <w:lang w:val="en-US" w:eastAsia="zh-CN" w:bidi="ar-SA"/>
                    </w:rPr>
                  </w:pPr>
                  <w:r>
                    <w:rPr>
                      <w:rFonts w:hint="eastAsia" w:cs="Times New Roman"/>
                      <w:color w:val="auto"/>
                      <w:spacing w:val="-12"/>
                      <w:kern w:val="2"/>
                      <w:sz w:val="18"/>
                      <w:szCs w:val="18"/>
                      <w:lang w:val="en-US" w:eastAsia="zh-CN" w:bidi="ar-SA"/>
                    </w:rPr>
                    <w:t>0.018</w:t>
                  </w:r>
                </w:p>
              </w:tc>
              <w:tc>
                <w:tcPr>
                  <w:tcW w:w="1120" w:type="dxa"/>
                  <w:tcBorders>
                    <w:tl2br w:val="nil"/>
                    <w:tr2bl w:val="nil"/>
                  </w:tcBorders>
                  <w:shd w:val="clear" w:color="auto" w:fill="auto"/>
                  <w:vAlign w:val="center"/>
                </w:tcPr>
                <w:p w14:paraId="369EB6C4">
                  <w:pPr>
                    <w:spacing w:line="0" w:lineRule="atLeast"/>
                    <w:jc w:val="center"/>
                    <w:rPr>
                      <w:rFonts w:hint="default" w:ascii="Times New Roman" w:hAnsi="Times New Roman" w:eastAsia="宋体" w:cs="Times New Roman"/>
                      <w:color w:val="auto"/>
                      <w:spacing w:val="-12"/>
                      <w:kern w:val="2"/>
                      <w:sz w:val="18"/>
                      <w:szCs w:val="18"/>
                      <w:highlight w:val="yellow"/>
                      <w:lang w:val="en-US" w:eastAsia="zh-CN" w:bidi="ar-SA"/>
                    </w:rPr>
                  </w:pPr>
                  <w:r>
                    <w:rPr>
                      <w:rFonts w:hint="eastAsia" w:cs="Times New Roman"/>
                      <w:color w:val="auto"/>
                      <w:spacing w:val="-12"/>
                      <w:kern w:val="2"/>
                      <w:sz w:val="18"/>
                      <w:szCs w:val="18"/>
                      <w:highlight w:val="none"/>
                      <w:lang w:val="en-US" w:eastAsia="zh-CN" w:bidi="ar-SA"/>
                    </w:rPr>
                    <w:t>0.132</w:t>
                  </w:r>
                </w:p>
              </w:tc>
            </w:tr>
          </w:tbl>
          <w:p w14:paraId="34C686ED">
            <w:pPr>
              <w:pStyle w:val="24"/>
              <w:adjustRightInd w:val="0"/>
              <w:snapToGrid w:val="0"/>
              <w:spacing w:before="0" w:beforeAutospacing="0" w:after="0" w:afterAutospacing="0" w:line="440" w:lineRule="exact"/>
              <w:ind w:firstLine="420" w:firstLineChars="200"/>
              <w:rPr>
                <w:rFonts w:ascii="Times New Roman" w:hAnsi="Times New Roman"/>
                <w:color w:val="auto"/>
                <w:sz w:val="21"/>
                <w:szCs w:val="21"/>
              </w:rPr>
            </w:pPr>
            <w:r>
              <w:rPr>
                <w:rFonts w:hint="eastAsia" w:ascii="Times New Roman" w:hAnsi="Times New Roman"/>
                <w:color w:val="auto"/>
                <w:sz w:val="21"/>
                <w:szCs w:val="21"/>
              </w:rPr>
              <w:t>（3）车间无组织粉尘产生及排放情况汇总</w:t>
            </w:r>
          </w:p>
          <w:p w14:paraId="7361DFF8">
            <w:pPr>
              <w:pStyle w:val="24"/>
              <w:adjustRightInd w:val="0"/>
              <w:snapToGrid w:val="0"/>
              <w:spacing w:before="0" w:beforeAutospacing="0" w:after="0" w:afterAutospacing="0" w:line="440" w:lineRule="exact"/>
              <w:ind w:firstLine="420" w:firstLineChars="200"/>
              <w:rPr>
                <w:rFonts w:hint="eastAsia" w:ascii="Times New Roman" w:hAnsi="Times New Roman"/>
                <w:color w:val="auto"/>
                <w:sz w:val="21"/>
                <w:szCs w:val="21"/>
              </w:rPr>
            </w:pPr>
            <w:r>
              <w:rPr>
                <w:rFonts w:hint="eastAsia" w:ascii="Times New Roman" w:hAnsi="Times New Roman"/>
                <w:color w:val="auto"/>
                <w:sz w:val="21"/>
                <w:szCs w:val="21"/>
              </w:rPr>
              <w:t>拟建项目各车间无组织粉尘产生及排放情况汇总详见下表。</w:t>
            </w:r>
          </w:p>
          <w:p w14:paraId="00A268EB">
            <w:pPr>
              <w:pStyle w:val="24"/>
              <w:adjustRightInd w:val="0"/>
              <w:snapToGrid w:val="0"/>
              <w:spacing w:before="0" w:beforeAutospacing="0" w:after="0" w:afterAutospacing="0" w:line="440" w:lineRule="exact"/>
              <w:ind w:firstLine="420" w:firstLineChars="200"/>
              <w:rPr>
                <w:rFonts w:hint="eastAsia" w:ascii="Times New Roman" w:hAnsi="Times New Roman"/>
                <w:color w:val="auto"/>
                <w:sz w:val="21"/>
                <w:szCs w:val="21"/>
              </w:rPr>
            </w:pPr>
          </w:p>
          <w:p w14:paraId="7957A742">
            <w:pPr>
              <w:spacing w:line="440" w:lineRule="exact"/>
              <w:ind w:firstLine="422" w:firstLineChars="200"/>
              <w:jc w:val="center"/>
              <w:rPr>
                <w:b/>
                <w:snapToGrid w:val="0"/>
                <w:color w:val="auto"/>
                <w:kern w:val="0"/>
                <w:lang w:bidi="ar"/>
              </w:rPr>
            </w:pPr>
            <w:r>
              <w:rPr>
                <w:b/>
                <w:snapToGrid w:val="0"/>
                <w:color w:val="auto"/>
                <w:kern w:val="0"/>
                <w:lang w:bidi="ar"/>
              </w:rPr>
              <w:t>表</w:t>
            </w:r>
            <w:r>
              <w:rPr>
                <w:rFonts w:hint="eastAsia"/>
                <w:b/>
                <w:snapToGrid w:val="0"/>
                <w:color w:val="auto"/>
                <w:kern w:val="0"/>
                <w:lang w:val="en-US" w:eastAsia="zh-CN" w:bidi="ar"/>
              </w:rPr>
              <w:t xml:space="preserve">32 </w:t>
            </w:r>
            <w:r>
              <w:rPr>
                <w:rFonts w:hint="eastAsia"/>
                <w:b/>
                <w:snapToGrid w:val="0"/>
                <w:color w:val="auto"/>
                <w:kern w:val="0"/>
                <w:lang w:bidi="ar"/>
              </w:rPr>
              <w:t>各库房及</w:t>
            </w:r>
            <w:r>
              <w:rPr>
                <w:b/>
                <w:snapToGrid w:val="0"/>
                <w:color w:val="auto"/>
                <w:kern w:val="0"/>
                <w:lang w:bidi="ar"/>
              </w:rPr>
              <w:t>车间无组织颗粒物</w:t>
            </w:r>
            <w:r>
              <w:rPr>
                <w:rFonts w:hint="eastAsia"/>
                <w:b/>
                <w:snapToGrid w:val="0"/>
                <w:color w:val="auto"/>
                <w:kern w:val="0"/>
                <w:lang w:bidi="ar"/>
              </w:rPr>
              <w:t>产生及</w:t>
            </w:r>
            <w:r>
              <w:rPr>
                <w:b/>
                <w:snapToGrid w:val="0"/>
                <w:color w:val="auto"/>
                <w:kern w:val="0"/>
                <w:lang w:bidi="ar"/>
              </w:rPr>
              <w:t>排放情况一览表</w:t>
            </w:r>
          </w:p>
          <w:tbl>
            <w:tblPr>
              <w:tblStyle w:val="28"/>
              <w:tblW w:w="8077" w:type="dxa"/>
              <w:jc w:val="center"/>
              <w:tblBorders>
                <w:top w:val="single" w:color="auto" w:sz="12" w:space="0"/>
                <w:left w:val="none" w:color="auto" w:sz="0" w:space="0"/>
                <w:bottom w:val="single" w:color="auto" w:sz="12" w:space="0"/>
                <w:right w:val="none" w:color="auto" w:sz="0" w:space="0"/>
                <w:insideH w:val="single" w:color="auto" w:sz="6" w:space="0"/>
                <w:insideV w:val="single" w:color="auto" w:sz="12" w:space="0"/>
              </w:tblBorders>
              <w:tblLayout w:type="fixed"/>
              <w:tblCellMar>
                <w:top w:w="0" w:type="dxa"/>
                <w:left w:w="0" w:type="dxa"/>
                <w:bottom w:w="0" w:type="dxa"/>
                <w:right w:w="0" w:type="dxa"/>
              </w:tblCellMar>
            </w:tblPr>
            <w:tblGrid>
              <w:gridCol w:w="1041"/>
              <w:gridCol w:w="1471"/>
              <w:gridCol w:w="767"/>
              <w:gridCol w:w="883"/>
              <w:gridCol w:w="1455"/>
              <w:gridCol w:w="1322"/>
              <w:gridCol w:w="1138"/>
            </w:tblGrid>
            <w:tr w14:paraId="44711511">
              <w:tblPrEx>
                <w:tblBorders>
                  <w:top w:val="single" w:color="auto" w:sz="12" w:space="0"/>
                  <w:left w:val="none" w:color="auto" w:sz="0" w:space="0"/>
                  <w:bottom w:val="single" w:color="auto" w:sz="12" w:space="0"/>
                  <w:right w:val="none" w:color="auto" w:sz="0" w:space="0"/>
                  <w:insideH w:val="single" w:color="auto" w:sz="6" w:space="0"/>
                  <w:insideV w:val="single" w:color="auto" w:sz="12" w:space="0"/>
                </w:tblBorders>
                <w:tblCellMar>
                  <w:top w:w="0" w:type="dxa"/>
                  <w:left w:w="0" w:type="dxa"/>
                  <w:bottom w:w="0" w:type="dxa"/>
                  <w:right w:w="0" w:type="dxa"/>
                </w:tblCellMar>
              </w:tblPrEx>
              <w:trPr>
                <w:trHeight w:val="20" w:hRule="atLeast"/>
                <w:jc w:val="center"/>
              </w:trPr>
              <w:tc>
                <w:tcPr>
                  <w:tcW w:w="1041" w:type="dxa"/>
                  <w:tcBorders>
                    <w:right w:val="single" w:color="auto" w:sz="4" w:space="0"/>
                    <w:tl2br w:val="nil"/>
                    <w:tr2bl w:val="nil"/>
                  </w:tcBorders>
                  <w:vAlign w:val="center"/>
                </w:tcPr>
                <w:p w14:paraId="1C62F29F">
                  <w:pPr>
                    <w:jc w:val="center"/>
                    <w:rPr>
                      <w:color w:val="auto"/>
                      <w:spacing w:val="-11"/>
                      <w:sz w:val="18"/>
                      <w:szCs w:val="18"/>
                    </w:rPr>
                  </w:pPr>
                  <w:r>
                    <w:rPr>
                      <w:color w:val="auto"/>
                      <w:spacing w:val="-11"/>
                      <w:sz w:val="18"/>
                      <w:szCs w:val="18"/>
                    </w:rPr>
                    <w:t>名称</w:t>
                  </w:r>
                </w:p>
              </w:tc>
              <w:tc>
                <w:tcPr>
                  <w:tcW w:w="1471" w:type="dxa"/>
                  <w:tcBorders>
                    <w:left w:val="single" w:color="auto" w:sz="4" w:space="0"/>
                    <w:right w:val="single" w:color="auto" w:sz="4" w:space="0"/>
                    <w:tl2br w:val="nil"/>
                    <w:tr2bl w:val="nil"/>
                  </w:tcBorders>
                  <w:vAlign w:val="center"/>
                </w:tcPr>
                <w:p w14:paraId="5CE58510">
                  <w:pPr>
                    <w:jc w:val="center"/>
                    <w:rPr>
                      <w:color w:val="auto"/>
                      <w:spacing w:val="-11"/>
                      <w:sz w:val="18"/>
                      <w:szCs w:val="18"/>
                    </w:rPr>
                  </w:pPr>
                  <w:r>
                    <w:rPr>
                      <w:rFonts w:hint="eastAsia"/>
                      <w:color w:val="auto"/>
                      <w:spacing w:val="-11"/>
                      <w:sz w:val="18"/>
                      <w:szCs w:val="18"/>
                    </w:rPr>
                    <w:t>污染源</w:t>
                  </w:r>
                </w:p>
              </w:tc>
              <w:tc>
                <w:tcPr>
                  <w:tcW w:w="767" w:type="dxa"/>
                  <w:tcBorders>
                    <w:left w:val="single" w:color="auto" w:sz="4" w:space="0"/>
                    <w:right w:val="single" w:color="auto" w:sz="4" w:space="0"/>
                    <w:tl2br w:val="nil"/>
                    <w:tr2bl w:val="nil"/>
                  </w:tcBorders>
                  <w:vAlign w:val="center"/>
                </w:tcPr>
                <w:p w14:paraId="24CF6D9C">
                  <w:pPr>
                    <w:jc w:val="center"/>
                    <w:rPr>
                      <w:color w:val="auto"/>
                      <w:spacing w:val="-11"/>
                      <w:sz w:val="18"/>
                      <w:szCs w:val="18"/>
                    </w:rPr>
                  </w:pPr>
                  <w:r>
                    <w:rPr>
                      <w:rFonts w:hint="eastAsia"/>
                      <w:color w:val="auto"/>
                      <w:spacing w:val="-11"/>
                      <w:sz w:val="18"/>
                      <w:szCs w:val="18"/>
                    </w:rPr>
                    <w:t>污染因子</w:t>
                  </w:r>
                </w:p>
              </w:tc>
              <w:tc>
                <w:tcPr>
                  <w:tcW w:w="883" w:type="dxa"/>
                  <w:tcBorders>
                    <w:left w:val="single" w:color="auto" w:sz="4" w:space="0"/>
                    <w:right w:val="single" w:color="auto" w:sz="4" w:space="0"/>
                    <w:tl2br w:val="nil"/>
                    <w:tr2bl w:val="nil"/>
                  </w:tcBorders>
                  <w:vAlign w:val="center"/>
                </w:tcPr>
                <w:p w14:paraId="5CF2EA88">
                  <w:pPr>
                    <w:jc w:val="center"/>
                    <w:rPr>
                      <w:color w:val="auto"/>
                      <w:spacing w:val="-11"/>
                      <w:sz w:val="18"/>
                      <w:szCs w:val="18"/>
                    </w:rPr>
                  </w:pPr>
                  <w:r>
                    <w:rPr>
                      <w:rFonts w:hint="eastAsia"/>
                      <w:color w:val="auto"/>
                      <w:spacing w:val="-11"/>
                      <w:sz w:val="18"/>
                      <w:szCs w:val="18"/>
                    </w:rPr>
                    <w:t>产生量（t/a）</w:t>
                  </w:r>
                </w:p>
              </w:tc>
              <w:tc>
                <w:tcPr>
                  <w:tcW w:w="1455" w:type="dxa"/>
                  <w:tcBorders>
                    <w:left w:val="single" w:color="auto" w:sz="4" w:space="0"/>
                    <w:right w:val="single" w:color="auto" w:sz="4" w:space="0"/>
                    <w:tl2br w:val="nil"/>
                    <w:tr2bl w:val="nil"/>
                  </w:tcBorders>
                  <w:vAlign w:val="center"/>
                </w:tcPr>
                <w:p w14:paraId="73B95CF9">
                  <w:pPr>
                    <w:jc w:val="center"/>
                    <w:rPr>
                      <w:color w:val="auto"/>
                      <w:spacing w:val="-11"/>
                      <w:sz w:val="18"/>
                      <w:szCs w:val="18"/>
                    </w:rPr>
                  </w:pPr>
                  <w:r>
                    <w:rPr>
                      <w:rFonts w:hint="eastAsia"/>
                      <w:color w:val="auto"/>
                      <w:spacing w:val="-11"/>
                      <w:sz w:val="18"/>
                      <w:szCs w:val="18"/>
                    </w:rPr>
                    <w:t>治理措施</w:t>
                  </w:r>
                </w:p>
              </w:tc>
              <w:tc>
                <w:tcPr>
                  <w:tcW w:w="1322" w:type="dxa"/>
                  <w:tcBorders>
                    <w:left w:val="single" w:color="auto" w:sz="4" w:space="0"/>
                    <w:right w:val="single" w:color="auto" w:sz="4" w:space="0"/>
                    <w:tl2br w:val="nil"/>
                    <w:tr2bl w:val="nil"/>
                  </w:tcBorders>
                  <w:vAlign w:val="center"/>
                </w:tcPr>
                <w:p w14:paraId="70DBCD53">
                  <w:pPr>
                    <w:jc w:val="center"/>
                    <w:rPr>
                      <w:color w:val="auto"/>
                      <w:spacing w:val="-11"/>
                      <w:sz w:val="18"/>
                      <w:szCs w:val="18"/>
                    </w:rPr>
                  </w:pPr>
                  <w:r>
                    <w:rPr>
                      <w:rFonts w:hint="eastAsia"/>
                      <w:color w:val="auto"/>
                      <w:spacing w:val="-11"/>
                      <w:sz w:val="18"/>
                      <w:szCs w:val="18"/>
                    </w:rPr>
                    <w:t>排放速率（kg/h）</w:t>
                  </w:r>
                </w:p>
              </w:tc>
              <w:tc>
                <w:tcPr>
                  <w:tcW w:w="1138" w:type="dxa"/>
                  <w:tcBorders>
                    <w:left w:val="single" w:color="auto" w:sz="4" w:space="0"/>
                    <w:tl2br w:val="nil"/>
                    <w:tr2bl w:val="nil"/>
                  </w:tcBorders>
                  <w:vAlign w:val="center"/>
                </w:tcPr>
                <w:p w14:paraId="67223F7E">
                  <w:pPr>
                    <w:jc w:val="center"/>
                    <w:rPr>
                      <w:color w:val="auto"/>
                      <w:spacing w:val="-11"/>
                      <w:sz w:val="18"/>
                      <w:szCs w:val="18"/>
                    </w:rPr>
                  </w:pPr>
                  <w:r>
                    <w:rPr>
                      <w:rFonts w:hint="eastAsia"/>
                      <w:color w:val="auto"/>
                      <w:spacing w:val="-11"/>
                      <w:sz w:val="18"/>
                      <w:szCs w:val="18"/>
                    </w:rPr>
                    <w:t>排放量（t/a）</w:t>
                  </w:r>
                </w:p>
              </w:tc>
            </w:tr>
            <w:tr w14:paraId="0C2D1273">
              <w:tblPrEx>
                <w:tblBorders>
                  <w:top w:val="single" w:color="auto" w:sz="12" w:space="0"/>
                  <w:left w:val="none" w:color="auto" w:sz="0" w:space="0"/>
                  <w:bottom w:val="single" w:color="auto" w:sz="12" w:space="0"/>
                  <w:right w:val="none" w:color="auto" w:sz="0" w:space="0"/>
                  <w:insideH w:val="single" w:color="auto" w:sz="6" w:space="0"/>
                  <w:insideV w:val="single" w:color="auto" w:sz="12" w:space="0"/>
                </w:tblBorders>
                <w:tblCellMar>
                  <w:top w:w="0" w:type="dxa"/>
                  <w:left w:w="0" w:type="dxa"/>
                  <w:bottom w:w="0" w:type="dxa"/>
                  <w:right w:w="0" w:type="dxa"/>
                </w:tblCellMar>
              </w:tblPrEx>
              <w:trPr>
                <w:trHeight w:val="312" w:hRule="atLeast"/>
                <w:jc w:val="center"/>
              </w:trPr>
              <w:tc>
                <w:tcPr>
                  <w:tcW w:w="1041" w:type="dxa"/>
                  <w:vMerge w:val="restart"/>
                  <w:tcBorders>
                    <w:right w:val="single" w:color="auto" w:sz="4" w:space="0"/>
                    <w:tl2br w:val="nil"/>
                    <w:tr2bl w:val="nil"/>
                  </w:tcBorders>
                  <w:vAlign w:val="center"/>
                </w:tcPr>
                <w:p w14:paraId="25E99645">
                  <w:pPr>
                    <w:jc w:val="center"/>
                    <w:rPr>
                      <w:rFonts w:hint="default" w:eastAsia="宋体"/>
                      <w:color w:val="auto"/>
                      <w:spacing w:val="-11"/>
                      <w:sz w:val="18"/>
                      <w:szCs w:val="18"/>
                      <w:lang w:val="en-US" w:eastAsia="zh-CN"/>
                    </w:rPr>
                  </w:pPr>
                  <w:r>
                    <w:rPr>
                      <w:rFonts w:hint="eastAsia"/>
                      <w:color w:val="auto"/>
                      <w:spacing w:val="-11"/>
                      <w:sz w:val="18"/>
                      <w:szCs w:val="18"/>
                      <w:lang w:val="en-US" w:eastAsia="zh-CN"/>
                    </w:rPr>
                    <w:t>1</w:t>
                  </w:r>
                  <w:r>
                    <w:rPr>
                      <w:rFonts w:hint="eastAsia"/>
                      <w:color w:val="auto"/>
                      <w:spacing w:val="-11"/>
                      <w:sz w:val="18"/>
                      <w:szCs w:val="18"/>
                      <w:vertAlign w:val="superscript"/>
                      <w:lang w:val="en-US" w:eastAsia="zh-CN"/>
                    </w:rPr>
                    <w:t>#</w:t>
                  </w:r>
                  <w:r>
                    <w:rPr>
                      <w:rFonts w:hint="eastAsia"/>
                      <w:color w:val="auto"/>
                      <w:spacing w:val="-11"/>
                      <w:sz w:val="18"/>
                      <w:szCs w:val="18"/>
                      <w:lang w:val="en-US" w:eastAsia="zh-CN"/>
                    </w:rPr>
                    <w:t>生产车间</w:t>
                  </w:r>
                </w:p>
              </w:tc>
              <w:tc>
                <w:tcPr>
                  <w:tcW w:w="1471" w:type="dxa"/>
                  <w:tcBorders>
                    <w:left w:val="single" w:color="auto" w:sz="4" w:space="0"/>
                    <w:bottom w:val="single" w:color="auto" w:sz="4" w:space="0"/>
                    <w:right w:val="single" w:color="auto" w:sz="4" w:space="0"/>
                    <w:tl2br w:val="nil"/>
                    <w:tr2bl w:val="nil"/>
                  </w:tcBorders>
                  <w:vAlign w:val="center"/>
                </w:tcPr>
                <w:p w14:paraId="31E4E2FF">
                  <w:pPr>
                    <w:jc w:val="center"/>
                    <w:rPr>
                      <w:color w:val="auto"/>
                      <w:spacing w:val="-11"/>
                      <w:sz w:val="18"/>
                      <w:szCs w:val="18"/>
                    </w:rPr>
                  </w:pPr>
                  <w:r>
                    <w:rPr>
                      <w:rFonts w:hint="eastAsia"/>
                      <w:color w:val="auto"/>
                      <w:spacing w:val="-11"/>
                      <w:sz w:val="18"/>
                      <w:szCs w:val="18"/>
                      <w:lang w:val="en-US" w:eastAsia="zh-CN"/>
                    </w:rPr>
                    <w:t>物料装</w:t>
                  </w:r>
                  <w:r>
                    <w:rPr>
                      <w:rFonts w:hint="eastAsia"/>
                      <w:color w:val="auto"/>
                      <w:spacing w:val="-11"/>
                      <w:sz w:val="18"/>
                      <w:szCs w:val="18"/>
                    </w:rPr>
                    <w:t>卸、堆存扬尘</w:t>
                  </w:r>
                </w:p>
              </w:tc>
              <w:tc>
                <w:tcPr>
                  <w:tcW w:w="767" w:type="dxa"/>
                  <w:tcBorders>
                    <w:left w:val="single" w:color="auto" w:sz="4" w:space="0"/>
                    <w:right w:val="single" w:color="auto" w:sz="4" w:space="0"/>
                    <w:tl2br w:val="nil"/>
                    <w:tr2bl w:val="nil"/>
                  </w:tcBorders>
                  <w:vAlign w:val="center"/>
                </w:tcPr>
                <w:p w14:paraId="6A3618B3">
                  <w:pPr>
                    <w:jc w:val="center"/>
                    <w:rPr>
                      <w:color w:val="auto"/>
                      <w:spacing w:val="-11"/>
                      <w:sz w:val="18"/>
                      <w:szCs w:val="18"/>
                    </w:rPr>
                  </w:pPr>
                  <w:r>
                    <w:rPr>
                      <w:rFonts w:hint="eastAsia"/>
                      <w:color w:val="auto"/>
                      <w:spacing w:val="-11"/>
                      <w:sz w:val="18"/>
                      <w:szCs w:val="18"/>
                    </w:rPr>
                    <w:t>颗粒物</w:t>
                  </w:r>
                </w:p>
              </w:tc>
              <w:tc>
                <w:tcPr>
                  <w:tcW w:w="883" w:type="dxa"/>
                  <w:tcBorders>
                    <w:left w:val="single" w:color="auto" w:sz="4" w:space="0"/>
                    <w:bottom w:val="single" w:color="auto" w:sz="4" w:space="0"/>
                    <w:right w:val="single" w:color="auto" w:sz="4" w:space="0"/>
                    <w:tl2br w:val="nil"/>
                    <w:tr2bl w:val="nil"/>
                  </w:tcBorders>
                  <w:vAlign w:val="center"/>
                </w:tcPr>
                <w:p w14:paraId="43800533">
                  <w:pPr>
                    <w:jc w:val="center"/>
                    <w:rPr>
                      <w:rFonts w:hint="default" w:eastAsia="宋体"/>
                      <w:color w:val="auto"/>
                      <w:spacing w:val="-11"/>
                      <w:sz w:val="18"/>
                      <w:szCs w:val="18"/>
                      <w:highlight w:val="none"/>
                      <w:lang w:val="en-US" w:eastAsia="zh-CN"/>
                    </w:rPr>
                  </w:pPr>
                  <w:r>
                    <w:rPr>
                      <w:rFonts w:hint="eastAsia"/>
                      <w:color w:val="auto"/>
                      <w:spacing w:val="-11"/>
                      <w:sz w:val="18"/>
                      <w:szCs w:val="18"/>
                      <w:highlight w:val="none"/>
                      <w:lang w:val="en-US" w:eastAsia="zh-CN"/>
                    </w:rPr>
                    <w:t>5.6</w:t>
                  </w:r>
                </w:p>
              </w:tc>
              <w:tc>
                <w:tcPr>
                  <w:tcW w:w="1455" w:type="dxa"/>
                  <w:vMerge w:val="restart"/>
                  <w:tcBorders>
                    <w:left w:val="single" w:color="auto" w:sz="4" w:space="0"/>
                    <w:right w:val="single" w:color="auto" w:sz="4" w:space="0"/>
                    <w:tl2br w:val="nil"/>
                    <w:tr2bl w:val="nil"/>
                  </w:tcBorders>
                  <w:vAlign w:val="center"/>
                </w:tcPr>
                <w:p w14:paraId="783B203E">
                  <w:pPr>
                    <w:jc w:val="center"/>
                    <w:rPr>
                      <w:color w:val="auto"/>
                      <w:spacing w:val="-11"/>
                      <w:sz w:val="18"/>
                      <w:szCs w:val="18"/>
                    </w:rPr>
                  </w:pPr>
                  <w:r>
                    <w:rPr>
                      <w:rFonts w:hint="eastAsia" w:ascii="Times New Roman" w:hAnsi="Times New Roman" w:cs="Times New Roman"/>
                      <w:color w:val="auto"/>
                      <w:spacing w:val="-10"/>
                      <w:sz w:val="18"/>
                      <w:szCs w:val="18"/>
                      <w:highlight w:val="none"/>
                      <w:lang w:val="en-US" w:eastAsia="zh-CN"/>
                    </w:rPr>
                    <w:t>车间均封闭式</w:t>
                  </w:r>
                  <w:r>
                    <w:rPr>
                      <w:rFonts w:hint="eastAsia" w:ascii="Times New Roman" w:hAnsi="Times New Roman" w:eastAsia="宋体" w:cs="Times New Roman"/>
                      <w:color w:val="auto"/>
                      <w:spacing w:val="-10"/>
                      <w:sz w:val="18"/>
                      <w:szCs w:val="18"/>
                      <w:highlight w:val="none"/>
                      <w:lang w:val="en-US" w:eastAsia="zh-CN"/>
                    </w:rPr>
                    <w:t>，</w:t>
                  </w:r>
                  <w:r>
                    <w:rPr>
                      <w:rFonts w:hint="eastAsia" w:ascii="Times New Roman" w:hAnsi="Times New Roman" w:cs="Times New Roman"/>
                      <w:color w:val="auto"/>
                      <w:spacing w:val="-10"/>
                      <w:sz w:val="18"/>
                      <w:szCs w:val="18"/>
                      <w:highlight w:val="none"/>
                      <w:lang w:val="en-US" w:eastAsia="zh-CN"/>
                    </w:rPr>
                    <w:t>物料堆存区顶部</w:t>
                  </w:r>
                  <w:r>
                    <w:rPr>
                      <w:rFonts w:hint="eastAsia" w:ascii="Times New Roman" w:hAnsi="Times New Roman" w:eastAsia="宋体" w:cs="Times New Roman"/>
                      <w:color w:val="auto"/>
                      <w:spacing w:val="-10"/>
                      <w:sz w:val="18"/>
                      <w:szCs w:val="18"/>
                      <w:highlight w:val="none"/>
                      <w:lang w:val="en-US" w:eastAsia="zh-CN"/>
                    </w:rPr>
                    <w:t>设喷淋抑尘措施（电伴热）</w:t>
                  </w:r>
                  <w:r>
                    <w:rPr>
                      <w:rFonts w:hint="eastAsia" w:cs="Times New Roman"/>
                      <w:color w:val="auto"/>
                      <w:spacing w:val="-10"/>
                      <w:sz w:val="18"/>
                      <w:szCs w:val="18"/>
                      <w:highlight w:val="none"/>
                      <w:lang w:val="en-US" w:eastAsia="zh-CN"/>
                    </w:rPr>
                    <w:t>，物料转运均为封闭式皮带通廊</w:t>
                  </w:r>
                  <w:r>
                    <w:rPr>
                      <w:rFonts w:hint="eastAsia" w:ascii="Times New Roman" w:hAnsi="Times New Roman" w:eastAsia="宋体" w:cs="Times New Roman"/>
                      <w:color w:val="auto"/>
                      <w:spacing w:val="-10"/>
                      <w:sz w:val="18"/>
                      <w:szCs w:val="18"/>
                      <w:highlight w:val="none"/>
                      <w:lang w:val="en-US" w:eastAsia="zh-CN"/>
                    </w:rPr>
                    <w:t>，车间出入口设置自动感应门</w:t>
                  </w:r>
                </w:p>
              </w:tc>
              <w:tc>
                <w:tcPr>
                  <w:tcW w:w="1322" w:type="dxa"/>
                  <w:vMerge w:val="restart"/>
                  <w:tcBorders>
                    <w:left w:val="single" w:color="auto" w:sz="4" w:space="0"/>
                    <w:right w:val="single" w:color="auto" w:sz="4" w:space="0"/>
                    <w:tl2br w:val="nil"/>
                    <w:tr2bl w:val="nil"/>
                  </w:tcBorders>
                  <w:vAlign w:val="center"/>
                </w:tcPr>
                <w:p w14:paraId="52E3498D">
                  <w:pPr>
                    <w:jc w:val="center"/>
                    <w:rPr>
                      <w:rFonts w:hint="default" w:eastAsia="宋体"/>
                      <w:color w:val="auto"/>
                      <w:spacing w:val="-11"/>
                      <w:sz w:val="18"/>
                      <w:szCs w:val="18"/>
                      <w:highlight w:val="yellow"/>
                      <w:lang w:val="en-US" w:eastAsia="zh-CN"/>
                    </w:rPr>
                  </w:pPr>
                  <w:r>
                    <w:rPr>
                      <w:rFonts w:hint="eastAsia"/>
                      <w:color w:val="auto"/>
                      <w:spacing w:val="-11"/>
                      <w:sz w:val="18"/>
                      <w:szCs w:val="18"/>
                      <w:highlight w:val="none"/>
                      <w:lang w:val="en-US" w:eastAsia="zh-CN"/>
                    </w:rPr>
                    <w:t>0.055</w:t>
                  </w:r>
                </w:p>
              </w:tc>
              <w:tc>
                <w:tcPr>
                  <w:tcW w:w="1138" w:type="dxa"/>
                  <w:vMerge w:val="restart"/>
                  <w:tcBorders>
                    <w:left w:val="single" w:color="auto" w:sz="4" w:space="0"/>
                    <w:tl2br w:val="nil"/>
                    <w:tr2bl w:val="nil"/>
                  </w:tcBorders>
                  <w:vAlign w:val="center"/>
                </w:tcPr>
                <w:p w14:paraId="433FA7DF">
                  <w:pPr>
                    <w:jc w:val="center"/>
                    <w:rPr>
                      <w:rFonts w:hint="default" w:eastAsia="宋体"/>
                      <w:color w:val="auto"/>
                      <w:spacing w:val="-11"/>
                      <w:sz w:val="18"/>
                      <w:szCs w:val="18"/>
                      <w:highlight w:val="none"/>
                      <w:lang w:val="en-US" w:eastAsia="zh-CN"/>
                    </w:rPr>
                  </w:pPr>
                  <w:r>
                    <w:rPr>
                      <w:rFonts w:hint="eastAsia"/>
                      <w:color w:val="auto"/>
                      <w:spacing w:val="-11"/>
                      <w:sz w:val="18"/>
                      <w:szCs w:val="18"/>
                      <w:highlight w:val="none"/>
                      <w:lang w:val="en-US" w:eastAsia="zh-CN"/>
                    </w:rPr>
                    <w:t>0.399</w:t>
                  </w:r>
                </w:p>
              </w:tc>
            </w:tr>
            <w:tr w14:paraId="21AF1DD5">
              <w:tblPrEx>
                <w:tblBorders>
                  <w:top w:val="single" w:color="auto" w:sz="12" w:space="0"/>
                  <w:left w:val="none" w:color="auto" w:sz="0" w:space="0"/>
                  <w:bottom w:val="single" w:color="auto" w:sz="12" w:space="0"/>
                  <w:right w:val="none" w:color="auto" w:sz="0" w:space="0"/>
                  <w:insideH w:val="single" w:color="auto" w:sz="6" w:space="0"/>
                  <w:insideV w:val="single" w:color="auto" w:sz="12" w:space="0"/>
                </w:tblBorders>
                <w:tblCellMar>
                  <w:top w:w="0" w:type="dxa"/>
                  <w:left w:w="0" w:type="dxa"/>
                  <w:bottom w:w="0" w:type="dxa"/>
                  <w:right w:w="0" w:type="dxa"/>
                </w:tblCellMar>
              </w:tblPrEx>
              <w:trPr>
                <w:trHeight w:val="381" w:hRule="atLeast"/>
                <w:jc w:val="center"/>
              </w:trPr>
              <w:tc>
                <w:tcPr>
                  <w:tcW w:w="1041" w:type="dxa"/>
                  <w:vMerge w:val="continue"/>
                  <w:tcBorders>
                    <w:right w:val="single" w:color="auto" w:sz="4" w:space="0"/>
                    <w:tl2br w:val="nil"/>
                    <w:tr2bl w:val="nil"/>
                  </w:tcBorders>
                  <w:vAlign w:val="center"/>
                </w:tcPr>
                <w:p w14:paraId="6BCF3D33">
                  <w:pPr>
                    <w:spacing w:line="0" w:lineRule="atLeast"/>
                    <w:jc w:val="center"/>
                    <w:rPr>
                      <w:rFonts w:hint="eastAsia" w:ascii="Times New Roman" w:hAnsi="Times New Roman" w:eastAsia="宋体" w:cs="Times New Roman"/>
                      <w:color w:val="auto"/>
                      <w:spacing w:val="-12"/>
                      <w:kern w:val="2"/>
                      <w:sz w:val="18"/>
                      <w:szCs w:val="18"/>
                      <w:lang w:val="en-US" w:eastAsia="zh-CN" w:bidi="ar-SA"/>
                    </w:rPr>
                  </w:pPr>
                </w:p>
              </w:tc>
              <w:tc>
                <w:tcPr>
                  <w:tcW w:w="1471" w:type="dxa"/>
                  <w:tcBorders>
                    <w:left w:val="single" w:color="auto" w:sz="4" w:space="0"/>
                    <w:bottom w:val="single" w:color="auto" w:sz="4" w:space="0"/>
                    <w:right w:val="single" w:color="auto" w:sz="4" w:space="0"/>
                    <w:tl2br w:val="nil"/>
                    <w:tr2bl w:val="nil"/>
                  </w:tcBorders>
                  <w:vAlign w:val="center"/>
                </w:tcPr>
                <w:p w14:paraId="07DD559F">
                  <w:pPr>
                    <w:jc w:val="center"/>
                    <w:rPr>
                      <w:rFonts w:hint="eastAsia" w:ascii="Times New Roman" w:hAnsi="Times New Roman" w:eastAsia="宋体" w:cs="Times New Roman"/>
                      <w:color w:val="auto"/>
                      <w:spacing w:val="-11"/>
                      <w:kern w:val="2"/>
                      <w:sz w:val="18"/>
                      <w:szCs w:val="18"/>
                      <w:lang w:val="en-US" w:eastAsia="zh-CN" w:bidi="ar-SA"/>
                    </w:rPr>
                  </w:pPr>
                  <w:r>
                    <w:rPr>
                      <w:rFonts w:hint="eastAsia"/>
                      <w:color w:val="auto"/>
                      <w:spacing w:val="-11"/>
                      <w:sz w:val="18"/>
                      <w:szCs w:val="18"/>
                    </w:rPr>
                    <w:t>除尘系统逸散粉尘</w:t>
                  </w:r>
                </w:p>
              </w:tc>
              <w:tc>
                <w:tcPr>
                  <w:tcW w:w="767" w:type="dxa"/>
                  <w:tcBorders>
                    <w:left w:val="single" w:color="auto" w:sz="4" w:space="0"/>
                    <w:right w:val="single" w:color="auto" w:sz="4" w:space="0"/>
                    <w:tl2br w:val="nil"/>
                    <w:tr2bl w:val="nil"/>
                  </w:tcBorders>
                  <w:vAlign w:val="center"/>
                </w:tcPr>
                <w:p w14:paraId="351636E0">
                  <w:pPr>
                    <w:jc w:val="center"/>
                    <w:rPr>
                      <w:rFonts w:hint="eastAsia" w:ascii="Times New Roman" w:hAnsi="Times New Roman" w:eastAsia="宋体" w:cs="Times New Roman"/>
                      <w:color w:val="auto"/>
                      <w:spacing w:val="-11"/>
                      <w:kern w:val="2"/>
                      <w:sz w:val="18"/>
                      <w:szCs w:val="18"/>
                      <w:lang w:val="en-US" w:eastAsia="zh-CN" w:bidi="ar-SA"/>
                    </w:rPr>
                  </w:pPr>
                  <w:r>
                    <w:rPr>
                      <w:rFonts w:hint="eastAsia"/>
                      <w:color w:val="auto"/>
                      <w:spacing w:val="-11"/>
                      <w:sz w:val="18"/>
                      <w:szCs w:val="18"/>
                    </w:rPr>
                    <w:t>颗粒物</w:t>
                  </w:r>
                </w:p>
              </w:tc>
              <w:tc>
                <w:tcPr>
                  <w:tcW w:w="883" w:type="dxa"/>
                  <w:tcBorders>
                    <w:left w:val="single" w:color="auto" w:sz="4" w:space="0"/>
                    <w:bottom w:val="single" w:color="auto" w:sz="4" w:space="0"/>
                    <w:right w:val="single" w:color="auto" w:sz="4" w:space="0"/>
                    <w:tl2br w:val="nil"/>
                    <w:tr2bl w:val="nil"/>
                  </w:tcBorders>
                  <w:vAlign w:val="center"/>
                </w:tcPr>
                <w:p w14:paraId="68AB0CFD">
                  <w:pPr>
                    <w:spacing w:line="0" w:lineRule="atLeast"/>
                    <w:jc w:val="center"/>
                    <w:rPr>
                      <w:rFonts w:hint="default" w:ascii="Times New Roman" w:hAnsi="Times New Roman" w:eastAsia="宋体" w:cs="Times New Roman"/>
                      <w:color w:val="auto"/>
                      <w:spacing w:val="-12"/>
                      <w:kern w:val="2"/>
                      <w:sz w:val="18"/>
                      <w:szCs w:val="18"/>
                      <w:lang w:val="en-US" w:eastAsia="zh-CN" w:bidi="ar-SA"/>
                    </w:rPr>
                  </w:pPr>
                  <w:r>
                    <w:rPr>
                      <w:rFonts w:hint="eastAsia" w:cs="Times New Roman"/>
                      <w:color w:val="auto"/>
                      <w:spacing w:val="-12"/>
                      <w:kern w:val="2"/>
                      <w:sz w:val="18"/>
                      <w:szCs w:val="18"/>
                      <w:highlight w:val="none"/>
                      <w:lang w:val="en-US" w:eastAsia="zh-CN" w:bidi="ar-SA"/>
                    </w:rPr>
                    <w:t>17.135</w:t>
                  </w:r>
                </w:p>
              </w:tc>
              <w:tc>
                <w:tcPr>
                  <w:tcW w:w="1455" w:type="dxa"/>
                  <w:vMerge w:val="continue"/>
                  <w:tcBorders>
                    <w:left w:val="single" w:color="auto" w:sz="4" w:space="0"/>
                    <w:right w:val="single" w:color="auto" w:sz="4" w:space="0"/>
                    <w:tl2br w:val="nil"/>
                    <w:tr2bl w:val="nil"/>
                  </w:tcBorders>
                  <w:vAlign w:val="center"/>
                </w:tcPr>
                <w:p w14:paraId="44A64463">
                  <w:pPr>
                    <w:jc w:val="center"/>
                    <w:rPr>
                      <w:rFonts w:hint="eastAsia"/>
                      <w:color w:val="auto"/>
                      <w:spacing w:val="-10"/>
                      <w:sz w:val="18"/>
                      <w:szCs w:val="18"/>
                    </w:rPr>
                  </w:pPr>
                </w:p>
              </w:tc>
              <w:tc>
                <w:tcPr>
                  <w:tcW w:w="1322" w:type="dxa"/>
                  <w:vMerge w:val="continue"/>
                  <w:tcBorders>
                    <w:left w:val="single" w:color="auto" w:sz="4" w:space="0"/>
                    <w:right w:val="single" w:color="auto" w:sz="4" w:space="0"/>
                    <w:tl2br w:val="nil"/>
                    <w:tr2bl w:val="nil"/>
                  </w:tcBorders>
                  <w:vAlign w:val="center"/>
                </w:tcPr>
                <w:p w14:paraId="3CA0C49A">
                  <w:pPr>
                    <w:jc w:val="center"/>
                    <w:rPr>
                      <w:rFonts w:hint="default"/>
                      <w:color w:val="auto"/>
                      <w:spacing w:val="-11"/>
                      <w:sz w:val="18"/>
                      <w:szCs w:val="18"/>
                      <w:lang w:val="en-US" w:eastAsia="zh-CN"/>
                    </w:rPr>
                  </w:pPr>
                </w:p>
              </w:tc>
              <w:tc>
                <w:tcPr>
                  <w:tcW w:w="1138" w:type="dxa"/>
                  <w:vMerge w:val="continue"/>
                  <w:tcBorders>
                    <w:left w:val="single" w:color="auto" w:sz="4" w:space="0"/>
                    <w:tl2br w:val="nil"/>
                    <w:tr2bl w:val="nil"/>
                  </w:tcBorders>
                  <w:vAlign w:val="center"/>
                </w:tcPr>
                <w:p w14:paraId="1EEFC444">
                  <w:pPr>
                    <w:jc w:val="center"/>
                    <w:rPr>
                      <w:rFonts w:hint="default"/>
                      <w:color w:val="auto"/>
                      <w:spacing w:val="-11"/>
                      <w:sz w:val="18"/>
                      <w:szCs w:val="18"/>
                      <w:lang w:val="en-US" w:eastAsia="zh-CN"/>
                    </w:rPr>
                  </w:pPr>
                </w:p>
              </w:tc>
            </w:tr>
            <w:tr w14:paraId="769C7D04">
              <w:tblPrEx>
                <w:tblBorders>
                  <w:top w:val="single" w:color="auto" w:sz="12" w:space="0"/>
                  <w:left w:val="none" w:color="auto" w:sz="0" w:space="0"/>
                  <w:bottom w:val="single" w:color="auto" w:sz="12" w:space="0"/>
                  <w:right w:val="none" w:color="auto" w:sz="0" w:space="0"/>
                  <w:insideH w:val="single" w:color="auto" w:sz="6" w:space="0"/>
                  <w:insideV w:val="single" w:color="auto" w:sz="12" w:space="0"/>
                </w:tblBorders>
              </w:tblPrEx>
              <w:trPr>
                <w:trHeight w:val="312" w:hRule="atLeast"/>
                <w:jc w:val="center"/>
              </w:trPr>
              <w:tc>
                <w:tcPr>
                  <w:tcW w:w="1041" w:type="dxa"/>
                  <w:vMerge w:val="restart"/>
                  <w:tcBorders>
                    <w:right w:val="single" w:color="auto" w:sz="4" w:space="0"/>
                    <w:tl2br w:val="nil"/>
                    <w:tr2bl w:val="nil"/>
                  </w:tcBorders>
                  <w:vAlign w:val="center"/>
                </w:tcPr>
                <w:p w14:paraId="5EC621AA">
                  <w:pPr>
                    <w:spacing w:line="0" w:lineRule="atLeast"/>
                    <w:jc w:val="center"/>
                    <w:rPr>
                      <w:rFonts w:hint="eastAsia" w:ascii="Times New Roman" w:hAnsi="Times New Roman" w:eastAsia="宋体" w:cs="Times New Roman"/>
                      <w:color w:val="auto"/>
                      <w:spacing w:val="-12"/>
                      <w:kern w:val="2"/>
                      <w:sz w:val="18"/>
                      <w:szCs w:val="18"/>
                      <w:lang w:val="en-US" w:eastAsia="zh-CN" w:bidi="ar-SA"/>
                    </w:rPr>
                  </w:pPr>
                  <w:r>
                    <w:rPr>
                      <w:rFonts w:hint="eastAsia"/>
                      <w:color w:val="auto"/>
                      <w:spacing w:val="-11"/>
                      <w:sz w:val="18"/>
                      <w:szCs w:val="18"/>
                      <w:lang w:val="en-US" w:eastAsia="zh-CN"/>
                    </w:rPr>
                    <w:t>2</w:t>
                  </w:r>
                  <w:r>
                    <w:rPr>
                      <w:rFonts w:hint="eastAsia"/>
                      <w:color w:val="auto"/>
                      <w:spacing w:val="-11"/>
                      <w:sz w:val="18"/>
                      <w:szCs w:val="18"/>
                      <w:vertAlign w:val="superscript"/>
                      <w:lang w:val="en-US" w:eastAsia="zh-CN"/>
                    </w:rPr>
                    <w:t>#</w:t>
                  </w:r>
                  <w:r>
                    <w:rPr>
                      <w:rFonts w:hint="eastAsia"/>
                      <w:color w:val="auto"/>
                      <w:spacing w:val="-11"/>
                      <w:sz w:val="18"/>
                      <w:szCs w:val="18"/>
                      <w:lang w:val="en-US" w:eastAsia="zh-CN"/>
                    </w:rPr>
                    <w:t>生产车间</w:t>
                  </w:r>
                </w:p>
              </w:tc>
              <w:tc>
                <w:tcPr>
                  <w:tcW w:w="1471" w:type="dxa"/>
                  <w:tcBorders>
                    <w:top w:val="single" w:color="auto" w:sz="4" w:space="0"/>
                    <w:left w:val="single" w:color="auto" w:sz="4" w:space="0"/>
                    <w:bottom w:val="single" w:color="auto" w:sz="4" w:space="0"/>
                    <w:right w:val="single" w:color="auto" w:sz="4" w:space="0"/>
                    <w:tl2br w:val="nil"/>
                    <w:tr2bl w:val="nil"/>
                  </w:tcBorders>
                  <w:shd w:val="clear" w:color="auto" w:fill="auto"/>
                  <w:vAlign w:val="center"/>
                </w:tcPr>
                <w:p w14:paraId="306336E3">
                  <w:pPr>
                    <w:jc w:val="center"/>
                    <w:rPr>
                      <w:rFonts w:hint="eastAsia" w:ascii="Times New Roman" w:hAnsi="Times New Roman" w:eastAsia="宋体" w:cs="Times New Roman"/>
                      <w:color w:val="auto"/>
                      <w:spacing w:val="-11"/>
                      <w:kern w:val="2"/>
                      <w:sz w:val="18"/>
                      <w:szCs w:val="18"/>
                      <w:lang w:val="en-US" w:eastAsia="zh-CN" w:bidi="ar-SA"/>
                    </w:rPr>
                  </w:pPr>
                  <w:r>
                    <w:rPr>
                      <w:rFonts w:hint="eastAsia"/>
                      <w:color w:val="auto"/>
                      <w:spacing w:val="-11"/>
                      <w:sz w:val="18"/>
                      <w:szCs w:val="18"/>
                      <w:lang w:val="en-US" w:eastAsia="zh-CN"/>
                    </w:rPr>
                    <w:t>物料装</w:t>
                  </w:r>
                  <w:r>
                    <w:rPr>
                      <w:rFonts w:hint="eastAsia"/>
                      <w:color w:val="auto"/>
                      <w:spacing w:val="-11"/>
                      <w:sz w:val="18"/>
                      <w:szCs w:val="18"/>
                    </w:rPr>
                    <w:t>卸、堆存扬尘</w:t>
                  </w:r>
                </w:p>
              </w:tc>
              <w:tc>
                <w:tcPr>
                  <w:tcW w:w="767" w:type="dxa"/>
                  <w:tcBorders>
                    <w:left w:val="single" w:color="auto" w:sz="4" w:space="0"/>
                    <w:right w:val="single" w:color="auto" w:sz="4" w:space="0"/>
                    <w:tl2br w:val="nil"/>
                    <w:tr2bl w:val="nil"/>
                  </w:tcBorders>
                  <w:shd w:val="clear" w:color="auto" w:fill="auto"/>
                  <w:vAlign w:val="center"/>
                </w:tcPr>
                <w:p w14:paraId="2C3B33B8">
                  <w:pPr>
                    <w:jc w:val="center"/>
                    <w:rPr>
                      <w:rFonts w:hint="eastAsia" w:ascii="Times New Roman" w:hAnsi="Times New Roman" w:eastAsia="宋体" w:cs="Times New Roman"/>
                      <w:color w:val="auto"/>
                      <w:spacing w:val="-11"/>
                      <w:kern w:val="2"/>
                      <w:sz w:val="18"/>
                      <w:szCs w:val="18"/>
                      <w:lang w:val="en-US" w:eastAsia="zh-CN" w:bidi="ar-SA"/>
                    </w:rPr>
                  </w:pPr>
                  <w:r>
                    <w:rPr>
                      <w:rFonts w:hint="eastAsia"/>
                      <w:color w:val="auto"/>
                      <w:spacing w:val="-11"/>
                      <w:sz w:val="18"/>
                      <w:szCs w:val="18"/>
                    </w:rPr>
                    <w:t>颗粒物</w:t>
                  </w:r>
                </w:p>
              </w:tc>
              <w:tc>
                <w:tcPr>
                  <w:tcW w:w="883" w:type="dxa"/>
                  <w:tcBorders>
                    <w:top w:val="single" w:color="auto" w:sz="4" w:space="0"/>
                    <w:left w:val="single" w:color="auto" w:sz="4" w:space="0"/>
                    <w:bottom w:val="single" w:color="auto" w:sz="4" w:space="0"/>
                    <w:right w:val="single" w:color="auto" w:sz="4" w:space="0"/>
                    <w:tl2br w:val="nil"/>
                    <w:tr2bl w:val="nil"/>
                  </w:tcBorders>
                  <w:shd w:val="clear" w:color="auto" w:fill="auto"/>
                  <w:vAlign w:val="center"/>
                </w:tcPr>
                <w:p w14:paraId="52E435B2">
                  <w:pPr>
                    <w:jc w:val="center"/>
                    <w:rPr>
                      <w:rFonts w:hint="default" w:ascii="Times New Roman" w:hAnsi="Times New Roman" w:eastAsia="宋体" w:cs="Times New Roman"/>
                      <w:color w:val="auto"/>
                      <w:spacing w:val="-11"/>
                      <w:kern w:val="2"/>
                      <w:sz w:val="18"/>
                      <w:szCs w:val="18"/>
                      <w:highlight w:val="none"/>
                      <w:lang w:val="en-US" w:eastAsia="zh-CN" w:bidi="ar-SA"/>
                    </w:rPr>
                  </w:pPr>
                  <w:r>
                    <w:rPr>
                      <w:rFonts w:hint="eastAsia" w:cs="Times New Roman"/>
                      <w:color w:val="auto"/>
                      <w:spacing w:val="-11"/>
                      <w:kern w:val="2"/>
                      <w:sz w:val="18"/>
                      <w:szCs w:val="18"/>
                      <w:highlight w:val="none"/>
                      <w:lang w:val="en-US" w:eastAsia="zh-CN" w:bidi="ar-SA"/>
                    </w:rPr>
                    <w:t>7.9</w:t>
                  </w:r>
                </w:p>
              </w:tc>
              <w:tc>
                <w:tcPr>
                  <w:tcW w:w="1455" w:type="dxa"/>
                  <w:vMerge w:val="continue"/>
                  <w:tcBorders>
                    <w:left w:val="single" w:color="auto" w:sz="4" w:space="0"/>
                    <w:right w:val="single" w:color="auto" w:sz="4" w:space="0"/>
                    <w:tl2br w:val="nil"/>
                    <w:tr2bl w:val="nil"/>
                  </w:tcBorders>
                  <w:vAlign w:val="center"/>
                </w:tcPr>
                <w:p w14:paraId="07633D53">
                  <w:pPr>
                    <w:jc w:val="center"/>
                    <w:rPr>
                      <w:rFonts w:hint="default" w:ascii="Times New Roman" w:hAnsi="Times New Roman" w:eastAsia="宋体" w:cs="Times New Roman"/>
                      <w:color w:val="auto"/>
                      <w:spacing w:val="-10"/>
                      <w:kern w:val="2"/>
                      <w:sz w:val="18"/>
                      <w:szCs w:val="18"/>
                      <w:lang w:val="en-US" w:eastAsia="zh-CN" w:bidi="ar-SA"/>
                    </w:rPr>
                  </w:pPr>
                </w:p>
              </w:tc>
              <w:tc>
                <w:tcPr>
                  <w:tcW w:w="1322" w:type="dxa"/>
                  <w:vMerge w:val="restart"/>
                  <w:tcBorders>
                    <w:left w:val="single" w:color="auto" w:sz="4" w:space="0"/>
                    <w:right w:val="single" w:color="auto" w:sz="4" w:space="0"/>
                    <w:tl2br w:val="nil"/>
                    <w:tr2bl w:val="nil"/>
                  </w:tcBorders>
                  <w:vAlign w:val="center"/>
                </w:tcPr>
                <w:p w14:paraId="5F38B50B">
                  <w:pPr>
                    <w:jc w:val="center"/>
                    <w:rPr>
                      <w:rFonts w:hint="default" w:ascii="Times New Roman" w:hAnsi="Times New Roman" w:eastAsia="宋体" w:cs="Times New Roman"/>
                      <w:color w:val="auto"/>
                      <w:spacing w:val="-11"/>
                      <w:kern w:val="2"/>
                      <w:sz w:val="18"/>
                      <w:szCs w:val="18"/>
                      <w:highlight w:val="none"/>
                      <w:lang w:val="en-US" w:eastAsia="zh-CN" w:bidi="ar-SA"/>
                    </w:rPr>
                  </w:pPr>
                  <w:r>
                    <w:rPr>
                      <w:rFonts w:hint="eastAsia" w:cs="Times New Roman"/>
                      <w:color w:val="auto"/>
                      <w:spacing w:val="-11"/>
                      <w:kern w:val="2"/>
                      <w:sz w:val="18"/>
                      <w:szCs w:val="18"/>
                      <w:highlight w:val="none"/>
                      <w:lang w:val="en-US" w:eastAsia="zh-CN" w:bidi="ar-SA"/>
                    </w:rPr>
                    <w:t>0.029</w:t>
                  </w:r>
                </w:p>
              </w:tc>
              <w:tc>
                <w:tcPr>
                  <w:tcW w:w="1138" w:type="dxa"/>
                  <w:vMerge w:val="restart"/>
                  <w:tcBorders>
                    <w:left w:val="single" w:color="auto" w:sz="4" w:space="0"/>
                    <w:tl2br w:val="nil"/>
                    <w:tr2bl w:val="nil"/>
                  </w:tcBorders>
                  <w:vAlign w:val="center"/>
                </w:tcPr>
                <w:p w14:paraId="31EEB48F">
                  <w:pPr>
                    <w:jc w:val="center"/>
                    <w:rPr>
                      <w:rFonts w:hint="default" w:ascii="Times New Roman" w:hAnsi="Times New Roman" w:eastAsia="宋体" w:cs="Times New Roman"/>
                      <w:color w:val="auto"/>
                      <w:spacing w:val="-11"/>
                      <w:kern w:val="2"/>
                      <w:sz w:val="18"/>
                      <w:szCs w:val="18"/>
                      <w:highlight w:val="none"/>
                      <w:lang w:val="en-US" w:eastAsia="zh-CN" w:bidi="ar-SA"/>
                    </w:rPr>
                  </w:pPr>
                  <w:r>
                    <w:rPr>
                      <w:rFonts w:hint="eastAsia" w:cs="Times New Roman"/>
                      <w:color w:val="auto"/>
                      <w:spacing w:val="-11"/>
                      <w:kern w:val="2"/>
                      <w:sz w:val="18"/>
                      <w:szCs w:val="18"/>
                      <w:highlight w:val="none"/>
                      <w:lang w:val="en-US" w:eastAsia="zh-CN" w:bidi="ar-SA"/>
                    </w:rPr>
                    <w:t>0.211</w:t>
                  </w:r>
                </w:p>
              </w:tc>
            </w:tr>
            <w:tr w14:paraId="7E912906">
              <w:tblPrEx>
                <w:tblBorders>
                  <w:top w:val="single" w:color="auto" w:sz="12" w:space="0"/>
                  <w:left w:val="none" w:color="auto" w:sz="0" w:space="0"/>
                  <w:bottom w:val="single" w:color="auto" w:sz="12" w:space="0"/>
                  <w:right w:val="none" w:color="auto" w:sz="0" w:space="0"/>
                  <w:insideH w:val="single" w:color="auto" w:sz="6" w:space="0"/>
                  <w:insideV w:val="single" w:color="auto" w:sz="12" w:space="0"/>
                </w:tblBorders>
                <w:tblCellMar>
                  <w:top w:w="0" w:type="dxa"/>
                  <w:left w:w="0" w:type="dxa"/>
                  <w:bottom w:w="0" w:type="dxa"/>
                  <w:right w:w="0" w:type="dxa"/>
                </w:tblCellMar>
              </w:tblPrEx>
              <w:trPr>
                <w:trHeight w:val="312" w:hRule="atLeast"/>
                <w:jc w:val="center"/>
              </w:trPr>
              <w:tc>
                <w:tcPr>
                  <w:tcW w:w="1041" w:type="dxa"/>
                  <w:vMerge w:val="continue"/>
                  <w:tcBorders>
                    <w:right w:val="single" w:color="auto" w:sz="4" w:space="0"/>
                    <w:tl2br w:val="nil"/>
                    <w:tr2bl w:val="nil"/>
                  </w:tcBorders>
                  <w:vAlign w:val="center"/>
                </w:tcPr>
                <w:p w14:paraId="1C4F271A">
                  <w:pPr>
                    <w:spacing w:line="0" w:lineRule="atLeast"/>
                    <w:jc w:val="center"/>
                    <w:rPr>
                      <w:rFonts w:hint="eastAsia"/>
                      <w:color w:val="auto"/>
                      <w:spacing w:val="-11"/>
                      <w:sz w:val="18"/>
                      <w:szCs w:val="18"/>
                      <w:lang w:val="en-US" w:eastAsia="zh-CN"/>
                    </w:rPr>
                  </w:pPr>
                </w:p>
              </w:tc>
              <w:tc>
                <w:tcPr>
                  <w:tcW w:w="1471" w:type="dxa"/>
                  <w:tcBorders>
                    <w:top w:val="single" w:color="auto" w:sz="4" w:space="0"/>
                    <w:left w:val="single" w:color="auto" w:sz="4" w:space="0"/>
                    <w:right w:val="single" w:color="auto" w:sz="4" w:space="0"/>
                    <w:tl2br w:val="nil"/>
                    <w:tr2bl w:val="nil"/>
                  </w:tcBorders>
                  <w:shd w:val="clear" w:color="auto" w:fill="auto"/>
                  <w:vAlign w:val="center"/>
                </w:tcPr>
                <w:p w14:paraId="039DC923">
                  <w:pPr>
                    <w:jc w:val="center"/>
                    <w:rPr>
                      <w:rFonts w:hint="eastAsia" w:ascii="Times New Roman" w:hAnsi="Times New Roman" w:eastAsia="宋体" w:cs="Times New Roman"/>
                      <w:color w:val="auto"/>
                      <w:spacing w:val="-11"/>
                      <w:kern w:val="2"/>
                      <w:sz w:val="18"/>
                      <w:szCs w:val="18"/>
                      <w:lang w:val="en-US" w:eastAsia="zh-CN" w:bidi="ar-SA"/>
                    </w:rPr>
                  </w:pPr>
                  <w:r>
                    <w:rPr>
                      <w:rFonts w:hint="eastAsia"/>
                      <w:color w:val="auto"/>
                      <w:spacing w:val="-11"/>
                      <w:sz w:val="18"/>
                      <w:szCs w:val="18"/>
                    </w:rPr>
                    <w:t>除尘系统逸散粉尘</w:t>
                  </w:r>
                </w:p>
              </w:tc>
              <w:tc>
                <w:tcPr>
                  <w:tcW w:w="767" w:type="dxa"/>
                  <w:tcBorders>
                    <w:left w:val="single" w:color="auto" w:sz="4" w:space="0"/>
                    <w:right w:val="single" w:color="auto" w:sz="4" w:space="0"/>
                    <w:tl2br w:val="nil"/>
                    <w:tr2bl w:val="nil"/>
                  </w:tcBorders>
                  <w:shd w:val="clear" w:color="auto" w:fill="auto"/>
                  <w:vAlign w:val="center"/>
                </w:tcPr>
                <w:p w14:paraId="4E7669F5">
                  <w:pPr>
                    <w:jc w:val="center"/>
                    <w:rPr>
                      <w:rFonts w:hint="eastAsia" w:ascii="Times New Roman" w:hAnsi="Times New Roman" w:eastAsia="宋体" w:cs="Times New Roman"/>
                      <w:color w:val="auto"/>
                      <w:spacing w:val="-11"/>
                      <w:kern w:val="2"/>
                      <w:sz w:val="18"/>
                      <w:szCs w:val="18"/>
                      <w:lang w:val="en-US" w:eastAsia="zh-CN" w:bidi="ar-SA"/>
                    </w:rPr>
                  </w:pPr>
                  <w:r>
                    <w:rPr>
                      <w:rFonts w:hint="eastAsia"/>
                      <w:color w:val="auto"/>
                      <w:spacing w:val="-11"/>
                      <w:sz w:val="18"/>
                      <w:szCs w:val="18"/>
                    </w:rPr>
                    <w:t>颗粒物</w:t>
                  </w:r>
                </w:p>
              </w:tc>
              <w:tc>
                <w:tcPr>
                  <w:tcW w:w="883" w:type="dxa"/>
                  <w:tcBorders>
                    <w:top w:val="single" w:color="auto" w:sz="4" w:space="0"/>
                    <w:left w:val="single" w:color="auto" w:sz="4" w:space="0"/>
                    <w:right w:val="single" w:color="auto" w:sz="4" w:space="0"/>
                    <w:tl2br w:val="nil"/>
                    <w:tr2bl w:val="nil"/>
                  </w:tcBorders>
                  <w:shd w:val="clear" w:color="auto" w:fill="auto"/>
                  <w:vAlign w:val="center"/>
                </w:tcPr>
                <w:p w14:paraId="5DC380DE">
                  <w:pPr>
                    <w:spacing w:line="0" w:lineRule="atLeast"/>
                    <w:jc w:val="center"/>
                    <w:rPr>
                      <w:rFonts w:hint="default" w:ascii="Times New Roman" w:hAnsi="Times New Roman" w:eastAsia="宋体" w:cs="Times New Roman"/>
                      <w:color w:val="auto"/>
                      <w:spacing w:val="-12"/>
                      <w:kern w:val="2"/>
                      <w:sz w:val="18"/>
                      <w:szCs w:val="18"/>
                      <w:lang w:val="en-US" w:eastAsia="zh-CN" w:bidi="ar-SA"/>
                    </w:rPr>
                  </w:pPr>
                  <w:r>
                    <w:rPr>
                      <w:rFonts w:hint="eastAsia" w:cs="Times New Roman"/>
                      <w:color w:val="auto"/>
                      <w:spacing w:val="-12"/>
                      <w:kern w:val="2"/>
                      <w:sz w:val="18"/>
                      <w:szCs w:val="18"/>
                      <w:lang w:val="en-US" w:eastAsia="zh-CN" w:bidi="ar-SA"/>
                    </w:rPr>
                    <w:t>6.6</w:t>
                  </w:r>
                </w:p>
              </w:tc>
              <w:tc>
                <w:tcPr>
                  <w:tcW w:w="1455" w:type="dxa"/>
                  <w:vMerge w:val="continue"/>
                  <w:tcBorders>
                    <w:left w:val="single" w:color="auto" w:sz="4" w:space="0"/>
                    <w:right w:val="single" w:color="auto" w:sz="4" w:space="0"/>
                    <w:tl2br w:val="nil"/>
                    <w:tr2bl w:val="nil"/>
                  </w:tcBorders>
                  <w:vAlign w:val="center"/>
                </w:tcPr>
                <w:p w14:paraId="491953DE">
                  <w:pPr>
                    <w:jc w:val="center"/>
                    <w:rPr>
                      <w:rFonts w:hint="default" w:ascii="Times New Roman" w:hAnsi="Times New Roman" w:eastAsia="宋体" w:cs="Times New Roman"/>
                      <w:color w:val="auto"/>
                      <w:spacing w:val="-10"/>
                      <w:kern w:val="2"/>
                      <w:sz w:val="18"/>
                      <w:szCs w:val="18"/>
                      <w:lang w:val="en-US" w:eastAsia="zh-CN" w:bidi="ar-SA"/>
                    </w:rPr>
                  </w:pPr>
                </w:p>
              </w:tc>
              <w:tc>
                <w:tcPr>
                  <w:tcW w:w="1322" w:type="dxa"/>
                  <w:vMerge w:val="continue"/>
                  <w:tcBorders>
                    <w:left w:val="single" w:color="auto" w:sz="4" w:space="0"/>
                    <w:right w:val="single" w:color="auto" w:sz="4" w:space="0"/>
                    <w:tl2br w:val="nil"/>
                    <w:tr2bl w:val="nil"/>
                  </w:tcBorders>
                  <w:vAlign w:val="center"/>
                </w:tcPr>
                <w:p w14:paraId="4FD4D364">
                  <w:pPr>
                    <w:jc w:val="center"/>
                    <w:rPr>
                      <w:rFonts w:hint="eastAsia"/>
                      <w:color w:val="auto"/>
                      <w:spacing w:val="-11"/>
                      <w:sz w:val="18"/>
                      <w:szCs w:val="18"/>
                      <w:lang w:val="en-US" w:eastAsia="zh-CN"/>
                    </w:rPr>
                  </w:pPr>
                </w:p>
              </w:tc>
              <w:tc>
                <w:tcPr>
                  <w:tcW w:w="1138" w:type="dxa"/>
                  <w:vMerge w:val="continue"/>
                  <w:tcBorders>
                    <w:left w:val="single" w:color="auto" w:sz="4" w:space="0"/>
                    <w:tl2br w:val="nil"/>
                    <w:tr2bl w:val="nil"/>
                  </w:tcBorders>
                  <w:vAlign w:val="center"/>
                </w:tcPr>
                <w:p w14:paraId="169C4CC8">
                  <w:pPr>
                    <w:jc w:val="center"/>
                    <w:rPr>
                      <w:rFonts w:hint="eastAsia"/>
                      <w:color w:val="auto"/>
                      <w:spacing w:val="-11"/>
                      <w:sz w:val="18"/>
                      <w:szCs w:val="18"/>
                      <w:lang w:val="en-US" w:eastAsia="zh-CN"/>
                    </w:rPr>
                  </w:pPr>
                </w:p>
              </w:tc>
            </w:tr>
          </w:tbl>
          <w:p w14:paraId="3A79D9E8">
            <w:pPr>
              <w:pStyle w:val="24"/>
              <w:adjustRightInd w:val="0"/>
              <w:snapToGrid w:val="0"/>
              <w:spacing w:before="0" w:beforeAutospacing="0" w:after="0" w:afterAutospacing="0" w:line="440" w:lineRule="exact"/>
              <w:ind w:firstLine="422" w:firstLineChars="200"/>
              <w:rPr>
                <w:rFonts w:ascii="Times New Roman" w:hAnsi="Times New Roman"/>
                <w:b/>
                <w:color w:val="auto"/>
                <w:sz w:val="21"/>
                <w:szCs w:val="21"/>
              </w:rPr>
            </w:pPr>
            <w:r>
              <w:rPr>
                <w:rFonts w:hint="eastAsia" w:ascii="Times New Roman" w:hAnsi="Times New Roman"/>
                <w:b/>
                <w:color w:val="auto"/>
                <w:sz w:val="21"/>
                <w:szCs w:val="21"/>
              </w:rPr>
              <w:t>1.1.4拟建项目废气污染源产生排放情况汇总</w:t>
            </w:r>
          </w:p>
          <w:p w14:paraId="07E9C9E2">
            <w:pPr>
              <w:pStyle w:val="24"/>
              <w:adjustRightInd w:val="0"/>
              <w:snapToGrid w:val="0"/>
              <w:spacing w:before="0" w:beforeAutospacing="0" w:after="0" w:afterAutospacing="0" w:line="440" w:lineRule="exact"/>
              <w:ind w:firstLine="420" w:firstLineChars="200"/>
              <w:rPr>
                <w:rFonts w:hint="eastAsia" w:ascii="Times New Roman" w:hAnsi="Times New Roman"/>
                <w:color w:val="auto"/>
                <w:sz w:val="21"/>
                <w:szCs w:val="21"/>
              </w:rPr>
            </w:pPr>
            <w:r>
              <w:rPr>
                <w:rFonts w:hint="eastAsia" w:ascii="Times New Roman" w:hAnsi="Times New Roman"/>
                <w:color w:val="auto"/>
                <w:sz w:val="21"/>
                <w:szCs w:val="21"/>
              </w:rPr>
              <w:t>拟建项目有组织、无组织废气污染源产生排放情况汇总详见下表。</w:t>
            </w:r>
          </w:p>
          <w:p w14:paraId="4A63959F">
            <w:pPr>
              <w:spacing w:line="440" w:lineRule="exact"/>
              <w:ind w:firstLine="422" w:firstLineChars="200"/>
              <w:jc w:val="center"/>
              <w:rPr>
                <w:b/>
                <w:snapToGrid w:val="0"/>
                <w:color w:val="auto"/>
                <w:kern w:val="0"/>
                <w:lang w:bidi="ar"/>
              </w:rPr>
            </w:pPr>
            <w:r>
              <w:rPr>
                <w:rFonts w:hint="eastAsia"/>
                <w:b/>
                <w:snapToGrid w:val="0"/>
                <w:color w:val="auto"/>
                <w:kern w:val="0"/>
                <w:lang w:bidi="ar"/>
              </w:rPr>
              <w:t>表</w:t>
            </w:r>
            <w:r>
              <w:rPr>
                <w:rFonts w:hint="eastAsia"/>
                <w:b/>
                <w:snapToGrid w:val="0"/>
                <w:color w:val="auto"/>
                <w:kern w:val="0"/>
                <w:lang w:val="en-US" w:eastAsia="zh-CN" w:bidi="ar"/>
              </w:rPr>
              <w:t>33</w:t>
            </w:r>
            <w:r>
              <w:rPr>
                <w:b/>
                <w:snapToGrid w:val="0"/>
                <w:color w:val="auto"/>
                <w:kern w:val="0"/>
                <w:lang w:bidi="ar"/>
              </w:rPr>
              <w:t xml:space="preserve"> </w:t>
            </w:r>
            <w:r>
              <w:rPr>
                <w:rFonts w:hint="eastAsia"/>
                <w:b/>
                <w:snapToGrid w:val="0"/>
                <w:color w:val="auto"/>
                <w:kern w:val="0"/>
                <w:lang w:bidi="ar"/>
              </w:rPr>
              <w:t xml:space="preserve"> </w:t>
            </w:r>
            <w:r>
              <w:rPr>
                <w:rFonts w:hint="eastAsia"/>
                <w:b/>
                <w:color w:val="auto"/>
                <w:szCs w:val="21"/>
              </w:rPr>
              <w:t>拟建项目废气污染源产生排放情况汇总</w:t>
            </w:r>
            <w:r>
              <w:rPr>
                <w:rFonts w:hint="eastAsia"/>
                <w:b/>
                <w:snapToGrid w:val="0"/>
                <w:color w:val="auto"/>
                <w:kern w:val="0"/>
                <w:lang w:bidi="ar"/>
              </w:rPr>
              <w:t>一览表</w:t>
            </w:r>
          </w:p>
          <w:tbl>
            <w:tblPr>
              <w:tblStyle w:val="29"/>
              <w:tblW w:w="7960" w:type="dxa"/>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536"/>
              <w:gridCol w:w="1045"/>
              <w:gridCol w:w="1534"/>
              <w:gridCol w:w="1693"/>
              <w:gridCol w:w="1574"/>
              <w:gridCol w:w="1578"/>
            </w:tblGrid>
            <w:tr w14:paraId="1BB1B84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3" w:hRule="atLeast"/>
              </w:trPr>
              <w:tc>
                <w:tcPr>
                  <w:tcW w:w="1581" w:type="dxa"/>
                  <w:gridSpan w:val="2"/>
                  <w:tcBorders>
                    <w:tl2br w:val="nil"/>
                    <w:tr2bl w:val="nil"/>
                  </w:tcBorders>
                  <w:vAlign w:val="center"/>
                </w:tcPr>
                <w:p w14:paraId="704848BB">
                  <w:pPr>
                    <w:jc w:val="center"/>
                    <w:rPr>
                      <w:color w:val="auto"/>
                      <w:spacing w:val="-20"/>
                      <w:sz w:val="18"/>
                      <w:szCs w:val="18"/>
                    </w:rPr>
                  </w:pPr>
                  <w:r>
                    <w:rPr>
                      <w:rFonts w:hint="eastAsia"/>
                      <w:color w:val="auto"/>
                      <w:spacing w:val="-20"/>
                      <w:sz w:val="18"/>
                      <w:szCs w:val="18"/>
                    </w:rPr>
                    <w:t>序号</w:t>
                  </w:r>
                </w:p>
              </w:tc>
              <w:tc>
                <w:tcPr>
                  <w:tcW w:w="1534" w:type="dxa"/>
                  <w:tcBorders>
                    <w:tl2br w:val="nil"/>
                    <w:tr2bl w:val="nil"/>
                  </w:tcBorders>
                  <w:vAlign w:val="center"/>
                </w:tcPr>
                <w:p w14:paraId="489AEE68">
                  <w:pPr>
                    <w:jc w:val="center"/>
                    <w:rPr>
                      <w:color w:val="auto"/>
                      <w:spacing w:val="-20"/>
                      <w:sz w:val="18"/>
                      <w:szCs w:val="18"/>
                    </w:rPr>
                  </w:pPr>
                  <w:r>
                    <w:rPr>
                      <w:rFonts w:hint="eastAsia"/>
                      <w:color w:val="auto"/>
                      <w:spacing w:val="-20"/>
                      <w:sz w:val="18"/>
                      <w:szCs w:val="18"/>
                    </w:rPr>
                    <w:t>1</w:t>
                  </w:r>
                </w:p>
              </w:tc>
              <w:tc>
                <w:tcPr>
                  <w:tcW w:w="1693" w:type="dxa"/>
                  <w:tcBorders>
                    <w:tl2br w:val="nil"/>
                    <w:tr2bl w:val="nil"/>
                  </w:tcBorders>
                  <w:vAlign w:val="center"/>
                </w:tcPr>
                <w:p w14:paraId="3645D33E">
                  <w:pPr>
                    <w:jc w:val="center"/>
                    <w:rPr>
                      <w:rFonts w:hint="eastAsia" w:ascii="Times New Roman" w:hAnsi="Times New Roman" w:eastAsia="宋体" w:cs="Times New Roman"/>
                      <w:color w:val="auto"/>
                      <w:spacing w:val="-20"/>
                      <w:sz w:val="18"/>
                      <w:szCs w:val="18"/>
                      <w:lang w:val="en-US" w:eastAsia="zh-CN"/>
                    </w:rPr>
                  </w:pPr>
                  <w:r>
                    <w:rPr>
                      <w:rFonts w:hint="eastAsia" w:ascii="Times New Roman" w:hAnsi="Times New Roman" w:eastAsia="宋体" w:cs="Times New Roman"/>
                      <w:color w:val="auto"/>
                      <w:spacing w:val="-20"/>
                      <w:sz w:val="18"/>
                      <w:szCs w:val="18"/>
                      <w:lang w:val="en-US" w:eastAsia="zh-CN"/>
                    </w:rPr>
                    <w:t>2</w:t>
                  </w:r>
                </w:p>
              </w:tc>
              <w:tc>
                <w:tcPr>
                  <w:tcW w:w="1574" w:type="dxa"/>
                  <w:tcBorders>
                    <w:tl2br w:val="nil"/>
                    <w:tr2bl w:val="nil"/>
                  </w:tcBorders>
                  <w:vAlign w:val="center"/>
                </w:tcPr>
                <w:p w14:paraId="004B23B5">
                  <w:pPr>
                    <w:jc w:val="center"/>
                    <w:rPr>
                      <w:rFonts w:hint="eastAsia" w:eastAsia="宋体"/>
                      <w:color w:val="auto"/>
                      <w:spacing w:val="-20"/>
                      <w:sz w:val="18"/>
                      <w:szCs w:val="18"/>
                      <w:lang w:eastAsia="zh-CN"/>
                    </w:rPr>
                  </w:pPr>
                  <w:r>
                    <w:rPr>
                      <w:rFonts w:hint="eastAsia"/>
                      <w:color w:val="auto"/>
                      <w:spacing w:val="-20"/>
                      <w:sz w:val="18"/>
                      <w:szCs w:val="18"/>
                      <w:lang w:val="en-US" w:eastAsia="zh-CN"/>
                    </w:rPr>
                    <w:t>3</w:t>
                  </w:r>
                </w:p>
              </w:tc>
              <w:tc>
                <w:tcPr>
                  <w:tcW w:w="1578" w:type="dxa"/>
                  <w:tcBorders>
                    <w:tl2br w:val="nil"/>
                    <w:tr2bl w:val="nil"/>
                  </w:tcBorders>
                  <w:vAlign w:val="center"/>
                </w:tcPr>
                <w:p w14:paraId="4CCC6DFA">
                  <w:pPr>
                    <w:jc w:val="center"/>
                    <w:rPr>
                      <w:rFonts w:hint="default"/>
                      <w:color w:val="auto"/>
                      <w:spacing w:val="-20"/>
                      <w:sz w:val="18"/>
                      <w:szCs w:val="18"/>
                      <w:lang w:val="en-US" w:eastAsia="zh-CN"/>
                    </w:rPr>
                  </w:pPr>
                  <w:r>
                    <w:rPr>
                      <w:rFonts w:hint="eastAsia"/>
                      <w:color w:val="auto"/>
                      <w:spacing w:val="-20"/>
                      <w:sz w:val="18"/>
                      <w:szCs w:val="18"/>
                      <w:lang w:val="en-US" w:eastAsia="zh-CN"/>
                    </w:rPr>
                    <w:t>4</w:t>
                  </w:r>
                </w:p>
              </w:tc>
            </w:tr>
            <w:tr w14:paraId="2EE007F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09" w:hRule="atLeast"/>
              </w:trPr>
              <w:tc>
                <w:tcPr>
                  <w:tcW w:w="1581" w:type="dxa"/>
                  <w:gridSpan w:val="2"/>
                  <w:tcBorders>
                    <w:tl2br w:val="nil"/>
                    <w:tr2bl w:val="nil"/>
                  </w:tcBorders>
                  <w:vAlign w:val="center"/>
                </w:tcPr>
                <w:p w14:paraId="1FDA1874">
                  <w:pPr>
                    <w:jc w:val="center"/>
                    <w:rPr>
                      <w:color w:val="auto"/>
                      <w:spacing w:val="-20"/>
                      <w:sz w:val="18"/>
                      <w:szCs w:val="18"/>
                    </w:rPr>
                  </w:pPr>
                  <w:r>
                    <w:rPr>
                      <w:rFonts w:hint="eastAsia"/>
                      <w:color w:val="auto"/>
                      <w:spacing w:val="-20"/>
                      <w:sz w:val="18"/>
                      <w:szCs w:val="18"/>
                    </w:rPr>
                    <w:t>产排污环节</w:t>
                  </w:r>
                </w:p>
              </w:tc>
              <w:tc>
                <w:tcPr>
                  <w:tcW w:w="1534" w:type="dxa"/>
                  <w:tcBorders>
                    <w:tl2br w:val="nil"/>
                    <w:tr2bl w:val="nil"/>
                  </w:tcBorders>
                  <w:vAlign w:val="center"/>
                </w:tcPr>
                <w:p w14:paraId="10AEB5FA">
                  <w:pPr>
                    <w:jc w:val="center"/>
                    <w:rPr>
                      <w:rFonts w:hint="default" w:eastAsia="宋体"/>
                      <w:color w:val="auto"/>
                      <w:spacing w:val="-20"/>
                      <w:sz w:val="18"/>
                      <w:szCs w:val="18"/>
                      <w:highlight w:val="none"/>
                      <w:lang w:val="en-US" w:eastAsia="zh-CN"/>
                    </w:rPr>
                  </w:pPr>
                  <w:r>
                    <w:rPr>
                      <w:rFonts w:hint="eastAsia" w:ascii="Times New Roman" w:hAnsi="Times New Roman" w:eastAsia="宋体" w:cs="Times New Roman"/>
                      <w:color w:val="auto"/>
                      <w:spacing w:val="-10"/>
                      <w:sz w:val="18"/>
                      <w:szCs w:val="18"/>
                      <w:highlight w:val="none"/>
                      <w:lang w:val="en-US" w:eastAsia="zh-CN"/>
                    </w:rPr>
                    <w:t>废钢破碎尾料分选生产线上料</w:t>
                  </w:r>
                  <w:r>
                    <w:rPr>
                      <w:rFonts w:hint="eastAsia" w:cs="Times New Roman"/>
                      <w:color w:val="auto"/>
                      <w:spacing w:val="-10"/>
                      <w:sz w:val="18"/>
                      <w:szCs w:val="18"/>
                      <w:highlight w:val="none"/>
                      <w:lang w:val="en-US" w:eastAsia="zh-CN"/>
                    </w:rPr>
                    <w:t>、筛分、空分</w:t>
                  </w:r>
                </w:p>
              </w:tc>
              <w:tc>
                <w:tcPr>
                  <w:tcW w:w="1693" w:type="dxa"/>
                  <w:tcBorders>
                    <w:tl2br w:val="nil"/>
                    <w:tr2bl w:val="nil"/>
                  </w:tcBorders>
                  <w:vAlign w:val="center"/>
                </w:tcPr>
                <w:p w14:paraId="0F637AED">
                  <w:pPr>
                    <w:jc w:val="center"/>
                    <w:rPr>
                      <w:rFonts w:hint="default" w:ascii="Times New Roman" w:hAnsi="Times New Roman" w:eastAsia="宋体" w:cs="Times New Roman"/>
                      <w:color w:val="auto"/>
                      <w:spacing w:val="-20"/>
                      <w:sz w:val="18"/>
                      <w:szCs w:val="18"/>
                      <w:highlight w:val="none"/>
                      <w:lang w:val="en-US"/>
                    </w:rPr>
                  </w:pPr>
                  <w:r>
                    <w:rPr>
                      <w:rFonts w:hint="eastAsia"/>
                      <w:color w:val="auto"/>
                      <w:spacing w:val="-11"/>
                      <w:sz w:val="18"/>
                      <w:szCs w:val="18"/>
                      <w:highlight w:val="none"/>
                      <w:lang w:val="en-US" w:eastAsia="zh-CN"/>
                    </w:rPr>
                    <w:t>钢渣处理生产线上料、破碎、筛分</w:t>
                  </w:r>
                </w:p>
              </w:tc>
              <w:tc>
                <w:tcPr>
                  <w:tcW w:w="1574" w:type="dxa"/>
                  <w:tcBorders>
                    <w:tl2br w:val="nil"/>
                    <w:tr2bl w:val="nil"/>
                  </w:tcBorders>
                  <w:vAlign w:val="center"/>
                </w:tcPr>
                <w:p w14:paraId="05403874">
                  <w:pPr>
                    <w:jc w:val="center"/>
                    <w:rPr>
                      <w:color w:val="auto"/>
                      <w:spacing w:val="-20"/>
                      <w:sz w:val="18"/>
                      <w:szCs w:val="18"/>
                    </w:rPr>
                  </w:pPr>
                  <w:r>
                    <w:rPr>
                      <w:rFonts w:hint="eastAsia"/>
                      <w:color w:val="auto"/>
                      <w:spacing w:val="-20"/>
                      <w:sz w:val="18"/>
                      <w:szCs w:val="18"/>
                      <w:lang w:val="en-US" w:eastAsia="zh-CN"/>
                    </w:rPr>
                    <w:t>1</w:t>
                  </w:r>
                  <w:r>
                    <w:rPr>
                      <w:rFonts w:hint="eastAsia"/>
                      <w:color w:val="auto"/>
                      <w:spacing w:val="-20"/>
                      <w:sz w:val="18"/>
                      <w:szCs w:val="18"/>
                      <w:vertAlign w:val="superscript"/>
                      <w:lang w:val="en-US" w:eastAsia="zh-CN"/>
                    </w:rPr>
                    <w:t>#</w:t>
                  </w:r>
                  <w:r>
                    <w:rPr>
                      <w:rFonts w:hint="eastAsia"/>
                      <w:color w:val="auto"/>
                      <w:spacing w:val="-20"/>
                      <w:sz w:val="18"/>
                      <w:szCs w:val="18"/>
                    </w:rPr>
                    <w:t>生产</w:t>
                  </w:r>
                  <w:r>
                    <w:rPr>
                      <w:color w:val="auto"/>
                      <w:spacing w:val="-20"/>
                      <w:sz w:val="18"/>
                      <w:szCs w:val="18"/>
                    </w:rPr>
                    <w:t>车间</w:t>
                  </w:r>
                </w:p>
              </w:tc>
              <w:tc>
                <w:tcPr>
                  <w:tcW w:w="1578" w:type="dxa"/>
                  <w:tcBorders>
                    <w:tl2br w:val="nil"/>
                    <w:tr2bl w:val="nil"/>
                  </w:tcBorders>
                  <w:vAlign w:val="center"/>
                </w:tcPr>
                <w:p w14:paraId="2B8227FD">
                  <w:pPr>
                    <w:jc w:val="center"/>
                    <w:rPr>
                      <w:rFonts w:hint="eastAsia"/>
                      <w:color w:val="auto"/>
                      <w:spacing w:val="-20"/>
                      <w:sz w:val="18"/>
                      <w:szCs w:val="18"/>
                    </w:rPr>
                  </w:pPr>
                  <w:r>
                    <w:rPr>
                      <w:rFonts w:hint="eastAsia"/>
                      <w:color w:val="auto"/>
                      <w:spacing w:val="-20"/>
                      <w:sz w:val="18"/>
                      <w:szCs w:val="18"/>
                      <w:lang w:val="en-US" w:eastAsia="zh-CN"/>
                    </w:rPr>
                    <w:t>2</w:t>
                  </w:r>
                  <w:r>
                    <w:rPr>
                      <w:rFonts w:hint="eastAsia"/>
                      <w:color w:val="auto"/>
                      <w:spacing w:val="-20"/>
                      <w:sz w:val="18"/>
                      <w:szCs w:val="18"/>
                      <w:vertAlign w:val="superscript"/>
                      <w:lang w:val="en-US" w:eastAsia="zh-CN"/>
                    </w:rPr>
                    <w:t>#</w:t>
                  </w:r>
                  <w:r>
                    <w:rPr>
                      <w:rFonts w:hint="eastAsia"/>
                      <w:color w:val="auto"/>
                      <w:spacing w:val="-20"/>
                      <w:sz w:val="18"/>
                      <w:szCs w:val="18"/>
                    </w:rPr>
                    <w:t>生产</w:t>
                  </w:r>
                  <w:r>
                    <w:rPr>
                      <w:color w:val="auto"/>
                      <w:spacing w:val="-20"/>
                      <w:sz w:val="18"/>
                      <w:szCs w:val="18"/>
                    </w:rPr>
                    <w:t>车间</w:t>
                  </w:r>
                </w:p>
              </w:tc>
            </w:tr>
            <w:tr w14:paraId="56BA5EB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13" w:hRule="atLeast"/>
              </w:trPr>
              <w:tc>
                <w:tcPr>
                  <w:tcW w:w="1581" w:type="dxa"/>
                  <w:gridSpan w:val="2"/>
                  <w:tcBorders>
                    <w:tl2br w:val="nil"/>
                    <w:tr2bl w:val="nil"/>
                  </w:tcBorders>
                  <w:vAlign w:val="center"/>
                </w:tcPr>
                <w:p w14:paraId="0B114E4C">
                  <w:pPr>
                    <w:jc w:val="center"/>
                    <w:rPr>
                      <w:color w:val="auto"/>
                      <w:spacing w:val="-20"/>
                      <w:sz w:val="18"/>
                      <w:szCs w:val="18"/>
                    </w:rPr>
                  </w:pPr>
                  <w:r>
                    <w:rPr>
                      <w:rFonts w:hint="eastAsia"/>
                      <w:color w:val="auto"/>
                      <w:spacing w:val="-20"/>
                      <w:sz w:val="18"/>
                      <w:szCs w:val="18"/>
                    </w:rPr>
                    <w:t>污染因子</w:t>
                  </w:r>
                </w:p>
              </w:tc>
              <w:tc>
                <w:tcPr>
                  <w:tcW w:w="1534" w:type="dxa"/>
                  <w:tcBorders>
                    <w:tl2br w:val="nil"/>
                    <w:tr2bl w:val="nil"/>
                  </w:tcBorders>
                  <w:vAlign w:val="center"/>
                </w:tcPr>
                <w:p w14:paraId="315468A6">
                  <w:pPr>
                    <w:jc w:val="center"/>
                    <w:rPr>
                      <w:color w:val="auto"/>
                      <w:spacing w:val="-20"/>
                      <w:sz w:val="18"/>
                      <w:szCs w:val="18"/>
                    </w:rPr>
                  </w:pPr>
                  <w:r>
                    <w:rPr>
                      <w:rFonts w:hint="eastAsia"/>
                      <w:color w:val="auto"/>
                      <w:spacing w:val="-20"/>
                      <w:sz w:val="18"/>
                      <w:szCs w:val="18"/>
                    </w:rPr>
                    <w:t>颗粒物</w:t>
                  </w:r>
                </w:p>
              </w:tc>
              <w:tc>
                <w:tcPr>
                  <w:tcW w:w="1693" w:type="dxa"/>
                  <w:tcBorders>
                    <w:tl2br w:val="nil"/>
                    <w:tr2bl w:val="nil"/>
                  </w:tcBorders>
                  <w:vAlign w:val="center"/>
                </w:tcPr>
                <w:p w14:paraId="05EEEF46">
                  <w:pPr>
                    <w:jc w:val="center"/>
                    <w:rPr>
                      <w:rFonts w:hint="default" w:eastAsia="宋体"/>
                      <w:color w:val="auto"/>
                      <w:spacing w:val="-20"/>
                      <w:sz w:val="18"/>
                      <w:szCs w:val="18"/>
                      <w:lang w:val="en-US" w:eastAsia="zh-CN"/>
                    </w:rPr>
                  </w:pPr>
                  <w:r>
                    <w:rPr>
                      <w:rFonts w:hint="eastAsia"/>
                      <w:color w:val="auto"/>
                      <w:spacing w:val="-20"/>
                      <w:sz w:val="18"/>
                      <w:szCs w:val="18"/>
                      <w:lang w:val="en-US" w:eastAsia="zh-CN"/>
                    </w:rPr>
                    <w:t>颗粒物</w:t>
                  </w:r>
                </w:p>
              </w:tc>
              <w:tc>
                <w:tcPr>
                  <w:tcW w:w="1574" w:type="dxa"/>
                  <w:tcBorders>
                    <w:tl2br w:val="nil"/>
                    <w:tr2bl w:val="nil"/>
                  </w:tcBorders>
                  <w:vAlign w:val="center"/>
                </w:tcPr>
                <w:p w14:paraId="3CCB08AA">
                  <w:pPr>
                    <w:jc w:val="center"/>
                    <w:rPr>
                      <w:color w:val="auto"/>
                      <w:spacing w:val="-20"/>
                      <w:sz w:val="18"/>
                      <w:szCs w:val="18"/>
                    </w:rPr>
                  </w:pPr>
                  <w:r>
                    <w:rPr>
                      <w:rFonts w:hint="eastAsia"/>
                      <w:color w:val="auto"/>
                      <w:spacing w:val="-20"/>
                      <w:sz w:val="18"/>
                      <w:szCs w:val="18"/>
                      <w:lang w:val="en-US" w:eastAsia="zh-CN"/>
                    </w:rPr>
                    <w:t>颗粒物</w:t>
                  </w:r>
                </w:p>
              </w:tc>
              <w:tc>
                <w:tcPr>
                  <w:tcW w:w="1578" w:type="dxa"/>
                  <w:tcBorders>
                    <w:tl2br w:val="nil"/>
                    <w:tr2bl w:val="nil"/>
                  </w:tcBorders>
                  <w:vAlign w:val="center"/>
                </w:tcPr>
                <w:p w14:paraId="332AF3CC">
                  <w:pPr>
                    <w:jc w:val="center"/>
                    <w:rPr>
                      <w:rFonts w:hint="eastAsia"/>
                      <w:color w:val="auto"/>
                      <w:spacing w:val="-20"/>
                      <w:sz w:val="18"/>
                      <w:szCs w:val="18"/>
                    </w:rPr>
                  </w:pPr>
                  <w:r>
                    <w:rPr>
                      <w:rFonts w:hint="eastAsia"/>
                      <w:color w:val="auto"/>
                      <w:spacing w:val="-20"/>
                      <w:sz w:val="18"/>
                      <w:szCs w:val="18"/>
                    </w:rPr>
                    <w:t>颗粒物</w:t>
                  </w:r>
                </w:p>
              </w:tc>
            </w:tr>
            <w:tr w14:paraId="2DA39CC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581" w:type="dxa"/>
                  <w:gridSpan w:val="2"/>
                  <w:tcBorders>
                    <w:tl2br w:val="nil"/>
                    <w:tr2bl w:val="nil"/>
                  </w:tcBorders>
                  <w:vAlign w:val="center"/>
                </w:tcPr>
                <w:p w14:paraId="475A5F23">
                  <w:pPr>
                    <w:jc w:val="center"/>
                    <w:rPr>
                      <w:color w:val="auto"/>
                      <w:spacing w:val="-20"/>
                      <w:sz w:val="18"/>
                      <w:szCs w:val="18"/>
                    </w:rPr>
                  </w:pPr>
                  <w:r>
                    <w:rPr>
                      <w:rFonts w:hint="eastAsia"/>
                      <w:color w:val="auto"/>
                      <w:spacing w:val="-20"/>
                      <w:sz w:val="18"/>
                      <w:szCs w:val="18"/>
                    </w:rPr>
                    <w:t>产生量t/a</w:t>
                  </w:r>
                </w:p>
              </w:tc>
              <w:tc>
                <w:tcPr>
                  <w:tcW w:w="1534" w:type="dxa"/>
                  <w:tcBorders>
                    <w:tl2br w:val="nil"/>
                    <w:tr2bl w:val="nil"/>
                  </w:tcBorders>
                  <w:vAlign w:val="center"/>
                </w:tcPr>
                <w:p w14:paraId="75AF12C2">
                  <w:pPr>
                    <w:jc w:val="center"/>
                    <w:rPr>
                      <w:rFonts w:hint="default" w:ascii="Times New Roman" w:hAnsi="Times New Roman" w:eastAsia="宋体" w:cs="Times New Roman"/>
                      <w:color w:val="auto"/>
                      <w:spacing w:val="-20"/>
                      <w:sz w:val="18"/>
                      <w:szCs w:val="18"/>
                      <w:lang w:val="en-US" w:eastAsia="zh-CN"/>
                    </w:rPr>
                  </w:pPr>
                  <w:r>
                    <w:rPr>
                      <w:rFonts w:hint="eastAsia" w:cs="Times New Roman"/>
                      <w:color w:val="auto"/>
                      <w:spacing w:val="-20"/>
                      <w:sz w:val="18"/>
                      <w:szCs w:val="18"/>
                      <w:lang w:val="en-US" w:eastAsia="zh-CN"/>
                    </w:rPr>
                    <w:t>342.708</w:t>
                  </w:r>
                </w:p>
              </w:tc>
              <w:tc>
                <w:tcPr>
                  <w:tcW w:w="1693" w:type="dxa"/>
                  <w:tcBorders>
                    <w:tl2br w:val="nil"/>
                    <w:tr2bl w:val="nil"/>
                  </w:tcBorders>
                  <w:vAlign w:val="center"/>
                </w:tcPr>
                <w:p w14:paraId="32FF3D1B">
                  <w:pPr>
                    <w:jc w:val="center"/>
                    <w:rPr>
                      <w:rFonts w:hint="default" w:ascii="Times New Roman" w:hAnsi="Times New Roman" w:eastAsia="宋体" w:cs="Times New Roman"/>
                      <w:color w:val="auto"/>
                      <w:spacing w:val="-20"/>
                      <w:sz w:val="18"/>
                      <w:szCs w:val="18"/>
                      <w:lang w:val="en-US" w:eastAsia="zh-CN"/>
                    </w:rPr>
                  </w:pPr>
                  <w:r>
                    <w:rPr>
                      <w:rFonts w:hint="eastAsia" w:ascii="Times New Roman" w:hAnsi="Times New Roman" w:eastAsia="宋体" w:cs="Times New Roman"/>
                      <w:color w:val="auto"/>
                      <w:spacing w:val="-20"/>
                      <w:sz w:val="18"/>
                      <w:szCs w:val="18"/>
                      <w:lang w:val="en-US" w:eastAsia="zh-CN"/>
                    </w:rPr>
                    <w:t>132</w:t>
                  </w:r>
                </w:p>
              </w:tc>
              <w:tc>
                <w:tcPr>
                  <w:tcW w:w="1574" w:type="dxa"/>
                  <w:tcBorders>
                    <w:tl2br w:val="nil"/>
                    <w:tr2bl w:val="nil"/>
                  </w:tcBorders>
                  <w:vAlign w:val="center"/>
                </w:tcPr>
                <w:p w14:paraId="6588321D">
                  <w:pPr>
                    <w:jc w:val="center"/>
                    <w:rPr>
                      <w:rFonts w:hint="default" w:eastAsia="宋体"/>
                      <w:color w:val="auto"/>
                      <w:spacing w:val="-20"/>
                      <w:sz w:val="18"/>
                      <w:szCs w:val="18"/>
                      <w:lang w:val="en-US" w:eastAsia="zh-CN"/>
                    </w:rPr>
                  </w:pPr>
                  <w:r>
                    <w:rPr>
                      <w:rFonts w:hint="eastAsia"/>
                      <w:color w:val="auto"/>
                      <w:spacing w:val="-20"/>
                      <w:sz w:val="18"/>
                      <w:szCs w:val="18"/>
                      <w:lang w:val="en-US" w:eastAsia="zh-CN"/>
                    </w:rPr>
                    <w:t>22.735</w:t>
                  </w:r>
                </w:p>
              </w:tc>
              <w:tc>
                <w:tcPr>
                  <w:tcW w:w="1578" w:type="dxa"/>
                  <w:tcBorders>
                    <w:tl2br w:val="nil"/>
                    <w:tr2bl w:val="nil"/>
                  </w:tcBorders>
                  <w:vAlign w:val="center"/>
                </w:tcPr>
                <w:p w14:paraId="5389A5FC">
                  <w:pPr>
                    <w:jc w:val="center"/>
                    <w:rPr>
                      <w:rFonts w:hint="default"/>
                      <w:color w:val="auto"/>
                      <w:spacing w:val="-20"/>
                      <w:sz w:val="18"/>
                      <w:szCs w:val="18"/>
                      <w:lang w:val="en-US" w:eastAsia="zh-CN"/>
                    </w:rPr>
                  </w:pPr>
                  <w:r>
                    <w:rPr>
                      <w:rFonts w:hint="eastAsia"/>
                      <w:color w:val="auto"/>
                      <w:spacing w:val="-20"/>
                      <w:sz w:val="18"/>
                      <w:szCs w:val="18"/>
                      <w:highlight w:val="none"/>
                      <w:lang w:val="en-US" w:eastAsia="zh-CN"/>
                    </w:rPr>
                    <w:t>14.5</w:t>
                  </w:r>
                </w:p>
              </w:tc>
            </w:tr>
            <w:tr w14:paraId="0E5D9F4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581" w:type="dxa"/>
                  <w:gridSpan w:val="2"/>
                  <w:tcBorders>
                    <w:tl2br w:val="nil"/>
                    <w:tr2bl w:val="nil"/>
                  </w:tcBorders>
                  <w:vAlign w:val="center"/>
                </w:tcPr>
                <w:p w14:paraId="129C8084">
                  <w:pPr>
                    <w:jc w:val="center"/>
                    <w:rPr>
                      <w:color w:val="auto"/>
                      <w:spacing w:val="-20"/>
                      <w:sz w:val="18"/>
                      <w:szCs w:val="18"/>
                    </w:rPr>
                  </w:pPr>
                  <w:r>
                    <w:rPr>
                      <w:rFonts w:hint="eastAsia"/>
                      <w:color w:val="auto"/>
                      <w:spacing w:val="-20"/>
                      <w:sz w:val="18"/>
                      <w:szCs w:val="18"/>
                    </w:rPr>
                    <w:t>产生浓度mg/m</w:t>
                  </w:r>
                  <w:r>
                    <w:rPr>
                      <w:rFonts w:hint="eastAsia"/>
                      <w:color w:val="auto"/>
                      <w:spacing w:val="-20"/>
                      <w:sz w:val="18"/>
                      <w:szCs w:val="18"/>
                      <w:vertAlign w:val="superscript"/>
                    </w:rPr>
                    <w:t>3</w:t>
                  </w:r>
                </w:p>
              </w:tc>
              <w:tc>
                <w:tcPr>
                  <w:tcW w:w="1534" w:type="dxa"/>
                  <w:tcBorders>
                    <w:tl2br w:val="nil"/>
                    <w:tr2bl w:val="nil"/>
                  </w:tcBorders>
                  <w:vAlign w:val="center"/>
                </w:tcPr>
                <w:p w14:paraId="106CDD0A">
                  <w:pPr>
                    <w:jc w:val="center"/>
                    <w:rPr>
                      <w:rFonts w:hint="default" w:ascii="Times New Roman" w:hAnsi="Times New Roman" w:eastAsia="宋体" w:cs="Times New Roman"/>
                      <w:color w:val="auto"/>
                      <w:spacing w:val="-20"/>
                      <w:sz w:val="18"/>
                      <w:szCs w:val="18"/>
                      <w:lang w:val="en-US" w:eastAsia="zh-CN"/>
                    </w:rPr>
                  </w:pPr>
                  <w:r>
                    <w:rPr>
                      <w:rFonts w:hint="eastAsia" w:cs="Times New Roman"/>
                      <w:color w:val="auto"/>
                      <w:spacing w:val="-20"/>
                      <w:sz w:val="18"/>
                      <w:szCs w:val="18"/>
                      <w:lang w:val="en-US" w:eastAsia="zh-CN"/>
                    </w:rPr>
                    <w:t>904.4</w:t>
                  </w:r>
                </w:p>
              </w:tc>
              <w:tc>
                <w:tcPr>
                  <w:tcW w:w="1693" w:type="dxa"/>
                  <w:tcBorders>
                    <w:tl2br w:val="nil"/>
                    <w:tr2bl w:val="nil"/>
                  </w:tcBorders>
                  <w:vAlign w:val="center"/>
                </w:tcPr>
                <w:p w14:paraId="26B9E104">
                  <w:pPr>
                    <w:jc w:val="center"/>
                    <w:rPr>
                      <w:rFonts w:hint="default" w:ascii="Times New Roman" w:hAnsi="Times New Roman" w:eastAsia="宋体" w:cs="Times New Roman"/>
                      <w:color w:val="auto"/>
                      <w:spacing w:val="-20"/>
                      <w:sz w:val="18"/>
                      <w:szCs w:val="18"/>
                      <w:lang w:val="en-US" w:eastAsia="zh-CN"/>
                    </w:rPr>
                  </w:pPr>
                  <w:r>
                    <w:rPr>
                      <w:rFonts w:hint="eastAsia" w:cs="Times New Roman"/>
                      <w:color w:val="auto"/>
                      <w:spacing w:val="-20"/>
                      <w:sz w:val="18"/>
                      <w:szCs w:val="18"/>
                      <w:highlight w:val="none"/>
                      <w:lang w:val="en-US" w:eastAsia="zh-CN"/>
                    </w:rPr>
                    <w:t>348.3</w:t>
                  </w:r>
                </w:p>
              </w:tc>
              <w:tc>
                <w:tcPr>
                  <w:tcW w:w="1574" w:type="dxa"/>
                  <w:tcBorders>
                    <w:tl2br w:val="nil"/>
                    <w:tr2bl w:val="nil"/>
                  </w:tcBorders>
                  <w:vAlign w:val="center"/>
                </w:tcPr>
                <w:p w14:paraId="7D825747">
                  <w:pPr>
                    <w:jc w:val="center"/>
                    <w:rPr>
                      <w:rFonts w:hint="default" w:eastAsia="宋体"/>
                      <w:color w:val="auto"/>
                      <w:spacing w:val="-20"/>
                      <w:sz w:val="18"/>
                      <w:szCs w:val="18"/>
                      <w:lang w:val="en-US" w:eastAsia="zh-CN"/>
                    </w:rPr>
                  </w:pPr>
                  <w:r>
                    <w:rPr>
                      <w:rFonts w:hint="eastAsia"/>
                      <w:color w:val="auto"/>
                      <w:spacing w:val="-20"/>
                      <w:sz w:val="18"/>
                      <w:szCs w:val="18"/>
                      <w:lang w:val="en-US" w:eastAsia="zh-CN"/>
                    </w:rPr>
                    <w:t>/</w:t>
                  </w:r>
                </w:p>
              </w:tc>
              <w:tc>
                <w:tcPr>
                  <w:tcW w:w="1578" w:type="dxa"/>
                  <w:tcBorders>
                    <w:tl2br w:val="nil"/>
                    <w:tr2bl w:val="nil"/>
                  </w:tcBorders>
                  <w:vAlign w:val="center"/>
                </w:tcPr>
                <w:p w14:paraId="41832456">
                  <w:pPr>
                    <w:jc w:val="center"/>
                    <w:rPr>
                      <w:rFonts w:hint="eastAsia"/>
                      <w:color w:val="auto"/>
                      <w:spacing w:val="-20"/>
                      <w:sz w:val="18"/>
                      <w:szCs w:val="18"/>
                    </w:rPr>
                  </w:pPr>
                  <w:r>
                    <w:rPr>
                      <w:rFonts w:hint="eastAsia"/>
                      <w:color w:val="auto"/>
                      <w:spacing w:val="-20"/>
                      <w:sz w:val="18"/>
                      <w:szCs w:val="18"/>
                    </w:rPr>
                    <w:t>/</w:t>
                  </w:r>
                </w:p>
              </w:tc>
            </w:tr>
            <w:tr w14:paraId="111AFBD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536" w:type="dxa"/>
                  <w:vMerge w:val="restart"/>
                  <w:tcBorders>
                    <w:tl2br w:val="nil"/>
                    <w:tr2bl w:val="nil"/>
                  </w:tcBorders>
                  <w:vAlign w:val="center"/>
                </w:tcPr>
                <w:p w14:paraId="2C232C97">
                  <w:pPr>
                    <w:jc w:val="center"/>
                    <w:rPr>
                      <w:color w:val="auto"/>
                      <w:spacing w:val="-20"/>
                      <w:sz w:val="18"/>
                      <w:szCs w:val="18"/>
                    </w:rPr>
                  </w:pPr>
                  <w:r>
                    <w:rPr>
                      <w:color w:val="auto"/>
                      <w:spacing w:val="-20"/>
                      <w:sz w:val="18"/>
                      <w:szCs w:val="18"/>
                    </w:rPr>
                    <w:t>污染治理设施</w:t>
                  </w:r>
                </w:p>
              </w:tc>
              <w:tc>
                <w:tcPr>
                  <w:tcW w:w="1045" w:type="dxa"/>
                  <w:tcBorders>
                    <w:tl2br w:val="nil"/>
                    <w:tr2bl w:val="nil"/>
                  </w:tcBorders>
                  <w:vAlign w:val="center"/>
                </w:tcPr>
                <w:p w14:paraId="7B1B5BC5">
                  <w:pPr>
                    <w:jc w:val="center"/>
                    <w:rPr>
                      <w:color w:val="auto"/>
                      <w:spacing w:val="-20"/>
                      <w:sz w:val="18"/>
                      <w:szCs w:val="18"/>
                    </w:rPr>
                  </w:pPr>
                  <w:r>
                    <w:rPr>
                      <w:rFonts w:hint="eastAsia"/>
                      <w:color w:val="auto"/>
                      <w:spacing w:val="-20"/>
                      <w:sz w:val="18"/>
                      <w:szCs w:val="18"/>
                    </w:rPr>
                    <w:t>处理能力</w:t>
                  </w:r>
                </w:p>
              </w:tc>
              <w:tc>
                <w:tcPr>
                  <w:tcW w:w="1534" w:type="dxa"/>
                  <w:tcBorders>
                    <w:tl2br w:val="nil"/>
                    <w:tr2bl w:val="nil"/>
                  </w:tcBorders>
                  <w:vAlign w:val="center"/>
                </w:tcPr>
                <w:p w14:paraId="2BC65481">
                  <w:pPr>
                    <w:jc w:val="center"/>
                    <w:rPr>
                      <w:color w:val="auto"/>
                      <w:spacing w:val="-20"/>
                      <w:sz w:val="18"/>
                      <w:szCs w:val="18"/>
                    </w:rPr>
                  </w:pPr>
                  <w:r>
                    <w:rPr>
                      <w:rFonts w:hint="eastAsia"/>
                      <w:color w:val="auto"/>
                      <w:spacing w:val="-20"/>
                      <w:sz w:val="18"/>
                      <w:szCs w:val="18"/>
                      <w:lang w:val="en-US" w:eastAsia="zh-CN"/>
                    </w:rPr>
                    <w:t>5</w:t>
                  </w:r>
                  <w:r>
                    <w:rPr>
                      <w:rFonts w:hint="eastAsia"/>
                      <w:color w:val="auto"/>
                      <w:spacing w:val="-20"/>
                      <w:sz w:val="18"/>
                      <w:szCs w:val="18"/>
                    </w:rPr>
                    <w:t>万m</w:t>
                  </w:r>
                  <w:r>
                    <w:rPr>
                      <w:rFonts w:hint="eastAsia"/>
                      <w:color w:val="auto"/>
                      <w:spacing w:val="-20"/>
                      <w:sz w:val="18"/>
                      <w:szCs w:val="18"/>
                      <w:vertAlign w:val="superscript"/>
                    </w:rPr>
                    <w:t>3</w:t>
                  </w:r>
                  <w:r>
                    <w:rPr>
                      <w:rFonts w:hint="eastAsia"/>
                      <w:color w:val="auto"/>
                      <w:spacing w:val="-20"/>
                      <w:sz w:val="18"/>
                      <w:szCs w:val="18"/>
                    </w:rPr>
                    <w:t>/h</w:t>
                  </w:r>
                </w:p>
              </w:tc>
              <w:tc>
                <w:tcPr>
                  <w:tcW w:w="1693" w:type="dxa"/>
                  <w:tcBorders>
                    <w:tl2br w:val="nil"/>
                    <w:tr2bl w:val="nil"/>
                  </w:tcBorders>
                  <w:vAlign w:val="top"/>
                </w:tcPr>
                <w:p w14:paraId="286CF743">
                  <w:pPr>
                    <w:jc w:val="center"/>
                    <w:rPr>
                      <w:color w:val="auto"/>
                      <w:spacing w:val="-20"/>
                      <w:sz w:val="18"/>
                      <w:szCs w:val="18"/>
                    </w:rPr>
                  </w:pPr>
                  <w:r>
                    <w:rPr>
                      <w:rFonts w:hint="eastAsia"/>
                      <w:color w:val="auto"/>
                      <w:spacing w:val="-20"/>
                      <w:sz w:val="18"/>
                      <w:szCs w:val="18"/>
                      <w:lang w:val="en-US" w:eastAsia="zh-CN"/>
                    </w:rPr>
                    <w:t>5</w:t>
                  </w:r>
                  <w:r>
                    <w:rPr>
                      <w:rFonts w:hint="eastAsia"/>
                      <w:color w:val="auto"/>
                      <w:spacing w:val="-20"/>
                      <w:sz w:val="18"/>
                      <w:szCs w:val="18"/>
                    </w:rPr>
                    <w:t>万m</w:t>
                  </w:r>
                  <w:r>
                    <w:rPr>
                      <w:rFonts w:hint="eastAsia"/>
                      <w:color w:val="auto"/>
                      <w:spacing w:val="-20"/>
                      <w:sz w:val="18"/>
                      <w:szCs w:val="18"/>
                      <w:vertAlign w:val="superscript"/>
                    </w:rPr>
                    <w:t>3</w:t>
                  </w:r>
                  <w:r>
                    <w:rPr>
                      <w:rFonts w:hint="eastAsia"/>
                      <w:color w:val="auto"/>
                      <w:spacing w:val="-20"/>
                      <w:sz w:val="18"/>
                      <w:szCs w:val="18"/>
                    </w:rPr>
                    <w:t>/h</w:t>
                  </w:r>
                </w:p>
              </w:tc>
              <w:tc>
                <w:tcPr>
                  <w:tcW w:w="1574" w:type="dxa"/>
                  <w:vMerge w:val="restart"/>
                  <w:tcBorders>
                    <w:tl2br w:val="nil"/>
                    <w:tr2bl w:val="nil"/>
                  </w:tcBorders>
                  <w:shd w:val="clear" w:color="auto" w:fill="auto"/>
                  <w:vAlign w:val="center"/>
                </w:tcPr>
                <w:p w14:paraId="19DC2FEA">
                  <w:pPr>
                    <w:jc w:val="center"/>
                    <w:rPr>
                      <w:rFonts w:ascii="Times New Roman" w:hAnsi="Times New Roman" w:eastAsia="宋体" w:cs="Times New Roman"/>
                      <w:color w:val="auto"/>
                      <w:spacing w:val="-20"/>
                      <w:kern w:val="2"/>
                      <w:sz w:val="18"/>
                      <w:szCs w:val="18"/>
                      <w:lang w:val="en-US" w:eastAsia="zh-CN" w:bidi="ar-SA"/>
                    </w:rPr>
                  </w:pPr>
                  <w:r>
                    <w:rPr>
                      <w:rFonts w:hint="eastAsia"/>
                      <w:color w:val="auto"/>
                      <w:spacing w:val="-10"/>
                      <w:sz w:val="18"/>
                      <w:szCs w:val="18"/>
                    </w:rPr>
                    <w:t>封闭车间</w:t>
                  </w:r>
                  <w:r>
                    <w:rPr>
                      <w:rFonts w:hint="eastAsia"/>
                      <w:color w:val="auto"/>
                      <w:spacing w:val="-10"/>
                      <w:sz w:val="18"/>
                      <w:szCs w:val="18"/>
                      <w:lang w:eastAsia="zh-CN"/>
                    </w:rPr>
                    <w:t>，</w:t>
                  </w:r>
                  <w:r>
                    <w:rPr>
                      <w:rFonts w:hint="eastAsia"/>
                      <w:color w:val="auto"/>
                      <w:spacing w:val="-10"/>
                      <w:sz w:val="18"/>
                      <w:szCs w:val="18"/>
                      <w:lang w:val="en-US" w:eastAsia="zh-CN"/>
                    </w:rPr>
                    <w:t>物料暂存区上方设</w:t>
                  </w:r>
                  <w:r>
                    <w:rPr>
                      <w:rFonts w:hint="eastAsia"/>
                      <w:color w:val="auto"/>
                      <w:spacing w:val="-10"/>
                      <w:sz w:val="18"/>
                      <w:szCs w:val="18"/>
                    </w:rPr>
                    <w:t>喷淋抑尘措施（电伴热）</w:t>
                  </w:r>
                  <w:r>
                    <w:rPr>
                      <w:rFonts w:hint="eastAsia" w:ascii="Times New Roman" w:hAnsi="Times New Roman" w:eastAsia="宋体" w:cs="Times New Roman"/>
                      <w:color w:val="auto"/>
                      <w:spacing w:val="-20"/>
                      <w:sz w:val="18"/>
                      <w:szCs w:val="18"/>
                      <w:highlight w:val="none"/>
                      <w:lang w:val="en-US" w:eastAsia="zh-CN"/>
                    </w:rPr>
                    <w:t>，生产车间出入口设置自动感应门</w:t>
                  </w:r>
                </w:p>
              </w:tc>
              <w:tc>
                <w:tcPr>
                  <w:tcW w:w="1578" w:type="dxa"/>
                  <w:vMerge w:val="restart"/>
                  <w:tcBorders>
                    <w:tl2br w:val="nil"/>
                    <w:tr2bl w:val="nil"/>
                  </w:tcBorders>
                  <w:vAlign w:val="center"/>
                </w:tcPr>
                <w:p w14:paraId="21DABFF4">
                  <w:pPr>
                    <w:jc w:val="center"/>
                    <w:rPr>
                      <w:rFonts w:hint="eastAsia"/>
                      <w:color w:val="auto"/>
                      <w:spacing w:val="-10"/>
                      <w:sz w:val="18"/>
                      <w:szCs w:val="18"/>
                    </w:rPr>
                  </w:pPr>
                  <w:r>
                    <w:rPr>
                      <w:rFonts w:hint="eastAsia"/>
                      <w:color w:val="auto"/>
                      <w:spacing w:val="-10"/>
                      <w:sz w:val="18"/>
                      <w:szCs w:val="18"/>
                    </w:rPr>
                    <w:t>封闭车间</w:t>
                  </w:r>
                  <w:r>
                    <w:rPr>
                      <w:rFonts w:hint="eastAsia"/>
                      <w:color w:val="auto"/>
                      <w:spacing w:val="-10"/>
                      <w:sz w:val="18"/>
                      <w:szCs w:val="18"/>
                      <w:lang w:eastAsia="zh-CN"/>
                    </w:rPr>
                    <w:t>，</w:t>
                  </w:r>
                  <w:r>
                    <w:rPr>
                      <w:rFonts w:hint="eastAsia"/>
                      <w:color w:val="auto"/>
                      <w:spacing w:val="-10"/>
                      <w:sz w:val="18"/>
                      <w:szCs w:val="18"/>
                      <w:lang w:val="en-US" w:eastAsia="zh-CN"/>
                    </w:rPr>
                    <w:t>物料暂存区上方设</w:t>
                  </w:r>
                  <w:r>
                    <w:rPr>
                      <w:rFonts w:hint="eastAsia"/>
                      <w:color w:val="auto"/>
                      <w:spacing w:val="-10"/>
                      <w:sz w:val="18"/>
                      <w:szCs w:val="18"/>
                    </w:rPr>
                    <w:t>喷淋抑尘措施（电伴热）</w:t>
                  </w:r>
                  <w:r>
                    <w:rPr>
                      <w:rFonts w:hint="eastAsia" w:ascii="Times New Roman" w:hAnsi="Times New Roman" w:eastAsia="宋体" w:cs="Times New Roman"/>
                      <w:color w:val="auto"/>
                      <w:spacing w:val="-20"/>
                      <w:sz w:val="18"/>
                      <w:szCs w:val="18"/>
                      <w:highlight w:val="none"/>
                      <w:lang w:val="en-US" w:eastAsia="zh-CN"/>
                    </w:rPr>
                    <w:t>，生产车间出入口设置自动感应门</w:t>
                  </w:r>
                </w:p>
              </w:tc>
            </w:tr>
            <w:tr w14:paraId="5BCFC89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536" w:type="dxa"/>
                  <w:vMerge w:val="continue"/>
                  <w:tcBorders>
                    <w:tl2br w:val="nil"/>
                    <w:tr2bl w:val="nil"/>
                  </w:tcBorders>
                  <w:vAlign w:val="center"/>
                </w:tcPr>
                <w:p w14:paraId="49D59EDE">
                  <w:pPr>
                    <w:jc w:val="center"/>
                    <w:rPr>
                      <w:color w:val="auto"/>
                      <w:spacing w:val="-20"/>
                      <w:sz w:val="18"/>
                      <w:szCs w:val="18"/>
                    </w:rPr>
                  </w:pPr>
                </w:p>
              </w:tc>
              <w:tc>
                <w:tcPr>
                  <w:tcW w:w="1045" w:type="dxa"/>
                  <w:tcBorders>
                    <w:tl2br w:val="nil"/>
                    <w:tr2bl w:val="nil"/>
                  </w:tcBorders>
                  <w:vAlign w:val="center"/>
                </w:tcPr>
                <w:p w14:paraId="441C90F6">
                  <w:pPr>
                    <w:jc w:val="center"/>
                    <w:rPr>
                      <w:color w:val="auto"/>
                      <w:spacing w:val="-20"/>
                      <w:sz w:val="18"/>
                      <w:szCs w:val="18"/>
                    </w:rPr>
                  </w:pPr>
                  <w:r>
                    <w:rPr>
                      <w:rFonts w:hint="eastAsia"/>
                      <w:color w:val="auto"/>
                      <w:spacing w:val="-20"/>
                      <w:sz w:val="18"/>
                      <w:szCs w:val="18"/>
                    </w:rPr>
                    <w:t>收集效率</w:t>
                  </w:r>
                </w:p>
              </w:tc>
              <w:tc>
                <w:tcPr>
                  <w:tcW w:w="1534" w:type="dxa"/>
                  <w:tcBorders>
                    <w:tl2br w:val="nil"/>
                    <w:tr2bl w:val="nil"/>
                  </w:tcBorders>
                  <w:vAlign w:val="center"/>
                </w:tcPr>
                <w:p w14:paraId="7B0DF3A8">
                  <w:pPr>
                    <w:jc w:val="center"/>
                    <w:rPr>
                      <w:color w:val="auto"/>
                      <w:spacing w:val="-20"/>
                      <w:sz w:val="18"/>
                      <w:szCs w:val="18"/>
                    </w:rPr>
                  </w:pPr>
                  <w:r>
                    <w:rPr>
                      <w:color w:val="auto"/>
                      <w:spacing w:val="-20"/>
                      <w:sz w:val="18"/>
                      <w:szCs w:val="18"/>
                    </w:rPr>
                    <w:t>95</w:t>
                  </w:r>
                </w:p>
              </w:tc>
              <w:tc>
                <w:tcPr>
                  <w:tcW w:w="1693" w:type="dxa"/>
                  <w:tcBorders>
                    <w:tl2br w:val="nil"/>
                    <w:tr2bl w:val="nil"/>
                  </w:tcBorders>
                  <w:vAlign w:val="center"/>
                </w:tcPr>
                <w:p w14:paraId="06B8AA2B">
                  <w:pPr>
                    <w:jc w:val="center"/>
                    <w:rPr>
                      <w:rFonts w:hint="default" w:eastAsia="宋体"/>
                      <w:color w:val="auto"/>
                      <w:spacing w:val="-20"/>
                      <w:sz w:val="18"/>
                      <w:szCs w:val="18"/>
                      <w:lang w:val="en-US" w:eastAsia="zh-CN"/>
                    </w:rPr>
                  </w:pPr>
                  <w:r>
                    <w:rPr>
                      <w:rFonts w:hint="eastAsia"/>
                      <w:color w:val="auto"/>
                      <w:spacing w:val="-20"/>
                      <w:sz w:val="18"/>
                      <w:szCs w:val="18"/>
                      <w:lang w:val="en-US" w:eastAsia="zh-CN"/>
                    </w:rPr>
                    <w:t>95</w:t>
                  </w:r>
                </w:p>
              </w:tc>
              <w:tc>
                <w:tcPr>
                  <w:tcW w:w="1574" w:type="dxa"/>
                  <w:vMerge w:val="continue"/>
                  <w:tcBorders>
                    <w:tl2br w:val="nil"/>
                    <w:tr2bl w:val="nil"/>
                  </w:tcBorders>
                  <w:shd w:val="clear" w:color="auto" w:fill="auto"/>
                  <w:vAlign w:val="center"/>
                </w:tcPr>
                <w:p w14:paraId="24C46881">
                  <w:pPr>
                    <w:jc w:val="center"/>
                    <w:rPr>
                      <w:rFonts w:hint="default" w:ascii="Times New Roman" w:hAnsi="Times New Roman" w:eastAsia="宋体" w:cs="Times New Roman"/>
                      <w:color w:val="auto"/>
                      <w:spacing w:val="-20"/>
                      <w:kern w:val="2"/>
                      <w:sz w:val="18"/>
                      <w:szCs w:val="18"/>
                      <w:lang w:val="en-US" w:eastAsia="zh-CN" w:bidi="ar-SA"/>
                    </w:rPr>
                  </w:pPr>
                </w:p>
              </w:tc>
              <w:tc>
                <w:tcPr>
                  <w:tcW w:w="1578" w:type="dxa"/>
                  <w:vMerge w:val="continue"/>
                  <w:tcBorders>
                    <w:tl2br w:val="nil"/>
                    <w:tr2bl w:val="nil"/>
                  </w:tcBorders>
                  <w:vAlign w:val="center"/>
                </w:tcPr>
                <w:p w14:paraId="2FEBF477">
                  <w:pPr>
                    <w:jc w:val="center"/>
                    <w:rPr>
                      <w:color w:val="auto"/>
                      <w:spacing w:val="-20"/>
                      <w:sz w:val="18"/>
                      <w:szCs w:val="18"/>
                    </w:rPr>
                  </w:pPr>
                </w:p>
              </w:tc>
            </w:tr>
            <w:tr w14:paraId="676500B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c>
                <w:tcPr>
                  <w:tcW w:w="536" w:type="dxa"/>
                  <w:vMerge w:val="continue"/>
                  <w:tcBorders>
                    <w:tl2br w:val="nil"/>
                    <w:tr2bl w:val="nil"/>
                  </w:tcBorders>
                  <w:vAlign w:val="center"/>
                </w:tcPr>
                <w:p w14:paraId="6A820F56">
                  <w:pPr>
                    <w:jc w:val="center"/>
                    <w:rPr>
                      <w:color w:val="auto"/>
                      <w:spacing w:val="-20"/>
                      <w:sz w:val="18"/>
                      <w:szCs w:val="18"/>
                    </w:rPr>
                  </w:pPr>
                </w:p>
              </w:tc>
              <w:tc>
                <w:tcPr>
                  <w:tcW w:w="1045" w:type="dxa"/>
                  <w:tcBorders>
                    <w:tl2br w:val="nil"/>
                    <w:tr2bl w:val="nil"/>
                  </w:tcBorders>
                  <w:vAlign w:val="center"/>
                </w:tcPr>
                <w:p w14:paraId="42791B96">
                  <w:pPr>
                    <w:jc w:val="center"/>
                    <w:rPr>
                      <w:color w:val="auto"/>
                      <w:spacing w:val="-20"/>
                      <w:sz w:val="18"/>
                      <w:szCs w:val="18"/>
                    </w:rPr>
                  </w:pPr>
                  <w:r>
                    <w:rPr>
                      <w:rFonts w:hint="eastAsia"/>
                      <w:color w:val="auto"/>
                      <w:spacing w:val="-20"/>
                      <w:sz w:val="18"/>
                      <w:szCs w:val="18"/>
                    </w:rPr>
                    <w:t>治理工艺</w:t>
                  </w:r>
                </w:p>
              </w:tc>
              <w:tc>
                <w:tcPr>
                  <w:tcW w:w="1534" w:type="dxa"/>
                  <w:tcBorders>
                    <w:tl2br w:val="nil"/>
                    <w:tr2bl w:val="nil"/>
                  </w:tcBorders>
                  <w:vAlign w:val="center"/>
                </w:tcPr>
                <w:p w14:paraId="6B293298">
                  <w:pPr>
                    <w:jc w:val="center"/>
                    <w:rPr>
                      <w:color w:val="auto"/>
                      <w:spacing w:val="-20"/>
                      <w:sz w:val="18"/>
                      <w:szCs w:val="18"/>
                    </w:rPr>
                  </w:pPr>
                  <w:r>
                    <w:rPr>
                      <w:rFonts w:hint="eastAsia"/>
                      <w:color w:val="auto"/>
                      <w:spacing w:val="-20"/>
                      <w:sz w:val="18"/>
                      <w:szCs w:val="18"/>
                    </w:rPr>
                    <w:t>布袋除尘器</w:t>
                  </w:r>
                </w:p>
              </w:tc>
              <w:tc>
                <w:tcPr>
                  <w:tcW w:w="1693" w:type="dxa"/>
                  <w:tcBorders>
                    <w:tl2br w:val="nil"/>
                    <w:tr2bl w:val="nil"/>
                  </w:tcBorders>
                  <w:vAlign w:val="center"/>
                </w:tcPr>
                <w:p w14:paraId="067D47FB">
                  <w:pPr>
                    <w:jc w:val="center"/>
                    <w:rPr>
                      <w:rFonts w:hint="eastAsia"/>
                      <w:color w:val="auto"/>
                      <w:spacing w:val="-20"/>
                      <w:sz w:val="18"/>
                      <w:szCs w:val="18"/>
                    </w:rPr>
                  </w:pPr>
                  <w:r>
                    <w:rPr>
                      <w:rFonts w:hint="eastAsia"/>
                      <w:color w:val="auto"/>
                      <w:spacing w:val="-20"/>
                      <w:sz w:val="18"/>
                      <w:szCs w:val="18"/>
                    </w:rPr>
                    <w:t>布袋除尘器</w:t>
                  </w:r>
                </w:p>
              </w:tc>
              <w:tc>
                <w:tcPr>
                  <w:tcW w:w="1574" w:type="dxa"/>
                  <w:vMerge w:val="continue"/>
                  <w:tcBorders>
                    <w:tl2br w:val="nil"/>
                    <w:tr2bl w:val="nil"/>
                  </w:tcBorders>
                  <w:shd w:val="clear" w:color="auto" w:fill="auto"/>
                  <w:vAlign w:val="center"/>
                </w:tcPr>
                <w:p w14:paraId="67FB76A1">
                  <w:pPr>
                    <w:jc w:val="center"/>
                    <w:rPr>
                      <w:rFonts w:hint="eastAsia" w:ascii="Times New Roman" w:hAnsi="Times New Roman" w:eastAsia="宋体" w:cs="Times New Roman"/>
                      <w:color w:val="auto"/>
                      <w:spacing w:val="-20"/>
                      <w:kern w:val="2"/>
                      <w:sz w:val="18"/>
                      <w:szCs w:val="18"/>
                      <w:lang w:val="en-US" w:eastAsia="zh-CN" w:bidi="ar-SA"/>
                    </w:rPr>
                  </w:pPr>
                </w:p>
              </w:tc>
              <w:tc>
                <w:tcPr>
                  <w:tcW w:w="1578" w:type="dxa"/>
                  <w:vMerge w:val="continue"/>
                  <w:tcBorders>
                    <w:tl2br w:val="nil"/>
                    <w:tr2bl w:val="nil"/>
                  </w:tcBorders>
                  <w:vAlign w:val="center"/>
                </w:tcPr>
                <w:p w14:paraId="2B63E7FC">
                  <w:pPr>
                    <w:jc w:val="center"/>
                    <w:rPr>
                      <w:color w:val="auto"/>
                      <w:spacing w:val="-20"/>
                      <w:sz w:val="18"/>
                      <w:szCs w:val="18"/>
                    </w:rPr>
                  </w:pPr>
                </w:p>
              </w:tc>
            </w:tr>
            <w:tr w14:paraId="06752AE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536" w:type="dxa"/>
                  <w:vMerge w:val="continue"/>
                  <w:tcBorders>
                    <w:tl2br w:val="nil"/>
                    <w:tr2bl w:val="nil"/>
                  </w:tcBorders>
                  <w:vAlign w:val="center"/>
                </w:tcPr>
                <w:p w14:paraId="3603E681">
                  <w:pPr>
                    <w:jc w:val="center"/>
                    <w:rPr>
                      <w:color w:val="auto"/>
                      <w:spacing w:val="-20"/>
                      <w:sz w:val="18"/>
                      <w:szCs w:val="18"/>
                    </w:rPr>
                  </w:pPr>
                </w:p>
              </w:tc>
              <w:tc>
                <w:tcPr>
                  <w:tcW w:w="1045" w:type="dxa"/>
                  <w:tcBorders>
                    <w:tl2br w:val="nil"/>
                    <w:tr2bl w:val="nil"/>
                  </w:tcBorders>
                  <w:vAlign w:val="center"/>
                </w:tcPr>
                <w:p w14:paraId="1BFF2927">
                  <w:pPr>
                    <w:jc w:val="center"/>
                    <w:rPr>
                      <w:color w:val="auto"/>
                      <w:spacing w:val="-20"/>
                      <w:sz w:val="18"/>
                      <w:szCs w:val="18"/>
                    </w:rPr>
                  </w:pPr>
                  <w:r>
                    <w:rPr>
                      <w:rFonts w:hint="eastAsia"/>
                      <w:color w:val="auto"/>
                      <w:spacing w:val="-20"/>
                      <w:sz w:val="18"/>
                      <w:szCs w:val="18"/>
                    </w:rPr>
                    <w:t>去除率</w:t>
                  </w:r>
                </w:p>
              </w:tc>
              <w:tc>
                <w:tcPr>
                  <w:tcW w:w="1534" w:type="dxa"/>
                  <w:tcBorders>
                    <w:tl2br w:val="nil"/>
                    <w:tr2bl w:val="nil"/>
                  </w:tcBorders>
                  <w:vAlign w:val="center"/>
                </w:tcPr>
                <w:p w14:paraId="33100436">
                  <w:pPr>
                    <w:jc w:val="center"/>
                    <w:rPr>
                      <w:color w:val="auto"/>
                      <w:spacing w:val="-20"/>
                      <w:sz w:val="18"/>
                      <w:szCs w:val="18"/>
                    </w:rPr>
                  </w:pPr>
                  <w:r>
                    <w:rPr>
                      <w:rFonts w:hint="eastAsia"/>
                      <w:color w:val="auto"/>
                      <w:spacing w:val="-20"/>
                      <w:sz w:val="18"/>
                      <w:szCs w:val="18"/>
                    </w:rPr>
                    <w:t>99</w:t>
                  </w:r>
                </w:p>
              </w:tc>
              <w:tc>
                <w:tcPr>
                  <w:tcW w:w="1693" w:type="dxa"/>
                  <w:tcBorders>
                    <w:tl2br w:val="nil"/>
                    <w:tr2bl w:val="nil"/>
                  </w:tcBorders>
                  <w:vAlign w:val="center"/>
                </w:tcPr>
                <w:p w14:paraId="28BAEC1C">
                  <w:pPr>
                    <w:jc w:val="center"/>
                    <w:rPr>
                      <w:rFonts w:hint="eastAsia" w:eastAsia="宋体"/>
                      <w:color w:val="auto"/>
                      <w:spacing w:val="-20"/>
                      <w:sz w:val="18"/>
                      <w:szCs w:val="18"/>
                      <w:lang w:val="en-US" w:eastAsia="zh-CN"/>
                    </w:rPr>
                  </w:pPr>
                  <w:r>
                    <w:rPr>
                      <w:rFonts w:hint="eastAsia"/>
                      <w:color w:val="auto"/>
                      <w:spacing w:val="-20"/>
                      <w:sz w:val="18"/>
                      <w:szCs w:val="18"/>
                    </w:rPr>
                    <w:t>99</w:t>
                  </w:r>
                </w:p>
              </w:tc>
              <w:tc>
                <w:tcPr>
                  <w:tcW w:w="1574" w:type="dxa"/>
                  <w:vMerge w:val="continue"/>
                  <w:tcBorders>
                    <w:tl2br w:val="nil"/>
                    <w:tr2bl w:val="nil"/>
                  </w:tcBorders>
                  <w:shd w:val="clear" w:color="auto" w:fill="auto"/>
                  <w:vAlign w:val="center"/>
                </w:tcPr>
                <w:p w14:paraId="48C5841B">
                  <w:pPr>
                    <w:jc w:val="center"/>
                    <w:rPr>
                      <w:rFonts w:hint="eastAsia" w:ascii="Times New Roman" w:hAnsi="Times New Roman" w:eastAsia="宋体" w:cs="Times New Roman"/>
                      <w:color w:val="auto"/>
                      <w:spacing w:val="-20"/>
                      <w:kern w:val="2"/>
                      <w:sz w:val="18"/>
                      <w:szCs w:val="18"/>
                      <w:lang w:val="en-US" w:eastAsia="zh-CN" w:bidi="ar-SA"/>
                    </w:rPr>
                  </w:pPr>
                </w:p>
              </w:tc>
              <w:tc>
                <w:tcPr>
                  <w:tcW w:w="1578" w:type="dxa"/>
                  <w:vMerge w:val="continue"/>
                  <w:tcBorders>
                    <w:tl2br w:val="nil"/>
                    <w:tr2bl w:val="nil"/>
                  </w:tcBorders>
                  <w:vAlign w:val="center"/>
                </w:tcPr>
                <w:p w14:paraId="66C21329">
                  <w:pPr>
                    <w:jc w:val="center"/>
                    <w:rPr>
                      <w:color w:val="auto"/>
                      <w:spacing w:val="-20"/>
                      <w:sz w:val="18"/>
                      <w:szCs w:val="18"/>
                    </w:rPr>
                  </w:pPr>
                </w:p>
              </w:tc>
            </w:tr>
            <w:tr w14:paraId="7B84922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536" w:type="dxa"/>
                  <w:vMerge w:val="continue"/>
                  <w:tcBorders>
                    <w:tl2br w:val="nil"/>
                    <w:tr2bl w:val="nil"/>
                  </w:tcBorders>
                  <w:vAlign w:val="center"/>
                </w:tcPr>
                <w:p w14:paraId="19B7258B">
                  <w:pPr>
                    <w:jc w:val="center"/>
                    <w:rPr>
                      <w:color w:val="auto"/>
                      <w:spacing w:val="-20"/>
                      <w:sz w:val="18"/>
                      <w:szCs w:val="18"/>
                    </w:rPr>
                  </w:pPr>
                </w:p>
              </w:tc>
              <w:tc>
                <w:tcPr>
                  <w:tcW w:w="1045" w:type="dxa"/>
                  <w:tcBorders>
                    <w:tl2br w:val="nil"/>
                    <w:tr2bl w:val="nil"/>
                  </w:tcBorders>
                  <w:vAlign w:val="center"/>
                </w:tcPr>
                <w:p w14:paraId="1904319C">
                  <w:pPr>
                    <w:jc w:val="center"/>
                    <w:rPr>
                      <w:color w:val="auto"/>
                      <w:spacing w:val="-20"/>
                      <w:sz w:val="18"/>
                      <w:szCs w:val="18"/>
                    </w:rPr>
                  </w:pPr>
                  <w:r>
                    <w:rPr>
                      <w:rFonts w:hint="eastAsia"/>
                      <w:color w:val="auto"/>
                      <w:spacing w:val="-20"/>
                      <w:sz w:val="18"/>
                      <w:szCs w:val="18"/>
                    </w:rPr>
                    <w:t>是否为可行性技术</w:t>
                  </w:r>
                </w:p>
              </w:tc>
              <w:tc>
                <w:tcPr>
                  <w:tcW w:w="1534" w:type="dxa"/>
                  <w:tcBorders>
                    <w:tl2br w:val="nil"/>
                    <w:tr2bl w:val="nil"/>
                  </w:tcBorders>
                  <w:vAlign w:val="center"/>
                </w:tcPr>
                <w:p w14:paraId="75EE5150">
                  <w:pPr>
                    <w:jc w:val="center"/>
                    <w:rPr>
                      <w:color w:val="auto"/>
                      <w:spacing w:val="-20"/>
                      <w:sz w:val="18"/>
                      <w:szCs w:val="18"/>
                    </w:rPr>
                  </w:pPr>
                  <w:r>
                    <w:rPr>
                      <w:rFonts w:hint="eastAsia"/>
                      <w:color w:val="auto"/>
                      <w:spacing w:val="-20"/>
                      <w:sz w:val="18"/>
                      <w:szCs w:val="18"/>
                    </w:rPr>
                    <w:t>是</w:t>
                  </w:r>
                </w:p>
              </w:tc>
              <w:tc>
                <w:tcPr>
                  <w:tcW w:w="1693" w:type="dxa"/>
                  <w:tcBorders>
                    <w:tl2br w:val="nil"/>
                    <w:tr2bl w:val="nil"/>
                  </w:tcBorders>
                  <w:vAlign w:val="center"/>
                </w:tcPr>
                <w:p w14:paraId="372DE266">
                  <w:pPr>
                    <w:jc w:val="center"/>
                    <w:rPr>
                      <w:rFonts w:hint="eastAsia" w:eastAsia="宋体"/>
                      <w:color w:val="auto"/>
                      <w:spacing w:val="-20"/>
                      <w:sz w:val="18"/>
                      <w:szCs w:val="18"/>
                      <w:lang w:val="en-US" w:eastAsia="zh-CN"/>
                    </w:rPr>
                  </w:pPr>
                  <w:r>
                    <w:rPr>
                      <w:rFonts w:hint="eastAsia"/>
                      <w:color w:val="auto"/>
                      <w:spacing w:val="-20"/>
                      <w:sz w:val="18"/>
                      <w:szCs w:val="18"/>
                      <w:lang w:val="en-US" w:eastAsia="zh-CN"/>
                    </w:rPr>
                    <w:t>是</w:t>
                  </w:r>
                </w:p>
              </w:tc>
              <w:tc>
                <w:tcPr>
                  <w:tcW w:w="1574" w:type="dxa"/>
                  <w:vMerge w:val="continue"/>
                  <w:tcBorders>
                    <w:tl2br w:val="nil"/>
                    <w:tr2bl w:val="nil"/>
                  </w:tcBorders>
                  <w:shd w:val="clear" w:color="auto" w:fill="auto"/>
                  <w:vAlign w:val="center"/>
                </w:tcPr>
                <w:p w14:paraId="643D9D8D">
                  <w:pPr>
                    <w:jc w:val="center"/>
                    <w:rPr>
                      <w:rFonts w:hint="eastAsia" w:ascii="Times New Roman" w:hAnsi="Times New Roman" w:eastAsia="宋体" w:cs="Times New Roman"/>
                      <w:color w:val="auto"/>
                      <w:spacing w:val="-20"/>
                      <w:kern w:val="2"/>
                      <w:sz w:val="18"/>
                      <w:szCs w:val="18"/>
                      <w:lang w:val="en-US" w:eastAsia="zh-CN" w:bidi="ar-SA"/>
                    </w:rPr>
                  </w:pPr>
                </w:p>
              </w:tc>
              <w:tc>
                <w:tcPr>
                  <w:tcW w:w="1578" w:type="dxa"/>
                  <w:vMerge w:val="continue"/>
                  <w:tcBorders>
                    <w:tl2br w:val="nil"/>
                    <w:tr2bl w:val="nil"/>
                  </w:tcBorders>
                  <w:vAlign w:val="center"/>
                </w:tcPr>
                <w:p w14:paraId="5E830B03">
                  <w:pPr>
                    <w:jc w:val="center"/>
                    <w:rPr>
                      <w:color w:val="auto"/>
                      <w:spacing w:val="-20"/>
                      <w:sz w:val="18"/>
                      <w:szCs w:val="18"/>
                    </w:rPr>
                  </w:pPr>
                </w:p>
              </w:tc>
            </w:tr>
            <w:tr w14:paraId="57EAC58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581" w:type="dxa"/>
                  <w:gridSpan w:val="2"/>
                  <w:tcBorders>
                    <w:tl2br w:val="nil"/>
                    <w:tr2bl w:val="nil"/>
                  </w:tcBorders>
                  <w:vAlign w:val="center"/>
                </w:tcPr>
                <w:p w14:paraId="3CC42247">
                  <w:pPr>
                    <w:jc w:val="center"/>
                    <w:rPr>
                      <w:color w:val="auto"/>
                      <w:spacing w:val="-20"/>
                      <w:sz w:val="18"/>
                      <w:szCs w:val="18"/>
                    </w:rPr>
                  </w:pPr>
                  <w:r>
                    <w:rPr>
                      <w:rFonts w:hint="eastAsia"/>
                      <w:color w:val="auto"/>
                      <w:spacing w:val="-20"/>
                      <w:sz w:val="18"/>
                      <w:szCs w:val="18"/>
                    </w:rPr>
                    <w:t>排放形式</w:t>
                  </w:r>
                </w:p>
              </w:tc>
              <w:tc>
                <w:tcPr>
                  <w:tcW w:w="1534" w:type="dxa"/>
                  <w:tcBorders>
                    <w:tl2br w:val="nil"/>
                    <w:tr2bl w:val="nil"/>
                  </w:tcBorders>
                  <w:vAlign w:val="center"/>
                </w:tcPr>
                <w:p w14:paraId="60D4C1F3">
                  <w:pPr>
                    <w:jc w:val="center"/>
                    <w:rPr>
                      <w:color w:val="auto"/>
                      <w:spacing w:val="-11"/>
                      <w:sz w:val="18"/>
                      <w:szCs w:val="18"/>
                    </w:rPr>
                  </w:pPr>
                  <w:r>
                    <w:rPr>
                      <w:rFonts w:hint="eastAsia"/>
                      <w:color w:val="auto"/>
                      <w:spacing w:val="-11"/>
                      <w:sz w:val="18"/>
                      <w:szCs w:val="18"/>
                    </w:rPr>
                    <w:t>有组织</w:t>
                  </w:r>
                </w:p>
              </w:tc>
              <w:tc>
                <w:tcPr>
                  <w:tcW w:w="1693" w:type="dxa"/>
                  <w:tcBorders>
                    <w:tl2br w:val="nil"/>
                    <w:tr2bl w:val="nil"/>
                  </w:tcBorders>
                  <w:vAlign w:val="center"/>
                </w:tcPr>
                <w:p w14:paraId="5B644F09">
                  <w:pPr>
                    <w:jc w:val="center"/>
                    <w:rPr>
                      <w:rFonts w:hint="eastAsia"/>
                      <w:color w:val="auto"/>
                      <w:spacing w:val="-11"/>
                      <w:sz w:val="18"/>
                      <w:szCs w:val="18"/>
                      <w:lang w:val="en-US" w:eastAsia="zh-CN"/>
                    </w:rPr>
                  </w:pPr>
                  <w:r>
                    <w:rPr>
                      <w:rFonts w:hint="eastAsia"/>
                      <w:color w:val="auto"/>
                      <w:spacing w:val="-11"/>
                      <w:sz w:val="18"/>
                      <w:szCs w:val="18"/>
                      <w:lang w:val="en-US" w:eastAsia="zh-CN"/>
                    </w:rPr>
                    <w:t>有组织</w:t>
                  </w:r>
                </w:p>
              </w:tc>
              <w:tc>
                <w:tcPr>
                  <w:tcW w:w="1574" w:type="dxa"/>
                  <w:tcBorders>
                    <w:tl2br w:val="nil"/>
                    <w:tr2bl w:val="nil"/>
                  </w:tcBorders>
                  <w:vAlign w:val="center"/>
                </w:tcPr>
                <w:p w14:paraId="26FDC106">
                  <w:pPr>
                    <w:jc w:val="center"/>
                    <w:rPr>
                      <w:color w:val="auto"/>
                      <w:spacing w:val="-20"/>
                      <w:sz w:val="18"/>
                      <w:szCs w:val="18"/>
                    </w:rPr>
                  </w:pPr>
                  <w:r>
                    <w:rPr>
                      <w:rFonts w:hint="eastAsia"/>
                      <w:color w:val="auto"/>
                      <w:spacing w:val="-20"/>
                      <w:sz w:val="18"/>
                      <w:szCs w:val="18"/>
                    </w:rPr>
                    <w:t>无组织</w:t>
                  </w:r>
                </w:p>
              </w:tc>
              <w:tc>
                <w:tcPr>
                  <w:tcW w:w="1578" w:type="dxa"/>
                  <w:tcBorders>
                    <w:tl2br w:val="nil"/>
                    <w:tr2bl w:val="nil"/>
                  </w:tcBorders>
                  <w:vAlign w:val="center"/>
                </w:tcPr>
                <w:p w14:paraId="6AFE9877">
                  <w:pPr>
                    <w:jc w:val="center"/>
                    <w:rPr>
                      <w:rFonts w:hint="eastAsia"/>
                      <w:color w:val="auto"/>
                      <w:spacing w:val="-20"/>
                      <w:sz w:val="18"/>
                      <w:szCs w:val="18"/>
                    </w:rPr>
                  </w:pPr>
                  <w:r>
                    <w:rPr>
                      <w:rFonts w:hint="eastAsia"/>
                      <w:color w:val="auto"/>
                      <w:spacing w:val="-20"/>
                      <w:sz w:val="18"/>
                      <w:szCs w:val="18"/>
                    </w:rPr>
                    <w:t>无组织</w:t>
                  </w:r>
                </w:p>
              </w:tc>
            </w:tr>
            <w:tr w14:paraId="177C942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c>
                <w:tcPr>
                  <w:tcW w:w="1581" w:type="dxa"/>
                  <w:gridSpan w:val="2"/>
                  <w:tcBorders>
                    <w:tl2br w:val="nil"/>
                    <w:tr2bl w:val="nil"/>
                  </w:tcBorders>
                  <w:shd w:val="clear" w:color="auto" w:fill="auto"/>
                  <w:vAlign w:val="center"/>
                </w:tcPr>
                <w:p w14:paraId="510407F1">
                  <w:pPr>
                    <w:jc w:val="center"/>
                    <w:rPr>
                      <w:rFonts w:hint="eastAsia" w:ascii="Times New Roman" w:hAnsi="Times New Roman" w:eastAsia="宋体" w:cs="Times New Roman"/>
                      <w:color w:val="auto"/>
                      <w:spacing w:val="-20"/>
                      <w:kern w:val="2"/>
                      <w:sz w:val="18"/>
                      <w:szCs w:val="18"/>
                      <w:lang w:val="en-US" w:eastAsia="zh-CN" w:bidi="ar-SA"/>
                    </w:rPr>
                  </w:pPr>
                  <w:r>
                    <w:rPr>
                      <w:rFonts w:hint="eastAsia"/>
                      <w:color w:val="auto"/>
                      <w:spacing w:val="-20"/>
                      <w:sz w:val="18"/>
                      <w:szCs w:val="18"/>
                    </w:rPr>
                    <w:t>排放量t/a</w:t>
                  </w:r>
                </w:p>
              </w:tc>
              <w:tc>
                <w:tcPr>
                  <w:tcW w:w="1534" w:type="dxa"/>
                  <w:tcBorders>
                    <w:tl2br w:val="nil"/>
                    <w:tr2bl w:val="nil"/>
                  </w:tcBorders>
                  <w:shd w:val="clear" w:color="auto" w:fill="auto"/>
                  <w:vAlign w:val="center"/>
                </w:tcPr>
                <w:p w14:paraId="4A2E231B">
                  <w:pPr>
                    <w:jc w:val="center"/>
                    <w:rPr>
                      <w:rFonts w:hint="default" w:ascii="Times New Roman" w:hAnsi="Times New Roman" w:eastAsia="宋体" w:cs="Times New Roman"/>
                      <w:color w:val="auto"/>
                      <w:spacing w:val="-20"/>
                      <w:sz w:val="18"/>
                      <w:szCs w:val="18"/>
                      <w:lang w:val="en-US" w:eastAsia="zh-CN"/>
                    </w:rPr>
                  </w:pPr>
                  <w:r>
                    <w:rPr>
                      <w:rFonts w:hint="eastAsia" w:cs="Times New Roman"/>
                      <w:color w:val="auto"/>
                      <w:spacing w:val="-20"/>
                      <w:sz w:val="18"/>
                      <w:szCs w:val="18"/>
                      <w:lang w:val="en-US" w:eastAsia="zh-CN"/>
                    </w:rPr>
                    <w:t>3.256</w:t>
                  </w:r>
                </w:p>
              </w:tc>
              <w:tc>
                <w:tcPr>
                  <w:tcW w:w="1693" w:type="dxa"/>
                  <w:tcBorders>
                    <w:tl2br w:val="nil"/>
                    <w:tr2bl w:val="nil"/>
                  </w:tcBorders>
                  <w:shd w:val="clear" w:color="auto" w:fill="auto"/>
                  <w:vAlign w:val="center"/>
                </w:tcPr>
                <w:p w14:paraId="04165878">
                  <w:pPr>
                    <w:jc w:val="center"/>
                    <w:rPr>
                      <w:rFonts w:hint="default" w:ascii="Times New Roman" w:hAnsi="Times New Roman" w:eastAsia="宋体" w:cs="Times New Roman"/>
                      <w:color w:val="auto"/>
                      <w:spacing w:val="-20"/>
                      <w:sz w:val="18"/>
                      <w:szCs w:val="18"/>
                      <w:lang w:val="en-US" w:eastAsia="zh-CN"/>
                    </w:rPr>
                  </w:pPr>
                  <w:r>
                    <w:rPr>
                      <w:rFonts w:hint="eastAsia" w:ascii="Times New Roman" w:hAnsi="Times New Roman" w:eastAsia="宋体" w:cs="Times New Roman"/>
                      <w:color w:val="auto"/>
                      <w:spacing w:val="-20"/>
                      <w:sz w:val="18"/>
                      <w:szCs w:val="18"/>
                      <w:lang w:val="en-US" w:eastAsia="zh-CN"/>
                    </w:rPr>
                    <w:t>1.254</w:t>
                  </w:r>
                </w:p>
              </w:tc>
              <w:tc>
                <w:tcPr>
                  <w:tcW w:w="1574" w:type="dxa"/>
                  <w:tcBorders>
                    <w:tl2br w:val="nil"/>
                    <w:tr2bl w:val="nil"/>
                  </w:tcBorders>
                  <w:shd w:val="clear" w:color="auto" w:fill="auto"/>
                  <w:vAlign w:val="center"/>
                </w:tcPr>
                <w:p w14:paraId="19874A6B">
                  <w:pPr>
                    <w:jc w:val="center"/>
                    <w:rPr>
                      <w:rFonts w:hint="default" w:ascii="Times New Roman" w:hAnsi="Times New Roman" w:eastAsia="宋体" w:cs="Times New Roman"/>
                      <w:color w:val="auto"/>
                      <w:spacing w:val="-20"/>
                      <w:kern w:val="2"/>
                      <w:sz w:val="18"/>
                      <w:szCs w:val="18"/>
                      <w:lang w:val="en-US" w:eastAsia="zh-CN" w:bidi="ar-SA"/>
                    </w:rPr>
                  </w:pPr>
                  <w:r>
                    <w:rPr>
                      <w:rFonts w:hint="eastAsia" w:cs="Times New Roman"/>
                      <w:color w:val="auto"/>
                      <w:spacing w:val="-20"/>
                      <w:kern w:val="2"/>
                      <w:sz w:val="18"/>
                      <w:szCs w:val="18"/>
                      <w:lang w:val="en-US" w:eastAsia="zh-CN" w:bidi="ar-SA"/>
                    </w:rPr>
                    <w:t>0.399</w:t>
                  </w:r>
                </w:p>
              </w:tc>
              <w:tc>
                <w:tcPr>
                  <w:tcW w:w="1578" w:type="dxa"/>
                  <w:tcBorders>
                    <w:tl2br w:val="nil"/>
                    <w:tr2bl w:val="nil"/>
                  </w:tcBorders>
                  <w:shd w:val="clear" w:color="auto" w:fill="auto"/>
                  <w:vAlign w:val="center"/>
                </w:tcPr>
                <w:p w14:paraId="2D1E8526">
                  <w:pPr>
                    <w:jc w:val="center"/>
                    <w:rPr>
                      <w:rFonts w:hint="default" w:cs="Times New Roman"/>
                      <w:color w:val="auto"/>
                      <w:spacing w:val="-20"/>
                      <w:kern w:val="2"/>
                      <w:sz w:val="18"/>
                      <w:szCs w:val="18"/>
                      <w:highlight w:val="yellow"/>
                      <w:lang w:val="en-US" w:eastAsia="zh-CN" w:bidi="ar-SA"/>
                    </w:rPr>
                  </w:pPr>
                  <w:r>
                    <w:rPr>
                      <w:rFonts w:hint="eastAsia" w:cs="Times New Roman"/>
                      <w:color w:val="auto"/>
                      <w:spacing w:val="-20"/>
                      <w:kern w:val="2"/>
                      <w:sz w:val="18"/>
                      <w:szCs w:val="18"/>
                      <w:lang w:val="en-US" w:eastAsia="zh-CN" w:bidi="ar-SA"/>
                    </w:rPr>
                    <w:t>0.211</w:t>
                  </w:r>
                </w:p>
              </w:tc>
            </w:tr>
            <w:tr w14:paraId="6DC01E9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581" w:type="dxa"/>
                  <w:gridSpan w:val="2"/>
                  <w:tcBorders>
                    <w:tl2br w:val="nil"/>
                    <w:tr2bl w:val="nil"/>
                  </w:tcBorders>
                  <w:vAlign w:val="center"/>
                </w:tcPr>
                <w:p w14:paraId="3F0853F8">
                  <w:pPr>
                    <w:jc w:val="center"/>
                    <w:rPr>
                      <w:color w:val="auto"/>
                      <w:spacing w:val="-20"/>
                      <w:sz w:val="18"/>
                      <w:szCs w:val="18"/>
                    </w:rPr>
                  </w:pPr>
                  <w:r>
                    <w:rPr>
                      <w:rFonts w:hint="eastAsia"/>
                      <w:color w:val="auto"/>
                      <w:spacing w:val="-20"/>
                      <w:sz w:val="18"/>
                      <w:szCs w:val="18"/>
                    </w:rPr>
                    <w:t>排放速率kg/h</w:t>
                  </w:r>
                </w:p>
              </w:tc>
              <w:tc>
                <w:tcPr>
                  <w:tcW w:w="1534" w:type="dxa"/>
                  <w:tcBorders>
                    <w:tl2br w:val="nil"/>
                    <w:tr2bl w:val="nil"/>
                  </w:tcBorders>
                  <w:vAlign w:val="center"/>
                </w:tcPr>
                <w:p w14:paraId="2A407D18">
                  <w:pPr>
                    <w:jc w:val="center"/>
                    <w:rPr>
                      <w:rFonts w:hint="default" w:ascii="Times New Roman" w:hAnsi="Times New Roman" w:eastAsia="宋体" w:cs="Times New Roman"/>
                      <w:color w:val="auto"/>
                      <w:spacing w:val="-20"/>
                      <w:sz w:val="18"/>
                      <w:szCs w:val="18"/>
                      <w:lang w:val="en-US" w:eastAsia="zh-CN"/>
                    </w:rPr>
                  </w:pPr>
                  <w:r>
                    <w:rPr>
                      <w:rFonts w:hint="eastAsia" w:cs="Times New Roman"/>
                      <w:color w:val="auto"/>
                      <w:spacing w:val="-20"/>
                      <w:sz w:val="18"/>
                      <w:szCs w:val="18"/>
                      <w:lang w:val="en-US" w:eastAsia="zh-CN"/>
                    </w:rPr>
                    <w:t>0.452</w:t>
                  </w:r>
                </w:p>
              </w:tc>
              <w:tc>
                <w:tcPr>
                  <w:tcW w:w="1693" w:type="dxa"/>
                  <w:tcBorders>
                    <w:tl2br w:val="nil"/>
                    <w:tr2bl w:val="nil"/>
                  </w:tcBorders>
                  <w:vAlign w:val="center"/>
                </w:tcPr>
                <w:p w14:paraId="2A1B0AF8">
                  <w:pPr>
                    <w:jc w:val="center"/>
                    <w:rPr>
                      <w:rFonts w:hint="default" w:ascii="Times New Roman" w:hAnsi="Times New Roman" w:eastAsia="宋体" w:cs="Times New Roman"/>
                      <w:color w:val="auto"/>
                      <w:spacing w:val="-20"/>
                      <w:sz w:val="18"/>
                      <w:szCs w:val="18"/>
                      <w:lang w:val="en-US" w:eastAsia="zh-CN"/>
                    </w:rPr>
                  </w:pPr>
                  <w:r>
                    <w:rPr>
                      <w:rFonts w:hint="eastAsia" w:ascii="Times New Roman" w:hAnsi="Times New Roman" w:eastAsia="宋体" w:cs="Times New Roman"/>
                      <w:color w:val="auto"/>
                      <w:spacing w:val="-20"/>
                      <w:sz w:val="18"/>
                      <w:szCs w:val="18"/>
                      <w:lang w:val="en-US" w:eastAsia="zh-CN"/>
                    </w:rPr>
                    <w:t>0.174</w:t>
                  </w:r>
                </w:p>
              </w:tc>
              <w:tc>
                <w:tcPr>
                  <w:tcW w:w="1574" w:type="dxa"/>
                  <w:tcBorders>
                    <w:tl2br w:val="nil"/>
                    <w:tr2bl w:val="nil"/>
                  </w:tcBorders>
                  <w:vAlign w:val="center"/>
                </w:tcPr>
                <w:p w14:paraId="52C5129C">
                  <w:pPr>
                    <w:jc w:val="center"/>
                    <w:rPr>
                      <w:rFonts w:hint="default" w:eastAsia="宋体"/>
                      <w:color w:val="auto"/>
                      <w:spacing w:val="-20"/>
                      <w:sz w:val="18"/>
                      <w:szCs w:val="18"/>
                      <w:lang w:val="en-US" w:eastAsia="zh-CN"/>
                    </w:rPr>
                  </w:pPr>
                  <w:r>
                    <w:rPr>
                      <w:rFonts w:hint="eastAsia"/>
                      <w:color w:val="auto"/>
                      <w:spacing w:val="-20"/>
                      <w:sz w:val="18"/>
                      <w:szCs w:val="18"/>
                      <w:lang w:val="en-US" w:eastAsia="zh-CN"/>
                    </w:rPr>
                    <w:t>0.055</w:t>
                  </w:r>
                </w:p>
              </w:tc>
              <w:tc>
                <w:tcPr>
                  <w:tcW w:w="1578" w:type="dxa"/>
                  <w:tcBorders>
                    <w:tl2br w:val="nil"/>
                    <w:tr2bl w:val="nil"/>
                  </w:tcBorders>
                  <w:vAlign w:val="center"/>
                </w:tcPr>
                <w:p w14:paraId="6120BFEA">
                  <w:pPr>
                    <w:jc w:val="center"/>
                    <w:rPr>
                      <w:rFonts w:hint="default"/>
                      <w:color w:val="auto"/>
                      <w:spacing w:val="-20"/>
                      <w:sz w:val="18"/>
                      <w:szCs w:val="18"/>
                      <w:highlight w:val="yellow"/>
                      <w:lang w:val="en-US" w:eastAsia="zh-CN"/>
                    </w:rPr>
                  </w:pPr>
                  <w:r>
                    <w:rPr>
                      <w:rFonts w:hint="eastAsia"/>
                      <w:color w:val="auto"/>
                      <w:spacing w:val="-20"/>
                      <w:sz w:val="18"/>
                      <w:szCs w:val="18"/>
                      <w:lang w:val="en-US" w:eastAsia="zh-CN"/>
                    </w:rPr>
                    <w:t>0.029</w:t>
                  </w:r>
                </w:p>
              </w:tc>
            </w:tr>
            <w:tr w14:paraId="13998EC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581" w:type="dxa"/>
                  <w:gridSpan w:val="2"/>
                  <w:tcBorders>
                    <w:tl2br w:val="nil"/>
                    <w:tr2bl w:val="nil"/>
                  </w:tcBorders>
                  <w:vAlign w:val="center"/>
                </w:tcPr>
                <w:p w14:paraId="6C9AEFD7">
                  <w:pPr>
                    <w:jc w:val="center"/>
                    <w:rPr>
                      <w:color w:val="auto"/>
                      <w:spacing w:val="-20"/>
                      <w:sz w:val="18"/>
                      <w:szCs w:val="18"/>
                    </w:rPr>
                  </w:pPr>
                  <w:r>
                    <w:rPr>
                      <w:rFonts w:hint="eastAsia"/>
                      <w:color w:val="auto"/>
                      <w:spacing w:val="-20"/>
                      <w:sz w:val="18"/>
                      <w:szCs w:val="18"/>
                    </w:rPr>
                    <w:t>排放浓度mg/m</w:t>
                  </w:r>
                  <w:r>
                    <w:rPr>
                      <w:rFonts w:hint="eastAsia"/>
                      <w:color w:val="auto"/>
                      <w:spacing w:val="-20"/>
                      <w:sz w:val="18"/>
                      <w:szCs w:val="18"/>
                      <w:vertAlign w:val="superscript"/>
                    </w:rPr>
                    <w:t>3</w:t>
                  </w:r>
                </w:p>
              </w:tc>
              <w:tc>
                <w:tcPr>
                  <w:tcW w:w="1534" w:type="dxa"/>
                  <w:tcBorders>
                    <w:tl2br w:val="nil"/>
                    <w:tr2bl w:val="nil"/>
                  </w:tcBorders>
                  <w:vAlign w:val="center"/>
                </w:tcPr>
                <w:p w14:paraId="6E2F63B8">
                  <w:pPr>
                    <w:jc w:val="center"/>
                    <w:rPr>
                      <w:rFonts w:hint="default" w:ascii="Times New Roman" w:hAnsi="Times New Roman" w:eastAsia="宋体" w:cs="Times New Roman"/>
                      <w:color w:val="auto"/>
                      <w:spacing w:val="-20"/>
                      <w:sz w:val="18"/>
                      <w:szCs w:val="18"/>
                      <w:lang w:val="en-US" w:eastAsia="zh-CN"/>
                    </w:rPr>
                  </w:pPr>
                  <w:r>
                    <w:rPr>
                      <w:rFonts w:hint="eastAsia" w:cs="Times New Roman"/>
                      <w:color w:val="auto"/>
                      <w:spacing w:val="-20"/>
                      <w:sz w:val="18"/>
                      <w:szCs w:val="18"/>
                      <w:lang w:val="en-US" w:eastAsia="zh-CN"/>
                    </w:rPr>
                    <w:t>9.0</w:t>
                  </w:r>
                </w:p>
              </w:tc>
              <w:tc>
                <w:tcPr>
                  <w:tcW w:w="1693" w:type="dxa"/>
                  <w:tcBorders>
                    <w:tl2br w:val="nil"/>
                    <w:tr2bl w:val="nil"/>
                  </w:tcBorders>
                  <w:vAlign w:val="center"/>
                </w:tcPr>
                <w:p w14:paraId="5BDEC6E8">
                  <w:pPr>
                    <w:jc w:val="center"/>
                    <w:rPr>
                      <w:rFonts w:hint="default" w:ascii="Times New Roman" w:hAnsi="Times New Roman" w:eastAsia="宋体" w:cs="Times New Roman"/>
                      <w:color w:val="auto"/>
                      <w:spacing w:val="-20"/>
                      <w:sz w:val="18"/>
                      <w:szCs w:val="18"/>
                      <w:lang w:val="en-US" w:eastAsia="zh-CN"/>
                    </w:rPr>
                  </w:pPr>
                  <w:r>
                    <w:rPr>
                      <w:rFonts w:hint="eastAsia" w:cs="Times New Roman"/>
                      <w:color w:val="auto"/>
                      <w:spacing w:val="-20"/>
                      <w:sz w:val="18"/>
                      <w:szCs w:val="18"/>
                      <w:lang w:val="en-US" w:eastAsia="zh-CN"/>
                    </w:rPr>
                    <w:t>3.5</w:t>
                  </w:r>
                </w:p>
              </w:tc>
              <w:tc>
                <w:tcPr>
                  <w:tcW w:w="1574" w:type="dxa"/>
                  <w:tcBorders>
                    <w:tl2br w:val="nil"/>
                    <w:tr2bl w:val="nil"/>
                  </w:tcBorders>
                  <w:vAlign w:val="center"/>
                </w:tcPr>
                <w:p w14:paraId="330B7EA4">
                  <w:pPr>
                    <w:jc w:val="center"/>
                    <w:rPr>
                      <w:rFonts w:hint="default" w:eastAsia="宋体"/>
                      <w:color w:val="auto"/>
                      <w:spacing w:val="-20"/>
                      <w:sz w:val="18"/>
                      <w:szCs w:val="18"/>
                      <w:lang w:val="en-US" w:eastAsia="zh-CN"/>
                    </w:rPr>
                  </w:pPr>
                  <w:r>
                    <w:rPr>
                      <w:rFonts w:hint="eastAsia"/>
                      <w:color w:val="auto"/>
                      <w:spacing w:val="-20"/>
                      <w:sz w:val="18"/>
                      <w:szCs w:val="18"/>
                      <w:lang w:val="en-US" w:eastAsia="zh-CN"/>
                    </w:rPr>
                    <w:t>/</w:t>
                  </w:r>
                </w:p>
              </w:tc>
              <w:tc>
                <w:tcPr>
                  <w:tcW w:w="1578" w:type="dxa"/>
                  <w:tcBorders>
                    <w:tl2br w:val="nil"/>
                    <w:tr2bl w:val="nil"/>
                  </w:tcBorders>
                  <w:vAlign w:val="center"/>
                </w:tcPr>
                <w:p w14:paraId="15EEF86E">
                  <w:pPr>
                    <w:jc w:val="center"/>
                    <w:rPr>
                      <w:rFonts w:hint="eastAsia"/>
                      <w:color w:val="auto"/>
                      <w:spacing w:val="-20"/>
                      <w:sz w:val="18"/>
                      <w:szCs w:val="18"/>
                    </w:rPr>
                  </w:pPr>
                  <w:r>
                    <w:rPr>
                      <w:rFonts w:hint="eastAsia"/>
                      <w:color w:val="auto"/>
                      <w:spacing w:val="-20"/>
                      <w:sz w:val="18"/>
                      <w:szCs w:val="18"/>
                    </w:rPr>
                    <w:t>/</w:t>
                  </w:r>
                </w:p>
              </w:tc>
            </w:tr>
            <w:tr w14:paraId="0FC3D7A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581" w:type="dxa"/>
                  <w:gridSpan w:val="2"/>
                  <w:tcBorders>
                    <w:tl2br w:val="nil"/>
                    <w:tr2bl w:val="nil"/>
                  </w:tcBorders>
                  <w:vAlign w:val="center"/>
                </w:tcPr>
                <w:p w14:paraId="46FBD174">
                  <w:pPr>
                    <w:jc w:val="center"/>
                    <w:rPr>
                      <w:color w:val="auto"/>
                      <w:spacing w:val="-20"/>
                      <w:sz w:val="18"/>
                      <w:szCs w:val="18"/>
                    </w:rPr>
                  </w:pPr>
                  <w:r>
                    <w:rPr>
                      <w:rFonts w:hint="eastAsia"/>
                      <w:color w:val="auto"/>
                      <w:spacing w:val="-20"/>
                      <w:sz w:val="18"/>
                      <w:szCs w:val="18"/>
                    </w:rPr>
                    <w:t>排放标准mg/m</w:t>
                  </w:r>
                  <w:r>
                    <w:rPr>
                      <w:rFonts w:hint="eastAsia"/>
                      <w:color w:val="auto"/>
                      <w:spacing w:val="-20"/>
                      <w:sz w:val="18"/>
                      <w:szCs w:val="18"/>
                      <w:vertAlign w:val="superscript"/>
                    </w:rPr>
                    <w:t>3</w:t>
                  </w:r>
                </w:p>
              </w:tc>
              <w:tc>
                <w:tcPr>
                  <w:tcW w:w="1534" w:type="dxa"/>
                  <w:tcBorders>
                    <w:tl2br w:val="nil"/>
                    <w:tr2bl w:val="nil"/>
                  </w:tcBorders>
                  <w:vAlign w:val="center"/>
                </w:tcPr>
                <w:p w14:paraId="177C3C97">
                  <w:pPr>
                    <w:jc w:val="center"/>
                    <w:rPr>
                      <w:color w:val="auto"/>
                      <w:spacing w:val="-11"/>
                      <w:sz w:val="18"/>
                      <w:szCs w:val="18"/>
                    </w:rPr>
                  </w:pPr>
                  <w:r>
                    <w:rPr>
                      <w:rFonts w:hint="eastAsia"/>
                      <w:color w:val="auto"/>
                      <w:spacing w:val="-11"/>
                      <w:sz w:val="18"/>
                      <w:szCs w:val="18"/>
                    </w:rPr>
                    <w:t>10</w:t>
                  </w:r>
                </w:p>
              </w:tc>
              <w:tc>
                <w:tcPr>
                  <w:tcW w:w="1693" w:type="dxa"/>
                  <w:tcBorders>
                    <w:tl2br w:val="nil"/>
                    <w:tr2bl w:val="nil"/>
                  </w:tcBorders>
                  <w:vAlign w:val="center"/>
                </w:tcPr>
                <w:p w14:paraId="5FFABDB5">
                  <w:pPr>
                    <w:jc w:val="center"/>
                    <w:rPr>
                      <w:rFonts w:hint="default" w:eastAsia="宋体"/>
                      <w:color w:val="auto"/>
                      <w:spacing w:val="-11"/>
                      <w:sz w:val="18"/>
                      <w:szCs w:val="18"/>
                      <w:lang w:val="en-US" w:eastAsia="zh-CN"/>
                    </w:rPr>
                  </w:pPr>
                  <w:r>
                    <w:rPr>
                      <w:rFonts w:hint="eastAsia"/>
                      <w:color w:val="auto"/>
                      <w:spacing w:val="-11"/>
                      <w:sz w:val="18"/>
                      <w:szCs w:val="18"/>
                      <w:lang w:val="en-US" w:eastAsia="zh-CN"/>
                    </w:rPr>
                    <w:t>10</w:t>
                  </w:r>
                </w:p>
              </w:tc>
              <w:tc>
                <w:tcPr>
                  <w:tcW w:w="1574" w:type="dxa"/>
                  <w:tcBorders>
                    <w:tl2br w:val="nil"/>
                    <w:tr2bl w:val="nil"/>
                  </w:tcBorders>
                  <w:vAlign w:val="center"/>
                </w:tcPr>
                <w:p w14:paraId="622D478D">
                  <w:pPr>
                    <w:jc w:val="center"/>
                    <w:rPr>
                      <w:rFonts w:hint="default" w:eastAsia="宋体"/>
                      <w:color w:val="auto"/>
                      <w:spacing w:val="-20"/>
                      <w:sz w:val="18"/>
                      <w:szCs w:val="18"/>
                      <w:lang w:val="en-US" w:eastAsia="zh-CN"/>
                    </w:rPr>
                  </w:pPr>
                  <w:r>
                    <w:rPr>
                      <w:rFonts w:hint="eastAsia"/>
                      <w:color w:val="auto"/>
                      <w:spacing w:val="-20"/>
                      <w:sz w:val="18"/>
                      <w:szCs w:val="18"/>
                    </w:rPr>
                    <w:t>厂界＜</w:t>
                  </w:r>
                  <w:r>
                    <w:rPr>
                      <w:rFonts w:hint="eastAsia"/>
                      <w:color w:val="auto"/>
                      <w:spacing w:val="-20"/>
                      <w:sz w:val="18"/>
                      <w:szCs w:val="18"/>
                      <w:lang w:val="en-US" w:eastAsia="zh-CN"/>
                    </w:rPr>
                    <w:t>1.0</w:t>
                  </w:r>
                </w:p>
              </w:tc>
              <w:tc>
                <w:tcPr>
                  <w:tcW w:w="1578" w:type="dxa"/>
                  <w:tcBorders>
                    <w:tl2br w:val="nil"/>
                    <w:tr2bl w:val="nil"/>
                  </w:tcBorders>
                  <w:vAlign w:val="center"/>
                </w:tcPr>
                <w:p w14:paraId="1537690D">
                  <w:pPr>
                    <w:jc w:val="center"/>
                    <w:rPr>
                      <w:rFonts w:hint="eastAsia"/>
                      <w:color w:val="auto"/>
                      <w:spacing w:val="-20"/>
                      <w:sz w:val="18"/>
                      <w:szCs w:val="18"/>
                    </w:rPr>
                  </w:pPr>
                  <w:r>
                    <w:rPr>
                      <w:rFonts w:hint="eastAsia"/>
                      <w:color w:val="auto"/>
                      <w:spacing w:val="-20"/>
                      <w:sz w:val="18"/>
                      <w:szCs w:val="18"/>
                    </w:rPr>
                    <w:t>厂界＜</w:t>
                  </w:r>
                  <w:r>
                    <w:rPr>
                      <w:rFonts w:hint="eastAsia"/>
                      <w:color w:val="auto"/>
                      <w:spacing w:val="-20"/>
                      <w:sz w:val="18"/>
                      <w:szCs w:val="18"/>
                      <w:lang w:val="en-US" w:eastAsia="zh-CN"/>
                    </w:rPr>
                    <w:t>1.0</w:t>
                  </w:r>
                </w:p>
              </w:tc>
            </w:tr>
            <w:tr w14:paraId="74CF954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1581" w:type="dxa"/>
                  <w:gridSpan w:val="2"/>
                  <w:tcBorders>
                    <w:tl2br w:val="nil"/>
                    <w:tr2bl w:val="nil"/>
                  </w:tcBorders>
                  <w:vAlign w:val="center"/>
                </w:tcPr>
                <w:p w14:paraId="5081351A">
                  <w:pPr>
                    <w:jc w:val="center"/>
                    <w:rPr>
                      <w:color w:val="auto"/>
                      <w:spacing w:val="-20"/>
                      <w:sz w:val="18"/>
                      <w:szCs w:val="18"/>
                    </w:rPr>
                  </w:pPr>
                  <w:r>
                    <w:rPr>
                      <w:rFonts w:hint="eastAsia"/>
                      <w:color w:val="auto"/>
                      <w:spacing w:val="-20"/>
                      <w:sz w:val="18"/>
                      <w:szCs w:val="18"/>
                    </w:rPr>
                    <w:t>达标情况</w:t>
                  </w:r>
                </w:p>
              </w:tc>
              <w:tc>
                <w:tcPr>
                  <w:tcW w:w="1534" w:type="dxa"/>
                  <w:tcBorders>
                    <w:tl2br w:val="nil"/>
                    <w:tr2bl w:val="nil"/>
                  </w:tcBorders>
                  <w:vAlign w:val="center"/>
                </w:tcPr>
                <w:p w14:paraId="2CA3230B">
                  <w:pPr>
                    <w:jc w:val="center"/>
                    <w:rPr>
                      <w:color w:val="auto"/>
                      <w:spacing w:val="-11"/>
                      <w:sz w:val="18"/>
                      <w:szCs w:val="18"/>
                    </w:rPr>
                  </w:pPr>
                  <w:r>
                    <w:rPr>
                      <w:rFonts w:hint="eastAsia"/>
                      <w:color w:val="auto"/>
                      <w:spacing w:val="-11"/>
                      <w:sz w:val="18"/>
                      <w:szCs w:val="18"/>
                    </w:rPr>
                    <w:t>达标</w:t>
                  </w:r>
                </w:p>
              </w:tc>
              <w:tc>
                <w:tcPr>
                  <w:tcW w:w="1693" w:type="dxa"/>
                  <w:tcBorders>
                    <w:tl2br w:val="nil"/>
                    <w:tr2bl w:val="nil"/>
                  </w:tcBorders>
                  <w:vAlign w:val="center"/>
                </w:tcPr>
                <w:p w14:paraId="7DFD665B">
                  <w:pPr>
                    <w:jc w:val="center"/>
                    <w:rPr>
                      <w:rFonts w:hint="eastAsia" w:eastAsia="宋体"/>
                      <w:color w:val="auto"/>
                      <w:spacing w:val="-11"/>
                      <w:sz w:val="18"/>
                      <w:szCs w:val="18"/>
                      <w:lang w:val="en-US" w:eastAsia="zh-CN"/>
                    </w:rPr>
                  </w:pPr>
                  <w:r>
                    <w:rPr>
                      <w:rFonts w:hint="eastAsia"/>
                      <w:color w:val="auto"/>
                      <w:spacing w:val="-11"/>
                      <w:sz w:val="18"/>
                      <w:szCs w:val="18"/>
                      <w:lang w:val="en-US" w:eastAsia="zh-CN"/>
                    </w:rPr>
                    <w:t>达标</w:t>
                  </w:r>
                </w:p>
              </w:tc>
              <w:tc>
                <w:tcPr>
                  <w:tcW w:w="1574" w:type="dxa"/>
                  <w:tcBorders>
                    <w:tl2br w:val="nil"/>
                    <w:tr2bl w:val="nil"/>
                  </w:tcBorders>
                  <w:vAlign w:val="center"/>
                </w:tcPr>
                <w:p w14:paraId="48A2C9EC">
                  <w:pPr>
                    <w:jc w:val="center"/>
                    <w:rPr>
                      <w:color w:val="auto"/>
                      <w:spacing w:val="-20"/>
                      <w:sz w:val="18"/>
                      <w:szCs w:val="18"/>
                    </w:rPr>
                  </w:pPr>
                  <w:r>
                    <w:rPr>
                      <w:rFonts w:hint="eastAsia"/>
                      <w:color w:val="auto"/>
                      <w:spacing w:val="-11"/>
                      <w:sz w:val="18"/>
                      <w:szCs w:val="18"/>
                      <w:lang w:val="en-US" w:eastAsia="zh-CN"/>
                    </w:rPr>
                    <w:t>达标</w:t>
                  </w:r>
                </w:p>
              </w:tc>
              <w:tc>
                <w:tcPr>
                  <w:tcW w:w="1578" w:type="dxa"/>
                  <w:tcBorders>
                    <w:tl2br w:val="nil"/>
                    <w:tr2bl w:val="nil"/>
                  </w:tcBorders>
                  <w:vAlign w:val="center"/>
                </w:tcPr>
                <w:p w14:paraId="6DCFEB93">
                  <w:pPr>
                    <w:jc w:val="center"/>
                    <w:rPr>
                      <w:rFonts w:hint="eastAsia"/>
                      <w:color w:val="auto"/>
                      <w:spacing w:val="-20"/>
                      <w:sz w:val="18"/>
                      <w:szCs w:val="18"/>
                    </w:rPr>
                  </w:pPr>
                  <w:r>
                    <w:rPr>
                      <w:rFonts w:hint="eastAsia"/>
                      <w:color w:val="auto"/>
                      <w:spacing w:val="-20"/>
                      <w:sz w:val="18"/>
                      <w:szCs w:val="18"/>
                    </w:rPr>
                    <w:t>达标</w:t>
                  </w:r>
                </w:p>
              </w:tc>
            </w:tr>
          </w:tbl>
          <w:p w14:paraId="7859B563">
            <w:pPr>
              <w:pStyle w:val="24"/>
              <w:adjustRightInd w:val="0"/>
              <w:snapToGrid w:val="0"/>
              <w:spacing w:before="0" w:beforeAutospacing="0" w:after="0" w:afterAutospacing="0" w:line="440" w:lineRule="exact"/>
              <w:ind w:firstLine="422" w:firstLineChars="200"/>
              <w:rPr>
                <w:rFonts w:ascii="Times New Roman" w:hAnsi="Times New Roman"/>
                <w:b/>
                <w:color w:val="auto"/>
                <w:sz w:val="21"/>
                <w:szCs w:val="21"/>
              </w:rPr>
            </w:pPr>
            <w:r>
              <w:rPr>
                <w:rFonts w:hint="eastAsia" w:ascii="Times New Roman" w:hAnsi="Times New Roman"/>
                <w:b/>
                <w:color w:val="auto"/>
                <w:sz w:val="21"/>
                <w:szCs w:val="21"/>
              </w:rPr>
              <w:t>1.2污染防治措施的可行性分析</w:t>
            </w:r>
          </w:p>
          <w:p w14:paraId="51805DC9">
            <w:pPr>
              <w:pStyle w:val="24"/>
              <w:keepNext w:val="0"/>
              <w:keepLines w:val="0"/>
              <w:pageBreakBefore w:val="0"/>
              <w:widowControl/>
              <w:kinsoku/>
              <w:wordWrap/>
              <w:overflowPunct/>
              <w:topLinePunct w:val="0"/>
              <w:autoSpaceDE/>
              <w:autoSpaceDN/>
              <w:bidi w:val="0"/>
              <w:adjustRightInd w:val="0"/>
              <w:snapToGrid w:val="0"/>
              <w:spacing w:before="0" w:beforeAutospacing="0" w:after="0" w:afterAutospacing="0" w:line="440" w:lineRule="exact"/>
              <w:ind w:firstLine="420" w:firstLineChars="200"/>
              <w:textAlignment w:val="auto"/>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拟建项目有组织废气采用</w:t>
            </w:r>
            <w:r>
              <w:rPr>
                <w:rFonts w:hint="eastAsia" w:ascii="Times New Roman" w:hAnsi="Times New Roman" w:eastAsia="宋体" w:cs="Times New Roman"/>
                <w:color w:val="auto"/>
                <w:sz w:val="21"/>
                <w:szCs w:val="21"/>
                <w:highlight w:val="none"/>
                <w:lang w:val="en-US" w:eastAsia="zh-CN"/>
              </w:rPr>
              <w:t>布袋除尘器进行处理</w:t>
            </w:r>
            <w:r>
              <w:rPr>
                <w:rFonts w:hint="eastAsia" w:ascii="Times New Roman" w:hAnsi="Times New Roman" w:cs="Times New Roman"/>
                <w:color w:val="auto"/>
                <w:sz w:val="21"/>
                <w:szCs w:val="21"/>
                <w:highlight w:val="none"/>
                <w:lang w:val="en-US" w:eastAsia="zh-CN"/>
              </w:rPr>
              <w:t>。</w:t>
            </w:r>
          </w:p>
          <w:p w14:paraId="4C018246">
            <w:pPr>
              <w:pStyle w:val="24"/>
              <w:adjustRightInd w:val="0"/>
              <w:snapToGrid w:val="0"/>
              <w:spacing w:before="0" w:beforeAutospacing="0" w:after="0" w:afterAutospacing="0" w:line="440" w:lineRule="exact"/>
              <w:ind w:firstLine="420" w:firstLineChars="200"/>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袋式除尘器是通过滤袋滤除含尘气体中粉尘粒子的分离净化装置，是一种干式高效过滤除尘器，袋式除尘器的工作原理是通过袋式缝隙的过滤作用而阻挡粉尘，当滤袋上的粉尘沉积到一定程度时，通过脉冲作用使滤袋抖动并变形，沉积的粉尘落入集灰斗，避免了喷吹清灰产生二次扬尘，同时运行平稳，除尘效率高。</w:t>
            </w:r>
          </w:p>
          <w:p w14:paraId="39C681B9">
            <w:pPr>
              <w:pStyle w:val="24"/>
              <w:adjustRightInd w:val="0"/>
              <w:snapToGrid w:val="0"/>
              <w:spacing w:before="0" w:beforeAutospacing="0" w:after="0" w:afterAutospacing="0" w:line="440" w:lineRule="exact"/>
              <w:ind w:firstLine="420" w:firstLineChars="200"/>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近年来，由于新型合成纤维滤料的出现，脉冲清灰及履带自动检漏等新技术的应用、滤袋与花板间密封措施的加强、除尘单元离线检修的实现，袋式除尘器得到了较大发展和广泛应用，其主要特点如下：</w:t>
            </w:r>
          </w:p>
          <w:p w14:paraId="50681ECB">
            <w:pPr>
              <w:pStyle w:val="24"/>
              <w:adjustRightInd w:val="0"/>
              <w:snapToGrid w:val="0"/>
              <w:spacing w:before="0" w:beforeAutospacing="0" w:after="0" w:afterAutospacing="0" w:line="440" w:lineRule="exact"/>
              <w:ind w:firstLine="420" w:firstLineChars="200"/>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a、袋式除尘器对净化含微米或亚微米数量级粉尘粒子的气体效率较高，一般可达99%以上，能有效去除废气中的微细粉尘。</w:t>
            </w:r>
          </w:p>
          <w:p w14:paraId="5D71DC17">
            <w:pPr>
              <w:pStyle w:val="24"/>
              <w:adjustRightInd w:val="0"/>
              <w:snapToGrid w:val="0"/>
              <w:spacing w:before="0" w:beforeAutospacing="0" w:after="0" w:afterAutospacing="0" w:line="440" w:lineRule="exact"/>
              <w:ind w:firstLine="420" w:firstLineChars="200"/>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b、除尘效率不受粉尘比电阻、浓度、粒度等性质的影响，负荷变化、废气量波动对袋式除尘器出口排放浓度的影响较小。</w:t>
            </w:r>
          </w:p>
          <w:p w14:paraId="1E1F2A0E">
            <w:pPr>
              <w:pStyle w:val="24"/>
              <w:keepNext w:val="0"/>
              <w:keepLines w:val="0"/>
              <w:pageBreakBefore w:val="0"/>
              <w:widowControl/>
              <w:kinsoku/>
              <w:wordWrap/>
              <w:overflowPunct/>
              <w:topLinePunct w:val="0"/>
              <w:autoSpaceDE/>
              <w:autoSpaceDN/>
              <w:bidi w:val="0"/>
              <w:adjustRightInd w:val="0"/>
              <w:snapToGrid w:val="0"/>
              <w:spacing w:before="0" w:beforeAutospacing="0" w:after="0" w:afterAutospacing="0" w:line="440" w:lineRule="exact"/>
              <w:ind w:firstLine="420" w:firstLineChars="200"/>
              <w:textAlignment w:val="auto"/>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c、袋式除尘器采用分室结构后，除尘器袋式可轮换检修而不影响除尘系统的运行。</w:t>
            </w:r>
          </w:p>
          <w:p w14:paraId="44484767">
            <w:pPr>
              <w:pStyle w:val="24"/>
              <w:keepNext w:val="0"/>
              <w:keepLines w:val="0"/>
              <w:pageBreakBefore w:val="0"/>
              <w:widowControl/>
              <w:kinsoku/>
              <w:wordWrap/>
              <w:overflowPunct/>
              <w:topLinePunct w:val="0"/>
              <w:autoSpaceDE/>
              <w:autoSpaceDN/>
              <w:bidi w:val="0"/>
              <w:adjustRightInd w:val="0"/>
              <w:snapToGrid w:val="0"/>
              <w:spacing w:before="0" w:beforeAutospacing="0" w:after="0" w:afterAutospacing="0" w:line="440" w:lineRule="exact"/>
              <w:ind w:firstLine="420" w:firstLineChars="200"/>
              <w:textAlignment w:val="auto"/>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d、袋式除尘器结构和维修均较简单。</w:t>
            </w:r>
          </w:p>
          <w:p w14:paraId="5EC19C4C">
            <w:pPr>
              <w:pStyle w:val="24"/>
              <w:keepNext w:val="0"/>
              <w:keepLines w:val="0"/>
              <w:pageBreakBefore w:val="0"/>
              <w:widowControl/>
              <w:kinsoku/>
              <w:wordWrap/>
              <w:overflowPunct/>
              <w:topLinePunct w:val="0"/>
              <w:autoSpaceDE/>
              <w:autoSpaceDN/>
              <w:bidi w:val="0"/>
              <w:adjustRightInd w:val="0"/>
              <w:snapToGrid w:val="0"/>
              <w:spacing w:before="0" w:beforeAutospacing="0" w:after="0" w:afterAutospacing="0" w:line="440" w:lineRule="exact"/>
              <w:ind w:firstLine="420" w:firstLineChars="200"/>
              <w:textAlignment w:val="auto"/>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e、作为袋式除尘器的关键问题—滤料材质目前已获得突破，使用寿命一般在2年以上，有的可达4～6年。</w:t>
            </w:r>
          </w:p>
          <w:p w14:paraId="193AB7D6">
            <w:pPr>
              <w:pStyle w:val="24"/>
              <w:keepNext w:val="0"/>
              <w:keepLines w:val="0"/>
              <w:pageBreakBefore w:val="0"/>
              <w:widowControl/>
              <w:kinsoku/>
              <w:wordWrap/>
              <w:overflowPunct/>
              <w:topLinePunct w:val="0"/>
              <w:autoSpaceDE/>
              <w:autoSpaceDN/>
              <w:bidi w:val="0"/>
              <w:adjustRightInd w:val="0"/>
              <w:snapToGrid w:val="0"/>
              <w:spacing w:before="0" w:beforeAutospacing="0" w:after="0" w:afterAutospacing="0" w:line="440" w:lineRule="exact"/>
              <w:ind w:firstLine="420" w:firstLineChars="200"/>
              <w:textAlignment w:val="auto"/>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目前，袋式除尘器是各类企业常用的环保设备之一，几乎在各产尘生产工序都可以采用。调查可知，诸多钢铁、水泥和石灰行业的物料转运、筛分、干燥等工序产生废气均采用袋式除尘器净化处理。本项目脉冲袋式除尘器滤袋材质为拒油防水涤纶针刺毡覆膜，类比同类项目，净化后外排废气中颗粒物浓度可有效控制在10mg/m</w:t>
            </w:r>
            <w:r>
              <w:rPr>
                <w:rFonts w:hint="eastAsia" w:ascii="Times New Roman" w:hAnsi="Times New Roman" w:eastAsia="宋体" w:cs="Times New Roman"/>
                <w:color w:val="auto"/>
                <w:sz w:val="21"/>
                <w:szCs w:val="21"/>
                <w:highlight w:val="none"/>
                <w:vertAlign w:val="superscript"/>
                <w:lang w:val="en-US" w:eastAsia="zh-CN"/>
              </w:rPr>
              <w:t>3</w:t>
            </w:r>
            <w:r>
              <w:rPr>
                <w:rFonts w:hint="eastAsia" w:ascii="Times New Roman" w:hAnsi="Times New Roman" w:eastAsia="宋体" w:cs="Times New Roman"/>
                <w:color w:val="auto"/>
                <w:sz w:val="21"/>
                <w:szCs w:val="21"/>
                <w:highlight w:val="none"/>
                <w:lang w:val="en-US" w:eastAsia="zh-CN"/>
              </w:rPr>
              <w:t>以内。</w:t>
            </w:r>
          </w:p>
          <w:p w14:paraId="3FBA016F">
            <w:pPr>
              <w:pStyle w:val="24"/>
              <w:adjustRightInd w:val="0"/>
              <w:snapToGrid w:val="0"/>
              <w:spacing w:before="0" w:beforeAutospacing="0" w:after="0" w:afterAutospacing="0" w:line="440" w:lineRule="exact"/>
              <w:ind w:firstLine="420" w:firstLineChars="200"/>
              <w:rPr>
                <w:rFonts w:ascii="Times New Roman" w:hAnsi="Times New Roman"/>
                <w:color w:val="auto"/>
                <w:sz w:val="21"/>
                <w:szCs w:val="21"/>
              </w:rPr>
            </w:pPr>
            <w:r>
              <w:rPr>
                <w:rFonts w:hint="eastAsia" w:ascii="Times New Roman" w:hAnsi="Times New Roman"/>
                <w:color w:val="auto"/>
                <w:sz w:val="21"/>
                <w:szCs w:val="21"/>
              </w:rPr>
              <w:t>拟建项目</w:t>
            </w:r>
            <w:r>
              <w:rPr>
                <w:rFonts w:ascii="Times New Roman" w:hAnsi="Times New Roman"/>
                <w:color w:val="auto"/>
                <w:sz w:val="21"/>
                <w:szCs w:val="21"/>
              </w:rPr>
              <w:t>废气</w:t>
            </w:r>
            <w:r>
              <w:rPr>
                <w:rFonts w:hint="eastAsia" w:ascii="Times New Roman" w:hAnsi="Times New Roman"/>
                <w:color w:val="auto"/>
                <w:sz w:val="21"/>
                <w:szCs w:val="21"/>
              </w:rPr>
              <w:t>采用布袋除尘器进行处理</w:t>
            </w:r>
            <w:r>
              <w:rPr>
                <w:rFonts w:hint="eastAsia" w:ascii="Times New Roman" w:hAnsi="Times New Roman" w:eastAsia="宋体" w:cs="Times New Roman"/>
                <w:color w:val="auto"/>
                <w:sz w:val="21"/>
                <w:szCs w:val="21"/>
                <w:highlight w:val="none"/>
                <w:lang w:val="en-US" w:eastAsia="zh-CN"/>
              </w:rPr>
              <w:t>，滤袋采用覆膜涤纶针刺毡</w:t>
            </w:r>
            <w:r>
              <w:rPr>
                <w:rFonts w:hint="eastAsia" w:ascii="Times New Roman" w:hAnsi="Times New Roman"/>
                <w:color w:val="auto"/>
                <w:sz w:val="21"/>
                <w:szCs w:val="21"/>
              </w:rPr>
              <w:t>，符合《排污许可证申请与核发技术规范 废弃资源加工工业》（HJ</w:t>
            </w:r>
            <w:r>
              <w:rPr>
                <w:rFonts w:ascii="Times New Roman" w:hAnsi="Times New Roman"/>
                <w:color w:val="auto"/>
                <w:sz w:val="21"/>
                <w:szCs w:val="21"/>
              </w:rPr>
              <w:t>1034</w:t>
            </w:r>
            <w:r>
              <w:rPr>
                <w:rFonts w:hint="eastAsia" w:ascii="Times New Roman" w:hAnsi="Times New Roman"/>
                <w:color w:val="auto"/>
                <w:sz w:val="21"/>
                <w:szCs w:val="21"/>
              </w:rPr>
              <w:t>-201</w:t>
            </w:r>
            <w:r>
              <w:rPr>
                <w:rFonts w:ascii="Times New Roman" w:hAnsi="Times New Roman"/>
                <w:color w:val="auto"/>
                <w:sz w:val="21"/>
                <w:szCs w:val="21"/>
              </w:rPr>
              <w:t>9</w:t>
            </w:r>
            <w:r>
              <w:rPr>
                <w:rFonts w:hint="eastAsia" w:ascii="Times New Roman" w:hAnsi="Times New Roman"/>
                <w:color w:val="auto"/>
                <w:sz w:val="21"/>
                <w:szCs w:val="21"/>
              </w:rPr>
              <w:t>）中规定的可行性技术。</w:t>
            </w:r>
          </w:p>
          <w:p w14:paraId="4E9324A5">
            <w:pPr>
              <w:pStyle w:val="24"/>
              <w:adjustRightInd w:val="0"/>
              <w:snapToGrid w:val="0"/>
              <w:spacing w:before="0" w:beforeAutospacing="0" w:after="0" w:afterAutospacing="0" w:line="440" w:lineRule="exact"/>
              <w:ind w:firstLine="422" w:firstLineChars="200"/>
              <w:rPr>
                <w:rFonts w:ascii="Times New Roman" w:hAnsi="Times New Roman"/>
                <w:b/>
                <w:color w:val="auto"/>
                <w:sz w:val="21"/>
                <w:szCs w:val="21"/>
              </w:rPr>
            </w:pPr>
            <w:r>
              <w:rPr>
                <w:rFonts w:hint="eastAsia" w:ascii="Times New Roman" w:hAnsi="Times New Roman"/>
                <w:b/>
                <w:color w:val="auto"/>
                <w:sz w:val="21"/>
                <w:szCs w:val="21"/>
              </w:rPr>
              <w:t>1.3排放口基本情况</w:t>
            </w:r>
          </w:p>
          <w:p w14:paraId="55B8A69C">
            <w:pPr>
              <w:pStyle w:val="24"/>
              <w:adjustRightInd w:val="0"/>
              <w:snapToGrid w:val="0"/>
              <w:spacing w:before="0" w:beforeAutospacing="0" w:after="0" w:afterAutospacing="0" w:line="440" w:lineRule="exact"/>
              <w:ind w:firstLine="420" w:firstLineChars="200"/>
              <w:rPr>
                <w:rFonts w:hint="eastAsia" w:ascii="Times New Roman" w:hAnsi="Times New Roman"/>
                <w:color w:val="auto"/>
                <w:sz w:val="21"/>
                <w:szCs w:val="21"/>
              </w:rPr>
            </w:pPr>
            <w:r>
              <w:rPr>
                <w:rFonts w:hint="eastAsia" w:ascii="Times New Roman" w:hAnsi="Times New Roman"/>
                <w:color w:val="auto"/>
                <w:sz w:val="21"/>
                <w:szCs w:val="21"/>
              </w:rPr>
              <w:t>拟建项目废气污染源排放口基本情况详见下表。</w:t>
            </w:r>
          </w:p>
          <w:p w14:paraId="073D2FC5">
            <w:pPr>
              <w:spacing w:line="440" w:lineRule="exact"/>
              <w:ind w:firstLine="422" w:firstLineChars="200"/>
              <w:jc w:val="center"/>
              <w:rPr>
                <w:b/>
                <w:snapToGrid w:val="0"/>
                <w:color w:val="auto"/>
                <w:kern w:val="0"/>
                <w:lang w:bidi="ar"/>
              </w:rPr>
            </w:pPr>
            <w:r>
              <w:rPr>
                <w:rFonts w:hint="eastAsia"/>
                <w:b/>
                <w:snapToGrid w:val="0"/>
                <w:color w:val="auto"/>
                <w:kern w:val="0"/>
                <w:lang w:bidi="ar"/>
              </w:rPr>
              <w:t>表</w:t>
            </w:r>
            <w:r>
              <w:rPr>
                <w:rFonts w:hint="eastAsia"/>
                <w:b/>
                <w:snapToGrid w:val="0"/>
                <w:color w:val="auto"/>
                <w:kern w:val="0"/>
                <w:lang w:val="en-US" w:eastAsia="zh-CN" w:bidi="ar"/>
              </w:rPr>
              <w:t>34</w:t>
            </w:r>
            <w:r>
              <w:rPr>
                <w:rFonts w:hint="eastAsia"/>
                <w:b/>
                <w:snapToGrid w:val="0"/>
                <w:color w:val="auto"/>
                <w:kern w:val="0"/>
                <w:lang w:bidi="ar"/>
              </w:rPr>
              <w:t xml:space="preserve"> 废气污染源排放口基本情况一览表</w:t>
            </w:r>
          </w:p>
          <w:tbl>
            <w:tblPr>
              <w:tblStyle w:val="28"/>
              <w:tblW w:w="8012" w:type="dxa"/>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312"/>
              <w:gridCol w:w="1114"/>
              <w:gridCol w:w="650"/>
              <w:gridCol w:w="540"/>
              <w:gridCol w:w="680"/>
              <w:gridCol w:w="550"/>
              <w:gridCol w:w="710"/>
              <w:gridCol w:w="1050"/>
              <w:gridCol w:w="990"/>
              <w:gridCol w:w="1416"/>
            </w:tblGrid>
            <w:tr w14:paraId="51B039D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5" w:hRule="atLeast"/>
              </w:trPr>
              <w:tc>
                <w:tcPr>
                  <w:tcW w:w="312" w:type="dxa"/>
                  <w:vMerge w:val="restart"/>
                  <w:tcBorders>
                    <w:tl2br w:val="nil"/>
                    <w:tr2bl w:val="nil"/>
                  </w:tcBorders>
                  <w:shd w:val="clear" w:color="auto" w:fill="auto"/>
                  <w:vAlign w:val="center"/>
                </w:tcPr>
                <w:p w14:paraId="4435A4F6">
                  <w:pPr>
                    <w:jc w:val="center"/>
                    <w:rPr>
                      <w:color w:val="auto"/>
                      <w:spacing w:val="-20"/>
                      <w:sz w:val="18"/>
                      <w:szCs w:val="18"/>
                    </w:rPr>
                  </w:pPr>
                  <w:r>
                    <w:rPr>
                      <w:color w:val="auto"/>
                      <w:spacing w:val="-20"/>
                      <w:sz w:val="18"/>
                      <w:szCs w:val="18"/>
                    </w:rPr>
                    <w:t>序号</w:t>
                  </w:r>
                </w:p>
              </w:tc>
              <w:tc>
                <w:tcPr>
                  <w:tcW w:w="1114" w:type="dxa"/>
                  <w:vMerge w:val="restart"/>
                  <w:tcBorders>
                    <w:tl2br w:val="nil"/>
                    <w:tr2bl w:val="nil"/>
                  </w:tcBorders>
                  <w:shd w:val="clear" w:color="auto" w:fill="auto"/>
                  <w:vAlign w:val="center"/>
                </w:tcPr>
                <w:p w14:paraId="75E43921">
                  <w:pPr>
                    <w:jc w:val="center"/>
                    <w:rPr>
                      <w:rFonts w:hint="eastAsia" w:eastAsia="宋体"/>
                      <w:color w:val="auto"/>
                      <w:spacing w:val="-20"/>
                      <w:sz w:val="18"/>
                      <w:szCs w:val="18"/>
                      <w:lang w:eastAsia="zh-CN"/>
                    </w:rPr>
                  </w:pPr>
                  <w:r>
                    <w:rPr>
                      <w:rFonts w:hint="eastAsia"/>
                      <w:color w:val="auto"/>
                      <w:spacing w:val="-20"/>
                      <w:sz w:val="18"/>
                      <w:szCs w:val="18"/>
                      <w:lang w:val="en-US" w:eastAsia="zh-CN"/>
                    </w:rPr>
                    <w:t>名称</w:t>
                  </w:r>
                </w:p>
              </w:tc>
              <w:tc>
                <w:tcPr>
                  <w:tcW w:w="650" w:type="dxa"/>
                  <w:vMerge w:val="restart"/>
                  <w:tcBorders>
                    <w:tl2br w:val="nil"/>
                    <w:tr2bl w:val="nil"/>
                  </w:tcBorders>
                  <w:shd w:val="clear" w:color="auto" w:fill="auto"/>
                  <w:vAlign w:val="center"/>
                </w:tcPr>
                <w:p w14:paraId="40FAE923">
                  <w:pPr>
                    <w:jc w:val="center"/>
                    <w:rPr>
                      <w:color w:val="auto"/>
                      <w:spacing w:val="-20"/>
                      <w:sz w:val="18"/>
                      <w:szCs w:val="18"/>
                    </w:rPr>
                  </w:pPr>
                  <w:r>
                    <w:rPr>
                      <w:color w:val="auto"/>
                      <w:spacing w:val="-20"/>
                      <w:sz w:val="18"/>
                      <w:szCs w:val="18"/>
                    </w:rPr>
                    <w:t>污染</w:t>
                  </w:r>
                </w:p>
                <w:p w14:paraId="479DB480">
                  <w:pPr>
                    <w:jc w:val="center"/>
                    <w:rPr>
                      <w:color w:val="auto"/>
                      <w:spacing w:val="-20"/>
                      <w:sz w:val="18"/>
                      <w:szCs w:val="18"/>
                    </w:rPr>
                  </w:pPr>
                  <w:r>
                    <w:rPr>
                      <w:color w:val="auto"/>
                      <w:spacing w:val="-20"/>
                      <w:sz w:val="18"/>
                      <w:szCs w:val="18"/>
                    </w:rPr>
                    <w:t>因子</w:t>
                  </w:r>
                </w:p>
              </w:tc>
              <w:tc>
                <w:tcPr>
                  <w:tcW w:w="4520" w:type="dxa"/>
                  <w:gridSpan w:val="6"/>
                  <w:tcBorders>
                    <w:tl2br w:val="nil"/>
                    <w:tr2bl w:val="nil"/>
                  </w:tcBorders>
                  <w:shd w:val="clear" w:color="auto" w:fill="auto"/>
                  <w:vAlign w:val="center"/>
                </w:tcPr>
                <w:p w14:paraId="40960451">
                  <w:pPr>
                    <w:jc w:val="center"/>
                    <w:rPr>
                      <w:color w:val="auto"/>
                      <w:spacing w:val="-20"/>
                      <w:sz w:val="18"/>
                      <w:szCs w:val="18"/>
                    </w:rPr>
                  </w:pPr>
                  <w:r>
                    <w:rPr>
                      <w:rFonts w:hint="eastAsia"/>
                      <w:color w:val="auto"/>
                      <w:spacing w:val="-20"/>
                      <w:sz w:val="18"/>
                      <w:szCs w:val="18"/>
                    </w:rPr>
                    <w:t>排放口基本情况</w:t>
                  </w:r>
                </w:p>
              </w:tc>
              <w:tc>
                <w:tcPr>
                  <w:tcW w:w="1416" w:type="dxa"/>
                  <w:vMerge w:val="restart"/>
                  <w:tcBorders>
                    <w:tl2br w:val="nil"/>
                    <w:tr2bl w:val="nil"/>
                  </w:tcBorders>
                  <w:shd w:val="clear" w:color="auto" w:fill="auto"/>
                  <w:vAlign w:val="center"/>
                </w:tcPr>
                <w:p w14:paraId="20BC15F6">
                  <w:pPr>
                    <w:jc w:val="center"/>
                    <w:rPr>
                      <w:color w:val="auto"/>
                      <w:spacing w:val="-20"/>
                      <w:sz w:val="18"/>
                      <w:szCs w:val="18"/>
                    </w:rPr>
                  </w:pPr>
                  <w:r>
                    <w:rPr>
                      <w:rFonts w:hint="eastAsia"/>
                      <w:color w:val="auto"/>
                      <w:spacing w:val="-20"/>
                      <w:sz w:val="18"/>
                      <w:szCs w:val="18"/>
                    </w:rPr>
                    <w:t>排放标准</w:t>
                  </w:r>
                </w:p>
              </w:tc>
            </w:tr>
            <w:tr w14:paraId="1220674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6" w:hRule="atLeast"/>
              </w:trPr>
              <w:tc>
                <w:tcPr>
                  <w:tcW w:w="312" w:type="dxa"/>
                  <w:vMerge w:val="continue"/>
                  <w:tcBorders>
                    <w:tl2br w:val="nil"/>
                    <w:tr2bl w:val="nil"/>
                  </w:tcBorders>
                  <w:shd w:val="clear" w:color="auto" w:fill="auto"/>
                  <w:vAlign w:val="center"/>
                </w:tcPr>
                <w:p w14:paraId="5CF6D87D">
                  <w:pPr>
                    <w:jc w:val="center"/>
                    <w:rPr>
                      <w:color w:val="auto"/>
                      <w:spacing w:val="-20"/>
                      <w:sz w:val="18"/>
                      <w:szCs w:val="18"/>
                    </w:rPr>
                  </w:pPr>
                </w:p>
              </w:tc>
              <w:tc>
                <w:tcPr>
                  <w:tcW w:w="1114" w:type="dxa"/>
                  <w:vMerge w:val="continue"/>
                  <w:tcBorders>
                    <w:tl2br w:val="nil"/>
                    <w:tr2bl w:val="nil"/>
                  </w:tcBorders>
                  <w:shd w:val="clear" w:color="auto" w:fill="auto"/>
                  <w:vAlign w:val="center"/>
                </w:tcPr>
                <w:p w14:paraId="0D08AED4">
                  <w:pPr>
                    <w:jc w:val="center"/>
                    <w:rPr>
                      <w:color w:val="auto"/>
                      <w:spacing w:val="-20"/>
                      <w:sz w:val="18"/>
                      <w:szCs w:val="18"/>
                    </w:rPr>
                  </w:pPr>
                </w:p>
              </w:tc>
              <w:tc>
                <w:tcPr>
                  <w:tcW w:w="650" w:type="dxa"/>
                  <w:vMerge w:val="continue"/>
                  <w:tcBorders>
                    <w:tl2br w:val="nil"/>
                    <w:tr2bl w:val="nil"/>
                  </w:tcBorders>
                  <w:shd w:val="clear" w:color="auto" w:fill="auto"/>
                  <w:vAlign w:val="center"/>
                </w:tcPr>
                <w:p w14:paraId="4C3228BC">
                  <w:pPr>
                    <w:jc w:val="center"/>
                    <w:rPr>
                      <w:color w:val="auto"/>
                      <w:spacing w:val="-20"/>
                      <w:sz w:val="18"/>
                      <w:szCs w:val="18"/>
                    </w:rPr>
                  </w:pPr>
                </w:p>
              </w:tc>
              <w:tc>
                <w:tcPr>
                  <w:tcW w:w="540" w:type="dxa"/>
                  <w:vMerge w:val="restart"/>
                  <w:tcBorders>
                    <w:tl2br w:val="nil"/>
                    <w:tr2bl w:val="nil"/>
                  </w:tcBorders>
                  <w:shd w:val="clear" w:color="auto" w:fill="auto"/>
                  <w:vAlign w:val="center"/>
                </w:tcPr>
                <w:p w14:paraId="3BA0CEE4">
                  <w:pPr>
                    <w:jc w:val="center"/>
                    <w:rPr>
                      <w:color w:val="auto"/>
                      <w:spacing w:val="-20"/>
                      <w:sz w:val="18"/>
                      <w:szCs w:val="18"/>
                    </w:rPr>
                  </w:pPr>
                  <w:r>
                    <w:rPr>
                      <w:rFonts w:hint="eastAsia"/>
                      <w:color w:val="auto"/>
                      <w:spacing w:val="-20"/>
                      <w:sz w:val="18"/>
                      <w:szCs w:val="18"/>
                    </w:rPr>
                    <w:t>高度</w:t>
                  </w:r>
                </w:p>
              </w:tc>
              <w:tc>
                <w:tcPr>
                  <w:tcW w:w="680" w:type="dxa"/>
                  <w:vMerge w:val="restart"/>
                  <w:tcBorders>
                    <w:tl2br w:val="nil"/>
                    <w:tr2bl w:val="nil"/>
                  </w:tcBorders>
                  <w:shd w:val="clear" w:color="auto" w:fill="auto"/>
                  <w:vAlign w:val="center"/>
                </w:tcPr>
                <w:p w14:paraId="116565A9">
                  <w:pPr>
                    <w:jc w:val="center"/>
                    <w:rPr>
                      <w:color w:val="auto"/>
                      <w:spacing w:val="-20"/>
                      <w:sz w:val="18"/>
                      <w:szCs w:val="18"/>
                    </w:rPr>
                  </w:pPr>
                  <w:r>
                    <w:rPr>
                      <w:rFonts w:hint="eastAsia"/>
                      <w:color w:val="auto"/>
                      <w:spacing w:val="-20"/>
                      <w:sz w:val="18"/>
                      <w:szCs w:val="18"/>
                    </w:rPr>
                    <w:t>排气筒内径</w:t>
                  </w:r>
                </w:p>
              </w:tc>
              <w:tc>
                <w:tcPr>
                  <w:tcW w:w="550" w:type="dxa"/>
                  <w:vMerge w:val="restart"/>
                  <w:tcBorders>
                    <w:tl2br w:val="nil"/>
                    <w:tr2bl w:val="nil"/>
                  </w:tcBorders>
                  <w:shd w:val="clear" w:color="auto" w:fill="auto"/>
                  <w:vAlign w:val="center"/>
                </w:tcPr>
                <w:p w14:paraId="65A254B1">
                  <w:pPr>
                    <w:jc w:val="center"/>
                    <w:rPr>
                      <w:color w:val="auto"/>
                      <w:spacing w:val="-20"/>
                      <w:sz w:val="18"/>
                      <w:szCs w:val="18"/>
                    </w:rPr>
                  </w:pPr>
                  <w:r>
                    <w:rPr>
                      <w:rFonts w:hint="eastAsia"/>
                      <w:color w:val="auto"/>
                      <w:spacing w:val="-20"/>
                      <w:sz w:val="18"/>
                      <w:szCs w:val="18"/>
                    </w:rPr>
                    <w:t>温度</w:t>
                  </w:r>
                </w:p>
              </w:tc>
              <w:tc>
                <w:tcPr>
                  <w:tcW w:w="710" w:type="dxa"/>
                  <w:vMerge w:val="restart"/>
                  <w:tcBorders>
                    <w:tl2br w:val="nil"/>
                    <w:tr2bl w:val="nil"/>
                  </w:tcBorders>
                  <w:shd w:val="clear" w:color="auto" w:fill="auto"/>
                  <w:vAlign w:val="center"/>
                </w:tcPr>
                <w:p w14:paraId="63458DE9">
                  <w:pPr>
                    <w:jc w:val="center"/>
                    <w:rPr>
                      <w:color w:val="auto"/>
                      <w:spacing w:val="-20"/>
                      <w:sz w:val="18"/>
                      <w:szCs w:val="18"/>
                    </w:rPr>
                  </w:pPr>
                  <w:r>
                    <w:rPr>
                      <w:rFonts w:hint="eastAsia"/>
                      <w:color w:val="auto"/>
                      <w:spacing w:val="-20"/>
                      <w:sz w:val="18"/>
                      <w:szCs w:val="18"/>
                    </w:rPr>
                    <w:t>编号</w:t>
                  </w:r>
                </w:p>
              </w:tc>
              <w:tc>
                <w:tcPr>
                  <w:tcW w:w="2040" w:type="dxa"/>
                  <w:gridSpan w:val="2"/>
                  <w:tcBorders>
                    <w:tl2br w:val="nil"/>
                    <w:tr2bl w:val="nil"/>
                  </w:tcBorders>
                  <w:shd w:val="clear" w:color="auto" w:fill="auto"/>
                  <w:vAlign w:val="center"/>
                </w:tcPr>
                <w:p w14:paraId="6249C24A">
                  <w:pPr>
                    <w:pStyle w:val="24"/>
                    <w:jc w:val="center"/>
                    <w:rPr>
                      <w:color w:val="auto"/>
                      <w:spacing w:val="-20"/>
                      <w:sz w:val="18"/>
                      <w:szCs w:val="18"/>
                    </w:rPr>
                  </w:pPr>
                  <w:r>
                    <w:rPr>
                      <w:rFonts w:hint="eastAsia" w:ascii="Times New Roman" w:hAnsi="Times New Roman"/>
                      <w:color w:val="auto"/>
                      <w:spacing w:val="-20"/>
                      <w:sz w:val="18"/>
                      <w:szCs w:val="18"/>
                    </w:rPr>
                    <w:t>地理坐标</w:t>
                  </w:r>
                </w:p>
              </w:tc>
              <w:tc>
                <w:tcPr>
                  <w:tcW w:w="1416" w:type="dxa"/>
                  <w:vMerge w:val="continue"/>
                  <w:tcBorders>
                    <w:tl2br w:val="nil"/>
                    <w:tr2bl w:val="nil"/>
                  </w:tcBorders>
                  <w:shd w:val="clear" w:color="auto" w:fill="auto"/>
                  <w:vAlign w:val="center"/>
                </w:tcPr>
                <w:p w14:paraId="3EF66638">
                  <w:pPr>
                    <w:jc w:val="center"/>
                    <w:rPr>
                      <w:color w:val="auto"/>
                      <w:spacing w:val="-20"/>
                      <w:sz w:val="18"/>
                      <w:szCs w:val="18"/>
                    </w:rPr>
                  </w:pPr>
                </w:p>
              </w:tc>
            </w:tr>
            <w:tr w14:paraId="557820D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6" w:hRule="atLeast"/>
              </w:trPr>
              <w:tc>
                <w:tcPr>
                  <w:tcW w:w="312" w:type="dxa"/>
                  <w:vMerge w:val="continue"/>
                  <w:tcBorders>
                    <w:tl2br w:val="nil"/>
                    <w:tr2bl w:val="nil"/>
                  </w:tcBorders>
                  <w:shd w:val="clear" w:color="auto" w:fill="auto"/>
                  <w:vAlign w:val="center"/>
                </w:tcPr>
                <w:p w14:paraId="3E85F588">
                  <w:pPr>
                    <w:jc w:val="center"/>
                    <w:rPr>
                      <w:color w:val="auto"/>
                      <w:spacing w:val="-20"/>
                      <w:sz w:val="18"/>
                      <w:szCs w:val="18"/>
                    </w:rPr>
                  </w:pPr>
                </w:p>
              </w:tc>
              <w:tc>
                <w:tcPr>
                  <w:tcW w:w="1114" w:type="dxa"/>
                  <w:vMerge w:val="continue"/>
                  <w:tcBorders>
                    <w:tl2br w:val="nil"/>
                    <w:tr2bl w:val="nil"/>
                  </w:tcBorders>
                  <w:shd w:val="clear" w:color="auto" w:fill="auto"/>
                  <w:vAlign w:val="center"/>
                </w:tcPr>
                <w:p w14:paraId="77D626E2">
                  <w:pPr>
                    <w:jc w:val="center"/>
                    <w:rPr>
                      <w:color w:val="auto"/>
                      <w:spacing w:val="-20"/>
                      <w:sz w:val="18"/>
                      <w:szCs w:val="18"/>
                    </w:rPr>
                  </w:pPr>
                </w:p>
              </w:tc>
              <w:tc>
                <w:tcPr>
                  <w:tcW w:w="650" w:type="dxa"/>
                  <w:vMerge w:val="continue"/>
                  <w:tcBorders>
                    <w:tl2br w:val="nil"/>
                    <w:tr2bl w:val="nil"/>
                  </w:tcBorders>
                  <w:shd w:val="clear" w:color="auto" w:fill="auto"/>
                  <w:vAlign w:val="center"/>
                </w:tcPr>
                <w:p w14:paraId="0A6CEBB6">
                  <w:pPr>
                    <w:jc w:val="center"/>
                    <w:rPr>
                      <w:color w:val="auto"/>
                      <w:spacing w:val="-20"/>
                      <w:sz w:val="18"/>
                      <w:szCs w:val="18"/>
                    </w:rPr>
                  </w:pPr>
                </w:p>
              </w:tc>
              <w:tc>
                <w:tcPr>
                  <w:tcW w:w="540" w:type="dxa"/>
                  <w:vMerge w:val="continue"/>
                  <w:tcBorders>
                    <w:tl2br w:val="nil"/>
                    <w:tr2bl w:val="nil"/>
                  </w:tcBorders>
                  <w:shd w:val="clear" w:color="auto" w:fill="auto"/>
                  <w:vAlign w:val="center"/>
                </w:tcPr>
                <w:p w14:paraId="0062E2A7">
                  <w:pPr>
                    <w:jc w:val="center"/>
                    <w:rPr>
                      <w:color w:val="auto"/>
                      <w:spacing w:val="-20"/>
                      <w:sz w:val="18"/>
                      <w:szCs w:val="18"/>
                    </w:rPr>
                  </w:pPr>
                </w:p>
              </w:tc>
              <w:tc>
                <w:tcPr>
                  <w:tcW w:w="680" w:type="dxa"/>
                  <w:vMerge w:val="continue"/>
                  <w:tcBorders>
                    <w:tl2br w:val="nil"/>
                    <w:tr2bl w:val="nil"/>
                  </w:tcBorders>
                  <w:shd w:val="clear" w:color="auto" w:fill="auto"/>
                  <w:vAlign w:val="center"/>
                </w:tcPr>
                <w:p w14:paraId="256BDEAE">
                  <w:pPr>
                    <w:jc w:val="center"/>
                    <w:rPr>
                      <w:color w:val="auto"/>
                      <w:spacing w:val="-20"/>
                      <w:sz w:val="18"/>
                      <w:szCs w:val="18"/>
                    </w:rPr>
                  </w:pPr>
                </w:p>
              </w:tc>
              <w:tc>
                <w:tcPr>
                  <w:tcW w:w="550" w:type="dxa"/>
                  <w:vMerge w:val="continue"/>
                  <w:tcBorders>
                    <w:tl2br w:val="nil"/>
                    <w:tr2bl w:val="nil"/>
                  </w:tcBorders>
                  <w:shd w:val="clear" w:color="auto" w:fill="auto"/>
                  <w:vAlign w:val="center"/>
                </w:tcPr>
                <w:p w14:paraId="1D04787F">
                  <w:pPr>
                    <w:jc w:val="center"/>
                    <w:rPr>
                      <w:color w:val="auto"/>
                      <w:spacing w:val="-20"/>
                      <w:sz w:val="18"/>
                      <w:szCs w:val="18"/>
                    </w:rPr>
                  </w:pPr>
                </w:p>
              </w:tc>
              <w:tc>
                <w:tcPr>
                  <w:tcW w:w="710" w:type="dxa"/>
                  <w:vMerge w:val="continue"/>
                  <w:tcBorders>
                    <w:tl2br w:val="nil"/>
                    <w:tr2bl w:val="nil"/>
                  </w:tcBorders>
                  <w:shd w:val="clear" w:color="auto" w:fill="auto"/>
                  <w:vAlign w:val="center"/>
                </w:tcPr>
                <w:p w14:paraId="1E132777">
                  <w:pPr>
                    <w:jc w:val="center"/>
                    <w:rPr>
                      <w:color w:val="auto"/>
                      <w:spacing w:val="-20"/>
                      <w:sz w:val="18"/>
                      <w:szCs w:val="18"/>
                    </w:rPr>
                  </w:pPr>
                </w:p>
              </w:tc>
              <w:tc>
                <w:tcPr>
                  <w:tcW w:w="1050" w:type="dxa"/>
                  <w:tcBorders>
                    <w:tl2br w:val="nil"/>
                    <w:tr2bl w:val="nil"/>
                  </w:tcBorders>
                  <w:shd w:val="clear" w:color="auto" w:fill="auto"/>
                  <w:vAlign w:val="center"/>
                </w:tcPr>
                <w:p w14:paraId="3A3144C8">
                  <w:pPr>
                    <w:jc w:val="center"/>
                    <w:rPr>
                      <w:color w:val="auto"/>
                      <w:spacing w:val="-20"/>
                      <w:sz w:val="18"/>
                      <w:szCs w:val="18"/>
                    </w:rPr>
                  </w:pPr>
                  <w:r>
                    <w:rPr>
                      <w:rFonts w:hint="eastAsia"/>
                      <w:color w:val="auto"/>
                      <w:spacing w:val="-20"/>
                      <w:sz w:val="18"/>
                      <w:szCs w:val="18"/>
                    </w:rPr>
                    <w:t>经度</w:t>
                  </w:r>
                </w:p>
              </w:tc>
              <w:tc>
                <w:tcPr>
                  <w:tcW w:w="990" w:type="dxa"/>
                  <w:tcBorders>
                    <w:tl2br w:val="nil"/>
                    <w:tr2bl w:val="nil"/>
                  </w:tcBorders>
                  <w:shd w:val="clear" w:color="auto" w:fill="auto"/>
                  <w:vAlign w:val="center"/>
                </w:tcPr>
                <w:p w14:paraId="57D293BF">
                  <w:pPr>
                    <w:pStyle w:val="24"/>
                    <w:jc w:val="center"/>
                    <w:rPr>
                      <w:color w:val="auto"/>
                      <w:spacing w:val="-20"/>
                      <w:sz w:val="18"/>
                      <w:szCs w:val="18"/>
                    </w:rPr>
                  </w:pPr>
                  <w:r>
                    <w:rPr>
                      <w:rFonts w:hint="eastAsia"/>
                      <w:color w:val="auto"/>
                      <w:spacing w:val="-20"/>
                      <w:sz w:val="18"/>
                      <w:szCs w:val="18"/>
                    </w:rPr>
                    <w:t>纬度</w:t>
                  </w:r>
                </w:p>
              </w:tc>
              <w:tc>
                <w:tcPr>
                  <w:tcW w:w="1416" w:type="dxa"/>
                  <w:vMerge w:val="continue"/>
                  <w:tcBorders>
                    <w:tl2br w:val="nil"/>
                    <w:tr2bl w:val="nil"/>
                  </w:tcBorders>
                  <w:shd w:val="clear" w:color="auto" w:fill="auto"/>
                  <w:vAlign w:val="center"/>
                </w:tcPr>
                <w:p w14:paraId="067BA28B">
                  <w:pPr>
                    <w:jc w:val="center"/>
                    <w:rPr>
                      <w:color w:val="auto"/>
                      <w:spacing w:val="-20"/>
                      <w:sz w:val="18"/>
                      <w:szCs w:val="18"/>
                    </w:rPr>
                  </w:pPr>
                </w:p>
              </w:tc>
            </w:tr>
            <w:tr w14:paraId="2A243FC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84" w:hRule="atLeast"/>
              </w:trPr>
              <w:tc>
                <w:tcPr>
                  <w:tcW w:w="312" w:type="dxa"/>
                  <w:tcBorders>
                    <w:tl2br w:val="nil"/>
                    <w:tr2bl w:val="nil"/>
                  </w:tcBorders>
                  <w:shd w:val="clear" w:color="auto" w:fill="auto"/>
                  <w:vAlign w:val="center"/>
                </w:tcPr>
                <w:p w14:paraId="4A3FED2D">
                  <w:pPr>
                    <w:jc w:val="center"/>
                    <w:rPr>
                      <w:color w:val="auto"/>
                      <w:spacing w:val="-20"/>
                      <w:sz w:val="18"/>
                      <w:szCs w:val="18"/>
                    </w:rPr>
                  </w:pPr>
                  <w:r>
                    <w:rPr>
                      <w:color w:val="auto"/>
                      <w:spacing w:val="-20"/>
                      <w:sz w:val="18"/>
                      <w:szCs w:val="18"/>
                    </w:rPr>
                    <w:t>1</w:t>
                  </w:r>
                </w:p>
              </w:tc>
              <w:tc>
                <w:tcPr>
                  <w:tcW w:w="1114" w:type="dxa"/>
                  <w:tcBorders>
                    <w:tl2br w:val="nil"/>
                    <w:tr2bl w:val="nil"/>
                  </w:tcBorders>
                  <w:shd w:val="clear" w:color="auto" w:fill="auto"/>
                  <w:vAlign w:val="center"/>
                </w:tcPr>
                <w:p w14:paraId="2C0B4525">
                  <w:pPr>
                    <w:jc w:val="center"/>
                    <w:rPr>
                      <w:rFonts w:hint="default" w:ascii="Times New Roman" w:hAnsi="Times New Roman" w:eastAsia="宋体" w:cs="Times New Roman"/>
                      <w:color w:val="auto"/>
                      <w:spacing w:val="-20"/>
                      <w:sz w:val="18"/>
                      <w:szCs w:val="18"/>
                      <w:lang w:val="en-US" w:eastAsia="zh-CN"/>
                    </w:rPr>
                  </w:pPr>
                  <w:r>
                    <w:rPr>
                      <w:rFonts w:hint="eastAsia"/>
                      <w:color w:val="auto"/>
                      <w:spacing w:val="-11"/>
                      <w:sz w:val="18"/>
                      <w:szCs w:val="18"/>
                      <w:highlight w:val="none"/>
                      <w:lang w:val="en-US" w:eastAsia="zh-CN"/>
                    </w:rPr>
                    <w:t>钢渣处理生产线上料、破碎、筛分布袋除尘器</w:t>
                  </w:r>
                </w:p>
              </w:tc>
              <w:tc>
                <w:tcPr>
                  <w:tcW w:w="650" w:type="dxa"/>
                  <w:tcBorders>
                    <w:tl2br w:val="nil"/>
                    <w:tr2bl w:val="nil"/>
                  </w:tcBorders>
                  <w:shd w:val="clear" w:color="auto" w:fill="auto"/>
                  <w:vAlign w:val="center"/>
                </w:tcPr>
                <w:p w14:paraId="324926BB">
                  <w:pPr>
                    <w:jc w:val="center"/>
                    <w:rPr>
                      <w:color w:val="auto"/>
                      <w:spacing w:val="-20"/>
                      <w:sz w:val="18"/>
                      <w:szCs w:val="18"/>
                    </w:rPr>
                  </w:pPr>
                  <w:r>
                    <w:rPr>
                      <w:color w:val="auto"/>
                      <w:spacing w:val="-20"/>
                      <w:sz w:val="18"/>
                      <w:szCs w:val="18"/>
                    </w:rPr>
                    <w:t>颗粒物</w:t>
                  </w:r>
                </w:p>
              </w:tc>
              <w:tc>
                <w:tcPr>
                  <w:tcW w:w="540" w:type="dxa"/>
                  <w:tcBorders>
                    <w:tl2br w:val="nil"/>
                    <w:tr2bl w:val="nil"/>
                  </w:tcBorders>
                  <w:shd w:val="clear" w:color="auto" w:fill="auto"/>
                  <w:vAlign w:val="center"/>
                </w:tcPr>
                <w:p w14:paraId="6DECF7A1">
                  <w:pPr>
                    <w:jc w:val="center"/>
                    <w:rPr>
                      <w:color w:val="auto"/>
                      <w:spacing w:val="-20"/>
                      <w:sz w:val="18"/>
                      <w:szCs w:val="18"/>
                    </w:rPr>
                  </w:pPr>
                  <w:r>
                    <w:rPr>
                      <w:rFonts w:hint="eastAsia" w:cs="Times New Roman"/>
                      <w:color w:val="auto"/>
                      <w:spacing w:val="-20"/>
                      <w:sz w:val="18"/>
                      <w:szCs w:val="18"/>
                      <w:highlight w:val="none"/>
                      <w:lang w:val="en-US" w:eastAsia="zh-CN"/>
                    </w:rPr>
                    <w:t>15</w:t>
                  </w:r>
                  <w:r>
                    <w:rPr>
                      <w:rFonts w:hint="default" w:ascii="Times New Roman" w:hAnsi="Times New Roman" w:cs="Times New Roman"/>
                      <w:color w:val="auto"/>
                      <w:spacing w:val="-20"/>
                      <w:sz w:val="18"/>
                      <w:szCs w:val="18"/>
                      <w:highlight w:val="none"/>
                    </w:rPr>
                    <w:t>m</w:t>
                  </w:r>
                </w:p>
              </w:tc>
              <w:tc>
                <w:tcPr>
                  <w:tcW w:w="680" w:type="dxa"/>
                  <w:tcBorders>
                    <w:tl2br w:val="nil"/>
                    <w:tr2bl w:val="nil"/>
                  </w:tcBorders>
                  <w:shd w:val="clear" w:color="auto" w:fill="auto"/>
                  <w:vAlign w:val="center"/>
                </w:tcPr>
                <w:p w14:paraId="3C73692F">
                  <w:pPr>
                    <w:jc w:val="center"/>
                    <w:rPr>
                      <w:color w:val="auto"/>
                      <w:spacing w:val="-20"/>
                      <w:sz w:val="18"/>
                      <w:szCs w:val="18"/>
                      <w:highlight w:val="yellow"/>
                    </w:rPr>
                  </w:pPr>
                  <w:r>
                    <w:rPr>
                      <w:rFonts w:hint="eastAsia"/>
                      <w:color w:val="auto"/>
                      <w:spacing w:val="-20"/>
                      <w:sz w:val="18"/>
                      <w:szCs w:val="18"/>
                      <w:highlight w:val="none"/>
                      <w:lang w:val="en-US" w:eastAsia="zh-CN"/>
                    </w:rPr>
                    <w:t>1.1</w:t>
                  </w:r>
                  <w:r>
                    <w:rPr>
                      <w:rFonts w:hint="eastAsia"/>
                      <w:color w:val="auto"/>
                      <w:spacing w:val="-20"/>
                      <w:sz w:val="18"/>
                      <w:szCs w:val="18"/>
                      <w:highlight w:val="none"/>
                    </w:rPr>
                    <w:t>m</w:t>
                  </w:r>
                </w:p>
              </w:tc>
              <w:tc>
                <w:tcPr>
                  <w:tcW w:w="550" w:type="dxa"/>
                  <w:tcBorders>
                    <w:tl2br w:val="nil"/>
                    <w:tr2bl w:val="nil"/>
                  </w:tcBorders>
                  <w:shd w:val="clear" w:color="auto" w:fill="auto"/>
                  <w:vAlign w:val="center"/>
                </w:tcPr>
                <w:p w14:paraId="707A62F4">
                  <w:pPr>
                    <w:jc w:val="center"/>
                    <w:rPr>
                      <w:color w:val="auto"/>
                      <w:spacing w:val="-20"/>
                      <w:sz w:val="18"/>
                      <w:szCs w:val="18"/>
                    </w:rPr>
                  </w:pPr>
                  <w:r>
                    <w:rPr>
                      <w:rFonts w:hint="eastAsia"/>
                      <w:color w:val="auto"/>
                      <w:spacing w:val="-20"/>
                      <w:sz w:val="18"/>
                      <w:szCs w:val="18"/>
                    </w:rPr>
                    <w:t>20℃</w:t>
                  </w:r>
                </w:p>
              </w:tc>
              <w:tc>
                <w:tcPr>
                  <w:tcW w:w="710" w:type="dxa"/>
                  <w:tcBorders>
                    <w:tl2br w:val="nil"/>
                    <w:tr2bl w:val="nil"/>
                  </w:tcBorders>
                  <w:shd w:val="clear" w:color="auto" w:fill="auto"/>
                  <w:vAlign w:val="center"/>
                </w:tcPr>
                <w:p w14:paraId="67EBD9CF">
                  <w:pPr>
                    <w:jc w:val="center"/>
                    <w:rPr>
                      <w:rFonts w:hint="eastAsia" w:eastAsia="宋体"/>
                      <w:color w:val="auto"/>
                      <w:spacing w:val="-20"/>
                      <w:sz w:val="18"/>
                      <w:szCs w:val="18"/>
                      <w:highlight w:val="none"/>
                      <w:lang w:val="en-US" w:eastAsia="zh-CN"/>
                    </w:rPr>
                  </w:pPr>
                  <w:r>
                    <w:rPr>
                      <w:rFonts w:hint="eastAsia"/>
                      <w:color w:val="auto"/>
                      <w:spacing w:val="-20"/>
                      <w:sz w:val="18"/>
                      <w:szCs w:val="18"/>
                      <w:highlight w:val="none"/>
                    </w:rPr>
                    <w:t>DA00</w:t>
                  </w:r>
                  <w:r>
                    <w:rPr>
                      <w:rFonts w:hint="eastAsia"/>
                      <w:color w:val="auto"/>
                      <w:spacing w:val="-20"/>
                      <w:sz w:val="18"/>
                      <w:szCs w:val="18"/>
                      <w:highlight w:val="none"/>
                      <w:lang w:val="en-US" w:eastAsia="zh-CN"/>
                    </w:rPr>
                    <w:t>1</w:t>
                  </w:r>
                </w:p>
              </w:tc>
              <w:tc>
                <w:tcPr>
                  <w:tcW w:w="1050" w:type="dxa"/>
                  <w:tcBorders>
                    <w:tl2br w:val="nil"/>
                    <w:tr2bl w:val="nil"/>
                  </w:tcBorders>
                  <w:shd w:val="clear" w:color="auto" w:fill="auto"/>
                  <w:vAlign w:val="center"/>
                </w:tcPr>
                <w:p w14:paraId="5C6F7034">
                  <w:pPr>
                    <w:jc w:val="center"/>
                    <w:rPr>
                      <w:rFonts w:ascii="Times New Roman" w:hAnsi="Times New Roman" w:cs="Times New Roman"/>
                      <w:color w:val="auto"/>
                      <w:spacing w:val="-20"/>
                      <w:sz w:val="18"/>
                      <w:szCs w:val="18"/>
                      <w:highlight w:val="none"/>
                    </w:rPr>
                  </w:pPr>
                  <w:r>
                    <w:rPr>
                      <w:rFonts w:ascii="Times New Roman" w:hAnsi="Times New Roman" w:cs="Times New Roman"/>
                      <w:color w:val="auto"/>
                      <w:spacing w:val="-20"/>
                      <w:sz w:val="18"/>
                      <w:szCs w:val="18"/>
                      <w:highlight w:val="none"/>
                    </w:rPr>
                    <w:t>118.47957</w:t>
                  </w:r>
                  <w:r>
                    <w:rPr>
                      <w:rFonts w:hint="eastAsia" w:ascii="Times New Roman" w:hAnsi="Times New Roman" w:cs="Times New Roman"/>
                      <w:color w:val="auto"/>
                      <w:spacing w:val="-20"/>
                      <w:sz w:val="18"/>
                      <w:szCs w:val="18"/>
                      <w:highlight w:val="none"/>
                      <w:lang w:val="en-US" w:eastAsia="zh-CN"/>
                    </w:rPr>
                    <w:t>2</w:t>
                  </w:r>
                  <w:r>
                    <w:rPr>
                      <w:rFonts w:hint="eastAsia" w:ascii="Times New Roman" w:hAnsi="Times New Roman" w:cs="Times New Roman"/>
                      <w:color w:val="auto"/>
                      <w:spacing w:val="-20"/>
                      <w:sz w:val="18"/>
                      <w:szCs w:val="18"/>
                      <w:highlight w:val="none"/>
                    </w:rPr>
                    <w:t>°</w:t>
                  </w:r>
                </w:p>
              </w:tc>
              <w:tc>
                <w:tcPr>
                  <w:tcW w:w="990" w:type="dxa"/>
                  <w:tcBorders>
                    <w:tl2br w:val="nil"/>
                    <w:tr2bl w:val="nil"/>
                  </w:tcBorders>
                  <w:shd w:val="clear" w:color="auto" w:fill="auto"/>
                  <w:vAlign w:val="center"/>
                </w:tcPr>
                <w:p w14:paraId="33BF3481">
                  <w:pPr>
                    <w:jc w:val="center"/>
                    <w:rPr>
                      <w:rFonts w:ascii="Times New Roman" w:hAnsi="Times New Roman" w:cs="Times New Roman"/>
                      <w:color w:val="auto"/>
                      <w:spacing w:val="-20"/>
                      <w:sz w:val="18"/>
                      <w:szCs w:val="18"/>
                      <w:highlight w:val="none"/>
                    </w:rPr>
                  </w:pPr>
                  <w:r>
                    <w:rPr>
                      <w:rFonts w:ascii="Times New Roman" w:hAnsi="Times New Roman" w:cs="Times New Roman"/>
                      <w:color w:val="auto"/>
                      <w:spacing w:val="-20"/>
                      <w:sz w:val="18"/>
                      <w:szCs w:val="18"/>
                      <w:highlight w:val="none"/>
                    </w:rPr>
                    <w:t>39.78533</w:t>
                  </w:r>
                  <w:r>
                    <w:rPr>
                      <w:rFonts w:hint="eastAsia" w:ascii="Times New Roman" w:hAnsi="Times New Roman" w:cs="Times New Roman"/>
                      <w:color w:val="auto"/>
                      <w:spacing w:val="-20"/>
                      <w:sz w:val="18"/>
                      <w:szCs w:val="18"/>
                      <w:highlight w:val="none"/>
                      <w:lang w:val="en-US" w:eastAsia="zh-CN"/>
                    </w:rPr>
                    <w:t>4</w:t>
                  </w:r>
                  <w:r>
                    <w:rPr>
                      <w:rFonts w:hint="eastAsia" w:ascii="Times New Roman" w:hAnsi="Times New Roman" w:cs="Times New Roman"/>
                      <w:color w:val="auto"/>
                      <w:spacing w:val="-20"/>
                      <w:sz w:val="18"/>
                      <w:szCs w:val="18"/>
                      <w:highlight w:val="none"/>
                    </w:rPr>
                    <w:t>°</w:t>
                  </w:r>
                </w:p>
              </w:tc>
              <w:tc>
                <w:tcPr>
                  <w:tcW w:w="1416" w:type="dxa"/>
                  <w:vMerge w:val="restart"/>
                  <w:tcBorders>
                    <w:tl2br w:val="nil"/>
                    <w:tr2bl w:val="nil"/>
                  </w:tcBorders>
                  <w:shd w:val="clear" w:color="auto" w:fill="auto"/>
                  <w:vAlign w:val="center"/>
                </w:tcPr>
                <w:p w14:paraId="3FC9C02E">
                  <w:pPr>
                    <w:jc w:val="center"/>
                    <w:rPr>
                      <w:rFonts w:hint="default" w:ascii="Times New Roman" w:hAnsi="Times New Roman" w:eastAsia="宋体" w:cs="Times New Roman"/>
                      <w:color w:val="auto"/>
                      <w:spacing w:val="-20"/>
                      <w:sz w:val="18"/>
                      <w:szCs w:val="18"/>
                      <w:lang w:val="en-US" w:eastAsia="zh-CN"/>
                    </w:rPr>
                  </w:pPr>
                  <w:r>
                    <w:rPr>
                      <w:rFonts w:hint="eastAsia"/>
                      <w:color w:val="auto"/>
                      <w:spacing w:val="-20"/>
                      <w:sz w:val="18"/>
                      <w:szCs w:val="18"/>
                      <w:highlight w:val="none"/>
                      <w:lang w:val="en-US" w:eastAsia="zh-CN"/>
                    </w:rPr>
                    <w:t>《钢铁工业大气污染物超低排放标准》（DB13/2169-2018）及《关于下达唐山市2019年五大行业大气污染治理重点工作任务的通知》（唐环气[2019]1号）</w:t>
                  </w:r>
                </w:p>
              </w:tc>
            </w:tr>
            <w:tr w14:paraId="5D528B8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05" w:hRule="atLeast"/>
              </w:trPr>
              <w:tc>
                <w:tcPr>
                  <w:tcW w:w="312" w:type="dxa"/>
                  <w:tcBorders>
                    <w:tl2br w:val="nil"/>
                    <w:tr2bl w:val="nil"/>
                  </w:tcBorders>
                  <w:shd w:val="clear" w:color="auto" w:fill="auto"/>
                  <w:vAlign w:val="center"/>
                </w:tcPr>
                <w:p w14:paraId="396C8FD3">
                  <w:pPr>
                    <w:jc w:val="center"/>
                    <w:rPr>
                      <w:rFonts w:hint="eastAsia" w:eastAsia="宋体"/>
                      <w:color w:val="auto"/>
                      <w:spacing w:val="-20"/>
                      <w:sz w:val="18"/>
                      <w:szCs w:val="18"/>
                      <w:lang w:val="en-US" w:eastAsia="zh-CN"/>
                    </w:rPr>
                  </w:pPr>
                  <w:r>
                    <w:rPr>
                      <w:rFonts w:hint="eastAsia"/>
                      <w:color w:val="auto"/>
                      <w:spacing w:val="-20"/>
                      <w:sz w:val="18"/>
                      <w:szCs w:val="18"/>
                      <w:lang w:val="en-US" w:eastAsia="zh-CN"/>
                    </w:rPr>
                    <w:t>2</w:t>
                  </w:r>
                </w:p>
              </w:tc>
              <w:tc>
                <w:tcPr>
                  <w:tcW w:w="1114" w:type="dxa"/>
                  <w:tcBorders>
                    <w:tl2br w:val="nil"/>
                    <w:tr2bl w:val="nil"/>
                  </w:tcBorders>
                  <w:shd w:val="clear" w:color="auto" w:fill="auto"/>
                  <w:vAlign w:val="center"/>
                </w:tcPr>
                <w:p w14:paraId="434CBB41">
                  <w:pPr>
                    <w:jc w:val="center"/>
                    <w:rPr>
                      <w:rFonts w:hint="default" w:ascii="Times New Roman" w:hAnsi="Times New Roman" w:eastAsia="宋体" w:cs="Times New Roman"/>
                      <w:color w:val="auto"/>
                      <w:spacing w:val="-20"/>
                      <w:sz w:val="18"/>
                      <w:szCs w:val="18"/>
                      <w:lang w:val="en-US" w:eastAsia="zh-CN"/>
                    </w:rPr>
                  </w:pPr>
                  <w:r>
                    <w:rPr>
                      <w:rFonts w:hint="eastAsia" w:ascii="Times New Roman" w:hAnsi="Times New Roman" w:eastAsia="宋体" w:cs="Times New Roman"/>
                      <w:color w:val="auto"/>
                      <w:spacing w:val="-10"/>
                      <w:sz w:val="18"/>
                      <w:szCs w:val="18"/>
                      <w:highlight w:val="none"/>
                      <w:lang w:val="en-US" w:eastAsia="zh-CN"/>
                    </w:rPr>
                    <w:t>废钢破碎尾料分选生产线上料</w:t>
                  </w:r>
                  <w:r>
                    <w:rPr>
                      <w:rFonts w:hint="eastAsia" w:cs="Times New Roman"/>
                      <w:color w:val="auto"/>
                      <w:spacing w:val="-10"/>
                      <w:sz w:val="18"/>
                      <w:szCs w:val="18"/>
                      <w:highlight w:val="none"/>
                      <w:lang w:val="en-US" w:eastAsia="zh-CN"/>
                    </w:rPr>
                    <w:t>、筛分、空分布袋除尘器</w:t>
                  </w:r>
                </w:p>
              </w:tc>
              <w:tc>
                <w:tcPr>
                  <w:tcW w:w="650" w:type="dxa"/>
                  <w:tcBorders>
                    <w:tl2br w:val="nil"/>
                    <w:tr2bl w:val="nil"/>
                  </w:tcBorders>
                  <w:shd w:val="clear" w:color="auto" w:fill="auto"/>
                  <w:vAlign w:val="center"/>
                </w:tcPr>
                <w:p w14:paraId="10BB3F6A">
                  <w:pPr>
                    <w:jc w:val="center"/>
                    <w:rPr>
                      <w:rFonts w:hint="eastAsia" w:ascii="Times New Roman" w:hAnsi="Times New Roman" w:eastAsia="宋体" w:cs="Times New Roman"/>
                      <w:color w:val="auto"/>
                      <w:spacing w:val="-20"/>
                      <w:kern w:val="2"/>
                      <w:sz w:val="18"/>
                      <w:szCs w:val="18"/>
                      <w:highlight w:val="none"/>
                      <w:lang w:val="en-US" w:eastAsia="zh-CN" w:bidi="ar-SA"/>
                    </w:rPr>
                  </w:pPr>
                  <w:r>
                    <w:rPr>
                      <w:rFonts w:hint="eastAsia"/>
                      <w:color w:val="auto"/>
                      <w:spacing w:val="-20"/>
                      <w:sz w:val="18"/>
                      <w:szCs w:val="18"/>
                      <w:highlight w:val="none"/>
                      <w:lang w:val="en-US" w:eastAsia="zh-CN"/>
                    </w:rPr>
                    <w:t>颗粒物</w:t>
                  </w:r>
                </w:p>
              </w:tc>
              <w:tc>
                <w:tcPr>
                  <w:tcW w:w="540" w:type="dxa"/>
                  <w:tcBorders>
                    <w:tl2br w:val="nil"/>
                    <w:tr2bl w:val="nil"/>
                  </w:tcBorders>
                  <w:shd w:val="clear" w:color="auto" w:fill="auto"/>
                  <w:vAlign w:val="center"/>
                </w:tcPr>
                <w:p w14:paraId="5B948C97">
                  <w:pPr>
                    <w:jc w:val="center"/>
                    <w:rPr>
                      <w:rFonts w:hint="default" w:eastAsia="宋体"/>
                      <w:color w:val="auto"/>
                      <w:spacing w:val="-20"/>
                      <w:sz w:val="18"/>
                      <w:szCs w:val="18"/>
                      <w:lang w:val="en-US" w:eastAsia="zh-CN"/>
                    </w:rPr>
                  </w:pPr>
                  <w:r>
                    <w:rPr>
                      <w:rFonts w:hint="eastAsia" w:cs="Times New Roman"/>
                      <w:color w:val="auto"/>
                      <w:spacing w:val="-20"/>
                      <w:sz w:val="18"/>
                      <w:szCs w:val="18"/>
                      <w:highlight w:val="none"/>
                      <w:lang w:val="en-US" w:eastAsia="zh-CN"/>
                    </w:rPr>
                    <w:t>15</w:t>
                  </w:r>
                  <w:r>
                    <w:rPr>
                      <w:rFonts w:hint="default" w:ascii="Times New Roman" w:hAnsi="Times New Roman" w:cs="Times New Roman"/>
                      <w:color w:val="auto"/>
                      <w:spacing w:val="-20"/>
                      <w:sz w:val="18"/>
                      <w:szCs w:val="18"/>
                      <w:highlight w:val="none"/>
                    </w:rPr>
                    <w:t>m</w:t>
                  </w:r>
                </w:p>
              </w:tc>
              <w:tc>
                <w:tcPr>
                  <w:tcW w:w="680" w:type="dxa"/>
                  <w:tcBorders>
                    <w:tl2br w:val="nil"/>
                    <w:tr2bl w:val="nil"/>
                  </w:tcBorders>
                  <w:shd w:val="clear" w:color="auto" w:fill="auto"/>
                  <w:vAlign w:val="center"/>
                </w:tcPr>
                <w:p w14:paraId="5FD8CB9A">
                  <w:pPr>
                    <w:jc w:val="center"/>
                    <w:rPr>
                      <w:rFonts w:hint="default" w:eastAsia="宋体"/>
                      <w:color w:val="auto"/>
                      <w:spacing w:val="-20"/>
                      <w:sz w:val="18"/>
                      <w:szCs w:val="18"/>
                      <w:highlight w:val="none"/>
                      <w:lang w:val="en-US" w:eastAsia="zh-CN"/>
                    </w:rPr>
                  </w:pPr>
                  <w:r>
                    <w:rPr>
                      <w:rFonts w:hint="eastAsia"/>
                      <w:color w:val="auto"/>
                      <w:spacing w:val="-20"/>
                      <w:sz w:val="18"/>
                      <w:szCs w:val="18"/>
                      <w:highlight w:val="none"/>
                      <w:lang w:val="en-US" w:eastAsia="zh-CN"/>
                    </w:rPr>
                    <w:t>1.1m</w:t>
                  </w:r>
                </w:p>
              </w:tc>
              <w:tc>
                <w:tcPr>
                  <w:tcW w:w="550" w:type="dxa"/>
                  <w:tcBorders>
                    <w:tl2br w:val="nil"/>
                    <w:tr2bl w:val="nil"/>
                  </w:tcBorders>
                  <w:shd w:val="clear" w:color="auto" w:fill="auto"/>
                  <w:vAlign w:val="center"/>
                </w:tcPr>
                <w:p w14:paraId="413B291B">
                  <w:pPr>
                    <w:jc w:val="center"/>
                    <w:rPr>
                      <w:rFonts w:hint="default" w:eastAsia="宋体"/>
                      <w:color w:val="auto"/>
                      <w:spacing w:val="-20"/>
                      <w:sz w:val="18"/>
                      <w:szCs w:val="18"/>
                      <w:lang w:val="en-US" w:eastAsia="zh-CN"/>
                    </w:rPr>
                  </w:pPr>
                  <w:r>
                    <w:rPr>
                      <w:rFonts w:hint="eastAsia"/>
                      <w:color w:val="auto"/>
                      <w:spacing w:val="-20"/>
                      <w:sz w:val="18"/>
                      <w:szCs w:val="18"/>
                    </w:rPr>
                    <w:t>20℃</w:t>
                  </w:r>
                </w:p>
              </w:tc>
              <w:tc>
                <w:tcPr>
                  <w:tcW w:w="710" w:type="dxa"/>
                  <w:tcBorders>
                    <w:tl2br w:val="nil"/>
                    <w:tr2bl w:val="nil"/>
                  </w:tcBorders>
                  <w:shd w:val="clear" w:color="auto" w:fill="auto"/>
                  <w:vAlign w:val="center"/>
                </w:tcPr>
                <w:p w14:paraId="7BF5F136">
                  <w:pPr>
                    <w:jc w:val="center"/>
                    <w:rPr>
                      <w:rFonts w:hint="eastAsia" w:eastAsia="宋体"/>
                      <w:color w:val="auto"/>
                      <w:spacing w:val="-20"/>
                      <w:sz w:val="18"/>
                      <w:szCs w:val="18"/>
                      <w:highlight w:val="none"/>
                      <w:lang w:val="en-US" w:eastAsia="zh-CN"/>
                    </w:rPr>
                  </w:pPr>
                  <w:r>
                    <w:rPr>
                      <w:rFonts w:hint="eastAsia"/>
                      <w:color w:val="auto"/>
                      <w:spacing w:val="-20"/>
                      <w:sz w:val="18"/>
                      <w:szCs w:val="18"/>
                      <w:highlight w:val="none"/>
                    </w:rPr>
                    <w:t>DA00</w:t>
                  </w:r>
                  <w:r>
                    <w:rPr>
                      <w:rFonts w:hint="eastAsia"/>
                      <w:color w:val="auto"/>
                      <w:spacing w:val="-20"/>
                      <w:sz w:val="18"/>
                      <w:szCs w:val="18"/>
                      <w:highlight w:val="none"/>
                      <w:lang w:val="en-US" w:eastAsia="zh-CN"/>
                    </w:rPr>
                    <w:t>2</w:t>
                  </w:r>
                </w:p>
              </w:tc>
              <w:tc>
                <w:tcPr>
                  <w:tcW w:w="1050" w:type="dxa"/>
                  <w:tcBorders>
                    <w:tl2br w:val="nil"/>
                    <w:tr2bl w:val="nil"/>
                  </w:tcBorders>
                  <w:shd w:val="clear" w:color="auto" w:fill="auto"/>
                  <w:vAlign w:val="center"/>
                </w:tcPr>
                <w:p w14:paraId="0E7EBA5E">
                  <w:pPr>
                    <w:jc w:val="center"/>
                    <w:rPr>
                      <w:rFonts w:ascii="Times New Roman" w:hAnsi="Times New Roman" w:cs="Times New Roman"/>
                      <w:color w:val="auto"/>
                      <w:spacing w:val="-20"/>
                      <w:sz w:val="18"/>
                      <w:szCs w:val="18"/>
                      <w:highlight w:val="none"/>
                    </w:rPr>
                  </w:pPr>
                  <w:r>
                    <w:rPr>
                      <w:rFonts w:ascii="Times New Roman" w:hAnsi="Times New Roman" w:cs="Times New Roman"/>
                      <w:color w:val="auto"/>
                      <w:spacing w:val="-20"/>
                      <w:sz w:val="18"/>
                      <w:szCs w:val="18"/>
                      <w:highlight w:val="none"/>
                    </w:rPr>
                    <w:t>118.47910</w:t>
                  </w:r>
                  <w:r>
                    <w:rPr>
                      <w:rFonts w:hint="eastAsia" w:ascii="Times New Roman" w:hAnsi="Times New Roman" w:cs="Times New Roman"/>
                      <w:color w:val="auto"/>
                      <w:spacing w:val="-20"/>
                      <w:sz w:val="18"/>
                      <w:szCs w:val="18"/>
                      <w:highlight w:val="none"/>
                      <w:lang w:val="en-US" w:eastAsia="zh-CN"/>
                    </w:rPr>
                    <w:t>3</w:t>
                  </w:r>
                  <w:r>
                    <w:rPr>
                      <w:rFonts w:hint="eastAsia" w:ascii="Times New Roman" w:hAnsi="Times New Roman" w:cs="Times New Roman"/>
                      <w:color w:val="auto"/>
                      <w:spacing w:val="-20"/>
                      <w:sz w:val="18"/>
                      <w:szCs w:val="18"/>
                      <w:highlight w:val="none"/>
                    </w:rPr>
                    <w:t>°</w:t>
                  </w:r>
                </w:p>
              </w:tc>
              <w:tc>
                <w:tcPr>
                  <w:tcW w:w="990" w:type="dxa"/>
                  <w:tcBorders>
                    <w:tl2br w:val="nil"/>
                    <w:tr2bl w:val="nil"/>
                  </w:tcBorders>
                  <w:shd w:val="clear" w:color="auto" w:fill="auto"/>
                  <w:vAlign w:val="center"/>
                </w:tcPr>
                <w:p w14:paraId="66F978D6">
                  <w:pPr>
                    <w:jc w:val="center"/>
                    <w:rPr>
                      <w:rFonts w:ascii="Times New Roman" w:hAnsi="Times New Roman" w:cs="Times New Roman"/>
                      <w:color w:val="auto"/>
                      <w:spacing w:val="-20"/>
                      <w:sz w:val="18"/>
                      <w:szCs w:val="18"/>
                      <w:highlight w:val="none"/>
                    </w:rPr>
                  </w:pPr>
                  <w:r>
                    <w:rPr>
                      <w:rFonts w:ascii="Times New Roman" w:hAnsi="Times New Roman" w:cs="Times New Roman"/>
                      <w:color w:val="auto"/>
                      <w:spacing w:val="-20"/>
                      <w:sz w:val="18"/>
                      <w:szCs w:val="18"/>
                      <w:highlight w:val="none"/>
                    </w:rPr>
                    <w:t>39.78503</w:t>
                  </w:r>
                  <w:r>
                    <w:rPr>
                      <w:rFonts w:hint="eastAsia" w:ascii="Times New Roman" w:hAnsi="Times New Roman" w:cs="Times New Roman"/>
                      <w:color w:val="auto"/>
                      <w:spacing w:val="-20"/>
                      <w:sz w:val="18"/>
                      <w:szCs w:val="18"/>
                      <w:highlight w:val="none"/>
                      <w:lang w:val="en-US" w:eastAsia="zh-CN"/>
                    </w:rPr>
                    <w:t>7</w:t>
                  </w:r>
                  <w:r>
                    <w:rPr>
                      <w:rFonts w:hint="eastAsia" w:ascii="Times New Roman" w:hAnsi="Times New Roman" w:cs="Times New Roman"/>
                      <w:color w:val="auto"/>
                      <w:spacing w:val="-20"/>
                      <w:sz w:val="18"/>
                      <w:szCs w:val="18"/>
                      <w:highlight w:val="none"/>
                    </w:rPr>
                    <w:t>°</w:t>
                  </w:r>
                </w:p>
              </w:tc>
              <w:tc>
                <w:tcPr>
                  <w:tcW w:w="1416" w:type="dxa"/>
                  <w:vMerge w:val="continue"/>
                  <w:tcBorders>
                    <w:tl2br w:val="nil"/>
                    <w:tr2bl w:val="nil"/>
                  </w:tcBorders>
                  <w:shd w:val="clear" w:color="auto" w:fill="auto"/>
                  <w:vAlign w:val="center"/>
                </w:tcPr>
                <w:p w14:paraId="02F37B1B">
                  <w:pPr>
                    <w:jc w:val="center"/>
                    <w:rPr>
                      <w:rFonts w:hint="eastAsia" w:ascii="Times New Roman" w:hAnsi="Times New Roman" w:eastAsia="宋体" w:cs="Times New Roman"/>
                      <w:color w:val="auto"/>
                      <w:spacing w:val="-20"/>
                      <w:sz w:val="18"/>
                      <w:szCs w:val="18"/>
                      <w:lang w:val="en-US" w:eastAsia="zh-CN"/>
                    </w:rPr>
                  </w:pPr>
                </w:p>
              </w:tc>
            </w:tr>
            <w:tr w14:paraId="76094AA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48" w:hRule="atLeast"/>
              </w:trPr>
              <w:tc>
                <w:tcPr>
                  <w:tcW w:w="312" w:type="dxa"/>
                  <w:tcBorders>
                    <w:tl2br w:val="nil"/>
                    <w:tr2bl w:val="nil"/>
                  </w:tcBorders>
                  <w:shd w:val="clear" w:color="auto" w:fill="auto"/>
                  <w:vAlign w:val="center"/>
                </w:tcPr>
                <w:p w14:paraId="185302E1">
                  <w:pPr>
                    <w:jc w:val="center"/>
                    <w:rPr>
                      <w:rFonts w:hint="default" w:eastAsia="宋体"/>
                      <w:color w:val="auto"/>
                      <w:spacing w:val="-20"/>
                      <w:sz w:val="18"/>
                      <w:szCs w:val="18"/>
                      <w:lang w:val="en-US" w:eastAsia="zh-CN"/>
                    </w:rPr>
                  </w:pPr>
                  <w:r>
                    <w:rPr>
                      <w:rFonts w:hint="eastAsia"/>
                      <w:color w:val="auto"/>
                      <w:spacing w:val="-20"/>
                      <w:sz w:val="18"/>
                      <w:szCs w:val="18"/>
                      <w:lang w:val="en-US" w:eastAsia="zh-CN"/>
                    </w:rPr>
                    <w:t>3</w:t>
                  </w:r>
                </w:p>
              </w:tc>
              <w:tc>
                <w:tcPr>
                  <w:tcW w:w="1114" w:type="dxa"/>
                  <w:tcBorders>
                    <w:tl2br w:val="nil"/>
                    <w:tr2bl w:val="nil"/>
                  </w:tcBorders>
                  <w:shd w:val="clear" w:color="auto" w:fill="auto"/>
                  <w:vAlign w:val="center"/>
                </w:tcPr>
                <w:p w14:paraId="27223805">
                  <w:pPr>
                    <w:jc w:val="center"/>
                    <w:rPr>
                      <w:rFonts w:hint="default"/>
                      <w:color w:val="auto"/>
                      <w:spacing w:val="-20"/>
                      <w:sz w:val="18"/>
                      <w:szCs w:val="18"/>
                      <w:lang w:val="en-US"/>
                    </w:rPr>
                  </w:pPr>
                  <w:r>
                    <w:rPr>
                      <w:rFonts w:hint="eastAsia" w:cs="Times New Roman"/>
                      <w:color w:val="auto"/>
                      <w:spacing w:val="-12"/>
                      <w:sz w:val="18"/>
                      <w:szCs w:val="18"/>
                      <w:lang w:val="en-US" w:eastAsia="zh-CN"/>
                    </w:rPr>
                    <w:t>1</w:t>
                  </w:r>
                  <w:r>
                    <w:rPr>
                      <w:rFonts w:hint="eastAsia" w:cs="Times New Roman"/>
                      <w:color w:val="auto"/>
                      <w:spacing w:val="-12"/>
                      <w:sz w:val="18"/>
                      <w:szCs w:val="18"/>
                      <w:vertAlign w:val="superscript"/>
                      <w:lang w:val="en-US" w:eastAsia="zh-CN"/>
                    </w:rPr>
                    <w:t>#</w:t>
                  </w:r>
                  <w:r>
                    <w:rPr>
                      <w:rFonts w:hint="eastAsia" w:ascii="Times New Roman" w:hAnsi="Times New Roman" w:eastAsia="宋体" w:cs="Times New Roman"/>
                      <w:color w:val="auto"/>
                      <w:spacing w:val="-12"/>
                      <w:sz w:val="18"/>
                      <w:szCs w:val="18"/>
                      <w:lang w:val="en-US" w:eastAsia="zh-CN"/>
                    </w:rPr>
                    <w:t>生产车间</w:t>
                  </w:r>
                  <w:r>
                    <w:rPr>
                      <w:rFonts w:hint="eastAsia" w:cs="Times New Roman"/>
                      <w:color w:val="auto"/>
                      <w:spacing w:val="-12"/>
                      <w:sz w:val="18"/>
                      <w:szCs w:val="18"/>
                      <w:lang w:val="en-US" w:eastAsia="zh-CN"/>
                    </w:rPr>
                    <w:t>、2</w:t>
                  </w:r>
                  <w:r>
                    <w:rPr>
                      <w:rFonts w:hint="eastAsia" w:cs="Times New Roman"/>
                      <w:color w:val="auto"/>
                      <w:spacing w:val="-12"/>
                      <w:sz w:val="18"/>
                      <w:szCs w:val="18"/>
                      <w:vertAlign w:val="superscript"/>
                      <w:lang w:val="en-US" w:eastAsia="zh-CN"/>
                    </w:rPr>
                    <w:t>#</w:t>
                  </w:r>
                  <w:r>
                    <w:rPr>
                      <w:rFonts w:hint="eastAsia" w:cs="Times New Roman"/>
                      <w:color w:val="auto"/>
                      <w:spacing w:val="-12"/>
                      <w:sz w:val="18"/>
                      <w:szCs w:val="18"/>
                      <w:lang w:val="en-US" w:eastAsia="zh-CN"/>
                    </w:rPr>
                    <w:t>生产车间</w:t>
                  </w:r>
                </w:p>
              </w:tc>
              <w:tc>
                <w:tcPr>
                  <w:tcW w:w="650" w:type="dxa"/>
                  <w:tcBorders>
                    <w:tl2br w:val="nil"/>
                    <w:tr2bl w:val="nil"/>
                  </w:tcBorders>
                  <w:shd w:val="clear" w:color="auto" w:fill="auto"/>
                  <w:vAlign w:val="center"/>
                </w:tcPr>
                <w:p w14:paraId="4A55C53C">
                  <w:pPr>
                    <w:jc w:val="center"/>
                    <w:rPr>
                      <w:color w:val="auto"/>
                      <w:spacing w:val="-20"/>
                      <w:sz w:val="18"/>
                      <w:szCs w:val="18"/>
                    </w:rPr>
                  </w:pPr>
                  <w:r>
                    <w:rPr>
                      <w:color w:val="auto"/>
                      <w:spacing w:val="-20"/>
                      <w:sz w:val="18"/>
                      <w:szCs w:val="18"/>
                    </w:rPr>
                    <w:t>颗粒物</w:t>
                  </w:r>
                </w:p>
              </w:tc>
              <w:tc>
                <w:tcPr>
                  <w:tcW w:w="4520" w:type="dxa"/>
                  <w:gridSpan w:val="6"/>
                  <w:tcBorders>
                    <w:tl2br w:val="nil"/>
                    <w:tr2bl w:val="nil"/>
                  </w:tcBorders>
                  <w:shd w:val="clear" w:color="auto" w:fill="auto"/>
                  <w:vAlign w:val="center"/>
                </w:tcPr>
                <w:p w14:paraId="2297D19E">
                  <w:pPr>
                    <w:pStyle w:val="24"/>
                    <w:keepNext w:val="0"/>
                    <w:keepLines w:val="0"/>
                    <w:widowControl/>
                    <w:suppressLineNumbers w:val="0"/>
                    <w:spacing w:before="0" w:beforeAutospacing="0" w:after="0" w:afterAutospacing="0"/>
                    <w:ind w:left="0" w:right="0" w:firstLine="0"/>
                    <w:jc w:val="center"/>
                    <w:rPr>
                      <w:color w:val="auto"/>
                      <w:spacing w:val="-20"/>
                      <w:sz w:val="18"/>
                      <w:szCs w:val="18"/>
                    </w:rPr>
                  </w:pPr>
                  <w:r>
                    <w:rPr>
                      <w:rFonts w:hint="eastAsia"/>
                      <w:color w:val="auto"/>
                      <w:spacing w:val="-20"/>
                      <w:sz w:val="18"/>
                      <w:szCs w:val="18"/>
                    </w:rPr>
                    <w:t>/</w:t>
                  </w:r>
                </w:p>
              </w:tc>
              <w:tc>
                <w:tcPr>
                  <w:tcW w:w="1416" w:type="dxa"/>
                  <w:vMerge w:val="continue"/>
                  <w:tcBorders>
                    <w:tl2br w:val="nil"/>
                    <w:tr2bl w:val="nil"/>
                  </w:tcBorders>
                  <w:shd w:val="clear" w:color="auto" w:fill="auto"/>
                  <w:vAlign w:val="center"/>
                </w:tcPr>
                <w:p w14:paraId="692BA251">
                  <w:pPr>
                    <w:jc w:val="center"/>
                    <w:rPr>
                      <w:rFonts w:hint="default" w:ascii="Times New Roman" w:hAnsi="Times New Roman" w:eastAsia="宋体" w:cs="Times New Roman"/>
                      <w:color w:val="auto"/>
                      <w:spacing w:val="-20"/>
                      <w:sz w:val="18"/>
                      <w:szCs w:val="18"/>
                      <w:lang w:val="en-US" w:eastAsia="zh-CN"/>
                    </w:rPr>
                  </w:pPr>
                </w:p>
              </w:tc>
            </w:tr>
          </w:tbl>
          <w:p w14:paraId="6428224E">
            <w:pPr>
              <w:pStyle w:val="24"/>
              <w:adjustRightInd w:val="0"/>
              <w:snapToGrid w:val="0"/>
              <w:spacing w:before="0" w:beforeAutospacing="0" w:after="0" w:afterAutospacing="0" w:line="440" w:lineRule="exact"/>
              <w:ind w:firstLine="422" w:firstLineChars="200"/>
              <w:rPr>
                <w:rFonts w:hint="eastAsia" w:ascii="Times New Roman" w:hAnsi="Times New Roman"/>
                <w:b/>
                <w:color w:val="auto"/>
                <w:sz w:val="21"/>
                <w:szCs w:val="21"/>
              </w:rPr>
            </w:pPr>
            <w:r>
              <w:rPr>
                <w:rFonts w:hint="eastAsia" w:ascii="Times New Roman" w:hAnsi="Times New Roman"/>
                <w:b/>
                <w:color w:val="auto"/>
                <w:sz w:val="21"/>
                <w:szCs w:val="21"/>
              </w:rPr>
              <w:t>1.4废气污染源监测计划</w:t>
            </w:r>
          </w:p>
          <w:p w14:paraId="1E0EA590">
            <w:pPr>
              <w:spacing w:line="440" w:lineRule="exact"/>
              <w:ind w:firstLine="422" w:firstLineChars="200"/>
              <w:jc w:val="center"/>
              <w:rPr>
                <w:b/>
                <w:snapToGrid w:val="0"/>
                <w:color w:val="auto"/>
                <w:kern w:val="0"/>
                <w:lang w:bidi="ar"/>
              </w:rPr>
            </w:pPr>
            <w:r>
              <w:rPr>
                <w:rFonts w:hint="eastAsia"/>
                <w:b/>
                <w:snapToGrid w:val="0"/>
                <w:color w:val="auto"/>
                <w:kern w:val="0"/>
                <w:lang w:bidi="ar"/>
              </w:rPr>
              <w:t>表</w:t>
            </w:r>
            <w:r>
              <w:rPr>
                <w:rFonts w:hint="eastAsia"/>
                <w:b/>
                <w:snapToGrid w:val="0"/>
                <w:color w:val="auto"/>
                <w:kern w:val="0"/>
                <w:lang w:val="en-US" w:eastAsia="zh-CN" w:bidi="ar"/>
              </w:rPr>
              <w:t>35</w:t>
            </w:r>
            <w:r>
              <w:rPr>
                <w:b/>
                <w:snapToGrid w:val="0"/>
                <w:color w:val="auto"/>
                <w:kern w:val="0"/>
                <w:lang w:bidi="ar"/>
              </w:rPr>
              <w:t xml:space="preserve"> </w:t>
            </w:r>
            <w:r>
              <w:rPr>
                <w:rFonts w:hint="eastAsia"/>
                <w:b/>
                <w:snapToGrid w:val="0"/>
                <w:color w:val="auto"/>
                <w:kern w:val="0"/>
                <w:lang w:bidi="ar"/>
              </w:rPr>
              <w:t>废气污染源监测计划一览表</w:t>
            </w:r>
          </w:p>
          <w:tbl>
            <w:tblPr>
              <w:tblStyle w:val="28"/>
              <w:tblW w:w="4811"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445"/>
              <w:gridCol w:w="530"/>
              <w:gridCol w:w="2787"/>
              <w:gridCol w:w="746"/>
              <w:gridCol w:w="2328"/>
              <w:gridCol w:w="810"/>
            </w:tblGrid>
            <w:tr w14:paraId="3487A12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27" w:hRule="atLeast"/>
                <w:jc w:val="center"/>
              </w:trPr>
              <w:tc>
                <w:tcPr>
                  <w:tcW w:w="291" w:type="pct"/>
                  <w:tcBorders>
                    <w:tl2br w:val="nil"/>
                    <w:tr2bl w:val="nil"/>
                  </w:tcBorders>
                  <w:vAlign w:val="center"/>
                </w:tcPr>
                <w:p w14:paraId="1C07912A">
                  <w:pPr>
                    <w:jc w:val="center"/>
                    <w:rPr>
                      <w:color w:val="auto"/>
                      <w:spacing w:val="-20"/>
                      <w:sz w:val="18"/>
                      <w:szCs w:val="18"/>
                    </w:rPr>
                  </w:pPr>
                  <w:r>
                    <w:rPr>
                      <w:color w:val="auto"/>
                      <w:spacing w:val="-20"/>
                      <w:sz w:val="18"/>
                      <w:szCs w:val="18"/>
                    </w:rPr>
                    <w:t>序号</w:t>
                  </w:r>
                </w:p>
              </w:tc>
              <w:tc>
                <w:tcPr>
                  <w:tcW w:w="2169" w:type="pct"/>
                  <w:gridSpan w:val="2"/>
                  <w:tcBorders>
                    <w:tl2br w:val="nil"/>
                    <w:tr2bl w:val="nil"/>
                  </w:tcBorders>
                  <w:vAlign w:val="center"/>
                </w:tcPr>
                <w:p w14:paraId="7E6AC730">
                  <w:pPr>
                    <w:jc w:val="center"/>
                    <w:rPr>
                      <w:color w:val="auto"/>
                      <w:spacing w:val="-20"/>
                      <w:sz w:val="18"/>
                      <w:szCs w:val="18"/>
                    </w:rPr>
                  </w:pPr>
                  <w:r>
                    <w:rPr>
                      <w:rFonts w:hint="eastAsia"/>
                      <w:color w:val="auto"/>
                      <w:spacing w:val="-20"/>
                      <w:sz w:val="18"/>
                      <w:szCs w:val="18"/>
                    </w:rPr>
                    <w:t>污染源</w:t>
                  </w:r>
                </w:p>
              </w:tc>
              <w:tc>
                <w:tcPr>
                  <w:tcW w:w="487" w:type="pct"/>
                  <w:tcBorders>
                    <w:tl2br w:val="nil"/>
                    <w:tr2bl w:val="nil"/>
                  </w:tcBorders>
                  <w:vAlign w:val="center"/>
                </w:tcPr>
                <w:p w14:paraId="57F1FF64">
                  <w:pPr>
                    <w:jc w:val="center"/>
                    <w:rPr>
                      <w:color w:val="auto"/>
                      <w:spacing w:val="-20"/>
                      <w:sz w:val="18"/>
                      <w:szCs w:val="18"/>
                    </w:rPr>
                  </w:pPr>
                  <w:r>
                    <w:rPr>
                      <w:color w:val="auto"/>
                      <w:spacing w:val="-20"/>
                      <w:sz w:val="18"/>
                      <w:szCs w:val="18"/>
                    </w:rPr>
                    <w:t>监测因子</w:t>
                  </w:r>
                </w:p>
              </w:tc>
              <w:tc>
                <w:tcPr>
                  <w:tcW w:w="1522" w:type="pct"/>
                  <w:tcBorders>
                    <w:tl2br w:val="nil"/>
                    <w:tr2bl w:val="nil"/>
                  </w:tcBorders>
                  <w:vAlign w:val="center"/>
                </w:tcPr>
                <w:p w14:paraId="313B5421">
                  <w:pPr>
                    <w:jc w:val="center"/>
                    <w:rPr>
                      <w:color w:val="auto"/>
                      <w:spacing w:val="-20"/>
                      <w:sz w:val="18"/>
                      <w:szCs w:val="18"/>
                    </w:rPr>
                  </w:pPr>
                  <w:r>
                    <w:rPr>
                      <w:color w:val="auto"/>
                      <w:spacing w:val="-20"/>
                      <w:sz w:val="18"/>
                      <w:szCs w:val="18"/>
                    </w:rPr>
                    <w:t>监测点位</w:t>
                  </w:r>
                </w:p>
              </w:tc>
              <w:tc>
                <w:tcPr>
                  <w:tcW w:w="529" w:type="pct"/>
                  <w:tcBorders>
                    <w:tl2br w:val="nil"/>
                    <w:tr2bl w:val="nil"/>
                  </w:tcBorders>
                  <w:vAlign w:val="center"/>
                </w:tcPr>
                <w:p w14:paraId="7F7B78BA">
                  <w:pPr>
                    <w:jc w:val="center"/>
                    <w:rPr>
                      <w:color w:val="auto"/>
                      <w:spacing w:val="-20"/>
                      <w:sz w:val="18"/>
                      <w:szCs w:val="18"/>
                    </w:rPr>
                  </w:pPr>
                  <w:r>
                    <w:rPr>
                      <w:color w:val="auto"/>
                      <w:spacing w:val="-20"/>
                      <w:sz w:val="18"/>
                      <w:szCs w:val="18"/>
                    </w:rPr>
                    <w:t>监测频次</w:t>
                  </w:r>
                </w:p>
              </w:tc>
            </w:tr>
            <w:tr w14:paraId="0D8AABC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27" w:hRule="atLeast"/>
                <w:jc w:val="center"/>
              </w:trPr>
              <w:tc>
                <w:tcPr>
                  <w:tcW w:w="291" w:type="pct"/>
                  <w:vMerge w:val="restart"/>
                  <w:tcBorders>
                    <w:tl2br w:val="nil"/>
                    <w:tr2bl w:val="nil"/>
                  </w:tcBorders>
                  <w:vAlign w:val="center"/>
                </w:tcPr>
                <w:p w14:paraId="5FE8EB2A">
                  <w:pPr>
                    <w:jc w:val="center"/>
                    <w:rPr>
                      <w:color w:val="auto"/>
                      <w:spacing w:val="-20"/>
                      <w:sz w:val="18"/>
                      <w:szCs w:val="18"/>
                    </w:rPr>
                  </w:pPr>
                  <w:r>
                    <w:rPr>
                      <w:rFonts w:hint="eastAsia"/>
                      <w:color w:val="auto"/>
                      <w:spacing w:val="-20"/>
                      <w:sz w:val="18"/>
                      <w:szCs w:val="18"/>
                    </w:rPr>
                    <w:t>1</w:t>
                  </w:r>
                </w:p>
              </w:tc>
              <w:tc>
                <w:tcPr>
                  <w:tcW w:w="346" w:type="pct"/>
                  <w:vMerge w:val="restart"/>
                  <w:tcBorders>
                    <w:tl2br w:val="nil"/>
                    <w:tr2bl w:val="nil"/>
                  </w:tcBorders>
                  <w:vAlign w:val="center"/>
                </w:tcPr>
                <w:p w14:paraId="3181F0F4">
                  <w:pPr>
                    <w:jc w:val="center"/>
                    <w:rPr>
                      <w:color w:val="auto"/>
                      <w:spacing w:val="-20"/>
                      <w:sz w:val="18"/>
                      <w:szCs w:val="18"/>
                    </w:rPr>
                  </w:pPr>
                  <w:r>
                    <w:rPr>
                      <w:rFonts w:hint="eastAsia"/>
                      <w:color w:val="auto"/>
                      <w:spacing w:val="-20"/>
                      <w:sz w:val="18"/>
                      <w:szCs w:val="18"/>
                    </w:rPr>
                    <w:t>有组织</w:t>
                  </w:r>
                </w:p>
              </w:tc>
              <w:tc>
                <w:tcPr>
                  <w:tcW w:w="1822" w:type="pct"/>
                  <w:tcBorders>
                    <w:tl2br w:val="nil"/>
                    <w:tr2bl w:val="nil"/>
                  </w:tcBorders>
                  <w:vAlign w:val="center"/>
                </w:tcPr>
                <w:p w14:paraId="15ECCFC4">
                  <w:pPr>
                    <w:jc w:val="center"/>
                    <w:rPr>
                      <w:rFonts w:hint="eastAsia" w:ascii="Times New Roman" w:hAnsi="Times New Roman" w:eastAsia="宋体" w:cs="Times New Roman"/>
                      <w:color w:val="auto"/>
                      <w:spacing w:val="-20"/>
                      <w:sz w:val="18"/>
                      <w:szCs w:val="18"/>
                    </w:rPr>
                  </w:pPr>
                  <w:r>
                    <w:rPr>
                      <w:rFonts w:hint="eastAsia" w:ascii="Times New Roman" w:hAnsi="Times New Roman" w:eastAsia="宋体" w:cs="Times New Roman"/>
                      <w:color w:val="auto"/>
                      <w:spacing w:val="-20"/>
                      <w:sz w:val="18"/>
                      <w:szCs w:val="18"/>
                      <w:lang w:val="en-US" w:eastAsia="zh-CN"/>
                    </w:rPr>
                    <w:t>钢渣处理生产线</w:t>
                  </w:r>
                  <w:r>
                    <w:rPr>
                      <w:rFonts w:hint="eastAsia" w:ascii="Times New Roman" w:hAnsi="Times New Roman" w:eastAsia="宋体" w:cs="Times New Roman"/>
                      <w:color w:val="auto"/>
                      <w:spacing w:val="-20"/>
                      <w:sz w:val="18"/>
                      <w:szCs w:val="18"/>
                    </w:rPr>
                    <w:t>布袋除尘器排气筒</w:t>
                  </w:r>
                </w:p>
              </w:tc>
              <w:tc>
                <w:tcPr>
                  <w:tcW w:w="487" w:type="pct"/>
                  <w:tcBorders>
                    <w:tl2br w:val="nil"/>
                    <w:tr2bl w:val="nil"/>
                  </w:tcBorders>
                  <w:vAlign w:val="center"/>
                </w:tcPr>
                <w:p w14:paraId="6CDC7288">
                  <w:pPr>
                    <w:jc w:val="center"/>
                    <w:rPr>
                      <w:color w:val="auto"/>
                      <w:spacing w:val="-20"/>
                      <w:sz w:val="18"/>
                      <w:szCs w:val="18"/>
                    </w:rPr>
                  </w:pPr>
                  <w:r>
                    <w:rPr>
                      <w:rFonts w:hint="eastAsia"/>
                      <w:color w:val="auto"/>
                      <w:spacing w:val="-20"/>
                      <w:sz w:val="18"/>
                      <w:szCs w:val="18"/>
                    </w:rPr>
                    <w:t>颗粒物</w:t>
                  </w:r>
                </w:p>
              </w:tc>
              <w:tc>
                <w:tcPr>
                  <w:tcW w:w="1522" w:type="pct"/>
                  <w:tcBorders>
                    <w:tl2br w:val="nil"/>
                    <w:tr2bl w:val="nil"/>
                  </w:tcBorders>
                  <w:vAlign w:val="center"/>
                </w:tcPr>
                <w:p w14:paraId="174AF8B2">
                  <w:pPr>
                    <w:jc w:val="center"/>
                    <w:rPr>
                      <w:color w:val="auto"/>
                      <w:spacing w:val="-20"/>
                      <w:sz w:val="18"/>
                      <w:szCs w:val="18"/>
                    </w:rPr>
                  </w:pPr>
                  <w:r>
                    <w:rPr>
                      <w:color w:val="auto"/>
                      <w:spacing w:val="-20"/>
                      <w:sz w:val="18"/>
                      <w:szCs w:val="18"/>
                    </w:rPr>
                    <w:t>排气筒监测口</w:t>
                  </w:r>
                </w:p>
              </w:tc>
              <w:tc>
                <w:tcPr>
                  <w:tcW w:w="529" w:type="pct"/>
                  <w:tcBorders>
                    <w:tl2br w:val="nil"/>
                    <w:tr2bl w:val="nil"/>
                  </w:tcBorders>
                  <w:vAlign w:val="center"/>
                </w:tcPr>
                <w:p w14:paraId="475067FB">
                  <w:pPr>
                    <w:jc w:val="center"/>
                    <w:rPr>
                      <w:color w:val="auto"/>
                      <w:spacing w:val="-20"/>
                      <w:sz w:val="18"/>
                      <w:szCs w:val="18"/>
                    </w:rPr>
                  </w:pPr>
                  <w:r>
                    <w:rPr>
                      <w:color w:val="auto"/>
                      <w:spacing w:val="-20"/>
                      <w:sz w:val="18"/>
                      <w:szCs w:val="18"/>
                    </w:rPr>
                    <w:t>1次/年</w:t>
                  </w:r>
                </w:p>
              </w:tc>
            </w:tr>
            <w:tr w14:paraId="1EDA52D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183" w:hRule="atLeast"/>
                <w:jc w:val="center"/>
              </w:trPr>
              <w:tc>
                <w:tcPr>
                  <w:tcW w:w="291" w:type="pct"/>
                  <w:vMerge w:val="continue"/>
                  <w:tcBorders>
                    <w:tl2br w:val="nil"/>
                    <w:tr2bl w:val="nil"/>
                  </w:tcBorders>
                  <w:vAlign w:val="center"/>
                </w:tcPr>
                <w:p w14:paraId="17DFD136">
                  <w:pPr>
                    <w:jc w:val="center"/>
                    <w:rPr>
                      <w:rFonts w:hint="eastAsia"/>
                      <w:color w:val="auto"/>
                      <w:spacing w:val="-20"/>
                      <w:sz w:val="18"/>
                      <w:szCs w:val="18"/>
                    </w:rPr>
                  </w:pPr>
                </w:p>
              </w:tc>
              <w:tc>
                <w:tcPr>
                  <w:tcW w:w="346" w:type="pct"/>
                  <w:vMerge w:val="continue"/>
                  <w:tcBorders>
                    <w:tl2br w:val="nil"/>
                    <w:tr2bl w:val="nil"/>
                  </w:tcBorders>
                  <w:vAlign w:val="center"/>
                </w:tcPr>
                <w:p w14:paraId="52E70D31">
                  <w:pPr>
                    <w:jc w:val="center"/>
                    <w:rPr>
                      <w:rFonts w:hint="eastAsia"/>
                      <w:color w:val="auto"/>
                      <w:spacing w:val="-20"/>
                      <w:sz w:val="18"/>
                      <w:szCs w:val="18"/>
                    </w:rPr>
                  </w:pPr>
                </w:p>
              </w:tc>
              <w:tc>
                <w:tcPr>
                  <w:tcW w:w="1822" w:type="pct"/>
                  <w:tcBorders>
                    <w:tl2br w:val="nil"/>
                    <w:tr2bl w:val="nil"/>
                  </w:tcBorders>
                  <w:vAlign w:val="center"/>
                </w:tcPr>
                <w:p w14:paraId="224C0ACA">
                  <w:pPr>
                    <w:jc w:val="center"/>
                    <w:rPr>
                      <w:rFonts w:hint="eastAsia" w:ascii="Times New Roman" w:hAnsi="Times New Roman" w:eastAsia="宋体" w:cs="Times New Roman"/>
                      <w:color w:val="auto"/>
                      <w:spacing w:val="-20"/>
                      <w:sz w:val="18"/>
                      <w:szCs w:val="18"/>
                    </w:rPr>
                  </w:pPr>
                  <w:r>
                    <w:rPr>
                      <w:rFonts w:hint="eastAsia" w:ascii="Times New Roman" w:hAnsi="Times New Roman" w:eastAsia="宋体" w:cs="Times New Roman"/>
                      <w:color w:val="auto"/>
                      <w:spacing w:val="-20"/>
                      <w:sz w:val="18"/>
                      <w:szCs w:val="18"/>
                      <w:lang w:val="en-US" w:eastAsia="zh-CN"/>
                    </w:rPr>
                    <w:t>废钢破碎尾料分选生产线</w:t>
                  </w:r>
                  <w:r>
                    <w:rPr>
                      <w:rFonts w:hint="eastAsia" w:ascii="Times New Roman" w:hAnsi="Times New Roman" w:eastAsia="宋体" w:cs="Times New Roman"/>
                      <w:color w:val="auto"/>
                      <w:spacing w:val="-20"/>
                      <w:sz w:val="18"/>
                      <w:szCs w:val="18"/>
                    </w:rPr>
                    <w:t>布袋除尘器排气筒</w:t>
                  </w:r>
                </w:p>
              </w:tc>
              <w:tc>
                <w:tcPr>
                  <w:tcW w:w="487" w:type="pct"/>
                  <w:tcBorders>
                    <w:tl2br w:val="nil"/>
                    <w:tr2bl w:val="nil"/>
                  </w:tcBorders>
                  <w:vAlign w:val="center"/>
                </w:tcPr>
                <w:p w14:paraId="7A5F9116">
                  <w:pPr>
                    <w:jc w:val="center"/>
                    <w:rPr>
                      <w:rFonts w:hint="eastAsia"/>
                      <w:color w:val="auto"/>
                      <w:spacing w:val="-20"/>
                      <w:sz w:val="18"/>
                      <w:szCs w:val="18"/>
                    </w:rPr>
                  </w:pPr>
                  <w:r>
                    <w:rPr>
                      <w:rFonts w:hint="eastAsia"/>
                      <w:color w:val="auto"/>
                      <w:spacing w:val="-20"/>
                      <w:sz w:val="18"/>
                      <w:szCs w:val="18"/>
                    </w:rPr>
                    <w:t>颗粒物</w:t>
                  </w:r>
                </w:p>
              </w:tc>
              <w:tc>
                <w:tcPr>
                  <w:tcW w:w="1522" w:type="pct"/>
                  <w:tcBorders>
                    <w:tl2br w:val="nil"/>
                    <w:tr2bl w:val="nil"/>
                  </w:tcBorders>
                  <w:vAlign w:val="center"/>
                </w:tcPr>
                <w:p w14:paraId="7B94D045">
                  <w:pPr>
                    <w:jc w:val="center"/>
                    <w:rPr>
                      <w:color w:val="auto"/>
                      <w:spacing w:val="-20"/>
                      <w:sz w:val="18"/>
                      <w:szCs w:val="18"/>
                    </w:rPr>
                  </w:pPr>
                  <w:r>
                    <w:rPr>
                      <w:color w:val="auto"/>
                      <w:spacing w:val="-20"/>
                      <w:sz w:val="18"/>
                      <w:szCs w:val="18"/>
                      <w:highlight w:val="none"/>
                    </w:rPr>
                    <w:t>排气筒监测口</w:t>
                  </w:r>
                </w:p>
              </w:tc>
              <w:tc>
                <w:tcPr>
                  <w:tcW w:w="529" w:type="pct"/>
                  <w:tcBorders>
                    <w:tl2br w:val="nil"/>
                    <w:tr2bl w:val="nil"/>
                  </w:tcBorders>
                  <w:vAlign w:val="center"/>
                </w:tcPr>
                <w:p w14:paraId="732EC9D4">
                  <w:pPr>
                    <w:jc w:val="center"/>
                    <w:rPr>
                      <w:color w:val="auto"/>
                      <w:spacing w:val="-20"/>
                      <w:sz w:val="18"/>
                      <w:szCs w:val="18"/>
                    </w:rPr>
                  </w:pPr>
                  <w:r>
                    <w:rPr>
                      <w:color w:val="auto"/>
                      <w:spacing w:val="-20"/>
                      <w:sz w:val="18"/>
                      <w:szCs w:val="18"/>
                    </w:rPr>
                    <w:t>1次/年</w:t>
                  </w:r>
                </w:p>
              </w:tc>
            </w:tr>
            <w:tr w14:paraId="3ADA2F7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27" w:hRule="atLeast"/>
                <w:jc w:val="center"/>
              </w:trPr>
              <w:tc>
                <w:tcPr>
                  <w:tcW w:w="291" w:type="pct"/>
                  <w:tcBorders>
                    <w:tl2br w:val="nil"/>
                    <w:tr2bl w:val="nil"/>
                  </w:tcBorders>
                  <w:vAlign w:val="center"/>
                </w:tcPr>
                <w:p w14:paraId="2EF1622B">
                  <w:pPr>
                    <w:jc w:val="center"/>
                    <w:rPr>
                      <w:color w:val="auto"/>
                      <w:spacing w:val="-20"/>
                      <w:sz w:val="18"/>
                      <w:szCs w:val="18"/>
                    </w:rPr>
                  </w:pPr>
                  <w:r>
                    <w:rPr>
                      <w:rFonts w:hint="eastAsia"/>
                      <w:color w:val="auto"/>
                      <w:spacing w:val="-20"/>
                      <w:sz w:val="18"/>
                      <w:szCs w:val="18"/>
                    </w:rPr>
                    <w:t>2</w:t>
                  </w:r>
                </w:p>
              </w:tc>
              <w:tc>
                <w:tcPr>
                  <w:tcW w:w="346" w:type="pct"/>
                  <w:tcBorders>
                    <w:tl2br w:val="nil"/>
                    <w:tr2bl w:val="nil"/>
                  </w:tcBorders>
                  <w:vAlign w:val="center"/>
                </w:tcPr>
                <w:p w14:paraId="628D7C22">
                  <w:pPr>
                    <w:jc w:val="center"/>
                    <w:rPr>
                      <w:color w:val="auto"/>
                      <w:spacing w:val="-20"/>
                      <w:sz w:val="18"/>
                      <w:szCs w:val="18"/>
                    </w:rPr>
                  </w:pPr>
                  <w:r>
                    <w:rPr>
                      <w:rFonts w:hint="eastAsia"/>
                      <w:color w:val="auto"/>
                      <w:spacing w:val="-20"/>
                      <w:sz w:val="18"/>
                      <w:szCs w:val="18"/>
                    </w:rPr>
                    <w:t>无组织</w:t>
                  </w:r>
                </w:p>
              </w:tc>
              <w:tc>
                <w:tcPr>
                  <w:tcW w:w="1822" w:type="pct"/>
                  <w:tcBorders>
                    <w:tl2br w:val="nil"/>
                    <w:tr2bl w:val="nil"/>
                  </w:tcBorders>
                  <w:vAlign w:val="center"/>
                </w:tcPr>
                <w:p w14:paraId="63E9766D">
                  <w:pPr>
                    <w:jc w:val="center"/>
                    <w:rPr>
                      <w:color w:val="auto"/>
                      <w:spacing w:val="-20"/>
                      <w:sz w:val="18"/>
                      <w:szCs w:val="18"/>
                    </w:rPr>
                  </w:pPr>
                  <w:r>
                    <w:rPr>
                      <w:rFonts w:hint="eastAsia"/>
                      <w:color w:val="auto"/>
                      <w:spacing w:val="-20"/>
                      <w:sz w:val="18"/>
                      <w:szCs w:val="18"/>
                    </w:rPr>
                    <w:t>厂界</w:t>
                  </w:r>
                </w:p>
              </w:tc>
              <w:tc>
                <w:tcPr>
                  <w:tcW w:w="487" w:type="pct"/>
                  <w:tcBorders>
                    <w:tl2br w:val="nil"/>
                    <w:tr2bl w:val="nil"/>
                  </w:tcBorders>
                  <w:vAlign w:val="center"/>
                </w:tcPr>
                <w:p w14:paraId="0EB1EBC8">
                  <w:pPr>
                    <w:jc w:val="center"/>
                    <w:rPr>
                      <w:color w:val="auto"/>
                      <w:spacing w:val="-20"/>
                      <w:sz w:val="18"/>
                      <w:szCs w:val="18"/>
                    </w:rPr>
                  </w:pPr>
                  <w:r>
                    <w:rPr>
                      <w:rFonts w:hint="eastAsia"/>
                      <w:color w:val="auto"/>
                      <w:spacing w:val="-20"/>
                      <w:sz w:val="18"/>
                      <w:szCs w:val="18"/>
                    </w:rPr>
                    <w:t>颗粒物</w:t>
                  </w:r>
                </w:p>
              </w:tc>
              <w:tc>
                <w:tcPr>
                  <w:tcW w:w="1522" w:type="pct"/>
                  <w:tcBorders>
                    <w:tl2br w:val="nil"/>
                    <w:tr2bl w:val="nil"/>
                  </w:tcBorders>
                  <w:vAlign w:val="center"/>
                </w:tcPr>
                <w:p w14:paraId="1BAA9CCE">
                  <w:pPr>
                    <w:jc w:val="center"/>
                    <w:rPr>
                      <w:color w:val="auto"/>
                      <w:spacing w:val="-20"/>
                      <w:sz w:val="18"/>
                      <w:szCs w:val="18"/>
                    </w:rPr>
                  </w:pPr>
                  <w:r>
                    <w:rPr>
                      <w:color w:val="auto"/>
                      <w:spacing w:val="-20"/>
                      <w:sz w:val="18"/>
                      <w:szCs w:val="18"/>
                    </w:rPr>
                    <w:t>上风向1个参照点，下风向3个监测点</w:t>
                  </w:r>
                </w:p>
              </w:tc>
              <w:tc>
                <w:tcPr>
                  <w:tcW w:w="529" w:type="pct"/>
                  <w:tcBorders>
                    <w:tl2br w:val="nil"/>
                    <w:tr2bl w:val="nil"/>
                  </w:tcBorders>
                  <w:vAlign w:val="center"/>
                </w:tcPr>
                <w:p w14:paraId="22A47CCF">
                  <w:pPr>
                    <w:jc w:val="center"/>
                    <w:rPr>
                      <w:color w:val="auto"/>
                      <w:spacing w:val="-20"/>
                      <w:sz w:val="18"/>
                      <w:szCs w:val="18"/>
                    </w:rPr>
                  </w:pPr>
                  <w:r>
                    <w:rPr>
                      <w:color w:val="auto"/>
                      <w:spacing w:val="-20"/>
                      <w:sz w:val="18"/>
                      <w:szCs w:val="18"/>
                    </w:rPr>
                    <w:t>1次/年</w:t>
                  </w:r>
                </w:p>
              </w:tc>
            </w:tr>
          </w:tbl>
          <w:p w14:paraId="60CC5D72">
            <w:pPr>
              <w:pStyle w:val="24"/>
              <w:adjustRightInd w:val="0"/>
              <w:snapToGrid w:val="0"/>
              <w:spacing w:before="0" w:beforeAutospacing="0" w:after="0" w:afterAutospacing="0" w:line="440" w:lineRule="exact"/>
              <w:ind w:firstLine="422" w:firstLineChars="200"/>
              <w:rPr>
                <w:rFonts w:ascii="Times New Roman" w:hAnsi="Times New Roman"/>
                <w:b/>
                <w:color w:val="auto"/>
                <w:sz w:val="21"/>
                <w:szCs w:val="21"/>
              </w:rPr>
            </w:pPr>
            <w:r>
              <w:rPr>
                <w:rFonts w:hint="eastAsia" w:ascii="Times New Roman" w:hAnsi="Times New Roman"/>
                <w:b/>
                <w:color w:val="auto"/>
                <w:sz w:val="21"/>
                <w:szCs w:val="21"/>
              </w:rPr>
              <w:t>1.5非正常情况分析</w:t>
            </w:r>
          </w:p>
          <w:p w14:paraId="42E5F29C">
            <w:pPr>
              <w:pStyle w:val="24"/>
              <w:adjustRightInd w:val="0"/>
              <w:snapToGrid w:val="0"/>
              <w:spacing w:before="0" w:beforeAutospacing="0" w:after="0" w:afterAutospacing="0" w:line="440" w:lineRule="exact"/>
              <w:ind w:firstLine="420" w:firstLineChars="200"/>
              <w:rPr>
                <w:rFonts w:ascii="Times New Roman" w:hAnsi="Times New Roman"/>
                <w:color w:val="auto"/>
                <w:sz w:val="21"/>
                <w:szCs w:val="21"/>
              </w:rPr>
            </w:pPr>
            <w:r>
              <w:rPr>
                <w:rFonts w:ascii="Times New Roman" w:hAnsi="Times New Roman"/>
                <w:color w:val="auto"/>
                <w:sz w:val="21"/>
                <w:szCs w:val="21"/>
              </w:rPr>
              <w:t>开、停车时，环保设施的运行未达到处理效果，本项目非正常工况主要考虑</w:t>
            </w:r>
            <w:r>
              <w:rPr>
                <w:rFonts w:hint="eastAsia" w:ascii="Times New Roman" w:hAnsi="Times New Roman"/>
                <w:color w:val="auto"/>
                <w:sz w:val="21"/>
                <w:szCs w:val="21"/>
              </w:rPr>
              <w:t>布袋除尘器未达到设计处理效率，处理效率降低至</w:t>
            </w:r>
            <w:r>
              <w:rPr>
                <w:rFonts w:hint="eastAsia" w:ascii="Times New Roman" w:hAnsi="Times New Roman"/>
                <w:color w:val="auto"/>
                <w:sz w:val="21"/>
                <w:szCs w:val="21"/>
                <w:lang w:val="en-US" w:eastAsia="zh-CN"/>
              </w:rPr>
              <w:t>0</w:t>
            </w:r>
            <w:r>
              <w:rPr>
                <w:rFonts w:hint="eastAsia" w:ascii="Times New Roman" w:hAnsi="Times New Roman"/>
                <w:color w:val="auto"/>
                <w:sz w:val="21"/>
                <w:szCs w:val="21"/>
              </w:rPr>
              <w:t>%</w:t>
            </w:r>
            <w:r>
              <w:rPr>
                <w:rFonts w:ascii="Times New Roman" w:hAnsi="Times New Roman"/>
                <w:color w:val="auto"/>
                <w:sz w:val="21"/>
                <w:szCs w:val="21"/>
              </w:rPr>
              <w:t>。</w:t>
            </w:r>
          </w:p>
          <w:p w14:paraId="4E8C4BDA">
            <w:pPr>
              <w:pStyle w:val="24"/>
              <w:adjustRightInd w:val="0"/>
              <w:snapToGrid w:val="0"/>
              <w:spacing w:before="0" w:beforeAutospacing="0" w:after="0" w:afterAutospacing="0" w:line="440" w:lineRule="exact"/>
              <w:ind w:firstLine="420" w:firstLineChars="200"/>
              <w:rPr>
                <w:rFonts w:ascii="Times New Roman" w:hAnsi="Times New Roman"/>
                <w:color w:val="auto"/>
                <w:sz w:val="21"/>
                <w:szCs w:val="21"/>
              </w:rPr>
            </w:pPr>
          </w:p>
          <w:p w14:paraId="5B3276D5">
            <w:pPr>
              <w:tabs>
                <w:tab w:val="left" w:pos="4253"/>
              </w:tabs>
              <w:spacing w:line="440" w:lineRule="exact"/>
              <w:jc w:val="center"/>
              <w:rPr>
                <w:b/>
                <w:color w:val="auto"/>
                <w:szCs w:val="21"/>
              </w:rPr>
            </w:pPr>
            <w:r>
              <w:rPr>
                <w:b/>
                <w:color w:val="auto"/>
                <w:szCs w:val="21"/>
              </w:rPr>
              <w:t>表</w:t>
            </w:r>
            <w:r>
              <w:rPr>
                <w:rFonts w:hint="eastAsia"/>
                <w:b/>
                <w:color w:val="auto"/>
                <w:szCs w:val="21"/>
                <w:lang w:val="en-US" w:eastAsia="zh-CN"/>
              </w:rPr>
              <w:t>36</w:t>
            </w:r>
            <w:r>
              <w:rPr>
                <w:b/>
                <w:color w:val="auto"/>
                <w:szCs w:val="21"/>
              </w:rPr>
              <w:t xml:space="preserve"> 大气污染物非正常工况</w:t>
            </w:r>
            <w:r>
              <w:rPr>
                <w:rFonts w:hint="eastAsia"/>
                <w:b/>
                <w:color w:val="auto"/>
                <w:szCs w:val="21"/>
              </w:rPr>
              <w:t>源强</w:t>
            </w:r>
            <w:r>
              <w:rPr>
                <w:b/>
                <w:color w:val="auto"/>
                <w:szCs w:val="21"/>
              </w:rPr>
              <w:t>核算表</w:t>
            </w:r>
          </w:p>
          <w:tbl>
            <w:tblPr>
              <w:tblStyle w:val="28"/>
              <w:tblW w:w="7967"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395"/>
              <w:gridCol w:w="1170"/>
              <w:gridCol w:w="640"/>
              <w:gridCol w:w="749"/>
              <w:gridCol w:w="850"/>
              <w:gridCol w:w="933"/>
              <w:gridCol w:w="865"/>
              <w:gridCol w:w="952"/>
              <w:gridCol w:w="675"/>
              <w:gridCol w:w="738"/>
            </w:tblGrid>
            <w:tr w14:paraId="0A3A37E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49" w:hRule="atLeast"/>
                <w:jc w:val="center"/>
              </w:trPr>
              <w:tc>
                <w:tcPr>
                  <w:tcW w:w="395" w:type="dxa"/>
                  <w:vMerge w:val="restart"/>
                  <w:tcBorders>
                    <w:tl2br w:val="nil"/>
                    <w:tr2bl w:val="nil"/>
                  </w:tcBorders>
                  <w:vAlign w:val="center"/>
                </w:tcPr>
                <w:p w14:paraId="4701DB95">
                  <w:pPr>
                    <w:spacing w:line="280" w:lineRule="exact"/>
                    <w:jc w:val="center"/>
                    <w:rPr>
                      <w:color w:val="auto"/>
                      <w:spacing w:val="-20"/>
                      <w:sz w:val="18"/>
                      <w:szCs w:val="18"/>
                    </w:rPr>
                  </w:pPr>
                  <w:r>
                    <w:rPr>
                      <w:color w:val="auto"/>
                      <w:spacing w:val="-20"/>
                      <w:sz w:val="18"/>
                      <w:szCs w:val="18"/>
                    </w:rPr>
                    <w:t>序号</w:t>
                  </w:r>
                </w:p>
              </w:tc>
              <w:tc>
                <w:tcPr>
                  <w:tcW w:w="1170" w:type="dxa"/>
                  <w:vMerge w:val="restart"/>
                  <w:tcBorders>
                    <w:tl2br w:val="nil"/>
                    <w:tr2bl w:val="nil"/>
                  </w:tcBorders>
                  <w:vAlign w:val="center"/>
                </w:tcPr>
                <w:p w14:paraId="1EDEE843">
                  <w:pPr>
                    <w:spacing w:line="280" w:lineRule="exact"/>
                    <w:jc w:val="center"/>
                    <w:rPr>
                      <w:color w:val="auto"/>
                      <w:spacing w:val="-20"/>
                      <w:sz w:val="18"/>
                      <w:szCs w:val="18"/>
                    </w:rPr>
                  </w:pPr>
                  <w:r>
                    <w:rPr>
                      <w:color w:val="auto"/>
                      <w:spacing w:val="-20"/>
                      <w:sz w:val="18"/>
                      <w:szCs w:val="18"/>
                      <w:highlight w:val="none"/>
                    </w:rPr>
                    <w:t>污染源</w:t>
                  </w:r>
                </w:p>
              </w:tc>
              <w:tc>
                <w:tcPr>
                  <w:tcW w:w="640" w:type="dxa"/>
                  <w:vMerge w:val="restart"/>
                  <w:tcBorders>
                    <w:tl2br w:val="nil"/>
                    <w:tr2bl w:val="nil"/>
                  </w:tcBorders>
                  <w:vAlign w:val="center"/>
                </w:tcPr>
                <w:p w14:paraId="57C44027">
                  <w:pPr>
                    <w:spacing w:line="280" w:lineRule="exact"/>
                    <w:jc w:val="center"/>
                    <w:rPr>
                      <w:color w:val="auto"/>
                      <w:spacing w:val="-20"/>
                      <w:sz w:val="18"/>
                      <w:szCs w:val="18"/>
                    </w:rPr>
                  </w:pPr>
                  <w:r>
                    <w:rPr>
                      <w:rFonts w:hint="eastAsia"/>
                      <w:color w:val="auto"/>
                      <w:spacing w:val="-20"/>
                      <w:sz w:val="18"/>
                      <w:szCs w:val="18"/>
                    </w:rPr>
                    <w:t>污染</w:t>
                  </w:r>
                </w:p>
                <w:p w14:paraId="7297E049">
                  <w:pPr>
                    <w:spacing w:line="280" w:lineRule="exact"/>
                    <w:jc w:val="center"/>
                    <w:rPr>
                      <w:color w:val="auto"/>
                      <w:spacing w:val="-20"/>
                      <w:sz w:val="18"/>
                      <w:szCs w:val="18"/>
                    </w:rPr>
                  </w:pPr>
                  <w:r>
                    <w:rPr>
                      <w:rFonts w:hint="eastAsia"/>
                      <w:color w:val="auto"/>
                      <w:spacing w:val="-20"/>
                      <w:sz w:val="18"/>
                      <w:szCs w:val="18"/>
                    </w:rPr>
                    <w:t>因子</w:t>
                  </w:r>
                </w:p>
              </w:tc>
              <w:tc>
                <w:tcPr>
                  <w:tcW w:w="749" w:type="dxa"/>
                  <w:vMerge w:val="restart"/>
                  <w:tcBorders>
                    <w:tl2br w:val="nil"/>
                    <w:tr2bl w:val="nil"/>
                  </w:tcBorders>
                  <w:vAlign w:val="center"/>
                </w:tcPr>
                <w:p w14:paraId="7EE02DF7">
                  <w:pPr>
                    <w:spacing w:line="280" w:lineRule="exact"/>
                    <w:jc w:val="center"/>
                    <w:rPr>
                      <w:color w:val="auto"/>
                      <w:spacing w:val="-20"/>
                      <w:sz w:val="18"/>
                      <w:szCs w:val="18"/>
                    </w:rPr>
                  </w:pPr>
                  <w:r>
                    <w:rPr>
                      <w:rFonts w:hint="eastAsia"/>
                      <w:color w:val="auto"/>
                      <w:spacing w:val="-20"/>
                      <w:sz w:val="18"/>
                      <w:szCs w:val="18"/>
                    </w:rPr>
                    <w:t>处理措施</w:t>
                  </w:r>
                </w:p>
              </w:tc>
              <w:tc>
                <w:tcPr>
                  <w:tcW w:w="850" w:type="dxa"/>
                  <w:vMerge w:val="restart"/>
                  <w:tcBorders>
                    <w:tl2br w:val="nil"/>
                    <w:tr2bl w:val="nil"/>
                  </w:tcBorders>
                  <w:vAlign w:val="center"/>
                </w:tcPr>
                <w:p w14:paraId="617B25D9">
                  <w:pPr>
                    <w:spacing w:line="280" w:lineRule="exact"/>
                    <w:jc w:val="center"/>
                    <w:rPr>
                      <w:color w:val="auto"/>
                      <w:spacing w:val="-20"/>
                      <w:sz w:val="18"/>
                      <w:szCs w:val="18"/>
                    </w:rPr>
                  </w:pPr>
                  <w:r>
                    <w:rPr>
                      <w:color w:val="auto"/>
                      <w:spacing w:val="-20"/>
                      <w:sz w:val="18"/>
                      <w:szCs w:val="18"/>
                    </w:rPr>
                    <w:t>非正常</w:t>
                  </w:r>
                  <w:r>
                    <w:rPr>
                      <w:rFonts w:hint="eastAsia"/>
                      <w:color w:val="auto"/>
                      <w:spacing w:val="-20"/>
                      <w:sz w:val="18"/>
                      <w:szCs w:val="18"/>
                    </w:rPr>
                    <w:t>工况处理效率（%）</w:t>
                  </w:r>
                </w:p>
              </w:tc>
              <w:tc>
                <w:tcPr>
                  <w:tcW w:w="2750" w:type="dxa"/>
                  <w:gridSpan w:val="3"/>
                  <w:tcBorders>
                    <w:tl2br w:val="nil"/>
                    <w:tr2bl w:val="nil"/>
                  </w:tcBorders>
                  <w:vAlign w:val="center"/>
                </w:tcPr>
                <w:p w14:paraId="309FE074">
                  <w:pPr>
                    <w:spacing w:line="280" w:lineRule="exact"/>
                    <w:jc w:val="center"/>
                    <w:rPr>
                      <w:color w:val="auto"/>
                      <w:spacing w:val="-20"/>
                      <w:sz w:val="18"/>
                      <w:szCs w:val="18"/>
                    </w:rPr>
                  </w:pPr>
                  <w:r>
                    <w:rPr>
                      <w:color w:val="auto"/>
                      <w:spacing w:val="-20"/>
                      <w:sz w:val="18"/>
                      <w:szCs w:val="18"/>
                    </w:rPr>
                    <w:t>非正常</w:t>
                  </w:r>
                  <w:r>
                    <w:rPr>
                      <w:rFonts w:hint="eastAsia"/>
                      <w:color w:val="auto"/>
                      <w:spacing w:val="-20"/>
                      <w:sz w:val="18"/>
                      <w:szCs w:val="18"/>
                    </w:rPr>
                    <w:t>工况排放情况</w:t>
                  </w:r>
                </w:p>
              </w:tc>
              <w:tc>
                <w:tcPr>
                  <w:tcW w:w="675" w:type="dxa"/>
                  <w:vMerge w:val="restart"/>
                  <w:tcBorders>
                    <w:tl2br w:val="nil"/>
                    <w:tr2bl w:val="nil"/>
                  </w:tcBorders>
                  <w:vAlign w:val="center"/>
                </w:tcPr>
                <w:p w14:paraId="75E3884D">
                  <w:pPr>
                    <w:spacing w:line="280" w:lineRule="exact"/>
                    <w:jc w:val="center"/>
                    <w:rPr>
                      <w:color w:val="auto"/>
                      <w:spacing w:val="-20"/>
                      <w:sz w:val="18"/>
                      <w:szCs w:val="18"/>
                    </w:rPr>
                  </w:pPr>
                  <w:r>
                    <w:rPr>
                      <w:color w:val="auto"/>
                      <w:spacing w:val="-20"/>
                      <w:sz w:val="18"/>
                      <w:szCs w:val="18"/>
                    </w:rPr>
                    <w:t>单次持续时间（h）</w:t>
                  </w:r>
                </w:p>
              </w:tc>
              <w:tc>
                <w:tcPr>
                  <w:tcW w:w="738" w:type="dxa"/>
                  <w:vMerge w:val="restart"/>
                  <w:tcBorders>
                    <w:tl2br w:val="nil"/>
                    <w:tr2bl w:val="nil"/>
                  </w:tcBorders>
                  <w:vAlign w:val="center"/>
                </w:tcPr>
                <w:p w14:paraId="33253C23">
                  <w:pPr>
                    <w:spacing w:line="280" w:lineRule="exact"/>
                    <w:jc w:val="center"/>
                    <w:rPr>
                      <w:color w:val="auto"/>
                      <w:spacing w:val="-20"/>
                      <w:sz w:val="18"/>
                      <w:szCs w:val="18"/>
                    </w:rPr>
                  </w:pPr>
                  <w:r>
                    <w:rPr>
                      <w:color w:val="auto"/>
                      <w:spacing w:val="-20"/>
                      <w:sz w:val="18"/>
                      <w:szCs w:val="18"/>
                    </w:rPr>
                    <w:t>年发生频次（次）</w:t>
                  </w:r>
                </w:p>
              </w:tc>
            </w:tr>
            <w:tr w14:paraId="7A6B37C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3" w:hRule="atLeast"/>
                <w:jc w:val="center"/>
              </w:trPr>
              <w:tc>
                <w:tcPr>
                  <w:tcW w:w="395" w:type="dxa"/>
                  <w:vMerge w:val="continue"/>
                  <w:tcBorders>
                    <w:tl2br w:val="nil"/>
                    <w:tr2bl w:val="nil"/>
                  </w:tcBorders>
                  <w:vAlign w:val="center"/>
                </w:tcPr>
                <w:p w14:paraId="33836FDF">
                  <w:pPr>
                    <w:spacing w:line="280" w:lineRule="exact"/>
                    <w:jc w:val="center"/>
                    <w:rPr>
                      <w:color w:val="auto"/>
                      <w:spacing w:val="-20"/>
                      <w:sz w:val="18"/>
                      <w:szCs w:val="18"/>
                    </w:rPr>
                  </w:pPr>
                </w:p>
              </w:tc>
              <w:tc>
                <w:tcPr>
                  <w:tcW w:w="1170" w:type="dxa"/>
                  <w:vMerge w:val="continue"/>
                  <w:tcBorders>
                    <w:tl2br w:val="nil"/>
                    <w:tr2bl w:val="nil"/>
                  </w:tcBorders>
                  <w:vAlign w:val="center"/>
                </w:tcPr>
                <w:p w14:paraId="0FFE7513">
                  <w:pPr>
                    <w:spacing w:line="280" w:lineRule="exact"/>
                    <w:jc w:val="center"/>
                    <w:rPr>
                      <w:color w:val="auto"/>
                      <w:spacing w:val="-20"/>
                      <w:sz w:val="18"/>
                      <w:szCs w:val="18"/>
                    </w:rPr>
                  </w:pPr>
                </w:p>
              </w:tc>
              <w:tc>
                <w:tcPr>
                  <w:tcW w:w="640" w:type="dxa"/>
                  <w:vMerge w:val="continue"/>
                  <w:tcBorders>
                    <w:tl2br w:val="nil"/>
                    <w:tr2bl w:val="nil"/>
                  </w:tcBorders>
                  <w:vAlign w:val="center"/>
                </w:tcPr>
                <w:p w14:paraId="2A72DABE">
                  <w:pPr>
                    <w:spacing w:line="280" w:lineRule="exact"/>
                    <w:jc w:val="center"/>
                    <w:rPr>
                      <w:color w:val="auto"/>
                      <w:spacing w:val="-20"/>
                      <w:sz w:val="18"/>
                      <w:szCs w:val="18"/>
                    </w:rPr>
                  </w:pPr>
                </w:p>
              </w:tc>
              <w:tc>
                <w:tcPr>
                  <w:tcW w:w="749" w:type="dxa"/>
                  <w:vMerge w:val="continue"/>
                  <w:tcBorders>
                    <w:tl2br w:val="nil"/>
                    <w:tr2bl w:val="nil"/>
                  </w:tcBorders>
                  <w:vAlign w:val="center"/>
                </w:tcPr>
                <w:p w14:paraId="6A6EDC80">
                  <w:pPr>
                    <w:spacing w:line="280" w:lineRule="exact"/>
                    <w:jc w:val="center"/>
                    <w:rPr>
                      <w:color w:val="auto"/>
                      <w:spacing w:val="-20"/>
                      <w:sz w:val="18"/>
                      <w:szCs w:val="18"/>
                    </w:rPr>
                  </w:pPr>
                </w:p>
              </w:tc>
              <w:tc>
                <w:tcPr>
                  <w:tcW w:w="850" w:type="dxa"/>
                  <w:vMerge w:val="continue"/>
                  <w:tcBorders>
                    <w:tl2br w:val="nil"/>
                    <w:tr2bl w:val="nil"/>
                  </w:tcBorders>
                  <w:vAlign w:val="center"/>
                </w:tcPr>
                <w:p w14:paraId="3F8C5940">
                  <w:pPr>
                    <w:spacing w:line="280" w:lineRule="exact"/>
                    <w:jc w:val="center"/>
                    <w:rPr>
                      <w:color w:val="auto"/>
                      <w:spacing w:val="-20"/>
                      <w:sz w:val="18"/>
                      <w:szCs w:val="18"/>
                    </w:rPr>
                  </w:pPr>
                </w:p>
              </w:tc>
              <w:tc>
                <w:tcPr>
                  <w:tcW w:w="933" w:type="dxa"/>
                  <w:tcBorders>
                    <w:tl2br w:val="nil"/>
                    <w:tr2bl w:val="nil"/>
                  </w:tcBorders>
                  <w:vAlign w:val="center"/>
                </w:tcPr>
                <w:p w14:paraId="097A8BA7">
                  <w:pPr>
                    <w:spacing w:line="280" w:lineRule="exact"/>
                    <w:rPr>
                      <w:color w:val="auto"/>
                      <w:spacing w:val="-20"/>
                      <w:sz w:val="18"/>
                      <w:szCs w:val="18"/>
                    </w:rPr>
                  </w:pPr>
                  <w:r>
                    <w:rPr>
                      <w:rFonts w:hint="eastAsia"/>
                      <w:color w:val="auto"/>
                      <w:spacing w:val="-20"/>
                      <w:sz w:val="18"/>
                      <w:szCs w:val="18"/>
                    </w:rPr>
                    <w:t>排放浓度</w:t>
                  </w:r>
                </w:p>
              </w:tc>
              <w:tc>
                <w:tcPr>
                  <w:tcW w:w="865" w:type="dxa"/>
                  <w:tcBorders>
                    <w:tl2br w:val="nil"/>
                    <w:tr2bl w:val="nil"/>
                  </w:tcBorders>
                  <w:vAlign w:val="center"/>
                </w:tcPr>
                <w:p w14:paraId="478C2E0E">
                  <w:pPr>
                    <w:spacing w:line="280" w:lineRule="exact"/>
                    <w:rPr>
                      <w:color w:val="auto"/>
                      <w:spacing w:val="-20"/>
                      <w:sz w:val="18"/>
                      <w:szCs w:val="18"/>
                    </w:rPr>
                  </w:pPr>
                  <w:r>
                    <w:rPr>
                      <w:rFonts w:hint="eastAsia"/>
                      <w:color w:val="auto"/>
                      <w:spacing w:val="-20"/>
                      <w:sz w:val="18"/>
                      <w:szCs w:val="18"/>
                    </w:rPr>
                    <w:t>排放速率</w:t>
                  </w:r>
                </w:p>
              </w:tc>
              <w:tc>
                <w:tcPr>
                  <w:tcW w:w="952" w:type="dxa"/>
                  <w:tcBorders>
                    <w:tl2br w:val="nil"/>
                    <w:tr2bl w:val="nil"/>
                  </w:tcBorders>
                  <w:vAlign w:val="center"/>
                </w:tcPr>
                <w:p w14:paraId="75EB9C8E">
                  <w:pPr>
                    <w:spacing w:line="280" w:lineRule="exact"/>
                    <w:jc w:val="center"/>
                    <w:rPr>
                      <w:color w:val="auto"/>
                      <w:spacing w:val="-20"/>
                      <w:sz w:val="18"/>
                      <w:szCs w:val="18"/>
                    </w:rPr>
                  </w:pPr>
                  <w:r>
                    <w:rPr>
                      <w:rFonts w:hint="eastAsia"/>
                      <w:color w:val="auto"/>
                      <w:spacing w:val="-20"/>
                      <w:sz w:val="18"/>
                      <w:szCs w:val="18"/>
                    </w:rPr>
                    <w:t>排放量</w:t>
                  </w:r>
                </w:p>
              </w:tc>
              <w:tc>
                <w:tcPr>
                  <w:tcW w:w="675" w:type="dxa"/>
                  <w:vMerge w:val="continue"/>
                  <w:tcBorders>
                    <w:tl2br w:val="nil"/>
                    <w:tr2bl w:val="nil"/>
                  </w:tcBorders>
                  <w:vAlign w:val="center"/>
                </w:tcPr>
                <w:p w14:paraId="2F79C338">
                  <w:pPr>
                    <w:spacing w:line="280" w:lineRule="exact"/>
                    <w:rPr>
                      <w:color w:val="auto"/>
                      <w:spacing w:val="-20"/>
                      <w:sz w:val="18"/>
                      <w:szCs w:val="18"/>
                    </w:rPr>
                  </w:pPr>
                </w:p>
              </w:tc>
              <w:tc>
                <w:tcPr>
                  <w:tcW w:w="738" w:type="dxa"/>
                  <w:vMerge w:val="continue"/>
                  <w:tcBorders>
                    <w:tl2br w:val="nil"/>
                    <w:tr2bl w:val="nil"/>
                  </w:tcBorders>
                  <w:vAlign w:val="center"/>
                </w:tcPr>
                <w:p w14:paraId="6DF18213">
                  <w:pPr>
                    <w:spacing w:line="280" w:lineRule="exact"/>
                    <w:jc w:val="center"/>
                    <w:rPr>
                      <w:color w:val="auto"/>
                      <w:spacing w:val="-20"/>
                      <w:sz w:val="18"/>
                      <w:szCs w:val="18"/>
                    </w:rPr>
                  </w:pPr>
                </w:p>
              </w:tc>
            </w:tr>
            <w:tr w14:paraId="28E473E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395" w:type="dxa"/>
                  <w:tcBorders>
                    <w:tl2br w:val="nil"/>
                    <w:tr2bl w:val="nil"/>
                  </w:tcBorders>
                  <w:vAlign w:val="center"/>
                </w:tcPr>
                <w:p w14:paraId="7603B71A">
                  <w:pPr>
                    <w:spacing w:line="280" w:lineRule="exact"/>
                    <w:jc w:val="center"/>
                    <w:rPr>
                      <w:color w:val="auto"/>
                      <w:spacing w:val="-20"/>
                      <w:sz w:val="18"/>
                      <w:szCs w:val="18"/>
                    </w:rPr>
                  </w:pPr>
                  <w:r>
                    <w:rPr>
                      <w:color w:val="auto"/>
                      <w:spacing w:val="-20"/>
                      <w:sz w:val="18"/>
                      <w:szCs w:val="18"/>
                    </w:rPr>
                    <w:t>1</w:t>
                  </w:r>
                </w:p>
              </w:tc>
              <w:tc>
                <w:tcPr>
                  <w:tcW w:w="1170" w:type="dxa"/>
                  <w:tcBorders>
                    <w:tl2br w:val="nil"/>
                    <w:tr2bl w:val="nil"/>
                  </w:tcBorders>
                  <w:vAlign w:val="center"/>
                </w:tcPr>
                <w:p w14:paraId="65D36D0D">
                  <w:pPr>
                    <w:jc w:val="center"/>
                    <w:rPr>
                      <w:rFonts w:hint="eastAsia" w:ascii="Times New Roman" w:hAnsi="Times New Roman" w:eastAsia="宋体" w:cs="Times New Roman"/>
                      <w:color w:val="auto"/>
                      <w:spacing w:val="-20"/>
                      <w:kern w:val="2"/>
                      <w:sz w:val="18"/>
                      <w:szCs w:val="18"/>
                      <w:lang w:val="en-US" w:eastAsia="zh-CN" w:bidi="ar-SA"/>
                    </w:rPr>
                  </w:pPr>
                  <w:r>
                    <w:rPr>
                      <w:rFonts w:hint="eastAsia"/>
                      <w:color w:val="auto"/>
                      <w:spacing w:val="-11"/>
                      <w:sz w:val="18"/>
                      <w:szCs w:val="18"/>
                      <w:highlight w:val="none"/>
                      <w:lang w:val="en-US" w:eastAsia="zh-CN"/>
                    </w:rPr>
                    <w:t>钢渣处理生产线上料、破碎、筛分</w:t>
                  </w:r>
                </w:p>
              </w:tc>
              <w:tc>
                <w:tcPr>
                  <w:tcW w:w="640" w:type="dxa"/>
                  <w:tcBorders>
                    <w:tl2br w:val="nil"/>
                    <w:tr2bl w:val="nil"/>
                  </w:tcBorders>
                  <w:vAlign w:val="center"/>
                </w:tcPr>
                <w:p w14:paraId="5F082F39">
                  <w:pPr>
                    <w:jc w:val="center"/>
                    <w:rPr>
                      <w:color w:val="auto"/>
                      <w:spacing w:val="-20"/>
                      <w:sz w:val="18"/>
                      <w:szCs w:val="18"/>
                    </w:rPr>
                  </w:pPr>
                  <w:r>
                    <w:rPr>
                      <w:rFonts w:hint="eastAsia"/>
                      <w:color w:val="auto"/>
                      <w:spacing w:val="-20"/>
                      <w:sz w:val="18"/>
                      <w:szCs w:val="18"/>
                    </w:rPr>
                    <w:t>颗粒物</w:t>
                  </w:r>
                </w:p>
              </w:tc>
              <w:tc>
                <w:tcPr>
                  <w:tcW w:w="749" w:type="dxa"/>
                  <w:tcBorders>
                    <w:tl2br w:val="nil"/>
                    <w:tr2bl w:val="nil"/>
                  </w:tcBorders>
                  <w:vAlign w:val="center"/>
                </w:tcPr>
                <w:p w14:paraId="3510B0D5">
                  <w:pPr>
                    <w:spacing w:line="280" w:lineRule="exact"/>
                    <w:jc w:val="center"/>
                    <w:rPr>
                      <w:color w:val="auto"/>
                      <w:spacing w:val="-20"/>
                      <w:sz w:val="18"/>
                      <w:szCs w:val="18"/>
                    </w:rPr>
                  </w:pPr>
                  <w:r>
                    <w:rPr>
                      <w:rFonts w:hint="eastAsia"/>
                      <w:color w:val="auto"/>
                      <w:spacing w:val="-20"/>
                      <w:sz w:val="18"/>
                      <w:szCs w:val="18"/>
                    </w:rPr>
                    <w:t>布袋除尘器</w:t>
                  </w:r>
                </w:p>
              </w:tc>
              <w:tc>
                <w:tcPr>
                  <w:tcW w:w="850" w:type="dxa"/>
                  <w:tcBorders>
                    <w:tl2br w:val="nil"/>
                    <w:tr2bl w:val="nil"/>
                  </w:tcBorders>
                  <w:vAlign w:val="center"/>
                </w:tcPr>
                <w:p w14:paraId="2D46C13C">
                  <w:pPr>
                    <w:spacing w:line="280" w:lineRule="exact"/>
                    <w:jc w:val="center"/>
                    <w:rPr>
                      <w:rFonts w:hint="eastAsia" w:eastAsia="宋体"/>
                      <w:color w:val="auto"/>
                      <w:spacing w:val="-20"/>
                      <w:sz w:val="18"/>
                      <w:szCs w:val="18"/>
                      <w:highlight w:val="none"/>
                      <w:lang w:eastAsia="zh-CN"/>
                    </w:rPr>
                  </w:pPr>
                  <w:r>
                    <w:rPr>
                      <w:rFonts w:hint="eastAsia"/>
                      <w:color w:val="auto"/>
                      <w:spacing w:val="-20"/>
                      <w:sz w:val="18"/>
                      <w:szCs w:val="18"/>
                      <w:highlight w:val="none"/>
                      <w:lang w:val="en-US" w:eastAsia="zh-CN"/>
                    </w:rPr>
                    <w:t>0</w:t>
                  </w:r>
                </w:p>
              </w:tc>
              <w:tc>
                <w:tcPr>
                  <w:tcW w:w="933" w:type="dxa"/>
                  <w:tcBorders>
                    <w:tl2br w:val="nil"/>
                    <w:tr2bl w:val="nil"/>
                  </w:tcBorders>
                  <w:vAlign w:val="center"/>
                </w:tcPr>
                <w:p w14:paraId="325CA1D8">
                  <w:pPr>
                    <w:jc w:val="center"/>
                    <w:rPr>
                      <w:rFonts w:hint="eastAsia" w:cs="Times New Roman"/>
                      <w:color w:val="auto"/>
                      <w:spacing w:val="-10"/>
                      <w:sz w:val="18"/>
                      <w:szCs w:val="18"/>
                      <w:highlight w:val="none"/>
                      <w:lang w:val="en-US" w:eastAsia="zh-CN"/>
                    </w:rPr>
                  </w:pPr>
                  <w:r>
                    <w:rPr>
                      <w:rFonts w:hint="eastAsia" w:cs="Times New Roman"/>
                      <w:color w:val="auto"/>
                      <w:spacing w:val="-10"/>
                      <w:sz w:val="18"/>
                      <w:szCs w:val="18"/>
                      <w:highlight w:val="none"/>
                      <w:lang w:val="en-US" w:eastAsia="zh-CN"/>
                    </w:rPr>
                    <w:t>348.3</w:t>
                  </w:r>
                </w:p>
                <w:p w14:paraId="170B1730">
                  <w:pPr>
                    <w:jc w:val="center"/>
                    <w:rPr>
                      <w:rFonts w:hint="eastAsia" w:ascii="Times New Roman" w:hAnsi="Times New Roman" w:eastAsia="宋体" w:cs="Times New Roman"/>
                      <w:color w:val="auto"/>
                      <w:spacing w:val="-10"/>
                      <w:sz w:val="18"/>
                      <w:szCs w:val="18"/>
                      <w:highlight w:val="none"/>
                      <w:lang w:val="en-US" w:eastAsia="zh-CN"/>
                    </w:rPr>
                  </w:pPr>
                  <w:r>
                    <w:rPr>
                      <w:rFonts w:hint="eastAsia" w:ascii="Times New Roman" w:hAnsi="Times New Roman" w:eastAsia="宋体" w:cs="Times New Roman"/>
                      <w:color w:val="auto"/>
                      <w:spacing w:val="-10"/>
                      <w:sz w:val="18"/>
                      <w:szCs w:val="18"/>
                      <w:highlight w:val="none"/>
                      <w:lang w:val="en-US" w:eastAsia="zh-CN"/>
                    </w:rPr>
                    <w:t>mg/m</w:t>
                  </w:r>
                  <w:r>
                    <w:rPr>
                      <w:rFonts w:hint="eastAsia" w:ascii="Times New Roman" w:hAnsi="Times New Roman" w:eastAsia="宋体" w:cs="Times New Roman"/>
                      <w:color w:val="auto"/>
                      <w:spacing w:val="-10"/>
                      <w:sz w:val="18"/>
                      <w:szCs w:val="18"/>
                      <w:highlight w:val="none"/>
                      <w:vertAlign w:val="superscript"/>
                      <w:lang w:val="en-US" w:eastAsia="zh-CN"/>
                    </w:rPr>
                    <w:t>3</w:t>
                  </w:r>
                </w:p>
              </w:tc>
              <w:tc>
                <w:tcPr>
                  <w:tcW w:w="865" w:type="dxa"/>
                  <w:tcBorders>
                    <w:tl2br w:val="nil"/>
                    <w:tr2bl w:val="nil"/>
                  </w:tcBorders>
                  <w:vAlign w:val="center"/>
                </w:tcPr>
                <w:p w14:paraId="452E5F76">
                  <w:pPr>
                    <w:spacing w:line="280" w:lineRule="exact"/>
                    <w:jc w:val="center"/>
                    <w:rPr>
                      <w:color w:val="auto"/>
                      <w:spacing w:val="-11"/>
                      <w:sz w:val="18"/>
                      <w:szCs w:val="18"/>
                      <w:highlight w:val="none"/>
                    </w:rPr>
                  </w:pPr>
                  <w:r>
                    <w:rPr>
                      <w:rFonts w:hint="eastAsia"/>
                      <w:color w:val="auto"/>
                      <w:spacing w:val="-11"/>
                      <w:sz w:val="18"/>
                      <w:szCs w:val="18"/>
                      <w:highlight w:val="none"/>
                      <w:lang w:val="en-US" w:eastAsia="zh-CN"/>
                    </w:rPr>
                    <w:t>17.42</w:t>
                  </w:r>
                  <w:r>
                    <w:rPr>
                      <w:rFonts w:hint="eastAsia"/>
                      <w:color w:val="auto"/>
                      <w:spacing w:val="-11"/>
                      <w:sz w:val="18"/>
                      <w:szCs w:val="18"/>
                      <w:highlight w:val="none"/>
                    </w:rPr>
                    <w:t>kg/h</w:t>
                  </w:r>
                </w:p>
              </w:tc>
              <w:tc>
                <w:tcPr>
                  <w:tcW w:w="952" w:type="dxa"/>
                  <w:tcBorders>
                    <w:tl2br w:val="nil"/>
                    <w:tr2bl w:val="nil"/>
                  </w:tcBorders>
                  <w:vAlign w:val="center"/>
                </w:tcPr>
                <w:p w14:paraId="4F8EFD21">
                  <w:pPr>
                    <w:spacing w:line="280" w:lineRule="exact"/>
                    <w:jc w:val="center"/>
                    <w:rPr>
                      <w:color w:val="auto"/>
                      <w:spacing w:val="-11"/>
                      <w:sz w:val="18"/>
                      <w:szCs w:val="18"/>
                      <w:highlight w:val="none"/>
                    </w:rPr>
                  </w:pPr>
                  <w:r>
                    <w:rPr>
                      <w:rFonts w:hint="eastAsia"/>
                      <w:color w:val="auto"/>
                      <w:spacing w:val="-11"/>
                      <w:sz w:val="18"/>
                      <w:szCs w:val="18"/>
                      <w:highlight w:val="none"/>
                      <w:lang w:val="en-US" w:eastAsia="zh-CN"/>
                    </w:rPr>
                    <w:t>34.84</w:t>
                  </w:r>
                  <w:r>
                    <w:rPr>
                      <w:rFonts w:hint="eastAsia"/>
                      <w:color w:val="auto"/>
                      <w:spacing w:val="-11"/>
                      <w:sz w:val="18"/>
                      <w:szCs w:val="18"/>
                      <w:highlight w:val="none"/>
                    </w:rPr>
                    <w:t>kg/a</w:t>
                  </w:r>
                </w:p>
              </w:tc>
              <w:tc>
                <w:tcPr>
                  <w:tcW w:w="675" w:type="dxa"/>
                  <w:tcBorders>
                    <w:tl2br w:val="nil"/>
                    <w:tr2bl w:val="nil"/>
                  </w:tcBorders>
                  <w:vAlign w:val="center"/>
                </w:tcPr>
                <w:p w14:paraId="3AE85136">
                  <w:pPr>
                    <w:spacing w:line="280" w:lineRule="exact"/>
                    <w:jc w:val="center"/>
                    <w:rPr>
                      <w:color w:val="auto"/>
                      <w:spacing w:val="-20"/>
                      <w:sz w:val="18"/>
                      <w:szCs w:val="18"/>
                    </w:rPr>
                  </w:pPr>
                  <w:r>
                    <w:rPr>
                      <w:rFonts w:hint="eastAsia"/>
                      <w:color w:val="auto"/>
                      <w:spacing w:val="-20"/>
                      <w:sz w:val="18"/>
                      <w:szCs w:val="18"/>
                    </w:rPr>
                    <w:t>1</w:t>
                  </w:r>
                </w:p>
              </w:tc>
              <w:tc>
                <w:tcPr>
                  <w:tcW w:w="738" w:type="dxa"/>
                  <w:tcBorders>
                    <w:tl2br w:val="nil"/>
                    <w:tr2bl w:val="nil"/>
                  </w:tcBorders>
                  <w:vAlign w:val="center"/>
                </w:tcPr>
                <w:p w14:paraId="7A4733CA">
                  <w:pPr>
                    <w:spacing w:line="280" w:lineRule="exact"/>
                    <w:jc w:val="center"/>
                    <w:rPr>
                      <w:color w:val="auto"/>
                      <w:spacing w:val="-20"/>
                      <w:sz w:val="18"/>
                      <w:szCs w:val="18"/>
                    </w:rPr>
                  </w:pPr>
                  <w:r>
                    <w:rPr>
                      <w:rFonts w:hint="eastAsia"/>
                      <w:color w:val="auto"/>
                      <w:spacing w:val="-20"/>
                      <w:sz w:val="18"/>
                      <w:szCs w:val="18"/>
                    </w:rPr>
                    <w:t>2</w:t>
                  </w:r>
                </w:p>
              </w:tc>
            </w:tr>
            <w:tr w14:paraId="3022CBB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395" w:type="dxa"/>
                  <w:tcBorders>
                    <w:tl2br w:val="nil"/>
                    <w:tr2bl w:val="nil"/>
                  </w:tcBorders>
                  <w:vAlign w:val="center"/>
                </w:tcPr>
                <w:p w14:paraId="530552E5">
                  <w:pPr>
                    <w:spacing w:line="280" w:lineRule="exact"/>
                    <w:jc w:val="center"/>
                    <w:rPr>
                      <w:rFonts w:hint="eastAsia" w:eastAsia="宋体"/>
                      <w:color w:val="auto"/>
                      <w:spacing w:val="-20"/>
                      <w:sz w:val="18"/>
                      <w:szCs w:val="18"/>
                      <w:lang w:val="en-US" w:eastAsia="zh-CN"/>
                    </w:rPr>
                  </w:pPr>
                  <w:r>
                    <w:rPr>
                      <w:rFonts w:hint="eastAsia"/>
                      <w:color w:val="auto"/>
                      <w:spacing w:val="-20"/>
                      <w:sz w:val="18"/>
                      <w:szCs w:val="18"/>
                      <w:lang w:val="en-US" w:eastAsia="zh-CN"/>
                    </w:rPr>
                    <w:t>2</w:t>
                  </w:r>
                </w:p>
              </w:tc>
              <w:tc>
                <w:tcPr>
                  <w:tcW w:w="1170" w:type="dxa"/>
                  <w:tcBorders>
                    <w:tl2br w:val="nil"/>
                    <w:tr2bl w:val="nil"/>
                  </w:tcBorders>
                  <w:vAlign w:val="center"/>
                </w:tcPr>
                <w:p w14:paraId="551C77A8">
                  <w:pPr>
                    <w:jc w:val="center"/>
                    <w:rPr>
                      <w:rFonts w:hint="default" w:ascii="Times New Roman" w:hAnsi="Times New Roman" w:eastAsia="宋体" w:cs="Times New Roman"/>
                      <w:color w:val="auto"/>
                      <w:spacing w:val="-20"/>
                      <w:kern w:val="2"/>
                      <w:sz w:val="18"/>
                      <w:szCs w:val="18"/>
                      <w:lang w:val="en-US" w:eastAsia="zh-CN" w:bidi="ar-SA"/>
                    </w:rPr>
                  </w:pPr>
                  <w:r>
                    <w:rPr>
                      <w:rFonts w:hint="eastAsia" w:ascii="Times New Roman" w:hAnsi="Times New Roman" w:eastAsia="宋体" w:cs="Times New Roman"/>
                      <w:color w:val="auto"/>
                      <w:spacing w:val="-10"/>
                      <w:sz w:val="18"/>
                      <w:szCs w:val="18"/>
                      <w:highlight w:val="none"/>
                      <w:lang w:val="en-US" w:eastAsia="zh-CN"/>
                    </w:rPr>
                    <w:t>废钢破碎尾料分选生产线上料</w:t>
                  </w:r>
                  <w:r>
                    <w:rPr>
                      <w:rFonts w:hint="eastAsia" w:cs="Times New Roman"/>
                      <w:color w:val="auto"/>
                      <w:spacing w:val="-10"/>
                      <w:sz w:val="18"/>
                      <w:szCs w:val="18"/>
                      <w:highlight w:val="none"/>
                      <w:lang w:val="en-US" w:eastAsia="zh-CN"/>
                    </w:rPr>
                    <w:t>、筛分、空分</w:t>
                  </w:r>
                </w:p>
              </w:tc>
              <w:tc>
                <w:tcPr>
                  <w:tcW w:w="640" w:type="dxa"/>
                  <w:tcBorders>
                    <w:tl2br w:val="nil"/>
                    <w:tr2bl w:val="nil"/>
                  </w:tcBorders>
                  <w:vAlign w:val="center"/>
                </w:tcPr>
                <w:p w14:paraId="746B6EE9">
                  <w:pPr>
                    <w:jc w:val="center"/>
                    <w:rPr>
                      <w:rFonts w:hint="eastAsia" w:ascii="Times New Roman" w:hAnsi="Times New Roman" w:eastAsia="宋体" w:cs="Times New Roman"/>
                      <w:color w:val="auto"/>
                      <w:spacing w:val="-20"/>
                      <w:kern w:val="2"/>
                      <w:sz w:val="18"/>
                      <w:szCs w:val="18"/>
                      <w:lang w:val="en-US" w:eastAsia="zh-CN" w:bidi="ar-SA"/>
                    </w:rPr>
                  </w:pPr>
                  <w:r>
                    <w:rPr>
                      <w:rFonts w:hint="eastAsia"/>
                      <w:color w:val="auto"/>
                      <w:spacing w:val="-20"/>
                      <w:sz w:val="18"/>
                      <w:szCs w:val="18"/>
                    </w:rPr>
                    <w:t>颗粒物</w:t>
                  </w:r>
                </w:p>
              </w:tc>
              <w:tc>
                <w:tcPr>
                  <w:tcW w:w="749" w:type="dxa"/>
                  <w:tcBorders>
                    <w:tl2br w:val="nil"/>
                    <w:tr2bl w:val="nil"/>
                  </w:tcBorders>
                  <w:vAlign w:val="center"/>
                </w:tcPr>
                <w:p w14:paraId="6223ED05">
                  <w:pPr>
                    <w:spacing w:line="280" w:lineRule="exact"/>
                    <w:jc w:val="center"/>
                    <w:rPr>
                      <w:rFonts w:hint="eastAsia" w:ascii="Times New Roman" w:hAnsi="Times New Roman" w:eastAsia="宋体" w:cs="Times New Roman"/>
                      <w:color w:val="auto"/>
                      <w:spacing w:val="-20"/>
                      <w:kern w:val="2"/>
                      <w:sz w:val="18"/>
                      <w:szCs w:val="18"/>
                      <w:lang w:val="en-US" w:eastAsia="zh-CN" w:bidi="ar-SA"/>
                    </w:rPr>
                  </w:pPr>
                  <w:r>
                    <w:rPr>
                      <w:rFonts w:hint="eastAsia"/>
                      <w:color w:val="auto"/>
                      <w:spacing w:val="-20"/>
                      <w:sz w:val="18"/>
                      <w:szCs w:val="18"/>
                    </w:rPr>
                    <w:t>布袋除尘器</w:t>
                  </w:r>
                </w:p>
              </w:tc>
              <w:tc>
                <w:tcPr>
                  <w:tcW w:w="850" w:type="dxa"/>
                  <w:tcBorders>
                    <w:tl2br w:val="nil"/>
                    <w:tr2bl w:val="nil"/>
                  </w:tcBorders>
                  <w:vAlign w:val="center"/>
                </w:tcPr>
                <w:p w14:paraId="030BB6BA">
                  <w:pPr>
                    <w:spacing w:line="280" w:lineRule="exact"/>
                    <w:jc w:val="center"/>
                    <w:rPr>
                      <w:rFonts w:hint="default" w:eastAsia="宋体"/>
                      <w:color w:val="auto"/>
                      <w:spacing w:val="-20"/>
                      <w:sz w:val="18"/>
                      <w:szCs w:val="18"/>
                      <w:highlight w:val="none"/>
                      <w:lang w:val="en-US" w:eastAsia="zh-CN"/>
                    </w:rPr>
                  </w:pPr>
                  <w:r>
                    <w:rPr>
                      <w:rFonts w:hint="eastAsia"/>
                      <w:color w:val="auto"/>
                      <w:spacing w:val="-20"/>
                      <w:sz w:val="18"/>
                      <w:szCs w:val="18"/>
                      <w:highlight w:val="none"/>
                      <w:lang w:val="en-US" w:eastAsia="zh-CN"/>
                    </w:rPr>
                    <w:t>0</w:t>
                  </w:r>
                </w:p>
              </w:tc>
              <w:tc>
                <w:tcPr>
                  <w:tcW w:w="933" w:type="dxa"/>
                  <w:tcBorders>
                    <w:tl2br w:val="nil"/>
                    <w:tr2bl w:val="nil"/>
                  </w:tcBorders>
                  <w:vAlign w:val="center"/>
                </w:tcPr>
                <w:p w14:paraId="36CEF9DD">
                  <w:pPr>
                    <w:jc w:val="center"/>
                    <w:rPr>
                      <w:rFonts w:hint="default" w:ascii="Times New Roman" w:hAnsi="Times New Roman" w:eastAsia="宋体" w:cs="Times New Roman"/>
                      <w:color w:val="auto"/>
                      <w:spacing w:val="-10"/>
                      <w:sz w:val="18"/>
                      <w:szCs w:val="18"/>
                      <w:highlight w:val="none"/>
                      <w:lang w:val="en-US" w:eastAsia="zh-CN"/>
                    </w:rPr>
                  </w:pPr>
                  <w:r>
                    <w:rPr>
                      <w:rFonts w:hint="eastAsia" w:ascii="Times New Roman" w:hAnsi="Times New Roman" w:eastAsia="宋体" w:cs="Times New Roman"/>
                      <w:color w:val="auto"/>
                      <w:spacing w:val="-10"/>
                      <w:sz w:val="18"/>
                      <w:szCs w:val="18"/>
                      <w:highlight w:val="none"/>
                      <w:lang w:val="en-US" w:eastAsia="zh-CN"/>
                    </w:rPr>
                    <w:t>90</w:t>
                  </w:r>
                  <w:r>
                    <w:rPr>
                      <w:rFonts w:hint="eastAsia" w:cs="Times New Roman"/>
                      <w:color w:val="auto"/>
                      <w:spacing w:val="-10"/>
                      <w:sz w:val="18"/>
                      <w:szCs w:val="18"/>
                      <w:highlight w:val="none"/>
                      <w:lang w:val="en-US" w:eastAsia="zh-CN"/>
                    </w:rPr>
                    <w:t>4.4</w:t>
                  </w:r>
                </w:p>
                <w:p w14:paraId="05BFB51A">
                  <w:pPr>
                    <w:jc w:val="center"/>
                    <w:rPr>
                      <w:rFonts w:hint="eastAsia" w:ascii="Times New Roman" w:hAnsi="Times New Roman" w:eastAsia="宋体" w:cs="Times New Roman"/>
                      <w:color w:val="auto"/>
                      <w:spacing w:val="-10"/>
                      <w:sz w:val="18"/>
                      <w:szCs w:val="18"/>
                      <w:highlight w:val="none"/>
                      <w:lang w:val="en-US" w:eastAsia="zh-CN"/>
                    </w:rPr>
                  </w:pPr>
                  <w:r>
                    <w:rPr>
                      <w:rFonts w:hint="eastAsia" w:ascii="Times New Roman" w:hAnsi="Times New Roman" w:eastAsia="宋体" w:cs="Times New Roman"/>
                      <w:color w:val="auto"/>
                      <w:spacing w:val="-10"/>
                      <w:sz w:val="18"/>
                      <w:szCs w:val="18"/>
                      <w:highlight w:val="none"/>
                      <w:lang w:val="en-US" w:eastAsia="zh-CN"/>
                    </w:rPr>
                    <w:t>mg/m</w:t>
                  </w:r>
                  <w:r>
                    <w:rPr>
                      <w:rFonts w:hint="eastAsia" w:ascii="Times New Roman" w:hAnsi="Times New Roman" w:eastAsia="宋体" w:cs="Times New Roman"/>
                      <w:color w:val="auto"/>
                      <w:spacing w:val="-10"/>
                      <w:sz w:val="18"/>
                      <w:szCs w:val="18"/>
                      <w:highlight w:val="none"/>
                      <w:vertAlign w:val="superscript"/>
                      <w:lang w:val="en-US" w:eastAsia="zh-CN"/>
                    </w:rPr>
                    <w:t>3</w:t>
                  </w:r>
                </w:p>
              </w:tc>
              <w:tc>
                <w:tcPr>
                  <w:tcW w:w="865" w:type="dxa"/>
                  <w:tcBorders>
                    <w:tl2br w:val="nil"/>
                    <w:tr2bl w:val="nil"/>
                  </w:tcBorders>
                  <w:vAlign w:val="center"/>
                </w:tcPr>
                <w:p w14:paraId="1A40262D">
                  <w:pPr>
                    <w:spacing w:line="280" w:lineRule="exact"/>
                    <w:jc w:val="center"/>
                    <w:rPr>
                      <w:rFonts w:hint="eastAsia" w:ascii="Times New Roman" w:hAnsi="Times New Roman" w:eastAsia="宋体" w:cs="Times New Roman"/>
                      <w:color w:val="auto"/>
                      <w:spacing w:val="-11"/>
                      <w:kern w:val="2"/>
                      <w:sz w:val="18"/>
                      <w:szCs w:val="18"/>
                      <w:highlight w:val="none"/>
                      <w:lang w:val="en-US" w:eastAsia="zh-CN" w:bidi="ar-SA"/>
                    </w:rPr>
                  </w:pPr>
                  <w:r>
                    <w:rPr>
                      <w:rFonts w:hint="eastAsia"/>
                      <w:color w:val="auto"/>
                      <w:spacing w:val="-11"/>
                      <w:sz w:val="18"/>
                      <w:szCs w:val="18"/>
                      <w:highlight w:val="none"/>
                      <w:lang w:val="en-US" w:eastAsia="zh-CN"/>
                    </w:rPr>
                    <w:t>45.55</w:t>
                  </w:r>
                  <w:r>
                    <w:rPr>
                      <w:rFonts w:hint="eastAsia"/>
                      <w:color w:val="auto"/>
                      <w:spacing w:val="-11"/>
                      <w:sz w:val="18"/>
                      <w:szCs w:val="18"/>
                      <w:highlight w:val="none"/>
                    </w:rPr>
                    <w:t>kg/h</w:t>
                  </w:r>
                </w:p>
              </w:tc>
              <w:tc>
                <w:tcPr>
                  <w:tcW w:w="952" w:type="dxa"/>
                  <w:tcBorders>
                    <w:tl2br w:val="nil"/>
                    <w:tr2bl w:val="nil"/>
                  </w:tcBorders>
                  <w:vAlign w:val="center"/>
                </w:tcPr>
                <w:p w14:paraId="368AA10C">
                  <w:pPr>
                    <w:spacing w:line="280" w:lineRule="exact"/>
                    <w:jc w:val="center"/>
                    <w:rPr>
                      <w:rFonts w:hint="eastAsia" w:ascii="Times New Roman" w:hAnsi="Times New Roman" w:eastAsia="宋体" w:cs="Times New Roman"/>
                      <w:color w:val="auto"/>
                      <w:spacing w:val="-11"/>
                      <w:kern w:val="2"/>
                      <w:sz w:val="18"/>
                      <w:szCs w:val="18"/>
                      <w:highlight w:val="none"/>
                      <w:lang w:val="en-US" w:eastAsia="zh-CN" w:bidi="ar-SA"/>
                    </w:rPr>
                  </w:pPr>
                  <w:r>
                    <w:rPr>
                      <w:rFonts w:hint="eastAsia"/>
                      <w:color w:val="auto"/>
                      <w:spacing w:val="-11"/>
                      <w:sz w:val="18"/>
                      <w:szCs w:val="18"/>
                      <w:highlight w:val="none"/>
                      <w:lang w:val="en-US" w:eastAsia="zh-CN"/>
                    </w:rPr>
                    <w:t>90.44</w:t>
                  </w:r>
                  <w:r>
                    <w:rPr>
                      <w:rFonts w:hint="eastAsia"/>
                      <w:color w:val="auto"/>
                      <w:spacing w:val="-11"/>
                      <w:sz w:val="18"/>
                      <w:szCs w:val="18"/>
                      <w:highlight w:val="none"/>
                    </w:rPr>
                    <w:t>kg/a</w:t>
                  </w:r>
                </w:p>
              </w:tc>
              <w:tc>
                <w:tcPr>
                  <w:tcW w:w="675" w:type="dxa"/>
                  <w:tcBorders>
                    <w:tl2br w:val="nil"/>
                    <w:tr2bl w:val="nil"/>
                  </w:tcBorders>
                  <w:vAlign w:val="center"/>
                </w:tcPr>
                <w:p w14:paraId="35AA68A0">
                  <w:pPr>
                    <w:spacing w:line="280" w:lineRule="exact"/>
                    <w:jc w:val="center"/>
                    <w:rPr>
                      <w:rFonts w:hint="eastAsia" w:ascii="Times New Roman" w:hAnsi="Times New Roman" w:eastAsia="宋体" w:cs="Times New Roman"/>
                      <w:color w:val="auto"/>
                      <w:spacing w:val="-20"/>
                      <w:kern w:val="2"/>
                      <w:sz w:val="18"/>
                      <w:szCs w:val="18"/>
                      <w:lang w:val="en-US" w:eastAsia="zh-CN" w:bidi="ar-SA"/>
                    </w:rPr>
                  </w:pPr>
                  <w:r>
                    <w:rPr>
                      <w:rFonts w:hint="eastAsia"/>
                      <w:color w:val="auto"/>
                      <w:spacing w:val="-20"/>
                      <w:sz w:val="18"/>
                      <w:szCs w:val="18"/>
                    </w:rPr>
                    <w:t>1</w:t>
                  </w:r>
                </w:p>
              </w:tc>
              <w:tc>
                <w:tcPr>
                  <w:tcW w:w="738" w:type="dxa"/>
                  <w:tcBorders>
                    <w:tl2br w:val="nil"/>
                    <w:tr2bl w:val="nil"/>
                  </w:tcBorders>
                  <w:vAlign w:val="center"/>
                </w:tcPr>
                <w:p w14:paraId="28D24D67">
                  <w:pPr>
                    <w:spacing w:line="280" w:lineRule="exact"/>
                    <w:jc w:val="center"/>
                    <w:rPr>
                      <w:rFonts w:hint="eastAsia" w:ascii="Times New Roman" w:hAnsi="Times New Roman" w:eastAsia="宋体" w:cs="Times New Roman"/>
                      <w:color w:val="auto"/>
                      <w:spacing w:val="-20"/>
                      <w:kern w:val="2"/>
                      <w:sz w:val="18"/>
                      <w:szCs w:val="18"/>
                      <w:lang w:val="en-US" w:eastAsia="zh-CN" w:bidi="ar-SA"/>
                    </w:rPr>
                  </w:pPr>
                  <w:r>
                    <w:rPr>
                      <w:rFonts w:hint="eastAsia"/>
                      <w:color w:val="auto"/>
                      <w:spacing w:val="-20"/>
                      <w:sz w:val="18"/>
                      <w:szCs w:val="18"/>
                    </w:rPr>
                    <w:t>2</w:t>
                  </w:r>
                </w:p>
              </w:tc>
            </w:tr>
          </w:tbl>
          <w:p w14:paraId="42552D14">
            <w:pPr>
              <w:pStyle w:val="24"/>
              <w:adjustRightInd w:val="0"/>
              <w:snapToGrid w:val="0"/>
              <w:spacing w:before="0" w:beforeAutospacing="0" w:after="0" w:afterAutospacing="0" w:line="440" w:lineRule="exact"/>
              <w:ind w:firstLine="420" w:firstLineChars="200"/>
              <w:rPr>
                <w:rFonts w:ascii="Times New Roman" w:hAnsi="Times New Roman"/>
                <w:color w:val="auto"/>
                <w:sz w:val="21"/>
                <w:szCs w:val="21"/>
              </w:rPr>
            </w:pPr>
            <w:r>
              <w:rPr>
                <w:rFonts w:ascii="Times New Roman" w:hAnsi="Times New Roman"/>
                <w:color w:val="auto"/>
                <w:sz w:val="21"/>
                <w:szCs w:val="21"/>
              </w:rPr>
              <w:t>由</w:t>
            </w:r>
            <w:r>
              <w:rPr>
                <w:rFonts w:hint="eastAsia" w:ascii="Times New Roman" w:hAnsi="Times New Roman"/>
                <w:color w:val="auto"/>
                <w:sz w:val="21"/>
                <w:szCs w:val="21"/>
              </w:rPr>
              <w:t>上表</w:t>
            </w:r>
            <w:r>
              <w:rPr>
                <w:rFonts w:ascii="Times New Roman" w:hAnsi="Times New Roman"/>
                <w:color w:val="auto"/>
                <w:sz w:val="21"/>
                <w:szCs w:val="21"/>
              </w:rPr>
              <w:t>分析可知，相较于正常排放，本项目非正常排放对环境空气影响较大。为防止非正常排放的发生，本项目拟采取加强设备维护，定期进行维修，</w:t>
            </w:r>
            <w:r>
              <w:rPr>
                <w:rFonts w:hint="eastAsia" w:ascii="Times New Roman" w:hAnsi="Times New Roman"/>
                <w:color w:val="auto"/>
                <w:sz w:val="21"/>
                <w:szCs w:val="21"/>
              </w:rPr>
              <w:t>可较</w:t>
            </w:r>
            <w:r>
              <w:rPr>
                <w:rFonts w:ascii="Times New Roman" w:hAnsi="Times New Roman"/>
                <w:color w:val="auto"/>
                <w:sz w:val="21"/>
                <w:szCs w:val="21"/>
              </w:rPr>
              <w:t xml:space="preserve">大程度减少故障发生的可能性。 </w:t>
            </w:r>
          </w:p>
          <w:p w14:paraId="27449903">
            <w:pPr>
              <w:pStyle w:val="24"/>
              <w:adjustRightInd w:val="0"/>
              <w:snapToGrid w:val="0"/>
              <w:spacing w:before="0" w:beforeAutospacing="0" w:after="0" w:afterAutospacing="0" w:line="440" w:lineRule="exact"/>
              <w:ind w:firstLine="420" w:firstLineChars="200"/>
              <w:rPr>
                <w:rFonts w:ascii="Times New Roman" w:hAnsi="Times New Roman"/>
                <w:color w:val="auto"/>
                <w:sz w:val="21"/>
                <w:szCs w:val="21"/>
              </w:rPr>
            </w:pPr>
            <w:r>
              <w:rPr>
                <w:rFonts w:ascii="Times New Roman" w:hAnsi="Times New Roman"/>
                <w:color w:val="auto"/>
                <w:sz w:val="21"/>
                <w:szCs w:val="21"/>
              </w:rPr>
              <w:t>如严格按照上述措施进行实施，严格操作、严格管理，基本可将非正常排放控制在低水平。</w:t>
            </w:r>
          </w:p>
          <w:p w14:paraId="7CBC4D43">
            <w:pPr>
              <w:pStyle w:val="24"/>
              <w:adjustRightInd w:val="0"/>
              <w:snapToGrid w:val="0"/>
              <w:spacing w:before="0" w:beforeAutospacing="0" w:after="0" w:afterAutospacing="0" w:line="440" w:lineRule="exact"/>
              <w:ind w:firstLine="422" w:firstLineChars="200"/>
              <w:rPr>
                <w:rFonts w:ascii="Times New Roman" w:hAnsi="Times New Roman"/>
                <w:b/>
                <w:color w:val="auto"/>
                <w:sz w:val="21"/>
                <w:szCs w:val="21"/>
              </w:rPr>
            </w:pPr>
            <w:r>
              <w:rPr>
                <w:rFonts w:hint="eastAsia" w:ascii="Times New Roman" w:hAnsi="Times New Roman"/>
                <w:b/>
                <w:color w:val="auto"/>
                <w:sz w:val="21"/>
                <w:szCs w:val="21"/>
              </w:rPr>
              <w:t>1.</w:t>
            </w:r>
            <w:r>
              <w:rPr>
                <w:rFonts w:hint="eastAsia" w:ascii="Times New Roman" w:hAnsi="Times New Roman"/>
                <w:b/>
                <w:color w:val="auto"/>
                <w:sz w:val="21"/>
                <w:szCs w:val="21"/>
                <w:lang w:val="en-US" w:eastAsia="zh-CN"/>
              </w:rPr>
              <w:t>6</w:t>
            </w:r>
            <w:r>
              <w:rPr>
                <w:rFonts w:hint="eastAsia" w:ascii="Times New Roman" w:hAnsi="Times New Roman"/>
                <w:b/>
                <w:color w:val="auto"/>
                <w:sz w:val="21"/>
                <w:szCs w:val="21"/>
              </w:rPr>
              <w:t>废气排放的环境影响分析</w:t>
            </w:r>
          </w:p>
          <w:p w14:paraId="05186DBE">
            <w:pPr>
              <w:pStyle w:val="24"/>
              <w:adjustRightInd w:val="0"/>
              <w:snapToGrid w:val="0"/>
              <w:spacing w:before="0" w:beforeAutospacing="0" w:after="0" w:afterAutospacing="0" w:line="440" w:lineRule="exact"/>
              <w:ind w:firstLine="420" w:firstLineChars="200"/>
              <w:rPr>
                <w:rFonts w:hint="eastAsia" w:ascii="Times New Roman" w:hAnsi="Times New Roman" w:cs="Times New Roman"/>
                <w:color w:val="auto"/>
                <w:sz w:val="21"/>
                <w:szCs w:val="21"/>
                <w:highlight w:val="none"/>
              </w:rPr>
            </w:pPr>
            <w:r>
              <w:rPr>
                <w:rFonts w:hint="eastAsia" w:ascii="Times New Roman" w:hAnsi="Times New Roman"/>
                <w:color w:val="auto"/>
                <w:sz w:val="21"/>
                <w:szCs w:val="21"/>
                <w:highlight w:val="none"/>
              </w:rPr>
              <w:t>拟建项目采取相应的</w:t>
            </w:r>
            <w:r>
              <w:rPr>
                <w:rFonts w:ascii="Times New Roman" w:hAnsi="Times New Roman"/>
                <w:color w:val="auto"/>
                <w:sz w:val="21"/>
                <w:szCs w:val="21"/>
                <w:highlight w:val="none"/>
              </w:rPr>
              <w:t>污染防治措施技术可行，污染物排放满足相关标准要求，污染物可实现稳定达标排放，对周围环境影响较小。</w:t>
            </w:r>
          </w:p>
          <w:p w14:paraId="2AD7CA9B">
            <w:pPr>
              <w:pStyle w:val="24"/>
              <w:adjustRightInd w:val="0"/>
              <w:snapToGrid w:val="0"/>
              <w:spacing w:before="0" w:beforeAutospacing="0" w:after="0" w:afterAutospacing="0" w:line="440" w:lineRule="exact"/>
              <w:ind w:firstLine="422" w:firstLineChars="200"/>
              <w:rPr>
                <w:rFonts w:ascii="Times New Roman" w:hAnsi="Times New Roman"/>
                <w:b/>
                <w:color w:val="auto"/>
                <w:sz w:val="21"/>
                <w:szCs w:val="21"/>
              </w:rPr>
            </w:pPr>
            <w:r>
              <w:rPr>
                <w:rFonts w:hint="eastAsia" w:ascii="Times New Roman" w:hAnsi="Times New Roman"/>
                <w:b/>
                <w:color w:val="auto"/>
                <w:sz w:val="21"/>
                <w:szCs w:val="21"/>
              </w:rPr>
              <w:t>2</w:t>
            </w:r>
            <w:r>
              <w:rPr>
                <w:rFonts w:ascii="Times New Roman" w:hAnsi="Times New Roman"/>
                <w:b/>
                <w:color w:val="auto"/>
                <w:sz w:val="21"/>
                <w:szCs w:val="21"/>
              </w:rPr>
              <w:t>.</w:t>
            </w:r>
            <w:r>
              <w:rPr>
                <w:rFonts w:hint="eastAsia" w:ascii="Times New Roman" w:hAnsi="Times New Roman"/>
                <w:b/>
                <w:color w:val="auto"/>
                <w:sz w:val="21"/>
                <w:szCs w:val="21"/>
              </w:rPr>
              <w:t>废水</w:t>
            </w:r>
          </w:p>
          <w:p w14:paraId="74154763">
            <w:pPr>
              <w:pStyle w:val="24"/>
              <w:adjustRightInd w:val="0"/>
              <w:snapToGrid w:val="0"/>
              <w:spacing w:before="0" w:beforeAutospacing="0" w:after="0" w:afterAutospacing="0" w:line="440" w:lineRule="exact"/>
              <w:ind w:firstLine="422" w:firstLineChars="200"/>
              <w:rPr>
                <w:rFonts w:ascii="Times New Roman" w:hAnsi="Times New Roman"/>
                <w:b/>
                <w:color w:val="auto"/>
                <w:sz w:val="21"/>
                <w:szCs w:val="21"/>
              </w:rPr>
            </w:pPr>
            <w:r>
              <w:rPr>
                <w:rFonts w:hint="eastAsia" w:ascii="Times New Roman" w:hAnsi="Times New Roman"/>
                <w:b/>
                <w:color w:val="auto"/>
                <w:sz w:val="21"/>
                <w:szCs w:val="21"/>
              </w:rPr>
              <w:t>2.1废水污染物排放信息</w:t>
            </w:r>
          </w:p>
          <w:p w14:paraId="6CFF1AF9">
            <w:pPr>
              <w:pStyle w:val="24"/>
              <w:adjustRightInd w:val="0"/>
              <w:snapToGrid w:val="0"/>
              <w:spacing w:before="0" w:beforeAutospacing="0" w:after="0" w:afterAutospacing="0" w:line="440" w:lineRule="exact"/>
              <w:ind w:firstLine="420" w:firstLineChars="200"/>
              <w:rPr>
                <w:rFonts w:hint="eastAsia" w:ascii="Times New Roman" w:hAnsi="Times New Roman"/>
                <w:color w:val="auto"/>
                <w:sz w:val="21"/>
                <w:szCs w:val="21"/>
              </w:rPr>
            </w:pPr>
            <w:r>
              <w:rPr>
                <w:rFonts w:hint="eastAsia" w:ascii="Times New Roman" w:hAnsi="Times New Roman" w:eastAsia="宋体" w:cs="Times New Roman"/>
                <w:color w:val="auto"/>
                <w:sz w:val="21"/>
                <w:szCs w:val="21"/>
                <w:highlight w:val="none"/>
                <w:lang w:val="en-US" w:eastAsia="zh-CN"/>
              </w:rPr>
              <w:t>根据工程分析可知，</w:t>
            </w:r>
            <w:r>
              <w:rPr>
                <w:rFonts w:hint="eastAsia" w:ascii="Times New Roman" w:hAnsi="Times New Roman"/>
                <w:color w:val="auto"/>
                <w:sz w:val="21"/>
                <w:szCs w:val="21"/>
              </w:rPr>
              <w:t>拟建项目废水主要为生活污水、洗车废水、生产废水。生产废水主要</w:t>
            </w:r>
            <w:r>
              <w:rPr>
                <w:rFonts w:hint="eastAsia" w:ascii="Times New Roman" w:hAnsi="Times New Roman" w:eastAsia="宋体" w:cs="Times New Roman"/>
                <w:color w:val="auto"/>
                <w:sz w:val="21"/>
                <w:szCs w:val="21"/>
              </w:rPr>
              <w:t>为</w:t>
            </w:r>
            <w:r>
              <w:rPr>
                <w:rFonts w:hint="eastAsia" w:ascii="Times New Roman" w:hAnsi="Times New Roman" w:eastAsia="宋体" w:cs="Times New Roman"/>
                <w:color w:val="auto"/>
                <w:sz w:val="21"/>
                <w:szCs w:val="21"/>
                <w:lang w:val="en-US" w:eastAsia="zh-CN"/>
              </w:rPr>
              <w:t>钢渣处理生产线</w:t>
            </w:r>
            <w:r>
              <w:rPr>
                <w:rFonts w:hint="eastAsia" w:ascii="Times New Roman" w:hAnsi="Times New Roman" w:eastAsia="宋体" w:cs="Times New Roman"/>
                <w:color w:val="auto"/>
                <w:sz w:val="21"/>
                <w:szCs w:val="21"/>
                <w:highlight w:val="none"/>
                <w:lang w:val="en-US" w:eastAsia="zh-CN"/>
              </w:rPr>
              <w:t>脱水筛、过滤机产生的废水及</w:t>
            </w:r>
            <w:r>
              <w:rPr>
                <w:rFonts w:hint="eastAsia" w:ascii="Times New Roman" w:hAnsi="Times New Roman" w:eastAsia="宋体" w:cs="Times New Roman"/>
                <w:color w:val="auto"/>
                <w:sz w:val="21"/>
                <w:szCs w:val="21"/>
                <w:lang w:val="en-US" w:eastAsia="zh-CN"/>
              </w:rPr>
              <w:t>废钢破碎尾料分选生产线</w:t>
            </w:r>
            <w:r>
              <w:rPr>
                <w:rFonts w:hint="eastAsia" w:ascii="Times New Roman" w:hAnsi="Times New Roman" w:eastAsia="宋体" w:cs="Times New Roman"/>
                <w:color w:val="auto"/>
                <w:sz w:val="21"/>
                <w:szCs w:val="21"/>
                <w:highlight w:val="none"/>
                <w:lang w:val="en-US" w:eastAsia="zh-CN"/>
              </w:rPr>
              <w:t>各料池产生的溢流水、漂洗船、甩干机、高钙机产生的废水</w:t>
            </w:r>
            <w:r>
              <w:rPr>
                <w:rFonts w:hint="eastAsia" w:ascii="Times New Roman" w:hAnsi="Times New Roman"/>
                <w:color w:val="auto"/>
                <w:sz w:val="21"/>
                <w:szCs w:val="21"/>
              </w:rPr>
              <w:t>。</w:t>
            </w:r>
          </w:p>
          <w:p w14:paraId="668894F8">
            <w:pPr>
              <w:pStyle w:val="24"/>
              <w:adjustRightInd w:val="0"/>
              <w:snapToGrid w:val="0"/>
              <w:spacing w:before="0" w:beforeAutospacing="0" w:after="0" w:afterAutospacing="0" w:line="440" w:lineRule="exact"/>
              <w:ind w:firstLine="420" w:firstLineChars="200"/>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根据拟建项目水平衡分析可知，拟建项目职工生活污水主要为盥洗废水，水质简单，产生量小，全部用于厂区内泼洒抑尘，不外排。车辆冲洗废水经沉淀池沉淀后循环利用，不外排。废钢破碎尾料分选生产线各料池产生的溢流水经集水沟收集后，流入污水池，由渣浆泵将污水池中污水打入沉淀池，废钢破碎尾料分选生产线漂洗船、甩干机、高钙机产生的废水与钢渣处理生产线脱水筛、过滤机产生的废水通过管道进入沉淀池，废水在沉淀池沉淀后，在由渣浆泵将沉淀池中污水打入浓缩罐，以上废水经浓缩罐加药浓缩后，上清液进入清水池，之后经清水泵回用于生产，底部浆液经渣浆泵打入板框压滤机进行压滤，压滤后的清水进入清水池，之后经清水泵回用于生产。</w:t>
            </w:r>
          </w:p>
          <w:p w14:paraId="2FC6DB60">
            <w:pPr>
              <w:pStyle w:val="24"/>
              <w:adjustRightInd w:val="0"/>
              <w:snapToGrid w:val="0"/>
              <w:spacing w:before="0" w:beforeAutospacing="0" w:after="0" w:afterAutospacing="0" w:line="440" w:lineRule="exact"/>
              <w:rPr>
                <w:rFonts w:hint="eastAsia" w:ascii="Times New Roman" w:hAnsi="Times New Roman" w:eastAsia="宋体" w:cs="Times New Roman"/>
                <w:color w:val="auto"/>
                <w:sz w:val="21"/>
                <w:szCs w:val="21"/>
                <w:highlight w:val="none"/>
                <w:lang w:val="en-US" w:eastAsia="zh-CN"/>
              </w:rPr>
            </w:pPr>
          </w:p>
          <w:p w14:paraId="664E6DAA">
            <w:pPr>
              <w:pStyle w:val="24"/>
              <w:adjustRightInd w:val="0"/>
              <w:snapToGrid w:val="0"/>
              <w:spacing w:before="0" w:beforeAutospacing="0" w:after="0" w:afterAutospacing="0" w:line="440" w:lineRule="exact"/>
              <w:ind w:firstLine="420" w:firstLineChars="200"/>
              <w:rPr>
                <w:rFonts w:hint="eastAsia" w:ascii="Times New Roman" w:hAnsi="Times New Roman" w:eastAsia="宋体" w:cs="Times New Roman"/>
                <w:color w:val="auto"/>
                <w:sz w:val="21"/>
                <w:szCs w:val="21"/>
                <w:highlight w:val="none"/>
                <w:lang w:val="en-US" w:eastAsia="zh-CN"/>
              </w:rPr>
            </w:pPr>
          </w:p>
        </w:tc>
      </w:tr>
      <w:tr w14:paraId="46170AB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402" w:hRule="atLeast"/>
          <w:jc w:val="center"/>
        </w:trPr>
        <w:tc>
          <w:tcPr>
            <w:tcW w:w="746" w:type="dxa"/>
            <w:tcMar>
              <w:left w:w="28" w:type="dxa"/>
              <w:right w:w="28" w:type="dxa"/>
            </w:tcMar>
            <w:vAlign w:val="center"/>
          </w:tcPr>
          <w:p w14:paraId="604F1321">
            <w:pPr>
              <w:adjustRightInd w:val="0"/>
              <w:snapToGrid w:val="0"/>
              <w:jc w:val="center"/>
              <w:rPr>
                <w:rFonts w:ascii="宋体" w:hAnsi="宋体" w:cs="宋体"/>
                <w:bCs/>
                <w:color w:val="auto"/>
                <w:szCs w:val="21"/>
              </w:rPr>
            </w:pPr>
            <w:r>
              <w:rPr>
                <w:rFonts w:hint="eastAsia" w:ascii="宋体" w:hAnsi="宋体" w:cs="宋体"/>
                <w:bCs/>
                <w:color w:val="auto"/>
                <w:szCs w:val="21"/>
              </w:rPr>
              <w:t>运营</w:t>
            </w:r>
          </w:p>
          <w:p w14:paraId="1AB86EBE">
            <w:pPr>
              <w:adjustRightInd w:val="0"/>
              <w:snapToGrid w:val="0"/>
              <w:jc w:val="center"/>
              <w:rPr>
                <w:rFonts w:ascii="宋体" w:hAnsi="宋体" w:cs="宋体"/>
                <w:bCs/>
                <w:color w:val="auto"/>
                <w:szCs w:val="21"/>
              </w:rPr>
            </w:pPr>
            <w:r>
              <w:rPr>
                <w:rFonts w:hint="eastAsia" w:ascii="宋体" w:hAnsi="宋体" w:cs="宋体"/>
                <w:bCs/>
                <w:color w:val="auto"/>
                <w:szCs w:val="21"/>
              </w:rPr>
              <w:t>期环</w:t>
            </w:r>
          </w:p>
          <w:p w14:paraId="0393ACE1">
            <w:pPr>
              <w:adjustRightInd w:val="0"/>
              <w:snapToGrid w:val="0"/>
              <w:jc w:val="center"/>
              <w:rPr>
                <w:rFonts w:ascii="宋体" w:hAnsi="宋体" w:cs="宋体"/>
                <w:bCs/>
                <w:color w:val="auto"/>
                <w:szCs w:val="21"/>
              </w:rPr>
            </w:pPr>
            <w:r>
              <w:rPr>
                <w:rFonts w:hint="eastAsia" w:ascii="宋体" w:hAnsi="宋体" w:cs="宋体"/>
                <w:bCs/>
                <w:color w:val="auto"/>
                <w:szCs w:val="21"/>
              </w:rPr>
              <w:t>境影</w:t>
            </w:r>
          </w:p>
          <w:p w14:paraId="30B58C2B">
            <w:pPr>
              <w:adjustRightInd w:val="0"/>
              <w:snapToGrid w:val="0"/>
              <w:jc w:val="center"/>
              <w:rPr>
                <w:rFonts w:ascii="宋体" w:hAnsi="宋体" w:cs="宋体"/>
                <w:bCs/>
                <w:color w:val="auto"/>
                <w:szCs w:val="21"/>
              </w:rPr>
            </w:pPr>
            <w:r>
              <w:rPr>
                <w:rFonts w:hint="eastAsia" w:ascii="宋体" w:hAnsi="宋体" w:cs="宋体"/>
                <w:bCs/>
                <w:color w:val="auto"/>
                <w:szCs w:val="21"/>
              </w:rPr>
              <w:t>响和</w:t>
            </w:r>
          </w:p>
          <w:p w14:paraId="5EACB7BD">
            <w:pPr>
              <w:adjustRightInd w:val="0"/>
              <w:snapToGrid w:val="0"/>
              <w:jc w:val="center"/>
              <w:rPr>
                <w:rFonts w:ascii="宋体" w:hAnsi="宋体" w:cs="宋体"/>
                <w:bCs/>
                <w:color w:val="auto"/>
                <w:szCs w:val="21"/>
              </w:rPr>
            </w:pPr>
            <w:r>
              <w:rPr>
                <w:rFonts w:hint="eastAsia" w:ascii="宋体" w:hAnsi="宋体" w:cs="宋体"/>
                <w:bCs/>
                <w:color w:val="auto"/>
                <w:szCs w:val="21"/>
              </w:rPr>
              <w:t>保护</w:t>
            </w:r>
          </w:p>
          <w:p w14:paraId="056F8346">
            <w:pPr>
              <w:adjustRightInd w:val="0"/>
              <w:snapToGrid w:val="0"/>
              <w:jc w:val="center"/>
              <w:rPr>
                <w:rFonts w:ascii="宋体" w:hAnsi="宋体" w:cs="宋体"/>
                <w:bCs/>
                <w:color w:val="auto"/>
                <w:szCs w:val="21"/>
              </w:rPr>
            </w:pPr>
            <w:r>
              <w:rPr>
                <w:rFonts w:hint="eastAsia" w:ascii="宋体" w:hAnsi="宋体" w:cs="宋体"/>
                <w:bCs/>
                <w:color w:val="auto"/>
                <w:szCs w:val="21"/>
              </w:rPr>
              <w:t>措施</w:t>
            </w:r>
          </w:p>
        </w:tc>
        <w:tc>
          <w:tcPr>
            <w:tcW w:w="8162" w:type="dxa"/>
            <w:vAlign w:val="center"/>
          </w:tcPr>
          <w:p w14:paraId="051B2287">
            <w:pPr>
              <w:spacing w:line="480" w:lineRule="exact"/>
              <w:jc w:val="center"/>
              <w:rPr>
                <w:rFonts w:hint="default" w:ascii="Times New Roman" w:hAnsi="Times New Roman" w:cs="Times New Roman"/>
                <w:b/>
                <w:bCs/>
                <w:color w:val="auto"/>
                <w:sz w:val="24"/>
                <w:highlight w:val="none"/>
              </w:rPr>
            </w:pPr>
            <w:r>
              <w:rPr>
                <w:rFonts w:hint="default" w:ascii="Times New Roman" w:hAnsi="Times New Roman" w:eastAsia="宋体" w:cs="Times New Roman"/>
                <w:b/>
                <w:color w:val="auto"/>
                <w:szCs w:val="21"/>
              </w:rPr>
              <w:t>表</w:t>
            </w:r>
            <w:r>
              <w:rPr>
                <w:rFonts w:hint="eastAsia" w:cs="Times New Roman"/>
                <w:b/>
                <w:color w:val="auto"/>
                <w:szCs w:val="21"/>
                <w:lang w:val="en-US" w:eastAsia="zh-CN"/>
              </w:rPr>
              <w:t>37</w:t>
            </w:r>
            <w:r>
              <w:rPr>
                <w:rFonts w:hint="default" w:ascii="Times New Roman" w:hAnsi="Times New Roman" w:eastAsia="宋体" w:cs="Times New Roman"/>
                <w:b/>
                <w:color w:val="auto"/>
                <w:szCs w:val="21"/>
                <w:lang w:val="en-US" w:eastAsia="zh-CN"/>
              </w:rPr>
              <w:t xml:space="preserve"> </w:t>
            </w:r>
            <w:r>
              <w:rPr>
                <w:rFonts w:hint="default" w:ascii="Times New Roman" w:hAnsi="Times New Roman" w:eastAsia="宋体" w:cs="Times New Roman"/>
                <w:b/>
                <w:color w:val="auto"/>
                <w:szCs w:val="21"/>
              </w:rPr>
              <w:t>废水治理情况一览表</w:t>
            </w:r>
          </w:p>
          <w:tbl>
            <w:tblPr>
              <w:tblStyle w:val="28"/>
              <w:tblW w:w="5031" w:type="pct"/>
              <w:jc w:val="center"/>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15" w:type="dxa"/>
                <w:left w:w="15" w:type="dxa"/>
                <w:bottom w:w="15" w:type="dxa"/>
                <w:right w:w="15" w:type="dxa"/>
              </w:tblCellMar>
            </w:tblPr>
            <w:tblGrid>
              <w:gridCol w:w="736"/>
              <w:gridCol w:w="680"/>
              <w:gridCol w:w="725"/>
              <w:gridCol w:w="470"/>
              <w:gridCol w:w="500"/>
              <w:gridCol w:w="620"/>
              <w:gridCol w:w="3804"/>
              <w:gridCol w:w="461"/>
            </w:tblGrid>
            <w:tr w14:paraId="165A7642">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15" w:type="dxa"/>
                  <w:left w:w="15" w:type="dxa"/>
                  <w:bottom w:w="15" w:type="dxa"/>
                  <w:right w:w="15" w:type="dxa"/>
                </w:tblCellMar>
              </w:tblPrEx>
              <w:trPr>
                <w:trHeight w:val="90" w:hRule="atLeast"/>
                <w:jc w:val="center"/>
              </w:trPr>
              <w:tc>
                <w:tcPr>
                  <w:tcW w:w="460" w:type="pct"/>
                  <w:vMerge w:val="restart"/>
                  <w:tcBorders>
                    <w:tl2br w:val="nil"/>
                    <w:tr2bl w:val="nil"/>
                  </w:tcBorders>
                  <w:noWrap w:val="0"/>
                  <w:vAlign w:val="center"/>
                </w:tcPr>
                <w:p w14:paraId="2E3AE5F6">
                  <w:pPr>
                    <w:spacing w:line="280" w:lineRule="exact"/>
                    <w:jc w:val="center"/>
                    <w:rPr>
                      <w:rFonts w:hint="default" w:ascii="Times New Roman" w:hAnsi="Times New Roman" w:eastAsia="宋体" w:cs="Times New Roman"/>
                      <w:color w:val="auto"/>
                      <w:spacing w:val="-20"/>
                      <w:sz w:val="18"/>
                      <w:szCs w:val="18"/>
                      <w:lang w:val="en-US" w:eastAsia="zh-CN"/>
                    </w:rPr>
                  </w:pPr>
                  <w:r>
                    <w:rPr>
                      <w:rFonts w:hint="eastAsia" w:ascii="Times New Roman" w:hAnsi="Times New Roman" w:eastAsia="宋体" w:cs="Times New Roman"/>
                      <w:color w:val="auto"/>
                      <w:spacing w:val="-20"/>
                      <w:sz w:val="18"/>
                      <w:szCs w:val="18"/>
                      <w:lang w:val="en-US" w:eastAsia="zh-CN"/>
                    </w:rPr>
                    <w:t>废水污染源</w:t>
                  </w:r>
                </w:p>
              </w:tc>
              <w:tc>
                <w:tcPr>
                  <w:tcW w:w="425" w:type="pct"/>
                  <w:vMerge w:val="restart"/>
                  <w:tcBorders>
                    <w:tl2br w:val="nil"/>
                    <w:tr2bl w:val="nil"/>
                  </w:tcBorders>
                  <w:noWrap w:val="0"/>
                  <w:vAlign w:val="center"/>
                </w:tcPr>
                <w:p w14:paraId="280674D9">
                  <w:pPr>
                    <w:spacing w:line="280" w:lineRule="exact"/>
                    <w:jc w:val="center"/>
                    <w:rPr>
                      <w:rFonts w:hint="default" w:ascii="Times New Roman" w:hAnsi="Times New Roman" w:eastAsia="宋体" w:cs="Times New Roman"/>
                      <w:color w:val="auto"/>
                      <w:spacing w:val="-20"/>
                      <w:sz w:val="18"/>
                      <w:szCs w:val="18"/>
                    </w:rPr>
                  </w:pPr>
                  <w:r>
                    <w:rPr>
                      <w:rFonts w:hint="default" w:ascii="Times New Roman" w:hAnsi="Times New Roman" w:eastAsia="宋体" w:cs="Times New Roman"/>
                      <w:color w:val="auto"/>
                      <w:spacing w:val="-20"/>
                      <w:sz w:val="18"/>
                      <w:szCs w:val="18"/>
                    </w:rPr>
                    <w:t>类别</w:t>
                  </w:r>
                </w:p>
              </w:tc>
              <w:tc>
                <w:tcPr>
                  <w:tcW w:w="453" w:type="pct"/>
                  <w:vMerge w:val="restart"/>
                  <w:tcBorders>
                    <w:tl2br w:val="nil"/>
                    <w:tr2bl w:val="nil"/>
                  </w:tcBorders>
                  <w:noWrap w:val="0"/>
                  <w:vAlign w:val="center"/>
                </w:tcPr>
                <w:p w14:paraId="1F0B8493">
                  <w:pPr>
                    <w:spacing w:line="280" w:lineRule="exact"/>
                    <w:jc w:val="center"/>
                    <w:rPr>
                      <w:rFonts w:hint="default" w:ascii="Times New Roman" w:hAnsi="Times New Roman" w:eastAsia="宋体" w:cs="Times New Roman"/>
                      <w:color w:val="auto"/>
                      <w:spacing w:val="-20"/>
                      <w:sz w:val="18"/>
                      <w:szCs w:val="18"/>
                    </w:rPr>
                  </w:pPr>
                  <w:r>
                    <w:rPr>
                      <w:rFonts w:hint="default" w:ascii="Times New Roman" w:hAnsi="Times New Roman" w:eastAsia="宋体" w:cs="Times New Roman"/>
                      <w:color w:val="auto"/>
                      <w:spacing w:val="-20"/>
                      <w:sz w:val="18"/>
                      <w:szCs w:val="18"/>
                    </w:rPr>
                    <w:t>污染物</w:t>
                  </w:r>
                </w:p>
              </w:tc>
              <w:tc>
                <w:tcPr>
                  <w:tcW w:w="994" w:type="pct"/>
                  <w:gridSpan w:val="3"/>
                  <w:tcBorders>
                    <w:tl2br w:val="nil"/>
                    <w:tr2bl w:val="nil"/>
                  </w:tcBorders>
                  <w:noWrap w:val="0"/>
                  <w:vAlign w:val="center"/>
                </w:tcPr>
                <w:p w14:paraId="402E8331">
                  <w:pPr>
                    <w:spacing w:line="280" w:lineRule="exact"/>
                    <w:jc w:val="center"/>
                    <w:rPr>
                      <w:rFonts w:hint="default" w:ascii="Times New Roman" w:hAnsi="Times New Roman" w:eastAsia="宋体" w:cs="Times New Roman"/>
                      <w:color w:val="auto"/>
                      <w:spacing w:val="-20"/>
                      <w:sz w:val="18"/>
                      <w:szCs w:val="18"/>
                    </w:rPr>
                  </w:pPr>
                  <w:r>
                    <w:rPr>
                      <w:rFonts w:hint="default" w:ascii="Times New Roman" w:hAnsi="Times New Roman" w:eastAsia="宋体" w:cs="Times New Roman"/>
                      <w:color w:val="auto"/>
                      <w:spacing w:val="-20"/>
                      <w:sz w:val="18"/>
                      <w:szCs w:val="18"/>
                    </w:rPr>
                    <w:t>治理设施</w:t>
                  </w:r>
                </w:p>
              </w:tc>
              <w:tc>
                <w:tcPr>
                  <w:tcW w:w="2378" w:type="pct"/>
                  <w:vMerge w:val="restart"/>
                  <w:tcBorders>
                    <w:tl2br w:val="nil"/>
                    <w:tr2bl w:val="nil"/>
                  </w:tcBorders>
                  <w:noWrap w:val="0"/>
                  <w:vAlign w:val="center"/>
                </w:tcPr>
                <w:p w14:paraId="24FD05D1">
                  <w:pPr>
                    <w:spacing w:line="280" w:lineRule="exact"/>
                    <w:jc w:val="center"/>
                    <w:rPr>
                      <w:rFonts w:hint="default" w:ascii="Times New Roman" w:hAnsi="Times New Roman" w:eastAsia="宋体" w:cs="Times New Roman"/>
                      <w:color w:val="auto"/>
                      <w:spacing w:val="-20"/>
                      <w:sz w:val="18"/>
                      <w:szCs w:val="18"/>
                    </w:rPr>
                  </w:pPr>
                  <w:r>
                    <w:rPr>
                      <w:rFonts w:hint="default" w:ascii="Times New Roman" w:hAnsi="Times New Roman" w:eastAsia="宋体" w:cs="Times New Roman"/>
                      <w:color w:val="auto"/>
                      <w:spacing w:val="-20"/>
                      <w:sz w:val="18"/>
                      <w:szCs w:val="18"/>
                    </w:rPr>
                    <w:t>排放方式</w:t>
                  </w:r>
                </w:p>
              </w:tc>
              <w:tc>
                <w:tcPr>
                  <w:tcW w:w="288" w:type="pct"/>
                  <w:vMerge w:val="restart"/>
                  <w:tcBorders>
                    <w:tl2br w:val="nil"/>
                    <w:tr2bl w:val="nil"/>
                  </w:tcBorders>
                  <w:noWrap w:val="0"/>
                  <w:vAlign w:val="center"/>
                </w:tcPr>
                <w:p w14:paraId="4BF589D4">
                  <w:pPr>
                    <w:spacing w:line="280" w:lineRule="exact"/>
                    <w:jc w:val="center"/>
                    <w:rPr>
                      <w:rFonts w:hint="default" w:ascii="Times New Roman" w:hAnsi="Times New Roman" w:eastAsia="宋体" w:cs="Times New Roman"/>
                      <w:color w:val="auto"/>
                      <w:spacing w:val="-20"/>
                      <w:sz w:val="18"/>
                      <w:szCs w:val="18"/>
                    </w:rPr>
                  </w:pPr>
                  <w:r>
                    <w:rPr>
                      <w:rFonts w:hint="default" w:ascii="Times New Roman" w:hAnsi="Times New Roman" w:eastAsia="宋体" w:cs="Times New Roman"/>
                      <w:color w:val="auto"/>
                      <w:spacing w:val="-20"/>
                      <w:sz w:val="18"/>
                      <w:szCs w:val="18"/>
                    </w:rPr>
                    <w:t>排放</w:t>
                  </w:r>
                  <w:r>
                    <w:rPr>
                      <w:rFonts w:hint="eastAsia" w:ascii="Times New Roman" w:hAnsi="Times New Roman" w:eastAsia="宋体" w:cs="Times New Roman"/>
                      <w:color w:val="auto"/>
                      <w:spacing w:val="-20"/>
                      <w:sz w:val="18"/>
                      <w:szCs w:val="18"/>
                    </w:rPr>
                    <w:t>去向</w:t>
                  </w:r>
                </w:p>
              </w:tc>
            </w:tr>
            <w:tr w14:paraId="2DF20DAE">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15" w:type="dxa"/>
                  <w:left w:w="15" w:type="dxa"/>
                  <w:bottom w:w="15" w:type="dxa"/>
                  <w:right w:w="15" w:type="dxa"/>
                </w:tblCellMar>
              </w:tblPrEx>
              <w:trPr>
                <w:trHeight w:val="90" w:hRule="atLeast"/>
                <w:jc w:val="center"/>
              </w:trPr>
              <w:tc>
                <w:tcPr>
                  <w:tcW w:w="460" w:type="pct"/>
                  <w:vMerge w:val="continue"/>
                  <w:tcBorders>
                    <w:tl2br w:val="nil"/>
                    <w:tr2bl w:val="nil"/>
                  </w:tcBorders>
                  <w:noWrap w:val="0"/>
                  <w:vAlign w:val="center"/>
                </w:tcPr>
                <w:p w14:paraId="18614D01">
                  <w:pPr>
                    <w:spacing w:line="280" w:lineRule="exact"/>
                    <w:jc w:val="center"/>
                    <w:rPr>
                      <w:rFonts w:hint="default" w:ascii="Times New Roman" w:hAnsi="Times New Roman" w:eastAsia="宋体" w:cs="Times New Roman"/>
                      <w:color w:val="auto"/>
                      <w:spacing w:val="-20"/>
                      <w:sz w:val="18"/>
                      <w:szCs w:val="18"/>
                    </w:rPr>
                  </w:pPr>
                </w:p>
              </w:tc>
              <w:tc>
                <w:tcPr>
                  <w:tcW w:w="425" w:type="pct"/>
                  <w:vMerge w:val="continue"/>
                  <w:tcBorders>
                    <w:tl2br w:val="nil"/>
                    <w:tr2bl w:val="nil"/>
                  </w:tcBorders>
                  <w:noWrap w:val="0"/>
                  <w:vAlign w:val="center"/>
                </w:tcPr>
                <w:p w14:paraId="4FFA7033">
                  <w:pPr>
                    <w:spacing w:line="280" w:lineRule="exact"/>
                    <w:jc w:val="center"/>
                    <w:rPr>
                      <w:rFonts w:hint="default" w:ascii="Times New Roman" w:hAnsi="Times New Roman" w:eastAsia="宋体" w:cs="Times New Roman"/>
                      <w:color w:val="auto"/>
                      <w:spacing w:val="-20"/>
                      <w:sz w:val="18"/>
                      <w:szCs w:val="18"/>
                    </w:rPr>
                  </w:pPr>
                </w:p>
              </w:tc>
              <w:tc>
                <w:tcPr>
                  <w:tcW w:w="453" w:type="pct"/>
                  <w:vMerge w:val="continue"/>
                  <w:tcBorders>
                    <w:tl2br w:val="nil"/>
                    <w:tr2bl w:val="nil"/>
                  </w:tcBorders>
                  <w:noWrap w:val="0"/>
                  <w:vAlign w:val="center"/>
                </w:tcPr>
                <w:p w14:paraId="51F9A780">
                  <w:pPr>
                    <w:spacing w:line="280" w:lineRule="exact"/>
                    <w:jc w:val="center"/>
                    <w:rPr>
                      <w:rFonts w:hint="default" w:ascii="Times New Roman" w:hAnsi="Times New Roman" w:eastAsia="宋体" w:cs="Times New Roman"/>
                      <w:color w:val="auto"/>
                      <w:spacing w:val="-20"/>
                      <w:sz w:val="18"/>
                      <w:szCs w:val="18"/>
                    </w:rPr>
                  </w:pPr>
                </w:p>
              </w:tc>
              <w:tc>
                <w:tcPr>
                  <w:tcW w:w="293" w:type="pct"/>
                  <w:tcBorders>
                    <w:tl2br w:val="nil"/>
                    <w:tr2bl w:val="nil"/>
                  </w:tcBorders>
                  <w:noWrap w:val="0"/>
                  <w:vAlign w:val="center"/>
                </w:tcPr>
                <w:p w14:paraId="64524983">
                  <w:pPr>
                    <w:spacing w:line="280" w:lineRule="exact"/>
                    <w:jc w:val="center"/>
                    <w:rPr>
                      <w:rFonts w:hint="default" w:ascii="Times New Roman" w:hAnsi="Times New Roman" w:eastAsia="宋体" w:cs="Times New Roman"/>
                      <w:color w:val="auto"/>
                      <w:spacing w:val="-20"/>
                      <w:sz w:val="18"/>
                      <w:szCs w:val="18"/>
                    </w:rPr>
                  </w:pPr>
                  <w:r>
                    <w:rPr>
                      <w:rFonts w:hint="default" w:ascii="Times New Roman" w:hAnsi="Times New Roman" w:eastAsia="宋体" w:cs="Times New Roman"/>
                      <w:color w:val="auto"/>
                      <w:spacing w:val="-20"/>
                      <w:sz w:val="18"/>
                      <w:szCs w:val="18"/>
                    </w:rPr>
                    <w:t>治理工艺</w:t>
                  </w:r>
                </w:p>
              </w:tc>
              <w:tc>
                <w:tcPr>
                  <w:tcW w:w="312" w:type="pct"/>
                  <w:tcBorders>
                    <w:tl2br w:val="nil"/>
                    <w:tr2bl w:val="nil"/>
                  </w:tcBorders>
                  <w:noWrap w:val="0"/>
                  <w:vAlign w:val="center"/>
                </w:tcPr>
                <w:p w14:paraId="5A9CD902">
                  <w:pPr>
                    <w:spacing w:line="280" w:lineRule="exact"/>
                    <w:jc w:val="center"/>
                    <w:rPr>
                      <w:rFonts w:hint="default" w:ascii="Times New Roman" w:hAnsi="Times New Roman" w:eastAsia="宋体" w:cs="Times New Roman"/>
                      <w:color w:val="auto"/>
                      <w:spacing w:val="-20"/>
                      <w:sz w:val="18"/>
                      <w:szCs w:val="18"/>
                    </w:rPr>
                  </w:pPr>
                  <w:r>
                    <w:rPr>
                      <w:rFonts w:hint="default" w:ascii="Times New Roman" w:hAnsi="Times New Roman" w:eastAsia="宋体" w:cs="Times New Roman"/>
                      <w:color w:val="auto"/>
                      <w:spacing w:val="-20"/>
                      <w:sz w:val="18"/>
                      <w:szCs w:val="18"/>
                    </w:rPr>
                    <w:t>去除率%</w:t>
                  </w:r>
                </w:p>
              </w:tc>
              <w:tc>
                <w:tcPr>
                  <w:tcW w:w="387" w:type="pct"/>
                  <w:tcBorders>
                    <w:tl2br w:val="nil"/>
                    <w:tr2bl w:val="nil"/>
                  </w:tcBorders>
                  <w:noWrap w:val="0"/>
                  <w:vAlign w:val="center"/>
                </w:tcPr>
                <w:p w14:paraId="6F5EBFFB">
                  <w:pPr>
                    <w:spacing w:line="280" w:lineRule="exact"/>
                    <w:jc w:val="center"/>
                    <w:rPr>
                      <w:rFonts w:hint="default" w:ascii="Times New Roman" w:hAnsi="Times New Roman" w:eastAsia="宋体" w:cs="Times New Roman"/>
                      <w:color w:val="auto"/>
                      <w:spacing w:val="-20"/>
                      <w:sz w:val="18"/>
                      <w:szCs w:val="18"/>
                    </w:rPr>
                  </w:pPr>
                  <w:r>
                    <w:rPr>
                      <w:rFonts w:hint="default" w:ascii="Times New Roman" w:hAnsi="Times New Roman" w:eastAsia="宋体" w:cs="Times New Roman"/>
                      <w:color w:val="auto"/>
                      <w:spacing w:val="-20"/>
                      <w:sz w:val="18"/>
                      <w:szCs w:val="18"/>
                    </w:rPr>
                    <w:t>是否为可行技术</w:t>
                  </w:r>
                </w:p>
              </w:tc>
              <w:tc>
                <w:tcPr>
                  <w:tcW w:w="2378" w:type="pct"/>
                  <w:vMerge w:val="continue"/>
                  <w:tcBorders>
                    <w:tl2br w:val="nil"/>
                    <w:tr2bl w:val="nil"/>
                  </w:tcBorders>
                  <w:noWrap w:val="0"/>
                  <w:vAlign w:val="center"/>
                </w:tcPr>
                <w:p w14:paraId="634A1814">
                  <w:pPr>
                    <w:spacing w:line="280" w:lineRule="exact"/>
                    <w:jc w:val="center"/>
                    <w:rPr>
                      <w:rFonts w:hint="default" w:ascii="Times New Roman" w:hAnsi="Times New Roman" w:eastAsia="宋体" w:cs="Times New Roman"/>
                      <w:color w:val="auto"/>
                      <w:spacing w:val="-20"/>
                      <w:sz w:val="18"/>
                      <w:szCs w:val="18"/>
                    </w:rPr>
                  </w:pPr>
                </w:p>
              </w:tc>
              <w:tc>
                <w:tcPr>
                  <w:tcW w:w="288" w:type="pct"/>
                  <w:vMerge w:val="continue"/>
                  <w:tcBorders>
                    <w:tl2br w:val="nil"/>
                    <w:tr2bl w:val="nil"/>
                  </w:tcBorders>
                  <w:noWrap w:val="0"/>
                  <w:vAlign w:val="center"/>
                </w:tcPr>
                <w:p w14:paraId="1FDAACF2">
                  <w:pPr>
                    <w:spacing w:line="280" w:lineRule="exact"/>
                    <w:jc w:val="center"/>
                    <w:rPr>
                      <w:rFonts w:hint="default" w:ascii="Times New Roman" w:hAnsi="Times New Roman" w:eastAsia="宋体" w:cs="Times New Roman"/>
                      <w:color w:val="auto"/>
                      <w:spacing w:val="-20"/>
                      <w:sz w:val="18"/>
                      <w:szCs w:val="18"/>
                    </w:rPr>
                  </w:pPr>
                </w:p>
              </w:tc>
            </w:tr>
            <w:tr w14:paraId="136A7F7D">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15" w:type="dxa"/>
                  <w:left w:w="15" w:type="dxa"/>
                  <w:bottom w:w="15" w:type="dxa"/>
                  <w:right w:w="15" w:type="dxa"/>
                </w:tblCellMar>
              </w:tblPrEx>
              <w:trPr>
                <w:trHeight w:val="572" w:hRule="atLeast"/>
                <w:jc w:val="center"/>
              </w:trPr>
              <w:tc>
                <w:tcPr>
                  <w:tcW w:w="460" w:type="pct"/>
                  <w:tcBorders>
                    <w:bottom w:val="single" w:color="auto" w:sz="4" w:space="0"/>
                    <w:tl2br w:val="nil"/>
                    <w:tr2bl w:val="nil"/>
                  </w:tcBorders>
                  <w:shd w:val="clear" w:color="auto" w:fill="auto"/>
                  <w:noWrap w:val="0"/>
                  <w:vAlign w:val="center"/>
                </w:tcPr>
                <w:p w14:paraId="05221105">
                  <w:pPr>
                    <w:spacing w:line="280" w:lineRule="exact"/>
                    <w:jc w:val="center"/>
                    <w:rPr>
                      <w:rFonts w:hint="eastAsia" w:ascii="Times New Roman" w:hAnsi="Times New Roman" w:eastAsia="宋体" w:cs="Times New Roman"/>
                      <w:color w:val="auto"/>
                      <w:spacing w:val="-20"/>
                      <w:sz w:val="18"/>
                      <w:szCs w:val="18"/>
                      <w:lang w:val="en-US" w:eastAsia="zh-CN"/>
                    </w:rPr>
                  </w:pPr>
                  <w:r>
                    <w:rPr>
                      <w:rFonts w:hint="eastAsia" w:ascii="Times New Roman" w:hAnsi="Times New Roman" w:eastAsia="宋体" w:cs="Times New Roman"/>
                      <w:color w:val="auto"/>
                      <w:spacing w:val="-20"/>
                      <w:sz w:val="18"/>
                      <w:szCs w:val="18"/>
                      <w:lang w:val="en-US" w:eastAsia="zh-CN"/>
                    </w:rPr>
                    <w:t>钢渣处理生产线</w:t>
                  </w:r>
                </w:p>
              </w:tc>
              <w:tc>
                <w:tcPr>
                  <w:tcW w:w="425" w:type="pct"/>
                  <w:vMerge w:val="restart"/>
                  <w:tcBorders>
                    <w:tl2br w:val="nil"/>
                    <w:tr2bl w:val="nil"/>
                  </w:tcBorders>
                  <w:noWrap w:val="0"/>
                  <w:vAlign w:val="center"/>
                </w:tcPr>
                <w:p w14:paraId="49587456">
                  <w:pPr>
                    <w:spacing w:line="280" w:lineRule="exact"/>
                    <w:jc w:val="center"/>
                    <w:rPr>
                      <w:rFonts w:hint="default" w:ascii="Times New Roman" w:hAnsi="Times New Roman" w:eastAsia="宋体" w:cs="Times New Roman"/>
                      <w:color w:val="auto"/>
                      <w:spacing w:val="-20"/>
                      <w:sz w:val="18"/>
                      <w:szCs w:val="18"/>
                      <w:lang w:val="en-US" w:eastAsia="zh-CN"/>
                    </w:rPr>
                  </w:pPr>
                  <w:r>
                    <w:rPr>
                      <w:rFonts w:hint="eastAsia" w:ascii="Times New Roman" w:hAnsi="Times New Roman" w:eastAsia="宋体" w:cs="Times New Roman"/>
                      <w:color w:val="auto"/>
                      <w:spacing w:val="-20"/>
                      <w:sz w:val="18"/>
                      <w:szCs w:val="18"/>
                      <w:lang w:val="en-US" w:eastAsia="zh-CN"/>
                    </w:rPr>
                    <w:t>生产废水</w:t>
                  </w:r>
                </w:p>
              </w:tc>
              <w:tc>
                <w:tcPr>
                  <w:tcW w:w="453" w:type="pct"/>
                  <w:vMerge w:val="restart"/>
                  <w:tcBorders>
                    <w:tl2br w:val="nil"/>
                    <w:tr2bl w:val="nil"/>
                  </w:tcBorders>
                  <w:noWrap w:val="0"/>
                  <w:vAlign w:val="center"/>
                </w:tcPr>
                <w:p w14:paraId="29049F47">
                  <w:pPr>
                    <w:spacing w:line="280" w:lineRule="exact"/>
                    <w:jc w:val="center"/>
                    <w:rPr>
                      <w:rFonts w:hint="default" w:ascii="Times New Roman" w:hAnsi="Times New Roman" w:eastAsia="宋体" w:cs="Times New Roman"/>
                      <w:color w:val="auto"/>
                      <w:spacing w:val="-20"/>
                      <w:sz w:val="18"/>
                      <w:szCs w:val="18"/>
                      <w:lang w:val="en-US" w:eastAsia="zh-CN"/>
                    </w:rPr>
                  </w:pPr>
                  <w:r>
                    <w:rPr>
                      <w:rFonts w:hint="eastAsia"/>
                      <w:color w:val="auto"/>
                      <w:spacing w:val="-10"/>
                      <w:sz w:val="18"/>
                      <w:szCs w:val="18"/>
                    </w:rPr>
                    <w:t>SS</w:t>
                  </w:r>
                </w:p>
              </w:tc>
              <w:tc>
                <w:tcPr>
                  <w:tcW w:w="293" w:type="pct"/>
                  <w:vMerge w:val="restart"/>
                  <w:tcBorders>
                    <w:tl2br w:val="nil"/>
                    <w:tr2bl w:val="nil"/>
                  </w:tcBorders>
                  <w:noWrap w:val="0"/>
                  <w:vAlign w:val="center"/>
                </w:tcPr>
                <w:p w14:paraId="3ED53E2B">
                  <w:pPr>
                    <w:spacing w:line="280" w:lineRule="exact"/>
                    <w:jc w:val="center"/>
                    <w:rPr>
                      <w:rFonts w:hint="default" w:ascii="Times New Roman" w:hAnsi="Times New Roman" w:eastAsia="宋体" w:cs="Times New Roman"/>
                      <w:color w:val="auto"/>
                      <w:spacing w:val="-20"/>
                      <w:sz w:val="18"/>
                      <w:szCs w:val="18"/>
                      <w:lang w:val="en-US" w:eastAsia="zh-CN"/>
                    </w:rPr>
                  </w:pPr>
                  <w:r>
                    <w:rPr>
                      <w:rFonts w:hint="eastAsia" w:ascii="Times New Roman" w:hAnsi="Times New Roman" w:eastAsia="宋体" w:cs="Times New Roman"/>
                      <w:color w:val="auto"/>
                      <w:spacing w:val="-20"/>
                      <w:sz w:val="18"/>
                      <w:szCs w:val="18"/>
                      <w:lang w:val="en-US" w:eastAsia="zh-CN"/>
                    </w:rPr>
                    <w:t>沉淀</w:t>
                  </w:r>
                </w:p>
              </w:tc>
              <w:tc>
                <w:tcPr>
                  <w:tcW w:w="312" w:type="pct"/>
                  <w:vMerge w:val="restart"/>
                  <w:tcBorders>
                    <w:tl2br w:val="nil"/>
                    <w:tr2bl w:val="nil"/>
                  </w:tcBorders>
                  <w:noWrap w:val="0"/>
                  <w:vAlign w:val="center"/>
                </w:tcPr>
                <w:p w14:paraId="2CDE1FA0">
                  <w:pPr>
                    <w:spacing w:line="280" w:lineRule="exact"/>
                    <w:jc w:val="center"/>
                    <w:rPr>
                      <w:rFonts w:hint="default" w:ascii="Times New Roman" w:hAnsi="Times New Roman" w:eastAsia="宋体" w:cs="Times New Roman"/>
                      <w:color w:val="auto"/>
                      <w:spacing w:val="-20"/>
                      <w:sz w:val="18"/>
                      <w:szCs w:val="18"/>
                      <w:lang w:val="en-US" w:eastAsia="zh-CN"/>
                    </w:rPr>
                  </w:pPr>
                  <w:r>
                    <w:rPr>
                      <w:rFonts w:hint="default" w:ascii="Times New Roman" w:hAnsi="Times New Roman" w:eastAsia="宋体" w:cs="Times New Roman"/>
                      <w:color w:val="auto"/>
                      <w:spacing w:val="-20"/>
                      <w:sz w:val="18"/>
                      <w:szCs w:val="18"/>
                      <w:lang w:eastAsia="zh-CN"/>
                    </w:rPr>
                    <w:t>—</w:t>
                  </w:r>
                </w:p>
              </w:tc>
              <w:tc>
                <w:tcPr>
                  <w:tcW w:w="387" w:type="pct"/>
                  <w:vMerge w:val="restart"/>
                  <w:tcBorders>
                    <w:tl2br w:val="nil"/>
                    <w:tr2bl w:val="nil"/>
                  </w:tcBorders>
                  <w:noWrap w:val="0"/>
                  <w:vAlign w:val="center"/>
                </w:tcPr>
                <w:p w14:paraId="349D5511">
                  <w:pPr>
                    <w:spacing w:line="280" w:lineRule="exact"/>
                    <w:jc w:val="center"/>
                    <w:rPr>
                      <w:rFonts w:hint="eastAsia" w:ascii="Times New Roman" w:hAnsi="Times New Roman" w:eastAsia="宋体" w:cs="Times New Roman"/>
                      <w:color w:val="auto"/>
                      <w:spacing w:val="-20"/>
                      <w:sz w:val="18"/>
                      <w:szCs w:val="18"/>
                      <w:lang w:val="en-US" w:eastAsia="zh-CN"/>
                    </w:rPr>
                  </w:pPr>
                  <w:r>
                    <w:rPr>
                      <w:rFonts w:hint="eastAsia" w:ascii="Times New Roman" w:hAnsi="Times New Roman" w:eastAsia="宋体" w:cs="Times New Roman"/>
                      <w:color w:val="auto"/>
                      <w:spacing w:val="-20"/>
                      <w:sz w:val="18"/>
                      <w:szCs w:val="18"/>
                      <w:lang w:val="en-US" w:eastAsia="zh-CN"/>
                    </w:rPr>
                    <w:t>是</w:t>
                  </w:r>
                </w:p>
              </w:tc>
              <w:tc>
                <w:tcPr>
                  <w:tcW w:w="2378" w:type="pct"/>
                  <w:vMerge w:val="restart"/>
                  <w:tcBorders>
                    <w:tl2br w:val="nil"/>
                    <w:tr2bl w:val="nil"/>
                  </w:tcBorders>
                  <w:noWrap w:val="0"/>
                  <w:vAlign w:val="center"/>
                </w:tcPr>
                <w:p w14:paraId="601470B4">
                  <w:pPr>
                    <w:spacing w:line="280" w:lineRule="exact"/>
                    <w:jc w:val="center"/>
                    <w:rPr>
                      <w:rFonts w:hint="default" w:ascii="Times New Roman" w:hAnsi="Times New Roman" w:eastAsia="宋体" w:cs="Times New Roman"/>
                      <w:color w:val="auto"/>
                      <w:spacing w:val="-20"/>
                      <w:sz w:val="18"/>
                      <w:szCs w:val="18"/>
                      <w:lang w:val="en-US" w:eastAsia="zh-CN"/>
                    </w:rPr>
                  </w:pPr>
                  <w:r>
                    <w:rPr>
                      <w:rFonts w:hint="eastAsia" w:ascii="Times New Roman" w:hAnsi="Times New Roman" w:eastAsia="宋体" w:cs="Times New Roman"/>
                      <w:color w:val="auto"/>
                      <w:spacing w:val="-10"/>
                      <w:sz w:val="18"/>
                      <w:szCs w:val="18"/>
                      <w:lang w:val="en-US" w:eastAsia="zh-CN"/>
                    </w:rPr>
                    <w:t>各料池产生的溢流水经集水沟收集后，流入污水池，</w:t>
                  </w:r>
                  <w:r>
                    <w:rPr>
                      <w:rFonts w:hint="eastAsia" w:cs="Times New Roman"/>
                      <w:color w:val="auto"/>
                      <w:spacing w:val="-10"/>
                      <w:sz w:val="18"/>
                      <w:szCs w:val="18"/>
                      <w:lang w:val="en-US" w:eastAsia="zh-CN"/>
                    </w:rPr>
                    <w:t>之后泵入沉淀池</w:t>
                  </w:r>
                  <w:r>
                    <w:rPr>
                      <w:rFonts w:hint="eastAsia" w:ascii="Times New Roman" w:hAnsi="Times New Roman" w:eastAsia="宋体" w:cs="Times New Roman"/>
                      <w:color w:val="auto"/>
                      <w:spacing w:val="-10"/>
                      <w:sz w:val="18"/>
                      <w:szCs w:val="18"/>
                      <w:lang w:val="en-US" w:eastAsia="zh-CN"/>
                    </w:rPr>
                    <w:t>，其余废水通过管道进入沉淀池，废水在沉淀池沉淀后，泵入浓缩罐；以上废水经浓缩罐浓缩后，上清液进入清水池，之后回用于生产，底部浆液经渣浆泵打入板框压滤机进行压滤，压滤后的清水进入清水池，之后回用于生产</w:t>
                  </w:r>
                </w:p>
              </w:tc>
              <w:tc>
                <w:tcPr>
                  <w:tcW w:w="288" w:type="pct"/>
                  <w:vMerge w:val="restart"/>
                  <w:tcBorders>
                    <w:tl2br w:val="nil"/>
                    <w:tr2bl w:val="nil"/>
                  </w:tcBorders>
                  <w:noWrap w:val="0"/>
                  <w:vAlign w:val="center"/>
                </w:tcPr>
                <w:p w14:paraId="65352A3F">
                  <w:pPr>
                    <w:spacing w:line="280" w:lineRule="exact"/>
                    <w:jc w:val="center"/>
                    <w:rPr>
                      <w:rFonts w:hint="default" w:ascii="Times New Roman" w:hAnsi="Times New Roman" w:eastAsia="宋体" w:cs="Times New Roman"/>
                      <w:color w:val="auto"/>
                      <w:spacing w:val="-20"/>
                      <w:sz w:val="18"/>
                      <w:szCs w:val="18"/>
                    </w:rPr>
                  </w:pPr>
                  <w:r>
                    <w:rPr>
                      <w:rFonts w:hint="default" w:ascii="Times New Roman" w:hAnsi="Times New Roman" w:eastAsia="宋体" w:cs="Times New Roman"/>
                      <w:color w:val="auto"/>
                      <w:spacing w:val="-20"/>
                      <w:sz w:val="18"/>
                      <w:szCs w:val="18"/>
                    </w:rPr>
                    <w:t>不外排</w:t>
                  </w:r>
                </w:p>
              </w:tc>
            </w:tr>
            <w:tr w14:paraId="703C964E">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15" w:type="dxa"/>
                  <w:left w:w="15" w:type="dxa"/>
                  <w:bottom w:w="15" w:type="dxa"/>
                  <w:right w:w="15" w:type="dxa"/>
                </w:tblCellMar>
              </w:tblPrEx>
              <w:trPr>
                <w:trHeight w:val="671" w:hRule="atLeast"/>
                <w:jc w:val="center"/>
              </w:trPr>
              <w:tc>
                <w:tcPr>
                  <w:tcW w:w="460" w:type="pct"/>
                  <w:tcBorders>
                    <w:top w:val="single" w:color="auto" w:sz="4" w:space="0"/>
                    <w:bottom w:val="single" w:color="auto" w:sz="4" w:space="0"/>
                    <w:tl2br w:val="nil"/>
                    <w:tr2bl w:val="nil"/>
                  </w:tcBorders>
                  <w:shd w:val="clear" w:color="auto" w:fill="auto"/>
                  <w:noWrap w:val="0"/>
                  <w:vAlign w:val="center"/>
                </w:tcPr>
                <w:p w14:paraId="0DF2CF3B">
                  <w:pPr>
                    <w:spacing w:line="280" w:lineRule="exact"/>
                    <w:jc w:val="center"/>
                    <w:rPr>
                      <w:rFonts w:hint="eastAsia" w:ascii="Times New Roman" w:hAnsi="Times New Roman" w:eastAsia="宋体" w:cs="Times New Roman"/>
                      <w:color w:val="auto"/>
                      <w:spacing w:val="-20"/>
                      <w:sz w:val="18"/>
                      <w:szCs w:val="18"/>
                      <w:lang w:val="en-US" w:eastAsia="zh-CN"/>
                    </w:rPr>
                  </w:pPr>
                  <w:r>
                    <w:rPr>
                      <w:rFonts w:hint="eastAsia" w:ascii="Times New Roman" w:hAnsi="Times New Roman" w:eastAsia="宋体" w:cs="Times New Roman"/>
                      <w:color w:val="auto"/>
                      <w:spacing w:val="-20"/>
                      <w:sz w:val="18"/>
                      <w:szCs w:val="18"/>
                      <w:lang w:val="en-US" w:eastAsia="zh-CN"/>
                    </w:rPr>
                    <w:t>废钢破碎尾料分选生产线</w:t>
                  </w:r>
                </w:p>
              </w:tc>
              <w:tc>
                <w:tcPr>
                  <w:tcW w:w="425" w:type="pct"/>
                  <w:vMerge w:val="continue"/>
                  <w:tcBorders>
                    <w:bottom w:val="single" w:color="auto" w:sz="4" w:space="0"/>
                    <w:tl2br w:val="nil"/>
                    <w:tr2bl w:val="nil"/>
                  </w:tcBorders>
                  <w:noWrap w:val="0"/>
                  <w:vAlign w:val="center"/>
                </w:tcPr>
                <w:p w14:paraId="1DC991D1">
                  <w:pPr>
                    <w:spacing w:line="280" w:lineRule="exact"/>
                    <w:jc w:val="center"/>
                    <w:rPr>
                      <w:rFonts w:hint="eastAsia" w:ascii="Times New Roman" w:hAnsi="Times New Roman" w:eastAsia="宋体" w:cs="Times New Roman"/>
                      <w:color w:val="auto"/>
                      <w:spacing w:val="-20"/>
                      <w:sz w:val="18"/>
                      <w:szCs w:val="18"/>
                      <w:lang w:val="en-US" w:eastAsia="zh-CN"/>
                    </w:rPr>
                  </w:pPr>
                </w:p>
              </w:tc>
              <w:tc>
                <w:tcPr>
                  <w:tcW w:w="453" w:type="pct"/>
                  <w:vMerge w:val="continue"/>
                  <w:tcBorders>
                    <w:bottom w:val="single" w:color="auto" w:sz="4" w:space="0"/>
                    <w:tl2br w:val="nil"/>
                    <w:tr2bl w:val="nil"/>
                  </w:tcBorders>
                  <w:noWrap w:val="0"/>
                  <w:vAlign w:val="center"/>
                </w:tcPr>
                <w:p w14:paraId="581AFEAB">
                  <w:pPr>
                    <w:spacing w:line="280" w:lineRule="exact"/>
                    <w:jc w:val="center"/>
                    <w:rPr>
                      <w:rFonts w:hint="eastAsia"/>
                      <w:color w:val="auto"/>
                      <w:spacing w:val="-10"/>
                      <w:sz w:val="18"/>
                      <w:szCs w:val="18"/>
                    </w:rPr>
                  </w:pPr>
                </w:p>
              </w:tc>
              <w:tc>
                <w:tcPr>
                  <w:tcW w:w="293" w:type="pct"/>
                  <w:vMerge w:val="continue"/>
                  <w:tcBorders>
                    <w:bottom w:val="single" w:color="auto" w:sz="4" w:space="0"/>
                    <w:tl2br w:val="nil"/>
                    <w:tr2bl w:val="nil"/>
                  </w:tcBorders>
                  <w:noWrap w:val="0"/>
                  <w:vAlign w:val="center"/>
                </w:tcPr>
                <w:p w14:paraId="06ABB953">
                  <w:pPr>
                    <w:spacing w:line="280" w:lineRule="exact"/>
                    <w:jc w:val="center"/>
                    <w:rPr>
                      <w:rFonts w:hint="eastAsia" w:ascii="Times New Roman" w:hAnsi="Times New Roman" w:eastAsia="宋体" w:cs="Times New Roman"/>
                      <w:color w:val="auto"/>
                      <w:spacing w:val="-20"/>
                      <w:sz w:val="18"/>
                      <w:szCs w:val="18"/>
                      <w:lang w:val="en-US" w:eastAsia="zh-CN"/>
                    </w:rPr>
                  </w:pPr>
                </w:p>
              </w:tc>
              <w:tc>
                <w:tcPr>
                  <w:tcW w:w="312" w:type="pct"/>
                  <w:vMerge w:val="continue"/>
                  <w:tcBorders>
                    <w:bottom w:val="single" w:color="auto" w:sz="4" w:space="0"/>
                    <w:tl2br w:val="nil"/>
                    <w:tr2bl w:val="nil"/>
                  </w:tcBorders>
                  <w:noWrap w:val="0"/>
                  <w:vAlign w:val="center"/>
                </w:tcPr>
                <w:p w14:paraId="4F7AD96A">
                  <w:pPr>
                    <w:spacing w:line="280" w:lineRule="exact"/>
                    <w:jc w:val="center"/>
                    <w:rPr>
                      <w:rFonts w:hint="default" w:ascii="Times New Roman" w:hAnsi="Times New Roman" w:eastAsia="宋体" w:cs="Times New Roman"/>
                      <w:color w:val="auto"/>
                      <w:spacing w:val="-20"/>
                      <w:sz w:val="18"/>
                      <w:szCs w:val="18"/>
                      <w:lang w:eastAsia="zh-CN"/>
                    </w:rPr>
                  </w:pPr>
                </w:p>
              </w:tc>
              <w:tc>
                <w:tcPr>
                  <w:tcW w:w="387" w:type="pct"/>
                  <w:vMerge w:val="continue"/>
                  <w:tcBorders>
                    <w:bottom w:val="single" w:color="auto" w:sz="4" w:space="0"/>
                    <w:tl2br w:val="nil"/>
                    <w:tr2bl w:val="nil"/>
                  </w:tcBorders>
                  <w:noWrap w:val="0"/>
                  <w:vAlign w:val="center"/>
                </w:tcPr>
                <w:p w14:paraId="7E4383AB">
                  <w:pPr>
                    <w:spacing w:line="280" w:lineRule="exact"/>
                    <w:jc w:val="center"/>
                    <w:rPr>
                      <w:rFonts w:hint="eastAsia" w:ascii="Times New Roman" w:hAnsi="Times New Roman" w:eastAsia="宋体" w:cs="Times New Roman"/>
                      <w:color w:val="auto"/>
                      <w:spacing w:val="-20"/>
                      <w:sz w:val="18"/>
                      <w:szCs w:val="18"/>
                      <w:lang w:val="en-US" w:eastAsia="zh-CN"/>
                    </w:rPr>
                  </w:pPr>
                </w:p>
              </w:tc>
              <w:tc>
                <w:tcPr>
                  <w:tcW w:w="2378" w:type="pct"/>
                  <w:vMerge w:val="continue"/>
                  <w:tcBorders>
                    <w:bottom w:val="single" w:color="auto" w:sz="4" w:space="0"/>
                    <w:tl2br w:val="nil"/>
                    <w:tr2bl w:val="nil"/>
                  </w:tcBorders>
                  <w:noWrap w:val="0"/>
                  <w:vAlign w:val="center"/>
                </w:tcPr>
                <w:p w14:paraId="79DBEF8B">
                  <w:pPr>
                    <w:spacing w:line="280" w:lineRule="exact"/>
                    <w:jc w:val="center"/>
                    <w:rPr>
                      <w:rFonts w:hint="eastAsia" w:ascii="Times New Roman" w:hAnsi="Times New Roman" w:eastAsia="宋体" w:cs="Times New Roman"/>
                      <w:color w:val="auto"/>
                      <w:spacing w:val="-20"/>
                      <w:sz w:val="18"/>
                      <w:szCs w:val="18"/>
                      <w:lang w:val="en-US" w:eastAsia="zh-CN"/>
                    </w:rPr>
                  </w:pPr>
                </w:p>
              </w:tc>
              <w:tc>
                <w:tcPr>
                  <w:tcW w:w="288" w:type="pct"/>
                  <w:vMerge w:val="continue"/>
                  <w:tcBorders>
                    <w:tl2br w:val="nil"/>
                    <w:tr2bl w:val="nil"/>
                  </w:tcBorders>
                  <w:noWrap w:val="0"/>
                  <w:vAlign w:val="center"/>
                </w:tcPr>
                <w:p w14:paraId="7690D899">
                  <w:pPr>
                    <w:spacing w:line="280" w:lineRule="exact"/>
                    <w:jc w:val="center"/>
                    <w:rPr>
                      <w:rFonts w:hint="default" w:ascii="Times New Roman" w:hAnsi="Times New Roman" w:eastAsia="宋体" w:cs="Times New Roman"/>
                      <w:color w:val="auto"/>
                      <w:spacing w:val="-20"/>
                      <w:sz w:val="18"/>
                      <w:szCs w:val="18"/>
                    </w:rPr>
                  </w:pPr>
                </w:p>
              </w:tc>
            </w:tr>
            <w:tr w14:paraId="2AB3AF26">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15" w:type="dxa"/>
                  <w:left w:w="15" w:type="dxa"/>
                  <w:bottom w:w="15" w:type="dxa"/>
                  <w:right w:w="15" w:type="dxa"/>
                </w:tblCellMar>
              </w:tblPrEx>
              <w:trPr>
                <w:trHeight w:val="312" w:hRule="atLeast"/>
                <w:jc w:val="center"/>
              </w:trPr>
              <w:tc>
                <w:tcPr>
                  <w:tcW w:w="460" w:type="pct"/>
                  <w:tcBorders>
                    <w:top w:val="single" w:color="auto" w:sz="4" w:space="0"/>
                    <w:tl2br w:val="nil"/>
                    <w:tr2bl w:val="nil"/>
                  </w:tcBorders>
                  <w:noWrap w:val="0"/>
                  <w:vAlign w:val="center"/>
                </w:tcPr>
                <w:p w14:paraId="708DEBEE">
                  <w:pPr>
                    <w:spacing w:line="280" w:lineRule="exact"/>
                    <w:jc w:val="center"/>
                    <w:rPr>
                      <w:rFonts w:hint="default" w:ascii="Times New Roman" w:hAnsi="Times New Roman" w:eastAsia="宋体" w:cs="Times New Roman"/>
                      <w:color w:val="auto"/>
                      <w:spacing w:val="-20"/>
                      <w:sz w:val="18"/>
                      <w:szCs w:val="18"/>
                      <w:lang w:val="en-US" w:eastAsia="zh-CN"/>
                    </w:rPr>
                  </w:pPr>
                  <w:r>
                    <w:rPr>
                      <w:rFonts w:hint="eastAsia" w:ascii="Times New Roman" w:hAnsi="Times New Roman" w:eastAsia="宋体" w:cs="Times New Roman"/>
                      <w:color w:val="auto"/>
                      <w:spacing w:val="-20"/>
                      <w:sz w:val="18"/>
                      <w:szCs w:val="18"/>
                      <w:lang w:val="en-US" w:eastAsia="zh-CN"/>
                    </w:rPr>
                    <w:t>车辆冲洗</w:t>
                  </w:r>
                </w:p>
              </w:tc>
              <w:tc>
                <w:tcPr>
                  <w:tcW w:w="425" w:type="pct"/>
                  <w:tcBorders>
                    <w:top w:val="single" w:color="auto" w:sz="4" w:space="0"/>
                    <w:tl2br w:val="nil"/>
                    <w:tr2bl w:val="nil"/>
                  </w:tcBorders>
                  <w:noWrap w:val="0"/>
                  <w:vAlign w:val="center"/>
                </w:tcPr>
                <w:p w14:paraId="76C4A519">
                  <w:pPr>
                    <w:spacing w:line="280" w:lineRule="exact"/>
                    <w:jc w:val="center"/>
                    <w:rPr>
                      <w:rFonts w:hint="default" w:ascii="Times New Roman" w:hAnsi="Times New Roman" w:eastAsia="宋体" w:cs="Times New Roman"/>
                      <w:color w:val="auto"/>
                      <w:spacing w:val="-20"/>
                      <w:sz w:val="18"/>
                      <w:szCs w:val="18"/>
                    </w:rPr>
                  </w:pPr>
                  <w:r>
                    <w:rPr>
                      <w:rFonts w:hint="eastAsia" w:ascii="Times New Roman" w:hAnsi="Times New Roman" w:eastAsia="宋体" w:cs="Times New Roman"/>
                      <w:color w:val="auto"/>
                      <w:spacing w:val="-20"/>
                      <w:sz w:val="18"/>
                      <w:szCs w:val="18"/>
                    </w:rPr>
                    <w:t>洗车</w:t>
                  </w:r>
                  <w:r>
                    <w:rPr>
                      <w:rFonts w:hint="eastAsia" w:ascii="Times New Roman" w:hAnsi="Times New Roman" w:eastAsia="宋体" w:cs="Times New Roman"/>
                      <w:color w:val="auto"/>
                      <w:spacing w:val="-20"/>
                      <w:sz w:val="18"/>
                      <w:szCs w:val="18"/>
                      <w:lang w:val="en-US" w:eastAsia="zh-CN"/>
                    </w:rPr>
                    <w:t>废水</w:t>
                  </w:r>
                </w:p>
              </w:tc>
              <w:tc>
                <w:tcPr>
                  <w:tcW w:w="453" w:type="pct"/>
                  <w:tcBorders>
                    <w:top w:val="single" w:color="auto" w:sz="4" w:space="0"/>
                    <w:tl2br w:val="nil"/>
                    <w:tr2bl w:val="nil"/>
                  </w:tcBorders>
                  <w:noWrap w:val="0"/>
                  <w:vAlign w:val="center"/>
                </w:tcPr>
                <w:p w14:paraId="215D9E77">
                  <w:pPr>
                    <w:spacing w:line="280" w:lineRule="exact"/>
                    <w:jc w:val="center"/>
                    <w:rPr>
                      <w:rFonts w:hint="default" w:ascii="Times New Roman" w:hAnsi="Times New Roman" w:eastAsia="宋体" w:cs="Times New Roman"/>
                      <w:color w:val="auto"/>
                      <w:spacing w:val="-20"/>
                      <w:sz w:val="18"/>
                      <w:szCs w:val="18"/>
                    </w:rPr>
                  </w:pPr>
                  <w:r>
                    <w:rPr>
                      <w:rFonts w:hint="eastAsia"/>
                      <w:color w:val="auto"/>
                      <w:spacing w:val="-10"/>
                      <w:sz w:val="18"/>
                      <w:szCs w:val="18"/>
                    </w:rPr>
                    <w:t>SS</w:t>
                  </w:r>
                </w:p>
              </w:tc>
              <w:tc>
                <w:tcPr>
                  <w:tcW w:w="293" w:type="pct"/>
                  <w:tcBorders>
                    <w:top w:val="single" w:color="auto" w:sz="4" w:space="0"/>
                    <w:tl2br w:val="nil"/>
                    <w:tr2bl w:val="nil"/>
                  </w:tcBorders>
                  <w:shd w:val="clear" w:color="auto" w:fill="auto"/>
                  <w:noWrap w:val="0"/>
                  <w:vAlign w:val="center"/>
                </w:tcPr>
                <w:p w14:paraId="647859D7">
                  <w:pPr>
                    <w:spacing w:line="280" w:lineRule="exact"/>
                    <w:jc w:val="center"/>
                    <w:rPr>
                      <w:rFonts w:hint="default" w:ascii="Times New Roman" w:hAnsi="Times New Roman" w:eastAsia="宋体" w:cs="Times New Roman"/>
                      <w:color w:val="auto"/>
                      <w:spacing w:val="-20"/>
                      <w:kern w:val="2"/>
                      <w:sz w:val="18"/>
                      <w:szCs w:val="18"/>
                      <w:lang w:val="en-US" w:eastAsia="zh-CN" w:bidi="ar-SA"/>
                    </w:rPr>
                  </w:pPr>
                  <w:r>
                    <w:rPr>
                      <w:rFonts w:hint="eastAsia" w:ascii="Times New Roman" w:hAnsi="Times New Roman" w:eastAsia="宋体" w:cs="Times New Roman"/>
                      <w:color w:val="auto"/>
                      <w:spacing w:val="-20"/>
                      <w:sz w:val="18"/>
                      <w:szCs w:val="18"/>
                      <w:lang w:val="en-US" w:eastAsia="zh-CN"/>
                    </w:rPr>
                    <w:t>沉淀</w:t>
                  </w:r>
                </w:p>
              </w:tc>
              <w:tc>
                <w:tcPr>
                  <w:tcW w:w="312" w:type="pct"/>
                  <w:tcBorders>
                    <w:top w:val="single" w:color="auto" w:sz="4" w:space="0"/>
                    <w:tl2br w:val="nil"/>
                    <w:tr2bl w:val="nil"/>
                  </w:tcBorders>
                  <w:shd w:val="clear" w:color="auto" w:fill="auto"/>
                  <w:noWrap w:val="0"/>
                  <w:vAlign w:val="center"/>
                </w:tcPr>
                <w:p w14:paraId="1052E8AF">
                  <w:pPr>
                    <w:spacing w:line="280" w:lineRule="exact"/>
                    <w:jc w:val="center"/>
                    <w:rPr>
                      <w:rFonts w:hint="default" w:ascii="Times New Roman" w:hAnsi="Times New Roman" w:eastAsia="宋体" w:cs="Times New Roman"/>
                      <w:color w:val="auto"/>
                      <w:spacing w:val="-20"/>
                      <w:kern w:val="2"/>
                      <w:sz w:val="18"/>
                      <w:szCs w:val="18"/>
                      <w:lang w:val="en-US" w:eastAsia="zh-CN" w:bidi="ar-SA"/>
                    </w:rPr>
                  </w:pPr>
                  <w:r>
                    <w:rPr>
                      <w:rFonts w:hint="default" w:ascii="Times New Roman" w:hAnsi="Times New Roman" w:eastAsia="宋体" w:cs="Times New Roman"/>
                      <w:color w:val="auto"/>
                      <w:spacing w:val="-20"/>
                      <w:sz w:val="18"/>
                      <w:szCs w:val="18"/>
                      <w:lang w:eastAsia="zh-CN"/>
                    </w:rPr>
                    <w:t>—</w:t>
                  </w:r>
                </w:p>
              </w:tc>
              <w:tc>
                <w:tcPr>
                  <w:tcW w:w="387" w:type="pct"/>
                  <w:tcBorders>
                    <w:top w:val="single" w:color="auto" w:sz="4" w:space="0"/>
                    <w:tl2br w:val="nil"/>
                    <w:tr2bl w:val="nil"/>
                  </w:tcBorders>
                  <w:shd w:val="clear" w:color="auto" w:fill="auto"/>
                  <w:noWrap w:val="0"/>
                  <w:vAlign w:val="center"/>
                </w:tcPr>
                <w:p w14:paraId="20D68C72">
                  <w:pPr>
                    <w:spacing w:line="280" w:lineRule="exact"/>
                    <w:jc w:val="center"/>
                    <w:rPr>
                      <w:rFonts w:hint="default" w:ascii="Times New Roman" w:hAnsi="Times New Roman" w:eastAsia="宋体" w:cs="Times New Roman"/>
                      <w:color w:val="auto"/>
                      <w:spacing w:val="-20"/>
                      <w:kern w:val="2"/>
                      <w:sz w:val="18"/>
                      <w:szCs w:val="18"/>
                      <w:lang w:val="en-US" w:eastAsia="zh-CN" w:bidi="ar-SA"/>
                    </w:rPr>
                  </w:pPr>
                  <w:r>
                    <w:rPr>
                      <w:rFonts w:hint="eastAsia" w:ascii="Times New Roman" w:hAnsi="Times New Roman" w:eastAsia="宋体" w:cs="Times New Roman"/>
                      <w:color w:val="auto"/>
                      <w:spacing w:val="-20"/>
                      <w:sz w:val="18"/>
                      <w:szCs w:val="18"/>
                      <w:lang w:val="en-US" w:eastAsia="zh-CN"/>
                    </w:rPr>
                    <w:t>是</w:t>
                  </w:r>
                </w:p>
              </w:tc>
              <w:tc>
                <w:tcPr>
                  <w:tcW w:w="2378" w:type="pct"/>
                  <w:tcBorders>
                    <w:top w:val="single" w:color="auto" w:sz="4" w:space="0"/>
                    <w:tl2br w:val="nil"/>
                    <w:tr2bl w:val="nil"/>
                  </w:tcBorders>
                  <w:noWrap w:val="0"/>
                  <w:vAlign w:val="center"/>
                </w:tcPr>
                <w:p w14:paraId="5E274031">
                  <w:pPr>
                    <w:spacing w:line="280" w:lineRule="exact"/>
                    <w:jc w:val="center"/>
                    <w:rPr>
                      <w:rFonts w:hint="default" w:ascii="Times New Roman" w:hAnsi="Times New Roman" w:eastAsia="宋体" w:cs="Times New Roman"/>
                      <w:color w:val="auto"/>
                      <w:spacing w:val="-20"/>
                      <w:sz w:val="18"/>
                      <w:szCs w:val="18"/>
                      <w:lang w:val="en-US" w:eastAsia="zh-CN"/>
                    </w:rPr>
                  </w:pPr>
                  <w:r>
                    <w:rPr>
                      <w:rFonts w:hint="eastAsia" w:ascii="Times New Roman" w:hAnsi="Times New Roman" w:eastAsia="宋体" w:cs="Times New Roman"/>
                      <w:color w:val="auto"/>
                      <w:spacing w:val="-20"/>
                      <w:sz w:val="18"/>
                      <w:szCs w:val="18"/>
                      <w:lang w:val="en-US" w:eastAsia="zh-CN"/>
                    </w:rPr>
                    <w:t>经洗车平台沉淀池沉淀后回用于洗车</w:t>
                  </w:r>
                </w:p>
              </w:tc>
              <w:tc>
                <w:tcPr>
                  <w:tcW w:w="288" w:type="pct"/>
                  <w:tcBorders>
                    <w:tl2br w:val="nil"/>
                    <w:tr2bl w:val="nil"/>
                  </w:tcBorders>
                  <w:noWrap w:val="0"/>
                  <w:vAlign w:val="center"/>
                </w:tcPr>
                <w:p w14:paraId="0141D1BC">
                  <w:pPr>
                    <w:spacing w:line="280" w:lineRule="exact"/>
                    <w:jc w:val="center"/>
                    <w:rPr>
                      <w:rFonts w:hint="default" w:ascii="Times New Roman" w:hAnsi="Times New Roman" w:eastAsia="宋体" w:cs="Times New Roman"/>
                      <w:color w:val="auto"/>
                      <w:spacing w:val="-20"/>
                      <w:sz w:val="18"/>
                      <w:szCs w:val="18"/>
                    </w:rPr>
                  </w:pPr>
                  <w:r>
                    <w:rPr>
                      <w:rFonts w:hint="default" w:ascii="Times New Roman" w:hAnsi="Times New Roman" w:eastAsia="宋体" w:cs="Times New Roman"/>
                      <w:color w:val="auto"/>
                      <w:spacing w:val="-20"/>
                      <w:sz w:val="18"/>
                      <w:szCs w:val="18"/>
                    </w:rPr>
                    <w:t>不外排</w:t>
                  </w:r>
                </w:p>
              </w:tc>
            </w:tr>
            <w:tr w14:paraId="38C20B2E">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15" w:type="dxa"/>
                  <w:left w:w="15" w:type="dxa"/>
                  <w:bottom w:w="15" w:type="dxa"/>
                  <w:right w:w="15" w:type="dxa"/>
                </w:tblCellMar>
              </w:tblPrEx>
              <w:trPr>
                <w:trHeight w:val="156" w:hRule="atLeast"/>
                <w:jc w:val="center"/>
              </w:trPr>
              <w:tc>
                <w:tcPr>
                  <w:tcW w:w="460" w:type="pct"/>
                  <w:tcBorders>
                    <w:tl2br w:val="nil"/>
                    <w:tr2bl w:val="nil"/>
                  </w:tcBorders>
                  <w:noWrap w:val="0"/>
                  <w:vAlign w:val="center"/>
                </w:tcPr>
                <w:p w14:paraId="781FFB7E">
                  <w:pPr>
                    <w:spacing w:line="280" w:lineRule="exact"/>
                    <w:jc w:val="center"/>
                    <w:rPr>
                      <w:rFonts w:hint="default" w:ascii="Times New Roman" w:hAnsi="Times New Roman" w:eastAsia="宋体" w:cs="Times New Roman"/>
                      <w:color w:val="auto"/>
                      <w:spacing w:val="-20"/>
                      <w:sz w:val="18"/>
                      <w:szCs w:val="18"/>
                      <w:lang w:val="en-US" w:eastAsia="zh-CN"/>
                    </w:rPr>
                  </w:pPr>
                  <w:r>
                    <w:rPr>
                      <w:rFonts w:hint="eastAsia" w:ascii="Times New Roman" w:hAnsi="Times New Roman" w:eastAsia="宋体" w:cs="Times New Roman"/>
                      <w:color w:val="auto"/>
                      <w:spacing w:val="-20"/>
                      <w:sz w:val="18"/>
                      <w:szCs w:val="18"/>
                      <w:lang w:val="en-US" w:eastAsia="zh-CN"/>
                    </w:rPr>
                    <w:t>职工生活</w:t>
                  </w:r>
                </w:p>
              </w:tc>
              <w:tc>
                <w:tcPr>
                  <w:tcW w:w="425" w:type="pct"/>
                  <w:tcBorders>
                    <w:tl2br w:val="nil"/>
                    <w:tr2bl w:val="nil"/>
                  </w:tcBorders>
                  <w:noWrap w:val="0"/>
                  <w:vAlign w:val="center"/>
                </w:tcPr>
                <w:p w14:paraId="7FE7324D">
                  <w:pPr>
                    <w:spacing w:line="280" w:lineRule="exact"/>
                    <w:jc w:val="center"/>
                    <w:rPr>
                      <w:rFonts w:hint="default" w:ascii="Times New Roman" w:hAnsi="Times New Roman" w:eastAsia="宋体" w:cs="Times New Roman"/>
                      <w:color w:val="auto"/>
                      <w:spacing w:val="-20"/>
                      <w:sz w:val="18"/>
                      <w:szCs w:val="18"/>
                    </w:rPr>
                  </w:pPr>
                  <w:r>
                    <w:rPr>
                      <w:rFonts w:hint="default" w:ascii="Times New Roman" w:hAnsi="Times New Roman" w:eastAsia="宋体" w:cs="Times New Roman"/>
                      <w:color w:val="auto"/>
                      <w:spacing w:val="-20"/>
                      <w:sz w:val="18"/>
                      <w:szCs w:val="18"/>
                      <w:lang w:val="en-US" w:eastAsia="zh-CN"/>
                    </w:rPr>
                    <w:t>生活污水</w:t>
                  </w:r>
                </w:p>
              </w:tc>
              <w:tc>
                <w:tcPr>
                  <w:tcW w:w="453" w:type="pct"/>
                  <w:tcBorders>
                    <w:tl2br w:val="nil"/>
                    <w:tr2bl w:val="nil"/>
                  </w:tcBorders>
                  <w:noWrap w:val="0"/>
                  <w:vAlign w:val="center"/>
                </w:tcPr>
                <w:p w14:paraId="5912B944">
                  <w:pPr>
                    <w:spacing w:line="280" w:lineRule="exact"/>
                    <w:jc w:val="center"/>
                    <w:rPr>
                      <w:rFonts w:hint="default" w:ascii="Times New Roman" w:hAnsi="Times New Roman" w:eastAsia="宋体" w:cs="Times New Roman"/>
                      <w:color w:val="auto"/>
                      <w:spacing w:val="-20"/>
                      <w:sz w:val="18"/>
                      <w:szCs w:val="18"/>
                    </w:rPr>
                  </w:pPr>
                  <w:r>
                    <w:rPr>
                      <w:rFonts w:hint="eastAsia"/>
                      <w:color w:val="auto"/>
                      <w:spacing w:val="-10"/>
                      <w:sz w:val="18"/>
                      <w:szCs w:val="18"/>
                      <w:lang w:val="en-US" w:eastAsia="zh-CN"/>
                    </w:rPr>
                    <w:t>PH、</w:t>
                  </w:r>
                  <w:r>
                    <w:rPr>
                      <w:rFonts w:hint="eastAsia"/>
                      <w:color w:val="auto"/>
                      <w:spacing w:val="-10"/>
                      <w:sz w:val="18"/>
                      <w:szCs w:val="18"/>
                    </w:rPr>
                    <w:t>SS</w:t>
                  </w:r>
                  <w:r>
                    <w:rPr>
                      <w:rFonts w:hint="eastAsia"/>
                      <w:color w:val="auto"/>
                      <w:spacing w:val="-10"/>
                      <w:sz w:val="18"/>
                      <w:szCs w:val="18"/>
                      <w:lang w:val="en-US" w:eastAsia="zh-CN"/>
                    </w:rPr>
                    <w:t>、</w:t>
                  </w:r>
                  <w:r>
                    <w:rPr>
                      <w:rFonts w:hint="eastAsia"/>
                      <w:color w:val="auto"/>
                      <w:spacing w:val="-10"/>
                      <w:sz w:val="18"/>
                      <w:szCs w:val="18"/>
                    </w:rPr>
                    <w:t>COD</w:t>
                  </w:r>
                </w:p>
              </w:tc>
              <w:tc>
                <w:tcPr>
                  <w:tcW w:w="293" w:type="pct"/>
                  <w:tcBorders>
                    <w:tl2br w:val="nil"/>
                    <w:tr2bl w:val="nil"/>
                  </w:tcBorders>
                  <w:noWrap w:val="0"/>
                  <w:vAlign w:val="center"/>
                </w:tcPr>
                <w:p w14:paraId="3EE50CE3">
                  <w:pPr>
                    <w:spacing w:line="280" w:lineRule="exact"/>
                    <w:jc w:val="center"/>
                    <w:rPr>
                      <w:rFonts w:hint="default" w:ascii="Times New Roman" w:hAnsi="Times New Roman" w:eastAsia="宋体" w:cs="Times New Roman"/>
                      <w:color w:val="auto"/>
                      <w:spacing w:val="-20"/>
                      <w:sz w:val="18"/>
                      <w:szCs w:val="18"/>
                      <w:lang w:val="en-US" w:eastAsia="zh-CN"/>
                    </w:rPr>
                  </w:pPr>
                  <w:r>
                    <w:rPr>
                      <w:rFonts w:hint="default" w:ascii="Times New Roman" w:hAnsi="Times New Roman" w:eastAsia="宋体" w:cs="Times New Roman"/>
                      <w:color w:val="auto"/>
                      <w:spacing w:val="-20"/>
                      <w:sz w:val="18"/>
                      <w:szCs w:val="18"/>
                      <w:lang w:eastAsia="zh-CN"/>
                    </w:rPr>
                    <w:t>—</w:t>
                  </w:r>
                </w:p>
              </w:tc>
              <w:tc>
                <w:tcPr>
                  <w:tcW w:w="312" w:type="pct"/>
                  <w:tcBorders>
                    <w:tl2br w:val="nil"/>
                    <w:tr2bl w:val="nil"/>
                  </w:tcBorders>
                  <w:noWrap w:val="0"/>
                  <w:vAlign w:val="center"/>
                </w:tcPr>
                <w:p w14:paraId="2EEB1A68">
                  <w:pPr>
                    <w:spacing w:line="280" w:lineRule="exact"/>
                    <w:jc w:val="center"/>
                    <w:rPr>
                      <w:rFonts w:hint="default" w:ascii="Times New Roman" w:hAnsi="Times New Roman" w:eastAsia="宋体" w:cs="Times New Roman"/>
                      <w:color w:val="auto"/>
                      <w:spacing w:val="-20"/>
                      <w:sz w:val="18"/>
                      <w:szCs w:val="18"/>
                      <w:lang w:val="en-US" w:eastAsia="zh-CN"/>
                    </w:rPr>
                  </w:pPr>
                  <w:r>
                    <w:rPr>
                      <w:rFonts w:hint="default" w:ascii="Times New Roman" w:hAnsi="Times New Roman" w:eastAsia="宋体" w:cs="Times New Roman"/>
                      <w:color w:val="auto"/>
                      <w:spacing w:val="-20"/>
                      <w:sz w:val="18"/>
                      <w:szCs w:val="18"/>
                      <w:lang w:eastAsia="zh-CN"/>
                    </w:rPr>
                    <w:t>—</w:t>
                  </w:r>
                </w:p>
              </w:tc>
              <w:tc>
                <w:tcPr>
                  <w:tcW w:w="387" w:type="pct"/>
                  <w:tcBorders>
                    <w:tl2br w:val="nil"/>
                    <w:tr2bl w:val="nil"/>
                  </w:tcBorders>
                  <w:noWrap w:val="0"/>
                  <w:vAlign w:val="center"/>
                </w:tcPr>
                <w:p w14:paraId="7574DA34">
                  <w:pPr>
                    <w:spacing w:line="280" w:lineRule="exact"/>
                    <w:jc w:val="center"/>
                    <w:rPr>
                      <w:rFonts w:hint="default" w:ascii="Times New Roman" w:hAnsi="Times New Roman" w:eastAsia="宋体" w:cs="Times New Roman"/>
                      <w:color w:val="auto"/>
                      <w:spacing w:val="-20"/>
                      <w:sz w:val="18"/>
                      <w:szCs w:val="18"/>
                      <w:lang w:val="en-US" w:eastAsia="zh-CN"/>
                    </w:rPr>
                  </w:pPr>
                  <w:r>
                    <w:rPr>
                      <w:rFonts w:hint="default" w:ascii="Times New Roman" w:hAnsi="Times New Roman" w:eastAsia="宋体" w:cs="Times New Roman"/>
                      <w:color w:val="auto"/>
                      <w:spacing w:val="-20"/>
                      <w:sz w:val="18"/>
                      <w:szCs w:val="18"/>
                      <w:lang w:eastAsia="zh-CN"/>
                    </w:rPr>
                    <w:t>—</w:t>
                  </w:r>
                </w:p>
              </w:tc>
              <w:tc>
                <w:tcPr>
                  <w:tcW w:w="2378" w:type="pct"/>
                  <w:tcBorders>
                    <w:tl2br w:val="nil"/>
                    <w:tr2bl w:val="nil"/>
                  </w:tcBorders>
                  <w:noWrap w:val="0"/>
                  <w:vAlign w:val="center"/>
                </w:tcPr>
                <w:p w14:paraId="3DC3285D">
                  <w:pPr>
                    <w:spacing w:line="280" w:lineRule="exact"/>
                    <w:jc w:val="center"/>
                    <w:rPr>
                      <w:rFonts w:hint="default" w:ascii="Times New Roman" w:hAnsi="Times New Roman" w:eastAsia="宋体" w:cs="Times New Roman"/>
                      <w:color w:val="auto"/>
                      <w:spacing w:val="-20"/>
                      <w:sz w:val="18"/>
                      <w:szCs w:val="18"/>
                      <w:lang w:val="en-US" w:eastAsia="zh-CN"/>
                    </w:rPr>
                  </w:pPr>
                  <w:r>
                    <w:rPr>
                      <w:rFonts w:hint="eastAsia"/>
                      <w:color w:val="auto"/>
                      <w:spacing w:val="-10"/>
                      <w:sz w:val="18"/>
                      <w:szCs w:val="18"/>
                    </w:rPr>
                    <w:t>厂区内泼洒地面抑尘</w:t>
                  </w:r>
                  <w:r>
                    <w:rPr>
                      <w:rFonts w:hint="eastAsia" w:ascii="Times New Roman" w:hAnsi="Times New Roman" w:eastAsia="宋体" w:cs="Times New Roman"/>
                      <w:color w:val="auto"/>
                      <w:spacing w:val="-20"/>
                      <w:sz w:val="18"/>
                      <w:szCs w:val="18"/>
                      <w:lang w:val="en-US" w:eastAsia="zh-CN"/>
                    </w:rPr>
                    <w:t>，自然蒸发</w:t>
                  </w:r>
                </w:p>
              </w:tc>
              <w:tc>
                <w:tcPr>
                  <w:tcW w:w="288" w:type="pct"/>
                  <w:tcBorders>
                    <w:tl2br w:val="nil"/>
                    <w:tr2bl w:val="nil"/>
                  </w:tcBorders>
                  <w:noWrap w:val="0"/>
                  <w:vAlign w:val="center"/>
                </w:tcPr>
                <w:p w14:paraId="7DE69EA9">
                  <w:pPr>
                    <w:spacing w:line="280" w:lineRule="exact"/>
                    <w:jc w:val="center"/>
                    <w:rPr>
                      <w:rFonts w:hint="default" w:ascii="Times New Roman" w:hAnsi="Times New Roman" w:eastAsia="宋体" w:cs="Times New Roman"/>
                      <w:color w:val="auto"/>
                      <w:spacing w:val="-20"/>
                      <w:sz w:val="18"/>
                      <w:szCs w:val="18"/>
                    </w:rPr>
                  </w:pPr>
                  <w:r>
                    <w:rPr>
                      <w:rFonts w:hint="default" w:ascii="Times New Roman" w:hAnsi="Times New Roman" w:eastAsia="宋体" w:cs="Times New Roman"/>
                      <w:color w:val="auto"/>
                      <w:spacing w:val="-20"/>
                      <w:sz w:val="18"/>
                      <w:szCs w:val="18"/>
                    </w:rPr>
                    <w:t>不外排</w:t>
                  </w:r>
                </w:p>
              </w:tc>
            </w:tr>
          </w:tbl>
          <w:p w14:paraId="7EB18DA5">
            <w:pPr>
              <w:adjustRightInd w:val="0"/>
              <w:spacing w:line="440" w:lineRule="exact"/>
              <w:ind w:firstLine="420" w:firstLineChars="200"/>
              <w:outlineLvl w:val="2"/>
              <w:rPr>
                <w:rFonts w:hint="eastAsia"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根据</w:t>
            </w:r>
            <w:r>
              <w:rPr>
                <w:rFonts w:hint="eastAsia" w:cs="Times New Roman"/>
                <w:color w:val="auto"/>
                <w:szCs w:val="21"/>
                <w:highlight w:val="none"/>
                <w:lang w:val="en-US" w:eastAsia="zh-CN"/>
              </w:rPr>
              <w:t>项目</w:t>
            </w:r>
            <w:r>
              <w:rPr>
                <w:rFonts w:hint="eastAsia" w:ascii="Times New Roman" w:hAnsi="Times New Roman" w:eastAsia="宋体" w:cs="Times New Roman"/>
                <w:color w:val="auto"/>
                <w:szCs w:val="21"/>
                <w:highlight w:val="none"/>
                <w:lang w:val="en-US" w:eastAsia="zh-CN"/>
              </w:rPr>
              <w:t>工艺特点，对</w:t>
            </w:r>
            <w:r>
              <w:rPr>
                <w:rFonts w:hint="eastAsia" w:cs="Times New Roman"/>
                <w:color w:val="auto"/>
                <w:szCs w:val="21"/>
                <w:highlight w:val="none"/>
                <w:lang w:val="en-US" w:eastAsia="zh-CN"/>
              </w:rPr>
              <w:t>项目</w:t>
            </w:r>
            <w:r>
              <w:rPr>
                <w:rFonts w:hint="eastAsia" w:ascii="Times New Roman" w:hAnsi="Times New Roman" w:eastAsia="宋体" w:cs="Times New Roman"/>
                <w:color w:val="auto"/>
                <w:szCs w:val="21"/>
                <w:highlight w:val="none"/>
                <w:lang w:val="en-US" w:eastAsia="zh-CN"/>
              </w:rPr>
              <w:t>废水处理后回用至生产，回用废水的水质不应影响</w:t>
            </w:r>
            <w:r>
              <w:rPr>
                <w:rFonts w:hint="eastAsia" w:cs="Times New Roman"/>
                <w:color w:val="auto"/>
                <w:szCs w:val="21"/>
                <w:highlight w:val="none"/>
                <w:lang w:val="en-US" w:eastAsia="zh-CN"/>
              </w:rPr>
              <w:t>产品</w:t>
            </w:r>
            <w:r>
              <w:rPr>
                <w:rFonts w:hint="eastAsia" w:ascii="Times New Roman" w:hAnsi="Times New Roman" w:eastAsia="宋体" w:cs="Times New Roman"/>
                <w:color w:val="auto"/>
                <w:szCs w:val="21"/>
                <w:highlight w:val="none"/>
                <w:lang w:val="en-US" w:eastAsia="zh-CN"/>
              </w:rPr>
              <w:t>的主要技术指标。本项目生产用水工序主要为</w:t>
            </w:r>
            <w:r>
              <w:rPr>
                <w:rFonts w:hint="eastAsia" w:cs="Times New Roman"/>
                <w:color w:val="auto"/>
                <w:szCs w:val="21"/>
                <w:highlight w:val="none"/>
                <w:lang w:val="en-US" w:eastAsia="zh-CN"/>
              </w:rPr>
              <w:t>漂洗、</w:t>
            </w:r>
            <w:r>
              <w:rPr>
                <w:rFonts w:hint="eastAsia" w:ascii="Times New Roman" w:hAnsi="Times New Roman" w:eastAsia="宋体" w:cs="Times New Roman"/>
                <w:color w:val="auto"/>
                <w:szCs w:val="21"/>
                <w:highlight w:val="none"/>
                <w:lang w:val="en-US" w:eastAsia="zh-CN"/>
              </w:rPr>
              <w:t>球磨</w:t>
            </w:r>
            <w:r>
              <w:rPr>
                <w:rFonts w:hint="eastAsia" w:cs="Times New Roman"/>
                <w:color w:val="auto"/>
                <w:szCs w:val="21"/>
                <w:highlight w:val="none"/>
                <w:lang w:val="en-US" w:eastAsia="zh-CN"/>
              </w:rPr>
              <w:t>、</w:t>
            </w:r>
            <w:r>
              <w:rPr>
                <w:rFonts w:hint="eastAsia" w:ascii="Times New Roman" w:hAnsi="Times New Roman" w:eastAsia="宋体" w:cs="Times New Roman"/>
                <w:color w:val="auto"/>
                <w:szCs w:val="21"/>
                <w:highlight w:val="none"/>
                <w:lang w:val="en-US" w:eastAsia="zh-CN"/>
              </w:rPr>
              <w:t>磁选</w:t>
            </w:r>
            <w:r>
              <w:rPr>
                <w:rFonts w:hint="eastAsia" w:cs="Times New Roman"/>
                <w:color w:val="auto"/>
                <w:szCs w:val="21"/>
                <w:highlight w:val="none"/>
                <w:lang w:val="en-US" w:eastAsia="zh-CN"/>
              </w:rPr>
              <w:t>和摇床</w:t>
            </w:r>
            <w:r>
              <w:rPr>
                <w:rFonts w:hint="eastAsia" w:ascii="Times New Roman" w:hAnsi="Times New Roman" w:eastAsia="宋体" w:cs="Times New Roman"/>
                <w:color w:val="auto"/>
                <w:szCs w:val="21"/>
                <w:highlight w:val="none"/>
                <w:lang w:val="en-US" w:eastAsia="zh-CN"/>
              </w:rPr>
              <w:t>，主要用于</w:t>
            </w:r>
            <w:r>
              <w:rPr>
                <w:rFonts w:hint="eastAsia" w:cs="Times New Roman"/>
                <w:color w:val="auto"/>
                <w:szCs w:val="21"/>
                <w:highlight w:val="none"/>
                <w:lang w:val="en-US" w:eastAsia="zh-CN"/>
              </w:rPr>
              <w:t>物料清洗</w:t>
            </w:r>
            <w:r>
              <w:rPr>
                <w:rFonts w:hint="eastAsia" w:ascii="Times New Roman" w:hAnsi="Times New Roman" w:eastAsia="宋体" w:cs="Times New Roman"/>
                <w:color w:val="auto"/>
                <w:szCs w:val="21"/>
                <w:highlight w:val="none"/>
                <w:lang w:val="en-US" w:eastAsia="zh-CN"/>
              </w:rPr>
              <w:t>，对水质没有特殊要求。</w:t>
            </w:r>
            <w:r>
              <w:rPr>
                <w:rFonts w:hint="eastAsia" w:cs="Times New Roman"/>
                <w:color w:val="auto"/>
                <w:szCs w:val="21"/>
                <w:highlight w:val="none"/>
                <w:lang w:val="en-US" w:eastAsia="zh-CN"/>
              </w:rPr>
              <w:t>废水</w:t>
            </w:r>
            <w:r>
              <w:rPr>
                <w:rFonts w:hint="eastAsia" w:ascii="Times New Roman" w:hAnsi="Times New Roman" w:eastAsia="宋体" w:cs="Times New Roman"/>
                <w:color w:val="auto"/>
                <w:szCs w:val="21"/>
                <w:highlight w:val="none"/>
                <w:lang w:val="en-US" w:eastAsia="zh-CN"/>
              </w:rPr>
              <w:t>中污染物主要为SS，</w:t>
            </w:r>
            <w:r>
              <w:rPr>
                <w:rFonts w:hint="eastAsia" w:cs="Times New Roman"/>
                <w:color w:val="auto"/>
                <w:szCs w:val="21"/>
                <w:highlight w:val="none"/>
                <w:lang w:val="en-US" w:eastAsia="zh-CN"/>
              </w:rPr>
              <w:t>废水在沉淀池、</w:t>
            </w:r>
            <w:r>
              <w:rPr>
                <w:rFonts w:hint="eastAsia" w:ascii="Times New Roman" w:hAnsi="Times New Roman" w:eastAsia="宋体" w:cs="Times New Roman"/>
                <w:color w:val="auto"/>
                <w:szCs w:val="21"/>
                <w:highlight w:val="none"/>
                <w:lang w:val="en-US" w:eastAsia="zh-CN"/>
              </w:rPr>
              <w:t>浓缩罐中可以得到充分的沉淀，其出水SS浓度可降到30mg/L以下，COD浓度可降到60mg/L以下，满足回用水水质标准要求。因此，由</w:t>
            </w:r>
            <w:r>
              <w:rPr>
                <w:rFonts w:hint="eastAsia" w:cs="Times New Roman"/>
                <w:color w:val="auto"/>
                <w:szCs w:val="21"/>
                <w:highlight w:val="none"/>
                <w:lang w:val="en-US" w:eastAsia="zh-CN"/>
              </w:rPr>
              <w:t>沉淀池、</w:t>
            </w:r>
            <w:r>
              <w:rPr>
                <w:rFonts w:hint="eastAsia" w:ascii="Times New Roman" w:hAnsi="Times New Roman" w:eastAsia="宋体" w:cs="Times New Roman"/>
                <w:color w:val="auto"/>
                <w:szCs w:val="21"/>
                <w:highlight w:val="none"/>
                <w:lang w:val="en-US" w:eastAsia="zh-CN"/>
              </w:rPr>
              <w:t>浓缩罐排入清水池的出水完全可以满足生产过程</w:t>
            </w:r>
            <w:r>
              <w:rPr>
                <w:rFonts w:hint="eastAsia" w:cs="Times New Roman"/>
                <w:color w:val="auto"/>
                <w:szCs w:val="21"/>
                <w:highlight w:val="none"/>
                <w:lang w:val="en-US" w:eastAsia="zh-CN"/>
              </w:rPr>
              <w:t>漂洗、</w:t>
            </w:r>
            <w:r>
              <w:rPr>
                <w:rFonts w:hint="eastAsia" w:ascii="Times New Roman" w:hAnsi="Times New Roman" w:eastAsia="宋体" w:cs="Times New Roman"/>
                <w:color w:val="auto"/>
                <w:szCs w:val="21"/>
                <w:highlight w:val="none"/>
                <w:lang w:val="en-US" w:eastAsia="zh-CN"/>
              </w:rPr>
              <w:t>球磨</w:t>
            </w:r>
            <w:r>
              <w:rPr>
                <w:rFonts w:hint="eastAsia" w:cs="Times New Roman"/>
                <w:color w:val="auto"/>
                <w:szCs w:val="21"/>
                <w:highlight w:val="none"/>
                <w:lang w:val="en-US" w:eastAsia="zh-CN"/>
              </w:rPr>
              <w:t>、</w:t>
            </w:r>
            <w:r>
              <w:rPr>
                <w:rFonts w:hint="eastAsia" w:ascii="Times New Roman" w:hAnsi="Times New Roman" w:eastAsia="宋体" w:cs="Times New Roman"/>
                <w:color w:val="auto"/>
                <w:szCs w:val="21"/>
                <w:highlight w:val="none"/>
                <w:lang w:val="en-US" w:eastAsia="zh-CN"/>
              </w:rPr>
              <w:t>磁选</w:t>
            </w:r>
            <w:r>
              <w:rPr>
                <w:rFonts w:hint="eastAsia" w:cs="Times New Roman"/>
                <w:color w:val="auto"/>
                <w:szCs w:val="21"/>
                <w:highlight w:val="none"/>
                <w:lang w:val="en-US" w:eastAsia="zh-CN"/>
              </w:rPr>
              <w:t>和摇床</w:t>
            </w:r>
            <w:r>
              <w:rPr>
                <w:rFonts w:hint="eastAsia" w:ascii="Times New Roman" w:hAnsi="Times New Roman" w:eastAsia="宋体" w:cs="Times New Roman"/>
                <w:color w:val="auto"/>
                <w:szCs w:val="21"/>
                <w:highlight w:val="none"/>
                <w:lang w:val="en-US" w:eastAsia="zh-CN"/>
              </w:rPr>
              <w:t>工序对水质的要求。</w:t>
            </w:r>
          </w:p>
          <w:p w14:paraId="3EA67207">
            <w:pPr>
              <w:pStyle w:val="24"/>
              <w:adjustRightInd w:val="0"/>
              <w:snapToGrid w:val="0"/>
              <w:spacing w:before="0" w:beforeAutospacing="0" w:after="0" w:afterAutospacing="0" w:line="440" w:lineRule="exact"/>
              <w:ind w:firstLine="422" w:firstLineChars="200"/>
              <w:rPr>
                <w:rFonts w:hint="default" w:ascii="Times New Roman" w:hAnsi="Times New Roman" w:eastAsia="宋体"/>
                <w:b/>
                <w:color w:val="auto"/>
                <w:sz w:val="21"/>
                <w:szCs w:val="21"/>
                <w:lang w:val="en-US" w:eastAsia="zh-CN"/>
              </w:rPr>
            </w:pPr>
            <w:r>
              <w:rPr>
                <w:rFonts w:hint="eastAsia" w:ascii="Times New Roman" w:hAnsi="Times New Roman"/>
                <w:b/>
                <w:color w:val="auto"/>
                <w:sz w:val="21"/>
                <w:szCs w:val="21"/>
                <w:lang w:val="en-US" w:eastAsia="zh-CN"/>
              </w:rPr>
              <w:t>2.2初期雨水</w:t>
            </w:r>
          </w:p>
          <w:p w14:paraId="4E6EADA7">
            <w:pPr>
              <w:adjustRightInd w:val="0"/>
              <w:spacing w:line="440" w:lineRule="exact"/>
              <w:ind w:firstLine="420" w:firstLineChars="200"/>
              <w:outlineLvl w:val="2"/>
              <w:rPr>
                <w:rFonts w:hint="eastAsia"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拟建项目占地面积为</w:t>
            </w:r>
            <w:r>
              <w:rPr>
                <w:rFonts w:hint="eastAsia"/>
                <w:color w:val="auto"/>
                <w:szCs w:val="21"/>
                <w:highlight w:val="none"/>
                <w:lang w:val="en-US" w:eastAsia="zh-CN"/>
              </w:rPr>
              <w:t>5662.53m</w:t>
            </w:r>
            <w:r>
              <w:rPr>
                <w:rFonts w:hint="eastAsia"/>
                <w:color w:val="auto"/>
                <w:szCs w:val="21"/>
                <w:highlight w:val="none"/>
                <w:vertAlign w:val="superscript"/>
                <w:lang w:val="en-US" w:eastAsia="zh-CN"/>
              </w:rPr>
              <w:t>2</w:t>
            </w:r>
            <w:r>
              <w:rPr>
                <w:rFonts w:hint="eastAsia"/>
                <w:color w:val="auto"/>
                <w:szCs w:val="21"/>
                <w:highlight w:val="none"/>
                <w:lang w:val="en-US" w:eastAsia="zh-CN"/>
              </w:rPr>
              <w:t>，车间面积为4700m</w:t>
            </w:r>
            <w:r>
              <w:rPr>
                <w:rFonts w:hint="eastAsia"/>
                <w:color w:val="auto"/>
                <w:szCs w:val="21"/>
                <w:highlight w:val="none"/>
                <w:vertAlign w:val="superscript"/>
                <w:lang w:val="en-US" w:eastAsia="zh-CN"/>
              </w:rPr>
              <w:t>2</w:t>
            </w:r>
            <w:r>
              <w:rPr>
                <w:rFonts w:hint="eastAsia"/>
                <w:color w:val="auto"/>
                <w:szCs w:val="21"/>
                <w:highlight w:val="none"/>
                <w:lang w:val="en-US" w:eastAsia="zh-CN"/>
              </w:rPr>
              <w:t>，除车间外占地面积962.53m</w:t>
            </w:r>
            <w:r>
              <w:rPr>
                <w:rFonts w:hint="eastAsia"/>
                <w:color w:val="auto"/>
                <w:szCs w:val="21"/>
                <w:highlight w:val="none"/>
                <w:vertAlign w:val="superscript"/>
                <w:lang w:val="en-US" w:eastAsia="zh-CN"/>
              </w:rPr>
              <w:t>2</w:t>
            </w:r>
            <w:r>
              <w:rPr>
                <w:rFonts w:hint="eastAsia" w:ascii="Times New Roman" w:hAnsi="Times New Roman" w:eastAsia="宋体" w:cs="Times New Roman"/>
                <w:color w:val="auto"/>
                <w:szCs w:val="21"/>
                <w:highlight w:val="none"/>
                <w:lang w:val="en-US" w:eastAsia="zh-CN"/>
              </w:rPr>
              <w:t>。</w:t>
            </w:r>
            <w:r>
              <w:rPr>
                <w:rFonts w:hint="eastAsia"/>
                <w:color w:val="auto"/>
                <w:szCs w:val="21"/>
                <w:highlight w:val="none"/>
                <w:lang w:val="en-US" w:eastAsia="zh-CN"/>
              </w:rPr>
              <w:t>拟建项目将</w:t>
            </w:r>
            <w:r>
              <w:rPr>
                <w:rFonts w:hint="eastAsia" w:ascii="Times New Roman" w:hAnsi="Times New Roman" w:eastAsia="宋体" w:cs="Times New Roman"/>
                <w:color w:val="auto"/>
                <w:szCs w:val="21"/>
                <w:highlight w:val="none"/>
                <w:lang w:val="en-US" w:eastAsia="zh-CN"/>
              </w:rPr>
              <w:t>车间屋顶雨水引至厂区外排放；则厂区内汇水面积为</w:t>
            </w:r>
            <w:r>
              <w:rPr>
                <w:rFonts w:hint="eastAsia"/>
                <w:color w:val="auto"/>
                <w:szCs w:val="21"/>
                <w:highlight w:val="none"/>
                <w:lang w:val="en-US" w:eastAsia="zh-CN"/>
              </w:rPr>
              <w:t>962.53m</w:t>
            </w:r>
            <w:r>
              <w:rPr>
                <w:rFonts w:hint="eastAsia"/>
                <w:color w:val="auto"/>
                <w:szCs w:val="21"/>
                <w:highlight w:val="none"/>
                <w:vertAlign w:val="superscript"/>
                <w:lang w:val="en-US" w:eastAsia="zh-CN"/>
              </w:rPr>
              <w:t>2</w:t>
            </w:r>
            <w:r>
              <w:rPr>
                <w:rFonts w:hint="eastAsia" w:ascii="Times New Roman" w:hAnsi="Times New Roman" w:eastAsia="宋体" w:cs="Times New Roman"/>
                <w:color w:val="auto"/>
                <w:szCs w:val="21"/>
                <w:highlight w:val="none"/>
                <w:lang w:val="en-US" w:eastAsia="zh-CN"/>
              </w:rPr>
              <w:t>，</w:t>
            </w:r>
            <w:r>
              <w:rPr>
                <w:rFonts w:hint="eastAsia" w:ascii="Times New Roman" w:hAnsi="Times New Roman" w:cs="Times New Roman"/>
                <w:color w:val="auto"/>
                <w:sz w:val="21"/>
                <w:szCs w:val="21"/>
                <w:highlight w:val="none"/>
                <w:lang w:val="en-US" w:eastAsia="zh-CN"/>
              </w:rPr>
              <w:t>参照《室外排水设计规范》</w:t>
            </w:r>
            <w:r>
              <w:rPr>
                <w:rFonts w:hint="eastAsia" w:cs="Times New Roman"/>
                <w:color w:val="auto"/>
                <w:sz w:val="21"/>
                <w:szCs w:val="21"/>
                <w:highlight w:val="none"/>
                <w:lang w:val="en-US" w:eastAsia="zh-CN"/>
              </w:rPr>
              <w:t>（</w:t>
            </w:r>
            <w:r>
              <w:rPr>
                <w:rFonts w:hint="eastAsia" w:ascii="Times New Roman" w:hAnsi="Times New Roman" w:cs="Times New Roman"/>
                <w:color w:val="auto"/>
                <w:sz w:val="21"/>
                <w:szCs w:val="21"/>
                <w:highlight w:val="none"/>
                <w:lang w:val="en-US" w:eastAsia="zh-CN"/>
              </w:rPr>
              <w:t>GB50014-2006</w:t>
            </w:r>
            <w:r>
              <w:rPr>
                <w:rFonts w:hint="eastAsia" w:cs="Times New Roman"/>
                <w:color w:val="auto"/>
                <w:sz w:val="21"/>
                <w:szCs w:val="21"/>
                <w:highlight w:val="none"/>
                <w:lang w:val="en-US" w:eastAsia="zh-CN"/>
              </w:rPr>
              <w:t>）</w:t>
            </w:r>
            <w:r>
              <w:rPr>
                <w:rFonts w:hint="eastAsia" w:ascii="Times New Roman" w:hAnsi="Times New Roman" w:cs="Times New Roman"/>
                <w:color w:val="auto"/>
                <w:sz w:val="21"/>
                <w:szCs w:val="21"/>
                <w:highlight w:val="none"/>
                <w:lang w:val="en-US" w:eastAsia="zh-CN"/>
              </w:rPr>
              <w:t>，初期雨水收集时间按15min考虑，经计算项目初期雨水收集量最大约为13.95m</w:t>
            </w:r>
            <w:r>
              <w:rPr>
                <w:rFonts w:hint="eastAsia" w:ascii="Times New Roman" w:hAnsi="Times New Roman" w:cs="Times New Roman"/>
                <w:color w:val="auto"/>
                <w:sz w:val="21"/>
                <w:szCs w:val="21"/>
                <w:highlight w:val="none"/>
                <w:vertAlign w:val="superscript"/>
                <w:lang w:val="en-US" w:eastAsia="zh-CN"/>
              </w:rPr>
              <w:t>3</w:t>
            </w:r>
            <w:r>
              <w:rPr>
                <w:rFonts w:hint="eastAsia" w:ascii="Times New Roman" w:hAnsi="Times New Roman" w:cs="Times New Roman"/>
                <w:color w:val="auto"/>
                <w:sz w:val="21"/>
                <w:szCs w:val="21"/>
                <w:highlight w:val="none"/>
                <w:lang w:val="en-US" w:eastAsia="zh-CN"/>
              </w:rPr>
              <w:t>/次，因此项目在</w:t>
            </w:r>
            <w:r>
              <w:rPr>
                <w:rFonts w:hint="eastAsia" w:ascii="Times New Roman" w:hAnsi="Times New Roman" w:eastAsia="宋体" w:cs="Times New Roman"/>
                <w:color w:val="auto"/>
                <w:szCs w:val="21"/>
                <w:highlight w:val="none"/>
                <w:lang w:val="en-US" w:eastAsia="zh-CN"/>
              </w:rPr>
              <w:t>厂区内周边设置雨水沟，并设置1座36m</w:t>
            </w:r>
            <w:r>
              <w:rPr>
                <w:rFonts w:hint="eastAsia" w:ascii="Times New Roman" w:hAnsi="Times New Roman" w:eastAsia="宋体" w:cs="Times New Roman"/>
                <w:color w:val="auto"/>
                <w:szCs w:val="21"/>
                <w:highlight w:val="none"/>
                <w:vertAlign w:val="superscript"/>
                <w:lang w:val="en-US" w:eastAsia="zh-CN"/>
              </w:rPr>
              <w:t>3</w:t>
            </w:r>
            <w:r>
              <w:rPr>
                <w:rFonts w:hint="eastAsia" w:ascii="Times New Roman" w:hAnsi="Times New Roman" w:eastAsia="宋体" w:cs="Times New Roman"/>
                <w:color w:val="auto"/>
                <w:szCs w:val="21"/>
                <w:highlight w:val="none"/>
                <w:lang w:val="en-US" w:eastAsia="zh-CN"/>
              </w:rPr>
              <w:t>初期雨水收集池</w:t>
            </w:r>
            <w:r>
              <w:rPr>
                <w:rFonts w:hint="eastAsia" w:cs="Times New Roman"/>
                <w:color w:val="auto"/>
                <w:szCs w:val="21"/>
                <w:highlight w:val="none"/>
                <w:lang w:val="en-US" w:eastAsia="zh-CN"/>
              </w:rPr>
              <w:t>，收集池出口处通过设置切断阀进行转换，</w:t>
            </w:r>
            <w:r>
              <w:rPr>
                <w:rFonts w:hint="eastAsia" w:ascii="Times New Roman" w:hAnsi="Times New Roman" w:eastAsia="宋体" w:cs="Times New Roman"/>
                <w:color w:val="auto"/>
                <w:szCs w:val="21"/>
                <w:highlight w:val="none"/>
                <w:lang w:val="en-US" w:eastAsia="zh-CN"/>
              </w:rPr>
              <w:t>收集受污染区域的初期雨水</w:t>
            </w:r>
            <w:r>
              <w:rPr>
                <w:rFonts w:hint="eastAsia" w:cs="Times New Roman"/>
                <w:color w:val="auto"/>
                <w:szCs w:val="21"/>
                <w:highlight w:val="none"/>
                <w:lang w:val="en-US" w:eastAsia="zh-CN"/>
              </w:rPr>
              <w:t>。</w:t>
            </w:r>
            <w:r>
              <w:rPr>
                <w:rFonts w:hint="eastAsia" w:ascii="Times New Roman" w:hAnsi="Times New Roman" w:eastAsia="宋体" w:cs="Times New Roman"/>
                <w:color w:val="auto"/>
                <w:szCs w:val="21"/>
                <w:highlight w:val="none"/>
                <w:lang w:val="en-US" w:eastAsia="zh-CN"/>
              </w:rPr>
              <w:t>初期雨水回用于厂区内抑尘，不外排，不会对区域地表水环境产生影响。</w:t>
            </w:r>
          </w:p>
          <w:p w14:paraId="25D2BB6C">
            <w:pPr>
              <w:pStyle w:val="24"/>
              <w:adjustRightInd w:val="0"/>
              <w:snapToGrid w:val="0"/>
              <w:spacing w:before="0" w:beforeAutospacing="0" w:after="0" w:afterAutospacing="0" w:line="440" w:lineRule="exact"/>
              <w:ind w:firstLine="422" w:firstLineChars="200"/>
              <w:rPr>
                <w:rFonts w:ascii="Times New Roman" w:hAnsi="Times New Roman"/>
                <w:b/>
                <w:color w:val="auto"/>
                <w:sz w:val="21"/>
                <w:szCs w:val="21"/>
              </w:rPr>
            </w:pPr>
            <w:r>
              <w:rPr>
                <w:rFonts w:hint="eastAsia" w:ascii="Times New Roman" w:hAnsi="Times New Roman"/>
                <w:b/>
                <w:color w:val="auto"/>
                <w:sz w:val="21"/>
                <w:szCs w:val="21"/>
              </w:rPr>
              <w:t>2.</w:t>
            </w:r>
            <w:r>
              <w:rPr>
                <w:rFonts w:hint="eastAsia" w:ascii="Times New Roman" w:hAnsi="Times New Roman"/>
                <w:b/>
                <w:color w:val="auto"/>
                <w:sz w:val="21"/>
                <w:szCs w:val="21"/>
                <w:lang w:val="en-US" w:eastAsia="zh-CN"/>
              </w:rPr>
              <w:t>3</w:t>
            </w:r>
            <w:r>
              <w:rPr>
                <w:rFonts w:hint="eastAsia" w:ascii="Times New Roman" w:hAnsi="Times New Roman"/>
                <w:b/>
                <w:color w:val="auto"/>
                <w:sz w:val="21"/>
                <w:szCs w:val="21"/>
              </w:rPr>
              <w:t>废水排放的环境影响分析</w:t>
            </w:r>
          </w:p>
          <w:p w14:paraId="195A2CEF">
            <w:pPr>
              <w:adjustRightInd w:val="0"/>
              <w:spacing w:line="440" w:lineRule="exact"/>
              <w:ind w:firstLine="420" w:firstLineChars="200"/>
              <w:outlineLvl w:val="2"/>
              <w:rPr>
                <w:rFonts w:hint="eastAsia" w:ascii="Times New Roman" w:hAnsi="Times New Roman" w:eastAsia="宋体" w:cs="Times New Roman"/>
                <w:color w:val="auto"/>
                <w:szCs w:val="21"/>
              </w:rPr>
            </w:pPr>
            <w:r>
              <w:rPr>
                <w:rFonts w:hint="eastAsia" w:ascii="Times New Roman" w:hAnsi="Times New Roman" w:eastAsia="宋体" w:cs="Times New Roman"/>
                <w:color w:val="auto"/>
                <w:szCs w:val="21"/>
              </w:rPr>
              <w:t>综上，本项目</w:t>
            </w:r>
            <w:r>
              <w:rPr>
                <w:rFonts w:hint="eastAsia" w:ascii="Times New Roman" w:hAnsi="Times New Roman" w:eastAsia="宋体" w:cs="Times New Roman"/>
                <w:color w:val="auto"/>
                <w:szCs w:val="21"/>
                <w:lang w:val="en-US" w:eastAsia="zh-CN"/>
              </w:rPr>
              <w:t>生产废水经污水池、</w:t>
            </w:r>
            <w:r>
              <w:rPr>
                <w:rFonts w:hint="eastAsia" w:cs="Times New Roman"/>
                <w:color w:val="auto"/>
                <w:szCs w:val="21"/>
                <w:lang w:val="en-US" w:eastAsia="zh-CN"/>
              </w:rPr>
              <w:t>污水沉淀池、</w:t>
            </w:r>
            <w:r>
              <w:rPr>
                <w:rFonts w:hint="eastAsia" w:ascii="Times New Roman" w:hAnsi="Times New Roman" w:eastAsia="宋体" w:cs="Times New Roman"/>
                <w:color w:val="auto"/>
                <w:szCs w:val="21"/>
                <w:lang w:val="en-US" w:eastAsia="zh-CN"/>
              </w:rPr>
              <w:t>浓缩罐、板框压滤机处理后，全部回用于生产；</w:t>
            </w:r>
            <w:r>
              <w:rPr>
                <w:rFonts w:hint="eastAsia" w:ascii="Times New Roman" w:hAnsi="Times New Roman" w:eastAsia="宋体" w:cs="Times New Roman"/>
                <w:color w:val="auto"/>
                <w:szCs w:val="21"/>
              </w:rPr>
              <w:t>职工生活污水主要为盥洗废水，水质简单，产生量小，全部用于厂区内泼洒抑尘</w:t>
            </w:r>
            <w:r>
              <w:rPr>
                <w:rFonts w:hint="eastAsia" w:ascii="Times New Roman" w:hAnsi="Times New Roman" w:eastAsia="宋体" w:cs="Times New Roman"/>
                <w:color w:val="auto"/>
                <w:szCs w:val="21"/>
                <w:lang w:eastAsia="zh-CN"/>
              </w:rPr>
              <w:t>；</w:t>
            </w:r>
            <w:r>
              <w:rPr>
                <w:rFonts w:hint="eastAsia" w:ascii="Times New Roman" w:hAnsi="Times New Roman" w:eastAsia="宋体" w:cs="Times New Roman"/>
                <w:color w:val="auto"/>
                <w:szCs w:val="21"/>
              </w:rPr>
              <w:t>车辆冲洗废水经沉淀池沉淀后循环利用，不外排。项目无废水外排环境</w:t>
            </w:r>
            <w:r>
              <w:rPr>
                <w:rFonts w:hint="eastAsia"/>
                <w:color w:val="auto"/>
                <w:szCs w:val="21"/>
              </w:rPr>
              <w:t>，不会对地表水环境产生</w:t>
            </w:r>
            <w:r>
              <w:rPr>
                <w:rFonts w:hint="eastAsia"/>
                <w:color w:val="auto"/>
                <w:szCs w:val="21"/>
                <w:lang w:val="en-US" w:eastAsia="zh-CN"/>
              </w:rPr>
              <w:t>明显</w:t>
            </w:r>
            <w:r>
              <w:rPr>
                <w:rFonts w:hint="eastAsia"/>
                <w:color w:val="auto"/>
                <w:szCs w:val="21"/>
              </w:rPr>
              <w:t>影响</w:t>
            </w:r>
            <w:r>
              <w:rPr>
                <w:rFonts w:hint="eastAsia" w:ascii="Times New Roman" w:hAnsi="Times New Roman" w:eastAsia="宋体" w:cs="Times New Roman"/>
                <w:color w:val="auto"/>
                <w:szCs w:val="21"/>
              </w:rPr>
              <w:t>。</w:t>
            </w:r>
          </w:p>
          <w:p w14:paraId="010D20B0">
            <w:pPr>
              <w:pStyle w:val="24"/>
              <w:adjustRightInd w:val="0"/>
              <w:snapToGrid w:val="0"/>
              <w:spacing w:before="0" w:beforeAutospacing="0" w:after="0" w:afterAutospacing="0" w:line="440" w:lineRule="exact"/>
              <w:ind w:firstLine="422" w:firstLineChars="200"/>
              <w:rPr>
                <w:rFonts w:ascii="Times New Roman" w:hAnsi="Times New Roman"/>
                <w:b/>
                <w:color w:val="auto"/>
                <w:sz w:val="21"/>
                <w:szCs w:val="21"/>
              </w:rPr>
            </w:pPr>
            <w:r>
              <w:rPr>
                <w:rFonts w:hint="eastAsia" w:ascii="Times New Roman" w:hAnsi="Times New Roman"/>
                <w:b/>
                <w:color w:val="auto"/>
                <w:sz w:val="21"/>
                <w:szCs w:val="21"/>
              </w:rPr>
              <w:t>3</w:t>
            </w:r>
            <w:r>
              <w:rPr>
                <w:rFonts w:ascii="Times New Roman" w:hAnsi="Times New Roman"/>
                <w:b/>
                <w:color w:val="auto"/>
                <w:sz w:val="21"/>
                <w:szCs w:val="21"/>
              </w:rPr>
              <w:t>.</w:t>
            </w:r>
            <w:r>
              <w:rPr>
                <w:rFonts w:hint="eastAsia" w:ascii="Times New Roman" w:hAnsi="Times New Roman"/>
                <w:b/>
                <w:color w:val="auto"/>
                <w:sz w:val="21"/>
                <w:szCs w:val="21"/>
              </w:rPr>
              <w:t>噪声</w:t>
            </w:r>
          </w:p>
          <w:p w14:paraId="2F904982">
            <w:pPr>
              <w:pStyle w:val="24"/>
              <w:adjustRightInd w:val="0"/>
              <w:snapToGrid w:val="0"/>
              <w:spacing w:before="0" w:beforeAutospacing="0" w:after="0" w:afterAutospacing="0" w:line="440" w:lineRule="exact"/>
              <w:ind w:firstLine="422" w:firstLineChars="200"/>
              <w:rPr>
                <w:rFonts w:ascii="Times New Roman" w:hAnsi="Times New Roman"/>
                <w:b/>
                <w:color w:val="auto"/>
                <w:sz w:val="21"/>
                <w:szCs w:val="21"/>
              </w:rPr>
            </w:pPr>
            <w:r>
              <w:rPr>
                <w:rFonts w:hint="eastAsia" w:ascii="Times New Roman" w:hAnsi="Times New Roman"/>
                <w:b/>
                <w:color w:val="auto"/>
                <w:sz w:val="21"/>
                <w:szCs w:val="21"/>
              </w:rPr>
              <w:t>3.1拟建项目主要噪声源</w:t>
            </w:r>
          </w:p>
          <w:p w14:paraId="1F5E8A4D">
            <w:pPr>
              <w:adjustRightInd w:val="0"/>
              <w:spacing w:line="440" w:lineRule="exact"/>
              <w:ind w:firstLine="420" w:firstLineChars="200"/>
              <w:outlineLvl w:val="2"/>
              <w:rPr>
                <w:rFonts w:hint="eastAsia" w:ascii="Times New Roman" w:hAnsi="Times New Roman" w:cs="Times New Roman"/>
                <w:color w:val="auto"/>
                <w:szCs w:val="21"/>
              </w:rPr>
            </w:pPr>
            <w:r>
              <w:rPr>
                <w:rFonts w:hint="eastAsia"/>
                <w:color w:val="auto"/>
                <w:szCs w:val="21"/>
              </w:rPr>
              <w:t>拟建项目噪声源</w:t>
            </w:r>
            <w:r>
              <w:rPr>
                <w:rFonts w:hint="eastAsia" w:ascii="Times New Roman" w:hAnsi="Times New Roman" w:eastAsia="宋体" w:cs="Times New Roman"/>
                <w:color w:val="auto"/>
                <w:szCs w:val="21"/>
                <w:lang w:val="en-US" w:eastAsia="zh-CN"/>
              </w:rPr>
              <w:t>主要为破碎机、甩干机、空气分选机、滚筒筛、球磨机、磁选机、摇床分选机、磁辊、分钢机、</w:t>
            </w:r>
            <w:r>
              <w:rPr>
                <w:rFonts w:hint="default" w:ascii="Times New Roman" w:hAnsi="Times New Roman" w:eastAsia="宋体" w:cs="Times New Roman"/>
                <w:color w:val="auto"/>
                <w:szCs w:val="21"/>
                <w:lang w:val="en-US" w:eastAsia="zh-CN"/>
              </w:rPr>
              <w:t>涡电流分选机</w:t>
            </w:r>
            <w:r>
              <w:rPr>
                <w:rFonts w:hint="eastAsia" w:ascii="Times New Roman" w:hAnsi="Times New Roman" w:eastAsia="宋体" w:cs="Times New Roman"/>
                <w:color w:val="auto"/>
                <w:szCs w:val="21"/>
                <w:lang w:val="en-US" w:eastAsia="zh-CN"/>
              </w:rPr>
              <w:t>、高钙机、颚式破碎机、振动筛、脱水筛、过滤机、板框压滤机、除尘风机、泵类、空压机</w:t>
            </w:r>
            <w:r>
              <w:rPr>
                <w:rFonts w:hint="eastAsia" w:ascii="Times New Roman" w:hAnsi="Times New Roman" w:eastAsia="宋体" w:cs="Times New Roman"/>
                <w:color w:val="auto"/>
                <w:szCs w:val="21"/>
              </w:rPr>
              <w:t>等设备运行时产生的</w:t>
            </w:r>
            <w:r>
              <w:rPr>
                <w:rFonts w:hint="eastAsia"/>
                <w:color w:val="auto"/>
                <w:szCs w:val="21"/>
              </w:rPr>
              <w:t>噪声，噪声源强约为70-95dB（A）。根据同类项目资料类比分析可知，</w:t>
            </w:r>
            <w:r>
              <w:rPr>
                <w:rFonts w:hint="eastAsia"/>
                <w:color w:val="auto"/>
                <w:szCs w:val="21"/>
                <w:lang w:val="zh-CN"/>
              </w:rPr>
              <w:t>采取选用低噪声设备、厂房隔声、基础减振等措施，噪</w:t>
            </w:r>
            <w:r>
              <w:rPr>
                <w:rFonts w:hint="eastAsia"/>
                <w:color w:val="auto"/>
                <w:szCs w:val="21"/>
              </w:rPr>
              <w:t>声值可降低</w:t>
            </w:r>
            <w:r>
              <w:rPr>
                <w:rFonts w:hint="eastAsia"/>
                <w:color w:val="auto"/>
                <w:szCs w:val="21"/>
                <w:lang w:val="en-US" w:eastAsia="zh-CN"/>
              </w:rPr>
              <w:t>2</w:t>
            </w:r>
            <w:r>
              <w:rPr>
                <w:rFonts w:hint="eastAsia"/>
                <w:color w:val="auto"/>
                <w:szCs w:val="21"/>
              </w:rPr>
              <w:t>5dB（A）以上。拟建项目主要噪声源源强及治理情况见表</w:t>
            </w:r>
            <w:r>
              <w:rPr>
                <w:rFonts w:hint="eastAsia"/>
                <w:color w:val="auto"/>
                <w:szCs w:val="21"/>
                <w:lang w:val="en-US" w:eastAsia="zh-CN"/>
              </w:rPr>
              <w:t>38</w:t>
            </w:r>
            <w:r>
              <w:rPr>
                <w:rFonts w:hint="eastAsia" w:ascii="Times New Roman" w:hAnsi="Times New Roman" w:cs="Times New Roman"/>
                <w:color w:val="auto"/>
                <w:szCs w:val="21"/>
              </w:rPr>
              <w:t>。</w:t>
            </w:r>
          </w:p>
          <w:p w14:paraId="13DF7F32">
            <w:pPr>
              <w:adjustRightInd w:val="0"/>
              <w:spacing w:line="440" w:lineRule="exact"/>
              <w:ind w:firstLine="420" w:firstLineChars="200"/>
              <w:outlineLvl w:val="2"/>
              <w:rPr>
                <w:rFonts w:hint="eastAsia" w:ascii="Times New Roman" w:hAnsi="Times New Roman" w:cs="Times New Roman"/>
                <w:color w:val="auto"/>
                <w:szCs w:val="21"/>
              </w:rPr>
            </w:pPr>
          </w:p>
          <w:p w14:paraId="6757FF39">
            <w:pPr>
              <w:adjustRightInd w:val="0"/>
              <w:spacing w:line="440" w:lineRule="exact"/>
              <w:ind w:firstLine="420" w:firstLineChars="200"/>
              <w:outlineLvl w:val="2"/>
              <w:rPr>
                <w:rFonts w:hint="eastAsia" w:ascii="Times New Roman" w:hAnsi="Times New Roman" w:cs="Times New Roman"/>
                <w:color w:val="auto"/>
                <w:szCs w:val="21"/>
              </w:rPr>
            </w:pPr>
          </w:p>
          <w:p w14:paraId="2028BBDE">
            <w:pPr>
              <w:adjustRightInd w:val="0"/>
              <w:spacing w:line="440" w:lineRule="exact"/>
              <w:ind w:firstLine="420" w:firstLineChars="200"/>
              <w:outlineLvl w:val="2"/>
              <w:rPr>
                <w:rFonts w:hint="eastAsia" w:ascii="Times New Roman" w:hAnsi="Times New Roman" w:cs="Times New Roman"/>
                <w:color w:val="auto"/>
                <w:szCs w:val="21"/>
              </w:rPr>
            </w:pPr>
          </w:p>
          <w:p w14:paraId="5728DEFF">
            <w:pPr>
              <w:adjustRightInd w:val="0"/>
              <w:spacing w:line="440" w:lineRule="exact"/>
              <w:ind w:firstLine="420" w:firstLineChars="200"/>
              <w:outlineLvl w:val="2"/>
              <w:rPr>
                <w:rFonts w:hint="eastAsia" w:ascii="Times New Roman" w:hAnsi="Times New Roman" w:cs="Times New Roman"/>
                <w:color w:val="auto"/>
                <w:szCs w:val="21"/>
              </w:rPr>
            </w:pPr>
          </w:p>
          <w:p w14:paraId="638B5433">
            <w:pPr>
              <w:adjustRightInd w:val="0"/>
              <w:spacing w:line="440" w:lineRule="exact"/>
              <w:ind w:firstLine="420" w:firstLineChars="200"/>
              <w:outlineLvl w:val="2"/>
              <w:rPr>
                <w:rFonts w:hint="eastAsia" w:ascii="Times New Roman" w:hAnsi="Times New Roman" w:cs="Times New Roman"/>
                <w:color w:val="auto"/>
                <w:szCs w:val="21"/>
              </w:rPr>
            </w:pPr>
          </w:p>
          <w:p w14:paraId="0F6A02AD">
            <w:pPr>
              <w:adjustRightInd w:val="0"/>
              <w:spacing w:line="440" w:lineRule="exact"/>
              <w:ind w:firstLine="420" w:firstLineChars="200"/>
              <w:outlineLvl w:val="2"/>
              <w:rPr>
                <w:rFonts w:hint="eastAsia" w:ascii="Times New Roman" w:hAnsi="Times New Roman" w:cs="Times New Roman"/>
                <w:color w:val="auto"/>
                <w:szCs w:val="21"/>
              </w:rPr>
            </w:pPr>
          </w:p>
          <w:p w14:paraId="3C37DE40">
            <w:pPr>
              <w:adjustRightInd w:val="0"/>
              <w:spacing w:line="440" w:lineRule="exact"/>
              <w:ind w:firstLine="420" w:firstLineChars="200"/>
              <w:outlineLvl w:val="2"/>
              <w:rPr>
                <w:rFonts w:hint="eastAsia" w:ascii="Times New Roman" w:hAnsi="Times New Roman" w:cs="Times New Roman"/>
                <w:color w:val="auto"/>
                <w:szCs w:val="21"/>
              </w:rPr>
            </w:pPr>
          </w:p>
          <w:p w14:paraId="1D8A21F1">
            <w:pPr>
              <w:adjustRightInd w:val="0"/>
              <w:spacing w:line="440" w:lineRule="exact"/>
              <w:ind w:firstLine="420" w:firstLineChars="200"/>
              <w:outlineLvl w:val="2"/>
              <w:rPr>
                <w:rFonts w:hint="eastAsia" w:ascii="Times New Roman" w:hAnsi="Times New Roman" w:cs="Times New Roman"/>
                <w:color w:val="auto"/>
                <w:szCs w:val="21"/>
              </w:rPr>
            </w:pPr>
          </w:p>
          <w:p w14:paraId="4A95A0B0">
            <w:pPr>
              <w:adjustRightInd w:val="0"/>
              <w:spacing w:line="440" w:lineRule="exact"/>
              <w:ind w:firstLine="420" w:firstLineChars="200"/>
              <w:outlineLvl w:val="2"/>
              <w:rPr>
                <w:rFonts w:hint="eastAsia" w:ascii="Times New Roman" w:hAnsi="Times New Roman" w:cs="Times New Roman"/>
                <w:color w:val="auto"/>
                <w:szCs w:val="21"/>
              </w:rPr>
            </w:pPr>
          </w:p>
          <w:p w14:paraId="1E90518E">
            <w:pPr>
              <w:adjustRightInd w:val="0"/>
              <w:spacing w:line="440" w:lineRule="exact"/>
              <w:ind w:firstLine="420" w:firstLineChars="200"/>
              <w:outlineLvl w:val="2"/>
              <w:rPr>
                <w:rFonts w:hint="eastAsia" w:ascii="Times New Roman" w:hAnsi="Times New Roman" w:cs="Times New Roman"/>
                <w:color w:val="auto"/>
                <w:szCs w:val="21"/>
              </w:rPr>
            </w:pPr>
          </w:p>
          <w:p w14:paraId="6D25AF05">
            <w:pPr>
              <w:adjustRightInd w:val="0"/>
              <w:spacing w:line="440" w:lineRule="exact"/>
              <w:ind w:firstLine="420" w:firstLineChars="200"/>
              <w:outlineLvl w:val="2"/>
              <w:rPr>
                <w:rFonts w:hint="eastAsia" w:ascii="Times New Roman" w:hAnsi="Times New Roman" w:cs="Times New Roman"/>
                <w:color w:val="auto"/>
                <w:szCs w:val="21"/>
              </w:rPr>
            </w:pPr>
          </w:p>
          <w:p w14:paraId="22E9A67C">
            <w:pPr>
              <w:adjustRightInd w:val="0"/>
              <w:spacing w:line="440" w:lineRule="exact"/>
              <w:ind w:firstLine="420" w:firstLineChars="200"/>
              <w:outlineLvl w:val="2"/>
              <w:rPr>
                <w:rFonts w:hint="eastAsia" w:ascii="Times New Roman" w:hAnsi="Times New Roman" w:cs="Times New Roman"/>
                <w:color w:val="auto"/>
                <w:szCs w:val="21"/>
              </w:rPr>
            </w:pPr>
          </w:p>
          <w:p w14:paraId="6730DF51">
            <w:pPr>
              <w:adjustRightInd w:val="0"/>
              <w:spacing w:line="440" w:lineRule="exact"/>
              <w:ind w:firstLine="420" w:firstLineChars="200"/>
              <w:outlineLvl w:val="2"/>
              <w:rPr>
                <w:rFonts w:hint="eastAsia" w:ascii="Times New Roman" w:hAnsi="Times New Roman" w:cs="Times New Roman"/>
                <w:color w:val="auto"/>
                <w:szCs w:val="21"/>
              </w:rPr>
            </w:pPr>
          </w:p>
          <w:p w14:paraId="37FE9A19">
            <w:pPr>
              <w:adjustRightInd w:val="0"/>
              <w:spacing w:line="440" w:lineRule="exact"/>
              <w:ind w:firstLine="420" w:firstLineChars="200"/>
              <w:outlineLvl w:val="2"/>
              <w:rPr>
                <w:rFonts w:hint="eastAsia" w:ascii="Times New Roman" w:hAnsi="Times New Roman" w:cs="Times New Roman"/>
                <w:color w:val="auto"/>
                <w:szCs w:val="21"/>
              </w:rPr>
            </w:pPr>
          </w:p>
          <w:p w14:paraId="31CD4D65">
            <w:pPr>
              <w:adjustRightInd w:val="0"/>
              <w:spacing w:line="440" w:lineRule="exact"/>
              <w:ind w:firstLine="420" w:firstLineChars="200"/>
              <w:outlineLvl w:val="2"/>
              <w:rPr>
                <w:rFonts w:hint="eastAsia" w:ascii="Times New Roman" w:hAnsi="Times New Roman" w:cs="Times New Roman"/>
                <w:color w:val="auto"/>
                <w:szCs w:val="21"/>
              </w:rPr>
            </w:pPr>
          </w:p>
          <w:p w14:paraId="37CD769D">
            <w:pPr>
              <w:adjustRightInd w:val="0"/>
              <w:spacing w:line="440" w:lineRule="exact"/>
              <w:ind w:firstLine="420" w:firstLineChars="200"/>
              <w:outlineLvl w:val="2"/>
              <w:rPr>
                <w:rFonts w:hint="eastAsia" w:ascii="Times New Roman" w:hAnsi="Times New Roman" w:cs="Times New Roman"/>
                <w:color w:val="auto"/>
                <w:szCs w:val="21"/>
              </w:rPr>
            </w:pPr>
          </w:p>
          <w:p w14:paraId="53848A6F">
            <w:pPr>
              <w:adjustRightInd w:val="0"/>
              <w:spacing w:line="440" w:lineRule="exact"/>
              <w:ind w:firstLine="420" w:firstLineChars="200"/>
              <w:outlineLvl w:val="2"/>
              <w:rPr>
                <w:rFonts w:hint="eastAsia" w:ascii="Times New Roman" w:hAnsi="Times New Roman" w:cs="Times New Roman"/>
                <w:color w:val="auto"/>
                <w:szCs w:val="21"/>
              </w:rPr>
            </w:pPr>
          </w:p>
          <w:p w14:paraId="310F3613">
            <w:pPr>
              <w:adjustRightInd w:val="0"/>
              <w:spacing w:line="440" w:lineRule="exact"/>
              <w:ind w:firstLine="420" w:firstLineChars="200"/>
              <w:outlineLvl w:val="2"/>
              <w:rPr>
                <w:rFonts w:hint="eastAsia" w:ascii="Times New Roman" w:hAnsi="Times New Roman" w:cs="Times New Roman"/>
                <w:color w:val="auto"/>
                <w:szCs w:val="21"/>
              </w:rPr>
            </w:pPr>
          </w:p>
          <w:p w14:paraId="1B30127A">
            <w:pPr>
              <w:adjustRightInd w:val="0"/>
              <w:spacing w:line="440" w:lineRule="exact"/>
              <w:ind w:firstLine="420" w:firstLineChars="200"/>
              <w:outlineLvl w:val="2"/>
              <w:rPr>
                <w:rFonts w:hint="eastAsia" w:ascii="Times New Roman" w:hAnsi="Times New Roman" w:cs="Times New Roman"/>
                <w:color w:val="auto"/>
                <w:szCs w:val="21"/>
              </w:rPr>
            </w:pPr>
          </w:p>
          <w:p w14:paraId="029E7B7A">
            <w:pPr>
              <w:adjustRightInd w:val="0"/>
              <w:spacing w:line="440" w:lineRule="exact"/>
              <w:ind w:firstLine="420" w:firstLineChars="200"/>
              <w:outlineLvl w:val="2"/>
              <w:rPr>
                <w:rFonts w:hint="eastAsia" w:ascii="Times New Roman" w:hAnsi="Times New Roman" w:cs="Times New Roman"/>
                <w:color w:val="auto"/>
                <w:szCs w:val="21"/>
              </w:rPr>
            </w:pPr>
          </w:p>
        </w:tc>
      </w:tr>
    </w:tbl>
    <w:p w14:paraId="3926B999">
      <w:pPr>
        <w:pStyle w:val="24"/>
        <w:jc w:val="center"/>
        <w:outlineLvl w:val="0"/>
        <w:rPr>
          <w:rFonts w:hint="eastAsia" w:ascii="黑体" w:hAnsi="黑体" w:eastAsia="黑体"/>
          <w:snapToGrid w:val="0"/>
          <w:color w:val="auto"/>
          <w:sz w:val="30"/>
          <w:szCs w:val="30"/>
        </w:rPr>
        <w:sectPr>
          <w:pgSz w:w="11905" w:h="16838"/>
          <w:pgMar w:top="1701" w:right="1531" w:bottom="1701" w:left="1531" w:header="851" w:footer="1077" w:gutter="0"/>
          <w:pgBorders>
            <w:top w:val="none" w:sz="0" w:space="0"/>
            <w:left w:val="none" w:sz="0" w:space="0"/>
            <w:bottom w:val="none" w:sz="0" w:space="0"/>
            <w:right w:val="none" w:sz="0" w:space="0"/>
          </w:pgBorders>
          <w:cols w:space="0" w:num="1"/>
          <w:rtlGutter w:val="0"/>
          <w:docGrid w:linePitch="312" w:charSpace="0"/>
        </w:sectPr>
      </w:pPr>
    </w:p>
    <w:tbl>
      <w:tblPr>
        <w:tblStyle w:val="28"/>
        <w:tblW w:w="13355"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761"/>
        <w:gridCol w:w="12594"/>
      </w:tblGrid>
      <w:tr w14:paraId="7B9615E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718" w:hRule="atLeast"/>
          <w:jc w:val="center"/>
        </w:trPr>
        <w:tc>
          <w:tcPr>
            <w:tcW w:w="761" w:type="dxa"/>
            <w:tcMar>
              <w:left w:w="28" w:type="dxa"/>
              <w:right w:w="28" w:type="dxa"/>
            </w:tcMar>
            <w:vAlign w:val="center"/>
          </w:tcPr>
          <w:p w14:paraId="5AC28B02">
            <w:pPr>
              <w:adjustRightInd w:val="0"/>
              <w:snapToGrid w:val="0"/>
              <w:jc w:val="center"/>
              <w:rPr>
                <w:rFonts w:ascii="宋体" w:hAnsi="宋体" w:cs="宋体"/>
                <w:bCs/>
                <w:color w:val="auto"/>
                <w:szCs w:val="21"/>
                <w:highlight w:val="none"/>
              </w:rPr>
            </w:pPr>
            <w:r>
              <w:rPr>
                <w:rFonts w:hint="eastAsia" w:ascii="宋体" w:hAnsi="宋体" w:cs="宋体"/>
                <w:bCs/>
                <w:color w:val="auto"/>
                <w:szCs w:val="21"/>
                <w:highlight w:val="none"/>
              </w:rPr>
              <w:t>运营</w:t>
            </w:r>
          </w:p>
          <w:p w14:paraId="5606FDA0">
            <w:pPr>
              <w:adjustRightInd w:val="0"/>
              <w:snapToGrid w:val="0"/>
              <w:jc w:val="center"/>
              <w:rPr>
                <w:rFonts w:ascii="宋体" w:hAnsi="宋体" w:cs="宋体"/>
                <w:bCs/>
                <w:color w:val="auto"/>
                <w:szCs w:val="21"/>
                <w:highlight w:val="none"/>
              </w:rPr>
            </w:pPr>
            <w:r>
              <w:rPr>
                <w:rFonts w:hint="eastAsia" w:ascii="宋体" w:hAnsi="宋体" w:cs="宋体"/>
                <w:bCs/>
                <w:color w:val="auto"/>
                <w:szCs w:val="21"/>
                <w:highlight w:val="none"/>
              </w:rPr>
              <w:t>期环</w:t>
            </w:r>
          </w:p>
          <w:p w14:paraId="38B6B763">
            <w:pPr>
              <w:adjustRightInd w:val="0"/>
              <w:snapToGrid w:val="0"/>
              <w:jc w:val="center"/>
              <w:rPr>
                <w:rFonts w:ascii="宋体" w:hAnsi="宋体" w:cs="宋体"/>
                <w:bCs/>
                <w:color w:val="auto"/>
                <w:szCs w:val="21"/>
                <w:highlight w:val="none"/>
              </w:rPr>
            </w:pPr>
            <w:r>
              <w:rPr>
                <w:rFonts w:hint="eastAsia" w:ascii="宋体" w:hAnsi="宋体" w:cs="宋体"/>
                <w:bCs/>
                <w:color w:val="auto"/>
                <w:szCs w:val="21"/>
                <w:highlight w:val="none"/>
              </w:rPr>
              <w:t>境影</w:t>
            </w:r>
          </w:p>
          <w:p w14:paraId="2034664A">
            <w:pPr>
              <w:adjustRightInd w:val="0"/>
              <w:snapToGrid w:val="0"/>
              <w:jc w:val="center"/>
              <w:rPr>
                <w:rFonts w:ascii="宋体" w:hAnsi="宋体" w:cs="宋体"/>
                <w:bCs/>
                <w:color w:val="auto"/>
                <w:szCs w:val="21"/>
                <w:highlight w:val="none"/>
              </w:rPr>
            </w:pPr>
            <w:r>
              <w:rPr>
                <w:rFonts w:hint="eastAsia" w:ascii="宋体" w:hAnsi="宋体" w:cs="宋体"/>
                <w:bCs/>
                <w:color w:val="auto"/>
                <w:szCs w:val="21"/>
                <w:highlight w:val="none"/>
              </w:rPr>
              <w:t>响和</w:t>
            </w:r>
          </w:p>
          <w:p w14:paraId="5D1FCC08">
            <w:pPr>
              <w:adjustRightInd w:val="0"/>
              <w:snapToGrid w:val="0"/>
              <w:jc w:val="center"/>
              <w:rPr>
                <w:rFonts w:ascii="宋体" w:hAnsi="宋体" w:cs="宋体"/>
                <w:bCs/>
                <w:color w:val="auto"/>
                <w:szCs w:val="21"/>
                <w:highlight w:val="none"/>
              </w:rPr>
            </w:pPr>
            <w:r>
              <w:rPr>
                <w:rFonts w:hint="eastAsia" w:ascii="宋体" w:hAnsi="宋体" w:cs="宋体"/>
                <w:bCs/>
                <w:color w:val="auto"/>
                <w:szCs w:val="21"/>
                <w:highlight w:val="none"/>
              </w:rPr>
              <w:t>保护</w:t>
            </w:r>
          </w:p>
          <w:p w14:paraId="37A175CB">
            <w:pPr>
              <w:adjustRightInd w:val="0"/>
              <w:snapToGrid w:val="0"/>
              <w:jc w:val="center"/>
              <w:rPr>
                <w:rFonts w:ascii="宋体" w:hAnsi="宋体" w:cs="宋体"/>
                <w:bCs/>
                <w:color w:val="auto"/>
                <w:szCs w:val="21"/>
                <w:highlight w:val="none"/>
              </w:rPr>
            </w:pPr>
            <w:r>
              <w:rPr>
                <w:rFonts w:hint="eastAsia" w:ascii="宋体" w:hAnsi="宋体" w:cs="宋体"/>
                <w:bCs/>
                <w:color w:val="auto"/>
                <w:szCs w:val="21"/>
                <w:highlight w:val="none"/>
              </w:rPr>
              <w:t>措施</w:t>
            </w:r>
          </w:p>
        </w:tc>
        <w:tc>
          <w:tcPr>
            <w:tcW w:w="12594" w:type="dxa"/>
            <w:vAlign w:val="center"/>
          </w:tcPr>
          <w:p w14:paraId="52BB9B58">
            <w:pPr>
              <w:tabs>
                <w:tab w:val="left" w:pos="4253"/>
              </w:tabs>
              <w:spacing w:line="440" w:lineRule="exact"/>
              <w:jc w:val="center"/>
              <w:rPr>
                <w:b/>
                <w:color w:val="auto"/>
                <w:szCs w:val="21"/>
              </w:rPr>
            </w:pPr>
            <w:r>
              <w:rPr>
                <w:b/>
                <w:color w:val="auto"/>
                <w:szCs w:val="21"/>
              </w:rPr>
              <w:t>表</w:t>
            </w:r>
            <w:r>
              <w:rPr>
                <w:rFonts w:hint="eastAsia"/>
                <w:b/>
                <w:color w:val="auto"/>
                <w:szCs w:val="21"/>
                <w:lang w:val="en-US" w:eastAsia="zh-CN"/>
              </w:rPr>
              <w:t>38</w:t>
            </w:r>
            <w:r>
              <w:rPr>
                <w:rFonts w:hint="eastAsia"/>
                <w:b/>
                <w:color w:val="auto"/>
                <w:szCs w:val="21"/>
              </w:rPr>
              <w:t xml:space="preserve"> </w:t>
            </w:r>
            <w:r>
              <w:rPr>
                <w:b/>
                <w:color w:val="auto"/>
                <w:szCs w:val="21"/>
              </w:rPr>
              <w:t>主要噪声源源强及治理情况表</w:t>
            </w:r>
          </w:p>
          <w:tbl>
            <w:tblPr>
              <w:tblStyle w:val="28"/>
              <w:tblW w:w="12434"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439"/>
              <w:gridCol w:w="439"/>
              <w:gridCol w:w="525"/>
              <w:gridCol w:w="943"/>
              <w:gridCol w:w="482"/>
              <w:gridCol w:w="622"/>
              <w:gridCol w:w="782"/>
              <w:gridCol w:w="428"/>
              <w:gridCol w:w="504"/>
              <w:gridCol w:w="503"/>
              <w:gridCol w:w="525"/>
              <w:gridCol w:w="483"/>
              <w:gridCol w:w="482"/>
              <w:gridCol w:w="546"/>
              <w:gridCol w:w="579"/>
              <w:gridCol w:w="653"/>
              <w:gridCol w:w="825"/>
              <w:gridCol w:w="397"/>
              <w:gridCol w:w="439"/>
              <w:gridCol w:w="418"/>
              <w:gridCol w:w="396"/>
              <w:gridCol w:w="1024"/>
            </w:tblGrid>
            <w:tr w14:paraId="3D7C41E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16" w:hRule="exact"/>
                <w:jc w:val="center"/>
              </w:trPr>
              <w:tc>
                <w:tcPr>
                  <w:tcW w:w="176" w:type="pct"/>
                  <w:vMerge w:val="restart"/>
                  <w:vAlign w:val="center"/>
                </w:tcPr>
                <w:p w14:paraId="27364255">
                  <w:pPr>
                    <w:spacing w:line="220" w:lineRule="exact"/>
                    <w:jc w:val="center"/>
                    <w:rPr>
                      <w:rFonts w:hint="eastAsia" w:ascii="Times New Roman" w:hAnsi="Times New Roman" w:eastAsia="宋体" w:cs="Times New Roman"/>
                      <w:color w:val="auto"/>
                      <w:spacing w:val="-17"/>
                      <w:sz w:val="18"/>
                      <w:szCs w:val="18"/>
                      <w:lang w:val="en-US" w:eastAsia="zh-CN"/>
                    </w:rPr>
                  </w:pPr>
                  <w:r>
                    <w:rPr>
                      <w:rFonts w:hint="eastAsia" w:cs="Times New Roman"/>
                      <w:color w:val="auto"/>
                      <w:spacing w:val="-17"/>
                      <w:sz w:val="18"/>
                      <w:szCs w:val="18"/>
                      <w:lang w:val="en-US" w:eastAsia="zh-CN"/>
                    </w:rPr>
                    <w:t>序号</w:t>
                  </w:r>
                </w:p>
              </w:tc>
              <w:tc>
                <w:tcPr>
                  <w:tcW w:w="176" w:type="pct"/>
                  <w:vMerge w:val="restart"/>
                  <w:vAlign w:val="center"/>
                </w:tcPr>
                <w:p w14:paraId="023A6B01">
                  <w:pPr>
                    <w:spacing w:line="220" w:lineRule="exact"/>
                    <w:jc w:val="center"/>
                    <w:rPr>
                      <w:rFonts w:hint="default" w:ascii="Times New Roman" w:hAnsi="Times New Roman" w:eastAsia="宋体" w:cs="Times New Roman"/>
                      <w:color w:val="auto"/>
                      <w:spacing w:val="-17"/>
                      <w:kern w:val="2"/>
                      <w:sz w:val="18"/>
                      <w:szCs w:val="18"/>
                      <w:lang w:val="en-US" w:eastAsia="zh-CN" w:bidi="ar-SA"/>
                    </w:rPr>
                  </w:pPr>
                  <w:r>
                    <w:rPr>
                      <w:rFonts w:hint="eastAsia" w:ascii="Times New Roman" w:hAnsi="Times New Roman" w:cs="Times New Roman"/>
                      <w:color w:val="auto"/>
                      <w:spacing w:val="-17"/>
                      <w:kern w:val="2"/>
                      <w:sz w:val="18"/>
                      <w:szCs w:val="18"/>
                      <w:lang w:val="en-US" w:eastAsia="zh-CN" w:bidi="ar-SA"/>
                    </w:rPr>
                    <w:t>位置</w:t>
                  </w:r>
                </w:p>
              </w:tc>
              <w:tc>
                <w:tcPr>
                  <w:tcW w:w="211" w:type="pct"/>
                  <w:vMerge w:val="restart"/>
                  <w:vAlign w:val="center"/>
                </w:tcPr>
                <w:p w14:paraId="725EB564">
                  <w:pPr>
                    <w:spacing w:line="220" w:lineRule="exact"/>
                    <w:jc w:val="center"/>
                    <w:rPr>
                      <w:rFonts w:hint="default" w:ascii="Times New Roman" w:hAnsi="Times New Roman" w:eastAsia="宋体" w:cs="Times New Roman"/>
                      <w:color w:val="auto"/>
                      <w:spacing w:val="-17"/>
                      <w:sz w:val="18"/>
                      <w:szCs w:val="18"/>
                      <w:lang w:val="en-US" w:eastAsia="zh-CN"/>
                    </w:rPr>
                  </w:pPr>
                  <w:r>
                    <w:rPr>
                      <w:rFonts w:hint="eastAsia" w:ascii="Times New Roman" w:hAnsi="Times New Roman" w:cs="Times New Roman"/>
                      <w:color w:val="auto"/>
                      <w:spacing w:val="-17"/>
                      <w:sz w:val="18"/>
                      <w:szCs w:val="18"/>
                      <w:lang w:val="en-US" w:eastAsia="zh-CN"/>
                    </w:rPr>
                    <w:t>建筑物名称</w:t>
                  </w:r>
                </w:p>
              </w:tc>
              <w:tc>
                <w:tcPr>
                  <w:tcW w:w="379" w:type="pct"/>
                  <w:vMerge w:val="restart"/>
                  <w:vAlign w:val="center"/>
                </w:tcPr>
                <w:p w14:paraId="01FD2F38">
                  <w:pPr>
                    <w:spacing w:line="220" w:lineRule="exact"/>
                    <w:jc w:val="center"/>
                    <w:rPr>
                      <w:rFonts w:ascii="Times New Roman" w:hAnsi="Times New Roman" w:eastAsia="宋体" w:cs="Times New Roman"/>
                      <w:color w:val="auto"/>
                      <w:spacing w:val="-17"/>
                      <w:sz w:val="18"/>
                      <w:szCs w:val="18"/>
                    </w:rPr>
                  </w:pPr>
                  <w:r>
                    <w:rPr>
                      <w:rFonts w:ascii="Times New Roman" w:hAnsi="Times New Roman" w:eastAsia="宋体" w:cs="Times New Roman"/>
                      <w:color w:val="auto"/>
                      <w:spacing w:val="-17"/>
                      <w:sz w:val="18"/>
                      <w:szCs w:val="18"/>
                    </w:rPr>
                    <w:t>设备名称</w:t>
                  </w:r>
                </w:p>
              </w:tc>
              <w:tc>
                <w:tcPr>
                  <w:tcW w:w="193" w:type="pct"/>
                  <w:vMerge w:val="restart"/>
                  <w:vAlign w:val="center"/>
                </w:tcPr>
                <w:p w14:paraId="18CEE551">
                  <w:pPr>
                    <w:spacing w:line="220" w:lineRule="exact"/>
                    <w:jc w:val="center"/>
                    <w:rPr>
                      <w:color w:val="auto"/>
                      <w:spacing w:val="-17"/>
                      <w:sz w:val="18"/>
                      <w:szCs w:val="18"/>
                    </w:rPr>
                  </w:pPr>
                  <w:r>
                    <w:rPr>
                      <w:color w:val="auto"/>
                      <w:spacing w:val="-17"/>
                      <w:sz w:val="18"/>
                      <w:szCs w:val="18"/>
                    </w:rPr>
                    <w:t>数量(台套)</w:t>
                  </w:r>
                </w:p>
              </w:tc>
              <w:tc>
                <w:tcPr>
                  <w:tcW w:w="250" w:type="pct"/>
                  <w:vMerge w:val="restart"/>
                  <w:vAlign w:val="center"/>
                </w:tcPr>
                <w:p w14:paraId="45B35B36">
                  <w:pPr>
                    <w:spacing w:line="220" w:lineRule="exact"/>
                    <w:jc w:val="center"/>
                    <w:rPr>
                      <w:color w:val="auto"/>
                      <w:spacing w:val="-17"/>
                      <w:sz w:val="18"/>
                      <w:szCs w:val="18"/>
                      <w:highlight w:val="none"/>
                    </w:rPr>
                  </w:pPr>
                  <w:r>
                    <w:rPr>
                      <w:rFonts w:hint="default" w:ascii="Times New Roman" w:hAnsi="Times New Roman" w:eastAsia="宋体" w:cs="Times New Roman"/>
                      <w:color w:val="auto"/>
                      <w:spacing w:val="-20"/>
                      <w:sz w:val="18"/>
                      <w:szCs w:val="18"/>
                      <w:highlight w:val="none"/>
                    </w:rPr>
                    <w:t>声源强度/dB（A）</w:t>
                  </w:r>
                </w:p>
              </w:tc>
              <w:tc>
                <w:tcPr>
                  <w:tcW w:w="314" w:type="pct"/>
                  <w:vMerge w:val="restart"/>
                  <w:vAlign w:val="center"/>
                </w:tcPr>
                <w:p w14:paraId="6D07C573">
                  <w:pPr>
                    <w:spacing w:line="220" w:lineRule="exact"/>
                    <w:jc w:val="center"/>
                    <w:rPr>
                      <w:rFonts w:hint="default" w:eastAsia="宋体"/>
                      <w:color w:val="auto"/>
                      <w:spacing w:val="-17"/>
                      <w:sz w:val="18"/>
                      <w:szCs w:val="18"/>
                      <w:highlight w:val="none"/>
                      <w:lang w:val="en-US" w:eastAsia="zh-CN"/>
                    </w:rPr>
                  </w:pPr>
                  <w:r>
                    <w:rPr>
                      <w:rFonts w:hint="eastAsia"/>
                      <w:color w:val="auto"/>
                      <w:spacing w:val="-17"/>
                      <w:sz w:val="18"/>
                      <w:szCs w:val="18"/>
                      <w:highlight w:val="none"/>
                      <w:lang w:val="en-US" w:eastAsia="zh-CN"/>
                    </w:rPr>
                    <w:t>声源控制措施</w:t>
                  </w:r>
                </w:p>
              </w:tc>
              <w:tc>
                <w:tcPr>
                  <w:tcW w:w="788" w:type="pct"/>
                  <w:gridSpan w:val="4"/>
                  <w:vAlign w:val="center"/>
                </w:tcPr>
                <w:p w14:paraId="6A398D69">
                  <w:pPr>
                    <w:pStyle w:val="71"/>
                    <w:spacing w:line="220" w:lineRule="exact"/>
                    <w:jc w:val="center"/>
                    <w:rPr>
                      <w:rFonts w:hint="eastAsia" w:ascii="Times New Roman" w:hAnsi="Times New Roman"/>
                      <w:color w:val="auto"/>
                      <w:spacing w:val="-17"/>
                      <w:sz w:val="18"/>
                      <w:szCs w:val="18"/>
                      <w:lang w:val="en-US" w:eastAsia="zh-CN"/>
                    </w:rPr>
                  </w:pPr>
                  <w:r>
                    <w:rPr>
                      <w:rFonts w:hint="default" w:ascii="Times New Roman" w:hAnsi="Times New Roman"/>
                      <w:color w:val="auto"/>
                      <w:spacing w:val="-17"/>
                      <w:sz w:val="18"/>
                      <w:szCs w:val="18"/>
                      <w:lang w:val="en-US" w:eastAsia="zh-CN"/>
                    </w:rPr>
                    <w:t>距室内边界距离/m</w:t>
                  </w:r>
                </w:p>
              </w:tc>
              <w:tc>
                <w:tcPr>
                  <w:tcW w:w="840" w:type="pct"/>
                  <w:gridSpan w:val="4"/>
                  <w:vAlign w:val="center"/>
                </w:tcPr>
                <w:p w14:paraId="6954335F">
                  <w:pPr>
                    <w:pStyle w:val="71"/>
                    <w:spacing w:line="220" w:lineRule="exact"/>
                    <w:jc w:val="center"/>
                    <w:rPr>
                      <w:rFonts w:hint="eastAsia" w:ascii="Times New Roman" w:hAnsi="Times New Roman" w:eastAsia="宋体" w:cs="Calibri"/>
                      <w:color w:val="auto"/>
                      <w:spacing w:val="-17"/>
                      <w:kern w:val="0"/>
                      <w:sz w:val="18"/>
                      <w:szCs w:val="18"/>
                      <w:lang w:val="en-US" w:eastAsia="zh-CN" w:bidi="ar-SA"/>
                    </w:rPr>
                  </w:pPr>
                  <w:r>
                    <w:rPr>
                      <w:rFonts w:hint="eastAsia" w:ascii="Times New Roman" w:hAnsi="Times New Roman" w:eastAsia="宋体" w:cs="Calibri"/>
                      <w:color w:val="auto"/>
                      <w:spacing w:val="-17"/>
                      <w:kern w:val="0"/>
                      <w:sz w:val="18"/>
                      <w:szCs w:val="18"/>
                      <w:lang w:val="en-US" w:eastAsia="zh-CN" w:bidi="ar-SA"/>
                    </w:rPr>
                    <w:t>室内边界声级/dB(A)</w:t>
                  </w:r>
                </w:p>
              </w:tc>
              <w:tc>
                <w:tcPr>
                  <w:tcW w:w="262" w:type="pct"/>
                  <w:vMerge w:val="restart"/>
                  <w:vAlign w:val="center"/>
                </w:tcPr>
                <w:p w14:paraId="3825D88D">
                  <w:pPr>
                    <w:pStyle w:val="71"/>
                    <w:spacing w:line="220" w:lineRule="exact"/>
                    <w:jc w:val="center"/>
                    <w:rPr>
                      <w:rFonts w:hint="default" w:ascii="Times New Roman" w:hAnsi="Times New Roman" w:eastAsia="宋体" w:cs="Calibri"/>
                      <w:color w:val="auto"/>
                      <w:spacing w:val="-17"/>
                      <w:kern w:val="0"/>
                      <w:sz w:val="18"/>
                      <w:szCs w:val="18"/>
                      <w:lang w:val="en-US" w:eastAsia="zh-CN" w:bidi="ar-SA"/>
                    </w:rPr>
                  </w:pPr>
                  <w:r>
                    <w:rPr>
                      <w:rFonts w:hint="eastAsia" w:ascii="Times New Roman" w:hAnsi="Times New Roman" w:eastAsia="宋体" w:cs="Calibri"/>
                      <w:color w:val="auto"/>
                      <w:spacing w:val="-17"/>
                      <w:kern w:val="0"/>
                      <w:sz w:val="18"/>
                      <w:szCs w:val="18"/>
                      <w:lang w:val="en-US" w:eastAsia="zh-CN" w:bidi="ar-SA"/>
                    </w:rPr>
                    <w:t>运行时段</w:t>
                  </w:r>
                </w:p>
              </w:tc>
              <w:tc>
                <w:tcPr>
                  <w:tcW w:w="331" w:type="pct"/>
                  <w:vMerge w:val="restart"/>
                  <w:vAlign w:val="center"/>
                </w:tcPr>
                <w:p w14:paraId="169DCBA8">
                  <w:pPr>
                    <w:pStyle w:val="71"/>
                    <w:spacing w:line="220" w:lineRule="exact"/>
                    <w:jc w:val="center"/>
                    <w:rPr>
                      <w:rFonts w:hint="default" w:ascii="Times New Roman" w:hAnsi="Times New Roman" w:eastAsia="宋体" w:cs="Calibri"/>
                      <w:color w:val="auto"/>
                      <w:spacing w:val="-17"/>
                      <w:kern w:val="0"/>
                      <w:sz w:val="18"/>
                      <w:szCs w:val="18"/>
                      <w:lang w:val="en-US" w:eastAsia="zh-CN" w:bidi="ar-SA"/>
                    </w:rPr>
                  </w:pPr>
                  <w:r>
                    <w:rPr>
                      <w:rFonts w:hint="default" w:ascii="Times New Roman" w:hAnsi="Times New Roman" w:eastAsia="宋体" w:cs="Calibri"/>
                      <w:color w:val="auto"/>
                      <w:spacing w:val="-17"/>
                      <w:kern w:val="0"/>
                      <w:sz w:val="18"/>
                      <w:szCs w:val="18"/>
                      <w:lang w:val="en-US" w:eastAsia="zh-CN" w:bidi="ar-SA"/>
                    </w:rPr>
                    <w:t>建筑物插入损失 / dB(A)</w:t>
                  </w:r>
                </w:p>
              </w:tc>
              <w:tc>
                <w:tcPr>
                  <w:tcW w:w="1075" w:type="pct"/>
                  <w:gridSpan w:val="5"/>
                  <w:vAlign w:val="center"/>
                </w:tcPr>
                <w:p w14:paraId="75B702AC">
                  <w:pPr>
                    <w:pStyle w:val="71"/>
                    <w:spacing w:line="220" w:lineRule="exact"/>
                    <w:jc w:val="center"/>
                    <w:rPr>
                      <w:rFonts w:hint="default" w:ascii="Times New Roman" w:hAnsi="Times New Roman" w:eastAsia="宋体" w:cs="Calibri"/>
                      <w:color w:val="auto"/>
                      <w:spacing w:val="-17"/>
                      <w:kern w:val="0"/>
                      <w:sz w:val="18"/>
                      <w:szCs w:val="18"/>
                      <w:lang w:val="en-US" w:eastAsia="zh-CN" w:bidi="ar-SA"/>
                    </w:rPr>
                  </w:pPr>
                  <w:r>
                    <w:rPr>
                      <w:rFonts w:hint="eastAsia" w:ascii="Times New Roman" w:hAnsi="Times New Roman" w:eastAsia="宋体" w:cs="Calibri"/>
                      <w:color w:val="auto"/>
                      <w:spacing w:val="-17"/>
                      <w:kern w:val="0"/>
                      <w:sz w:val="18"/>
                      <w:szCs w:val="18"/>
                      <w:lang w:val="en-US" w:eastAsia="zh-CN" w:bidi="ar-SA"/>
                    </w:rPr>
                    <w:t>建筑物外噪声声压级/dB(A)</w:t>
                  </w:r>
                </w:p>
              </w:tc>
            </w:tr>
            <w:tr w14:paraId="307A013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1" w:hRule="exact"/>
                <w:jc w:val="center"/>
              </w:trPr>
              <w:tc>
                <w:tcPr>
                  <w:tcW w:w="176" w:type="pct"/>
                  <w:vMerge w:val="continue"/>
                  <w:vAlign w:val="center"/>
                </w:tcPr>
                <w:p w14:paraId="38ED034D">
                  <w:pPr>
                    <w:spacing w:line="220" w:lineRule="exact"/>
                    <w:jc w:val="center"/>
                    <w:rPr>
                      <w:rFonts w:hint="eastAsia" w:cs="Times New Roman"/>
                      <w:color w:val="auto"/>
                      <w:spacing w:val="-17"/>
                      <w:sz w:val="18"/>
                      <w:szCs w:val="18"/>
                      <w:lang w:val="en-US" w:eastAsia="zh-CN"/>
                    </w:rPr>
                  </w:pPr>
                </w:p>
              </w:tc>
              <w:tc>
                <w:tcPr>
                  <w:tcW w:w="176" w:type="pct"/>
                  <w:vMerge w:val="continue"/>
                  <w:vAlign w:val="center"/>
                </w:tcPr>
                <w:p w14:paraId="4CC4195F">
                  <w:pPr>
                    <w:spacing w:line="220" w:lineRule="exact"/>
                    <w:jc w:val="center"/>
                    <w:rPr>
                      <w:rFonts w:hint="eastAsia" w:ascii="Times New Roman" w:hAnsi="Times New Roman" w:cs="Times New Roman"/>
                      <w:color w:val="auto"/>
                      <w:spacing w:val="-17"/>
                      <w:kern w:val="2"/>
                      <w:sz w:val="18"/>
                      <w:szCs w:val="18"/>
                      <w:lang w:val="en-US" w:eastAsia="zh-CN" w:bidi="ar-SA"/>
                    </w:rPr>
                  </w:pPr>
                </w:p>
              </w:tc>
              <w:tc>
                <w:tcPr>
                  <w:tcW w:w="211" w:type="pct"/>
                  <w:vMerge w:val="continue"/>
                  <w:vAlign w:val="center"/>
                </w:tcPr>
                <w:p w14:paraId="49B503C8">
                  <w:pPr>
                    <w:spacing w:line="220" w:lineRule="exact"/>
                    <w:jc w:val="center"/>
                    <w:rPr>
                      <w:rFonts w:hint="eastAsia" w:ascii="Times New Roman" w:hAnsi="Times New Roman" w:cs="Times New Roman"/>
                      <w:color w:val="auto"/>
                      <w:spacing w:val="-17"/>
                      <w:sz w:val="18"/>
                      <w:szCs w:val="18"/>
                      <w:lang w:val="en-US" w:eastAsia="zh-CN"/>
                    </w:rPr>
                  </w:pPr>
                </w:p>
              </w:tc>
              <w:tc>
                <w:tcPr>
                  <w:tcW w:w="379" w:type="pct"/>
                  <w:vMerge w:val="continue"/>
                  <w:vAlign w:val="center"/>
                </w:tcPr>
                <w:p w14:paraId="025FB1A4">
                  <w:pPr>
                    <w:spacing w:line="220" w:lineRule="exact"/>
                    <w:jc w:val="center"/>
                    <w:rPr>
                      <w:rFonts w:ascii="Times New Roman" w:hAnsi="Times New Roman" w:eastAsia="宋体" w:cs="Times New Roman"/>
                      <w:color w:val="auto"/>
                      <w:spacing w:val="-17"/>
                      <w:sz w:val="18"/>
                      <w:szCs w:val="18"/>
                    </w:rPr>
                  </w:pPr>
                </w:p>
              </w:tc>
              <w:tc>
                <w:tcPr>
                  <w:tcW w:w="193" w:type="pct"/>
                  <w:vMerge w:val="continue"/>
                  <w:vAlign w:val="center"/>
                </w:tcPr>
                <w:p w14:paraId="262D53E9">
                  <w:pPr>
                    <w:spacing w:line="220" w:lineRule="exact"/>
                    <w:jc w:val="center"/>
                    <w:rPr>
                      <w:color w:val="auto"/>
                      <w:spacing w:val="-17"/>
                      <w:sz w:val="18"/>
                      <w:szCs w:val="18"/>
                    </w:rPr>
                  </w:pPr>
                </w:p>
              </w:tc>
              <w:tc>
                <w:tcPr>
                  <w:tcW w:w="250" w:type="pct"/>
                  <w:vMerge w:val="continue"/>
                  <w:vAlign w:val="center"/>
                </w:tcPr>
                <w:p w14:paraId="64B18A52">
                  <w:pPr>
                    <w:spacing w:line="220" w:lineRule="exact"/>
                    <w:jc w:val="center"/>
                    <w:rPr>
                      <w:rFonts w:hint="default" w:ascii="Times New Roman" w:hAnsi="Times New Roman" w:eastAsia="宋体" w:cs="Times New Roman"/>
                      <w:color w:val="auto"/>
                      <w:spacing w:val="-20"/>
                      <w:sz w:val="18"/>
                      <w:szCs w:val="18"/>
                    </w:rPr>
                  </w:pPr>
                </w:p>
              </w:tc>
              <w:tc>
                <w:tcPr>
                  <w:tcW w:w="314" w:type="pct"/>
                  <w:vMerge w:val="continue"/>
                  <w:vAlign w:val="center"/>
                </w:tcPr>
                <w:p w14:paraId="65684B18">
                  <w:pPr>
                    <w:spacing w:line="220" w:lineRule="exact"/>
                    <w:jc w:val="center"/>
                    <w:rPr>
                      <w:rFonts w:hint="eastAsia"/>
                      <w:color w:val="auto"/>
                      <w:spacing w:val="-17"/>
                      <w:sz w:val="18"/>
                      <w:szCs w:val="18"/>
                      <w:lang w:val="en-US" w:eastAsia="zh-CN"/>
                    </w:rPr>
                  </w:pPr>
                </w:p>
              </w:tc>
              <w:tc>
                <w:tcPr>
                  <w:tcW w:w="172" w:type="pct"/>
                  <w:vAlign w:val="center"/>
                </w:tcPr>
                <w:p w14:paraId="78240D49">
                  <w:pPr>
                    <w:pStyle w:val="71"/>
                    <w:spacing w:line="220" w:lineRule="exact"/>
                    <w:jc w:val="center"/>
                    <w:rPr>
                      <w:rFonts w:hint="eastAsia" w:ascii="Times New Roman" w:hAnsi="Times New Roman"/>
                      <w:color w:val="auto"/>
                      <w:spacing w:val="-17"/>
                      <w:sz w:val="18"/>
                      <w:szCs w:val="18"/>
                      <w:lang w:val="en-US" w:eastAsia="zh-CN"/>
                    </w:rPr>
                  </w:pPr>
                  <w:r>
                    <w:rPr>
                      <w:rFonts w:hint="eastAsia" w:ascii="Times New Roman" w:hAnsi="Times New Roman"/>
                      <w:color w:val="auto"/>
                      <w:spacing w:val="-17"/>
                      <w:sz w:val="18"/>
                      <w:szCs w:val="18"/>
                      <w:lang w:val="en-US" w:eastAsia="zh-CN"/>
                    </w:rPr>
                    <w:t>东</w:t>
                  </w:r>
                </w:p>
              </w:tc>
              <w:tc>
                <w:tcPr>
                  <w:tcW w:w="202" w:type="pct"/>
                  <w:vAlign w:val="center"/>
                </w:tcPr>
                <w:p w14:paraId="7839DA50">
                  <w:pPr>
                    <w:pStyle w:val="71"/>
                    <w:spacing w:line="220" w:lineRule="exact"/>
                    <w:jc w:val="center"/>
                    <w:rPr>
                      <w:rFonts w:hint="eastAsia" w:ascii="Times New Roman" w:hAnsi="Times New Roman"/>
                      <w:color w:val="auto"/>
                      <w:spacing w:val="-17"/>
                      <w:sz w:val="18"/>
                      <w:szCs w:val="18"/>
                      <w:lang w:val="en-US" w:eastAsia="zh-CN"/>
                    </w:rPr>
                  </w:pPr>
                  <w:r>
                    <w:rPr>
                      <w:rFonts w:hint="eastAsia" w:ascii="Times New Roman" w:hAnsi="Times New Roman"/>
                      <w:color w:val="auto"/>
                      <w:spacing w:val="-17"/>
                      <w:sz w:val="18"/>
                      <w:szCs w:val="18"/>
                      <w:lang w:val="en-US" w:eastAsia="zh-CN"/>
                    </w:rPr>
                    <w:t>南</w:t>
                  </w:r>
                </w:p>
              </w:tc>
              <w:tc>
                <w:tcPr>
                  <w:tcW w:w="202" w:type="pct"/>
                  <w:vAlign w:val="center"/>
                </w:tcPr>
                <w:p w14:paraId="7092067F">
                  <w:pPr>
                    <w:pStyle w:val="71"/>
                    <w:spacing w:line="220" w:lineRule="exact"/>
                    <w:jc w:val="center"/>
                    <w:rPr>
                      <w:rFonts w:hint="eastAsia" w:ascii="Times New Roman" w:hAnsi="Times New Roman"/>
                      <w:color w:val="auto"/>
                      <w:spacing w:val="-17"/>
                      <w:sz w:val="18"/>
                      <w:szCs w:val="18"/>
                      <w:lang w:val="en-US" w:eastAsia="zh-CN"/>
                    </w:rPr>
                  </w:pPr>
                  <w:r>
                    <w:rPr>
                      <w:rFonts w:hint="eastAsia" w:ascii="Times New Roman" w:hAnsi="Times New Roman"/>
                      <w:color w:val="auto"/>
                      <w:spacing w:val="-17"/>
                      <w:sz w:val="18"/>
                      <w:szCs w:val="18"/>
                      <w:lang w:val="en-US" w:eastAsia="zh-CN"/>
                    </w:rPr>
                    <w:t>西</w:t>
                  </w:r>
                </w:p>
              </w:tc>
              <w:tc>
                <w:tcPr>
                  <w:tcW w:w="211" w:type="pct"/>
                  <w:vAlign w:val="center"/>
                </w:tcPr>
                <w:p w14:paraId="14CD3A7B">
                  <w:pPr>
                    <w:pStyle w:val="71"/>
                    <w:spacing w:line="220" w:lineRule="exact"/>
                    <w:jc w:val="center"/>
                    <w:rPr>
                      <w:rFonts w:hint="eastAsia" w:ascii="Times New Roman" w:hAnsi="Times New Roman"/>
                      <w:color w:val="auto"/>
                      <w:spacing w:val="-17"/>
                      <w:sz w:val="18"/>
                      <w:szCs w:val="18"/>
                      <w:lang w:val="en-US" w:eastAsia="zh-CN"/>
                    </w:rPr>
                  </w:pPr>
                  <w:r>
                    <w:rPr>
                      <w:rFonts w:hint="eastAsia" w:ascii="Times New Roman" w:hAnsi="Times New Roman"/>
                      <w:color w:val="auto"/>
                      <w:spacing w:val="-17"/>
                      <w:sz w:val="18"/>
                      <w:szCs w:val="18"/>
                      <w:lang w:val="en-US" w:eastAsia="zh-CN"/>
                    </w:rPr>
                    <w:t>北</w:t>
                  </w:r>
                </w:p>
              </w:tc>
              <w:tc>
                <w:tcPr>
                  <w:tcW w:w="194" w:type="pct"/>
                  <w:vAlign w:val="center"/>
                </w:tcPr>
                <w:p w14:paraId="618D0CC0">
                  <w:pPr>
                    <w:pStyle w:val="71"/>
                    <w:spacing w:line="220" w:lineRule="exact"/>
                    <w:jc w:val="center"/>
                    <w:rPr>
                      <w:rFonts w:hint="eastAsia" w:ascii="Times New Roman" w:hAnsi="Times New Roman" w:eastAsia="宋体" w:cs="Calibri"/>
                      <w:color w:val="auto"/>
                      <w:spacing w:val="-17"/>
                      <w:kern w:val="0"/>
                      <w:sz w:val="18"/>
                      <w:szCs w:val="18"/>
                      <w:lang w:val="en-US" w:eastAsia="zh-CN" w:bidi="ar-SA"/>
                    </w:rPr>
                  </w:pPr>
                  <w:r>
                    <w:rPr>
                      <w:rFonts w:hint="eastAsia" w:ascii="Times New Roman" w:hAnsi="Times New Roman" w:eastAsia="宋体" w:cs="Calibri"/>
                      <w:color w:val="auto"/>
                      <w:spacing w:val="-17"/>
                      <w:kern w:val="0"/>
                      <w:sz w:val="18"/>
                      <w:szCs w:val="18"/>
                      <w:lang w:val="en-US" w:eastAsia="zh-CN" w:bidi="ar-SA"/>
                    </w:rPr>
                    <w:t>东</w:t>
                  </w:r>
                </w:p>
              </w:tc>
              <w:tc>
                <w:tcPr>
                  <w:tcW w:w="193" w:type="pct"/>
                  <w:vAlign w:val="center"/>
                </w:tcPr>
                <w:p w14:paraId="51ABAFEB">
                  <w:pPr>
                    <w:pStyle w:val="71"/>
                    <w:spacing w:line="220" w:lineRule="exact"/>
                    <w:jc w:val="center"/>
                    <w:rPr>
                      <w:rFonts w:hint="eastAsia" w:ascii="Times New Roman" w:hAnsi="Times New Roman" w:eastAsia="宋体" w:cs="Calibri"/>
                      <w:color w:val="auto"/>
                      <w:spacing w:val="-17"/>
                      <w:kern w:val="0"/>
                      <w:sz w:val="18"/>
                      <w:szCs w:val="18"/>
                      <w:lang w:val="en-US" w:eastAsia="zh-CN" w:bidi="ar-SA"/>
                    </w:rPr>
                  </w:pPr>
                  <w:r>
                    <w:rPr>
                      <w:rFonts w:hint="eastAsia" w:ascii="Times New Roman" w:hAnsi="Times New Roman" w:eastAsia="宋体" w:cs="Calibri"/>
                      <w:color w:val="auto"/>
                      <w:spacing w:val="-17"/>
                      <w:kern w:val="0"/>
                      <w:sz w:val="18"/>
                      <w:szCs w:val="18"/>
                      <w:lang w:val="en-US" w:eastAsia="zh-CN" w:bidi="ar-SA"/>
                    </w:rPr>
                    <w:t>南</w:t>
                  </w:r>
                </w:p>
              </w:tc>
              <w:tc>
                <w:tcPr>
                  <w:tcW w:w="219" w:type="pct"/>
                  <w:vAlign w:val="center"/>
                </w:tcPr>
                <w:p w14:paraId="62DFEFDA">
                  <w:pPr>
                    <w:pStyle w:val="71"/>
                    <w:spacing w:line="220" w:lineRule="exact"/>
                    <w:jc w:val="center"/>
                    <w:rPr>
                      <w:rFonts w:hint="default" w:ascii="Times New Roman" w:hAnsi="Times New Roman" w:eastAsia="宋体" w:cs="Calibri"/>
                      <w:color w:val="auto"/>
                      <w:spacing w:val="-17"/>
                      <w:kern w:val="0"/>
                      <w:sz w:val="18"/>
                      <w:szCs w:val="18"/>
                      <w:lang w:val="en-US" w:eastAsia="zh-CN" w:bidi="ar-SA"/>
                    </w:rPr>
                  </w:pPr>
                  <w:r>
                    <w:rPr>
                      <w:rFonts w:hint="eastAsia" w:ascii="Times New Roman" w:hAnsi="Times New Roman" w:eastAsia="宋体" w:cs="Calibri"/>
                      <w:color w:val="auto"/>
                      <w:spacing w:val="-17"/>
                      <w:kern w:val="0"/>
                      <w:sz w:val="18"/>
                      <w:szCs w:val="18"/>
                      <w:lang w:val="en-US" w:eastAsia="zh-CN" w:bidi="ar-SA"/>
                    </w:rPr>
                    <w:t>西</w:t>
                  </w:r>
                </w:p>
              </w:tc>
              <w:tc>
                <w:tcPr>
                  <w:tcW w:w="232" w:type="pct"/>
                  <w:vAlign w:val="center"/>
                </w:tcPr>
                <w:p w14:paraId="72EFD52D">
                  <w:pPr>
                    <w:pStyle w:val="71"/>
                    <w:spacing w:line="220" w:lineRule="exact"/>
                    <w:jc w:val="center"/>
                    <w:rPr>
                      <w:rFonts w:hint="default" w:ascii="Times New Roman" w:hAnsi="Times New Roman" w:eastAsia="宋体" w:cs="Calibri"/>
                      <w:color w:val="auto"/>
                      <w:spacing w:val="-17"/>
                      <w:kern w:val="0"/>
                      <w:sz w:val="18"/>
                      <w:szCs w:val="18"/>
                      <w:lang w:val="en-US" w:eastAsia="zh-CN" w:bidi="ar-SA"/>
                    </w:rPr>
                  </w:pPr>
                  <w:r>
                    <w:rPr>
                      <w:rFonts w:hint="eastAsia" w:ascii="Times New Roman" w:hAnsi="Times New Roman" w:eastAsia="宋体" w:cs="Calibri"/>
                      <w:color w:val="auto"/>
                      <w:spacing w:val="-17"/>
                      <w:kern w:val="0"/>
                      <w:sz w:val="18"/>
                      <w:szCs w:val="18"/>
                      <w:lang w:val="en-US" w:eastAsia="zh-CN" w:bidi="ar-SA"/>
                    </w:rPr>
                    <w:t>北</w:t>
                  </w:r>
                </w:p>
              </w:tc>
              <w:tc>
                <w:tcPr>
                  <w:tcW w:w="262" w:type="pct"/>
                  <w:vMerge w:val="continue"/>
                  <w:vAlign w:val="center"/>
                </w:tcPr>
                <w:p w14:paraId="59CB8123">
                  <w:pPr>
                    <w:pStyle w:val="71"/>
                    <w:spacing w:line="220" w:lineRule="exact"/>
                    <w:jc w:val="center"/>
                    <w:rPr>
                      <w:rFonts w:hint="default" w:ascii="Times New Roman" w:hAnsi="Times New Roman" w:eastAsia="宋体" w:cs="Calibri"/>
                      <w:color w:val="auto"/>
                      <w:spacing w:val="-17"/>
                      <w:kern w:val="0"/>
                      <w:sz w:val="18"/>
                      <w:szCs w:val="18"/>
                      <w:lang w:val="en-US" w:eastAsia="zh-CN" w:bidi="ar-SA"/>
                    </w:rPr>
                  </w:pPr>
                </w:p>
              </w:tc>
              <w:tc>
                <w:tcPr>
                  <w:tcW w:w="331" w:type="pct"/>
                  <w:vMerge w:val="continue"/>
                  <w:vAlign w:val="center"/>
                </w:tcPr>
                <w:p w14:paraId="7AA535E6">
                  <w:pPr>
                    <w:pStyle w:val="71"/>
                    <w:spacing w:line="220" w:lineRule="exact"/>
                    <w:jc w:val="center"/>
                    <w:rPr>
                      <w:rFonts w:hint="default" w:ascii="Times New Roman" w:hAnsi="Times New Roman" w:eastAsia="宋体" w:cs="Calibri"/>
                      <w:color w:val="auto"/>
                      <w:spacing w:val="-17"/>
                      <w:kern w:val="0"/>
                      <w:sz w:val="18"/>
                      <w:szCs w:val="18"/>
                      <w:lang w:val="en-US" w:eastAsia="zh-CN" w:bidi="ar-SA"/>
                    </w:rPr>
                  </w:pPr>
                </w:p>
              </w:tc>
              <w:tc>
                <w:tcPr>
                  <w:tcW w:w="159" w:type="pct"/>
                  <w:vAlign w:val="center"/>
                </w:tcPr>
                <w:p w14:paraId="47DADD8C">
                  <w:pPr>
                    <w:pStyle w:val="71"/>
                    <w:spacing w:line="220" w:lineRule="exact"/>
                    <w:jc w:val="center"/>
                    <w:rPr>
                      <w:rFonts w:hint="default" w:ascii="Times New Roman" w:hAnsi="Times New Roman" w:eastAsia="宋体" w:cs="Calibri"/>
                      <w:color w:val="auto"/>
                      <w:spacing w:val="-17"/>
                      <w:kern w:val="0"/>
                      <w:sz w:val="18"/>
                      <w:szCs w:val="18"/>
                      <w:lang w:val="en-US" w:eastAsia="zh-CN" w:bidi="ar-SA"/>
                    </w:rPr>
                  </w:pPr>
                  <w:r>
                    <w:rPr>
                      <w:rFonts w:hint="eastAsia" w:ascii="Times New Roman" w:hAnsi="Times New Roman" w:eastAsia="宋体" w:cs="Calibri"/>
                      <w:color w:val="auto"/>
                      <w:spacing w:val="-17"/>
                      <w:kern w:val="0"/>
                      <w:sz w:val="18"/>
                      <w:szCs w:val="18"/>
                      <w:lang w:val="en-US" w:eastAsia="zh-CN" w:bidi="ar-SA"/>
                    </w:rPr>
                    <w:t>东</w:t>
                  </w:r>
                </w:p>
              </w:tc>
              <w:tc>
                <w:tcPr>
                  <w:tcW w:w="176" w:type="pct"/>
                  <w:vAlign w:val="center"/>
                </w:tcPr>
                <w:p w14:paraId="63C4ACB3">
                  <w:pPr>
                    <w:pStyle w:val="71"/>
                    <w:spacing w:line="220" w:lineRule="exact"/>
                    <w:jc w:val="center"/>
                    <w:rPr>
                      <w:rFonts w:hint="default" w:ascii="Times New Roman" w:hAnsi="Times New Roman" w:eastAsia="宋体" w:cs="Calibri"/>
                      <w:color w:val="auto"/>
                      <w:spacing w:val="-17"/>
                      <w:kern w:val="0"/>
                      <w:sz w:val="18"/>
                      <w:szCs w:val="18"/>
                      <w:lang w:val="en-US" w:eastAsia="zh-CN" w:bidi="ar-SA"/>
                    </w:rPr>
                  </w:pPr>
                  <w:r>
                    <w:rPr>
                      <w:rFonts w:hint="eastAsia" w:ascii="Times New Roman" w:hAnsi="Times New Roman" w:eastAsia="宋体" w:cs="Calibri"/>
                      <w:color w:val="auto"/>
                      <w:spacing w:val="-17"/>
                      <w:kern w:val="0"/>
                      <w:sz w:val="18"/>
                      <w:szCs w:val="18"/>
                      <w:lang w:val="en-US" w:eastAsia="zh-CN" w:bidi="ar-SA"/>
                    </w:rPr>
                    <w:t>南</w:t>
                  </w:r>
                </w:p>
              </w:tc>
              <w:tc>
                <w:tcPr>
                  <w:tcW w:w="168" w:type="pct"/>
                  <w:vAlign w:val="center"/>
                </w:tcPr>
                <w:p w14:paraId="28B7A496">
                  <w:pPr>
                    <w:pStyle w:val="71"/>
                    <w:spacing w:line="220" w:lineRule="exact"/>
                    <w:jc w:val="center"/>
                    <w:rPr>
                      <w:rFonts w:hint="default" w:ascii="Times New Roman" w:hAnsi="Times New Roman" w:eastAsia="宋体" w:cs="Calibri"/>
                      <w:color w:val="auto"/>
                      <w:spacing w:val="-17"/>
                      <w:kern w:val="0"/>
                      <w:sz w:val="18"/>
                      <w:szCs w:val="18"/>
                      <w:lang w:val="en-US" w:eastAsia="zh-CN" w:bidi="ar-SA"/>
                    </w:rPr>
                  </w:pPr>
                  <w:r>
                    <w:rPr>
                      <w:rFonts w:hint="eastAsia" w:ascii="Times New Roman" w:hAnsi="Times New Roman" w:eastAsia="宋体" w:cs="Calibri"/>
                      <w:color w:val="auto"/>
                      <w:spacing w:val="-17"/>
                      <w:kern w:val="0"/>
                      <w:sz w:val="18"/>
                      <w:szCs w:val="18"/>
                      <w:lang w:val="en-US" w:eastAsia="zh-CN" w:bidi="ar-SA"/>
                    </w:rPr>
                    <w:t>西</w:t>
                  </w:r>
                </w:p>
              </w:tc>
              <w:tc>
                <w:tcPr>
                  <w:tcW w:w="159" w:type="pct"/>
                  <w:vAlign w:val="center"/>
                </w:tcPr>
                <w:p w14:paraId="6FEAE11B">
                  <w:pPr>
                    <w:pStyle w:val="71"/>
                    <w:spacing w:line="220" w:lineRule="exact"/>
                    <w:jc w:val="center"/>
                    <w:rPr>
                      <w:rFonts w:hint="default" w:ascii="Times New Roman" w:hAnsi="Times New Roman" w:eastAsia="宋体" w:cs="Calibri"/>
                      <w:color w:val="auto"/>
                      <w:spacing w:val="-17"/>
                      <w:kern w:val="0"/>
                      <w:sz w:val="18"/>
                      <w:szCs w:val="18"/>
                      <w:lang w:val="en-US" w:eastAsia="zh-CN" w:bidi="ar-SA"/>
                    </w:rPr>
                  </w:pPr>
                  <w:r>
                    <w:rPr>
                      <w:rFonts w:hint="eastAsia" w:ascii="Times New Roman" w:hAnsi="Times New Roman" w:eastAsia="宋体" w:cs="Calibri"/>
                      <w:color w:val="auto"/>
                      <w:spacing w:val="-17"/>
                      <w:kern w:val="0"/>
                      <w:sz w:val="18"/>
                      <w:szCs w:val="18"/>
                      <w:lang w:val="en-US" w:eastAsia="zh-CN" w:bidi="ar-SA"/>
                    </w:rPr>
                    <w:t>北</w:t>
                  </w:r>
                </w:p>
              </w:tc>
              <w:tc>
                <w:tcPr>
                  <w:tcW w:w="411" w:type="pct"/>
                  <w:vAlign w:val="center"/>
                </w:tcPr>
                <w:p w14:paraId="2066087D">
                  <w:pPr>
                    <w:pStyle w:val="71"/>
                    <w:spacing w:line="220" w:lineRule="exact"/>
                    <w:jc w:val="center"/>
                    <w:rPr>
                      <w:rFonts w:hint="default" w:ascii="Times New Roman" w:hAnsi="Times New Roman" w:eastAsia="宋体" w:cs="Calibri"/>
                      <w:color w:val="auto"/>
                      <w:spacing w:val="-17"/>
                      <w:kern w:val="0"/>
                      <w:sz w:val="18"/>
                      <w:szCs w:val="18"/>
                      <w:lang w:val="en-US" w:eastAsia="zh-CN" w:bidi="ar-SA"/>
                    </w:rPr>
                  </w:pPr>
                  <w:r>
                    <w:rPr>
                      <w:rFonts w:hint="eastAsia" w:ascii="Times New Roman" w:hAnsi="Times New Roman" w:eastAsia="宋体" w:cs="Calibri"/>
                      <w:color w:val="auto"/>
                      <w:spacing w:val="-17"/>
                      <w:kern w:val="0"/>
                      <w:sz w:val="18"/>
                      <w:szCs w:val="18"/>
                      <w:lang w:val="en-US" w:eastAsia="zh-CN" w:bidi="ar-SA"/>
                    </w:rPr>
                    <w:t>建筑物外距离</w:t>
                  </w:r>
                </w:p>
              </w:tc>
            </w:tr>
            <w:tr w14:paraId="48468EC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1" w:hRule="exact"/>
                <w:jc w:val="center"/>
              </w:trPr>
              <w:tc>
                <w:tcPr>
                  <w:tcW w:w="176" w:type="pct"/>
                  <w:shd w:val="clear" w:color="auto" w:fill="auto"/>
                  <w:vAlign w:val="center"/>
                </w:tcPr>
                <w:p w14:paraId="6F641BE5">
                  <w:pPr>
                    <w:spacing w:line="220" w:lineRule="exact"/>
                    <w:jc w:val="center"/>
                    <w:rPr>
                      <w:rFonts w:hint="eastAsia" w:ascii="Times New Roman" w:hAnsi="Times New Roman" w:eastAsia="宋体" w:cs="Times New Roman"/>
                      <w:color w:val="auto"/>
                      <w:spacing w:val="-17"/>
                      <w:kern w:val="2"/>
                      <w:sz w:val="18"/>
                      <w:szCs w:val="18"/>
                      <w:highlight w:val="none"/>
                      <w:lang w:val="en-US" w:eastAsia="zh-CN" w:bidi="ar-SA"/>
                    </w:rPr>
                  </w:pPr>
                  <w:r>
                    <w:rPr>
                      <w:rFonts w:hint="eastAsia" w:cs="Times New Roman"/>
                      <w:color w:val="auto"/>
                      <w:spacing w:val="-17"/>
                      <w:sz w:val="18"/>
                      <w:szCs w:val="18"/>
                      <w:highlight w:val="none"/>
                      <w:lang w:val="en-US" w:eastAsia="zh-CN"/>
                    </w:rPr>
                    <w:t>1</w:t>
                  </w:r>
                </w:p>
              </w:tc>
              <w:tc>
                <w:tcPr>
                  <w:tcW w:w="176" w:type="pct"/>
                  <w:vMerge w:val="restart"/>
                  <w:vAlign w:val="center"/>
                </w:tcPr>
                <w:p w14:paraId="4F3FD952">
                  <w:pPr>
                    <w:spacing w:line="220" w:lineRule="exact"/>
                    <w:jc w:val="center"/>
                    <w:rPr>
                      <w:rFonts w:hint="eastAsia" w:ascii="Times New Roman" w:hAnsi="Times New Roman" w:cs="Times New Roman"/>
                      <w:color w:val="auto"/>
                      <w:spacing w:val="-17"/>
                      <w:kern w:val="2"/>
                      <w:sz w:val="18"/>
                      <w:szCs w:val="18"/>
                      <w:highlight w:val="none"/>
                      <w:lang w:val="en-US" w:eastAsia="zh-CN" w:bidi="ar-SA"/>
                    </w:rPr>
                  </w:pPr>
                  <w:r>
                    <w:rPr>
                      <w:rFonts w:hint="eastAsia" w:ascii="Times New Roman" w:hAnsi="Times New Roman" w:cs="Times New Roman"/>
                      <w:color w:val="auto"/>
                      <w:spacing w:val="-17"/>
                      <w:kern w:val="2"/>
                      <w:sz w:val="18"/>
                      <w:szCs w:val="18"/>
                      <w:highlight w:val="none"/>
                      <w:lang w:val="en-US" w:eastAsia="zh-CN" w:bidi="ar-SA"/>
                    </w:rPr>
                    <w:t>项目</w:t>
                  </w:r>
                </w:p>
                <w:p w14:paraId="164140E7">
                  <w:pPr>
                    <w:spacing w:line="220" w:lineRule="exact"/>
                    <w:jc w:val="center"/>
                    <w:rPr>
                      <w:rFonts w:hint="default" w:ascii="Times New Roman" w:hAnsi="Times New Roman" w:eastAsia="宋体" w:cs="Times New Roman"/>
                      <w:color w:val="auto"/>
                      <w:spacing w:val="-17"/>
                      <w:kern w:val="2"/>
                      <w:sz w:val="18"/>
                      <w:szCs w:val="18"/>
                      <w:highlight w:val="none"/>
                      <w:lang w:val="en-US" w:eastAsia="zh-CN" w:bidi="ar-SA"/>
                    </w:rPr>
                  </w:pPr>
                  <w:r>
                    <w:rPr>
                      <w:rFonts w:hint="eastAsia" w:ascii="Times New Roman" w:hAnsi="Times New Roman" w:cs="Times New Roman"/>
                      <w:color w:val="auto"/>
                      <w:spacing w:val="-17"/>
                      <w:kern w:val="2"/>
                      <w:sz w:val="18"/>
                      <w:szCs w:val="18"/>
                      <w:highlight w:val="none"/>
                      <w:lang w:val="en-US" w:eastAsia="zh-CN" w:bidi="ar-SA"/>
                    </w:rPr>
                    <w:t>厂区</w:t>
                  </w:r>
                </w:p>
              </w:tc>
              <w:tc>
                <w:tcPr>
                  <w:tcW w:w="211" w:type="pct"/>
                  <w:vMerge w:val="restart"/>
                  <w:vAlign w:val="center"/>
                </w:tcPr>
                <w:p w14:paraId="47ADC0A6">
                  <w:pPr>
                    <w:spacing w:line="220" w:lineRule="exact"/>
                    <w:jc w:val="center"/>
                    <w:rPr>
                      <w:rFonts w:hint="eastAsia" w:ascii="Times New Roman" w:hAnsi="Times New Roman" w:cs="Times New Roman"/>
                      <w:color w:val="auto"/>
                      <w:spacing w:val="-17"/>
                      <w:sz w:val="18"/>
                      <w:szCs w:val="18"/>
                      <w:lang w:val="en-US" w:eastAsia="zh-CN"/>
                    </w:rPr>
                  </w:pPr>
                  <w:r>
                    <w:rPr>
                      <w:rFonts w:hint="eastAsia" w:cs="Times New Roman"/>
                      <w:color w:val="auto"/>
                      <w:spacing w:val="-17"/>
                      <w:sz w:val="18"/>
                      <w:szCs w:val="18"/>
                      <w:lang w:val="en-US" w:eastAsia="zh-CN"/>
                    </w:rPr>
                    <w:t>1</w:t>
                  </w:r>
                  <w:r>
                    <w:rPr>
                      <w:rFonts w:hint="eastAsia" w:cs="Times New Roman"/>
                      <w:color w:val="auto"/>
                      <w:spacing w:val="-17"/>
                      <w:sz w:val="18"/>
                      <w:szCs w:val="18"/>
                      <w:vertAlign w:val="superscript"/>
                      <w:lang w:val="en-US" w:eastAsia="zh-CN"/>
                    </w:rPr>
                    <w:t>#</w:t>
                  </w:r>
                  <w:r>
                    <w:rPr>
                      <w:rFonts w:hint="eastAsia" w:cs="Times New Roman"/>
                      <w:color w:val="auto"/>
                      <w:spacing w:val="-17"/>
                      <w:sz w:val="18"/>
                      <w:szCs w:val="18"/>
                      <w:lang w:val="en-US" w:eastAsia="zh-CN"/>
                    </w:rPr>
                    <w:t>生产车间</w:t>
                  </w:r>
                </w:p>
              </w:tc>
              <w:tc>
                <w:tcPr>
                  <w:tcW w:w="379" w:type="pct"/>
                  <w:shd w:val="clear" w:color="auto" w:fill="auto"/>
                  <w:vAlign w:val="center"/>
                </w:tcPr>
                <w:p w14:paraId="3C8EDE17">
                  <w:pPr>
                    <w:pStyle w:val="71"/>
                    <w:spacing w:line="220" w:lineRule="exact"/>
                    <w:jc w:val="center"/>
                    <w:rPr>
                      <w:rFonts w:hint="default" w:ascii="Times New Roman" w:hAnsi="Times New Roman" w:eastAsia="宋体" w:cs="Times New Roman"/>
                      <w:color w:val="auto"/>
                      <w:spacing w:val="-17"/>
                      <w:kern w:val="0"/>
                      <w:sz w:val="18"/>
                      <w:szCs w:val="18"/>
                      <w:highlight w:val="none"/>
                      <w:lang w:val="en-US" w:eastAsia="zh-CN" w:bidi="ar-SA"/>
                    </w:rPr>
                  </w:pPr>
                  <w:r>
                    <w:rPr>
                      <w:rFonts w:hint="eastAsia" w:ascii="Times New Roman" w:hAnsi="Times New Roman" w:cs="Times New Roman"/>
                      <w:color w:val="auto"/>
                      <w:spacing w:val="-17"/>
                      <w:sz w:val="18"/>
                      <w:szCs w:val="18"/>
                      <w:highlight w:val="none"/>
                      <w:lang w:val="en-US" w:eastAsia="zh-CN"/>
                    </w:rPr>
                    <w:t>1</w:t>
                  </w:r>
                  <w:r>
                    <w:rPr>
                      <w:rFonts w:hint="eastAsia" w:ascii="Times New Roman" w:hAnsi="Times New Roman" w:eastAsia="宋体" w:cs="Times New Roman"/>
                      <w:color w:val="auto"/>
                      <w:spacing w:val="-17"/>
                      <w:sz w:val="18"/>
                      <w:szCs w:val="18"/>
                      <w:highlight w:val="none"/>
                      <w:vertAlign w:val="superscript"/>
                      <w:lang w:val="en-US" w:eastAsia="zh-CN"/>
                    </w:rPr>
                    <w:t>#</w:t>
                  </w:r>
                  <w:r>
                    <w:rPr>
                      <w:rFonts w:hint="eastAsia" w:ascii="Times New Roman" w:hAnsi="Times New Roman" w:eastAsia="宋体" w:cs="Times New Roman"/>
                      <w:color w:val="auto"/>
                      <w:spacing w:val="-17"/>
                      <w:sz w:val="18"/>
                      <w:szCs w:val="18"/>
                      <w:highlight w:val="none"/>
                      <w:lang w:val="en-US" w:eastAsia="zh-CN"/>
                    </w:rPr>
                    <w:t>滚筒筛</w:t>
                  </w:r>
                </w:p>
              </w:tc>
              <w:tc>
                <w:tcPr>
                  <w:tcW w:w="193" w:type="pct"/>
                  <w:shd w:val="clear" w:color="auto" w:fill="auto"/>
                  <w:vAlign w:val="center"/>
                </w:tcPr>
                <w:p w14:paraId="76B9469F">
                  <w:pPr>
                    <w:pStyle w:val="71"/>
                    <w:spacing w:line="220" w:lineRule="exact"/>
                    <w:jc w:val="center"/>
                    <w:rPr>
                      <w:rFonts w:hint="eastAsia" w:ascii="Times New Roman" w:hAnsi="Times New Roman" w:eastAsia="宋体" w:cs="Times New Roman"/>
                      <w:color w:val="auto"/>
                      <w:spacing w:val="-17"/>
                      <w:kern w:val="0"/>
                      <w:sz w:val="18"/>
                      <w:szCs w:val="18"/>
                      <w:highlight w:val="none"/>
                      <w:lang w:val="en-US" w:eastAsia="zh-CN" w:bidi="ar-SA"/>
                    </w:rPr>
                  </w:pPr>
                  <w:r>
                    <w:rPr>
                      <w:rFonts w:hint="eastAsia" w:ascii="Times New Roman" w:hAnsi="Times New Roman" w:eastAsia="宋体" w:cs="Times New Roman"/>
                      <w:color w:val="auto"/>
                      <w:spacing w:val="-17"/>
                      <w:sz w:val="18"/>
                      <w:szCs w:val="18"/>
                      <w:highlight w:val="none"/>
                      <w:lang w:val="en-US" w:eastAsia="zh-CN"/>
                    </w:rPr>
                    <w:t>1</w:t>
                  </w:r>
                </w:p>
              </w:tc>
              <w:tc>
                <w:tcPr>
                  <w:tcW w:w="250" w:type="pct"/>
                  <w:shd w:val="clear" w:color="auto" w:fill="auto"/>
                  <w:vAlign w:val="center"/>
                </w:tcPr>
                <w:p w14:paraId="5CC2FA96">
                  <w:pPr>
                    <w:pStyle w:val="71"/>
                    <w:spacing w:line="220" w:lineRule="exact"/>
                    <w:jc w:val="center"/>
                    <w:rPr>
                      <w:rFonts w:hint="default"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90</w:t>
                  </w:r>
                </w:p>
              </w:tc>
              <w:tc>
                <w:tcPr>
                  <w:tcW w:w="314" w:type="pct"/>
                  <w:vMerge w:val="restart"/>
                  <w:vAlign w:val="center"/>
                </w:tcPr>
                <w:p w14:paraId="49BEB71F">
                  <w:pPr>
                    <w:spacing w:line="220" w:lineRule="exact"/>
                    <w:jc w:val="center"/>
                    <w:rPr>
                      <w:rFonts w:hint="eastAsia"/>
                      <w:color w:val="auto"/>
                      <w:spacing w:val="-17"/>
                      <w:sz w:val="18"/>
                      <w:szCs w:val="18"/>
                      <w:lang w:val="en-US" w:eastAsia="zh-CN"/>
                    </w:rPr>
                  </w:pPr>
                  <w:r>
                    <w:rPr>
                      <w:rFonts w:hint="eastAsia" w:ascii="Times New Roman" w:hAnsi="Times New Roman" w:eastAsia="宋体" w:cs="Times New Roman"/>
                      <w:color w:val="auto"/>
                      <w:spacing w:val="-17"/>
                      <w:kern w:val="2"/>
                      <w:sz w:val="18"/>
                      <w:szCs w:val="18"/>
                      <w:lang w:val="en-US" w:eastAsia="zh-CN" w:bidi="ar-SA"/>
                    </w:rPr>
                    <w:t>低噪音设备+封闭厂房（双层彩钢结构、内置隔音棉）+基础减振</w:t>
                  </w:r>
                </w:p>
              </w:tc>
              <w:tc>
                <w:tcPr>
                  <w:tcW w:w="428" w:type="dxa"/>
                  <w:shd w:val="clear" w:color="auto" w:fill="FFFFFF"/>
                  <w:vAlign w:val="bottom"/>
                </w:tcPr>
                <w:p w14:paraId="650AA4B0">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23.6</w:t>
                  </w:r>
                </w:p>
              </w:tc>
              <w:tc>
                <w:tcPr>
                  <w:tcW w:w="504" w:type="dxa"/>
                  <w:shd w:val="clear" w:color="auto" w:fill="FFFFFF"/>
                  <w:vAlign w:val="bottom"/>
                </w:tcPr>
                <w:p w14:paraId="33DA5107">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13.5</w:t>
                  </w:r>
                </w:p>
              </w:tc>
              <w:tc>
                <w:tcPr>
                  <w:tcW w:w="503" w:type="dxa"/>
                  <w:shd w:val="clear" w:color="auto" w:fill="FFFFFF"/>
                  <w:vAlign w:val="bottom"/>
                </w:tcPr>
                <w:p w14:paraId="763F0DE1">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36.8</w:t>
                  </w:r>
                </w:p>
              </w:tc>
              <w:tc>
                <w:tcPr>
                  <w:tcW w:w="525" w:type="dxa"/>
                  <w:shd w:val="clear" w:color="auto" w:fill="FFFFFF"/>
                  <w:vAlign w:val="bottom"/>
                </w:tcPr>
                <w:p w14:paraId="05C47862">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44.5</w:t>
                  </w:r>
                </w:p>
              </w:tc>
              <w:tc>
                <w:tcPr>
                  <w:tcW w:w="483" w:type="dxa"/>
                  <w:shd w:val="clear" w:color="auto" w:fill="FFFFFF"/>
                  <w:vAlign w:val="bottom"/>
                </w:tcPr>
                <w:p w14:paraId="0DD36CA8">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58.7</w:t>
                  </w:r>
                </w:p>
              </w:tc>
              <w:tc>
                <w:tcPr>
                  <w:tcW w:w="482" w:type="dxa"/>
                  <w:shd w:val="clear" w:color="auto" w:fill="FFFFFF"/>
                  <w:vAlign w:val="bottom"/>
                </w:tcPr>
                <w:p w14:paraId="55C22658">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60.2</w:t>
                  </w:r>
                </w:p>
              </w:tc>
              <w:tc>
                <w:tcPr>
                  <w:tcW w:w="546" w:type="dxa"/>
                  <w:shd w:val="clear" w:color="auto" w:fill="FFFFFF"/>
                  <w:vAlign w:val="bottom"/>
                </w:tcPr>
                <w:p w14:paraId="7ECD0869">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58.2</w:t>
                  </w:r>
                </w:p>
              </w:tc>
              <w:tc>
                <w:tcPr>
                  <w:tcW w:w="579" w:type="dxa"/>
                  <w:shd w:val="clear" w:color="auto" w:fill="FFFFFF"/>
                  <w:vAlign w:val="bottom"/>
                </w:tcPr>
                <w:p w14:paraId="5EC47983">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58.1</w:t>
                  </w:r>
                </w:p>
              </w:tc>
              <w:tc>
                <w:tcPr>
                  <w:tcW w:w="262" w:type="pct"/>
                  <w:vMerge w:val="restart"/>
                  <w:vAlign w:val="center"/>
                </w:tcPr>
                <w:p w14:paraId="5F1F17CD">
                  <w:pPr>
                    <w:pStyle w:val="71"/>
                    <w:spacing w:line="220" w:lineRule="exact"/>
                    <w:jc w:val="center"/>
                    <w:rPr>
                      <w:rFonts w:hint="default" w:ascii="Times New Roman" w:hAnsi="Times New Roman" w:eastAsia="宋体" w:cs="Calibri"/>
                      <w:color w:val="auto"/>
                      <w:spacing w:val="-17"/>
                      <w:kern w:val="0"/>
                      <w:sz w:val="18"/>
                      <w:szCs w:val="18"/>
                      <w:lang w:val="en-US" w:eastAsia="zh-CN" w:bidi="ar-SA"/>
                    </w:rPr>
                  </w:pPr>
                  <w:r>
                    <w:rPr>
                      <w:rFonts w:hint="eastAsia" w:ascii="Times New Roman" w:hAnsi="Times New Roman" w:cs="Calibri"/>
                      <w:color w:val="auto"/>
                      <w:spacing w:val="-17"/>
                      <w:kern w:val="0"/>
                      <w:sz w:val="18"/>
                      <w:szCs w:val="18"/>
                      <w:lang w:val="en-US" w:eastAsia="zh-CN" w:bidi="ar-SA"/>
                    </w:rPr>
                    <w:t>全天运行</w:t>
                  </w:r>
                </w:p>
              </w:tc>
              <w:tc>
                <w:tcPr>
                  <w:tcW w:w="331" w:type="pct"/>
                  <w:shd w:val="clear" w:color="auto" w:fill="FFFFFF"/>
                  <w:vAlign w:val="center"/>
                </w:tcPr>
                <w:p w14:paraId="5F181387">
                  <w:pPr>
                    <w:pStyle w:val="71"/>
                    <w:spacing w:line="220" w:lineRule="exact"/>
                    <w:jc w:val="center"/>
                    <w:rPr>
                      <w:rFonts w:hint="default" w:ascii="Times New Roman" w:hAnsi="Times New Roman" w:eastAsia="宋体" w:cs="Times New Roman"/>
                      <w:color w:val="auto"/>
                      <w:spacing w:val="-17"/>
                      <w:sz w:val="18"/>
                      <w:szCs w:val="18"/>
                      <w:highlight w:val="none"/>
                      <w:lang w:val="en-US" w:eastAsia="zh-CN"/>
                    </w:rPr>
                  </w:pPr>
                  <w:r>
                    <w:rPr>
                      <w:rFonts w:hint="eastAsia" w:ascii="Times New Roman" w:hAnsi="Times New Roman" w:eastAsia="宋体" w:cs="Times New Roman"/>
                      <w:color w:val="auto"/>
                      <w:spacing w:val="-17"/>
                      <w:sz w:val="18"/>
                      <w:szCs w:val="18"/>
                      <w:highlight w:val="none"/>
                      <w:lang w:val="en-US" w:eastAsia="zh-CN"/>
                    </w:rPr>
                    <w:t>31.0</w:t>
                  </w:r>
                </w:p>
              </w:tc>
              <w:tc>
                <w:tcPr>
                  <w:tcW w:w="397" w:type="dxa"/>
                  <w:shd w:val="clear" w:color="auto" w:fill="FFFFFF"/>
                  <w:vAlign w:val="bottom"/>
                </w:tcPr>
                <w:p w14:paraId="0B712A67">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27.7</w:t>
                  </w:r>
                </w:p>
              </w:tc>
              <w:tc>
                <w:tcPr>
                  <w:tcW w:w="439" w:type="dxa"/>
                  <w:shd w:val="clear" w:color="auto" w:fill="FFFFFF"/>
                  <w:vAlign w:val="bottom"/>
                </w:tcPr>
                <w:p w14:paraId="5F9D22ED">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29.2</w:t>
                  </w:r>
                </w:p>
              </w:tc>
              <w:tc>
                <w:tcPr>
                  <w:tcW w:w="418" w:type="dxa"/>
                  <w:shd w:val="clear" w:color="auto" w:fill="FFFFFF"/>
                  <w:vAlign w:val="bottom"/>
                </w:tcPr>
                <w:p w14:paraId="385E4549">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27.2</w:t>
                  </w:r>
                </w:p>
              </w:tc>
              <w:tc>
                <w:tcPr>
                  <w:tcW w:w="396" w:type="dxa"/>
                  <w:shd w:val="clear" w:color="auto" w:fill="FFFFFF"/>
                  <w:vAlign w:val="bottom"/>
                </w:tcPr>
                <w:p w14:paraId="67BACE96">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27.1</w:t>
                  </w:r>
                </w:p>
              </w:tc>
              <w:tc>
                <w:tcPr>
                  <w:tcW w:w="411" w:type="pct"/>
                  <w:shd w:val="clear" w:color="auto" w:fill="FFFFFF"/>
                  <w:vAlign w:val="center"/>
                </w:tcPr>
                <w:p w14:paraId="06B8BD21">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eastAsia" w:ascii="Times New Roman" w:hAnsi="Times New Roman" w:eastAsia="宋体" w:cs="Times New Roman"/>
                      <w:color w:val="auto"/>
                      <w:spacing w:val="-17"/>
                      <w:sz w:val="18"/>
                      <w:szCs w:val="18"/>
                      <w:highlight w:val="none"/>
                      <w:lang w:val="en-US" w:eastAsia="zh-CN"/>
                    </w:rPr>
                    <w:t>1</w:t>
                  </w:r>
                </w:p>
              </w:tc>
            </w:tr>
            <w:tr w14:paraId="0173019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1" w:hRule="exact"/>
                <w:jc w:val="center"/>
              </w:trPr>
              <w:tc>
                <w:tcPr>
                  <w:tcW w:w="176" w:type="pct"/>
                  <w:shd w:val="clear" w:color="auto" w:fill="auto"/>
                  <w:vAlign w:val="center"/>
                </w:tcPr>
                <w:p w14:paraId="02B00970">
                  <w:pPr>
                    <w:spacing w:line="220" w:lineRule="exact"/>
                    <w:jc w:val="center"/>
                    <w:rPr>
                      <w:rFonts w:hint="eastAsia" w:ascii="Times New Roman" w:hAnsi="Times New Roman" w:eastAsia="宋体" w:cs="Times New Roman"/>
                      <w:color w:val="auto"/>
                      <w:spacing w:val="-17"/>
                      <w:kern w:val="2"/>
                      <w:sz w:val="18"/>
                      <w:szCs w:val="18"/>
                      <w:highlight w:val="none"/>
                      <w:lang w:val="en-US" w:eastAsia="zh-CN" w:bidi="ar-SA"/>
                    </w:rPr>
                  </w:pPr>
                  <w:r>
                    <w:rPr>
                      <w:rFonts w:hint="eastAsia" w:cs="Times New Roman"/>
                      <w:color w:val="auto"/>
                      <w:spacing w:val="-17"/>
                      <w:sz w:val="18"/>
                      <w:szCs w:val="18"/>
                      <w:highlight w:val="none"/>
                      <w:lang w:val="en-US" w:eastAsia="zh-CN"/>
                    </w:rPr>
                    <w:t>2</w:t>
                  </w:r>
                </w:p>
              </w:tc>
              <w:tc>
                <w:tcPr>
                  <w:tcW w:w="176" w:type="pct"/>
                  <w:vMerge w:val="continue"/>
                  <w:vAlign w:val="center"/>
                </w:tcPr>
                <w:p w14:paraId="23F993EE">
                  <w:pPr>
                    <w:spacing w:line="220" w:lineRule="exact"/>
                    <w:jc w:val="center"/>
                    <w:rPr>
                      <w:rFonts w:hint="eastAsia" w:ascii="Times New Roman" w:hAnsi="Times New Roman" w:cs="Times New Roman"/>
                      <w:color w:val="auto"/>
                      <w:spacing w:val="-17"/>
                      <w:kern w:val="2"/>
                      <w:sz w:val="18"/>
                      <w:szCs w:val="18"/>
                      <w:highlight w:val="none"/>
                      <w:lang w:val="en-US" w:eastAsia="zh-CN" w:bidi="ar-SA"/>
                    </w:rPr>
                  </w:pPr>
                </w:p>
              </w:tc>
              <w:tc>
                <w:tcPr>
                  <w:tcW w:w="211" w:type="pct"/>
                  <w:vMerge w:val="continue"/>
                  <w:vAlign w:val="center"/>
                </w:tcPr>
                <w:p w14:paraId="6BD8B298">
                  <w:pPr>
                    <w:spacing w:line="220" w:lineRule="exact"/>
                    <w:jc w:val="center"/>
                    <w:rPr>
                      <w:rFonts w:hint="eastAsia" w:cs="Times New Roman"/>
                      <w:color w:val="auto"/>
                      <w:spacing w:val="-17"/>
                      <w:sz w:val="18"/>
                      <w:szCs w:val="18"/>
                      <w:lang w:val="en-US" w:eastAsia="zh-CN"/>
                    </w:rPr>
                  </w:pPr>
                </w:p>
              </w:tc>
              <w:tc>
                <w:tcPr>
                  <w:tcW w:w="379" w:type="pct"/>
                  <w:shd w:val="clear" w:color="auto" w:fill="auto"/>
                  <w:vAlign w:val="center"/>
                </w:tcPr>
                <w:p w14:paraId="5576777D">
                  <w:pPr>
                    <w:pStyle w:val="71"/>
                    <w:spacing w:line="220" w:lineRule="exact"/>
                    <w:jc w:val="center"/>
                    <w:rPr>
                      <w:rFonts w:hint="default" w:ascii="Times New Roman" w:hAnsi="Times New Roman" w:eastAsia="宋体" w:cs="Times New Roman"/>
                      <w:color w:val="auto"/>
                      <w:spacing w:val="-17"/>
                      <w:kern w:val="0"/>
                      <w:sz w:val="18"/>
                      <w:szCs w:val="18"/>
                      <w:highlight w:val="none"/>
                      <w:lang w:val="en-US" w:eastAsia="zh-CN" w:bidi="ar-SA"/>
                    </w:rPr>
                  </w:pPr>
                  <w:r>
                    <w:rPr>
                      <w:rFonts w:hint="eastAsia" w:ascii="Times New Roman" w:hAnsi="Times New Roman" w:cs="Times New Roman"/>
                      <w:color w:val="auto"/>
                      <w:spacing w:val="-17"/>
                      <w:sz w:val="18"/>
                      <w:szCs w:val="18"/>
                      <w:highlight w:val="none"/>
                      <w:lang w:val="en-US" w:eastAsia="zh-CN"/>
                    </w:rPr>
                    <w:t>2</w:t>
                  </w:r>
                  <w:r>
                    <w:rPr>
                      <w:rFonts w:hint="eastAsia" w:ascii="Times New Roman" w:hAnsi="Times New Roman" w:eastAsia="宋体" w:cs="Times New Roman"/>
                      <w:color w:val="auto"/>
                      <w:spacing w:val="-17"/>
                      <w:sz w:val="18"/>
                      <w:szCs w:val="18"/>
                      <w:highlight w:val="none"/>
                      <w:vertAlign w:val="superscript"/>
                      <w:lang w:val="en-US" w:eastAsia="zh-CN"/>
                    </w:rPr>
                    <w:t>#</w:t>
                  </w:r>
                  <w:r>
                    <w:rPr>
                      <w:rFonts w:hint="eastAsia" w:ascii="Times New Roman" w:hAnsi="Times New Roman" w:eastAsia="宋体" w:cs="Times New Roman"/>
                      <w:color w:val="auto"/>
                      <w:spacing w:val="-17"/>
                      <w:sz w:val="18"/>
                      <w:szCs w:val="18"/>
                      <w:highlight w:val="none"/>
                      <w:lang w:val="en-US" w:eastAsia="zh-CN"/>
                    </w:rPr>
                    <w:t>滚筒筛</w:t>
                  </w:r>
                </w:p>
              </w:tc>
              <w:tc>
                <w:tcPr>
                  <w:tcW w:w="193" w:type="pct"/>
                  <w:shd w:val="clear" w:color="auto" w:fill="auto"/>
                  <w:vAlign w:val="center"/>
                </w:tcPr>
                <w:p w14:paraId="5F04D198">
                  <w:pPr>
                    <w:pStyle w:val="71"/>
                    <w:spacing w:line="220" w:lineRule="exact"/>
                    <w:jc w:val="center"/>
                    <w:rPr>
                      <w:rFonts w:hint="eastAsia" w:ascii="Times New Roman" w:hAnsi="Times New Roman" w:eastAsia="宋体" w:cs="Times New Roman"/>
                      <w:color w:val="auto"/>
                      <w:spacing w:val="-17"/>
                      <w:kern w:val="0"/>
                      <w:sz w:val="18"/>
                      <w:szCs w:val="18"/>
                      <w:highlight w:val="none"/>
                      <w:lang w:val="en-US" w:eastAsia="zh-CN" w:bidi="ar-SA"/>
                    </w:rPr>
                  </w:pPr>
                  <w:r>
                    <w:rPr>
                      <w:rFonts w:hint="eastAsia" w:ascii="Times New Roman" w:hAnsi="Times New Roman" w:eastAsia="宋体" w:cs="Times New Roman"/>
                      <w:color w:val="auto"/>
                      <w:spacing w:val="-17"/>
                      <w:sz w:val="18"/>
                      <w:szCs w:val="18"/>
                      <w:highlight w:val="none"/>
                      <w:lang w:val="en-US" w:eastAsia="zh-CN"/>
                    </w:rPr>
                    <w:t>1</w:t>
                  </w:r>
                </w:p>
              </w:tc>
              <w:tc>
                <w:tcPr>
                  <w:tcW w:w="250" w:type="pct"/>
                  <w:shd w:val="clear" w:color="auto" w:fill="auto"/>
                  <w:vAlign w:val="center"/>
                </w:tcPr>
                <w:p w14:paraId="26A9F0B0">
                  <w:pPr>
                    <w:pStyle w:val="71"/>
                    <w:spacing w:line="220" w:lineRule="exact"/>
                    <w:jc w:val="center"/>
                    <w:rPr>
                      <w:rFonts w:hint="default"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90</w:t>
                  </w:r>
                </w:p>
              </w:tc>
              <w:tc>
                <w:tcPr>
                  <w:tcW w:w="314" w:type="pct"/>
                  <w:vMerge w:val="continue"/>
                  <w:vAlign w:val="center"/>
                </w:tcPr>
                <w:p w14:paraId="7783808C">
                  <w:pPr>
                    <w:spacing w:line="220" w:lineRule="exact"/>
                    <w:jc w:val="center"/>
                    <w:rPr>
                      <w:rFonts w:hint="eastAsia" w:ascii="Times New Roman" w:hAnsi="Times New Roman" w:eastAsia="宋体" w:cs="Times New Roman"/>
                      <w:color w:val="auto"/>
                      <w:spacing w:val="-17"/>
                      <w:kern w:val="2"/>
                      <w:sz w:val="18"/>
                      <w:szCs w:val="18"/>
                      <w:lang w:val="en-US" w:eastAsia="zh-CN" w:bidi="ar-SA"/>
                    </w:rPr>
                  </w:pPr>
                </w:p>
              </w:tc>
              <w:tc>
                <w:tcPr>
                  <w:tcW w:w="428" w:type="dxa"/>
                  <w:shd w:val="clear" w:color="auto" w:fill="FFFFFF"/>
                  <w:vAlign w:val="bottom"/>
                </w:tcPr>
                <w:p w14:paraId="2265C59C">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13.2</w:t>
                  </w:r>
                </w:p>
              </w:tc>
              <w:tc>
                <w:tcPr>
                  <w:tcW w:w="504" w:type="dxa"/>
                  <w:shd w:val="clear" w:color="auto" w:fill="FFFFFF"/>
                  <w:vAlign w:val="bottom"/>
                </w:tcPr>
                <w:p w14:paraId="1D5679DD">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13.3</w:t>
                  </w:r>
                </w:p>
              </w:tc>
              <w:tc>
                <w:tcPr>
                  <w:tcW w:w="503" w:type="dxa"/>
                  <w:shd w:val="clear" w:color="auto" w:fill="FFFFFF"/>
                  <w:vAlign w:val="bottom"/>
                </w:tcPr>
                <w:p w14:paraId="5FACBF7E">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47.2</w:t>
                  </w:r>
                </w:p>
              </w:tc>
              <w:tc>
                <w:tcPr>
                  <w:tcW w:w="525" w:type="dxa"/>
                  <w:shd w:val="clear" w:color="auto" w:fill="FFFFFF"/>
                  <w:vAlign w:val="bottom"/>
                </w:tcPr>
                <w:p w14:paraId="42F051BF">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44.7</w:t>
                  </w:r>
                </w:p>
              </w:tc>
              <w:tc>
                <w:tcPr>
                  <w:tcW w:w="483" w:type="dxa"/>
                  <w:shd w:val="clear" w:color="auto" w:fill="FFFFFF"/>
                  <w:vAlign w:val="bottom"/>
                </w:tcPr>
                <w:p w14:paraId="1629E954">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60.3</w:t>
                  </w:r>
                </w:p>
              </w:tc>
              <w:tc>
                <w:tcPr>
                  <w:tcW w:w="482" w:type="dxa"/>
                  <w:shd w:val="clear" w:color="auto" w:fill="FFFFFF"/>
                  <w:vAlign w:val="bottom"/>
                </w:tcPr>
                <w:p w14:paraId="7B8D6E6A">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60.2</w:t>
                  </w:r>
                </w:p>
              </w:tc>
              <w:tc>
                <w:tcPr>
                  <w:tcW w:w="546" w:type="dxa"/>
                  <w:shd w:val="clear" w:color="auto" w:fill="FFFFFF"/>
                  <w:vAlign w:val="bottom"/>
                </w:tcPr>
                <w:p w14:paraId="583721E0">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58.1</w:t>
                  </w:r>
                </w:p>
              </w:tc>
              <w:tc>
                <w:tcPr>
                  <w:tcW w:w="579" w:type="dxa"/>
                  <w:shd w:val="clear" w:color="auto" w:fill="FFFFFF"/>
                  <w:vAlign w:val="bottom"/>
                </w:tcPr>
                <w:p w14:paraId="3A01AFEF">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58.1</w:t>
                  </w:r>
                </w:p>
              </w:tc>
              <w:tc>
                <w:tcPr>
                  <w:tcW w:w="262" w:type="pct"/>
                  <w:vMerge w:val="continue"/>
                  <w:vAlign w:val="center"/>
                </w:tcPr>
                <w:p w14:paraId="249B86EA">
                  <w:pPr>
                    <w:pStyle w:val="71"/>
                    <w:spacing w:line="220" w:lineRule="exact"/>
                    <w:jc w:val="center"/>
                    <w:rPr>
                      <w:rFonts w:hint="eastAsia" w:ascii="Times New Roman" w:hAnsi="Times New Roman" w:cs="Calibri"/>
                      <w:color w:val="auto"/>
                      <w:spacing w:val="-17"/>
                      <w:kern w:val="0"/>
                      <w:sz w:val="18"/>
                      <w:szCs w:val="18"/>
                      <w:lang w:val="en-US" w:eastAsia="zh-CN" w:bidi="ar-SA"/>
                    </w:rPr>
                  </w:pPr>
                </w:p>
              </w:tc>
              <w:tc>
                <w:tcPr>
                  <w:tcW w:w="331" w:type="pct"/>
                  <w:shd w:val="clear" w:color="auto" w:fill="FFFFFF"/>
                  <w:vAlign w:val="center"/>
                </w:tcPr>
                <w:p w14:paraId="1A774946">
                  <w:pPr>
                    <w:pStyle w:val="71"/>
                    <w:spacing w:line="220" w:lineRule="exact"/>
                    <w:jc w:val="center"/>
                    <w:rPr>
                      <w:rFonts w:hint="default" w:ascii="Times New Roman" w:hAnsi="Times New Roman" w:eastAsia="宋体" w:cs="Times New Roman"/>
                      <w:color w:val="auto"/>
                      <w:spacing w:val="-17"/>
                      <w:sz w:val="18"/>
                      <w:szCs w:val="18"/>
                      <w:highlight w:val="none"/>
                      <w:lang w:val="en-US" w:eastAsia="zh-CN"/>
                    </w:rPr>
                  </w:pPr>
                  <w:r>
                    <w:rPr>
                      <w:rFonts w:hint="eastAsia" w:ascii="Times New Roman" w:hAnsi="Times New Roman" w:eastAsia="宋体" w:cs="Times New Roman"/>
                      <w:color w:val="auto"/>
                      <w:spacing w:val="-17"/>
                      <w:sz w:val="18"/>
                      <w:szCs w:val="18"/>
                      <w:highlight w:val="none"/>
                      <w:lang w:val="en-US" w:eastAsia="zh-CN"/>
                    </w:rPr>
                    <w:t>31.0</w:t>
                  </w:r>
                </w:p>
              </w:tc>
              <w:tc>
                <w:tcPr>
                  <w:tcW w:w="397" w:type="dxa"/>
                  <w:shd w:val="clear" w:color="auto" w:fill="FFFFFF"/>
                  <w:vAlign w:val="bottom"/>
                </w:tcPr>
                <w:p w14:paraId="71F69B46">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29.3</w:t>
                  </w:r>
                </w:p>
              </w:tc>
              <w:tc>
                <w:tcPr>
                  <w:tcW w:w="439" w:type="dxa"/>
                  <w:shd w:val="clear" w:color="auto" w:fill="FFFFFF"/>
                  <w:vAlign w:val="bottom"/>
                </w:tcPr>
                <w:p w14:paraId="678EBA79">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29.2</w:t>
                  </w:r>
                </w:p>
              </w:tc>
              <w:tc>
                <w:tcPr>
                  <w:tcW w:w="418" w:type="dxa"/>
                  <w:shd w:val="clear" w:color="auto" w:fill="FFFFFF"/>
                  <w:vAlign w:val="bottom"/>
                </w:tcPr>
                <w:p w14:paraId="0FC0F54A">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27.1</w:t>
                  </w:r>
                </w:p>
              </w:tc>
              <w:tc>
                <w:tcPr>
                  <w:tcW w:w="396" w:type="dxa"/>
                  <w:shd w:val="clear" w:color="auto" w:fill="FFFFFF"/>
                  <w:vAlign w:val="bottom"/>
                </w:tcPr>
                <w:p w14:paraId="4C437732">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27.1</w:t>
                  </w:r>
                </w:p>
              </w:tc>
              <w:tc>
                <w:tcPr>
                  <w:tcW w:w="411" w:type="pct"/>
                  <w:shd w:val="clear" w:color="auto" w:fill="FFFFFF"/>
                  <w:vAlign w:val="center"/>
                </w:tcPr>
                <w:p w14:paraId="32FFC2FA">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eastAsia" w:ascii="Times New Roman" w:hAnsi="Times New Roman" w:eastAsia="宋体" w:cs="Times New Roman"/>
                      <w:color w:val="auto"/>
                      <w:spacing w:val="-17"/>
                      <w:sz w:val="18"/>
                      <w:szCs w:val="18"/>
                      <w:highlight w:val="none"/>
                      <w:lang w:val="en-US" w:eastAsia="zh-CN"/>
                    </w:rPr>
                    <w:t>1</w:t>
                  </w:r>
                </w:p>
              </w:tc>
            </w:tr>
            <w:tr w14:paraId="79312F4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1" w:hRule="exact"/>
                <w:jc w:val="center"/>
              </w:trPr>
              <w:tc>
                <w:tcPr>
                  <w:tcW w:w="176" w:type="pct"/>
                  <w:shd w:val="clear" w:color="auto" w:fill="auto"/>
                  <w:vAlign w:val="center"/>
                </w:tcPr>
                <w:p w14:paraId="585B300F">
                  <w:pPr>
                    <w:spacing w:line="220" w:lineRule="exact"/>
                    <w:jc w:val="center"/>
                    <w:rPr>
                      <w:rFonts w:hint="eastAsia" w:ascii="Times New Roman" w:hAnsi="Times New Roman" w:eastAsia="宋体" w:cs="Times New Roman"/>
                      <w:color w:val="auto"/>
                      <w:spacing w:val="-17"/>
                      <w:kern w:val="2"/>
                      <w:sz w:val="18"/>
                      <w:szCs w:val="18"/>
                      <w:highlight w:val="none"/>
                      <w:lang w:val="en-US" w:eastAsia="zh-CN" w:bidi="ar-SA"/>
                    </w:rPr>
                  </w:pPr>
                  <w:r>
                    <w:rPr>
                      <w:rFonts w:hint="eastAsia" w:cs="Times New Roman"/>
                      <w:color w:val="auto"/>
                      <w:spacing w:val="-17"/>
                      <w:sz w:val="18"/>
                      <w:szCs w:val="18"/>
                      <w:highlight w:val="none"/>
                      <w:lang w:val="en-US" w:eastAsia="zh-CN"/>
                    </w:rPr>
                    <w:t>3</w:t>
                  </w:r>
                </w:p>
              </w:tc>
              <w:tc>
                <w:tcPr>
                  <w:tcW w:w="176" w:type="pct"/>
                  <w:vMerge w:val="continue"/>
                  <w:vAlign w:val="center"/>
                </w:tcPr>
                <w:p w14:paraId="4E6528D0">
                  <w:pPr>
                    <w:spacing w:line="220" w:lineRule="exact"/>
                    <w:jc w:val="center"/>
                    <w:rPr>
                      <w:rFonts w:hint="eastAsia" w:ascii="Times New Roman" w:hAnsi="Times New Roman" w:cs="Times New Roman"/>
                      <w:color w:val="auto"/>
                      <w:spacing w:val="-17"/>
                      <w:kern w:val="2"/>
                      <w:sz w:val="18"/>
                      <w:szCs w:val="18"/>
                      <w:highlight w:val="none"/>
                      <w:lang w:val="en-US" w:eastAsia="zh-CN" w:bidi="ar-SA"/>
                    </w:rPr>
                  </w:pPr>
                </w:p>
              </w:tc>
              <w:tc>
                <w:tcPr>
                  <w:tcW w:w="211" w:type="pct"/>
                  <w:vMerge w:val="continue"/>
                  <w:vAlign w:val="center"/>
                </w:tcPr>
                <w:p w14:paraId="50046DEC">
                  <w:pPr>
                    <w:spacing w:line="220" w:lineRule="exact"/>
                    <w:jc w:val="center"/>
                    <w:rPr>
                      <w:rFonts w:hint="eastAsia" w:cs="Times New Roman"/>
                      <w:color w:val="auto"/>
                      <w:spacing w:val="-17"/>
                      <w:sz w:val="18"/>
                      <w:szCs w:val="18"/>
                      <w:lang w:val="en-US" w:eastAsia="zh-CN"/>
                    </w:rPr>
                  </w:pPr>
                </w:p>
              </w:tc>
              <w:tc>
                <w:tcPr>
                  <w:tcW w:w="379" w:type="pct"/>
                  <w:shd w:val="clear" w:color="auto" w:fill="auto"/>
                  <w:vAlign w:val="center"/>
                </w:tcPr>
                <w:p w14:paraId="66F7C281">
                  <w:pPr>
                    <w:pStyle w:val="71"/>
                    <w:spacing w:line="220" w:lineRule="exact"/>
                    <w:jc w:val="center"/>
                    <w:rPr>
                      <w:rFonts w:hint="default" w:ascii="Times New Roman" w:hAnsi="Times New Roman" w:eastAsia="宋体" w:cs="Times New Roman"/>
                      <w:color w:val="auto"/>
                      <w:spacing w:val="-17"/>
                      <w:kern w:val="0"/>
                      <w:sz w:val="18"/>
                      <w:szCs w:val="18"/>
                      <w:highlight w:val="none"/>
                      <w:lang w:val="en-US" w:eastAsia="zh-CN" w:bidi="ar-SA"/>
                    </w:rPr>
                  </w:pPr>
                  <w:r>
                    <w:rPr>
                      <w:rFonts w:hint="eastAsia" w:ascii="Times New Roman" w:hAnsi="Times New Roman" w:cs="Times New Roman"/>
                      <w:color w:val="auto"/>
                      <w:spacing w:val="-17"/>
                      <w:sz w:val="18"/>
                      <w:szCs w:val="18"/>
                      <w:highlight w:val="none"/>
                      <w:lang w:val="en-US" w:eastAsia="zh-CN"/>
                    </w:rPr>
                    <w:t>1</w:t>
                  </w:r>
                  <w:r>
                    <w:rPr>
                      <w:rFonts w:hint="eastAsia" w:ascii="Times New Roman" w:hAnsi="Times New Roman" w:eastAsia="宋体" w:cs="Times New Roman"/>
                      <w:color w:val="auto"/>
                      <w:spacing w:val="-17"/>
                      <w:sz w:val="18"/>
                      <w:szCs w:val="18"/>
                      <w:highlight w:val="none"/>
                      <w:vertAlign w:val="superscript"/>
                      <w:lang w:val="en-US" w:eastAsia="zh-CN"/>
                    </w:rPr>
                    <w:t>#</w:t>
                  </w:r>
                  <w:r>
                    <w:rPr>
                      <w:rFonts w:hint="eastAsia" w:ascii="Times New Roman" w:hAnsi="Times New Roman" w:eastAsia="宋体" w:cs="Times New Roman"/>
                      <w:color w:val="auto"/>
                      <w:spacing w:val="-17"/>
                      <w:sz w:val="18"/>
                      <w:szCs w:val="18"/>
                      <w:highlight w:val="none"/>
                      <w:lang w:val="en-US" w:eastAsia="zh-CN"/>
                    </w:rPr>
                    <w:t>空气分选机</w:t>
                  </w:r>
                </w:p>
              </w:tc>
              <w:tc>
                <w:tcPr>
                  <w:tcW w:w="193" w:type="pct"/>
                  <w:shd w:val="clear" w:color="auto" w:fill="auto"/>
                  <w:vAlign w:val="center"/>
                </w:tcPr>
                <w:p w14:paraId="33EB9782">
                  <w:pPr>
                    <w:pStyle w:val="71"/>
                    <w:spacing w:line="220" w:lineRule="exact"/>
                    <w:jc w:val="center"/>
                    <w:rPr>
                      <w:rFonts w:hint="eastAsia" w:ascii="Times New Roman" w:hAnsi="Times New Roman" w:eastAsia="宋体" w:cs="Times New Roman"/>
                      <w:color w:val="auto"/>
                      <w:spacing w:val="-17"/>
                      <w:kern w:val="0"/>
                      <w:sz w:val="18"/>
                      <w:szCs w:val="18"/>
                      <w:highlight w:val="none"/>
                      <w:lang w:val="en-US" w:eastAsia="zh-CN" w:bidi="ar-SA"/>
                    </w:rPr>
                  </w:pPr>
                  <w:r>
                    <w:rPr>
                      <w:rFonts w:hint="eastAsia" w:ascii="Times New Roman" w:hAnsi="Times New Roman" w:eastAsia="宋体" w:cs="Times New Roman"/>
                      <w:color w:val="auto"/>
                      <w:spacing w:val="-17"/>
                      <w:sz w:val="18"/>
                      <w:szCs w:val="18"/>
                      <w:highlight w:val="none"/>
                      <w:lang w:val="en-US" w:eastAsia="zh-CN"/>
                    </w:rPr>
                    <w:t>1</w:t>
                  </w:r>
                </w:p>
              </w:tc>
              <w:tc>
                <w:tcPr>
                  <w:tcW w:w="250" w:type="pct"/>
                  <w:shd w:val="clear" w:color="auto" w:fill="auto"/>
                  <w:vAlign w:val="center"/>
                </w:tcPr>
                <w:p w14:paraId="44FDB672">
                  <w:pPr>
                    <w:pStyle w:val="71"/>
                    <w:spacing w:line="220" w:lineRule="exact"/>
                    <w:jc w:val="center"/>
                    <w:rPr>
                      <w:rFonts w:hint="default"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80</w:t>
                  </w:r>
                </w:p>
              </w:tc>
              <w:tc>
                <w:tcPr>
                  <w:tcW w:w="314" w:type="pct"/>
                  <w:vMerge w:val="continue"/>
                  <w:vAlign w:val="center"/>
                </w:tcPr>
                <w:p w14:paraId="639B8BCD">
                  <w:pPr>
                    <w:spacing w:line="220" w:lineRule="exact"/>
                    <w:jc w:val="center"/>
                    <w:rPr>
                      <w:rFonts w:hint="eastAsia" w:ascii="Times New Roman" w:hAnsi="Times New Roman" w:eastAsia="宋体" w:cs="Times New Roman"/>
                      <w:color w:val="auto"/>
                      <w:spacing w:val="-17"/>
                      <w:kern w:val="2"/>
                      <w:sz w:val="18"/>
                      <w:szCs w:val="18"/>
                      <w:lang w:val="en-US" w:eastAsia="zh-CN" w:bidi="ar-SA"/>
                    </w:rPr>
                  </w:pPr>
                </w:p>
              </w:tc>
              <w:tc>
                <w:tcPr>
                  <w:tcW w:w="428" w:type="dxa"/>
                  <w:shd w:val="clear" w:color="auto" w:fill="FFFFFF"/>
                  <w:vAlign w:val="bottom"/>
                </w:tcPr>
                <w:p w14:paraId="3082770C">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23.3</w:t>
                  </w:r>
                </w:p>
              </w:tc>
              <w:tc>
                <w:tcPr>
                  <w:tcW w:w="504" w:type="dxa"/>
                  <w:shd w:val="clear" w:color="auto" w:fill="FFFFFF"/>
                  <w:vAlign w:val="bottom"/>
                </w:tcPr>
                <w:p w14:paraId="12D63963">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17.3</w:t>
                  </w:r>
                </w:p>
              </w:tc>
              <w:tc>
                <w:tcPr>
                  <w:tcW w:w="503" w:type="dxa"/>
                  <w:shd w:val="clear" w:color="auto" w:fill="FFFFFF"/>
                  <w:vAlign w:val="bottom"/>
                </w:tcPr>
                <w:p w14:paraId="5F76E658">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37</w:t>
                  </w:r>
                </w:p>
              </w:tc>
              <w:tc>
                <w:tcPr>
                  <w:tcW w:w="525" w:type="dxa"/>
                  <w:shd w:val="clear" w:color="auto" w:fill="FFFFFF"/>
                  <w:vAlign w:val="bottom"/>
                </w:tcPr>
                <w:p w14:paraId="47EB4266">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40.8</w:t>
                  </w:r>
                </w:p>
              </w:tc>
              <w:tc>
                <w:tcPr>
                  <w:tcW w:w="483" w:type="dxa"/>
                  <w:shd w:val="clear" w:color="auto" w:fill="FFFFFF"/>
                  <w:vAlign w:val="bottom"/>
                </w:tcPr>
                <w:p w14:paraId="0DB138CD">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48.8</w:t>
                  </w:r>
                </w:p>
              </w:tc>
              <w:tc>
                <w:tcPr>
                  <w:tcW w:w="482" w:type="dxa"/>
                  <w:shd w:val="clear" w:color="auto" w:fill="FFFFFF"/>
                  <w:vAlign w:val="bottom"/>
                </w:tcPr>
                <w:p w14:paraId="60920267">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49.4</w:t>
                  </w:r>
                </w:p>
              </w:tc>
              <w:tc>
                <w:tcPr>
                  <w:tcW w:w="546" w:type="dxa"/>
                  <w:shd w:val="clear" w:color="auto" w:fill="FFFFFF"/>
                  <w:vAlign w:val="bottom"/>
                </w:tcPr>
                <w:p w14:paraId="27BE35FA">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48.2</w:t>
                  </w:r>
                </w:p>
              </w:tc>
              <w:tc>
                <w:tcPr>
                  <w:tcW w:w="579" w:type="dxa"/>
                  <w:shd w:val="clear" w:color="auto" w:fill="FFFFFF"/>
                  <w:vAlign w:val="bottom"/>
                </w:tcPr>
                <w:p w14:paraId="6B623118">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48.1</w:t>
                  </w:r>
                </w:p>
              </w:tc>
              <w:tc>
                <w:tcPr>
                  <w:tcW w:w="262" w:type="pct"/>
                  <w:vMerge w:val="continue"/>
                  <w:vAlign w:val="center"/>
                </w:tcPr>
                <w:p w14:paraId="046EA527">
                  <w:pPr>
                    <w:pStyle w:val="71"/>
                    <w:spacing w:line="220" w:lineRule="exact"/>
                    <w:jc w:val="center"/>
                    <w:rPr>
                      <w:rFonts w:hint="eastAsia" w:ascii="Times New Roman" w:hAnsi="Times New Roman" w:cs="Calibri"/>
                      <w:color w:val="auto"/>
                      <w:spacing w:val="-17"/>
                      <w:kern w:val="0"/>
                      <w:sz w:val="18"/>
                      <w:szCs w:val="18"/>
                      <w:lang w:val="en-US" w:eastAsia="zh-CN" w:bidi="ar-SA"/>
                    </w:rPr>
                  </w:pPr>
                </w:p>
              </w:tc>
              <w:tc>
                <w:tcPr>
                  <w:tcW w:w="331" w:type="pct"/>
                  <w:shd w:val="clear" w:color="auto" w:fill="FFFFFF"/>
                  <w:vAlign w:val="center"/>
                </w:tcPr>
                <w:p w14:paraId="63C08A13">
                  <w:pPr>
                    <w:pStyle w:val="71"/>
                    <w:spacing w:line="220" w:lineRule="exact"/>
                    <w:jc w:val="center"/>
                    <w:rPr>
                      <w:rFonts w:hint="default" w:ascii="Times New Roman" w:hAnsi="Times New Roman" w:eastAsia="宋体" w:cs="Times New Roman"/>
                      <w:color w:val="auto"/>
                      <w:spacing w:val="-17"/>
                      <w:sz w:val="18"/>
                      <w:szCs w:val="18"/>
                      <w:highlight w:val="none"/>
                      <w:lang w:val="en-US" w:eastAsia="zh-CN"/>
                    </w:rPr>
                  </w:pPr>
                  <w:r>
                    <w:rPr>
                      <w:rFonts w:hint="eastAsia" w:ascii="Times New Roman" w:hAnsi="Times New Roman" w:eastAsia="宋体" w:cs="Times New Roman"/>
                      <w:color w:val="auto"/>
                      <w:spacing w:val="-17"/>
                      <w:sz w:val="18"/>
                      <w:szCs w:val="18"/>
                      <w:highlight w:val="none"/>
                      <w:lang w:val="en-US" w:eastAsia="zh-CN"/>
                    </w:rPr>
                    <w:t>31.0</w:t>
                  </w:r>
                </w:p>
              </w:tc>
              <w:tc>
                <w:tcPr>
                  <w:tcW w:w="397" w:type="dxa"/>
                  <w:shd w:val="clear" w:color="auto" w:fill="FFFFFF"/>
                  <w:vAlign w:val="bottom"/>
                </w:tcPr>
                <w:p w14:paraId="2578583B">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17.8</w:t>
                  </w:r>
                </w:p>
              </w:tc>
              <w:tc>
                <w:tcPr>
                  <w:tcW w:w="439" w:type="dxa"/>
                  <w:shd w:val="clear" w:color="auto" w:fill="FFFFFF"/>
                  <w:vAlign w:val="bottom"/>
                </w:tcPr>
                <w:p w14:paraId="098AC82D">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18.4</w:t>
                  </w:r>
                </w:p>
              </w:tc>
              <w:tc>
                <w:tcPr>
                  <w:tcW w:w="418" w:type="dxa"/>
                  <w:shd w:val="clear" w:color="auto" w:fill="FFFFFF"/>
                  <w:vAlign w:val="bottom"/>
                </w:tcPr>
                <w:p w14:paraId="781BAC89">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17.2</w:t>
                  </w:r>
                </w:p>
              </w:tc>
              <w:tc>
                <w:tcPr>
                  <w:tcW w:w="396" w:type="dxa"/>
                  <w:shd w:val="clear" w:color="auto" w:fill="FFFFFF"/>
                  <w:vAlign w:val="bottom"/>
                </w:tcPr>
                <w:p w14:paraId="45289276">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17.1</w:t>
                  </w:r>
                </w:p>
              </w:tc>
              <w:tc>
                <w:tcPr>
                  <w:tcW w:w="411" w:type="pct"/>
                  <w:shd w:val="clear" w:color="auto" w:fill="FFFFFF"/>
                  <w:vAlign w:val="center"/>
                </w:tcPr>
                <w:p w14:paraId="32D96913">
                  <w:pPr>
                    <w:pStyle w:val="71"/>
                    <w:spacing w:line="220" w:lineRule="exact"/>
                    <w:jc w:val="center"/>
                    <w:rPr>
                      <w:rFonts w:hint="default" w:ascii="Times New Roman" w:hAnsi="Times New Roman" w:eastAsia="宋体" w:cs="Times New Roman"/>
                      <w:color w:val="auto"/>
                      <w:spacing w:val="-17"/>
                      <w:sz w:val="18"/>
                      <w:szCs w:val="18"/>
                      <w:highlight w:val="none"/>
                      <w:lang w:val="en-US" w:eastAsia="zh-CN"/>
                    </w:rPr>
                  </w:pPr>
                  <w:r>
                    <w:rPr>
                      <w:rFonts w:hint="eastAsia" w:ascii="Times New Roman" w:hAnsi="Times New Roman" w:eastAsia="宋体" w:cs="Times New Roman"/>
                      <w:color w:val="auto"/>
                      <w:spacing w:val="-17"/>
                      <w:sz w:val="18"/>
                      <w:szCs w:val="18"/>
                      <w:highlight w:val="none"/>
                      <w:lang w:val="en-US" w:eastAsia="zh-CN"/>
                    </w:rPr>
                    <w:t>1</w:t>
                  </w:r>
                </w:p>
              </w:tc>
            </w:tr>
            <w:tr w14:paraId="18079CE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1" w:hRule="exact"/>
                <w:jc w:val="center"/>
              </w:trPr>
              <w:tc>
                <w:tcPr>
                  <w:tcW w:w="176" w:type="pct"/>
                  <w:shd w:val="clear" w:color="auto" w:fill="auto"/>
                  <w:vAlign w:val="center"/>
                </w:tcPr>
                <w:p w14:paraId="2439BF54">
                  <w:pPr>
                    <w:spacing w:line="220" w:lineRule="exact"/>
                    <w:jc w:val="center"/>
                    <w:rPr>
                      <w:rFonts w:hint="eastAsia" w:ascii="Times New Roman" w:hAnsi="Times New Roman" w:eastAsia="宋体" w:cs="Times New Roman"/>
                      <w:color w:val="auto"/>
                      <w:spacing w:val="-17"/>
                      <w:kern w:val="2"/>
                      <w:sz w:val="18"/>
                      <w:szCs w:val="18"/>
                      <w:highlight w:val="none"/>
                      <w:lang w:val="en-US" w:eastAsia="zh-CN" w:bidi="ar-SA"/>
                    </w:rPr>
                  </w:pPr>
                  <w:r>
                    <w:rPr>
                      <w:rFonts w:hint="eastAsia" w:cs="Times New Roman"/>
                      <w:color w:val="auto"/>
                      <w:spacing w:val="-17"/>
                      <w:sz w:val="18"/>
                      <w:szCs w:val="18"/>
                      <w:highlight w:val="none"/>
                      <w:lang w:val="en-US" w:eastAsia="zh-CN"/>
                    </w:rPr>
                    <w:t>4</w:t>
                  </w:r>
                </w:p>
              </w:tc>
              <w:tc>
                <w:tcPr>
                  <w:tcW w:w="176" w:type="pct"/>
                  <w:vMerge w:val="continue"/>
                  <w:vAlign w:val="center"/>
                </w:tcPr>
                <w:p w14:paraId="1CFF5B57">
                  <w:pPr>
                    <w:spacing w:line="220" w:lineRule="exact"/>
                    <w:jc w:val="center"/>
                    <w:rPr>
                      <w:rFonts w:hint="eastAsia" w:ascii="Times New Roman" w:hAnsi="Times New Roman" w:cs="Times New Roman"/>
                      <w:color w:val="auto"/>
                      <w:spacing w:val="-17"/>
                      <w:kern w:val="2"/>
                      <w:sz w:val="18"/>
                      <w:szCs w:val="18"/>
                      <w:highlight w:val="none"/>
                      <w:lang w:val="en-US" w:eastAsia="zh-CN" w:bidi="ar-SA"/>
                    </w:rPr>
                  </w:pPr>
                </w:p>
              </w:tc>
              <w:tc>
                <w:tcPr>
                  <w:tcW w:w="211" w:type="pct"/>
                  <w:vMerge w:val="continue"/>
                  <w:vAlign w:val="center"/>
                </w:tcPr>
                <w:p w14:paraId="00D9E02A">
                  <w:pPr>
                    <w:spacing w:line="220" w:lineRule="exact"/>
                    <w:jc w:val="center"/>
                    <w:rPr>
                      <w:rFonts w:hint="eastAsia" w:cs="Times New Roman"/>
                      <w:color w:val="auto"/>
                      <w:spacing w:val="-17"/>
                      <w:sz w:val="18"/>
                      <w:szCs w:val="18"/>
                      <w:lang w:val="en-US" w:eastAsia="zh-CN"/>
                    </w:rPr>
                  </w:pPr>
                </w:p>
              </w:tc>
              <w:tc>
                <w:tcPr>
                  <w:tcW w:w="379" w:type="pct"/>
                  <w:shd w:val="clear" w:color="auto" w:fill="auto"/>
                  <w:vAlign w:val="center"/>
                </w:tcPr>
                <w:p w14:paraId="22A2A4AA">
                  <w:pPr>
                    <w:pStyle w:val="71"/>
                    <w:spacing w:line="220" w:lineRule="exact"/>
                    <w:jc w:val="center"/>
                    <w:rPr>
                      <w:rFonts w:hint="eastAsia" w:ascii="Times New Roman" w:hAnsi="Times New Roman" w:eastAsia="宋体" w:cs="Times New Roman"/>
                      <w:color w:val="auto"/>
                      <w:spacing w:val="-17"/>
                      <w:kern w:val="0"/>
                      <w:sz w:val="18"/>
                      <w:szCs w:val="18"/>
                      <w:highlight w:val="none"/>
                      <w:lang w:val="en-US" w:eastAsia="zh-CN" w:bidi="ar-SA"/>
                    </w:rPr>
                  </w:pPr>
                  <w:r>
                    <w:rPr>
                      <w:rFonts w:hint="eastAsia" w:ascii="Times New Roman" w:hAnsi="Times New Roman" w:cs="Times New Roman"/>
                      <w:color w:val="auto"/>
                      <w:spacing w:val="-17"/>
                      <w:sz w:val="18"/>
                      <w:szCs w:val="18"/>
                      <w:highlight w:val="none"/>
                      <w:lang w:val="en-US" w:eastAsia="zh-CN"/>
                    </w:rPr>
                    <w:t>2</w:t>
                  </w:r>
                  <w:r>
                    <w:rPr>
                      <w:rFonts w:hint="eastAsia" w:ascii="Times New Roman" w:hAnsi="Times New Roman" w:eastAsia="宋体" w:cs="Times New Roman"/>
                      <w:color w:val="auto"/>
                      <w:spacing w:val="-17"/>
                      <w:sz w:val="18"/>
                      <w:szCs w:val="18"/>
                      <w:highlight w:val="none"/>
                      <w:vertAlign w:val="superscript"/>
                      <w:lang w:val="en-US" w:eastAsia="zh-CN"/>
                    </w:rPr>
                    <w:t>#</w:t>
                  </w:r>
                  <w:r>
                    <w:rPr>
                      <w:rFonts w:hint="eastAsia" w:ascii="Times New Roman" w:hAnsi="Times New Roman" w:eastAsia="宋体" w:cs="Times New Roman"/>
                      <w:color w:val="auto"/>
                      <w:spacing w:val="-17"/>
                      <w:sz w:val="18"/>
                      <w:szCs w:val="18"/>
                      <w:highlight w:val="none"/>
                      <w:lang w:val="en-US" w:eastAsia="zh-CN"/>
                    </w:rPr>
                    <w:t>空气分选机</w:t>
                  </w:r>
                </w:p>
              </w:tc>
              <w:tc>
                <w:tcPr>
                  <w:tcW w:w="193" w:type="pct"/>
                  <w:shd w:val="clear" w:color="auto" w:fill="auto"/>
                  <w:vAlign w:val="center"/>
                </w:tcPr>
                <w:p w14:paraId="4CBDB565">
                  <w:pPr>
                    <w:pStyle w:val="71"/>
                    <w:spacing w:line="220" w:lineRule="exact"/>
                    <w:jc w:val="center"/>
                    <w:rPr>
                      <w:rFonts w:hint="eastAsia" w:ascii="Times New Roman" w:hAnsi="Times New Roman" w:eastAsia="宋体" w:cs="Times New Roman"/>
                      <w:color w:val="auto"/>
                      <w:spacing w:val="-17"/>
                      <w:kern w:val="0"/>
                      <w:sz w:val="18"/>
                      <w:szCs w:val="18"/>
                      <w:highlight w:val="none"/>
                      <w:lang w:val="en-US" w:eastAsia="zh-CN" w:bidi="ar-SA"/>
                    </w:rPr>
                  </w:pPr>
                  <w:r>
                    <w:rPr>
                      <w:rFonts w:hint="eastAsia" w:ascii="Times New Roman" w:hAnsi="Times New Roman" w:eastAsia="宋体" w:cs="Times New Roman"/>
                      <w:color w:val="auto"/>
                      <w:spacing w:val="-17"/>
                      <w:sz w:val="18"/>
                      <w:szCs w:val="18"/>
                      <w:highlight w:val="none"/>
                      <w:lang w:val="en-US" w:eastAsia="zh-CN"/>
                    </w:rPr>
                    <w:t>1</w:t>
                  </w:r>
                </w:p>
              </w:tc>
              <w:tc>
                <w:tcPr>
                  <w:tcW w:w="250" w:type="pct"/>
                  <w:shd w:val="clear" w:color="auto" w:fill="auto"/>
                  <w:vAlign w:val="bottom"/>
                </w:tcPr>
                <w:p w14:paraId="49B3BABF">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80</w:t>
                  </w:r>
                </w:p>
              </w:tc>
              <w:tc>
                <w:tcPr>
                  <w:tcW w:w="314" w:type="pct"/>
                  <w:vMerge w:val="continue"/>
                  <w:vAlign w:val="center"/>
                </w:tcPr>
                <w:p w14:paraId="229CFF4F">
                  <w:pPr>
                    <w:spacing w:line="220" w:lineRule="exact"/>
                    <w:jc w:val="center"/>
                    <w:rPr>
                      <w:rFonts w:hint="eastAsia" w:ascii="Times New Roman" w:hAnsi="Times New Roman" w:eastAsia="宋体" w:cs="Times New Roman"/>
                      <w:color w:val="auto"/>
                      <w:spacing w:val="-17"/>
                      <w:kern w:val="2"/>
                      <w:sz w:val="18"/>
                      <w:szCs w:val="18"/>
                      <w:lang w:val="en-US" w:eastAsia="zh-CN" w:bidi="ar-SA"/>
                    </w:rPr>
                  </w:pPr>
                </w:p>
              </w:tc>
              <w:tc>
                <w:tcPr>
                  <w:tcW w:w="428" w:type="dxa"/>
                  <w:shd w:val="clear" w:color="auto" w:fill="FFFFFF"/>
                  <w:vAlign w:val="bottom"/>
                </w:tcPr>
                <w:p w14:paraId="3D238CD8">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13.6</w:t>
                  </w:r>
                </w:p>
              </w:tc>
              <w:tc>
                <w:tcPr>
                  <w:tcW w:w="504" w:type="dxa"/>
                  <w:shd w:val="clear" w:color="auto" w:fill="FFFFFF"/>
                  <w:vAlign w:val="bottom"/>
                </w:tcPr>
                <w:p w14:paraId="4AB16E81">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17.3</w:t>
                  </w:r>
                </w:p>
              </w:tc>
              <w:tc>
                <w:tcPr>
                  <w:tcW w:w="503" w:type="dxa"/>
                  <w:shd w:val="clear" w:color="auto" w:fill="FFFFFF"/>
                  <w:vAlign w:val="bottom"/>
                </w:tcPr>
                <w:p w14:paraId="7B7470F4">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46.8</w:t>
                  </w:r>
                </w:p>
              </w:tc>
              <w:tc>
                <w:tcPr>
                  <w:tcW w:w="525" w:type="dxa"/>
                  <w:shd w:val="clear" w:color="auto" w:fill="FFFFFF"/>
                  <w:vAlign w:val="bottom"/>
                </w:tcPr>
                <w:p w14:paraId="11E8B61B">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40.8</w:t>
                  </w:r>
                </w:p>
              </w:tc>
              <w:tc>
                <w:tcPr>
                  <w:tcW w:w="483" w:type="dxa"/>
                  <w:shd w:val="clear" w:color="auto" w:fill="FFFFFF"/>
                  <w:vAlign w:val="bottom"/>
                </w:tcPr>
                <w:p w14:paraId="17D84084">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50.1</w:t>
                  </w:r>
                </w:p>
              </w:tc>
              <w:tc>
                <w:tcPr>
                  <w:tcW w:w="482" w:type="dxa"/>
                  <w:shd w:val="clear" w:color="auto" w:fill="FFFFFF"/>
                  <w:vAlign w:val="bottom"/>
                </w:tcPr>
                <w:p w14:paraId="6E574894">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49.4</w:t>
                  </w:r>
                </w:p>
              </w:tc>
              <w:tc>
                <w:tcPr>
                  <w:tcW w:w="546" w:type="dxa"/>
                  <w:shd w:val="clear" w:color="auto" w:fill="FFFFFF"/>
                  <w:vAlign w:val="bottom"/>
                </w:tcPr>
                <w:p w14:paraId="566956EA">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48.1</w:t>
                  </w:r>
                </w:p>
              </w:tc>
              <w:tc>
                <w:tcPr>
                  <w:tcW w:w="579" w:type="dxa"/>
                  <w:shd w:val="clear" w:color="auto" w:fill="FFFFFF"/>
                  <w:vAlign w:val="bottom"/>
                </w:tcPr>
                <w:p w14:paraId="5EEDAF52">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48.1</w:t>
                  </w:r>
                </w:p>
              </w:tc>
              <w:tc>
                <w:tcPr>
                  <w:tcW w:w="262" w:type="pct"/>
                  <w:vMerge w:val="continue"/>
                  <w:vAlign w:val="center"/>
                </w:tcPr>
                <w:p w14:paraId="5D958E64">
                  <w:pPr>
                    <w:pStyle w:val="71"/>
                    <w:spacing w:line="220" w:lineRule="exact"/>
                    <w:jc w:val="center"/>
                    <w:rPr>
                      <w:rFonts w:hint="eastAsia" w:ascii="Times New Roman" w:hAnsi="Times New Roman" w:cs="Calibri"/>
                      <w:color w:val="auto"/>
                      <w:spacing w:val="-17"/>
                      <w:kern w:val="0"/>
                      <w:sz w:val="18"/>
                      <w:szCs w:val="18"/>
                      <w:lang w:val="en-US" w:eastAsia="zh-CN" w:bidi="ar-SA"/>
                    </w:rPr>
                  </w:pPr>
                </w:p>
              </w:tc>
              <w:tc>
                <w:tcPr>
                  <w:tcW w:w="331" w:type="pct"/>
                  <w:shd w:val="clear" w:color="auto" w:fill="FFFFFF"/>
                  <w:vAlign w:val="center"/>
                </w:tcPr>
                <w:p w14:paraId="70EE4FE0">
                  <w:pPr>
                    <w:pStyle w:val="71"/>
                    <w:spacing w:line="220" w:lineRule="exact"/>
                    <w:jc w:val="center"/>
                    <w:rPr>
                      <w:rFonts w:hint="default" w:ascii="Times New Roman" w:hAnsi="Times New Roman" w:eastAsia="宋体" w:cs="Times New Roman"/>
                      <w:color w:val="auto"/>
                      <w:spacing w:val="-17"/>
                      <w:sz w:val="18"/>
                      <w:szCs w:val="18"/>
                      <w:highlight w:val="none"/>
                      <w:lang w:val="en-US" w:eastAsia="zh-CN"/>
                    </w:rPr>
                  </w:pPr>
                  <w:r>
                    <w:rPr>
                      <w:rFonts w:hint="eastAsia" w:ascii="Times New Roman" w:hAnsi="Times New Roman" w:eastAsia="宋体" w:cs="Times New Roman"/>
                      <w:color w:val="auto"/>
                      <w:spacing w:val="-17"/>
                      <w:sz w:val="18"/>
                      <w:szCs w:val="18"/>
                      <w:highlight w:val="none"/>
                      <w:lang w:val="en-US" w:eastAsia="zh-CN"/>
                    </w:rPr>
                    <w:t>31.0</w:t>
                  </w:r>
                </w:p>
              </w:tc>
              <w:tc>
                <w:tcPr>
                  <w:tcW w:w="397" w:type="dxa"/>
                  <w:shd w:val="clear" w:color="auto" w:fill="FFFFFF"/>
                  <w:vAlign w:val="bottom"/>
                </w:tcPr>
                <w:p w14:paraId="38560ACD">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19.1</w:t>
                  </w:r>
                </w:p>
              </w:tc>
              <w:tc>
                <w:tcPr>
                  <w:tcW w:w="439" w:type="dxa"/>
                  <w:shd w:val="clear" w:color="auto" w:fill="FFFFFF"/>
                  <w:vAlign w:val="bottom"/>
                </w:tcPr>
                <w:p w14:paraId="4B730947">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18.4</w:t>
                  </w:r>
                </w:p>
              </w:tc>
              <w:tc>
                <w:tcPr>
                  <w:tcW w:w="418" w:type="dxa"/>
                  <w:shd w:val="clear" w:color="auto" w:fill="FFFFFF"/>
                  <w:vAlign w:val="bottom"/>
                </w:tcPr>
                <w:p w14:paraId="456E16B9">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17.1</w:t>
                  </w:r>
                </w:p>
              </w:tc>
              <w:tc>
                <w:tcPr>
                  <w:tcW w:w="396" w:type="dxa"/>
                  <w:shd w:val="clear" w:color="auto" w:fill="FFFFFF"/>
                  <w:vAlign w:val="bottom"/>
                </w:tcPr>
                <w:p w14:paraId="7C2EEDDE">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17.1</w:t>
                  </w:r>
                </w:p>
              </w:tc>
              <w:tc>
                <w:tcPr>
                  <w:tcW w:w="411" w:type="pct"/>
                  <w:shd w:val="clear" w:color="auto" w:fill="FFFFFF"/>
                  <w:vAlign w:val="center"/>
                </w:tcPr>
                <w:p w14:paraId="4D96C16F">
                  <w:pPr>
                    <w:pStyle w:val="71"/>
                    <w:spacing w:line="220" w:lineRule="exact"/>
                    <w:jc w:val="center"/>
                    <w:rPr>
                      <w:rFonts w:hint="default" w:ascii="Times New Roman" w:hAnsi="Times New Roman" w:eastAsia="宋体" w:cs="Times New Roman"/>
                      <w:color w:val="auto"/>
                      <w:spacing w:val="-17"/>
                      <w:sz w:val="18"/>
                      <w:szCs w:val="18"/>
                      <w:highlight w:val="none"/>
                      <w:lang w:val="en-US" w:eastAsia="zh-CN"/>
                    </w:rPr>
                  </w:pPr>
                  <w:r>
                    <w:rPr>
                      <w:rFonts w:hint="eastAsia" w:ascii="Times New Roman" w:hAnsi="Times New Roman" w:eastAsia="宋体" w:cs="Times New Roman"/>
                      <w:color w:val="auto"/>
                      <w:spacing w:val="-17"/>
                      <w:sz w:val="18"/>
                      <w:szCs w:val="18"/>
                      <w:highlight w:val="none"/>
                      <w:lang w:val="en-US" w:eastAsia="zh-CN"/>
                    </w:rPr>
                    <w:t>1</w:t>
                  </w:r>
                </w:p>
              </w:tc>
            </w:tr>
            <w:tr w14:paraId="6C431AD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1" w:hRule="exact"/>
                <w:jc w:val="center"/>
              </w:trPr>
              <w:tc>
                <w:tcPr>
                  <w:tcW w:w="176" w:type="pct"/>
                  <w:shd w:val="clear" w:color="auto" w:fill="auto"/>
                  <w:vAlign w:val="center"/>
                </w:tcPr>
                <w:p w14:paraId="06AC24EC">
                  <w:pPr>
                    <w:spacing w:line="220" w:lineRule="exact"/>
                    <w:jc w:val="center"/>
                    <w:rPr>
                      <w:rFonts w:hint="default" w:ascii="Times New Roman" w:hAnsi="Times New Roman" w:eastAsia="宋体" w:cs="Times New Roman"/>
                      <w:color w:val="auto"/>
                      <w:spacing w:val="-17"/>
                      <w:kern w:val="2"/>
                      <w:sz w:val="18"/>
                      <w:szCs w:val="18"/>
                      <w:highlight w:val="none"/>
                      <w:lang w:val="en-US" w:eastAsia="zh-CN" w:bidi="ar-SA"/>
                    </w:rPr>
                  </w:pPr>
                  <w:r>
                    <w:rPr>
                      <w:rFonts w:hint="eastAsia" w:cs="Times New Roman"/>
                      <w:color w:val="auto"/>
                      <w:spacing w:val="-17"/>
                      <w:sz w:val="18"/>
                      <w:szCs w:val="18"/>
                      <w:highlight w:val="none"/>
                      <w:lang w:val="en-US" w:eastAsia="zh-CN"/>
                    </w:rPr>
                    <w:t>5</w:t>
                  </w:r>
                </w:p>
              </w:tc>
              <w:tc>
                <w:tcPr>
                  <w:tcW w:w="176" w:type="pct"/>
                  <w:vMerge w:val="continue"/>
                  <w:vAlign w:val="center"/>
                </w:tcPr>
                <w:p w14:paraId="1016FCBE">
                  <w:pPr>
                    <w:spacing w:line="220" w:lineRule="exact"/>
                    <w:jc w:val="center"/>
                    <w:rPr>
                      <w:rFonts w:hint="eastAsia" w:ascii="Times New Roman" w:hAnsi="Times New Roman" w:cs="Times New Roman"/>
                      <w:color w:val="auto"/>
                      <w:spacing w:val="-17"/>
                      <w:kern w:val="2"/>
                      <w:sz w:val="18"/>
                      <w:szCs w:val="18"/>
                      <w:highlight w:val="none"/>
                      <w:lang w:val="en-US" w:eastAsia="zh-CN" w:bidi="ar-SA"/>
                    </w:rPr>
                  </w:pPr>
                </w:p>
              </w:tc>
              <w:tc>
                <w:tcPr>
                  <w:tcW w:w="211" w:type="pct"/>
                  <w:vMerge w:val="continue"/>
                  <w:vAlign w:val="center"/>
                </w:tcPr>
                <w:p w14:paraId="41EE92F3">
                  <w:pPr>
                    <w:spacing w:line="220" w:lineRule="exact"/>
                    <w:jc w:val="center"/>
                    <w:rPr>
                      <w:rFonts w:hint="eastAsia" w:cs="Times New Roman"/>
                      <w:color w:val="auto"/>
                      <w:spacing w:val="-17"/>
                      <w:sz w:val="18"/>
                      <w:szCs w:val="18"/>
                      <w:lang w:val="en-US" w:eastAsia="zh-CN"/>
                    </w:rPr>
                  </w:pPr>
                </w:p>
              </w:tc>
              <w:tc>
                <w:tcPr>
                  <w:tcW w:w="379" w:type="pct"/>
                  <w:shd w:val="clear" w:color="auto" w:fill="auto"/>
                  <w:vAlign w:val="center"/>
                </w:tcPr>
                <w:p w14:paraId="2A2A1B06">
                  <w:pPr>
                    <w:pStyle w:val="71"/>
                    <w:spacing w:line="220" w:lineRule="exact"/>
                    <w:jc w:val="center"/>
                    <w:rPr>
                      <w:rFonts w:hint="eastAsia" w:ascii="Times New Roman" w:hAnsi="Times New Roman" w:eastAsia="宋体" w:cs="Times New Roman"/>
                      <w:color w:val="auto"/>
                      <w:spacing w:val="-17"/>
                      <w:kern w:val="0"/>
                      <w:sz w:val="18"/>
                      <w:szCs w:val="18"/>
                      <w:highlight w:val="none"/>
                      <w:lang w:val="en-US" w:eastAsia="zh-CN" w:bidi="ar-SA"/>
                    </w:rPr>
                  </w:pPr>
                  <w:r>
                    <w:rPr>
                      <w:rFonts w:hint="eastAsia" w:ascii="Times New Roman" w:hAnsi="Times New Roman" w:cs="Times New Roman"/>
                      <w:color w:val="auto"/>
                      <w:spacing w:val="-17"/>
                      <w:sz w:val="18"/>
                      <w:szCs w:val="18"/>
                      <w:highlight w:val="none"/>
                      <w:lang w:val="en-US" w:eastAsia="zh-CN"/>
                    </w:rPr>
                    <w:t>1</w:t>
                  </w:r>
                  <w:r>
                    <w:rPr>
                      <w:rFonts w:hint="eastAsia" w:ascii="Times New Roman" w:hAnsi="Times New Roman" w:eastAsia="宋体" w:cs="Times New Roman"/>
                      <w:color w:val="auto"/>
                      <w:spacing w:val="-17"/>
                      <w:sz w:val="18"/>
                      <w:szCs w:val="18"/>
                      <w:highlight w:val="none"/>
                      <w:vertAlign w:val="superscript"/>
                      <w:lang w:val="en-US" w:eastAsia="zh-CN"/>
                    </w:rPr>
                    <w:t>#</w:t>
                  </w:r>
                  <w:r>
                    <w:rPr>
                      <w:rFonts w:hint="eastAsia" w:ascii="Times New Roman" w:hAnsi="Times New Roman" w:eastAsia="宋体" w:cs="Times New Roman"/>
                      <w:color w:val="auto"/>
                      <w:spacing w:val="-17"/>
                      <w:sz w:val="18"/>
                      <w:szCs w:val="18"/>
                      <w:highlight w:val="none"/>
                      <w:lang w:val="en-US" w:eastAsia="zh-CN"/>
                    </w:rPr>
                    <w:t>破碎机</w:t>
                  </w:r>
                </w:p>
              </w:tc>
              <w:tc>
                <w:tcPr>
                  <w:tcW w:w="193" w:type="pct"/>
                  <w:shd w:val="clear" w:color="auto" w:fill="auto"/>
                  <w:vAlign w:val="center"/>
                </w:tcPr>
                <w:p w14:paraId="18CABFDE">
                  <w:pPr>
                    <w:spacing w:line="220" w:lineRule="exact"/>
                    <w:jc w:val="center"/>
                    <w:rPr>
                      <w:rFonts w:hint="eastAsia" w:ascii="Times New Roman" w:hAnsi="Times New Roman" w:eastAsia="宋体" w:cs="Times New Roman"/>
                      <w:color w:val="auto"/>
                      <w:spacing w:val="-17"/>
                      <w:kern w:val="2"/>
                      <w:sz w:val="18"/>
                      <w:szCs w:val="18"/>
                      <w:highlight w:val="none"/>
                      <w:lang w:val="en-US" w:eastAsia="zh-CN" w:bidi="ar-SA"/>
                    </w:rPr>
                  </w:pPr>
                  <w:r>
                    <w:rPr>
                      <w:rFonts w:hint="eastAsia"/>
                      <w:color w:val="auto"/>
                      <w:spacing w:val="-17"/>
                      <w:sz w:val="18"/>
                      <w:szCs w:val="18"/>
                      <w:highlight w:val="none"/>
                      <w:lang w:val="en-US" w:eastAsia="zh-CN"/>
                    </w:rPr>
                    <w:t>1</w:t>
                  </w:r>
                </w:p>
              </w:tc>
              <w:tc>
                <w:tcPr>
                  <w:tcW w:w="250" w:type="pct"/>
                  <w:shd w:val="clear" w:color="auto" w:fill="auto"/>
                  <w:vAlign w:val="bottom"/>
                </w:tcPr>
                <w:p w14:paraId="686D165E">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90</w:t>
                  </w:r>
                </w:p>
              </w:tc>
              <w:tc>
                <w:tcPr>
                  <w:tcW w:w="314" w:type="pct"/>
                  <w:vMerge w:val="continue"/>
                  <w:vAlign w:val="center"/>
                </w:tcPr>
                <w:p w14:paraId="4D2306D4">
                  <w:pPr>
                    <w:spacing w:line="220" w:lineRule="exact"/>
                    <w:jc w:val="center"/>
                    <w:rPr>
                      <w:rFonts w:hint="eastAsia" w:ascii="Times New Roman" w:hAnsi="Times New Roman" w:eastAsia="宋体" w:cs="Times New Roman"/>
                      <w:color w:val="auto"/>
                      <w:spacing w:val="-17"/>
                      <w:kern w:val="2"/>
                      <w:sz w:val="18"/>
                      <w:szCs w:val="18"/>
                      <w:lang w:val="en-US" w:eastAsia="zh-CN" w:bidi="ar-SA"/>
                    </w:rPr>
                  </w:pPr>
                </w:p>
              </w:tc>
              <w:tc>
                <w:tcPr>
                  <w:tcW w:w="428" w:type="dxa"/>
                  <w:shd w:val="clear" w:color="auto" w:fill="FFFFFF"/>
                  <w:vAlign w:val="bottom"/>
                </w:tcPr>
                <w:p w14:paraId="17BCD9C8">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23</w:t>
                  </w:r>
                </w:p>
              </w:tc>
              <w:tc>
                <w:tcPr>
                  <w:tcW w:w="504" w:type="dxa"/>
                  <w:shd w:val="clear" w:color="auto" w:fill="FFFFFF"/>
                  <w:vAlign w:val="bottom"/>
                </w:tcPr>
                <w:p w14:paraId="1E7DDECF">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24.1</w:t>
                  </w:r>
                </w:p>
              </w:tc>
              <w:tc>
                <w:tcPr>
                  <w:tcW w:w="503" w:type="dxa"/>
                  <w:shd w:val="clear" w:color="auto" w:fill="FFFFFF"/>
                  <w:vAlign w:val="bottom"/>
                </w:tcPr>
                <w:p w14:paraId="50F05295">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37.3</w:t>
                  </w:r>
                </w:p>
              </w:tc>
              <w:tc>
                <w:tcPr>
                  <w:tcW w:w="525" w:type="dxa"/>
                  <w:shd w:val="clear" w:color="auto" w:fill="FFFFFF"/>
                  <w:vAlign w:val="bottom"/>
                </w:tcPr>
                <w:p w14:paraId="476E1D16">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33.9</w:t>
                  </w:r>
                </w:p>
              </w:tc>
              <w:tc>
                <w:tcPr>
                  <w:tcW w:w="483" w:type="dxa"/>
                  <w:shd w:val="clear" w:color="auto" w:fill="FFFFFF"/>
                  <w:vAlign w:val="bottom"/>
                </w:tcPr>
                <w:p w14:paraId="6A7E5FC0">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58.8</w:t>
                  </w:r>
                </w:p>
              </w:tc>
              <w:tc>
                <w:tcPr>
                  <w:tcW w:w="482" w:type="dxa"/>
                  <w:shd w:val="clear" w:color="auto" w:fill="FFFFFF"/>
                  <w:vAlign w:val="bottom"/>
                </w:tcPr>
                <w:p w14:paraId="6BC65B6B">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58.7</w:t>
                  </w:r>
                </w:p>
              </w:tc>
              <w:tc>
                <w:tcPr>
                  <w:tcW w:w="546" w:type="dxa"/>
                  <w:shd w:val="clear" w:color="auto" w:fill="FFFFFF"/>
                  <w:vAlign w:val="bottom"/>
                </w:tcPr>
                <w:p w14:paraId="38D4D2EC">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58.2</w:t>
                  </w:r>
                </w:p>
              </w:tc>
              <w:tc>
                <w:tcPr>
                  <w:tcW w:w="579" w:type="dxa"/>
                  <w:shd w:val="clear" w:color="auto" w:fill="FFFFFF"/>
                  <w:vAlign w:val="bottom"/>
                </w:tcPr>
                <w:p w14:paraId="1EF255B4">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58.3</w:t>
                  </w:r>
                </w:p>
              </w:tc>
              <w:tc>
                <w:tcPr>
                  <w:tcW w:w="262" w:type="pct"/>
                  <w:vMerge w:val="continue"/>
                  <w:vAlign w:val="center"/>
                </w:tcPr>
                <w:p w14:paraId="626BC317">
                  <w:pPr>
                    <w:pStyle w:val="71"/>
                    <w:spacing w:line="220" w:lineRule="exact"/>
                    <w:jc w:val="center"/>
                    <w:rPr>
                      <w:rFonts w:hint="eastAsia" w:ascii="Times New Roman" w:hAnsi="Times New Roman" w:cs="Calibri"/>
                      <w:color w:val="auto"/>
                      <w:spacing w:val="-17"/>
                      <w:kern w:val="0"/>
                      <w:sz w:val="18"/>
                      <w:szCs w:val="18"/>
                      <w:lang w:val="en-US" w:eastAsia="zh-CN" w:bidi="ar-SA"/>
                    </w:rPr>
                  </w:pPr>
                </w:p>
              </w:tc>
              <w:tc>
                <w:tcPr>
                  <w:tcW w:w="331" w:type="pct"/>
                  <w:shd w:val="clear" w:color="auto" w:fill="FFFFFF"/>
                  <w:vAlign w:val="center"/>
                </w:tcPr>
                <w:p w14:paraId="6470C24C">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eastAsia" w:ascii="Times New Roman" w:hAnsi="Times New Roman" w:eastAsia="宋体" w:cs="Times New Roman"/>
                      <w:color w:val="auto"/>
                      <w:spacing w:val="-17"/>
                      <w:sz w:val="18"/>
                      <w:szCs w:val="18"/>
                      <w:highlight w:val="none"/>
                      <w:lang w:val="en-US" w:eastAsia="zh-CN"/>
                    </w:rPr>
                    <w:t>31.0</w:t>
                  </w:r>
                </w:p>
              </w:tc>
              <w:tc>
                <w:tcPr>
                  <w:tcW w:w="397" w:type="dxa"/>
                  <w:shd w:val="clear" w:color="auto" w:fill="FFFFFF"/>
                  <w:vAlign w:val="bottom"/>
                </w:tcPr>
                <w:p w14:paraId="7167B90C">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27.8</w:t>
                  </w:r>
                </w:p>
              </w:tc>
              <w:tc>
                <w:tcPr>
                  <w:tcW w:w="439" w:type="dxa"/>
                  <w:shd w:val="clear" w:color="auto" w:fill="FFFFFF"/>
                  <w:vAlign w:val="bottom"/>
                </w:tcPr>
                <w:p w14:paraId="0A807B84">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27.7</w:t>
                  </w:r>
                </w:p>
              </w:tc>
              <w:tc>
                <w:tcPr>
                  <w:tcW w:w="418" w:type="dxa"/>
                  <w:shd w:val="clear" w:color="auto" w:fill="FFFFFF"/>
                  <w:vAlign w:val="bottom"/>
                </w:tcPr>
                <w:p w14:paraId="5C757DA9">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27.2</w:t>
                  </w:r>
                </w:p>
              </w:tc>
              <w:tc>
                <w:tcPr>
                  <w:tcW w:w="396" w:type="dxa"/>
                  <w:shd w:val="clear" w:color="auto" w:fill="FFFFFF"/>
                  <w:vAlign w:val="bottom"/>
                </w:tcPr>
                <w:p w14:paraId="7080566F">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27.3</w:t>
                  </w:r>
                </w:p>
              </w:tc>
              <w:tc>
                <w:tcPr>
                  <w:tcW w:w="411" w:type="pct"/>
                  <w:shd w:val="clear" w:color="auto" w:fill="FFFFFF"/>
                  <w:vAlign w:val="center"/>
                </w:tcPr>
                <w:p w14:paraId="4D298AB0">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eastAsia" w:ascii="Times New Roman" w:hAnsi="Times New Roman" w:eastAsia="宋体" w:cs="Times New Roman"/>
                      <w:color w:val="auto"/>
                      <w:spacing w:val="-17"/>
                      <w:sz w:val="18"/>
                      <w:szCs w:val="18"/>
                      <w:highlight w:val="none"/>
                      <w:lang w:val="en-US" w:eastAsia="zh-CN"/>
                    </w:rPr>
                    <w:t>1</w:t>
                  </w:r>
                </w:p>
              </w:tc>
            </w:tr>
            <w:tr w14:paraId="221FB5C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1" w:hRule="exact"/>
                <w:jc w:val="center"/>
              </w:trPr>
              <w:tc>
                <w:tcPr>
                  <w:tcW w:w="176" w:type="pct"/>
                  <w:shd w:val="clear" w:color="auto" w:fill="auto"/>
                  <w:vAlign w:val="center"/>
                </w:tcPr>
                <w:p w14:paraId="4EBB6402">
                  <w:pPr>
                    <w:spacing w:line="220" w:lineRule="exact"/>
                    <w:jc w:val="center"/>
                    <w:rPr>
                      <w:rFonts w:hint="eastAsia" w:ascii="Times New Roman" w:hAnsi="Times New Roman" w:eastAsia="宋体" w:cs="Times New Roman"/>
                      <w:color w:val="auto"/>
                      <w:spacing w:val="-17"/>
                      <w:kern w:val="2"/>
                      <w:sz w:val="18"/>
                      <w:szCs w:val="18"/>
                      <w:highlight w:val="none"/>
                      <w:lang w:val="en-US" w:eastAsia="zh-CN" w:bidi="ar-SA"/>
                    </w:rPr>
                  </w:pPr>
                  <w:r>
                    <w:rPr>
                      <w:rFonts w:hint="eastAsia" w:cs="Times New Roman"/>
                      <w:color w:val="auto"/>
                      <w:spacing w:val="-17"/>
                      <w:sz w:val="18"/>
                      <w:szCs w:val="18"/>
                      <w:highlight w:val="none"/>
                      <w:lang w:val="en-US" w:eastAsia="zh-CN"/>
                    </w:rPr>
                    <w:t>6</w:t>
                  </w:r>
                </w:p>
              </w:tc>
              <w:tc>
                <w:tcPr>
                  <w:tcW w:w="176" w:type="pct"/>
                  <w:vMerge w:val="continue"/>
                  <w:vAlign w:val="center"/>
                </w:tcPr>
                <w:p w14:paraId="69B4BFE5">
                  <w:pPr>
                    <w:spacing w:line="220" w:lineRule="exact"/>
                    <w:jc w:val="center"/>
                    <w:rPr>
                      <w:rFonts w:hint="eastAsia" w:ascii="Times New Roman" w:hAnsi="Times New Roman" w:cs="Times New Roman"/>
                      <w:color w:val="auto"/>
                      <w:spacing w:val="-17"/>
                      <w:kern w:val="2"/>
                      <w:sz w:val="18"/>
                      <w:szCs w:val="18"/>
                      <w:lang w:val="en-US" w:eastAsia="zh-CN" w:bidi="ar-SA"/>
                    </w:rPr>
                  </w:pPr>
                </w:p>
              </w:tc>
              <w:tc>
                <w:tcPr>
                  <w:tcW w:w="211" w:type="pct"/>
                  <w:vMerge w:val="continue"/>
                  <w:vAlign w:val="center"/>
                </w:tcPr>
                <w:p w14:paraId="69C8AA77">
                  <w:pPr>
                    <w:spacing w:line="220" w:lineRule="exact"/>
                    <w:jc w:val="center"/>
                    <w:rPr>
                      <w:rFonts w:hint="eastAsia" w:ascii="Times New Roman" w:hAnsi="Times New Roman" w:cs="Times New Roman"/>
                      <w:color w:val="auto"/>
                      <w:spacing w:val="-17"/>
                      <w:sz w:val="18"/>
                      <w:szCs w:val="18"/>
                      <w:lang w:val="en-US" w:eastAsia="zh-CN"/>
                    </w:rPr>
                  </w:pPr>
                </w:p>
              </w:tc>
              <w:tc>
                <w:tcPr>
                  <w:tcW w:w="379" w:type="pct"/>
                  <w:shd w:val="clear" w:color="auto" w:fill="auto"/>
                  <w:vAlign w:val="center"/>
                </w:tcPr>
                <w:p w14:paraId="110AAF29">
                  <w:pPr>
                    <w:pStyle w:val="71"/>
                    <w:spacing w:line="220" w:lineRule="exact"/>
                    <w:jc w:val="center"/>
                    <w:rPr>
                      <w:rFonts w:hint="default" w:ascii="Times New Roman" w:hAnsi="Times New Roman" w:eastAsia="宋体" w:cs="Times New Roman"/>
                      <w:color w:val="auto"/>
                      <w:spacing w:val="-17"/>
                      <w:kern w:val="0"/>
                      <w:sz w:val="18"/>
                      <w:szCs w:val="18"/>
                      <w:highlight w:val="none"/>
                      <w:lang w:val="en-US" w:eastAsia="zh-CN" w:bidi="ar-SA"/>
                    </w:rPr>
                  </w:pPr>
                  <w:r>
                    <w:rPr>
                      <w:rFonts w:hint="eastAsia" w:ascii="Times New Roman" w:hAnsi="Times New Roman" w:cs="Times New Roman"/>
                      <w:color w:val="auto"/>
                      <w:spacing w:val="-17"/>
                      <w:sz w:val="18"/>
                      <w:szCs w:val="18"/>
                      <w:highlight w:val="none"/>
                      <w:lang w:val="en-US" w:eastAsia="zh-CN"/>
                    </w:rPr>
                    <w:t>2</w:t>
                  </w:r>
                  <w:r>
                    <w:rPr>
                      <w:rFonts w:hint="eastAsia" w:ascii="Times New Roman" w:hAnsi="Times New Roman" w:eastAsia="宋体" w:cs="Times New Roman"/>
                      <w:color w:val="auto"/>
                      <w:spacing w:val="-17"/>
                      <w:sz w:val="18"/>
                      <w:szCs w:val="18"/>
                      <w:highlight w:val="none"/>
                      <w:vertAlign w:val="superscript"/>
                      <w:lang w:val="en-US" w:eastAsia="zh-CN"/>
                    </w:rPr>
                    <w:t>#</w:t>
                  </w:r>
                  <w:r>
                    <w:rPr>
                      <w:rFonts w:hint="eastAsia" w:ascii="Times New Roman" w:hAnsi="Times New Roman" w:eastAsia="宋体" w:cs="Times New Roman"/>
                      <w:color w:val="auto"/>
                      <w:spacing w:val="-17"/>
                      <w:sz w:val="18"/>
                      <w:szCs w:val="18"/>
                      <w:highlight w:val="none"/>
                      <w:lang w:val="en-US" w:eastAsia="zh-CN"/>
                    </w:rPr>
                    <w:t>破碎机</w:t>
                  </w:r>
                </w:p>
              </w:tc>
              <w:tc>
                <w:tcPr>
                  <w:tcW w:w="193" w:type="pct"/>
                  <w:shd w:val="clear" w:color="auto" w:fill="auto"/>
                  <w:vAlign w:val="center"/>
                </w:tcPr>
                <w:p w14:paraId="31372A9C">
                  <w:pPr>
                    <w:spacing w:line="220" w:lineRule="exact"/>
                    <w:jc w:val="center"/>
                    <w:rPr>
                      <w:rFonts w:hint="eastAsia" w:ascii="Times New Roman" w:hAnsi="Times New Roman" w:eastAsia="宋体" w:cs="Times New Roman"/>
                      <w:color w:val="auto"/>
                      <w:spacing w:val="-17"/>
                      <w:kern w:val="2"/>
                      <w:sz w:val="18"/>
                      <w:szCs w:val="18"/>
                      <w:highlight w:val="none"/>
                      <w:lang w:val="en-US" w:eastAsia="zh-CN" w:bidi="ar-SA"/>
                    </w:rPr>
                  </w:pPr>
                  <w:r>
                    <w:rPr>
                      <w:rFonts w:hint="eastAsia"/>
                      <w:color w:val="auto"/>
                      <w:spacing w:val="-17"/>
                      <w:sz w:val="18"/>
                      <w:szCs w:val="18"/>
                      <w:highlight w:val="none"/>
                      <w:lang w:val="en-US" w:eastAsia="zh-CN"/>
                    </w:rPr>
                    <w:t>1</w:t>
                  </w:r>
                </w:p>
              </w:tc>
              <w:tc>
                <w:tcPr>
                  <w:tcW w:w="250" w:type="pct"/>
                  <w:shd w:val="clear" w:color="auto" w:fill="auto"/>
                  <w:vAlign w:val="bottom"/>
                </w:tcPr>
                <w:p w14:paraId="6EABF982">
                  <w:pPr>
                    <w:pStyle w:val="71"/>
                    <w:spacing w:line="220" w:lineRule="exact"/>
                    <w:jc w:val="center"/>
                    <w:rPr>
                      <w:rFonts w:hint="default"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90</w:t>
                  </w:r>
                </w:p>
              </w:tc>
              <w:tc>
                <w:tcPr>
                  <w:tcW w:w="314" w:type="pct"/>
                  <w:vMerge w:val="continue"/>
                  <w:vAlign w:val="center"/>
                </w:tcPr>
                <w:p w14:paraId="6C32D3BE">
                  <w:pPr>
                    <w:spacing w:line="220" w:lineRule="exact"/>
                    <w:jc w:val="center"/>
                    <w:rPr>
                      <w:rFonts w:hint="eastAsia"/>
                      <w:color w:val="auto"/>
                      <w:spacing w:val="-17"/>
                      <w:sz w:val="18"/>
                      <w:szCs w:val="18"/>
                      <w:lang w:val="en-US" w:eastAsia="zh-CN"/>
                    </w:rPr>
                  </w:pPr>
                </w:p>
              </w:tc>
              <w:tc>
                <w:tcPr>
                  <w:tcW w:w="428" w:type="dxa"/>
                  <w:shd w:val="clear" w:color="auto" w:fill="FFFFFF"/>
                  <w:vAlign w:val="bottom"/>
                </w:tcPr>
                <w:p w14:paraId="36B7A63B">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13.6</w:t>
                  </w:r>
                </w:p>
              </w:tc>
              <w:tc>
                <w:tcPr>
                  <w:tcW w:w="504" w:type="dxa"/>
                  <w:shd w:val="clear" w:color="auto" w:fill="FFFFFF"/>
                  <w:vAlign w:val="bottom"/>
                </w:tcPr>
                <w:p w14:paraId="5C2C50AA">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23.3</w:t>
                  </w:r>
                </w:p>
              </w:tc>
              <w:tc>
                <w:tcPr>
                  <w:tcW w:w="503" w:type="dxa"/>
                  <w:shd w:val="clear" w:color="auto" w:fill="FFFFFF"/>
                  <w:vAlign w:val="bottom"/>
                </w:tcPr>
                <w:p w14:paraId="108734C6">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46.7</w:t>
                  </w:r>
                </w:p>
              </w:tc>
              <w:tc>
                <w:tcPr>
                  <w:tcW w:w="525" w:type="dxa"/>
                  <w:shd w:val="clear" w:color="auto" w:fill="FFFFFF"/>
                  <w:vAlign w:val="bottom"/>
                </w:tcPr>
                <w:p w14:paraId="029E86AE">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34.8</w:t>
                  </w:r>
                </w:p>
              </w:tc>
              <w:tc>
                <w:tcPr>
                  <w:tcW w:w="483" w:type="dxa"/>
                  <w:shd w:val="clear" w:color="auto" w:fill="FFFFFF"/>
                  <w:vAlign w:val="bottom"/>
                </w:tcPr>
                <w:p w14:paraId="239567B6">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60.1</w:t>
                  </w:r>
                </w:p>
              </w:tc>
              <w:tc>
                <w:tcPr>
                  <w:tcW w:w="482" w:type="dxa"/>
                  <w:shd w:val="clear" w:color="auto" w:fill="FFFFFF"/>
                  <w:vAlign w:val="bottom"/>
                </w:tcPr>
                <w:p w14:paraId="1416C410">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58.8</w:t>
                  </w:r>
                </w:p>
              </w:tc>
              <w:tc>
                <w:tcPr>
                  <w:tcW w:w="546" w:type="dxa"/>
                  <w:shd w:val="clear" w:color="auto" w:fill="FFFFFF"/>
                  <w:vAlign w:val="bottom"/>
                </w:tcPr>
                <w:p w14:paraId="45070008">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58.1</w:t>
                  </w:r>
                </w:p>
              </w:tc>
              <w:tc>
                <w:tcPr>
                  <w:tcW w:w="579" w:type="dxa"/>
                  <w:shd w:val="clear" w:color="auto" w:fill="FFFFFF"/>
                  <w:vAlign w:val="bottom"/>
                </w:tcPr>
                <w:p w14:paraId="5937B990">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58.3</w:t>
                  </w:r>
                </w:p>
              </w:tc>
              <w:tc>
                <w:tcPr>
                  <w:tcW w:w="262" w:type="pct"/>
                  <w:vMerge w:val="continue"/>
                  <w:vAlign w:val="center"/>
                </w:tcPr>
                <w:p w14:paraId="038C12AD">
                  <w:pPr>
                    <w:pStyle w:val="71"/>
                    <w:spacing w:line="220" w:lineRule="exact"/>
                    <w:jc w:val="center"/>
                    <w:rPr>
                      <w:rFonts w:hint="default" w:ascii="Times New Roman" w:hAnsi="Times New Roman" w:eastAsia="宋体" w:cs="Calibri"/>
                      <w:color w:val="auto"/>
                      <w:spacing w:val="-17"/>
                      <w:kern w:val="0"/>
                      <w:sz w:val="18"/>
                      <w:szCs w:val="18"/>
                      <w:lang w:val="en-US" w:eastAsia="zh-CN" w:bidi="ar-SA"/>
                    </w:rPr>
                  </w:pPr>
                </w:p>
              </w:tc>
              <w:tc>
                <w:tcPr>
                  <w:tcW w:w="331" w:type="pct"/>
                  <w:shd w:val="clear" w:color="auto" w:fill="FFFFFF"/>
                  <w:vAlign w:val="center"/>
                </w:tcPr>
                <w:p w14:paraId="3BBFA532">
                  <w:pPr>
                    <w:pStyle w:val="71"/>
                    <w:spacing w:line="220" w:lineRule="exact"/>
                    <w:jc w:val="center"/>
                    <w:rPr>
                      <w:rFonts w:hint="default" w:ascii="Times New Roman" w:hAnsi="Times New Roman" w:eastAsia="宋体" w:cs="Times New Roman"/>
                      <w:color w:val="auto"/>
                      <w:spacing w:val="-17"/>
                      <w:sz w:val="18"/>
                      <w:szCs w:val="18"/>
                      <w:highlight w:val="none"/>
                      <w:lang w:val="en-US" w:eastAsia="zh-CN"/>
                    </w:rPr>
                  </w:pPr>
                  <w:r>
                    <w:rPr>
                      <w:rFonts w:hint="eastAsia" w:ascii="Times New Roman" w:hAnsi="Times New Roman" w:eastAsia="宋体" w:cs="Times New Roman"/>
                      <w:color w:val="auto"/>
                      <w:spacing w:val="-17"/>
                      <w:sz w:val="18"/>
                      <w:szCs w:val="18"/>
                      <w:highlight w:val="none"/>
                      <w:lang w:val="en-US" w:eastAsia="zh-CN"/>
                    </w:rPr>
                    <w:t>31.0</w:t>
                  </w:r>
                </w:p>
              </w:tc>
              <w:tc>
                <w:tcPr>
                  <w:tcW w:w="397" w:type="dxa"/>
                  <w:shd w:val="clear" w:color="auto" w:fill="FFFFFF"/>
                  <w:vAlign w:val="bottom"/>
                </w:tcPr>
                <w:p w14:paraId="3437C1B6">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29.1</w:t>
                  </w:r>
                </w:p>
              </w:tc>
              <w:tc>
                <w:tcPr>
                  <w:tcW w:w="439" w:type="dxa"/>
                  <w:shd w:val="clear" w:color="auto" w:fill="FFFFFF"/>
                  <w:vAlign w:val="bottom"/>
                </w:tcPr>
                <w:p w14:paraId="14D30393">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27.8</w:t>
                  </w:r>
                </w:p>
              </w:tc>
              <w:tc>
                <w:tcPr>
                  <w:tcW w:w="418" w:type="dxa"/>
                  <w:shd w:val="clear" w:color="auto" w:fill="FFFFFF"/>
                  <w:vAlign w:val="bottom"/>
                </w:tcPr>
                <w:p w14:paraId="49744767">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27.1</w:t>
                  </w:r>
                </w:p>
              </w:tc>
              <w:tc>
                <w:tcPr>
                  <w:tcW w:w="396" w:type="dxa"/>
                  <w:shd w:val="clear" w:color="auto" w:fill="FFFFFF"/>
                  <w:vAlign w:val="bottom"/>
                </w:tcPr>
                <w:p w14:paraId="75692986">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27.3</w:t>
                  </w:r>
                </w:p>
              </w:tc>
              <w:tc>
                <w:tcPr>
                  <w:tcW w:w="411" w:type="pct"/>
                  <w:shd w:val="clear" w:color="auto" w:fill="FFFFFF"/>
                  <w:vAlign w:val="center"/>
                </w:tcPr>
                <w:p w14:paraId="1C03EA85">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eastAsia" w:ascii="Times New Roman" w:hAnsi="Times New Roman" w:eastAsia="宋体" w:cs="Times New Roman"/>
                      <w:color w:val="auto"/>
                      <w:spacing w:val="-17"/>
                      <w:sz w:val="18"/>
                      <w:szCs w:val="18"/>
                      <w:highlight w:val="none"/>
                      <w:lang w:val="en-US" w:eastAsia="zh-CN"/>
                    </w:rPr>
                    <w:t>1</w:t>
                  </w:r>
                </w:p>
              </w:tc>
            </w:tr>
            <w:tr w14:paraId="31F2AE0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1" w:hRule="exact"/>
                <w:jc w:val="center"/>
              </w:trPr>
              <w:tc>
                <w:tcPr>
                  <w:tcW w:w="176" w:type="pct"/>
                  <w:shd w:val="clear" w:color="auto" w:fill="auto"/>
                  <w:vAlign w:val="center"/>
                </w:tcPr>
                <w:p w14:paraId="467959AE">
                  <w:pPr>
                    <w:spacing w:line="220" w:lineRule="exact"/>
                    <w:jc w:val="center"/>
                    <w:rPr>
                      <w:rFonts w:hint="eastAsia" w:ascii="Times New Roman" w:hAnsi="Times New Roman" w:eastAsia="宋体" w:cs="Times New Roman"/>
                      <w:color w:val="auto"/>
                      <w:spacing w:val="-17"/>
                      <w:kern w:val="2"/>
                      <w:sz w:val="18"/>
                      <w:szCs w:val="18"/>
                      <w:highlight w:val="none"/>
                      <w:lang w:val="en-US" w:eastAsia="zh-CN" w:bidi="ar-SA"/>
                    </w:rPr>
                  </w:pPr>
                  <w:r>
                    <w:rPr>
                      <w:rFonts w:hint="eastAsia" w:cs="Times New Roman"/>
                      <w:color w:val="auto"/>
                      <w:spacing w:val="-17"/>
                      <w:kern w:val="2"/>
                      <w:sz w:val="18"/>
                      <w:szCs w:val="18"/>
                      <w:highlight w:val="none"/>
                      <w:lang w:val="en-US" w:eastAsia="zh-CN" w:bidi="ar-SA"/>
                    </w:rPr>
                    <w:t>7</w:t>
                  </w:r>
                </w:p>
              </w:tc>
              <w:tc>
                <w:tcPr>
                  <w:tcW w:w="176" w:type="pct"/>
                  <w:vMerge w:val="continue"/>
                  <w:vAlign w:val="center"/>
                </w:tcPr>
                <w:p w14:paraId="2004908C">
                  <w:pPr>
                    <w:spacing w:line="220" w:lineRule="exact"/>
                    <w:jc w:val="center"/>
                    <w:rPr>
                      <w:rFonts w:hint="eastAsia" w:ascii="Times New Roman" w:hAnsi="Times New Roman" w:cs="Times New Roman"/>
                      <w:color w:val="auto"/>
                      <w:spacing w:val="-17"/>
                      <w:kern w:val="2"/>
                      <w:sz w:val="18"/>
                      <w:szCs w:val="18"/>
                      <w:lang w:val="en-US" w:eastAsia="zh-CN" w:bidi="ar-SA"/>
                    </w:rPr>
                  </w:pPr>
                </w:p>
              </w:tc>
              <w:tc>
                <w:tcPr>
                  <w:tcW w:w="211" w:type="pct"/>
                  <w:vMerge w:val="continue"/>
                  <w:vAlign w:val="center"/>
                </w:tcPr>
                <w:p w14:paraId="2EB1DD80">
                  <w:pPr>
                    <w:spacing w:line="220" w:lineRule="exact"/>
                    <w:jc w:val="center"/>
                    <w:rPr>
                      <w:rFonts w:hint="eastAsia" w:ascii="Times New Roman" w:hAnsi="Times New Roman" w:cs="Times New Roman"/>
                      <w:color w:val="auto"/>
                      <w:spacing w:val="-17"/>
                      <w:sz w:val="18"/>
                      <w:szCs w:val="18"/>
                      <w:lang w:val="en-US" w:eastAsia="zh-CN"/>
                    </w:rPr>
                  </w:pPr>
                </w:p>
              </w:tc>
              <w:tc>
                <w:tcPr>
                  <w:tcW w:w="379" w:type="pct"/>
                  <w:vAlign w:val="center"/>
                </w:tcPr>
                <w:p w14:paraId="5042091D">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eastAsia" w:ascii="Times New Roman" w:hAnsi="Times New Roman" w:eastAsia="宋体" w:cs="Times New Roman"/>
                      <w:color w:val="auto"/>
                      <w:spacing w:val="-17"/>
                      <w:sz w:val="18"/>
                      <w:szCs w:val="18"/>
                      <w:highlight w:val="none"/>
                      <w:lang w:val="en-US" w:eastAsia="zh-CN"/>
                    </w:rPr>
                    <w:t>1</w:t>
                  </w:r>
                  <w:r>
                    <w:rPr>
                      <w:rFonts w:hint="eastAsia" w:ascii="Times New Roman" w:hAnsi="Times New Roman" w:eastAsia="宋体" w:cs="Times New Roman"/>
                      <w:color w:val="auto"/>
                      <w:spacing w:val="-17"/>
                      <w:sz w:val="18"/>
                      <w:szCs w:val="18"/>
                      <w:highlight w:val="none"/>
                      <w:vertAlign w:val="superscript"/>
                      <w:lang w:val="en-US" w:eastAsia="zh-CN"/>
                    </w:rPr>
                    <w:t>#</w:t>
                  </w:r>
                  <w:r>
                    <w:rPr>
                      <w:rFonts w:hint="eastAsia" w:ascii="Times New Roman" w:hAnsi="Times New Roman" w:eastAsia="宋体" w:cs="Times New Roman"/>
                      <w:color w:val="auto"/>
                      <w:spacing w:val="-17"/>
                      <w:sz w:val="18"/>
                      <w:szCs w:val="18"/>
                      <w:highlight w:val="none"/>
                      <w:lang w:val="en-US" w:eastAsia="zh-CN"/>
                    </w:rPr>
                    <w:t>甩干机</w:t>
                  </w:r>
                </w:p>
              </w:tc>
              <w:tc>
                <w:tcPr>
                  <w:tcW w:w="193" w:type="pct"/>
                  <w:vAlign w:val="center"/>
                </w:tcPr>
                <w:p w14:paraId="577A92DF">
                  <w:pPr>
                    <w:pStyle w:val="71"/>
                    <w:spacing w:line="220" w:lineRule="exact"/>
                    <w:jc w:val="center"/>
                    <w:rPr>
                      <w:rFonts w:hint="default" w:ascii="Times New Roman" w:hAnsi="Times New Roman" w:eastAsia="宋体" w:cs="Times New Roman"/>
                      <w:color w:val="auto"/>
                      <w:spacing w:val="-17"/>
                      <w:sz w:val="18"/>
                      <w:szCs w:val="18"/>
                      <w:highlight w:val="none"/>
                      <w:lang w:val="en-US" w:eastAsia="zh-CN"/>
                    </w:rPr>
                  </w:pPr>
                  <w:r>
                    <w:rPr>
                      <w:rFonts w:hint="eastAsia" w:ascii="Times New Roman" w:hAnsi="Times New Roman" w:eastAsia="宋体" w:cs="Times New Roman"/>
                      <w:color w:val="auto"/>
                      <w:spacing w:val="-17"/>
                      <w:sz w:val="18"/>
                      <w:szCs w:val="18"/>
                      <w:highlight w:val="none"/>
                      <w:lang w:val="en-US" w:eastAsia="zh-CN"/>
                    </w:rPr>
                    <w:t>1</w:t>
                  </w:r>
                </w:p>
              </w:tc>
              <w:tc>
                <w:tcPr>
                  <w:tcW w:w="250" w:type="pct"/>
                  <w:vAlign w:val="bottom"/>
                </w:tcPr>
                <w:p w14:paraId="53135C8E">
                  <w:pPr>
                    <w:pStyle w:val="71"/>
                    <w:spacing w:line="220" w:lineRule="exact"/>
                    <w:jc w:val="center"/>
                    <w:rPr>
                      <w:rFonts w:hint="default"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80</w:t>
                  </w:r>
                </w:p>
              </w:tc>
              <w:tc>
                <w:tcPr>
                  <w:tcW w:w="314" w:type="pct"/>
                  <w:vMerge w:val="continue"/>
                  <w:vAlign w:val="center"/>
                </w:tcPr>
                <w:p w14:paraId="682F5B93">
                  <w:pPr>
                    <w:spacing w:line="220" w:lineRule="exact"/>
                    <w:jc w:val="center"/>
                    <w:rPr>
                      <w:rFonts w:hint="eastAsia"/>
                      <w:color w:val="auto"/>
                      <w:spacing w:val="-17"/>
                      <w:sz w:val="18"/>
                      <w:szCs w:val="18"/>
                      <w:lang w:val="en-US" w:eastAsia="zh-CN"/>
                    </w:rPr>
                  </w:pPr>
                </w:p>
              </w:tc>
              <w:tc>
                <w:tcPr>
                  <w:tcW w:w="428" w:type="dxa"/>
                  <w:shd w:val="clear" w:color="auto" w:fill="FFFFFF"/>
                  <w:vAlign w:val="bottom"/>
                </w:tcPr>
                <w:p w14:paraId="274D8CC3">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20.2</w:t>
                  </w:r>
                </w:p>
              </w:tc>
              <w:tc>
                <w:tcPr>
                  <w:tcW w:w="504" w:type="dxa"/>
                  <w:shd w:val="clear" w:color="auto" w:fill="FFFFFF"/>
                  <w:vAlign w:val="bottom"/>
                </w:tcPr>
                <w:p w14:paraId="0B046244">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28.5</w:t>
                  </w:r>
                </w:p>
              </w:tc>
              <w:tc>
                <w:tcPr>
                  <w:tcW w:w="503" w:type="dxa"/>
                  <w:shd w:val="clear" w:color="auto" w:fill="FFFFFF"/>
                  <w:vAlign w:val="bottom"/>
                </w:tcPr>
                <w:p w14:paraId="45B23327">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40.2</w:t>
                  </w:r>
                </w:p>
              </w:tc>
              <w:tc>
                <w:tcPr>
                  <w:tcW w:w="525" w:type="dxa"/>
                  <w:shd w:val="clear" w:color="auto" w:fill="FFFFFF"/>
                  <w:vAlign w:val="bottom"/>
                </w:tcPr>
                <w:p w14:paraId="40062549">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29.6</w:t>
                  </w:r>
                </w:p>
              </w:tc>
              <w:tc>
                <w:tcPr>
                  <w:tcW w:w="483" w:type="dxa"/>
                  <w:shd w:val="clear" w:color="auto" w:fill="FFFFFF"/>
                  <w:vAlign w:val="bottom"/>
                </w:tcPr>
                <w:p w14:paraId="16C6004E">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49</w:t>
                  </w:r>
                </w:p>
              </w:tc>
              <w:tc>
                <w:tcPr>
                  <w:tcW w:w="482" w:type="dxa"/>
                  <w:shd w:val="clear" w:color="auto" w:fill="FFFFFF"/>
                  <w:vAlign w:val="bottom"/>
                </w:tcPr>
                <w:p w14:paraId="1A9D0F4E">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48.5</w:t>
                  </w:r>
                </w:p>
              </w:tc>
              <w:tc>
                <w:tcPr>
                  <w:tcW w:w="546" w:type="dxa"/>
                  <w:shd w:val="clear" w:color="auto" w:fill="FFFFFF"/>
                  <w:vAlign w:val="bottom"/>
                </w:tcPr>
                <w:p w14:paraId="5D148A72">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48.1</w:t>
                  </w:r>
                </w:p>
              </w:tc>
              <w:tc>
                <w:tcPr>
                  <w:tcW w:w="579" w:type="dxa"/>
                  <w:shd w:val="clear" w:color="auto" w:fill="FFFFFF"/>
                  <w:vAlign w:val="bottom"/>
                </w:tcPr>
                <w:p w14:paraId="341D93E7">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48.4</w:t>
                  </w:r>
                </w:p>
              </w:tc>
              <w:tc>
                <w:tcPr>
                  <w:tcW w:w="262" w:type="pct"/>
                  <w:vMerge w:val="continue"/>
                  <w:vAlign w:val="center"/>
                </w:tcPr>
                <w:p w14:paraId="3D0E9638">
                  <w:pPr>
                    <w:pStyle w:val="71"/>
                    <w:spacing w:line="220" w:lineRule="exact"/>
                    <w:jc w:val="center"/>
                    <w:rPr>
                      <w:rFonts w:hint="default" w:ascii="Times New Roman" w:hAnsi="Times New Roman" w:eastAsia="宋体" w:cs="Calibri"/>
                      <w:color w:val="auto"/>
                      <w:spacing w:val="-17"/>
                      <w:kern w:val="0"/>
                      <w:sz w:val="18"/>
                      <w:szCs w:val="18"/>
                      <w:lang w:val="en-US" w:eastAsia="zh-CN" w:bidi="ar-SA"/>
                    </w:rPr>
                  </w:pPr>
                </w:p>
              </w:tc>
              <w:tc>
                <w:tcPr>
                  <w:tcW w:w="331" w:type="pct"/>
                  <w:shd w:val="clear" w:color="auto" w:fill="FFFFFF"/>
                  <w:vAlign w:val="center"/>
                </w:tcPr>
                <w:p w14:paraId="7513F6E8">
                  <w:pPr>
                    <w:pStyle w:val="71"/>
                    <w:spacing w:line="220" w:lineRule="exact"/>
                    <w:jc w:val="center"/>
                    <w:rPr>
                      <w:rFonts w:hint="default" w:ascii="Times New Roman" w:hAnsi="Times New Roman" w:eastAsia="宋体" w:cs="Times New Roman"/>
                      <w:color w:val="auto"/>
                      <w:spacing w:val="-17"/>
                      <w:sz w:val="18"/>
                      <w:szCs w:val="18"/>
                      <w:highlight w:val="none"/>
                      <w:lang w:val="en-US" w:eastAsia="zh-CN"/>
                    </w:rPr>
                  </w:pPr>
                  <w:r>
                    <w:rPr>
                      <w:rFonts w:hint="eastAsia" w:ascii="Times New Roman" w:hAnsi="Times New Roman" w:eastAsia="宋体" w:cs="Times New Roman"/>
                      <w:color w:val="auto"/>
                      <w:spacing w:val="-17"/>
                      <w:sz w:val="18"/>
                      <w:szCs w:val="18"/>
                      <w:highlight w:val="none"/>
                      <w:lang w:val="en-US" w:eastAsia="zh-CN"/>
                    </w:rPr>
                    <w:t>31.0</w:t>
                  </w:r>
                </w:p>
              </w:tc>
              <w:tc>
                <w:tcPr>
                  <w:tcW w:w="397" w:type="dxa"/>
                  <w:shd w:val="clear" w:color="auto" w:fill="FFFFFF"/>
                  <w:vAlign w:val="bottom"/>
                </w:tcPr>
                <w:p w14:paraId="43390231">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18</w:t>
                  </w:r>
                </w:p>
              </w:tc>
              <w:tc>
                <w:tcPr>
                  <w:tcW w:w="439" w:type="dxa"/>
                  <w:shd w:val="clear" w:color="auto" w:fill="FFFFFF"/>
                  <w:vAlign w:val="bottom"/>
                </w:tcPr>
                <w:p w14:paraId="5FA5BC98">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17.5</w:t>
                  </w:r>
                </w:p>
              </w:tc>
              <w:tc>
                <w:tcPr>
                  <w:tcW w:w="418" w:type="dxa"/>
                  <w:shd w:val="clear" w:color="auto" w:fill="FFFFFF"/>
                  <w:vAlign w:val="bottom"/>
                </w:tcPr>
                <w:p w14:paraId="390A66E4">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17.1</w:t>
                  </w:r>
                </w:p>
              </w:tc>
              <w:tc>
                <w:tcPr>
                  <w:tcW w:w="396" w:type="dxa"/>
                  <w:shd w:val="clear" w:color="auto" w:fill="FFFFFF"/>
                  <w:vAlign w:val="bottom"/>
                </w:tcPr>
                <w:p w14:paraId="13A2370F">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17.4</w:t>
                  </w:r>
                </w:p>
              </w:tc>
              <w:tc>
                <w:tcPr>
                  <w:tcW w:w="411" w:type="pct"/>
                  <w:shd w:val="clear" w:color="auto" w:fill="FFFFFF"/>
                  <w:vAlign w:val="center"/>
                </w:tcPr>
                <w:p w14:paraId="4B020F6A">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eastAsia" w:ascii="Times New Roman" w:hAnsi="Times New Roman" w:eastAsia="宋体" w:cs="Times New Roman"/>
                      <w:color w:val="auto"/>
                      <w:spacing w:val="-17"/>
                      <w:sz w:val="18"/>
                      <w:szCs w:val="18"/>
                      <w:highlight w:val="none"/>
                      <w:lang w:val="en-US" w:eastAsia="zh-CN"/>
                    </w:rPr>
                    <w:t>1</w:t>
                  </w:r>
                </w:p>
              </w:tc>
            </w:tr>
            <w:tr w14:paraId="6EEE539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1" w:hRule="exact"/>
                <w:jc w:val="center"/>
              </w:trPr>
              <w:tc>
                <w:tcPr>
                  <w:tcW w:w="176" w:type="pct"/>
                  <w:shd w:val="clear" w:color="auto" w:fill="auto"/>
                  <w:vAlign w:val="center"/>
                </w:tcPr>
                <w:p w14:paraId="5DFA0DF1">
                  <w:pPr>
                    <w:spacing w:line="220" w:lineRule="exact"/>
                    <w:jc w:val="center"/>
                    <w:rPr>
                      <w:rFonts w:hint="eastAsia" w:ascii="Times New Roman" w:hAnsi="Times New Roman" w:eastAsia="宋体" w:cs="Times New Roman"/>
                      <w:color w:val="auto"/>
                      <w:spacing w:val="-17"/>
                      <w:kern w:val="2"/>
                      <w:sz w:val="18"/>
                      <w:szCs w:val="18"/>
                      <w:highlight w:val="none"/>
                      <w:lang w:val="en-US" w:eastAsia="zh-CN" w:bidi="ar-SA"/>
                    </w:rPr>
                  </w:pPr>
                  <w:r>
                    <w:rPr>
                      <w:rFonts w:hint="eastAsia" w:cs="Times New Roman"/>
                      <w:color w:val="auto"/>
                      <w:spacing w:val="-17"/>
                      <w:sz w:val="18"/>
                      <w:szCs w:val="18"/>
                      <w:highlight w:val="none"/>
                      <w:lang w:val="en-US" w:eastAsia="zh-CN"/>
                    </w:rPr>
                    <w:t>8</w:t>
                  </w:r>
                </w:p>
              </w:tc>
              <w:tc>
                <w:tcPr>
                  <w:tcW w:w="176" w:type="pct"/>
                  <w:vMerge w:val="continue"/>
                  <w:vAlign w:val="center"/>
                </w:tcPr>
                <w:p w14:paraId="6A84D18C">
                  <w:pPr>
                    <w:spacing w:line="220" w:lineRule="exact"/>
                    <w:jc w:val="center"/>
                    <w:rPr>
                      <w:rFonts w:hint="eastAsia" w:ascii="Times New Roman" w:hAnsi="Times New Roman" w:cs="Times New Roman"/>
                      <w:color w:val="auto"/>
                      <w:spacing w:val="-17"/>
                      <w:kern w:val="2"/>
                      <w:sz w:val="18"/>
                      <w:szCs w:val="18"/>
                      <w:lang w:val="en-US" w:eastAsia="zh-CN" w:bidi="ar-SA"/>
                    </w:rPr>
                  </w:pPr>
                </w:p>
              </w:tc>
              <w:tc>
                <w:tcPr>
                  <w:tcW w:w="211" w:type="pct"/>
                  <w:vMerge w:val="continue"/>
                  <w:vAlign w:val="center"/>
                </w:tcPr>
                <w:p w14:paraId="1FC02E20">
                  <w:pPr>
                    <w:spacing w:line="220" w:lineRule="exact"/>
                    <w:jc w:val="center"/>
                    <w:rPr>
                      <w:rFonts w:hint="eastAsia" w:ascii="Times New Roman" w:hAnsi="Times New Roman" w:cs="Times New Roman"/>
                      <w:color w:val="auto"/>
                      <w:spacing w:val="-17"/>
                      <w:sz w:val="18"/>
                      <w:szCs w:val="18"/>
                      <w:lang w:val="en-US" w:eastAsia="zh-CN"/>
                    </w:rPr>
                  </w:pPr>
                </w:p>
              </w:tc>
              <w:tc>
                <w:tcPr>
                  <w:tcW w:w="379" w:type="pct"/>
                  <w:vAlign w:val="center"/>
                </w:tcPr>
                <w:p w14:paraId="7F477D80">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eastAsia" w:ascii="Times New Roman" w:hAnsi="Times New Roman" w:eastAsia="宋体" w:cs="Times New Roman"/>
                      <w:color w:val="auto"/>
                      <w:spacing w:val="-17"/>
                      <w:sz w:val="18"/>
                      <w:szCs w:val="18"/>
                      <w:highlight w:val="none"/>
                      <w:lang w:val="en-US" w:eastAsia="zh-CN"/>
                    </w:rPr>
                    <w:t>2</w:t>
                  </w:r>
                  <w:r>
                    <w:rPr>
                      <w:rFonts w:hint="eastAsia" w:ascii="Times New Roman" w:hAnsi="Times New Roman" w:eastAsia="宋体" w:cs="Times New Roman"/>
                      <w:color w:val="auto"/>
                      <w:spacing w:val="-17"/>
                      <w:sz w:val="18"/>
                      <w:szCs w:val="18"/>
                      <w:highlight w:val="none"/>
                      <w:vertAlign w:val="superscript"/>
                      <w:lang w:val="en-US" w:eastAsia="zh-CN"/>
                    </w:rPr>
                    <w:t>#</w:t>
                  </w:r>
                  <w:r>
                    <w:rPr>
                      <w:rFonts w:hint="eastAsia" w:ascii="Times New Roman" w:hAnsi="Times New Roman" w:eastAsia="宋体" w:cs="Times New Roman"/>
                      <w:color w:val="auto"/>
                      <w:spacing w:val="-17"/>
                      <w:sz w:val="18"/>
                      <w:szCs w:val="18"/>
                      <w:highlight w:val="none"/>
                      <w:lang w:val="en-US" w:eastAsia="zh-CN"/>
                    </w:rPr>
                    <w:t>甩干机</w:t>
                  </w:r>
                </w:p>
              </w:tc>
              <w:tc>
                <w:tcPr>
                  <w:tcW w:w="193" w:type="pct"/>
                  <w:vAlign w:val="center"/>
                </w:tcPr>
                <w:p w14:paraId="18B9F405">
                  <w:pPr>
                    <w:pStyle w:val="71"/>
                    <w:spacing w:line="220" w:lineRule="exact"/>
                    <w:jc w:val="center"/>
                    <w:rPr>
                      <w:rFonts w:hint="default" w:ascii="Times New Roman" w:hAnsi="Times New Roman" w:eastAsia="宋体" w:cs="Times New Roman"/>
                      <w:color w:val="auto"/>
                      <w:spacing w:val="-17"/>
                      <w:sz w:val="18"/>
                      <w:szCs w:val="18"/>
                      <w:highlight w:val="none"/>
                      <w:lang w:val="en-US" w:eastAsia="zh-CN"/>
                    </w:rPr>
                  </w:pPr>
                  <w:r>
                    <w:rPr>
                      <w:rFonts w:hint="eastAsia" w:ascii="Times New Roman" w:hAnsi="Times New Roman" w:eastAsia="宋体" w:cs="Times New Roman"/>
                      <w:color w:val="auto"/>
                      <w:spacing w:val="-17"/>
                      <w:sz w:val="18"/>
                      <w:szCs w:val="18"/>
                      <w:highlight w:val="none"/>
                      <w:lang w:val="en-US" w:eastAsia="zh-CN"/>
                    </w:rPr>
                    <w:t>1</w:t>
                  </w:r>
                </w:p>
              </w:tc>
              <w:tc>
                <w:tcPr>
                  <w:tcW w:w="250" w:type="pct"/>
                  <w:vAlign w:val="bottom"/>
                </w:tcPr>
                <w:p w14:paraId="72DBADF8">
                  <w:pPr>
                    <w:pStyle w:val="71"/>
                    <w:spacing w:line="220" w:lineRule="exact"/>
                    <w:jc w:val="center"/>
                    <w:rPr>
                      <w:rFonts w:hint="default"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80</w:t>
                  </w:r>
                </w:p>
              </w:tc>
              <w:tc>
                <w:tcPr>
                  <w:tcW w:w="314" w:type="pct"/>
                  <w:vMerge w:val="continue"/>
                  <w:vAlign w:val="center"/>
                </w:tcPr>
                <w:p w14:paraId="0356B2FB">
                  <w:pPr>
                    <w:spacing w:line="220" w:lineRule="exact"/>
                    <w:jc w:val="center"/>
                    <w:rPr>
                      <w:rFonts w:hint="eastAsia"/>
                      <w:color w:val="auto"/>
                      <w:spacing w:val="-17"/>
                      <w:sz w:val="18"/>
                      <w:szCs w:val="18"/>
                      <w:lang w:val="en-US" w:eastAsia="zh-CN"/>
                    </w:rPr>
                  </w:pPr>
                </w:p>
              </w:tc>
              <w:tc>
                <w:tcPr>
                  <w:tcW w:w="428" w:type="dxa"/>
                  <w:shd w:val="clear" w:color="auto" w:fill="FFFFFF"/>
                  <w:vAlign w:val="bottom"/>
                </w:tcPr>
                <w:p w14:paraId="7850DEC4">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11.8</w:t>
                  </w:r>
                </w:p>
              </w:tc>
              <w:tc>
                <w:tcPr>
                  <w:tcW w:w="504" w:type="dxa"/>
                  <w:shd w:val="clear" w:color="auto" w:fill="FFFFFF"/>
                  <w:vAlign w:val="bottom"/>
                </w:tcPr>
                <w:p w14:paraId="66423A50">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28.8</w:t>
                  </w:r>
                </w:p>
              </w:tc>
              <w:tc>
                <w:tcPr>
                  <w:tcW w:w="503" w:type="dxa"/>
                  <w:shd w:val="clear" w:color="auto" w:fill="FFFFFF"/>
                  <w:vAlign w:val="bottom"/>
                </w:tcPr>
                <w:p w14:paraId="283BA35F">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48.6</w:t>
                  </w:r>
                </w:p>
              </w:tc>
              <w:tc>
                <w:tcPr>
                  <w:tcW w:w="525" w:type="dxa"/>
                  <w:shd w:val="clear" w:color="auto" w:fill="FFFFFF"/>
                  <w:vAlign w:val="bottom"/>
                </w:tcPr>
                <w:p w14:paraId="5D04F046">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29.3</w:t>
                  </w:r>
                </w:p>
              </w:tc>
              <w:tc>
                <w:tcPr>
                  <w:tcW w:w="483" w:type="dxa"/>
                  <w:shd w:val="clear" w:color="auto" w:fill="FFFFFF"/>
                  <w:vAlign w:val="bottom"/>
                </w:tcPr>
                <w:p w14:paraId="14144F1F">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50.7</w:t>
                  </w:r>
                </w:p>
              </w:tc>
              <w:tc>
                <w:tcPr>
                  <w:tcW w:w="482" w:type="dxa"/>
                  <w:shd w:val="clear" w:color="auto" w:fill="FFFFFF"/>
                  <w:vAlign w:val="bottom"/>
                </w:tcPr>
                <w:p w14:paraId="15ABF706">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48.4</w:t>
                  </w:r>
                </w:p>
              </w:tc>
              <w:tc>
                <w:tcPr>
                  <w:tcW w:w="546" w:type="dxa"/>
                  <w:shd w:val="clear" w:color="auto" w:fill="FFFFFF"/>
                  <w:vAlign w:val="bottom"/>
                </w:tcPr>
                <w:p w14:paraId="41A4A40D">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48</w:t>
                  </w:r>
                </w:p>
              </w:tc>
              <w:tc>
                <w:tcPr>
                  <w:tcW w:w="579" w:type="dxa"/>
                  <w:shd w:val="clear" w:color="auto" w:fill="FFFFFF"/>
                  <w:vAlign w:val="bottom"/>
                </w:tcPr>
                <w:p w14:paraId="111B0557">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48.4</w:t>
                  </w:r>
                </w:p>
              </w:tc>
              <w:tc>
                <w:tcPr>
                  <w:tcW w:w="262" w:type="pct"/>
                  <w:vMerge w:val="continue"/>
                  <w:vAlign w:val="center"/>
                </w:tcPr>
                <w:p w14:paraId="2BEF0793">
                  <w:pPr>
                    <w:pStyle w:val="71"/>
                    <w:spacing w:line="220" w:lineRule="exact"/>
                    <w:jc w:val="center"/>
                    <w:rPr>
                      <w:rFonts w:hint="default" w:ascii="Times New Roman" w:hAnsi="Times New Roman" w:eastAsia="宋体" w:cs="Calibri"/>
                      <w:color w:val="auto"/>
                      <w:spacing w:val="-17"/>
                      <w:kern w:val="0"/>
                      <w:sz w:val="18"/>
                      <w:szCs w:val="18"/>
                      <w:lang w:val="en-US" w:eastAsia="zh-CN" w:bidi="ar-SA"/>
                    </w:rPr>
                  </w:pPr>
                </w:p>
              </w:tc>
              <w:tc>
                <w:tcPr>
                  <w:tcW w:w="331" w:type="pct"/>
                  <w:shd w:val="clear" w:color="auto" w:fill="FFFFFF"/>
                  <w:vAlign w:val="center"/>
                </w:tcPr>
                <w:p w14:paraId="48368D42">
                  <w:pPr>
                    <w:pStyle w:val="71"/>
                    <w:spacing w:line="220" w:lineRule="exact"/>
                    <w:jc w:val="center"/>
                    <w:rPr>
                      <w:rFonts w:hint="default" w:ascii="Times New Roman" w:hAnsi="Times New Roman" w:eastAsia="宋体" w:cs="Times New Roman"/>
                      <w:color w:val="auto"/>
                      <w:spacing w:val="-17"/>
                      <w:sz w:val="18"/>
                      <w:szCs w:val="18"/>
                      <w:highlight w:val="none"/>
                      <w:lang w:val="en-US" w:eastAsia="zh-CN"/>
                    </w:rPr>
                  </w:pPr>
                  <w:r>
                    <w:rPr>
                      <w:rFonts w:hint="eastAsia" w:ascii="Times New Roman" w:hAnsi="Times New Roman" w:eastAsia="宋体" w:cs="Times New Roman"/>
                      <w:color w:val="auto"/>
                      <w:spacing w:val="-17"/>
                      <w:sz w:val="18"/>
                      <w:szCs w:val="18"/>
                      <w:highlight w:val="none"/>
                      <w:lang w:val="en-US" w:eastAsia="zh-CN"/>
                    </w:rPr>
                    <w:t>31.0</w:t>
                  </w:r>
                </w:p>
              </w:tc>
              <w:tc>
                <w:tcPr>
                  <w:tcW w:w="397" w:type="dxa"/>
                  <w:shd w:val="clear" w:color="auto" w:fill="FFFFFF"/>
                  <w:vAlign w:val="bottom"/>
                </w:tcPr>
                <w:p w14:paraId="1ED0E729">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19.7</w:t>
                  </w:r>
                </w:p>
              </w:tc>
              <w:tc>
                <w:tcPr>
                  <w:tcW w:w="439" w:type="dxa"/>
                  <w:shd w:val="clear" w:color="auto" w:fill="FFFFFF"/>
                  <w:vAlign w:val="bottom"/>
                </w:tcPr>
                <w:p w14:paraId="004D46C9">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17.4</w:t>
                  </w:r>
                </w:p>
              </w:tc>
              <w:tc>
                <w:tcPr>
                  <w:tcW w:w="418" w:type="dxa"/>
                  <w:shd w:val="clear" w:color="auto" w:fill="FFFFFF"/>
                  <w:vAlign w:val="bottom"/>
                </w:tcPr>
                <w:p w14:paraId="4C880DFC">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17</w:t>
                  </w:r>
                </w:p>
              </w:tc>
              <w:tc>
                <w:tcPr>
                  <w:tcW w:w="396" w:type="dxa"/>
                  <w:shd w:val="clear" w:color="auto" w:fill="FFFFFF"/>
                  <w:vAlign w:val="bottom"/>
                </w:tcPr>
                <w:p w14:paraId="17132A71">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17.4</w:t>
                  </w:r>
                </w:p>
              </w:tc>
              <w:tc>
                <w:tcPr>
                  <w:tcW w:w="411" w:type="pct"/>
                  <w:shd w:val="clear" w:color="auto" w:fill="FFFFFF"/>
                  <w:vAlign w:val="center"/>
                </w:tcPr>
                <w:p w14:paraId="4D03CB48">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eastAsia" w:ascii="Times New Roman" w:hAnsi="Times New Roman" w:eastAsia="宋体" w:cs="Times New Roman"/>
                      <w:color w:val="auto"/>
                      <w:spacing w:val="-17"/>
                      <w:sz w:val="18"/>
                      <w:szCs w:val="18"/>
                      <w:highlight w:val="none"/>
                      <w:lang w:val="en-US" w:eastAsia="zh-CN"/>
                    </w:rPr>
                    <w:t>1</w:t>
                  </w:r>
                </w:p>
              </w:tc>
            </w:tr>
            <w:tr w14:paraId="71DEDEB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1" w:hRule="exact"/>
                <w:jc w:val="center"/>
              </w:trPr>
              <w:tc>
                <w:tcPr>
                  <w:tcW w:w="176" w:type="pct"/>
                  <w:shd w:val="clear" w:color="auto" w:fill="auto"/>
                  <w:vAlign w:val="center"/>
                </w:tcPr>
                <w:p w14:paraId="4BEA2701">
                  <w:pPr>
                    <w:spacing w:line="220" w:lineRule="exact"/>
                    <w:jc w:val="center"/>
                    <w:rPr>
                      <w:rFonts w:hint="eastAsia" w:ascii="Times New Roman" w:hAnsi="Times New Roman" w:eastAsia="宋体" w:cs="Times New Roman"/>
                      <w:color w:val="auto"/>
                      <w:spacing w:val="-17"/>
                      <w:kern w:val="2"/>
                      <w:sz w:val="18"/>
                      <w:szCs w:val="18"/>
                      <w:highlight w:val="none"/>
                      <w:lang w:val="en-US" w:eastAsia="zh-CN" w:bidi="ar-SA"/>
                    </w:rPr>
                  </w:pPr>
                  <w:r>
                    <w:rPr>
                      <w:rFonts w:hint="eastAsia" w:cs="Times New Roman"/>
                      <w:color w:val="auto"/>
                      <w:spacing w:val="-17"/>
                      <w:sz w:val="18"/>
                      <w:szCs w:val="18"/>
                      <w:highlight w:val="none"/>
                      <w:lang w:val="en-US" w:eastAsia="zh-CN"/>
                    </w:rPr>
                    <w:t>9</w:t>
                  </w:r>
                </w:p>
              </w:tc>
              <w:tc>
                <w:tcPr>
                  <w:tcW w:w="176" w:type="pct"/>
                  <w:vMerge w:val="continue"/>
                  <w:vAlign w:val="center"/>
                </w:tcPr>
                <w:p w14:paraId="118F1835">
                  <w:pPr>
                    <w:spacing w:line="220" w:lineRule="exact"/>
                    <w:jc w:val="center"/>
                    <w:rPr>
                      <w:rFonts w:hint="eastAsia" w:ascii="Times New Roman" w:hAnsi="Times New Roman" w:cs="Times New Roman"/>
                      <w:color w:val="auto"/>
                      <w:spacing w:val="-17"/>
                      <w:kern w:val="2"/>
                      <w:sz w:val="18"/>
                      <w:szCs w:val="18"/>
                      <w:lang w:val="en-US" w:eastAsia="zh-CN" w:bidi="ar-SA"/>
                    </w:rPr>
                  </w:pPr>
                </w:p>
              </w:tc>
              <w:tc>
                <w:tcPr>
                  <w:tcW w:w="211" w:type="pct"/>
                  <w:vMerge w:val="continue"/>
                  <w:vAlign w:val="center"/>
                </w:tcPr>
                <w:p w14:paraId="19EB421F">
                  <w:pPr>
                    <w:spacing w:line="220" w:lineRule="exact"/>
                    <w:jc w:val="center"/>
                    <w:rPr>
                      <w:rFonts w:hint="eastAsia" w:ascii="Times New Roman" w:hAnsi="Times New Roman" w:cs="Times New Roman"/>
                      <w:color w:val="auto"/>
                      <w:spacing w:val="-17"/>
                      <w:sz w:val="18"/>
                      <w:szCs w:val="18"/>
                      <w:lang w:val="en-US" w:eastAsia="zh-CN"/>
                    </w:rPr>
                  </w:pPr>
                </w:p>
              </w:tc>
              <w:tc>
                <w:tcPr>
                  <w:tcW w:w="379" w:type="pct"/>
                  <w:vAlign w:val="center"/>
                </w:tcPr>
                <w:p w14:paraId="7554FFE0">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eastAsia" w:ascii="Times New Roman" w:hAnsi="Times New Roman" w:eastAsia="宋体" w:cs="Times New Roman"/>
                      <w:color w:val="auto"/>
                      <w:spacing w:val="-17"/>
                      <w:sz w:val="18"/>
                      <w:szCs w:val="18"/>
                      <w:highlight w:val="none"/>
                      <w:lang w:val="en-US" w:eastAsia="zh-CN"/>
                    </w:rPr>
                    <w:t>3</w:t>
                  </w:r>
                  <w:r>
                    <w:rPr>
                      <w:rFonts w:hint="eastAsia" w:ascii="Times New Roman" w:hAnsi="Times New Roman" w:eastAsia="宋体" w:cs="Times New Roman"/>
                      <w:color w:val="auto"/>
                      <w:spacing w:val="-17"/>
                      <w:sz w:val="18"/>
                      <w:szCs w:val="18"/>
                      <w:highlight w:val="none"/>
                      <w:vertAlign w:val="superscript"/>
                      <w:lang w:val="en-US" w:eastAsia="zh-CN"/>
                    </w:rPr>
                    <w:t>#</w:t>
                  </w:r>
                  <w:r>
                    <w:rPr>
                      <w:rFonts w:hint="eastAsia" w:ascii="Times New Roman" w:hAnsi="Times New Roman" w:eastAsia="宋体" w:cs="Times New Roman"/>
                      <w:color w:val="auto"/>
                      <w:spacing w:val="-17"/>
                      <w:sz w:val="18"/>
                      <w:szCs w:val="18"/>
                      <w:highlight w:val="none"/>
                      <w:lang w:val="en-US" w:eastAsia="zh-CN"/>
                    </w:rPr>
                    <w:t>甩干机</w:t>
                  </w:r>
                </w:p>
              </w:tc>
              <w:tc>
                <w:tcPr>
                  <w:tcW w:w="193" w:type="pct"/>
                  <w:vAlign w:val="center"/>
                </w:tcPr>
                <w:p w14:paraId="7E19F284">
                  <w:pPr>
                    <w:pStyle w:val="71"/>
                    <w:spacing w:line="220" w:lineRule="exact"/>
                    <w:jc w:val="center"/>
                    <w:rPr>
                      <w:rFonts w:hint="default" w:ascii="Times New Roman" w:hAnsi="Times New Roman" w:eastAsia="宋体" w:cs="Times New Roman"/>
                      <w:color w:val="auto"/>
                      <w:spacing w:val="-17"/>
                      <w:sz w:val="18"/>
                      <w:szCs w:val="18"/>
                      <w:highlight w:val="none"/>
                      <w:lang w:val="en-US" w:eastAsia="zh-CN"/>
                    </w:rPr>
                  </w:pPr>
                  <w:r>
                    <w:rPr>
                      <w:rFonts w:hint="eastAsia" w:ascii="Times New Roman" w:hAnsi="Times New Roman" w:eastAsia="宋体" w:cs="Times New Roman"/>
                      <w:color w:val="auto"/>
                      <w:spacing w:val="-17"/>
                      <w:sz w:val="18"/>
                      <w:szCs w:val="18"/>
                      <w:highlight w:val="none"/>
                      <w:lang w:val="en-US" w:eastAsia="zh-CN"/>
                    </w:rPr>
                    <w:t>1</w:t>
                  </w:r>
                </w:p>
              </w:tc>
              <w:tc>
                <w:tcPr>
                  <w:tcW w:w="250" w:type="pct"/>
                  <w:vAlign w:val="bottom"/>
                </w:tcPr>
                <w:p w14:paraId="637D987B">
                  <w:pPr>
                    <w:pStyle w:val="71"/>
                    <w:spacing w:line="220" w:lineRule="exact"/>
                    <w:jc w:val="center"/>
                    <w:rPr>
                      <w:rFonts w:hint="default"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80</w:t>
                  </w:r>
                </w:p>
              </w:tc>
              <w:tc>
                <w:tcPr>
                  <w:tcW w:w="314" w:type="pct"/>
                  <w:vMerge w:val="continue"/>
                  <w:vAlign w:val="center"/>
                </w:tcPr>
                <w:p w14:paraId="3A6F2F18">
                  <w:pPr>
                    <w:spacing w:line="220" w:lineRule="exact"/>
                    <w:jc w:val="center"/>
                    <w:rPr>
                      <w:rFonts w:hint="eastAsia"/>
                      <w:color w:val="auto"/>
                      <w:spacing w:val="-17"/>
                      <w:sz w:val="18"/>
                      <w:szCs w:val="18"/>
                      <w:lang w:val="en-US" w:eastAsia="zh-CN"/>
                    </w:rPr>
                  </w:pPr>
                </w:p>
              </w:tc>
              <w:tc>
                <w:tcPr>
                  <w:tcW w:w="428" w:type="dxa"/>
                  <w:shd w:val="clear" w:color="auto" w:fill="FFFFFF"/>
                  <w:vAlign w:val="bottom"/>
                </w:tcPr>
                <w:p w14:paraId="476CF4D4">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23</w:t>
                  </w:r>
                </w:p>
              </w:tc>
              <w:tc>
                <w:tcPr>
                  <w:tcW w:w="504" w:type="dxa"/>
                  <w:shd w:val="clear" w:color="auto" w:fill="FFFFFF"/>
                  <w:vAlign w:val="bottom"/>
                </w:tcPr>
                <w:p w14:paraId="7E633529">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31.8</w:t>
                  </w:r>
                </w:p>
              </w:tc>
              <w:tc>
                <w:tcPr>
                  <w:tcW w:w="503" w:type="dxa"/>
                  <w:shd w:val="clear" w:color="auto" w:fill="FFFFFF"/>
                  <w:vAlign w:val="bottom"/>
                </w:tcPr>
                <w:p w14:paraId="2809C93B">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37.3</w:t>
                  </w:r>
                </w:p>
              </w:tc>
              <w:tc>
                <w:tcPr>
                  <w:tcW w:w="525" w:type="dxa"/>
                  <w:shd w:val="clear" w:color="auto" w:fill="FFFFFF"/>
                  <w:vAlign w:val="bottom"/>
                </w:tcPr>
                <w:p w14:paraId="71C9F659">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26.3</w:t>
                  </w:r>
                </w:p>
              </w:tc>
              <w:tc>
                <w:tcPr>
                  <w:tcW w:w="483" w:type="dxa"/>
                  <w:shd w:val="clear" w:color="auto" w:fill="FFFFFF"/>
                  <w:vAlign w:val="bottom"/>
                </w:tcPr>
                <w:p w14:paraId="1BF6BEA1">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48.8</w:t>
                  </w:r>
                </w:p>
              </w:tc>
              <w:tc>
                <w:tcPr>
                  <w:tcW w:w="482" w:type="dxa"/>
                  <w:shd w:val="clear" w:color="auto" w:fill="FFFFFF"/>
                  <w:vAlign w:val="bottom"/>
                </w:tcPr>
                <w:p w14:paraId="0C392536">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48.3</w:t>
                  </w:r>
                </w:p>
              </w:tc>
              <w:tc>
                <w:tcPr>
                  <w:tcW w:w="546" w:type="dxa"/>
                  <w:shd w:val="clear" w:color="auto" w:fill="FFFFFF"/>
                  <w:vAlign w:val="bottom"/>
                </w:tcPr>
                <w:p w14:paraId="65295D80">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48.2</w:t>
                  </w:r>
                </w:p>
              </w:tc>
              <w:tc>
                <w:tcPr>
                  <w:tcW w:w="579" w:type="dxa"/>
                  <w:shd w:val="clear" w:color="auto" w:fill="FFFFFF"/>
                  <w:vAlign w:val="bottom"/>
                </w:tcPr>
                <w:p w14:paraId="79B1DF0C">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48.6</w:t>
                  </w:r>
                </w:p>
              </w:tc>
              <w:tc>
                <w:tcPr>
                  <w:tcW w:w="262" w:type="pct"/>
                  <w:vMerge w:val="continue"/>
                  <w:vAlign w:val="center"/>
                </w:tcPr>
                <w:p w14:paraId="39345389">
                  <w:pPr>
                    <w:pStyle w:val="71"/>
                    <w:spacing w:line="220" w:lineRule="exact"/>
                    <w:jc w:val="center"/>
                    <w:rPr>
                      <w:rFonts w:hint="default" w:ascii="Times New Roman" w:hAnsi="Times New Roman" w:eastAsia="宋体" w:cs="Calibri"/>
                      <w:color w:val="auto"/>
                      <w:spacing w:val="-17"/>
                      <w:kern w:val="0"/>
                      <w:sz w:val="18"/>
                      <w:szCs w:val="18"/>
                      <w:lang w:val="en-US" w:eastAsia="zh-CN" w:bidi="ar-SA"/>
                    </w:rPr>
                  </w:pPr>
                </w:p>
              </w:tc>
              <w:tc>
                <w:tcPr>
                  <w:tcW w:w="331" w:type="pct"/>
                  <w:shd w:val="clear" w:color="auto" w:fill="FFFFFF"/>
                  <w:vAlign w:val="center"/>
                </w:tcPr>
                <w:p w14:paraId="5E04B761">
                  <w:pPr>
                    <w:pStyle w:val="71"/>
                    <w:spacing w:line="220" w:lineRule="exact"/>
                    <w:jc w:val="center"/>
                    <w:rPr>
                      <w:rFonts w:hint="default" w:ascii="Times New Roman" w:hAnsi="Times New Roman" w:eastAsia="宋体" w:cs="Times New Roman"/>
                      <w:color w:val="auto"/>
                      <w:spacing w:val="-17"/>
                      <w:sz w:val="18"/>
                      <w:szCs w:val="18"/>
                      <w:highlight w:val="none"/>
                      <w:lang w:val="en-US" w:eastAsia="zh-CN"/>
                    </w:rPr>
                  </w:pPr>
                  <w:r>
                    <w:rPr>
                      <w:rFonts w:hint="eastAsia" w:ascii="Times New Roman" w:hAnsi="Times New Roman" w:eastAsia="宋体" w:cs="Times New Roman"/>
                      <w:color w:val="auto"/>
                      <w:spacing w:val="-17"/>
                      <w:sz w:val="18"/>
                      <w:szCs w:val="18"/>
                      <w:highlight w:val="none"/>
                      <w:lang w:val="en-US" w:eastAsia="zh-CN"/>
                    </w:rPr>
                    <w:t>31.0</w:t>
                  </w:r>
                </w:p>
              </w:tc>
              <w:tc>
                <w:tcPr>
                  <w:tcW w:w="397" w:type="dxa"/>
                  <w:shd w:val="clear" w:color="auto" w:fill="FFFFFF"/>
                  <w:vAlign w:val="bottom"/>
                </w:tcPr>
                <w:p w14:paraId="1A041869">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17.8</w:t>
                  </w:r>
                </w:p>
              </w:tc>
              <w:tc>
                <w:tcPr>
                  <w:tcW w:w="439" w:type="dxa"/>
                  <w:shd w:val="clear" w:color="auto" w:fill="FFFFFF"/>
                  <w:vAlign w:val="bottom"/>
                </w:tcPr>
                <w:p w14:paraId="442B03C6">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17.3</w:t>
                  </w:r>
                </w:p>
              </w:tc>
              <w:tc>
                <w:tcPr>
                  <w:tcW w:w="418" w:type="dxa"/>
                  <w:shd w:val="clear" w:color="auto" w:fill="FFFFFF"/>
                  <w:vAlign w:val="bottom"/>
                </w:tcPr>
                <w:p w14:paraId="4B90CFF3">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17.2</w:t>
                  </w:r>
                </w:p>
              </w:tc>
              <w:tc>
                <w:tcPr>
                  <w:tcW w:w="396" w:type="dxa"/>
                  <w:shd w:val="clear" w:color="auto" w:fill="FFFFFF"/>
                  <w:vAlign w:val="bottom"/>
                </w:tcPr>
                <w:p w14:paraId="782943FE">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17.6</w:t>
                  </w:r>
                </w:p>
              </w:tc>
              <w:tc>
                <w:tcPr>
                  <w:tcW w:w="411" w:type="pct"/>
                  <w:shd w:val="clear" w:color="auto" w:fill="FFFFFF"/>
                  <w:vAlign w:val="center"/>
                </w:tcPr>
                <w:p w14:paraId="3FA246C4">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eastAsia" w:ascii="Times New Roman" w:hAnsi="Times New Roman" w:eastAsia="宋体" w:cs="Times New Roman"/>
                      <w:color w:val="auto"/>
                      <w:spacing w:val="-17"/>
                      <w:sz w:val="18"/>
                      <w:szCs w:val="18"/>
                      <w:highlight w:val="none"/>
                      <w:lang w:val="en-US" w:eastAsia="zh-CN"/>
                    </w:rPr>
                    <w:t>1</w:t>
                  </w:r>
                </w:p>
              </w:tc>
            </w:tr>
            <w:tr w14:paraId="3B8CA7B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1" w:hRule="exact"/>
                <w:jc w:val="center"/>
              </w:trPr>
              <w:tc>
                <w:tcPr>
                  <w:tcW w:w="176" w:type="pct"/>
                  <w:shd w:val="clear" w:color="auto" w:fill="auto"/>
                  <w:vAlign w:val="center"/>
                </w:tcPr>
                <w:p w14:paraId="3189B604">
                  <w:pPr>
                    <w:spacing w:line="220" w:lineRule="exact"/>
                    <w:jc w:val="center"/>
                    <w:rPr>
                      <w:rFonts w:hint="eastAsia" w:ascii="Times New Roman" w:hAnsi="Times New Roman" w:eastAsia="宋体" w:cs="Times New Roman"/>
                      <w:color w:val="auto"/>
                      <w:spacing w:val="-17"/>
                      <w:kern w:val="2"/>
                      <w:sz w:val="18"/>
                      <w:szCs w:val="18"/>
                      <w:highlight w:val="none"/>
                      <w:lang w:val="en-US" w:eastAsia="zh-CN" w:bidi="ar-SA"/>
                    </w:rPr>
                  </w:pPr>
                  <w:r>
                    <w:rPr>
                      <w:rFonts w:hint="eastAsia" w:cs="Times New Roman"/>
                      <w:color w:val="auto"/>
                      <w:spacing w:val="-17"/>
                      <w:sz w:val="18"/>
                      <w:szCs w:val="18"/>
                      <w:highlight w:val="none"/>
                      <w:lang w:val="en-US" w:eastAsia="zh-CN"/>
                    </w:rPr>
                    <w:t>10</w:t>
                  </w:r>
                </w:p>
              </w:tc>
              <w:tc>
                <w:tcPr>
                  <w:tcW w:w="176" w:type="pct"/>
                  <w:vMerge w:val="continue"/>
                  <w:vAlign w:val="center"/>
                </w:tcPr>
                <w:p w14:paraId="3781B67E">
                  <w:pPr>
                    <w:spacing w:line="220" w:lineRule="exact"/>
                    <w:jc w:val="center"/>
                    <w:rPr>
                      <w:rFonts w:hint="eastAsia" w:ascii="Times New Roman" w:hAnsi="Times New Roman" w:cs="Times New Roman"/>
                      <w:color w:val="auto"/>
                      <w:spacing w:val="-17"/>
                      <w:kern w:val="2"/>
                      <w:sz w:val="18"/>
                      <w:szCs w:val="18"/>
                      <w:lang w:val="en-US" w:eastAsia="zh-CN" w:bidi="ar-SA"/>
                    </w:rPr>
                  </w:pPr>
                </w:p>
              </w:tc>
              <w:tc>
                <w:tcPr>
                  <w:tcW w:w="211" w:type="pct"/>
                  <w:vMerge w:val="continue"/>
                  <w:vAlign w:val="center"/>
                </w:tcPr>
                <w:p w14:paraId="7102E582">
                  <w:pPr>
                    <w:spacing w:line="220" w:lineRule="exact"/>
                    <w:jc w:val="center"/>
                    <w:rPr>
                      <w:rFonts w:hint="eastAsia" w:ascii="Times New Roman" w:hAnsi="Times New Roman" w:cs="Times New Roman"/>
                      <w:color w:val="auto"/>
                      <w:spacing w:val="-17"/>
                      <w:sz w:val="18"/>
                      <w:szCs w:val="18"/>
                      <w:lang w:val="en-US" w:eastAsia="zh-CN"/>
                    </w:rPr>
                  </w:pPr>
                </w:p>
              </w:tc>
              <w:tc>
                <w:tcPr>
                  <w:tcW w:w="379" w:type="pct"/>
                  <w:vAlign w:val="center"/>
                </w:tcPr>
                <w:p w14:paraId="7ED1B0FF">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eastAsia" w:ascii="Times New Roman" w:hAnsi="Times New Roman" w:eastAsia="宋体" w:cs="Times New Roman"/>
                      <w:color w:val="auto"/>
                      <w:spacing w:val="-17"/>
                      <w:sz w:val="18"/>
                      <w:szCs w:val="18"/>
                      <w:highlight w:val="none"/>
                      <w:lang w:val="en-US" w:eastAsia="zh-CN"/>
                    </w:rPr>
                    <w:t>4</w:t>
                  </w:r>
                  <w:r>
                    <w:rPr>
                      <w:rFonts w:hint="eastAsia" w:ascii="Times New Roman" w:hAnsi="Times New Roman" w:eastAsia="宋体" w:cs="Times New Roman"/>
                      <w:color w:val="auto"/>
                      <w:spacing w:val="-17"/>
                      <w:sz w:val="18"/>
                      <w:szCs w:val="18"/>
                      <w:highlight w:val="none"/>
                      <w:vertAlign w:val="superscript"/>
                      <w:lang w:val="en-US" w:eastAsia="zh-CN"/>
                    </w:rPr>
                    <w:t>#</w:t>
                  </w:r>
                  <w:r>
                    <w:rPr>
                      <w:rFonts w:hint="eastAsia" w:ascii="Times New Roman" w:hAnsi="Times New Roman" w:eastAsia="宋体" w:cs="Times New Roman"/>
                      <w:color w:val="auto"/>
                      <w:spacing w:val="-17"/>
                      <w:sz w:val="18"/>
                      <w:szCs w:val="18"/>
                      <w:highlight w:val="none"/>
                      <w:lang w:val="en-US" w:eastAsia="zh-CN"/>
                    </w:rPr>
                    <w:t>甩干机</w:t>
                  </w:r>
                </w:p>
              </w:tc>
              <w:tc>
                <w:tcPr>
                  <w:tcW w:w="193" w:type="pct"/>
                  <w:vAlign w:val="center"/>
                </w:tcPr>
                <w:p w14:paraId="56FEE40C">
                  <w:pPr>
                    <w:pStyle w:val="71"/>
                    <w:spacing w:line="220" w:lineRule="exact"/>
                    <w:jc w:val="center"/>
                    <w:rPr>
                      <w:rFonts w:hint="default" w:ascii="Times New Roman" w:hAnsi="Times New Roman" w:eastAsia="宋体" w:cs="Times New Roman"/>
                      <w:color w:val="auto"/>
                      <w:spacing w:val="-17"/>
                      <w:sz w:val="18"/>
                      <w:szCs w:val="18"/>
                      <w:highlight w:val="none"/>
                      <w:lang w:val="en-US" w:eastAsia="zh-CN"/>
                    </w:rPr>
                  </w:pPr>
                  <w:r>
                    <w:rPr>
                      <w:rFonts w:hint="eastAsia" w:ascii="Times New Roman" w:hAnsi="Times New Roman" w:eastAsia="宋体" w:cs="Times New Roman"/>
                      <w:color w:val="auto"/>
                      <w:spacing w:val="-17"/>
                      <w:sz w:val="18"/>
                      <w:szCs w:val="18"/>
                      <w:highlight w:val="none"/>
                      <w:lang w:val="en-US" w:eastAsia="zh-CN"/>
                    </w:rPr>
                    <w:t>1</w:t>
                  </w:r>
                </w:p>
              </w:tc>
              <w:tc>
                <w:tcPr>
                  <w:tcW w:w="250" w:type="pct"/>
                  <w:vAlign w:val="bottom"/>
                </w:tcPr>
                <w:p w14:paraId="3276E87B">
                  <w:pPr>
                    <w:pStyle w:val="71"/>
                    <w:spacing w:line="220" w:lineRule="exact"/>
                    <w:jc w:val="center"/>
                    <w:rPr>
                      <w:rFonts w:hint="default"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80</w:t>
                  </w:r>
                </w:p>
              </w:tc>
              <w:tc>
                <w:tcPr>
                  <w:tcW w:w="314" w:type="pct"/>
                  <w:vMerge w:val="continue"/>
                  <w:vAlign w:val="center"/>
                </w:tcPr>
                <w:p w14:paraId="71F3D9CF">
                  <w:pPr>
                    <w:spacing w:line="220" w:lineRule="exact"/>
                    <w:jc w:val="center"/>
                    <w:rPr>
                      <w:rFonts w:hint="eastAsia"/>
                      <w:color w:val="auto"/>
                      <w:spacing w:val="-17"/>
                      <w:sz w:val="18"/>
                      <w:szCs w:val="18"/>
                      <w:lang w:val="en-US" w:eastAsia="zh-CN"/>
                    </w:rPr>
                  </w:pPr>
                </w:p>
              </w:tc>
              <w:tc>
                <w:tcPr>
                  <w:tcW w:w="428" w:type="dxa"/>
                  <w:shd w:val="clear" w:color="auto" w:fill="FFFFFF"/>
                  <w:vAlign w:val="bottom"/>
                </w:tcPr>
                <w:p w14:paraId="456E8FC6">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14.1</w:t>
                  </w:r>
                </w:p>
              </w:tc>
              <w:tc>
                <w:tcPr>
                  <w:tcW w:w="504" w:type="dxa"/>
                  <w:shd w:val="clear" w:color="auto" w:fill="FFFFFF"/>
                  <w:vAlign w:val="bottom"/>
                </w:tcPr>
                <w:p w14:paraId="0973B48D">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30.9</w:t>
                  </w:r>
                </w:p>
              </w:tc>
              <w:tc>
                <w:tcPr>
                  <w:tcW w:w="503" w:type="dxa"/>
                  <w:shd w:val="clear" w:color="auto" w:fill="FFFFFF"/>
                  <w:vAlign w:val="bottom"/>
                </w:tcPr>
                <w:p w14:paraId="7404AB35">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46.2</w:t>
                  </w:r>
                </w:p>
              </w:tc>
              <w:tc>
                <w:tcPr>
                  <w:tcW w:w="525" w:type="dxa"/>
                  <w:shd w:val="clear" w:color="auto" w:fill="FFFFFF"/>
                  <w:vAlign w:val="bottom"/>
                </w:tcPr>
                <w:p w14:paraId="662FB6A5">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27.1</w:t>
                  </w:r>
                </w:p>
              </w:tc>
              <w:tc>
                <w:tcPr>
                  <w:tcW w:w="483" w:type="dxa"/>
                  <w:shd w:val="clear" w:color="auto" w:fill="FFFFFF"/>
                  <w:vAlign w:val="bottom"/>
                </w:tcPr>
                <w:p w14:paraId="7C590040">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50</w:t>
                  </w:r>
                </w:p>
              </w:tc>
              <w:tc>
                <w:tcPr>
                  <w:tcW w:w="482" w:type="dxa"/>
                  <w:shd w:val="clear" w:color="auto" w:fill="FFFFFF"/>
                  <w:vAlign w:val="bottom"/>
                </w:tcPr>
                <w:p w14:paraId="5A00B69C">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48.4</w:t>
                  </w:r>
                </w:p>
              </w:tc>
              <w:tc>
                <w:tcPr>
                  <w:tcW w:w="546" w:type="dxa"/>
                  <w:shd w:val="clear" w:color="auto" w:fill="FFFFFF"/>
                  <w:vAlign w:val="bottom"/>
                </w:tcPr>
                <w:p w14:paraId="1BCBAE36">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48.1</w:t>
                  </w:r>
                </w:p>
              </w:tc>
              <w:tc>
                <w:tcPr>
                  <w:tcW w:w="579" w:type="dxa"/>
                  <w:shd w:val="clear" w:color="auto" w:fill="FFFFFF"/>
                  <w:vAlign w:val="bottom"/>
                </w:tcPr>
                <w:p w14:paraId="765964BD">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48.5</w:t>
                  </w:r>
                </w:p>
              </w:tc>
              <w:tc>
                <w:tcPr>
                  <w:tcW w:w="262" w:type="pct"/>
                  <w:vMerge w:val="continue"/>
                  <w:vAlign w:val="center"/>
                </w:tcPr>
                <w:p w14:paraId="4913DB6C">
                  <w:pPr>
                    <w:pStyle w:val="71"/>
                    <w:spacing w:line="220" w:lineRule="exact"/>
                    <w:jc w:val="center"/>
                    <w:rPr>
                      <w:rFonts w:hint="default" w:ascii="Times New Roman" w:hAnsi="Times New Roman" w:eastAsia="宋体" w:cs="Calibri"/>
                      <w:color w:val="auto"/>
                      <w:spacing w:val="-17"/>
                      <w:kern w:val="0"/>
                      <w:sz w:val="18"/>
                      <w:szCs w:val="18"/>
                      <w:lang w:val="en-US" w:eastAsia="zh-CN" w:bidi="ar-SA"/>
                    </w:rPr>
                  </w:pPr>
                </w:p>
              </w:tc>
              <w:tc>
                <w:tcPr>
                  <w:tcW w:w="331" w:type="pct"/>
                  <w:shd w:val="clear" w:color="auto" w:fill="FFFFFF"/>
                  <w:vAlign w:val="center"/>
                </w:tcPr>
                <w:p w14:paraId="5F64F818">
                  <w:pPr>
                    <w:pStyle w:val="71"/>
                    <w:spacing w:line="220" w:lineRule="exact"/>
                    <w:jc w:val="center"/>
                    <w:rPr>
                      <w:rFonts w:hint="default" w:ascii="Times New Roman" w:hAnsi="Times New Roman" w:eastAsia="宋体" w:cs="Times New Roman"/>
                      <w:color w:val="auto"/>
                      <w:spacing w:val="-17"/>
                      <w:sz w:val="18"/>
                      <w:szCs w:val="18"/>
                      <w:highlight w:val="none"/>
                      <w:lang w:val="en-US" w:eastAsia="zh-CN"/>
                    </w:rPr>
                  </w:pPr>
                  <w:r>
                    <w:rPr>
                      <w:rFonts w:hint="eastAsia" w:ascii="Times New Roman" w:hAnsi="Times New Roman" w:eastAsia="宋体" w:cs="Times New Roman"/>
                      <w:color w:val="auto"/>
                      <w:spacing w:val="-17"/>
                      <w:sz w:val="18"/>
                      <w:szCs w:val="18"/>
                      <w:highlight w:val="none"/>
                      <w:lang w:val="en-US" w:eastAsia="zh-CN"/>
                    </w:rPr>
                    <w:t>31.0</w:t>
                  </w:r>
                </w:p>
              </w:tc>
              <w:tc>
                <w:tcPr>
                  <w:tcW w:w="397" w:type="dxa"/>
                  <w:shd w:val="clear" w:color="auto" w:fill="FFFFFF"/>
                  <w:vAlign w:val="bottom"/>
                </w:tcPr>
                <w:p w14:paraId="4D309A15">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19</w:t>
                  </w:r>
                </w:p>
              </w:tc>
              <w:tc>
                <w:tcPr>
                  <w:tcW w:w="439" w:type="dxa"/>
                  <w:shd w:val="clear" w:color="auto" w:fill="FFFFFF"/>
                  <w:vAlign w:val="bottom"/>
                </w:tcPr>
                <w:p w14:paraId="606C3B6B">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17.4</w:t>
                  </w:r>
                </w:p>
              </w:tc>
              <w:tc>
                <w:tcPr>
                  <w:tcW w:w="418" w:type="dxa"/>
                  <w:shd w:val="clear" w:color="auto" w:fill="FFFFFF"/>
                  <w:vAlign w:val="bottom"/>
                </w:tcPr>
                <w:p w14:paraId="2F003BC5">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17.1</w:t>
                  </w:r>
                </w:p>
              </w:tc>
              <w:tc>
                <w:tcPr>
                  <w:tcW w:w="396" w:type="dxa"/>
                  <w:shd w:val="clear" w:color="auto" w:fill="FFFFFF"/>
                  <w:vAlign w:val="bottom"/>
                </w:tcPr>
                <w:p w14:paraId="2D55752E">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17.5</w:t>
                  </w:r>
                </w:p>
              </w:tc>
              <w:tc>
                <w:tcPr>
                  <w:tcW w:w="411" w:type="pct"/>
                  <w:shd w:val="clear" w:color="auto" w:fill="FFFFFF"/>
                  <w:vAlign w:val="center"/>
                </w:tcPr>
                <w:p w14:paraId="7F255081">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eastAsia" w:ascii="Times New Roman" w:hAnsi="Times New Roman" w:eastAsia="宋体" w:cs="Times New Roman"/>
                      <w:color w:val="auto"/>
                      <w:spacing w:val="-17"/>
                      <w:sz w:val="18"/>
                      <w:szCs w:val="18"/>
                      <w:highlight w:val="none"/>
                      <w:lang w:val="en-US" w:eastAsia="zh-CN"/>
                    </w:rPr>
                    <w:t>1</w:t>
                  </w:r>
                </w:p>
              </w:tc>
            </w:tr>
            <w:tr w14:paraId="676F05E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1" w:hRule="exact"/>
                <w:jc w:val="center"/>
              </w:trPr>
              <w:tc>
                <w:tcPr>
                  <w:tcW w:w="176" w:type="pct"/>
                  <w:shd w:val="clear" w:color="auto" w:fill="auto"/>
                  <w:vAlign w:val="center"/>
                </w:tcPr>
                <w:p w14:paraId="75292410">
                  <w:pPr>
                    <w:spacing w:line="220" w:lineRule="exact"/>
                    <w:jc w:val="center"/>
                    <w:rPr>
                      <w:rFonts w:hint="eastAsia" w:ascii="Times New Roman" w:hAnsi="Times New Roman" w:eastAsia="宋体" w:cs="Times New Roman"/>
                      <w:color w:val="auto"/>
                      <w:spacing w:val="-17"/>
                      <w:kern w:val="2"/>
                      <w:sz w:val="18"/>
                      <w:szCs w:val="18"/>
                      <w:highlight w:val="none"/>
                      <w:lang w:val="en-US" w:eastAsia="zh-CN" w:bidi="ar-SA"/>
                    </w:rPr>
                  </w:pPr>
                  <w:r>
                    <w:rPr>
                      <w:rFonts w:hint="eastAsia" w:cs="Times New Roman"/>
                      <w:color w:val="auto"/>
                      <w:spacing w:val="-17"/>
                      <w:sz w:val="18"/>
                      <w:szCs w:val="18"/>
                      <w:highlight w:val="none"/>
                      <w:lang w:val="en-US" w:eastAsia="zh-CN"/>
                    </w:rPr>
                    <w:t>11</w:t>
                  </w:r>
                </w:p>
              </w:tc>
              <w:tc>
                <w:tcPr>
                  <w:tcW w:w="176" w:type="pct"/>
                  <w:vMerge w:val="continue"/>
                  <w:vAlign w:val="center"/>
                </w:tcPr>
                <w:p w14:paraId="001ABFDC">
                  <w:pPr>
                    <w:spacing w:line="220" w:lineRule="exact"/>
                    <w:jc w:val="center"/>
                    <w:rPr>
                      <w:rFonts w:hint="eastAsia" w:ascii="Times New Roman" w:hAnsi="Times New Roman" w:cs="Times New Roman"/>
                      <w:color w:val="auto"/>
                      <w:spacing w:val="-17"/>
                      <w:kern w:val="2"/>
                      <w:sz w:val="18"/>
                      <w:szCs w:val="18"/>
                      <w:lang w:val="en-US" w:eastAsia="zh-CN" w:bidi="ar-SA"/>
                    </w:rPr>
                  </w:pPr>
                </w:p>
              </w:tc>
              <w:tc>
                <w:tcPr>
                  <w:tcW w:w="211" w:type="pct"/>
                  <w:vMerge w:val="continue"/>
                  <w:vAlign w:val="center"/>
                </w:tcPr>
                <w:p w14:paraId="44562A0C">
                  <w:pPr>
                    <w:spacing w:line="220" w:lineRule="exact"/>
                    <w:jc w:val="center"/>
                    <w:rPr>
                      <w:rFonts w:hint="eastAsia" w:ascii="Times New Roman" w:hAnsi="Times New Roman" w:cs="Times New Roman"/>
                      <w:color w:val="auto"/>
                      <w:spacing w:val="-17"/>
                      <w:sz w:val="18"/>
                      <w:szCs w:val="18"/>
                      <w:lang w:val="en-US" w:eastAsia="zh-CN"/>
                    </w:rPr>
                  </w:pPr>
                </w:p>
              </w:tc>
              <w:tc>
                <w:tcPr>
                  <w:tcW w:w="379" w:type="pct"/>
                  <w:vAlign w:val="center"/>
                </w:tcPr>
                <w:p w14:paraId="7865B8F9">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eastAsia" w:ascii="Times New Roman" w:hAnsi="Times New Roman" w:cs="Times New Roman"/>
                      <w:color w:val="auto"/>
                      <w:spacing w:val="-17"/>
                      <w:sz w:val="18"/>
                      <w:szCs w:val="18"/>
                      <w:highlight w:val="none"/>
                      <w:lang w:val="en-US" w:eastAsia="zh-CN"/>
                    </w:rPr>
                    <w:t>3</w:t>
                  </w:r>
                  <w:r>
                    <w:rPr>
                      <w:rFonts w:hint="eastAsia" w:ascii="Times New Roman" w:hAnsi="Times New Roman" w:eastAsia="宋体" w:cs="Times New Roman"/>
                      <w:color w:val="auto"/>
                      <w:spacing w:val="-17"/>
                      <w:sz w:val="18"/>
                      <w:szCs w:val="18"/>
                      <w:highlight w:val="none"/>
                      <w:vertAlign w:val="superscript"/>
                      <w:lang w:val="en-US" w:eastAsia="zh-CN"/>
                    </w:rPr>
                    <w:t>#</w:t>
                  </w:r>
                  <w:r>
                    <w:rPr>
                      <w:rFonts w:hint="eastAsia" w:ascii="Times New Roman" w:hAnsi="Times New Roman" w:eastAsia="宋体" w:cs="Times New Roman"/>
                      <w:color w:val="auto"/>
                      <w:spacing w:val="-17"/>
                      <w:sz w:val="18"/>
                      <w:szCs w:val="18"/>
                      <w:highlight w:val="none"/>
                      <w:lang w:val="en-US" w:eastAsia="zh-CN"/>
                    </w:rPr>
                    <w:t>空气分选机</w:t>
                  </w:r>
                </w:p>
              </w:tc>
              <w:tc>
                <w:tcPr>
                  <w:tcW w:w="193" w:type="pct"/>
                  <w:vAlign w:val="center"/>
                </w:tcPr>
                <w:p w14:paraId="7DE7BF90">
                  <w:pPr>
                    <w:pStyle w:val="71"/>
                    <w:spacing w:line="220" w:lineRule="exact"/>
                    <w:jc w:val="center"/>
                    <w:rPr>
                      <w:rFonts w:hint="default" w:ascii="Times New Roman" w:hAnsi="Times New Roman" w:eastAsia="宋体" w:cs="Times New Roman"/>
                      <w:color w:val="auto"/>
                      <w:spacing w:val="-17"/>
                      <w:sz w:val="18"/>
                      <w:szCs w:val="18"/>
                      <w:highlight w:val="none"/>
                      <w:lang w:val="en-US" w:eastAsia="zh-CN"/>
                    </w:rPr>
                  </w:pPr>
                  <w:r>
                    <w:rPr>
                      <w:rFonts w:hint="eastAsia" w:ascii="Times New Roman" w:hAnsi="Times New Roman" w:eastAsia="宋体" w:cs="Times New Roman"/>
                      <w:color w:val="auto"/>
                      <w:spacing w:val="-17"/>
                      <w:sz w:val="18"/>
                      <w:szCs w:val="18"/>
                      <w:highlight w:val="none"/>
                      <w:lang w:val="en-US" w:eastAsia="zh-CN"/>
                    </w:rPr>
                    <w:t>1</w:t>
                  </w:r>
                </w:p>
              </w:tc>
              <w:tc>
                <w:tcPr>
                  <w:tcW w:w="250" w:type="pct"/>
                  <w:vAlign w:val="bottom"/>
                </w:tcPr>
                <w:p w14:paraId="04C7E333">
                  <w:pPr>
                    <w:pStyle w:val="71"/>
                    <w:spacing w:line="220" w:lineRule="exact"/>
                    <w:jc w:val="center"/>
                    <w:rPr>
                      <w:rFonts w:hint="default"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80</w:t>
                  </w:r>
                </w:p>
              </w:tc>
              <w:tc>
                <w:tcPr>
                  <w:tcW w:w="314" w:type="pct"/>
                  <w:vMerge w:val="continue"/>
                  <w:vAlign w:val="center"/>
                </w:tcPr>
                <w:p w14:paraId="7675FA75">
                  <w:pPr>
                    <w:spacing w:line="220" w:lineRule="exact"/>
                    <w:jc w:val="center"/>
                    <w:rPr>
                      <w:rFonts w:hint="eastAsia"/>
                      <w:color w:val="auto"/>
                      <w:spacing w:val="-17"/>
                      <w:sz w:val="18"/>
                      <w:szCs w:val="18"/>
                      <w:lang w:val="en-US" w:eastAsia="zh-CN"/>
                    </w:rPr>
                  </w:pPr>
                </w:p>
              </w:tc>
              <w:tc>
                <w:tcPr>
                  <w:tcW w:w="428" w:type="dxa"/>
                  <w:shd w:val="clear" w:color="auto" w:fill="FFFFFF"/>
                  <w:vAlign w:val="bottom"/>
                </w:tcPr>
                <w:p w14:paraId="461257D0">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20.8</w:t>
                  </w:r>
                </w:p>
              </w:tc>
              <w:tc>
                <w:tcPr>
                  <w:tcW w:w="504" w:type="dxa"/>
                  <w:shd w:val="clear" w:color="auto" w:fill="FFFFFF"/>
                  <w:vAlign w:val="bottom"/>
                </w:tcPr>
                <w:p w14:paraId="30BDF213">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30.8</w:t>
                  </w:r>
                </w:p>
              </w:tc>
              <w:tc>
                <w:tcPr>
                  <w:tcW w:w="503" w:type="dxa"/>
                  <w:shd w:val="clear" w:color="auto" w:fill="FFFFFF"/>
                  <w:vAlign w:val="bottom"/>
                </w:tcPr>
                <w:p w14:paraId="1F733D23">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39.6</w:t>
                  </w:r>
                </w:p>
              </w:tc>
              <w:tc>
                <w:tcPr>
                  <w:tcW w:w="525" w:type="dxa"/>
                  <w:shd w:val="clear" w:color="auto" w:fill="FFFFFF"/>
                  <w:vAlign w:val="bottom"/>
                </w:tcPr>
                <w:p w14:paraId="75E72EE2">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27.3</w:t>
                  </w:r>
                </w:p>
              </w:tc>
              <w:tc>
                <w:tcPr>
                  <w:tcW w:w="483" w:type="dxa"/>
                  <w:shd w:val="clear" w:color="auto" w:fill="FFFFFF"/>
                  <w:vAlign w:val="bottom"/>
                </w:tcPr>
                <w:p w14:paraId="46A6814F">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49</w:t>
                  </w:r>
                </w:p>
              </w:tc>
              <w:tc>
                <w:tcPr>
                  <w:tcW w:w="482" w:type="dxa"/>
                  <w:shd w:val="clear" w:color="auto" w:fill="FFFFFF"/>
                  <w:vAlign w:val="bottom"/>
                </w:tcPr>
                <w:p w14:paraId="366C2F71">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48.4</w:t>
                  </w:r>
                </w:p>
              </w:tc>
              <w:tc>
                <w:tcPr>
                  <w:tcW w:w="546" w:type="dxa"/>
                  <w:shd w:val="clear" w:color="auto" w:fill="FFFFFF"/>
                  <w:vAlign w:val="bottom"/>
                </w:tcPr>
                <w:p w14:paraId="2D8EC4EB">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48.2</w:t>
                  </w:r>
                </w:p>
              </w:tc>
              <w:tc>
                <w:tcPr>
                  <w:tcW w:w="579" w:type="dxa"/>
                  <w:shd w:val="clear" w:color="auto" w:fill="FFFFFF"/>
                  <w:vAlign w:val="bottom"/>
                </w:tcPr>
                <w:p w14:paraId="1D912DC5">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48.5</w:t>
                  </w:r>
                </w:p>
              </w:tc>
              <w:tc>
                <w:tcPr>
                  <w:tcW w:w="262" w:type="pct"/>
                  <w:vMerge w:val="continue"/>
                  <w:vAlign w:val="center"/>
                </w:tcPr>
                <w:p w14:paraId="2EDA8FAE">
                  <w:pPr>
                    <w:pStyle w:val="71"/>
                    <w:spacing w:line="220" w:lineRule="exact"/>
                    <w:jc w:val="center"/>
                    <w:rPr>
                      <w:rFonts w:hint="default" w:ascii="Times New Roman" w:hAnsi="Times New Roman" w:eastAsia="宋体" w:cs="Calibri"/>
                      <w:color w:val="auto"/>
                      <w:spacing w:val="-17"/>
                      <w:kern w:val="0"/>
                      <w:sz w:val="18"/>
                      <w:szCs w:val="18"/>
                      <w:lang w:val="en-US" w:eastAsia="zh-CN" w:bidi="ar-SA"/>
                    </w:rPr>
                  </w:pPr>
                </w:p>
              </w:tc>
              <w:tc>
                <w:tcPr>
                  <w:tcW w:w="331" w:type="pct"/>
                  <w:shd w:val="clear" w:color="auto" w:fill="FFFFFF"/>
                  <w:vAlign w:val="center"/>
                </w:tcPr>
                <w:p w14:paraId="75D003DD">
                  <w:pPr>
                    <w:pStyle w:val="71"/>
                    <w:spacing w:line="220" w:lineRule="exact"/>
                    <w:jc w:val="center"/>
                    <w:rPr>
                      <w:rFonts w:hint="default" w:ascii="Times New Roman" w:hAnsi="Times New Roman" w:eastAsia="宋体" w:cs="Times New Roman"/>
                      <w:color w:val="auto"/>
                      <w:spacing w:val="-17"/>
                      <w:sz w:val="18"/>
                      <w:szCs w:val="18"/>
                      <w:highlight w:val="none"/>
                      <w:lang w:val="en-US" w:eastAsia="zh-CN"/>
                    </w:rPr>
                  </w:pPr>
                  <w:r>
                    <w:rPr>
                      <w:rFonts w:hint="eastAsia" w:ascii="Times New Roman" w:hAnsi="Times New Roman" w:eastAsia="宋体" w:cs="Times New Roman"/>
                      <w:color w:val="auto"/>
                      <w:spacing w:val="-17"/>
                      <w:sz w:val="18"/>
                      <w:szCs w:val="18"/>
                      <w:highlight w:val="none"/>
                      <w:lang w:val="en-US" w:eastAsia="zh-CN"/>
                    </w:rPr>
                    <w:t>31.0</w:t>
                  </w:r>
                </w:p>
              </w:tc>
              <w:tc>
                <w:tcPr>
                  <w:tcW w:w="397" w:type="dxa"/>
                  <w:shd w:val="clear" w:color="auto" w:fill="FFFFFF"/>
                  <w:vAlign w:val="bottom"/>
                </w:tcPr>
                <w:p w14:paraId="1B68800A">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18</w:t>
                  </w:r>
                </w:p>
              </w:tc>
              <w:tc>
                <w:tcPr>
                  <w:tcW w:w="439" w:type="dxa"/>
                  <w:shd w:val="clear" w:color="auto" w:fill="FFFFFF"/>
                  <w:vAlign w:val="bottom"/>
                </w:tcPr>
                <w:p w14:paraId="0039AC7E">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17.4</w:t>
                  </w:r>
                </w:p>
              </w:tc>
              <w:tc>
                <w:tcPr>
                  <w:tcW w:w="418" w:type="dxa"/>
                  <w:shd w:val="clear" w:color="auto" w:fill="FFFFFF"/>
                  <w:vAlign w:val="bottom"/>
                </w:tcPr>
                <w:p w14:paraId="62DCD339">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17.2</w:t>
                  </w:r>
                </w:p>
              </w:tc>
              <w:tc>
                <w:tcPr>
                  <w:tcW w:w="396" w:type="dxa"/>
                  <w:shd w:val="clear" w:color="auto" w:fill="FFFFFF"/>
                  <w:vAlign w:val="bottom"/>
                </w:tcPr>
                <w:p w14:paraId="353DE682">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17.5</w:t>
                  </w:r>
                </w:p>
              </w:tc>
              <w:tc>
                <w:tcPr>
                  <w:tcW w:w="411" w:type="pct"/>
                  <w:shd w:val="clear" w:color="auto" w:fill="FFFFFF"/>
                  <w:vAlign w:val="center"/>
                </w:tcPr>
                <w:p w14:paraId="06C0F0A8">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eastAsia" w:ascii="Times New Roman" w:hAnsi="Times New Roman" w:eastAsia="宋体" w:cs="Times New Roman"/>
                      <w:color w:val="auto"/>
                      <w:spacing w:val="-17"/>
                      <w:sz w:val="18"/>
                      <w:szCs w:val="18"/>
                      <w:highlight w:val="none"/>
                      <w:lang w:val="en-US" w:eastAsia="zh-CN"/>
                    </w:rPr>
                    <w:t>1</w:t>
                  </w:r>
                </w:p>
              </w:tc>
            </w:tr>
            <w:tr w14:paraId="12CA5C2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1" w:hRule="exact"/>
                <w:jc w:val="center"/>
              </w:trPr>
              <w:tc>
                <w:tcPr>
                  <w:tcW w:w="176" w:type="pct"/>
                  <w:shd w:val="clear" w:color="auto" w:fill="auto"/>
                  <w:vAlign w:val="center"/>
                </w:tcPr>
                <w:p w14:paraId="2458F4A0">
                  <w:pPr>
                    <w:spacing w:line="220" w:lineRule="exact"/>
                    <w:jc w:val="center"/>
                    <w:rPr>
                      <w:rFonts w:hint="eastAsia" w:ascii="Times New Roman" w:hAnsi="Times New Roman" w:eastAsia="宋体" w:cs="Times New Roman"/>
                      <w:color w:val="auto"/>
                      <w:spacing w:val="-17"/>
                      <w:kern w:val="2"/>
                      <w:sz w:val="18"/>
                      <w:szCs w:val="18"/>
                      <w:highlight w:val="none"/>
                      <w:lang w:val="en-US" w:eastAsia="zh-CN" w:bidi="ar-SA"/>
                    </w:rPr>
                  </w:pPr>
                  <w:r>
                    <w:rPr>
                      <w:rFonts w:hint="eastAsia" w:cs="Times New Roman"/>
                      <w:color w:val="auto"/>
                      <w:spacing w:val="-17"/>
                      <w:sz w:val="18"/>
                      <w:szCs w:val="18"/>
                      <w:highlight w:val="none"/>
                      <w:lang w:val="en-US" w:eastAsia="zh-CN"/>
                    </w:rPr>
                    <w:t>12</w:t>
                  </w:r>
                </w:p>
              </w:tc>
              <w:tc>
                <w:tcPr>
                  <w:tcW w:w="176" w:type="pct"/>
                  <w:vMerge w:val="continue"/>
                  <w:vAlign w:val="center"/>
                </w:tcPr>
                <w:p w14:paraId="10268A90">
                  <w:pPr>
                    <w:spacing w:line="220" w:lineRule="exact"/>
                    <w:jc w:val="center"/>
                    <w:rPr>
                      <w:rFonts w:hint="eastAsia" w:ascii="Times New Roman" w:hAnsi="Times New Roman" w:cs="Times New Roman"/>
                      <w:color w:val="auto"/>
                      <w:spacing w:val="-17"/>
                      <w:kern w:val="2"/>
                      <w:sz w:val="18"/>
                      <w:szCs w:val="18"/>
                      <w:lang w:val="en-US" w:eastAsia="zh-CN" w:bidi="ar-SA"/>
                    </w:rPr>
                  </w:pPr>
                </w:p>
              </w:tc>
              <w:tc>
                <w:tcPr>
                  <w:tcW w:w="211" w:type="pct"/>
                  <w:vMerge w:val="continue"/>
                  <w:vAlign w:val="center"/>
                </w:tcPr>
                <w:p w14:paraId="2458D0BC">
                  <w:pPr>
                    <w:spacing w:line="220" w:lineRule="exact"/>
                    <w:jc w:val="center"/>
                    <w:rPr>
                      <w:rFonts w:hint="eastAsia" w:ascii="Times New Roman" w:hAnsi="Times New Roman" w:cs="Times New Roman"/>
                      <w:color w:val="auto"/>
                      <w:spacing w:val="-17"/>
                      <w:sz w:val="18"/>
                      <w:szCs w:val="18"/>
                      <w:lang w:val="en-US" w:eastAsia="zh-CN"/>
                    </w:rPr>
                  </w:pPr>
                </w:p>
              </w:tc>
              <w:tc>
                <w:tcPr>
                  <w:tcW w:w="379" w:type="pct"/>
                  <w:shd w:val="clear" w:color="auto" w:fill="auto"/>
                  <w:vAlign w:val="center"/>
                </w:tcPr>
                <w:p w14:paraId="393BB27C">
                  <w:pPr>
                    <w:pStyle w:val="71"/>
                    <w:spacing w:line="220" w:lineRule="exact"/>
                    <w:jc w:val="center"/>
                    <w:rPr>
                      <w:rFonts w:hint="eastAsia" w:ascii="Times New Roman" w:hAnsi="Times New Roman" w:eastAsia="宋体" w:cs="Times New Roman"/>
                      <w:color w:val="auto"/>
                      <w:spacing w:val="-17"/>
                      <w:kern w:val="0"/>
                      <w:sz w:val="18"/>
                      <w:szCs w:val="18"/>
                      <w:highlight w:val="none"/>
                      <w:lang w:val="en-US" w:eastAsia="zh-CN" w:bidi="ar-SA"/>
                    </w:rPr>
                  </w:pPr>
                  <w:r>
                    <w:rPr>
                      <w:rFonts w:hint="eastAsia" w:ascii="Times New Roman" w:hAnsi="Times New Roman" w:cs="Times New Roman"/>
                      <w:color w:val="auto"/>
                      <w:spacing w:val="-17"/>
                      <w:sz w:val="18"/>
                      <w:szCs w:val="18"/>
                      <w:highlight w:val="none"/>
                      <w:lang w:val="en-US" w:eastAsia="zh-CN"/>
                    </w:rPr>
                    <w:t>4</w:t>
                  </w:r>
                  <w:r>
                    <w:rPr>
                      <w:rFonts w:hint="eastAsia" w:ascii="Times New Roman" w:hAnsi="Times New Roman" w:eastAsia="宋体" w:cs="Times New Roman"/>
                      <w:color w:val="auto"/>
                      <w:spacing w:val="-17"/>
                      <w:sz w:val="18"/>
                      <w:szCs w:val="18"/>
                      <w:highlight w:val="none"/>
                      <w:vertAlign w:val="superscript"/>
                      <w:lang w:val="en-US" w:eastAsia="zh-CN"/>
                    </w:rPr>
                    <w:t>#</w:t>
                  </w:r>
                  <w:r>
                    <w:rPr>
                      <w:rFonts w:hint="eastAsia" w:ascii="Times New Roman" w:hAnsi="Times New Roman" w:eastAsia="宋体" w:cs="Times New Roman"/>
                      <w:color w:val="auto"/>
                      <w:spacing w:val="-17"/>
                      <w:sz w:val="18"/>
                      <w:szCs w:val="18"/>
                      <w:highlight w:val="none"/>
                      <w:lang w:val="en-US" w:eastAsia="zh-CN"/>
                    </w:rPr>
                    <w:t>空气分选机</w:t>
                  </w:r>
                </w:p>
              </w:tc>
              <w:tc>
                <w:tcPr>
                  <w:tcW w:w="193" w:type="pct"/>
                  <w:shd w:val="clear" w:color="auto" w:fill="auto"/>
                  <w:vAlign w:val="center"/>
                </w:tcPr>
                <w:p w14:paraId="7A62D651">
                  <w:pPr>
                    <w:pStyle w:val="71"/>
                    <w:spacing w:line="220" w:lineRule="exact"/>
                    <w:jc w:val="center"/>
                    <w:rPr>
                      <w:rFonts w:hint="eastAsia" w:ascii="Times New Roman" w:hAnsi="Times New Roman" w:eastAsia="宋体" w:cs="Times New Roman"/>
                      <w:color w:val="auto"/>
                      <w:spacing w:val="-17"/>
                      <w:kern w:val="0"/>
                      <w:sz w:val="18"/>
                      <w:szCs w:val="18"/>
                      <w:highlight w:val="none"/>
                      <w:lang w:val="en-US" w:eastAsia="zh-CN" w:bidi="ar-SA"/>
                    </w:rPr>
                  </w:pPr>
                  <w:r>
                    <w:rPr>
                      <w:rFonts w:hint="eastAsia" w:ascii="Times New Roman" w:hAnsi="Times New Roman" w:eastAsia="宋体" w:cs="Times New Roman"/>
                      <w:color w:val="auto"/>
                      <w:spacing w:val="-17"/>
                      <w:sz w:val="18"/>
                      <w:szCs w:val="18"/>
                      <w:highlight w:val="none"/>
                      <w:lang w:val="en-US" w:eastAsia="zh-CN"/>
                    </w:rPr>
                    <w:t>1</w:t>
                  </w:r>
                </w:p>
              </w:tc>
              <w:tc>
                <w:tcPr>
                  <w:tcW w:w="250" w:type="pct"/>
                  <w:shd w:val="clear" w:color="auto" w:fill="auto"/>
                  <w:vAlign w:val="bottom"/>
                </w:tcPr>
                <w:p w14:paraId="3E9E9A87">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80</w:t>
                  </w:r>
                </w:p>
              </w:tc>
              <w:tc>
                <w:tcPr>
                  <w:tcW w:w="314" w:type="pct"/>
                  <w:vMerge w:val="continue"/>
                  <w:vAlign w:val="center"/>
                </w:tcPr>
                <w:p w14:paraId="2F23E113">
                  <w:pPr>
                    <w:spacing w:line="220" w:lineRule="exact"/>
                    <w:jc w:val="center"/>
                    <w:rPr>
                      <w:rFonts w:hint="eastAsia"/>
                      <w:color w:val="auto"/>
                      <w:spacing w:val="-17"/>
                      <w:sz w:val="18"/>
                      <w:szCs w:val="18"/>
                      <w:lang w:val="en-US" w:eastAsia="zh-CN"/>
                    </w:rPr>
                  </w:pPr>
                </w:p>
              </w:tc>
              <w:tc>
                <w:tcPr>
                  <w:tcW w:w="428" w:type="dxa"/>
                  <w:shd w:val="clear" w:color="auto" w:fill="FFFFFF"/>
                  <w:vAlign w:val="bottom"/>
                </w:tcPr>
                <w:p w14:paraId="2F03733A">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12.1</w:t>
                  </w:r>
                </w:p>
              </w:tc>
              <w:tc>
                <w:tcPr>
                  <w:tcW w:w="504" w:type="dxa"/>
                  <w:shd w:val="clear" w:color="auto" w:fill="FFFFFF"/>
                  <w:vAlign w:val="bottom"/>
                </w:tcPr>
                <w:p w14:paraId="0A9CA536">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30.4</w:t>
                  </w:r>
                </w:p>
              </w:tc>
              <w:tc>
                <w:tcPr>
                  <w:tcW w:w="503" w:type="dxa"/>
                  <w:shd w:val="clear" w:color="auto" w:fill="FFFFFF"/>
                  <w:vAlign w:val="bottom"/>
                </w:tcPr>
                <w:p w14:paraId="2881C97A">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48.3</w:t>
                  </w:r>
                </w:p>
              </w:tc>
              <w:tc>
                <w:tcPr>
                  <w:tcW w:w="525" w:type="dxa"/>
                  <w:shd w:val="clear" w:color="auto" w:fill="FFFFFF"/>
                  <w:vAlign w:val="bottom"/>
                </w:tcPr>
                <w:p w14:paraId="116B885C">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27.7</w:t>
                  </w:r>
                </w:p>
              </w:tc>
              <w:tc>
                <w:tcPr>
                  <w:tcW w:w="483" w:type="dxa"/>
                  <w:shd w:val="clear" w:color="auto" w:fill="FFFFFF"/>
                  <w:vAlign w:val="bottom"/>
                </w:tcPr>
                <w:p w14:paraId="3BC3966D">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50.6</w:t>
                  </w:r>
                </w:p>
              </w:tc>
              <w:tc>
                <w:tcPr>
                  <w:tcW w:w="482" w:type="dxa"/>
                  <w:shd w:val="clear" w:color="auto" w:fill="FFFFFF"/>
                  <w:vAlign w:val="bottom"/>
                </w:tcPr>
                <w:p w14:paraId="436F29A3">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48.4</w:t>
                  </w:r>
                </w:p>
              </w:tc>
              <w:tc>
                <w:tcPr>
                  <w:tcW w:w="546" w:type="dxa"/>
                  <w:shd w:val="clear" w:color="auto" w:fill="FFFFFF"/>
                  <w:vAlign w:val="bottom"/>
                </w:tcPr>
                <w:p w14:paraId="3951D0F8">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48</w:t>
                  </w:r>
                </w:p>
              </w:tc>
              <w:tc>
                <w:tcPr>
                  <w:tcW w:w="579" w:type="dxa"/>
                  <w:shd w:val="clear" w:color="auto" w:fill="FFFFFF"/>
                  <w:vAlign w:val="bottom"/>
                </w:tcPr>
                <w:p w14:paraId="09E39B2F">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48.5</w:t>
                  </w:r>
                </w:p>
              </w:tc>
              <w:tc>
                <w:tcPr>
                  <w:tcW w:w="262" w:type="pct"/>
                  <w:vMerge w:val="continue"/>
                  <w:vAlign w:val="center"/>
                </w:tcPr>
                <w:p w14:paraId="3D381ACE">
                  <w:pPr>
                    <w:pStyle w:val="71"/>
                    <w:spacing w:line="220" w:lineRule="exact"/>
                    <w:jc w:val="center"/>
                    <w:rPr>
                      <w:rFonts w:hint="default" w:ascii="Times New Roman" w:hAnsi="Times New Roman" w:eastAsia="宋体" w:cs="Calibri"/>
                      <w:color w:val="auto"/>
                      <w:spacing w:val="-17"/>
                      <w:kern w:val="0"/>
                      <w:sz w:val="18"/>
                      <w:szCs w:val="18"/>
                      <w:lang w:val="en-US" w:eastAsia="zh-CN" w:bidi="ar-SA"/>
                    </w:rPr>
                  </w:pPr>
                </w:p>
              </w:tc>
              <w:tc>
                <w:tcPr>
                  <w:tcW w:w="331" w:type="pct"/>
                  <w:shd w:val="clear" w:color="auto" w:fill="FFFFFF"/>
                  <w:vAlign w:val="center"/>
                </w:tcPr>
                <w:p w14:paraId="00817B3C">
                  <w:pPr>
                    <w:pStyle w:val="71"/>
                    <w:spacing w:line="220" w:lineRule="exact"/>
                    <w:jc w:val="center"/>
                    <w:rPr>
                      <w:rFonts w:hint="default" w:ascii="Times New Roman" w:hAnsi="Times New Roman" w:eastAsia="宋体" w:cs="Times New Roman"/>
                      <w:color w:val="auto"/>
                      <w:spacing w:val="-17"/>
                      <w:sz w:val="18"/>
                      <w:szCs w:val="18"/>
                      <w:highlight w:val="none"/>
                      <w:lang w:val="en-US" w:eastAsia="zh-CN"/>
                    </w:rPr>
                  </w:pPr>
                  <w:r>
                    <w:rPr>
                      <w:rFonts w:hint="eastAsia" w:ascii="Times New Roman" w:hAnsi="Times New Roman" w:eastAsia="宋体" w:cs="Times New Roman"/>
                      <w:color w:val="auto"/>
                      <w:spacing w:val="-17"/>
                      <w:sz w:val="18"/>
                      <w:szCs w:val="18"/>
                      <w:highlight w:val="none"/>
                      <w:lang w:val="en-US" w:eastAsia="zh-CN"/>
                    </w:rPr>
                    <w:t>31.0</w:t>
                  </w:r>
                </w:p>
              </w:tc>
              <w:tc>
                <w:tcPr>
                  <w:tcW w:w="397" w:type="dxa"/>
                  <w:shd w:val="clear" w:color="auto" w:fill="FFFFFF"/>
                  <w:vAlign w:val="bottom"/>
                </w:tcPr>
                <w:p w14:paraId="3DB2608E">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19.6</w:t>
                  </w:r>
                </w:p>
              </w:tc>
              <w:tc>
                <w:tcPr>
                  <w:tcW w:w="439" w:type="dxa"/>
                  <w:shd w:val="clear" w:color="auto" w:fill="FFFFFF"/>
                  <w:vAlign w:val="bottom"/>
                </w:tcPr>
                <w:p w14:paraId="300698DE">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17.4</w:t>
                  </w:r>
                </w:p>
              </w:tc>
              <w:tc>
                <w:tcPr>
                  <w:tcW w:w="418" w:type="dxa"/>
                  <w:shd w:val="clear" w:color="auto" w:fill="FFFFFF"/>
                  <w:vAlign w:val="bottom"/>
                </w:tcPr>
                <w:p w14:paraId="3579A027">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17</w:t>
                  </w:r>
                </w:p>
              </w:tc>
              <w:tc>
                <w:tcPr>
                  <w:tcW w:w="396" w:type="dxa"/>
                  <w:shd w:val="clear" w:color="auto" w:fill="FFFFFF"/>
                  <w:vAlign w:val="bottom"/>
                </w:tcPr>
                <w:p w14:paraId="060C5361">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17.5</w:t>
                  </w:r>
                </w:p>
              </w:tc>
              <w:tc>
                <w:tcPr>
                  <w:tcW w:w="411" w:type="pct"/>
                  <w:shd w:val="clear" w:color="auto" w:fill="FFFFFF"/>
                  <w:vAlign w:val="center"/>
                </w:tcPr>
                <w:p w14:paraId="578DEC4C">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eastAsia" w:ascii="Times New Roman" w:hAnsi="Times New Roman" w:eastAsia="宋体" w:cs="Times New Roman"/>
                      <w:color w:val="auto"/>
                      <w:spacing w:val="-17"/>
                      <w:sz w:val="18"/>
                      <w:szCs w:val="18"/>
                      <w:highlight w:val="none"/>
                      <w:lang w:val="en-US" w:eastAsia="zh-CN"/>
                    </w:rPr>
                    <w:t>1</w:t>
                  </w:r>
                </w:p>
              </w:tc>
            </w:tr>
            <w:tr w14:paraId="252AB78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1" w:hRule="exact"/>
                <w:jc w:val="center"/>
              </w:trPr>
              <w:tc>
                <w:tcPr>
                  <w:tcW w:w="176" w:type="pct"/>
                  <w:shd w:val="clear" w:color="auto" w:fill="auto"/>
                  <w:vAlign w:val="center"/>
                </w:tcPr>
                <w:p w14:paraId="6CF99FB3">
                  <w:pPr>
                    <w:spacing w:line="220" w:lineRule="exact"/>
                    <w:jc w:val="center"/>
                    <w:rPr>
                      <w:rFonts w:hint="eastAsia" w:ascii="Times New Roman" w:hAnsi="Times New Roman" w:eastAsia="宋体" w:cs="Times New Roman"/>
                      <w:color w:val="auto"/>
                      <w:spacing w:val="-17"/>
                      <w:kern w:val="2"/>
                      <w:sz w:val="18"/>
                      <w:szCs w:val="18"/>
                      <w:highlight w:val="none"/>
                      <w:lang w:val="en-US" w:eastAsia="zh-CN" w:bidi="ar-SA"/>
                    </w:rPr>
                  </w:pPr>
                  <w:r>
                    <w:rPr>
                      <w:rFonts w:hint="eastAsia" w:cs="Times New Roman"/>
                      <w:color w:val="auto"/>
                      <w:spacing w:val="-17"/>
                      <w:sz w:val="18"/>
                      <w:szCs w:val="18"/>
                      <w:highlight w:val="none"/>
                      <w:lang w:val="en-US" w:eastAsia="zh-CN"/>
                    </w:rPr>
                    <w:t>13</w:t>
                  </w:r>
                </w:p>
              </w:tc>
              <w:tc>
                <w:tcPr>
                  <w:tcW w:w="176" w:type="pct"/>
                  <w:vMerge w:val="continue"/>
                  <w:vAlign w:val="center"/>
                </w:tcPr>
                <w:p w14:paraId="1CCAD28B">
                  <w:pPr>
                    <w:spacing w:line="220" w:lineRule="exact"/>
                    <w:jc w:val="center"/>
                    <w:rPr>
                      <w:rFonts w:hint="eastAsia" w:ascii="Times New Roman" w:hAnsi="Times New Roman" w:cs="Times New Roman"/>
                      <w:color w:val="auto"/>
                      <w:spacing w:val="-17"/>
                      <w:kern w:val="2"/>
                      <w:sz w:val="18"/>
                      <w:szCs w:val="18"/>
                      <w:lang w:val="en-US" w:eastAsia="zh-CN" w:bidi="ar-SA"/>
                    </w:rPr>
                  </w:pPr>
                </w:p>
              </w:tc>
              <w:tc>
                <w:tcPr>
                  <w:tcW w:w="211" w:type="pct"/>
                  <w:vMerge w:val="continue"/>
                  <w:vAlign w:val="center"/>
                </w:tcPr>
                <w:p w14:paraId="0CB2B16D">
                  <w:pPr>
                    <w:spacing w:line="220" w:lineRule="exact"/>
                    <w:jc w:val="center"/>
                    <w:rPr>
                      <w:rFonts w:hint="eastAsia" w:ascii="Times New Roman" w:hAnsi="Times New Roman" w:cs="Times New Roman"/>
                      <w:color w:val="auto"/>
                      <w:spacing w:val="-17"/>
                      <w:sz w:val="18"/>
                      <w:szCs w:val="18"/>
                      <w:lang w:val="en-US" w:eastAsia="zh-CN"/>
                    </w:rPr>
                  </w:pPr>
                </w:p>
              </w:tc>
              <w:tc>
                <w:tcPr>
                  <w:tcW w:w="379" w:type="pct"/>
                  <w:shd w:val="clear" w:color="auto" w:fill="auto"/>
                  <w:vAlign w:val="center"/>
                </w:tcPr>
                <w:p w14:paraId="5845A5D8">
                  <w:pPr>
                    <w:pStyle w:val="71"/>
                    <w:spacing w:line="220" w:lineRule="exact"/>
                    <w:jc w:val="center"/>
                    <w:rPr>
                      <w:rFonts w:hint="eastAsia" w:ascii="Times New Roman" w:hAnsi="Times New Roman" w:eastAsia="宋体" w:cs="Times New Roman"/>
                      <w:color w:val="auto"/>
                      <w:spacing w:val="-17"/>
                      <w:kern w:val="0"/>
                      <w:sz w:val="18"/>
                      <w:szCs w:val="18"/>
                      <w:highlight w:val="none"/>
                      <w:lang w:val="en-US" w:eastAsia="zh-CN" w:bidi="ar-SA"/>
                    </w:rPr>
                  </w:pPr>
                  <w:r>
                    <w:rPr>
                      <w:rFonts w:hint="eastAsia" w:ascii="Times New Roman" w:hAnsi="Times New Roman" w:cs="Times New Roman"/>
                      <w:color w:val="auto"/>
                      <w:spacing w:val="-17"/>
                      <w:sz w:val="18"/>
                      <w:szCs w:val="18"/>
                      <w:highlight w:val="none"/>
                      <w:lang w:val="en-US" w:eastAsia="zh-CN"/>
                    </w:rPr>
                    <w:t>5</w:t>
                  </w:r>
                  <w:r>
                    <w:rPr>
                      <w:rFonts w:hint="eastAsia" w:ascii="Times New Roman" w:hAnsi="Times New Roman" w:eastAsia="宋体" w:cs="Times New Roman"/>
                      <w:color w:val="auto"/>
                      <w:spacing w:val="-17"/>
                      <w:sz w:val="18"/>
                      <w:szCs w:val="18"/>
                      <w:highlight w:val="none"/>
                      <w:vertAlign w:val="superscript"/>
                      <w:lang w:val="en-US" w:eastAsia="zh-CN"/>
                    </w:rPr>
                    <w:t>#</w:t>
                  </w:r>
                  <w:r>
                    <w:rPr>
                      <w:rFonts w:hint="eastAsia" w:ascii="Times New Roman" w:hAnsi="Times New Roman" w:eastAsia="宋体" w:cs="Times New Roman"/>
                      <w:color w:val="auto"/>
                      <w:spacing w:val="-17"/>
                      <w:sz w:val="18"/>
                      <w:szCs w:val="18"/>
                      <w:highlight w:val="none"/>
                      <w:lang w:val="en-US" w:eastAsia="zh-CN"/>
                    </w:rPr>
                    <w:t>空气分选机</w:t>
                  </w:r>
                </w:p>
              </w:tc>
              <w:tc>
                <w:tcPr>
                  <w:tcW w:w="193" w:type="pct"/>
                  <w:shd w:val="clear" w:color="auto" w:fill="auto"/>
                  <w:vAlign w:val="center"/>
                </w:tcPr>
                <w:p w14:paraId="57613856">
                  <w:pPr>
                    <w:pStyle w:val="71"/>
                    <w:spacing w:line="220" w:lineRule="exact"/>
                    <w:jc w:val="center"/>
                    <w:rPr>
                      <w:rFonts w:hint="eastAsia" w:ascii="Times New Roman" w:hAnsi="Times New Roman" w:eastAsia="宋体" w:cs="Times New Roman"/>
                      <w:color w:val="auto"/>
                      <w:spacing w:val="-17"/>
                      <w:kern w:val="0"/>
                      <w:sz w:val="18"/>
                      <w:szCs w:val="18"/>
                      <w:highlight w:val="none"/>
                      <w:lang w:val="en-US" w:eastAsia="zh-CN" w:bidi="ar-SA"/>
                    </w:rPr>
                  </w:pPr>
                  <w:r>
                    <w:rPr>
                      <w:rFonts w:hint="eastAsia" w:ascii="Times New Roman" w:hAnsi="Times New Roman" w:eastAsia="宋体" w:cs="Times New Roman"/>
                      <w:color w:val="auto"/>
                      <w:spacing w:val="-17"/>
                      <w:sz w:val="18"/>
                      <w:szCs w:val="18"/>
                      <w:highlight w:val="none"/>
                      <w:lang w:val="en-US" w:eastAsia="zh-CN"/>
                    </w:rPr>
                    <w:t>1</w:t>
                  </w:r>
                </w:p>
              </w:tc>
              <w:tc>
                <w:tcPr>
                  <w:tcW w:w="250" w:type="pct"/>
                  <w:shd w:val="clear" w:color="auto" w:fill="auto"/>
                  <w:vAlign w:val="bottom"/>
                </w:tcPr>
                <w:p w14:paraId="63E160DA">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80</w:t>
                  </w:r>
                </w:p>
              </w:tc>
              <w:tc>
                <w:tcPr>
                  <w:tcW w:w="314" w:type="pct"/>
                  <w:vMerge w:val="continue"/>
                  <w:vAlign w:val="center"/>
                </w:tcPr>
                <w:p w14:paraId="60BC674C">
                  <w:pPr>
                    <w:spacing w:line="220" w:lineRule="exact"/>
                    <w:jc w:val="center"/>
                    <w:rPr>
                      <w:rFonts w:hint="eastAsia"/>
                      <w:color w:val="auto"/>
                      <w:spacing w:val="-17"/>
                      <w:sz w:val="18"/>
                      <w:szCs w:val="18"/>
                      <w:lang w:val="en-US" w:eastAsia="zh-CN"/>
                    </w:rPr>
                  </w:pPr>
                </w:p>
              </w:tc>
              <w:tc>
                <w:tcPr>
                  <w:tcW w:w="428" w:type="dxa"/>
                  <w:shd w:val="clear" w:color="auto" w:fill="FFFFFF"/>
                  <w:vAlign w:val="bottom"/>
                </w:tcPr>
                <w:p w14:paraId="053D3A90">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23</w:t>
                  </w:r>
                </w:p>
              </w:tc>
              <w:tc>
                <w:tcPr>
                  <w:tcW w:w="504" w:type="dxa"/>
                  <w:shd w:val="clear" w:color="auto" w:fill="FFFFFF"/>
                  <w:vAlign w:val="bottom"/>
                </w:tcPr>
                <w:p w14:paraId="388C706A">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34.8</w:t>
                  </w:r>
                </w:p>
              </w:tc>
              <w:tc>
                <w:tcPr>
                  <w:tcW w:w="503" w:type="dxa"/>
                  <w:shd w:val="clear" w:color="auto" w:fill="FFFFFF"/>
                  <w:vAlign w:val="bottom"/>
                </w:tcPr>
                <w:p w14:paraId="1611123F">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37.3</w:t>
                  </w:r>
                </w:p>
              </w:tc>
              <w:tc>
                <w:tcPr>
                  <w:tcW w:w="525" w:type="dxa"/>
                  <w:shd w:val="clear" w:color="auto" w:fill="FFFFFF"/>
                  <w:vAlign w:val="bottom"/>
                </w:tcPr>
                <w:p w14:paraId="3121C89C">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23.3</w:t>
                  </w:r>
                </w:p>
              </w:tc>
              <w:tc>
                <w:tcPr>
                  <w:tcW w:w="483" w:type="dxa"/>
                  <w:shd w:val="clear" w:color="auto" w:fill="FFFFFF"/>
                  <w:vAlign w:val="bottom"/>
                </w:tcPr>
                <w:p w14:paraId="38637002">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48.8</w:t>
                  </w:r>
                </w:p>
              </w:tc>
              <w:tc>
                <w:tcPr>
                  <w:tcW w:w="482" w:type="dxa"/>
                  <w:shd w:val="clear" w:color="auto" w:fill="FFFFFF"/>
                  <w:vAlign w:val="bottom"/>
                </w:tcPr>
                <w:p w14:paraId="55851F7F">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48.3</w:t>
                  </w:r>
                </w:p>
              </w:tc>
              <w:tc>
                <w:tcPr>
                  <w:tcW w:w="546" w:type="dxa"/>
                  <w:shd w:val="clear" w:color="auto" w:fill="FFFFFF"/>
                  <w:vAlign w:val="bottom"/>
                </w:tcPr>
                <w:p w14:paraId="52FCC029">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48.2</w:t>
                  </w:r>
                </w:p>
              </w:tc>
              <w:tc>
                <w:tcPr>
                  <w:tcW w:w="579" w:type="dxa"/>
                  <w:shd w:val="clear" w:color="auto" w:fill="FFFFFF"/>
                  <w:vAlign w:val="bottom"/>
                </w:tcPr>
                <w:p w14:paraId="5EF555AB">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48.8</w:t>
                  </w:r>
                </w:p>
              </w:tc>
              <w:tc>
                <w:tcPr>
                  <w:tcW w:w="262" w:type="pct"/>
                  <w:vMerge w:val="continue"/>
                  <w:vAlign w:val="center"/>
                </w:tcPr>
                <w:p w14:paraId="28F6819E">
                  <w:pPr>
                    <w:pStyle w:val="71"/>
                    <w:spacing w:line="220" w:lineRule="exact"/>
                    <w:jc w:val="center"/>
                    <w:rPr>
                      <w:rFonts w:hint="default" w:ascii="Times New Roman" w:hAnsi="Times New Roman" w:eastAsia="宋体" w:cs="Calibri"/>
                      <w:color w:val="auto"/>
                      <w:spacing w:val="-17"/>
                      <w:kern w:val="0"/>
                      <w:sz w:val="18"/>
                      <w:szCs w:val="18"/>
                      <w:lang w:val="en-US" w:eastAsia="zh-CN" w:bidi="ar-SA"/>
                    </w:rPr>
                  </w:pPr>
                </w:p>
              </w:tc>
              <w:tc>
                <w:tcPr>
                  <w:tcW w:w="331" w:type="pct"/>
                  <w:shd w:val="clear" w:color="auto" w:fill="FFFFFF"/>
                  <w:vAlign w:val="center"/>
                </w:tcPr>
                <w:p w14:paraId="0AC927FA">
                  <w:pPr>
                    <w:pStyle w:val="71"/>
                    <w:spacing w:line="220" w:lineRule="exact"/>
                    <w:jc w:val="center"/>
                    <w:rPr>
                      <w:rFonts w:hint="default" w:ascii="Times New Roman" w:hAnsi="Times New Roman" w:eastAsia="宋体" w:cs="Times New Roman"/>
                      <w:color w:val="auto"/>
                      <w:spacing w:val="-17"/>
                      <w:sz w:val="18"/>
                      <w:szCs w:val="18"/>
                      <w:highlight w:val="none"/>
                      <w:lang w:val="en-US" w:eastAsia="zh-CN"/>
                    </w:rPr>
                  </w:pPr>
                  <w:r>
                    <w:rPr>
                      <w:rFonts w:hint="eastAsia" w:ascii="Times New Roman" w:hAnsi="Times New Roman" w:eastAsia="宋体" w:cs="Times New Roman"/>
                      <w:color w:val="auto"/>
                      <w:spacing w:val="-17"/>
                      <w:sz w:val="18"/>
                      <w:szCs w:val="18"/>
                      <w:highlight w:val="none"/>
                      <w:lang w:val="en-US" w:eastAsia="zh-CN"/>
                    </w:rPr>
                    <w:t>31.0</w:t>
                  </w:r>
                </w:p>
              </w:tc>
              <w:tc>
                <w:tcPr>
                  <w:tcW w:w="397" w:type="dxa"/>
                  <w:shd w:val="clear" w:color="auto" w:fill="FFFFFF"/>
                  <w:vAlign w:val="bottom"/>
                </w:tcPr>
                <w:p w14:paraId="2C65F03A">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17.8</w:t>
                  </w:r>
                </w:p>
              </w:tc>
              <w:tc>
                <w:tcPr>
                  <w:tcW w:w="439" w:type="dxa"/>
                  <w:shd w:val="clear" w:color="auto" w:fill="FFFFFF"/>
                  <w:vAlign w:val="bottom"/>
                </w:tcPr>
                <w:p w14:paraId="7923D639">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17.3</w:t>
                  </w:r>
                </w:p>
              </w:tc>
              <w:tc>
                <w:tcPr>
                  <w:tcW w:w="418" w:type="dxa"/>
                  <w:shd w:val="clear" w:color="auto" w:fill="FFFFFF"/>
                  <w:vAlign w:val="bottom"/>
                </w:tcPr>
                <w:p w14:paraId="610D030E">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17.2</w:t>
                  </w:r>
                </w:p>
              </w:tc>
              <w:tc>
                <w:tcPr>
                  <w:tcW w:w="396" w:type="dxa"/>
                  <w:shd w:val="clear" w:color="auto" w:fill="FFFFFF"/>
                  <w:vAlign w:val="bottom"/>
                </w:tcPr>
                <w:p w14:paraId="22F2C455">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17.8</w:t>
                  </w:r>
                </w:p>
              </w:tc>
              <w:tc>
                <w:tcPr>
                  <w:tcW w:w="411" w:type="pct"/>
                  <w:shd w:val="clear" w:color="auto" w:fill="FFFFFF"/>
                  <w:vAlign w:val="center"/>
                </w:tcPr>
                <w:p w14:paraId="7F6908D3">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eastAsia" w:ascii="Times New Roman" w:hAnsi="Times New Roman" w:eastAsia="宋体" w:cs="Times New Roman"/>
                      <w:color w:val="auto"/>
                      <w:spacing w:val="-17"/>
                      <w:sz w:val="18"/>
                      <w:szCs w:val="18"/>
                      <w:highlight w:val="none"/>
                      <w:lang w:val="en-US" w:eastAsia="zh-CN"/>
                    </w:rPr>
                    <w:t>1</w:t>
                  </w:r>
                </w:p>
              </w:tc>
            </w:tr>
            <w:tr w14:paraId="128C86F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1" w:hRule="exact"/>
                <w:jc w:val="center"/>
              </w:trPr>
              <w:tc>
                <w:tcPr>
                  <w:tcW w:w="176" w:type="pct"/>
                  <w:shd w:val="clear" w:color="auto" w:fill="auto"/>
                  <w:vAlign w:val="center"/>
                </w:tcPr>
                <w:p w14:paraId="61D99574">
                  <w:pPr>
                    <w:spacing w:line="220" w:lineRule="exact"/>
                    <w:jc w:val="center"/>
                    <w:rPr>
                      <w:rFonts w:hint="eastAsia" w:ascii="Times New Roman" w:hAnsi="Times New Roman" w:eastAsia="宋体" w:cs="Times New Roman"/>
                      <w:color w:val="auto"/>
                      <w:spacing w:val="-17"/>
                      <w:kern w:val="2"/>
                      <w:sz w:val="18"/>
                      <w:szCs w:val="18"/>
                      <w:highlight w:val="none"/>
                      <w:lang w:val="en-US" w:eastAsia="zh-CN" w:bidi="ar-SA"/>
                    </w:rPr>
                  </w:pPr>
                  <w:r>
                    <w:rPr>
                      <w:rFonts w:hint="eastAsia" w:cs="Times New Roman"/>
                      <w:color w:val="auto"/>
                      <w:spacing w:val="-17"/>
                      <w:sz w:val="18"/>
                      <w:szCs w:val="18"/>
                      <w:highlight w:val="none"/>
                      <w:lang w:val="en-US" w:eastAsia="zh-CN"/>
                    </w:rPr>
                    <w:t>14</w:t>
                  </w:r>
                </w:p>
              </w:tc>
              <w:tc>
                <w:tcPr>
                  <w:tcW w:w="176" w:type="pct"/>
                  <w:vMerge w:val="continue"/>
                  <w:vAlign w:val="center"/>
                </w:tcPr>
                <w:p w14:paraId="6BFA6852">
                  <w:pPr>
                    <w:spacing w:line="220" w:lineRule="exact"/>
                    <w:jc w:val="center"/>
                    <w:rPr>
                      <w:rFonts w:hint="eastAsia" w:ascii="Times New Roman" w:hAnsi="Times New Roman" w:cs="Times New Roman"/>
                      <w:color w:val="auto"/>
                      <w:spacing w:val="-17"/>
                      <w:kern w:val="2"/>
                      <w:sz w:val="18"/>
                      <w:szCs w:val="18"/>
                      <w:lang w:val="en-US" w:eastAsia="zh-CN" w:bidi="ar-SA"/>
                    </w:rPr>
                  </w:pPr>
                </w:p>
              </w:tc>
              <w:tc>
                <w:tcPr>
                  <w:tcW w:w="211" w:type="pct"/>
                  <w:vMerge w:val="continue"/>
                  <w:vAlign w:val="center"/>
                </w:tcPr>
                <w:p w14:paraId="14E478D2">
                  <w:pPr>
                    <w:spacing w:line="220" w:lineRule="exact"/>
                    <w:jc w:val="center"/>
                    <w:rPr>
                      <w:rFonts w:hint="eastAsia" w:ascii="Times New Roman" w:hAnsi="Times New Roman" w:cs="Times New Roman"/>
                      <w:color w:val="auto"/>
                      <w:spacing w:val="-17"/>
                      <w:sz w:val="18"/>
                      <w:szCs w:val="18"/>
                      <w:lang w:val="en-US" w:eastAsia="zh-CN"/>
                    </w:rPr>
                  </w:pPr>
                </w:p>
              </w:tc>
              <w:tc>
                <w:tcPr>
                  <w:tcW w:w="379" w:type="pct"/>
                  <w:shd w:val="clear" w:color="auto" w:fill="auto"/>
                  <w:vAlign w:val="center"/>
                </w:tcPr>
                <w:p w14:paraId="26DE6992">
                  <w:pPr>
                    <w:pStyle w:val="71"/>
                    <w:spacing w:line="220" w:lineRule="exact"/>
                    <w:jc w:val="center"/>
                    <w:rPr>
                      <w:rFonts w:hint="eastAsia" w:ascii="Times New Roman" w:hAnsi="Times New Roman" w:eastAsia="宋体" w:cs="Times New Roman"/>
                      <w:color w:val="auto"/>
                      <w:spacing w:val="-17"/>
                      <w:kern w:val="0"/>
                      <w:sz w:val="18"/>
                      <w:szCs w:val="18"/>
                      <w:highlight w:val="none"/>
                      <w:lang w:val="en-US" w:eastAsia="zh-CN" w:bidi="ar-SA"/>
                    </w:rPr>
                  </w:pPr>
                  <w:r>
                    <w:rPr>
                      <w:rFonts w:hint="eastAsia" w:ascii="Times New Roman" w:hAnsi="Times New Roman" w:cs="Times New Roman"/>
                      <w:color w:val="auto"/>
                      <w:spacing w:val="-17"/>
                      <w:sz w:val="18"/>
                      <w:szCs w:val="18"/>
                      <w:highlight w:val="none"/>
                      <w:lang w:val="en-US" w:eastAsia="zh-CN"/>
                    </w:rPr>
                    <w:t>6</w:t>
                  </w:r>
                  <w:r>
                    <w:rPr>
                      <w:rFonts w:hint="eastAsia" w:ascii="Times New Roman" w:hAnsi="Times New Roman" w:eastAsia="宋体" w:cs="Times New Roman"/>
                      <w:color w:val="auto"/>
                      <w:spacing w:val="-17"/>
                      <w:sz w:val="18"/>
                      <w:szCs w:val="18"/>
                      <w:highlight w:val="none"/>
                      <w:vertAlign w:val="superscript"/>
                      <w:lang w:val="en-US" w:eastAsia="zh-CN"/>
                    </w:rPr>
                    <w:t>#</w:t>
                  </w:r>
                  <w:r>
                    <w:rPr>
                      <w:rFonts w:hint="eastAsia" w:ascii="Times New Roman" w:hAnsi="Times New Roman" w:eastAsia="宋体" w:cs="Times New Roman"/>
                      <w:color w:val="auto"/>
                      <w:spacing w:val="-17"/>
                      <w:sz w:val="18"/>
                      <w:szCs w:val="18"/>
                      <w:highlight w:val="none"/>
                      <w:lang w:val="en-US" w:eastAsia="zh-CN"/>
                    </w:rPr>
                    <w:t>空气分选机</w:t>
                  </w:r>
                </w:p>
              </w:tc>
              <w:tc>
                <w:tcPr>
                  <w:tcW w:w="193" w:type="pct"/>
                  <w:shd w:val="clear" w:color="auto" w:fill="auto"/>
                  <w:vAlign w:val="center"/>
                </w:tcPr>
                <w:p w14:paraId="1EE0ED42">
                  <w:pPr>
                    <w:pStyle w:val="71"/>
                    <w:spacing w:line="220" w:lineRule="exact"/>
                    <w:jc w:val="center"/>
                    <w:rPr>
                      <w:rFonts w:hint="eastAsia" w:ascii="Times New Roman" w:hAnsi="Times New Roman" w:eastAsia="宋体" w:cs="Times New Roman"/>
                      <w:color w:val="auto"/>
                      <w:spacing w:val="-17"/>
                      <w:kern w:val="0"/>
                      <w:sz w:val="18"/>
                      <w:szCs w:val="18"/>
                      <w:highlight w:val="none"/>
                      <w:lang w:val="en-US" w:eastAsia="zh-CN" w:bidi="ar-SA"/>
                    </w:rPr>
                  </w:pPr>
                  <w:r>
                    <w:rPr>
                      <w:rFonts w:hint="eastAsia" w:ascii="Times New Roman" w:hAnsi="Times New Roman" w:eastAsia="宋体" w:cs="Times New Roman"/>
                      <w:color w:val="auto"/>
                      <w:spacing w:val="-17"/>
                      <w:sz w:val="18"/>
                      <w:szCs w:val="18"/>
                      <w:highlight w:val="none"/>
                      <w:lang w:val="en-US" w:eastAsia="zh-CN"/>
                    </w:rPr>
                    <w:t>1</w:t>
                  </w:r>
                </w:p>
              </w:tc>
              <w:tc>
                <w:tcPr>
                  <w:tcW w:w="250" w:type="pct"/>
                  <w:shd w:val="clear" w:color="auto" w:fill="auto"/>
                  <w:vAlign w:val="bottom"/>
                </w:tcPr>
                <w:p w14:paraId="5FDD2430">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80</w:t>
                  </w:r>
                </w:p>
              </w:tc>
              <w:tc>
                <w:tcPr>
                  <w:tcW w:w="314" w:type="pct"/>
                  <w:vMerge w:val="continue"/>
                  <w:vAlign w:val="center"/>
                </w:tcPr>
                <w:p w14:paraId="49D6DB3D">
                  <w:pPr>
                    <w:spacing w:line="220" w:lineRule="exact"/>
                    <w:jc w:val="center"/>
                    <w:rPr>
                      <w:rFonts w:hint="eastAsia"/>
                      <w:color w:val="auto"/>
                      <w:spacing w:val="-17"/>
                      <w:sz w:val="18"/>
                      <w:szCs w:val="18"/>
                      <w:lang w:val="en-US" w:eastAsia="zh-CN"/>
                    </w:rPr>
                  </w:pPr>
                </w:p>
              </w:tc>
              <w:tc>
                <w:tcPr>
                  <w:tcW w:w="428" w:type="dxa"/>
                  <w:shd w:val="clear" w:color="auto" w:fill="FFFFFF"/>
                  <w:vAlign w:val="bottom"/>
                </w:tcPr>
                <w:p w14:paraId="2B92EEDB">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14.1</w:t>
                  </w:r>
                </w:p>
              </w:tc>
              <w:tc>
                <w:tcPr>
                  <w:tcW w:w="504" w:type="dxa"/>
                  <w:shd w:val="clear" w:color="auto" w:fill="FFFFFF"/>
                  <w:vAlign w:val="bottom"/>
                </w:tcPr>
                <w:p w14:paraId="50A736A0">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34.2</w:t>
                  </w:r>
                </w:p>
              </w:tc>
              <w:tc>
                <w:tcPr>
                  <w:tcW w:w="503" w:type="dxa"/>
                  <w:shd w:val="clear" w:color="auto" w:fill="FFFFFF"/>
                  <w:vAlign w:val="bottom"/>
                </w:tcPr>
                <w:p w14:paraId="4093C7FF">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46.2</w:t>
                  </w:r>
                </w:p>
              </w:tc>
              <w:tc>
                <w:tcPr>
                  <w:tcW w:w="525" w:type="dxa"/>
                  <w:shd w:val="clear" w:color="auto" w:fill="FFFFFF"/>
                  <w:vAlign w:val="bottom"/>
                </w:tcPr>
                <w:p w14:paraId="3362AE11">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23.9</w:t>
                  </w:r>
                </w:p>
              </w:tc>
              <w:tc>
                <w:tcPr>
                  <w:tcW w:w="483" w:type="dxa"/>
                  <w:shd w:val="clear" w:color="auto" w:fill="FFFFFF"/>
                  <w:vAlign w:val="bottom"/>
                </w:tcPr>
                <w:p w14:paraId="4E9282CF">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50</w:t>
                  </w:r>
                </w:p>
              </w:tc>
              <w:tc>
                <w:tcPr>
                  <w:tcW w:w="482" w:type="dxa"/>
                  <w:shd w:val="clear" w:color="auto" w:fill="FFFFFF"/>
                  <w:vAlign w:val="bottom"/>
                </w:tcPr>
                <w:p w14:paraId="2CEBA508">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48.3</w:t>
                  </w:r>
                </w:p>
              </w:tc>
              <w:tc>
                <w:tcPr>
                  <w:tcW w:w="546" w:type="dxa"/>
                  <w:shd w:val="clear" w:color="auto" w:fill="FFFFFF"/>
                  <w:vAlign w:val="bottom"/>
                </w:tcPr>
                <w:p w14:paraId="3973491F">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48.1</w:t>
                  </w:r>
                </w:p>
              </w:tc>
              <w:tc>
                <w:tcPr>
                  <w:tcW w:w="579" w:type="dxa"/>
                  <w:shd w:val="clear" w:color="auto" w:fill="FFFFFF"/>
                  <w:vAlign w:val="bottom"/>
                </w:tcPr>
                <w:p w14:paraId="13A284AF">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48.7</w:t>
                  </w:r>
                </w:p>
              </w:tc>
              <w:tc>
                <w:tcPr>
                  <w:tcW w:w="262" w:type="pct"/>
                  <w:vMerge w:val="continue"/>
                  <w:vAlign w:val="center"/>
                </w:tcPr>
                <w:p w14:paraId="4BE5AA70">
                  <w:pPr>
                    <w:pStyle w:val="71"/>
                    <w:spacing w:line="220" w:lineRule="exact"/>
                    <w:jc w:val="center"/>
                    <w:rPr>
                      <w:rFonts w:hint="default" w:ascii="Times New Roman" w:hAnsi="Times New Roman" w:eastAsia="宋体" w:cs="Calibri"/>
                      <w:color w:val="auto"/>
                      <w:spacing w:val="-17"/>
                      <w:kern w:val="0"/>
                      <w:sz w:val="18"/>
                      <w:szCs w:val="18"/>
                      <w:lang w:val="en-US" w:eastAsia="zh-CN" w:bidi="ar-SA"/>
                    </w:rPr>
                  </w:pPr>
                </w:p>
              </w:tc>
              <w:tc>
                <w:tcPr>
                  <w:tcW w:w="331" w:type="pct"/>
                  <w:shd w:val="clear" w:color="auto" w:fill="FFFFFF"/>
                  <w:vAlign w:val="center"/>
                </w:tcPr>
                <w:p w14:paraId="488023FA">
                  <w:pPr>
                    <w:pStyle w:val="71"/>
                    <w:spacing w:line="220" w:lineRule="exact"/>
                    <w:jc w:val="center"/>
                    <w:rPr>
                      <w:rFonts w:hint="default" w:ascii="Times New Roman" w:hAnsi="Times New Roman" w:eastAsia="宋体" w:cs="Times New Roman"/>
                      <w:color w:val="auto"/>
                      <w:spacing w:val="-17"/>
                      <w:sz w:val="18"/>
                      <w:szCs w:val="18"/>
                      <w:highlight w:val="none"/>
                      <w:lang w:val="en-US" w:eastAsia="zh-CN"/>
                    </w:rPr>
                  </w:pPr>
                  <w:r>
                    <w:rPr>
                      <w:rFonts w:hint="eastAsia" w:ascii="Times New Roman" w:hAnsi="Times New Roman" w:eastAsia="宋体" w:cs="Times New Roman"/>
                      <w:color w:val="auto"/>
                      <w:spacing w:val="-17"/>
                      <w:sz w:val="18"/>
                      <w:szCs w:val="18"/>
                      <w:highlight w:val="none"/>
                      <w:lang w:val="en-US" w:eastAsia="zh-CN"/>
                    </w:rPr>
                    <w:t>31.0</w:t>
                  </w:r>
                </w:p>
              </w:tc>
              <w:tc>
                <w:tcPr>
                  <w:tcW w:w="397" w:type="dxa"/>
                  <w:shd w:val="clear" w:color="auto" w:fill="FFFFFF"/>
                  <w:vAlign w:val="bottom"/>
                </w:tcPr>
                <w:p w14:paraId="191110D8">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19</w:t>
                  </w:r>
                </w:p>
              </w:tc>
              <w:tc>
                <w:tcPr>
                  <w:tcW w:w="439" w:type="dxa"/>
                  <w:shd w:val="clear" w:color="auto" w:fill="FFFFFF"/>
                  <w:vAlign w:val="bottom"/>
                </w:tcPr>
                <w:p w14:paraId="52DD8AD0">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17.3</w:t>
                  </w:r>
                </w:p>
              </w:tc>
              <w:tc>
                <w:tcPr>
                  <w:tcW w:w="418" w:type="dxa"/>
                  <w:shd w:val="clear" w:color="auto" w:fill="FFFFFF"/>
                  <w:vAlign w:val="bottom"/>
                </w:tcPr>
                <w:p w14:paraId="1D34E7D2">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17.1</w:t>
                  </w:r>
                </w:p>
              </w:tc>
              <w:tc>
                <w:tcPr>
                  <w:tcW w:w="396" w:type="dxa"/>
                  <w:shd w:val="clear" w:color="auto" w:fill="FFFFFF"/>
                  <w:vAlign w:val="bottom"/>
                </w:tcPr>
                <w:p w14:paraId="249B03F8">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17.7</w:t>
                  </w:r>
                </w:p>
              </w:tc>
              <w:tc>
                <w:tcPr>
                  <w:tcW w:w="411" w:type="pct"/>
                  <w:shd w:val="clear" w:color="auto" w:fill="FFFFFF"/>
                  <w:vAlign w:val="center"/>
                </w:tcPr>
                <w:p w14:paraId="60FA4A36">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eastAsia" w:ascii="Times New Roman" w:hAnsi="Times New Roman" w:eastAsia="宋体" w:cs="Times New Roman"/>
                      <w:color w:val="auto"/>
                      <w:spacing w:val="-17"/>
                      <w:sz w:val="18"/>
                      <w:szCs w:val="18"/>
                      <w:highlight w:val="none"/>
                      <w:lang w:val="en-US" w:eastAsia="zh-CN"/>
                    </w:rPr>
                    <w:t>1</w:t>
                  </w:r>
                </w:p>
              </w:tc>
            </w:tr>
            <w:tr w14:paraId="6F32D43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1" w:hRule="exact"/>
                <w:jc w:val="center"/>
              </w:trPr>
              <w:tc>
                <w:tcPr>
                  <w:tcW w:w="176" w:type="pct"/>
                  <w:shd w:val="clear" w:color="auto" w:fill="auto"/>
                  <w:vAlign w:val="center"/>
                </w:tcPr>
                <w:p w14:paraId="0783B80B">
                  <w:pPr>
                    <w:spacing w:line="220" w:lineRule="exact"/>
                    <w:jc w:val="center"/>
                    <w:rPr>
                      <w:rFonts w:hint="eastAsia" w:ascii="Times New Roman" w:hAnsi="Times New Roman" w:eastAsia="宋体" w:cs="Times New Roman"/>
                      <w:color w:val="auto"/>
                      <w:spacing w:val="-17"/>
                      <w:kern w:val="2"/>
                      <w:sz w:val="18"/>
                      <w:szCs w:val="18"/>
                      <w:highlight w:val="none"/>
                      <w:lang w:val="en-US" w:eastAsia="zh-CN" w:bidi="ar-SA"/>
                    </w:rPr>
                  </w:pPr>
                  <w:r>
                    <w:rPr>
                      <w:rFonts w:hint="eastAsia" w:cs="Times New Roman"/>
                      <w:color w:val="auto"/>
                      <w:spacing w:val="-17"/>
                      <w:sz w:val="18"/>
                      <w:szCs w:val="18"/>
                      <w:highlight w:val="none"/>
                      <w:lang w:val="en-US" w:eastAsia="zh-CN"/>
                    </w:rPr>
                    <w:t>15</w:t>
                  </w:r>
                </w:p>
              </w:tc>
              <w:tc>
                <w:tcPr>
                  <w:tcW w:w="176" w:type="pct"/>
                  <w:vMerge w:val="continue"/>
                  <w:vAlign w:val="center"/>
                </w:tcPr>
                <w:p w14:paraId="79C23E25">
                  <w:pPr>
                    <w:spacing w:line="220" w:lineRule="exact"/>
                    <w:jc w:val="center"/>
                    <w:rPr>
                      <w:rFonts w:hint="eastAsia" w:ascii="Times New Roman" w:hAnsi="Times New Roman" w:cs="Times New Roman"/>
                      <w:color w:val="auto"/>
                      <w:spacing w:val="-17"/>
                      <w:kern w:val="2"/>
                      <w:sz w:val="18"/>
                      <w:szCs w:val="18"/>
                      <w:lang w:val="en-US" w:eastAsia="zh-CN" w:bidi="ar-SA"/>
                    </w:rPr>
                  </w:pPr>
                </w:p>
              </w:tc>
              <w:tc>
                <w:tcPr>
                  <w:tcW w:w="211" w:type="pct"/>
                  <w:vMerge w:val="continue"/>
                  <w:vAlign w:val="center"/>
                </w:tcPr>
                <w:p w14:paraId="05CD5A63">
                  <w:pPr>
                    <w:spacing w:line="220" w:lineRule="exact"/>
                    <w:jc w:val="center"/>
                    <w:rPr>
                      <w:rFonts w:hint="eastAsia" w:ascii="Times New Roman" w:hAnsi="Times New Roman" w:cs="Times New Roman"/>
                      <w:color w:val="auto"/>
                      <w:spacing w:val="-17"/>
                      <w:sz w:val="18"/>
                      <w:szCs w:val="18"/>
                      <w:lang w:val="en-US" w:eastAsia="zh-CN"/>
                    </w:rPr>
                  </w:pPr>
                </w:p>
              </w:tc>
              <w:tc>
                <w:tcPr>
                  <w:tcW w:w="379" w:type="pct"/>
                  <w:shd w:val="clear" w:color="auto" w:fill="auto"/>
                  <w:vAlign w:val="center"/>
                </w:tcPr>
                <w:p w14:paraId="0CD066FB">
                  <w:pPr>
                    <w:pStyle w:val="71"/>
                    <w:spacing w:line="220" w:lineRule="exact"/>
                    <w:jc w:val="center"/>
                    <w:rPr>
                      <w:rFonts w:hint="eastAsia" w:ascii="Times New Roman" w:hAnsi="Times New Roman" w:eastAsia="宋体" w:cs="Times New Roman"/>
                      <w:color w:val="auto"/>
                      <w:spacing w:val="-17"/>
                      <w:kern w:val="0"/>
                      <w:sz w:val="18"/>
                      <w:szCs w:val="18"/>
                      <w:highlight w:val="none"/>
                      <w:lang w:val="en-US" w:eastAsia="zh-CN" w:bidi="ar-SA"/>
                    </w:rPr>
                  </w:pPr>
                  <w:r>
                    <w:rPr>
                      <w:rFonts w:hint="eastAsia" w:ascii="Times New Roman" w:hAnsi="Times New Roman" w:cs="Times New Roman"/>
                      <w:color w:val="auto"/>
                      <w:spacing w:val="-17"/>
                      <w:sz w:val="18"/>
                      <w:szCs w:val="18"/>
                      <w:highlight w:val="none"/>
                      <w:lang w:val="en-US" w:eastAsia="zh-CN"/>
                    </w:rPr>
                    <w:t>7</w:t>
                  </w:r>
                  <w:r>
                    <w:rPr>
                      <w:rFonts w:hint="eastAsia" w:ascii="Times New Roman" w:hAnsi="Times New Roman" w:eastAsia="宋体" w:cs="Times New Roman"/>
                      <w:color w:val="auto"/>
                      <w:spacing w:val="-17"/>
                      <w:sz w:val="18"/>
                      <w:szCs w:val="18"/>
                      <w:highlight w:val="none"/>
                      <w:vertAlign w:val="superscript"/>
                      <w:lang w:val="en-US" w:eastAsia="zh-CN"/>
                    </w:rPr>
                    <w:t>#</w:t>
                  </w:r>
                  <w:r>
                    <w:rPr>
                      <w:rFonts w:hint="eastAsia" w:ascii="Times New Roman" w:hAnsi="Times New Roman" w:eastAsia="宋体" w:cs="Times New Roman"/>
                      <w:color w:val="auto"/>
                      <w:spacing w:val="-17"/>
                      <w:sz w:val="18"/>
                      <w:szCs w:val="18"/>
                      <w:highlight w:val="none"/>
                      <w:lang w:val="en-US" w:eastAsia="zh-CN"/>
                    </w:rPr>
                    <w:t>空气分选机</w:t>
                  </w:r>
                </w:p>
              </w:tc>
              <w:tc>
                <w:tcPr>
                  <w:tcW w:w="193" w:type="pct"/>
                  <w:shd w:val="clear" w:color="auto" w:fill="auto"/>
                  <w:vAlign w:val="center"/>
                </w:tcPr>
                <w:p w14:paraId="59DF8D08">
                  <w:pPr>
                    <w:pStyle w:val="71"/>
                    <w:spacing w:line="220" w:lineRule="exact"/>
                    <w:jc w:val="center"/>
                    <w:rPr>
                      <w:rFonts w:hint="eastAsia" w:ascii="Times New Roman" w:hAnsi="Times New Roman" w:eastAsia="宋体" w:cs="Times New Roman"/>
                      <w:color w:val="auto"/>
                      <w:spacing w:val="-17"/>
                      <w:kern w:val="0"/>
                      <w:sz w:val="18"/>
                      <w:szCs w:val="18"/>
                      <w:highlight w:val="none"/>
                      <w:lang w:val="en-US" w:eastAsia="zh-CN" w:bidi="ar-SA"/>
                    </w:rPr>
                  </w:pPr>
                  <w:r>
                    <w:rPr>
                      <w:rFonts w:hint="eastAsia" w:ascii="Times New Roman" w:hAnsi="Times New Roman" w:eastAsia="宋体" w:cs="Times New Roman"/>
                      <w:color w:val="auto"/>
                      <w:spacing w:val="-17"/>
                      <w:sz w:val="18"/>
                      <w:szCs w:val="18"/>
                      <w:highlight w:val="none"/>
                      <w:lang w:val="en-US" w:eastAsia="zh-CN"/>
                    </w:rPr>
                    <w:t>1</w:t>
                  </w:r>
                </w:p>
              </w:tc>
              <w:tc>
                <w:tcPr>
                  <w:tcW w:w="250" w:type="pct"/>
                  <w:shd w:val="clear" w:color="auto" w:fill="auto"/>
                  <w:vAlign w:val="bottom"/>
                </w:tcPr>
                <w:p w14:paraId="0546D253">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80</w:t>
                  </w:r>
                </w:p>
              </w:tc>
              <w:tc>
                <w:tcPr>
                  <w:tcW w:w="314" w:type="pct"/>
                  <w:vMerge w:val="continue"/>
                  <w:vAlign w:val="center"/>
                </w:tcPr>
                <w:p w14:paraId="73E3C3E7">
                  <w:pPr>
                    <w:spacing w:line="220" w:lineRule="exact"/>
                    <w:jc w:val="center"/>
                    <w:rPr>
                      <w:rFonts w:hint="eastAsia"/>
                      <w:color w:val="auto"/>
                      <w:spacing w:val="-17"/>
                      <w:sz w:val="18"/>
                      <w:szCs w:val="18"/>
                      <w:lang w:val="en-US" w:eastAsia="zh-CN"/>
                    </w:rPr>
                  </w:pPr>
                </w:p>
              </w:tc>
              <w:tc>
                <w:tcPr>
                  <w:tcW w:w="428" w:type="dxa"/>
                  <w:shd w:val="clear" w:color="auto" w:fill="FFFFFF"/>
                  <w:vAlign w:val="bottom"/>
                </w:tcPr>
                <w:p w14:paraId="2ACF0A72">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26.4</w:t>
                  </w:r>
                </w:p>
              </w:tc>
              <w:tc>
                <w:tcPr>
                  <w:tcW w:w="504" w:type="dxa"/>
                  <w:shd w:val="clear" w:color="auto" w:fill="FFFFFF"/>
                  <w:vAlign w:val="bottom"/>
                </w:tcPr>
                <w:p w14:paraId="5EB28F1F">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41.1</w:t>
                  </w:r>
                </w:p>
              </w:tc>
              <w:tc>
                <w:tcPr>
                  <w:tcW w:w="503" w:type="dxa"/>
                  <w:shd w:val="clear" w:color="auto" w:fill="FFFFFF"/>
                  <w:vAlign w:val="bottom"/>
                </w:tcPr>
                <w:p w14:paraId="79FA7106">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33.9</w:t>
                  </w:r>
                </w:p>
              </w:tc>
              <w:tc>
                <w:tcPr>
                  <w:tcW w:w="525" w:type="dxa"/>
                  <w:shd w:val="clear" w:color="auto" w:fill="FFFFFF"/>
                  <w:vAlign w:val="bottom"/>
                </w:tcPr>
                <w:p w14:paraId="1BC055A3">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17</w:t>
                  </w:r>
                </w:p>
              </w:tc>
              <w:tc>
                <w:tcPr>
                  <w:tcW w:w="483" w:type="dxa"/>
                  <w:shd w:val="clear" w:color="auto" w:fill="FFFFFF"/>
                  <w:vAlign w:val="bottom"/>
                </w:tcPr>
                <w:p w14:paraId="031AB923">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48.6</w:t>
                  </w:r>
                </w:p>
              </w:tc>
              <w:tc>
                <w:tcPr>
                  <w:tcW w:w="482" w:type="dxa"/>
                  <w:shd w:val="clear" w:color="auto" w:fill="FFFFFF"/>
                  <w:vAlign w:val="bottom"/>
                </w:tcPr>
                <w:p w14:paraId="7FD273B3">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48.1</w:t>
                  </w:r>
                </w:p>
              </w:tc>
              <w:tc>
                <w:tcPr>
                  <w:tcW w:w="546" w:type="dxa"/>
                  <w:shd w:val="clear" w:color="auto" w:fill="FFFFFF"/>
                  <w:vAlign w:val="bottom"/>
                </w:tcPr>
                <w:p w14:paraId="331A3954">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48.3</w:t>
                  </w:r>
                </w:p>
              </w:tc>
              <w:tc>
                <w:tcPr>
                  <w:tcW w:w="579" w:type="dxa"/>
                  <w:shd w:val="clear" w:color="auto" w:fill="FFFFFF"/>
                  <w:vAlign w:val="bottom"/>
                </w:tcPr>
                <w:p w14:paraId="7ED530B4">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49.4</w:t>
                  </w:r>
                </w:p>
              </w:tc>
              <w:tc>
                <w:tcPr>
                  <w:tcW w:w="262" w:type="pct"/>
                  <w:vMerge w:val="continue"/>
                  <w:vAlign w:val="center"/>
                </w:tcPr>
                <w:p w14:paraId="266CCDAB">
                  <w:pPr>
                    <w:pStyle w:val="71"/>
                    <w:spacing w:line="220" w:lineRule="exact"/>
                    <w:jc w:val="center"/>
                    <w:rPr>
                      <w:rFonts w:hint="default" w:ascii="Times New Roman" w:hAnsi="Times New Roman" w:eastAsia="宋体" w:cs="Calibri"/>
                      <w:color w:val="auto"/>
                      <w:spacing w:val="-17"/>
                      <w:kern w:val="0"/>
                      <w:sz w:val="18"/>
                      <w:szCs w:val="18"/>
                      <w:lang w:val="en-US" w:eastAsia="zh-CN" w:bidi="ar-SA"/>
                    </w:rPr>
                  </w:pPr>
                </w:p>
              </w:tc>
              <w:tc>
                <w:tcPr>
                  <w:tcW w:w="331" w:type="pct"/>
                  <w:shd w:val="clear" w:color="auto" w:fill="FFFFFF"/>
                  <w:vAlign w:val="center"/>
                </w:tcPr>
                <w:p w14:paraId="6F98E07E">
                  <w:pPr>
                    <w:pStyle w:val="71"/>
                    <w:spacing w:line="220" w:lineRule="exact"/>
                    <w:jc w:val="center"/>
                    <w:rPr>
                      <w:rFonts w:hint="default" w:ascii="Times New Roman" w:hAnsi="Times New Roman" w:eastAsia="宋体" w:cs="Times New Roman"/>
                      <w:color w:val="auto"/>
                      <w:spacing w:val="-17"/>
                      <w:sz w:val="18"/>
                      <w:szCs w:val="18"/>
                      <w:highlight w:val="none"/>
                      <w:lang w:val="en-US" w:eastAsia="zh-CN"/>
                    </w:rPr>
                  </w:pPr>
                  <w:r>
                    <w:rPr>
                      <w:rFonts w:hint="eastAsia" w:ascii="Times New Roman" w:hAnsi="Times New Roman" w:eastAsia="宋体" w:cs="Times New Roman"/>
                      <w:color w:val="auto"/>
                      <w:spacing w:val="-17"/>
                      <w:sz w:val="18"/>
                      <w:szCs w:val="18"/>
                      <w:highlight w:val="none"/>
                      <w:lang w:val="en-US" w:eastAsia="zh-CN"/>
                    </w:rPr>
                    <w:t>31.0</w:t>
                  </w:r>
                </w:p>
              </w:tc>
              <w:tc>
                <w:tcPr>
                  <w:tcW w:w="397" w:type="dxa"/>
                  <w:shd w:val="clear" w:color="auto" w:fill="FFFFFF"/>
                  <w:vAlign w:val="bottom"/>
                </w:tcPr>
                <w:p w14:paraId="138D68E7">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17.6</w:t>
                  </w:r>
                </w:p>
              </w:tc>
              <w:tc>
                <w:tcPr>
                  <w:tcW w:w="439" w:type="dxa"/>
                  <w:shd w:val="clear" w:color="auto" w:fill="FFFFFF"/>
                  <w:vAlign w:val="bottom"/>
                </w:tcPr>
                <w:p w14:paraId="66ED463A">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17.1</w:t>
                  </w:r>
                </w:p>
              </w:tc>
              <w:tc>
                <w:tcPr>
                  <w:tcW w:w="418" w:type="dxa"/>
                  <w:shd w:val="clear" w:color="auto" w:fill="FFFFFF"/>
                  <w:vAlign w:val="bottom"/>
                </w:tcPr>
                <w:p w14:paraId="10C86A29">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17.3</w:t>
                  </w:r>
                </w:p>
              </w:tc>
              <w:tc>
                <w:tcPr>
                  <w:tcW w:w="396" w:type="dxa"/>
                  <w:shd w:val="clear" w:color="auto" w:fill="FFFFFF"/>
                  <w:vAlign w:val="bottom"/>
                </w:tcPr>
                <w:p w14:paraId="6FFD6900">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18.4</w:t>
                  </w:r>
                </w:p>
              </w:tc>
              <w:tc>
                <w:tcPr>
                  <w:tcW w:w="411" w:type="pct"/>
                  <w:shd w:val="clear" w:color="auto" w:fill="FFFFFF"/>
                  <w:vAlign w:val="center"/>
                </w:tcPr>
                <w:p w14:paraId="42DF71FE">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eastAsia" w:ascii="Times New Roman" w:hAnsi="Times New Roman" w:eastAsia="宋体" w:cs="Times New Roman"/>
                      <w:color w:val="auto"/>
                      <w:spacing w:val="-17"/>
                      <w:sz w:val="18"/>
                      <w:szCs w:val="18"/>
                      <w:highlight w:val="none"/>
                      <w:lang w:val="en-US" w:eastAsia="zh-CN"/>
                    </w:rPr>
                    <w:t>1</w:t>
                  </w:r>
                </w:p>
              </w:tc>
            </w:tr>
            <w:tr w14:paraId="3F297BF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1" w:hRule="exact"/>
                <w:jc w:val="center"/>
              </w:trPr>
              <w:tc>
                <w:tcPr>
                  <w:tcW w:w="176" w:type="pct"/>
                  <w:shd w:val="clear" w:color="auto" w:fill="auto"/>
                  <w:vAlign w:val="center"/>
                </w:tcPr>
                <w:p w14:paraId="03B58A1C">
                  <w:pPr>
                    <w:spacing w:line="220" w:lineRule="exact"/>
                    <w:jc w:val="center"/>
                    <w:rPr>
                      <w:rFonts w:hint="eastAsia" w:ascii="Times New Roman" w:hAnsi="Times New Roman" w:eastAsia="宋体" w:cs="Times New Roman"/>
                      <w:color w:val="auto"/>
                      <w:spacing w:val="-17"/>
                      <w:kern w:val="2"/>
                      <w:sz w:val="18"/>
                      <w:szCs w:val="18"/>
                      <w:highlight w:val="none"/>
                      <w:lang w:val="en-US" w:eastAsia="zh-CN" w:bidi="ar-SA"/>
                    </w:rPr>
                  </w:pPr>
                  <w:r>
                    <w:rPr>
                      <w:rFonts w:hint="eastAsia" w:cs="Times New Roman"/>
                      <w:color w:val="auto"/>
                      <w:spacing w:val="-17"/>
                      <w:sz w:val="18"/>
                      <w:szCs w:val="18"/>
                      <w:highlight w:val="none"/>
                      <w:lang w:val="en-US" w:eastAsia="zh-CN"/>
                    </w:rPr>
                    <w:t>16</w:t>
                  </w:r>
                </w:p>
              </w:tc>
              <w:tc>
                <w:tcPr>
                  <w:tcW w:w="176" w:type="pct"/>
                  <w:vMerge w:val="continue"/>
                  <w:vAlign w:val="center"/>
                </w:tcPr>
                <w:p w14:paraId="3C89AFF8">
                  <w:pPr>
                    <w:spacing w:line="220" w:lineRule="exact"/>
                    <w:jc w:val="center"/>
                    <w:rPr>
                      <w:rFonts w:hint="eastAsia" w:ascii="Times New Roman" w:hAnsi="Times New Roman" w:cs="Times New Roman"/>
                      <w:color w:val="auto"/>
                      <w:spacing w:val="-17"/>
                      <w:kern w:val="2"/>
                      <w:sz w:val="18"/>
                      <w:szCs w:val="18"/>
                      <w:lang w:val="en-US" w:eastAsia="zh-CN" w:bidi="ar-SA"/>
                    </w:rPr>
                  </w:pPr>
                </w:p>
              </w:tc>
              <w:tc>
                <w:tcPr>
                  <w:tcW w:w="211" w:type="pct"/>
                  <w:vMerge w:val="continue"/>
                  <w:vAlign w:val="center"/>
                </w:tcPr>
                <w:p w14:paraId="1E74F286">
                  <w:pPr>
                    <w:spacing w:line="220" w:lineRule="exact"/>
                    <w:jc w:val="center"/>
                    <w:rPr>
                      <w:rFonts w:hint="eastAsia" w:ascii="Times New Roman" w:hAnsi="Times New Roman" w:cs="Times New Roman"/>
                      <w:color w:val="auto"/>
                      <w:spacing w:val="-17"/>
                      <w:sz w:val="18"/>
                      <w:szCs w:val="18"/>
                      <w:lang w:val="en-US" w:eastAsia="zh-CN"/>
                    </w:rPr>
                  </w:pPr>
                </w:p>
              </w:tc>
              <w:tc>
                <w:tcPr>
                  <w:tcW w:w="379" w:type="pct"/>
                  <w:shd w:val="clear" w:color="auto" w:fill="auto"/>
                  <w:vAlign w:val="center"/>
                </w:tcPr>
                <w:p w14:paraId="0F59405A">
                  <w:pPr>
                    <w:pStyle w:val="71"/>
                    <w:spacing w:line="220" w:lineRule="exact"/>
                    <w:jc w:val="center"/>
                    <w:rPr>
                      <w:rFonts w:hint="eastAsia" w:ascii="Times New Roman" w:hAnsi="Times New Roman" w:eastAsia="宋体" w:cs="Times New Roman"/>
                      <w:color w:val="auto"/>
                      <w:spacing w:val="-17"/>
                      <w:kern w:val="0"/>
                      <w:sz w:val="18"/>
                      <w:szCs w:val="18"/>
                      <w:highlight w:val="none"/>
                      <w:lang w:val="en-US" w:eastAsia="zh-CN" w:bidi="ar-SA"/>
                    </w:rPr>
                  </w:pPr>
                  <w:r>
                    <w:rPr>
                      <w:rFonts w:hint="eastAsia" w:ascii="Times New Roman" w:hAnsi="Times New Roman" w:cs="Times New Roman"/>
                      <w:color w:val="auto"/>
                      <w:spacing w:val="-17"/>
                      <w:sz w:val="18"/>
                      <w:szCs w:val="18"/>
                      <w:highlight w:val="none"/>
                      <w:lang w:val="en-US" w:eastAsia="zh-CN"/>
                    </w:rPr>
                    <w:t>8</w:t>
                  </w:r>
                  <w:r>
                    <w:rPr>
                      <w:rFonts w:hint="eastAsia" w:ascii="Times New Roman" w:hAnsi="Times New Roman" w:eastAsia="宋体" w:cs="Times New Roman"/>
                      <w:color w:val="auto"/>
                      <w:spacing w:val="-17"/>
                      <w:sz w:val="18"/>
                      <w:szCs w:val="18"/>
                      <w:highlight w:val="none"/>
                      <w:vertAlign w:val="superscript"/>
                      <w:lang w:val="en-US" w:eastAsia="zh-CN"/>
                    </w:rPr>
                    <w:t>#</w:t>
                  </w:r>
                  <w:r>
                    <w:rPr>
                      <w:rFonts w:hint="eastAsia" w:ascii="Times New Roman" w:hAnsi="Times New Roman" w:eastAsia="宋体" w:cs="Times New Roman"/>
                      <w:color w:val="auto"/>
                      <w:spacing w:val="-17"/>
                      <w:sz w:val="18"/>
                      <w:szCs w:val="18"/>
                      <w:highlight w:val="none"/>
                      <w:lang w:val="en-US" w:eastAsia="zh-CN"/>
                    </w:rPr>
                    <w:t>空气分选机</w:t>
                  </w:r>
                </w:p>
              </w:tc>
              <w:tc>
                <w:tcPr>
                  <w:tcW w:w="193" w:type="pct"/>
                  <w:shd w:val="clear" w:color="auto" w:fill="auto"/>
                  <w:vAlign w:val="center"/>
                </w:tcPr>
                <w:p w14:paraId="31319F4A">
                  <w:pPr>
                    <w:pStyle w:val="71"/>
                    <w:spacing w:line="220" w:lineRule="exact"/>
                    <w:jc w:val="center"/>
                    <w:rPr>
                      <w:rFonts w:hint="eastAsia" w:ascii="Times New Roman" w:hAnsi="Times New Roman" w:eastAsia="宋体" w:cs="Times New Roman"/>
                      <w:color w:val="auto"/>
                      <w:spacing w:val="-17"/>
                      <w:kern w:val="0"/>
                      <w:sz w:val="18"/>
                      <w:szCs w:val="18"/>
                      <w:highlight w:val="none"/>
                      <w:lang w:val="en-US" w:eastAsia="zh-CN" w:bidi="ar-SA"/>
                    </w:rPr>
                  </w:pPr>
                  <w:r>
                    <w:rPr>
                      <w:rFonts w:hint="eastAsia" w:ascii="Times New Roman" w:hAnsi="Times New Roman" w:eastAsia="宋体" w:cs="Times New Roman"/>
                      <w:color w:val="auto"/>
                      <w:spacing w:val="-17"/>
                      <w:sz w:val="18"/>
                      <w:szCs w:val="18"/>
                      <w:highlight w:val="none"/>
                      <w:lang w:val="en-US" w:eastAsia="zh-CN"/>
                    </w:rPr>
                    <w:t>1</w:t>
                  </w:r>
                </w:p>
              </w:tc>
              <w:tc>
                <w:tcPr>
                  <w:tcW w:w="250" w:type="pct"/>
                  <w:shd w:val="clear" w:color="auto" w:fill="auto"/>
                  <w:vAlign w:val="bottom"/>
                </w:tcPr>
                <w:p w14:paraId="651DB5E3">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80</w:t>
                  </w:r>
                </w:p>
              </w:tc>
              <w:tc>
                <w:tcPr>
                  <w:tcW w:w="314" w:type="pct"/>
                  <w:vMerge w:val="continue"/>
                  <w:vAlign w:val="center"/>
                </w:tcPr>
                <w:p w14:paraId="61E7A07D">
                  <w:pPr>
                    <w:spacing w:line="220" w:lineRule="exact"/>
                    <w:jc w:val="center"/>
                    <w:rPr>
                      <w:rFonts w:hint="eastAsia"/>
                      <w:color w:val="auto"/>
                      <w:spacing w:val="-17"/>
                      <w:sz w:val="18"/>
                      <w:szCs w:val="18"/>
                      <w:lang w:val="en-US" w:eastAsia="zh-CN"/>
                    </w:rPr>
                  </w:pPr>
                </w:p>
              </w:tc>
              <w:tc>
                <w:tcPr>
                  <w:tcW w:w="428" w:type="dxa"/>
                  <w:shd w:val="clear" w:color="auto" w:fill="FFFFFF"/>
                  <w:vAlign w:val="bottom"/>
                </w:tcPr>
                <w:p w14:paraId="5243B34A">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17.1</w:t>
                  </w:r>
                </w:p>
              </w:tc>
              <w:tc>
                <w:tcPr>
                  <w:tcW w:w="504" w:type="dxa"/>
                  <w:shd w:val="clear" w:color="auto" w:fill="FFFFFF"/>
                  <w:vAlign w:val="bottom"/>
                </w:tcPr>
                <w:p w14:paraId="38FE6BB7">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39.8</w:t>
                  </w:r>
                </w:p>
              </w:tc>
              <w:tc>
                <w:tcPr>
                  <w:tcW w:w="503" w:type="dxa"/>
                  <w:shd w:val="clear" w:color="auto" w:fill="FFFFFF"/>
                  <w:vAlign w:val="bottom"/>
                </w:tcPr>
                <w:p w14:paraId="1EBA90CE">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43.2</w:t>
                  </w:r>
                </w:p>
              </w:tc>
              <w:tc>
                <w:tcPr>
                  <w:tcW w:w="525" w:type="dxa"/>
                  <w:shd w:val="clear" w:color="auto" w:fill="FFFFFF"/>
                  <w:vAlign w:val="bottom"/>
                </w:tcPr>
                <w:p w14:paraId="70C66D26">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18.3</w:t>
                  </w:r>
                </w:p>
              </w:tc>
              <w:tc>
                <w:tcPr>
                  <w:tcW w:w="483" w:type="dxa"/>
                  <w:shd w:val="clear" w:color="auto" w:fill="FFFFFF"/>
                  <w:vAlign w:val="bottom"/>
                </w:tcPr>
                <w:p w14:paraId="7B7F4608">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49.4</w:t>
                  </w:r>
                </w:p>
              </w:tc>
              <w:tc>
                <w:tcPr>
                  <w:tcW w:w="482" w:type="dxa"/>
                  <w:shd w:val="clear" w:color="auto" w:fill="FFFFFF"/>
                  <w:vAlign w:val="bottom"/>
                </w:tcPr>
                <w:p w14:paraId="2A3DFD66">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48.2</w:t>
                  </w:r>
                </w:p>
              </w:tc>
              <w:tc>
                <w:tcPr>
                  <w:tcW w:w="546" w:type="dxa"/>
                  <w:shd w:val="clear" w:color="auto" w:fill="FFFFFF"/>
                  <w:vAlign w:val="bottom"/>
                </w:tcPr>
                <w:p w14:paraId="02B63AC4">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48.1</w:t>
                  </w:r>
                </w:p>
              </w:tc>
              <w:tc>
                <w:tcPr>
                  <w:tcW w:w="579" w:type="dxa"/>
                  <w:shd w:val="clear" w:color="auto" w:fill="FFFFFF"/>
                  <w:vAlign w:val="bottom"/>
                </w:tcPr>
                <w:p w14:paraId="15DEE7B5">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49.3</w:t>
                  </w:r>
                </w:p>
              </w:tc>
              <w:tc>
                <w:tcPr>
                  <w:tcW w:w="262" w:type="pct"/>
                  <w:vMerge w:val="continue"/>
                  <w:vAlign w:val="center"/>
                </w:tcPr>
                <w:p w14:paraId="57D1A732">
                  <w:pPr>
                    <w:pStyle w:val="71"/>
                    <w:spacing w:line="220" w:lineRule="exact"/>
                    <w:jc w:val="center"/>
                    <w:rPr>
                      <w:rFonts w:hint="default" w:ascii="Times New Roman" w:hAnsi="Times New Roman" w:eastAsia="宋体" w:cs="Calibri"/>
                      <w:color w:val="auto"/>
                      <w:spacing w:val="-17"/>
                      <w:kern w:val="0"/>
                      <w:sz w:val="18"/>
                      <w:szCs w:val="18"/>
                      <w:lang w:val="en-US" w:eastAsia="zh-CN" w:bidi="ar-SA"/>
                    </w:rPr>
                  </w:pPr>
                </w:p>
              </w:tc>
              <w:tc>
                <w:tcPr>
                  <w:tcW w:w="331" w:type="pct"/>
                  <w:shd w:val="clear" w:color="auto" w:fill="FFFFFF"/>
                  <w:vAlign w:val="center"/>
                </w:tcPr>
                <w:p w14:paraId="0FB8CFA1">
                  <w:pPr>
                    <w:pStyle w:val="71"/>
                    <w:spacing w:line="220" w:lineRule="exact"/>
                    <w:jc w:val="center"/>
                    <w:rPr>
                      <w:rFonts w:hint="default" w:ascii="Times New Roman" w:hAnsi="Times New Roman" w:eastAsia="宋体" w:cs="Times New Roman"/>
                      <w:color w:val="auto"/>
                      <w:spacing w:val="-17"/>
                      <w:sz w:val="18"/>
                      <w:szCs w:val="18"/>
                      <w:highlight w:val="none"/>
                      <w:lang w:val="en-US" w:eastAsia="zh-CN"/>
                    </w:rPr>
                  </w:pPr>
                  <w:r>
                    <w:rPr>
                      <w:rFonts w:hint="eastAsia" w:ascii="Times New Roman" w:hAnsi="Times New Roman" w:eastAsia="宋体" w:cs="Times New Roman"/>
                      <w:color w:val="auto"/>
                      <w:spacing w:val="-17"/>
                      <w:sz w:val="18"/>
                      <w:szCs w:val="18"/>
                      <w:highlight w:val="none"/>
                      <w:lang w:val="en-US" w:eastAsia="zh-CN"/>
                    </w:rPr>
                    <w:t>31.0</w:t>
                  </w:r>
                </w:p>
              </w:tc>
              <w:tc>
                <w:tcPr>
                  <w:tcW w:w="397" w:type="dxa"/>
                  <w:shd w:val="clear" w:color="auto" w:fill="FFFFFF"/>
                  <w:vAlign w:val="bottom"/>
                </w:tcPr>
                <w:p w14:paraId="69B08DDC">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18.4</w:t>
                  </w:r>
                </w:p>
              </w:tc>
              <w:tc>
                <w:tcPr>
                  <w:tcW w:w="439" w:type="dxa"/>
                  <w:shd w:val="clear" w:color="auto" w:fill="FFFFFF"/>
                  <w:vAlign w:val="bottom"/>
                </w:tcPr>
                <w:p w14:paraId="75BAF960">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17.2</w:t>
                  </w:r>
                </w:p>
              </w:tc>
              <w:tc>
                <w:tcPr>
                  <w:tcW w:w="418" w:type="dxa"/>
                  <w:shd w:val="clear" w:color="auto" w:fill="FFFFFF"/>
                  <w:vAlign w:val="bottom"/>
                </w:tcPr>
                <w:p w14:paraId="4262A5AC">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17.1</w:t>
                  </w:r>
                </w:p>
              </w:tc>
              <w:tc>
                <w:tcPr>
                  <w:tcW w:w="396" w:type="dxa"/>
                  <w:shd w:val="clear" w:color="auto" w:fill="FFFFFF"/>
                  <w:vAlign w:val="bottom"/>
                </w:tcPr>
                <w:p w14:paraId="2CA1B24D">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18.3</w:t>
                  </w:r>
                </w:p>
              </w:tc>
              <w:tc>
                <w:tcPr>
                  <w:tcW w:w="411" w:type="pct"/>
                  <w:shd w:val="clear" w:color="auto" w:fill="FFFFFF"/>
                  <w:vAlign w:val="center"/>
                </w:tcPr>
                <w:p w14:paraId="7559C3FF">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eastAsia" w:ascii="Times New Roman" w:hAnsi="Times New Roman" w:eastAsia="宋体" w:cs="Times New Roman"/>
                      <w:color w:val="auto"/>
                      <w:spacing w:val="-17"/>
                      <w:sz w:val="18"/>
                      <w:szCs w:val="18"/>
                      <w:highlight w:val="none"/>
                      <w:lang w:val="en-US" w:eastAsia="zh-CN"/>
                    </w:rPr>
                    <w:t>1</w:t>
                  </w:r>
                </w:p>
              </w:tc>
            </w:tr>
            <w:tr w14:paraId="47A0436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1" w:hRule="exact"/>
                <w:jc w:val="center"/>
              </w:trPr>
              <w:tc>
                <w:tcPr>
                  <w:tcW w:w="176" w:type="pct"/>
                  <w:shd w:val="clear" w:color="auto" w:fill="auto"/>
                  <w:vAlign w:val="center"/>
                </w:tcPr>
                <w:p w14:paraId="26F8DF93">
                  <w:pPr>
                    <w:spacing w:line="220" w:lineRule="exact"/>
                    <w:jc w:val="center"/>
                    <w:rPr>
                      <w:rFonts w:hint="eastAsia" w:ascii="Times New Roman" w:hAnsi="Times New Roman" w:eastAsia="宋体" w:cs="Times New Roman"/>
                      <w:color w:val="auto"/>
                      <w:spacing w:val="-17"/>
                      <w:kern w:val="2"/>
                      <w:sz w:val="18"/>
                      <w:szCs w:val="18"/>
                      <w:highlight w:val="none"/>
                      <w:lang w:val="en-US" w:eastAsia="zh-CN" w:bidi="ar-SA"/>
                    </w:rPr>
                  </w:pPr>
                  <w:r>
                    <w:rPr>
                      <w:rFonts w:hint="eastAsia" w:cs="Times New Roman"/>
                      <w:color w:val="auto"/>
                      <w:spacing w:val="-17"/>
                      <w:sz w:val="18"/>
                      <w:szCs w:val="18"/>
                      <w:highlight w:val="none"/>
                      <w:lang w:val="en-US" w:eastAsia="zh-CN"/>
                    </w:rPr>
                    <w:t>17</w:t>
                  </w:r>
                </w:p>
              </w:tc>
              <w:tc>
                <w:tcPr>
                  <w:tcW w:w="176" w:type="pct"/>
                  <w:vMerge w:val="continue"/>
                  <w:vAlign w:val="center"/>
                </w:tcPr>
                <w:p w14:paraId="5D056B33">
                  <w:pPr>
                    <w:spacing w:line="220" w:lineRule="exact"/>
                    <w:jc w:val="center"/>
                    <w:rPr>
                      <w:rFonts w:hint="eastAsia" w:ascii="Times New Roman" w:hAnsi="Times New Roman" w:cs="Times New Roman"/>
                      <w:color w:val="auto"/>
                      <w:spacing w:val="-17"/>
                      <w:kern w:val="2"/>
                      <w:sz w:val="18"/>
                      <w:szCs w:val="18"/>
                      <w:lang w:val="en-US" w:eastAsia="zh-CN" w:bidi="ar-SA"/>
                    </w:rPr>
                  </w:pPr>
                </w:p>
              </w:tc>
              <w:tc>
                <w:tcPr>
                  <w:tcW w:w="211" w:type="pct"/>
                  <w:vMerge w:val="continue"/>
                  <w:vAlign w:val="center"/>
                </w:tcPr>
                <w:p w14:paraId="58D0A235">
                  <w:pPr>
                    <w:spacing w:line="220" w:lineRule="exact"/>
                    <w:jc w:val="center"/>
                    <w:rPr>
                      <w:rFonts w:hint="eastAsia" w:ascii="Times New Roman" w:hAnsi="Times New Roman" w:cs="Times New Roman"/>
                      <w:color w:val="auto"/>
                      <w:spacing w:val="-17"/>
                      <w:sz w:val="18"/>
                      <w:szCs w:val="18"/>
                      <w:lang w:val="en-US" w:eastAsia="zh-CN"/>
                    </w:rPr>
                  </w:pPr>
                </w:p>
              </w:tc>
              <w:tc>
                <w:tcPr>
                  <w:tcW w:w="379" w:type="pct"/>
                  <w:shd w:val="clear" w:color="auto" w:fill="auto"/>
                  <w:vAlign w:val="center"/>
                </w:tcPr>
                <w:p w14:paraId="17F20D4D">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eastAsia" w:ascii="Times New Roman" w:hAnsi="Times New Roman" w:cs="Times New Roman"/>
                      <w:color w:val="auto"/>
                      <w:spacing w:val="-17"/>
                      <w:sz w:val="18"/>
                      <w:szCs w:val="18"/>
                      <w:highlight w:val="none"/>
                      <w:lang w:val="en-US" w:eastAsia="zh-CN"/>
                    </w:rPr>
                    <w:t>3</w:t>
                  </w:r>
                  <w:r>
                    <w:rPr>
                      <w:rFonts w:hint="eastAsia" w:ascii="Times New Roman" w:hAnsi="Times New Roman" w:eastAsia="宋体" w:cs="Times New Roman"/>
                      <w:color w:val="auto"/>
                      <w:spacing w:val="-17"/>
                      <w:sz w:val="18"/>
                      <w:szCs w:val="18"/>
                      <w:highlight w:val="none"/>
                      <w:vertAlign w:val="superscript"/>
                      <w:lang w:val="en-US" w:eastAsia="zh-CN"/>
                    </w:rPr>
                    <w:t>#</w:t>
                  </w:r>
                  <w:r>
                    <w:rPr>
                      <w:rFonts w:hint="eastAsia" w:ascii="Times New Roman" w:hAnsi="Times New Roman" w:eastAsia="宋体" w:cs="Times New Roman"/>
                      <w:color w:val="auto"/>
                      <w:spacing w:val="-17"/>
                      <w:sz w:val="18"/>
                      <w:szCs w:val="18"/>
                      <w:highlight w:val="none"/>
                      <w:lang w:val="en-US" w:eastAsia="zh-CN"/>
                    </w:rPr>
                    <w:t>滚筒筛</w:t>
                  </w:r>
                </w:p>
              </w:tc>
              <w:tc>
                <w:tcPr>
                  <w:tcW w:w="193" w:type="pct"/>
                  <w:shd w:val="clear" w:color="auto" w:fill="auto"/>
                  <w:vAlign w:val="center"/>
                </w:tcPr>
                <w:p w14:paraId="03CFBBE4">
                  <w:pPr>
                    <w:pStyle w:val="71"/>
                    <w:spacing w:line="220" w:lineRule="exact"/>
                    <w:jc w:val="center"/>
                    <w:rPr>
                      <w:rFonts w:hint="default" w:ascii="Times New Roman" w:hAnsi="Times New Roman" w:eastAsia="宋体" w:cs="Times New Roman"/>
                      <w:color w:val="auto"/>
                      <w:spacing w:val="-17"/>
                      <w:sz w:val="18"/>
                      <w:szCs w:val="18"/>
                      <w:highlight w:val="none"/>
                      <w:lang w:val="en-US" w:eastAsia="zh-CN"/>
                    </w:rPr>
                  </w:pPr>
                  <w:r>
                    <w:rPr>
                      <w:rFonts w:hint="eastAsia" w:ascii="Times New Roman" w:hAnsi="Times New Roman" w:eastAsia="宋体" w:cs="Times New Roman"/>
                      <w:color w:val="auto"/>
                      <w:spacing w:val="-17"/>
                      <w:sz w:val="18"/>
                      <w:szCs w:val="18"/>
                      <w:highlight w:val="none"/>
                      <w:lang w:val="en-US" w:eastAsia="zh-CN"/>
                    </w:rPr>
                    <w:t>1</w:t>
                  </w:r>
                </w:p>
              </w:tc>
              <w:tc>
                <w:tcPr>
                  <w:tcW w:w="250" w:type="pct"/>
                  <w:shd w:val="clear" w:color="auto" w:fill="auto"/>
                  <w:vAlign w:val="bottom"/>
                </w:tcPr>
                <w:p w14:paraId="06BAE93E">
                  <w:pPr>
                    <w:pStyle w:val="71"/>
                    <w:spacing w:line="220" w:lineRule="exact"/>
                    <w:jc w:val="center"/>
                    <w:rPr>
                      <w:rFonts w:hint="default"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90</w:t>
                  </w:r>
                </w:p>
              </w:tc>
              <w:tc>
                <w:tcPr>
                  <w:tcW w:w="314" w:type="pct"/>
                  <w:vMerge w:val="continue"/>
                  <w:vAlign w:val="center"/>
                </w:tcPr>
                <w:p w14:paraId="7D0550BC">
                  <w:pPr>
                    <w:spacing w:line="220" w:lineRule="exact"/>
                    <w:jc w:val="center"/>
                    <w:rPr>
                      <w:rFonts w:hint="eastAsia"/>
                      <w:color w:val="auto"/>
                      <w:spacing w:val="-17"/>
                      <w:sz w:val="18"/>
                      <w:szCs w:val="18"/>
                      <w:lang w:val="en-US" w:eastAsia="zh-CN"/>
                    </w:rPr>
                  </w:pPr>
                </w:p>
              </w:tc>
              <w:tc>
                <w:tcPr>
                  <w:tcW w:w="428" w:type="dxa"/>
                  <w:shd w:val="clear" w:color="auto" w:fill="FFFFFF"/>
                  <w:vAlign w:val="bottom"/>
                </w:tcPr>
                <w:p w14:paraId="5AD81F3F">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29.6</w:t>
                  </w:r>
                </w:p>
              </w:tc>
              <w:tc>
                <w:tcPr>
                  <w:tcW w:w="504" w:type="dxa"/>
                  <w:shd w:val="clear" w:color="auto" w:fill="FFFFFF"/>
                  <w:vAlign w:val="bottom"/>
                </w:tcPr>
                <w:p w14:paraId="5A6395B9">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41.1</w:t>
                  </w:r>
                </w:p>
              </w:tc>
              <w:tc>
                <w:tcPr>
                  <w:tcW w:w="503" w:type="dxa"/>
                  <w:shd w:val="clear" w:color="auto" w:fill="FFFFFF"/>
                  <w:vAlign w:val="bottom"/>
                </w:tcPr>
                <w:p w14:paraId="7FED4D93">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30.8</w:t>
                  </w:r>
                </w:p>
              </w:tc>
              <w:tc>
                <w:tcPr>
                  <w:tcW w:w="525" w:type="dxa"/>
                  <w:shd w:val="clear" w:color="auto" w:fill="FFFFFF"/>
                  <w:vAlign w:val="bottom"/>
                </w:tcPr>
                <w:p w14:paraId="512FD8F9">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17</w:t>
                  </w:r>
                </w:p>
              </w:tc>
              <w:tc>
                <w:tcPr>
                  <w:tcW w:w="483" w:type="dxa"/>
                  <w:shd w:val="clear" w:color="auto" w:fill="FFFFFF"/>
                  <w:vAlign w:val="bottom"/>
                </w:tcPr>
                <w:p w14:paraId="7C2E14EF">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58.4</w:t>
                  </w:r>
                </w:p>
              </w:tc>
              <w:tc>
                <w:tcPr>
                  <w:tcW w:w="482" w:type="dxa"/>
                  <w:shd w:val="clear" w:color="auto" w:fill="FFFFFF"/>
                  <w:vAlign w:val="bottom"/>
                </w:tcPr>
                <w:p w14:paraId="39C86BF7">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58.1</w:t>
                  </w:r>
                </w:p>
              </w:tc>
              <w:tc>
                <w:tcPr>
                  <w:tcW w:w="546" w:type="dxa"/>
                  <w:shd w:val="clear" w:color="auto" w:fill="FFFFFF"/>
                  <w:vAlign w:val="bottom"/>
                </w:tcPr>
                <w:p w14:paraId="2442F25F">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58.4</w:t>
                  </w:r>
                </w:p>
              </w:tc>
              <w:tc>
                <w:tcPr>
                  <w:tcW w:w="579" w:type="dxa"/>
                  <w:shd w:val="clear" w:color="auto" w:fill="FFFFFF"/>
                  <w:vAlign w:val="bottom"/>
                </w:tcPr>
                <w:p w14:paraId="551AA348">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59.4</w:t>
                  </w:r>
                </w:p>
              </w:tc>
              <w:tc>
                <w:tcPr>
                  <w:tcW w:w="262" w:type="pct"/>
                  <w:vMerge w:val="continue"/>
                  <w:vAlign w:val="center"/>
                </w:tcPr>
                <w:p w14:paraId="5ABE341E">
                  <w:pPr>
                    <w:pStyle w:val="71"/>
                    <w:spacing w:line="220" w:lineRule="exact"/>
                    <w:jc w:val="center"/>
                    <w:rPr>
                      <w:rFonts w:hint="default" w:ascii="Times New Roman" w:hAnsi="Times New Roman" w:eastAsia="宋体" w:cs="Calibri"/>
                      <w:color w:val="auto"/>
                      <w:spacing w:val="-17"/>
                      <w:kern w:val="0"/>
                      <w:sz w:val="18"/>
                      <w:szCs w:val="18"/>
                      <w:lang w:val="en-US" w:eastAsia="zh-CN" w:bidi="ar-SA"/>
                    </w:rPr>
                  </w:pPr>
                </w:p>
              </w:tc>
              <w:tc>
                <w:tcPr>
                  <w:tcW w:w="331" w:type="pct"/>
                  <w:shd w:val="clear" w:color="auto" w:fill="FFFFFF"/>
                  <w:vAlign w:val="center"/>
                </w:tcPr>
                <w:p w14:paraId="3E68A497">
                  <w:pPr>
                    <w:pStyle w:val="71"/>
                    <w:spacing w:line="220" w:lineRule="exact"/>
                    <w:jc w:val="center"/>
                    <w:rPr>
                      <w:rFonts w:hint="default" w:ascii="Times New Roman" w:hAnsi="Times New Roman" w:eastAsia="宋体" w:cs="Times New Roman"/>
                      <w:color w:val="auto"/>
                      <w:spacing w:val="-17"/>
                      <w:sz w:val="18"/>
                      <w:szCs w:val="18"/>
                      <w:highlight w:val="none"/>
                      <w:lang w:val="en-US" w:eastAsia="zh-CN"/>
                    </w:rPr>
                  </w:pPr>
                  <w:r>
                    <w:rPr>
                      <w:rFonts w:hint="eastAsia" w:ascii="Times New Roman" w:hAnsi="Times New Roman" w:eastAsia="宋体" w:cs="Times New Roman"/>
                      <w:color w:val="auto"/>
                      <w:spacing w:val="-17"/>
                      <w:sz w:val="18"/>
                      <w:szCs w:val="18"/>
                      <w:highlight w:val="none"/>
                      <w:lang w:val="en-US" w:eastAsia="zh-CN"/>
                    </w:rPr>
                    <w:t>31.0</w:t>
                  </w:r>
                </w:p>
              </w:tc>
              <w:tc>
                <w:tcPr>
                  <w:tcW w:w="397" w:type="dxa"/>
                  <w:shd w:val="clear" w:color="auto" w:fill="FFFFFF"/>
                  <w:vAlign w:val="bottom"/>
                </w:tcPr>
                <w:p w14:paraId="2FDB5F81">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27.4</w:t>
                  </w:r>
                </w:p>
              </w:tc>
              <w:tc>
                <w:tcPr>
                  <w:tcW w:w="439" w:type="dxa"/>
                  <w:shd w:val="clear" w:color="auto" w:fill="FFFFFF"/>
                  <w:vAlign w:val="bottom"/>
                </w:tcPr>
                <w:p w14:paraId="3C3AB4A5">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27.1</w:t>
                  </w:r>
                </w:p>
              </w:tc>
              <w:tc>
                <w:tcPr>
                  <w:tcW w:w="418" w:type="dxa"/>
                  <w:shd w:val="clear" w:color="auto" w:fill="FFFFFF"/>
                  <w:vAlign w:val="bottom"/>
                </w:tcPr>
                <w:p w14:paraId="0C40CDEB">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27.4</w:t>
                  </w:r>
                </w:p>
              </w:tc>
              <w:tc>
                <w:tcPr>
                  <w:tcW w:w="396" w:type="dxa"/>
                  <w:shd w:val="clear" w:color="auto" w:fill="FFFFFF"/>
                  <w:vAlign w:val="bottom"/>
                </w:tcPr>
                <w:p w14:paraId="23C06DD1">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28.4</w:t>
                  </w:r>
                </w:p>
              </w:tc>
              <w:tc>
                <w:tcPr>
                  <w:tcW w:w="411" w:type="pct"/>
                  <w:shd w:val="clear" w:color="auto" w:fill="FFFFFF"/>
                  <w:vAlign w:val="center"/>
                </w:tcPr>
                <w:p w14:paraId="26738C14">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eastAsia" w:ascii="Times New Roman" w:hAnsi="Times New Roman" w:eastAsia="宋体" w:cs="Times New Roman"/>
                      <w:color w:val="auto"/>
                      <w:spacing w:val="-17"/>
                      <w:sz w:val="18"/>
                      <w:szCs w:val="18"/>
                      <w:highlight w:val="none"/>
                      <w:lang w:val="en-US" w:eastAsia="zh-CN"/>
                    </w:rPr>
                    <w:t>1</w:t>
                  </w:r>
                </w:p>
              </w:tc>
            </w:tr>
            <w:tr w14:paraId="472245A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1" w:hRule="exact"/>
                <w:jc w:val="center"/>
              </w:trPr>
              <w:tc>
                <w:tcPr>
                  <w:tcW w:w="176" w:type="pct"/>
                  <w:shd w:val="clear" w:color="auto" w:fill="auto"/>
                  <w:vAlign w:val="center"/>
                </w:tcPr>
                <w:p w14:paraId="431DD30A">
                  <w:pPr>
                    <w:spacing w:line="220" w:lineRule="exact"/>
                    <w:jc w:val="center"/>
                    <w:rPr>
                      <w:rFonts w:hint="eastAsia" w:ascii="Times New Roman" w:hAnsi="Times New Roman" w:eastAsia="宋体" w:cs="Times New Roman"/>
                      <w:color w:val="auto"/>
                      <w:spacing w:val="-17"/>
                      <w:kern w:val="2"/>
                      <w:sz w:val="18"/>
                      <w:szCs w:val="18"/>
                      <w:highlight w:val="none"/>
                      <w:lang w:val="en-US" w:eastAsia="zh-CN" w:bidi="ar-SA"/>
                    </w:rPr>
                  </w:pPr>
                  <w:r>
                    <w:rPr>
                      <w:rFonts w:hint="eastAsia" w:cs="Times New Roman"/>
                      <w:color w:val="auto"/>
                      <w:spacing w:val="-17"/>
                      <w:sz w:val="18"/>
                      <w:szCs w:val="18"/>
                      <w:highlight w:val="none"/>
                      <w:lang w:val="en-US" w:eastAsia="zh-CN"/>
                    </w:rPr>
                    <w:t>18</w:t>
                  </w:r>
                </w:p>
              </w:tc>
              <w:tc>
                <w:tcPr>
                  <w:tcW w:w="176" w:type="pct"/>
                  <w:vMerge w:val="continue"/>
                  <w:vAlign w:val="center"/>
                </w:tcPr>
                <w:p w14:paraId="4EFB00BE">
                  <w:pPr>
                    <w:spacing w:line="220" w:lineRule="exact"/>
                    <w:jc w:val="center"/>
                    <w:rPr>
                      <w:rFonts w:hint="eastAsia" w:ascii="Times New Roman" w:hAnsi="Times New Roman" w:cs="Times New Roman"/>
                      <w:color w:val="auto"/>
                      <w:spacing w:val="-17"/>
                      <w:kern w:val="2"/>
                      <w:sz w:val="18"/>
                      <w:szCs w:val="18"/>
                      <w:lang w:val="en-US" w:eastAsia="zh-CN" w:bidi="ar-SA"/>
                    </w:rPr>
                  </w:pPr>
                </w:p>
              </w:tc>
              <w:tc>
                <w:tcPr>
                  <w:tcW w:w="211" w:type="pct"/>
                  <w:vMerge w:val="continue"/>
                  <w:vAlign w:val="center"/>
                </w:tcPr>
                <w:p w14:paraId="37220CD0">
                  <w:pPr>
                    <w:spacing w:line="220" w:lineRule="exact"/>
                    <w:jc w:val="center"/>
                    <w:rPr>
                      <w:rFonts w:hint="eastAsia" w:ascii="Times New Roman" w:hAnsi="Times New Roman" w:cs="Times New Roman"/>
                      <w:color w:val="auto"/>
                      <w:spacing w:val="-17"/>
                      <w:sz w:val="18"/>
                      <w:szCs w:val="18"/>
                      <w:lang w:val="en-US" w:eastAsia="zh-CN"/>
                    </w:rPr>
                  </w:pPr>
                </w:p>
              </w:tc>
              <w:tc>
                <w:tcPr>
                  <w:tcW w:w="379" w:type="pct"/>
                  <w:shd w:val="clear" w:color="auto" w:fill="auto"/>
                  <w:vAlign w:val="center"/>
                </w:tcPr>
                <w:p w14:paraId="42FF5D54">
                  <w:pPr>
                    <w:pStyle w:val="71"/>
                    <w:spacing w:line="220" w:lineRule="exact"/>
                    <w:jc w:val="center"/>
                    <w:rPr>
                      <w:rFonts w:hint="eastAsia" w:ascii="Times New Roman" w:hAnsi="Times New Roman" w:eastAsia="宋体" w:cs="Times New Roman"/>
                      <w:color w:val="auto"/>
                      <w:spacing w:val="-17"/>
                      <w:kern w:val="0"/>
                      <w:sz w:val="18"/>
                      <w:szCs w:val="18"/>
                      <w:highlight w:val="none"/>
                      <w:lang w:val="en-US" w:eastAsia="zh-CN" w:bidi="ar-SA"/>
                    </w:rPr>
                  </w:pPr>
                  <w:r>
                    <w:rPr>
                      <w:rFonts w:hint="eastAsia" w:ascii="Times New Roman" w:hAnsi="Times New Roman" w:cs="Times New Roman"/>
                      <w:color w:val="auto"/>
                      <w:spacing w:val="-17"/>
                      <w:sz w:val="18"/>
                      <w:szCs w:val="18"/>
                      <w:highlight w:val="none"/>
                      <w:lang w:val="en-US" w:eastAsia="zh-CN"/>
                    </w:rPr>
                    <w:t>4</w:t>
                  </w:r>
                  <w:r>
                    <w:rPr>
                      <w:rFonts w:hint="eastAsia" w:ascii="Times New Roman" w:hAnsi="Times New Roman" w:eastAsia="宋体" w:cs="Times New Roman"/>
                      <w:color w:val="auto"/>
                      <w:spacing w:val="-17"/>
                      <w:sz w:val="18"/>
                      <w:szCs w:val="18"/>
                      <w:highlight w:val="none"/>
                      <w:vertAlign w:val="superscript"/>
                      <w:lang w:val="en-US" w:eastAsia="zh-CN"/>
                    </w:rPr>
                    <w:t>#</w:t>
                  </w:r>
                  <w:r>
                    <w:rPr>
                      <w:rFonts w:hint="eastAsia" w:ascii="Times New Roman" w:hAnsi="Times New Roman" w:eastAsia="宋体" w:cs="Times New Roman"/>
                      <w:color w:val="auto"/>
                      <w:spacing w:val="-17"/>
                      <w:sz w:val="18"/>
                      <w:szCs w:val="18"/>
                      <w:highlight w:val="none"/>
                      <w:lang w:val="en-US" w:eastAsia="zh-CN"/>
                    </w:rPr>
                    <w:t>滚筒筛</w:t>
                  </w:r>
                </w:p>
              </w:tc>
              <w:tc>
                <w:tcPr>
                  <w:tcW w:w="193" w:type="pct"/>
                  <w:shd w:val="clear" w:color="auto" w:fill="auto"/>
                  <w:vAlign w:val="center"/>
                </w:tcPr>
                <w:p w14:paraId="53F50982">
                  <w:pPr>
                    <w:pStyle w:val="71"/>
                    <w:spacing w:line="220" w:lineRule="exact"/>
                    <w:jc w:val="center"/>
                    <w:rPr>
                      <w:rFonts w:hint="eastAsia" w:ascii="Times New Roman" w:hAnsi="Times New Roman" w:eastAsia="宋体" w:cs="Times New Roman"/>
                      <w:color w:val="auto"/>
                      <w:spacing w:val="-17"/>
                      <w:kern w:val="0"/>
                      <w:sz w:val="18"/>
                      <w:szCs w:val="18"/>
                      <w:highlight w:val="none"/>
                      <w:lang w:val="en-US" w:eastAsia="zh-CN" w:bidi="ar-SA"/>
                    </w:rPr>
                  </w:pPr>
                  <w:r>
                    <w:rPr>
                      <w:rFonts w:hint="eastAsia" w:ascii="Times New Roman" w:hAnsi="Times New Roman" w:eastAsia="宋体" w:cs="Times New Roman"/>
                      <w:color w:val="auto"/>
                      <w:spacing w:val="-17"/>
                      <w:sz w:val="18"/>
                      <w:szCs w:val="18"/>
                      <w:highlight w:val="none"/>
                      <w:lang w:val="en-US" w:eastAsia="zh-CN"/>
                    </w:rPr>
                    <w:t>1</w:t>
                  </w:r>
                </w:p>
              </w:tc>
              <w:tc>
                <w:tcPr>
                  <w:tcW w:w="250" w:type="pct"/>
                  <w:shd w:val="clear" w:color="auto" w:fill="auto"/>
                  <w:vAlign w:val="bottom"/>
                </w:tcPr>
                <w:p w14:paraId="568B7DF9">
                  <w:pPr>
                    <w:pStyle w:val="71"/>
                    <w:spacing w:line="220" w:lineRule="exact"/>
                    <w:jc w:val="center"/>
                    <w:rPr>
                      <w:rFonts w:hint="default"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90</w:t>
                  </w:r>
                </w:p>
              </w:tc>
              <w:tc>
                <w:tcPr>
                  <w:tcW w:w="314" w:type="pct"/>
                  <w:vMerge w:val="continue"/>
                  <w:vAlign w:val="center"/>
                </w:tcPr>
                <w:p w14:paraId="2C086566">
                  <w:pPr>
                    <w:spacing w:line="220" w:lineRule="exact"/>
                    <w:jc w:val="center"/>
                    <w:rPr>
                      <w:rFonts w:hint="eastAsia"/>
                      <w:color w:val="auto"/>
                      <w:spacing w:val="-17"/>
                      <w:sz w:val="18"/>
                      <w:szCs w:val="18"/>
                      <w:lang w:val="en-US" w:eastAsia="zh-CN"/>
                    </w:rPr>
                  </w:pPr>
                </w:p>
              </w:tc>
              <w:tc>
                <w:tcPr>
                  <w:tcW w:w="428" w:type="dxa"/>
                  <w:shd w:val="clear" w:color="auto" w:fill="FFFFFF"/>
                  <w:vAlign w:val="bottom"/>
                </w:tcPr>
                <w:p w14:paraId="3D88E62F">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19.6</w:t>
                  </w:r>
                </w:p>
              </w:tc>
              <w:tc>
                <w:tcPr>
                  <w:tcW w:w="504" w:type="dxa"/>
                  <w:shd w:val="clear" w:color="auto" w:fill="FFFFFF"/>
                  <w:vAlign w:val="bottom"/>
                </w:tcPr>
                <w:p w14:paraId="32FC06E3">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40</w:t>
                  </w:r>
                </w:p>
              </w:tc>
              <w:tc>
                <w:tcPr>
                  <w:tcW w:w="503" w:type="dxa"/>
                  <w:shd w:val="clear" w:color="auto" w:fill="FFFFFF"/>
                  <w:vAlign w:val="bottom"/>
                </w:tcPr>
                <w:p w14:paraId="5BFF28EB">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40.8</w:t>
                  </w:r>
                </w:p>
              </w:tc>
              <w:tc>
                <w:tcPr>
                  <w:tcW w:w="525" w:type="dxa"/>
                  <w:shd w:val="clear" w:color="auto" w:fill="FFFFFF"/>
                  <w:vAlign w:val="bottom"/>
                </w:tcPr>
                <w:p w14:paraId="1DC4E008">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18</w:t>
                  </w:r>
                </w:p>
              </w:tc>
              <w:tc>
                <w:tcPr>
                  <w:tcW w:w="483" w:type="dxa"/>
                  <w:shd w:val="clear" w:color="auto" w:fill="FFFFFF"/>
                  <w:vAlign w:val="bottom"/>
                </w:tcPr>
                <w:p w14:paraId="714A9BD3">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59.1</w:t>
                  </w:r>
                </w:p>
              </w:tc>
              <w:tc>
                <w:tcPr>
                  <w:tcW w:w="482" w:type="dxa"/>
                  <w:shd w:val="clear" w:color="auto" w:fill="FFFFFF"/>
                  <w:vAlign w:val="bottom"/>
                </w:tcPr>
                <w:p w14:paraId="672828B7">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58.2</w:t>
                  </w:r>
                </w:p>
              </w:tc>
              <w:tc>
                <w:tcPr>
                  <w:tcW w:w="546" w:type="dxa"/>
                  <w:shd w:val="clear" w:color="auto" w:fill="FFFFFF"/>
                  <w:vAlign w:val="bottom"/>
                </w:tcPr>
                <w:p w14:paraId="13984024">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58.1</w:t>
                  </w:r>
                </w:p>
              </w:tc>
              <w:tc>
                <w:tcPr>
                  <w:tcW w:w="579" w:type="dxa"/>
                  <w:shd w:val="clear" w:color="auto" w:fill="FFFFFF"/>
                  <w:vAlign w:val="bottom"/>
                </w:tcPr>
                <w:p w14:paraId="0B97AFD5">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59.3</w:t>
                  </w:r>
                </w:p>
              </w:tc>
              <w:tc>
                <w:tcPr>
                  <w:tcW w:w="262" w:type="pct"/>
                  <w:vMerge w:val="continue"/>
                  <w:vAlign w:val="center"/>
                </w:tcPr>
                <w:p w14:paraId="574ACE95">
                  <w:pPr>
                    <w:pStyle w:val="71"/>
                    <w:spacing w:line="220" w:lineRule="exact"/>
                    <w:jc w:val="center"/>
                    <w:rPr>
                      <w:rFonts w:hint="default" w:ascii="Times New Roman" w:hAnsi="Times New Roman" w:eastAsia="宋体" w:cs="Calibri"/>
                      <w:color w:val="auto"/>
                      <w:spacing w:val="-17"/>
                      <w:kern w:val="0"/>
                      <w:sz w:val="18"/>
                      <w:szCs w:val="18"/>
                      <w:lang w:val="en-US" w:eastAsia="zh-CN" w:bidi="ar-SA"/>
                    </w:rPr>
                  </w:pPr>
                </w:p>
              </w:tc>
              <w:tc>
                <w:tcPr>
                  <w:tcW w:w="331" w:type="pct"/>
                  <w:shd w:val="clear" w:color="auto" w:fill="FFFFFF"/>
                  <w:vAlign w:val="center"/>
                </w:tcPr>
                <w:p w14:paraId="56FE99C1">
                  <w:pPr>
                    <w:pStyle w:val="71"/>
                    <w:spacing w:line="220" w:lineRule="exact"/>
                    <w:jc w:val="center"/>
                    <w:rPr>
                      <w:rFonts w:hint="default" w:ascii="Times New Roman" w:hAnsi="Times New Roman" w:eastAsia="宋体" w:cs="Times New Roman"/>
                      <w:color w:val="auto"/>
                      <w:spacing w:val="-17"/>
                      <w:sz w:val="18"/>
                      <w:szCs w:val="18"/>
                      <w:highlight w:val="none"/>
                      <w:lang w:val="en-US" w:eastAsia="zh-CN"/>
                    </w:rPr>
                  </w:pPr>
                  <w:r>
                    <w:rPr>
                      <w:rFonts w:hint="eastAsia" w:ascii="Times New Roman" w:hAnsi="Times New Roman" w:eastAsia="宋体" w:cs="Times New Roman"/>
                      <w:color w:val="auto"/>
                      <w:spacing w:val="-17"/>
                      <w:sz w:val="18"/>
                      <w:szCs w:val="18"/>
                      <w:highlight w:val="none"/>
                      <w:lang w:val="en-US" w:eastAsia="zh-CN"/>
                    </w:rPr>
                    <w:t>31.0</w:t>
                  </w:r>
                </w:p>
              </w:tc>
              <w:tc>
                <w:tcPr>
                  <w:tcW w:w="397" w:type="dxa"/>
                  <w:shd w:val="clear" w:color="auto" w:fill="FFFFFF"/>
                  <w:vAlign w:val="bottom"/>
                </w:tcPr>
                <w:p w14:paraId="29A2B5B6">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28.1</w:t>
                  </w:r>
                </w:p>
              </w:tc>
              <w:tc>
                <w:tcPr>
                  <w:tcW w:w="439" w:type="dxa"/>
                  <w:shd w:val="clear" w:color="auto" w:fill="FFFFFF"/>
                  <w:vAlign w:val="bottom"/>
                </w:tcPr>
                <w:p w14:paraId="30D40DCA">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27.2</w:t>
                  </w:r>
                </w:p>
              </w:tc>
              <w:tc>
                <w:tcPr>
                  <w:tcW w:w="418" w:type="dxa"/>
                  <w:shd w:val="clear" w:color="auto" w:fill="FFFFFF"/>
                  <w:vAlign w:val="bottom"/>
                </w:tcPr>
                <w:p w14:paraId="7F648D5D">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27.1</w:t>
                  </w:r>
                </w:p>
              </w:tc>
              <w:tc>
                <w:tcPr>
                  <w:tcW w:w="396" w:type="dxa"/>
                  <w:shd w:val="clear" w:color="auto" w:fill="FFFFFF"/>
                  <w:vAlign w:val="bottom"/>
                </w:tcPr>
                <w:p w14:paraId="26446EE9">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28.3</w:t>
                  </w:r>
                </w:p>
              </w:tc>
              <w:tc>
                <w:tcPr>
                  <w:tcW w:w="411" w:type="pct"/>
                  <w:shd w:val="clear" w:color="auto" w:fill="FFFFFF"/>
                  <w:vAlign w:val="center"/>
                </w:tcPr>
                <w:p w14:paraId="25A02B88">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eastAsia" w:ascii="Times New Roman" w:hAnsi="Times New Roman" w:eastAsia="宋体" w:cs="Times New Roman"/>
                      <w:color w:val="auto"/>
                      <w:spacing w:val="-17"/>
                      <w:sz w:val="18"/>
                      <w:szCs w:val="18"/>
                      <w:highlight w:val="none"/>
                      <w:lang w:val="en-US" w:eastAsia="zh-CN"/>
                    </w:rPr>
                    <w:t>1</w:t>
                  </w:r>
                </w:p>
              </w:tc>
            </w:tr>
            <w:tr w14:paraId="3BB685E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1" w:hRule="exact"/>
                <w:jc w:val="center"/>
              </w:trPr>
              <w:tc>
                <w:tcPr>
                  <w:tcW w:w="176" w:type="pct"/>
                  <w:shd w:val="clear" w:color="auto" w:fill="auto"/>
                  <w:vAlign w:val="center"/>
                </w:tcPr>
                <w:p w14:paraId="72961888">
                  <w:pPr>
                    <w:spacing w:line="220" w:lineRule="exact"/>
                    <w:jc w:val="center"/>
                    <w:rPr>
                      <w:rFonts w:hint="eastAsia" w:ascii="Times New Roman" w:hAnsi="Times New Roman" w:eastAsia="宋体" w:cs="Times New Roman"/>
                      <w:color w:val="auto"/>
                      <w:spacing w:val="-17"/>
                      <w:kern w:val="2"/>
                      <w:sz w:val="18"/>
                      <w:szCs w:val="18"/>
                      <w:highlight w:val="none"/>
                      <w:lang w:val="en-US" w:eastAsia="zh-CN" w:bidi="ar-SA"/>
                    </w:rPr>
                  </w:pPr>
                  <w:r>
                    <w:rPr>
                      <w:rFonts w:hint="eastAsia" w:cs="Times New Roman"/>
                      <w:color w:val="auto"/>
                      <w:spacing w:val="-17"/>
                      <w:sz w:val="18"/>
                      <w:szCs w:val="18"/>
                      <w:highlight w:val="none"/>
                      <w:lang w:val="en-US" w:eastAsia="zh-CN"/>
                    </w:rPr>
                    <w:t>19</w:t>
                  </w:r>
                </w:p>
              </w:tc>
              <w:tc>
                <w:tcPr>
                  <w:tcW w:w="176" w:type="pct"/>
                  <w:vMerge w:val="continue"/>
                  <w:vAlign w:val="center"/>
                </w:tcPr>
                <w:p w14:paraId="45C9FD93">
                  <w:pPr>
                    <w:spacing w:line="220" w:lineRule="exact"/>
                    <w:jc w:val="center"/>
                    <w:rPr>
                      <w:rFonts w:hint="eastAsia" w:ascii="Times New Roman" w:hAnsi="Times New Roman" w:cs="Times New Roman"/>
                      <w:color w:val="auto"/>
                      <w:spacing w:val="-17"/>
                      <w:kern w:val="2"/>
                      <w:sz w:val="18"/>
                      <w:szCs w:val="18"/>
                      <w:lang w:val="en-US" w:eastAsia="zh-CN" w:bidi="ar-SA"/>
                    </w:rPr>
                  </w:pPr>
                </w:p>
              </w:tc>
              <w:tc>
                <w:tcPr>
                  <w:tcW w:w="211" w:type="pct"/>
                  <w:vMerge w:val="continue"/>
                  <w:vAlign w:val="center"/>
                </w:tcPr>
                <w:p w14:paraId="357F39F9">
                  <w:pPr>
                    <w:spacing w:line="220" w:lineRule="exact"/>
                    <w:jc w:val="center"/>
                    <w:rPr>
                      <w:rFonts w:hint="eastAsia" w:ascii="Times New Roman" w:hAnsi="Times New Roman" w:cs="Times New Roman"/>
                      <w:color w:val="auto"/>
                      <w:spacing w:val="-17"/>
                      <w:sz w:val="18"/>
                      <w:szCs w:val="18"/>
                      <w:lang w:val="en-US" w:eastAsia="zh-CN"/>
                    </w:rPr>
                  </w:pPr>
                </w:p>
              </w:tc>
              <w:tc>
                <w:tcPr>
                  <w:tcW w:w="379" w:type="pct"/>
                  <w:shd w:val="clear" w:color="auto" w:fill="auto"/>
                  <w:vAlign w:val="center"/>
                </w:tcPr>
                <w:p w14:paraId="29527721">
                  <w:pPr>
                    <w:pStyle w:val="71"/>
                    <w:spacing w:line="220" w:lineRule="exact"/>
                    <w:jc w:val="center"/>
                    <w:rPr>
                      <w:rFonts w:hint="eastAsia" w:ascii="Times New Roman" w:hAnsi="Times New Roman" w:eastAsia="宋体" w:cs="Times New Roman"/>
                      <w:color w:val="auto"/>
                      <w:spacing w:val="-17"/>
                      <w:kern w:val="0"/>
                      <w:sz w:val="18"/>
                      <w:szCs w:val="18"/>
                      <w:highlight w:val="none"/>
                      <w:lang w:val="en-US" w:eastAsia="zh-CN" w:bidi="ar-SA"/>
                    </w:rPr>
                  </w:pPr>
                  <w:r>
                    <w:rPr>
                      <w:rFonts w:hint="eastAsia" w:ascii="Times New Roman" w:hAnsi="Times New Roman" w:cs="Times New Roman"/>
                      <w:color w:val="auto"/>
                      <w:spacing w:val="-17"/>
                      <w:sz w:val="18"/>
                      <w:szCs w:val="18"/>
                      <w:highlight w:val="none"/>
                      <w:lang w:val="en-US" w:eastAsia="zh-CN"/>
                    </w:rPr>
                    <w:t>1</w:t>
                  </w:r>
                  <w:r>
                    <w:rPr>
                      <w:rFonts w:hint="eastAsia" w:ascii="Times New Roman" w:hAnsi="Times New Roman" w:eastAsia="宋体" w:cs="Times New Roman"/>
                      <w:color w:val="auto"/>
                      <w:spacing w:val="-17"/>
                      <w:sz w:val="18"/>
                      <w:szCs w:val="18"/>
                      <w:highlight w:val="none"/>
                      <w:vertAlign w:val="superscript"/>
                      <w:lang w:val="en-US" w:eastAsia="zh-CN"/>
                    </w:rPr>
                    <w:t>#</w:t>
                  </w:r>
                  <w:r>
                    <w:rPr>
                      <w:rFonts w:hint="eastAsia" w:ascii="Times New Roman" w:hAnsi="Times New Roman" w:eastAsia="宋体" w:cs="Times New Roman"/>
                      <w:color w:val="auto"/>
                      <w:spacing w:val="-17"/>
                      <w:sz w:val="18"/>
                      <w:szCs w:val="18"/>
                      <w:highlight w:val="none"/>
                      <w:lang w:val="en-US" w:eastAsia="zh-CN"/>
                    </w:rPr>
                    <w:t>球磨机</w:t>
                  </w:r>
                </w:p>
              </w:tc>
              <w:tc>
                <w:tcPr>
                  <w:tcW w:w="193" w:type="pct"/>
                  <w:shd w:val="clear" w:color="auto" w:fill="auto"/>
                  <w:vAlign w:val="center"/>
                </w:tcPr>
                <w:p w14:paraId="1B3BFA6F">
                  <w:pPr>
                    <w:pStyle w:val="71"/>
                    <w:spacing w:line="220" w:lineRule="exact"/>
                    <w:jc w:val="center"/>
                    <w:rPr>
                      <w:rFonts w:hint="eastAsia" w:ascii="Times New Roman" w:hAnsi="Times New Roman" w:eastAsia="宋体" w:cs="Times New Roman"/>
                      <w:color w:val="auto"/>
                      <w:spacing w:val="-17"/>
                      <w:kern w:val="0"/>
                      <w:sz w:val="18"/>
                      <w:szCs w:val="18"/>
                      <w:highlight w:val="none"/>
                      <w:lang w:val="en-US" w:eastAsia="zh-CN" w:bidi="ar-SA"/>
                    </w:rPr>
                  </w:pPr>
                  <w:r>
                    <w:rPr>
                      <w:rFonts w:hint="eastAsia" w:ascii="Times New Roman" w:hAnsi="Times New Roman" w:eastAsia="宋体" w:cs="Times New Roman"/>
                      <w:color w:val="auto"/>
                      <w:spacing w:val="-17"/>
                      <w:sz w:val="18"/>
                      <w:szCs w:val="18"/>
                      <w:highlight w:val="none"/>
                      <w:lang w:val="en-US" w:eastAsia="zh-CN"/>
                    </w:rPr>
                    <w:t>1</w:t>
                  </w:r>
                </w:p>
              </w:tc>
              <w:tc>
                <w:tcPr>
                  <w:tcW w:w="250" w:type="pct"/>
                  <w:shd w:val="clear" w:color="auto" w:fill="auto"/>
                  <w:vAlign w:val="bottom"/>
                </w:tcPr>
                <w:p w14:paraId="3AACAE5B">
                  <w:pPr>
                    <w:pStyle w:val="71"/>
                    <w:spacing w:line="220" w:lineRule="exact"/>
                    <w:jc w:val="center"/>
                    <w:rPr>
                      <w:rFonts w:hint="default"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90</w:t>
                  </w:r>
                </w:p>
              </w:tc>
              <w:tc>
                <w:tcPr>
                  <w:tcW w:w="314" w:type="pct"/>
                  <w:vMerge w:val="continue"/>
                  <w:vAlign w:val="center"/>
                </w:tcPr>
                <w:p w14:paraId="1FB6926D">
                  <w:pPr>
                    <w:spacing w:line="220" w:lineRule="exact"/>
                    <w:jc w:val="center"/>
                    <w:rPr>
                      <w:rFonts w:hint="eastAsia"/>
                      <w:color w:val="auto"/>
                      <w:spacing w:val="-17"/>
                      <w:sz w:val="18"/>
                      <w:szCs w:val="18"/>
                      <w:lang w:val="en-US" w:eastAsia="zh-CN"/>
                    </w:rPr>
                  </w:pPr>
                </w:p>
              </w:tc>
              <w:tc>
                <w:tcPr>
                  <w:tcW w:w="428" w:type="dxa"/>
                  <w:shd w:val="clear" w:color="auto" w:fill="FFFFFF"/>
                  <w:vAlign w:val="bottom"/>
                </w:tcPr>
                <w:p w14:paraId="0233AA75">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30</w:t>
                  </w:r>
                </w:p>
              </w:tc>
              <w:tc>
                <w:tcPr>
                  <w:tcW w:w="504" w:type="dxa"/>
                  <w:shd w:val="clear" w:color="auto" w:fill="FFFFFF"/>
                  <w:vAlign w:val="bottom"/>
                </w:tcPr>
                <w:p w14:paraId="6B54AF3F">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44.5</w:t>
                  </w:r>
                </w:p>
              </w:tc>
              <w:tc>
                <w:tcPr>
                  <w:tcW w:w="503" w:type="dxa"/>
                  <w:shd w:val="clear" w:color="auto" w:fill="FFFFFF"/>
                  <w:vAlign w:val="bottom"/>
                </w:tcPr>
                <w:p w14:paraId="0AE4438C">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30.4</w:t>
                  </w:r>
                </w:p>
              </w:tc>
              <w:tc>
                <w:tcPr>
                  <w:tcW w:w="525" w:type="dxa"/>
                  <w:shd w:val="clear" w:color="auto" w:fill="FFFFFF"/>
                  <w:vAlign w:val="bottom"/>
                </w:tcPr>
                <w:p w14:paraId="48DE8BF0">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13.6</w:t>
                  </w:r>
                </w:p>
              </w:tc>
              <w:tc>
                <w:tcPr>
                  <w:tcW w:w="483" w:type="dxa"/>
                  <w:shd w:val="clear" w:color="auto" w:fill="FFFFFF"/>
                  <w:vAlign w:val="bottom"/>
                </w:tcPr>
                <w:p w14:paraId="56D27C1E">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58.4</w:t>
                  </w:r>
                </w:p>
              </w:tc>
              <w:tc>
                <w:tcPr>
                  <w:tcW w:w="482" w:type="dxa"/>
                  <w:shd w:val="clear" w:color="auto" w:fill="FFFFFF"/>
                  <w:vAlign w:val="bottom"/>
                </w:tcPr>
                <w:p w14:paraId="3A4CB168">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58.1</w:t>
                  </w:r>
                </w:p>
              </w:tc>
              <w:tc>
                <w:tcPr>
                  <w:tcW w:w="546" w:type="dxa"/>
                  <w:shd w:val="clear" w:color="auto" w:fill="FFFFFF"/>
                  <w:vAlign w:val="bottom"/>
                </w:tcPr>
                <w:p w14:paraId="5854D2BE">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58.4</w:t>
                  </w:r>
                </w:p>
              </w:tc>
              <w:tc>
                <w:tcPr>
                  <w:tcW w:w="579" w:type="dxa"/>
                  <w:vAlign w:val="bottom"/>
                </w:tcPr>
                <w:p w14:paraId="2B586D69">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60.1</w:t>
                  </w:r>
                </w:p>
              </w:tc>
              <w:tc>
                <w:tcPr>
                  <w:tcW w:w="262" w:type="pct"/>
                  <w:vMerge w:val="continue"/>
                  <w:vAlign w:val="center"/>
                </w:tcPr>
                <w:p w14:paraId="36DDAB90">
                  <w:pPr>
                    <w:pStyle w:val="71"/>
                    <w:spacing w:line="220" w:lineRule="exact"/>
                    <w:jc w:val="center"/>
                    <w:rPr>
                      <w:rFonts w:hint="default" w:ascii="Times New Roman" w:hAnsi="Times New Roman" w:eastAsia="宋体" w:cs="Calibri"/>
                      <w:color w:val="auto"/>
                      <w:spacing w:val="-17"/>
                      <w:kern w:val="0"/>
                      <w:sz w:val="18"/>
                      <w:szCs w:val="18"/>
                      <w:lang w:val="en-US" w:eastAsia="zh-CN" w:bidi="ar-SA"/>
                    </w:rPr>
                  </w:pPr>
                </w:p>
              </w:tc>
              <w:tc>
                <w:tcPr>
                  <w:tcW w:w="331" w:type="pct"/>
                  <w:shd w:val="clear" w:color="auto" w:fill="FFFFFF"/>
                  <w:vAlign w:val="center"/>
                </w:tcPr>
                <w:p w14:paraId="1C4DF077">
                  <w:pPr>
                    <w:pStyle w:val="71"/>
                    <w:spacing w:line="220" w:lineRule="exact"/>
                    <w:jc w:val="center"/>
                    <w:rPr>
                      <w:rFonts w:hint="default" w:ascii="Times New Roman" w:hAnsi="Times New Roman" w:eastAsia="宋体" w:cs="Times New Roman"/>
                      <w:color w:val="auto"/>
                      <w:spacing w:val="-17"/>
                      <w:sz w:val="18"/>
                      <w:szCs w:val="18"/>
                      <w:highlight w:val="none"/>
                      <w:lang w:val="en-US" w:eastAsia="zh-CN"/>
                    </w:rPr>
                  </w:pPr>
                  <w:r>
                    <w:rPr>
                      <w:rFonts w:hint="eastAsia" w:ascii="Times New Roman" w:hAnsi="Times New Roman" w:eastAsia="宋体" w:cs="Times New Roman"/>
                      <w:color w:val="auto"/>
                      <w:spacing w:val="-17"/>
                      <w:sz w:val="18"/>
                      <w:szCs w:val="18"/>
                      <w:highlight w:val="none"/>
                      <w:lang w:val="en-US" w:eastAsia="zh-CN"/>
                    </w:rPr>
                    <w:t>31.0</w:t>
                  </w:r>
                </w:p>
              </w:tc>
              <w:tc>
                <w:tcPr>
                  <w:tcW w:w="397" w:type="dxa"/>
                  <w:shd w:val="clear" w:color="auto" w:fill="FFFFFF"/>
                  <w:vAlign w:val="bottom"/>
                </w:tcPr>
                <w:p w14:paraId="67B90772">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27.4</w:t>
                  </w:r>
                </w:p>
              </w:tc>
              <w:tc>
                <w:tcPr>
                  <w:tcW w:w="439" w:type="dxa"/>
                  <w:shd w:val="clear" w:color="auto" w:fill="FFFFFF"/>
                  <w:vAlign w:val="bottom"/>
                </w:tcPr>
                <w:p w14:paraId="1C6FD281">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27.1</w:t>
                  </w:r>
                </w:p>
              </w:tc>
              <w:tc>
                <w:tcPr>
                  <w:tcW w:w="418" w:type="dxa"/>
                  <w:shd w:val="clear" w:color="auto" w:fill="FFFFFF"/>
                  <w:vAlign w:val="bottom"/>
                </w:tcPr>
                <w:p w14:paraId="60FB8D03">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27.4</w:t>
                  </w:r>
                </w:p>
              </w:tc>
              <w:tc>
                <w:tcPr>
                  <w:tcW w:w="396" w:type="dxa"/>
                  <w:shd w:val="clear" w:color="auto" w:fill="FFFFFF"/>
                  <w:vAlign w:val="bottom"/>
                </w:tcPr>
                <w:p w14:paraId="11CA3227">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29.1</w:t>
                  </w:r>
                </w:p>
              </w:tc>
              <w:tc>
                <w:tcPr>
                  <w:tcW w:w="411" w:type="pct"/>
                  <w:shd w:val="clear" w:color="auto" w:fill="FFFFFF"/>
                  <w:vAlign w:val="center"/>
                </w:tcPr>
                <w:p w14:paraId="5FAEB6CC">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eastAsia" w:ascii="Times New Roman" w:hAnsi="Times New Roman" w:eastAsia="宋体" w:cs="Times New Roman"/>
                      <w:color w:val="auto"/>
                      <w:spacing w:val="-17"/>
                      <w:sz w:val="18"/>
                      <w:szCs w:val="18"/>
                      <w:highlight w:val="none"/>
                      <w:lang w:val="en-US" w:eastAsia="zh-CN"/>
                    </w:rPr>
                    <w:t>1</w:t>
                  </w:r>
                </w:p>
              </w:tc>
            </w:tr>
            <w:tr w14:paraId="15D8466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1" w:hRule="exact"/>
                <w:jc w:val="center"/>
              </w:trPr>
              <w:tc>
                <w:tcPr>
                  <w:tcW w:w="176" w:type="pct"/>
                  <w:shd w:val="clear" w:color="auto" w:fill="auto"/>
                  <w:vAlign w:val="center"/>
                </w:tcPr>
                <w:p w14:paraId="64210F10">
                  <w:pPr>
                    <w:spacing w:line="220" w:lineRule="exact"/>
                    <w:jc w:val="center"/>
                    <w:rPr>
                      <w:rFonts w:hint="eastAsia" w:ascii="Times New Roman" w:hAnsi="Times New Roman" w:eastAsia="宋体" w:cs="Times New Roman"/>
                      <w:color w:val="auto"/>
                      <w:spacing w:val="-17"/>
                      <w:kern w:val="2"/>
                      <w:sz w:val="18"/>
                      <w:szCs w:val="18"/>
                      <w:highlight w:val="none"/>
                      <w:lang w:val="en-US" w:eastAsia="zh-CN" w:bidi="ar-SA"/>
                    </w:rPr>
                  </w:pPr>
                  <w:r>
                    <w:rPr>
                      <w:rFonts w:hint="eastAsia" w:cs="Times New Roman"/>
                      <w:color w:val="auto"/>
                      <w:spacing w:val="-17"/>
                      <w:sz w:val="18"/>
                      <w:szCs w:val="18"/>
                      <w:highlight w:val="none"/>
                      <w:lang w:val="en-US" w:eastAsia="zh-CN"/>
                    </w:rPr>
                    <w:t>20</w:t>
                  </w:r>
                </w:p>
              </w:tc>
              <w:tc>
                <w:tcPr>
                  <w:tcW w:w="176" w:type="pct"/>
                  <w:vMerge w:val="continue"/>
                  <w:vAlign w:val="center"/>
                </w:tcPr>
                <w:p w14:paraId="2F2FE348">
                  <w:pPr>
                    <w:spacing w:line="220" w:lineRule="exact"/>
                    <w:jc w:val="center"/>
                    <w:rPr>
                      <w:rFonts w:hint="eastAsia" w:ascii="Times New Roman" w:hAnsi="Times New Roman" w:cs="Times New Roman"/>
                      <w:color w:val="auto"/>
                      <w:spacing w:val="-17"/>
                      <w:kern w:val="2"/>
                      <w:sz w:val="18"/>
                      <w:szCs w:val="18"/>
                      <w:lang w:val="en-US" w:eastAsia="zh-CN" w:bidi="ar-SA"/>
                    </w:rPr>
                  </w:pPr>
                </w:p>
              </w:tc>
              <w:tc>
                <w:tcPr>
                  <w:tcW w:w="211" w:type="pct"/>
                  <w:vMerge w:val="continue"/>
                  <w:vAlign w:val="center"/>
                </w:tcPr>
                <w:p w14:paraId="21F396C5">
                  <w:pPr>
                    <w:spacing w:line="220" w:lineRule="exact"/>
                    <w:jc w:val="center"/>
                    <w:rPr>
                      <w:rFonts w:hint="eastAsia" w:ascii="Times New Roman" w:hAnsi="Times New Roman" w:cs="Times New Roman"/>
                      <w:color w:val="auto"/>
                      <w:spacing w:val="-17"/>
                      <w:sz w:val="18"/>
                      <w:szCs w:val="18"/>
                      <w:lang w:val="en-US" w:eastAsia="zh-CN"/>
                    </w:rPr>
                  </w:pPr>
                </w:p>
              </w:tc>
              <w:tc>
                <w:tcPr>
                  <w:tcW w:w="379" w:type="pct"/>
                  <w:shd w:val="clear" w:color="auto" w:fill="auto"/>
                  <w:vAlign w:val="center"/>
                </w:tcPr>
                <w:p w14:paraId="602BCBA1">
                  <w:pPr>
                    <w:pStyle w:val="71"/>
                    <w:spacing w:line="220" w:lineRule="exact"/>
                    <w:jc w:val="center"/>
                    <w:rPr>
                      <w:rFonts w:hint="eastAsia" w:ascii="Times New Roman" w:hAnsi="Times New Roman" w:eastAsia="宋体" w:cs="Times New Roman"/>
                      <w:color w:val="auto"/>
                      <w:spacing w:val="-17"/>
                      <w:kern w:val="0"/>
                      <w:sz w:val="18"/>
                      <w:szCs w:val="18"/>
                      <w:highlight w:val="none"/>
                      <w:lang w:val="en-US" w:eastAsia="zh-CN" w:bidi="ar-SA"/>
                    </w:rPr>
                  </w:pPr>
                  <w:r>
                    <w:rPr>
                      <w:rFonts w:hint="eastAsia" w:ascii="Times New Roman" w:hAnsi="Times New Roman" w:cs="Times New Roman"/>
                      <w:color w:val="auto"/>
                      <w:spacing w:val="-17"/>
                      <w:sz w:val="18"/>
                      <w:szCs w:val="18"/>
                      <w:highlight w:val="none"/>
                      <w:lang w:val="en-US" w:eastAsia="zh-CN"/>
                    </w:rPr>
                    <w:t>2</w:t>
                  </w:r>
                  <w:r>
                    <w:rPr>
                      <w:rFonts w:hint="eastAsia" w:ascii="Times New Roman" w:hAnsi="Times New Roman" w:eastAsia="宋体" w:cs="Times New Roman"/>
                      <w:color w:val="auto"/>
                      <w:spacing w:val="-17"/>
                      <w:sz w:val="18"/>
                      <w:szCs w:val="18"/>
                      <w:highlight w:val="none"/>
                      <w:vertAlign w:val="superscript"/>
                      <w:lang w:val="en-US" w:eastAsia="zh-CN"/>
                    </w:rPr>
                    <w:t>#</w:t>
                  </w:r>
                  <w:r>
                    <w:rPr>
                      <w:rFonts w:hint="eastAsia" w:ascii="Times New Roman" w:hAnsi="Times New Roman" w:eastAsia="宋体" w:cs="Times New Roman"/>
                      <w:color w:val="auto"/>
                      <w:spacing w:val="-17"/>
                      <w:sz w:val="18"/>
                      <w:szCs w:val="18"/>
                      <w:highlight w:val="none"/>
                      <w:lang w:val="en-US" w:eastAsia="zh-CN"/>
                    </w:rPr>
                    <w:t>球磨机</w:t>
                  </w:r>
                </w:p>
              </w:tc>
              <w:tc>
                <w:tcPr>
                  <w:tcW w:w="193" w:type="pct"/>
                  <w:shd w:val="clear" w:color="auto" w:fill="auto"/>
                  <w:vAlign w:val="center"/>
                </w:tcPr>
                <w:p w14:paraId="5D8F4C03">
                  <w:pPr>
                    <w:pStyle w:val="71"/>
                    <w:spacing w:line="220" w:lineRule="exact"/>
                    <w:jc w:val="center"/>
                    <w:rPr>
                      <w:rFonts w:hint="default" w:ascii="Times New Roman" w:hAnsi="Times New Roman" w:eastAsia="宋体" w:cs="Times New Roman"/>
                      <w:color w:val="auto"/>
                      <w:spacing w:val="-17"/>
                      <w:kern w:val="0"/>
                      <w:sz w:val="18"/>
                      <w:szCs w:val="18"/>
                      <w:highlight w:val="none"/>
                      <w:lang w:val="en-US" w:eastAsia="zh-CN" w:bidi="ar-SA"/>
                    </w:rPr>
                  </w:pPr>
                  <w:r>
                    <w:rPr>
                      <w:rFonts w:hint="eastAsia" w:ascii="Times New Roman" w:hAnsi="Times New Roman" w:eastAsia="宋体" w:cs="Times New Roman"/>
                      <w:color w:val="auto"/>
                      <w:spacing w:val="-17"/>
                      <w:sz w:val="18"/>
                      <w:szCs w:val="18"/>
                      <w:highlight w:val="none"/>
                      <w:lang w:val="en-US" w:eastAsia="zh-CN"/>
                    </w:rPr>
                    <w:t>1</w:t>
                  </w:r>
                </w:p>
              </w:tc>
              <w:tc>
                <w:tcPr>
                  <w:tcW w:w="250" w:type="pct"/>
                  <w:vAlign w:val="bottom"/>
                </w:tcPr>
                <w:p w14:paraId="029D7A3A">
                  <w:pPr>
                    <w:pStyle w:val="71"/>
                    <w:spacing w:line="220" w:lineRule="exact"/>
                    <w:jc w:val="center"/>
                    <w:rPr>
                      <w:rFonts w:hint="default"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90</w:t>
                  </w:r>
                </w:p>
              </w:tc>
              <w:tc>
                <w:tcPr>
                  <w:tcW w:w="314" w:type="pct"/>
                  <w:vMerge w:val="continue"/>
                  <w:vAlign w:val="center"/>
                </w:tcPr>
                <w:p w14:paraId="7E0862F8">
                  <w:pPr>
                    <w:spacing w:line="220" w:lineRule="exact"/>
                    <w:jc w:val="center"/>
                    <w:rPr>
                      <w:rFonts w:hint="eastAsia"/>
                      <w:color w:val="auto"/>
                      <w:spacing w:val="-17"/>
                      <w:sz w:val="18"/>
                      <w:szCs w:val="18"/>
                      <w:lang w:val="en-US" w:eastAsia="zh-CN"/>
                    </w:rPr>
                  </w:pPr>
                </w:p>
              </w:tc>
              <w:tc>
                <w:tcPr>
                  <w:tcW w:w="428" w:type="dxa"/>
                  <w:shd w:val="clear" w:color="auto" w:fill="FFFFFF"/>
                  <w:vAlign w:val="bottom"/>
                </w:tcPr>
                <w:p w14:paraId="21DB6F27">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20.1</w:t>
                  </w:r>
                </w:p>
              </w:tc>
              <w:tc>
                <w:tcPr>
                  <w:tcW w:w="504" w:type="dxa"/>
                  <w:shd w:val="clear" w:color="auto" w:fill="FFFFFF"/>
                  <w:vAlign w:val="bottom"/>
                </w:tcPr>
                <w:p w14:paraId="286AD2C0">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43.3</w:t>
                  </w:r>
                </w:p>
              </w:tc>
              <w:tc>
                <w:tcPr>
                  <w:tcW w:w="503" w:type="dxa"/>
                  <w:shd w:val="clear" w:color="auto" w:fill="FFFFFF"/>
                  <w:vAlign w:val="bottom"/>
                </w:tcPr>
                <w:p w14:paraId="1D51D192">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40.2</w:t>
                  </w:r>
                </w:p>
              </w:tc>
              <w:tc>
                <w:tcPr>
                  <w:tcW w:w="525" w:type="dxa"/>
                  <w:shd w:val="clear" w:color="auto" w:fill="FFFFFF"/>
                  <w:vAlign w:val="bottom"/>
                </w:tcPr>
                <w:p w14:paraId="063C7FE2">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14.7</w:t>
                  </w:r>
                </w:p>
              </w:tc>
              <w:tc>
                <w:tcPr>
                  <w:tcW w:w="483" w:type="dxa"/>
                  <w:shd w:val="clear" w:color="auto" w:fill="FFFFFF"/>
                  <w:vAlign w:val="bottom"/>
                </w:tcPr>
                <w:p w14:paraId="3A37D0CB">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59</w:t>
                  </w:r>
                </w:p>
              </w:tc>
              <w:tc>
                <w:tcPr>
                  <w:tcW w:w="482" w:type="dxa"/>
                  <w:shd w:val="clear" w:color="auto" w:fill="FFFFFF"/>
                  <w:vAlign w:val="bottom"/>
                </w:tcPr>
                <w:p w14:paraId="4562B0B6">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58.1</w:t>
                  </w:r>
                </w:p>
              </w:tc>
              <w:tc>
                <w:tcPr>
                  <w:tcW w:w="546" w:type="dxa"/>
                  <w:shd w:val="clear" w:color="auto" w:fill="FFFFFF"/>
                  <w:vAlign w:val="bottom"/>
                </w:tcPr>
                <w:p w14:paraId="5EEF23C0">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58.1</w:t>
                  </w:r>
                </w:p>
              </w:tc>
              <w:tc>
                <w:tcPr>
                  <w:tcW w:w="579" w:type="dxa"/>
                  <w:vAlign w:val="bottom"/>
                </w:tcPr>
                <w:p w14:paraId="0060B32E">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59.9</w:t>
                  </w:r>
                </w:p>
              </w:tc>
              <w:tc>
                <w:tcPr>
                  <w:tcW w:w="262" w:type="pct"/>
                  <w:vMerge w:val="continue"/>
                  <w:vAlign w:val="center"/>
                </w:tcPr>
                <w:p w14:paraId="151B2F8F">
                  <w:pPr>
                    <w:pStyle w:val="71"/>
                    <w:spacing w:line="220" w:lineRule="exact"/>
                    <w:jc w:val="center"/>
                    <w:rPr>
                      <w:rFonts w:hint="default" w:ascii="Times New Roman" w:hAnsi="Times New Roman" w:eastAsia="宋体" w:cs="Calibri"/>
                      <w:color w:val="auto"/>
                      <w:spacing w:val="-17"/>
                      <w:kern w:val="0"/>
                      <w:sz w:val="18"/>
                      <w:szCs w:val="18"/>
                      <w:lang w:val="en-US" w:eastAsia="zh-CN" w:bidi="ar-SA"/>
                    </w:rPr>
                  </w:pPr>
                </w:p>
              </w:tc>
              <w:tc>
                <w:tcPr>
                  <w:tcW w:w="331" w:type="pct"/>
                  <w:shd w:val="clear" w:color="auto" w:fill="FFFFFF"/>
                  <w:vAlign w:val="center"/>
                </w:tcPr>
                <w:p w14:paraId="575D0E49">
                  <w:pPr>
                    <w:pStyle w:val="71"/>
                    <w:spacing w:line="220" w:lineRule="exact"/>
                    <w:jc w:val="center"/>
                    <w:rPr>
                      <w:rFonts w:hint="default" w:ascii="Times New Roman" w:hAnsi="Times New Roman" w:eastAsia="宋体" w:cs="Times New Roman"/>
                      <w:color w:val="auto"/>
                      <w:spacing w:val="-17"/>
                      <w:sz w:val="18"/>
                      <w:szCs w:val="18"/>
                      <w:highlight w:val="none"/>
                      <w:lang w:val="en-US" w:eastAsia="zh-CN"/>
                    </w:rPr>
                  </w:pPr>
                  <w:r>
                    <w:rPr>
                      <w:rFonts w:hint="eastAsia" w:ascii="Times New Roman" w:hAnsi="Times New Roman" w:eastAsia="宋体" w:cs="Times New Roman"/>
                      <w:color w:val="auto"/>
                      <w:spacing w:val="-17"/>
                      <w:sz w:val="18"/>
                      <w:szCs w:val="18"/>
                      <w:highlight w:val="none"/>
                      <w:lang w:val="en-US" w:eastAsia="zh-CN"/>
                    </w:rPr>
                    <w:t>31.0</w:t>
                  </w:r>
                </w:p>
              </w:tc>
              <w:tc>
                <w:tcPr>
                  <w:tcW w:w="397" w:type="dxa"/>
                  <w:shd w:val="clear" w:color="auto" w:fill="FFFFFF"/>
                  <w:vAlign w:val="bottom"/>
                </w:tcPr>
                <w:p w14:paraId="71A795B2">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28</w:t>
                  </w:r>
                </w:p>
              </w:tc>
              <w:tc>
                <w:tcPr>
                  <w:tcW w:w="439" w:type="dxa"/>
                  <w:shd w:val="clear" w:color="auto" w:fill="FFFFFF"/>
                  <w:vAlign w:val="bottom"/>
                </w:tcPr>
                <w:p w14:paraId="57588D21">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27.1</w:t>
                  </w:r>
                </w:p>
              </w:tc>
              <w:tc>
                <w:tcPr>
                  <w:tcW w:w="418" w:type="dxa"/>
                  <w:shd w:val="clear" w:color="auto" w:fill="FFFFFF"/>
                  <w:vAlign w:val="bottom"/>
                </w:tcPr>
                <w:p w14:paraId="713BC50D">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27.1</w:t>
                  </w:r>
                </w:p>
              </w:tc>
              <w:tc>
                <w:tcPr>
                  <w:tcW w:w="396" w:type="dxa"/>
                  <w:shd w:val="clear" w:color="auto" w:fill="FFFFFF"/>
                  <w:vAlign w:val="bottom"/>
                </w:tcPr>
                <w:p w14:paraId="6B7A7CC0">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28.9</w:t>
                  </w:r>
                </w:p>
              </w:tc>
              <w:tc>
                <w:tcPr>
                  <w:tcW w:w="411" w:type="pct"/>
                  <w:shd w:val="clear" w:color="auto" w:fill="FFFFFF"/>
                  <w:vAlign w:val="center"/>
                </w:tcPr>
                <w:p w14:paraId="2DA26390">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eastAsia" w:ascii="Times New Roman" w:hAnsi="Times New Roman" w:eastAsia="宋体" w:cs="Times New Roman"/>
                      <w:color w:val="auto"/>
                      <w:spacing w:val="-17"/>
                      <w:sz w:val="18"/>
                      <w:szCs w:val="18"/>
                      <w:highlight w:val="none"/>
                      <w:lang w:val="en-US" w:eastAsia="zh-CN"/>
                    </w:rPr>
                    <w:t>1</w:t>
                  </w:r>
                </w:p>
              </w:tc>
            </w:tr>
            <w:tr w14:paraId="65C4B9C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1" w:hRule="exact"/>
                <w:jc w:val="center"/>
              </w:trPr>
              <w:tc>
                <w:tcPr>
                  <w:tcW w:w="176" w:type="pct"/>
                  <w:shd w:val="clear" w:color="auto" w:fill="auto"/>
                  <w:vAlign w:val="center"/>
                </w:tcPr>
                <w:p w14:paraId="6D9C0E72">
                  <w:pPr>
                    <w:spacing w:line="220" w:lineRule="exact"/>
                    <w:jc w:val="center"/>
                    <w:rPr>
                      <w:rFonts w:hint="eastAsia" w:ascii="Times New Roman" w:hAnsi="Times New Roman" w:eastAsia="宋体" w:cs="Times New Roman"/>
                      <w:color w:val="auto"/>
                      <w:spacing w:val="-17"/>
                      <w:kern w:val="2"/>
                      <w:sz w:val="18"/>
                      <w:szCs w:val="18"/>
                      <w:highlight w:val="none"/>
                      <w:lang w:val="en-US" w:eastAsia="zh-CN" w:bidi="ar-SA"/>
                    </w:rPr>
                  </w:pPr>
                  <w:r>
                    <w:rPr>
                      <w:rFonts w:hint="eastAsia" w:cs="Times New Roman"/>
                      <w:color w:val="auto"/>
                      <w:spacing w:val="-17"/>
                      <w:sz w:val="18"/>
                      <w:szCs w:val="18"/>
                      <w:highlight w:val="none"/>
                      <w:lang w:val="en-US" w:eastAsia="zh-CN"/>
                    </w:rPr>
                    <w:t>21</w:t>
                  </w:r>
                </w:p>
              </w:tc>
              <w:tc>
                <w:tcPr>
                  <w:tcW w:w="176" w:type="pct"/>
                  <w:vMerge w:val="continue"/>
                  <w:vAlign w:val="center"/>
                </w:tcPr>
                <w:p w14:paraId="0E904916">
                  <w:pPr>
                    <w:spacing w:line="220" w:lineRule="exact"/>
                    <w:jc w:val="center"/>
                    <w:rPr>
                      <w:rFonts w:hint="eastAsia" w:ascii="Times New Roman" w:hAnsi="Times New Roman" w:cs="Times New Roman"/>
                      <w:color w:val="auto"/>
                      <w:spacing w:val="-17"/>
                      <w:kern w:val="2"/>
                      <w:sz w:val="18"/>
                      <w:szCs w:val="18"/>
                      <w:lang w:val="en-US" w:eastAsia="zh-CN" w:bidi="ar-SA"/>
                    </w:rPr>
                  </w:pPr>
                </w:p>
              </w:tc>
              <w:tc>
                <w:tcPr>
                  <w:tcW w:w="211" w:type="pct"/>
                  <w:vMerge w:val="continue"/>
                  <w:vAlign w:val="center"/>
                </w:tcPr>
                <w:p w14:paraId="1CB0CBB8">
                  <w:pPr>
                    <w:spacing w:line="220" w:lineRule="exact"/>
                    <w:jc w:val="center"/>
                    <w:rPr>
                      <w:rFonts w:hint="eastAsia" w:ascii="Times New Roman" w:hAnsi="Times New Roman" w:cs="Times New Roman"/>
                      <w:color w:val="auto"/>
                      <w:spacing w:val="-17"/>
                      <w:sz w:val="18"/>
                      <w:szCs w:val="18"/>
                      <w:lang w:val="en-US" w:eastAsia="zh-CN"/>
                    </w:rPr>
                  </w:pPr>
                </w:p>
              </w:tc>
              <w:tc>
                <w:tcPr>
                  <w:tcW w:w="379" w:type="pct"/>
                  <w:shd w:val="clear" w:color="auto" w:fill="auto"/>
                  <w:vAlign w:val="center"/>
                </w:tcPr>
                <w:p w14:paraId="054C32BF">
                  <w:pPr>
                    <w:pStyle w:val="71"/>
                    <w:spacing w:line="220" w:lineRule="exact"/>
                    <w:jc w:val="center"/>
                    <w:rPr>
                      <w:rFonts w:hint="eastAsia" w:ascii="Times New Roman" w:hAnsi="Times New Roman" w:eastAsia="宋体" w:cs="Times New Roman"/>
                      <w:color w:val="auto"/>
                      <w:spacing w:val="-17"/>
                      <w:kern w:val="0"/>
                      <w:sz w:val="18"/>
                      <w:szCs w:val="18"/>
                      <w:highlight w:val="none"/>
                      <w:lang w:val="en-US" w:eastAsia="zh-CN" w:bidi="ar-SA"/>
                    </w:rPr>
                  </w:pPr>
                  <w:r>
                    <w:rPr>
                      <w:rFonts w:hint="eastAsia" w:ascii="Times New Roman" w:hAnsi="Times New Roman" w:cs="Times New Roman"/>
                      <w:color w:val="auto"/>
                      <w:spacing w:val="-17"/>
                      <w:sz w:val="18"/>
                      <w:szCs w:val="18"/>
                      <w:highlight w:val="none"/>
                      <w:lang w:val="en-US" w:eastAsia="zh-CN"/>
                    </w:rPr>
                    <w:t>1</w:t>
                  </w:r>
                  <w:r>
                    <w:rPr>
                      <w:rFonts w:hint="eastAsia" w:ascii="Times New Roman" w:hAnsi="Times New Roman" w:eastAsia="宋体" w:cs="Times New Roman"/>
                      <w:color w:val="auto"/>
                      <w:spacing w:val="-17"/>
                      <w:sz w:val="18"/>
                      <w:szCs w:val="18"/>
                      <w:highlight w:val="none"/>
                      <w:vertAlign w:val="superscript"/>
                      <w:lang w:val="en-US" w:eastAsia="zh-CN"/>
                    </w:rPr>
                    <w:t>#</w:t>
                  </w:r>
                  <w:r>
                    <w:rPr>
                      <w:rFonts w:hint="eastAsia" w:ascii="Times New Roman" w:hAnsi="Times New Roman" w:eastAsia="宋体" w:cs="Times New Roman"/>
                      <w:color w:val="auto"/>
                      <w:spacing w:val="-17"/>
                      <w:sz w:val="18"/>
                      <w:szCs w:val="18"/>
                      <w:highlight w:val="none"/>
                      <w:lang w:val="en-US" w:eastAsia="zh-CN"/>
                    </w:rPr>
                    <w:t>磁选机</w:t>
                  </w:r>
                </w:p>
              </w:tc>
              <w:tc>
                <w:tcPr>
                  <w:tcW w:w="193" w:type="pct"/>
                  <w:shd w:val="clear" w:color="auto" w:fill="auto"/>
                  <w:vAlign w:val="center"/>
                </w:tcPr>
                <w:p w14:paraId="6C6082E6">
                  <w:pPr>
                    <w:pStyle w:val="71"/>
                    <w:spacing w:line="220" w:lineRule="exact"/>
                    <w:jc w:val="center"/>
                    <w:rPr>
                      <w:rFonts w:hint="eastAsia" w:ascii="Times New Roman" w:hAnsi="Times New Roman" w:eastAsia="宋体" w:cs="Times New Roman"/>
                      <w:color w:val="auto"/>
                      <w:spacing w:val="-17"/>
                      <w:kern w:val="0"/>
                      <w:sz w:val="18"/>
                      <w:szCs w:val="18"/>
                      <w:highlight w:val="none"/>
                      <w:lang w:val="en-US" w:eastAsia="zh-CN" w:bidi="ar-SA"/>
                    </w:rPr>
                  </w:pPr>
                  <w:r>
                    <w:rPr>
                      <w:rFonts w:hint="eastAsia" w:ascii="Times New Roman" w:hAnsi="Times New Roman" w:eastAsia="宋体" w:cs="Times New Roman"/>
                      <w:color w:val="auto"/>
                      <w:spacing w:val="-17"/>
                      <w:sz w:val="18"/>
                      <w:szCs w:val="18"/>
                      <w:highlight w:val="none"/>
                      <w:lang w:val="en-US" w:eastAsia="zh-CN"/>
                    </w:rPr>
                    <w:t>1</w:t>
                  </w:r>
                </w:p>
              </w:tc>
              <w:tc>
                <w:tcPr>
                  <w:tcW w:w="250" w:type="pct"/>
                  <w:shd w:val="clear" w:color="auto" w:fill="auto"/>
                  <w:vAlign w:val="bottom"/>
                </w:tcPr>
                <w:p w14:paraId="4E768A56">
                  <w:pPr>
                    <w:pStyle w:val="71"/>
                    <w:spacing w:line="220" w:lineRule="exact"/>
                    <w:jc w:val="center"/>
                    <w:rPr>
                      <w:rFonts w:hint="default"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75</w:t>
                  </w:r>
                </w:p>
              </w:tc>
              <w:tc>
                <w:tcPr>
                  <w:tcW w:w="314" w:type="pct"/>
                  <w:vMerge w:val="continue"/>
                  <w:vAlign w:val="center"/>
                </w:tcPr>
                <w:p w14:paraId="52897019">
                  <w:pPr>
                    <w:spacing w:line="220" w:lineRule="exact"/>
                    <w:jc w:val="center"/>
                    <w:rPr>
                      <w:rFonts w:hint="eastAsia"/>
                      <w:color w:val="auto"/>
                      <w:spacing w:val="-17"/>
                      <w:sz w:val="18"/>
                      <w:szCs w:val="18"/>
                      <w:lang w:val="en-US" w:eastAsia="zh-CN"/>
                    </w:rPr>
                  </w:pPr>
                </w:p>
              </w:tc>
              <w:tc>
                <w:tcPr>
                  <w:tcW w:w="428" w:type="dxa"/>
                  <w:shd w:val="clear" w:color="auto" w:fill="FFFFFF"/>
                  <w:vAlign w:val="bottom"/>
                </w:tcPr>
                <w:p w14:paraId="58C055A5">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30.2</w:t>
                  </w:r>
                </w:p>
              </w:tc>
              <w:tc>
                <w:tcPr>
                  <w:tcW w:w="504" w:type="dxa"/>
                  <w:shd w:val="clear" w:color="auto" w:fill="FFFFFF"/>
                  <w:vAlign w:val="bottom"/>
                </w:tcPr>
                <w:p w14:paraId="5FB0C9ED">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47.8</w:t>
                  </w:r>
                </w:p>
              </w:tc>
              <w:tc>
                <w:tcPr>
                  <w:tcW w:w="503" w:type="dxa"/>
                  <w:shd w:val="clear" w:color="auto" w:fill="FFFFFF"/>
                  <w:vAlign w:val="bottom"/>
                </w:tcPr>
                <w:p w14:paraId="3BD38921">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30.2</w:t>
                  </w:r>
                </w:p>
              </w:tc>
              <w:tc>
                <w:tcPr>
                  <w:tcW w:w="525" w:type="dxa"/>
                  <w:shd w:val="clear" w:color="auto" w:fill="FFFFFF"/>
                  <w:vAlign w:val="bottom"/>
                </w:tcPr>
                <w:p w14:paraId="3B8612B2">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10.2</w:t>
                  </w:r>
                </w:p>
              </w:tc>
              <w:tc>
                <w:tcPr>
                  <w:tcW w:w="483" w:type="dxa"/>
                  <w:shd w:val="clear" w:color="auto" w:fill="FFFFFF"/>
                  <w:vAlign w:val="bottom"/>
                </w:tcPr>
                <w:p w14:paraId="2574510B">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43.4</w:t>
                  </w:r>
                </w:p>
              </w:tc>
              <w:tc>
                <w:tcPr>
                  <w:tcW w:w="482" w:type="dxa"/>
                  <w:shd w:val="clear" w:color="auto" w:fill="FFFFFF"/>
                  <w:vAlign w:val="bottom"/>
                </w:tcPr>
                <w:p w14:paraId="6CC96058">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43.1</w:t>
                  </w:r>
                </w:p>
              </w:tc>
              <w:tc>
                <w:tcPr>
                  <w:tcW w:w="546" w:type="dxa"/>
                  <w:shd w:val="clear" w:color="auto" w:fill="FFFFFF"/>
                  <w:vAlign w:val="bottom"/>
                </w:tcPr>
                <w:p w14:paraId="52D2D652">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43.4</w:t>
                  </w:r>
                </w:p>
              </w:tc>
              <w:tc>
                <w:tcPr>
                  <w:tcW w:w="579" w:type="dxa"/>
                  <w:vAlign w:val="bottom"/>
                </w:tcPr>
                <w:p w14:paraId="526F739C">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46.4</w:t>
                  </w:r>
                </w:p>
              </w:tc>
              <w:tc>
                <w:tcPr>
                  <w:tcW w:w="262" w:type="pct"/>
                  <w:vMerge w:val="continue"/>
                  <w:vAlign w:val="center"/>
                </w:tcPr>
                <w:p w14:paraId="615953A7">
                  <w:pPr>
                    <w:pStyle w:val="71"/>
                    <w:spacing w:line="220" w:lineRule="exact"/>
                    <w:jc w:val="center"/>
                    <w:rPr>
                      <w:rFonts w:hint="default" w:ascii="Times New Roman" w:hAnsi="Times New Roman" w:eastAsia="宋体" w:cs="Calibri"/>
                      <w:color w:val="auto"/>
                      <w:spacing w:val="-17"/>
                      <w:kern w:val="0"/>
                      <w:sz w:val="18"/>
                      <w:szCs w:val="18"/>
                      <w:lang w:val="en-US" w:eastAsia="zh-CN" w:bidi="ar-SA"/>
                    </w:rPr>
                  </w:pPr>
                </w:p>
              </w:tc>
              <w:tc>
                <w:tcPr>
                  <w:tcW w:w="331" w:type="pct"/>
                  <w:shd w:val="clear" w:color="auto" w:fill="FFFFFF"/>
                  <w:vAlign w:val="center"/>
                </w:tcPr>
                <w:p w14:paraId="0A91581E">
                  <w:pPr>
                    <w:pStyle w:val="71"/>
                    <w:spacing w:line="220" w:lineRule="exact"/>
                    <w:jc w:val="center"/>
                    <w:rPr>
                      <w:rFonts w:hint="default" w:ascii="Times New Roman" w:hAnsi="Times New Roman" w:eastAsia="宋体" w:cs="Times New Roman"/>
                      <w:color w:val="auto"/>
                      <w:spacing w:val="-17"/>
                      <w:sz w:val="18"/>
                      <w:szCs w:val="18"/>
                      <w:highlight w:val="none"/>
                      <w:lang w:val="en-US" w:eastAsia="zh-CN"/>
                    </w:rPr>
                  </w:pPr>
                  <w:r>
                    <w:rPr>
                      <w:rFonts w:hint="eastAsia" w:ascii="Times New Roman" w:hAnsi="Times New Roman" w:eastAsia="宋体" w:cs="Times New Roman"/>
                      <w:color w:val="auto"/>
                      <w:spacing w:val="-17"/>
                      <w:sz w:val="18"/>
                      <w:szCs w:val="18"/>
                      <w:highlight w:val="none"/>
                      <w:lang w:val="en-US" w:eastAsia="zh-CN"/>
                    </w:rPr>
                    <w:t>31.0</w:t>
                  </w:r>
                </w:p>
              </w:tc>
              <w:tc>
                <w:tcPr>
                  <w:tcW w:w="397" w:type="dxa"/>
                  <w:shd w:val="clear" w:color="auto" w:fill="FFFFFF"/>
                  <w:vAlign w:val="bottom"/>
                </w:tcPr>
                <w:p w14:paraId="4F05A232">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12.4</w:t>
                  </w:r>
                </w:p>
              </w:tc>
              <w:tc>
                <w:tcPr>
                  <w:tcW w:w="439" w:type="dxa"/>
                  <w:shd w:val="clear" w:color="auto" w:fill="FFFFFF"/>
                  <w:vAlign w:val="bottom"/>
                </w:tcPr>
                <w:p w14:paraId="4CFFFDC4">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12.1</w:t>
                  </w:r>
                </w:p>
              </w:tc>
              <w:tc>
                <w:tcPr>
                  <w:tcW w:w="418" w:type="dxa"/>
                  <w:shd w:val="clear" w:color="auto" w:fill="FFFFFF"/>
                  <w:vAlign w:val="bottom"/>
                </w:tcPr>
                <w:p w14:paraId="57D3F697">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12.4</w:t>
                  </w:r>
                </w:p>
              </w:tc>
              <w:tc>
                <w:tcPr>
                  <w:tcW w:w="396" w:type="dxa"/>
                  <w:shd w:val="clear" w:color="auto" w:fill="FFFFFF"/>
                  <w:vAlign w:val="bottom"/>
                </w:tcPr>
                <w:p w14:paraId="0700E645">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15.4</w:t>
                  </w:r>
                </w:p>
              </w:tc>
              <w:tc>
                <w:tcPr>
                  <w:tcW w:w="411" w:type="pct"/>
                  <w:shd w:val="clear" w:color="auto" w:fill="FFFFFF"/>
                  <w:vAlign w:val="center"/>
                </w:tcPr>
                <w:p w14:paraId="4AEF54C8">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eastAsia" w:ascii="Times New Roman" w:hAnsi="Times New Roman" w:eastAsia="宋体" w:cs="Times New Roman"/>
                      <w:color w:val="auto"/>
                      <w:spacing w:val="-17"/>
                      <w:sz w:val="18"/>
                      <w:szCs w:val="18"/>
                      <w:highlight w:val="none"/>
                      <w:lang w:val="en-US" w:eastAsia="zh-CN"/>
                    </w:rPr>
                    <w:t>1</w:t>
                  </w:r>
                </w:p>
              </w:tc>
            </w:tr>
            <w:tr w14:paraId="7FBD294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1" w:hRule="exact"/>
                <w:jc w:val="center"/>
              </w:trPr>
              <w:tc>
                <w:tcPr>
                  <w:tcW w:w="176" w:type="pct"/>
                  <w:shd w:val="clear" w:color="auto" w:fill="auto"/>
                  <w:vAlign w:val="center"/>
                </w:tcPr>
                <w:p w14:paraId="52BD9245">
                  <w:pPr>
                    <w:spacing w:line="220" w:lineRule="exact"/>
                    <w:jc w:val="center"/>
                    <w:rPr>
                      <w:rFonts w:hint="eastAsia" w:ascii="Times New Roman" w:hAnsi="Times New Roman" w:eastAsia="宋体" w:cs="Times New Roman"/>
                      <w:color w:val="auto"/>
                      <w:spacing w:val="-17"/>
                      <w:kern w:val="2"/>
                      <w:sz w:val="18"/>
                      <w:szCs w:val="18"/>
                      <w:highlight w:val="none"/>
                      <w:lang w:val="en-US" w:eastAsia="zh-CN" w:bidi="ar-SA"/>
                    </w:rPr>
                  </w:pPr>
                  <w:r>
                    <w:rPr>
                      <w:rFonts w:hint="eastAsia" w:cs="Times New Roman"/>
                      <w:color w:val="auto"/>
                      <w:spacing w:val="-17"/>
                      <w:sz w:val="18"/>
                      <w:szCs w:val="18"/>
                      <w:highlight w:val="none"/>
                      <w:lang w:val="en-US" w:eastAsia="zh-CN"/>
                    </w:rPr>
                    <w:t>22</w:t>
                  </w:r>
                </w:p>
              </w:tc>
              <w:tc>
                <w:tcPr>
                  <w:tcW w:w="176" w:type="pct"/>
                  <w:vMerge w:val="continue"/>
                  <w:vAlign w:val="center"/>
                </w:tcPr>
                <w:p w14:paraId="45223011">
                  <w:pPr>
                    <w:spacing w:line="220" w:lineRule="exact"/>
                    <w:jc w:val="center"/>
                    <w:rPr>
                      <w:rFonts w:hint="eastAsia" w:ascii="Times New Roman" w:hAnsi="Times New Roman" w:cs="Times New Roman"/>
                      <w:color w:val="auto"/>
                      <w:spacing w:val="-17"/>
                      <w:kern w:val="2"/>
                      <w:sz w:val="18"/>
                      <w:szCs w:val="18"/>
                      <w:lang w:val="en-US" w:eastAsia="zh-CN" w:bidi="ar-SA"/>
                    </w:rPr>
                  </w:pPr>
                </w:p>
              </w:tc>
              <w:tc>
                <w:tcPr>
                  <w:tcW w:w="211" w:type="pct"/>
                  <w:vMerge w:val="continue"/>
                  <w:vAlign w:val="center"/>
                </w:tcPr>
                <w:p w14:paraId="5988FFDD">
                  <w:pPr>
                    <w:spacing w:line="220" w:lineRule="exact"/>
                    <w:jc w:val="center"/>
                    <w:rPr>
                      <w:rFonts w:hint="eastAsia" w:ascii="Times New Roman" w:hAnsi="Times New Roman" w:cs="Times New Roman"/>
                      <w:color w:val="auto"/>
                      <w:spacing w:val="-17"/>
                      <w:sz w:val="18"/>
                      <w:szCs w:val="18"/>
                      <w:lang w:val="en-US" w:eastAsia="zh-CN"/>
                    </w:rPr>
                  </w:pPr>
                </w:p>
              </w:tc>
              <w:tc>
                <w:tcPr>
                  <w:tcW w:w="379" w:type="pct"/>
                  <w:shd w:val="clear" w:color="auto" w:fill="auto"/>
                  <w:vAlign w:val="center"/>
                </w:tcPr>
                <w:p w14:paraId="483FCB69">
                  <w:pPr>
                    <w:pStyle w:val="71"/>
                    <w:spacing w:line="220" w:lineRule="exact"/>
                    <w:jc w:val="center"/>
                    <w:rPr>
                      <w:rFonts w:hint="eastAsia" w:ascii="Times New Roman" w:hAnsi="Times New Roman" w:eastAsia="宋体" w:cs="Times New Roman"/>
                      <w:color w:val="auto"/>
                      <w:spacing w:val="-17"/>
                      <w:kern w:val="0"/>
                      <w:sz w:val="18"/>
                      <w:szCs w:val="18"/>
                      <w:highlight w:val="none"/>
                      <w:lang w:val="en-US" w:eastAsia="zh-CN" w:bidi="ar-SA"/>
                    </w:rPr>
                  </w:pPr>
                  <w:r>
                    <w:rPr>
                      <w:rFonts w:hint="eastAsia" w:ascii="Times New Roman" w:hAnsi="Times New Roman" w:cs="Times New Roman"/>
                      <w:color w:val="auto"/>
                      <w:spacing w:val="-17"/>
                      <w:sz w:val="18"/>
                      <w:szCs w:val="18"/>
                      <w:highlight w:val="none"/>
                      <w:lang w:val="en-US" w:eastAsia="zh-CN"/>
                    </w:rPr>
                    <w:t>2</w:t>
                  </w:r>
                  <w:r>
                    <w:rPr>
                      <w:rFonts w:hint="eastAsia" w:ascii="Times New Roman" w:hAnsi="Times New Roman" w:eastAsia="宋体" w:cs="Times New Roman"/>
                      <w:color w:val="auto"/>
                      <w:spacing w:val="-17"/>
                      <w:sz w:val="18"/>
                      <w:szCs w:val="18"/>
                      <w:highlight w:val="none"/>
                      <w:vertAlign w:val="superscript"/>
                      <w:lang w:val="en-US" w:eastAsia="zh-CN"/>
                    </w:rPr>
                    <w:t>#</w:t>
                  </w:r>
                  <w:r>
                    <w:rPr>
                      <w:rFonts w:hint="eastAsia" w:ascii="Times New Roman" w:hAnsi="Times New Roman" w:eastAsia="宋体" w:cs="Times New Roman"/>
                      <w:color w:val="auto"/>
                      <w:spacing w:val="-17"/>
                      <w:sz w:val="18"/>
                      <w:szCs w:val="18"/>
                      <w:highlight w:val="none"/>
                      <w:lang w:val="en-US" w:eastAsia="zh-CN"/>
                    </w:rPr>
                    <w:t>磁选机</w:t>
                  </w:r>
                </w:p>
              </w:tc>
              <w:tc>
                <w:tcPr>
                  <w:tcW w:w="193" w:type="pct"/>
                  <w:shd w:val="clear" w:color="auto" w:fill="auto"/>
                  <w:vAlign w:val="center"/>
                </w:tcPr>
                <w:p w14:paraId="11332C26">
                  <w:pPr>
                    <w:pStyle w:val="71"/>
                    <w:spacing w:line="220" w:lineRule="exact"/>
                    <w:jc w:val="center"/>
                    <w:rPr>
                      <w:rFonts w:hint="eastAsia" w:ascii="Times New Roman" w:hAnsi="Times New Roman" w:eastAsia="宋体" w:cs="Times New Roman"/>
                      <w:color w:val="auto"/>
                      <w:spacing w:val="-17"/>
                      <w:kern w:val="0"/>
                      <w:sz w:val="18"/>
                      <w:szCs w:val="18"/>
                      <w:highlight w:val="none"/>
                      <w:lang w:val="en-US" w:eastAsia="zh-CN" w:bidi="ar-SA"/>
                    </w:rPr>
                  </w:pPr>
                  <w:r>
                    <w:rPr>
                      <w:rFonts w:hint="eastAsia" w:ascii="Times New Roman" w:hAnsi="Times New Roman" w:eastAsia="宋体" w:cs="Times New Roman"/>
                      <w:color w:val="auto"/>
                      <w:spacing w:val="-17"/>
                      <w:sz w:val="18"/>
                      <w:szCs w:val="18"/>
                      <w:highlight w:val="none"/>
                      <w:lang w:val="en-US" w:eastAsia="zh-CN"/>
                    </w:rPr>
                    <w:t>1</w:t>
                  </w:r>
                </w:p>
              </w:tc>
              <w:tc>
                <w:tcPr>
                  <w:tcW w:w="250" w:type="pct"/>
                  <w:shd w:val="clear" w:color="auto" w:fill="auto"/>
                  <w:vAlign w:val="bottom"/>
                </w:tcPr>
                <w:p w14:paraId="570A7F9E">
                  <w:pPr>
                    <w:pStyle w:val="71"/>
                    <w:spacing w:line="220" w:lineRule="exact"/>
                    <w:jc w:val="center"/>
                    <w:rPr>
                      <w:rFonts w:hint="default"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75</w:t>
                  </w:r>
                </w:p>
              </w:tc>
              <w:tc>
                <w:tcPr>
                  <w:tcW w:w="314" w:type="pct"/>
                  <w:vMerge w:val="continue"/>
                  <w:vAlign w:val="center"/>
                </w:tcPr>
                <w:p w14:paraId="7B54C288">
                  <w:pPr>
                    <w:spacing w:line="220" w:lineRule="exact"/>
                    <w:jc w:val="center"/>
                    <w:rPr>
                      <w:rFonts w:hint="eastAsia"/>
                      <w:color w:val="auto"/>
                      <w:spacing w:val="-17"/>
                      <w:sz w:val="18"/>
                      <w:szCs w:val="18"/>
                      <w:lang w:val="en-US" w:eastAsia="zh-CN"/>
                    </w:rPr>
                  </w:pPr>
                </w:p>
              </w:tc>
              <w:tc>
                <w:tcPr>
                  <w:tcW w:w="428" w:type="dxa"/>
                  <w:shd w:val="clear" w:color="auto" w:fill="FFFFFF"/>
                  <w:vAlign w:val="bottom"/>
                </w:tcPr>
                <w:p w14:paraId="501B7AD1">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20.2</w:t>
                  </w:r>
                </w:p>
              </w:tc>
              <w:tc>
                <w:tcPr>
                  <w:tcW w:w="504" w:type="dxa"/>
                  <w:shd w:val="clear" w:color="auto" w:fill="FFFFFF"/>
                  <w:vAlign w:val="bottom"/>
                </w:tcPr>
                <w:p w14:paraId="247F7651">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46.8</w:t>
                  </w:r>
                </w:p>
              </w:tc>
              <w:tc>
                <w:tcPr>
                  <w:tcW w:w="503" w:type="dxa"/>
                  <w:shd w:val="clear" w:color="auto" w:fill="FFFFFF"/>
                  <w:vAlign w:val="bottom"/>
                </w:tcPr>
                <w:p w14:paraId="3B65E8F9">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40.2</w:t>
                  </w:r>
                </w:p>
              </w:tc>
              <w:tc>
                <w:tcPr>
                  <w:tcW w:w="525" w:type="dxa"/>
                  <w:shd w:val="clear" w:color="auto" w:fill="FFFFFF"/>
                  <w:vAlign w:val="bottom"/>
                </w:tcPr>
                <w:p w14:paraId="722EEF25">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11.3</w:t>
                  </w:r>
                </w:p>
              </w:tc>
              <w:tc>
                <w:tcPr>
                  <w:tcW w:w="483" w:type="dxa"/>
                  <w:shd w:val="clear" w:color="auto" w:fill="FFFFFF"/>
                  <w:vAlign w:val="bottom"/>
                </w:tcPr>
                <w:p w14:paraId="11446900">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44</w:t>
                  </w:r>
                </w:p>
              </w:tc>
              <w:tc>
                <w:tcPr>
                  <w:tcW w:w="482" w:type="dxa"/>
                  <w:shd w:val="clear" w:color="auto" w:fill="FFFFFF"/>
                  <w:vAlign w:val="bottom"/>
                </w:tcPr>
                <w:p w14:paraId="35154DC7">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43.1</w:t>
                  </w:r>
                </w:p>
              </w:tc>
              <w:tc>
                <w:tcPr>
                  <w:tcW w:w="546" w:type="dxa"/>
                  <w:shd w:val="clear" w:color="auto" w:fill="FFFFFF"/>
                  <w:vAlign w:val="bottom"/>
                </w:tcPr>
                <w:p w14:paraId="407C5BAE">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43.1</w:t>
                  </w:r>
                </w:p>
              </w:tc>
              <w:tc>
                <w:tcPr>
                  <w:tcW w:w="579" w:type="dxa"/>
                  <w:vAlign w:val="bottom"/>
                </w:tcPr>
                <w:p w14:paraId="0F1B4563">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45.9</w:t>
                  </w:r>
                </w:p>
              </w:tc>
              <w:tc>
                <w:tcPr>
                  <w:tcW w:w="262" w:type="pct"/>
                  <w:vMerge w:val="continue"/>
                  <w:vAlign w:val="center"/>
                </w:tcPr>
                <w:p w14:paraId="391EC758">
                  <w:pPr>
                    <w:pStyle w:val="71"/>
                    <w:spacing w:line="220" w:lineRule="exact"/>
                    <w:jc w:val="center"/>
                    <w:rPr>
                      <w:rFonts w:hint="default" w:ascii="Times New Roman" w:hAnsi="Times New Roman" w:eastAsia="宋体" w:cs="Calibri"/>
                      <w:color w:val="auto"/>
                      <w:spacing w:val="-17"/>
                      <w:kern w:val="0"/>
                      <w:sz w:val="18"/>
                      <w:szCs w:val="18"/>
                      <w:lang w:val="en-US" w:eastAsia="zh-CN" w:bidi="ar-SA"/>
                    </w:rPr>
                  </w:pPr>
                </w:p>
              </w:tc>
              <w:tc>
                <w:tcPr>
                  <w:tcW w:w="331" w:type="pct"/>
                  <w:shd w:val="clear" w:color="auto" w:fill="FFFFFF"/>
                  <w:vAlign w:val="center"/>
                </w:tcPr>
                <w:p w14:paraId="3561DBD2">
                  <w:pPr>
                    <w:pStyle w:val="71"/>
                    <w:spacing w:line="220" w:lineRule="exact"/>
                    <w:jc w:val="center"/>
                    <w:rPr>
                      <w:rFonts w:hint="default" w:ascii="Times New Roman" w:hAnsi="Times New Roman" w:eastAsia="宋体" w:cs="Times New Roman"/>
                      <w:color w:val="auto"/>
                      <w:spacing w:val="-17"/>
                      <w:sz w:val="18"/>
                      <w:szCs w:val="18"/>
                      <w:highlight w:val="none"/>
                      <w:lang w:val="en-US" w:eastAsia="zh-CN"/>
                    </w:rPr>
                  </w:pPr>
                  <w:r>
                    <w:rPr>
                      <w:rFonts w:hint="eastAsia" w:ascii="Times New Roman" w:hAnsi="Times New Roman" w:eastAsia="宋体" w:cs="Times New Roman"/>
                      <w:color w:val="auto"/>
                      <w:spacing w:val="-17"/>
                      <w:sz w:val="18"/>
                      <w:szCs w:val="18"/>
                      <w:highlight w:val="none"/>
                      <w:lang w:val="en-US" w:eastAsia="zh-CN"/>
                    </w:rPr>
                    <w:t>31.0</w:t>
                  </w:r>
                </w:p>
              </w:tc>
              <w:tc>
                <w:tcPr>
                  <w:tcW w:w="397" w:type="dxa"/>
                  <w:shd w:val="clear" w:color="auto" w:fill="FFFFFF"/>
                  <w:vAlign w:val="bottom"/>
                </w:tcPr>
                <w:p w14:paraId="352E69C4">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13</w:t>
                  </w:r>
                </w:p>
              </w:tc>
              <w:tc>
                <w:tcPr>
                  <w:tcW w:w="439" w:type="dxa"/>
                  <w:shd w:val="clear" w:color="auto" w:fill="FFFFFF"/>
                  <w:vAlign w:val="bottom"/>
                </w:tcPr>
                <w:p w14:paraId="55CFE945">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12.1</w:t>
                  </w:r>
                </w:p>
              </w:tc>
              <w:tc>
                <w:tcPr>
                  <w:tcW w:w="418" w:type="dxa"/>
                  <w:shd w:val="clear" w:color="auto" w:fill="FFFFFF"/>
                  <w:vAlign w:val="bottom"/>
                </w:tcPr>
                <w:p w14:paraId="1A7279D2">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12.1</w:t>
                  </w:r>
                </w:p>
              </w:tc>
              <w:tc>
                <w:tcPr>
                  <w:tcW w:w="396" w:type="dxa"/>
                  <w:shd w:val="clear" w:color="auto" w:fill="FFFFFF"/>
                  <w:vAlign w:val="bottom"/>
                </w:tcPr>
                <w:p w14:paraId="0E47FE72">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14.9</w:t>
                  </w:r>
                </w:p>
              </w:tc>
              <w:tc>
                <w:tcPr>
                  <w:tcW w:w="411" w:type="pct"/>
                  <w:shd w:val="clear" w:color="auto" w:fill="FFFFFF"/>
                  <w:vAlign w:val="center"/>
                </w:tcPr>
                <w:p w14:paraId="1F4A5B5D">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eastAsia" w:ascii="Times New Roman" w:hAnsi="Times New Roman" w:eastAsia="宋体" w:cs="Times New Roman"/>
                      <w:color w:val="auto"/>
                      <w:spacing w:val="-17"/>
                      <w:sz w:val="18"/>
                      <w:szCs w:val="18"/>
                      <w:highlight w:val="none"/>
                      <w:lang w:val="en-US" w:eastAsia="zh-CN"/>
                    </w:rPr>
                    <w:t>1</w:t>
                  </w:r>
                </w:p>
              </w:tc>
            </w:tr>
          </w:tbl>
          <w:p w14:paraId="1ED32E23">
            <w:pPr>
              <w:tabs>
                <w:tab w:val="left" w:pos="4253"/>
              </w:tabs>
              <w:spacing w:line="440" w:lineRule="exact"/>
              <w:jc w:val="center"/>
              <w:rPr>
                <w:b/>
                <w:color w:val="auto"/>
                <w:szCs w:val="21"/>
              </w:rPr>
            </w:pPr>
            <w:r>
              <w:rPr>
                <w:rFonts w:hint="eastAsia"/>
                <w:b/>
                <w:color w:val="auto"/>
                <w:szCs w:val="21"/>
                <w:lang w:val="en-US" w:eastAsia="zh-CN"/>
              </w:rPr>
              <w:t>续</w:t>
            </w:r>
            <w:r>
              <w:rPr>
                <w:b/>
                <w:color w:val="auto"/>
                <w:szCs w:val="21"/>
              </w:rPr>
              <w:t>表</w:t>
            </w:r>
            <w:r>
              <w:rPr>
                <w:rFonts w:hint="eastAsia"/>
                <w:b/>
                <w:color w:val="auto"/>
                <w:szCs w:val="21"/>
                <w:lang w:val="en-US" w:eastAsia="zh-CN"/>
              </w:rPr>
              <w:t>38</w:t>
            </w:r>
            <w:r>
              <w:rPr>
                <w:rFonts w:hint="eastAsia"/>
                <w:b/>
                <w:color w:val="auto"/>
                <w:szCs w:val="21"/>
              </w:rPr>
              <w:t xml:space="preserve"> </w:t>
            </w:r>
            <w:r>
              <w:rPr>
                <w:b/>
                <w:color w:val="auto"/>
                <w:szCs w:val="21"/>
              </w:rPr>
              <w:t>主要噪声源源强及治理情况表</w:t>
            </w:r>
          </w:p>
          <w:tbl>
            <w:tblPr>
              <w:tblStyle w:val="28"/>
              <w:tblW w:w="5022"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439"/>
              <w:gridCol w:w="439"/>
              <w:gridCol w:w="525"/>
              <w:gridCol w:w="943"/>
              <w:gridCol w:w="482"/>
              <w:gridCol w:w="622"/>
              <w:gridCol w:w="782"/>
              <w:gridCol w:w="428"/>
              <w:gridCol w:w="504"/>
              <w:gridCol w:w="503"/>
              <w:gridCol w:w="525"/>
              <w:gridCol w:w="483"/>
              <w:gridCol w:w="482"/>
              <w:gridCol w:w="546"/>
              <w:gridCol w:w="579"/>
              <w:gridCol w:w="653"/>
              <w:gridCol w:w="825"/>
              <w:gridCol w:w="397"/>
              <w:gridCol w:w="439"/>
              <w:gridCol w:w="418"/>
              <w:gridCol w:w="396"/>
              <w:gridCol w:w="1024"/>
            </w:tblGrid>
            <w:tr w14:paraId="11E87E1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16" w:hRule="exact"/>
                <w:jc w:val="center"/>
              </w:trPr>
              <w:tc>
                <w:tcPr>
                  <w:tcW w:w="176" w:type="pct"/>
                  <w:vMerge w:val="restart"/>
                  <w:vAlign w:val="center"/>
                </w:tcPr>
                <w:p w14:paraId="70D197B8">
                  <w:pPr>
                    <w:spacing w:line="220" w:lineRule="exact"/>
                    <w:jc w:val="center"/>
                    <w:rPr>
                      <w:rFonts w:hint="eastAsia" w:ascii="Times New Roman" w:hAnsi="Times New Roman" w:eastAsia="宋体" w:cs="Times New Roman"/>
                      <w:color w:val="auto"/>
                      <w:spacing w:val="-17"/>
                      <w:sz w:val="18"/>
                      <w:szCs w:val="18"/>
                      <w:lang w:val="en-US" w:eastAsia="zh-CN"/>
                    </w:rPr>
                  </w:pPr>
                  <w:r>
                    <w:rPr>
                      <w:rFonts w:hint="eastAsia" w:cs="Times New Roman"/>
                      <w:color w:val="auto"/>
                      <w:spacing w:val="-17"/>
                      <w:sz w:val="18"/>
                      <w:szCs w:val="18"/>
                      <w:lang w:val="en-US" w:eastAsia="zh-CN"/>
                    </w:rPr>
                    <w:t>序号</w:t>
                  </w:r>
                </w:p>
              </w:tc>
              <w:tc>
                <w:tcPr>
                  <w:tcW w:w="176" w:type="pct"/>
                  <w:vMerge w:val="restart"/>
                  <w:vAlign w:val="center"/>
                </w:tcPr>
                <w:p w14:paraId="4D542086">
                  <w:pPr>
                    <w:spacing w:line="220" w:lineRule="exact"/>
                    <w:jc w:val="center"/>
                    <w:rPr>
                      <w:rFonts w:hint="default" w:ascii="Times New Roman" w:hAnsi="Times New Roman" w:eastAsia="宋体" w:cs="Times New Roman"/>
                      <w:color w:val="auto"/>
                      <w:spacing w:val="-17"/>
                      <w:kern w:val="2"/>
                      <w:sz w:val="18"/>
                      <w:szCs w:val="18"/>
                      <w:lang w:val="en-US" w:eastAsia="zh-CN" w:bidi="ar-SA"/>
                    </w:rPr>
                  </w:pPr>
                  <w:r>
                    <w:rPr>
                      <w:rFonts w:hint="eastAsia" w:ascii="Times New Roman" w:hAnsi="Times New Roman" w:cs="Times New Roman"/>
                      <w:color w:val="auto"/>
                      <w:spacing w:val="-17"/>
                      <w:kern w:val="2"/>
                      <w:sz w:val="18"/>
                      <w:szCs w:val="18"/>
                      <w:lang w:val="en-US" w:eastAsia="zh-CN" w:bidi="ar-SA"/>
                    </w:rPr>
                    <w:t>位置</w:t>
                  </w:r>
                </w:p>
              </w:tc>
              <w:tc>
                <w:tcPr>
                  <w:tcW w:w="211" w:type="pct"/>
                  <w:vMerge w:val="restart"/>
                  <w:vAlign w:val="center"/>
                </w:tcPr>
                <w:p w14:paraId="6C9E93F8">
                  <w:pPr>
                    <w:spacing w:line="220" w:lineRule="exact"/>
                    <w:jc w:val="center"/>
                    <w:rPr>
                      <w:rFonts w:hint="default" w:ascii="Times New Roman" w:hAnsi="Times New Roman" w:eastAsia="宋体" w:cs="Times New Roman"/>
                      <w:color w:val="auto"/>
                      <w:spacing w:val="-17"/>
                      <w:sz w:val="18"/>
                      <w:szCs w:val="18"/>
                      <w:lang w:val="en-US" w:eastAsia="zh-CN"/>
                    </w:rPr>
                  </w:pPr>
                  <w:r>
                    <w:rPr>
                      <w:rFonts w:hint="eastAsia" w:ascii="Times New Roman" w:hAnsi="Times New Roman" w:cs="Times New Roman"/>
                      <w:color w:val="auto"/>
                      <w:spacing w:val="-17"/>
                      <w:sz w:val="18"/>
                      <w:szCs w:val="18"/>
                      <w:lang w:val="en-US" w:eastAsia="zh-CN"/>
                    </w:rPr>
                    <w:t>建筑物名称</w:t>
                  </w:r>
                </w:p>
              </w:tc>
              <w:tc>
                <w:tcPr>
                  <w:tcW w:w="379" w:type="pct"/>
                  <w:vMerge w:val="restart"/>
                  <w:vAlign w:val="center"/>
                </w:tcPr>
                <w:p w14:paraId="61086390">
                  <w:pPr>
                    <w:spacing w:line="220" w:lineRule="exact"/>
                    <w:jc w:val="center"/>
                    <w:rPr>
                      <w:rFonts w:ascii="Times New Roman" w:hAnsi="Times New Roman" w:eastAsia="宋体" w:cs="Times New Roman"/>
                      <w:color w:val="auto"/>
                      <w:spacing w:val="-17"/>
                      <w:sz w:val="18"/>
                      <w:szCs w:val="18"/>
                    </w:rPr>
                  </w:pPr>
                  <w:r>
                    <w:rPr>
                      <w:rFonts w:ascii="Times New Roman" w:hAnsi="Times New Roman" w:eastAsia="宋体" w:cs="Times New Roman"/>
                      <w:color w:val="auto"/>
                      <w:spacing w:val="-17"/>
                      <w:sz w:val="18"/>
                      <w:szCs w:val="18"/>
                    </w:rPr>
                    <w:t>设备名称</w:t>
                  </w:r>
                </w:p>
              </w:tc>
              <w:tc>
                <w:tcPr>
                  <w:tcW w:w="193" w:type="pct"/>
                  <w:vMerge w:val="restart"/>
                  <w:vAlign w:val="center"/>
                </w:tcPr>
                <w:p w14:paraId="1922A37D">
                  <w:pPr>
                    <w:spacing w:line="220" w:lineRule="exact"/>
                    <w:jc w:val="center"/>
                    <w:rPr>
                      <w:color w:val="auto"/>
                      <w:spacing w:val="-17"/>
                      <w:sz w:val="18"/>
                      <w:szCs w:val="18"/>
                    </w:rPr>
                  </w:pPr>
                  <w:r>
                    <w:rPr>
                      <w:color w:val="auto"/>
                      <w:spacing w:val="-17"/>
                      <w:sz w:val="18"/>
                      <w:szCs w:val="18"/>
                    </w:rPr>
                    <w:t>数量(台套)</w:t>
                  </w:r>
                </w:p>
              </w:tc>
              <w:tc>
                <w:tcPr>
                  <w:tcW w:w="250" w:type="pct"/>
                  <w:vMerge w:val="restart"/>
                  <w:vAlign w:val="center"/>
                </w:tcPr>
                <w:p w14:paraId="52FE10BC">
                  <w:pPr>
                    <w:spacing w:line="220" w:lineRule="exact"/>
                    <w:jc w:val="center"/>
                    <w:rPr>
                      <w:color w:val="auto"/>
                      <w:spacing w:val="-17"/>
                      <w:sz w:val="18"/>
                      <w:szCs w:val="18"/>
                    </w:rPr>
                  </w:pPr>
                  <w:r>
                    <w:rPr>
                      <w:rFonts w:hint="default" w:ascii="Times New Roman" w:hAnsi="Times New Roman" w:eastAsia="宋体" w:cs="Times New Roman"/>
                      <w:color w:val="auto"/>
                      <w:spacing w:val="-20"/>
                      <w:sz w:val="18"/>
                      <w:szCs w:val="18"/>
                    </w:rPr>
                    <w:t>声源强度/dB（A）</w:t>
                  </w:r>
                </w:p>
              </w:tc>
              <w:tc>
                <w:tcPr>
                  <w:tcW w:w="314" w:type="pct"/>
                  <w:vMerge w:val="restart"/>
                  <w:vAlign w:val="center"/>
                </w:tcPr>
                <w:p w14:paraId="49C8BA50">
                  <w:pPr>
                    <w:spacing w:line="220" w:lineRule="exact"/>
                    <w:jc w:val="center"/>
                    <w:rPr>
                      <w:rFonts w:hint="default" w:eastAsia="宋体"/>
                      <w:color w:val="auto"/>
                      <w:spacing w:val="-17"/>
                      <w:sz w:val="18"/>
                      <w:szCs w:val="18"/>
                      <w:lang w:val="en-US" w:eastAsia="zh-CN"/>
                    </w:rPr>
                  </w:pPr>
                  <w:r>
                    <w:rPr>
                      <w:rFonts w:hint="eastAsia"/>
                      <w:color w:val="auto"/>
                      <w:spacing w:val="-17"/>
                      <w:sz w:val="18"/>
                      <w:szCs w:val="18"/>
                      <w:lang w:val="en-US" w:eastAsia="zh-CN"/>
                    </w:rPr>
                    <w:t>声源控制措施</w:t>
                  </w:r>
                </w:p>
              </w:tc>
              <w:tc>
                <w:tcPr>
                  <w:tcW w:w="788" w:type="pct"/>
                  <w:gridSpan w:val="4"/>
                  <w:vAlign w:val="center"/>
                </w:tcPr>
                <w:p w14:paraId="5303D64B">
                  <w:pPr>
                    <w:pStyle w:val="71"/>
                    <w:spacing w:line="220" w:lineRule="exact"/>
                    <w:jc w:val="center"/>
                    <w:rPr>
                      <w:rFonts w:hint="eastAsia" w:ascii="Times New Roman" w:hAnsi="Times New Roman"/>
                      <w:color w:val="auto"/>
                      <w:spacing w:val="-17"/>
                      <w:sz w:val="18"/>
                      <w:szCs w:val="18"/>
                      <w:lang w:val="en-US" w:eastAsia="zh-CN"/>
                    </w:rPr>
                  </w:pPr>
                  <w:r>
                    <w:rPr>
                      <w:rFonts w:hint="default" w:ascii="Times New Roman" w:hAnsi="Times New Roman"/>
                      <w:color w:val="auto"/>
                      <w:spacing w:val="-17"/>
                      <w:sz w:val="18"/>
                      <w:szCs w:val="18"/>
                      <w:lang w:val="en-US" w:eastAsia="zh-CN"/>
                    </w:rPr>
                    <w:t>距室内边界距离/m</w:t>
                  </w:r>
                </w:p>
              </w:tc>
              <w:tc>
                <w:tcPr>
                  <w:tcW w:w="840" w:type="pct"/>
                  <w:gridSpan w:val="4"/>
                  <w:vAlign w:val="center"/>
                </w:tcPr>
                <w:p w14:paraId="08333EDD">
                  <w:pPr>
                    <w:pStyle w:val="71"/>
                    <w:spacing w:line="220" w:lineRule="exact"/>
                    <w:jc w:val="center"/>
                    <w:rPr>
                      <w:rFonts w:hint="eastAsia" w:ascii="Times New Roman" w:hAnsi="Times New Roman" w:eastAsia="宋体" w:cs="Calibri"/>
                      <w:color w:val="auto"/>
                      <w:spacing w:val="-17"/>
                      <w:kern w:val="0"/>
                      <w:sz w:val="18"/>
                      <w:szCs w:val="18"/>
                      <w:lang w:val="en-US" w:eastAsia="zh-CN" w:bidi="ar-SA"/>
                    </w:rPr>
                  </w:pPr>
                  <w:r>
                    <w:rPr>
                      <w:rFonts w:hint="eastAsia" w:ascii="Times New Roman" w:hAnsi="Times New Roman" w:eastAsia="宋体" w:cs="Calibri"/>
                      <w:color w:val="auto"/>
                      <w:spacing w:val="-17"/>
                      <w:kern w:val="0"/>
                      <w:sz w:val="18"/>
                      <w:szCs w:val="18"/>
                      <w:lang w:val="en-US" w:eastAsia="zh-CN" w:bidi="ar-SA"/>
                    </w:rPr>
                    <w:t>室内边界声级/dB(A)</w:t>
                  </w:r>
                </w:p>
              </w:tc>
              <w:tc>
                <w:tcPr>
                  <w:tcW w:w="262" w:type="pct"/>
                  <w:vMerge w:val="restart"/>
                  <w:vAlign w:val="center"/>
                </w:tcPr>
                <w:p w14:paraId="42840CCD">
                  <w:pPr>
                    <w:pStyle w:val="71"/>
                    <w:spacing w:line="220" w:lineRule="exact"/>
                    <w:jc w:val="center"/>
                    <w:rPr>
                      <w:rFonts w:hint="default" w:ascii="Times New Roman" w:hAnsi="Times New Roman" w:eastAsia="宋体" w:cs="Calibri"/>
                      <w:color w:val="auto"/>
                      <w:spacing w:val="-17"/>
                      <w:kern w:val="0"/>
                      <w:sz w:val="18"/>
                      <w:szCs w:val="18"/>
                      <w:lang w:val="en-US" w:eastAsia="zh-CN" w:bidi="ar-SA"/>
                    </w:rPr>
                  </w:pPr>
                  <w:r>
                    <w:rPr>
                      <w:rFonts w:hint="eastAsia" w:ascii="Times New Roman" w:hAnsi="Times New Roman" w:eastAsia="宋体" w:cs="Calibri"/>
                      <w:color w:val="auto"/>
                      <w:spacing w:val="-17"/>
                      <w:kern w:val="0"/>
                      <w:sz w:val="18"/>
                      <w:szCs w:val="18"/>
                      <w:lang w:val="en-US" w:eastAsia="zh-CN" w:bidi="ar-SA"/>
                    </w:rPr>
                    <w:t>运行时段</w:t>
                  </w:r>
                </w:p>
              </w:tc>
              <w:tc>
                <w:tcPr>
                  <w:tcW w:w="331" w:type="pct"/>
                  <w:vMerge w:val="restart"/>
                  <w:vAlign w:val="center"/>
                </w:tcPr>
                <w:p w14:paraId="378FD730">
                  <w:pPr>
                    <w:pStyle w:val="71"/>
                    <w:spacing w:line="220" w:lineRule="exact"/>
                    <w:jc w:val="center"/>
                    <w:rPr>
                      <w:rFonts w:hint="default" w:ascii="Times New Roman" w:hAnsi="Times New Roman" w:eastAsia="宋体" w:cs="Calibri"/>
                      <w:color w:val="auto"/>
                      <w:spacing w:val="-17"/>
                      <w:kern w:val="0"/>
                      <w:sz w:val="18"/>
                      <w:szCs w:val="18"/>
                      <w:lang w:val="en-US" w:eastAsia="zh-CN" w:bidi="ar-SA"/>
                    </w:rPr>
                  </w:pPr>
                  <w:r>
                    <w:rPr>
                      <w:rFonts w:hint="default" w:ascii="Times New Roman" w:hAnsi="Times New Roman" w:eastAsia="宋体" w:cs="Calibri"/>
                      <w:color w:val="auto"/>
                      <w:spacing w:val="-17"/>
                      <w:kern w:val="0"/>
                      <w:sz w:val="18"/>
                      <w:szCs w:val="18"/>
                      <w:lang w:val="en-US" w:eastAsia="zh-CN" w:bidi="ar-SA"/>
                    </w:rPr>
                    <w:t>建筑物插入损失 / dB(A)</w:t>
                  </w:r>
                </w:p>
              </w:tc>
              <w:tc>
                <w:tcPr>
                  <w:tcW w:w="1075" w:type="pct"/>
                  <w:gridSpan w:val="5"/>
                  <w:vAlign w:val="center"/>
                </w:tcPr>
                <w:p w14:paraId="021A148D">
                  <w:pPr>
                    <w:pStyle w:val="71"/>
                    <w:spacing w:line="220" w:lineRule="exact"/>
                    <w:jc w:val="center"/>
                    <w:rPr>
                      <w:rFonts w:hint="default" w:ascii="Times New Roman" w:hAnsi="Times New Roman" w:eastAsia="宋体" w:cs="Calibri"/>
                      <w:color w:val="auto"/>
                      <w:spacing w:val="-17"/>
                      <w:kern w:val="0"/>
                      <w:sz w:val="18"/>
                      <w:szCs w:val="18"/>
                      <w:lang w:val="en-US" w:eastAsia="zh-CN" w:bidi="ar-SA"/>
                    </w:rPr>
                  </w:pPr>
                  <w:r>
                    <w:rPr>
                      <w:rFonts w:hint="eastAsia" w:ascii="Times New Roman" w:hAnsi="Times New Roman" w:eastAsia="宋体" w:cs="Calibri"/>
                      <w:color w:val="auto"/>
                      <w:spacing w:val="-17"/>
                      <w:kern w:val="0"/>
                      <w:sz w:val="18"/>
                      <w:szCs w:val="18"/>
                      <w:lang w:val="en-US" w:eastAsia="zh-CN" w:bidi="ar-SA"/>
                    </w:rPr>
                    <w:t>建筑物外噪声声压级/dB(A)</w:t>
                  </w:r>
                </w:p>
              </w:tc>
            </w:tr>
            <w:tr w14:paraId="7A04D7F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1" w:hRule="exact"/>
                <w:jc w:val="center"/>
              </w:trPr>
              <w:tc>
                <w:tcPr>
                  <w:tcW w:w="176" w:type="pct"/>
                  <w:vMerge w:val="continue"/>
                  <w:vAlign w:val="center"/>
                </w:tcPr>
                <w:p w14:paraId="4E2EB80B">
                  <w:pPr>
                    <w:spacing w:line="220" w:lineRule="exact"/>
                    <w:jc w:val="center"/>
                    <w:rPr>
                      <w:rFonts w:hint="eastAsia" w:cs="Times New Roman"/>
                      <w:color w:val="auto"/>
                      <w:spacing w:val="-17"/>
                      <w:sz w:val="18"/>
                      <w:szCs w:val="18"/>
                      <w:lang w:val="en-US" w:eastAsia="zh-CN"/>
                    </w:rPr>
                  </w:pPr>
                </w:p>
              </w:tc>
              <w:tc>
                <w:tcPr>
                  <w:tcW w:w="176" w:type="pct"/>
                  <w:vMerge w:val="continue"/>
                  <w:vAlign w:val="center"/>
                </w:tcPr>
                <w:p w14:paraId="7EE12A54">
                  <w:pPr>
                    <w:spacing w:line="220" w:lineRule="exact"/>
                    <w:jc w:val="center"/>
                    <w:rPr>
                      <w:rFonts w:hint="eastAsia" w:ascii="Times New Roman" w:hAnsi="Times New Roman" w:cs="Times New Roman"/>
                      <w:color w:val="auto"/>
                      <w:spacing w:val="-17"/>
                      <w:kern w:val="2"/>
                      <w:sz w:val="18"/>
                      <w:szCs w:val="18"/>
                      <w:lang w:val="en-US" w:eastAsia="zh-CN" w:bidi="ar-SA"/>
                    </w:rPr>
                  </w:pPr>
                </w:p>
              </w:tc>
              <w:tc>
                <w:tcPr>
                  <w:tcW w:w="211" w:type="pct"/>
                  <w:vMerge w:val="continue"/>
                  <w:vAlign w:val="center"/>
                </w:tcPr>
                <w:p w14:paraId="04EBCE8C">
                  <w:pPr>
                    <w:spacing w:line="220" w:lineRule="exact"/>
                    <w:jc w:val="center"/>
                    <w:rPr>
                      <w:rFonts w:hint="eastAsia" w:ascii="Times New Roman" w:hAnsi="Times New Roman" w:cs="Times New Roman"/>
                      <w:color w:val="auto"/>
                      <w:spacing w:val="-17"/>
                      <w:sz w:val="18"/>
                      <w:szCs w:val="18"/>
                      <w:lang w:val="en-US" w:eastAsia="zh-CN"/>
                    </w:rPr>
                  </w:pPr>
                </w:p>
              </w:tc>
              <w:tc>
                <w:tcPr>
                  <w:tcW w:w="379" w:type="pct"/>
                  <w:vMerge w:val="continue"/>
                  <w:vAlign w:val="center"/>
                </w:tcPr>
                <w:p w14:paraId="535F7893">
                  <w:pPr>
                    <w:spacing w:line="220" w:lineRule="exact"/>
                    <w:jc w:val="center"/>
                    <w:rPr>
                      <w:rFonts w:ascii="Times New Roman" w:hAnsi="Times New Roman" w:eastAsia="宋体" w:cs="Times New Roman"/>
                      <w:color w:val="auto"/>
                      <w:spacing w:val="-17"/>
                      <w:sz w:val="18"/>
                      <w:szCs w:val="18"/>
                    </w:rPr>
                  </w:pPr>
                </w:p>
              </w:tc>
              <w:tc>
                <w:tcPr>
                  <w:tcW w:w="193" w:type="pct"/>
                  <w:vMerge w:val="continue"/>
                  <w:vAlign w:val="center"/>
                </w:tcPr>
                <w:p w14:paraId="3C440D61">
                  <w:pPr>
                    <w:spacing w:line="220" w:lineRule="exact"/>
                    <w:jc w:val="center"/>
                    <w:rPr>
                      <w:color w:val="auto"/>
                      <w:spacing w:val="-17"/>
                      <w:sz w:val="18"/>
                      <w:szCs w:val="18"/>
                    </w:rPr>
                  </w:pPr>
                </w:p>
              </w:tc>
              <w:tc>
                <w:tcPr>
                  <w:tcW w:w="250" w:type="pct"/>
                  <w:vMerge w:val="continue"/>
                  <w:vAlign w:val="center"/>
                </w:tcPr>
                <w:p w14:paraId="6F8F24E5">
                  <w:pPr>
                    <w:spacing w:line="220" w:lineRule="exact"/>
                    <w:jc w:val="center"/>
                    <w:rPr>
                      <w:rFonts w:hint="default" w:ascii="Times New Roman" w:hAnsi="Times New Roman" w:eastAsia="宋体" w:cs="Times New Roman"/>
                      <w:color w:val="auto"/>
                      <w:spacing w:val="-20"/>
                      <w:sz w:val="18"/>
                      <w:szCs w:val="18"/>
                    </w:rPr>
                  </w:pPr>
                </w:p>
              </w:tc>
              <w:tc>
                <w:tcPr>
                  <w:tcW w:w="314" w:type="pct"/>
                  <w:vMerge w:val="continue"/>
                  <w:vAlign w:val="center"/>
                </w:tcPr>
                <w:p w14:paraId="6B7B9AAF">
                  <w:pPr>
                    <w:spacing w:line="220" w:lineRule="exact"/>
                    <w:jc w:val="center"/>
                    <w:rPr>
                      <w:rFonts w:hint="eastAsia"/>
                      <w:color w:val="auto"/>
                      <w:spacing w:val="-17"/>
                      <w:sz w:val="18"/>
                      <w:szCs w:val="18"/>
                      <w:lang w:val="en-US" w:eastAsia="zh-CN"/>
                    </w:rPr>
                  </w:pPr>
                </w:p>
              </w:tc>
              <w:tc>
                <w:tcPr>
                  <w:tcW w:w="172" w:type="pct"/>
                  <w:vAlign w:val="center"/>
                </w:tcPr>
                <w:p w14:paraId="6A185F4A">
                  <w:pPr>
                    <w:pStyle w:val="71"/>
                    <w:spacing w:line="220" w:lineRule="exact"/>
                    <w:jc w:val="center"/>
                    <w:rPr>
                      <w:rFonts w:hint="eastAsia" w:ascii="Times New Roman" w:hAnsi="Times New Roman"/>
                      <w:color w:val="auto"/>
                      <w:spacing w:val="-17"/>
                      <w:sz w:val="18"/>
                      <w:szCs w:val="18"/>
                      <w:lang w:val="en-US" w:eastAsia="zh-CN"/>
                    </w:rPr>
                  </w:pPr>
                  <w:r>
                    <w:rPr>
                      <w:rFonts w:hint="eastAsia" w:ascii="Times New Roman" w:hAnsi="Times New Roman"/>
                      <w:color w:val="auto"/>
                      <w:spacing w:val="-17"/>
                      <w:sz w:val="18"/>
                      <w:szCs w:val="18"/>
                      <w:lang w:val="en-US" w:eastAsia="zh-CN"/>
                    </w:rPr>
                    <w:t>东</w:t>
                  </w:r>
                </w:p>
              </w:tc>
              <w:tc>
                <w:tcPr>
                  <w:tcW w:w="202" w:type="pct"/>
                  <w:vAlign w:val="center"/>
                </w:tcPr>
                <w:p w14:paraId="711ADD26">
                  <w:pPr>
                    <w:pStyle w:val="71"/>
                    <w:spacing w:line="220" w:lineRule="exact"/>
                    <w:jc w:val="center"/>
                    <w:rPr>
                      <w:rFonts w:hint="eastAsia" w:ascii="Times New Roman" w:hAnsi="Times New Roman"/>
                      <w:color w:val="auto"/>
                      <w:spacing w:val="-17"/>
                      <w:sz w:val="18"/>
                      <w:szCs w:val="18"/>
                      <w:lang w:val="en-US" w:eastAsia="zh-CN"/>
                    </w:rPr>
                  </w:pPr>
                  <w:r>
                    <w:rPr>
                      <w:rFonts w:hint="eastAsia" w:ascii="Times New Roman" w:hAnsi="Times New Roman"/>
                      <w:color w:val="auto"/>
                      <w:spacing w:val="-17"/>
                      <w:sz w:val="18"/>
                      <w:szCs w:val="18"/>
                      <w:lang w:val="en-US" w:eastAsia="zh-CN"/>
                    </w:rPr>
                    <w:t>南</w:t>
                  </w:r>
                </w:p>
              </w:tc>
              <w:tc>
                <w:tcPr>
                  <w:tcW w:w="202" w:type="pct"/>
                  <w:vAlign w:val="center"/>
                </w:tcPr>
                <w:p w14:paraId="30488B99">
                  <w:pPr>
                    <w:pStyle w:val="71"/>
                    <w:spacing w:line="220" w:lineRule="exact"/>
                    <w:jc w:val="center"/>
                    <w:rPr>
                      <w:rFonts w:hint="eastAsia" w:ascii="Times New Roman" w:hAnsi="Times New Roman"/>
                      <w:color w:val="auto"/>
                      <w:spacing w:val="-17"/>
                      <w:sz w:val="18"/>
                      <w:szCs w:val="18"/>
                      <w:lang w:val="en-US" w:eastAsia="zh-CN"/>
                    </w:rPr>
                  </w:pPr>
                  <w:r>
                    <w:rPr>
                      <w:rFonts w:hint="eastAsia" w:ascii="Times New Roman" w:hAnsi="Times New Roman"/>
                      <w:color w:val="auto"/>
                      <w:spacing w:val="-17"/>
                      <w:sz w:val="18"/>
                      <w:szCs w:val="18"/>
                      <w:lang w:val="en-US" w:eastAsia="zh-CN"/>
                    </w:rPr>
                    <w:t>西</w:t>
                  </w:r>
                </w:p>
              </w:tc>
              <w:tc>
                <w:tcPr>
                  <w:tcW w:w="211" w:type="pct"/>
                  <w:vAlign w:val="center"/>
                </w:tcPr>
                <w:p w14:paraId="2E5E4888">
                  <w:pPr>
                    <w:pStyle w:val="71"/>
                    <w:spacing w:line="220" w:lineRule="exact"/>
                    <w:jc w:val="center"/>
                    <w:rPr>
                      <w:rFonts w:hint="eastAsia" w:ascii="Times New Roman" w:hAnsi="Times New Roman"/>
                      <w:color w:val="auto"/>
                      <w:spacing w:val="-17"/>
                      <w:sz w:val="18"/>
                      <w:szCs w:val="18"/>
                      <w:lang w:val="en-US" w:eastAsia="zh-CN"/>
                    </w:rPr>
                  </w:pPr>
                  <w:r>
                    <w:rPr>
                      <w:rFonts w:hint="eastAsia" w:ascii="Times New Roman" w:hAnsi="Times New Roman"/>
                      <w:color w:val="auto"/>
                      <w:spacing w:val="-17"/>
                      <w:sz w:val="18"/>
                      <w:szCs w:val="18"/>
                      <w:lang w:val="en-US" w:eastAsia="zh-CN"/>
                    </w:rPr>
                    <w:t>北</w:t>
                  </w:r>
                </w:p>
              </w:tc>
              <w:tc>
                <w:tcPr>
                  <w:tcW w:w="194" w:type="pct"/>
                  <w:vAlign w:val="center"/>
                </w:tcPr>
                <w:p w14:paraId="3E465C1F">
                  <w:pPr>
                    <w:pStyle w:val="71"/>
                    <w:spacing w:line="220" w:lineRule="exact"/>
                    <w:jc w:val="center"/>
                    <w:rPr>
                      <w:rFonts w:hint="eastAsia" w:ascii="Times New Roman" w:hAnsi="Times New Roman" w:eastAsia="宋体" w:cs="Calibri"/>
                      <w:color w:val="auto"/>
                      <w:spacing w:val="-17"/>
                      <w:kern w:val="0"/>
                      <w:sz w:val="18"/>
                      <w:szCs w:val="18"/>
                      <w:lang w:val="en-US" w:eastAsia="zh-CN" w:bidi="ar-SA"/>
                    </w:rPr>
                  </w:pPr>
                  <w:r>
                    <w:rPr>
                      <w:rFonts w:hint="eastAsia" w:ascii="Times New Roman" w:hAnsi="Times New Roman" w:eastAsia="宋体" w:cs="Calibri"/>
                      <w:color w:val="auto"/>
                      <w:spacing w:val="-17"/>
                      <w:kern w:val="0"/>
                      <w:sz w:val="18"/>
                      <w:szCs w:val="18"/>
                      <w:lang w:val="en-US" w:eastAsia="zh-CN" w:bidi="ar-SA"/>
                    </w:rPr>
                    <w:t>东</w:t>
                  </w:r>
                </w:p>
              </w:tc>
              <w:tc>
                <w:tcPr>
                  <w:tcW w:w="193" w:type="pct"/>
                  <w:vAlign w:val="center"/>
                </w:tcPr>
                <w:p w14:paraId="2F8EE133">
                  <w:pPr>
                    <w:pStyle w:val="71"/>
                    <w:spacing w:line="220" w:lineRule="exact"/>
                    <w:jc w:val="center"/>
                    <w:rPr>
                      <w:rFonts w:hint="eastAsia" w:ascii="Times New Roman" w:hAnsi="Times New Roman" w:eastAsia="宋体" w:cs="Calibri"/>
                      <w:color w:val="auto"/>
                      <w:spacing w:val="-17"/>
                      <w:kern w:val="0"/>
                      <w:sz w:val="18"/>
                      <w:szCs w:val="18"/>
                      <w:lang w:val="en-US" w:eastAsia="zh-CN" w:bidi="ar-SA"/>
                    </w:rPr>
                  </w:pPr>
                  <w:r>
                    <w:rPr>
                      <w:rFonts w:hint="eastAsia" w:ascii="Times New Roman" w:hAnsi="Times New Roman" w:eastAsia="宋体" w:cs="Calibri"/>
                      <w:color w:val="auto"/>
                      <w:spacing w:val="-17"/>
                      <w:kern w:val="0"/>
                      <w:sz w:val="18"/>
                      <w:szCs w:val="18"/>
                      <w:lang w:val="en-US" w:eastAsia="zh-CN" w:bidi="ar-SA"/>
                    </w:rPr>
                    <w:t>南</w:t>
                  </w:r>
                </w:p>
              </w:tc>
              <w:tc>
                <w:tcPr>
                  <w:tcW w:w="219" w:type="pct"/>
                  <w:vAlign w:val="center"/>
                </w:tcPr>
                <w:p w14:paraId="650E0303">
                  <w:pPr>
                    <w:pStyle w:val="71"/>
                    <w:spacing w:line="220" w:lineRule="exact"/>
                    <w:jc w:val="center"/>
                    <w:rPr>
                      <w:rFonts w:hint="default" w:ascii="Times New Roman" w:hAnsi="Times New Roman" w:eastAsia="宋体" w:cs="Calibri"/>
                      <w:color w:val="auto"/>
                      <w:spacing w:val="-17"/>
                      <w:kern w:val="0"/>
                      <w:sz w:val="18"/>
                      <w:szCs w:val="18"/>
                      <w:lang w:val="en-US" w:eastAsia="zh-CN" w:bidi="ar-SA"/>
                    </w:rPr>
                  </w:pPr>
                  <w:r>
                    <w:rPr>
                      <w:rFonts w:hint="eastAsia" w:ascii="Times New Roman" w:hAnsi="Times New Roman" w:eastAsia="宋体" w:cs="Calibri"/>
                      <w:color w:val="auto"/>
                      <w:spacing w:val="-17"/>
                      <w:kern w:val="0"/>
                      <w:sz w:val="18"/>
                      <w:szCs w:val="18"/>
                      <w:lang w:val="en-US" w:eastAsia="zh-CN" w:bidi="ar-SA"/>
                    </w:rPr>
                    <w:t>西</w:t>
                  </w:r>
                </w:p>
              </w:tc>
              <w:tc>
                <w:tcPr>
                  <w:tcW w:w="232" w:type="pct"/>
                  <w:vAlign w:val="center"/>
                </w:tcPr>
                <w:p w14:paraId="3C8778B6">
                  <w:pPr>
                    <w:pStyle w:val="71"/>
                    <w:spacing w:line="220" w:lineRule="exact"/>
                    <w:jc w:val="center"/>
                    <w:rPr>
                      <w:rFonts w:hint="default" w:ascii="Times New Roman" w:hAnsi="Times New Roman" w:eastAsia="宋体" w:cs="Calibri"/>
                      <w:color w:val="auto"/>
                      <w:spacing w:val="-17"/>
                      <w:kern w:val="0"/>
                      <w:sz w:val="18"/>
                      <w:szCs w:val="18"/>
                      <w:lang w:val="en-US" w:eastAsia="zh-CN" w:bidi="ar-SA"/>
                    </w:rPr>
                  </w:pPr>
                  <w:r>
                    <w:rPr>
                      <w:rFonts w:hint="eastAsia" w:ascii="Times New Roman" w:hAnsi="Times New Roman" w:eastAsia="宋体" w:cs="Calibri"/>
                      <w:color w:val="auto"/>
                      <w:spacing w:val="-17"/>
                      <w:kern w:val="0"/>
                      <w:sz w:val="18"/>
                      <w:szCs w:val="18"/>
                      <w:lang w:val="en-US" w:eastAsia="zh-CN" w:bidi="ar-SA"/>
                    </w:rPr>
                    <w:t>北</w:t>
                  </w:r>
                </w:p>
              </w:tc>
              <w:tc>
                <w:tcPr>
                  <w:tcW w:w="262" w:type="pct"/>
                  <w:vMerge w:val="continue"/>
                  <w:vAlign w:val="center"/>
                </w:tcPr>
                <w:p w14:paraId="1CC351C1">
                  <w:pPr>
                    <w:pStyle w:val="71"/>
                    <w:spacing w:line="220" w:lineRule="exact"/>
                    <w:jc w:val="center"/>
                    <w:rPr>
                      <w:rFonts w:hint="default" w:ascii="Times New Roman" w:hAnsi="Times New Roman" w:eastAsia="宋体" w:cs="Calibri"/>
                      <w:color w:val="auto"/>
                      <w:spacing w:val="-17"/>
                      <w:kern w:val="0"/>
                      <w:sz w:val="18"/>
                      <w:szCs w:val="18"/>
                      <w:lang w:val="en-US" w:eastAsia="zh-CN" w:bidi="ar-SA"/>
                    </w:rPr>
                  </w:pPr>
                </w:p>
              </w:tc>
              <w:tc>
                <w:tcPr>
                  <w:tcW w:w="331" w:type="pct"/>
                  <w:vMerge w:val="continue"/>
                  <w:vAlign w:val="center"/>
                </w:tcPr>
                <w:p w14:paraId="0B824C34">
                  <w:pPr>
                    <w:pStyle w:val="71"/>
                    <w:spacing w:line="220" w:lineRule="exact"/>
                    <w:jc w:val="center"/>
                    <w:rPr>
                      <w:rFonts w:hint="default" w:ascii="Times New Roman" w:hAnsi="Times New Roman" w:eastAsia="宋体" w:cs="Calibri"/>
                      <w:color w:val="auto"/>
                      <w:spacing w:val="-17"/>
                      <w:kern w:val="0"/>
                      <w:sz w:val="18"/>
                      <w:szCs w:val="18"/>
                      <w:lang w:val="en-US" w:eastAsia="zh-CN" w:bidi="ar-SA"/>
                    </w:rPr>
                  </w:pPr>
                </w:p>
              </w:tc>
              <w:tc>
                <w:tcPr>
                  <w:tcW w:w="159" w:type="pct"/>
                  <w:vAlign w:val="center"/>
                </w:tcPr>
                <w:p w14:paraId="5F5E4BAC">
                  <w:pPr>
                    <w:pStyle w:val="71"/>
                    <w:spacing w:line="220" w:lineRule="exact"/>
                    <w:jc w:val="center"/>
                    <w:rPr>
                      <w:rFonts w:hint="default" w:ascii="Times New Roman" w:hAnsi="Times New Roman" w:eastAsia="宋体" w:cs="Calibri"/>
                      <w:color w:val="auto"/>
                      <w:spacing w:val="-17"/>
                      <w:kern w:val="0"/>
                      <w:sz w:val="18"/>
                      <w:szCs w:val="18"/>
                      <w:lang w:val="en-US" w:eastAsia="zh-CN" w:bidi="ar-SA"/>
                    </w:rPr>
                  </w:pPr>
                  <w:r>
                    <w:rPr>
                      <w:rFonts w:hint="eastAsia" w:ascii="Times New Roman" w:hAnsi="Times New Roman" w:eastAsia="宋体" w:cs="Calibri"/>
                      <w:color w:val="auto"/>
                      <w:spacing w:val="-17"/>
                      <w:kern w:val="0"/>
                      <w:sz w:val="18"/>
                      <w:szCs w:val="18"/>
                      <w:lang w:val="en-US" w:eastAsia="zh-CN" w:bidi="ar-SA"/>
                    </w:rPr>
                    <w:t>东</w:t>
                  </w:r>
                </w:p>
              </w:tc>
              <w:tc>
                <w:tcPr>
                  <w:tcW w:w="176" w:type="pct"/>
                  <w:vAlign w:val="center"/>
                </w:tcPr>
                <w:p w14:paraId="75978537">
                  <w:pPr>
                    <w:pStyle w:val="71"/>
                    <w:spacing w:line="220" w:lineRule="exact"/>
                    <w:jc w:val="center"/>
                    <w:rPr>
                      <w:rFonts w:hint="default" w:ascii="Times New Roman" w:hAnsi="Times New Roman" w:eastAsia="宋体" w:cs="Calibri"/>
                      <w:color w:val="auto"/>
                      <w:spacing w:val="-17"/>
                      <w:kern w:val="0"/>
                      <w:sz w:val="18"/>
                      <w:szCs w:val="18"/>
                      <w:lang w:val="en-US" w:eastAsia="zh-CN" w:bidi="ar-SA"/>
                    </w:rPr>
                  </w:pPr>
                  <w:r>
                    <w:rPr>
                      <w:rFonts w:hint="eastAsia" w:ascii="Times New Roman" w:hAnsi="Times New Roman" w:eastAsia="宋体" w:cs="Calibri"/>
                      <w:color w:val="auto"/>
                      <w:spacing w:val="-17"/>
                      <w:kern w:val="0"/>
                      <w:sz w:val="18"/>
                      <w:szCs w:val="18"/>
                      <w:lang w:val="en-US" w:eastAsia="zh-CN" w:bidi="ar-SA"/>
                    </w:rPr>
                    <w:t>南</w:t>
                  </w:r>
                </w:p>
              </w:tc>
              <w:tc>
                <w:tcPr>
                  <w:tcW w:w="168" w:type="pct"/>
                  <w:vAlign w:val="center"/>
                </w:tcPr>
                <w:p w14:paraId="47C4941A">
                  <w:pPr>
                    <w:pStyle w:val="71"/>
                    <w:spacing w:line="220" w:lineRule="exact"/>
                    <w:jc w:val="center"/>
                    <w:rPr>
                      <w:rFonts w:hint="default" w:ascii="Times New Roman" w:hAnsi="Times New Roman" w:eastAsia="宋体" w:cs="Calibri"/>
                      <w:color w:val="auto"/>
                      <w:spacing w:val="-17"/>
                      <w:kern w:val="0"/>
                      <w:sz w:val="18"/>
                      <w:szCs w:val="18"/>
                      <w:lang w:val="en-US" w:eastAsia="zh-CN" w:bidi="ar-SA"/>
                    </w:rPr>
                  </w:pPr>
                  <w:r>
                    <w:rPr>
                      <w:rFonts w:hint="eastAsia" w:ascii="Times New Roman" w:hAnsi="Times New Roman" w:eastAsia="宋体" w:cs="Calibri"/>
                      <w:color w:val="auto"/>
                      <w:spacing w:val="-17"/>
                      <w:kern w:val="0"/>
                      <w:sz w:val="18"/>
                      <w:szCs w:val="18"/>
                      <w:lang w:val="en-US" w:eastAsia="zh-CN" w:bidi="ar-SA"/>
                    </w:rPr>
                    <w:t>西</w:t>
                  </w:r>
                </w:p>
              </w:tc>
              <w:tc>
                <w:tcPr>
                  <w:tcW w:w="159" w:type="pct"/>
                  <w:vAlign w:val="center"/>
                </w:tcPr>
                <w:p w14:paraId="44A717CB">
                  <w:pPr>
                    <w:pStyle w:val="71"/>
                    <w:spacing w:line="220" w:lineRule="exact"/>
                    <w:jc w:val="center"/>
                    <w:rPr>
                      <w:rFonts w:hint="default" w:ascii="Times New Roman" w:hAnsi="Times New Roman" w:eastAsia="宋体" w:cs="Calibri"/>
                      <w:color w:val="auto"/>
                      <w:spacing w:val="-17"/>
                      <w:kern w:val="0"/>
                      <w:sz w:val="18"/>
                      <w:szCs w:val="18"/>
                      <w:lang w:val="en-US" w:eastAsia="zh-CN" w:bidi="ar-SA"/>
                    </w:rPr>
                  </w:pPr>
                  <w:r>
                    <w:rPr>
                      <w:rFonts w:hint="eastAsia" w:ascii="Times New Roman" w:hAnsi="Times New Roman" w:eastAsia="宋体" w:cs="Calibri"/>
                      <w:color w:val="auto"/>
                      <w:spacing w:val="-17"/>
                      <w:kern w:val="0"/>
                      <w:sz w:val="18"/>
                      <w:szCs w:val="18"/>
                      <w:lang w:val="en-US" w:eastAsia="zh-CN" w:bidi="ar-SA"/>
                    </w:rPr>
                    <w:t>北</w:t>
                  </w:r>
                </w:p>
              </w:tc>
              <w:tc>
                <w:tcPr>
                  <w:tcW w:w="411" w:type="pct"/>
                  <w:vAlign w:val="center"/>
                </w:tcPr>
                <w:p w14:paraId="2D1B678E">
                  <w:pPr>
                    <w:pStyle w:val="71"/>
                    <w:spacing w:line="220" w:lineRule="exact"/>
                    <w:jc w:val="center"/>
                    <w:rPr>
                      <w:rFonts w:hint="default" w:ascii="Times New Roman" w:hAnsi="Times New Roman" w:eastAsia="宋体" w:cs="Calibri"/>
                      <w:color w:val="auto"/>
                      <w:spacing w:val="-17"/>
                      <w:kern w:val="0"/>
                      <w:sz w:val="18"/>
                      <w:szCs w:val="18"/>
                      <w:lang w:val="en-US" w:eastAsia="zh-CN" w:bidi="ar-SA"/>
                    </w:rPr>
                  </w:pPr>
                  <w:r>
                    <w:rPr>
                      <w:rFonts w:hint="eastAsia" w:ascii="Times New Roman" w:hAnsi="Times New Roman" w:eastAsia="宋体" w:cs="Calibri"/>
                      <w:color w:val="auto"/>
                      <w:spacing w:val="-17"/>
                      <w:kern w:val="0"/>
                      <w:sz w:val="18"/>
                      <w:szCs w:val="18"/>
                      <w:lang w:val="en-US" w:eastAsia="zh-CN" w:bidi="ar-SA"/>
                    </w:rPr>
                    <w:t>建筑物外距离</w:t>
                  </w:r>
                </w:p>
              </w:tc>
            </w:tr>
            <w:tr w14:paraId="2A715A0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1" w:hRule="exact"/>
                <w:jc w:val="center"/>
              </w:trPr>
              <w:tc>
                <w:tcPr>
                  <w:tcW w:w="176" w:type="pct"/>
                  <w:shd w:val="clear" w:color="auto" w:fill="auto"/>
                  <w:vAlign w:val="center"/>
                </w:tcPr>
                <w:p w14:paraId="20DE8653">
                  <w:pPr>
                    <w:spacing w:line="220" w:lineRule="exact"/>
                    <w:jc w:val="center"/>
                    <w:rPr>
                      <w:rFonts w:hint="default" w:ascii="Times New Roman" w:hAnsi="Times New Roman" w:eastAsia="宋体" w:cs="Times New Roman"/>
                      <w:color w:val="auto"/>
                      <w:spacing w:val="-17"/>
                      <w:kern w:val="2"/>
                      <w:sz w:val="18"/>
                      <w:szCs w:val="18"/>
                      <w:highlight w:val="none"/>
                      <w:lang w:val="en-US" w:eastAsia="zh-CN" w:bidi="ar-SA"/>
                    </w:rPr>
                  </w:pPr>
                  <w:r>
                    <w:rPr>
                      <w:rFonts w:hint="eastAsia" w:cs="Times New Roman"/>
                      <w:color w:val="auto"/>
                      <w:spacing w:val="-17"/>
                      <w:sz w:val="18"/>
                      <w:szCs w:val="18"/>
                      <w:highlight w:val="none"/>
                      <w:lang w:val="en-US" w:eastAsia="zh-CN"/>
                    </w:rPr>
                    <w:t>23</w:t>
                  </w:r>
                </w:p>
              </w:tc>
              <w:tc>
                <w:tcPr>
                  <w:tcW w:w="176" w:type="pct"/>
                  <w:vMerge w:val="restart"/>
                  <w:vAlign w:val="center"/>
                </w:tcPr>
                <w:p w14:paraId="7DE15ACE">
                  <w:pPr>
                    <w:spacing w:line="220" w:lineRule="exact"/>
                    <w:jc w:val="center"/>
                    <w:rPr>
                      <w:rFonts w:hint="eastAsia" w:ascii="Times New Roman" w:hAnsi="Times New Roman" w:cs="Times New Roman"/>
                      <w:color w:val="auto"/>
                      <w:spacing w:val="-17"/>
                      <w:kern w:val="2"/>
                      <w:sz w:val="18"/>
                      <w:szCs w:val="18"/>
                      <w:highlight w:val="none"/>
                      <w:lang w:val="en-US" w:eastAsia="zh-CN" w:bidi="ar-SA"/>
                    </w:rPr>
                  </w:pPr>
                  <w:r>
                    <w:rPr>
                      <w:rFonts w:hint="eastAsia" w:ascii="Times New Roman" w:hAnsi="Times New Roman" w:cs="Times New Roman"/>
                      <w:color w:val="auto"/>
                      <w:spacing w:val="-17"/>
                      <w:kern w:val="2"/>
                      <w:sz w:val="18"/>
                      <w:szCs w:val="18"/>
                      <w:highlight w:val="none"/>
                      <w:lang w:val="en-US" w:eastAsia="zh-CN" w:bidi="ar-SA"/>
                    </w:rPr>
                    <w:t>项目</w:t>
                  </w:r>
                </w:p>
                <w:p w14:paraId="7B24BC59">
                  <w:pPr>
                    <w:spacing w:line="220" w:lineRule="exact"/>
                    <w:jc w:val="center"/>
                    <w:rPr>
                      <w:rFonts w:hint="default" w:ascii="Times New Roman" w:hAnsi="Times New Roman" w:cs="Times New Roman"/>
                      <w:color w:val="auto"/>
                      <w:spacing w:val="-17"/>
                      <w:kern w:val="2"/>
                      <w:sz w:val="18"/>
                      <w:szCs w:val="18"/>
                      <w:lang w:val="en-US" w:eastAsia="zh-CN" w:bidi="ar-SA"/>
                    </w:rPr>
                  </w:pPr>
                  <w:r>
                    <w:rPr>
                      <w:rFonts w:hint="eastAsia" w:cs="Times New Roman"/>
                      <w:color w:val="auto"/>
                      <w:spacing w:val="-17"/>
                      <w:kern w:val="2"/>
                      <w:sz w:val="18"/>
                      <w:szCs w:val="18"/>
                      <w:lang w:val="en-US" w:eastAsia="zh-CN" w:bidi="ar-SA"/>
                    </w:rPr>
                    <w:t>厂区</w:t>
                  </w:r>
                </w:p>
              </w:tc>
              <w:tc>
                <w:tcPr>
                  <w:tcW w:w="211" w:type="pct"/>
                  <w:vMerge w:val="restart"/>
                  <w:vAlign w:val="center"/>
                </w:tcPr>
                <w:p w14:paraId="56BA1E64">
                  <w:pPr>
                    <w:spacing w:line="220" w:lineRule="exact"/>
                    <w:jc w:val="center"/>
                    <w:rPr>
                      <w:rFonts w:hint="default" w:ascii="Times New Roman" w:hAnsi="Times New Roman" w:cs="Times New Roman"/>
                      <w:color w:val="auto"/>
                      <w:spacing w:val="-17"/>
                      <w:sz w:val="18"/>
                      <w:szCs w:val="18"/>
                      <w:lang w:val="en-US" w:eastAsia="zh-CN"/>
                    </w:rPr>
                  </w:pPr>
                  <w:r>
                    <w:rPr>
                      <w:rFonts w:hint="eastAsia" w:cs="Times New Roman"/>
                      <w:color w:val="auto"/>
                      <w:spacing w:val="-17"/>
                      <w:sz w:val="18"/>
                      <w:szCs w:val="18"/>
                      <w:lang w:val="en-US" w:eastAsia="zh-CN"/>
                    </w:rPr>
                    <w:t>1</w:t>
                  </w:r>
                  <w:r>
                    <w:rPr>
                      <w:rFonts w:hint="eastAsia" w:cs="Times New Roman"/>
                      <w:color w:val="auto"/>
                      <w:spacing w:val="-17"/>
                      <w:sz w:val="18"/>
                      <w:szCs w:val="18"/>
                      <w:vertAlign w:val="superscript"/>
                      <w:lang w:val="en-US" w:eastAsia="zh-CN"/>
                    </w:rPr>
                    <w:t>#</w:t>
                  </w:r>
                  <w:r>
                    <w:rPr>
                      <w:rFonts w:hint="eastAsia" w:cs="Times New Roman"/>
                      <w:color w:val="auto"/>
                      <w:spacing w:val="-17"/>
                      <w:sz w:val="18"/>
                      <w:szCs w:val="18"/>
                      <w:lang w:val="en-US" w:eastAsia="zh-CN"/>
                    </w:rPr>
                    <w:t>生产车间</w:t>
                  </w:r>
                </w:p>
              </w:tc>
              <w:tc>
                <w:tcPr>
                  <w:tcW w:w="379" w:type="pct"/>
                  <w:shd w:val="clear" w:color="auto" w:fill="auto"/>
                  <w:vAlign w:val="center"/>
                </w:tcPr>
                <w:p w14:paraId="3F70E91A">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eastAsia" w:ascii="Times New Roman" w:hAnsi="Times New Roman" w:cs="Times New Roman"/>
                      <w:color w:val="auto"/>
                      <w:spacing w:val="-17"/>
                      <w:sz w:val="18"/>
                      <w:szCs w:val="18"/>
                      <w:highlight w:val="none"/>
                      <w:lang w:val="en-US" w:eastAsia="zh-CN"/>
                    </w:rPr>
                    <w:t>1</w:t>
                  </w:r>
                  <w:r>
                    <w:rPr>
                      <w:rFonts w:hint="eastAsia" w:ascii="Times New Roman" w:hAnsi="Times New Roman" w:eastAsia="宋体" w:cs="Times New Roman"/>
                      <w:color w:val="auto"/>
                      <w:spacing w:val="-17"/>
                      <w:sz w:val="18"/>
                      <w:szCs w:val="18"/>
                      <w:highlight w:val="none"/>
                      <w:vertAlign w:val="superscript"/>
                      <w:lang w:val="en-US" w:eastAsia="zh-CN"/>
                    </w:rPr>
                    <w:t>#</w:t>
                  </w:r>
                  <w:r>
                    <w:rPr>
                      <w:rFonts w:hint="eastAsia" w:ascii="Times New Roman" w:hAnsi="Times New Roman" w:eastAsia="宋体" w:cs="Times New Roman"/>
                      <w:color w:val="auto"/>
                      <w:spacing w:val="-17"/>
                      <w:sz w:val="18"/>
                      <w:szCs w:val="18"/>
                      <w:highlight w:val="none"/>
                      <w:lang w:val="en-US" w:eastAsia="zh-CN"/>
                    </w:rPr>
                    <w:t>摇床分选机</w:t>
                  </w:r>
                </w:p>
              </w:tc>
              <w:tc>
                <w:tcPr>
                  <w:tcW w:w="193" w:type="pct"/>
                  <w:shd w:val="clear" w:color="auto" w:fill="auto"/>
                  <w:vAlign w:val="center"/>
                </w:tcPr>
                <w:p w14:paraId="56240BEF">
                  <w:pPr>
                    <w:pStyle w:val="71"/>
                    <w:spacing w:line="220" w:lineRule="exact"/>
                    <w:jc w:val="center"/>
                    <w:rPr>
                      <w:rFonts w:hint="default" w:ascii="Times New Roman" w:hAnsi="Times New Roman" w:eastAsia="宋体" w:cs="Times New Roman"/>
                      <w:color w:val="auto"/>
                      <w:spacing w:val="-17"/>
                      <w:sz w:val="18"/>
                      <w:szCs w:val="18"/>
                      <w:highlight w:val="none"/>
                      <w:lang w:val="en-US" w:eastAsia="zh-CN"/>
                    </w:rPr>
                  </w:pPr>
                  <w:r>
                    <w:rPr>
                      <w:rFonts w:hint="eastAsia" w:ascii="Times New Roman" w:hAnsi="Times New Roman" w:eastAsia="宋体" w:cs="Times New Roman"/>
                      <w:color w:val="auto"/>
                      <w:spacing w:val="-17"/>
                      <w:sz w:val="18"/>
                      <w:szCs w:val="18"/>
                      <w:highlight w:val="none"/>
                      <w:lang w:val="en-US" w:eastAsia="zh-CN"/>
                    </w:rPr>
                    <w:t>1</w:t>
                  </w:r>
                </w:p>
              </w:tc>
              <w:tc>
                <w:tcPr>
                  <w:tcW w:w="622" w:type="dxa"/>
                  <w:shd w:val="clear" w:color="auto" w:fill="auto"/>
                  <w:vAlign w:val="bottom"/>
                </w:tcPr>
                <w:p w14:paraId="1A11D924">
                  <w:pPr>
                    <w:pStyle w:val="71"/>
                    <w:spacing w:line="220" w:lineRule="exact"/>
                    <w:jc w:val="center"/>
                    <w:rPr>
                      <w:rFonts w:hint="default"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85</w:t>
                  </w:r>
                </w:p>
              </w:tc>
              <w:tc>
                <w:tcPr>
                  <w:tcW w:w="314" w:type="pct"/>
                  <w:vMerge w:val="restart"/>
                  <w:vAlign w:val="center"/>
                </w:tcPr>
                <w:p w14:paraId="0ACB08BC">
                  <w:pPr>
                    <w:pStyle w:val="71"/>
                    <w:spacing w:line="220" w:lineRule="exact"/>
                    <w:rPr>
                      <w:rFonts w:hint="eastAsia" w:ascii="Times New Roman" w:hAnsi="Times New Roman" w:eastAsia="宋体" w:cs="Times New Roman"/>
                      <w:color w:val="auto"/>
                      <w:spacing w:val="-17"/>
                      <w:kern w:val="2"/>
                      <w:sz w:val="18"/>
                      <w:szCs w:val="18"/>
                      <w:lang w:val="en-US" w:eastAsia="zh-CN" w:bidi="ar-SA"/>
                    </w:rPr>
                  </w:pPr>
                  <w:r>
                    <w:rPr>
                      <w:rFonts w:hint="eastAsia" w:ascii="Times New Roman" w:hAnsi="Times New Roman" w:eastAsia="宋体" w:cs="Times New Roman"/>
                      <w:color w:val="auto"/>
                      <w:spacing w:val="-17"/>
                      <w:kern w:val="2"/>
                      <w:sz w:val="18"/>
                      <w:szCs w:val="18"/>
                      <w:lang w:val="en-US" w:eastAsia="zh-CN" w:bidi="ar-SA"/>
                    </w:rPr>
                    <w:t>低噪音设备+封闭厂房（双层彩钢结构、内置隔音棉）+基础减振</w:t>
                  </w:r>
                </w:p>
              </w:tc>
              <w:tc>
                <w:tcPr>
                  <w:tcW w:w="428" w:type="dxa"/>
                  <w:shd w:val="clear" w:color="auto" w:fill="FFFFFF"/>
                  <w:vAlign w:val="bottom"/>
                </w:tcPr>
                <w:p w14:paraId="59880C40">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28</w:t>
                  </w:r>
                </w:p>
              </w:tc>
              <w:tc>
                <w:tcPr>
                  <w:tcW w:w="504" w:type="dxa"/>
                  <w:shd w:val="clear" w:color="auto" w:fill="FFFFFF"/>
                  <w:vAlign w:val="bottom"/>
                </w:tcPr>
                <w:p w14:paraId="6FF186F0">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47.7</w:t>
                  </w:r>
                </w:p>
              </w:tc>
              <w:tc>
                <w:tcPr>
                  <w:tcW w:w="503" w:type="dxa"/>
                  <w:shd w:val="clear" w:color="auto" w:fill="FFFFFF"/>
                  <w:vAlign w:val="bottom"/>
                </w:tcPr>
                <w:p w14:paraId="6F1066D2">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32.3</w:t>
                  </w:r>
                </w:p>
              </w:tc>
              <w:tc>
                <w:tcPr>
                  <w:tcW w:w="525" w:type="dxa"/>
                  <w:shd w:val="clear" w:color="auto" w:fill="FFFFFF"/>
                  <w:vAlign w:val="bottom"/>
                </w:tcPr>
                <w:p w14:paraId="49EDD61B">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10.3</w:t>
                  </w:r>
                </w:p>
              </w:tc>
              <w:tc>
                <w:tcPr>
                  <w:tcW w:w="483" w:type="dxa"/>
                  <w:shd w:val="clear" w:color="auto" w:fill="FFFFFF"/>
                  <w:vAlign w:val="bottom"/>
                </w:tcPr>
                <w:p w14:paraId="12D57B1F">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53.5</w:t>
                  </w:r>
                </w:p>
              </w:tc>
              <w:tc>
                <w:tcPr>
                  <w:tcW w:w="482" w:type="dxa"/>
                  <w:shd w:val="clear" w:color="auto" w:fill="FFFFFF"/>
                  <w:vAlign w:val="bottom"/>
                </w:tcPr>
                <w:p w14:paraId="284EF21C">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53.1</w:t>
                  </w:r>
                </w:p>
              </w:tc>
              <w:tc>
                <w:tcPr>
                  <w:tcW w:w="546" w:type="dxa"/>
                  <w:shd w:val="clear" w:color="auto" w:fill="FFFFFF"/>
                  <w:vAlign w:val="bottom"/>
                </w:tcPr>
                <w:p w14:paraId="12218FB4">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53.3</w:t>
                  </w:r>
                </w:p>
              </w:tc>
              <w:tc>
                <w:tcPr>
                  <w:tcW w:w="579" w:type="dxa"/>
                  <w:shd w:val="clear" w:color="auto" w:fill="FFFFFF"/>
                  <w:vAlign w:val="bottom"/>
                </w:tcPr>
                <w:p w14:paraId="36E58AAD">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56.3</w:t>
                  </w:r>
                </w:p>
              </w:tc>
              <w:tc>
                <w:tcPr>
                  <w:tcW w:w="262" w:type="pct"/>
                  <w:vMerge w:val="restart"/>
                  <w:vAlign w:val="center"/>
                </w:tcPr>
                <w:p w14:paraId="2F0B71AD">
                  <w:pPr>
                    <w:spacing w:line="220" w:lineRule="exact"/>
                    <w:jc w:val="center"/>
                    <w:rPr>
                      <w:rFonts w:hint="default" w:ascii="Times New Roman" w:hAnsi="Times New Roman" w:eastAsia="宋体" w:cs="Times New Roman"/>
                      <w:color w:val="auto"/>
                      <w:spacing w:val="-20"/>
                      <w:sz w:val="18"/>
                      <w:szCs w:val="18"/>
                      <w:lang w:val="en-US" w:eastAsia="zh-CN"/>
                    </w:rPr>
                  </w:pPr>
                  <w:r>
                    <w:rPr>
                      <w:rFonts w:hint="eastAsia" w:ascii="Times New Roman" w:hAnsi="Times New Roman" w:eastAsia="宋体" w:cs="Times New Roman"/>
                      <w:color w:val="auto"/>
                      <w:spacing w:val="-20"/>
                      <w:sz w:val="18"/>
                      <w:szCs w:val="18"/>
                      <w:lang w:val="en-US" w:eastAsia="zh-CN"/>
                    </w:rPr>
                    <w:t>全天运行</w:t>
                  </w:r>
                </w:p>
              </w:tc>
              <w:tc>
                <w:tcPr>
                  <w:tcW w:w="331" w:type="pct"/>
                  <w:shd w:val="clear" w:color="auto" w:fill="FFFFFF"/>
                  <w:vAlign w:val="center"/>
                </w:tcPr>
                <w:p w14:paraId="3EE3BB29">
                  <w:pPr>
                    <w:pStyle w:val="71"/>
                    <w:spacing w:line="220" w:lineRule="exact"/>
                    <w:jc w:val="center"/>
                    <w:rPr>
                      <w:rFonts w:hint="default" w:ascii="Times New Roman" w:hAnsi="Times New Roman" w:eastAsia="宋体" w:cs="Times New Roman"/>
                      <w:color w:val="auto"/>
                      <w:spacing w:val="-17"/>
                      <w:sz w:val="18"/>
                      <w:szCs w:val="18"/>
                      <w:highlight w:val="none"/>
                      <w:lang w:val="en-US" w:eastAsia="zh-CN"/>
                    </w:rPr>
                  </w:pPr>
                  <w:r>
                    <w:rPr>
                      <w:rFonts w:hint="eastAsia" w:ascii="Times New Roman" w:hAnsi="Times New Roman" w:eastAsia="宋体" w:cs="Times New Roman"/>
                      <w:color w:val="auto"/>
                      <w:spacing w:val="-17"/>
                      <w:sz w:val="18"/>
                      <w:szCs w:val="18"/>
                      <w:highlight w:val="none"/>
                      <w:lang w:val="en-US" w:eastAsia="zh-CN"/>
                    </w:rPr>
                    <w:t>31.0</w:t>
                  </w:r>
                </w:p>
              </w:tc>
              <w:tc>
                <w:tcPr>
                  <w:tcW w:w="397" w:type="dxa"/>
                  <w:shd w:val="clear" w:color="auto" w:fill="FFFFFF"/>
                  <w:vAlign w:val="bottom"/>
                </w:tcPr>
                <w:p w14:paraId="158973EA">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22.5</w:t>
                  </w:r>
                </w:p>
              </w:tc>
              <w:tc>
                <w:tcPr>
                  <w:tcW w:w="439" w:type="dxa"/>
                  <w:shd w:val="clear" w:color="auto" w:fill="FFFFFF"/>
                  <w:vAlign w:val="bottom"/>
                </w:tcPr>
                <w:p w14:paraId="425F2286">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22.1</w:t>
                  </w:r>
                </w:p>
              </w:tc>
              <w:tc>
                <w:tcPr>
                  <w:tcW w:w="418" w:type="dxa"/>
                  <w:shd w:val="clear" w:color="auto" w:fill="FFFFFF"/>
                  <w:vAlign w:val="bottom"/>
                </w:tcPr>
                <w:p w14:paraId="6F450531">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22.3</w:t>
                  </w:r>
                </w:p>
              </w:tc>
              <w:tc>
                <w:tcPr>
                  <w:tcW w:w="396" w:type="dxa"/>
                  <w:shd w:val="clear" w:color="auto" w:fill="FFFFFF"/>
                  <w:vAlign w:val="bottom"/>
                </w:tcPr>
                <w:p w14:paraId="7A979B88">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25.3</w:t>
                  </w:r>
                </w:p>
              </w:tc>
              <w:tc>
                <w:tcPr>
                  <w:tcW w:w="411" w:type="pct"/>
                  <w:shd w:val="clear" w:color="auto" w:fill="FFFFFF"/>
                  <w:vAlign w:val="center"/>
                </w:tcPr>
                <w:p w14:paraId="3CD11142">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eastAsia" w:ascii="Times New Roman" w:hAnsi="Times New Roman" w:eastAsia="宋体" w:cs="Times New Roman"/>
                      <w:color w:val="auto"/>
                      <w:spacing w:val="-17"/>
                      <w:sz w:val="18"/>
                      <w:szCs w:val="18"/>
                      <w:highlight w:val="none"/>
                      <w:lang w:val="en-US" w:eastAsia="zh-CN"/>
                    </w:rPr>
                    <w:t>1</w:t>
                  </w:r>
                </w:p>
              </w:tc>
            </w:tr>
            <w:tr w14:paraId="757864D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1" w:hRule="exact"/>
                <w:jc w:val="center"/>
              </w:trPr>
              <w:tc>
                <w:tcPr>
                  <w:tcW w:w="176" w:type="pct"/>
                  <w:shd w:val="clear" w:color="auto" w:fill="auto"/>
                  <w:vAlign w:val="center"/>
                </w:tcPr>
                <w:p w14:paraId="4247657E">
                  <w:pPr>
                    <w:spacing w:line="220" w:lineRule="exact"/>
                    <w:jc w:val="center"/>
                    <w:rPr>
                      <w:rFonts w:hint="default" w:ascii="Times New Roman" w:hAnsi="Times New Roman" w:eastAsia="宋体" w:cs="Times New Roman"/>
                      <w:color w:val="auto"/>
                      <w:spacing w:val="-17"/>
                      <w:kern w:val="2"/>
                      <w:sz w:val="18"/>
                      <w:szCs w:val="18"/>
                      <w:highlight w:val="none"/>
                      <w:lang w:val="en-US" w:eastAsia="zh-CN" w:bidi="ar-SA"/>
                    </w:rPr>
                  </w:pPr>
                  <w:r>
                    <w:rPr>
                      <w:rFonts w:hint="eastAsia" w:cs="Times New Roman"/>
                      <w:color w:val="auto"/>
                      <w:spacing w:val="-17"/>
                      <w:sz w:val="18"/>
                      <w:szCs w:val="18"/>
                      <w:highlight w:val="none"/>
                      <w:lang w:val="en-US" w:eastAsia="zh-CN"/>
                    </w:rPr>
                    <w:t>24</w:t>
                  </w:r>
                </w:p>
              </w:tc>
              <w:tc>
                <w:tcPr>
                  <w:tcW w:w="176" w:type="pct"/>
                  <w:vMerge w:val="continue"/>
                  <w:vAlign w:val="center"/>
                </w:tcPr>
                <w:p w14:paraId="298D565D">
                  <w:pPr>
                    <w:spacing w:line="220" w:lineRule="exact"/>
                    <w:jc w:val="center"/>
                    <w:rPr>
                      <w:rFonts w:hint="eastAsia" w:ascii="Times New Roman" w:hAnsi="Times New Roman" w:cs="Times New Roman"/>
                      <w:color w:val="auto"/>
                      <w:spacing w:val="-17"/>
                      <w:kern w:val="2"/>
                      <w:sz w:val="18"/>
                      <w:szCs w:val="18"/>
                      <w:lang w:val="en-US" w:eastAsia="zh-CN" w:bidi="ar-SA"/>
                    </w:rPr>
                  </w:pPr>
                </w:p>
              </w:tc>
              <w:tc>
                <w:tcPr>
                  <w:tcW w:w="211" w:type="pct"/>
                  <w:vMerge w:val="continue"/>
                  <w:vAlign w:val="center"/>
                </w:tcPr>
                <w:p w14:paraId="6221DE37">
                  <w:pPr>
                    <w:spacing w:line="220" w:lineRule="exact"/>
                    <w:jc w:val="center"/>
                    <w:rPr>
                      <w:rFonts w:hint="eastAsia" w:ascii="Times New Roman" w:hAnsi="Times New Roman" w:cs="Times New Roman"/>
                      <w:color w:val="auto"/>
                      <w:spacing w:val="-17"/>
                      <w:sz w:val="18"/>
                      <w:szCs w:val="18"/>
                      <w:lang w:val="en-US" w:eastAsia="zh-CN"/>
                    </w:rPr>
                  </w:pPr>
                </w:p>
              </w:tc>
              <w:tc>
                <w:tcPr>
                  <w:tcW w:w="379" w:type="pct"/>
                  <w:shd w:val="clear" w:color="auto" w:fill="auto"/>
                  <w:vAlign w:val="center"/>
                </w:tcPr>
                <w:p w14:paraId="67E06169">
                  <w:pPr>
                    <w:pStyle w:val="71"/>
                    <w:spacing w:line="220" w:lineRule="exact"/>
                    <w:jc w:val="center"/>
                    <w:rPr>
                      <w:rFonts w:hint="eastAsia" w:ascii="Times New Roman" w:hAnsi="Times New Roman" w:eastAsia="宋体" w:cs="Times New Roman"/>
                      <w:color w:val="auto"/>
                      <w:spacing w:val="-17"/>
                      <w:kern w:val="0"/>
                      <w:sz w:val="18"/>
                      <w:szCs w:val="18"/>
                      <w:highlight w:val="none"/>
                      <w:lang w:val="en-US" w:eastAsia="zh-CN" w:bidi="ar-SA"/>
                    </w:rPr>
                  </w:pPr>
                  <w:r>
                    <w:rPr>
                      <w:rFonts w:hint="eastAsia" w:ascii="Times New Roman" w:hAnsi="Times New Roman" w:cs="Times New Roman"/>
                      <w:color w:val="auto"/>
                      <w:spacing w:val="-17"/>
                      <w:sz w:val="18"/>
                      <w:szCs w:val="18"/>
                      <w:highlight w:val="none"/>
                      <w:lang w:val="en-US" w:eastAsia="zh-CN"/>
                    </w:rPr>
                    <w:t>2</w:t>
                  </w:r>
                  <w:r>
                    <w:rPr>
                      <w:rFonts w:hint="eastAsia" w:ascii="Times New Roman" w:hAnsi="Times New Roman" w:eastAsia="宋体" w:cs="Times New Roman"/>
                      <w:color w:val="auto"/>
                      <w:spacing w:val="-17"/>
                      <w:sz w:val="18"/>
                      <w:szCs w:val="18"/>
                      <w:highlight w:val="none"/>
                      <w:vertAlign w:val="superscript"/>
                      <w:lang w:val="en-US" w:eastAsia="zh-CN"/>
                    </w:rPr>
                    <w:t>#</w:t>
                  </w:r>
                  <w:r>
                    <w:rPr>
                      <w:rFonts w:hint="eastAsia" w:ascii="Times New Roman" w:hAnsi="Times New Roman" w:eastAsia="宋体" w:cs="Times New Roman"/>
                      <w:color w:val="auto"/>
                      <w:spacing w:val="-17"/>
                      <w:sz w:val="18"/>
                      <w:szCs w:val="18"/>
                      <w:highlight w:val="none"/>
                      <w:lang w:val="en-US" w:eastAsia="zh-CN"/>
                    </w:rPr>
                    <w:t>摇床分选机</w:t>
                  </w:r>
                </w:p>
              </w:tc>
              <w:tc>
                <w:tcPr>
                  <w:tcW w:w="193" w:type="pct"/>
                  <w:shd w:val="clear" w:color="auto" w:fill="auto"/>
                  <w:vAlign w:val="center"/>
                </w:tcPr>
                <w:p w14:paraId="6939B57F">
                  <w:pPr>
                    <w:pStyle w:val="71"/>
                    <w:spacing w:line="220" w:lineRule="exact"/>
                    <w:jc w:val="center"/>
                    <w:rPr>
                      <w:rFonts w:hint="eastAsia" w:ascii="Times New Roman" w:hAnsi="Times New Roman" w:eastAsia="宋体" w:cs="Times New Roman"/>
                      <w:color w:val="auto"/>
                      <w:spacing w:val="-17"/>
                      <w:kern w:val="0"/>
                      <w:sz w:val="18"/>
                      <w:szCs w:val="18"/>
                      <w:highlight w:val="none"/>
                      <w:lang w:val="en-US" w:eastAsia="zh-CN" w:bidi="ar-SA"/>
                    </w:rPr>
                  </w:pPr>
                  <w:r>
                    <w:rPr>
                      <w:rFonts w:hint="eastAsia" w:ascii="Times New Roman" w:hAnsi="Times New Roman" w:eastAsia="宋体" w:cs="Times New Roman"/>
                      <w:color w:val="auto"/>
                      <w:spacing w:val="-17"/>
                      <w:sz w:val="18"/>
                      <w:szCs w:val="18"/>
                      <w:highlight w:val="none"/>
                      <w:lang w:val="en-US" w:eastAsia="zh-CN"/>
                    </w:rPr>
                    <w:t>1</w:t>
                  </w:r>
                </w:p>
              </w:tc>
              <w:tc>
                <w:tcPr>
                  <w:tcW w:w="622" w:type="dxa"/>
                  <w:shd w:val="clear" w:color="auto" w:fill="auto"/>
                  <w:vAlign w:val="bottom"/>
                </w:tcPr>
                <w:p w14:paraId="143FC5DE">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85</w:t>
                  </w:r>
                </w:p>
              </w:tc>
              <w:tc>
                <w:tcPr>
                  <w:tcW w:w="314" w:type="pct"/>
                  <w:vMerge w:val="continue"/>
                  <w:vAlign w:val="center"/>
                </w:tcPr>
                <w:p w14:paraId="14E7FF9B">
                  <w:pPr>
                    <w:spacing w:line="220" w:lineRule="exact"/>
                    <w:jc w:val="center"/>
                    <w:rPr>
                      <w:rFonts w:hint="eastAsia"/>
                      <w:color w:val="auto"/>
                      <w:spacing w:val="-17"/>
                      <w:sz w:val="18"/>
                      <w:szCs w:val="18"/>
                      <w:lang w:val="en-US" w:eastAsia="zh-CN"/>
                    </w:rPr>
                  </w:pPr>
                </w:p>
              </w:tc>
              <w:tc>
                <w:tcPr>
                  <w:tcW w:w="428" w:type="dxa"/>
                  <w:shd w:val="clear" w:color="auto" w:fill="FFFFFF"/>
                  <w:vAlign w:val="bottom"/>
                </w:tcPr>
                <w:p w14:paraId="60E94843">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27.4</w:t>
                  </w:r>
                </w:p>
              </w:tc>
              <w:tc>
                <w:tcPr>
                  <w:tcW w:w="504" w:type="dxa"/>
                  <w:shd w:val="clear" w:color="auto" w:fill="FFFFFF"/>
                  <w:vAlign w:val="bottom"/>
                </w:tcPr>
                <w:p w14:paraId="5FEAD3A2">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47.6</w:t>
                  </w:r>
                </w:p>
              </w:tc>
              <w:tc>
                <w:tcPr>
                  <w:tcW w:w="503" w:type="dxa"/>
                  <w:shd w:val="clear" w:color="auto" w:fill="FFFFFF"/>
                  <w:vAlign w:val="bottom"/>
                </w:tcPr>
                <w:p w14:paraId="19A9B72A">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33</w:t>
                  </w:r>
                </w:p>
              </w:tc>
              <w:tc>
                <w:tcPr>
                  <w:tcW w:w="525" w:type="dxa"/>
                  <w:shd w:val="clear" w:color="auto" w:fill="FFFFFF"/>
                  <w:vAlign w:val="bottom"/>
                </w:tcPr>
                <w:p w14:paraId="0186EA89">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10.5</w:t>
                  </w:r>
                </w:p>
              </w:tc>
              <w:tc>
                <w:tcPr>
                  <w:tcW w:w="483" w:type="dxa"/>
                  <w:shd w:val="clear" w:color="auto" w:fill="FFFFFF"/>
                  <w:vAlign w:val="bottom"/>
                </w:tcPr>
                <w:p w14:paraId="7CCFFA0B">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53.5</w:t>
                  </w:r>
                </w:p>
              </w:tc>
              <w:tc>
                <w:tcPr>
                  <w:tcW w:w="482" w:type="dxa"/>
                  <w:shd w:val="clear" w:color="auto" w:fill="FFFFFF"/>
                  <w:vAlign w:val="bottom"/>
                </w:tcPr>
                <w:p w14:paraId="4AC59580">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53.1</w:t>
                  </w:r>
                </w:p>
              </w:tc>
              <w:tc>
                <w:tcPr>
                  <w:tcW w:w="546" w:type="dxa"/>
                  <w:shd w:val="clear" w:color="auto" w:fill="FFFFFF"/>
                  <w:vAlign w:val="bottom"/>
                </w:tcPr>
                <w:p w14:paraId="23AF644F">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53.3</w:t>
                  </w:r>
                </w:p>
              </w:tc>
              <w:tc>
                <w:tcPr>
                  <w:tcW w:w="579" w:type="dxa"/>
                  <w:shd w:val="clear" w:color="auto" w:fill="FFFFFF"/>
                  <w:vAlign w:val="bottom"/>
                </w:tcPr>
                <w:p w14:paraId="392D55C0">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56.2</w:t>
                  </w:r>
                </w:p>
              </w:tc>
              <w:tc>
                <w:tcPr>
                  <w:tcW w:w="262" w:type="pct"/>
                  <w:vMerge w:val="continue"/>
                  <w:vAlign w:val="center"/>
                </w:tcPr>
                <w:p w14:paraId="2E3F6EDC">
                  <w:pPr>
                    <w:pStyle w:val="71"/>
                    <w:spacing w:line="220" w:lineRule="exact"/>
                    <w:jc w:val="center"/>
                    <w:rPr>
                      <w:rFonts w:hint="default" w:ascii="Times New Roman" w:hAnsi="Times New Roman" w:eastAsia="宋体" w:cs="Calibri"/>
                      <w:color w:val="auto"/>
                      <w:spacing w:val="-17"/>
                      <w:kern w:val="0"/>
                      <w:sz w:val="18"/>
                      <w:szCs w:val="18"/>
                      <w:lang w:val="en-US" w:eastAsia="zh-CN" w:bidi="ar-SA"/>
                    </w:rPr>
                  </w:pPr>
                </w:p>
              </w:tc>
              <w:tc>
                <w:tcPr>
                  <w:tcW w:w="331" w:type="pct"/>
                  <w:shd w:val="clear" w:color="auto" w:fill="FFFFFF"/>
                  <w:vAlign w:val="center"/>
                </w:tcPr>
                <w:p w14:paraId="7B8A70B5">
                  <w:pPr>
                    <w:pStyle w:val="71"/>
                    <w:spacing w:line="220" w:lineRule="exact"/>
                    <w:jc w:val="center"/>
                    <w:rPr>
                      <w:rFonts w:hint="default" w:ascii="Times New Roman" w:hAnsi="Times New Roman" w:eastAsia="宋体" w:cs="Times New Roman"/>
                      <w:color w:val="auto"/>
                      <w:spacing w:val="-17"/>
                      <w:sz w:val="18"/>
                      <w:szCs w:val="18"/>
                      <w:highlight w:val="none"/>
                      <w:lang w:val="en-US" w:eastAsia="zh-CN"/>
                    </w:rPr>
                  </w:pPr>
                  <w:r>
                    <w:rPr>
                      <w:rFonts w:hint="eastAsia" w:ascii="Times New Roman" w:hAnsi="Times New Roman" w:eastAsia="宋体" w:cs="Times New Roman"/>
                      <w:color w:val="auto"/>
                      <w:spacing w:val="-17"/>
                      <w:sz w:val="18"/>
                      <w:szCs w:val="18"/>
                      <w:highlight w:val="none"/>
                      <w:lang w:val="en-US" w:eastAsia="zh-CN"/>
                    </w:rPr>
                    <w:t>31.0</w:t>
                  </w:r>
                </w:p>
              </w:tc>
              <w:tc>
                <w:tcPr>
                  <w:tcW w:w="397" w:type="dxa"/>
                  <w:shd w:val="clear" w:color="auto" w:fill="FFFFFF"/>
                  <w:vAlign w:val="bottom"/>
                </w:tcPr>
                <w:p w14:paraId="05CCA842">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22.5</w:t>
                  </w:r>
                </w:p>
              </w:tc>
              <w:tc>
                <w:tcPr>
                  <w:tcW w:w="439" w:type="dxa"/>
                  <w:shd w:val="clear" w:color="auto" w:fill="FFFFFF"/>
                  <w:vAlign w:val="bottom"/>
                </w:tcPr>
                <w:p w14:paraId="5951C0E9">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22.1</w:t>
                  </w:r>
                </w:p>
              </w:tc>
              <w:tc>
                <w:tcPr>
                  <w:tcW w:w="418" w:type="dxa"/>
                  <w:shd w:val="clear" w:color="auto" w:fill="FFFFFF"/>
                  <w:vAlign w:val="bottom"/>
                </w:tcPr>
                <w:p w14:paraId="28E16748">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22.3</w:t>
                  </w:r>
                </w:p>
              </w:tc>
              <w:tc>
                <w:tcPr>
                  <w:tcW w:w="396" w:type="dxa"/>
                  <w:shd w:val="clear" w:color="auto" w:fill="FFFFFF"/>
                  <w:vAlign w:val="bottom"/>
                </w:tcPr>
                <w:p w14:paraId="664F1521">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25.2</w:t>
                  </w:r>
                </w:p>
              </w:tc>
              <w:tc>
                <w:tcPr>
                  <w:tcW w:w="411" w:type="pct"/>
                  <w:shd w:val="clear" w:color="auto" w:fill="FFFFFF"/>
                  <w:vAlign w:val="center"/>
                </w:tcPr>
                <w:p w14:paraId="6801D57F">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eastAsia" w:ascii="Times New Roman" w:hAnsi="Times New Roman" w:eastAsia="宋体" w:cs="Times New Roman"/>
                      <w:color w:val="auto"/>
                      <w:spacing w:val="-17"/>
                      <w:sz w:val="18"/>
                      <w:szCs w:val="18"/>
                      <w:highlight w:val="none"/>
                      <w:lang w:val="en-US" w:eastAsia="zh-CN"/>
                    </w:rPr>
                    <w:t>1</w:t>
                  </w:r>
                </w:p>
              </w:tc>
            </w:tr>
            <w:tr w14:paraId="3EA1B4B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341" w:hRule="exact"/>
                <w:jc w:val="center"/>
              </w:trPr>
              <w:tc>
                <w:tcPr>
                  <w:tcW w:w="176" w:type="pct"/>
                  <w:shd w:val="clear" w:color="auto" w:fill="auto"/>
                  <w:vAlign w:val="center"/>
                </w:tcPr>
                <w:p w14:paraId="26C07CD3">
                  <w:pPr>
                    <w:spacing w:line="220" w:lineRule="exact"/>
                    <w:jc w:val="center"/>
                    <w:rPr>
                      <w:rFonts w:hint="default" w:ascii="Times New Roman" w:hAnsi="Times New Roman" w:eastAsia="宋体" w:cs="Times New Roman"/>
                      <w:color w:val="auto"/>
                      <w:spacing w:val="-17"/>
                      <w:kern w:val="2"/>
                      <w:sz w:val="18"/>
                      <w:szCs w:val="18"/>
                      <w:highlight w:val="none"/>
                      <w:lang w:val="en-US" w:eastAsia="zh-CN" w:bidi="ar-SA"/>
                    </w:rPr>
                  </w:pPr>
                  <w:r>
                    <w:rPr>
                      <w:rFonts w:hint="eastAsia" w:cs="Times New Roman"/>
                      <w:color w:val="auto"/>
                      <w:spacing w:val="-17"/>
                      <w:sz w:val="18"/>
                      <w:szCs w:val="18"/>
                      <w:highlight w:val="none"/>
                      <w:lang w:val="en-US" w:eastAsia="zh-CN"/>
                    </w:rPr>
                    <w:t>25</w:t>
                  </w:r>
                </w:p>
              </w:tc>
              <w:tc>
                <w:tcPr>
                  <w:tcW w:w="176" w:type="pct"/>
                  <w:vMerge w:val="continue"/>
                  <w:vAlign w:val="center"/>
                </w:tcPr>
                <w:p w14:paraId="14489C81">
                  <w:pPr>
                    <w:spacing w:line="220" w:lineRule="exact"/>
                    <w:jc w:val="center"/>
                    <w:rPr>
                      <w:rFonts w:hint="eastAsia" w:ascii="Times New Roman" w:hAnsi="Times New Roman" w:cs="Times New Roman"/>
                      <w:color w:val="auto"/>
                      <w:spacing w:val="-17"/>
                      <w:kern w:val="2"/>
                      <w:sz w:val="18"/>
                      <w:szCs w:val="18"/>
                      <w:lang w:val="en-US" w:eastAsia="zh-CN" w:bidi="ar-SA"/>
                    </w:rPr>
                  </w:pPr>
                </w:p>
              </w:tc>
              <w:tc>
                <w:tcPr>
                  <w:tcW w:w="211" w:type="pct"/>
                  <w:vMerge w:val="continue"/>
                  <w:vAlign w:val="center"/>
                </w:tcPr>
                <w:p w14:paraId="02198C3F">
                  <w:pPr>
                    <w:spacing w:line="220" w:lineRule="exact"/>
                    <w:jc w:val="center"/>
                    <w:rPr>
                      <w:rFonts w:hint="eastAsia" w:ascii="Times New Roman" w:hAnsi="Times New Roman" w:cs="Times New Roman"/>
                      <w:color w:val="auto"/>
                      <w:spacing w:val="-17"/>
                      <w:sz w:val="18"/>
                      <w:szCs w:val="18"/>
                      <w:lang w:val="en-US" w:eastAsia="zh-CN"/>
                    </w:rPr>
                  </w:pPr>
                </w:p>
              </w:tc>
              <w:tc>
                <w:tcPr>
                  <w:tcW w:w="379" w:type="pct"/>
                  <w:shd w:val="clear" w:color="auto" w:fill="auto"/>
                  <w:vAlign w:val="center"/>
                </w:tcPr>
                <w:p w14:paraId="42DCA75A">
                  <w:pPr>
                    <w:pStyle w:val="71"/>
                    <w:spacing w:line="220" w:lineRule="exact"/>
                    <w:jc w:val="center"/>
                    <w:rPr>
                      <w:rFonts w:hint="eastAsia" w:ascii="Times New Roman" w:hAnsi="Times New Roman" w:eastAsia="宋体" w:cs="Times New Roman"/>
                      <w:color w:val="auto"/>
                      <w:spacing w:val="-17"/>
                      <w:kern w:val="0"/>
                      <w:sz w:val="18"/>
                      <w:szCs w:val="18"/>
                      <w:highlight w:val="none"/>
                      <w:lang w:val="en-US" w:eastAsia="zh-CN" w:bidi="ar-SA"/>
                    </w:rPr>
                  </w:pPr>
                  <w:r>
                    <w:rPr>
                      <w:rFonts w:hint="eastAsia" w:ascii="Times New Roman" w:hAnsi="Times New Roman" w:cs="Times New Roman"/>
                      <w:color w:val="auto"/>
                      <w:spacing w:val="-17"/>
                      <w:sz w:val="18"/>
                      <w:szCs w:val="18"/>
                      <w:highlight w:val="none"/>
                      <w:lang w:val="en-US" w:eastAsia="zh-CN"/>
                    </w:rPr>
                    <w:t>3</w:t>
                  </w:r>
                  <w:r>
                    <w:rPr>
                      <w:rFonts w:hint="eastAsia" w:ascii="Times New Roman" w:hAnsi="Times New Roman" w:eastAsia="宋体" w:cs="Times New Roman"/>
                      <w:color w:val="auto"/>
                      <w:spacing w:val="-17"/>
                      <w:sz w:val="18"/>
                      <w:szCs w:val="18"/>
                      <w:highlight w:val="none"/>
                      <w:vertAlign w:val="superscript"/>
                      <w:lang w:val="en-US" w:eastAsia="zh-CN"/>
                    </w:rPr>
                    <w:t>#</w:t>
                  </w:r>
                  <w:r>
                    <w:rPr>
                      <w:rFonts w:hint="eastAsia" w:ascii="Times New Roman" w:hAnsi="Times New Roman" w:eastAsia="宋体" w:cs="Times New Roman"/>
                      <w:color w:val="auto"/>
                      <w:spacing w:val="-17"/>
                      <w:sz w:val="18"/>
                      <w:szCs w:val="18"/>
                      <w:highlight w:val="none"/>
                      <w:lang w:val="en-US" w:eastAsia="zh-CN"/>
                    </w:rPr>
                    <w:t>摇床分选机</w:t>
                  </w:r>
                </w:p>
              </w:tc>
              <w:tc>
                <w:tcPr>
                  <w:tcW w:w="193" w:type="pct"/>
                  <w:shd w:val="clear" w:color="auto" w:fill="auto"/>
                  <w:vAlign w:val="center"/>
                </w:tcPr>
                <w:p w14:paraId="008EF443">
                  <w:pPr>
                    <w:pStyle w:val="71"/>
                    <w:spacing w:line="220" w:lineRule="exact"/>
                    <w:jc w:val="center"/>
                    <w:rPr>
                      <w:rFonts w:hint="eastAsia" w:ascii="Times New Roman" w:hAnsi="Times New Roman" w:eastAsia="宋体" w:cs="Times New Roman"/>
                      <w:color w:val="auto"/>
                      <w:spacing w:val="-17"/>
                      <w:kern w:val="0"/>
                      <w:sz w:val="18"/>
                      <w:szCs w:val="18"/>
                      <w:highlight w:val="none"/>
                      <w:lang w:val="en-US" w:eastAsia="zh-CN" w:bidi="ar-SA"/>
                    </w:rPr>
                  </w:pPr>
                  <w:r>
                    <w:rPr>
                      <w:rFonts w:hint="eastAsia" w:ascii="Times New Roman" w:hAnsi="Times New Roman" w:eastAsia="宋体" w:cs="Times New Roman"/>
                      <w:color w:val="auto"/>
                      <w:spacing w:val="-17"/>
                      <w:sz w:val="18"/>
                      <w:szCs w:val="18"/>
                      <w:highlight w:val="none"/>
                      <w:lang w:val="en-US" w:eastAsia="zh-CN"/>
                    </w:rPr>
                    <w:t>1</w:t>
                  </w:r>
                </w:p>
              </w:tc>
              <w:tc>
                <w:tcPr>
                  <w:tcW w:w="622" w:type="dxa"/>
                  <w:shd w:val="clear" w:color="auto" w:fill="auto"/>
                  <w:vAlign w:val="bottom"/>
                </w:tcPr>
                <w:p w14:paraId="4D0BB090">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85</w:t>
                  </w:r>
                </w:p>
              </w:tc>
              <w:tc>
                <w:tcPr>
                  <w:tcW w:w="314" w:type="pct"/>
                  <w:vMerge w:val="continue"/>
                  <w:vAlign w:val="center"/>
                </w:tcPr>
                <w:p w14:paraId="220F679E">
                  <w:pPr>
                    <w:spacing w:line="220" w:lineRule="exact"/>
                    <w:jc w:val="center"/>
                    <w:rPr>
                      <w:rFonts w:hint="eastAsia"/>
                      <w:color w:val="auto"/>
                      <w:spacing w:val="-17"/>
                      <w:sz w:val="18"/>
                      <w:szCs w:val="18"/>
                      <w:lang w:val="en-US" w:eastAsia="zh-CN"/>
                    </w:rPr>
                  </w:pPr>
                </w:p>
              </w:tc>
              <w:tc>
                <w:tcPr>
                  <w:tcW w:w="428" w:type="dxa"/>
                  <w:shd w:val="clear" w:color="auto" w:fill="FFFFFF"/>
                  <w:vAlign w:val="bottom"/>
                </w:tcPr>
                <w:p w14:paraId="4AD99B05">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18.1</w:t>
                  </w:r>
                </w:p>
              </w:tc>
              <w:tc>
                <w:tcPr>
                  <w:tcW w:w="504" w:type="dxa"/>
                  <w:shd w:val="clear" w:color="auto" w:fill="FFFFFF"/>
                  <w:vAlign w:val="bottom"/>
                </w:tcPr>
                <w:p w14:paraId="03AEF3F4">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47</w:t>
                  </w:r>
                </w:p>
              </w:tc>
              <w:tc>
                <w:tcPr>
                  <w:tcW w:w="503" w:type="dxa"/>
                  <w:shd w:val="clear" w:color="auto" w:fill="FFFFFF"/>
                  <w:vAlign w:val="bottom"/>
                </w:tcPr>
                <w:p w14:paraId="03A1E1B2">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42.2</w:t>
                  </w:r>
                </w:p>
              </w:tc>
              <w:tc>
                <w:tcPr>
                  <w:tcW w:w="525" w:type="dxa"/>
                  <w:shd w:val="clear" w:color="auto" w:fill="FFFFFF"/>
                  <w:vAlign w:val="bottom"/>
                </w:tcPr>
                <w:p w14:paraId="3B0FAFCB">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11.1</w:t>
                  </w:r>
                </w:p>
              </w:tc>
              <w:tc>
                <w:tcPr>
                  <w:tcW w:w="483" w:type="dxa"/>
                  <w:shd w:val="clear" w:color="auto" w:fill="FFFFFF"/>
                  <w:vAlign w:val="bottom"/>
                </w:tcPr>
                <w:p w14:paraId="62E65F65">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54.3</w:t>
                  </w:r>
                </w:p>
              </w:tc>
              <w:tc>
                <w:tcPr>
                  <w:tcW w:w="482" w:type="dxa"/>
                  <w:shd w:val="clear" w:color="auto" w:fill="FFFFFF"/>
                  <w:vAlign w:val="bottom"/>
                </w:tcPr>
                <w:p w14:paraId="5B6F7F4D">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53.1</w:t>
                  </w:r>
                </w:p>
              </w:tc>
              <w:tc>
                <w:tcPr>
                  <w:tcW w:w="546" w:type="dxa"/>
                  <w:shd w:val="clear" w:color="auto" w:fill="FFFFFF"/>
                  <w:vAlign w:val="bottom"/>
                </w:tcPr>
                <w:p w14:paraId="7CE151A9">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53.1</w:t>
                  </w:r>
                </w:p>
              </w:tc>
              <w:tc>
                <w:tcPr>
                  <w:tcW w:w="579" w:type="dxa"/>
                  <w:shd w:val="clear" w:color="auto" w:fill="FFFFFF"/>
                  <w:vAlign w:val="bottom"/>
                </w:tcPr>
                <w:p w14:paraId="51547E15">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56</w:t>
                  </w:r>
                </w:p>
              </w:tc>
              <w:tc>
                <w:tcPr>
                  <w:tcW w:w="262" w:type="pct"/>
                  <w:vMerge w:val="continue"/>
                  <w:vAlign w:val="center"/>
                </w:tcPr>
                <w:p w14:paraId="04B7A088">
                  <w:pPr>
                    <w:pStyle w:val="71"/>
                    <w:spacing w:line="220" w:lineRule="exact"/>
                    <w:jc w:val="center"/>
                    <w:rPr>
                      <w:rFonts w:hint="default" w:ascii="Times New Roman" w:hAnsi="Times New Roman" w:eastAsia="宋体" w:cs="Calibri"/>
                      <w:color w:val="auto"/>
                      <w:spacing w:val="-17"/>
                      <w:kern w:val="0"/>
                      <w:sz w:val="18"/>
                      <w:szCs w:val="18"/>
                      <w:lang w:val="en-US" w:eastAsia="zh-CN" w:bidi="ar-SA"/>
                    </w:rPr>
                  </w:pPr>
                </w:p>
              </w:tc>
              <w:tc>
                <w:tcPr>
                  <w:tcW w:w="331" w:type="pct"/>
                  <w:shd w:val="clear" w:color="auto" w:fill="FFFFFF"/>
                  <w:vAlign w:val="center"/>
                </w:tcPr>
                <w:p w14:paraId="6C09B161">
                  <w:pPr>
                    <w:pStyle w:val="71"/>
                    <w:spacing w:line="220" w:lineRule="exact"/>
                    <w:jc w:val="center"/>
                    <w:rPr>
                      <w:rFonts w:hint="default" w:ascii="Times New Roman" w:hAnsi="Times New Roman" w:eastAsia="宋体" w:cs="Times New Roman"/>
                      <w:color w:val="auto"/>
                      <w:spacing w:val="-17"/>
                      <w:sz w:val="18"/>
                      <w:szCs w:val="18"/>
                      <w:highlight w:val="none"/>
                      <w:lang w:val="en-US" w:eastAsia="zh-CN"/>
                    </w:rPr>
                  </w:pPr>
                  <w:r>
                    <w:rPr>
                      <w:rFonts w:hint="eastAsia" w:ascii="Times New Roman" w:hAnsi="Times New Roman" w:eastAsia="宋体" w:cs="Times New Roman"/>
                      <w:color w:val="auto"/>
                      <w:spacing w:val="-17"/>
                      <w:sz w:val="18"/>
                      <w:szCs w:val="18"/>
                      <w:highlight w:val="none"/>
                      <w:lang w:val="en-US" w:eastAsia="zh-CN"/>
                    </w:rPr>
                    <w:t>31.0</w:t>
                  </w:r>
                </w:p>
              </w:tc>
              <w:tc>
                <w:tcPr>
                  <w:tcW w:w="397" w:type="dxa"/>
                  <w:shd w:val="clear" w:color="auto" w:fill="FFFFFF"/>
                  <w:vAlign w:val="bottom"/>
                </w:tcPr>
                <w:p w14:paraId="0E072136">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23.3</w:t>
                  </w:r>
                </w:p>
              </w:tc>
              <w:tc>
                <w:tcPr>
                  <w:tcW w:w="439" w:type="dxa"/>
                  <w:shd w:val="clear" w:color="auto" w:fill="FFFFFF"/>
                  <w:vAlign w:val="bottom"/>
                </w:tcPr>
                <w:p w14:paraId="069474B0">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22.1</w:t>
                  </w:r>
                </w:p>
              </w:tc>
              <w:tc>
                <w:tcPr>
                  <w:tcW w:w="418" w:type="dxa"/>
                  <w:shd w:val="clear" w:color="auto" w:fill="FFFFFF"/>
                  <w:vAlign w:val="bottom"/>
                </w:tcPr>
                <w:p w14:paraId="2B468B2B">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22.1</w:t>
                  </w:r>
                </w:p>
              </w:tc>
              <w:tc>
                <w:tcPr>
                  <w:tcW w:w="396" w:type="dxa"/>
                  <w:shd w:val="clear" w:color="auto" w:fill="FFFFFF"/>
                  <w:vAlign w:val="bottom"/>
                </w:tcPr>
                <w:p w14:paraId="1776AF0E">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25</w:t>
                  </w:r>
                </w:p>
              </w:tc>
              <w:tc>
                <w:tcPr>
                  <w:tcW w:w="411" w:type="pct"/>
                  <w:shd w:val="clear" w:color="auto" w:fill="FFFFFF"/>
                  <w:vAlign w:val="center"/>
                </w:tcPr>
                <w:p w14:paraId="53FD44C3">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eastAsia" w:ascii="Times New Roman" w:hAnsi="Times New Roman" w:eastAsia="宋体" w:cs="Times New Roman"/>
                      <w:color w:val="auto"/>
                      <w:spacing w:val="-17"/>
                      <w:sz w:val="18"/>
                      <w:szCs w:val="18"/>
                      <w:highlight w:val="none"/>
                      <w:lang w:val="en-US" w:eastAsia="zh-CN"/>
                    </w:rPr>
                    <w:t>1</w:t>
                  </w:r>
                </w:p>
              </w:tc>
            </w:tr>
            <w:tr w14:paraId="0F3C57C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1" w:hRule="exact"/>
                <w:jc w:val="center"/>
              </w:trPr>
              <w:tc>
                <w:tcPr>
                  <w:tcW w:w="176" w:type="pct"/>
                  <w:shd w:val="clear" w:color="auto" w:fill="auto"/>
                  <w:vAlign w:val="center"/>
                </w:tcPr>
                <w:p w14:paraId="5D2703A1">
                  <w:pPr>
                    <w:spacing w:line="220" w:lineRule="exact"/>
                    <w:jc w:val="center"/>
                    <w:rPr>
                      <w:rFonts w:hint="default" w:ascii="Times New Roman" w:hAnsi="Times New Roman" w:eastAsia="宋体" w:cs="Times New Roman"/>
                      <w:color w:val="auto"/>
                      <w:spacing w:val="-17"/>
                      <w:kern w:val="2"/>
                      <w:sz w:val="18"/>
                      <w:szCs w:val="18"/>
                      <w:highlight w:val="none"/>
                      <w:lang w:val="en-US" w:eastAsia="zh-CN" w:bidi="ar-SA"/>
                    </w:rPr>
                  </w:pPr>
                  <w:r>
                    <w:rPr>
                      <w:rFonts w:hint="eastAsia" w:cs="Times New Roman"/>
                      <w:color w:val="auto"/>
                      <w:spacing w:val="-17"/>
                      <w:sz w:val="18"/>
                      <w:szCs w:val="18"/>
                      <w:highlight w:val="none"/>
                      <w:lang w:val="en-US" w:eastAsia="zh-CN"/>
                    </w:rPr>
                    <w:t>26</w:t>
                  </w:r>
                </w:p>
              </w:tc>
              <w:tc>
                <w:tcPr>
                  <w:tcW w:w="176" w:type="pct"/>
                  <w:vMerge w:val="continue"/>
                  <w:vAlign w:val="center"/>
                </w:tcPr>
                <w:p w14:paraId="7311BE2E">
                  <w:pPr>
                    <w:spacing w:line="220" w:lineRule="exact"/>
                    <w:jc w:val="center"/>
                    <w:rPr>
                      <w:rFonts w:hint="eastAsia" w:ascii="Times New Roman" w:hAnsi="Times New Roman" w:cs="Times New Roman"/>
                      <w:color w:val="auto"/>
                      <w:spacing w:val="-17"/>
                      <w:kern w:val="2"/>
                      <w:sz w:val="18"/>
                      <w:szCs w:val="18"/>
                      <w:lang w:val="en-US" w:eastAsia="zh-CN" w:bidi="ar-SA"/>
                    </w:rPr>
                  </w:pPr>
                </w:p>
              </w:tc>
              <w:tc>
                <w:tcPr>
                  <w:tcW w:w="211" w:type="pct"/>
                  <w:vMerge w:val="continue"/>
                  <w:vAlign w:val="center"/>
                </w:tcPr>
                <w:p w14:paraId="3E66B2CE">
                  <w:pPr>
                    <w:spacing w:line="220" w:lineRule="exact"/>
                    <w:jc w:val="center"/>
                    <w:rPr>
                      <w:rFonts w:hint="eastAsia" w:ascii="Times New Roman" w:hAnsi="Times New Roman" w:cs="Times New Roman"/>
                      <w:color w:val="auto"/>
                      <w:spacing w:val="-17"/>
                      <w:sz w:val="18"/>
                      <w:szCs w:val="18"/>
                      <w:lang w:val="en-US" w:eastAsia="zh-CN"/>
                    </w:rPr>
                  </w:pPr>
                </w:p>
              </w:tc>
              <w:tc>
                <w:tcPr>
                  <w:tcW w:w="379" w:type="pct"/>
                  <w:shd w:val="clear" w:color="auto" w:fill="auto"/>
                  <w:vAlign w:val="center"/>
                </w:tcPr>
                <w:p w14:paraId="2CA315F9">
                  <w:pPr>
                    <w:pStyle w:val="71"/>
                    <w:spacing w:line="220" w:lineRule="exact"/>
                    <w:jc w:val="center"/>
                    <w:rPr>
                      <w:rFonts w:hint="eastAsia" w:ascii="Times New Roman" w:hAnsi="Times New Roman" w:eastAsia="宋体" w:cs="Times New Roman"/>
                      <w:color w:val="auto"/>
                      <w:spacing w:val="-17"/>
                      <w:kern w:val="0"/>
                      <w:sz w:val="18"/>
                      <w:szCs w:val="18"/>
                      <w:highlight w:val="none"/>
                      <w:lang w:val="en-US" w:eastAsia="zh-CN" w:bidi="ar-SA"/>
                    </w:rPr>
                  </w:pPr>
                  <w:r>
                    <w:rPr>
                      <w:rFonts w:hint="eastAsia" w:ascii="Times New Roman" w:hAnsi="Times New Roman" w:cs="Times New Roman"/>
                      <w:color w:val="auto"/>
                      <w:spacing w:val="-17"/>
                      <w:sz w:val="18"/>
                      <w:szCs w:val="18"/>
                      <w:highlight w:val="none"/>
                      <w:lang w:val="en-US" w:eastAsia="zh-CN"/>
                    </w:rPr>
                    <w:t>4</w:t>
                  </w:r>
                  <w:r>
                    <w:rPr>
                      <w:rFonts w:hint="eastAsia" w:ascii="Times New Roman" w:hAnsi="Times New Roman" w:eastAsia="宋体" w:cs="Times New Roman"/>
                      <w:color w:val="auto"/>
                      <w:spacing w:val="-17"/>
                      <w:sz w:val="18"/>
                      <w:szCs w:val="18"/>
                      <w:highlight w:val="none"/>
                      <w:vertAlign w:val="superscript"/>
                      <w:lang w:val="en-US" w:eastAsia="zh-CN"/>
                    </w:rPr>
                    <w:t>#</w:t>
                  </w:r>
                  <w:r>
                    <w:rPr>
                      <w:rFonts w:hint="eastAsia" w:ascii="Times New Roman" w:hAnsi="Times New Roman" w:eastAsia="宋体" w:cs="Times New Roman"/>
                      <w:color w:val="auto"/>
                      <w:spacing w:val="-17"/>
                      <w:sz w:val="18"/>
                      <w:szCs w:val="18"/>
                      <w:highlight w:val="none"/>
                      <w:lang w:val="en-US" w:eastAsia="zh-CN"/>
                    </w:rPr>
                    <w:t>摇床分选机</w:t>
                  </w:r>
                </w:p>
              </w:tc>
              <w:tc>
                <w:tcPr>
                  <w:tcW w:w="193" w:type="pct"/>
                  <w:shd w:val="clear" w:color="auto" w:fill="auto"/>
                  <w:vAlign w:val="center"/>
                </w:tcPr>
                <w:p w14:paraId="198736AD">
                  <w:pPr>
                    <w:pStyle w:val="71"/>
                    <w:spacing w:line="220" w:lineRule="exact"/>
                    <w:jc w:val="center"/>
                    <w:rPr>
                      <w:rFonts w:hint="eastAsia" w:ascii="Times New Roman" w:hAnsi="Times New Roman" w:eastAsia="宋体" w:cs="Times New Roman"/>
                      <w:color w:val="auto"/>
                      <w:spacing w:val="-17"/>
                      <w:kern w:val="0"/>
                      <w:sz w:val="18"/>
                      <w:szCs w:val="18"/>
                      <w:highlight w:val="none"/>
                      <w:lang w:val="en-US" w:eastAsia="zh-CN" w:bidi="ar-SA"/>
                    </w:rPr>
                  </w:pPr>
                  <w:r>
                    <w:rPr>
                      <w:rFonts w:hint="eastAsia" w:ascii="Times New Roman" w:hAnsi="Times New Roman" w:eastAsia="宋体" w:cs="Times New Roman"/>
                      <w:color w:val="auto"/>
                      <w:spacing w:val="-17"/>
                      <w:sz w:val="18"/>
                      <w:szCs w:val="18"/>
                      <w:highlight w:val="none"/>
                      <w:lang w:val="en-US" w:eastAsia="zh-CN"/>
                    </w:rPr>
                    <w:t>1</w:t>
                  </w:r>
                </w:p>
              </w:tc>
              <w:tc>
                <w:tcPr>
                  <w:tcW w:w="622" w:type="dxa"/>
                  <w:shd w:val="clear" w:color="auto" w:fill="auto"/>
                  <w:vAlign w:val="bottom"/>
                </w:tcPr>
                <w:p w14:paraId="25B8DCF5">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85</w:t>
                  </w:r>
                </w:p>
              </w:tc>
              <w:tc>
                <w:tcPr>
                  <w:tcW w:w="314" w:type="pct"/>
                  <w:vMerge w:val="continue"/>
                  <w:vAlign w:val="center"/>
                </w:tcPr>
                <w:p w14:paraId="260AA6A3">
                  <w:pPr>
                    <w:spacing w:line="220" w:lineRule="exact"/>
                    <w:jc w:val="center"/>
                    <w:rPr>
                      <w:rFonts w:hint="eastAsia"/>
                      <w:color w:val="auto"/>
                      <w:spacing w:val="-17"/>
                      <w:sz w:val="18"/>
                      <w:szCs w:val="18"/>
                      <w:lang w:val="en-US" w:eastAsia="zh-CN"/>
                    </w:rPr>
                  </w:pPr>
                </w:p>
              </w:tc>
              <w:tc>
                <w:tcPr>
                  <w:tcW w:w="428" w:type="dxa"/>
                  <w:shd w:val="clear" w:color="auto" w:fill="FFFFFF"/>
                  <w:vAlign w:val="bottom"/>
                </w:tcPr>
                <w:p w14:paraId="4E06530A">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17.6</w:t>
                  </w:r>
                </w:p>
              </w:tc>
              <w:tc>
                <w:tcPr>
                  <w:tcW w:w="504" w:type="dxa"/>
                  <w:shd w:val="clear" w:color="auto" w:fill="FFFFFF"/>
                  <w:vAlign w:val="bottom"/>
                </w:tcPr>
                <w:p w14:paraId="00B27850">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46.9</w:t>
                  </w:r>
                </w:p>
              </w:tc>
              <w:tc>
                <w:tcPr>
                  <w:tcW w:w="503" w:type="dxa"/>
                  <w:shd w:val="clear" w:color="auto" w:fill="FFFFFF"/>
                  <w:vAlign w:val="bottom"/>
                </w:tcPr>
                <w:p w14:paraId="3F7BEBCB">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42.8</w:t>
                  </w:r>
                </w:p>
              </w:tc>
              <w:tc>
                <w:tcPr>
                  <w:tcW w:w="525" w:type="dxa"/>
                  <w:shd w:val="clear" w:color="auto" w:fill="FFFFFF"/>
                  <w:vAlign w:val="bottom"/>
                </w:tcPr>
                <w:p w14:paraId="5CE45A76">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11.2</w:t>
                  </w:r>
                </w:p>
              </w:tc>
              <w:tc>
                <w:tcPr>
                  <w:tcW w:w="483" w:type="dxa"/>
                  <w:shd w:val="clear" w:color="auto" w:fill="FFFFFF"/>
                  <w:vAlign w:val="bottom"/>
                </w:tcPr>
                <w:p w14:paraId="4059CD38">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54.3</w:t>
                  </w:r>
                </w:p>
              </w:tc>
              <w:tc>
                <w:tcPr>
                  <w:tcW w:w="482" w:type="dxa"/>
                  <w:shd w:val="clear" w:color="auto" w:fill="FFFFFF"/>
                  <w:vAlign w:val="bottom"/>
                </w:tcPr>
                <w:p w14:paraId="6D17FDCB">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53.1</w:t>
                  </w:r>
                </w:p>
              </w:tc>
              <w:tc>
                <w:tcPr>
                  <w:tcW w:w="546" w:type="dxa"/>
                  <w:shd w:val="clear" w:color="auto" w:fill="FFFFFF"/>
                  <w:vAlign w:val="bottom"/>
                </w:tcPr>
                <w:p w14:paraId="5C613635">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53.1</w:t>
                  </w:r>
                </w:p>
              </w:tc>
              <w:tc>
                <w:tcPr>
                  <w:tcW w:w="579" w:type="dxa"/>
                  <w:shd w:val="clear" w:color="auto" w:fill="FFFFFF"/>
                  <w:vAlign w:val="bottom"/>
                </w:tcPr>
                <w:p w14:paraId="578BFB88">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55.9</w:t>
                  </w:r>
                </w:p>
              </w:tc>
              <w:tc>
                <w:tcPr>
                  <w:tcW w:w="262" w:type="pct"/>
                  <w:vMerge w:val="continue"/>
                  <w:vAlign w:val="center"/>
                </w:tcPr>
                <w:p w14:paraId="6FAC9CCB">
                  <w:pPr>
                    <w:pStyle w:val="71"/>
                    <w:spacing w:line="220" w:lineRule="exact"/>
                    <w:jc w:val="center"/>
                    <w:rPr>
                      <w:rFonts w:hint="default" w:ascii="Times New Roman" w:hAnsi="Times New Roman" w:eastAsia="宋体" w:cs="Calibri"/>
                      <w:color w:val="auto"/>
                      <w:spacing w:val="-17"/>
                      <w:kern w:val="0"/>
                      <w:sz w:val="18"/>
                      <w:szCs w:val="18"/>
                      <w:lang w:val="en-US" w:eastAsia="zh-CN" w:bidi="ar-SA"/>
                    </w:rPr>
                  </w:pPr>
                </w:p>
              </w:tc>
              <w:tc>
                <w:tcPr>
                  <w:tcW w:w="331" w:type="pct"/>
                  <w:shd w:val="clear" w:color="auto" w:fill="FFFFFF"/>
                  <w:vAlign w:val="center"/>
                </w:tcPr>
                <w:p w14:paraId="342691D6">
                  <w:pPr>
                    <w:pStyle w:val="71"/>
                    <w:spacing w:line="220" w:lineRule="exact"/>
                    <w:jc w:val="center"/>
                    <w:rPr>
                      <w:rFonts w:hint="default" w:ascii="Times New Roman" w:hAnsi="Times New Roman" w:eastAsia="宋体" w:cs="Times New Roman"/>
                      <w:color w:val="auto"/>
                      <w:spacing w:val="-17"/>
                      <w:sz w:val="18"/>
                      <w:szCs w:val="18"/>
                      <w:highlight w:val="none"/>
                      <w:lang w:val="en-US" w:eastAsia="zh-CN"/>
                    </w:rPr>
                  </w:pPr>
                  <w:r>
                    <w:rPr>
                      <w:rFonts w:hint="eastAsia" w:ascii="Times New Roman" w:hAnsi="Times New Roman" w:eastAsia="宋体" w:cs="Times New Roman"/>
                      <w:color w:val="auto"/>
                      <w:spacing w:val="-17"/>
                      <w:sz w:val="18"/>
                      <w:szCs w:val="18"/>
                      <w:highlight w:val="none"/>
                      <w:lang w:val="en-US" w:eastAsia="zh-CN"/>
                    </w:rPr>
                    <w:t>31.0</w:t>
                  </w:r>
                </w:p>
              </w:tc>
              <w:tc>
                <w:tcPr>
                  <w:tcW w:w="397" w:type="dxa"/>
                  <w:shd w:val="clear" w:color="auto" w:fill="FFFFFF"/>
                  <w:vAlign w:val="bottom"/>
                </w:tcPr>
                <w:p w14:paraId="42B61EE0">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23.3</w:t>
                  </w:r>
                </w:p>
              </w:tc>
              <w:tc>
                <w:tcPr>
                  <w:tcW w:w="439" w:type="dxa"/>
                  <w:shd w:val="clear" w:color="auto" w:fill="FFFFFF"/>
                  <w:vAlign w:val="bottom"/>
                </w:tcPr>
                <w:p w14:paraId="06493F20">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22.1</w:t>
                  </w:r>
                </w:p>
              </w:tc>
              <w:tc>
                <w:tcPr>
                  <w:tcW w:w="418" w:type="dxa"/>
                  <w:shd w:val="clear" w:color="auto" w:fill="FFFFFF"/>
                  <w:vAlign w:val="bottom"/>
                </w:tcPr>
                <w:p w14:paraId="4050F88C">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22.1</w:t>
                  </w:r>
                </w:p>
              </w:tc>
              <w:tc>
                <w:tcPr>
                  <w:tcW w:w="396" w:type="dxa"/>
                  <w:shd w:val="clear" w:color="auto" w:fill="FFFFFF"/>
                  <w:vAlign w:val="bottom"/>
                </w:tcPr>
                <w:p w14:paraId="4D0F2200">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24.9</w:t>
                  </w:r>
                </w:p>
              </w:tc>
              <w:tc>
                <w:tcPr>
                  <w:tcW w:w="411" w:type="pct"/>
                  <w:shd w:val="clear" w:color="auto" w:fill="FFFFFF"/>
                  <w:vAlign w:val="center"/>
                </w:tcPr>
                <w:p w14:paraId="09E60D57">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eastAsia" w:ascii="Times New Roman" w:hAnsi="Times New Roman" w:eastAsia="宋体" w:cs="Times New Roman"/>
                      <w:color w:val="auto"/>
                      <w:spacing w:val="-17"/>
                      <w:sz w:val="18"/>
                      <w:szCs w:val="18"/>
                      <w:highlight w:val="none"/>
                      <w:lang w:val="en-US" w:eastAsia="zh-CN"/>
                    </w:rPr>
                    <w:t>1</w:t>
                  </w:r>
                </w:p>
              </w:tc>
            </w:tr>
            <w:tr w14:paraId="19A0D8A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1" w:hRule="exact"/>
                <w:jc w:val="center"/>
              </w:trPr>
              <w:tc>
                <w:tcPr>
                  <w:tcW w:w="176" w:type="pct"/>
                  <w:shd w:val="clear" w:color="auto" w:fill="auto"/>
                  <w:vAlign w:val="center"/>
                </w:tcPr>
                <w:p w14:paraId="6A7815C0">
                  <w:pPr>
                    <w:spacing w:line="220" w:lineRule="exact"/>
                    <w:jc w:val="center"/>
                    <w:rPr>
                      <w:rFonts w:hint="default" w:ascii="Times New Roman" w:hAnsi="Times New Roman" w:eastAsia="宋体" w:cs="Times New Roman"/>
                      <w:color w:val="auto"/>
                      <w:spacing w:val="-17"/>
                      <w:kern w:val="2"/>
                      <w:sz w:val="18"/>
                      <w:szCs w:val="18"/>
                      <w:highlight w:val="none"/>
                      <w:lang w:val="en-US" w:eastAsia="zh-CN" w:bidi="ar-SA"/>
                    </w:rPr>
                  </w:pPr>
                  <w:r>
                    <w:rPr>
                      <w:rFonts w:hint="eastAsia" w:cs="Times New Roman"/>
                      <w:color w:val="auto"/>
                      <w:spacing w:val="-17"/>
                      <w:kern w:val="2"/>
                      <w:sz w:val="18"/>
                      <w:szCs w:val="18"/>
                      <w:highlight w:val="none"/>
                      <w:lang w:val="en-US" w:eastAsia="zh-CN" w:bidi="ar-SA"/>
                    </w:rPr>
                    <w:t>27</w:t>
                  </w:r>
                </w:p>
              </w:tc>
              <w:tc>
                <w:tcPr>
                  <w:tcW w:w="176" w:type="pct"/>
                  <w:vMerge w:val="continue"/>
                  <w:vAlign w:val="center"/>
                </w:tcPr>
                <w:p w14:paraId="52D8E7D2">
                  <w:pPr>
                    <w:spacing w:line="220" w:lineRule="exact"/>
                    <w:jc w:val="center"/>
                    <w:rPr>
                      <w:rFonts w:hint="default" w:ascii="Times New Roman" w:hAnsi="Times New Roman" w:cs="Times New Roman"/>
                      <w:color w:val="auto"/>
                      <w:spacing w:val="-17"/>
                      <w:kern w:val="2"/>
                      <w:sz w:val="18"/>
                      <w:szCs w:val="18"/>
                      <w:lang w:val="en-US" w:eastAsia="zh-CN" w:bidi="ar-SA"/>
                    </w:rPr>
                  </w:pPr>
                </w:p>
              </w:tc>
              <w:tc>
                <w:tcPr>
                  <w:tcW w:w="211" w:type="pct"/>
                  <w:vMerge w:val="continue"/>
                  <w:vAlign w:val="center"/>
                </w:tcPr>
                <w:p w14:paraId="6EEFD258">
                  <w:pPr>
                    <w:spacing w:line="220" w:lineRule="exact"/>
                    <w:jc w:val="center"/>
                    <w:rPr>
                      <w:rFonts w:hint="default" w:ascii="Times New Roman" w:hAnsi="Times New Roman" w:cs="Times New Roman"/>
                      <w:color w:val="auto"/>
                      <w:spacing w:val="-17"/>
                      <w:sz w:val="18"/>
                      <w:szCs w:val="18"/>
                      <w:lang w:val="en-US" w:eastAsia="zh-CN"/>
                    </w:rPr>
                  </w:pPr>
                </w:p>
              </w:tc>
              <w:tc>
                <w:tcPr>
                  <w:tcW w:w="379" w:type="pct"/>
                  <w:shd w:val="clear" w:color="auto" w:fill="auto"/>
                  <w:vAlign w:val="center"/>
                </w:tcPr>
                <w:p w14:paraId="75BFB364">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eastAsia" w:ascii="Times New Roman" w:hAnsi="Times New Roman" w:cs="Times New Roman"/>
                      <w:color w:val="auto"/>
                      <w:spacing w:val="-17"/>
                      <w:sz w:val="18"/>
                      <w:szCs w:val="18"/>
                      <w:highlight w:val="none"/>
                      <w:lang w:val="en-US" w:eastAsia="zh-CN"/>
                    </w:rPr>
                    <w:t>1</w:t>
                  </w:r>
                  <w:r>
                    <w:rPr>
                      <w:rFonts w:hint="eastAsia" w:ascii="Times New Roman" w:hAnsi="Times New Roman" w:eastAsia="宋体" w:cs="Times New Roman"/>
                      <w:color w:val="auto"/>
                      <w:spacing w:val="-17"/>
                      <w:sz w:val="18"/>
                      <w:szCs w:val="18"/>
                      <w:highlight w:val="none"/>
                      <w:vertAlign w:val="superscript"/>
                      <w:lang w:val="en-US" w:eastAsia="zh-CN"/>
                    </w:rPr>
                    <w:t>#</w:t>
                  </w:r>
                  <w:r>
                    <w:rPr>
                      <w:rFonts w:hint="eastAsia" w:ascii="Times New Roman" w:hAnsi="Times New Roman" w:eastAsia="宋体" w:cs="Times New Roman"/>
                      <w:color w:val="auto"/>
                      <w:spacing w:val="-17"/>
                      <w:sz w:val="18"/>
                      <w:szCs w:val="18"/>
                      <w:highlight w:val="none"/>
                      <w:lang w:val="en-US" w:eastAsia="zh-CN"/>
                    </w:rPr>
                    <w:t>磁辊</w:t>
                  </w:r>
                </w:p>
              </w:tc>
              <w:tc>
                <w:tcPr>
                  <w:tcW w:w="193" w:type="pct"/>
                  <w:shd w:val="clear" w:color="auto" w:fill="auto"/>
                  <w:vAlign w:val="center"/>
                </w:tcPr>
                <w:p w14:paraId="7369A75B">
                  <w:pPr>
                    <w:pStyle w:val="71"/>
                    <w:spacing w:line="220" w:lineRule="exact"/>
                    <w:jc w:val="center"/>
                    <w:rPr>
                      <w:rFonts w:hint="default" w:ascii="Times New Roman" w:hAnsi="Times New Roman" w:eastAsia="宋体" w:cs="Times New Roman"/>
                      <w:color w:val="auto"/>
                      <w:spacing w:val="-17"/>
                      <w:sz w:val="18"/>
                      <w:szCs w:val="18"/>
                      <w:highlight w:val="none"/>
                      <w:lang w:val="en-US" w:eastAsia="zh-CN"/>
                    </w:rPr>
                  </w:pPr>
                  <w:r>
                    <w:rPr>
                      <w:rFonts w:hint="eastAsia" w:ascii="Times New Roman" w:hAnsi="Times New Roman" w:eastAsia="宋体" w:cs="Times New Roman"/>
                      <w:color w:val="auto"/>
                      <w:spacing w:val="-17"/>
                      <w:sz w:val="18"/>
                      <w:szCs w:val="18"/>
                      <w:highlight w:val="none"/>
                      <w:lang w:val="en-US" w:eastAsia="zh-CN"/>
                    </w:rPr>
                    <w:t>1</w:t>
                  </w:r>
                </w:p>
              </w:tc>
              <w:tc>
                <w:tcPr>
                  <w:tcW w:w="622" w:type="dxa"/>
                  <w:shd w:val="clear" w:color="auto" w:fill="auto"/>
                  <w:vAlign w:val="bottom"/>
                </w:tcPr>
                <w:p w14:paraId="20D00120">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75</w:t>
                  </w:r>
                </w:p>
              </w:tc>
              <w:tc>
                <w:tcPr>
                  <w:tcW w:w="314" w:type="pct"/>
                  <w:vMerge w:val="continue"/>
                  <w:vAlign w:val="center"/>
                </w:tcPr>
                <w:p w14:paraId="106D50E4">
                  <w:pPr>
                    <w:pStyle w:val="71"/>
                    <w:spacing w:line="220" w:lineRule="exact"/>
                    <w:rPr>
                      <w:rFonts w:hint="eastAsia" w:ascii="Times New Roman" w:hAnsi="Times New Roman" w:eastAsia="宋体" w:cs="Times New Roman"/>
                      <w:color w:val="auto"/>
                      <w:spacing w:val="-17"/>
                      <w:kern w:val="2"/>
                      <w:sz w:val="18"/>
                      <w:szCs w:val="18"/>
                      <w:lang w:val="en-US" w:eastAsia="zh-CN" w:bidi="ar-SA"/>
                    </w:rPr>
                  </w:pPr>
                </w:p>
              </w:tc>
              <w:tc>
                <w:tcPr>
                  <w:tcW w:w="428" w:type="dxa"/>
                  <w:shd w:val="clear" w:color="auto" w:fill="FFFFFF"/>
                  <w:vAlign w:val="bottom"/>
                </w:tcPr>
                <w:p w14:paraId="1FD8FD58">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24.5</w:t>
                  </w:r>
                </w:p>
              </w:tc>
              <w:tc>
                <w:tcPr>
                  <w:tcW w:w="504" w:type="dxa"/>
                  <w:shd w:val="clear" w:color="auto" w:fill="FFFFFF"/>
                  <w:vAlign w:val="bottom"/>
                </w:tcPr>
                <w:p w14:paraId="773F7B71">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41</w:t>
                  </w:r>
                </w:p>
              </w:tc>
              <w:tc>
                <w:tcPr>
                  <w:tcW w:w="503" w:type="dxa"/>
                  <w:shd w:val="clear" w:color="auto" w:fill="FFFFFF"/>
                  <w:vAlign w:val="bottom"/>
                </w:tcPr>
                <w:p w14:paraId="30483009">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35.9</w:t>
                  </w:r>
                </w:p>
              </w:tc>
              <w:tc>
                <w:tcPr>
                  <w:tcW w:w="525" w:type="dxa"/>
                  <w:shd w:val="clear" w:color="auto" w:fill="FFFFFF"/>
                  <w:vAlign w:val="bottom"/>
                </w:tcPr>
                <w:p w14:paraId="44F1180A">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17</w:t>
                  </w:r>
                </w:p>
              </w:tc>
              <w:tc>
                <w:tcPr>
                  <w:tcW w:w="483" w:type="dxa"/>
                  <w:shd w:val="clear" w:color="auto" w:fill="FFFFFF"/>
                  <w:vAlign w:val="bottom"/>
                </w:tcPr>
                <w:p w14:paraId="6336F979">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43.7</w:t>
                  </w:r>
                </w:p>
              </w:tc>
              <w:tc>
                <w:tcPr>
                  <w:tcW w:w="482" w:type="dxa"/>
                  <w:shd w:val="clear" w:color="auto" w:fill="FFFFFF"/>
                  <w:vAlign w:val="bottom"/>
                </w:tcPr>
                <w:p w14:paraId="398D9FD0">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43.1</w:t>
                  </w:r>
                </w:p>
              </w:tc>
              <w:tc>
                <w:tcPr>
                  <w:tcW w:w="546" w:type="dxa"/>
                  <w:shd w:val="clear" w:color="auto" w:fill="FFFFFF"/>
                  <w:vAlign w:val="bottom"/>
                </w:tcPr>
                <w:p w14:paraId="3ED5BA1D">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43.2</w:t>
                  </w:r>
                </w:p>
              </w:tc>
              <w:tc>
                <w:tcPr>
                  <w:tcW w:w="579" w:type="dxa"/>
                  <w:shd w:val="clear" w:color="auto" w:fill="FFFFFF"/>
                  <w:vAlign w:val="bottom"/>
                </w:tcPr>
                <w:p w14:paraId="0236DA17">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44.4</w:t>
                  </w:r>
                </w:p>
              </w:tc>
              <w:tc>
                <w:tcPr>
                  <w:tcW w:w="262" w:type="pct"/>
                  <w:vMerge w:val="continue"/>
                  <w:vAlign w:val="center"/>
                </w:tcPr>
                <w:p w14:paraId="66451625">
                  <w:pPr>
                    <w:spacing w:line="220" w:lineRule="exact"/>
                    <w:jc w:val="center"/>
                    <w:rPr>
                      <w:rFonts w:hint="default" w:ascii="Times New Roman" w:hAnsi="Times New Roman" w:eastAsia="宋体" w:cs="Times New Roman"/>
                      <w:color w:val="auto"/>
                      <w:spacing w:val="-20"/>
                      <w:sz w:val="18"/>
                      <w:szCs w:val="18"/>
                      <w:lang w:val="en-US" w:eastAsia="zh-CN"/>
                    </w:rPr>
                  </w:pPr>
                </w:p>
              </w:tc>
              <w:tc>
                <w:tcPr>
                  <w:tcW w:w="331" w:type="pct"/>
                  <w:vAlign w:val="center"/>
                </w:tcPr>
                <w:p w14:paraId="34D7B573">
                  <w:pPr>
                    <w:pStyle w:val="71"/>
                    <w:spacing w:line="220" w:lineRule="exact"/>
                    <w:jc w:val="center"/>
                    <w:rPr>
                      <w:rFonts w:hint="default" w:ascii="Times New Roman" w:hAnsi="Times New Roman" w:eastAsia="宋体" w:cs="Times New Roman"/>
                      <w:color w:val="auto"/>
                      <w:spacing w:val="-17"/>
                      <w:sz w:val="18"/>
                      <w:szCs w:val="18"/>
                      <w:highlight w:val="none"/>
                      <w:lang w:val="en-US" w:eastAsia="zh-CN"/>
                    </w:rPr>
                  </w:pPr>
                  <w:r>
                    <w:rPr>
                      <w:rFonts w:hint="eastAsia" w:ascii="Times New Roman" w:hAnsi="Times New Roman" w:eastAsia="宋体" w:cs="Times New Roman"/>
                      <w:color w:val="auto"/>
                      <w:spacing w:val="-17"/>
                      <w:sz w:val="18"/>
                      <w:szCs w:val="18"/>
                      <w:highlight w:val="none"/>
                      <w:lang w:val="en-US" w:eastAsia="zh-CN"/>
                    </w:rPr>
                    <w:t>31.0</w:t>
                  </w:r>
                </w:p>
              </w:tc>
              <w:tc>
                <w:tcPr>
                  <w:tcW w:w="397" w:type="dxa"/>
                  <w:shd w:val="clear" w:color="auto" w:fill="FFFFFF"/>
                  <w:vAlign w:val="bottom"/>
                </w:tcPr>
                <w:p w14:paraId="73CEC604">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12.7</w:t>
                  </w:r>
                </w:p>
              </w:tc>
              <w:tc>
                <w:tcPr>
                  <w:tcW w:w="439" w:type="dxa"/>
                  <w:shd w:val="clear" w:color="auto" w:fill="FFFFFF"/>
                  <w:vAlign w:val="bottom"/>
                </w:tcPr>
                <w:p w14:paraId="76C2ED84">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12.1</w:t>
                  </w:r>
                </w:p>
              </w:tc>
              <w:tc>
                <w:tcPr>
                  <w:tcW w:w="418" w:type="dxa"/>
                  <w:shd w:val="clear" w:color="auto" w:fill="FFFFFF"/>
                  <w:vAlign w:val="bottom"/>
                </w:tcPr>
                <w:p w14:paraId="2F1A7771">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12.2</w:t>
                  </w:r>
                </w:p>
              </w:tc>
              <w:tc>
                <w:tcPr>
                  <w:tcW w:w="396" w:type="dxa"/>
                  <w:shd w:val="clear" w:color="auto" w:fill="FFFFFF"/>
                  <w:vAlign w:val="bottom"/>
                </w:tcPr>
                <w:p w14:paraId="3A415FE4">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13.4</w:t>
                  </w:r>
                </w:p>
              </w:tc>
              <w:tc>
                <w:tcPr>
                  <w:tcW w:w="411" w:type="pct"/>
                  <w:vAlign w:val="center"/>
                </w:tcPr>
                <w:p w14:paraId="3BE1A919">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eastAsia" w:ascii="Times New Roman" w:hAnsi="Times New Roman" w:eastAsia="宋体" w:cs="Times New Roman"/>
                      <w:color w:val="auto"/>
                      <w:spacing w:val="-17"/>
                      <w:sz w:val="18"/>
                      <w:szCs w:val="18"/>
                      <w:highlight w:val="none"/>
                      <w:lang w:val="en-US" w:eastAsia="zh-CN"/>
                    </w:rPr>
                    <w:t>1</w:t>
                  </w:r>
                </w:p>
              </w:tc>
            </w:tr>
            <w:tr w14:paraId="2B522FF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1" w:hRule="exact"/>
                <w:jc w:val="center"/>
              </w:trPr>
              <w:tc>
                <w:tcPr>
                  <w:tcW w:w="176" w:type="pct"/>
                  <w:shd w:val="clear" w:color="auto" w:fill="auto"/>
                  <w:vAlign w:val="center"/>
                </w:tcPr>
                <w:p w14:paraId="343BD5E4">
                  <w:pPr>
                    <w:spacing w:line="220" w:lineRule="exact"/>
                    <w:jc w:val="center"/>
                    <w:rPr>
                      <w:rFonts w:hint="default" w:ascii="Times New Roman" w:hAnsi="Times New Roman" w:eastAsia="宋体" w:cs="Times New Roman"/>
                      <w:color w:val="auto"/>
                      <w:spacing w:val="-17"/>
                      <w:kern w:val="2"/>
                      <w:sz w:val="18"/>
                      <w:szCs w:val="18"/>
                      <w:highlight w:val="none"/>
                      <w:lang w:val="en-US" w:eastAsia="zh-CN" w:bidi="ar-SA"/>
                    </w:rPr>
                  </w:pPr>
                  <w:r>
                    <w:rPr>
                      <w:rFonts w:hint="eastAsia" w:cs="Times New Roman"/>
                      <w:color w:val="auto"/>
                      <w:spacing w:val="-17"/>
                      <w:sz w:val="18"/>
                      <w:szCs w:val="18"/>
                      <w:highlight w:val="none"/>
                      <w:lang w:val="en-US" w:eastAsia="zh-CN"/>
                    </w:rPr>
                    <w:t>28</w:t>
                  </w:r>
                </w:p>
              </w:tc>
              <w:tc>
                <w:tcPr>
                  <w:tcW w:w="176" w:type="pct"/>
                  <w:vMerge w:val="continue"/>
                  <w:vAlign w:val="center"/>
                </w:tcPr>
                <w:p w14:paraId="41A4812E">
                  <w:pPr>
                    <w:spacing w:line="220" w:lineRule="exact"/>
                    <w:jc w:val="center"/>
                    <w:rPr>
                      <w:rFonts w:hint="eastAsia" w:ascii="Times New Roman" w:hAnsi="Times New Roman" w:cs="Times New Roman"/>
                      <w:color w:val="auto"/>
                      <w:spacing w:val="-17"/>
                      <w:kern w:val="2"/>
                      <w:sz w:val="18"/>
                      <w:szCs w:val="18"/>
                      <w:lang w:val="en-US" w:eastAsia="zh-CN" w:bidi="ar-SA"/>
                    </w:rPr>
                  </w:pPr>
                </w:p>
              </w:tc>
              <w:tc>
                <w:tcPr>
                  <w:tcW w:w="211" w:type="pct"/>
                  <w:vMerge w:val="continue"/>
                  <w:vAlign w:val="center"/>
                </w:tcPr>
                <w:p w14:paraId="16D93AFF">
                  <w:pPr>
                    <w:spacing w:line="220" w:lineRule="exact"/>
                    <w:jc w:val="center"/>
                    <w:rPr>
                      <w:rFonts w:hint="eastAsia" w:ascii="Times New Roman" w:hAnsi="Times New Roman" w:cs="Times New Roman"/>
                      <w:color w:val="auto"/>
                      <w:spacing w:val="-17"/>
                      <w:sz w:val="18"/>
                      <w:szCs w:val="18"/>
                      <w:lang w:val="en-US" w:eastAsia="zh-CN"/>
                    </w:rPr>
                  </w:pPr>
                </w:p>
              </w:tc>
              <w:tc>
                <w:tcPr>
                  <w:tcW w:w="379" w:type="pct"/>
                  <w:shd w:val="clear" w:color="auto" w:fill="auto"/>
                  <w:vAlign w:val="center"/>
                </w:tcPr>
                <w:p w14:paraId="1F078CF6">
                  <w:pPr>
                    <w:pStyle w:val="71"/>
                    <w:spacing w:line="220" w:lineRule="exact"/>
                    <w:jc w:val="center"/>
                    <w:rPr>
                      <w:rFonts w:hint="eastAsia" w:ascii="Times New Roman" w:hAnsi="Times New Roman" w:eastAsia="宋体" w:cs="Times New Roman"/>
                      <w:color w:val="auto"/>
                      <w:spacing w:val="-17"/>
                      <w:kern w:val="0"/>
                      <w:sz w:val="18"/>
                      <w:szCs w:val="18"/>
                      <w:highlight w:val="none"/>
                      <w:lang w:val="en-US" w:eastAsia="zh-CN" w:bidi="ar-SA"/>
                    </w:rPr>
                  </w:pPr>
                  <w:r>
                    <w:rPr>
                      <w:rFonts w:hint="eastAsia" w:ascii="Times New Roman" w:hAnsi="Times New Roman" w:cs="Times New Roman"/>
                      <w:color w:val="auto"/>
                      <w:spacing w:val="-17"/>
                      <w:sz w:val="18"/>
                      <w:szCs w:val="18"/>
                      <w:highlight w:val="none"/>
                      <w:lang w:val="en-US" w:eastAsia="zh-CN"/>
                    </w:rPr>
                    <w:t>2</w:t>
                  </w:r>
                  <w:r>
                    <w:rPr>
                      <w:rFonts w:hint="eastAsia" w:ascii="Times New Roman" w:hAnsi="Times New Roman" w:eastAsia="宋体" w:cs="Times New Roman"/>
                      <w:color w:val="auto"/>
                      <w:spacing w:val="-17"/>
                      <w:sz w:val="18"/>
                      <w:szCs w:val="18"/>
                      <w:highlight w:val="none"/>
                      <w:vertAlign w:val="superscript"/>
                      <w:lang w:val="en-US" w:eastAsia="zh-CN"/>
                    </w:rPr>
                    <w:t>#</w:t>
                  </w:r>
                  <w:r>
                    <w:rPr>
                      <w:rFonts w:hint="eastAsia" w:ascii="Times New Roman" w:hAnsi="Times New Roman" w:eastAsia="宋体" w:cs="Times New Roman"/>
                      <w:color w:val="auto"/>
                      <w:spacing w:val="-17"/>
                      <w:sz w:val="18"/>
                      <w:szCs w:val="18"/>
                      <w:highlight w:val="none"/>
                      <w:lang w:val="en-US" w:eastAsia="zh-CN"/>
                    </w:rPr>
                    <w:t>磁辊</w:t>
                  </w:r>
                </w:p>
              </w:tc>
              <w:tc>
                <w:tcPr>
                  <w:tcW w:w="193" w:type="pct"/>
                  <w:shd w:val="clear" w:color="auto" w:fill="auto"/>
                  <w:vAlign w:val="center"/>
                </w:tcPr>
                <w:p w14:paraId="6CA51263">
                  <w:pPr>
                    <w:pStyle w:val="71"/>
                    <w:spacing w:line="220" w:lineRule="exact"/>
                    <w:jc w:val="center"/>
                    <w:rPr>
                      <w:rFonts w:hint="eastAsia" w:ascii="Times New Roman" w:hAnsi="Times New Roman" w:eastAsia="宋体" w:cs="Times New Roman"/>
                      <w:color w:val="auto"/>
                      <w:spacing w:val="-17"/>
                      <w:kern w:val="0"/>
                      <w:sz w:val="18"/>
                      <w:szCs w:val="18"/>
                      <w:highlight w:val="none"/>
                      <w:lang w:val="en-US" w:eastAsia="zh-CN" w:bidi="ar-SA"/>
                    </w:rPr>
                  </w:pPr>
                  <w:r>
                    <w:rPr>
                      <w:rFonts w:hint="eastAsia" w:ascii="Times New Roman" w:hAnsi="Times New Roman" w:eastAsia="宋体" w:cs="Times New Roman"/>
                      <w:color w:val="auto"/>
                      <w:spacing w:val="-17"/>
                      <w:sz w:val="18"/>
                      <w:szCs w:val="18"/>
                      <w:highlight w:val="none"/>
                      <w:lang w:val="en-US" w:eastAsia="zh-CN"/>
                    </w:rPr>
                    <w:t>1</w:t>
                  </w:r>
                </w:p>
              </w:tc>
              <w:tc>
                <w:tcPr>
                  <w:tcW w:w="622" w:type="dxa"/>
                  <w:shd w:val="clear" w:color="auto" w:fill="auto"/>
                  <w:vAlign w:val="bottom"/>
                </w:tcPr>
                <w:p w14:paraId="11999769">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75</w:t>
                  </w:r>
                </w:p>
              </w:tc>
              <w:tc>
                <w:tcPr>
                  <w:tcW w:w="314" w:type="pct"/>
                  <w:vMerge w:val="continue"/>
                  <w:vAlign w:val="center"/>
                </w:tcPr>
                <w:p w14:paraId="791C85E2">
                  <w:pPr>
                    <w:spacing w:line="220" w:lineRule="exact"/>
                    <w:jc w:val="center"/>
                    <w:rPr>
                      <w:rFonts w:hint="eastAsia"/>
                      <w:color w:val="auto"/>
                      <w:spacing w:val="-17"/>
                      <w:sz w:val="18"/>
                      <w:szCs w:val="18"/>
                      <w:lang w:val="en-US" w:eastAsia="zh-CN"/>
                    </w:rPr>
                  </w:pPr>
                </w:p>
              </w:tc>
              <w:tc>
                <w:tcPr>
                  <w:tcW w:w="428" w:type="dxa"/>
                  <w:shd w:val="clear" w:color="auto" w:fill="FFFFFF"/>
                  <w:vAlign w:val="bottom"/>
                </w:tcPr>
                <w:p w14:paraId="2B49C7C6">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15.3</w:t>
                  </w:r>
                </w:p>
              </w:tc>
              <w:tc>
                <w:tcPr>
                  <w:tcW w:w="504" w:type="dxa"/>
                  <w:shd w:val="clear" w:color="auto" w:fill="FFFFFF"/>
                  <w:vAlign w:val="bottom"/>
                </w:tcPr>
                <w:p w14:paraId="2BDAEA35">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39.8</w:t>
                  </w:r>
                </w:p>
              </w:tc>
              <w:tc>
                <w:tcPr>
                  <w:tcW w:w="503" w:type="dxa"/>
                  <w:shd w:val="clear" w:color="auto" w:fill="FFFFFF"/>
                  <w:vAlign w:val="bottom"/>
                </w:tcPr>
                <w:p w14:paraId="4B45017A">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45.1</w:t>
                  </w:r>
                </w:p>
              </w:tc>
              <w:tc>
                <w:tcPr>
                  <w:tcW w:w="525" w:type="dxa"/>
                  <w:shd w:val="clear" w:color="auto" w:fill="FFFFFF"/>
                  <w:vAlign w:val="bottom"/>
                </w:tcPr>
                <w:p w14:paraId="391F3E36">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18.3</w:t>
                  </w:r>
                </w:p>
              </w:tc>
              <w:tc>
                <w:tcPr>
                  <w:tcW w:w="483" w:type="dxa"/>
                  <w:shd w:val="clear" w:color="auto" w:fill="FFFFFF"/>
                  <w:vAlign w:val="bottom"/>
                </w:tcPr>
                <w:p w14:paraId="2F35DD90">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44.7</w:t>
                  </w:r>
                </w:p>
              </w:tc>
              <w:tc>
                <w:tcPr>
                  <w:tcW w:w="482" w:type="dxa"/>
                  <w:shd w:val="clear" w:color="auto" w:fill="FFFFFF"/>
                  <w:vAlign w:val="bottom"/>
                </w:tcPr>
                <w:p w14:paraId="4C4B6B59">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43.2</w:t>
                  </w:r>
                </w:p>
              </w:tc>
              <w:tc>
                <w:tcPr>
                  <w:tcW w:w="546" w:type="dxa"/>
                  <w:shd w:val="clear" w:color="auto" w:fill="FFFFFF"/>
                  <w:vAlign w:val="bottom"/>
                </w:tcPr>
                <w:p w14:paraId="11FA0D8B">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43.1</w:t>
                  </w:r>
                </w:p>
              </w:tc>
              <w:tc>
                <w:tcPr>
                  <w:tcW w:w="579" w:type="dxa"/>
                  <w:shd w:val="clear" w:color="auto" w:fill="FFFFFF"/>
                  <w:vAlign w:val="bottom"/>
                </w:tcPr>
                <w:p w14:paraId="0CC8D5E5">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44.3</w:t>
                  </w:r>
                </w:p>
              </w:tc>
              <w:tc>
                <w:tcPr>
                  <w:tcW w:w="262" w:type="pct"/>
                  <w:vMerge w:val="continue"/>
                  <w:vAlign w:val="center"/>
                </w:tcPr>
                <w:p w14:paraId="459A315A">
                  <w:pPr>
                    <w:spacing w:line="220" w:lineRule="exact"/>
                    <w:jc w:val="center"/>
                    <w:rPr>
                      <w:rFonts w:hint="default" w:ascii="Times New Roman" w:hAnsi="Times New Roman" w:eastAsia="宋体" w:cs="Times New Roman"/>
                      <w:color w:val="auto"/>
                      <w:spacing w:val="-20"/>
                      <w:sz w:val="18"/>
                      <w:szCs w:val="18"/>
                      <w:lang w:val="en-US" w:eastAsia="zh-CN"/>
                    </w:rPr>
                  </w:pPr>
                </w:p>
              </w:tc>
              <w:tc>
                <w:tcPr>
                  <w:tcW w:w="331" w:type="pct"/>
                  <w:vAlign w:val="center"/>
                </w:tcPr>
                <w:p w14:paraId="04E0DA43">
                  <w:pPr>
                    <w:pStyle w:val="71"/>
                    <w:spacing w:line="220" w:lineRule="exact"/>
                    <w:jc w:val="center"/>
                    <w:rPr>
                      <w:rFonts w:hint="default" w:ascii="Times New Roman" w:hAnsi="Times New Roman" w:eastAsia="宋体" w:cs="Times New Roman"/>
                      <w:color w:val="auto"/>
                      <w:spacing w:val="-17"/>
                      <w:sz w:val="18"/>
                      <w:szCs w:val="18"/>
                      <w:highlight w:val="none"/>
                      <w:lang w:val="en-US" w:eastAsia="zh-CN"/>
                    </w:rPr>
                  </w:pPr>
                  <w:r>
                    <w:rPr>
                      <w:rFonts w:hint="eastAsia" w:ascii="Times New Roman" w:hAnsi="Times New Roman" w:eastAsia="宋体" w:cs="Times New Roman"/>
                      <w:color w:val="auto"/>
                      <w:spacing w:val="-17"/>
                      <w:sz w:val="18"/>
                      <w:szCs w:val="18"/>
                      <w:highlight w:val="none"/>
                      <w:lang w:val="en-US" w:eastAsia="zh-CN"/>
                    </w:rPr>
                    <w:t>31.0</w:t>
                  </w:r>
                </w:p>
              </w:tc>
              <w:tc>
                <w:tcPr>
                  <w:tcW w:w="397" w:type="dxa"/>
                  <w:shd w:val="clear" w:color="auto" w:fill="FFFFFF"/>
                  <w:vAlign w:val="bottom"/>
                </w:tcPr>
                <w:p w14:paraId="30A22453">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13.7</w:t>
                  </w:r>
                </w:p>
              </w:tc>
              <w:tc>
                <w:tcPr>
                  <w:tcW w:w="439" w:type="dxa"/>
                  <w:shd w:val="clear" w:color="auto" w:fill="FFFFFF"/>
                  <w:vAlign w:val="bottom"/>
                </w:tcPr>
                <w:p w14:paraId="519B51EB">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12.2</w:t>
                  </w:r>
                </w:p>
              </w:tc>
              <w:tc>
                <w:tcPr>
                  <w:tcW w:w="418" w:type="dxa"/>
                  <w:shd w:val="clear" w:color="auto" w:fill="FFFFFF"/>
                  <w:vAlign w:val="bottom"/>
                </w:tcPr>
                <w:p w14:paraId="1416CDD9">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12.1</w:t>
                  </w:r>
                </w:p>
              </w:tc>
              <w:tc>
                <w:tcPr>
                  <w:tcW w:w="396" w:type="dxa"/>
                  <w:shd w:val="clear" w:color="auto" w:fill="FFFFFF"/>
                  <w:vAlign w:val="bottom"/>
                </w:tcPr>
                <w:p w14:paraId="51EEB5CE">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13.3</w:t>
                  </w:r>
                </w:p>
              </w:tc>
              <w:tc>
                <w:tcPr>
                  <w:tcW w:w="411" w:type="pct"/>
                  <w:vAlign w:val="center"/>
                </w:tcPr>
                <w:p w14:paraId="3FC0A4C9">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eastAsia" w:ascii="Times New Roman" w:hAnsi="Times New Roman" w:eastAsia="宋体" w:cs="Times New Roman"/>
                      <w:color w:val="auto"/>
                      <w:spacing w:val="-17"/>
                      <w:sz w:val="18"/>
                      <w:szCs w:val="18"/>
                      <w:highlight w:val="none"/>
                      <w:lang w:val="en-US" w:eastAsia="zh-CN"/>
                    </w:rPr>
                    <w:t>1</w:t>
                  </w:r>
                </w:p>
              </w:tc>
            </w:tr>
            <w:tr w14:paraId="75E2A91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1" w:hRule="exact"/>
                <w:jc w:val="center"/>
              </w:trPr>
              <w:tc>
                <w:tcPr>
                  <w:tcW w:w="176" w:type="pct"/>
                  <w:shd w:val="clear" w:color="auto" w:fill="auto"/>
                  <w:vAlign w:val="center"/>
                </w:tcPr>
                <w:p w14:paraId="4199FE45">
                  <w:pPr>
                    <w:spacing w:line="220" w:lineRule="exact"/>
                    <w:jc w:val="center"/>
                    <w:rPr>
                      <w:rFonts w:hint="default" w:ascii="Times New Roman" w:hAnsi="Times New Roman" w:eastAsia="宋体" w:cs="Times New Roman"/>
                      <w:color w:val="auto"/>
                      <w:spacing w:val="-17"/>
                      <w:kern w:val="2"/>
                      <w:sz w:val="18"/>
                      <w:szCs w:val="18"/>
                      <w:highlight w:val="none"/>
                      <w:lang w:val="en-US" w:eastAsia="zh-CN" w:bidi="ar-SA"/>
                    </w:rPr>
                  </w:pPr>
                  <w:r>
                    <w:rPr>
                      <w:rFonts w:hint="eastAsia" w:cs="Times New Roman"/>
                      <w:color w:val="auto"/>
                      <w:spacing w:val="-17"/>
                      <w:sz w:val="18"/>
                      <w:szCs w:val="18"/>
                      <w:highlight w:val="none"/>
                      <w:lang w:val="en-US" w:eastAsia="zh-CN"/>
                    </w:rPr>
                    <w:t>29</w:t>
                  </w:r>
                </w:p>
              </w:tc>
              <w:tc>
                <w:tcPr>
                  <w:tcW w:w="176" w:type="pct"/>
                  <w:vMerge w:val="continue"/>
                  <w:vAlign w:val="center"/>
                </w:tcPr>
                <w:p w14:paraId="5C0C0DE9">
                  <w:pPr>
                    <w:spacing w:line="220" w:lineRule="exact"/>
                    <w:jc w:val="center"/>
                    <w:rPr>
                      <w:rFonts w:hint="eastAsia" w:ascii="Times New Roman" w:hAnsi="Times New Roman" w:cs="Times New Roman"/>
                      <w:color w:val="auto"/>
                      <w:spacing w:val="-17"/>
                      <w:kern w:val="2"/>
                      <w:sz w:val="18"/>
                      <w:szCs w:val="18"/>
                      <w:lang w:val="en-US" w:eastAsia="zh-CN" w:bidi="ar-SA"/>
                    </w:rPr>
                  </w:pPr>
                </w:p>
              </w:tc>
              <w:tc>
                <w:tcPr>
                  <w:tcW w:w="211" w:type="pct"/>
                  <w:vMerge w:val="continue"/>
                  <w:vAlign w:val="center"/>
                </w:tcPr>
                <w:p w14:paraId="1465C9D5">
                  <w:pPr>
                    <w:spacing w:line="220" w:lineRule="exact"/>
                    <w:jc w:val="center"/>
                    <w:rPr>
                      <w:rFonts w:hint="eastAsia" w:ascii="Times New Roman" w:hAnsi="Times New Roman" w:cs="Times New Roman"/>
                      <w:color w:val="auto"/>
                      <w:spacing w:val="-17"/>
                      <w:sz w:val="18"/>
                      <w:szCs w:val="18"/>
                      <w:lang w:val="en-US" w:eastAsia="zh-CN"/>
                    </w:rPr>
                  </w:pPr>
                </w:p>
              </w:tc>
              <w:tc>
                <w:tcPr>
                  <w:tcW w:w="379" w:type="pct"/>
                  <w:shd w:val="clear" w:color="auto" w:fill="auto"/>
                  <w:vAlign w:val="center"/>
                </w:tcPr>
                <w:p w14:paraId="4145B39F">
                  <w:pPr>
                    <w:pStyle w:val="71"/>
                    <w:spacing w:line="220" w:lineRule="exact"/>
                    <w:jc w:val="center"/>
                    <w:rPr>
                      <w:rFonts w:hint="eastAsia" w:ascii="Times New Roman" w:hAnsi="Times New Roman" w:eastAsia="宋体" w:cs="Times New Roman"/>
                      <w:color w:val="auto"/>
                      <w:spacing w:val="-17"/>
                      <w:kern w:val="0"/>
                      <w:sz w:val="18"/>
                      <w:szCs w:val="18"/>
                      <w:highlight w:val="none"/>
                      <w:lang w:val="en-US" w:eastAsia="zh-CN" w:bidi="ar-SA"/>
                    </w:rPr>
                  </w:pPr>
                  <w:r>
                    <w:rPr>
                      <w:rFonts w:hint="eastAsia" w:ascii="Times New Roman" w:hAnsi="Times New Roman" w:cs="Times New Roman"/>
                      <w:color w:val="auto"/>
                      <w:spacing w:val="-17"/>
                      <w:sz w:val="18"/>
                      <w:szCs w:val="18"/>
                      <w:highlight w:val="none"/>
                      <w:lang w:val="en-US" w:eastAsia="zh-CN"/>
                    </w:rPr>
                    <w:t>1</w:t>
                  </w:r>
                  <w:r>
                    <w:rPr>
                      <w:rFonts w:hint="eastAsia" w:ascii="Times New Roman" w:hAnsi="Times New Roman" w:eastAsia="宋体" w:cs="Times New Roman"/>
                      <w:color w:val="auto"/>
                      <w:spacing w:val="-17"/>
                      <w:sz w:val="18"/>
                      <w:szCs w:val="18"/>
                      <w:highlight w:val="none"/>
                      <w:vertAlign w:val="superscript"/>
                      <w:lang w:val="en-US" w:eastAsia="zh-CN"/>
                    </w:rPr>
                    <w:t>#</w:t>
                  </w:r>
                  <w:r>
                    <w:rPr>
                      <w:rFonts w:hint="eastAsia" w:ascii="Times New Roman" w:hAnsi="Times New Roman" w:eastAsia="宋体" w:cs="Times New Roman"/>
                      <w:color w:val="auto"/>
                      <w:spacing w:val="-17"/>
                      <w:kern w:val="0"/>
                      <w:sz w:val="18"/>
                      <w:szCs w:val="18"/>
                      <w:highlight w:val="none"/>
                      <w:lang w:val="en-US" w:eastAsia="zh-CN" w:bidi="ar-SA"/>
                    </w:rPr>
                    <w:t>分钢机</w:t>
                  </w:r>
                </w:p>
              </w:tc>
              <w:tc>
                <w:tcPr>
                  <w:tcW w:w="193" w:type="pct"/>
                  <w:shd w:val="clear" w:color="auto" w:fill="auto"/>
                  <w:vAlign w:val="center"/>
                </w:tcPr>
                <w:p w14:paraId="0163909C">
                  <w:pPr>
                    <w:pStyle w:val="71"/>
                    <w:spacing w:line="220" w:lineRule="exact"/>
                    <w:jc w:val="center"/>
                    <w:rPr>
                      <w:rFonts w:hint="default" w:ascii="Times New Roman" w:hAnsi="Times New Roman" w:eastAsia="宋体" w:cs="Times New Roman"/>
                      <w:color w:val="auto"/>
                      <w:spacing w:val="-17"/>
                      <w:sz w:val="18"/>
                      <w:szCs w:val="18"/>
                      <w:highlight w:val="none"/>
                      <w:lang w:val="en-US" w:eastAsia="zh-CN"/>
                    </w:rPr>
                  </w:pPr>
                  <w:r>
                    <w:rPr>
                      <w:rFonts w:hint="eastAsia" w:ascii="Times New Roman" w:hAnsi="Times New Roman" w:eastAsia="宋体" w:cs="Times New Roman"/>
                      <w:color w:val="auto"/>
                      <w:spacing w:val="-17"/>
                      <w:sz w:val="18"/>
                      <w:szCs w:val="18"/>
                      <w:highlight w:val="none"/>
                      <w:lang w:val="en-US" w:eastAsia="zh-CN"/>
                    </w:rPr>
                    <w:t>1</w:t>
                  </w:r>
                </w:p>
              </w:tc>
              <w:tc>
                <w:tcPr>
                  <w:tcW w:w="622" w:type="dxa"/>
                  <w:vAlign w:val="bottom"/>
                </w:tcPr>
                <w:p w14:paraId="09C318FF">
                  <w:pPr>
                    <w:pStyle w:val="71"/>
                    <w:spacing w:line="220" w:lineRule="exact"/>
                    <w:jc w:val="center"/>
                    <w:rPr>
                      <w:rFonts w:hint="default"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80</w:t>
                  </w:r>
                </w:p>
              </w:tc>
              <w:tc>
                <w:tcPr>
                  <w:tcW w:w="314" w:type="pct"/>
                  <w:vMerge w:val="continue"/>
                  <w:vAlign w:val="center"/>
                </w:tcPr>
                <w:p w14:paraId="26346A15">
                  <w:pPr>
                    <w:spacing w:line="220" w:lineRule="exact"/>
                    <w:jc w:val="center"/>
                    <w:rPr>
                      <w:rFonts w:hint="eastAsia"/>
                      <w:color w:val="auto"/>
                      <w:spacing w:val="-17"/>
                      <w:sz w:val="18"/>
                      <w:szCs w:val="18"/>
                      <w:lang w:val="en-US" w:eastAsia="zh-CN"/>
                    </w:rPr>
                  </w:pPr>
                </w:p>
              </w:tc>
              <w:tc>
                <w:tcPr>
                  <w:tcW w:w="428" w:type="dxa"/>
                  <w:shd w:val="clear" w:color="auto" w:fill="FFFFFF"/>
                  <w:vAlign w:val="bottom"/>
                </w:tcPr>
                <w:p w14:paraId="41124209">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22.8</w:t>
                  </w:r>
                </w:p>
              </w:tc>
              <w:tc>
                <w:tcPr>
                  <w:tcW w:w="504" w:type="dxa"/>
                  <w:shd w:val="clear" w:color="auto" w:fill="FFFFFF"/>
                  <w:vAlign w:val="bottom"/>
                </w:tcPr>
                <w:p w14:paraId="5C5961BB">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41</w:t>
                  </w:r>
                </w:p>
              </w:tc>
              <w:tc>
                <w:tcPr>
                  <w:tcW w:w="503" w:type="dxa"/>
                  <w:shd w:val="clear" w:color="auto" w:fill="FFFFFF"/>
                  <w:vAlign w:val="bottom"/>
                </w:tcPr>
                <w:p w14:paraId="7905C9B6">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37.6</w:t>
                  </w:r>
                </w:p>
              </w:tc>
              <w:tc>
                <w:tcPr>
                  <w:tcW w:w="525" w:type="dxa"/>
                  <w:shd w:val="clear" w:color="auto" w:fill="FFFFFF"/>
                  <w:vAlign w:val="bottom"/>
                </w:tcPr>
                <w:p w14:paraId="3131D648">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17</w:t>
                  </w:r>
                </w:p>
              </w:tc>
              <w:tc>
                <w:tcPr>
                  <w:tcW w:w="483" w:type="dxa"/>
                  <w:shd w:val="clear" w:color="auto" w:fill="FFFFFF"/>
                  <w:vAlign w:val="bottom"/>
                </w:tcPr>
                <w:p w14:paraId="059AA250">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48.8</w:t>
                  </w:r>
                </w:p>
              </w:tc>
              <w:tc>
                <w:tcPr>
                  <w:tcW w:w="482" w:type="dxa"/>
                  <w:shd w:val="clear" w:color="auto" w:fill="FFFFFF"/>
                  <w:vAlign w:val="bottom"/>
                </w:tcPr>
                <w:p w14:paraId="0856B8D1">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48.1</w:t>
                  </w:r>
                </w:p>
              </w:tc>
              <w:tc>
                <w:tcPr>
                  <w:tcW w:w="546" w:type="dxa"/>
                  <w:shd w:val="clear" w:color="auto" w:fill="FFFFFF"/>
                  <w:vAlign w:val="bottom"/>
                </w:tcPr>
                <w:p w14:paraId="62B5C5B9">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48.2</w:t>
                  </w:r>
                </w:p>
              </w:tc>
              <w:tc>
                <w:tcPr>
                  <w:tcW w:w="579" w:type="dxa"/>
                  <w:shd w:val="clear" w:color="auto" w:fill="FFFFFF"/>
                  <w:vAlign w:val="bottom"/>
                </w:tcPr>
                <w:p w14:paraId="6BDA6AEC">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49.4</w:t>
                  </w:r>
                </w:p>
              </w:tc>
              <w:tc>
                <w:tcPr>
                  <w:tcW w:w="262" w:type="pct"/>
                  <w:vMerge w:val="continue"/>
                  <w:vAlign w:val="center"/>
                </w:tcPr>
                <w:p w14:paraId="53C1F4F9">
                  <w:pPr>
                    <w:spacing w:line="220" w:lineRule="exact"/>
                    <w:jc w:val="center"/>
                    <w:rPr>
                      <w:rFonts w:hint="default" w:ascii="Times New Roman" w:hAnsi="Times New Roman" w:eastAsia="宋体" w:cs="Times New Roman"/>
                      <w:color w:val="auto"/>
                      <w:spacing w:val="-20"/>
                      <w:sz w:val="18"/>
                      <w:szCs w:val="18"/>
                      <w:lang w:val="en-US" w:eastAsia="zh-CN"/>
                    </w:rPr>
                  </w:pPr>
                </w:p>
              </w:tc>
              <w:tc>
                <w:tcPr>
                  <w:tcW w:w="331" w:type="pct"/>
                  <w:vAlign w:val="center"/>
                </w:tcPr>
                <w:p w14:paraId="68C01D88">
                  <w:pPr>
                    <w:pStyle w:val="71"/>
                    <w:spacing w:line="220" w:lineRule="exact"/>
                    <w:jc w:val="center"/>
                    <w:rPr>
                      <w:rFonts w:hint="default" w:ascii="Times New Roman" w:hAnsi="Times New Roman" w:eastAsia="宋体" w:cs="Times New Roman"/>
                      <w:color w:val="auto"/>
                      <w:spacing w:val="-17"/>
                      <w:sz w:val="18"/>
                      <w:szCs w:val="18"/>
                      <w:highlight w:val="none"/>
                      <w:lang w:val="en-US" w:eastAsia="zh-CN"/>
                    </w:rPr>
                  </w:pPr>
                  <w:r>
                    <w:rPr>
                      <w:rFonts w:hint="eastAsia" w:ascii="Times New Roman" w:hAnsi="Times New Roman" w:eastAsia="宋体" w:cs="Times New Roman"/>
                      <w:color w:val="auto"/>
                      <w:spacing w:val="-17"/>
                      <w:sz w:val="18"/>
                      <w:szCs w:val="18"/>
                      <w:highlight w:val="none"/>
                      <w:lang w:val="en-US" w:eastAsia="zh-CN"/>
                    </w:rPr>
                    <w:t>31.0</w:t>
                  </w:r>
                </w:p>
              </w:tc>
              <w:tc>
                <w:tcPr>
                  <w:tcW w:w="397" w:type="dxa"/>
                  <w:shd w:val="clear" w:color="auto" w:fill="FFFFFF"/>
                  <w:vAlign w:val="bottom"/>
                </w:tcPr>
                <w:p w14:paraId="7C5980B3">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17.8</w:t>
                  </w:r>
                </w:p>
              </w:tc>
              <w:tc>
                <w:tcPr>
                  <w:tcW w:w="439" w:type="dxa"/>
                  <w:shd w:val="clear" w:color="auto" w:fill="FFFFFF"/>
                  <w:vAlign w:val="bottom"/>
                </w:tcPr>
                <w:p w14:paraId="4A181C96">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17.1</w:t>
                  </w:r>
                </w:p>
              </w:tc>
              <w:tc>
                <w:tcPr>
                  <w:tcW w:w="418" w:type="dxa"/>
                  <w:shd w:val="clear" w:color="auto" w:fill="FFFFFF"/>
                  <w:vAlign w:val="bottom"/>
                </w:tcPr>
                <w:p w14:paraId="4E718E81">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17.2</w:t>
                  </w:r>
                </w:p>
              </w:tc>
              <w:tc>
                <w:tcPr>
                  <w:tcW w:w="396" w:type="dxa"/>
                  <w:shd w:val="clear" w:color="auto" w:fill="FFFFFF"/>
                  <w:vAlign w:val="bottom"/>
                </w:tcPr>
                <w:p w14:paraId="367A2023">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18.4</w:t>
                  </w:r>
                </w:p>
              </w:tc>
              <w:tc>
                <w:tcPr>
                  <w:tcW w:w="411" w:type="pct"/>
                  <w:vAlign w:val="center"/>
                </w:tcPr>
                <w:p w14:paraId="542AB865">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eastAsia" w:ascii="Times New Roman" w:hAnsi="Times New Roman" w:eastAsia="宋体" w:cs="Times New Roman"/>
                      <w:color w:val="auto"/>
                      <w:spacing w:val="-17"/>
                      <w:sz w:val="18"/>
                      <w:szCs w:val="18"/>
                      <w:highlight w:val="none"/>
                      <w:lang w:val="en-US" w:eastAsia="zh-CN"/>
                    </w:rPr>
                    <w:t>1</w:t>
                  </w:r>
                </w:p>
              </w:tc>
            </w:tr>
            <w:tr w14:paraId="6223786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1" w:hRule="exact"/>
                <w:jc w:val="center"/>
              </w:trPr>
              <w:tc>
                <w:tcPr>
                  <w:tcW w:w="176" w:type="pct"/>
                  <w:shd w:val="clear" w:color="auto" w:fill="auto"/>
                  <w:vAlign w:val="center"/>
                </w:tcPr>
                <w:p w14:paraId="4C8E5362">
                  <w:pPr>
                    <w:spacing w:line="220" w:lineRule="exact"/>
                    <w:jc w:val="center"/>
                    <w:rPr>
                      <w:rFonts w:hint="default" w:ascii="Times New Roman" w:hAnsi="Times New Roman" w:eastAsia="宋体" w:cs="Times New Roman"/>
                      <w:color w:val="auto"/>
                      <w:spacing w:val="-17"/>
                      <w:kern w:val="2"/>
                      <w:sz w:val="18"/>
                      <w:szCs w:val="18"/>
                      <w:highlight w:val="none"/>
                      <w:lang w:val="en-US" w:eastAsia="zh-CN" w:bidi="ar-SA"/>
                    </w:rPr>
                  </w:pPr>
                  <w:r>
                    <w:rPr>
                      <w:rFonts w:hint="eastAsia" w:cs="Times New Roman"/>
                      <w:color w:val="auto"/>
                      <w:spacing w:val="-17"/>
                      <w:sz w:val="18"/>
                      <w:szCs w:val="18"/>
                      <w:highlight w:val="none"/>
                      <w:lang w:val="en-US" w:eastAsia="zh-CN"/>
                    </w:rPr>
                    <w:t>30</w:t>
                  </w:r>
                </w:p>
              </w:tc>
              <w:tc>
                <w:tcPr>
                  <w:tcW w:w="176" w:type="pct"/>
                  <w:vMerge w:val="continue"/>
                  <w:vAlign w:val="center"/>
                </w:tcPr>
                <w:p w14:paraId="2CD5B657">
                  <w:pPr>
                    <w:spacing w:line="220" w:lineRule="exact"/>
                    <w:jc w:val="center"/>
                    <w:rPr>
                      <w:rFonts w:hint="eastAsia" w:ascii="Times New Roman" w:hAnsi="Times New Roman" w:cs="Times New Roman"/>
                      <w:color w:val="auto"/>
                      <w:spacing w:val="-17"/>
                      <w:kern w:val="2"/>
                      <w:sz w:val="18"/>
                      <w:szCs w:val="18"/>
                      <w:lang w:val="en-US" w:eastAsia="zh-CN" w:bidi="ar-SA"/>
                    </w:rPr>
                  </w:pPr>
                </w:p>
              </w:tc>
              <w:tc>
                <w:tcPr>
                  <w:tcW w:w="211" w:type="pct"/>
                  <w:vMerge w:val="continue"/>
                  <w:vAlign w:val="center"/>
                </w:tcPr>
                <w:p w14:paraId="71956334">
                  <w:pPr>
                    <w:spacing w:line="220" w:lineRule="exact"/>
                    <w:jc w:val="center"/>
                    <w:rPr>
                      <w:rFonts w:hint="eastAsia" w:ascii="Times New Roman" w:hAnsi="Times New Roman" w:cs="Times New Roman"/>
                      <w:color w:val="auto"/>
                      <w:spacing w:val="-17"/>
                      <w:sz w:val="18"/>
                      <w:szCs w:val="18"/>
                      <w:lang w:val="en-US" w:eastAsia="zh-CN"/>
                    </w:rPr>
                  </w:pPr>
                </w:p>
              </w:tc>
              <w:tc>
                <w:tcPr>
                  <w:tcW w:w="379" w:type="pct"/>
                  <w:shd w:val="clear" w:color="auto" w:fill="auto"/>
                  <w:vAlign w:val="center"/>
                </w:tcPr>
                <w:p w14:paraId="7568F51B">
                  <w:pPr>
                    <w:pStyle w:val="71"/>
                    <w:spacing w:line="220" w:lineRule="exact"/>
                    <w:jc w:val="center"/>
                    <w:rPr>
                      <w:rFonts w:hint="eastAsia" w:ascii="Times New Roman" w:hAnsi="Times New Roman" w:cs="Times New Roman"/>
                      <w:color w:val="auto"/>
                      <w:spacing w:val="-17"/>
                      <w:sz w:val="18"/>
                      <w:szCs w:val="18"/>
                      <w:highlight w:val="none"/>
                      <w:lang w:val="en-US" w:eastAsia="zh-CN"/>
                    </w:rPr>
                  </w:pPr>
                  <w:r>
                    <w:rPr>
                      <w:rFonts w:hint="eastAsia" w:ascii="Times New Roman" w:hAnsi="Times New Roman" w:cs="Times New Roman"/>
                      <w:color w:val="auto"/>
                      <w:spacing w:val="-17"/>
                      <w:sz w:val="18"/>
                      <w:szCs w:val="18"/>
                      <w:highlight w:val="none"/>
                      <w:lang w:val="en-US" w:eastAsia="zh-CN"/>
                    </w:rPr>
                    <w:t>2</w:t>
                  </w:r>
                  <w:r>
                    <w:rPr>
                      <w:rFonts w:hint="eastAsia" w:ascii="Times New Roman" w:hAnsi="Times New Roman" w:eastAsia="宋体" w:cs="Times New Roman"/>
                      <w:color w:val="auto"/>
                      <w:spacing w:val="-17"/>
                      <w:sz w:val="18"/>
                      <w:szCs w:val="18"/>
                      <w:highlight w:val="none"/>
                      <w:vertAlign w:val="superscript"/>
                      <w:lang w:val="en-US" w:eastAsia="zh-CN"/>
                    </w:rPr>
                    <w:t>#</w:t>
                  </w:r>
                  <w:r>
                    <w:rPr>
                      <w:rFonts w:hint="eastAsia" w:ascii="Times New Roman" w:hAnsi="Times New Roman" w:eastAsia="宋体" w:cs="Times New Roman"/>
                      <w:color w:val="auto"/>
                      <w:spacing w:val="-17"/>
                      <w:kern w:val="0"/>
                      <w:sz w:val="18"/>
                      <w:szCs w:val="18"/>
                      <w:highlight w:val="none"/>
                      <w:lang w:val="en-US" w:eastAsia="zh-CN" w:bidi="ar-SA"/>
                    </w:rPr>
                    <w:t>分钢机</w:t>
                  </w:r>
                </w:p>
              </w:tc>
              <w:tc>
                <w:tcPr>
                  <w:tcW w:w="193" w:type="pct"/>
                  <w:shd w:val="clear" w:color="auto" w:fill="auto"/>
                  <w:vAlign w:val="center"/>
                </w:tcPr>
                <w:p w14:paraId="23F8F73D">
                  <w:pPr>
                    <w:pStyle w:val="71"/>
                    <w:spacing w:line="220" w:lineRule="exact"/>
                    <w:jc w:val="center"/>
                    <w:rPr>
                      <w:rFonts w:hint="default" w:ascii="Times New Roman" w:hAnsi="Times New Roman" w:eastAsia="宋体" w:cs="Times New Roman"/>
                      <w:color w:val="auto"/>
                      <w:spacing w:val="-17"/>
                      <w:sz w:val="18"/>
                      <w:szCs w:val="18"/>
                      <w:highlight w:val="none"/>
                      <w:lang w:val="en-US" w:eastAsia="zh-CN"/>
                    </w:rPr>
                  </w:pPr>
                  <w:r>
                    <w:rPr>
                      <w:rFonts w:hint="eastAsia" w:ascii="Times New Roman" w:hAnsi="Times New Roman" w:eastAsia="宋体" w:cs="Times New Roman"/>
                      <w:color w:val="auto"/>
                      <w:spacing w:val="-17"/>
                      <w:sz w:val="18"/>
                      <w:szCs w:val="18"/>
                      <w:highlight w:val="none"/>
                      <w:lang w:val="en-US" w:eastAsia="zh-CN"/>
                    </w:rPr>
                    <w:t>1</w:t>
                  </w:r>
                </w:p>
              </w:tc>
              <w:tc>
                <w:tcPr>
                  <w:tcW w:w="622" w:type="dxa"/>
                  <w:vAlign w:val="bottom"/>
                </w:tcPr>
                <w:p w14:paraId="1D0FCABC">
                  <w:pPr>
                    <w:pStyle w:val="71"/>
                    <w:spacing w:line="220" w:lineRule="exact"/>
                    <w:jc w:val="center"/>
                    <w:rPr>
                      <w:rFonts w:hint="default"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80</w:t>
                  </w:r>
                </w:p>
              </w:tc>
              <w:tc>
                <w:tcPr>
                  <w:tcW w:w="314" w:type="pct"/>
                  <w:vMerge w:val="continue"/>
                  <w:vAlign w:val="center"/>
                </w:tcPr>
                <w:p w14:paraId="2D83998C">
                  <w:pPr>
                    <w:spacing w:line="220" w:lineRule="exact"/>
                    <w:jc w:val="center"/>
                    <w:rPr>
                      <w:rFonts w:hint="eastAsia"/>
                      <w:color w:val="auto"/>
                      <w:spacing w:val="-17"/>
                      <w:sz w:val="18"/>
                      <w:szCs w:val="18"/>
                      <w:lang w:val="en-US" w:eastAsia="zh-CN"/>
                    </w:rPr>
                  </w:pPr>
                </w:p>
              </w:tc>
              <w:tc>
                <w:tcPr>
                  <w:tcW w:w="428" w:type="dxa"/>
                  <w:shd w:val="clear" w:color="auto" w:fill="FFFFFF"/>
                  <w:vAlign w:val="bottom"/>
                </w:tcPr>
                <w:p w14:paraId="6E36BA9A">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13.5</w:t>
                  </w:r>
                </w:p>
              </w:tc>
              <w:tc>
                <w:tcPr>
                  <w:tcW w:w="504" w:type="dxa"/>
                  <w:shd w:val="clear" w:color="auto" w:fill="FFFFFF"/>
                  <w:vAlign w:val="bottom"/>
                </w:tcPr>
                <w:p w14:paraId="1CC87A15">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40</w:t>
                  </w:r>
                </w:p>
              </w:tc>
              <w:tc>
                <w:tcPr>
                  <w:tcW w:w="503" w:type="dxa"/>
                  <w:shd w:val="clear" w:color="auto" w:fill="FFFFFF"/>
                  <w:vAlign w:val="bottom"/>
                </w:tcPr>
                <w:p w14:paraId="36A4A1BA">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46.9</w:t>
                  </w:r>
                </w:p>
              </w:tc>
              <w:tc>
                <w:tcPr>
                  <w:tcW w:w="525" w:type="dxa"/>
                  <w:shd w:val="clear" w:color="auto" w:fill="FFFFFF"/>
                  <w:vAlign w:val="bottom"/>
                </w:tcPr>
                <w:p w14:paraId="6BEED052">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18.1</w:t>
                  </w:r>
                </w:p>
              </w:tc>
              <w:tc>
                <w:tcPr>
                  <w:tcW w:w="483" w:type="dxa"/>
                  <w:shd w:val="clear" w:color="auto" w:fill="FFFFFF"/>
                  <w:vAlign w:val="bottom"/>
                </w:tcPr>
                <w:p w14:paraId="1F81F814">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50.2</w:t>
                  </w:r>
                </w:p>
              </w:tc>
              <w:tc>
                <w:tcPr>
                  <w:tcW w:w="482" w:type="dxa"/>
                  <w:shd w:val="clear" w:color="auto" w:fill="FFFFFF"/>
                  <w:vAlign w:val="bottom"/>
                </w:tcPr>
                <w:p w14:paraId="3A2B7212">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48.2</w:t>
                  </w:r>
                </w:p>
              </w:tc>
              <w:tc>
                <w:tcPr>
                  <w:tcW w:w="546" w:type="dxa"/>
                  <w:shd w:val="clear" w:color="auto" w:fill="FFFFFF"/>
                  <w:vAlign w:val="bottom"/>
                </w:tcPr>
                <w:p w14:paraId="12F6EBB9">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48.1</w:t>
                  </w:r>
                </w:p>
              </w:tc>
              <w:tc>
                <w:tcPr>
                  <w:tcW w:w="579" w:type="dxa"/>
                  <w:shd w:val="clear" w:color="auto" w:fill="FFFFFF"/>
                  <w:vAlign w:val="bottom"/>
                </w:tcPr>
                <w:p w14:paraId="3E2621BD">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49.3</w:t>
                  </w:r>
                </w:p>
              </w:tc>
              <w:tc>
                <w:tcPr>
                  <w:tcW w:w="262" w:type="pct"/>
                  <w:vMerge w:val="continue"/>
                  <w:vAlign w:val="center"/>
                </w:tcPr>
                <w:p w14:paraId="0254ED70">
                  <w:pPr>
                    <w:spacing w:line="220" w:lineRule="exact"/>
                    <w:jc w:val="center"/>
                    <w:rPr>
                      <w:rFonts w:hint="default" w:ascii="Times New Roman" w:hAnsi="Times New Roman" w:eastAsia="宋体" w:cs="Times New Roman"/>
                      <w:color w:val="auto"/>
                      <w:spacing w:val="-20"/>
                      <w:sz w:val="18"/>
                      <w:szCs w:val="18"/>
                      <w:lang w:val="en-US" w:eastAsia="zh-CN"/>
                    </w:rPr>
                  </w:pPr>
                </w:p>
              </w:tc>
              <w:tc>
                <w:tcPr>
                  <w:tcW w:w="331" w:type="pct"/>
                  <w:vAlign w:val="center"/>
                </w:tcPr>
                <w:p w14:paraId="1AD76052">
                  <w:pPr>
                    <w:pStyle w:val="71"/>
                    <w:spacing w:line="220" w:lineRule="exact"/>
                    <w:jc w:val="center"/>
                    <w:rPr>
                      <w:rFonts w:hint="default" w:ascii="Times New Roman" w:hAnsi="Times New Roman" w:eastAsia="宋体" w:cs="Times New Roman"/>
                      <w:color w:val="auto"/>
                      <w:spacing w:val="-17"/>
                      <w:sz w:val="18"/>
                      <w:szCs w:val="18"/>
                      <w:highlight w:val="none"/>
                      <w:lang w:val="en-US" w:eastAsia="zh-CN"/>
                    </w:rPr>
                  </w:pPr>
                  <w:r>
                    <w:rPr>
                      <w:rFonts w:hint="eastAsia" w:ascii="Times New Roman" w:hAnsi="Times New Roman" w:eastAsia="宋体" w:cs="Times New Roman"/>
                      <w:color w:val="auto"/>
                      <w:spacing w:val="-17"/>
                      <w:sz w:val="18"/>
                      <w:szCs w:val="18"/>
                      <w:highlight w:val="none"/>
                      <w:lang w:val="en-US" w:eastAsia="zh-CN"/>
                    </w:rPr>
                    <w:t>31.0</w:t>
                  </w:r>
                </w:p>
              </w:tc>
              <w:tc>
                <w:tcPr>
                  <w:tcW w:w="397" w:type="dxa"/>
                  <w:shd w:val="clear" w:color="auto" w:fill="FFFFFF"/>
                  <w:vAlign w:val="bottom"/>
                </w:tcPr>
                <w:p w14:paraId="13664D47">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19.2</w:t>
                  </w:r>
                </w:p>
              </w:tc>
              <w:tc>
                <w:tcPr>
                  <w:tcW w:w="439" w:type="dxa"/>
                  <w:shd w:val="clear" w:color="auto" w:fill="FFFFFF"/>
                  <w:vAlign w:val="bottom"/>
                </w:tcPr>
                <w:p w14:paraId="19B1A45A">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17.2</w:t>
                  </w:r>
                </w:p>
              </w:tc>
              <w:tc>
                <w:tcPr>
                  <w:tcW w:w="418" w:type="dxa"/>
                  <w:shd w:val="clear" w:color="auto" w:fill="FFFFFF"/>
                  <w:vAlign w:val="bottom"/>
                </w:tcPr>
                <w:p w14:paraId="1232FDC6">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17.1</w:t>
                  </w:r>
                </w:p>
              </w:tc>
              <w:tc>
                <w:tcPr>
                  <w:tcW w:w="396" w:type="dxa"/>
                  <w:shd w:val="clear" w:color="auto" w:fill="FFFFFF"/>
                  <w:vAlign w:val="bottom"/>
                </w:tcPr>
                <w:p w14:paraId="080B408B">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18.3</w:t>
                  </w:r>
                </w:p>
              </w:tc>
              <w:tc>
                <w:tcPr>
                  <w:tcW w:w="411" w:type="pct"/>
                  <w:vAlign w:val="center"/>
                </w:tcPr>
                <w:p w14:paraId="79773CD5">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eastAsia" w:ascii="Times New Roman" w:hAnsi="Times New Roman" w:eastAsia="宋体" w:cs="Times New Roman"/>
                      <w:color w:val="auto"/>
                      <w:spacing w:val="-17"/>
                      <w:sz w:val="18"/>
                      <w:szCs w:val="18"/>
                      <w:highlight w:val="none"/>
                      <w:lang w:val="en-US" w:eastAsia="zh-CN"/>
                    </w:rPr>
                    <w:t>1</w:t>
                  </w:r>
                </w:p>
              </w:tc>
            </w:tr>
            <w:tr w14:paraId="2C43D58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54" w:hRule="exact"/>
                <w:jc w:val="center"/>
              </w:trPr>
              <w:tc>
                <w:tcPr>
                  <w:tcW w:w="176" w:type="pct"/>
                  <w:shd w:val="clear" w:color="auto" w:fill="auto"/>
                  <w:vAlign w:val="center"/>
                </w:tcPr>
                <w:p w14:paraId="7F253B48">
                  <w:pPr>
                    <w:spacing w:line="220" w:lineRule="exact"/>
                    <w:jc w:val="center"/>
                    <w:rPr>
                      <w:rFonts w:hint="default" w:ascii="Times New Roman" w:hAnsi="Times New Roman" w:eastAsia="宋体" w:cs="Times New Roman"/>
                      <w:color w:val="auto"/>
                      <w:spacing w:val="-17"/>
                      <w:kern w:val="2"/>
                      <w:sz w:val="18"/>
                      <w:szCs w:val="18"/>
                      <w:highlight w:val="none"/>
                      <w:lang w:val="en-US" w:eastAsia="zh-CN" w:bidi="ar-SA"/>
                    </w:rPr>
                  </w:pPr>
                  <w:r>
                    <w:rPr>
                      <w:rFonts w:hint="eastAsia" w:cs="Times New Roman"/>
                      <w:color w:val="auto"/>
                      <w:spacing w:val="-17"/>
                      <w:sz w:val="18"/>
                      <w:szCs w:val="18"/>
                      <w:highlight w:val="none"/>
                      <w:lang w:val="en-US" w:eastAsia="zh-CN"/>
                    </w:rPr>
                    <w:t>31</w:t>
                  </w:r>
                </w:p>
              </w:tc>
              <w:tc>
                <w:tcPr>
                  <w:tcW w:w="176" w:type="pct"/>
                  <w:vMerge w:val="continue"/>
                  <w:vAlign w:val="center"/>
                </w:tcPr>
                <w:p w14:paraId="205F583D">
                  <w:pPr>
                    <w:spacing w:line="220" w:lineRule="exact"/>
                    <w:jc w:val="center"/>
                    <w:rPr>
                      <w:rFonts w:hint="eastAsia" w:ascii="Times New Roman" w:hAnsi="Times New Roman" w:cs="Times New Roman"/>
                      <w:color w:val="auto"/>
                      <w:spacing w:val="-17"/>
                      <w:kern w:val="2"/>
                      <w:sz w:val="18"/>
                      <w:szCs w:val="18"/>
                      <w:lang w:val="en-US" w:eastAsia="zh-CN" w:bidi="ar-SA"/>
                    </w:rPr>
                  </w:pPr>
                </w:p>
              </w:tc>
              <w:tc>
                <w:tcPr>
                  <w:tcW w:w="211" w:type="pct"/>
                  <w:vMerge w:val="continue"/>
                  <w:vAlign w:val="center"/>
                </w:tcPr>
                <w:p w14:paraId="79B50588">
                  <w:pPr>
                    <w:spacing w:line="220" w:lineRule="exact"/>
                    <w:jc w:val="center"/>
                    <w:rPr>
                      <w:rFonts w:hint="eastAsia" w:ascii="Times New Roman" w:hAnsi="Times New Roman" w:cs="Times New Roman"/>
                      <w:color w:val="auto"/>
                      <w:spacing w:val="-17"/>
                      <w:sz w:val="18"/>
                      <w:szCs w:val="18"/>
                      <w:lang w:val="en-US" w:eastAsia="zh-CN"/>
                    </w:rPr>
                  </w:pPr>
                </w:p>
              </w:tc>
              <w:tc>
                <w:tcPr>
                  <w:tcW w:w="379" w:type="pct"/>
                  <w:shd w:val="clear" w:color="auto" w:fill="auto"/>
                  <w:vAlign w:val="center"/>
                </w:tcPr>
                <w:p w14:paraId="33499671">
                  <w:pPr>
                    <w:pStyle w:val="71"/>
                    <w:spacing w:line="220" w:lineRule="exact"/>
                    <w:jc w:val="center"/>
                    <w:rPr>
                      <w:rFonts w:hint="eastAsia" w:ascii="Times New Roman" w:hAnsi="Times New Roman" w:eastAsia="宋体" w:cs="Times New Roman"/>
                      <w:color w:val="auto"/>
                      <w:spacing w:val="-17"/>
                      <w:kern w:val="0"/>
                      <w:sz w:val="18"/>
                      <w:szCs w:val="18"/>
                      <w:highlight w:val="none"/>
                      <w:lang w:val="en-US" w:eastAsia="zh-CN" w:bidi="ar-SA"/>
                    </w:rPr>
                  </w:pPr>
                  <w:r>
                    <w:rPr>
                      <w:rFonts w:hint="eastAsia" w:ascii="Times New Roman" w:hAnsi="Times New Roman" w:cs="Times New Roman"/>
                      <w:color w:val="auto"/>
                      <w:spacing w:val="-17"/>
                      <w:sz w:val="18"/>
                      <w:szCs w:val="18"/>
                      <w:highlight w:val="none"/>
                      <w:lang w:val="en-US" w:eastAsia="zh-CN"/>
                    </w:rPr>
                    <w:t>1</w:t>
                  </w:r>
                  <w:r>
                    <w:rPr>
                      <w:rFonts w:hint="eastAsia" w:ascii="Times New Roman" w:hAnsi="Times New Roman" w:eastAsia="宋体" w:cs="Times New Roman"/>
                      <w:color w:val="auto"/>
                      <w:spacing w:val="-17"/>
                      <w:sz w:val="18"/>
                      <w:szCs w:val="18"/>
                      <w:highlight w:val="none"/>
                      <w:vertAlign w:val="superscript"/>
                      <w:lang w:val="en-US" w:eastAsia="zh-CN"/>
                    </w:rPr>
                    <w:t>#</w:t>
                  </w:r>
                  <w:r>
                    <w:rPr>
                      <w:rFonts w:hint="default" w:ascii="Times New Roman" w:hAnsi="Times New Roman" w:eastAsia="宋体" w:cs="Times New Roman"/>
                      <w:color w:val="auto"/>
                      <w:spacing w:val="-17"/>
                      <w:kern w:val="0"/>
                      <w:sz w:val="18"/>
                      <w:szCs w:val="18"/>
                      <w:highlight w:val="none"/>
                      <w:lang w:val="en-US" w:eastAsia="zh-CN" w:bidi="ar-SA"/>
                    </w:rPr>
                    <w:t>涡电流分选机</w:t>
                  </w:r>
                </w:p>
              </w:tc>
              <w:tc>
                <w:tcPr>
                  <w:tcW w:w="193" w:type="pct"/>
                  <w:shd w:val="clear" w:color="auto" w:fill="auto"/>
                  <w:vAlign w:val="center"/>
                </w:tcPr>
                <w:p w14:paraId="65D7FB67">
                  <w:pPr>
                    <w:pStyle w:val="71"/>
                    <w:spacing w:line="220" w:lineRule="exact"/>
                    <w:jc w:val="center"/>
                    <w:rPr>
                      <w:rFonts w:hint="default" w:ascii="Times New Roman" w:hAnsi="Times New Roman" w:eastAsia="宋体" w:cs="Times New Roman"/>
                      <w:color w:val="auto"/>
                      <w:spacing w:val="-17"/>
                      <w:sz w:val="18"/>
                      <w:szCs w:val="18"/>
                      <w:highlight w:val="none"/>
                      <w:lang w:val="en-US" w:eastAsia="zh-CN"/>
                    </w:rPr>
                  </w:pPr>
                  <w:r>
                    <w:rPr>
                      <w:rFonts w:hint="eastAsia" w:ascii="Times New Roman" w:hAnsi="Times New Roman" w:eastAsia="宋体" w:cs="Times New Roman"/>
                      <w:color w:val="auto"/>
                      <w:spacing w:val="-17"/>
                      <w:sz w:val="18"/>
                      <w:szCs w:val="18"/>
                      <w:highlight w:val="none"/>
                      <w:lang w:val="en-US" w:eastAsia="zh-CN"/>
                    </w:rPr>
                    <w:t>1</w:t>
                  </w:r>
                </w:p>
              </w:tc>
              <w:tc>
                <w:tcPr>
                  <w:tcW w:w="622" w:type="dxa"/>
                  <w:vAlign w:val="bottom"/>
                </w:tcPr>
                <w:p w14:paraId="42E854E1">
                  <w:pPr>
                    <w:pStyle w:val="71"/>
                    <w:spacing w:line="220" w:lineRule="exact"/>
                    <w:jc w:val="center"/>
                    <w:rPr>
                      <w:rFonts w:hint="default"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80</w:t>
                  </w:r>
                </w:p>
              </w:tc>
              <w:tc>
                <w:tcPr>
                  <w:tcW w:w="314" w:type="pct"/>
                  <w:vMerge w:val="continue"/>
                  <w:vAlign w:val="center"/>
                </w:tcPr>
                <w:p w14:paraId="70B56CF0">
                  <w:pPr>
                    <w:pStyle w:val="71"/>
                    <w:spacing w:line="220" w:lineRule="exact"/>
                    <w:rPr>
                      <w:rFonts w:hint="eastAsia" w:ascii="Times New Roman" w:hAnsi="Times New Roman" w:eastAsia="宋体" w:cs="Times New Roman"/>
                      <w:color w:val="auto"/>
                      <w:spacing w:val="-17"/>
                      <w:kern w:val="2"/>
                      <w:sz w:val="18"/>
                      <w:szCs w:val="18"/>
                      <w:lang w:val="en-US" w:eastAsia="zh-CN" w:bidi="ar-SA"/>
                    </w:rPr>
                  </w:pPr>
                </w:p>
              </w:tc>
              <w:tc>
                <w:tcPr>
                  <w:tcW w:w="428" w:type="dxa"/>
                  <w:shd w:val="clear" w:color="auto" w:fill="FFFFFF"/>
                  <w:vAlign w:val="bottom"/>
                </w:tcPr>
                <w:p w14:paraId="15189183">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22.5</w:t>
                  </w:r>
                </w:p>
              </w:tc>
              <w:tc>
                <w:tcPr>
                  <w:tcW w:w="504" w:type="dxa"/>
                  <w:shd w:val="clear" w:color="auto" w:fill="FFFFFF"/>
                  <w:vAlign w:val="bottom"/>
                </w:tcPr>
                <w:p w14:paraId="2A7E90E2">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43.7</w:t>
                  </w:r>
                </w:p>
              </w:tc>
              <w:tc>
                <w:tcPr>
                  <w:tcW w:w="503" w:type="dxa"/>
                  <w:shd w:val="clear" w:color="auto" w:fill="FFFFFF"/>
                  <w:vAlign w:val="bottom"/>
                </w:tcPr>
                <w:p w14:paraId="2145BE63">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37.8</w:t>
                  </w:r>
                </w:p>
              </w:tc>
              <w:tc>
                <w:tcPr>
                  <w:tcW w:w="525" w:type="dxa"/>
                  <w:shd w:val="clear" w:color="auto" w:fill="FFFFFF"/>
                  <w:vAlign w:val="bottom"/>
                </w:tcPr>
                <w:p w14:paraId="122D2295">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14.3</w:t>
                  </w:r>
                </w:p>
              </w:tc>
              <w:tc>
                <w:tcPr>
                  <w:tcW w:w="483" w:type="dxa"/>
                  <w:shd w:val="clear" w:color="auto" w:fill="FFFFFF"/>
                  <w:vAlign w:val="bottom"/>
                </w:tcPr>
                <w:p w14:paraId="73DE2C19">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48.8</w:t>
                  </w:r>
                </w:p>
              </w:tc>
              <w:tc>
                <w:tcPr>
                  <w:tcW w:w="482" w:type="dxa"/>
                  <w:shd w:val="clear" w:color="auto" w:fill="FFFFFF"/>
                  <w:vAlign w:val="bottom"/>
                </w:tcPr>
                <w:p w14:paraId="36716A45">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48.1</w:t>
                  </w:r>
                </w:p>
              </w:tc>
              <w:tc>
                <w:tcPr>
                  <w:tcW w:w="546" w:type="dxa"/>
                  <w:shd w:val="clear" w:color="auto" w:fill="FFFFFF"/>
                  <w:vAlign w:val="bottom"/>
                </w:tcPr>
                <w:p w14:paraId="4F3DB6ED">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48.2</w:t>
                  </w:r>
                </w:p>
              </w:tc>
              <w:tc>
                <w:tcPr>
                  <w:tcW w:w="579" w:type="dxa"/>
                  <w:shd w:val="clear" w:color="auto" w:fill="FFFFFF"/>
                  <w:vAlign w:val="bottom"/>
                </w:tcPr>
                <w:p w14:paraId="56D1FEAE">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50</w:t>
                  </w:r>
                </w:p>
              </w:tc>
              <w:tc>
                <w:tcPr>
                  <w:tcW w:w="262" w:type="pct"/>
                  <w:vMerge w:val="continue"/>
                  <w:vAlign w:val="center"/>
                </w:tcPr>
                <w:p w14:paraId="67EFAB45">
                  <w:pPr>
                    <w:spacing w:line="220" w:lineRule="exact"/>
                    <w:jc w:val="center"/>
                    <w:rPr>
                      <w:rFonts w:hint="default" w:ascii="Times New Roman" w:hAnsi="Times New Roman" w:eastAsia="宋体" w:cs="Times New Roman"/>
                      <w:color w:val="auto"/>
                      <w:spacing w:val="-20"/>
                      <w:sz w:val="18"/>
                      <w:szCs w:val="18"/>
                      <w:lang w:val="en-US" w:eastAsia="zh-CN"/>
                    </w:rPr>
                  </w:pPr>
                </w:p>
              </w:tc>
              <w:tc>
                <w:tcPr>
                  <w:tcW w:w="331" w:type="pct"/>
                  <w:vAlign w:val="center"/>
                </w:tcPr>
                <w:p w14:paraId="6599C2BF">
                  <w:pPr>
                    <w:pStyle w:val="71"/>
                    <w:spacing w:line="220" w:lineRule="exact"/>
                    <w:jc w:val="center"/>
                    <w:rPr>
                      <w:rFonts w:hint="default" w:ascii="Times New Roman" w:hAnsi="Times New Roman" w:eastAsia="宋体" w:cs="Times New Roman"/>
                      <w:color w:val="auto"/>
                      <w:spacing w:val="-17"/>
                      <w:sz w:val="18"/>
                      <w:szCs w:val="18"/>
                      <w:highlight w:val="none"/>
                      <w:lang w:val="en-US" w:eastAsia="zh-CN"/>
                    </w:rPr>
                  </w:pPr>
                  <w:r>
                    <w:rPr>
                      <w:rFonts w:hint="eastAsia" w:ascii="Times New Roman" w:hAnsi="Times New Roman" w:eastAsia="宋体" w:cs="Times New Roman"/>
                      <w:color w:val="auto"/>
                      <w:spacing w:val="-17"/>
                      <w:sz w:val="18"/>
                      <w:szCs w:val="18"/>
                      <w:highlight w:val="none"/>
                      <w:lang w:val="en-US" w:eastAsia="zh-CN"/>
                    </w:rPr>
                    <w:t>31.0</w:t>
                  </w:r>
                </w:p>
              </w:tc>
              <w:tc>
                <w:tcPr>
                  <w:tcW w:w="397" w:type="dxa"/>
                  <w:shd w:val="clear" w:color="auto" w:fill="FFFFFF"/>
                  <w:vAlign w:val="bottom"/>
                </w:tcPr>
                <w:p w14:paraId="32186D28">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17.8</w:t>
                  </w:r>
                </w:p>
              </w:tc>
              <w:tc>
                <w:tcPr>
                  <w:tcW w:w="439" w:type="dxa"/>
                  <w:shd w:val="clear" w:color="auto" w:fill="FFFFFF"/>
                  <w:vAlign w:val="bottom"/>
                </w:tcPr>
                <w:p w14:paraId="33A20D6C">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17.1</w:t>
                  </w:r>
                </w:p>
              </w:tc>
              <w:tc>
                <w:tcPr>
                  <w:tcW w:w="418" w:type="dxa"/>
                  <w:shd w:val="clear" w:color="auto" w:fill="FFFFFF"/>
                  <w:vAlign w:val="bottom"/>
                </w:tcPr>
                <w:p w14:paraId="05BDD4F2">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17.2</w:t>
                  </w:r>
                </w:p>
              </w:tc>
              <w:tc>
                <w:tcPr>
                  <w:tcW w:w="396" w:type="dxa"/>
                  <w:shd w:val="clear" w:color="auto" w:fill="FFFFFF"/>
                  <w:vAlign w:val="bottom"/>
                </w:tcPr>
                <w:p w14:paraId="4E6B9DD6">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19</w:t>
                  </w:r>
                </w:p>
              </w:tc>
              <w:tc>
                <w:tcPr>
                  <w:tcW w:w="411" w:type="pct"/>
                  <w:vAlign w:val="center"/>
                </w:tcPr>
                <w:p w14:paraId="6B184426">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eastAsia" w:ascii="Times New Roman" w:hAnsi="Times New Roman" w:eastAsia="宋体" w:cs="Times New Roman"/>
                      <w:color w:val="auto"/>
                      <w:spacing w:val="-17"/>
                      <w:sz w:val="18"/>
                      <w:szCs w:val="18"/>
                      <w:highlight w:val="none"/>
                      <w:lang w:val="en-US" w:eastAsia="zh-CN"/>
                    </w:rPr>
                    <w:t>1</w:t>
                  </w:r>
                </w:p>
              </w:tc>
            </w:tr>
            <w:tr w14:paraId="505AF26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454" w:hRule="exact"/>
                <w:jc w:val="center"/>
              </w:trPr>
              <w:tc>
                <w:tcPr>
                  <w:tcW w:w="176" w:type="pct"/>
                  <w:shd w:val="clear" w:color="auto" w:fill="auto"/>
                  <w:vAlign w:val="center"/>
                </w:tcPr>
                <w:p w14:paraId="4868FA16">
                  <w:pPr>
                    <w:spacing w:line="220" w:lineRule="exact"/>
                    <w:jc w:val="center"/>
                    <w:rPr>
                      <w:rFonts w:hint="default" w:ascii="Times New Roman" w:hAnsi="Times New Roman" w:eastAsia="宋体" w:cs="Times New Roman"/>
                      <w:color w:val="auto"/>
                      <w:spacing w:val="-17"/>
                      <w:kern w:val="2"/>
                      <w:sz w:val="18"/>
                      <w:szCs w:val="18"/>
                      <w:highlight w:val="none"/>
                      <w:lang w:val="en-US" w:eastAsia="zh-CN" w:bidi="ar-SA"/>
                    </w:rPr>
                  </w:pPr>
                  <w:r>
                    <w:rPr>
                      <w:rFonts w:hint="eastAsia" w:cs="Times New Roman"/>
                      <w:color w:val="auto"/>
                      <w:spacing w:val="-17"/>
                      <w:sz w:val="18"/>
                      <w:szCs w:val="18"/>
                      <w:highlight w:val="none"/>
                      <w:lang w:val="en-US" w:eastAsia="zh-CN"/>
                    </w:rPr>
                    <w:t>32</w:t>
                  </w:r>
                </w:p>
              </w:tc>
              <w:tc>
                <w:tcPr>
                  <w:tcW w:w="176" w:type="pct"/>
                  <w:vMerge w:val="continue"/>
                  <w:vAlign w:val="center"/>
                </w:tcPr>
                <w:p w14:paraId="550278C9">
                  <w:pPr>
                    <w:spacing w:line="220" w:lineRule="exact"/>
                    <w:jc w:val="center"/>
                    <w:rPr>
                      <w:rFonts w:hint="eastAsia" w:ascii="Times New Roman" w:hAnsi="Times New Roman" w:cs="Times New Roman"/>
                      <w:color w:val="auto"/>
                      <w:spacing w:val="-17"/>
                      <w:kern w:val="2"/>
                      <w:sz w:val="18"/>
                      <w:szCs w:val="18"/>
                      <w:lang w:val="en-US" w:eastAsia="zh-CN" w:bidi="ar-SA"/>
                    </w:rPr>
                  </w:pPr>
                </w:p>
              </w:tc>
              <w:tc>
                <w:tcPr>
                  <w:tcW w:w="211" w:type="pct"/>
                  <w:vMerge w:val="continue"/>
                  <w:vAlign w:val="center"/>
                </w:tcPr>
                <w:p w14:paraId="4B205767">
                  <w:pPr>
                    <w:spacing w:line="220" w:lineRule="exact"/>
                    <w:jc w:val="center"/>
                    <w:rPr>
                      <w:rFonts w:hint="eastAsia" w:ascii="Times New Roman" w:hAnsi="Times New Roman" w:cs="Times New Roman"/>
                      <w:color w:val="auto"/>
                      <w:spacing w:val="-17"/>
                      <w:sz w:val="18"/>
                      <w:szCs w:val="18"/>
                      <w:lang w:val="en-US" w:eastAsia="zh-CN"/>
                    </w:rPr>
                  </w:pPr>
                </w:p>
              </w:tc>
              <w:tc>
                <w:tcPr>
                  <w:tcW w:w="379" w:type="pct"/>
                  <w:shd w:val="clear" w:color="auto" w:fill="auto"/>
                  <w:vAlign w:val="center"/>
                </w:tcPr>
                <w:p w14:paraId="1DE7DB68">
                  <w:pPr>
                    <w:pStyle w:val="71"/>
                    <w:spacing w:line="220" w:lineRule="exact"/>
                    <w:jc w:val="center"/>
                    <w:rPr>
                      <w:rFonts w:hint="eastAsia" w:ascii="Times New Roman" w:hAnsi="Times New Roman" w:cs="Times New Roman"/>
                      <w:color w:val="auto"/>
                      <w:spacing w:val="-17"/>
                      <w:sz w:val="18"/>
                      <w:szCs w:val="18"/>
                      <w:highlight w:val="none"/>
                      <w:lang w:val="en-US" w:eastAsia="zh-CN"/>
                    </w:rPr>
                  </w:pPr>
                  <w:r>
                    <w:rPr>
                      <w:rFonts w:hint="eastAsia" w:ascii="Times New Roman" w:hAnsi="Times New Roman" w:cs="Times New Roman"/>
                      <w:color w:val="auto"/>
                      <w:spacing w:val="-17"/>
                      <w:sz w:val="18"/>
                      <w:szCs w:val="18"/>
                      <w:highlight w:val="none"/>
                      <w:lang w:val="en-US" w:eastAsia="zh-CN"/>
                    </w:rPr>
                    <w:t>2</w:t>
                  </w:r>
                  <w:r>
                    <w:rPr>
                      <w:rFonts w:hint="eastAsia" w:ascii="Times New Roman" w:hAnsi="Times New Roman" w:eastAsia="宋体" w:cs="Times New Roman"/>
                      <w:color w:val="auto"/>
                      <w:spacing w:val="-17"/>
                      <w:sz w:val="18"/>
                      <w:szCs w:val="18"/>
                      <w:highlight w:val="none"/>
                      <w:vertAlign w:val="superscript"/>
                      <w:lang w:val="en-US" w:eastAsia="zh-CN"/>
                    </w:rPr>
                    <w:t>#</w:t>
                  </w:r>
                  <w:r>
                    <w:rPr>
                      <w:rFonts w:hint="default" w:ascii="Times New Roman" w:hAnsi="Times New Roman" w:eastAsia="宋体" w:cs="Times New Roman"/>
                      <w:color w:val="auto"/>
                      <w:spacing w:val="-17"/>
                      <w:kern w:val="0"/>
                      <w:sz w:val="18"/>
                      <w:szCs w:val="18"/>
                      <w:highlight w:val="none"/>
                      <w:lang w:val="en-US" w:eastAsia="zh-CN" w:bidi="ar-SA"/>
                    </w:rPr>
                    <w:t>涡电流分选机</w:t>
                  </w:r>
                </w:p>
              </w:tc>
              <w:tc>
                <w:tcPr>
                  <w:tcW w:w="193" w:type="pct"/>
                  <w:shd w:val="clear" w:color="auto" w:fill="auto"/>
                  <w:vAlign w:val="center"/>
                </w:tcPr>
                <w:p w14:paraId="16E6856E">
                  <w:pPr>
                    <w:pStyle w:val="71"/>
                    <w:spacing w:line="220" w:lineRule="exact"/>
                    <w:jc w:val="center"/>
                    <w:rPr>
                      <w:rFonts w:hint="default" w:ascii="Times New Roman" w:hAnsi="Times New Roman" w:eastAsia="宋体" w:cs="Times New Roman"/>
                      <w:color w:val="auto"/>
                      <w:spacing w:val="-17"/>
                      <w:sz w:val="18"/>
                      <w:szCs w:val="18"/>
                      <w:highlight w:val="none"/>
                      <w:lang w:val="en-US" w:eastAsia="zh-CN"/>
                    </w:rPr>
                  </w:pPr>
                  <w:r>
                    <w:rPr>
                      <w:rFonts w:hint="eastAsia" w:ascii="Times New Roman" w:hAnsi="Times New Roman" w:eastAsia="宋体" w:cs="Times New Roman"/>
                      <w:color w:val="auto"/>
                      <w:spacing w:val="-17"/>
                      <w:sz w:val="18"/>
                      <w:szCs w:val="18"/>
                      <w:highlight w:val="none"/>
                      <w:lang w:val="en-US" w:eastAsia="zh-CN"/>
                    </w:rPr>
                    <w:t>1</w:t>
                  </w:r>
                </w:p>
              </w:tc>
              <w:tc>
                <w:tcPr>
                  <w:tcW w:w="622" w:type="dxa"/>
                  <w:vAlign w:val="bottom"/>
                </w:tcPr>
                <w:p w14:paraId="2BD6D5BA">
                  <w:pPr>
                    <w:pStyle w:val="71"/>
                    <w:spacing w:line="220" w:lineRule="exact"/>
                    <w:jc w:val="center"/>
                    <w:rPr>
                      <w:rFonts w:hint="default"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80</w:t>
                  </w:r>
                </w:p>
              </w:tc>
              <w:tc>
                <w:tcPr>
                  <w:tcW w:w="314" w:type="pct"/>
                  <w:vMerge w:val="continue"/>
                  <w:vAlign w:val="center"/>
                </w:tcPr>
                <w:p w14:paraId="5C1C9918">
                  <w:pPr>
                    <w:spacing w:line="220" w:lineRule="exact"/>
                    <w:jc w:val="center"/>
                    <w:rPr>
                      <w:rFonts w:hint="eastAsia"/>
                      <w:color w:val="auto"/>
                      <w:spacing w:val="-17"/>
                      <w:sz w:val="18"/>
                      <w:szCs w:val="18"/>
                      <w:lang w:val="en-US" w:eastAsia="zh-CN"/>
                    </w:rPr>
                  </w:pPr>
                </w:p>
              </w:tc>
              <w:tc>
                <w:tcPr>
                  <w:tcW w:w="428" w:type="dxa"/>
                  <w:shd w:val="clear" w:color="auto" w:fill="FFFFFF"/>
                  <w:vAlign w:val="bottom"/>
                </w:tcPr>
                <w:p w14:paraId="7277EA1D">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13.3</w:t>
                  </w:r>
                </w:p>
              </w:tc>
              <w:tc>
                <w:tcPr>
                  <w:tcW w:w="504" w:type="dxa"/>
                  <w:shd w:val="clear" w:color="auto" w:fill="FFFFFF"/>
                  <w:vAlign w:val="bottom"/>
                </w:tcPr>
                <w:p w14:paraId="5A8ED013">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42.4</w:t>
                  </w:r>
                </w:p>
              </w:tc>
              <w:tc>
                <w:tcPr>
                  <w:tcW w:w="503" w:type="dxa"/>
                  <w:shd w:val="clear" w:color="auto" w:fill="FFFFFF"/>
                  <w:vAlign w:val="bottom"/>
                </w:tcPr>
                <w:p w14:paraId="75B83CFD">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47.1</w:t>
                  </w:r>
                </w:p>
              </w:tc>
              <w:tc>
                <w:tcPr>
                  <w:tcW w:w="525" w:type="dxa"/>
                  <w:shd w:val="clear" w:color="auto" w:fill="FFFFFF"/>
                  <w:vAlign w:val="bottom"/>
                </w:tcPr>
                <w:p w14:paraId="1CD6F530">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15.7</w:t>
                  </w:r>
                </w:p>
              </w:tc>
              <w:tc>
                <w:tcPr>
                  <w:tcW w:w="483" w:type="dxa"/>
                  <w:shd w:val="clear" w:color="auto" w:fill="FFFFFF"/>
                  <w:vAlign w:val="bottom"/>
                </w:tcPr>
                <w:p w14:paraId="2AE27FA5">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50.2</w:t>
                  </w:r>
                </w:p>
              </w:tc>
              <w:tc>
                <w:tcPr>
                  <w:tcW w:w="482" w:type="dxa"/>
                  <w:shd w:val="clear" w:color="auto" w:fill="FFFFFF"/>
                  <w:vAlign w:val="bottom"/>
                </w:tcPr>
                <w:p w14:paraId="43791352">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48.1</w:t>
                  </w:r>
                </w:p>
              </w:tc>
              <w:tc>
                <w:tcPr>
                  <w:tcW w:w="546" w:type="dxa"/>
                  <w:shd w:val="clear" w:color="auto" w:fill="FFFFFF"/>
                  <w:vAlign w:val="bottom"/>
                </w:tcPr>
                <w:p w14:paraId="6B402916">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48.1</w:t>
                  </w:r>
                </w:p>
              </w:tc>
              <w:tc>
                <w:tcPr>
                  <w:tcW w:w="579" w:type="dxa"/>
                  <w:shd w:val="clear" w:color="auto" w:fill="FFFFFF"/>
                  <w:vAlign w:val="bottom"/>
                </w:tcPr>
                <w:p w14:paraId="47CDC85E">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49.7</w:t>
                  </w:r>
                </w:p>
              </w:tc>
              <w:tc>
                <w:tcPr>
                  <w:tcW w:w="262" w:type="pct"/>
                  <w:vMerge w:val="continue"/>
                  <w:vAlign w:val="center"/>
                </w:tcPr>
                <w:p w14:paraId="59135790">
                  <w:pPr>
                    <w:spacing w:line="220" w:lineRule="exact"/>
                    <w:jc w:val="center"/>
                    <w:rPr>
                      <w:rFonts w:hint="default" w:ascii="Times New Roman" w:hAnsi="Times New Roman" w:eastAsia="宋体" w:cs="Times New Roman"/>
                      <w:color w:val="auto"/>
                      <w:spacing w:val="-20"/>
                      <w:sz w:val="18"/>
                      <w:szCs w:val="18"/>
                      <w:lang w:val="en-US" w:eastAsia="zh-CN"/>
                    </w:rPr>
                  </w:pPr>
                </w:p>
              </w:tc>
              <w:tc>
                <w:tcPr>
                  <w:tcW w:w="331" w:type="pct"/>
                  <w:vAlign w:val="center"/>
                </w:tcPr>
                <w:p w14:paraId="38127689">
                  <w:pPr>
                    <w:pStyle w:val="71"/>
                    <w:spacing w:line="220" w:lineRule="exact"/>
                    <w:jc w:val="center"/>
                    <w:rPr>
                      <w:rFonts w:hint="default" w:ascii="Times New Roman" w:hAnsi="Times New Roman" w:eastAsia="宋体" w:cs="Times New Roman"/>
                      <w:color w:val="auto"/>
                      <w:spacing w:val="-17"/>
                      <w:sz w:val="18"/>
                      <w:szCs w:val="18"/>
                      <w:highlight w:val="none"/>
                      <w:lang w:val="en-US" w:eastAsia="zh-CN"/>
                    </w:rPr>
                  </w:pPr>
                  <w:r>
                    <w:rPr>
                      <w:rFonts w:hint="eastAsia" w:ascii="Times New Roman" w:hAnsi="Times New Roman" w:eastAsia="宋体" w:cs="Times New Roman"/>
                      <w:color w:val="auto"/>
                      <w:spacing w:val="-17"/>
                      <w:sz w:val="18"/>
                      <w:szCs w:val="18"/>
                      <w:highlight w:val="none"/>
                      <w:lang w:val="en-US" w:eastAsia="zh-CN"/>
                    </w:rPr>
                    <w:t>31.0</w:t>
                  </w:r>
                </w:p>
              </w:tc>
              <w:tc>
                <w:tcPr>
                  <w:tcW w:w="397" w:type="dxa"/>
                  <w:shd w:val="clear" w:color="auto" w:fill="FFFFFF"/>
                  <w:vAlign w:val="bottom"/>
                </w:tcPr>
                <w:p w14:paraId="40C5D64C">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19.2</w:t>
                  </w:r>
                </w:p>
              </w:tc>
              <w:tc>
                <w:tcPr>
                  <w:tcW w:w="439" w:type="dxa"/>
                  <w:shd w:val="clear" w:color="auto" w:fill="FFFFFF"/>
                  <w:vAlign w:val="bottom"/>
                </w:tcPr>
                <w:p w14:paraId="5B9813EC">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17.1</w:t>
                  </w:r>
                </w:p>
              </w:tc>
              <w:tc>
                <w:tcPr>
                  <w:tcW w:w="418" w:type="dxa"/>
                  <w:shd w:val="clear" w:color="auto" w:fill="FFFFFF"/>
                  <w:vAlign w:val="bottom"/>
                </w:tcPr>
                <w:p w14:paraId="0037DFDB">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17.1</w:t>
                  </w:r>
                </w:p>
              </w:tc>
              <w:tc>
                <w:tcPr>
                  <w:tcW w:w="396" w:type="dxa"/>
                  <w:shd w:val="clear" w:color="auto" w:fill="FFFFFF"/>
                  <w:vAlign w:val="bottom"/>
                </w:tcPr>
                <w:p w14:paraId="1D5B46BE">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18.7</w:t>
                  </w:r>
                </w:p>
              </w:tc>
              <w:tc>
                <w:tcPr>
                  <w:tcW w:w="411" w:type="pct"/>
                  <w:vAlign w:val="center"/>
                </w:tcPr>
                <w:p w14:paraId="30DCD726">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eastAsia" w:ascii="Times New Roman" w:hAnsi="Times New Roman" w:eastAsia="宋体" w:cs="Times New Roman"/>
                      <w:color w:val="auto"/>
                      <w:spacing w:val="-17"/>
                      <w:sz w:val="18"/>
                      <w:szCs w:val="18"/>
                      <w:highlight w:val="none"/>
                      <w:lang w:val="en-US" w:eastAsia="zh-CN"/>
                    </w:rPr>
                    <w:t>1</w:t>
                  </w:r>
                </w:p>
              </w:tc>
            </w:tr>
            <w:tr w14:paraId="4405562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1" w:hRule="exact"/>
                <w:jc w:val="center"/>
              </w:trPr>
              <w:tc>
                <w:tcPr>
                  <w:tcW w:w="176" w:type="pct"/>
                  <w:shd w:val="clear" w:color="auto" w:fill="auto"/>
                  <w:vAlign w:val="center"/>
                </w:tcPr>
                <w:p w14:paraId="750C9D86">
                  <w:pPr>
                    <w:spacing w:line="220" w:lineRule="exact"/>
                    <w:jc w:val="center"/>
                    <w:rPr>
                      <w:rFonts w:hint="default" w:ascii="Times New Roman" w:hAnsi="Times New Roman" w:eastAsia="宋体" w:cs="Times New Roman"/>
                      <w:color w:val="auto"/>
                      <w:spacing w:val="-17"/>
                      <w:kern w:val="2"/>
                      <w:sz w:val="18"/>
                      <w:szCs w:val="18"/>
                      <w:highlight w:val="none"/>
                      <w:lang w:val="en-US" w:eastAsia="zh-CN" w:bidi="ar-SA"/>
                    </w:rPr>
                  </w:pPr>
                  <w:r>
                    <w:rPr>
                      <w:rFonts w:hint="eastAsia" w:cs="Times New Roman"/>
                      <w:color w:val="auto"/>
                      <w:spacing w:val="-17"/>
                      <w:sz w:val="18"/>
                      <w:szCs w:val="18"/>
                      <w:highlight w:val="none"/>
                      <w:lang w:val="en-US" w:eastAsia="zh-CN"/>
                    </w:rPr>
                    <w:t>33</w:t>
                  </w:r>
                </w:p>
              </w:tc>
              <w:tc>
                <w:tcPr>
                  <w:tcW w:w="176" w:type="pct"/>
                  <w:vMerge w:val="continue"/>
                  <w:vAlign w:val="center"/>
                </w:tcPr>
                <w:p w14:paraId="513EE3AC">
                  <w:pPr>
                    <w:spacing w:line="220" w:lineRule="exact"/>
                    <w:jc w:val="center"/>
                    <w:rPr>
                      <w:rFonts w:hint="eastAsia" w:ascii="Times New Roman" w:hAnsi="Times New Roman" w:cs="Times New Roman"/>
                      <w:color w:val="auto"/>
                      <w:spacing w:val="-17"/>
                      <w:kern w:val="2"/>
                      <w:sz w:val="18"/>
                      <w:szCs w:val="18"/>
                      <w:lang w:val="en-US" w:eastAsia="zh-CN" w:bidi="ar-SA"/>
                    </w:rPr>
                  </w:pPr>
                </w:p>
              </w:tc>
              <w:tc>
                <w:tcPr>
                  <w:tcW w:w="211" w:type="pct"/>
                  <w:vMerge w:val="continue"/>
                  <w:vAlign w:val="center"/>
                </w:tcPr>
                <w:p w14:paraId="1CE73474">
                  <w:pPr>
                    <w:spacing w:line="220" w:lineRule="exact"/>
                    <w:jc w:val="center"/>
                    <w:rPr>
                      <w:rFonts w:hint="eastAsia" w:ascii="Times New Roman" w:hAnsi="Times New Roman" w:cs="Times New Roman"/>
                      <w:color w:val="auto"/>
                      <w:spacing w:val="-17"/>
                      <w:sz w:val="18"/>
                      <w:szCs w:val="18"/>
                      <w:lang w:val="en-US" w:eastAsia="zh-CN"/>
                    </w:rPr>
                  </w:pPr>
                </w:p>
              </w:tc>
              <w:tc>
                <w:tcPr>
                  <w:tcW w:w="379" w:type="pct"/>
                  <w:shd w:val="clear" w:color="auto" w:fill="auto"/>
                  <w:vAlign w:val="center"/>
                </w:tcPr>
                <w:p w14:paraId="6F50FE0E">
                  <w:pPr>
                    <w:pStyle w:val="71"/>
                    <w:spacing w:line="220" w:lineRule="exact"/>
                    <w:jc w:val="center"/>
                    <w:rPr>
                      <w:rFonts w:hint="eastAsia" w:ascii="Times New Roman" w:hAnsi="Times New Roman" w:eastAsia="宋体" w:cs="Times New Roman"/>
                      <w:color w:val="auto"/>
                      <w:spacing w:val="-17"/>
                      <w:kern w:val="0"/>
                      <w:sz w:val="18"/>
                      <w:szCs w:val="18"/>
                      <w:highlight w:val="none"/>
                      <w:lang w:val="en-US" w:eastAsia="zh-CN" w:bidi="ar-SA"/>
                    </w:rPr>
                  </w:pPr>
                  <w:r>
                    <w:rPr>
                      <w:rFonts w:hint="eastAsia" w:ascii="Times New Roman" w:hAnsi="Times New Roman" w:cs="Times New Roman"/>
                      <w:color w:val="auto"/>
                      <w:spacing w:val="-17"/>
                      <w:sz w:val="18"/>
                      <w:szCs w:val="18"/>
                      <w:highlight w:val="none"/>
                      <w:lang w:val="en-US" w:eastAsia="zh-CN"/>
                    </w:rPr>
                    <w:t>1</w:t>
                  </w:r>
                  <w:r>
                    <w:rPr>
                      <w:rFonts w:hint="eastAsia" w:ascii="Times New Roman" w:hAnsi="Times New Roman" w:eastAsia="宋体" w:cs="Times New Roman"/>
                      <w:color w:val="auto"/>
                      <w:spacing w:val="-17"/>
                      <w:sz w:val="18"/>
                      <w:szCs w:val="18"/>
                      <w:highlight w:val="none"/>
                      <w:vertAlign w:val="superscript"/>
                      <w:lang w:val="en-US" w:eastAsia="zh-CN"/>
                    </w:rPr>
                    <w:t>#</w:t>
                  </w:r>
                  <w:r>
                    <w:rPr>
                      <w:rFonts w:hint="eastAsia" w:ascii="Times New Roman" w:hAnsi="Times New Roman" w:eastAsia="宋体" w:cs="Times New Roman"/>
                      <w:color w:val="auto"/>
                      <w:spacing w:val="-17"/>
                      <w:kern w:val="0"/>
                      <w:sz w:val="18"/>
                      <w:szCs w:val="18"/>
                      <w:highlight w:val="none"/>
                      <w:lang w:val="en-US" w:eastAsia="zh-CN" w:bidi="ar-SA"/>
                    </w:rPr>
                    <w:t>高钙机</w:t>
                  </w:r>
                </w:p>
              </w:tc>
              <w:tc>
                <w:tcPr>
                  <w:tcW w:w="193" w:type="pct"/>
                  <w:shd w:val="clear" w:color="auto" w:fill="auto"/>
                  <w:vAlign w:val="center"/>
                </w:tcPr>
                <w:p w14:paraId="70607462">
                  <w:pPr>
                    <w:pStyle w:val="71"/>
                    <w:spacing w:line="220" w:lineRule="exact"/>
                    <w:jc w:val="center"/>
                    <w:rPr>
                      <w:rFonts w:hint="default" w:ascii="Times New Roman" w:hAnsi="Times New Roman" w:eastAsia="宋体" w:cs="Times New Roman"/>
                      <w:color w:val="auto"/>
                      <w:spacing w:val="-17"/>
                      <w:sz w:val="18"/>
                      <w:szCs w:val="18"/>
                      <w:highlight w:val="none"/>
                      <w:lang w:val="en-US" w:eastAsia="zh-CN"/>
                    </w:rPr>
                  </w:pPr>
                  <w:r>
                    <w:rPr>
                      <w:rFonts w:hint="eastAsia" w:ascii="Times New Roman" w:hAnsi="Times New Roman" w:eastAsia="宋体" w:cs="Times New Roman"/>
                      <w:color w:val="auto"/>
                      <w:spacing w:val="-17"/>
                      <w:sz w:val="18"/>
                      <w:szCs w:val="18"/>
                      <w:highlight w:val="none"/>
                      <w:lang w:val="en-US" w:eastAsia="zh-CN"/>
                    </w:rPr>
                    <w:t>1</w:t>
                  </w:r>
                </w:p>
              </w:tc>
              <w:tc>
                <w:tcPr>
                  <w:tcW w:w="622" w:type="dxa"/>
                  <w:vAlign w:val="bottom"/>
                </w:tcPr>
                <w:p w14:paraId="3D013E94">
                  <w:pPr>
                    <w:pStyle w:val="71"/>
                    <w:spacing w:line="220" w:lineRule="exact"/>
                    <w:jc w:val="center"/>
                    <w:rPr>
                      <w:rFonts w:hint="default"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75</w:t>
                  </w:r>
                </w:p>
              </w:tc>
              <w:tc>
                <w:tcPr>
                  <w:tcW w:w="314" w:type="pct"/>
                  <w:vMerge w:val="continue"/>
                  <w:vAlign w:val="center"/>
                </w:tcPr>
                <w:p w14:paraId="69CA7D46">
                  <w:pPr>
                    <w:spacing w:line="220" w:lineRule="exact"/>
                    <w:jc w:val="center"/>
                    <w:rPr>
                      <w:rFonts w:hint="eastAsia"/>
                      <w:color w:val="auto"/>
                      <w:spacing w:val="-17"/>
                      <w:sz w:val="18"/>
                      <w:szCs w:val="18"/>
                      <w:lang w:val="en-US" w:eastAsia="zh-CN"/>
                    </w:rPr>
                  </w:pPr>
                </w:p>
              </w:tc>
              <w:tc>
                <w:tcPr>
                  <w:tcW w:w="428" w:type="dxa"/>
                  <w:shd w:val="clear" w:color="auto" w:fill="FFFFFF"/>
                  <w:vAlign w:val="bottom"/>
                </w:tcPr>
                <w:p w14:paraId="35784B70">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23.3</w:t>
                  </w:r>
                </w:p>
              </w:tc>
              <w:tc>
                <w:tcPr>
                  <w:tcW w:w="504" w:type="dxa"/>
                  <w:shd w:val="clear" w:color="auto" w:fill="FFFFFF"/>
                  <w:vAlign w:val="bottom"/>
                </w:tcPr>
                <w:p w14:paraId="37279780">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47.3</w:t>
                  </w:r>
                </w:p>
              </w:tc>
              <w:tc>
                <w:tcPr>
                  <w:tcW w:w="503" w:type="dxa"/>
                  <w:shd w:val="clear" w:color="auto" w:fill="FFFFFF"/>
                  <w:vAlign w:val="bottom"/>
                </w:tcPr>
                <w:p w14:paraId="0D1674C7">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37.1</w:t>
                  </w:r>
                </w:p>
              </w:tc>
              <w:tc>
                <w:tcPr>
                  <w:tcW w:w="525" w:type="dxa"/>
                  <w:shd w:val="clear" w:color="auto" w:fill="FFFFFF"/>
                  <w:vAlign w:val="bottom"/>
                </w:tcPr>
                <w:p w14:paraId="662C3D1B">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10.7</w:t>
                  </w:r>
                </w:p>
              </w:tc>
              <w:tc>
                <w:tcPr>
                  <w:tcW w:w="483" w:type="dxa"/>
                  <w:shd w:val="clear" w:color="auto" w:fill="FFFFFF"/>
                  <w:vAlign w:val="bottom"/>
                </w:tcPr>
                <w:p w14:paraId="7FD0B0B2">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43.8</w:t>
                  </w:r>
                </w:p>
              </w:tc>
              <w:tc>
                <w:tcPr>
                  <w:tcW w:w="482" w:type="dxa"/>
                  <w:shd w:val="clear" w:color="auto" w:fill="FFFFFF"/>
                  <w:vAlign w:val="bottom"/>
                </w:tcPr>
                <w:p w14:paraId="70A40312">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43.1</w:t>
                  </w:r>
                </w:p>
              </w:tc>
              <w:tc>
                <w:tcPr>
                  <w:tcW w:w="546" w:type="dxa"/>
                  <w:shd w:val="clear" w:color="auto" w:fill="FFFFFF"/>
                  <w:vAlign w:val="bottom"/>
                </w:tcPr>
                <w:p w14:paraId="2489951A">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43.2</w:t>
                  </w:r>
                </w:p>
              </w:tc>
              <w:tc>
                <w:tcPr>
                  <w:tcW w:w="579" w:type="dxa"/>
                  <w:shd w:val="clear" w:color="auto" w:fill="FFFFFF"/>
                  <w:vAlign w:val="bottom"/>
                </w:tcPr>
                <w:p w14:paraId="3A873554">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46.1</w:t>
                  </w:r>
                </w:p>
              </w:tc>
              <w:tc>
                <w:tcPr>
                  <w:tcW w:w="262" w:type="pct"/>
                  <w:vMerge w:val="continue"/>
                  <w:vAlign w:val="center"/>
                </w:tcPr>
                <w:p w14:paraId="70882AB7">
                  <w:pPr>
                    <w:spacing w:line="220" w:lineRule="exact"/>
                    <w:jc w:val="center"/>
                    <w:rPr>
                      <w:rFonts w:hint="default" w:ascii="Times New Roman" w:hAnsi="Times New Roman" w:eastAsia="宋体" w:cs="Times New Roman"/>
                      <w:color w:val="auto"/>
                      <w:spacing w:val="-20"/>
                      <w:sz w:val="18"/>
                      <w:szCs w:val="18"/>
                      <w:lang w:val="en-US" w:eastAsia="zh-CN"/>
                    </w:rPr>
                  </w:pPr>
                </w:p>
              </w:tc>
              <w:tc>
                <w:tcPr>
                  <w:tcW w:w="331" w:type="pct"/>
                  <w:vAlign w:val="center"/>
                </w:tcPr>
                <w:p w14:paraId="1333DC7D">
                  <w:pPr>
                    <w:pStyle w:val="71"/>
                    <w:spacing w:line="220" w:lineRule="exact"/>
                    <w:jc w:val="center"/>
                    <w:rPr>
                      <w:rFonts w:hint="default" w:ascii="Times New Roman" w:hAnsi="Times New Roman" w:eastAsia="宋体" w:cs="Times New Roman"/>
                      <w:color w:val="auto"/>
                      <w:spacing w:val="-17"/>
                      <w:sz w:val="18"/>
                      <w:szCs w:val="18"/>
                      <w:highlight w:val="none"/>
                      <w:lang w:val="en-US" w:eastAsia="zh-CN"/>
                    </w:rPr>
                  </w:pPr>
                  <w:r>
                    <w:rPr>
                      <w:rFonts w:hint="eastAsia" w:ascii="Times New Roman" w:hAnsi="Times New Roman" w:eastAsia="宋体" w:cs="Times New Roman"/>
                      <w:color w:val="auto"/>
                      <w:spacing w:val="-17"/>
                      <w:sz w:val="18"/>
                      <w:szCs w:val="18"/>
                      <w:highlight w:val="none"/>
                      <w:lang w:val="en-US" w:eastAsia="zh-CN"/>
                    </w:rPr>
                    <w:t>31.0</w:t>
                  </w:r>
                </w:p>
              </w:tc>
              <w:tc>
                <w:tcPr>
                  <w:tcW w:w="397" w:type="dxa"/>
                  <w:shd w:val="clear" w:color="auto" w:fill="FFFFFF"/>
                  <w:vAlign w:val="bottom"/>
                </w:tcPr>
                <w:p w14:paraId="2ED2FFAE">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12.8</w:t>
                  </w:r>
                </w:p>
              </w:tc>
              <w:tc>
                <w:tcPr>
                  <w:tcW w:w="439" w:type="dxa"/>
                  <w:shd w:val="clear" w:color="auto" w:fill="FFFFFF"/>
                  <w:vAlign w:val="bottom"/>
                </w:tcPr>
                <w:p w14:paraId="7BBEF26C">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12.1</w:t>
                  </w:r>
                </w:p>
              </w:tc>
              <w:tc>
                <w:tcPr>
                  <w:tcW w:w="418" w:type="dxa"/>
                  <w:shd w:val="clear" w:color="auto" w:fill="FFFFFF"/>
                  <w:vAlign w:val="bottom"/>
                </w:tcPr>
                <w:p w14:paraId="7625B37F">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12.2</w:t>
                  </w:r>
                </w:p>
              </w:tc>
              <w:tc>
                <w:tcPr>
                  <w:tcW w:w="396" w:type="dxa"/>
                  <w:shd w:val="clear" w:color="auto" w:fill="FFFFFF"/>
                  <w:vAlign w:val="bottom"/>
                </w:tcPr>
                <w:p w14:paraId="19523C9C">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15.1</w:t>
                  </w:r>
                </w:p>
              </w:tc>
              <w:tc>
                <w:tcPr>
                  <w:tcW w:w="411" w:type="pct"/>
                  <w:vAlign w:val="center"/>
                </w:tcPr>
                <w:p w14:paraId="300A502B">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eastAsia" w:ascii="Times New Roman" w:hAnsi="Times New Roman" w:eastAsia="宋体" w:cs="Times New Roman"/>
                      <w:color w:val="auto"/>
                      <w:spacing w:val="-17"/>
                      <w:sz w:val="18"/>
                      <w:szCs w:val="18"/>
                      <w:highlight w:val="none"/>
                      <w:lang w:val="en-US" w:eastAsia="zh-CN"/>
                    </w:rPr>
                    <w:t>1</w:t>
                  </w:r>
                </w:p>
              </w:tc>
            </w:tr>
            <w:tr w14:paraId="7953586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1" w:hRule="exact"/>
                <w:jc w:val="center"/>
              </w:trPr>
              <w:tc>
                <w:tcPr>
                  <w:tcW w:w="176" w:type="pct"/>
                  <w:shd w:val="clear" w:color="auto" w:fill="auto"/>
                  <w:vAlign w:val="center"/>
                </w:tcPr>
                <w:p w14:paraId="50EB6804">
                  <w:pPr>
                    <w:spacing w:line="220" w:lineRule="exact"/>
                    <w:jc w:val="center"/>
                    <w:rPr>
                      <w:rFonts w:hint="default" w:ascii="Times New Roman" w:hAnsi="Times New Roman" w:eastAsia="宋体" w:cs="Times New Roman"/>
                      <w:color w:val="auto"/>
                      <w:spacing w:val="-17"/>
                      <w:kern w:val="2"/>
                      <w:sz w:val="18"/>
                      <w:szCs w:val="18"/>
                      <w:highlight w:val="none"/>
                      <w:lang w:val="en-US" w:eastAsia="zh-CN" w:bidi="ar-SA"/>
                    </w:rPr>
                  </w:pPr>
                  <w:r>
                    <w:rPr>
                      <w:rFonts w:hint="eastAsia" w:cs="Times New Roman"/>
                      <w:color w:val="auto"/>
                      <w:spacing w:val="-17"/>
                      <w:sz w:val="18"/>
                      <w:szCs w:val="18"/>
                      <w:highlight w:val="none"/>
                      <w:lang w:val="en-US" w:eastAsia="zh-CN"/>
                    </w:rPr>
                    <w:t>34</w:t>
                  </w:r>
                </w:p>
              </w:tc>
              <w:tc>
                <w:tcPr>
                  <w:tcW w:w="176" w:type="pct"/>
                  <w:vMerge w:val="continue"/>
                  <w:vAlign w:val="center"/>
                </w:tcPr>
                <w:p w14:paraId="45EBDC29">
                  <w:pPr>
                    <w:spacing w:line="220" w:lineRule="exact"/>
                    <w:jc w:val="center"/>
                    <w:rPr>
                      <w:rFonts w:hint="eastAsia" w:ascii="Times New Roman" w:hAnsi="Times New Roman" w:cs="Times New Roman"/>
                      <w:color w:val="auto"/>
                      <w:spacing w:val="-17"/>
                      <w:kern w:val="2"/>
                      <w:sz w:val="18"/>
                      <w:szCs w:val="18"/>
                      <w:lang w:val="en-US" w:eastAsia="zh-CN" w:bidi="ar-SA"/>
                    </w:rPr>
                  </w:pPr>
                </w:p>
              </w:tc>
              <w:tc>
                <w:tcPr>
                  <w:tcW w:w="211" w:type="pct"/>
                  <w:vMerge w:val="continue"/>
                  <w:vAlign w:val="center"/>
                </w:tcPr>
                <w:p w14:paraId="65325A41">
                  <w:pPr>
                    <w:spacing w:line="220" w:lineRule="exact"/>
                    <w:jc w:val="center"/>
                    <w:rPr>
                      <w:rFonts w:hint="eastAsia" w:ascii="Times New Roman" w:hAnsi="Times New Roman" w:cs="Times New Roman"/>
                      <w:color w:val="auto"/>
                      <w:spacing w:val="-17"/>
                      <w:sz w:val="18"/>
                      <w:szCs w:val="18"/>
                      <w:lang w:val="en-US" w:eastAsia="zh-CN"/>
                    </w:rPr>
                  </w:pPr>
                </w:p>
              </w:tc>
              <w:tc>
                <w:tcPr>
                  <w:tcW w:w="379" w:type="pct"/>
                  <w:shd w:val="clear" w:color="auto" w:fill="auto"/>
                  <w:vAlign w:val="center"/>
                </w:tcPr>
                <w:p w14:paraId="6352987B">
                  <w:pPr>
                    <w:pStyle w:val="71"/>
                    <w:spacing w:line="220" w:lineRule="exact"/>
                    <w:jc w:val="center"/>
                    <w:rPr>
                      <w:rFonts w:hint="eastAsia" w:ascii="Times New Roman" w:hAnsi="Times New Roman" w:cs="Times New Roman"/>
                      <w:color w:val="auto"/>
                      <w:spacing w:val="-17"/>
                      <w:sz w:val="18"/>
                      <w:szCs w:val="18"/>
                      <w:highlight w:val="none"/>
                      <w:lang w:val="en-US" w:eastAsia="zh-CN"/>
                    </w:rPr>
                  </w:pPr>
                  <w:r>
                    <w:rPr>
                      <w:rFonts w:hint="eastAsia" w:ascii="Times New Roman" w:hAnsi="Times New Roman" w:cs="Times New Roman"/>
                      <w:color w:val="auto"/>
                      <w:spacing w:val="-17"/>
                      <w:sz w:val="18"/>
                      <w:szCs w:val="18"/>
                      <w:highlight w:val="none"/>
                      <w:lang w:val="en-US" w:eastAsia="zh-CN"/>
                    </w:rPr>
                    <w:t>2</w:t>
                  </w:r>
                  <w:r>
                    <w:rPr>
                      <w:rFonts w:hint="eastAsia" w:ascii="Times New Roman" w:hAnsi="Times New Roman" w:eastAsia="宋体" w:cs="Times New Roman"/>
                      <w:color w:val="auto"/>
                      <w:spacing w:val="-17"/>
                      <w:sz w:val="18"/>
                      <w:szCs w:val="18"/>
                      <w:highlight w:val="none"/>
                      <w:vertAlign w:val="superscript"/>
                      <w:lang w:val="en-US" w:eastAsia="zh-CN"/>
                    </w:rPr>
                    <w:t>#</w:t>
                  </w:r>
                  <w:r>
                    <w:rPr>
                      <w:rFonts w:hint="eastAsia" w:ascii="Times New Roman" w:hAnsi="Times New Roman" w:eastAsia="宋体" w:cs="Times New Roman"/>
                      <w:color w:val="auto"/>
                      <w:spacing w:val="-17"/>
                      <w:kern w:val="0"/>
                      <w:sz w:val="18"/>
                      <w:szCs w:val="18"/>
                      <w:highlight w:val="none"/>
                      <w:lang w:val="en-US" w:eastAsia="zh-CN" w:bidi="ar-SA"/>
                    </w:rPr>
                    <w:t>高钙机</w:t>
                  </w:r>
                </w:p>
              </w:tc>
              <w:tc>
                <w:tcPr>
                  <w:tcW w:w="193" w:type="pct"/>
                  <w:shd w:val="clear" w:color="auto" w:fill="auto"/>
                  <w:vAlign w:val="center"/>
                </w:tcPr>
                <w:p w14:paraId="75DD70D4">
                  <w:pPr>
                    <w:pStyle w:val="71"/>
                    <w:spacing w:line="220" w:lineRule="exact"/>
                    <w:jc w:val="center"/>
                    <w:rPr>
                      <w:rFonts w:hint="default" w:ascii="Times New Roman" w:hAnsi="Times New Roman" w:eastAsia="宋体" w:cs="Times New Roman"/>
                      <w:color w:val="auto"/>
                      <w:spacing w:val="-17"/>
                      <w:sz w:val="18"/>
                      <w:szCs w:val="18"/>
                      <w:highlight w:val="none"/>
                      <w:lang w:val="en-US" w:eastAsia="zh-CN"/>
                    </w:rPr>
                  </w:pPr>
                  <w:r>
                    <w:rPr>
                      <w:rFonts w:hint="eastAsia" w:ascii="Times New Roman" w:hAnsi="Times New Roman" w:eastAsia="宋体" w:cs="Times New Roman"/>
                      <w:color w:val="auto"/>
                      <w:spacing w:val="-17"/>
                      <w:sz w:val="18"/>
                      <w:szCs w:val="18"/>
                      <w:highlight w:val="none"/>
                      <w:lang w:val="en-US" w:eastAsia="zh-CN"/>
                    </w:rPr>
                    <w:t>1</w:t>
                  </w:r>
                </w:p>
              </w:tc>
              <w:tc>
                <w:tcPr>
                  <w:tcW w:w="622" w:type="dxa"/>
                  <w:vAlign w:val="bottom"/>
                </w:tcPr>
                <w:p w14:paraId="5E39AC2A">
                  <w:pPr>
                    <w:pStyle w:val="71"/>
                    <w:spacing w:line="220" w:lineRule="exact"/>
                    <w:jc w:val="center"/>
                    <w:rPr>
                      <w:rFonts w:hint="default"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75</w:t>
                  </w:r>
                </w:p>
              </w:tc>
              <w:tc>
                <w:tcPr>
                  <w:tcW w:w="314" w:type="pct"/>
                  <w:vMerge w:val="continue"/>
                  <w:vAlign w:val="center"/>
                </w:tcPr>
                <w:p w14:paraId="0F4AB425">
                  <w:pPr>
                    <w:spacing w:line="220" w:lineRule="exact"/>
                    <w:jc w:val="center"/>
                    <w:rPr>
                      <w:rFonts w:hint="eastAsia"/>
                      <w:color w:val="auto"/>
                      <w:spacing w:val="-17"/>
                      <w:sz w:val="18"/>
                      <w:szCs w:val="18"/>
                      <w:lang w:val="en-US" w:eastAsia="zh-CN"/>
                    </w:rPr>
                  </w:pPr>
                </w:p>
              </w:tc>
              <w:tc>
                <w:tcPr>
                  <w:tcW w:w="428" w:type="dxa"/>
                  <w:shd w:val="clear" w:color="auto" w:fill="FFFFFF"/>
                  <w:vAlign w:val="bottom"/>
                </w:tcPr>
                <w:p w14:paraId="30C6669A">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13.6</w:t>
                  </w:r>
                </w:p>
              </w:tc>
              <w:tc>
                <w:tcPr>
                  <w:tcW w:w="504" w:type="dxa"/>
                  <w:shd w:val="clear" w:color="auto" w:fill="FFFFFF"/>
                  <w:vAlign w:val="bottom"/>
                </w:tcPr>
                <w:p w14:paraId="573E1671">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46.2</w:t>
                  </w:r>
                </w:p>
              </w:tc>
              <w:tc>
                <w:tcPr>
                  <w:tcW w:w="503" w:type="dxa"/>
                  <w:shd w:val="clear" w:color="auto" w:fill="FFFFFF"/>
                  <w:vAlign w:val="bottom"/>
                </w:tcPr>
                <w:p w14:paraId="232F786A">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46.7</w:t>
                  </w:r>
                </w:p>
              </w:tc>
              <w:tc>
                <w:tcPr>
                  <w:tcW w:w="525" w:type="dxa"/>
                  <w:shd w:val="clear" w:color="auto" w:fill="FFFFFF"/>
                  <w:vAlign w:val="bottom"/>
                </w:tcPr>
                <w:p w14:paraId="21C62DC7">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11.8</w:t>
                  </w:r>
                </w:p>
              </w:tc>
              <w:tc>
                <w:tcPr>
                  <w:tcW w:w="483" w:type="dxa"/>
                  <w:shd w:val="clear" w:color="auto" w:fill="FFFFFF"/>
                  <w:vAlign w:val="bottom"/>
                </w:tcPr>
                <w:p w14:paraId="725C58D0">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45.1</w:t>
                  </w:r>
                </w:p>
              </w:tc>
              <w:tc>
                <w:tcPr>
                  <w:tcW w:w="482" w:type="dxa"/>
                  <w:shd w:val="clear" w:color="auto" w:fill="FFFFFF"/>
                  <w:vAlign w:val="bottom"/>
                </w:tcPr>
                <w:p w14:paraId="1FCE790A">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43.1</w:t>
                  </w:r>
                </w:p>
              </w:tc>
              <w:tc>
                <w:tcPr>
                  <w:tcW w:w="546" w:type="dxa"/>
                  <w:shd w:val="clear" w:color="auto" w:fill="FFFFFF"/>
                  <w:vAlign w:val="bottom"/>
                </w:tcPr>
                <w:p w14:paraId="4A49A195">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43.1</w:t>
                  </w:r>
                </w:p>
              </w:tc>
              <w:tc>
                <w:tcPr>
                  <w:tcW w:w="579" w:type="dxa"/>
                  <w:shd w:val="clear" w:color="auto" w:fill="FFFFFF"/>
                  <w:vAlign w:val="bottom"/>
                </w:tcPr>
                <w:p w14:paraId="3528FF09">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45.7</w:t>
                  </w:r>
                </w:p>
              </w:tc>
              <w:tc>
                <w:tcPr>
                  <w:tcW w:w="262" w:type="pct"/>
                  <w:vMerge w:val="continue"/>
                  <w:vAlign w:val="center"/>
                </w:tcPr>
                <w:p w14:paraId="2608A869">
                  <w:pPr>
                    <w:spacing w:line="220" w:lineRule="exact"/>
                    <w:jc w:val="center"/>
                    <w:rPr>
                      <w:rFonts w:hint="default" w:ascii="Times New Roman" w:hAnsi="Times New Roman" w:eastAsia="宋体" w:cs="Times New Roman"/>
                      <w:color w:val="auto"/>
                      <w:spacing w:val="-20"/>
                      <w:sz w:val="18"/>
                      <w:szCs w:val="18"/>
                      <w:lang w:val="en-US" w:eastAsia="zh-CN"/>
                    </w:rPr>
                  </w:pPr>
                </w:p>
              </w:tc>
              <w:tc>
                <w:tcPr>
                  <w:tcW w:w="331" w:type="pct"/>
                  <w:vAlign w:val="center"/>
                </w:tcPr>
                <w:p w14:paraId="43A069CD">
                  <w:pPr>
                    <w:pStyle w:val="71"/>
                    <w:spacing w:line="220" w:lineRule="exact"/>
                    <w:jc w:val="center"/>
                    <w:rPr>
                      <w:rFonts w:hint="default" w:ascii="Times New Roman" w:hAnsi="Times New Roman" w:eastAsia="宋体" w:cs="Times New Roman"/>
                      <w:color w:val="auto"/>
                      <w:spacing w:val="-17"/>
                      <w:sz w:val="18"/>
                      <w:szCs w:val="18"/>
                      <w:highlight w:val="none"/>
                      <w:lang w:val="en-US" w:eastAsia="zh-CN"/>
                    </w:rPr>
                  </w:pPr>
                  <w:r>
                    <w:rPr>
                      <w:rFonts w:hint="eastAsia" w:ascii="Times New Roman" w:hAnsi="Times New Roman" w:eastAsia="宋体" w:cs="Times New Roman"/>
                      <w:color w:val="auto"/>
                      <w:spacing w:val="-17"/>
                      <w:sz w:val="18"/>
                      <w:szCs w:val="18"/>
                      <w:highlight w:val="none"/>
                      <w:lang w:val="en-US" w:eastAsia="zh-CN"/>
                    </w:rPr>
                    <w:t>31.0</w:t>
                  </w:r>
                </w:p>
              </w:tc>
              <w:tc>
                <w:tcPr>
                  <w:tcW w:w="397" w:type="dxa"/>
                  <w:shd w:val="clear" w:color="auto" w:fill="FFFFFF"/>
                  <w:vAlign w:val="bottom"/>
                </w:tcPr>
                <w:p w14:paraId="2BF4750F">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14.1</w:t>
                  </w:r>
                </w:p>
              </w:tc>
              <w:tc>
                <w:tcPr>
                  <w:tcW w:w="439" w:type="dxa"/>
                  <w:shd w:val="clear" w:color="auto" w:fill="FFFFFF"/>
                  <w:vAlign w:val="bottom"/>
                </w:tcPr>
                <w:p w14:paraId="285854BF">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12.1</w:t>
                  </w:r>
                </w:p>
              </w:tc>
              <w:tc>
                <w:tcPr>
                  <w:tcW w:w="418" w:type="dxa"/>
                  <w:shd w:val="clear" w:color="auto" w:fill="FFFFFF"/>
                  <w:vAlign w:val="bottom"/>
                </w:tcPr>
                <w:p w14:paraId="39778935">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12.1</w:t>
                  </w:r>
                </w:p>
              </w:tc>
              <w:tc>
                <w:tcPr>
                  <w:tcW w:w="396" w:type="dxa"/>
                  <w:shd w:val="clear" w:color="auto" w:fill="FFFFFF"/>
                  <w:vAlign w:val="bottom"/>
                </w:tcPr>
                <w:p w14:paraId="222023F6">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14.7</w:t>
                  </w:r>
                </w:p>
              </w:tc>
              <w:tc>
                <w:tcPr>
                  <w:tcW w:w="411" w:type="pct"/>
                  <w:vAlign w:val="center"/>
                </w:tcPr>
                <w:p w14:paraId="6A8720EC">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eastAsia" w:ascii="Times New Roman" w:hAnsi="Times New Roman" w:eastAsia="宋体" w:cs="Times New Roman"/>
                      <w:color w:val="auto"/>
                      <w:spacing w:val="-17"/>
                      <w:sz w:val="18"/>
                      <w:szCs w:val="18"/>
                      <w:highlight w:val="none"/>
                      <w:lang w:val="en-US" w:eastAsia="zh-CN"/>
                    </w:rPr>
                    <w:t>1</w:t>
                  </w:r>
                </w:p>
              </w:tc>
            </w:tr>
            <w:tr w14:paraId="61B383E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1" w:hRule="exact"/>
                <w:jc w:val="center"/>
              </w:trPr>
              <w:tc>
                <w:tcPr>
                  <w:tcW w:w="176" w:type="pct"/>
                  <w:shd w:val="clear" w:color="auto" w:fill="auto"/>
                  <w:vAlign w:val="center"/>
                </w:tcPr>
                <w:p w14:paraId="2C8D7866">
                  <w:pPr>
                    <w:spacing w:line="220" w:lineRule="exact"/>
                    <w:jc w:val="center"/>
                    <w:rPr>
                      <w:rFonts w:hint="eastAsia" w:ascii="Times New Roman" w:hAnsi="Times New Roman" w:eastAsia="宋体" w:cs="Times New Roman"/>
                      <w:color w:val="auto"/>
                      <w:spacing w:val="-17"/>
                      <w:kern w:val="2"/>
                      <w:sz w:val="18"/>
                      <w:szCs w:val="18"/>
                      <w:highlight w:val="none"/>
                      <w:lang w:val="en-US" w:eastAsia="zh-CN" w:bidi="ar-SA"/>
                    </w:rPr>
                  </w:pPr>
                  <w:r>
                    <w:rPr>
                      <w:rFonts w:hint="eastAsia" w:cs="Times New Roman"/>
                      <w:color w:val="auto"/>
                      <w:spacing w:val="-17"/>
                      <w:sz w:val="18"/>
                      <w:szCs w:val="18"/>
                      <w:highlight w:val="none"/>
                      <w:lang w:val="en-US" w:eastAsia="zh-CN"/>
                    </w:rPr>
                    <w:t>35</w:t>
                  </w:r>
                </w:p>
              </w:tc>
              <w:tc>
                <w:tcPr>
                  <w:tcW w:w="176" w:type="pct"/>
                  <w:vMerge w:val="continue"/>
                  <w:vAlign w:val="center"/>
                </w:tcPr>
                <w:p w14:paraId="098F7990">
                  <w:pPr>
                    <w:spacing w:line="220" w:lineRule="exact"/>
                    <w:jc w:val="center"/>
                    <w:rPr>
                      <w:rFonts w:hint="eastAsia" w:ascii="Times New Roman" w:hAnsi="Times New Roman" w:cs="Times New Roman"/>
                      <w:color w:val="auto"/>
                      <w:spacing w:val="-17"/>
                      <w:kern w:val="2"/>
                      <w:sz w:val="18"/>
                      <w:szCs w:val="18"/>
                      <w:lang w:val="en-US" w:eastAsia="zh-CN" w:bidi="ar-SA"/>
                    </w:rPr>
                  </w:pPr>
                </w:p>
              </w:tc>
              <w:tc>
                <w:tcPr>
                  <w:tcW w:w="211" w:type="pct"/>
                  <w:vMerge w:val="continue"/>
                  <w:vAlign w:val="center"/>
                </w:tcPr>
                <w:p w14:paraId="19BBB05B">
                  <w:pPr>
                    <w:spacing w:line="220" w:lineRule="exact"/>
                    <w:jc w:val="center"/>
                    <w:rPr>
                      <w:rFonts w:hint="eastAsia" w:ascii="Times New Roman" w:hAnsi="Times New Roman" w:cs="Times New Roman"/>
                      <w:color w:val="auto"/>
                      <w:spacing w:val="-17"/>
                      <w:sz w:val="18"/>
                      <w:szCs w:val="18"/>
                      <w:lang w:val="en-US" w:eastAsia="zh-CN"/>
                    </w:rPr>
                  </w:pPr>
                </w:p>
              </w:tc>
              <w:tc>
                <w:tcPr>
                  <w:tcW w:w="379" w:type="pct"/>
                  <w:shd w:val="clear" w:color="auto" w:fill="auto"/>
                  <w:vAlign w:val="center"/>
                </w:tcPr>
                <w:p w14:paraId="69A33E51">
                  <w:pPr>
                    <w:pStyle w:val="71"/>
                    <w:spacing w:line="220" w:lineRule="exact"/>
                    <w:jc w:val="center"/>
                    <w:rPr>
                      <w:rFonts w:hint="eastAsia" w:ascii="Times New Roman" w:hAnsi="Times New Roman" w:eastAsia="宋体" w:cs="Times New Roman"/>
                      <w:color w:val="auto"/>
                      <w:spacing w:val="-17"/>
                      <w:kern w:val="0"/>
                      <w:sz w:val="18"/>
                      <w:szCs w:val="18"/>
                      <w:highlight w:val="none"/>
                      <w:lang w:val="en-US" w:eastAsia="zh-CN" w:bidi="ar-SA"/>
                    </w:rPr>
                  </w:pPr>
                  <w:r>
                    <w:rPr>
                      <w:rFonts w:hint="eastAsia" w:ascii="Times New Roman" w:hAnsi="Times New Roman" w:cs="Times New Roman"/>
                      <w:color w:val="auto"/>
                      <w:spacing w:val="-17"/>
                      <w:sz w:val="18"/>
                      <w:szCs w:val="18"/>
                      <w:highlight w:val="none"/>
                      <w:lang w:val="en-US" w:eastAsia="zh-CN"/>
                    </w:rPr>
                    <w:t>2</w:t>
                  </w:r>
                  <w:r>
                    <w:rPr>
                      <w:rFonts w:hint="eastAsia" w:ascii="Times New Roman" w:hAnsi="Times New Roman" w:cs="Times New Roman"/>
                      <w:color w:val="auto"/>
                      <w:spacing w:val="-17"/>
                      <w:sz w:val="18"/>
                      <w:szCs w:val="18"/>
                      <w:highlight w:val="none"/>
                      <w:vertAlign w:val="superscript"/>
                      <w:lang w:val="en-US" w:eastAsia="zh-CN"/>
                    </w:rPr>
                    <w:t>#</w:t>
                  </w:r>
                  <w:r>
                    <w:rPr>
                      <w:rFonts w:hint="eastAsia" w:ascii="Times New Roman" w:hAnsi="Times New Roman" w:cs="Times New Roman"/>
                      <w:color w:val="auto"/>
                      <w:spacing w:val="-17"/>
                      <w:sz w:val="18"/>
                      <w:szCs w:val="18"/>
                      <w:highlight w:val="none"/>
                      <w:lang w:val="en-US" w:eastAsia="zh-CN"/>
                    </w:rPr>
                    <w:t>除尘风机</w:t>
                  </w:r>
                </w:p>
              </w:tc>
              <w:tc>
                <w:tcPr>
                  <w:tcW w:w="193" w:type="pct"/>
                  <w:shd w:val="clear" w:color="auto" w:fill="auto"/>
                  <w:vAlign w:val="center"/>
                </w:tcPr>
                <w:p w14:paraId="2CE8D639">
                  <w:pPr>
                    <w:spacing w:line="220" w:lineRule="exact"/>
                    <w:jc w:val="center"/>
                    <w:rPr>
                      <w:rFonts w:hint="eastAsia" w:ascii="Times New Roman" w:hAnsi="Times New Roman" w:eastAsia="宋体" w:cs="Times New Roman"/>
                      <w:color w:val="auto"/>
                      <w:spacing w:val="-17"/>
                      <w:kern w:val="2"/>
                      <w:sz w:val="18"/>
                      <w:szCs w:val="18"/>
                      <w:highlight w:val="none"/>
                      <w:lang w:val="en-US" w:eastAsia="zh-CN" w:bidi="ar-SA"/>
                    </w:rPr>
                  </w:pPr>
                  <w:r>
                    <w:rPr>
                      <w:rFonts w:hint="eastAsia"/>
                      <w:color w:val="auto"/>
                      <w:spacing w:val="-17"/>
                      <w:sz w:val="18"/>
                      <w:szCs w:val="18"/>
                      <w:highlight w:val="none"/>
                      <w:lang w:val="en-US" w:eastAsia="zh-CN"/>
                    </w:rPr>
                    <w:t>1</w:t>
                  </w:r>
                </w:p>
              </w:tc>
              <w:tc>
                <w:tcPr>
                  <w:tcW w:w="622" w:type="dxa"/>
                  <w:shd w:val="clear" w:color="auto" w:fill="auto"/>
                  <w:vAlign w:val="bottom"/>
                </w:tcPr>
                <w:p w14:paraId="05436C47">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85</w:t>
                  </w:r>
                </w:p>
              </w:tc>
              <w:tc>
                <w:tcPr>
                  <w:tcW w:w="314" w:type="pct"/>
                  <w:vMerge w:val="continue"/>
                  <w:vAlign w:val="center"/>
                </w:tcPr>
                <w:p w14:paraId="65F08D75">
                  <w:pPr>
                    <w:spacing w:line="220" w:lineRule="exact"/>
                    <w:jc w:val="center"/>
                    <w:rPr>
                      <w:rFonts w:hint="eastAsia"/>
                      <w:color w:val="auto"/>
                      <w:spacing w:val="-17"/>
                      <w:sz w:val="18"/>
                      <w:szCs w:val="18"/>
                      <w:lang w:val="en-US" w:eastAsia="zh-CN"/>
                    </w:rPr>
                  </w:pPr>
                </w:p>
              </w:tc>
              <w:tc>
                <w:tcPr>
                  <w:tcW w:w="428" w:type="dxa"/>
                  <w:shd w:val="clear" w:color="auto" w:fill="FFFFFF"/>
                  <w:vAlign w:val="bottom"/>
                </w:tcPr>
                <w:p w14:paraId="7F45458C">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25.9</w:t>
                  </w:r>
                </w:p>
              </w:tc>
              <w:tc>
                <w:tcPr>
                  <w:tcW w:w="504" w:type="dxa"/>
                  <w:shd w:val="clear" w:color="auto" w:fill="FFFFFF"/>
                  <w:vAlign w:val="bottom"/>
                </w:tcPr>
                <w:p w14:paraId="57FFED59">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22.9</w:t>
                  </w:r>
                </w:p>
              </w:tc>
              <w:tc>
                <w:tcPr>
                  <w:tcW w:w="503" w:type="dxa"/>
                  <w:shd w:val="clear" w:color="auto" w:fill="FFFFFF"/>
                  <w:vAlign w:val="bottom"/>
                </w:tcPr>
                <w:p w14:paraId="6322BC7E">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34.5</w:t>
                  </w:r>
                </w:p>
              </w:tc>
              <w:tc>
                <w:tcPr>
                  <w:tcW w:w="525" w:type="dxa"/>
                  <w:shd w:val="clear" w:color="auto" w:fill="FFFFFF"/>
                  <w:vAlign w:val="bottom"/>
                </w:tcPr>
                <w:p w14:paraId="432F37B8">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35.1</w:t>
                  </w:r>
                </w:p>
              </w:tc>
              <w:tc>
                <w:tcPr>
                  <w:tcW w:w="483" w:type="dxa"/>
                  <w:shd w:val="clear" w:color="auto" w:fill="FFFFFF"/>
                  <w:vAlign w:val="bottom"/>
                </w:tcPr>
                <w:p w14:paraId="64D13877">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53.6</w:t>
                  </w:r>
                </w:p>
              </w:tc>
              <w:tc>
                <w:tcPr>
                  <w:tcW w:w="482" w:type="dxa"/>
                  <w:shd w:val="clear" w:color="auto" w:fill="FFFFFF"/>
                  <w:vAlign w:val="bottom"/>
                </w:tcPr>
                <w:p w14:paraId="03E18C53">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53.8</w:t>
                  </w:r>
                </w:p>
              </w:tc>
              <w:tc>
                <w:tcPr>
                  <w:tcW w:w="546" w:type="dxa"/>
                  <w:shd w:val="clear" w:color="auto" w:fill="FFFFFF"/>
                  <w:vAlign w:val="bottom"/>
                </w:tcPr>
                <w:p w14:paraId="5EA609A0">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53.3</w:t>
                  </w:r>
                </w:p>
              </w:tc>
              <w:tc>
                <w:tcPr>
                  <w:tcW w:w="579" w:type="dxa"/>
                  <w:shd w:val="clear" w:color="auto" w:fill="FFFFFF"/>
                  <w:vAlign w:val="bottom"/>
                </w:tcPr>
                <w:p w14:paraId="5D519F3B">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53.3</w:t>
                  </w:r>
                </w:p>
              </w:tc>
              <w:tc>
                <w:tcPr>
                  <w:tcW w:w="262" w:type="pct"/>
                  <w:vMerge w:val="continue"/>
                  <w:vAlign w:val="center"/>
                </w:tcPr>
                <w:p w14:paraId="4ECA1F67">
                  <w:pPr>
                    <w:spacing w:line="220" w:lineRule="exact"/>
                    <w:jc w:val="center"/>
                    <w:rPr>
                      <w:rFonts w:hint="default" w:ascii="Times New Roman" w:hAnsi="Times New Roman" w:eastAsia="宋体" w:cs="Times New Roman"/>
                      <w:color w:val="auto"/>
                      <w:spacing w:val="-20"/>
                      <w:sz w:val="18"/>
                      <w:szCs w:val="18"/>
                      <w:lang w:val="en-US" w:eastAsia="zh-CN"/>
                    </w:rPr>
                  </w:pPr>
                </w:p>
              </w:tc>
              <w:tc>
                <w:tcPr>
                  <w:tcW w:w="331" w:type="pct"/>
                  <w:vAlign w:val="center"/>
                </w:tcPr>
                <w:p w14:paraId="299DCE41">
                  <w:pPr>
                    <w:pStyle w:val="71"/>
                    <w:spacing w:line="220" w:lineRule="exact"/>
                    <w:jc w:val="center"/>
                    <w:rPr>
                      <w:rFonts w:hint="default" w:ascii="Times New Roman" w:hAnsi="Times New Roman" w:eastAsia="宋体" w:cs="Times New Roman"/>
                      <w:color w:val="auto"/>
                      <w:spacing w:val="-17"/>
                      <w:sz w:val="18"/>
                      <w:szCs w:val="18"/>
                      <w:highlight w:val="none"/>
                      <w:lang w:val="en-US" w:eastAsia="zh-CN"/>
                    </w:rPr>
                  </w:pPr>
                  <w:r>
                    <w:rPr>
                      <w:rFonts w:hint="eastAsia" w:ascii="Times New Roman" w:hAnsi="Times New Roman" w:eastAsia="宋体" w:cs="Times New Roman"/>
                      <w:color w:val="auto"/>
                      <w:spacing w:val="-17"/>
                      <w:sz w:val="18"/>
                      <w:szCs w:val="18"/>
                      <w:highlight w:val="none"/>
                      <w:lang w:val="en-US" w:eastAsia="zh-CN"/>
                    </w:rPr>
                    <w:t>31.0</w:t>
                  </w:r>
                </w:p>
              </w:tc>
              <w:tc>
                <w:tcPr>
                  <w:tcW w:w="397" w:type="dxa"/>
                  <w:shd w:val="clear" w:color="auto" w:fill="FFFFFF"/>
                  <w:vAlign w:val="bottom"/>
                </w:tcPr>
                <w:p w14:paraId="2EB7360E">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22.6</w:t>
                  </w:r>
                </w:p>
              </w:tc>
              <w:tc>
                <w:tcPr>
                  <w:tcW w:w="439" w:type="dxa"/>
                  <w:shd w:val="clear" w:color="auto" w:fill="FFFFFF"/>
                  <w:vAlign w:val="bottom"/>
                </w:tcPr>
                <w:p w14:paraId="3CAF76D0">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22.8</w:t>
                  </w:r>
                </w:p>
              </w:tc>
              <w:tc>
                <w:tcPr>
                  <w:tcW w:w="418" w:type="dxa"/>
                  <w:shd w:val="clear" w:color="auto" w:fill="FFFFFF"/>
                  <w:vAlign w:val="bottom"/>
                </w:tcPr>
                <w:p w14:paraId="3521764F">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22.3</w:t>
                  </w:r>
                </w:p>
              </w:tc>
              <w:tc>
                <w:tcPr>
                  <w:tcW w:w="396" w:type="dxa"/>
                  <w:shd w:val="clear" w:color="auto" w:fill="FFFFFF"/>
                  <w:vAlign w:val="bottom"/>
                </w:tcPr>
                <w:p w14:paraId="481EC01A">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22.3</w:t>
                  </w:r>
                </w:p>
              </w:tc>
              <w:tc>
                <w:tcPr>
                  <w:tcW w:w="411" w:type="pct"/>
                  <w:vAlign w:val="center"/>
                </w:tcPr>
                <w:p w14:paraId="5867201C">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eastAsia" w:ascii="Times New Roman" w:hAnsi="Times New Roman" w:eastAsia="宋体" w:cs="Times New Roman"/>
                      <w:color w:val="auto"/>
                      <w:spacing w:val="-17"/>
                      <w:sz w:val="18"/>
                      <w:szCs w:val="18"/>
                      <w:highlight w:val="none"/>
                      <w:lang w:val="en-US" w:eastAsia="zh-CN"/>
                    </w:rPr>
                    <w:t>1</w:t>
                  </w:r>
                </w:p>
              </w:tc>
            </w:tr>
            <w:tr w14:paraId="6006F43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1" w:hRule="exact"/>
                <w:jc w:val="center"/>
              </w:trPr>
              <w:tc>
                <w:tcPr>
                  <w:tcW w:w="176" w:type="pct"/>
                  <w:shd w:val="clear" w:color="auto" w:fill="auto"/>
                  <w:vAlign w:val="center"/>
                </w:tcPr>
                <w:p w14:paraId="25B5C4F5">
                  <w:pPr>
                    <w:spacing w:line="220" w:lineRule="exact"/>
                    <w:jc w:val="center"/>
                    <w:rPr>
                      <w:rFonts w:hint="eastAsia" w:ascii="Times New Roman" w:hAnsi="Times New Roman" w:eastAsia="宋体" w:cs="Times New Roman"/>
                      <w:color w:val="auto"/>
                      <w:spacing w:val="-17"/>
                      <w:kern w:val="2"/>
                      <w:sz w:val="18"/>
                      <w:szCs w:val="18"/>
                      <w:highlight w:val="none"/>
                      <w:lang w:val="en-US" w:eastAsia="zh-CN" w:bidi="ar-SA"/>
                    </w:rPr>
                  </w:pPr>
                  <w:r>
                    <w:rPr>
                      <w:rFonts w:hint="eastAsia" w:cs="Times New Roman"/>
                      <w:color w:val="auto"/>
                      <w:spacing w:val="-17"/>
                      <w:sz w:val="18"/>
                      <w:szCs w:val="18"/>
                      <w:highlight w:val="none"/>
                      <w:lang w:val="en-US" w:eastAsia="zh-CN"/>
                    </w:rPr>
                    <w:t>36</w:t>
                  </w:r>
                </w:p>
              </w:tc>
              <w:tc>
                <w:tcPr>
                  <w:tcW w:w="176" w:type="pct"/>
                  <w:vMerge w:val="continue"/>
                  <w:vAlign w:val="center"/>
                </w:tcPr>
                <w:p w14:paraId="0E100E69">
                  <w:pPr>
                    <w:spacing w:line="220" w:lineRule="exact"/>
                    <w:jc w:val="center"/>
                    <w:rPr>
                      <w:rFonts w:hint="eastAsia" w:ascii="Times New Roman" w:hAnsi="Times New Roman" w:cs="Times New Roman"/>
                      <w:color w:val="auto"/>
                      <w:spacing w:val="-17"/>
                      <w:kern w:val="2"/>
                      <w:sz w:val="18"/>
                      <w:szCs w:val="18"/>
                      <w:lang w:val="en-US" w:eastAsia="zh-CN" w:bidi="ar-SA"/>
                    </w:rPr>
                  </w:pPr>
                </w:p>
              </w:tc>
              <w:tc>
                <w:tcPr>
                  <w:tcW w:w="211" w:type="pct"/>
                  <w:vMerge w:val="continue"/>
                  <w:vAlign w:val="center"/>
                </w:tcPr>
                <w:p w14:paraId="1BEFCA94">
                  <w:pPr>
                    <w:spacing w:line="220" w:lineRule="exact"/>
                    <w:jc w:val="center"/>
                    <w:rPr>
                      <w:rFonts w:hint="eastAsia" w:ascii="Times New Roman" w:hAnsi="Times New Roman" w:cs="Times New Roman"/>
                      <w:color w:val="auto"/>
                      <w:spacing w:val="-17"/>
                      <w:sz w:val="18"/>
                      <w:szCs w:val="18"/>
                      <w:lang w:val="en-US" w:eastAsia="zh-CN"/>
                    </w:rPr>
                  </w:pPr>
                </w:p>
              </w:tc>
              <w:tc>
                <w:tcPr>
                  <w:tcW w:w="379" w:type="pct"/>
                  <w:shd w:val="clear" w:color="auto" w:fill="auto"/>
                  <w:vAlign w:val="center"/>
                </w:tcPr>
                <w:p w14:paraId="6DDAE562">
                  <w:pPr>
                    <w:pStyle w:val="71"/>
                    <w:spacing w:line="220" w:lineRule="exact"/>
                    <w:jc w:val="center"/>
                    <w:rPr>
                      <w:rFonts w:hint="eastAsia" w:ascii="Times New Roman" w:hAnsi="Times New Roman" w:eastAsia="宋体" w:cs="Times New Roman"/>
                      <w:color w:val="auto"/>
                      <w:spacing w:val="-17"/>
                      <w:kern w:val="0"/>
                      <w:sz w:val="18"/>
                      <w:szCs w:val="18"/>
                      <w:highlight w:val="none"/>
                      <w:lang w:val="en-US" w:eastAsia="zh-CN" w:bidi="ar-SA"/>
                    </w:rPr>
                  </w:pPr>
                  <w:r>
                    <w:rPr>
                      <w:rFonts w:hint="eastAsia" w:ascii="Times New Roman" w:hAnsi="Times New Roman" w:cs="Times New Roman"/>
                      <w:color w:val="auto"/>
                      <w:spacing w:val="-17"/>
                      <w:sz w:val="18"/>
                      <w:szCs w:val="18"/>
                      <w:highlight w:val="none"/>
                      <w:lang w:val="en-US" w:eastAsia="zh-CN"/>
                    </w:rPr>
                    <w:t>2</w:t>
                  </w:r>
                  <w:r>
                    <w:rPr>
                      <w:rFonts w:hint="eastAsia" w:ascii="Times New Roman" w:hAnsi="Times New Roman" w:cs="Times New Roman"/>
                      <w:color w:val="auto"/>
                      <w:spacing w:val="-17"/>
                      <w:sz w:val="18"/>
                      <w:szCs w:val="18"/>
                      <w:highlight w:val="none"/>
                      <w:vertAlign w:val="superscript"/>
                      <w:lang w:val="en-US" w:eastAsia="zh-CN"/>
                    </w:rPr>
                    <w:t>#</w:t>
                  </w:r>
                  <w:r>
                    <w:rPr>
                      <w:rFonts w:hint="eastAsia" w:ascii="Times New Roman" w:hAnsi="Times New Roman" w:cs="Times New Roman"/>
                      <w:color w:val="auto"/>
                      <w:spacing w:val="-17"/>
                      <w:sz w:val="18"/>
                      <w:szCs w:val="18"/>
                      <w:highlight w:val="none"/>
                      <w:lang w:val="en-US" w:eastAsia="zh-CN"/>
                    </w:rPr>
                    <w:t>空压机</w:t>
                  </w:r>
                </w:p>
              </w:tc>
              <w:tc>
                <w:tcPr>
                  <w:tcW w:w="193" w:type="pct"/>
                  <w:shd w:val="clear" w:color="auto" w:fill="auto"/>
                  <w:vAlign w:val="center"/>
                </w:tcPr>
                <w:p w14:paraId="706FA389">
                  <w:pPr>
                    <w:spacing w:line="220" w:lineRule="exact"/>
                    <w:jc w:val="center"/>
                    <w:rPr>
                      <w:rFonts w:hint="eastAsia" w:ascii="Times New Roman" w:hAnsi="Times New Roman" w:eastAsia="宋体" w:cs="Times New Roman"/>
                      <w:color w:val="auto"/>
                      <w:spacing w:val="-17"/>
                      <w:kern w:val="2"/>
                      <w:sz w:val="18"/>
                      <w:szCs w:val="18"/>
                      <w:highlight w:val="none"/>
                      <w:lang w:val="en-US" w:eastAsia="zh-CN" w:bidi="ar-SA"/>
                    </w:rPr>
                  </w:pPr>
                  <w:r>
                    <w:rPr>
                      <w:rFonts w:hint="eastAsia"/>
                      <w:color w:val="auto"/>
                      <w:spacing w:val="-17"/>
                      <w:sz w:val="18"/>
                      <w:szCs w:val="18"/>
                      <w:highlight w:val="none"/>
                      <w:lang w:val="en-US" w:eastAsia="zh-CN"/>
                    </w:rPr>
                    <w:t>1</w:t>
                  </w:r>
                </w:p>
              </w:tc>
              <w:tc>
                <w:tcPr>
                  <w:tcW w:w="622" w:type="dxa"/>
                  <w:shd w:val="clear" w:color="auto" w:fill="auto"/>
                  <w:vAlign w:val="bottom"/>
                </w:tcPr>
                <w:p w14:paraId="4AF4F90D">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85</w:t>
                  </w:r>
                </w:p>
              </w:tc>
              <w:tc>
                <w:tcPr>
                  <w:tcW w:w="314" w:type="pct"/>
                  <w:vMerge w:val="continue"/>
                  <w:vAlign w:val="center"/>
                </w:tcPr>
                <w:p w14:paraId="4EFB77B5">
                  <w:pPr>
                    <w:spacing w:line="220" w:lineRule="exact"/>
                    <w:jc w:val="center"/>
                    <w:rPr>
                      <w:rFonts w:hint="eastAsia"/>
                      <w:color w:val="auto"/>
                      <w:spacing w:val="-17"/>
                      <w:sz w:val="18"/>
                      <w:szCs w:val="18"/>
                      <w:lang w:val="en-US" w:eastAsia="zh-CN"/>
                    </w:rPr>
                  </w:pPr>
                </w:p>
              </w:tc>
              <w:tc>
                <w:tcPr>
                  <w:tcW w:w="428" w:type="dxa"/>
                  <w:shd w:val="clear" w:color="auto" w:fill="FFFFFF"/>
                  <w:vAlign w:val="bottom"/>
                </w:tcPr>
                <w:p w14:paraId="18C8D443">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25.6</w:t>
                  </w:r>
                </w:p>
              </w:tc>
              <w:tc>
                <w:tcPr>
                  <w:tcW w:w="504" w:type="dxa"/>
                  <w:shd w:val="clear" w:color="auto" w:fill="FFFFFF"/>
                  <w:vAlign w:val="bottom"/>
                </w:tcPr>
                <w:p w14:paraId="0B9D3E8C">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22.4</w:t>
                  </w:r>
                </w:p>
              </w:tc>
              <w:tc>
                <w:tcPr>
                  <w:tcW w:w="503" w:type="dxa"/>
                  <w:shd w:val="clear" w:color="auto" w:fill="FFFFFF"/>
                  <w:vAlign w:val="bottom"/>
                </w:tcPr>
                <w:p w14:paraId="706B9B56">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34.7</w:t>
                  </w:r>
                </w:p>
              </w:tc>
              <w:tc>
                <w:tcPr>
                  <w:tcW w:w="525" w:type="dxa"/>
                  <w:shd w:val="clear" w:color="auto" w:fill="FFFFFF"/>
                  <w:vAlign w:val="bottom"/>
                </w:tcPr>
                <w:p w14:paraId="3925F563">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35.7</w:t>
                  </w:r>
                </w:p>
              </w:tc>
              <w:tc>
                <w:tcPr>
                  <w:tcW w:w="483" w:type="dxa"/>
                  <w:shd w:val="clear" w:color="auto" w:fill="FFFFFF"/>
                  <w:vAlign w:val="bottom"/>
                </w:tcPr>
                <w:p w14:paraId="5F55922B">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53.6</w:t>
                  </w:r>
                </w:p>
              </w:tc>
              <w:tc>
                <w:tcPr>
                  <w:tcW w:w="482" w:type="dxa"/>
                  <w:shd w:val="clear" w:color="auto" w:fill="FFFFFF"/>
                  <w:vAlign w:val="bottom"/>
                </w:tcPr>
                <w:p w14:paraId="79FE884E">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53.8</w:t>
                  </w:r>
                </w:p>
              </w:tc>
              <w:tc>
                <w:tcPr>
                  <w:tcW w:w="546" w:type="dxa"/>
                  <w:shd w:val="clear" w:color="auto" w:fill="FFFFFF"/>
                  <w:vAlign w:val="bottom"/>
                </w:tcPr>
                <w:p w14:paraId="6FF191F9">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53.3</w:t>
                  </w:r>
                </w:p>
              </w:tc>
              <w:tc>
                <w:tcPr>
                  <w:tcW w:w="579" w:type="dxa"/>
                  <w:shd w:val="clear" w:color="auto" w:fill="FFFFFF"/>
                  <w:vAlign w:val="bottom"/>
                </w:tcPr>
                <w:p w14:paraId="0CF8E91C">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53.2</w:t>
                  </w:r>
                </w:p>
              </w:tc>
              <w:tc>
                <w:tcPr>
                  <w:tcW w:w="262" w:type="pct"/>
                  <w:vMerge w:val="continue"/>
                  <w:vAlign w:val="center"/>
                </w:tcPr>
                <w:p w14:paraId="2A664A28">
                  <w:pPr>
                    <w:spacing w:line="220" w:lineRule="exact"/>
                    <w:jc w:val="center"/>
                    <w:rPr>
                      <w:rFonts w:hint="default" w:ascii="Times New Roman" w:hAnsi="Times New Roman" w:eastAsia="宋体" w:cs="Times New Roman"/>
                      <w:color w:val="auto"/>
                      <w:spacing w:val="-20"/>
                      <w:sz w:val="18"/>
                      <w:szCs w:val="18"/>
                      <w:lang w:val="en-US" w:eastAsia="zh-CN"/>
                    </w:rPr>
                  </w:pPr>
                </w:p>
              </w:tc>
              <w:tc>
                <w:tcPr>
                  <w:tcW w:w="331" w:type="pct"/>
                  <w:vAlign w:val="center"/>
                </w:tcPr>
                <w:p w14:paraId="09D50532">
                  <w:pPr>
                    <w:pStyle w:val="71"/>
                    <w:spacing w:line="220" w:lineRule="exact"/>
                    <w:jc w:val="center"/>
                    <w:rPr>
                      <w:rFonts w:hint="default" w:ascii="Times New Roman" w:hAnsi="Times New Roman" w:eastAsia="宋体" w:cs="Times New Roman"/>
                      <w:color w:val="auto"/>
                      <w:spacing w:val="-17"/>
                      <w:sz w:val="18"/>
                      <w:szCs w:val="18"/>
                      <w:highlight w:val="none"/>
                      <w:lang w:val="en-US" w:eastAsia="zh-CN"/>
                    </w:rPr>
                  </w:pPr>
                  <w:r>
                    <w:rPr>
                      <w:rFonts w:hint="eastAsia" w:ascii="Times New Roman" w:hAnsi="Times New Roman" w:eastAsia="宋体" w:cs="Times New Roman"/>
                      <w:color w:val="auto"/>
                      <w:spacing w:val="-17"/>
                      <w:sz w:val="18"/>
                      <w:szCs w:val="18"/>
                      <w:highlight w:val="none"/>
                      <w:lang w:val="en-US" w:eastAsia="zh-CN"/>
                    </w:rPr>
                    <w:t>31.0</w:t>
                  </w:r>
                </w:p>
              </w:tc>
              <w:tc>
                <w:tcPr>
                  <w:tcW w:w="397" w:type="dxa"/>
                  <w:shd w:val="clear" w:color="auto" w:fill="FFFFFF"/>
                  <w:vAlign w:val="bottom"/>
                </w:tcPr>
                <w:p w14:paraId="4989B767">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22.6</w:t>
                  </w:r>
                </w:p>
              </w:tc>
              <w:tc>
                <w:tcPr>
                  <w:tcW w:w="439" w:type="dxa"/>
                  <w:shd w:val="clear" w:color="auto" w:fill="FFFFFF"/>
                  <w:vAlign w:val="bottom"/>
                </w:tcPr>
                <w:p w14:paraId="769425A8">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22.8</w:t>
                  </w:r>
                </w:p>
              </w:tc>
              <w:tc>
                <w:tcPr>
                  <w:tcW w:w="418" w:type="dxa"/>
                  <w:shd w:val="clear" w:color="auto" w:fill="FFFFFF"/>
                  <w:vAlign w:val="bottom"/>
                </w:tcPr>
                <w:p w14:paraId="12718D89">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22.3</w:t>
                  </w:r>
                </w:p>
              </w:tc>
              <w:tc>
                <w:tcPr>
                  <w:tcW w:w="396" w:type="dxa"/>
                  <w:shd w:val="clear" w:color="auto" w:fill="FFFFFF"/>
                  <w:vAlign w:val="bottom"/>
                </w:tcPr>
                <w:p w14:paraId="7288EBFF">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22.2</w:t>
                  </w:r>
                </w:p>
              </w:tc>
              <w:tc>
                <w:tcPr>
                  <w:tcW w:w="411" w:type="pct"/>
                  <w:vAlign w:val="center"/>
                </w:tcPr>
                <w:p w14:paraId="48E62566">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eastAsia" w:ascii="Times New Roman" w:hAnsi="Times New Roman" w:eastAsia="宋体" w:cs="Times New Roman"/>
                      <w:color w:val="auto"/>
                      <w:spacing w:val="-17"/>
                      <w:sz w:val="18"/>
                      <w:szCs w:val="18"/>
                      <w:highlight w:val="none"/>
                      <w:lang w:val="en-US" w:eastAsia="zh-CN"/>
                    </w:rPr>
                    <w:t>1</w:t>
                  </w:r>
                </w:p>
              </w:tc>
            </w:tr>
            <w:tr w14:paraId="6FC8FDD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1" w:hRule="exact"/>
                <w:jc w:val="center"/>
              </w:trPr>
              <w:tc>
                <w:tcPr>
                  <w:tcW w:w="176" w:type="pct"/>
                  <w:shd w:val="clear" w:color="auto" w:fill="auto"/>
                  <w:vAlign w:val="center"/>
                </w:tcPr>
                <w:p w14:paraId="0C0308A2">
                  <w:pPr>
                    <w:spacing w:line="220" w:lineRule="exact"/>
                    <w:jc w:val="center"/>
                    <w:rPr>
                      <w:rFonts w:hint="eastAsia" w:ascii="Times New Roman" w:hAnsi="Times New Roman" w:eastAsia="宋体" w:cs="Times New Roman"/>
                      <w:color w:val="auto"/>
                      <w:spacing w:val="-17"/>
                      <w:kern w:val="2"/>
                      <w:sz w:val="18"/>
                      <w:szCs w:val="18"/>
                      <w:highlight w:val="none"/>
                      <w:lang w:val="en-US" w:eastAsia="zh-CN" w:bidi="ar-SA"/>
                    </w:rPr>
                  </w:pPr>
                  <w:r>
                    <w:rPr>
                      <w:rFonts w:hint="eastAsia" w:cs="Times New Roman"/>
                      <w:color w:val="auto"/>
                      <w:spacing w:val="-17"/>
                      <w:sz w:val="18"/>
                      <w:szCs w:val="18"/>
                      <w:highlight w:val="none"/>
                      <w:lang w:val="en-US" w:eastAsia="zh-CN"/>
                    </w:rPr>
                    <w:t>37</w:t>
                  </w:r>
                </w:p>
              </w:tc>
              <w:tc>
                <w:tcPr>
                  <w:tcW w:w="176" w:type="pct"/>
                  <w:vMerge w:val="continue"/>
                  <w:vAlign w:val="center"/>
                </w:tcPr>
                <w:p w14:paraId="5F9BA3C9">
                  <w:pPr>
                    <w:spacing w:line="220" w:lineRule="exact"/>
                    <w:jc w:val="center"/>
                    <w:rPr>
                      <w:rFonts w:hint="eastAsia" w:ascii="Times New Roman" w:hAnsi="Times New Roman" w:cs="Times New Roman"/>
                      <w:color w:val="auto"/>
                      <w:spacing w:val="-17"/>
                      <w:kern w:val="2"/>
                      <w:sz w:val="18"/>
                      <w:szCs w:val="18"/>
                      <w:lang w:val="en-US" w:eastAsia="zh-CN" w:bidi="ar-SA"/>
                    </w:rPr>
                  </w:pPr>
                </w:p>
              </w:tc>
              <w:tc>
                <w:tcPr>
                  <w:tcW w:w="211" w:type="pct"/>
                  <w:vMerge w:val="continue"/>
                  <w:vAlign w:val="center"/>
                </w:tcPr>
                <w:p w14:paraId="3283FAE6">
                  <w:pPr>
                    <w:spacing w:line="220" w:lineRule="exact"/>
                    <w:jc w:val="center"/>
                    <w:rPr>
                      <w:rFonts w:hint="eastAsia" w:ascii="Times New Roman" w:hAnsi="Times New Roman" w:cs="Times New Roman"/>
                      <w:color w:val="auto"/>
                      <w:spacing w:val="-17"/>
                      <w:sz w:val="18"/>
                      <w:szCs w:val="18"/>
                      <w:lang w:val="en-US" w:eastAsia="zh-CN"/>
                    </w:rPr>
                  </w:pPr>
                </w:p>
              </w:tc>
              <w:tc>
                <w:tcPr>
                  <w:tcW w:w="379" w:type="pct"/>
                  <w:shd w:val="clear" w:color="auto" w:fill="auto"/>
                  <w:vAlign w:val="center"/>
                </w:tcPr>
                <w:p w14:paraId="1791C3EB">
                  <w:pPr>
                    <w:pStyle w:val="71"/>
                    <w:spacing w:line="220" w:lineRule="exact"/>
                    <w:jc w:val="center"/>
                    <w:rPr>
                      <w:rFonts w:hint="eastAsia" w:ascii="Times New Roman" w:hAnsi="Times New Roman" w:eastAsia="宋体" w:cs="Times New Roman"/>
                      <w:color w:val="auto"/>
                      <w:spacing w:val="-17"/>
                      <w:kern w:val="0"/>
                      <w:sz w:val="18"/>
                      <w:szCs w:val="18"/>
                      <w:highlight w:val="none"/>
                      <w:lang w:val="en-US" w:eastAsia="zh-CN" w:bidi="ar-SA"/>
                    </w:rPr>
                  </w:pPr>
                  <w:r>
                    <w:rPr>
                      <w:rFonts w:hint="eastAsia" w:ascii="Times New Roman" w:hAnsi="Times New Roman" w:cs="Times New Roman"/>
                      <w:color w:val="auto"/>
                      <w:spacing w:val="-17"/>
                      <w:sz w:val="18"/>
                      <w:szCs w:val="18"/>
                      <w:highlight w:val="none"/>
                      <w:lang w:val="en-US" w:eastAsia="zh-CN"/>
                    </w:rPr>
                    <w:t>1</w:t>
                  </w:r>
                  <w:r>
                    <w:rPr>
                      <w:rFonts w:hint="eastAsia" w:ascii="Times New Roman" w:hAnsi="Times New Roman" w:cs="Times New Roman"/>
                      <w:color w:val="auto"/>
                      <w:spacing w:val="-17"/>
                      <w:sz w:val="18"/>
                      <w:szCs w:val="18"/>
                      <w:highlight w:val="none"/>
                      <w:vertAlign w:val="superscript"/>
                      <w:lang w:val="en-US" w:eastAsia="zh-CN"/>
                    </w:rPr>
                    <w:t>#</w:t>
                  </w:r>
                  <w:r>
                    <w:rPr>
                      <w:rFonts w:hint="eastAsia" w:ascii="Times New Roman" w:hAnsi="Times New Roman" w:cs="Times New Roman"/>
                      <w:color w:val="auto"/>
                      <w:spacing w:val="-17"/>
                      <w:sz w:val="18"/>
                      <w:szCs w:val="18"/>
                      <w:highlight w:val="none"/>
                      <w:lang w:val="en-US" w:eastAsia="zh-CN"/>
                    </w:rPr>
                    <w:t>板框压滤机</w:t>
                  </w:r>
                </w:p>
              </w:tc>
              <w:tc>
                <w:tcPr>
                  <w:tcW w:w="193" w:type="pct"/>
                  <w:shd w:val="clear" w:color="auto" w:fill="auto"/>
                  <w:vAlign w:val="center"/>
                </w:tcPr>
                <w:p w14:paraId="6968F9A2">
                  <w:pPr>
                    <w:spacing w:line="220" w:lineRule="exact"/>
                    <w:jc w:val="center"/>
                    <w:rPr>
                      <w:rFonts w:hint="eastAsia" w:ascii="Times New Roman" w:hAnsi="Times New Roman" w:eastAsia="宋体" w:cs="Times New Roman"/>
                      <w:color w:val="auto"/>
                      <w:spacing w:val="-17"/>
                      <w:kern w:val="2"/>
                      <w:sz w:val="18"/>
                      <w:szCs w:val="18"/>
                      <w:highlight w:val="none"/>
                      <w:lang w:val="en-US" w:eastAsia="zh-CN" w:bidi="ar-SA"/>
                    </w:rPr>
                  </w:pPr>
                  <w:r>
                    <w:rPr>
                      <w:rFonts w:hint="eastAsia"/>
                      <w:color w:val="auto"/>
                      <w:spacing w:val="-17"/>
                      <w:sz w:val="18"/>
                      <w:szCs w:val="18"/>
                      <w:highlight w:val="none"/>
                      <w:lang w:val="en-US" w:eastAsia="zh-CN"/>
                    </w:rPr>
                    <w:t>1</w:t>
                  </w:r>
                </w:p>
              </w:tc>
              <w:tc>
                <w:tcPr>
                  <w:tcW w:w="622" w:type="dxa"/>
                  <w:shd w:val="clear" w:color="auto" w:fill="auto"/>
                  <w:vAlign w:val="bottom"/>
                </w:tcPr>
                <w:p w14:paraId="031334E5">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80</w:t>
                  </w:r>
                </w:p>
              </w:tc>
              <w:tc>
                <w:tcPr>
                  <w:tcW w:w="314" w:type="pct"/>
                  <w:vMerge w:val="continue"/>
                  <w:vAlign w:val="center"/>
                </w:tcPr>
                <w:p w14:paraId="4E7C7811">
                  <w:pPr>
                    <w:spacing w:line="220" w:lineRule="exact"/>
                    <w:jc w:val="center"/>
                    <w:rPr>
                      <w:rFonts w:hint="eastAsia"/>
                      <w:color w:val="auto"/>
                      <w:spacing w:val="-17"/>
                      <w:sz w:val="18"/>
                      <w:szCs w:val="18"/>
                      <w:lang w:val="en-US" w:eastAsia="zh-CN"/>
                    </w:rPr>
                  </w:pPr>
                </w:p>
              </w:tc>
              <w:tc>
                <w:tcPr>
                  <w:tcW w:w="428" w:type="dxa"/>
                  <w:shd w:val="clear" w:color="auto" w:fill="FFFFFF"/>
                  <w:vAlign w:val="bottom"/>
                </w:tcPr>
                <w:p w14:paraId="199AAE5E">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26.3</w:t>
                  </w:r>
                </w:p>
              </w:tc>
              <w:tc>
                <w:tcPr>
                  <w:tcW w:w="504" w:type="dxa"/>
                  <w:shd w:val="clear" w:color="auto" w:fill="FFFFFF"/>
                  <w:vAlign w:val="bottom"/>
                </w:tcPr>
                <w:p w14:paraId="76404ED7">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55.9</w:t>
                  </w:r>
                </w:p>
              </w:tc>
              <w:tc>
                <w:tcPr>
                  <w:tcW w:w="503" w:type="dxa"/>
                  <w:shd w:val="clear" w:color="auto" w:fill="FFFFFF"/>
                  <w:vAlign w:val="bottom"/>
                </w:tcPr>
                <w:p w14:paraId="79FF43EB">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34</w:t>
                  </w:r>
                </w:p>
              </w:tc>
              <w:tc>
                <w:tcPr>
                  <w:tcW w:w="525" w:type="dxa"/>
                  <w:shd w:val="clear" w:color="auto" w:fill="FFFFFF"/>
                  <w:vAlign w:val="bottom"/>
                </w:tcPr>
                <w:p w14:paraId="5661351A">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2.2</w:t>
                  </w:r>
                </w:p>
              </w:tc>
              <w:tc>
                <w:tcPr>
                  <w:tcW w:w="483" w:type="dxa"/>
                  <w:shd w:val="clear" w:color="auto" w:fill="FFFFFF"/>
                  <w:vAlign w:val="bottom"/>
                </w:tcPr>
                <w:p w14:paraId="7401DB5A">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48.6</w:t>
                  </w:r>
                </w:p>
              </w:tc>
              <w:tc>
                <w:tcPr>
                  <w:tcW w:w="482" w:type="dxa"/>
                  <w:shd w:val="clear" w:color="auto" w:fill="FFFFFF"/>
                  <w:vAlign w:val="bottom"/>
                </w:tcPr>
                <w:p w14:paraId="411761A6">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48</w:t>
                  </w:r>
                </w:p>
              </w:tc>
              <w:tc>
                <w:tcPr>
                  <w:tcW w:w="546" w:type="dxa"/>
                  <w:shd w:val="clear" w:color="auto" w:fill="FFFFFF"/>
                  <w:vAlign w:val="bottom"/>
                </w:tcPr>
                <w:p w14:paraId="5B945C2A">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48.3</w:t>
                  </w:r>
                </w:p>
              </w:tc>
              <w:tc>
                <w:tcPr>
                  <w:tcW w:w="579" w:type="dxa"/>
                  <w:shd w:val="clear" w:color="auto" w:fill="FFFFFF"/>
                  <w:vAlign w:val="bottom"/>
                </w:tcPr>
                <w:p w14:paraId="6F7F7FB9">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62.3</w:t>
                  </w:r>
                </w:p>
              </w:tc>
              <w:tc>
                <w:tcPr>
                  <w:tcW w:w="262" w:type="pct"/>
                  <w:vMerge w:val="continue"/>
                  <w:vAlign w:val="center"/>
                </w:tcPr>
                <w:p w14:paraId="0C395061">
                  <w:pPr>
                    <w:spacing w:line="220" w:lineRule="exact"/>
                    <w:jc w:val="center"/>
                    <w:rPr>
                      <w:rFonts w:hint="default" w:ascii="Times New Roman" w:hAnsi="Times New Roman" w:eastAsia="宋体" w:cs="Times New Roman"/>
                      <w:color w:val="auto"/>
                      <w:spacing w:val="-20"/>
                      <w:sz w:val="18"/>
                      <w:szCs w:val="18"/>
                      <w:lang w:val="en-US" w:eastAsia="zh-CN"/>
                    </w:rPr>
                  </w:pPr>
                </w:p>
              </w:tc>
              <w:tc>
                <w:tcPr>
                  <w:tcW w:w="331" w:type="pct"/>
                  <w:vAlign w:val="center"/>
                </w:tcPr>
                <w:p w14:paraId="6BD6AAE2">
                  <w:pPr>
                    <w:pStyle w:val="71"/>
                    <w:spacing w:line="220" w:lineRule="exact"/>
                    <w:jc w:val="center"/>
                    <w:rPr>
                      <w:rFonts w:hint="default" w:ascii="Times New Roman" w:hAnsi="Times New Roman" w:eastAsia="宋体" w:cs="Times New Roman"/>
                      <w:color w:val="auto"/>
                      <w:spacing w:val="-17"/>
                      <w:sz w:val="18"/>
                      <w:szCs w:val="18"/>
                      <w:highlight w:val="none"/>
                      <w:lang w:val="en-US" w:eastAsia="zh-CN"/>
                    </w:rPr>
                  </w:pPr>
                  <w:r>
                    <w:rPr>
                      <w:rFonts w:hint="eastAsia" w:ascii="Times New Roman" w:hAnsi="Times New Roman" w:eastAsia="宋体" w:cs="Times New Roman"/>
                      <w:color w:val="auto"/>
                      <w:spacing w:val="-17"/>
                      <w:sz w:val="18"/>
                      <w:szCs w:val="18"/>
                      <w:highlight w:val="none"/>
                      <w:lang w:val="en-US" w:eastAsia="zh-CN"/>
                    </w:rPr>
                    <w:t>31.0</w:t>
                  </w:r>
                </w:p>
              </w:tc>
              <w:tc>
                <w:tcPr>
                  <w:tcW w:w="397" w:type="dxa"/>
                  <w:shd w:val="clear" w:color="auto" w:fill="FFFFFF"/>
                  <w:vAlign w:val="bottom"/>
                </w:tcPr>
                <w:p w14:paraId="026200C3">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17.6</w:t>
                  </w:r>
                </w:p>
              </w:tc>
              <w:tc>
                <w:tcPr>
                  <w:tcW w:w="439" w:type="dxa"/>
                  <w:shd w:val="clear" w:color="auto" w:fill="FFFFFF"/>
                  <w:vAlign w:val="bottom"/>
                </w:tcPr>
                <w:p w14:paraId="10BD1446">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17</w:t>
                  </w:r>
                </w:p>
              </w:tc>
              <w:tc>
                <w:tcPr>
                  <w:tcW w:w="418" w:type="dxa"/>
                  <w:shd w:val="clear" w:color="auto" w:fill="FFFFFF"/>
                  <w:vAlign w:val="bottom"/>
                </w:tcPr>
                <w:p w14:paraId="48B96182">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17.3</w:t>
                  </w:r>
                </w:p>
              </w:tc>
              <w:tc>
                <w:tcPr>
                  <w:tcW w:w="396" w:type="dxa"/>
                  <w:shd w:val="clear" w:color="auto" w:fill="FFFFFF"/>
                  <w:vAlign w:val="bottom"/>
                </w:tcPr>
                <w:p w14:paraId="3090FD0C">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31.3</w:t>
                  </w:r>
                </w:p>
              </w:tc>
              <w:tc>
                <w:tcPr>
                  <w:tcW w:w="411" w:type="pct"/>
                  <w:vAlign w:val="center"/>
                </w:tcPr>
                <w:p w14:paraId="3BA9BF65">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eastAsia" w:ascii="Times New Roman" w:hAnsi="Times New Roman" w:eastAsia="宋体" w:cs="Times New Roman"/>
                      <w:color w:val="auto"/>
                      <w:spacing w:val="-17"/>
                      <w:sz w:val="18"/>
                      <w:szCs w:val="18"/>
                      <w:highlight w:val="none"/>
                      <w:lang w:val="en-US" w:eastAsia="zh-CN"/>
                    </w:rPr>
                    <w:t>1</w:t>
                  </w:r>
                </w:p>
              </w:tc>
            </w:tr>
            <w:tr w14:paraId="2EE2D22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1" w:hRule="exact"/>
                <w:jc w:val="center"/>
              </w:trPr>
              <w:tc>
                <w:tcPr>
                  <w:tcW w:w="176" w:type="pct"/>
                  <w:shd w:val="clear" w:color="auto" w:fill="auto"/>
                  <w:vAlign w:val="center"/>
                </w:tcPr>
                <w:p w14:paraId="148BF350">
                  <w:pPr>
                    <w:spacing w:line="220" w:lineRule="exact"/>
                    <w:jc w:val="center"/>
                    <w:rPr>
                      <w:rFonts w:hint="eastAsia" w:ascii="Times New Roman" w:hAnsi="Times New Roman" w:eastAsia="宋体" w:cs="Times New Roman"/>
                      <w:color w:val="auto"/>
                      <w:spacing w:val="-17"/>
                      <w:kern w:val="2"/>
                      <w:sz w:val="18"/>
                      <w:szCs w:val="18"/>
                      <w:highlight w:val="none"/>
                      <w:lang w:val="en-US" w:eastAsia="zh-CN" w:bidi="ar-SA"/>
                    </w:rPr>
                  </w:pPr>
                  <w:r>
                    <w:rPr>
                      <w:rFonts w:hint="eastAsia" w:cs="Times New Roman"/>
                      <w:color w:val="auto"/>
                      <w:spacing w:val="-17"/>
                      <w:sz w:val="18"/>
                      <w:szCs w:val="18"/>
                      <w:highlight w:val="none"/>
                      <w:lang w:val="en-US" w:eastAsia="zh-CN"/>
                    </w:rPr>
                    <w:t>38</w:t>
                  </w:r>
                </w:p>
              </w:tc>
              <w:tc>
                <w:tcPr>
                  <w:tcW w:w="176" w:type="pct"/>
                  <w:vMerge w:val="continue"/>
                  <w:vAlign w:val="center"/>
                </w:tcPr>
                <w:p w14:paraId="4F4017F0">
                  <w:pPr>
                    <w:spacing w:line="220" w:lineRule="exact"/>
                    <w:jc w:val="center"/>
                    <w:rPr>
                      <w:rFonts w:hint="eastAsia" w:ascii="Times New Roman" w:hAnsi="Times New Roman" w:cs="Times New Roman"/>
                      <w:color w:val="auto"/>
                      <w:spacing w:val="-17"/>
                      <w:kern w:val="2"/>
                      <w:sz w:val="18"/>
                      <w:szCs w:val="18"/>
                      <w:lang w:val="en-US" w:eastAsia="zh-CN" w:bidi="ar-SA"/>
                    </w:rPr>
                  </w:pPr>
                </w:p>
              </w:tc>
              <w:tc>
                <w:tcPr>
                  <w:tcW w:w="211" w:type="pct"/>
                  <w:vMerge w:val="continue"/>
                  <w:vAlign w:val="center"/>
                </w:tcPr>
                <w:p w14:paraId="3AFA0644">
                  <w:pPr>
                    <w:spacing w:line="220" w:lineRule="exact"/>
                    <w:jc w:val="center"/>
                    <w:rPr>
                      <w:rFonts w:hint="eastAsia" w:ascii="Times New Roman" w:hAnsi="Times New Roman" w:cs="Times New Roman"/>
                      <w:color w:val="auto"/>
                      <w:spacing w:val="-17"/>
                      <w:sz w:val="18"/>
                      <w:szCs w:val="18"/>
                      <w:lang w:val="en-US" w:eastAsia="zh-CN"/>
                    </w:rPr>
                  </w:pPr>
                </w:p>
              </w:tc>
              <w:tc>
                <w:tcPr>
                  <w:tcW w:w="379" w:type="pct"/>
                  <w:shd w:val="clear" w:color="auto" w:fill="auto"/>
                  <w:vAlign w:val="center"/>
                </w:tcPr>
                <w:p w14:paraId="7B5BFE0C">
                  <w:pPr>
                    <w:pStyle w:val="71"/>
                    <w:spacing w:line="220" w:lineRule="exact"/>
                    <w:jc w:val="center"/>
                    <w:rPr>
                      <w:rFonts w:hint="eastAsia" w:ascii="Times New Roman" w:hAnsi="Times New Roman" w:eastAsia="宋体" w:cs="Times New Roman"/>
                      <w:color w:val="auto"/>
                      <w:spacing w:val="-17"/>
                      <w:kern w:val="0"/>
                      <w:sz w:val="18"/>
                      <w:szCs w:val="18"/>
                      <w:highlight w:val="none"/>
                      <w:lang w:val="en-US" w:eastAsia="zh-CN" w:bidi="ar-SA"/>
                    </w:rPr>
                  </w:pPr>
                  <w:r>
                    <w:rPr>
                      <w:rFonts w:hint="eastAsia" w:ascii="Times New Roman" w:hAnsi="Times New Roman" w:cs="Times New Roman"/>
                      <w:color w:val="auto"/>
                      <w:spacing w:val="-17"/>
                      <w:sz w:val="18"/>
                      <w:szCs w:val="18"/>
                      <w:highlight w:val="none"/>
                      <w:lang w:val="en-US" w:eastAsia="zh-CN"/>
                    </w:rPr>
                    <w:t>2</w:t>
                  </w:r>
                  <w:r>
                    <w:rPr>
                      <w:rFonts w:hint="eastAsia" w:ascii="Times New Roman" w:hAnsi="Times New Roman" w:cs="Times New Roman"/>
                      <w:color w:val="auto"/>
                      <w:spacing w:val="-17"/>
                      <w:sz w:val="18"/>
                      <w:szCs w:val="18"/>
                      <w:highlight w:val="none"/>
                      <w:vertAlign w:val="superscript"/>
                      <w:lang w:val="en-US" w:eastAsia="zh-CN"/>
                    </w:rPr>
                    <w:t>#</w:t>
                  </w:r>
                  <w:r>
                    <w:rPr>
                      <w:rFonts w:hint="eastAsia" w:ascii="Times New Roman" w:hAnsi="Times New Roman" w:cs="Times New Roman"/>
                      <w:color w:val="auto"/>
                      <w:spacing w:val="-17"/>
                      <w:sz w:val="18"/>
                      <w:szCs w:val="18"/>
                      <w:highlight w:val="none"/>
                      <w:lang w:val="en-US" w:eastAsia="zh-CN"/>
                    </w:rPr>
                    <w:t>板框压滤机</w:t>
                  </w:r>
                </w:p>
              </w:tc>
              <w:tc>
                <w:tcPr>
                  <w:tcW w:w="193" w:type="pct"/>
                  <w:shd w:val="clear" w:color="auto" w:fill="auto"/>
                  <w:vAlign w:val="center"/>
                </w:tcPr>
                <w:p w14:paraId="58B14DDE">
                  <w:pPr>
                    <w:spacing w:line="220" w:lineRule="exact"/>
                    <w:jc w:val="center"/>
                    <w:rPr>
                      <w:rFonts w:hint="eastAsia" w:ascii="Times New Roman" w:hAnsi="Times New Roman" w:eastAsia="宋体" w:cs="Times New Roman"/>
                      <w:color w:val="auto"/>
                      <w:spacing w:val="-17"/>
                      <w:kern w:val="2"/>
                      <w:sz w:val="18"/>
                      <w:szCs w:val="18"/>
                      <w:highlight w:val="none"/>
                      <w:lang w:val="en-US" w:eastAsia="zh-CN" w:bidi="ar-SA"/>
                    </w:rPr>
                  </w:pPr>
                  <w:r>
                    <w:rPr>
                      <w:rFonts w:hint="eastAsia"/>
                      <w:color w:val="auto"/>
                      <w:spacing w:val="-17"/>
                      <w:sz w:val="18"/>
                      <w:szCs w:val="18"/>
                      <w:highlight w:val="none"/>
                      <w:lang w:val="en-US" w:eastAsia="zh-CN"/>
                    </w:rPr>
                    <w:t>1</w:t>
                  </w:r>
                </w:p>
              </w:tc>
              <w:tc>
                <w:tcPr>
                  <w:tcW w:w="622" w:type="dxa"/>
                  <w:shd w:val="clear" w:color="auto" w:fill="auto"/>
                  <w:vAlign w:val="bottom"/>
                </w:tcPr>
                <w:p w14:paraId="20116906">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80</w:t>
                  </w:r>
                </w:p>
              </w:tc>
              <w:tc>
                <w:tcPr>
                  <w:tcW w:w="314" w:type="pct"/>
                  <w:vMerge w:val="continue"/>
                  <w:vAlign w:val="center"/>
                </w:tcPr>
                <w:p w14:paraId="21F276BE">
                  <w:pPr>
                    <w:spacing w:line="220" w:lineRule="exact"/>
                    <w:jc w:val="center"/>
                    <w:rPr>
                      <w:rFonts w:hint="eastAsia"/>
                      <w:color w:val="auto"/>
                      <w:spacing w:val="-17"/>
                      <w:sz w:val="18"/>
                      <w:szCs w:val="18"/>
                      <w:lang w:val="en-US" w:eastAsia="zh-CN"/>
                    </w:rPr>
                  </w:pPr>
                </w:p>
              </w:tc>
              <w:tc>
                <w:tcPr>
                  <w:tcW w:w="428" w:type="dxa"/>
                  <w:shd w:val="clear" w:color="auto" w:fill="FFFFFF"/>
                  <w:vAlign w:val="bottom"/>
                </w:tcPr>
                <w:p w14:paraId="34CDF7F5">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26.3</w:t>
                  </w:r>
                </w:p>
              </w:tc>
              <w:tc>
                <w:tcPr>
                  <w:tcW w:w="504" w:type="dxa"/>
                  <w:shd w:val="clear" w:color="auto" w:fill="FFFFFF"/>
                  <w:vAlign w:val="bottom"/>
                </w:tcPr>
                <w:p w14:paraId="4F8C2984">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57</w:t>
                  </w:r>
                </w:p>
              </w:tc>
              <w:tc>
                <w:tcPr>
                  <w:tcW w:w="503" w:type="dxa"/>
                  <w:shd w:val="clear" w:color="auto" w:fill="FFFFFF"/>
                  <w:vAlign w:val="bottom"/>
                </w:tcPr>
                <w:p w14:paraId="7205300A">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34.1</w:t>
                  </w:r>
                </w:p>
              </w:tc>
              <w:tc>
                <w:tcPr>
                  <w:tcW w:w="525" w:type="dxa"/>
                  <w:shd w:val="clear" w:color="auto" w:fill="FFFFFF"/>
                  <w:vAlign w:val="bottom"/>
                </w:tcPr>
                <w:p w14:paraId="042A5F7A">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1</w:t>
                  </w:r>
                </w:p>
              </w:tc>
              <w:tc>
                <w:tcPr>
                  <w:tcW w:w="483" w:type="dxa"/>
                  <w:shd w:val="clear" w:color="auto" w:fill="FFFFFF"/>
                  <w:vAlign w:val="bottom"/>
                </w:tcPr>
                <w:p w14:paraId="7701A512">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48.6</w:t>
                  </w:r>
                </w:p>
              </w:tc>
              <w:tc>
                <w:tcPr>
                  <w:tcW w:w="482" w:type="dxa"/>
                  <w:shd w:val="clear" w:color="auto" w:fill="FFFFFF"/>
                  <w:vAlign w:val="bottom"/>
                </w:tcPr>
                <w:p w14:paraId="6A29E020">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48</w:t>
                  </w:r>
                </w:p>
              </w:tc>
              <w:tc>
                <w:tcPr>
                  <w:tcW w:w="546" w:type="dxa"/>
                  <w:shd w:val="clear" w:color="auto" w:fill="FFFFFF"/>
                  <w:vAlign w:val="bottom"/>
                </w:tcPr>
                <w:p w14:paraId="072166DF">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48.3</w:t>
                  </w:r>
                </w:p>
              </w:tc>
              <w:tc>
                <w:tcPr>
                  <w:tcW w:w="579" w:type="dxa"/>
                  <w:shd w:val="clear" w:color="auto" w:fill="FFFFFF"/>
                  <w:vAlign w:val="bottom"/>
                </w:tcPr>
                <w:p w14:paraId="00E169A4">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69</w:t>
                  </w:r>
                </w:p>
              </w:tc>
              <w:tc>
                <w:tcPr>
                  <w:tcW w:w="262" w:type="pct"/>
                  <w:vMerge w:val="continue"/>
                  <w:vAlign w:val="center"/>
                </w:tcPr>
                <w:p w14:paraId="1D253159">
                  <w:pPr>
                    <w:spacing w:line="220" w:lineRule="exact"/>
                    <w:jc w:val="center"/>
                    <w:rPr>
                      <w:rFonts w:hint="default" w:ascii="Times New Roman" w:hAnsi="Times New Roman" w:eastAsia="宋体" w:cs="Times New Roman"/>
                      <w:color w:val="auto"/>
                      <w:spacing w:val="-20"/>
                      <w:sz w:val="18"/>
                      <w:szCs w:val="18"/>
                      <w:lang w:val="en-US" w:eastAsia="zh-CN"/>
                    </w:rPr>
                  </w:pPr>
                </w:p>
              </w:tc>
              <w:tc>
                <w:tcPr>
                  <w:tcW w:w="331" w:type="pct"/>
                  <w:vAlign w:val="center"/>
                </w:tcPr>
                <w:p w14:paraId="35195920">
                  <w:pPr>
                    <w:pStyle w:val="71"/>
                    <w:spacing w:line="220" w:lineRule="exact"/>
                    <w:jc w:val="center"/>
                    <w:rPr>
                      <w:rFonts w:hint="default" w:ascii="Times New Roman" w:hAnsi="Times New Roman" w:eastAsia="宋体" w:cs="Times New Roman"/>
                      <w:color w:val="auto"/>
                      <w:spacing w:val="-17"/>
                      <w:sz w:val="18"/>
                      <w:szCs w:val="18"/>
                      <w:highlight w:val="none"/>
                      <w:lang w:val="en-US" w:eastAsia="zh-CN"/>
                    </w:rPr>
                  </w:pPr>
                  <w:r>
                    <w:rPr>
                      <w:rFonts w:hint="eastAsia" w:ascii="Times New Roman" w:hAnsi="Times New Roman" w:eastAsia="宋体" w:cs="Times New Roman"/>
                      <w:color w:val="auto"/>
                      <w:spacing w:val="-17"/>
                      <w:sz w:val="18"/>
                      <w:szCs w:val="18"/>
                      <w:highlight w:val="none"/>
                      <w:lang w:val="en-US" w:eastAsia="zh-CN"/>
                    </w:rPr>
                    <w:t>31.0</w:t>
                  </w:r>
                </w:p>
              </w:tc>
              <w:tc>
                <w:tcPr>
                  <w:tcW w:w="397" w:type="dxa"/>
                  <w:shd w:val="clear" w:color="auto" w:fill="FFFFFF"/>
                  <w:vAlign w:val="bottom"/>
                </w:tcPr>
                <w:p w14:paraId="2873F7B2">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17.6</w:t>
                  </w:r>
                </w:p>
              </w:tc>
              <w:tc>
                <w:tcPr>
                  <w:tcW w:w="439" w:type="dxa"/>
                  <w:shd w:val="clear" w:color="auto" w:fill="FFFFFF"/>
                  <w:vAlign w:val="bottom"/>
                </w:tcPr>
                <w:p w14:paraId="3F06C1E9">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17</w:t>
                  </w:r>
                </w:p>
              </w:tc>
              <w:tc>
                <w:tcPr>
                  <w:tcW w:w="418" w:type="dxa"/>
                  <w:shd w:val="clear" w:color="auto" w:fill="FFFFFF"/>
                  <w:vAlign w:val="bottom"/>
                </w:tcPr>
                <w:p w14:paraId="2ED904CB">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17.3</w:t>
                  </w:r>
                </w:p>
              </w:tc>
              <w:tc>
                <w:tcPr>
                  <w:tcW w:w="396" w:type="dxa"/>
                  <w:shd w:val="clear" w:color="auto" w:fill="FFFFFF"/>
                  <w:vAlign w:val="bottom"/>
                </w:tcPr>
                <w:p w14:paraId="44D41F99">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38</w:t>
                  </w:r>
                </w:p>
              </w:tc>
              <w:tc>
                <w:tcPr>
                  <w:tcW w:w="411" w:type="pct"/>
                  <w:vAlign w:val="center"/>
                </w:tcPr>
                <w:p w14:paraId="217F01F5">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eastAsia" w:ascii="Times New Roman" w:hAnsi="Times New Roman" w:eastAsia="宋体" w:cs="Times New Roman"/>
                      <w:color w:val="auto"/>
                      <w:spacing w:val="-17"/>
                      <w:sz w:val="18"/>
                      <w:szCs w:val="18"/>
                      <w:highlight w:val="none"/>
                      <w:lang w:val="en-US" w:eastAsia="zh-CN"/>
                    </w:rPr>
                    <w:t>1</w:t>
                  </w:r>
                </w:p>
              </w:tc>
            </w:tr>
            <w:tr w14:paraId="73413C4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1" w:hRule="exact"/>
                <w:jc w:val="center"/>
              </w:trPr>
              <w:tc>
                <w:tcPr>
                  <w:tcW w:w="176" w:type="pct"/>
                  <w:shd w:val="clear" w:color="auto" w:fill="auto"/>
                  <w:vAlign w:val="center"/>
                </w:tcPr>
                <w:p w14:paraId="319514B1">
                  <w:pPr>
                    <w:spacing w:line="220" w:lineRule="exact"/>
                    <w:jc w:val="center"/>
                    <w:rPr>
                      <w:rFonts w:hint="eastAsia" w:ascii="Times New Roman" w:hAnsi="Times New Roman" w:eastAsia="宋体" w:cs="Times New Roman"/>
                      <w:color w:val="auto"/>
                      <w:spacing w:val="-17"/>
                      <w:kern w:val="2"/>
                      <w:sz w:val="18"/>
                      <w:szCs w:val="18"/>
                      <w:highlight w:val="none"/>
                      <w:lang w:val="en-US" w:eastAsia="zh-CN" w:bidi="ar-SA"/>
                    </w:rPr>
                  </w:pPr>
                  <w:r>
                    <w:rPr>
                      <w:rFonts w:hint="eastAsia" w:cs="Times New Roman"/>
                      <w:color w:val="auto"/>
                      <w:spacing w:val="-17"/>
                      <w:sz w:val="18"/>
                      <w:szCs w:val="18"/>
                      <w:highlight w:val="none"/>
                      <w:lang w:val="en-US" w:eastAsia="zh-CN"/>
                    </w:rPr>
                    <w:t>39</w:t>
                  </w:r>
                </w:p>
              </w:tc>
              <w:tc>
                <w:tcPr>
                  <w:tcW w:w="176" w:type="pct"/>
                  <w:vMerge w:val="continue"/>
                  <w:vAlign w:val="center"/>
                </w:tcPr>
                <w:p w14:paraId="438C1534">
                  <w:pPr>
                    <w:spacing w:line="220" w:lineRule="exact"/>
                    <w:jc w:val="center"/>
                    <w:rPr>
                      <w:rFonts w:hint="eastAsia" w:ascii="Times New Roman" w:hAnsi="Times New Roman" w:cs="Times New Roman"/>
                      <w:color w:val="auto"/>
                      <w:spacing w:val="-17"/>
                      <w:kern w:val="2"/>
                      <w:sz w:val="18"/>
                      <w:szCs w:val="18"/>
                      <w:lang w:val="en-US" w:eastAsia="zh-CN" w:bidi="ar-SA"/>
                    </w:rPr>
                  </w:pPr>
                </w:p>
              </w:tc>
              <w:tc>
                <w:tcPr>
                  <w:tcW w:w="211" w:type="pct"/>
                  <w:vMerge w:val="continue"/>
                  <w:vAlign w:val="center"/>
                </w:tcPr>
                <w:p w14:paraId="155A8E13">
                  <w:pPr>
                    <w:spacing w:line="220" w:lineRule="exact"/>
                    <w:jc w:val="center"/>
                    <w:rPr>
                      <w:rFonts w:hint="eastAsia" w:ascii="Times New Roman" w:hAnsi="Times New Roman" w:cs="Times New Roman"/>
                      <w:color w:val="auto"/>
                      <w:spacing w:val="-17"/>
                      <w:sz w:val="18"/>
                      <w:szCs w:val="18"/>
                      <w:lang w:val="en-US" w:eastAsia="zh-CN"/>
                    </w:rPr>
                  </w:pPr>
                </w:p>
              </w:tc>
              <w:tc>
                <w:tcPr>
                  <w:tcW w:w="379" w:type="pct"/>
                  <w:shd w:val="clear" w:color="auto" w:fill="auto"/>
                  <w:vAlign w:val="center"/>
                </w:tcPr>
                <w:p w14:paraId="31A6628F">
                  <w:pPr>
                    <w:spacing w:line="0" w:lineRule="atLeast"/>
                    <w:jc w:val="center"/>
                    <w:rPr>
                      <w:rFonts w:hint="eastAsia" w:ascii="Times New Roman" w:hAnsi="Times New Roman" w:eastAsia="宋体" w:cs="Times New Roman"/>
                      <w:color w:val="auto"/>
                      <w:spacing w:val="-10"/>
                      <w:kern w:val="2"/>
                      <w:sz w:val="18"/>
                      <w:szCs w:val="18"/>
                      <w:lang w:val="en-US" w:eastAsia="zh-CN" w:bidi="ar-SA"/>
                    </w:rPr>
                  </w:pPr>
                  <w:r>
                    <w:rPr>
                      <w:rFonts w:hint="eastAsia" w:ascii="Times New Roman" w:hAnsi="Times New Roman" w:eastAsia="宋体" w:cs="Times New Roman"/>
                      <w:color w:val="auto"/>
                      <w:spacing w:val="-17"/>
                      <w:sz w:val="18"/>
                      <w:szCs w:val="18"/>
                      <w:highlight w:val="none"/>
                      <w:lang w:val="en-US" w:eastAsia="zh-CN"/>
                    </w:rPr>
                    <w:t>1</w:t>
                  </w:r>
                  <w:r>
                    <w:rPr>
                      <w:rFonts w:hint="eastAsia" w:ascii="Times New Roman" w:hAnsi="Times New Roman" w:eastAsia="宋体" w:cs="Times New Roman"/>
                      <w:color w:val="auto"/>
                      <w:spacing w:val="-17"/>
                      <w:sz w:val="18"/>
                      <w:szCs w:val="18"/>
                      <w:highlight w:val="none"/>
                      <w:vertAlign w:val="superscript"/>
                      <w:lang w:val="en-US" w:eastAsia="zh-CN"/>
                    </w:rPr>
                    <w:t>#</w:t>
                  </w:r>
                  <w:r>
                    <w:rPr>
                      <w:rFonts w:hint="eastAsia"/>
                      <w:color w:val="auto"/>
                      <w:spacing w:val="-10"/>
                      <w:sz w:val="18"/>
                      <w:szCs w:val="18"/>
                      <w:lang w:val="en-US" w:eastAsia="zh-CN"/>
                    </w:rPr>
                    <w:t>渣浆</w:t>
                  </w:r>
                  <w:r>
                    <w:rPr>
                      <w:rFonts w:hint="eastAsia"/>
                      <w:color w:val="auto"/>
                      <w:spacing w:val="-10"/>
                      <w:sz w:val="18"/>
                      <w:szCs w:val="18"/>
                    </w:rPr>
                    <w:t>泵</w:t>
                  </w:r>
                </w:p>
              </w:tc>
              <w:tc>
                <w:tcPr>
                  <w:tcW w:w="193" w:type="pct"/>
                  <w:shd w:val="clear" w:color="auto" w:fill="auto"/>
                  <w:vAlign w:val="center"/>
                </w:tcPr>
                <w:p w14:paraId="18889FBD">
                  <w:pPr>
                    <w:spacing w:line="220" w:lineRule="exact"/>
                    <w:jc w:val="center"/>
                    <w:rPr>
                      <w:rFonts w:hint="eastAsia" w:ascii="Times New Roman" w:hAnsi="Times New Roman" w:eastAsia="宋体" w:cs="Times New Roman"/>
                      <w:color w:val="auto"/>
                      <w:spacing w:val="-17"/>
                      <w:kern w:val="2"/>
                      <w:sz w:val="18"/>
                      <w:szCs w:val="18"/>
                      <w:highlight w:val="none"/>
                      <w:lang w:val="en-US" w:eastAsia="zh-CN" w:bidi="ar-SA"/>
                    </w:rPr>
                  </w:pPr>
                  <w:r>
                    <w:rPr>
                      <w:rFonts w:hint="eastAsia"/>
                      <w:color w:val="auto"/>
                      <w:spacing w:val="-17"/>
                      <w:sz w:val="18"/>
                      <w:szCs w:val="18"/>
                      <w:highlight w:val="none"/>
                      <w:lang w:val="en-US" w:eastAsia="zh-CN"/>
                    </w:rPr>
                    <w:t>1</w:t>
                  </w:r>
                </w:p>
              </w:tc>
              <w:tc>
                <w:tcPr>
                  <w:tcW w:w="622" w:type="dxa"/>
                  <w:shd w:val="clear" w:color="auto" w:fill="auto"/>
                  <w:vAlign w:val="bottom"/>
                </w:tcPr>
                <w:p w14:paraId="350A1A4D">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75</w:t>
                  </w:r>
                </w:p>
              </w:tc>
              <w:tc>
                <w:tcPr>
                  <w:tcW w:w="314" w:type="pct"/>
                  <w:vMerge w:val="continue"/>
                  <w:vAlign w:val="center"/>
                </w:tcPr>
                <w:p w14:paraId="64456B3F">
                  <w:pPr>
                    <w:spacing w:line="220" w:lineRule="exact"/>
                    <w:jc w:val="center"/>
                    <w:rPr>
                      <w:rFonts w:hint="eastAsia"/>
                      <w:color w:val="auto"/>
                      <w:spacing w:val="-17"/>
                      <w:sz w:val="18"/>
                      <w:szCs w:val="18"/>
                      <w:lang w:val="en-US" w:eastAsia="zh-CN"/>
                    </w:rPr>
                  </w:pPr>
                </w:p>
              </w:tc>
              <w:tc>
                <w:tcPr>
                  <w:tcW w:w="428" w:type="dxa"/>
                  <w:shd w:val="clear" w:color="auto" w:fill="FFFFFF"/>
                  <w:vAlign w:val="bottom"/>
                </w:tcPr>
                <w:p w14:paraId="5BCE11DD">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4.8</w:t>
                  </w:r>
                </w:p>
              </w:tc>
              <w:tc>
                <w:tcPr>
                  <w:tcW w:w="504" w:type="dxa"/>
                  <w:shd w:val="clear" w:color="auto" w:fill="FFFFFF"/>
                  <w:vAlign w:val="bottom"/>
                </w:tcPr>
                <w:p w14:paraId="1CEC47F5">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55.5</w:t>
                  </w:r>
                </w:p>
              </w:tc>
              <w:tc>
                <w:tcPr>
                  <w:tcW w:w="503" w:type="dxa"/>
                  <w:shd w:val="clear" w:color="auto" w:fill="FFFFFF"/>
                  <w:vAlign w:val="bottom"/>
                </w:tcPr>
                <w:p w14:paraId="34C2AB77">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55.5</w:t>
                  </w:r>
                </w:p>
              </w:tc>
              <w:tc>
                <w:tcPr>
                  <w:tcW w:w="525" w:type="dxa"/>
                  <w:shd w:val="clear" w:color="auto" w:fill="FFFFFF"/>
                  <w:vAlign w:val="bottom"/>
                </w:tcPr>
                <w:p w14:paraId="6F1E5267">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2.5</w:t>
                  </w:r>
                </w:p>
              </w:tc>
              <w:tc>
                <w:tcPr>
                  <w:tcW w:w="483" w:type="dxa"/>
                  <w:shd w:val="clear" w:color="auto" w:fill="FFFFFF"/>
                  <w:vAlign w:val="bottom"/>
                </w:tcPr>
                <w:p w14:paraId="01E0B674">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51.1</w:t>
                  </w:r>
                </w:p>
              </w:tc>
              <w:tc>
                <w:tcPr>
                  <w:tcW w:w="482" w:type="dxa"/>
                  <w:shd w:val="clear" w:color="auto" w:fill="FFFFFF"/>
                  <w:vAlign w:val="bottom"/>
                </w:tcPr>
                <w:p w14:paraId="25CD958C">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43</w:t>
                  </w:r>
                </w:p>
              </w:tc>
              <w:tc>
                <w:tcPr>
                  <w:tcW w:w="546" w:type="dxa"/>
                  <w:shd w:val="clear" w:color="auto" w:fill="FFFFFF"/>
                  <w:vAlign w:val="bottom"/>
                </w:tcPr>
                <w:p w14:paraId="2623C21A">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43</w:t>
                  </w:r>
                </w:p>
              </w:tc>
              <w:tc>
                <w:tcPr>
                  <w:tcW w:w="579" w:type="dxa"/>
                  <w:shd w:val="clear" w:color="auto" w:fill="FFFFFF"/>
                  <w:vAlign w:val="bottom"/>
                </w:tcPr>
                <w:p w14:paraId="546074D0">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56.3</w:t>
                  </w:r>
                </w:p>
              </w:tc>
              <w:tc>
                <w:tcPr>
                  <w:tcW w:w="262" w:type="pct"/>
                  <w:vMerge w:val="continue"/>
                  <w:vAlign w:val="center"/>
                </w:tcPr>
                <w:p w14:paraId="21C0C442">
                  <w:pPr>
                    <w:spacing w:line="220" w:lineRule="exact"/>
                    <w:jc w:val="center"/>
                    <w:rPr>
                      <w:rFonts w:hint="default" w:ascii="Times New Roman" w:hAnsi="Times New Roman" w:eastAsia="宋体" w:cs="Times New Roman"/>
                      <w:color w:val="auto"/>
                      <w:spacing w:val="-20"/>
                      <w:sz w:val="18"/>
                      <w:szCs w:val="18"/>
                      <w:lang w:val="en-US" w:eastAsia="zh-CN"/>
                    </w:rPr>
                  </w:pPr>
                </w:p>
              </w:tc>
              <w:tc>
                <w:tcPr>
                  <w:tcW w:w="331" w:type="pct"/>
                  <w:vAlign w:val="center"/>
                </w:tcPr>
                <w:p w14:paraId="1605A7AE">
                  <w:pPr>
                    <w:pStyle w:val="71"/>
                    <w:spacing w:line="220" w:lineRule="exact"/>
                    <w:jc w:val="center"/>
                    <w:rPr>
                      <w:rFonts w:hint="default" w:ascii="Times New Roman" w:hAnsi="Times New Roman" w:eastAsia="宋体" w:cs="Times New Roman"/>
                      <w:color w:val="auto"/>
                      <w:spacing w:val="-17"/>
                      <w:sz w:val="18"/>
                      <w:szCs w:val="18"/>
                      <w:highlight w:val="none"/>
                      <w:lang w:val="en-US" w:eastAsia="zh-CN"/>
                    </w:rPr>
                  </w:pPr>
                  <w:r>
                    <w:rPr>
                      <w:rFonts w:hint="eastAsia" w:ascii="Times New Roman" w:hAnsi="Times New Roman" w:eastAsia="宋体" w:cs="Times New Roman"/>
                      <w:color w:val="auto"/>
                      <w:spacing w:val="-17"/>
                      <w:sz w:val="18"/>
                      <w:szCs w:val="18"/>
                      <w:highlight w:val="none"/>
                      <w:lang w:val="en-US" w:eastAsia="zh-CN"/>
                    </w:rPr>
                    <w:t>31.0</w:t>
                  </w:r>
                </w:p>
              </w:tc>
              <w:tc>
                <w:tcPr>
                  <w:tcW w:w="397" w:type="dxa"/>
                  <w:shd w:val="clear" w:color="auto" w:fill="FFFFFF"/>
                  <w:vAlign w:val="bottom"/>
                </w:tcPr>
                <w:p w14:paraId="4357C175">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20.1</w:t>
                  </w:r>
                </w:p>
              </w:tc>
              <w:tc>
                <w:tcPr>
                  <w:tcW w:w="439" w:type="dxa"/>
                  <w:shd w:val="clear" w:color="auto" w:fill="FFFFFF"/>
                  <w:vAlign w:val="bottom"/>
                </w:tcPr>
                <w:p w14:paraId="1AE95FE2">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12</w:t>
                  </w:r>
                </w:p>
              </w:tc>
              <w:tc>
                <w:tcPr>
                  <w:tcW w:w="418" w:type="dxa"/>
                  <w:shd w:val="clear" w:color="auto" w:fill="FFFFFF"/>
                  <w:vAlign w:val="bottom"/>
                </w:tcPr>
                <w:p w14:paraId="27F16702">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12</w:t>
                  </w:r>
                </w:p>
              </w:tc>
              <w:tc>
                <w:tcPr>
                  <w:tcW w:w="396" w:type="dxa"/>
                  <w:shd w:val="clear" w:color="auto" w:fill="FFFFFF"/>
                  <w:vAlign w:val="bottom"/>
                </w:tcPr>
                <w:p w14:paraId="3DCB3EC3">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25.3</w:t>
                  </w:r>
                </w:p>
              </w:tc>
              <w:tc>
                <w:tcPr>
                  <w:tcW w:w="411" w:type="pct"/>
                  <w:vAlign w:val="center"/>
                </w:tcPr>
                <w:p w14:paraId="46BB97E8">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eastAsia" w:ascii="Times New Roman" w:hAnsi="Times New Roman" w:eastAsia="宋体" w:cs="Times New Roman"/>
                      <w:color w:val="auto"/>
                      <w:spacing w:val="-17"/>
                      <w:sz w:val="18"/>
                      <w:szCs w:val="18"/>
                      <w:highlight w:val="none"/>
                      <w:lang w:val="en-US" w:eastAsia="zh-CN"/>
                    </w:rPr>
                    <w:t>1</w:t>
                  </w:r>
                </w:p>
              </w:tc>
            </w:tr>
            <w:tr w14:paraId="0AE9F33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1" w:hRule="exact"/>
                <w:jc w:val="center"/>
              </w:trPr>
              <w:tc>
                <w:tcPr>
                  <w:tcW w:w="176" w:type="pct"/>
                  <w:shd w:val="clear" w:color="auto" w:fill="auto"/>
                  <w:vAlign w:val="center"/>
                </w:tcPr>
                <w:p w14:paraId="20A037FE">
                  <w:pPr>
                    <w:spacing w:line="220" w:lineRule="exact"/>
                    <w:jc w:val="center"/>
                    <w:rPr>
                      <w:rFonts w:hint="eastAsia" w:ascii="Times New Roman" w:hAnsi="Times New Roman" w:eastAsia="宋体" w:cs="Times New Roman"/>
                      <w:color w:val="auto"/>
                      <w:spacing w:val="-17"/>
                      <w:kern w:val="2"/>
                      <w:sz w:val="18"/>
                      <w:szCs w:val="18"/>
                      <w:highlight w:val="none"/>
                      <w:lang w:val="en-US" w:eastAsia="zh-CN" w:bidi="ar-SA"/>
                    </w:rPr>
                  </w:pPr>
                  <w:r>
                    <w:rPr>
                      <w:rFonts w:hint="eastAsia" w:cs="Times New Roman"/>
                      <w:color w:val="auto"/>
                      <w:spacing w:val="-17"/>
                      <w:sz w:val="18"/>
                      <w:szCs w:val="18"/>
                      <w:highlight w:val="none"/>
                      <w:lang w:val="en-US" w:eastAsia="zh-CN"/>
                    </w:rPr>
                    <w:t>40</w:t>
                  </w:r>
                </w:p>
              </w:tc>
              <w:tc>
                <w:tcPr>
                  <w:tcW w:w="176" w:type="pct"/>
                  <w:vMerge w:val="continue"/>
                  <w:vAlign w:val="center"/>
                </w:tcPr>
                <w:p w14:paraId="2210B007">
                  <w:pPr>
                    <w:spacing w:line="220" w:lineRule="exact"/>
                    <w:jc w:val="center"/>
                    <w:rPr>
                      <w:rFonts w:hint="eastAsia" w:ascii="Times New Roman" w:hAnsi="Times New Roman" w:cs="Times New Roman"/>
                      <w:color w:val="auto"/>
                      <w:spacing w:val="-17"/>
                      <w:kern w:val="2"/>
                      <w:sz w:val="18"/>
                      <w:szCs w:val="18"/>
                      <w:lang w:val="en-US" w:eastAsia="zh-CN" w:bidi="ar-SA"/>
                    </w:rPr>
                  </w:pPr>
                </w:p>
              </w:tc>
              <w:tc>
                <w:tcPr>
                  <w:tcW w:w="211" w:type="pct"/>
                  <w:vMerge w:val="continue"/>
                  <w:vAlign w:val="center"/>
                </w:tcPr>
                <w:p w14:paraId="05143D8B">
                  <w:pPr>
                    <w:spacing w:line="220" w:lineRule="exact"/>
                    <w:jc w:val="center"/>
                    <w:rPr>
                      <w:rFonts w:hint="eastAsia" w:ascii="Times New Roman" w:hAnsi="Times New Roman" w:cs="Times New Roman"/>
                      <w:color w:val="auto"/>
                      <w:spacing w:val="-17"/>
                      <w:sz w:val="18"/>
                      <w:szCs w:val="18"/>
                      <w:lang w:val="en-US" w:eastAsia="zh-CN"/>
                    </w:rPr>
                  </w:pPr>
                </w:p>
              </w:tc>
              <w:tc>
                <w:tcPr>
                  <w:tcW w:w="379" w:type="pct"/>
                  <w:shd w:val="clear" w:color="auto" w:fill="auto"/>
                  <w:vAlign w:val="center"/>
                </w:tcPr>
                <w:p w14:paraId="0C22057D">
                  <w:pPr>
                    <w:spacing w:line="0" w:lineRule="atLeast"/>
                    <w:jc w:val="center"/>
                    <w:rPr>
                      <w:rFonts w:hint="eastAsia" w:ascii="Times New Roman" w:hAnsi="Times New Roman" w:eastAsia="宋体" w:cs="Times New Roman"/>
                      <w:color w:val="auto"/>
                      <w:spacing w:val="-10"/>
                      <w:kern w:val="2"/>
                      <w:sz w:val="18"/>
                      <w:szCs w:val="18"/>
                      <w:lang w:val="en-US" w:eastAsia="zh-CN" w:bidi="ar-SA"/>
                    </w:rPr>
                  </w:pPr>
                  <w:r>
                    <w:rPr>
                      <w:rFonts w:hint="eastAsia" w:ascii="Times New Roman" w:hAnsi="Times New Roman" w:eastAsia="宋体" w:cs="Times New Roman"/>
                      <w:color w:val="auto"/>
                      <w:spacing w:val="-17"/>
                      <w:sz w:val="18"/>
                      <w:szCs w:val="18"/>
                      <w:highlight w:val="none"/>
                      <w:lang w:val="en-US" w:eastAsia="zh-CN"/>
                    </w:rPr>
                    <w:t>2</w:t>
                  </w:r>
                  <w:r>
                    <w:rPr>
                      <w:rFonts w:hint="eastAsia" w:ascii="Times New Roman" w:hAnsi="Times New Roman" w:eastAsia="宋体" w:cs="Times New Roman"/>
                      <w:color w:val="auto"/>
                      <w:spacing w:val="-17"/>
                      <w:sz w:val="18"/>
                      <w:szCs w:val="18"/>
                      <w:highlight w:val="none"/>
                      <w:vertAlign w:val="superscript"/>
                      <w:lang w:val="en-US" w:eastAsia="zh-CN"/>
                    </w:rPr>
                    <w:t>#</w:t>
                  </w:r>
                  <w:r>
                    <w:rPr>
                      <w:rFonts w:hint="eastAsia"/>
                      <w:color w:val="auto"/>
                      <w:spacing w:val="-10"/>
                      <w:sz w:val="18"/>
                      <w:szCs w:val="18"/>
                      <w:lang w:val="en-US" w:eastAsia="zh-CN"/>
                    </w:rPr>
                    <w:t>渣浆</w:t>
                  </w:r>
                  <w:r>
                    <w:rPr>
                      <w:rFonts w:hint="eastAsia"/>
                      <w:color w:val="auto"/>
                      <w:spacing w:val="-10"/>
                      <w:sz w:val="18"/>
                      <w:szCs w:val="18"/>
                    </w:rPr>
                    <w:t>泵</w:t>
                  </w:r>
                </w:p>
              </w:tc>
              <w:tc>
                <w:tcPr>
                  <w:tcW w:w="193" w:type="pct"/>
                  <w:shd w:val="clear" w:color="auto" w:fill="auto"/>
                  <w:vAlign w:val="center"/>
                </w:tcPr>
                <w:p w14:paraId="43886118">
                  <w:pPr>
                    <w:spacing w:line="220" w:lineRule="exact"/>
                    <w:jc w:val="center"/>
                    <w:rPr>
                      <w:rFonts w:hint="eastAsia" w:ascii="Times New Roman" w:hAnsi="Times New Roman" w:eastAsia="宋体" w:cs="Times New Roman"/>
                      <w:color w:val="auto"/>
                      <w:spacing w:val="-17"/>
                      <w:kern w:val="2"/>
                      <w:sz w:val="18"/>
                      <w:szCs w:val="18"/>
                      <w:highlight w:val="none"/>
                      <w:lang w:val="en-US" w:eastAsia="zh-CN" w:bidi="ar-SA"/>
                    </w:rPr>
                  </w:pPr>
                  <w:r>
                    <w:rPr>
                      <w:rFonts w:hint="eastAsia"/>
                      <w:color w:val="auto"/>
                      <w:spacing w:val="-17"/>
                      <w:sz w:val="18"/>
                      <w:szCs w:val="18"/>
                      <w:highlight w:val="none"/>
                    </w:rPr>
                    <w:t>1</w:t>
                  </w:r>
                </w:p>
              </w:tc>
              <w:tc>
                <w:tcPr>
                  <w:tcW w:w="622" w:type="dxa"/>
                  <w:shd w:val="clear" w:color="auto" w:fill="auto"/>
                  <w:vAlign w:val="bottom"/>
                </w:tcPr>
                <w:p w14:paraId="13591B3A">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75</w:t>
                  </w:r>
                </w:p>
              </w:tc>
              <w:tc>
                <w:tcPr>
                  <w:tcW w:w="314" w:type="pct"/>
                  <w:vMerge w:val="continue"/>
                  <w:vAlign w:val="center"/>
                </w:tcPr>
                <w:p w14:paraId="3B2F3F84">
                  <w:pPr>
                    <w:spacing w:line="220" w:lineRule="exact"/>
                    <w:jc w:val="center"/>
                    <w:rPr>
                      <w:rFonts w:hint="eastAsia"/>
                      <w:color w:val="auto"/>
                      <w:spacing w:val="-17"/>
                      <w:sz w:val="18"/>
                      <w:szCs w:val="18"/>
                      <w:lang w:val="en-US" w:eastAsia="zh-CN"/>
                    </w:rPr>
                  </w:pPr>
                </w:p>
              </w:tc>
              <w:tc>
                <w:tcPr>
                  <w:tcW w:w="428" w:type="dxa"/>
                  <w:shd w:val="clear" w:color="auto" w:fill="FFFFFF"/>
                  <w:vAlign w:val="bottom"/>
                </w:tcPr>
                <w:p w14:paraId="3F3B878C">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10.3</w:t>
                  </w:r>
                </w:p>
              </w:tc>
              <w:tc>
                <w:tcPr>
                  <w:tcW w:w="504" w:type="dxa"/>
                  <w:shd w:val="clear" w:color="auto" w:fill="FFFFFF"/>
                  <w:vAlign w:val="bottom"/>
                </w:tcPr>
                <w:p w14:paraId="31DEEED9">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55.8</w:t>
                  </w:r>
                </w:p>
              </w:tc>
              <w:tc>
                <w:tcPr>
                  <w:tcW w:w="503" w:type="dxa"/>
                  <w:shd w:val="clear" w:color="auto" w:fill="FFFFFF"/>
                  <w:vAlign w:val="bottom"/>
                </w:tcPr>
                <w:p w14:paraId="45A3E5A3">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50</w:t>
                  </w:r>
                </w:p>
              </w:tc>
              <w:tc>
                <w:tcPr>
                  <w:tcW w:w="525" w:type="dxa"/>
                  <w:shd w:val="clear" w:color="auto" w:fill="FFFFFF"/>
                  <w:vAlign w:val="bottom"/>
                </w:tcPr>
                <w:p w14:paraId="23F5548C">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2.3</w:t>
                  </w:r>
                </w:p>
              </w:tc>
              <w:tc>
                <w:tcPr>
                  <w:tcW w:w="483" w:type="dxa"/>
                  <w:shd w:val="clear" w:color="auto" w:fill="FFFFFF"/>
                  <w:vAlign w:val="bottom"/>
                </w:tcPr>
                <w:p w14:paraId="0689FE12">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46.3</w:t>
                  </w:r>
                </w:p>
              </w:tc>
              <w:tc>
                <w:tcPr>
                  <w:tcW w:w="482" w:type="dxa"/>
                  <w:shd w:val="clear" w:color="auto" w:fill="FFFFFF"/>
                  <w:vAlign w:val="bottom"/>
                </w:tcPr>
                <w:p w14:paraId="26C4873F">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43</w:t>
                  </w:r>
                </w:p>
              </w:tc>
              <w:tc>
                <w:tcPr>
                  <w:tcW w:w="546" w:type="dxa"/>
                  <w:shd w:val="clear" w:color="auto" w:fill="FFFFFF"/>
                  <w:vAlign w:val="bottom"/>
                </w:tcPr>
                <w:p w14:paraId="3B2B4B33">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43</w:t>
                  </w:r>
                </w:p>
              </w:tc>
              <w:tc>
                <w:tcPr>
                  <w:tcW w:w="579" w:type="dxa"/>
                  <w:shd w:val="clear" w:color="auto" w:fill="FFFFFF"/>
                  <w:vAlign w:val="bottom"/>
                </w:tcPr>
                <w:p w14:paraId="422C9FE3">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56.9</w:t>
                  </w:r>
                </w:p>
              </w:tc>
              <w:tc>
                <w:tcPr>
                  <w:tcW w:w="262" w:type="pct"/>
                  <w:vMerge w:val="continue"/>
                  <w:vAlign w:val="center"/>
                </w:tcPr>
                <w:p w14:paraId="28162B14">
                  <w:pPr>
                    <w:spacing w:line="220" w:lineRule="exact"/>
                    <w:jc w:val="center"/>
                    <w:rPr>
                      <w:rFonts w:hint="default" w:ascii="Times New Roman" w:hAnsi="Times New Roman" w:eastAsia="宋体" w:cs="Times New Roman"/>
                      <w:color w:val="auto"/>
                      <w:spacing w:val="-20"/>
                      <w:sz w:val="18"/>
                      <w:szCs w:val="18"/>
                      <w:lang w:val="en-US" w:eastAsia="zh-CN"/>
                    </w:rPr>
                  </w:pPr>
                </w:p>
              </w:tc>
              <w:tc>
                <w:tcPr>
                  <w:tcW w:w="331" w:type="pct"/>
                  <w:vAlign w:val="center"/>
                </w:tcPr>
                <w:p w14:paraId="04B23A33">
                  <w:pPr>
                    <w:pStyle w:val="71"/>
                    <w:spacing w:line="220" w:lineRule="exact"/>
                    <w:jc w:val="center"/>
                    <w:rPr>
                      <w:rFonts w:hint="default" w:ascii="Times New Roman" w:hAnsi="Times New Roman" w:eastAsia="宋体" w:cs="Times New Roman"/>
                      <w:color w:val="auto"/>
                      <w:spacing w:val="-17"/>
                      <w:sz w:val="18"/>
                      <w:szCs w:val="18"/>
                      <w:highlight w:val="none"/>
                      <w:lang w:val="en-US" w:eastAsia="zh-CN"/>
                    </w:rPr>
                  </w:pPr>
                  <w:r>
                    <w:rPr>
                      <w:rFonts w:hint="eastAsia" w:ascii="Times New Roman" w:hAnsi="Times New Roman" w:eastAsia="宋体" w:cs="Times New Roman"/>
                      <w:color w:val="auto"/>
                      <w:spacing w:val="-17"/>
                      <w:sz w:val="18"/>
                      <w:szCs w:val="18"/>
                      <w:highlight w:val="none"/>
                      <w:lang w:val="en-US" w:eastAsia="zh-CN"/>
                    </w:rPr>
                    <w:t>31.0</w:t>
                  </w:r>
                </w:p>
              </w:tc>
              <w:tc>
                <w:tcPr>
                  <w:tcW w:w="397" w:type="dxa"/>
                  <w:shd w:val="clear" w:color="auto" w:fill="FFFFFF"/>
                  <w:vAlign w:val="bottom"/>
                </w:tcPr>
                <w:p w14:paraId="6D6EECFC">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15.3</w:t>
                  </w:r>
                </w:p>
              </w:tc>
              <w:tc>
                <w:tcPr>
                  <w:tcW w:w="439" w:type="dxa"/>
                  <w:shd w:val="clear" w:color="auto" w:fill="FFFFFF"/>
                  <w:vAlign w:val="bottom"/>
                </w:tcPr>
                <w:p w14:paraId="67ABB876">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12</w:t>
                  </w:r>
                </w:p>
              </w:tc>
              <w:tc>
                <w:tcPr>
                  <w:tcW w:w="418" w:type="dxa"/>
                  <w:shd w:val="clear" w:color="auto" w:fill="FFFFFF"/>
                  <w:vAlign w:val="bottom"/>
                </w:tcPr>
                <w:p w14:paraId="35BA525C">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12</w:t>
                  </w:r>
                </w:p>
              </w:tc>
              <w:tc>
                <w:tcPr>
                  <w:tcW w:w="396" w:type="dxa"/>
                  <w:shd w:val="clear" w:color="auto" w:fill="FFFFFF"/>
                  <w:vAlign w:val="bottom"/>
                </w:tcPr>
                <w:p w14:paraId="5F8E0BC2">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25.9</w:t>
                  </w:r>
                </w:p>
              </w:tc>
              <w:tc>
                <w:tcPr>
                  <w:tcW w:w="411" w:type="pct"/>
                  <w:vAlign w:val="center"/>
                </w:tcPr>
                <w:p w14:paraId="476249F2">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eastAsia" w:ascii="Times New Roman" w:hAnsi="Times New Roman" w:eastAsia="宋体" w:cs="Times New Roman"/>
                      <w:color w:val="auto"/>
                      <w:spacing w:val="-17"/>
                      <w:sz w:val="18"/>
                      <w:szCs w:val="18"/>
                      <w:highlight w:val="none"/>
                      <w:lang w:val="en-US" w:eastAsia="zh-CN"/>
                    </w:rPr>
                    <w:t>1</w:t>
                  </w:r>
                </w:p>
              </w:tc>
            </w:tr>
            <w:tr w14:paraId="56E7FA3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1" w:hRule="exact"/>
                <w:jc w:val="center"/>
              </w:trPr>
              <w:tc>
                <w:tcPr>
                  <w:tcW w:w="176" w:type="pct"/>
                  <w:shd w:val="clear" w:color="auto" w:fill="auto"/>
                  <w:vAlign w:val="center"/>
                </w:tcPr>
                <w:p w14:paraId="05365F14">
                  <w:pPr>
                    <w:spacing w:line="220" w:lineRule="exact"/>
                    <w:jc w:val="center"/>
                    <w:rPr>
                      <w:rFonts w:hint="eastAsia" w:ascii="Times New Roman" w:hAnsi="Times New Roman" w:eastAsia="宋体" w:cs="Times New Roman"/>
                      <w:color w:val="auto"/>
                      <w:spacing w:val="-17"/>
                      <w:kern w:val="2"/>
                      <w:sz w:val="18"/>
                      <w:szCs w:val="18"/>
                      <w:highlight w:val="none"/>
                      <w:lang w:val="en-US" w:eastAsia="zh-CN" w:bidi="ar-SA"/>
                    </w:rPr>
                  </w:pPr>
                  <w:r>
                    <w:rPr>
                      <w:rFonts w:hint="eastAsia" w:cs="Times New Roman"/>
                      <w:color w:val="auto"/>
                      <w:spacing w:val="-17"/>
                      <w:sz w:val="18"/>
                      <w:szCs w:val="18"/>
                      <w:highlight w:val="none"/>
                      <w:lang w:val="en-US" w:eastAsia="zh-CN"/>
                    </w:rPr>
                    <w:t>41</w:t>
                  </w:r>
                </w:p>
              </w:tc>
              <w:tc>
                <w:tcPr>
                  <w:tcW w:w="176" w:type="pct"/>
                  <w:vMerge w:val="continue"/>
                  <w:vAlign w:val="center"/>
                </w:tcPr>
                <w:p w14:paraId="41939218">
                  <w:pPr>
                    <w:spacing w:line="220" w:lineRule="exact"/>
                    <w:jc w:val="center"/>
                    <w:rPr>
                      <w:rFonts w:hint="eastAsia" w:ascii="Times New Roman" w:hAnsi="Times New Roman" w:cs="Times New Roman"/>
                      <w:color w:val="auto"/>
                      <w:spacing w:val="-17"/>
                      <w:kern w:val="2"/>
                      <w:sz w:val="18"/>
                      <w:szCs w:val="18"/>
                      <w:lang w:val="en-US" w:eastAsia="zh-CN" w:bidi="ar-SA"/>
                    </w:rPr>
                  </w:pPr>
                </w:p>
              </w:tc>
              <w:tc>
                <w:tcPr>
                  <w:tcW w:w="211" w:type="pct"/>
                  <w:vMerge w:val="continue"/>
                  <w:vAlign w:val="center"/>
                </w:tcPr>
                <w:p w14:paraId="18ABC389">
                  <w:pPr>
                    <w:spacing w:line="220" w:lineRule="exact"/>
                    <w:jc w:val="center"/>
                    <w:rPr>
                      <w:rFonts w:hint="eastAsia" w:ascii="Times New Roman" w:hAnsi="Times New Roman" w:cs="Times New Roman"/>
                      <w:color w:val="auto"/>
                      <w:spacing w:val="-17"/>
                      <w:sz w:val="18"/>
                      <w:szCs w:val="18"/>
                      <w:lang w:val="en-US" w:eastAsia="zh-CN"/>
                    </w:rPr>
                  </w:pPr>
                </w:p>
              </w:tc>
              <w:tc>
                <w:tcPr>
                  <w:tcW w:w="379" w:type="pct"/>
                  <w:shd w:val="clear" w:color="auto" w:fill="auto"/>
                  <w:vAlign w:val="center"/>
                </w:tcPr>
                <w:p w14:paraId="0FA780BF">
                  <w:pPr>
                    <w:spacing w:line="0" w:lineRule="atLeast"/>
                    <w:jc w:val="center"/>
                    <w:rPr>
                      <w:rFonts w:hint="eastAsia" w:ascii="Times New Roman" w:hAnsi="Times New Roman" w:eastAsia="宋体" w:cs="Times New Roman"/>
                      <w:color w:val="auto"/>
                      <w:spacing w:val="-10"/>
                      <w:kern w:val="2"/>
                      <w:sz w:val="18"/>
                      <w:szCs w:val="18"/>
                      <w:lang w:val="en-US" w:eastAsia="zh-CN" w:bidi="ar-SA"/>
                    </w:rPr>
                  </w:pPr>
                  <w:r>
                    <w:rPr>
                      <w:rFonts w:hint="eastAsia" w:cs="Times New Roman"/>
                      <w:color w:val="auto"/>
                      <w:spacing w:val="-17"/>
                      <w:sz w:val="18"/>
                      <w:szCs w:val="18"/>
                      <w:highlight w:val="none"/>
                      <w:lang w:val="en-US" w:eastAsia="zh-CN"/>
                    </w:rPr>
                    <w:t>3</w:t>
                  </w:r>
                  <w:r>
                    <w:rPr>
                      <w:rFonts w:hint="eastAsia" w:ascii="Times New Roman" w:hAnsi="Times New Roman" w:eastAsia="宋体" w:cs="Times New Roman"/>
                      <w:color w:val="auto"/>
                      <w:spacing w:val="-17"/>
                      <w:sz w:val="18"/>
                      <w:szCs w:val="18"/>
                      <w:highlight w:val="none"/>
                      <w:vertAlign w:val="superscript"/>
                      <w:lang w:val="en-US" w:eastAsia="zh-CN"/>
                    </w:rPr>
                    <w:t>#</w:t>
                  </w:r>
                  <w:r>
                    <w:rPr>
                      <w:rFonts w:hint="eastAsia"/>
                      <w:color w:val="auto"/>
                      <w:spacing w:val="-10"/>
                      <w:sz w:val="18"/>
                      <w:szCs w:val="18"/>
                      <w:lang w:val="en-US" w:eastAsia="zh-CN"/>
                    </w:rPr>
                    <w:t>渣浆</w:t>
                  </w:r>
                  <w:r>
                    <w:rPr>
                      <w:rFonts w:hint="eastAsia"/>
                      <w:color w:val="auto"/>
                      <w:spacing w:val="-10"/>
                      <w:sz w:val="18"/>
                      <w:szCs w:val="18"/>
                    </w:rPr>
                    <w:t>泵</w:t>
                  </w:r>
                </w:p>
              </w:tc>
              <w:tc>
                <w:tcPr>
                  <w:tcW w:w="193" w:type="pct"/>
                  <w:shd w:val="clear" w:color="auto" w:fill="auto"/>
                  <w:vAlign w:val="center"/>
                </w:tcPr>
                <w:p w14:paraId="01F8D777">
                  <w:pPr>
                    <w:spacing w:line="220" w:lineRule="exact"/>
                    <w:jc w:val="center"/>
                    <w:rPr>
                      <w:rFonts w:hint="eastAsia" w:ascii="Times New Roman" w:hAnsi="Times New Roman" w:eastAsia="宋体" w:cs="Times New Roman"/>
                      <w:color w:val="auto"/>
                      <w:spacing w:val="-17"/>
                      <w:kern w:val="2"/>
                      <w:sz w:val="18"/>
                      <w:szCs w:val="18"/>
                      <w:highlight w:val="none"/>
                      <w:lang w:val="en-US" w:eastAsia="zh-CN" w:bidi="ar-SA"/>
                    </w:rPr>
                  </w:pPr>
                  <w:r>
                    <w:rPr>
                      <w:rFonts w:hint="eastAsia"/>
                      <w:color w:val="auto"/>
                      <w:spacing w:val="-17"/>
                      <w:sz w:val="18"/>
                      <w:szCs w:val="18"/>
                      <w:highlight w:val="none"/>
                    </w:rPr>
                    <w:t>1</w:t>
                  </w:r>
                </w:p>
              </w:tc>
              <w:tc>
                <w:tcPr>
                  <w:tcW w:w="622" w:type="dxa"/>
                  <w:shd w:val="clear" w:color="auto" w:fill="auto"/>
                  <w:vAlign w:val="bottom"/>
                </w:tcPr>
                <w:p w14:paraId="57129DDB">
                  <w:pPr>
                    <w:pStyle w:val="71"/>
                    <w:spacing w:line="220" w:lineRule="exact"/>
                    <w:jc w:val="center"/>
                    <w:rPr>
                      <w:rFonts w:hint="default"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75</w:t>
                  </w:r>
                </w:p>
              </w:tc>
              <w:tc>
                <w:tcPr>
                  <w:tcW w:w="314" w:type="pct"/>
                  <w:vMerge w:val="continue"/>
                  <w:vAlign w:val="center"/>
                </w:tcPr>
                <w:p w14:paraId="42BA19C2">
                  <w:pPr>
                    <w:spacing w:line="220" w:lineRule="exact"/>
                    <w:jc w:val="center"/>
                    <w:rPr>
                      <w:rFonts w:hint="eastAsia"/>
                      <w:color w:val="auto"/>
                      <w:spacing w:val="-17"/>
                      <w:sz w:val="18"/>
                      <w:szCs w:val="18"/>
                      <w:lang w:val="en-US" w:eastAsia="zh-CN"/>
                    </w:rPr>
                  </w:pPr>
                </w:p>
              </w:tc>
              <w:tc>
                <w:tcPr>
                  <w:tcW w:w="428" w:type="dxa"/>
                  <w:shd w:val="clear" w:color="auto" w:fill="FFFFFF"/>
                  <w:vAlign w:val="bottom"/>
                </w:tcPr>
                <w:p w14:paraId="6069E155">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25.1</w:t>
                  </w:r>
                </w:p>
              </w:tc>
              <w:tc>
                <w:tcPr>
                  <w:tcW w:w="504" w:type="dxa"/>
                  <w:shd w:val="clear" w:color="auto" w:fill="FFFFFF"/>
                  <w:vAlign w:val="bottom"/>
                </w:tcPr>
                <w:p w14:paraId="0AB088C0">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56.6</w:t>
                  </w:r>
                </w:p>
              </w:tc>
              <w:tc>
                <w:tcPr>
                  <w:tcW w:w="503" w:type="dxa"/>
                  <w:shd w:val="clear" w:color="auto" w:fill="FFFFFF"/>
                  <w:vAlign w:val="bottom"/>
                </w:tcPr>
                <w:p w14:paraId="76DD9BD5">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35.2</w:t>
                  </w:r>
                </w:p>
              </w:tc>
              <w:tc>
                <w:tcPr>
                  <w:tcW w:w="525" w:type="dxa"/>
                  <w:shd w:val="clear" w:color="auto" w:fill="FFFFFF"/>
                  <w:vAlign w:val="bottom"/>
                </w:tcPr>
                <w:p w14:paraId="2F916897">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1.5</w:t>
                  </w:r>
                </w:p>
              </w:tc>
              <w:tc>
                <w:tcPr>
                  <w:tcW w:w="483" w:type="dxa"/>
                  <w:shd w:val="clear" w:color="auto" w:fill="FFFFFF"/>
                  <w:vAlign w:val="bottom"/>
                </w:tcPr>
                <w:p w14:paraId="4C2C76F7">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43.6</w:t>
                  </w:r>
                </w:p>
              </w:tc>
              <w:tc>
                <w:tcPr>
                  <w:tcW w:w="482" w:type="dxa"/>
                  <w:shd w:val="clear" w:color="auto" w:fill="FFFFFF"/>
                  <w:vAlign w:val="bottom"/>
                </w:tcPr>
                <w:p w14:paraId="139628D0">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43</w:t>
                  </w:r>
                </w:p>
              </w:tc>
              <w:tc>
                <w:tcPr>
                  <w:tcW w:w="546" w:type="dxa"/>
                  <w:shd w:val="clear" w:color="auto" w:fill="FFFFFF"/>
                  <w:vAlign w:val="bottom"/>
                </w:tcPr>
                <w:p w14:paraId="2912DDC2">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43.2</w:t>
                  </w:r>
                </w:p>
              </w:tc>
              <w:tc>
                <w:tcPr>
                  <w:tcW w:w="579" w:type="dxa"/>
                  <w:shd w:val="clear" w:color="auto" w:fill="FFFFFF"/>
                  <w:vAlign w:val="bottom"/>
                </w:tcPr>
                <w:p w14:paraId="2D22DBD8">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60.6</w:t>
                  </w:r>
                </w:p>
              </w:tc>
              <w:tc>
                <w:tcPr>
                  <w:tcW w:w="262" w:type="pct"/>
                  <w:vMerge w:val="continue"/>
                  <w:vAlign w:val="center"/>
                </w:tcPr>
                <w:p w14:paraId="2AFE4417">
                  <w:pPr>
                    <w:spacing w:line="220" w:lineRule="exact"/>
                    <w:jc w:val="center"/>
                    <w:rPr>
                      <w:rFonts w:hint="default" w:ascii="Times New Roman" w:hAnsi="Times New Roman" w:eastAsia="宋体" w:cs="Times New Roman"/>
                      <w:color w:val="auto"/>
                      <w:spacing w:val="-20"/>
                      <w:sz w:val="18"/>
                      <w:szCs w:val="18"/>
                      <w:lang w:val="en-US" w:eastAsia="zh-CN"/>
                    </w:rPr>
                  </w:pPr>
                </w:p>
              </w:tc>
              <w:tc>
                <w:tcPr>
                  <w:tcW w:w="331" w:type="pct"/>
                  <w:vAlign w:val="center"/>
                </w:tcPr>
                <w:p w14:paraId="733B832B">
                  <w:pPr>
                    <w:pStyle w:val="71"/>
                    <w:spacing w:line="220" w:lineRule="exact"/>
                    <w:jc w:val="center"/>
                    <w:rPr>
                      <w:rFonts w:hint="default" w:ascii="Times New Roman" w:hAnsi="Times New Roman" w:eastAsia="宋体" w:cs="Times New Roman"/>
                      <w:color w:val="auto"/>
                      <w:spacing w:val="-17"/>
                      <w:sz w:val="18"/>
                      <w:szCs w:val="18"/>
                      <w:highlight w:val="none"/>
                      <w:lang w:val="en-US" w:eastAsia="zh-CN"/>
                    </w:rPr>
                  </w:pPr>
                  <w:r>
                    <w:rPr>
                      <w:rFonts w:hint="eastAsia" w:ascii="Times New Roman" w:hAnsi="Times New Roman" w:eastAsia="宋体" w:cs="Times New Roman"/>
                      <w:color w:val="auto"/>
                      <w:spacing w:val="-17"/>
                      <w:sz w:val="18"/>
                      <w:szCs w:val="18"/>
                      <w:highlight w:val="none"/>
                      <w:lang w:val="en-US" w:eastAsia="zh-CN"/>
                    </w:rPr>
                    <w:t>31.0</w:t>
                  </w:r>
                </w:p>
              </w:tc>
              <w:tc>
                <w:tcPr>
                  <w:tcW w:w="397" w:type="dxa"/>
                  <w:shd w:val="clear" w:color="auto" w:fill="FFFFFF"/>
                  <w:vAlign w:val="bottom"/>
                </w:tcPr>
                <w:p w14:paraId="1087FF71">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12.6</w:t>
                  </w:r>
                </w:p>
              </w:tc>
              <w:tc>
                <w:tcPr>
                  <w:tcW w:w="439" w:type="dxa"/>
                  <w:shd w:val="clear" w:color="auto" w:fill="FFFFFF"/>
                  <w:vAlign w:val="bottom"/>
                </w:tcPr>
                <w:p w14:paraId="2EAC5B5C">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12</w:t>
                  </w:r>
                </w:p>
              </w:tc>
              <w:tc>
                <w:tcPr>
                  <w:tcW w:w="418" w:type="dxa"/>
                  <w:shd w:val="clear" w:color="auto" w:fill="FFFFFF"/>
                  <w:vAlign w:val="bottom"/>
                </w:tcPr>
                <w:p w14:paraId="79879399">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12.2</w:t>
                  </w:r>
                </w:p>
              </w:tc>
              <w:tc>
                <w:tcPr>
                  <w:tcW w:w="396" w:type="dxa"/>
                  <w:shd w:val="clear" w:color="auto" w:fill="FFFFFF"/>
                  <w:vAlign w:val="bottom"/>
                </w:tcPr>
                <w:p w14:paraId="46707324">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29.6</w:t>
                  </w:r>
                </w:p>
              </w:tc>
              <w:tc>
                <w:tcPr>
                  <w:tcW w:w="411" w:type="pct"/>
                  <w:vAlign w:val="center"/>
                </w:tcPr>
                <w:p w14:paraId="33B9C5B7">
                  <w:pPr>
                    <w:pStyle w:val="71"/>
                    <w:spacing w:line="220" w:lineRule="exact"/>
                    <w:jc w:val="center"/>
                    <w:rPr>
                      <w:rFonts w:hint="default" w:ascii="Times New Roman" w:hAnsi="Times New Roman" w:eastAsia="宋体" w:cs="Times New Roman"/>
                      <w:color w:val="auto"/>
                      <w:spacing w:val="-17"/>
                      <w:sz w:val="18"/>
                      <w:szCs w:val="18"/>
                      <w:highlight w:val="none"/>
                      <w:lang w:val="en-US" w:eastAsia="zh-CN"/>
                    </w:rPr>
                  </w:pPr>
                  <w:r>
                    <w:rPr>
                      <w:rFonts w:hint="eastAsia" w:ascii="Times New Roman" w:hAnsi="Times New Roman" w:eastAsia="宋体" w:cs="Times New Roman"/>
                      <w:color w:val="auto"/>
                      <w:spacing w:val="-17"/>
                      <w:sz w:val="18"/>
                      <w:szCs w:val="18"/>
                      <w:highlight w:val="none"/>
                      <w:lang w:val="en-US" w:eastAsia="zh-CN"/>
                    </w:rPr>
                    <w:t>1</w:t>
                  </w:r>
                </w:p>
              </w:tc>
            </w:tr>
            <w:tr w14:paraId="0B5FF17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1" w:hRule="exact"/>
                <w:jc w:val="center"/>
              </w:trPr>
              <w:tc>
                <w:tcPr>
                  <w:tcW w:w="176" w:type="pct"/>
                  <w:shd w:val="clear" w:color="auto" w:fill="auto"/>
                  <w:vAlign w:val="center"/>
                </w:tcPr>
                <w:p w14:paraId="0A7C544D">
                  <w:pPr>
                    <w:spacing w:line="220" w:lineRule="exact"/>
                    <w:jc w:val="center"/>
                    <w:rPr>
                      <w:rFonts w:hint="eastAsia" w:ascii="Times New Roman" w:hAnsi="Times New Roman" w:eastAsia="宋体" w:cs="Times New Roman"/>
                      <w:color w:val="auto"/>
                      <w:spacing w:val="-17"/>
                      <w:kern w:val="2"/>
                      <w:sz w:val="18"/>
                      <w:szCs w:val="18"/>
                      <w:highlight w:val="none"/>
                      <w:lang w:val="en-US" w:eastAsia="zh-CN" w:bidi="ar-SA"/>
                    </w:rPr>
                  </w:pPr>
                  <w:r>
                    <w:rPr>
                      <w:rFonts w:hint="eastAsia" w:cs="Times New Roman"/>
                      <w:color w:val="auto"/>
                      <w:spacing w:val="-17"/>
                      <w:sz w:val="18"/>
                      <w:szCs w:val="18"/>
                      <w:highlight w:val="none"/>
                      <w:lang w:val="en-US" w:eastAsia="zh-CN"/>
                    </w:rPr>
                    <w:t>42</w:t>
                  </w:r>
                </w:p>
              </w:tc>
              <w:tc>
                <w:tcPr>
                  <w:tcW w:w="176" w:type="pct"/>
                  <w:vMerge w:val="continue"/>
                  <w:vAlign w:val="center"/>
                </w:tcPr>
                <w:p w14:paraId="05744169">
                  <w:pPr>
                    <w:spacing w:line="220" w:lineRule="exact"/>
                    <w:jc w:val="center"/>
                    <w:rPr>
                      <w:rFonts w:hint="eastAsia" w:ascii="Times New Roman" w:hAnsi="Times New Roman" w:cs="Times New Roman"/>
                      <w:color w:val="auto"/>
                      <w:spacing w:val="-17"/>
                      <w:kern w:val="2"/>
                      <w:sz w:val="18"/>
                      <w:szCs w:val="18"/>
                      <w:lang w:val="en-US" w:eastAsia="zh-CN" w:bidi="ar-SA"/>
                    </w:rPr>
                  </w:pPr>
                </w:p>
              </w:tc>
              <w:tc>
                <w:tcPr>
                  <w:tcW w:w="211" w:type="pct"/>
                  <w:vMerge w:val="continue"/>
                  <w:vAlign w:val="center"/>
                </w:tcPr>
                <w:p w14:paraId="54F8A179">
                  <w:pPr>
                    <w:spacing w:line="220" w:lineRule="exact"/>
                    <w:jc w:val="center"/>
                    <w:rPr>
                      <w:rFonts w:hint="eastAsia" w:ascii="Times New Roman" w:hAnsi="Times New Roman" w:cs="Times New Roman"/>
                      <w:color w:val="auto"/>
                      <w:spacing w:val="-17"/>
                      <w:sz w:val="18"/>
                      <w:szCs w:val="18"/>
                      <w:lang w:val="en-US" w:eastAsia="zh-CN"/>
                    </w:rPr>
                  </w:pPr>
                </w:p>
              </w:tc>
              <w:tc>
                <w:tcPr>
                  <w:tcW w:w="379" w:type="pct"/>
                  <w:shd w:val="clear" w:color="auto" w:fill="auto"/>
                  <w:vAlign w:val="center"/>
                </w:tcPr>
                <w:p w14:paraId="7DBFEB21">
                  <w:pPr>
                    <w:pStyle w:val="71"/>
                    <w:spacing w:line="220" w:lineRule="exact"/>
                    <w:jc w:val="center"/>
                    <w:rPr>
                      <w:rFonts w:hint="eastAsia" w:ascii="Times New Roman" w:hAnsi="Times New Roman" w:eastAsia="宋体" w:cs="Times New Roman"/>
                      <w:color w:val="auto"/>
                      <w:spacing w:val="-17"/>
                      <w:kern w:val="0"/>
                      <w:sz w:val="18"/>
                      <w:szCs w:val="18"/>
                      <w:highlight w:val="none"/>
                      <w:lang w:val="en-US" w:eastAsia="zh-CN" w:bidi="ar-SA"/>
                    </w:rPr>
                  </w:pPr>
                  <w:r>
                    <w:rPr>
                      <w:rFonts w:hint="eastAsia" w:ascii="Times New Roman" w:hAnsi="Times New Roman" w:cs="Times New Roman"/>
                      <w:color w:val="auto"/>
                      <w:spacing w:val="-17"/>
                      <w:sz w:val="18"/>
                      <w:szCs w:val="18"/>
                      <w:highlight w:val="none"/>
                      <w:vertAlign w:val="baseline"/>
                      <w:lang w:val="en-US" w:eastAsia="zh-CN"/>
                    </w:rPr>
                    <w:t>清水泵</w:t>
                  </w:r>
                </w:p>
              </w:tc>
              <w:tc>
                <w:tcPr>
                  <w:tcW w:w="193" w:type="pct"/>
                  <w:shd w:val="clear" w:color="auto" w:fill="auto"/>
                  <w:vAlign w:val="center"/>
                </w:tcPr>
                <w:p w14:paraId="55DA6D44">
                  <w:pPr>
                    <w:spacing w:line="220" w:lineRule="exact"/>
                    <w:jc w:val="center"/>
                    <w:rPr>
                      <w:rFonts w:hint="eastAsia" w:ascii="Times New Roman" w:hAnsi="Times New Roman" w:eastAsia="宋体" w:cs="Times New Roman"/>
                      <w:color w:val="auto"/>
                      <w:spacing w:val="-17"/>
                      <w:kern w:val="2"/>
                      <w:sz w:val="18"/>
                      <w:szCs w:val="18"/>
                      <w:highlight w:val="none"/>
                      <w:lang w:val="en-US" w:eastAsia="zh-CN" w:bidi="ar-SA"/>
                    </w:rPr>
                  </w:pPr>
                  <w:r>
                    <w:rPr>
                      <w:rFonts w:hint="eastAsia"/>
                      <w:color w:val="auto"/>
                      <w:spacing w:val="-17"/>
                      <w:sz w:val="18"/>
                      <w:szCs w:val="18"/>
                      <w:highlight w:val="none"/>
                      <w:lang w:val="en-US" w:eastAsia="zh-CN"/>
                    </w:rPr>
                    <w:t>1</w:t>
                  </w:r>
                </w:p>
              </w:tc>
              <w:tc>
                <w:tcPr>
                  <w:tcW w:w="622" w:type="dxa"/>
                  <w:shd w:val="clear" w:color="auto" w:fill="auto"/>
                  <w:vAlign w:val="bottom"/>
                </w:tcPr>
                <w:p w14:paraId="0D165D9E">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75</w:t>
                  </w:r>
                </w:p>
              </w:tc>
              <w:tc>
                <w:tcPr>
                  <w:tcW w:w="314" w:type="pct"/>
                  <w:vMerge w:val="continue"/>
                  <w:vAlign w:val="center"/>
                </w:tcPr>
                <w:p w14:paraId="311E6B87">
                  <w:pPr>
                    <w:spacing w:line="220" w:lineRule="exact"/>
                    <w:jc w:val="center"/>
                    <w:rPr>
                      <w:rFonts w:hint="eastAsia"/>
                      <w:color w:val="auto"/>
                      <w:spacing w:val="-17"/>
                      <w:sz w:val="18"/>
                      <w:szCs w:val="18"/>
                      <w:lang w:val="en-US" w:eastAsia="zh-CN"/>
                    </w:rPr>
                  </w:pPr>
                </w:p>
              </w:tc>
              <w:tc>
                <w:tcPr>
                  <w:tcW w:w="428" w:type="dxa"/>
                  <w:shd w:val="clear" w:color="auto" w:fill="FFFFFF"/>
                  <w:vAlign w:val="bottom"/>
                </w:tcPr>
                <w:p w14:paraId="2DACF732">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18.1</w:t>
                  </w:r>
                </w:p>
              </w:tc>
              <w:tc>
                <w:tcPr>
                  <w:tcW w:w="504" w:type="dxa"/>
                  <w:shd w:val="clear" w:color="auto" w:fill="FFFFFF"/>
                  <w:vAlign w:val="bottom"/>
                </w:tcPr>
                <w:p w14:paraId="718CD96E">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56.2</w:t>
                  </w:r>
                </w:p>
              </w:tc>
              <w:tc>
                <w:tcPr>
                  <w:tcW w:w="503" w:type="dxa"/>
                  <w:shd w:val="clear" w:color="auto" w:fill="FFFFFF"/>
                  <w:vAlign w:val="bottom"/>
                </w:tcPr>
                <w:p w14:paraId="65B1A6E8">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42.3</w:t>
                  </w:r>
                </w:p>
              </w:tc>
              <w:tc>
                <w:tcPr>
                  <w:tcW w:w="525" w:type="dxa"/>
                  <w:shd w:val="clear" w:color="auto" w:fill="FFFFFF"/>
                  <w:vAlign w:val="bottom"/>
                </w:tcPr>
                <w:p w14:paraId="0F55694B">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1.9</w:t>
                  </w:r>
                </w:p>
              </w:tc>
              <w:tc>
                <w:tcPr>
                  <w:tcW w:w="483" w:type="dxa"/>
                  <w:shd w:val="clear" w:color="auto" w:fill="FFFFFF"/>
                  <w:vAlign w:val="bottom"/>
                </w:tcPr>
                <w:p w14:paraId="331D43CF">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44.3</w:t>
                  </w:r>
                </w:p>
              </w:tc>
              <w:tc>
                <w:tcPr>
                  <w:tcW w:w="482" w:type="dxa"/>
                  <w:shd w:val="clear" w:color="auto" w:fill="FFFFFF"/>
                  <w:vAlign w:val="bottom"/>
                </w:tcPr>
                <w:p w14:paraId="4D319354">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43</w:t>
                  </w:r>
                </w:p>
              </w:tc>
              <w:tc>
                <w:tcPr>
                  <w:tcW w:w="546" w:type="dxa"/>
                  <w:shd w:val="clear" w:color="auto" w:fill="FFFFFF"/>
                  <w:vAlign w:val="bottom"/>
                </w:tcPr>
                <w:p w14:paraId="38906C7E">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43.1</w:t>
                  </w:r>
                </w:p>
              </w:tc>
              <w:tc>
                <w:tcPr>
                  <w:tcW w:w="579" w:type="dxa"/>
                  <w:shd w:val="clear" w:color="auto" w:fill="FFFFFF"/>
                  <w:vAlign w:val="bottom"/>
                </w:tcPr>
                <w:p w14:paraId="3CE76EC6">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58.6</w:t>
                  </w:r>
                </w:p>
              </w:tc>
              <w:tc>
                <w:tcPr>
                  <w:tcW w:w="262" w:type="pct"/>
                  <w:vMerge w:val="continue"/>
                  <w:vAlign w:val="center"/>
                </w:tcPr>
                <w:p w14:paraId="70F2A837">
                  <w:pPr>
                    <w:spacing w:line="220" w:lineRule="exact"/>
                    <w:jc w:val="center"/>
                    <w:rPr>
                      <w:rFonts w:hint="default" w:ascii="Times New Roman" w:hAnsi="Times New Roman" w:eastAsia="宋体" w:cs="Times New Roman"/>
                      <w:color w:val="auto"/>
                      <w:spacing w:val="-20"/>
                      <w:sz w:val="18"/>
                      <w:szCs w:val="18"/>
                      <w:lang w:val="en-US" w:eastAsia="zh-CN"/>
                    </w:rPr>
                  </w:pPr>
                </w:p>
              </w:tc>
              <w:tc>
                <w:tcPr>
                  <w:tcW w:w="331" w:type="pct"/>
                  <w:vAlign w:val="center"/>
                </w:tcPr>
                <w:p w14:paraId="4D0B550A">
                  <w:pPr>
                    <w:pStyle w:val="71"/>
                    <w:spacing w:line="220" w:lineRule="exact"/>
                    <w:jc w:val="center"/>
                    <w:rPr>
                      <w:rFonts w:hint="default" w:ascii="Times New Roman" w:hAnsi="Times New Roman" w:eastAsia="宋体" w:cs="Times New Roman"/>
                      <w:color w:val="auto"/>
                      <w:spacing w:val="-17"/>
                      <w:sz w:val="18"/>
                      <w:szCs w:val="18"/>
                      <w:highlight w:val="none"/>
                      <w:lang w:val="en-US" w:eastAsia="zh-CN"/>
                    </w:rPr>
                  </w:pPr>
                  <w:r>
                    <w:rPr>
                      <w:rFonts w:hint="eastAsia" w:ascii="Times New Roman" w:hAnsi="Times New Roman" w:eastAsia="宋体" w:cs="Times New Roman"/>
                      <w:color w:val="auto"/>
                      <w:spacing w:val="-17"/>
                      <w:sz w:val="18"/>
                      <w:szCs w:val="18"/>
                      <w:highlight w:val="none"/>
                      <w:lang w:val="en-US" w:eastAsia="zh-CN"/>
                    </w:rPr>
                    <w:t>31.0</w:t>
                  </w:r>
                </w:p>
              </w:tc>
              <w:tc>
                <w:tcPr>
                  <w:tcW w:w="397" w:type="dxa"/>
                  <w:shd w:val="clear" w:color="auto" w:fill="FFFFFF"/>
                  <w:vAlign w:val="bottom"/>
                </w:tcPr>
                <w:p w14:paraId="44F5DC33">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13.3</w:t>
                  </w:r>
                </w:p>
              </w:tc>
              <w:tc>
                <w:tcPr>
                  <w:tcW w:w="439" w:type="dxa"/>
                  <w:shd w:val="clear" w:color="auto" w:fill="FFFFFF"/>
                  <w:vAlign w:val="bottom"/>
                </w:tcPr>
                <w:p w14:paraId="59CDA073">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12</w:t>
                  </w:r>
                </w:p>
              </w:tc>
              <w:tc>
                <w:tcPr>
                  <w:tcW w:w="418" w:type="dxa"/>
                  <w:shd w:val="clear" w:color="auto" w:fill="FFFFFF"/>
                  <w:vAlign w:val="bottom"/>
                </w:tcPr>
                <w:p w14:paraId="5F6EACE6">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12.1</w:t>
                  </w:r>
                </w:p>
              </w:tc>
              <w:tc>
                <w:tcPr>
                  <w:tcW w:w="396" w:type="dxa"/>
                  <w:shd w:val="clear" w:color="auto" w:fill="FFFFFF"/>
                  <w:vAlign w:val="bottom"/>
                </w:tcPr>
                <w:p w14:paraId="4965A876">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27.6</w:t>
                  </w:r>
                </w:p>
              </w:tc>
              <w:tc>
                <w:tcPr>
                  <w:tcW w:w="411" w:type="pct"/>
                  <w:vAlign w:val="center"/>
                </w:tcPr>
                <w:p w14:paraId="7E16B83E">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eastAsia" w:ascii="Times New Roman" w:hAnsi="Times New Roman" w:eastAsia="宋体" w:cs="Times New Roman"/>
                      <w:color w:val="auto"/>
                      <w:spacing w:val="-17"/>
                      <w:sz w:val="18"/>
                      <w:szCs w:val="18"/>
                      <w:highlight w:val="none"/>
                      <w:lang w:val="en-US" w:eastAsia="zh-CN"/>
                    </w:rPr>
                    <w:t>1</w:t>
                  </w:r>
                </w:p>
              </w:tc>
            </w:tr>
          </w:tbl>
          <w:p w14:paraId="3DB0F60D">
            <w:pPr>
              <w:rPr>
                <w:color w:val="auto"/>
              </w:rPr>
            </w:pPr>
          </w:p>
          <w:p w14:paraId="1C417919">
            <w:pPr>
              <w:rPr>
                <w:color w:val="auto"/>
              </w:rPr>
            </w:pPr>
          </w:p>
          <w:p w14:paraId="62128553">
            <w:pPr>
              <w:tabs>
                <w:tab w:val="left" w:pos="4253"/>
              </w:tabs>
              <w:spacing w:line="440" w:lineRule="exact"/>
              <w:jc w:val="center"/>
              <w:rPr>
                <w:b/>
                <w:color w:val="auto"/>
                <w:szCs w:val="21"/>
              </w:rPr>
            </w:pPr>
            <w:r>
              <w:rPr>
                <w:rFonts w:hint="eastAsia"/>
                <w:b/>
                <w:color w:val="auto"/>
                <w:szCs w:val="21"/>
                <w:lang w:val="en-US" w:eastAsia="zh-CN"/>
              </w:rPr>
              <w:t>续</w:t>
            </w:r>
            <w:r>
              <w:rPr>
                <w:b/>
                <w:color w:val="auto"/>
                <w:szCs w:val="21"/>
              </w:rPr>
              <w:t>表</w:t>
            </w:r>
            <w:r>
              <w:rPr>
                <w:rFonts w:hint="eastAsia"/>
                <w:b/>
                <w:color w:val="auto"/>
                <w:szCs w:val="21"/>
                <w:lang w:val="en-US" w:eastAsia="zh-CN"/>
              </w:rPr>
              <w:t>38</w:t>
            </w:r>
            <w:r>
              <w:rPr>
                <w:rFonts w:hint="eastAsia"/>
                <w:b/>
                <w:color w:val="auto"/>
                <w:szCs w:val="21"/>
              </w:rPr>
              <w:t xml:space="preserve"> </w:t>
            </w:r>
            <w:r>
              <w:rPr>
                <w:b/>
                <w:color w:val="auto"/>
                <w:szCs w:val="21"/>
              </w:rPr>
              <w:t>主要噪声源源强及治理情况表</w:t>
            </w:r>
          </w:p>
          <w:tbl>
            <w:tblPr>
              <w:tblStyle w:val="28"/>
              <w:tblW w:w="5022"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0" w:type="dxa"/>
                <w:bottom w:w="0" w:type="dxa"/>
                <w:right w:w="0" w:type="dxa"/>
              </w:tblCellMar>
            </w:tblPr>
            <w:tblGrid>
              <w:gridCol w:w="439"/>
              <w:gridCol w:w="439"/>
              <w:gridCol w:w="525"/>
              <w:gridCol w:w="943"/>
              <w:gridCol w:w="482"/>
              <w:gridCol w:w="622"/>
              <w:gridCol w:w="782"/>
              <w:gridCol w:w="428"/>
              <w:gridCol w:w="504"/>
              <w:gridCol w:w="503"/>
              <w:gridCol w:w="525"/>
              <w:gridCol w:w="483"/>
              <w:gridCol w:w="482"/>
              <w:gridCol w:w="546"/>
              <w:gridCol w:w="579"/>
              <w:gridCol w:w="653"/>
              <w:gridCol w:w="825"/>
              <w:gridCol w:w="397"/>
              <w:gridCol w:w="439"/>
              <w:gridCol w:w="418"/>
              <w:gridCol w:w="396"/>
              <w:gridCol w:w="1024"/>
            </w:tblGrid>
            <w:tr w14:paraId="0B9926B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16" w:hRule="exact"/>
                <w:jc w:val="center"/>
              </w:trPr>
              <w:tc>
                <w:tcPr>
                  <w:tcW w:w="176" w:type="pct"/>
                  <w:vMerge w:val="restart"/>
                  <w:vAlign w:val="center"/>
                </w:tcPr>
                <w:p w14:paraId="147BD345">
                  <w:pPr>
                    <w:spacing w:line="220" w:lineRule="exact"/>
                    <w:jc w:val="center"/>
                    <w:rPr>
                      <w:rFonts w:hint="eastAsia" w:ascii="Times New Roman" w:hAnsi="Times New Roman" w:eastAsia="宋体" w:cs="Times New Roman"/>
                      <w:color w:val="auto"/>
                      <w:spacing w:val="-17"/>
                      <w:sz w:val="18"/>
                      <w:szCs w:val="18"/>
                      <w:lang w:val="en-US" w:eastAsia="zh-CN"/>
                    </w:rPr>
                  </w:pPr>
                  <w:r>
                    <w:rPr>
                      <w:rFonts w:hint="eastAsia" w:cs="Times New Roman"/>
                      <w:color w:val="auto"/>
                      <w:spacing w:val="-17"/>
                      <w:sz w:val="18"/>
                      <w:szCs w:val="18"/>
                      <w:lang w:val="en-US" w:eastAsia="zh-CN"/>
                    </w:rPr>
                    <w:t>序号</w:t>
                  </w:r>
                </w:p>
              </w:tc>
              <w:tc>
                <w:tcPr>
                  <w:tcW w:w="176" w:type="pct"/>
                  <w:vMerge w:val="restart"/>
                  <w:vAlign w:val="center"/>
                </w:tcPr>
                <w:p w14:paraId="764E5CB9">
                  <w:pPr>
                    <w:spacing w:line="220" w:lineRule="exact"/>
                    <w:jc w:val="center"/>
                    <w:rPr>
                      <w:rFonts w:hint="default" w:ascii="Times New Roman" w:hAnsi="Times New Roman" w:eastAsia="宋体" w:cs="Times New Roman"/>
                      <w:color w:val="auto"/>
                      <w:spacing w:val="-17"/>
                      <w:kern w:val="2"/>
                      <w:sz w:val="18"/>
                      <w:szCs w:val="18"/>
                      <w:lang w:val="en-US" w:eastAsia="zh-CN" w:bidi="ar-SA"/>
                    </w:rPr>
                  </w:pPr>
                  <w:r>
                    <w:rPr>
                      <w:rFonts w:hint="eastAsia" w:ascii="Times New Roman" w:hAnsi="Times New Roman" w:cs="Times New Roman"/>
                      <w:color w:val="auto"/>
                      <w:spacing w:val="-17"/>
                      <w:kern w:val="2"/>
                      <w:sz w:val="18"/>
                      <w:szCs w:val="18"/>
                      <w:lang w:val="en-US" w:eastAsia="zh-CN" w:bidi="ar-SA"/>
                    </w:rPr>
                    <w:t>位置</w:t>
                  </w:r>
                </w:p>
              </w:tc>
              <w:tc>
                <w:tcPr>
                  <w:tcW w:w="211" w:type="pct"/>
                  <w:vMerge w:val="restart"/>
                  <w:vAlign w:val="center"/>
                </w:tcPr>
                <w:p w14:paraId="01F287F3">
                  <w:pPr>
                    <w:spacing w:line="220" w:lineRule="exact"/>
                    <w:jc w:val="center"/>
                    <w:rPr>
                      <w:rFonts w:hint="default" w:ascii="Times New Roman" w:hAnsi="Times New Roman" w:eastAsia="宋体" w:cs="Times New Roman"/>
                      <w:color w:val="auto"/>
                      <w:spacing w:val="-17"/>
                      <w:sz w:val="18"/>
                      <w:szCs w:val="18"/>
                      <w:lang w:val="en-US" w:eastAsia="zh-CN"/>
                    </w:rPr>
                  </w:pPr>
                  <w:r>
                    <w:rPr>
                      <w:rFonts w:hint="eastAsia" w:ascii="Times New Roman" w:hAnsi="Times New Roman" w:cs="Times New Roman"/>
                      <w:color w:val="auto"/>
                      <w:spacing w:val="-17"/>
                      <w:sz w:val="18"/>
                      <w:szCs w:val="18"/>
                      <w:lang w:val="en-US" w:eastAsia="zh-CN"/>
                    </w:rPr>
                    <w:t>建筑物名称</w:t>
                  </w:r>
                </w:p>
              </w:tc>
              <w:tc>
                <w:tcPr>
                  <w:tcW w:w="379" w:type="pct"/>
                  <w:vMerge w:val="restart"/>
                  <w:vAlign w:val="center"/>
                </w:tcPr>
                <w:p w14:paraId="196A5A2F">
                  <w:pPr>
                    <w:spacing w:line="220" w:lineRule="exact"/>
                    <w:jc w:val="center"/>
                    <w:rPr>
                      <w:rFonts w:ascii="Times New Roman" w:hAnsi="Times New Roman" w:eastAsia="宋体" w:cs="Times New Roman"/>
                      <w:color w:val="auto"/>
                      <w:spacing w:val="-17"/>
                      <w:sz w:val="18"/>
                      <w:szCs w:val="18"/>
                    </w:rPr>
                  </w:pPr>
                  <w:r>
                    <w:rPr>
                      <w:rFonts w:ascii="Times New Roman" w:hAnsi="Times New Roman" w:eastAsia="宋体" w:cs="Times New Roman"/>
                      <w:color w:val="auto"/>
                      <w:spacing w:val="-17"/>
                      <w:sz w:val="18"/>
                      <w:szCs w:val="18"/>
                    </w:rPr>
                    <w:t>设备名称</w:t>
                  </w:r>
                </w:p>
              </w:tc>
              <w:tc>
                <w:tcPr>
                  <w:tcW w:w="193" w:type="pct"/>
                  <w:vMerge w:val="restart"/>
                  <w:vAlign w:val="center"/>
                </w:tcPr>
                <w:p w14:paraId="3764E140">
                  <w:pPr>
                    <w:spacing w:line="220" w:lineRule="exact"/>
                    <w:jc w:val="center"/>
                    <w:rPr>
                      <w:color w:val="auto"/>
                      <w:spacing w:val="-17"/>
                      <w:sz w:val="18"/>
                      <w:szCs w:val="18"/>
                    </w:rPr>
                  </w:pPr>
                  <w:r>
                    <w:rPr>
                      <w:color w:val="auto"/>
                      <w:spacing w:val="-17"/>
                      <w:sz w:val="18"/>
                      <w:szCs w:val="18"/>
                    </w:rPr>
                    <w:t>数量(台套)</w:t>
                  </w:r>
                </w:p>
              </w:tc>
              <w:tc>
                <w:tcPr>
                  <w:tcW w:w="250" w:type="pct"/>
                  <w:vMerge w:val="restart"/>
                  <w:vAlign w:val="center"/>
                </w:tcPr>
                <w:p w14:paraId="20147D69">
                  <w:pPr>
                    <w:spacing w:line="220" w:lineRule="exact"/>
                    <w:jc w:val="center"/>
                    <w:rPr>
                      <w:color w:val="auto"/>
                      <w:spacing w:val="-17"/>
                      <w:sz w:val="18"/>
                      <w:szCs w:val="18"/>
                    </w:rPr>
                  </w:pPr>
                  <w:r>
                    <w:rPr>
                      <w:rFonts w:hint="default" w:ascii="Times New Roman" w:hAnsi="Times New Roman" w:eastAsia="宋体" w:cs="Times New Roman"/>
                      <w:color w:val="auto"/>
                      <w:spacing w:val="-20"/>
                      <w:sz w:val="18"/>
                      <w:szCs w:val="18"/>
                    </w:rPr>
                    <w:t>声源强度/dB（A）</w:t>
                  </w:r>
                </w:p>
              </w:tc>
              <w:tc>
                <w:tcPr>
                  <w:tcW w:w="314" w:type="pct"/>
                  <w:vMerge w:val="restart"/>
                  <w:vAlign w:val="center"/>
                </w:tcPr>
                <w:p w14:paraId="632E79BF">
                  <w:pPr>
                    <w:spacing w:line="220" w:lineRule="exact"/>
                    <w:jc w:val="center"/>
                    <w:rPr>
                      <w:rFonts w:hint="default" w:eastAsia="宋体"/>
                      <w:color w:val="auto"/>
                      <w:spacing w:val="-17"/>
                      <w:sz w:val="18"/>
                      <w:szCs w:val="18"/>
                      <w:lang w:val="en-US" w:eastAsia="zh-CN"/>
                    </w:rPr>
                  </w:pPr>
                  <w:r>
                    <w:rPr>
                      <w:rFonts w:hint="eastAsia"/>
                      <w:color w:val="auto"/>
                      <w:spacing w:val="-17"/>
                      <w:sz w:val="18"/>
                      <w:szCs w:val="18"/>
                      <w:lang w:val="en-US" w:eastAsia="zh-CN"/>
                    </w:rPr>
                    <w:t>声源控制措施</w:t>
                  </w:r>
                </w:p>
              </w:tc>
              <w:tc>
                <w:tcPr>
                  <w:tcW w:w="788" w:type="pct"/>
                  <w:gridSpan w:val="4"/>
                  <w:vAlign w:val="center"/>
                </w:tcPr>
                <w:p w14:paraId="7D0F76C3">
                  <w:pPr>
                    <w:pStyle w:val="71"/>
                    <w:spacing w:line="220" w:lineRule="exact"/>
                    <w:jc w:val="center"/>
                    <w:rPr>
                      <w:rFonts w:hint="eastAsia" w:ascii="Times New Roman" w:hAnsi="Times New Roman"/>
                      <w:color w:val="auto"/>
                      <w:spacing w:val="-17"/>
                      <w:sz w:val="18"/>
                      <w:szCs w:val="18"/>
                      <w:lang w:val="en-US" w:eastAsia="zh-CN"/>
                    </w:rPr>
                  </w:pPr>
                  <w:r>
                    <w:rPr>
                      <w:rFonts w:hint="default" w:ascii="Times New Roman" w:hAnsi="Times New Roman"/>
                      <w:color w:val="auto"/>
                      <w:spacing w:val="-17"/>
                      <w:sz w:val="18"/>
                      <w:szCs w:val="18"/>
                      <w:lang w:val="en-US" w:eastAsia="zh-CN"/>
                    </w:rPr>
                    <w:t>距室内边界距离/m</w:t>
                  </w:r>
                </w:p>
              </w:tc>
              <w:tc>
                <w:tcPr>
                  <w:tcW w:w="840" w:type="pct"/>
                  <w:gridSpan w:val="4"/>
                  <w:vAlign w:val="center"/>
                </w:tcPr>
                <w:p w14:paraId="6D089F81">
                  <w:pPr>
                    <w:pStyle w:val="71"/>
                    <w:spacing w:line="220" w:lineRule="exact"/>
                    <w:jc w:val="center"/>
                    <w:rPr>
                      <w:rFonts w:hint="eastAsia" w:ascii="Times New Roman" w:hAnsi="Times New Roman" w:eastAsia="宋体" w:cs="Calibri"/>
                      <w:color w:val="auto"/>
                      <w:spacing w:val="-17"/>
                      <w:kern w:val="0"/>
                      <w:sz w:val="18"/>
                      <w:szCs w:val="18"/>
                      <w:lang w:val="en-US" w:eastAsia="zh-CN" w:bidi="ar-SA"/>
                    </w:rPr>
                  </w:pPr>
                  <w:r>
                    <w:rPr>
                      <w:rFonts w:hint="eastAsia" w:ascii="Times New Roman" w:hAnsi="Times New Roman" w:eastAsia="宋体" w:cs="Calibri"/>
                      <w:color w:val="auto"/>
                      <w:spacing w:val="-17"/>
                      <w:kern w:val="0"/>
                      <w:sz w:val="18"/>
                      <w:szCs w:val="18"/>
                      <w:lang w:val="en-US" w:eastAsia="zh-CN" w:bidi="ar-SA"/>
                    </w:rPr>
                    <w:t>室内边界声级/dB(A)</w:t>
                  </w:r>
                </w:p>
              </w:tc>
              <w:tc>
                <w:tcPr>
                  <w:tcW w:w="262" w:type="pct"/>
                  <w:vMerge w:val="restart"/>
                  <w:vAlign w:val="center"/>
                </w:tcPr>
                <w:p w14:paraId="56F470B3">
                  <w:pPr>
                    <w:pStyle w:val="71"/>
                    <w:spacing w:line="220" w:lineRule="exact"/>
                    <w:jc w:val="center"/>
                    <w:rPr>
                      <w:rFonts w:hint="default" w:ascii="Times New Roman" w:hAnsi="Times New Roman" w:eastAsia="宋体" w:cs="Calibri"/>
                      <w:color w:val="auto"/>
                      <w:spacing w:val="-17"/>
                      <w:kern w:val="0"/>
                      <w:sz w:val="18"/>
                      <w:szCs w:val="18"/>
                      <w:lang w:val="en-US" w:eastAsia="zh-CN" w:bidi="ar-SA"/>
                    </w:rPr>
                  </w:pPr>
                  <w:r>
                    <w:rPr>
                      <w:rFonts w:hint="eastAsia" w:ascii="Times New Roman" w:hAnsi="Times New Roman" w:eastAsia="宋体" w:cs="Calibri"/>
                      <w:color w:val="auto"/>
                      <w:spacing w:val="-17"/>
                      <w:kern w:val="0"/>
                      <w:sz w:val="18"/>
                      <w:szCs w:val="18"/>
                      <w:lang w:val="en-US" w:eastAsia="zh-CN" w:bidi="ar-SA"/>
                    </w:rPr>
                    <w:t>运行时段</w:t>
                  </w:r>
                </w:p>
              </w:tc>
              <w:tc>
                <w:tcPr>
                  <w:tcW w:w="331" w:type="pct"/>
                  <w:vMerge w:val="restart"/>
                  <w:vAlign w:val="center"/>
                </w:tcPr>
                <w:p w14:paraId="66E4D12A">
                  <w:pPr>
                    <w:pStyle w:val="71"/>
                    <w:spacing w:line="220" w:lineRule="exact"/>
                    <w:jc w:val="center"/>
                    <w:rPr>
                      <w:rFonts w:hint="default" w:ascii="Times New Roman" w:hAnsi="Times New Roman" w:eastAsia="宋体" w:cs="Calibri"/>
                      <w:color w:val="auto"/>
                      <w:spacing w:val="-17"/>
                      <w:kern w:val="0"/>
                      <w:sz w:val="18"/>
                      <w:szCs w:val="18"/>
                      <w:lang w:val="en-US" w:eastAsia="zh-CN" w:bidi="ar-SA"/>
                    </w:rPr>
                  </w:pPr>
                  <w:r>
                    <w:rPr>
                      <w:rFonts w:hint="default" w:ascii="Times New Roman" w:hAnsi="Times New Roman" w:eastAsia="宋体" w:cs="Calibri"/>
                      <w:color w:val="auto"/>
                      <w:spacing w:val="-17"/>
                      <w:kern w:val="0"/>
                      <w:sz w:val="18"/>
                      <w:szCs w:val="18"/>
                      <w:lang w:val="en-US" w:eastAsia="zh-CN" w:bidi="ar-SA"/>
                    </w:rPr>
                    <w:t>建筑物插入损失 / dB(A)</w:t>
                  </w:r>
                </w:p>
              </w:tc>
              <w:tc>
                <w:tcPr>
                  <w:tcW w:w="1075" w:type="pct"/>
                  <w:gridSpan w:val="5"/>
                  <w:vAlign w:val="center"/>
                </w:tcPr>
                <w:p w14:paraId="7ADF7D1B">
                  <w:pPr>
                    <w:pStyle w:val="71"/>
                    <w:spacing w:line="220" w:lineRule="exact"/>
                    <w:jc w:val="center"/>
                    <w:rPr>
                      <w:rFonts w:hint="default" w:ascii="Times New Roman" w:hAnsi="Times New Roman" w:eastAsia="宋体" w:cs="Calibri"/>
                      <w:color w:val="auto"/>
                      <w:spacing w:val="-17"/>
                      <w:kern w:val="0"/>
                      <w:sz w:val="18"/>
                      <w:szCs w:val="18"/>
                      <w:lang w:val="en-US" w:eastAsia="zh-CN" w:bidi="ar-SA"/>
                    </w:rPr>
                  </w:pPr>
                  <w:r>
                    <w:rPr>
                      <w:rFonts w:hint="eastAsia" w:ascii="Times New Roman" w:hAnsi="Times New Roman" w:eastAsia="宋体" w:cs="Calibri"/>
                      <w:color w:val="auto"/>
                      <w:spacing w:val="-17"/>
                      <w:kern w:val="0"/>
                      <w:sz w:val="18"/>
                      <w:szCs w:val="18"/>
                      <w:lang w:val="en-US" w:eastAsia="zh-CN" w:bidi="ar-SA"/>
                    </w:rPr>
                    <w:t>建筑物外噪声声压级/dB(A)</w:t>
                  </w:r>
                </w:p>
              </w:tc>
            </w:tr>
            <w:tr w14:paraId="03CE018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341" w:hRule="exact"/>
                <w:jc w:val="center"/>
              </w:trPr>
              <w:tc>
                <w:tcPr>
                  <w:tcW w:w="176" w:type="pct"/>
                  <w:vMerge w:val="continue"/>
                  <w:vAlign w:val="center"/>
                </w:tcPr>
                <w:p w14:paraId="4333169C">
                  <w:pPr>
                    <w:spacing w:line="220" w:lineRule="exact"/>
                    <w:jc w:val="center"/>
                    <w:rPr>
                      <w:rFonts w:hint="eastAsia" w:cs="Times New Roman"/>
                      <w:color w:val="auto"/>
                      <w:spacing w:val="-17"/>
                      <w:sz w:val="18"/>
                      <w:szCs w:val="18"/>
                      <w:lang w:val="en-US" w:eastAsia="zh-CN"/>
                    </w:rPr>
                  </w:pPr>
                </w:p>
              </w:tc>
              <w:tc>
                <w:tcPr>
                  <w:tcW w:w="176" w:type="pct"/>
                  <w:vMerge w:val="continue"/>
                  <w:vAlign w:val="center"/>
                </w:tcPr>
                <w:p w14:paraId="0266F0BB">
                  <w:pPr>
                    <w:spacing w:line="220" w:lineRule="exact"/>
                    <w:jc w:val="center"/>
                    <w:rPr>
                      <w:rFonts w:hint="eastAsia" w:ascii="Times New Roman" w:hAnsi="Times New Roman" w:cs="Times New Roman"/>
                      <w:color w:val="auto"/>
                      <w:spacing w:val="-17"/>
                      <w:kern w:val="2"/>
                      <w:sz w:val="18"/>
                      <w:szCs w:val="18"/>
                      <w:lang w:val="en-US" w:eastAsia="zh-CN" w:bidi="ar-SA"/>
                    </w:rPr>
                  </w:pPr>
                </w:p>
              </w:tc>
              <w:tc>
                <w:tcPr>
                  <w:tcW w:w="211" w:type="pct"/>
                  <w:vMerge w:val="continue"/>
                  <w:vAlign w:val="center"/>
                </w:tcPr>
                <w:p w14:paraId="14A4B719">
                  <w:pPr>
                    <w:spacing w:line="220" w:lineRule="exact"/>
                    <w:jc w:val="center"/>
                    <w:rPr>
                      <w:rFonts w:hint="eastAsia" w:ascii="Times New Roman" w:hAnsi="Times New Roman" w:cs="Times New Roman"/>
                      <w:color w:val="auto"/>
                      <w:spacing w:val="-17"/>
                      <w:sz w:val="18"/>
                      <w:szCs w:val="18"/>
                      <w:lang w:val="en-US" w:eastAsia="zh-CN"/>
                    </w:rPr>
                  </w:pPr>
                </w:p>
              </w:tc>
              <w:tc>
                <w:tcPr>
                  <w:tcW w:w="379" w:type="pct"/>
                  <w:vMerge w:val="continue"/>
                  <w:vAlign w:val="center"/>
                </w:tcPr>
                <w:p w14:paraId="78CD529A">
                  <w:pPr>
                    <w:spacing w:line="220" w:lineRule="exact"/>
                    <w:jc w:val="center"/>
                    <w:rPr>
                      <w:rFonts w:ascii="Times New Roman" w:hAnsi="Times New Roman" w:eastAsia="宋体" w:cs="Times New Roman"/>
                      <w:color w:val="auto"/>
                      <w:spacing w:val="-17"/>
                      <w:sz w:val="18"/>
                      <w:szCs w:val="18"/>
                    </w:rPr>
                  </w:pPr>
                </w:p>
              </w:tc>
              <w:tc>
                <w:tcPr>
                  <w:tcW w:w="193" w:type="pct"/>
                  <w:vMerge w:val="continue"/>
                  <w:vAlign w:val="center"/>
                </w:tcPr>
                <w:p w14:paraId="7BFCC1AB">
                  <w:pPr>
                    <w:spacing w:line="220" w:lineRule="exact"/>
                    <w:jc w:val="center"/>
                    <w:rPr>
                      <w:color w:val="auto"/>
                      <w:spacing w:val="-17"/>
                      <w:sz w:val="18"/>
                      <w:szCs w:val="18"/>
                    </w:rPr>
                  </w:pPr>
                </w:p>
              </w:tc>
              <w:tc>
                <w:tcPr>
                  <w:tcW w:w="250" w:type="pct"/>
                  <w:vMerge w:val="continue"/>
                  <w:vAlign w:val="center"/>
                </w:tcPr>
                <w:p w14:paraId="5893856C">
                  <w:pPr>
                    <w:spacing w:line="220" w:lineRule="exact"/>
                    <w:jc w:val="center"/>
                    <w:rPr>
                      <w:rFonts w:hint="default" w:ascii="Times New Roman" w:hAnsi="Times New Roman" w:eastAsia="宋体" w:cs="Times New Roman"/>
                      <w:color w:val="auto"/>
                      <w:spacing w:val="-20"/>
                      <w:sz w:val="18"/>
                      <w:szCs w:val="18"/>
                    </w:rPr>
                  </w:pPr>
                </w:p>
              </w:tc>
              <w:tc>
                <w:tcPr>
                  <w:tcW w:w="314" w:type="pct"/>
                  <w:vMerge w:val="continue"/>
                  <w:vAlign w:val="center"/>
                </w:tcPr>
                <w:p w14:paraId="14D2B691">
                  <w:pPr>
                    <w:spacing w:line="220" w:lineRule="exact"/>
                    <w:jc w:val="center"/>
                    <w:rPr>
                      <w:rFonts w:hint="eastAsia"/>
                      <w:color w:val="auto"/>
                      <w:spacing w:val="-17"/>
                      <w:sz w:val="18"/>
                      <w:szCs w:val="18"/>
                      <w:lang w:val="en-US" w:eastAsia="zh-CN"/>
                    </w:rPr>
                  </w:pPr>
                </w:p>
              </w:tc>
              <w:tc>
                <w:tcPr>
                  <w:tcW w:w="172" w:type="pct"/>
                  <w:vAlign w:val="center"/>
                </w:tcPr>
                <w:p w14:paraId="71907B08">
                  <w:pPr>
                    <w:pStyle w:val="71"/>
                    <w:spacing w:line="220" w:lineRule="exact"/>
                    <w:jc w:val="center"/>
                    <w:rPr>
                      <w:rFonts w:hint="eastAsia" w:ascii="Times New Roman" w:hAnsi="Times New Roman"/>
                      <w:color w:val="auto"/>
                      <w:spacing w:val="-17"/>
                      <w:sz w:val="18"/>
                      <w:szCs w:val="18"/>
                      <w:lang w:val="en-US" w:eastAsia="zh-CN"/>
                    </w:rPr>
                  </w:pPr>
                  <w:r>
                    <w:rPr>
                      <w:rFonts w:hint="eastAsia" w:ascii="Times New Roman" w:hAnsi="Times New Roman"/>
                      <w:color w:val="auto"/>
                      <w:spacing w:val="-17"/>
                      <w:sz w:val="18"/>
                      <w:szCs w:val="18"/>
                      <w:lang w:val="en-US" w:eastAsia="zh-CN"/>
                    </w:rPr>
                    <w:t>东</w:t>
                  </w:r>
                </w:p>
              </w:tc>
              <w:tc>
                <w:tcPr>
                  <w:tcW w:w="202" w:type="pct"/>
                  <w:vAlign w:val="center"/>
                </w:tcPr>
                <w:p w14:paraId="46C0D433">
                  <w:pPr>
                    <w:pStyle w:val="71"/>
                    <w:spacing w:line="220" w:lineRule="exact"/>
                    <w:jc w:val="center"/>
                    <w:rPr>
                      <w:rFonts w:hint="eastAsia" w:ascii="Times New Roman" w:hAnsi="Times New Roman"/>
                      <w:color w:val="auto"/>
                      <w:spacing w:val="-17"/>
                      <w:sz w:val="18"/>
                      <w:szCs w:val="18"/>
                      <w:lang w:val="en-US" w:eastAsia="zh-CN"/>
                    </w:rPr>
                  </w:pPr>
                  <w:r>
                    <w:rPr>
                      <w:rFonts w:hint="eastAsia" w:ascii="Times New Roman" w:hAnsi="Times New Roman"/>
                      <w:color w:val="auto"/>
                      <w:spacing w:val="-17"/>
                      <w:sz w:val="18"/>
                      <w:szCs w:val="18"/>
                      <w:lang w:val="en-US" w:eastAsia="zh-CN"/>
                    </w:rPr>
                    <w:t>南</w:t>
                  </w:r>
                </w:p>
              </w:tc>
              <w:tc>
                <w:tcPr>
                  <w:tcW w:w="202" w:type="pct"/>
                  <w:vAlign w:val="center"/>
                </w:tcPr>
                <w:p w14:paraId="13EB048B">
                  <w:pPr>
                    <w:pStyle w:val="71"/>
                    <w:spacing w:line="220" w:lineRule="exact"/>
                    <w:jc w:val="center"/>
                    <w:rPr>
                      <w:rFonts w:hint="eastAsia" w:ascii="Times New Roman" w:hAnsi="Times New Roman"/>
                      <w:color w:val="auto"/>
                      <w:spacing w:val="-17"/>
                      <w:sz w:val="18"/>
                      <w:szCs w:val="18"/>
                      <w:lang w:val="en-US" w:eastAsia="zh-CN"/>
                    </w:rPr>
                  </w:pPr>
                  <w:r>
                    <w:rPr>
                      <w:rFonts w:hint="eastAsia" w:ascii="Times New Roman" w:hAnsi="Times New Roman"/>
                      <w:color w:val="auto"/>
                      <w:spacing w:val="-17"/>
                      <w:sz w:val="18"/>
                      <w:szCs w:val="18"/>
                      <w:lang w:val="en-US" w:eastAsia="zh-CN"/>
                    </w:rPr>
                    <w:t>西</w:t>
                  </w:r>
                </w:p>
              </w:tc>
              <w:tc>
                <w:tcPr>
                  <w:tcW w:w="211" w:type="pct"/>
                  <w:vAlign w:val="center"/>
                </w:tcPr>
                <w:p w14:paraId="42CD67A5">
                  <w:pPr>
                    <w:pStyle w:val="71"/>
                    <w:spacing w:line="220" w:lineRule="exact"/>
                    <w:jc w:val="center"/>
                    <w:rPr>
                      <w:rFonts w:hint="eastAsia" w:ascii="Times New Roman" w:hAnsi="Times New Roman"/>
                      <w:color w:val="auto"/>
                      <w:spacing w:val="-17"/>
                      <w:sz w:val="18"/>
                      <w:szCs w:val="18"/>
                      <w:lang w:val="en-US" w:eastAsia="zh-CN"/>
                    </w:rPr>
                  </w:pPr>
                  <w:r>
                    <w:rPr>
                      <w:rFonts w:hint="eastAsia" w:ascii="Times New Roman" w:hAnsi="Times New Roman"/>
                      <w:color w:val="auto"/>
                      <w:spacing w:val="-17"/>
                      <w:sz w:val="18"/>
                      <w:szCs w:val="18"/>
                      <w:lang w:val="en-US" w:eastAsia="zh-CN"/>
                    </w:rPr>
                    <w:t>北</w:t>
                  </w:r>
                </w:p>
              </w:tc>
              <w:tc>
                <w:tcPr>
                  <w:tcW w:w="194" w:type="pct"/>
                  <w:vAlign w:val="center"/>
                </w:tcPr>
                <w:p w14:paraId="07900A83">
                  <w:pPr>
                    <w:pStyle w:val="71"/>
                    <w:spacing w:line="220" w:lineRule="exact"/>
                    <w:jc w:val="center"/>
                    <w:rPr>
                      <w:rFonts w:hint="eastAsia" w:ascii="Times New Roman" w:hAnsi="Times New Roman" w:eastAsia="宋体" w:cs="Calibri"/>
                      <w:color w:val="auto"/>
                      <w:spacing w:val="-17"/>
                      <w:kern w:val="0"/>
                      <w:sz w:val="18"/>
                      <w:szCs w:val="18"/>
                      <w:lang w:val="en-US" w:eastAsia="zh-CN" w:bidi="ar-SA"/>
                    </w:rPr>
                  </w:pPr>
                  <w:r>
                    <w:rPr>
                      <w:rFonts w:hint="eastAsia" w:ascii="Times New Roman" w:hAnsi="Times New Roman" w:eastAsia="宋体" w:cs="Calibri"/>
                      <w:color w:val="auto"/>
                      <w:spacing w:val="-17"/>
                      <w:kern w:val="0"/>
                      <w:sz w:val="18"/>
                      <w:szCs w:val="18"/>
                      <w:lang w:val="en-US" w:eastAsia="zh-CN" w:bidi="ar-SA"/>
                    </w:rPr>
                    <w:t>东</w:t>
                  </w:r>
                </w:p>
              </w:tc>
              <w:tc>
                <w:tcPr>
                  <w:tcW w:w="193" w:type="pct"/>
                  <w:vAlign w:val="center"/>
                </w:tcPr>
                <w:p w14:paraId="0849CDD5">
                  <w:pPr>
                    <w:pStyle w:val="71"/>
                    <w:spacing w:line="220" w:lineRule="exact"/>
                    <w:jc w:val="center"/>
                    <w:rPr>
                      <w:rFonts w:hint="eastAsia" w:ascii="Times New Roman" w:hAnsi="Times New Roman" w:eastAsia="宋体" w:cs="Calibri"/>
                      <w:color w:val="auto"/>
                      <w:spacing w:val="-17"/>
                      <w:kern w:val="0"/>
                      <w:sz w:val="18"/>
                      <w:szCs w:val="18"/>
                      <w:lang w:val="en-US" w:eastAsia="zh-CN" w:bidi="ar-SA"/>
                    </w:rPr>
                  </w:pPr>
                  <w:r>
                    <w:rPr>
                      <w:rFonts w:hint="eastAsia" w:ascii="Times New Roman" w:hAnsi="Times New Roman" w:eastAsia="宋体" w:cs="Calibri"/>
                      <w:color w:val="auto"/>
                      <w:spacing w:val="-17"/>
                      <w:kern w:val="0"/>
                      <w:sz w:val="18"/>
                      <w:szCs w:val="18"/>
                      <w:lang w:val="en-US" w:eastAsia="zh-CN" w:bidi="ar-SA"/>
                    </w:rPr>
                    <w:t>南</w:t>
                  </w:r>
                </w:p>
              </w:tc>
              <w:tc>
                <w:tcPr>
                  <w:tcW w:w="219" w:type="pct"/>
                  <w:vAlign w:val="center"/>
                </w:tcPr>
                <w:p w14:paraId="1ECBE675">
                  <w:pPr>
                    <w:pStyle w:val="71"/>
                    <w:spacing w:line="220" w:lineRule="exact"/>
                    <w:jc w:val="center"/>
                    <w:rPr>
                      <w:rFonts w:hint="default" w:ascii="Times New Roman" w:hAnsi="Times New Roman" w:eastAsia="宋体" w:cs="Calibri"/>
                      <w:color w:val="auto"/>
                      <w:spacing w:val="-17"/>
                      <w:kern w:val="0"/>
                      <w:sz w:val="18"/>
                      <w:szCs w:val="18"/>
                      <w:lang w:val="en-US" w:eastAsia="zh-CN" w:bidi="ar-SA"/>
                    </w:rPr>
                  </w:pPr>
                  <w:r>
                    <w:rPr>
                      <w:rFonts w:hint="eastAsia" w:ascii="Times New Roman" w:hAnsi="Times New Roman" w:eastAsia="宋体" w:cs="Calibri"/>
                      <w:color w:val="auto"/>
                      <w:spacing w:val="-17"/>
                      <w:kern w:val="0"/>
                      <w:sz w:val="18"/>
                      <w:szCs w:val="18"/>
                      <w:lang w:val="en-US" w:eastAsia="zh-CN" w:bidi="ar-SA"/>
                    </w:rPr>
                    <w:t>西</w:t>
                  </w:r>
                </w:p>
              </w:tc>
              <w:tc>
                <w:tcPr>
                  <w:tcW w:w="232" w:type="pct"/>
                  <w:vAlign w:val="center"/>
                </w:tcPr>
                <w:p w14:paraId="40AD9049">
                  <w:pPr>
                    <w:pStyle w:val="71"/>
                    <w:spacing w:line="220" w:lineRule="exact"/>
                    <w:jc w:val="center"/>
                    <w:rPr>
                      <w:rFonts w:hint="default" w:ascii="Times New Roman" w:hAnsi="Times New Roman" w:eastAsia="宋体" w:cs="Calibri"/>
                      <w:color w:val="auto"/>
                      <w:spacing w:val="-17"/>
                      <w:kern w:val="0"/>
                      <w:sz w:val="18"/>
                      <w:szCs w:val="18"/>
                      <w:lang w:val="en-US" w:eastAsia="zh-CN" w:bidi="ar-SA"/>
                    </w:rPr>
                  </w:pPr>
                  <w:r>
                    <w:rPr>
                      <w:rFonts w:hint="eastAsia" w:ascii="Times New Roman" w:hAnsi="Times New Roman" w:eastAsia="宋体" w:cs="Calibri"/>
                      <w:color w:val="auto"/>
                      <w:spacing w:val="-17"/>
                      <w:kern w:val="0"/>
                      <w:sz w:val="18"/>
                      <w:szCs w:val="18"/>
                      <w:lang w:val="en-US" w:eastAsia="zh-CN" w:bidi="ar-SA"/>
                    </w:rPr>
                    <w:t>北</w:t>
                  </w:r>
                </w:p>
              </w:tc>
              <w:tc>
                <w:tcPr>
                  <w:tcW w:w="262" w:type="pct"/>
                  <w:vMerge w:val="continue"/>
                  <w:vAlign w:val="center"/>
                </w:tcPr>
                <w:p w14:paraId="079CDA2C">
                  <w:pPr>
                    <w:pStyle w:val="71"/>
                    <w:spacing w:line="220" w:lineRule="exact"/>
                    <w:jc w:val="center"/>
                    <w:rPr>
                      <w:rFonts w:hint="default" w:ascii="Times New Roman" w:hAnsi="Times New Roman" w:eastAsia="宋体" w:cs="Calibri"/>
                      <w:color w:val="auto"/>
                      <w:spacing w:val="-17"/>
                      <w:kern w:val="0"/>
                      <w:sz w:val="18"/>
                      <w:szCs w:val="18"/>
                      <w:lang w:val="en-US" w:eastAsia="zh-CN" w:bidi="ar-SA"/>
                    </w:rPr>
                  </w:pPr>
                </w:p>
              </w:tc>
              <w:tc>
                <w:tcPr>
                  <w:tcW w:w="331" w:type="pct"/>
                  <w:vMerge w:val="continue"/>
                  <w:vAlign w:val="center"/>
                </w:tcPr>
                <w:p w14:paraId="783372C7">
                  <w:pPr>
                    <w:pStyle w:val="71"/>
                    <w:spacing w:line="220" w:lineRule="exact"/>
                    <w:jc w:val="center"/>
                    <w:rPr>
                      <w:rFonts w:hint="default" w:ascii="Times New Roman" w:hAnsi="Times New Roman" w:eastAsia="宋体" w:cs="Calibri"/>
                      <w:color w:val="auto"/>
                      <w:spacing w:val="-17"/>
                      <w:kern w:val="0"/>
                      <w:sz w:val="18"/>
                      <w:szCs w:val="18"/>
                      <w:lang w:val="en-US" w:eastAsia="zh-CN" w:bidi="ar-SA"/>
                    </w:rPr>
                  </w:pPr>
                </w:p>
              </w:tc>
              <w:tc>
                <w:tcPr>
                  <w:tcW w:w="159" w:type="pct"/>
                  <w:vAlign w:val="center"/>
                </w:tcPr>
                <w:p w14:paraId="006ADF12">
                  <w:pPr>
                    <w:pStyle w:val="71"/>
                    <w:spacing w:line="220" w:lineRule="exact"/>
                    <w:jc w:val="center"/>
                    <w:rPr>
                      <w:rFonts w:hint="default" w:ascii="Times New Roman" w:hAnsi="Times New Roman" w:eastAsia="宋体" w:cs="Calibri"/>
                      <w:color w:val="auto"/>
                      <w:spacing w:val="-17"/>
                      <w:kern w:val="0"/>
                      <w:sz w:val="18"/>
                      <w:szCs w:val="18"/>
                      <w:lang w:val="en-US" w:eastAsia="zh-CN" w:bidi="ar-SA"/>
                    </w:rPr>
                  </w:pPr>
                  <w:r>
                    <w:rPr>
                      <w:rFonts w:hint="eastAsia" w:ascii="Times New Roman" w:hAnsi="Times New Roman" w:eastAsia="宋体" w:cs="Calibri"/>
                      <w:color w:val="auto"/>
                      <w:spacing w:val="-17"/>
                      <w:kern w:val="0"/>
                      <w:sz w:val="18"/>
                      <w:szCs w:val="18"/>
                      <w:lang w:val="en-US" w:eastAsia="zh-CN" w:bidi="ar-SA"/>
                    </w:rPr>
                    <w:t>东</w:t>
                  </w:r>
                </w:p>
              </w:tc>
              <w:tc>
                <w:tcPr>
                  <w:tcW w:w="176" w:type="pct"/>
                  <w:vAlign w:val="center"/>
                </w:tcPr>
                <w:p w14:paraId="5693960F">
                  <w:pPr>
                    <w:pStyle w:val="71"/>
                    <w:spacing w:line="220" w:lineRule="exact"/>
                    <w:jc w:val="center"/>
                    <w:rPr>
                      <w:rFonts w:hint="default" w:ascii="Times New Roman" w:hAnsi="Times New Roman" w:eastAsia="宋体" w:cs="Calibri"/>
                      <w:color w:val="auto"/>
                      <w:spacing w:val="-17"/>
                      <w:kern w:val="0"/>
                      <w:sz w:val="18"/>
                      <w:szCs w:val="18"/>
                      <w:lang w:val="en-US" w:eastAsia="zh-CN" w:bidi="ar-SA"/>
                    </w:rPr>
                  </w:pPr>
                  <w:r>
                    <w:rPr>
                      <w:rFonts w:hint="eastAsia" w:ascii="Times New Roman" w:hAnsi="Times New Roman" w:eastAsia="宋体" w:cs="Calibri"/>
                      <w:color w:val="auto"/>
                      <w:spacing w:val="-17"/>
                      <w:kern w:val="0"/>
                      <w:sz w:val="18"/>
                      <w:szCs w:val="18"/>
                      <w:lang w:val="en-US" w:eastAsia="zh-CN" w:bidi="ar-SA"/>
                    </w:rPr>
                    <w:t>南</w:t>
                  </w:r>
                </w:p>
              </w:tc>
              <w:tc>
                <w:tcPr>
                  <w:tcW w:w="168" w:type="pct"/>
                  <w:vAlign w:val="center"/>
                </w:tcPr>
                <w:p w14:paraId="35126291">
                  <w:pPr>
                    <w:pStyle w:val="71"/>
                    <w:spacing w:line="220" w:lineRule="exact"/>
                    <w:jc w:val="center"/>
                    <w:rPr>
                      <w:rFonts w:hint="default" w:ascii="Times New Roman" w:hAnsi="Times New Roman" w:eastAsia="宋体" w:cs="Calibri"/>
                      <w:color w:val="auto"/>
                      <w:spacing w:val="-17"/>
                      <w:kern w:val="0"/>
                      <w:sz w:val="18"/>
                      <w:szCs w:val="18"/>
                      <w:lang w:val="en-US" w:eastAsia="zh-CN" w:bidi="ar-SA"/>
                    </w:rPr>
                  </w:pPr>
                  <w:r>
                    <w:rPr>
                      <w:rFonts w:hint="eastAsia" w:ascii="Times New Roman" w:hAnsi="Times New Roman" w:eastAsia="宋体" w:cs="Calibri"/>
                      <w:color w:val="auto"/>
                      <w:spacing w:val="-17"/>
                      <w:kern w:val="0"/>
                      <w:sz w:val="18"/>
                      <w:szCs w:val="18"/>
                      <w:lang w:val="en-US" w:eastAsia="zh-CN" w:bidi="ar-SA"/>
                    </w:rPr>
                    <w:t>西</w:t>
                  </w:r>
                </w:p>
              </w:tc>
              <w:tc>
                <w:tcPr>
                  <w:tcW w:w="159" w:type="pct"/>
                  <w:vAlign w:val="center"/>
                </w:tcPr>
                <w:p w14:paraId="3F4E6E37">
                  <w:pPr>
                    <w:pStyle w:val="71"/>
                    <w:spacing w:line="220" w:lineRule="exact"/>
                    <w:jc w:val="center"/>
                    <w:rPr>
                      <w:rFonts w:hint="default" w:ascii="Times New Roman" w:hAnsi="Times New Roman" w:eastAsia="宋体" w:cs="Calibri"/>
                      <w:color w:val="auto"/>
                      <w:spacing w:val="-17"/>
                      <w:kern w:val="0"/>
                      <w:sz w:val="18"/>
                      <w:szCs w:val="18"/>
                      <w:lang w:val="en-US" w:eastAsia="zh-CN" w:bidi="ar-SA"/>
                    </w:rPr>
                  </w:pPr>
                  <w:r>
                    <w:rPr>
                      <w:rFonts w:hint="eastAsia" w:ascii="Times New Roman" w:hAnsi="Times New Roman" w:eastAsia="宋体" w:cs="Calibri"/>
                      <w:color w:val="auto"/>
                      <w:spacing w:val="-17"/>
                      <w:kern w:val="0"/>
                      <w:sz w:val="18"/>
                      <w:szCs w:val="18"/>
                      <w:lang w:val="en-US" w:eastAsia="zh-CN" w:bidi="ar-SA"/>
                    </w:rPr>
                    <w:t>北</w:t>
                  </w:r>
                </w:p>
              </w:tc>
              <w:tc>
                <w:tcPr>
                  <w:tcW w:w="411" w:type="pct"/>
                  <w:vAlign w:val="center"/>
                </w:tcPr>
                <w:p w14:paraId="3BFFE70C">
                  <w:pPr>
                    <w:pStyle w:val="71"/>
                    <w:spacing w:line="220" w:lineRule="exact"/>
                    <w:jc w:val="center"/>
                    <w:rPr>
                      <w:rFonts w:hint="default" w:ascii="Times New Roman" w:hAnsi="Times New Roman" w:eastAsia="宋体" w:cs="Calibri"/>
                      <w:color w:val="auto"/>
                      <w:spacing w:val="-17"/>
                      <w:kern w:val="0"/>
                      <w:sz w:val="18"/>
                      <w:szCs w:val="18"/>
                      <w:lang w:val="en-US" w:eastAsia="zh-CN" w:bidi="ar-SA"/>
                    </w:rPr>
                  </w:pPr>
                  <w:r>
                    <w:rPr>
                      <w:rFonts w:hint="eastAsia" w:ascii="Times New Roman" w:hAnsi="Times New Roman" w:eastAsia="宋体" w:cs="Calibri"/>
                      <w:color w:val="auto"/>
                      <w:spacing w:val="-17"/>
                      <w:kern w:val="0"/>
                      <w:sz w:val="18"/>
                      <w:szCs w:val="18"/>
                      <w:lang w:val="en-US" w:eastAsia="zh-CN" w:bidi="ar-SA"/>
                    </w:rPr>
                    <w:t>建筑物外距离</w:t>
                  </w:r>
                </w:p>
              </w:tc>
            </w:tr>
            <w:tr w14:paraId="45A807E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1" w:hRule="exact"/>
                <w:jc w:val="center"/>
              </w:trPr>
              <w:tc>
                <w:tcPr>
                  <w:tcW w:w="176" w:type="pct"/>
                  <w:shd w:val="clear" w:color="auto" w:fill="auto"/>
                  <w:vAlign w:val="center"/>
                </w:tcPr>
                <w:p w14:paraId="2785C0F8">
                  <w:pPr>
                    <w:spacing w:line="220" w:lineRule="exact"/>
                    <w:jc w:val="center"/>
                    <w:rPr>
                      <w:rFonts w:hint="default" w:ascii="Times New Roman" w:hAnsi="Times New Roman" w:eastAsia="宋体" w:cs="Times New Roman"/>
                      <w:color w:val="auto"/>
                      <w:spacing w:val="-17"/>
                      <w:kern w:val="2"/>
                      <w:sz w:val="18"/>
                      <w:szCs w:val="18"/>
                      <w:highlight w:val="none"/>
                      <w:lang w:val="en-US" w:eastAsia="zh-CN" w:bidi="ar-SA"/>
                    </w:rPr>
                  </w:pPr>
                  <w:r>
                    <w:rPr>
                      <w:rFonts w:hint="eastAsia" w:cs="Times New Roman"/>
                      <w:color w:val="auto"/>
                      <w:spacing w:val="-17"/>
                      <w:sz w:val="18"/>
                      <w:szCs w:val="18"/>
                      <w:highlight w:val="none"/>
                      <w:lang w:val="en-US" w:eastAsia="zh-CN"/>
                    </w:rPr>
                    <w:t>43</w:t>
                  </w:r>
                </w:p>
              </w:tc>
              <w:tc>
                <w:tcPr>
                  <w:tcW w:w="176" w:type="pct"/>
                  <w:vMerge w:val="restart"/>
                  <w:vAlign w:val="center"/>
                </w:tcPr>
                <w:p w14:paraId="4C4C1811">
                  <w:pPr>
                    <w:spacing w:line="220" w:lineRule="exact"/>
                    <w:jc w:val="center"/>
                    <w:rPr>
                      <w:rFonts w:hint="eastAsia" w:ascii="Times New Roman" w:hAnsi="Times New Roman" w:cs="Times New Roman"/>
                      <w:color w:val="auto"/>
                      <w:spacing w:val="-17"/>
                      <w:kern w:val="2"/>
                      <w:sz w:val="18"/>
                      <w:szCs w:val="18"/>
                      <w:highlight w:val="none"/>
                      <w:lang w:val="en-US" w:eastAsia="zh-CN" w:bidi="ar-SA"/>
                    </w:rPr>
                  </w:pPr>
                  <w:r>
                    <w:rPr>
                      <w:rFonts w:hint="eastAsia" w:ascii="Times New Roman" w:hAnsi="Times New Roman" w:cs="Times New Roman"/>
                      <w:color w:val="auto"/>
                      <w:spacing w:val="-17"/>
                      <w:kern w:val="2"/>
                      <w:sz w:val="18"/>
                      <w:szCs w:val="18"/>
                      <w:highlight w:val="none"/>
                      <w:lang w:val="en-US" w:eastAsia="zh-CN" w:bidi="ar-SA"/>
                    </w:rPr>
                    <w:t>项目</w:t>
                  </w:r>
                </w:p>
                <w:p w14:paraId="490F572F">
                  <w:pPr>
                    <w:spacing w:line="220" w:lineRule="exact"/>
                    <w:jc w:val="center"/>
                    <w:rPr>
                      <w:rFonts w:hint="default" w:ascii="Times New Roman" w:hAnsi="Times New Roman" w:cs="Times New Roman"/>
                      <w:color w:val="auto"/>
                      <w:spacing w:val="-17"/>
                      <w:kern w:val="2"/>
                      <w:sz w:val="18"/>
                      <w:szCs w:val="18"/>
                      <w:lang w:val="en-US" w:eastAsia="zh-CN" w:bidi="ar-SA"/>
                    </w:rPr>
                  </w:pPr>
                  <w:r>
                    <w:rPr>
                      <w:rFonts w:hint="eastAsia" w:cs="Times New Roman"/>
                      <w:color w:val="auto"/>
                      <w:spacing w:val="-17"/>
                      <w:kern w:val="2"/>
                      <w:sz w:val="18"/>
                      <w:szCs w:val="18"/>
                      <w:lang w:val="en-US" w:eastAsia="zh-CN" w:bidi="ar-SA"/>
                    </w:rPr>
                    <w:t>厂区</w:t>
                  </w:r>
                </w:p>
              </w:tc>
              <w:tc>
                <w:tcPr>
                  <w:tcW w:w="211" w:type="pct"/>
                  <w:vMerge w:val="restart"/>
                  <w:vAlign w:val="center"/>
                </w:tcPr>
                <w:p w14:paraId="27D32361">
                  <w:pPr>
                    <w:spacing w:line="220" w:lineRule="exact"/>
                    <w:jc w:val="center"/>
                    <w:rPr>
                      <w:rFonts w:hint="eastAsia" w:ascii="Times New Roman" w:hAnsi="Times New Roman" w:cs="Times New Roman"/>
                      <w:color w:val="auto"/>
                      <w:spacing w:val="-17"/>
                      <w:sz w:val="18"/>
                      <w:szCs w:val="18"/>
                      <w:lang w:val="en-US" w:eastAsia="zh-CN"/>
                    </w:rPr>
                  </w:pPr>
                  <w:r>
                    <w:rPr>
                      <w:rFonts w:hint="eastAsia" w:cs="Times New Roman"/>
                      <w:color w:val="auto"/>
                      <w:spacing w:val="-17"/>
                      <w:sz w:val="18"/>
                      <w:szCs w:val="18"/>
                      <w:lang w:val="en-US" w:eastAsia="zh-CN"/>
                    </w:rPr>
                    <w:t>2</w:t>
                  </w:r>
                  <w:r>
                    <w:rPr>
                      <w:rFonts w:hint="eastAsia" w:cs="Times New Roman"/>
                      <w:color w:val="auto"/>
                      <w:spacing w:val="-17"/>
                      <w:sz w:val="18"/>
                      <w:szCs w:val="18"/>
                      <w:vertAlign w:val="superscript"/>
                      <w:lang w:val="en-US" w:eastAsia="zh-CN"/>
                    </w:rPr>
                    <w:t>#</w:t>
                  </w:r>
                  <w:r>
                    <w:rPr>
                      <w:rFonts w:hint="eastAsia" w:cs="Times New Roman"/>
                      <w:color w:val="auto"/>
                      <w:spacing w:val="-17"/>
                      <w:sz w:val="18"/>
                      <w:szCs w:val="18"/>
                      <w:lang w:val="en-US" w:eastAsia="zh-CN"/>
                    </w:rPr>
                    <w:t>生产车间</w:t>
                  </w:r>
                </w:p>
              </w:tc>
              <w:tc>
                <w:tcPr>
                  <w:tcW w:w="379" w:type="pct"/>
                  <w:shd w:val="clear" w:color="auto" w:fill="auto"/>
                  <w:vAlign w:val="center"/>
                </w:tcPr>
                <w:p w14:paraId="38AAE50D">
                  <w:pPr>
                    <w:pStyle w:val="71"/>
                    <w:spacing w:line="220" w:lineRule="exact"/>
                    <w:jc w:val="center"/>
                    <w:rPr>
                      <w:rFonts w:hint="eastAsia" w:ascii="Times New Roman" w:hAnsi="Times New Roman" w:eastAsia="宋体" w:cs="Calibri"/>
                      <w:color w:val="auto"/>
                      <w:spacing w:val="-17"/>
                      <w:kern w:val="0"/>
                      <w:sz w:val="18"/>
                      <w:szCs w:val="18"/>
                      <w:lang w:val="en-US" w:eastAsia="zh-CN" w:bidi="ar-SA"/>
                    </w:rPr>
                  </w:pPr>
                  <w:r>
                    <w:rPr>
                      <w:rFonts w:hint="eastAsia" w:ascii="Times New Roman" w:hAnsi="Times New Roman" w:cs="Times New Roman"/>
                      <w:color w:val="auto"/>
                      <w:spacing w:val="-17"/>
                      <w:sz w:val="18"/>
                      <w:szCs w:val="18"/>
                      <w:highlight w:val="none"/>
                      <w:lang w:val="en-US" w:eastAsia="zh-CN"/>
                    </w:rPr>
                    <w:t>1</w:t>
                  </w:r>
                  <w:r>
                    <w:rPr>
                      <w:rFonts w:hint="eastAsia" w:ascii="Times New Roman" w:hAnsi="Times New Roman" w:cs="Times New Roman"/>
                      <w:color w:val="auto"/>
                      <w:spacing w:val="-17"/>
                      <w:sz w:val="18"/>
                      <w:szCs w:val="18"/>
                      <w:highlight w:val="none"/>
                      <w:vertAlign w:val="superscript"/>
                      <w:lang w:val="en-US" w:eastAsia="zh-CN"/>
                    </w:rPr>
                    <w:t>#</w:t>
                  </w:r>
                  <w:r>
                    <w:rPr>
                      <w:rFonts w:hint="eastAsia" w:ascii="Times New Roman" w:hAnsi="Times New Roman" w:eastAsia="宋体" w:cs="Times New Roman"/>
                      <w:color w:val="auto"/>
                      <w:spacing w:val="-17"/>
                      <w:sz w:val="18"/>
                      <w:szCs w:val="18"/>
                      <w:highlight w:val="none"/>
                      <w:lang w:val="en-US" w:eastAsia="zh-CN"/>
                    </w:rPr>
                    <w:t>鄂式破碎机</w:t>
                  </w:r>
                </w:p>
              </w:tc>
              <w:tc>
                <w:tcPr>
                  <w:tcW w:w="193" w:type="pct"/>
                  <w:shd w:val="clear" w:color="auto" w:fill="auto"/>
                  <w:vAlign w:val="center"/>
                </w:tcPr>
                <w:p w14:paraId="0035ED6E">
                  <w:pPr>
                    <w:spacing w:line="220" w:lineRule="exact"/>
                    <w:jc w:val="center"/>
                    <w:rPr>
                      <w:rFonts w:hint="eastAsia" w:ascii="Times New Roman" w:hAnsi="Times New Roman" w:eastAsia="宋体" w:cs="Times New Roman"/>
                      <w:color w:val="auto"/>
                      <w:spacing w:val="-17"/>
                      <w:kern w:val="2"/>
                      <w:sz w:val="18"/>
                      <w:szCs w:val="18"/>
                      <w:highlight w:val="none"/>
                      <w:lang w:val="en-US" w:eastAsia="zh-CN" w:bidi="ar-SA"/>
                    </w:rPr>
                  </w:pPr>
                  <w:r>
                    <w:rPr>
                      <w:rFonts w:hint="eastAsia"/>
                      <w:color w:val="auto"/>
                      <w:spacing w:val="-17"/>
                      <w:sz w:val="18"/>
                      <w:szCs w:val="18"/>
                      <w:highlight w:val="none"/>
                    </w:rPr>
                    <w:t>1</w:t>
                  </w:r>
                </w:p>
              </w:tc>
              <w:tc>
                <w:tcPr>
                  <w:tcW w:w="250" w:type="pct"/>
                  <w:shd w:val="clear" w:color="auto" w:fill="auto"/>
                  <w:vAlign w:val="center"/>
                </w:tcPr>
                <w:p w14:paraId="3439D144">
                  <w:pPr>
                    <w:pStyle w:val="71"/>
                    <w:spacing w:line="220" w:lineRule="exact"/>
                    <w:jc w:val="center"/>
                    <w:rPr>
                      <w:rFonts w:hint="default"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90</w:t>
                  </w:r>
                </w:p>
              </w:tc>
              <w:tc>
                <w:tcPr>
                  <w:tcW w:w="314" w:type="pct"/>
                  <w:vMerge w:val="restart"/>
                  <w:vAlign w:val="center"/>
                </w:tcPr>
                <w:p w14:paraId="7D89451F">
                  <w:pPr>
                    <w:spacing w:line="220" w:lineRule="exact"/>
                    <w:jc w:val="center"/>
                    <w:rPr>
                      <w:rFonts w:hint="eastAsia"/>
                      <w:color w:val="auto"/>
                      <w:spacing w:val="-17"/>
                      <w:sz w:val="18"/>
                      <w:szCs w:val="18"/>
                      <w:lang w:val="en-US" w:eastAsia="zh-CN"/>
                    </w:rPr>
                  </w:pPr>
                  <w:r>
                    <w:rPr>
                      <w:rFonts w:hint="eastAsia" w:ascii="Times New Roman" w:hAnsi="Times New Roman" w:eastAsia="宋体" w:cs="Times New Roman"/>
                      <w:color w:val="auto"/>
                      <w:spacing w:val="-17"/>
                      <w:kern w:val="2"/>
                      <w:sz w:val="18"/>
                      <w:szCs w:val="18"/>
                      <w:lang w:val="en-US" w:eastAsia="zh-CN" w:bidi="ar-SA"/>
                    </w:rPr>
                    <w:t>低噪音设备+封闭厂房（双层彩钢结构、内置隔音棉）+基础减振</w:t>
                  </w:r>
                </w:p>
              </w:tc>
              <w:tc>
                <w:tcPr>
                  <w:tcW w:w="172" w:type="pct"/>
                  <w:shd w:val="clear" w:color="auto" w:fill="FFFFFF"/>
                  <w:vAlign w:val="center"/>
                </w:tcPr>
                <w:p w14:paraId="318308B4">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37.3</w:t>
                  </w:r>
                </w:p>
              </w:tc>
              <w:tc>
                <w:tcPr>
                  <w:tcW w:w="202" w:type="pct"/>
                  <w:shd w:val="clear" w:color="auto" w:fill="FFFFFF"/>
                  <w:vAlign w:val="center"/>
                </w:tcPr>
                <w:p w14:paraId="7AC83090">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2.5</w:t>
                  </w:r>
                </w:p>
              </w:tc>
              <w:tc>
                <w:tcPr>
                  <w:tcW w:w="202" w:type="pct"/>
                  <w:shd w:val="clear" w:color="auto" w:fill="FFFFFF"/>
                  <w:vAlign w:val="center"/>
                </w:tcPr>
                <w:p w14:paraId="3F137041">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39.8</w:t>
                  </w:r>
                </w:p>
              </w:tc>
              <w:tc>
                <w:tcPr>
                  <w:tcW w:w="211" w:type="pct"/>
                  <w:shd w:val="clear" w:color="auto" w:fill="FFFFFF"/>
                  <w:vAlign w:val="center"/>
                </w:tcPr>
                <w:p w14:paraId="183EA684">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12.4</w:t>
                  </w:r>
                </w:p>
              </w:tc>
              <w:tc>
                <w:tcPr>
                  <w:tcW w:w="194" w:type="pct"/>
                  <w:shd w:val="clear" w:color="auto" w:fill="FFFFFF"/>
                  <w:vAlign w:val="center"/>
                </w:tcPr>
                <w:p w14:paraId="340823D5">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59.2</w:t>
                  </w:r>
                </w:p>
              </w:tc>
              <w:tc>
                <w:tcPr>
                  <w:tcW w:w="193" w:type="pct"/>
                  <w:shd w:val="clear" w:color="auto" w:fill="FFFFFF"/>
                  <w:vAlign w:val="center"/>
                </w:tcPr>
                <w:p w14:paraId="4C33F596">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71.3</w:t>
                  </w:r>
                </w:p>
              </w:tc>
              <w:tc>
                <w:tcPr>
                  <w:tcW w:w="219" w:type="pct"/>
                  <w:shd w:val="clear" w:color="auto" w:fill="FFFFFF"/>
                  <w:vAlign w:val="center"/>
                </w:tcPr>
                <w:p w14:paraId="062B3ECA">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59.2</w:t>
                  </w:r>
                </w:p>
              </w:tc>
              <w:tc>
                <w:tcPr>
                  <w:tcW w:w="232" w:type="pct"/>
                  <w:shd w:val="clear" w:color="auto" w:fill="FFFFFF"/>
                  <w:vAlign w:val="center"/>
                </w:tcPr>
                <w:p w14:paraId="6673155B">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61.1</w:t>
                  </w:r>
                </w:p>
              </w:tc>
              <w:tc>
                <w:tcPr>
                  <w:tcW w:w="262" w:type="pct"/>
                  <w:vMerge w:val="restart"/>
                  <w:vAlign w:val="center"/>
                </w:tcPr>
                <w:p w14:paraId="72005DDC">
                  <w:pPr>
                    <w:pStyle w:val="71"/>
                    <w:spacing w:line="220" w:lineRule="exact"/>
                    <w:jc w:val="center"/>
                    <w:rPr>
                      <w:rFonts w:hint="default" w:ascii="Times New Roman" w:hAnsi="Times New Roman" w:eastAsia="宋体" w:cs="Calibri"/>
                      <w:color w:val="auto"/>
                      <w:spacing w:val="-17"/>
                      <w:kern w:val="0"/>
                      <w:sz w:val="18"/>
                      <w:szCs w:val="18"/>
                      <w:lang w:val="en-US" w:eastAsia="zh-CN" w:bidi="ar-SA"/>
                    </w:rPr>
                  </w:pPr>
                  <w:r>
                    <w:rPr>
                      <w:rFonts w:hint="eastAsia" w:ascii="Times New Roman" w:hAnsi="Times New Roman" w:eastAsia="宋体" w:cs="Times New Roman"/>
                      <w:color w:val="auto"/>
                      <w:spacing w:val="-20"/>
                      <w:sz w:val="18"/>
                      <w:szCs w:val="18"/>
                      <w:lang w:val="en-US" w:eastAsia="zh-CN"/>
                    </w:rPr>
                    <w:t>全天运行</w:t>
                  </w:r>
                </w:p>
              </w:tc>
              <w:tc>
                <w:tcPr>
                  <w:tcW w:w="331" w:type="pct"/>
                  <w:vAlign w:val="center"/>
                </w:tcPr>
                <w:p w14:paraId="76080930">
                  <w:pPr>
                    <w:pStyle w:val="71"/>
                    <w:spacing w:line="220" w:lineRule="exact"/>
                    <w:jc w:val="center"/>
                    <w:rPr>
                      <w:rFonts w:hint="default" w:ascii="Times New Roman" w:hAnsi="Times New Roman" w:eastAsia="宋体" w:cs="Times New Roman"/>
                      <w:color w:val="auto"/>
                      <w:spacing w:val="-17"/>
                      <w:sz w:val="18"/>
                      <w:szCs w:val="18"/>
                      <w:highlight w:val="none"/>
                      <w:lang w:val="en-US" w:eastAsia="zh-CN"/>
                    </w:rPr>
                  </w:pPr>
                  <w:r>
                    <w:rPr>
                      <w:rFonts w:hint="eastAsia" w:ascii="Times New Roman" w:hAnsi="Times New Roman" w:eastAsia="宋体" w:cs="Times New Roman"/>
                      <w:color w:val="auto"/>
                      <w:spacing w:val="-17"/>
                      <w:sz w:val="18"/>
                      <w:szCs w:val="18"/>
                      <w:highlight w:val="none"/>
                      <w:lang w:val="en-US" w:eastAsia="zh-CN"/>
                    </w:rPr>
                    <w:t>31.0</w:t>
                  </w:r>
                </w:p>
              </w:tc>
              <w:tc>
                <w:tcPr>
                  <w:tcW w:w="159" w:type="pct"/>
                  <w:shd w:val="clear" w:color="auto" w:fill="FFFFFF"/>
                  <w:vAlign w:val="center"/>
                </w:tcPr>
                <w:p w14:paraId="22B3F27B">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28.2</w:t>
                  </w:r>
                </w:p>
              </w:tc>
              <w:tc>
                <w:tcPr>
                  <w:tcW w:w="176" w:type="pct"/>
                  <w:shd w:val="clear" w:color="auto" w:fill="FFFFFF"/>
                  <w:vAlign w:val="center"/>
                </w:tcPr>
                <w:p w14:paraId="2506B94A">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40.3</w:t>
                  </w:r>
                </w:p>
              </w:tc>
              <w:tc>
                <w:tcPr>
                  <w:tcW w:w="168" w:type="pct"/>
                  <w:shd w:val="clear" w:color="auto" w:fill="FFFFFF"/>
                  <w:vAlign w:val="center"/>
                </w:tcPr>
                <w:p w14:paraId="639D166B">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28.2</w:t>
                  </w:r>
                </w:p>
              </w:tc>
              <w:tc>
                <w:tcPr>
                  <w:tcW w:w="159" w:type="pct"/>
                  <w:shd w:val="clear" w:color="auto" w:fill="FFFFFF"/>
                  <w:vAlign w:val="center"/>
                </w:tcPr>
                <w:p w14:paraId="39111302">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30.1</w:t>
                  </w:r>
                </w:p>
              </w:tc>
              <w:tc>
                <w:tcPr>
                  <w:tcW w:w="411" w:type="pct"/>
                  <w:vAlign w:val="center"/>
                </w:tcPr>
                <w:p w14:paraId="33830F40">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eastAsia" w:ascii="Times New Roman" w:hAnsi="Times New Roman" w:eastAsia="宋体" w:cs="Times New Roman"/>
                      <w:color w:val="auto"/>
                      <w:spacing w:val="-17"/>
                      <w:sz w:val="18"/>
                      <w:szCs w:val="18"/>
                      <w:highlight w:val="none"/>
                      <w:lang w:val="en-US" w:eastAsia="zh-CN"/>
                    </w:rPr>
                    <w:t>1</w:t>
                  </w:r>
                </w:p>
              </w:tc>
            </w:tr>
            <w:tr w14:paraId="121BFC0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1" w:hRule="exact"/>
                <w:jc w:val="center"/>
              </w:trPr>
              <w:tc>
                <w:tcPr>
                  <w:tcW w:w="176" w:type="pct"/>
                  <w:shd w:val="clear" w:color="auto" w:fill="auto"/>
                  <w:vAlign w:val="center"/>
                </w:tcPr>
                <w:p w14:paraId="3727E7CA">
                  <w:pPr>
                    <w:spacing w:line="220" w:lineRule="exact"/>
                    <w:jc w:val="center"/>
                    <w:rPr>
                      <w:rFonts w:hint="default" w:ascii="Times New Roman" w:hAnsi="Times New Roman" w:eastAsia="宋体" w:cs="Times New Roman"/>
                      <w:color w:val="auto"/>
                      <w:spacing w:val="-17"/>
                      <w:kern w:val="2"/>
                      <w:sz w:val="18"/>
                      <w:szCs w:val="18"/>
                      <w:highlight w:val="none"/>
                      <w:lang w:val="en-US" w:eastAsia="zh-CN" w:bidi="ar-SA"/>
                    </w:rPr>
                  </w:pPr>
                  <w:r>
                    <w:rPr>
                      <w:rFonts w:hint="eastAsia" w:cs="Times New Roman"/>
                      <w:color w:val="auto"/>
                      <w:spacing w:val="-17"/>
                      <w:sz w:val="18"/>
                      <w:szCs w:val="18"/>
                      <w:highlight w:val="none"/>
                      <w:lang w:val="en-US" w:eastAsia="zh-CN"/>
                    </w:rPr>
                    <w:t>44</w:t>
                  </w:r>
                </w:p>
              </w:tc>
              <w:tc>
                <w:tcPr>
                  <w:tcW w:w="176" w:type="pct"/>
                  <w:vMerge w:val="continue"/>
                  <w:vAlign w:val="center"/>
                </w:tcPr>
                <w:p w14:paraId="7B203DAC">
                  <w:pPr>
                    <w:spacing w:line="220" w:lineRule="exact"/>
                    <w:jc w:val="center"/>
                    <w:rPr>
                      <w:rFonts w:hint="eastAsia" w:ascii="Times New Roman" w:hAnsi="Times New Roman" w:cs="Times New Roman"/>
                      <w:color w:val="auto"/>
                      <w:spacing w:val="-17"/>
                      <w:kern w:val="2"/>
                      <w:sz w:val="18"/>
                      <w:szCs w:val="18"/>
                      <w:lang w:val="en-US" w:eastAsia="zh-CN" w:bidi="ar-SA"/>
                    </w:rPr>
                  </w:pPr>
                </w:p>
              </w:tc>
              <w:tc>
                <w:tcPr>
                  <w:tcW w:w="211" w:type="pct"/>
                  <w:vMerge w:val="continue"/>
                  <w:vAlign w:val="center"/>
                </w:tcPr>
                <w:p w14:paraId="49C28D6D">
                  <w:pPr>
                    <w:spacing w:line="220" w:lineRule="exact"/>
                    <w:jc w:val="center"/>
                    <w:rPr>
                      <w:rFonts w:hint="eastAsia" w:ascii="Times New Roman" w:hAnsi="Times New Roman" w:cs="Times New Roman"/>
                      <w:color w:val="auto"/>
                      <w:spacing w:val="-17"/>
                      <w:sz w:val="18"/>
                      <w:szCs w:val="18"/>
                      <w:lang w:val="en-US" w:eastAsia="zh-CN"/>
                    </w:rPr>
                  </w:pPr>
                </w:p>
              </w:tc>
              <w:tc>
                <w:tcPr>
                  <w:tcW w:w="379" w:type="pct"/>
                  <w:shd w:val="clear" w:color="auto" w:fill="auto"/>
                  <w:vAlign w:val="center"/>
                </w:tcPr>
                <w:p w14:paraId="7AB8CCC6">
                  <w:pPr>
                    <w:pStyle w:val="71"/>
                    <w:spacing w:line="220" w:lineRule="exact"/>
                    <w:jc w:val="center"/>
                    <w:rPr>
                      <w:rFonts w:hint="eastAsia" w:ascii="Times New Roman" w:hAnsi="Times New Roman" w:eastAsia="宋体" w:cs="Times New Roman"/>
                      <w:color w:val="auto"/>
                      <w:spacing w:val="-17"/>
                      <w:kern w:val="0"/>
                      <w:sz w:val="18"/>
                      <w:szCs w:val="18"/>
                      <w:highlight w:val="none"/>
                      <w:lang w:val="en-US" w:eastAsia="zh-CN" w:bidi="ar-SA"/>
                    </w:rPr>
                  </w:pPr>
                  <w:r>
                    <w:rPr>
                      <w:rFonts w:hint="eastAsia" w:ascii="Times New Roman" w:hAnsi="Times New Roman" w:cs="Times New Roman"/>
                      <w:color w:val="auto"/>
                      <w:spacing w:val="-17"/>
                      <w:sz w:val="18"/>
                      <w:szCs w:val="18"/>
                      <w:highlight w:val="none"/>
                      <w:lang w:val="en-US" w:eastAsia="zh-CN"/>
                    </w:rPr>
                    <w:t>锤式</w:t>
                  </w:r>
                  <w:r>
                    <w:rPr>
                      <w:rFonts w:hint="eastAsia" w:ascii="Times New Roman" w:hAnsi="Times New Roman" w:eastAsia="宋体" w:cs="Times New Roman"/>
                      <w:color w:val="auto"/>
                      <w:spacing w:val="-17"/>
                      <w:sz w:val="18"/>
                      <w:szCs w:val="18"/>
                      <w:highlight w:val="none"/>
                      <w:lang w:val="en-US" w:eastAsia="zh-CN"/>
                    </w:rPr>
                    <w:t>破碎机</w:t>
                  </w:r>
                </w:p>
              </w:tc>
              <w:tc>
                <w:tcPr>
                  <w:tcW w:w="193" w:type="pct"/>
                  <w:shd w:val="clear" w:color="auto" w:fill="auto"/>
                  <w:vAlign w:val="center"/>
                </w:tcPr>
                <w:p w14:paraId="6C01BB26">
                  <w:pPr>
                    <w:spacing w:line="220" w:lineRule="exact"/>
                    <w:jc w:val="center"/>
                    <w:rPr>
                      <w:rFonts w:hint="eastAsia" w:ascii="Times New Roman" w:hAnsi="Times New Roman" w:eastAsia="宋体" w:cs="Times New Roman"/>
                      <w:color w:val="auto"/>
                      <w:spacing w:val="-17"/>
                      <w:kern w:val="2"/>
                      <w:sz w:val="18"/>
                      <w:szCs w:val="18"/>
                      <w:highlight w:val="none"/>
                      <w:lang w:val="en-US" w:eastAsia="zh-CN" w:bidi="ar-SA"/>
                    </w:rPr>
                  </w:pPr>
                  <w:r>
                    <w:rPr>
                      <w:rFonts w:hint="eastAsia"/>
                      <w:color w:val="auto"/>
                      <w:spacing w:val="-17"/>
                      <w:sz w:val="18"/>
                      <w:szCs w:val="18"/>
                      <w:highlight w:val="none"/>
                      <w:lang w:val="en-US" w:eastAsia="zh-CN"/>
                    </w:rPr>
                    <w:t>1</w:t>
                  </w:r>
                </w:p>
              </w:tc>
              <w:tc>
                <w:tcPr>
                  <w:tcW w:w="250" w:type="pct"/>
                  <w:shd w:val="clear" w:color="auto" w:fill="auto"/>
                  <w:vAlign w:val="center"/>
                </w:tcPr>
                <w:p w14:paraId="18578B36">
                  <w:pPr>
                    <w:pStyle w:val="71"/>
                    <w:spacing w:line="220" w:lineRule="exact"/>
                    <w:jc w:val="center"/>
                    <w:rPr>
                      <w:rFonts w:hint="default"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90</w:t>
                  </w:r>
                </w:p>
              </w:tc>
              <w:tc>
                <w:tcPr>
                  <w:tcW w:w="314" w:type="pct"/>
                  <w:vMerge w:val="continue"/>
                  <w:vAlign w:val="center"/>
                </w:tcPr>
                <w:p w14:paraId="009B6110">
                  <w:pPr>
                    <w:spacing w:line="220" w:lineRule="exact"/>
                    <w:jc w:val="center"/>
                    <w:rPr>
                      <w:rFonts w:hint="eastAsia"/>
                      <w:color w:val="auto"/>
                      <w:spacing w:val="-17"/>
                      <w:sz w:val="18"/>
                      <w:szCs w:val="18"/>
                      <w:lang w:val="en-US" w:eastAsia="zh-CN"/>
                    </w:rPr>
                  </w:pPr>
                </w:p>
              </w:tc>
              <w:tc>
                <w:tcPr>
                  <w:tcW w:w="172" w:type="pct"/>
                  <w:shd w:val="clear" w:color="auto" w:fill="FFFFFF"/>
                  <w:vAlign w:val="center"/>
                </w:tcPr>
                <w:p w14:paraId="5CB49FF8">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34.6</w:t>
                  </w:r>
                </w:p>
              </w:tc>
              <w:tc>
                <w:tcPr>
                  <w:tcW w:w="202" w:type="pct"/>
                  <w:shd w:val="clear" w:color="auto" w:fill="FFFFFF"/>
                  <w:vAlign w:val="center"/>
                </w:tcPr>
                <w:p w14:paraId="7367B1FF">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2.4</w:t>
                  </w:r>
                </w:p>
              </w:tc>
              <w:tc>
                <w:tcPr>
                  <w:tcW w:w="202" w:type="pct"/>
                  <w:shd w:val="clear" w:color="auto" w:fill="FFFFFF"/>
                  <w:vAlign w:val="center"/>
                </w:tcPr>
                <w:p w14:paraId="67B18477">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42.5</w:t>
                  </w:r>
                </w:p>
              </w:tc>
              <w:tc>
                <w:tcPr>
                  <w:tcW w:w="211" w:type="pct"/>
                  <w:shd w:val="clear" w:color="auto" w:fill="FFFFFF"/>
                  <w:vAlign w:val="center"/>
                </w:tcPr>
                <w:p w14:paraId="284FE21C">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12.5</w:t>
                  </w:r>
                </w:p>
              </w:tc>
              <w:tc>
                <w:tcPr>
                  <w:tcW w:w="194" w:type="pct"/>
                  <w:shd w:val="clear" w:color="auto" w:fill="FFFFFF"/>
                  <w:vAlign w:val="center"/>
                </w:tcPr>
                <w:p w14:paraId="4184D839">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59.3</w:t>
                  </w:r>
                </w:p>
              </w:tc>
              <w:tc>
                <w:tcPr>
                  <w:tcW w:w="193" w:type="pct"/>
                  <w:shd w:val="clear" w:color="auto" w:fill="FFFFFF"/>
                  <w:vAlign w:val="center"/>
                </w:tcPr>
                <w:p w14:paraId="2C454B50">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71.6</w:t>
                  </w:r>
                </w:p>
              </w:tc>
              <w:tc>
                <w:tcPr>
                  <w:tcW w:w="219" w:type="pct"/>
                  <w:shd w:val="clear" w:color="auto" w:fill="FFFFFF"/>
                  <w:vAlign w:val="center"/>
                </w:tcPr>
                <w:p w14:paraId="36D66B4B">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59.1</w:t>
                  </w:r>
                </w:p>
              </w:tc>
              <w:tc>
                <w:tcPr>
                  <w:tcW w:w="232" w:type="pct"/>
                  <w:shd w:val="clear" w:color="auto" w:fill="FFFFFF"/>
                  <w:vAlign w:val="center"/>
                </w:tcPr>
                <w:p w14:paraId="4FF73AF8">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61.1</w:t>
                  </w:r>
                </w:p>
              </w:tc>
              <w:tc>
                <w:tcPr>
                  <w:tcW w:w="262" w:type="pct"/>
                  <w:vMerge w:val="continue"/>
                  <w:vAlign w:val="center"/>
                </w:tcPr>
                <w:p w14:paraId="14C72ADF">
                  <w:pPr>
                    <w:spacing w:line="220" w:lineRule="exact"/>
                    <w:jc w:val="center"/>
                    <w:rPr>
                      <w:rFonts w:hint="default" w:ascii="Times New Roman" w:hAnsi="Times New Roman" w:eastAsia="宋体" w:cs="Times New Roman"/>
                      <w:color w:val="auto"/>
                      <w:spacing w:val="-20"/>
                      <w:sz w:val="18"/>
                      <w:szCs w:val="18"/>
                      <w:lang w:val="en-US" w:eastAsia="zh-CN"/>
                    </w:rPr>
                  </w:pPr>
                </w:p>
              </w:tc>
              <w:tc>
                <w:tcPr>
                  <w:tcW w:w="331" w:type="pct"/>
                  <w:vAlign w:val="center"/>
                </w:tcPr>
                <w:p w14:paraId="30B119F0">
                  <w:pPr>
                    <w:pStyle w:val="71"/>
                    <w:spacing w:line="220" w:lineRule="exact"/>
                    <w:jc w:val="center"/>
                    <w:rPr>
                      <w:rFonts w:hint="default" w:ascii="Times New Roman" w:hAnsi="Times New Roman" w:eastAsia="宋体" w:cs="Times New Roman"/>
                      <w:color w:val="auto"/>
                      <w:spacing w:val="-17"/>
                      <w:sz w:val="18"/>
                      <w:szCs w:val="18"/>
                      <w:highlight w:val="none"/>
                      <w:lang w:val="en-US" w:eastAsia="zh-CN"/>
                    </w:rPr>
                  </w:pPr>
                  <w:r>
                    <w:rPr>
                      <w:rFonts w:hint="eastAsia" w:ascii="Times New Roman" w:hAnsi="Times New Roman" w:eastAsia="宋体" w:cs="Times New Roman"/>
                      <w:color w:val="auto"/>
                      <w:spacing w:val="-17"/>
                      <w:sz w:val="18"/>
                      <w:szCs w:val="18"/>
                      <w:highlight w:val="none"/>
                      <w:lang w:val="en-US" w:eastAsia="zh-CN"/>
                    </w:rPr>
                    <w:t>31.0</w:t>
                  </w:r>
                </w:p>
              </w:tc>
              <w:tc>
                <w:tcPr>
                  <w:tcW w:w="159" w:type="pct"/>
                  <w:shd w:val="clear" w:color="auto" w:fill="FFFFFF"/>
                  <w:vAlign w:val="center"/>
                </w:tcPr>
                <w:p w14:paraId="516A146E">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28.3</w:t>
                  </w:r>
                </w:p>
              </w:tc>
              <w:tc>
                <w:tcPr>
                  <w:tcW w:w="176" w:type="pct"/>
                  <w:shd w:val="clear" w:color="auto" w:fill="FFFFFF"/>
                  <w:vAlign w:val="center"/>
                </w:tcPr>
                <w:p w14:paraId="38EC3075">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40.6</w:t>
                  </w:r>
                </w:p>
              </w:tc>
              <w:tc>
                <w:tcPr>
                  <w:tcW w:w="168" w:type="pct"/>
                  <w:shd w:val="clear" w:color="auto" w:fill="FFFFFF"/>
                  <w:vAlign w:val="center"/>
                </w:tcPr>
                <w:p w14:paraId="536572D8">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28.1</w:t>
                  </w:r>
                </w:p>
              </w:tc>
              <w:tc>
                <w:tcPr>
                  <w:tcW w:w="159" w:type="pct"/>
                  <w:shd w:val="clear" w:color="auto" w:fill="FFFFFF"/>
                  <w:vAlign w:val="center"/>
                </w:tcPr>
                <w:p w14:paraId="67C1AF77">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30.1</w:t>
                  </w:r>
                </w:p>
              </w:tc>
              <w:tc>
                <w:tcPr>
                  <w:tcW w:w="411" w:type="pct"/>
                  <w:vAlign w:val="center"/>
                </w:tcPr>
                <w:p w14:paraId="7B8B74A9">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eastAsia" w:ascii="Times New Roman" w:hAnsi="Times New Roman" w:eastAsia="宋体" w:cs="Times New Roman"/>
                      <w:color w:val="auto"/>
                      <w:spacing w:val="-17"/>
                      <w:sz w:val="18"/>
                      <w:szCs w:val="18"/>
                      <w:highlight w:val="none"/>
                      <w:lang w:val="en-US" w:eastAsia="zh-CN"/>
                    </w:rPr>
                    <w:t>1</w:t>
                  </w:r>
                </w:p>
              </w:tc>
            </w:tr>
            <w:tr w14:paraId="2360A47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1" w:hRule="exact"/>
                <w:jc w:val="center"/>
              </w:trPr>
              <w:tc>
                <w:tcPr>
                  <w:tcW w:w="176" w:type="pct"/>
                  <w:shd w:val="clear" w:color="auto" w:fill="auto"/>
                  <w:vAlign w:val="center"/>
                </w:tcPr>
                <w:p w14:paraId="59B19448">
                  <w:pPr>
                    <w:spacing w:line="220" w:lineRule="exact"/>
                    <w:jc w:val="center"/>
                    <w:rPr>
                      <w:rFonts w:hint="default" w:ascii="Times New Roman" w:hAnsi="Times New Roman" w:eastAsia="宋体" w:cs="Times New Roman"/>
                      <w:color w:val="auto"/>
                      <w:spacing w:val="-17"/>
                      <w:kern w:val="2"/>
                      <w:sz w:val="18"/>
                      <w:szCs w:val="18"/>
                      <w:highlight w:val="none"/>
                      <w:lang w:val="en-US" w:eastAsia="zh-CN" w:bidi="ar-SA"/>
                    </w:rPr>
                  </w:pPr>
                  <w:r>
                    <w:rPr>
                      <w:rFonts w:hint="eastAsia" w:cs="Times New Roman"/>
                      <w:color w:val="auto"/>
                      <w:spacing w:val="-17"/>
                      <w:sz w:val="18"/>
                      <w:szCs w:val="18"/>
                      <w:highlight w:val="none"/>
                      <w:lang w:val="en-US" w:eastAsia="zh-CN"/>
                    </w:rPr>
                    <w:t>45</w:t>
                  </w:r>
                </w:p>
              </w:tc>
              <w:tc>
                <w:tcPr>
                  <w:tcW w:w="176" w:type="pct"/>
                  <w:vMerge w:val="continue"/>
                  <w:vAlign w:val="center"/>
                </w:tcPr>
                <w:p w14:paraId="1A85784F">
                  <w:pPr>
                    <w:spacing w:line="220" w:lineRule="exact"/>
                    <w:jc w:val="center"/>
                    <w:rPr>
                      <w:rFonts w:hint="eastAsia" w:ascii="Times New Roman" w:hAnsi="Times New Roman" w:cs="Times New Roman"/>
                      <w:color w:val="auto"/>
                      <w:spacing w:val="-17"/>
                      <w:kern w:val="2"/>
                      <w:sz w:val="18"/>
                      <w:szCs w:val="18"/>
                      <w:lang w:val="en-US" w:eastAsia="zh-CN" w:bidi="ar-SA"/>
                    </w:rPr>
                  </w:pPr>
                </w:p>
              </w:tc>
              <w:tc>
                <w:tcPr>
                  <w:tcW w:w="211" w:type="pct"/>
                  <w:vMerge w:val="continue"/>
                  <w:vAlign w:val="center"/>
                </w:tcPr>
                <w:p w14:paraId="70982661">
                  <w:pPr>
                    <w:spacing w:line="220" w:lineRule="exact"/>
                    <w:jc w:val="center"/>
                    <w:rPr>
                      <w:rFonts w:hint="eastAsia" w:ascii="Times New Roman" w:hAnsi="Times New Roman" w:cs="Times New Roman"/>
                      <w:color w:val="auto"/>
                      <w:spacing w:val="-17"/>
                      <w:sz w:val="18"/>
                      <w:szCs w:val="18"/>
                      <w:lang w:val="en-US" w:eastAsia="zh-CN"/>
                    </w:rPr>
                  </w:pPr>
                </w:p>
              </w:tc>
              <w:tc>
                <w:tcPr>
                  <w:tcW w:w="379" w:type="pct"/>
                  <w:shd w:val="clear" w:color="auto" w:fill="auto"/>
                  <w:vAlign w:val="center"/>
                </w:tcPr>
                <w:p w14:paraId="75B2D2B4">
                  <w:pPr>
                    <w:pStyle w:val="71"/>
                    <w:spacing w:line="220" w:lineRule="exact"/>
                    <w:jc w:val="center"/>
                    <w:rPr>
                      <w:rFonts w:hint="eastAsia" w:ascii="Times New Roman" w:hAnsi="Times New Roman" w:eastAsia="宋体" w:cs="Times New Roman"/>
                      <w:color w:val="auto"/>
                      <w:spacing w:val="-17"/>
                      <w:kern w:val="0"/>
                      <w:sz w:val="18"/>
                      <w:szCs w:val="18"/>
                      <w:highlight w:val="none"/>
                      <w:lang w:val="en-US" w:eastAsia="zh-CN" w:bidi="ar-SA"/>
                    </w:rPr>
                  </w:pPr>
                  <w:r>
                    <w:rPr>
                      <w:rFonts w:hint="eastAsia" w:ascii="Times New Roman" w:hAnsi="Times New Roman" w:eastAsia="宋体" w:cs="Times New Roman"/>
                      <w:color w:val="auto"/>
                      <w:spacing w:val="-17"/>
                      <w:sz w:val="18"/>
                      <w:szCs w:val="18"/>
                      <w:highlight w:val="none"/>
                      <w:lang w:val="en-US" w:eastAsia="zh-CN"/>
                    </w:rPr>
                    <w:t>1</w:t>
                  </w:r>
                  <w:r>
                    <w:rPr>
                      <w:rFonts w:hint="eastAsia" w:ascii="Times New Roman" w:hAnsi="Times New Roman" w:eastAsia="宋体" w:cs="Times New Roman"/>
                      <w:color w:val="auto"/>
                      <w:spacing w:val="-17"/>
                      <w:sz w:val="18"/>
                      <w:szCs w:val="18"/>
                      <w:highlight w:val="none"/>
                      <w:vertAlign w:val="superscript"/>
                      <w:lang w:val="en-US" w:eastAsia="zh-CN"/>
                    </w:rPr>
                    <w:t>#</w:t>
                  </w:r>
                  <w:r>
                    <w:rPr>
                      <w:rFonts w:hint="eastAsia" w:ascii="Times New Roman" w:hAnsi="Times New Roman" w:cs="Times New Roman"/>
                      <w:color w:val="auto"/>
                      <w:spacing w:val="-10"/>
                      <w:sz w:val="18"/>
                      <w:szCs w:val="18"/>
                      <w:highlight w:val="none"/>
                      <w:lang w:val="en-US" w:eastAsia="zh-CN"/>
                    </w:rPr>
                    <w:t>振动筛</w:t>
                  </w:r>
                </w:p>
              </w:tc>
              <w:tc>
                <w:tcPr>
                  <w:tcW w:w="193" w:type="pct"/>
                  <w:shd w:val="clear" w:color="auto" w:fill="auto"/>
                  <w:vAlign w:val="center"/>
                </w:tcPr>
                <w:p w14:paraId="4099F1EE">
                  <w:pPr>
                    <w:spacing w:line="220" w:lineRule="exact"/>
                    <w:jc w:val="center"/>
                    <w:rPr>
                      <w:rFonts w:hint="eastAsia" w:ascii="Times New Roman" w:hAnsi="Times New Roman" w:eastAsia="宋体" w:cs="Times New Roman"/>
                      <w:color w:val="auto"/>
                      <w:spacing w:val="-17"/>
                      <w:kern w:val="2"/>
                      <w:sz w:val="18"/>
                      <w:szCs w:val="18"/>
                      <w:highlight w:val="none"/>
                      <w:lang w:val="en-US" w:eastAsia="zh-CN" w:bidi="ar-SA"/>
                    </w:rPr>
                  </w:pPr>
                  <w:r>
                    <w:rPr>
                      <w:rFonts w:hint="eastAsia"/>
                      <w:color w:val="auto"/>
                      <w:spacing w:val="-17"/>
                      <w:sz w:val="18"/>
                      <w:szCs w:val="18"/>
                      <w:highlight w:val="none"/>
                      <w:lang w:val="en-US" w:eastAsia="zh-CN"/>
                    </w:rPr>
                    <w:t>1</w:t>
                  </w:r>
                </w:p>
              </w:tc>
              <w:tc>
                <w:tcPr>
                  <w:tcW w:w="250" w:type="pct"/>
                  <w:shd w:val="clear" w:color="auto" w:fill="auto"/>
                  <w:vAlign w:val="center"/>
                </w:tcPr>
                <w:p w14:paraId="1C57BF78">
                  <w:pPr>
                    <w:pStyle w:val="71"/>
                    <w:spacing w:line="220" w:lineRule="exact"/>
                    <w:jc w:val="center"/>
                    <w:rPr>
                      <w:rFonts w:hint="default"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90</w:t>
                  </w:r>
                </w:p>
              </w:tc>
              <w:tc>
                <w:tcPr>
                  <w:tcW w:w="314" w:type="pct"/>
                  <w:vMerge w:val="continue"/>
                  <w:vAlign w:val="center"/>
                </w:tcPr>
                <w:p w14:paraId="013E938E">
                  <w:pPr>
                    <w:spacing w:line="220" w:lineRule="exact"/>
                    <w:jc w:val="center"/>
                    <w:rPr>
                      <w:rFonts w:hint="eastAsia"/>
                      <w:color w:val="auto"/>
                      <w:spacing w:val="-17"/>
                      <w:sz w:val="18"/>
                      <w:szCs w:val="18"/>
                      <w:lang w:val="en-US" w:eastAsia="zh-CN"/>
                    </w:rPr>
                  </w:pPr>
                </w:p>
              </w:tc>
              <w:tc>
                <w:tcPr>
                  <w:tcW w:w="172" w:type="pct"/>
                  <w:shd w:val="clear" w:color="auto" w:fill="FFFFFF"/>
                  <w:vAlign w:val="center"/>
                </w:tcPr>
                <w:p w14:paraId="482EDDE6">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33.3</w:t>
                  </w:r>
                </w:p>
              </w:tc>
              <w:tc>
                <w:tcPr>
                  <w:tcW w:w="202" w:type="pct"/>
                  <w:shd w:val="clear" w:color="auto" w:fill="FFFFFF"/>
                  <w:vAlign w:val="center"/>
                </w:tcPr>
                <w:p w14:paraId="63BF7285">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63.3</w:t>
                  </w:r>
                </w:p>
              </w:tc>
              <w:tc>
                <w:tcPr>
                  <w:tcW w:w="202" w:type="pct"/>
                  <w:shd w:val="clear" w:color="auto" w:fill="FFFFFF"/>
                  <w:vAlign w:val="center"/>
                </w:tcPr>
                <w:p w14:paraId="6BD7E9F2">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27</w:t>
                  </w:r>
                </w:p>
              </w:tc>
              <w:tc>
                <w:tcPr>
                  <w:tcW w:w="211" w:type="pct"/>
                  <w:shd w:val="clear" w:color="auto" w:fill="FFFFFF"/>
                  <w:vAlign w:val="center"/>
                </w:tcPr>
                <w:p w14:paraId="48B67B06">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5.3</w:t>
                  </w:r>
                </w:p>
              </w:tc>
              <w:tc>
                <w:tcPr>
                  <w:tcW w:w="194" w:type="pct"/>
                  <w:shd w:val="clear" w:color="auto" w:fill="FFFFFF"/>
                  <w:vAlign w:val="center"/>
                </w:tcPr>
                <w:p w14:paraId="532D3356">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58.3</w:t>
                  </w:r>
                </w:p>
              </w:tc>
              <w:tc>
                <w:tcPr>
                  <w:tcW w:w="193" w:type="pct"/>
                  <w:shd w:val="clear" w:color="auto" w:fill="FFFFFF"/>
                  <w:vAlign w:val="center"/>
                </w:tcPr>
                <w:p w14:paraId="630778C6">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57.9</w:t>
                  </w:r>
                </w:p>
              </w:tc>
              <w:tc>
                <w:tcPr>
                  <w:tcW w:w="219" w:type="pct"/>
                  <w:shd w:val="clear" w:color="auto" w:fill="FFFFFF"/>
                  <w:vAlign w:val="center"/>
                </w:tcPr>
                <w:p w14:paraId="1B29BDDC">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58.5</w:t>
                  </w:r>
                </w:p>
              </w:tc>
              <w:tc>
                <w:tcPr>
                  <w:tcW w:w="232" w:type="pct"/>
                  <w:shd w:val="clear" w:color="auto" w:fill="FFFFFF"/>
                  <w:vAlign w:val="center"/>
                </w:tcPr>
                <w:p w14:paraId="1F7AF6E5">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65.4</w:t>
                  </w:r>
                </w:p>
              </w:tc>
              <w:tc>
                <w:tcPr>
                  <w:tcW w:w="262" w:type="pct"/>
                  <w:vMerge w:val="continue"/>
                  <w:vAlign w:val="center"/>
                </w:tcPr>
                <w:p w14:paraId="102E58CE">
                  <w:pPr>
                    <w:spacing w:line="220" w:lineRule="exact"/>
                    <w:jc w:val="center"/>
                    <w:rPr>
                      <w:rFonts w:hint="default" w:ascii="Times New Roman" w:hAnsi="Times New Roman" w:eastAsia="宋体" w:cs="Times New Roman"/>
                      <w:color w:val="auto"/>
                      <w:spacing w:val="-20"/>
                      <w:sz w:val="18"/>
                      <w:szCs w:val="18"/>
                      <w:lang w:val="en-US" w:eastAsia="zh-CN"/>
                    </w:rPr>
                  </w:pPr>
                </w:p>
              </w:tc>
              <w:tc>
                <w:tcPr>
                  <w:tcW w:w="331" w:type="pct"/>
                  <w:vAlign w:val="center"/>
                </w:tcPr>
                <w:p w14:paraId="033573CD">
                  <w:pPr>
                    <w:pStyle w:val="71"/>
                    <w:spacing w:line="220" w:lineRule="exact"/>
                    <w:jc w:val="center"/>
                    <w:rPr>
                      <w:rFonts w:hint="default" w:ascii="Times New Roman" w:hAnsi="Times New Roman" w:eastAsia="宋体" w:cs="Times New Roman"/>
                      <w:color w:val="auto"/>
                      <w:spacing w:val="-17"/>
                      <w:sz w:val="18"/>
                      <w:szCs w:val="18"/>
                      <w:highlight w:val="none"/>
                      <w:lang w:val="en-US" w:eastAsia="zh-CN"/>
                    </w:rPr>
                  </w:pPr>
                  <w:r>
                    <w:rPr>
                      <w:rFonts w:hint="eastAsia" w:ascii="Times New Roman" w:hAnsi="Times New Roman" w:eastAsia="宋体" w:cs="Times New Roman"/>
                      <w:color w:val="auto"/>
                      <w:spacing w:val="-17"/>
                      <w:sz w:val="18"/>
                      <w:szCs w:val="18"/>
                      <w:highlight w:val="none"/>
                      <w:lang w:val="en-US" w:eastAsia="zh-CN"/>
                    </w:rPr>
                    <w:t>31.0</w:t>
                  </w:r>
                </w:p>
              </w:tc>
              <w:tc>
                <w:tcPr>
                  <w:tcW w:w="159" w:type="pct"/>
                  <w:shd w:val="clear" w:color="auto" w:fill="FFFFFF"/>
                  <w:vAlign w:val="center"/>
                </w:tcPr>
                <w:p w14:paraId="33EB0D31">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27.3</w:t>
                  </w:r>
                </w:p>
              </w:tc>
              <w:tc>
                <w:tcPr>
                  <w:tcW w:w="176" w:type="pct"/>
                  <w:shd w:val="clear" w:color="auto" w:fill="FFFFFF"/>
                  <w:vAlign w:val="center"/>
                </w:tcPr>
                <w:p w14:paraId="003D2AC2">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26.9</w:t>
                  </w:r>
                </w:p>
              </w:tc>
              <w:tc>
                <w:tcPr>
                  <w:tcW w:w="168" w:type="pct"/>
                  <w:shd w:val="clear" w:color="auto" w:fill="FFFFFF"/>
                  <w:vAlign w:val="center"/>
                </w:tcPr>
                <w:p w14:paraId="778C8DCB">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27.5</w:t>
                  </w:r>
                </w:p>
              </w:tc>
              <w:tc>
                <w:tcPr>
                  <w:tcW w:w="159" w:type="pct"/>
                  <w:shd w:val="clear" w:color="auto" w:fill="FFFFFF"/>
                  <w:vAlign w:val="center"/>
                </w:tcPr>
                <w:p w14:paraId="10D68E62">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34.4</w:t>
                  </w:r>
                </w:p>
              </w:tc>
              <w:tc>
                <w:tcPr>
                  <w:tcW w:w="411" w:type="pct"/>
                  <w:vAlign w:val="center"/>
                </w:tcPr>
                <w:p w14:paraId="45AB5BBE">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eastAsia" w:ascii="Times New Roman" w:hAnsi="Times New Roman" w:eastAsia="宋体" w:cs="Times New Roman"/>
                      <w:color w:val="auto"/>
                      <w:spacing w:val="-17"/>
                      <w:sz w:val="18"/>
                      <w:szCs w:val="18"/>
                      <w:highlight w:val="none"/>
                      <w:lang w:val="en-US" w:eastAsia="zh-CN"/>
                    </w:rPr>
                    <w:t>1</w:t>
                  </w:r>
                </w:p>
              </w:tc>
            </w:tr>
            <w:tr w14:paraId="354CDB4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1" w:hRule="exact"/>
                <w:jc w:val="center"/>
              </w:trPr>
              <w:tc>
                <w:tcPr>
                  <w:tcW w:w="176" w:type="pct"/>
                  <w:shd w:val="clear" w:color="auto" w:fill="auto"/>
                  <w:vAlign w:val="center"/>
                </w:tcPr>
                <w:p w14:paraId="0C032C72">
                  <w:pPr>
                    <w:spacing w:line="220" w:lineRule="exact"/>
                    <w:jc w:val="center"/>
                    <w:rPr>
                      <w:rFonts w:hint="default" w:ascii="Times New Roman" w:hAnsi="Times New Roman" w:eastAsia="宋体" w:cs="Times New Roman"/>
                      <w:color w:val="auto"/>
                      <w:spacing w:val="-17"/>
                      <w:kern w:val="2"/>
                      <w:sz w:val="18"/>
                      <w:szCs w:val="18"/>
                      <w:highlight w:val="none"/>
                      <w:lang w:val="en-US" w:eastAsia="zh-CN" w:bidi="ar-SA"/>
                    </w:rPr>
                  </w:pPr>
                  <w:r>
                    <w:rPr>
                      <w:rFonts w:hint="eastAsia" w:cs="Times New Roman"/>
                      <w:color w:val="auto"/>
                      <w:spacing w:val="-17"/>
                      <w:sz w:val="18"/>
                      <w:szCs w:val="18"/>
                      <w:highlight w:val="none"/>
                      <w:lang w:val="en-US" w:eastAsia="zh-CN"/>
                    </w:rPr>
                    <w:t>46</w:t>
                  </w:r>
                </w:p>
              </w:tc>
              <w:tc>
                <w:tcPr>
                  <w:tcW w:w="176" w:type="pct"/>
                  <w:vMerge w:val="continue"/>
                  <w:vAlign w:val="center"/>
                </w:tcPr>
                <w:p w14:paraId="543A3BDA">
                  <w:pPr>
                    <w:spacing w:line="220" w:lineRule="exact"/>
                    <w:jc w:val="center"/>
                    <w:rPr>
                      <w:rFonts w:hint="eastAsia" w:ascii="Times New Roman" w:hAnsi="Times New Roman" w:cs="Times New Roman"/>
                      <w:color w:val="auto"/>
                      <w:spacing w:val="-17"/>
                      <w:kern w:val="2"/>
                      <w:sz w:val="18"/>
                      <w:szCs w:val="18"/>
                      <w:lang w:val="en-US" w:eastAsia="zh-CN" w:bidi="ar-SA"/>
                    </w:rPr>
                  </w:pPr>
                </w:p>
              </w:tc>
              <w:tc>
                <w:tcPr>
                  <w:tcW w:w="211" w:type="pct"/>
                  <w:vMerge w:val="continue"/>
                  <w:vAlign w:val="center"/>
                </w:tcPr>
                <w:p w14:paraId="3861CADA">
                  <w:pPr>
                    <w:spacing w:line="220" w:lineRule="exact"/>
                    <w:jc w:val="center"/>
                    <w:rPr>
                      <w:rFonts w:hint="eastAsia" w:ascii="Times New Roman" w:hAnsi="Times New Roman" w:cs="Times New Roman"/>
                      <w:color w:val="auto"/>
                      <w:spacing w:val="-17"/>
                      <w:sz w:val="18"/>
                      <w:szCs w:val="18"/>
                      <w:lang w:val="en-US" w:eastAsia="zh-CN"/>
                    </w:rPr>
                  </w:pPr>
                </w:p>
              </w:tc>
              <w:tc>
                <w:tcPr>
                  <w:tcW w:w="379" w:type="pct"/>
                  <w:shd w:val="clear" w:color="auto" w:fill="auto"/>
                  <w:vAlign w:val="center"/>
                </w:tcPr>
                <w:p w14:paraId="7E4273D2">
                  <w:pPr>
                    <w:pStyle w:val="71"/>
                    <w:spacing w:line="220" w:lineRule="exact"/>
                    <w:jc w:val="center"/>
                    <w:rPr>
                      <w:rFonts w:hint="eastAsia" w:ascii="Times New Roman" w:hAnsi="Times New Roman" w:eastAsia="宋体" w:cs="Times New Roman"/>
                      <w:color w:val="auto"/>
                      <w:spacing w:val="-17"/>
                      <w:kern w:val="0"/>
                      <w:sz w:val="18"/>
                      <w:szCs w:val="18"/>
                      <w:highlight w:val="none"/>
                      <w:lang w:val="en-US" w:eastAsia="zh-CN" w:bidi="ar-SA"/>
                    </w:rPr>
                  </w:pPr>
                  <w:r>
                    <w:rPr>
                      <w:rFonts w:hint="eastAsia" w:ascii="Times New Roman" w:hAnsi="Times New Roman" w:cs="Times New Roman"/>
                      <w:color w:val="auto"/>
                      <w:spacing w:val="-17"/>
                      <w:sz w:val="18"/>
                      <w:szCs w:val="18"/>
                      <w:highlight w:val="none"/>
                      <w:lang w:val="en-US" w:eastAsia="zh-CN"/>
                    </w:rPr>
                    <w:t>3</w:t>
                  </w:r>
                  <w:r>
                    <w:rPr>
                      <w:rFonts w:hint="eastAsia" w:ascii="Times New Roman" w:hAnsi="Times New Roman" w:eastAsia="宋体" w:cs="Times New Roman"/>
                      <w:color w:val="auto"/>
                      <w:spacing w:val="-17"/>
                      <w:sz w:val="18"/>
                      <w:szCs w:val="18"/>
                      <w:highlight w:val="none"/>
                      <w:vertAlign w:val="superscript"/>
                      <w:lang w:val="en-US" w:eastAsia="zh-CN"/>
                    </w:rPr>
                    <w:t>#</w:t>
                  </w:r>
                  <w:r>
                    <w:rPr>
                      <w:rFonts w:hint="eastAsia" w:ascii="Times New Roman" w:hAnsi="Times New Roman" w:eastAsia="宋体" w:cs="Times New Roman"/>
                      <w:color w:val="auto"/>
                      <w:spacing w:val="-17"/>
                      <w:sz w:val="18"/>
                      <w:szCs w:val="18"/>
                      <w:highlight w:val="none"/>
                      <w:lang w:val="en-US" w:eastAsia="zh-CN"/>
                    </w:rPr>
                    <w:t>球磨机</w:t>
                  </w:r>
                </w:p>
              </w:tc>
              <w:tc>
                <w:tcPr>
                  <w:tcW w:w="193" w:type="pct"/>
                  <w:shd w:val="clear" w:color="auto" w:fill="auto"/>
                  <w:vAlign w:val="center"/>
                </w:tcPr>
                <w:p w14:paraId="62DAE6F2">
                  <w:pPr>
                    <w:pStyle w:val="71"/>
                    <w:spacing w:line="220" w:lineRule="exact"/>
                    <w:jc w:val="center"/>
                    <w:rPr>
                      <w:rFonts w:hint="eastAsia" w:ascii="Times New Roman" w:hAnsi="Times New Roman" w:eastAsia="宋体" w:cs="Times New Roman"/>
                      <w:color w:val="auto"/>
                      <w:spacing w:val="-17"/>
                      <w:kern w:val="0"/>
                      <w:sz w:val="18"/>
                      <w:szCs w:val="18"/>
                      <w:highlight w:val="none"/>
                      <w:lang w:val="en-US" w:eastAsia="zh-CN" w:bidi="ar-SA"/>
                    </w:rPr>
                  </w:pPr>
                  <w:r>
                    <w:rPr>
                      <w:rFonts w:hint="eastAsia" w:ascii="Times New Roman" w:hAnsi="Times New Roman" w:eastAsia="宋体" w:cs="Times New Roman"/>
                      <w:color w:val="auto"/>
                      <w:spacing w:val="-17"/>
                      <w:sz w:val="18"/>
                      <w:szCs w:val="18"/>
                      <w:highlight w:val="none"/>
                      <w:lang w:val="en-US" w:eastAsia="zh-CN"/>
                    </w:rPr>
                    <w:t>1</w:t>
                  </w:r>
                </w:p>
              </w:tc>
              <w:tc>
                <w:tcPr>
                  <w:tcW w:w="250" w:type="pct"/>
                  <w:shd w:val="clear" w:color="auto" w:fill="auto"/>
                  <w:vAlign w:val="center"/>
                </w:tcPr>
                <w:p w14:paraId="2CFDB6D8">
                  <w:pPr>
                    <w:pStyle w:val="71"/>
                    <w:spacing w:line="220" w:lineRule="exact"/>
                    <w:jc w:val="center"/>
                    <w:rPr>
                      <w:rFonts w:hint="default"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90</w:t>
                  </w:r>
                </w:p>
              </w:tc>
              <w:tc>
                <w:tcPr>
                  <w:tcW w:w="314" w:type="pct"/>
                  <w:vMerge w:val="continue"/>
                  <w:vAlign w:val="center"/>
                </w:tcPr>
                <w:p w14:paraId="26DA1A85">
                  <w:pPr>
                    <w:spacing w:line="220" w:lineRule="exact"/>
                    <w:jc w:val="center"/>
                    <w:rPr>
                      <w:rFonts w:hint="eastAsia"/>
                      <w:color w:val="auto"/>
                      <w:spacing w:val="-17"/>
                      <w:sz w:val="18"/>
                      <w:szCs w:val="18"/>
                      <w:lang w:val="en-US" w:eastAsia="zh-CN"/>
                    </w:rPr>
                  </w:pPr>
                </w:p>
              </w:tc>
              <w:tc>
                <w:tcPr>
                  <w:tcW w:w="172" w:type="pct"/>
                  <w:shd w:val="clear" w:color="auto" w:fill="FFFFFF"/>
                  <w:vAlign w:val="center"/>
                </w:tcPr>
                <w:p w14:paraId="581191C3">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23.5</w:t>
                  </w:r>
                </w:p>
              </w:tc>
              <w:tc>
                <w:tcPr>
                  <w:tcW w:w="202" w:type="pct"/>
                  <w:shd w:val="clear" w:color="auto" w:fill="FFFFFF"/>
                  <w:vAlign w:val="center"/>
                </w:tcPr>
                <w:p w14:paraId="5AD208C0">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3.1</w:t>
                  </w:r>
                </w:p>
              </w:tc>
              <w:tc>
                <w:tcPr>
                  <w:tcW w:w="202" w:type="pct"/>
                  <w:shd w:val="clear" w:color="auto" w:fill="FFFFFF"/>
                  <w:vAlign w:val="center"/>
                </w:tcPr>
                <w:p w14:paraId="7977C9AB">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53.6</w:t>
                  </w:r>
                </w:p>
              </w:tc>
              <w:tc>
                <w:tcPr>
                  <w:tcW w:w="211" w:type="pct"/>
                  <w:shd w:val="clear" w:color="auto" w:fill="FFFFFF"/>
                  <w:vAlign w:val="center"/>
                </w:tcPr>
                <w:p w14:paraId="53766936">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11.9</w:t>
                  </w:r>
                </w:p>
              </w:tc>
              <w:tc>
                <w:tcPr>
                  <w:tcW w:w="194" w:type="pct"/>
                  <w:shd w:val="clear" w:color="auto" w:fill="FFFFFF"/>
                  <w:vAlign w:val="center"/>
                </w:tcPr>
                <w:p w14:paraId="702D3528">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59.6</w:t>
                  </w:r>
                </w:p>
              </w:tc>
              <w:tc>
                <w:tcPr>
                  <w:tcW w:w="193" w:type="pct"/>
                  <w:shd w:val="clear" w:color="auto" w:fill="FFFFFF"/>
                  <w:vAlign w:val="center"/>
                </w:tcPr>
                <w:p w14:paraId="4F61B341">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69.6</w:t>
                  </w:r>
                </w:p>
              </w:tc>
              <w:tc>
                <w:tcPr>
                  <w:tcW w:w="219" w:type="pct"/>
                  <w:shd w:val="clear" w:color="auto" w:fill="FFFFFF"/>
                  <w:vAlign w:val="center"/>
                </w:tcPr>
                <w:p w14:paraId="3D9B123A">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59.1</w:t>
                  </w:r>
                </w:p>
              </w:tc>
              <w:tc>
                <w:tcPr>
                  <w:tcW w:w="232" w:type="pct"/>
                  <w:shd w:val="clear" w:color="auto" w:fill="FFFFFF"/>
                  <w:vAlign w:val="center"/>
                </w:tcPr>
                <w:p w14:paraId="09060BA7">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61.3</w:t>
                  </w:r>
                </w:p>
              </w:tc>
              <w:tc>
                <w:tcPr>
                  <w:tcW w:w="262" w:type="pct"/>
                  <w:vMerge w:val="continue"/>
                  <w:vAlign w:val="center"/>
                </w:tcPr>
                <w:p w14:paraId="2FA3AFFD">
                  <w:pPr>
                    <w:spacing w:line="220" w:lineRule="exact"/>
                    <w:jc w:val="center"/>
                    <w:rPr>
                      <w:rFonts w:hint="default" w:ascii="Times New Roman" w:hAnsi="Times New Roman" w:eastAsia="宋体" w:cs="Times New Roman"/>
                      <w:color w:val="auto"/>
                      <w:spacing w:val="-20"/>
                      <w:sz w:val="18"/>
                      <w:szCs w:val="18"/>
                      <w:lang w:val="en-US" w:eastAsia="zh-CN"/>
                    </w:rPr>
                  </w:pPr>
                </w:p>
              </w:tc>
              <w:tc>
                <w:tcPr>
                  <w:tcW w:w="331" w:type="pct"/>
                  <w:vAlign w:val="center"/>
                </w:tcPr>
                <w:p w14:paraId="0B50396A">
                  <w:pPr>
                    <w:pStyle w:val="71"/>
                    <w:spacing w:line="220" w:lineRule="exact"/>
                    <w:jc w:val="center"/>
                    <w:rPr>
                      <w:rFonts w:hint="default" w:ascii="Times New Roman" w:hAnsi="Times New Roman" w:eastAsia="宋体" w:cs="Times New Roman"/>
                      <w:color w:val="auto"/>
                      <w:spacing w:val="-17"/>
                      <w:sz w:val="18"/>
                      <w:szCs w:val="18"/>
                      <w:highlight w:val="none"/>
                      <w:lang w:val="en-US" w:eastAsia="zh-CN"/>
                    </w:rPr>
                  </w:pPr>
                  <w:r>
                    <w:rPr>
                      <w:rFonts w:hint="eastAsia" w:ascii="Times New Roman" w:hAnsi="Times New Roman" w:eastAsia="宋体" w:cs="Times New Roman"/>
                      <w:color w:val="auto"/>
                      <w:spacing w:val="-17"/>
                      <w:sz w:val="18"/>
                      <w:szCs w:val="18"/>
                      <w:highlight w:val="none"/>
                      <w:lang w:val="en-US" w:eastAsia="zh-CN"/>
                    </w:rPr>
                    <w:t>31.0</w:t>
                  </w:r>
                </w:p>
              </w:tc>
              <w:tc>
                <w:tcPr>
                  <w:tcW w:w="159" w:type="pct"/>
                  <w:shd w:val="clear" w:color="auto" w:fill="FFFFFF"/>
                  <w:vAlign w:val="center"/>
                </w:tcPr>
                <w:p w14:paraId="06E5F082">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28.6</w:t>
                  </w:r>
                </w:p>
              </w:tc>
              <w:tc>
                <w:tcPr>
                  <w:tcW w:w="176" w:type="pct"/>
                  <w:shd w:val="clear" w:color="auto" w:fill="FFFFFF"/>
                  <w:vAlign w:val="center"/>
                </w:tcPr>
                <w:p w14:paraId="58D71DB0">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38.6</w:t>
                  </w:r>
                </w:p>
              </w:tc>
              <w:tc>
                <w:tcPr>
                  <w:tcW w:w="168" w:type="pct"/>
                  <w:shd w:val="clear" w:color="auto" w:fill="FFFFFF"/>
                  <w:vAlign w:val="center"/>
                </w:tcPr>
                <w:p w14:paraId="7B09404C">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28.1</w:t>
                  </w:r>
                </w:p>
              </w:tc>
              <w:tc>
                <w:tcPr>
                  <w:tcW w:w="159" w:type="pct"/>
                  <w:shd w:val="clear" w:color="auto" w:fill="FFFFFF"/>
                  <w:vAlign w:val="center"/>
                </w:tcPr>
                <w:p w14:paraId="06F4D44C">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30.3</w:t>
                  </w:r>
                </w:p>
              </w:tc>
              <w:tc>
                <w:tcPr>
                  <w:tcW w:w="411" w:type="pct"/>
                  <w:vAlign w:val="center"/>
                </w:tcPr>
                <w:p w14:paraId="2CDD3F18">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eastAsia" w:ascii="Times New Roman" w:hAnsi="Times New Roman" w:eastAsia="宋体" w:cs="Times New Roman"/>
                      <w:color w:val="auto"/>
                      <w:spacing w:val="-17"/>
                      <w:sz w:val="18"/>
                      <w:szCs w:val="18"/>
                      <w:highlight w:val="none"/>
                      <w:lang w:val="en-US" w:eastAsia="zh-CN"/>
                    </w:rPr>
                    <w:t>1</w:t>
                  </w:r>
                </w:p>
              </w:tc>
            </w:tr>
            <w:tr w14:paraId="143037E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1" w:hRule="exact"/>
                <w:jc w:val="center"/>
              </w:trPr>
              <w:tc>
                <w:tcPr>
                  <w:tcW w:w="176" w:type="pct"/>
                  <w:shd w:val="clear" w:color="auto" w:fill="auto"/>
                  <w:vAlign w:val="center"/>
                </w:tcPr>
                <w:p w14:paraId="0045A964">
                  <w:pPr>
                    <w:spacing w:line="220" w:lineRule="exact"/>
                    <w:jc w:val="center"/>
                    <w:rPr>
                      <w:rFonts w:hint="default" w:ascii="Times New Roman" w:hAnsi="Times New Roman" w:eastAsia="宋体" w:cs="Times New Roman"/>
                      <w:color w:val="auto"/>
                      <w:spacing w:val="-17"/>
                      <w:kern w:val="2"/>
                      <w:sz w:val="18"/>
                      <w:szCs w:val="18"/>
                      <w:highlight w:val="none"/>
                      <w:lang w:val="en-US" w:eastAsia="zh-CN" w:bidi="ar-SA"/>
                    </w:rPr>
                  </w:pPr>
                  <w:r>
                    <w:rPr>
                      <w:rFonts w:hint="eastAsia" w:cs="Times New Roman"/>
                      <w:color w:val="auto"/>
                      <w:spacing w:val="-17"/>
                      <w:kern w:val="2"/>
                      <w:sz w:val="18"/>
                      <w:szCs w:val="18"/>
                      <w:highlight w:val="none"/>
                      <w:lang w:val="en-US" w:eastAsia="zh-CN" w:bidi="ar-SA"/>
                    </w:rPr>
                    <w:t>47</w:t>
                  </w:r>
                </w:p>
              </w:tc>
              <w:tc>
                <w:tcPr>
                  <w:tcW w:w="176" w:type="pct"/>
                  <w:vMerge w:val="continue"/>
                  <w:vAlign w:val="center"/>
                </w:tcPr>
                <w:p w14:paraId="2B86D175">
                  <w:pPr>
                    <w:spacing w:line="220" w:lineRule="exact"/>
                    <w:jc w:val="center"/>
                    <w:rPr>
                      <w:rFonts w:hint="eastAsia" w:ascii="Times New Roman" w:hAnsi="Times New Roman" w:cs="Times New Roman"/>
                      <w:color w:val="auto"/>
                      <w:spacing w:val="-17"/>
                      <w:kern w:val="2"/>
                      <w:sz w:val="18"/>
                      <w:szCs w:val="18"/>
                      <w:lang w:val="en-US" w:eastAsia="zh-CN" w:bidi="ar-SA"/>
                    </w:rPr>
                  </w:pPr>
                </w:p>
              </w:tc>
              <w:tc>
                <w:tcPr>
                  <w:tcW w:w="211" w:type="pct"/>
                  <w:vMerge w:val="continue"/>
                  <w:vAlign w:val="center"/>
                </w:tcPr>
                <w:p w14:paraId="64A02E02">
                  <w:pPr>
                    <w:spacing w:line="220" w:lineRule="exact"/>
                    <w:jc w:val="center"/>
                    <w:rPr>
                      <w:rFonts w:hint="eastAsia" w:ascii="Times New Roman" w:hAnsi="Times New Roman" w:cs="Times New Roman"/>
                      <w:color w:val="auto"/>
                      <w:spacing w:val="-17"/>
                      <w:sz w:val="18"/>
                      <w:szCs w:val="18"/>
                      <w:lang w:val="en-US" w:eastAsia="zh-CN"/>
                    </w:rPr>
                  </w:pPr>
                </w:p>
              </w:tc>
              <w:tc>
                <w:tcPr>
                  <w:tcW w:w="379" w:type="pct"/>
                  <w:shd w:val="clear" w:color="auto" w:fill="auto"/>
                  <w:vAlign w:val="center"/>
                </w:tcPr>
                <w:p w14:paraId="4EFB00F6">
                  <w:pPr>
                    <w:spacing w:line="0" w:lineRule="atLeast"/>
                    <w:jc w:val="center"/>
                    <w:rPr>
                      <w:rFonts w:hint="eastAsia" w:ascii="Times New Roman" w:hAnsi="Times New Roman" w:eastAsia="宋体" w:cs="Times New Roman"/>
                      <w:color w:val="auto"/>
                      <w:spacing w:val="-10"/>
                      <w:kern w:val="2"/>
                      <w:sz w:val="18"/>
                      <w:szCs w:val="18"/>
                      <w:lang w:val="en-US" w:eastAsia="zh-CN" w:bidi="ar-SA"/>
                    </w:rPr>
                  </w:pPr>
                  <w:r>
                    <w:rPr>
                      <w:rFonts w:hint="eastAsia"/>
                      <w:color w:val="auto"/>
                      <w:spacing w:val="-10"/>
                      <w:sz w:val="18"/>
                      <w:szCs w:val="18"/>
                    </w:rPr>
                    <w:t>管道</w:t>
                  </w:r>
                  <w:r>
                    <w:rPr>
                      <w:rFonts w:hint="eastAsia"/>
                      <w:color w:val="auto"/>
                      <w:spacing w:val="-10"/>
                      <w:sz w:val="18"/>
                      <w:szCs w:val="18"/>
                      <w:lang w:val="en-US" w:eastAsia="zh-CN"/>
                    </w:rPr>
                    <w:t>泵</w:t>
                  </w:r>
                </w:p>
              </w:tc>
              <w:tc>
                <w:tcPr>
                  <w:tcW w:w="193" w:type="pct"/>
                  <w:shd w:val="clear" w:color="auto" w:fill="auto"/>
                  <w:vAlign w:val="center"/>
                </w:tcPr>
                <w:p w14:paraId="06D44C82">
                  <w:pPr>
                    <w:spacing w:line="220" w:lineRule="exact"/>
                    <w:jc w:val="center"/>
                    <w:rPr>
                      <w:rFonts w:hint="eastAsia" w:ascii="Times New Roman" w:hAnsi="Times New Roman" w:eastAsia="宋体" w:cs="Times New Roman"/>
                      <w:color w:val="auto"/>
                      <w:spacing w:val="-17"/>
                      <w:kern w:val="2"/>
                      <w:sz w:val="18"/>
                      <w:szCs w:val="18"/>
                      <w:highlight w:val="none"/>
                      <w:lang w:val="en-US" w:eastAsia="zh-CN" w:bidi="ar-SA"/>
                    </w:rPr>
                  </w:pPr>
                  <w:r>
                    <w:rPr>
                      <w:rFonts w:hint="eastAsia"/>
                      <w:color w:val="auto"/>
                      <w:spacing w:val="-17"/>
                      <w:sz w:val="18"/>
                      <w:szCs w:val="18"/>
                      <w:highlight w:val="none"/>
                      <w:lang w:val="en-US" w:eastAsia="zh-CN"/>
                    </w:rPr>
                    <w:t>1</w:t>
                  </w:r>
                </w:p>
              </w:tc>
              <w:tc>
                <w:tcPr>
                  <w:tcW w:w="250" w:type="pct"/>
                  <w:shd w:val="clear" w:color="auto" w:fill="auto"/>
                  <w:vAlign w:val="center"/>
                </w:tcPr>
                <w:p w14:paraId="64921E2E">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75</w:t>
                  </w:r>
                </w:p>
              </w:tc>
              <w:tc>
                <w:tcPr>
                  <w:tcW w:w="314" w:type="pct"/>
                  <w:vMerge w:val="continue"/>
                  <w:vAlign w:val="center"/>
                </w:tcPr>
                <w:p w14:paraId="6E71200E">
                  <w:pPr>
                    <w:spacing w:line="220" w:lineRule="exact"/>
                    <w:jc w:val="center"/>
                    <w:rPr>
                      <w:rFonts w:hint="eastAsia"/>
                      <w:color w:val="auto"/>
                      <w:spacing w:val="-17"/>
                      <w:sz w:val="18"/>
                      <w:szCs w:val="18"/>
                      <w:lang w:val="en-US" w:eastAsia="zh-CN"/>
                    </w:rPr>
                  </w:pPr>
                </w:p>
              </w:tc>
              <w:tc>
                <w:tcPr>
                  <w:tcW w:w="172" w:type="pct"/>
                  <w:shd w:val="clear" w:color="auto" w:fill="FFFFFF"/>
                  <w:vAlign w:val="center"/>
                </w:tcPr>
                <w:p w14:paraId="18466962">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23.6</w:t>
                  </w:r>
                </w:p>
              </w:tc>
              <w:tc>
                <w:tcPr>
                  <w:tcW w:w="202" w:type="pct"/>
                  <w:shd w:val="clear" w:color="auto" w:fill="FFFFFF"/>
                  <w:vAlign w:val="center"/>
                </w:tcPr>
                <w:p w14:paraId="46A372C3">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2.5</w:t>
                  </w:r>
                </w:p>
              </w:tc>
              <w:tc>
                <w:tcPr>
                  <w:tcW w:w="202" w:type="pct"/>
                  <w:shd w:val="clear" w:color="auto" w:fill="FFFFFF"/>
                  <w:vAlign w:val="center"/>
                </w:tcPr>
                <w:p w14:paraId="3F3511DC">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53.5</w:t>
                  </w:r>
                </w:p>
              </w:tc>
              <w:tc>
                <w:tcPr>
                  <w:tcW w:w="211" w:type="pct"/>
                  <w:shd w:val="clear" w:color="auto" w:fill="FFFFFF"/>
                  <w:vAlign w:val="center"/>
                </w:tcPr>
                <w:p w14:paraId="6E71EE1A">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12.5</w:t>
                  </w:r>
                </w:p>
              </w:tc>
              <w:tc>
                <w:tcPr>
                  <w:tcW w:w="194" w:type="pct"/>
                  <w:shd w:val="clear" w:color="auto" w:fill="FFFFFF"/>
                  <w:vAlign w:val="center"/>
                </w:tcPr>
                <w:p w14:paraId="4CCF86B4">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44.6</w:t>
                  </w:r>
                </w:p>
              </w:tc>
              <w:tc>
                <w:tcPr>
                  <w:tcW w:w="193" w:type="pct"/>
                  <w:shd w:val="clear" w:color="auto" w:fill="FFFFFF"/>
                  <w:vAlign w:val="center"/>
                </w:tcPr>
                <w:p w14:paraId="70A94763">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56.3</w:t>
                  </w:r>
                </w:p>
              </w:tc>
              <w:tc>
                <w:tcPr>
                  <w:tcW w:w="219" w:type="pct"/>
                  <w:shd w:val="clear" w:color="auto" w:fill="FFFFFF"/>
                  <w:vAlign w:val="center"/>
                </w:tcPr>
                <w:p w14:paraId="13A030D6">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44.1</w:t>
                  </w:r>
                </w:p>
              </w:tc>
              <w:tc>
                <w:tcPr>
                  <w:tcW w:w="232" w:type="pct"/>
                  <w:shd w:val="clear" w:color="auto" w:fill="FFFFFF"/>
                  <w:vAlign w:val="center"/>
                </w:tcPr>
                <w:p w14:paraId="3D8A7B27">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46.1</w:t>
                  </w:r>
                </w:p>
              </w:tc>
              <w:tc>
                <w:tcPr>
                  <w:tcW w:w="262" w:type="pct"/>
                  <w:vMerge w:val="continue"/>
                  <w:vAlign w:val="center"/>
                </w:tcPr>
                <w:p w14:paraId="13FCF2F5">
                  <w:pPr>
                    <w:spacing w:line="220" w:lineRule="exact"/>
                    <w:jc w:val="center"/>
                    <w:rPr>
                      <w:rFonts w:hint="default" w:ascii="Times New Roman" w:hAnsi="Times New Roman" w:eastAsia="宋体" w:cs="Times New Roman"/>
                      <w:color w:val="auto"/>
                      <w:spacing w:val="-20"/>
                      <w:sz w:val="18"/>
                      <w:szCs w:val="18"/>
                      <w:lang w:val="en-US" w:eastAsia="zh-CN"/>
                    </w:rPr>
                  </w:pPr>
                </w:p>
              </w:tc>
              <w:tc>
                <w:tcPr>
                  <w:tcW w:w="331" w:type="pct"/>
                  <w:vAlign w:val="center"/>
                </w:tcPr>
                <w:p w14:paraId="5AFA5FA6">
                  <w:pPr>
                    <w:pStyle w:val="71"/>
                    <w:spacing w:line="220" w:lineRule="exact"/>
                    <w:jc w:val="center"/>
                    <w:rPr>
                      <w:rFonts w:hint="default" w:ascii="Times New Roman" w:hAnsi="Times New Roman" w:eastAsia="宋体" w:cs="Times New Roman"/>
                      <w:color w:val="auto"/>
                      <w:spacing w:val="-17"/>
                      <w:sz w:val="18"/>
                      <w:szCs w:val="18"/>
                      <w:highlight w:val="none"/>
                      <w:lang w:val="en-US" w:eastAsia="zh-CN"/>
                    </w:rPr>
                  </w:pPr>
                  <w:r>
                    <w:rPr>
                      <w:rFonts w:hint="eastAsia" w:ascii="Times New Roman" w:hAnsi="Times New Roman" w:eastAsia="宋体" w:cs="Times New Roman"/>
                      <w:color w:val="auto"/>
                      <w:spacing w:val="-17"/>
                      <w:sz w:val="18"/>
                      <w:szCs w:val="18"/>
                      <w:highlight w:val="none"/>
                      <w:lang w:val="en-US" w:eastAsia="zh-CN"/>
                    </w:rPr>
                    <w:t>31.0</w:t>
                  </w:r>
                </w:p>
              </w:tc>
              <w:tc>
                <w:tcPr>
                  <w:tcW w:w="159" w:type="pct"/>
                  <w:shd w:val="clear" w:color="auto" w:fill="FFFFFF"/>
                  <w:vAlign w:val="center"/>
                </w:tcPr>
                <w:p w14:paraId="5CB9AC24">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13.6</w:t>
                  </w:r>
                </w:p>
              </w:tc>
              <w:tc>
                <w:tcPr>
                  <w:tcW w:w="176" w:type="pct"/>
                  <w:shd w:val="clear" w:color="auto" w:fill="FFFFFF"/>
                  <w:vAlign w:val="center"/>
                </w:tcPr>
                <w:p w14:paraId="614A80B5">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25.3</w:t>
                  </w:r>
                </w:p>
              </w:tc>
              <w:tc>
                <w:tcPr>
                  <w:tcW w:w="168" w:type="pct"/>
                  <w:shd w:val="clear" w:color="auto" w:fill="FFFFFF"/>
                  <w:vAlign w:val="center"/>
                </w:tcPr>
                <w:p w14:paraId="7382B037">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13.1</w:t>
                  </w:r>
                </w:p>
              </w:tc>
              <w:tc>
                <w:tcPr>
                  <w:tcW w:w="159" w:type="pct"/>
                  <w:shd w:val="clear" w:color="auto" w:fill="FFFFFF"/>
                  <w:vAlign w:val="center"/>
                </w:tcPr>
                <w:p w14:paraId="2243D077">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15.1</w:t>
                  </w:r>
                </w:p>
              </w:tc>
              <w:tc>
                <w:tcPr>
                  <w:tcW w:w="411" w:type="pct"/>
                  <w:vAlign w:val="center"/>
                </w:tcPr>
                <w:p w14:paraId="593E74C7">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eastAsia" w:ascii="Times New Roman" w:hAnsi="Times New Roman" w:eastAsia="宋体" w:cs="Times New Roman"/>
                      <w:color w:val="auto"/>
                      <w:spacing w:val="-17"/>
                      <w:sz w:val="18"/>
                      <w:szCs w:val="18"/>
                      <w:highlight w:val="none"/>
                      <w:lang w:val="en-US" w:eastAsia="zh-CN"/>
                    </w:rPr>
                    <w:t>1</w:t>
                  </w:r>
                </w:p>
              </w:tc>
            </w:tr>
            <w:tr w14:paraId="37133E5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1" w:hRule="exact"/>
                <w:jc w:val="center"/>
              </w:trPr>
              <w:tc>
                <w:tcPr>
                  <w:tcW w:w="176" w:type="pct"/>
                  <w:shd w:val="clear" w:color="auto" w:fill="auto"/>
                  <w:vAlign w:val="center"/>
                </w:tcPr>
                <w:p w14:paraId="1912A4FF">
                  <w:pPr>
                    <w:spacing w:line="220" w:lineRule="exact"/>
                    <w:jc w:val="center"/>
                    <w:rPr>
                      <w:rFonts w:hint="default" w:ascii="Times New Roman" w:hAnsi="Times New Roman" w:eastAsia="宋体" w:cs="Times New Roman"/>
                      <w:color w:val="auto"/>
                      <w:spacing w:val="-17"/>
                      <w:kern w:val="2"/>
                      <w:sz w:val="18"/>
                      <w:szCs w:val="18"/>
                      <w:highlight w:val="none"/>
                      <w:lang w:val="en-US" w:eastAsia="zh-CN" w:bidi="ar-SA"/>
                    </w:rPr>
                  </w:pPr>
                  <w:r>
                    <w:rPr>
                      <w:rFonts w:hint="eastAsia" w:cs="Times New Roman"/>
                      <w:color w:val="auto"/>
                      <w:spacing w:val="-17"/>
                      <w:kern w:val="2"/>
                      <w:sz w:val="18"/>
                      <w:szCs w:val="18"/>
                      <w:highlight w:val="none"/>
                      <w:lang w:val="en-US" w:eastAsia="zh-CN" w:bidi="ar-SA"/>
                    </w:rPr>
                    <w:t>48</w:t>
                  </w:r>
                </w:p>
              </w:tc>
              <w:tc>
                <w:tcPr>
                  <w:tcW w:w="176" w:type="pct"/>
                  <w:vMerge w:val="continue"/>
                  <w:vAlign w:val="center"/>
                </w:tcPr>
                <w:p w14:paraId="17C6ED0D">
                  <w:pPr>
                    <w:spacing w:line="220" w:lineRule="exact"/>
                    <w:jc w:val="center"/>
                    <w:rPr>
                      <w:rFonts w:hint="eastAsia" w:ascii="Times New Roman" w:hAnsi="Times New Roman" w:cs="Times New Roman"/>
                      <w:color w:val="auto"/>
                      <w:spacing w:val="-17"/>
                      <w:kern w:val="2"/>
                      <w:sz w:val="18"/>
                      <w:szCs w:val="18"/>
                      <w:lang w:val="en-US" w:eastAsia="zh-CN" w:bidi="ar-SA"/>
                    </w:rPr>
                  </w:pPr>
                </w:p>
              </w:tc>
              <w:tc>
                <w:tcPr>
                  <w:tcW w:w="211" w:type="pct"/>
                  <w:vMerge w:val="continue"/>
                  <w:vAlign w:val="center"/>
                </w:tcPr>
                <w:p w14:paraId="154D11C3">
                  <w:pPr>
                    <w:spacing w:line="220" w:lineRule="exact"/>
                    <w:jc w:val="center"/>
                    <w:rPr>
                      <w:rFonts w:hint="eastAsia" w:ascii="Times New Roman" w:hAnsi="Times New Roman" w:cs="Times New Roman"/>
                      <w:color w:val="auto"/>
                      <w:spacing w:val="-17"/>
                      <w:sz w:val="18"/>
                      <w:szCs w:val="18"/>
                      <w:lang w:val="en-US" w:eastAsia="zh-CN"/>
                    </w:rPr>
                  </w:pPr>
                </w:p>
              </w:tc>
              <w:tc>
                <w:tcPr>
                  <w:tcW w:w="379" w:type="pct"/>
                  <w:shd w:val="clear" w:color="auto" w:fill="auto"/>
                  <w:vAlign w:val="center"/>
                </w:tcPr>
                <w:p w14:paraId="6AAB6413">
                  <w:pPr>
                    <w:pStyle w:val="71"/>
                    <w:spacing w:line="220" w:lineRule="exact"/>
                    <w:jc w:val="center"/>
                    <w:rPr>
                      <w:rFonts w:hint="eastAsia" w:ascii="Times New Roman" w:hAnsi="Times New Roman" w:eastAsia="宋体" w:cs="Times New Roman"/>
                      <w:color w:val="auto"/>
                      <w:spacing w:val="-17"/>
                      <w:kern w:val="0"/>
                      <w:sz w:val="18"/>
                      <w:szCs w:val="18"/>
                      <w:highlight w:val="none"/>
                      <w:lang w:val="en-US" w:eastAsia="zh-CN" w:bidi="ar-SA"/>
                    </w:rPr>
                  </w:pPr>
                  <w:r>
                    <w:rPr>
                      <w:rFonts w:hint="eastAsia" w:ascii="Times New Roman" w:hAnsi="Times New Roman" w:cs="Times New Roman"/>
                      <w:color w:val="auto"/>
                      <w:spacing w:val="-17"/>
                      <w:sz w:val="18"/>
                      <w:szCs w:val="18"/>
                      <w:highlight w:val="none"/>
                      <w:lang w:val="en-US" w:eastAsia="zh-CN"/>
                    </w:rPr>
                    <w:t>3</w:t>
                  </w:r>
                  <w:r>
                    <w:rPr>
                      <w:rFonts w:hint="eastAsia" w:ascii="Times New Roman" w:hAnsi="Times New Roman" w:eastAsia="宋体" w:cs="Times New Roman"/>
                      <w:color w:val="auto"/>
                      <w:spacing w:val="-17"/>
                      <w:sz w:val="18"/>
                      <w:szCs w:val="18"/>
                      <w:highlight w:val="none"/>
                      <w:vertAlign w:val="superscript"/>
                      <w:lang w:val="en-US" w:eastAsia="zh-CN"/>
                    </w:rPr>
                    <w:t>#</w:t>
                  </w:r>
                  <w:r>
                    <w:rPr>
                      <w:rFonts w:hint="eastAsia" w:ascii="Times New Roman" w:hAnsi="Times New Roman" w:eastAsia="宋体" w:cs="Times New Roman"/>
                      <w:color w:val="auto"/>
                      <w:spacing w:val="-17"/>
                      <w:sz w:val="18"/>
                      <w:szCs w:val="18"/>
                      <w:highlight w:val="none"/>
                      <w:lang w:val="en-US" w:eastAsia="zh-CN"/>
                    </w:rPr>
                    <w:t>磁选机</w:t>
                  </w:r>
                </w:p>
              </w:tc>
              <w:tc>
                <w:tcPr>
                  <w:tcW w:w="193" w:type="pct"/>
                  <w:shd w:val="clear" w:color="auto" w:fill="auto"/>
                  <w:vAlign w:val="center"/>
                </w:tcPr>
                <w:p w14:paraId="07B200B9">
                  <w:pPr>
                    <w:pStyle w:val="71"/>
                    <w:spacing w:line="220" w:lineRule="exact"/>
                    <w:jc w:val="center"/>
                    <w:rPr>
                      <w:rFonts w:hint="eastAsia" w:ascii="Times New Roman" w:hAnsi="Times New Roman" w:eastAsia="宋体" w:cs="Times New Roman"/>
                      <w:color w:val="auto"/>
                      <w:spacing w:val="-17"/>
                      <w:kern w:val="0"/>
                      <w:sz w:val="18"/>
                      <w:szCs w:val="18"/>
                      <w:highlight w:val="none"/>
                      <w:lang w:val="en-US" w:eastAsia="zh-CN" w:bidi="ar-SA"/>
                    </w:rPr>
                  </w:pPr>
                  <w:r>
                    <w:rPr>
                      <w:rFonts w:hint="eastAsia" w:ascii="Times New Roman" w:hAnsi="Times New Roman" w:eastAsia="宋体" w:cs="Times New Roman"/>
                      <w:color w:val="auto"/>
                      <w:spacing w:val="-17"/>
                      <w:sz w:val="18"/>
                      <w:szCs w:val="18"/>
                      <w:highlight w:val="none"/>
                      <w:lang w:val="en-US" w:eastAsia="zh-CN"/>
                    </w:rPr>
                    <w:t>1</w:t>
                  </w:r>
                </w:p>
              </w:tc>
              <w:tc>
                <w:tcPr>
                  <w:tcW w:w="250" w:type="pct"/>
                  <w:shd w:val="clear" w:color="auto" w:fill="auto"/>
                  <w:vAlign w:val="center"/>
                </w:tcPr>
                <w:p w14:paraId="7F35C648">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75</w:t>
                  </w:r>
                </w:p>
              </w:tc>
              <w:tc>
                <w:tcPr>
                  <w:tcW w:w="314" w:type="pct"/>
                  <w:vMerge w:val="continue"/>
                  <w:vAlign w:val="center"/>
                </w:tcPr>
                <w:p w14:paraId="500673E4">
                  <w:pPr>
                    <w:spacing w:line="220" w:lineRule="exact"/>
                    <w:jc w:val="center"/>
                    <w:rPr>
                      <w:rFonts w:hint="eastAsia"/>
                      <w:color w:val="auto"/>
                      <w:spacing w:val="-17"/>
                      <w:sz w:val="18"/>
                      <w:szCs w:val="18"/>
                      <w:lang w:val="en-US" w:eastAsia="zh-CN"/>
                    </w:rPr>
                  </w:pPr>
                </w:p>
              </w:tc>
              <w:tc>
                <w:tcPr>
                  <w:tcW w:w="172" w:type="pct"/>
                  <w:shd w:val="clear" w:color="auto" w:fill="FFFFFF"/>
                  <w:vAlign w:val="center"/>
                </w:tcPr>
                <w:p w14:paraId="1CCEF7B8">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18.3</w:t>
                  </w:r>
                </w:p>
              </w:tc>
              <w:tc>
                <w:tcPr>
                  <w:tcW w:w="202" w:type="pct"/>
                  <w:shd w:val="clear" w:color="auto" w:fill="FFFFFF"/>
                  <w:vAlign w:val="center"/>
                </w:tcPr>
                <w:p w14:paraId="3E661FA0">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3.2</w:t>
                  </w:r>
                </w:p>
              </w:tc>
              <w:tc>
                <w:tcPr>
                  <w:tcW w:w="202" w:type="pct"/>
                  <w:shd w:val="clear" w:color="auto" w:fill="FFFFFF"/>
                  <w:vAlign w:val="center"/>
                </w:tcPr>
                <w:p w14:paraId="24F3E02E">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58.9</w:t>
                  </w:r>
                </w:p>
              </w:tc>
              <w:tc>
                <w:tcPr>
                  <w:tcW w:w="211" w:type="pct"/>
                  <w:shd w:val="clear" w:color="auto" w:fill="FFFFFF"/>
                  <w:vAlign w:val="center"/>
                </w:tcPr>
                <w:p w14:paraId="6ED24B82">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11.8</w:t>
                  </w:r>
                </w:p>
              </w:tc>
              <w:tc>
                <w:tcPr>
                  <w:tcW w:w="194" w:type="pct"/>
                  <w:shd w:val="clear" w:color="auto" w:fill="FFFFFF"/>
                  <w:vAlign w:val="center"/>
                </w:tcPr>
                <w:p w14:paraId="7A56FF13">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45.1</w:t>
                  </w:r>
                </w:p>
              </w:tc>
              <w:tc>
                <w:tcPr>
                  <w:tcW w:w="193" w:type="pct"/>
                  <w:shd w:val="clear" w:color="auto" w:fill="FFFFFF"/>
                  <w:vAlign w:val="center"/>
                </w:tcPr>
                <w:p w14:paraId="618836B5">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54.3</w:t>
                  </w:r>
                </w:p>
              </w:tc>
              <w:tc>
                <w:tcPr>
                  <w:tcW w:w="219" w:type="pct"/>
                  <w:shd w:val="clear" w:color="auto" w:fill="FFFFFF"/>
                  <w:vAlign w:val="center"/>
                </w:tcPr>
                <w:p w14:paraId="5B8F7AE1">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44</w:t>
                  </w:r>
                </w:p>
              </w:tc>
              <w:tc>
                <w:tcPr>
                  <w:tcW w:w="232" w:type="pct"/>
                  <w:shd w:val="clear" w:color="auto" w:fill="FFFFFF"/>
                  <w:vAlign w:val="center"/>
                </w:tcPr>
                <w:p w14:paraId="769E07B0">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46.3</w:t>
                  </w:r>
                </w:p>
              </w:tc>
              <w:tc>
                <w:tcPr>
                  <w:tcW w:w="262" w:type="pct"/>
                  <w:vMerge w:val="continue"/>
                  <w:vAlign w:val="center"/>
                </w:tcPr>
                <w:p w14:paraId="6785B907">
                  <w:pPr>
                    <w:spacing w:line="220" w:lineRule="exact"/>
                    <w:jc w:val="center"/>
                    <w:rPr>
                      <w:rFonts w:hint="default" w:ascii="Times New Roman" w:hAnsi="Times New Roman" w:eastAsia="宋体" w:cs="Times New Roman"/>
                      <w:color w:val="auto"/>
                      <w:spacing w:val="-20"/>
                      <w:sz w:val="18"/>
                      <w:szCs w:val="18"/>
                      <w:lang w:val="en-US" w:eastAsia="zh-CN"/>
                    </w:rPr>
                  </w:pPr>
                </w:p>
              </w:tc>
              <w:tc>
                <w:tcPr>
                  <w:tcW w:w="331" w:type="pct"/>
                  <w:vAlign w:val="center"/>
                </w:tcPr>
                <w:p w14:paraId="14D16290">
                  <w:pPr>
                    <w:pStyle w:val="71"/>
                    <w:spacing w:line="220" w:lineRule="exact"/>
                    <w:jc w:val="center"/>
                    <w:rPr>
                      <w:rFonts w:hint="default" w:ascii="Times New Roman" w:hAnsi="Times New Roman" w:eastAsia="宋体" w:cs="Times New Roman"/>
                      <w:color w:val="auto"/>
                      <w:spacing w:val="-17"/>
                      <w:sz w:val="18"/>
                      <w:szCs w:val="18"/>
                      <w:highlight w:val="none"/>
                      <w:lang w:val="en-US" w:eastAsia="zh-CN"/>
                    </w:rPr>
                  </w:pPr>
                  <w:r>
                    <w:rPr>
                      <w:rFonts w:hint="eastAsia" w:ascii="Times New Roman" w:hAnsi="Times New Roman" w:eastAsia="宋体" w:cs="Times New Roman"/>
                      <w:color w:val="auto"/>
                      <w:spacing w:val="-17"/>
                      <w:sz w:val="18"/>
                      <w:szCs w:val="18"/>
                      <w:highlight w:val="none"/>
                      <w:lang w:val="en-US" w:eastAsia="zh-CN"/>
                    </w:rPr>
                    <w:t>31.0</w:t>
                  </w:r>
                </w:p>
              </w:tc>
              <w:tc>
                <w:tcPr>
                  <w:tcW w:w="159" w:type="pct"/>
                  <w:shd w:val="clear" w:color="auto" w:fill="FFFFFF"/>
                  <w:vAlign w:val="center"/>
                </w:tcPr>
                <w:p w14:paraId="1BA9B480">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14.1</w:t>
                  </w:r>
                </w:p>
              </w:tc>
              <w:tc>
                <w:tcPr>
                  <w:tcW w:w="176" w:type="pct"/>
                  <w:shd w:val="clear" w:color="auto" w:fill="FFFFFF"/>
                  <w:vAlign w:val="center"/>
                </w:tcPr>
                <w:p w14:paraId="191604AB">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23.3</w:t>
                  </w:r>
                </w:p>
              </w:tc>
              <w:tc>
                <w:tcPr>
                  <w:tcW w:w="168" w:type="pct"/>
                  <w:shd w:val="clear" w:color="auto" w:fill="FFFFFF"/>
                  <w:vAlign w:val="center"/>
                </w:tcPr>
                <w:p w14:paraId="71FEF3D5">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13</w:t>
                  </w:r>
                </w:p>
              </w:tc>
              <w:tc>
                <w:tcPr>
                  <w:tcW w:w="159" w:type="pct"/>
                  <w:shd w:val="clear" w:color="auto" w:fill="FFFFFF"/>
                  <w:vAlign w:val="center"/>
                </w:tcPr>
                <w:p w14:paraId="7227B531">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15.3</w:t>
                  </w:r>
                </w:p>
              </w:tc>
              <w:tc>
                <w:tcPr>
                  <w:tcW w:w="411" w:type="pct"/>
                  <w:vAlign w:val="center"/>
                </w:tcPr>
                <w:p w14:paraId="436456E3">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eastAsia" w:ascii="Times New Roman" w:hAnsi="Times New Roman" w:eastAsia="宋体" w:cs="Times New Roman"/>
                      <w:color w:val="auto"/>
                      <w:spacing w:val="-17"/>
                      <w:sz w:val="18"/>
                      <w:szCs w:val="18"/>
                      <w:highlight w:val="none"/>
                      <w:lang w:val="en-US" w:eastAsia="zh-CN"/>
                    </w:rPr>
                    <w:t>1</w:t>
                  </w:r>
                </w:p>
              </w:tc>
            </w:tr>
            <w:tr w14:paraId="58566DC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1" w:hRule="exact"/>
                <w:jc w:val="center"/>
              </w:trPr>
              <w:tc>
                <w:tcPr>
                  <w:tcW w:w="176" w:type="pct"/>
                  <w:shd w:val="clear" w:color="auto" w:fill="auto"/>
                  <w:vAlign w:val="center"/>
                </w:tcPr>
                <w:p w14:paraId="7FBC9BA4">
                  <w:pPr>
                    <w:spacing w:line="220" w:lineRule="exact"/>
                    <w:jc w:val="center"/>
                    <w:rPr>
                      <w:rFonts w:hint="default" w:ascii="Times New Roman" w:hAnsi="Times New Roman" w:eastAsia="宋体" w:cs="Times New Roman"/>
                      <w:color w:val="auto"/>
                      <w:spacing w:val="-17"/>
                      <w:kern w:val="2"/>
                      <w:sz w:val="18"/>
                      <w:szCs w:val="18"/>
                      <w:highlight w:val="none"/>
                      <w:lang w:val="en-US" w:eastAsia="zh-CN" w:bidi="ar-SA"/>
                    </w:rPr>
                  </w:pPr>
                  <w:r>
                    <w:rPr>
                      <w:rFonts w:hint="eastAsia" w:cs="Times New Roman"/>
                      <w:color w:val="auto"/>
                      <w:spacing w:val="-17"/>
                      <w:sz w:val="18"/>
                      <w:szCs w:val="18"/>
                      <w:highlight w:val="none"/>
                      <w:lang w:val="en-US" w:eastAsia="zh-CN"/>
                    </w:rPr>
                    <w:t>49</w:t>
                  </w:r>
                </w:p>
              </w:tc>
              <w:tc>
                <w:tcPr>
                  <w:tcW w:w="176" w:type="pct"/>
                  <w:vMerge w:val="continue"/>
                  <w:vAlign w:val="center"/>
                </w:tcPr>
                <w:p w14:paraId="3C7D0F80">
                  <w:pPr>
                    <w:spacing w:line="220" w:lineRule="exact"/>
                    <w:jc w:val="center"/>
                    <w:rPr>
                      <w:rFonts w:hint="default" w:ascii="Times New Roman" w:hAnsi="Times New Roman" w:cs="Times New Roman"/>
                      <w:color w:val="auto"/>
                      <w:spacing w:val="-17"/>
                      <w:kern w:val="2"/>
                      <w:sz w:val="18"/>
                      <w:szCs w:val="18"/>
                      <w:lang w:val="en-US" w:eastAsia="zh-CN" w:bidi="ar-SA"/>
                    </w:rPr>
                  </w:pPr>
                </w:p>
              </w:tc>
              <w:tc>
                <w:tcPr>
                  <w:tcW w:w="211" w:type="pct"/>
                  <w:vMerge w:val="continue"/>
                  <w:vAlign w:val="center"/>
                </w:tcPr>
                <w:p w14:paraId="0635ECAF">
                  <w:pPr>
                    <w:spacing w:line="220" w:lineRule="exact"/>
                    <w:jc w:val="center"/>
                    <w:rPr>
                      <w:rFonts w:hint="eastAsia" w:ascii="Times New Roman" w:hAnsi="Times New Roman" w:cs="Times New Roman"/>
                      <w:color w:val="auto"/>
                      <w:spacing w:val="-17"/>
                      <w:sz w:val="18"/>
                      <w:szCs w:val="18"/>
                      <w:lang w:val="en-US" w:eastAsia="zh-CN"/>
                    </w:rPr>
                  </w:pPr>
                </w:p>
              </w:tc>
              <w:tc>
                <w:tcPr>
                  <w:tcW w:w="379" w:type="pct"/>
                  <w:shd w:val="clear" w:color="auto" w:fill="auto"/>
                  <w:vAlign w:val="center"/>
                </w:tcPr>
                <w:p w14:paraId="6F813730">
                  <w:pPr>
                    <w:pStyle w:val="71"/>
                    <w:spacing w:line="220" w:lineRule="exact"/>
                    <w:jc w:val="center"/>
                    <w:rPr>
                      <w:rFonts w:hint="eastAsia" w:ascii="Times New Roman" w:hAnsi="Times New Roman" w:eastAsia="宋体" w:cs="Times New Roman"/>
                      <w:color w:val="auto"/>
                      <w:spacing w:val="-17"/>
                      <w:kern w:val="0"/>
                      <w:sz w:val="18"/>
                      <w:szCs w:val="18"/>
                      <w:highlight w:val="none"/>
                      <w:lang w:val="en-US" w:eastAsia="zh-CN" w:bidi="ar-SA"/>
                    </w:rPr>
                  </w:pPr>
                  <w:r>
                    <w:rPr>
                      <w:rFonts w:hint="eastAsia" w:ascii="Times New Roman" w:hAnsi="Times New Roman" w:eastAsia="宋体" w:cs="Times New Roman"/>
                      <w:color w:val="auto"/>
                      <w:spacing w:val="-17"/>
                      <w:sz w:val="18"/>
                      <w:szCs w:val="18"/>
                      <w:highlight w:val="none"/>
                      <w:lang w:val="en-US" w:eastAsia="zh-CN"/>
                    </w:rPr>
                    <w:t>1</w:t>
                  </w:r>
                  <w:r>
                    <w:rPr>
                      <w:rFonts w:hint="eastAsia" w:ascii="Times New Roman" w:hAnsi="Times New Roman" w:eastAsia="宋体" w:cs="Times New Roman"/>
                      <w:color w:val="auto"/>
                      <w:spacing w:val="-17"/>
                      <w:sz w:val="18"/>
                      <w:szCs w:val="18"/>
                      <w:highlight w:val="none"/>
                      <w:vertAlign w:val="superscript"/>
                      <w:lang w:val="en-US" w:eastAsia="zh-CN"/>
                    </w:rPr>
                    <w:t>#</w:t>
                  </w:r>
                  <w:r>
                    <w:rPr>
                      <w:rFonts w:hint="eastAsia" w:ascii="Times New Roman" w:hAnsi="Times New Roman" w:cs="Times New Roman"/>
                      <w:color w:val="auto"/>
                      <w:spacing w:val="-10"/>
                      <w:sz w:val="18"/>
                      <w:szCs w:val="18"/>
                      <w:highlight w:val="none"/>
                      <w:lang w:val="en-US" w:eastAsia="zh-CN"/>
                    </w:rPr>
                    <w:t>过滤机</w:t>
                  </w:r>
                </w:p>
              </w:tc>
              <w:tc>
                <w:tcPr>
                  <w:tcW w:w="193" w:type="pct"/>
                  <w:shd w:val="clear" w:color="auto" w:fill="auto"/>
                  <w:vAlign w:val="center"/>
                </w:tcPr>
                <w:p w14:paraId="24521195">
                  <w:pPr>
                    <w:spacing w:line="220" w:lineRule="exact"/>
                    <w:jc w:val="center"/>
                    <w:rPr>
                      <w:rFonts w:hint="eastAsia" w:ascii="Times New Roman" w:hAnsi="Times New Roman" w:eastAsia="宋体" w:cs="Times New Roman"/>
                      <w:color w:val="auto"/>
                      <w:spacing w:val="-17"/>
                      <w:kern w:val="2"/>
                      <w:sz w:val="18"/>
                      <w:szCs w:val="18"/>
                      <w:highlight w:val="none"/>
                      <w:lang w:val="en-US" w:eastAsia="zh-CN" w:bidi="ar-SA"/>
                    </w:rPr>
                  </w:pPr>
                  <w:r>
                    <w:rPr>
                      <w:rFonts w:hint="eastAsia"/>
                      <w:color w:val="auto"/>
                      <w:spacing w:val="-17"/>
                      <w:sz w:val="18"/>
                      <w:szCs w:val="18"/>
                      <w:highlight w:val="none"/>
                      <w:lang w:val="en-US" w:eastAsia="zh-CN"/>
                    </w:rPr>
                    <w:t>1</w:t>
                  </w:r>
                </w:p>
              </w:tc>
              <w:tc>
                <w:tcPr>
                  <w:tcW w:w="250" w:type="pct"/>
                  <w:shd w:val="clear" w:color="auto" w:fill="auto"/>
                  <w:vAlign w:val="center"/>
                </w:tcPr>
                <w:p w14:paraId="58A419F9">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75</w:t>
                  </w:r>
                </w:p>
              </w:tc>
              <w:tc>
                <w:tcPr>
                  <w:tcW w:w="314" w:type="pct"/>
                  <w:vMerge w:val="continue"/>
                  <w:vAlign w:val="center"/>
                </w:tcPr>
                <w:p w14:paraId="26BFDB1E">
                  <w:pPr>
                    <w:spacing w:line="220" w:lineRule="exact"/>
                    <w:jc w:val="center"/>
                    <w:rPr>
                      <w:rFonts w:hint="eastAsia"/>
                      <w:color w:val="auto"/>
                      <w:spacing w:val="-17"/>
                      <w:sz w:val="18"/>
                      <w:szCs w:val="18"/>
                      <w:lang w:val="en-US" w:eastAsia="zh-CN"/>
                    </w:rPr>
                  </w:pPr>
                </w:p>
              </w:tc>
              <w:tc>
                <w:tcPr>
                  <w:tcW w:w="172" w:type="pct"/>
                  <w:shd w:val="clear" w:color="auto" w:fill="FFFFFF"/>
                  <w:vAlign w:val="center"/>
                </w:tcPr>
                <w:p w14:paraId="0D184514">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11.6</w:t>
                  </w:r>
                </w:p>
              </w:tc>
              <w:tc>
                <w:tcPr>
                  <w:tcW w:w="202" w:type="pct"/>
                  <w:shd w:val="clear" w:color="auto" w:fill="FFFFFF"/>
                  <w:vAlign w:val="center"/>
                </w:tcPr>
                <w:p w14:paraId="0925A8C6">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5.5</w:t>
                  </w:r>
                </w:p>
              </w:tc>
              <w:tc>
                <w:tcPr>
                  <w:tcW w:w="202" w:type="pct"/>
                  <w:shd w:val="clear" w:color="auto" w:fill="FFFFFF"/>
                  <w:vAlign w:val="center"/>
                </w:tcPr>
                <w:p w14:paraId="0F516E32">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65.5</w:t>
                  </w:r>
                </w:p>
              </w:tc>
              <w:tc>
                <w:tcPr>
                  <w:tcW w:w="211" w:type="pct"/>
                  <w:shd w:val="clear" w:color="auto" w:fill="FFFFFF"/>
                  <w:vAlign w:val="center"/>
                </w:tcPr>
                <w:p w14:paraId="48B2429B">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9.5</w:t>
                  </w:r>
                </w:p>
              </w:tc>
              <w:tc>
                <w:tcPr>
                  <w:tcW w:w="194" w:type="pct"/>
                  <w:shd w:val="clear" w:color="auto" w:fill="FFFFFF"/>
                  <w:vAlign w:val="center"/>
                </w:tcPr>
                <w:p w14:paraId="45F42968">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46.4</w:t>
                  </w:r>
                </w:p>
              </w:tc>
              <w:tc>
                <w:tcPr>
                  <w:tcW w:w="193" w:type="pct"/>
                  <w:shd w:val="clear" w:color="auto" w:fill="FFFFFF"/>
                  <w:vAlign w:val="center"/>
                </w:tcPr>
                <w:p w14:paraId="60922F67">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50.3</w:t>
                  </w:r>
                </w:p>
              </w:tc>
              <w:tc>
                <w:tcPr>
                  <w:tcW w:w="219" w:type="pct"/>
                  <w:shd w:val="clear" w:color="auto" w:fill="FFFFFF"/>
                  <w:vAlign w:val="center"/>
                </w:tcPr>
                <w:p w14:paraId="3502B3BA">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44</w:t>
                  </w:r>
                </w:p>
              </w:tc>
              <w:tc>
                <w:tcPr>
                  <w:tcW w:w="232" w:type="pct"/>
                  <w:shd w:val="clear" w:color="auto" w:fill="FFFFFF"/>
                  <w:vAlign w:val="center"/>
                </w:tcPr>
                <w:p w14:paraId="5B82059E">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47.2</w:t>
                  </w:r>
                </w:p>
              </w:tc>
              <w:tc>
                <w:tcPr>
                  <w:tcW w:w="262" w:type="pct"/>
                  <w:vMerge w:val="continue"/>
                  <w:vAlign w:val="center"/>
                </w:tcPr>
                <w:p w14:paraId="3129F2AF">
                  <w:pPr>
                    <w:pStyle w:val="71"/>
                    <w:spacing w:line="220" w:lineRule="exact"/>
                    <w:jc w:val="center"/>
                    <w:rPr>
                      <w:rFonts w:hint="default" w:ascii="Times New Roman" w:hAnsi="Times New Roman" w:eastAsia="宋体" w:cs="Calibri"/>
                      <w:color w:val="auto"/>
                      <w:spacing w:val="-17"/>
                      <w:kern w:val="0"/>
                      <w:sz w:val="18"/>
                      <w:szCs w:val="18"/>
                      <w:lang w:val="en-US" w:eastAsia="zh-CN" w:bidi="ar-SA"/>
                    </w:rPr>
                  </w:pPr>
                </w:p>
              </w:tc>
              <w:tc>
                <w:tcPr>
                  <w:tcW w:w="331" w:type="pct"/>
                  <w:vAlign w:val="center"/>
                </w:tcPr>
                <w:p w14:paraId="7C133F6E">
                  <w:pPr>
                    <w:pStyle w:val="71"/>
                    <w:spacing w:line="220" w:lineRule="exact"/>
                    <w:jc w:val="center"/>
                    <w:rPr>
                      <w:rFonts w:hint="default" w:ascii="Times New Roman" w:hAnsi="Times New Roman" w:eastAsia="宋体" w:cs="Times New Roman"/>
                      <w:color w:val="auto"/>
                      <w:spacing w:val="-17"/>
                      <w:sz w:val="18"/>
                      <w:szCs w:val="18"/>
                      <w:highlight w:val="none"/>
                      <w:lang w:val="en-US" w:eastAsia="zh-CN"/>
                    </w:rPr>
                  </w:pPr>
                  <w:r>
                    <w:rPr>
                      <w:rFonts w:hint="eastAsia" w:ascii="Times New Roman" w:hAnsi="Times New Roman" w:eastAsia="宋体" w:cs="Times New Roman"/>
                      <w:color w:val="auto"/>
                      <w:spacing w:val="-17"/>
                      <w:sz w:val="18"/>
                      <w:szCs w:val="18"/>
                      <w:highlight w:val="none"/>
                      <w:lang w:val="en-US" w:eastAsia="zh-CN"/>
                    </w:rPr>
                    <w:t>31.0</w:t>
                  </w:r>
                </w:p>
              </w:tc>
              <w:tc>
                <w:tcPr>
                  <w:tcW w:w="159" w:type="pct"/>
                  <w:shd w:val="clear" w:color="auto" w:fill="FFFFFF"/>
                  <w:vAlign w:val="center"/>
                </w:tcPr>
                <w:p w14:paraId="6C5AE342">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15.4</w:t>
                  </w:r>
                </w:p>
              </w:tc>
              <w:tc>
                <w:tcPr>
                  <w:tcW w:w="176" w:type="pct"/>
                  <w:shd w:val="clear" w:color="auto" w:fill="FFFFFF"/>
                  <w:vAlign w:val="center"/>
                </w:tcPr>
                <w:p w14:paraId="3D31FAD6">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19.3</w:t>
                  </w:r>
                </w:p>
              </w:tc>
              <w:tc>
                <w:tcPr>
                  <w:tcW w:w="168" w:type="pct"/>
                  <w:shd w:val="clear" w:color="auto" w:fill="FFFFFF"/>
                  <w:vAlign w:val="center"/>
                </w:tcPr>
                <w:p w14:paraId="753EAFC7">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13</w:t>
                  </w:r>
                </w:p>
              </w:tc>
              <w:tc>
                <w:tcPr>
                  <w:tcW w:w="159" w:type="pct"/>
                  <w:shd w:val="clear" w:color="auto" w:fill="FFFFFF"/>
                  <w:vAlign w:val="center"/>
                </w:tcPr>
                <w:p w14:paraId="422BDC82">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16.2</w:t>
                  </w:r>
                </w:p>
              </w:tc>
              <w:tc>
                <w:tcPr>
                  <w:tcW w:w="411" w:type="pct"/>
                  <w:vAlign w:val="center"/>
                </w:tcPr>
                <w:p w14:paraId="6846D5A4">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1</w:t>
                  </w:r>
                </w:p>
              </w:tc>
            </w:tr>
            <w:tr w14:paraId="5E2A8C3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1" w:hRule="exact"/>
                <w:jc w:val="center"/>
              </w:trPr>
              <w:tc>
                <w:tcPr>
                  <w:tcW w:w="176" w:type="pct"/>
                  <w:shd w:val="clear" w:color="auto" w:fill="auto"/>
                  <w:vAlign w:val="center"/>
                </w:tcPr>
                <w:p w14:paraId="1680241C">
                  <w:pPr>
                    <w:spacing w:line="220" w:lineRule="exact"/>
                    <w:jc w:val="center"/>
                    <w:rPr>
                      <w:rFonts w:hint="default" w:ascii="Times New Roman" w:hAnsi="Times New Roman" w:eastAsia="宋体" w:cs="Times New Roman"/>
                      <w:color w:val="auto"/>
                      <w:spacing w:val="-17"/>
                      <w:kern w:val="2"/>
                      <w:sz w:val="18"/>
                      <w:szCs w:val="18"/>
                      <w:highlight w:val="none"/>
                      <w:lang w:val="en-US" w:eastAsia="zh-CN" w:bidi="ar-SA"/>
                    </w:rPr>
                  </w:pPr>
                  <w:r>
                    <w:rPr>
                      <w:rFonts w:hint="eastAsia" w:cs="Times New Roman"/>
                      <w:color w:val="auto"/>
                      <w:spacing w:val="-17"/>
                      <w:sz w:val="18"/>
                      <w:szCs w:val="18"/>
                      <w:highlight w:val="none"/>
                      <w:lang w:val="en-US" w:eastAsia="zh-CN"/>
                    </w:rPr>
                    <w:t>50</w:t>
                  </w:r>
                </w:p>
              </w:tc>
              <w:tc>
                <w:tcPr>
                  <w:tcW w:w="176" w:type="pct"/>
                  <w:vMerge w:val="continue"/>
                  <w:vAlign w:val="center"/>
                </w:tcPr>
                <w:p w14:paraId="7E7EEE7E">
                  <w:pPr>
                    <w:spacing w:line="220" w:lineRule="exact"/>
                    <w:jc w:val="center"/>
                    <w:rPr>
                      <w:rFonts w:hint="eastAsia" w:ascii="Times New Roman" w:hAnsi="Times New Roman" w:cs="Times New Roman"/>
                      <w:color w:val="auto"/>
                      <w:spacing w:val="-17"/>
                      <w:kern w:val="2"/>
                      <w:sz w:val="18"/>
                      <w:szCs w:val="18"/>
                      <w:lang w:val="en-US" w:eastAsia="zh-CN" w:bidi="ar-SA"/>
                    </w:rPr>
                  </w:pPr>
                </w:p>
              </w:tc>
              <w:tc>
                <w:tcPr>
                  <w:tcW w:w="211" w:type="pct"/>
                  <w:vMerge w:val="continue"/>
                  <w:vAlign w:val="center"/>
                </w:tcPr>
                <w:p w14:paraId="302E79A8">
                  <w:pPr>
                    <w:spacing w:line="220" w:lineRule="exact"/>
                    <w:jc w:val="center"/>
                    <w:rPr>
                      <w:rFonts w:hint="eastAsia" w:ascii="Times New Roman" w:hAnsi="Times New Roman" w:cs="Times New Roman"/>
                      <w:color w:val="auto"/>
                      <w:spacing w:val="-17"/>
                      <w:sz w:val="18"/>
                      <w:szCs w:val="18"/>
                      <w:lang w:val="en-US" w:eastAsia="zh-CN"/>
                    </w:rPr>
                  </w:pPr>
                </w:p>
              </w:tc>
              <w:tc>
                <w:tcPr>
                  <w:tcW w:w="379" w:type="pct"/>
                  <w:shd w:val="clear" w:color="auto" w:fill="auto"/>
                  <w:vAlign w:val="center"/>
                </w:tcPr>
                <w:p w14:paraId="358DC8B7">
                  <w:pPr>
                    <w:pStyle w:val="71"/>
                    <w:spacing w:line="220" w:lineRule="exact"/>
                    <w:jc w:val="center"/>
                    <w:rPr>
                      <w:rFonts w:hint="eastAsia" w:ascii="Times New Roman" w:hAnsi="Times New Roman" w:eastAsia="宋体" w:cs="Times New Roman"/>
                      <w:color w:val="auto"/>
                      <w:spacing w:val="-17"/>
                      <w:kern w:val="0"/>
                      <w:sz w:val="18"/>
                      <w:szCs w:val="18"/>
                      <w:highlight w:val="none"/>
                      <w:lang w:val="en-US" w:eastAsia="zh-CN" w:bidi="ar-SA"/>
                    </w:rPr>
                  </w:pPr>
                  <w:r>
                    <w:rPr>
                      <w:rFonts w:hint="eastAsia" w:ascii="Times New Roman" w:hAnsi="Times New Roman" w:eastAsia="宋体" w:cs="Times New Roman"/>
                      <w:color w:val="auto"/>
                      <w:spacing w:val="-17"/>
                      <w:sz w:val="18"/>
                      <w:szCs w:val="18"/>
                      <w:highlight w:val="none"/>
                      <w:lang w:val="en-US" w:eastAsia="zh-CN"/>
                    </w:rPr>
                    <w:t>1</w:t>
                  </w:r>
                  <w:r>
                    <w:rPr>
                      <w:rFonts w:hint="eastAsia" w:ascii="Times New Roman" w:hAnsi="Times New Roman" w:eastAsia="宋体" w:cs="Times New Roman"/>
                      <w:color w:val="auto"/>
                      <w:spacing w:val="-17"/>
                      <w:sz w:val="18"/>
                      <w:szCs w:val="18"/>
                      <w:highlight w:val="none"/>
                      <w:vertAlign w:val="superscript"/>
                      <w:lang w:val="en-US" w:eastAsia="zh-CN"/>
                    </w:rPr>
                    <w:t>#</w:t>
                  </w:r>
                  <w:r>
                    <w:rPr>
                      <w:rFonts w:hint="eastAsia" w:ascii="Times New Roman" w:hAnsi="Times New Roman" w:cs="Times New Roman"/>
                      <w:color w:val="auto"/>
                      <w:spacing w:val="-10"/>
                      <w:sz w:val="18"/>
                      <w:szCs w:val="18"/>
                      <w:highlight w:val="none"/>
                      <w:lang w:val="en-US" w:eastAsia="zh-CN"/>
                    </w:rPr>
                    <w:t>脱水筛</w:t>
                  </w:r>
                </w:p>
              </w:tc>
              <w:tc>
                <w:tcPr>
                  <w:tcW w:w="193" w:type="pct"/>
                  <w:shd w:val="clear" w:color="auto" w:fill="auto"/>
                  <w:vAlign w:val="center"/>
                </w:tcPr>
                <w:p w14:paraId="1F1C0330">
                  <w:pPr>
                    <w:spacing w:line="220" w:lineRule="exact"/>
                    <w:jc w:val="center"/>
                    <w:rPr>
                      <w:rFonts w:hint="default" w:ascii="Times New Roman" w:hAnsi="Times New Roman" w:eastAsia="宋体" w:cs="Times New Roman"/>
                      <w:color w:val="auto"/>
                      <w:spacing w:val="-17"/>
                      <w:kern w:val="2"/>
                      <w:sz w:val="18"/>
                      <w:szCs w:val="18"/>
                      <w:highlight w:val="none"/>
                      <w:lang w:val="en-US" w:eastAsia="zh-CN" w:bidi="ar-SA"/>
                    </w:rPr>
                  </w:pPr>
                  <w:r>
                    <w:rPr>
                      <w:rFonts w:hint="eastAsia"/>
                      <w:color w:val="auto"/>
                      <w:spacing w:val="-17"/>
                      <w:sz w:val="18"/>
                      <w:szCs w:val="18"/>
                      <w:highlight w:val="none"/>
                      <w:lang w:val="en-US" w:eastAsia="zh-CN"/>
                    </w:rPr>
                    <w:t>1</w:t>
                  </w:r>
                </w:p>
              </w:tc>
              <w:tc>
                <w:tcPr>
                  <w:tcW w:w="250" w:type="pct"/>
                  <w:shd w:val="clear" w:color="auto" w:fill="auto"/>
                  <w:vAlign w:val="center"/>
                </w:tcPr>
                <w:p w14:paraId="662E659F">
                  <w:pPr>
                    <w:pStyle w:val="71"/>
                    <w:spacing w:line="220" w:lineRule="exact"/>
                    <w:jc w:val="center"/>
                    <w:rPr>
                      <w:rFonts w:hint="default"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85</w:t>
                  </w:r>
                </w:p>
              </w:tc>
              <w:tc>
                <w:tcPr>
                  <w:tcW w:w="314" w:type="pct"/>
                  <w:vMerge w:val="continue"/>
                  <w:vAlign w:val="center"/>
                </w:tcPr>
                <w:p w14:paraId="114F7522">
                  <w:pPr>
                    <w:spacing w:line="220" w:lineRule="exact"/>
                    <w:jc w:val="center"/>
                    <w:rPr>
                      <w:rFonts w:hint="eastAsia"/>
                      <w:color w:val="auto"/>
                      <w:spacing w:val="-17"/>
                      <w:sz w:val="18"/>
                      <w:szCs w:val="18"/>
                      <w:lang w:val="en-US" w:eastAsia="zh-CN"/>
                    </w:rPr>
                  </w:pPr>
                </w:p>
              </w:tc>
              <w:tc>
                <w:tcPr>
                  <w:tcW w:w="172" w:type="pct"/>
                  <w:shd w:val="clear" w:color="auto" w:fill="FFFFFF"/>
                  <w:vAlign w:val="center"/>
                </w:tcPr>
                <w:p w14:paraId="39511166">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10.7</w:t>
                  </w:r>
                </w:p>
              </w:tc>
              <w:tc>
                <w:tcPr>
                  <w:tcW w:w="202" w:type="pct"/>
                  <w:shd w:val="clear" w:color="auto" w:fill="FFFFFF"/>
                  <w:vAlign w:val="center"/>
                </w:tcPr>
                <w:p w14:paraId="5E62BD2C">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2.8</w:t>
                  </w:r>
                </w:p>
              </w:tc>
              <w:tc>
                <w:tcPr>
                  <w:tcW w:w="202" w:type="pct"/>
                  <w:shd w:val="clear" w:color="auto" w:fill="FFFFFF"/>
                  <w:vAlign w:val="center"/>
                </w:tcPr>
                <w:p w14:paraId="3EA2F568">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66.4</w:t>
                  </w:r>
                </w:p>
              </w:tc>
              <w:tc>
                <w:tcPr>
                  <w:tcW w:w="211" w:type="pct"/>
                  <w:shd w:val="clear" w:color="auto" w:fill="FFFFFF"/>
                  <w:vAlign w:val="center"/>
                </w:tcPr>
                <w:p w14:paraId="2C539518">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12.2</w:t>
                  </w:r>
                </w:p>
              </w:tc>
              <w:tc>
                <w:tcPr>
                  <w:tcW w:w="194" w:type="pct"/>
                  <w:shd w:val="clear" w:color="auto" w:fill="FFFFFF"/>
                  <w:vAlign w:val="center"/>
                </w:tcPr>
                <w:p w14:paraId="5F61B522">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56.7</w:t>
                  </w:r>
                </w:p>
              </w:tc>
              <w:tc>
                <w:tcPr>
                  <w:tcW w:w="193" w:type="pct"/>
                  <w:shd w:val="clear" w:color="auto" w:fill="FFFFFF"/>
                  <w:vAlign w:val="center"/>
                </w:tcPr>
                <w:p w14:paraId="0555641E">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65.4</w:t>
                  </w:r>
                </w:p>
              </w:tc>
              <w:tc>
                <w:tcPr>
                  <w:tcW w:w="219" w:type="pct"/>
                  <w:shd w:val="clear" w:color="auto" w:fill="FFFFFF"/>
                  <w:vAlign w:val="center"/>
                </w:tcPr>
                <w:p w14:paraId="3C5FF398">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54</w:t>
                  </w:r>
                </w:p>
              </w:tc>
              <w:tc>
                <w:tcPr>
                  <w:tcW w:w="232" w:type="pct"/>
                  <w:shd w:val="clear" w:color="auto" w:fill="FFFFFF"/>
                  <w:vAlign w:val="center"/>
                </w:tcPr>
                <w:p w14:paraId="58141FD4">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56.2</w:t>
                  </w:r>
                </w:p>
              </w:tc>
              <w:tc>
                <w:tcPr>
                  <w:tcW w:w="262" w:type="pct"/>
                  <w:vMerge w:val="continue"/>
                  <w:vAlign w:val="center"/>
                </w:tcPr>
                <w:p w14:paraId="2F1C7373">
                  <w:pPr>
                    <w:pStyle w:val="71"/>
                    <w:spacing w:line="220" w:lineRule="exact"/>
                    <w:jc w:val="center"/>
                    <w:rPr>
                      <w:rFonts w:hint="default" w:ascii="Times New Roman" w:hAnsi="Times New Roman" w:eastAsia="宋体" w:cs="Calibri"/>
                      <w:color w:val="auto"/>
                      <w:spacing w:val="-17"/>
                      <w:kern w:val="0"/>
                      <w:sz w:val="18"/>
                      <w:szCs w:val="18"/>
                      <w:lang w:val="en-US" w:eastAsia="zh-CN" w:bidi="ar-SA"/>
                    </w:rPr>
                  </w:pPr>
                </w:p>
              </w:tc>
              <w:tc>
                <w:tcPr>
                  <w:tcW w:w="331" w:type="pct"/>
                  <w:vAlign w:val="center"/>
                </w:tcPr>
                <w:p w14:paraId="223319C9">
                  <w:pPr>
                    <w:pStyle w:val="71"/>
                    <w:spacing w:line="220" w:lineRule="exact"/>
                    <w:jc w:val="center"/>
                    <w:rPr>
                      <w:rFonts w:hint="default" w:ascii="Times New Roman" w:hAnsi="Times New Roman" w:eastAsia="宋体" w:cs="Times New Roman"/>
                      <w:color w:val="auto"/>
                      <w:spacing w:val="-17"/>
                      <w:sz w:val="18"/>
                      <w:szCs w:val="18"/>
                      <w:highlight w:val="none"/>
                      <w:lang w:val="en-US" w:eastAsia="zh-CN"/>
                    </w:rPr>
                  </w:pPr>
                  <w:r>
                    <w:rPr>
                      <w:rFonts w:hint="eastAsia" w:ascii="Times New Roman" w:hAnsi="Times New Roman" w:eastAsia="宋体" w:cs="Times New Roman"/>
                      <w:color w:val="auto"/>
                      <w:spacing w:val="-17"/>
                      <w:sz w:val="18"/>
                      <w:szCs w:val="18"/>
                      <w:highlight w:val="none"/>
                      <w:lang w:val="en-US" w:eastAsia="zh-CN"/>
                    </w:rPr>
                    <w:t>31.0</w:t>
                  </w:r>
                </w:p>
              </w:tc>
              <w:tc>
                <w:tcPr>
                  <w:tcW w:w="159" w:type="pct"/>
                  <w:shd w:val="clear" w:color="auto" w:fill="FFFFFF"/>
                  <w:vAlign w:val="center"/>
                </w:tcPr>
                <w:p w14:paraId="60610F20">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25.7</w:t>
                  </w:r>
                </w:p>
              </w:tc>
              <w:tc>
                <w:tcPr>
                  <w:tcW w:w="176" w:type="pct"/>
                  <w:shd w:val="clear" w:color="auto" w:fill="FFFFFF"/>
                  <w:vAlign w:val="center"/>
                </w:tcPr>
                <w:p w14:paraId="016B09D1">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34.4</w:t>
                  </w:r>
                </w:p>
              </w:tc>
              <w:tc>
                <w:tcPr>
                  <w:tcW w:w="168" w:type="pct"/>
                  <w:shd w:val="clear" w:color="auto" w:fill="FFFFFF"/>
                  <w:vAlign w:val="center"/>
                </w:tcPr>
                <w:p w14:paraId="40DA2F8A">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23</w:t>
                  </w:r>
                </w:p>
              </w:tc>
              <w:tc>
                <w:tcPr>
                  <w:tcW w:w="159" w:type="pct"/>
                  <w:shd w:val="clear" w:color="auto" w:fill="FFFFFF"/>
                  <w:vAlign w:val="center"/>
                </w:tcPr>
                <w:p w14:paraId="0DACBDF4">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25.2</w:t>
                  </w:r>
                </w:p>
              </w:tc>
              <w:tc>
                <w:tcPr>
                  <w:tcW w:w="411" w:type="pct"/>
                  <w:vAlign w:val="center"/>
                </w:tcPr>
                <w:p w14:paraId="00562C9A">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1</w:t>
                  </w:r>
                </w:p>
              </w:tc>
            </w:tr>
            <w:tr w14:paraId="537CF86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41" w:hRule="exact"/>
                <w:jc w:val="center"/>
              </w:trPr>
              <w:tc>
                <w:tcPr>
                  <w:tcW w:w="176" w:type="pct"/>
                  <w:shd w:val="clear" w:color="auto" w:fill="auto"/>
                  <w:vAlign w:val="center"/>
                </w:tcPr>
                <w:p w14:paraId="04E14117">
                  <w:pPr>
                    <w:spacing w:line="220" w:lineRule="exact"/>
                    <w:jc w:val="center"/>
                    <w:rPr>
                      <w:rFonts w:hint="default" w:ascii="Times New Roman" w:hAnsi="Times New Roman" w:eastAsia="宋体" w:cs="Times New Roman"/>
                      <w:color w:val="auto"/>
                      <w:spacing w:val="-17"/>
                      <w:kern w:val="2"/>
                      <w:sz w:val="18"/>
                      <w:szCs w:val="18"/>
                      <w:highlight w:val="none"/>
                      <w:lang w:val="en-US" w:eastAsia="zh-CN" w:bidi="ar-SA"/>
                    </w:rPr>
                  </w:pPr>
                  <w:r>
                    <w:rPr>
                      <w:rFonts w:hint="eastAsia" w:cs="Times New Roman"/>
                      <w:color w:val="auto"/>
                      <w:spacing w:val="-17"/>
                      <w:sz w:val="18"/>
                      <w:szCs w:val="18"/>
                      <w:highlight w:val="none"/>
                      <w:lang w:val="en-US" w:eastAsia="zh-CN"/>
                    </w:rPr>
                    <w:t>51</w:t>
                  </w:r>
                </w:p>
              </w:tc>
              <w:tc>
                <w:tcPr>
                  <w:tcW w:w="176" w:type="pct"/>
                  <w:vMerge w:val="continue"/>
                  <w:vAlign w:val="center"/>
                </w:tcPr>
                <w:p w14:paraId="1E82CEBD">
                  <w:pPr>
                    <w:spacing w:line="220" w:lineRule="exact"/>
                    <w:jc w:val="center"/>
                    <w:rPr>
                      <w:rFonts w:hint="eastAsia" w:ascii="Times New Roman" w:hAnsi="Times New Roman" w:cs="Times New Roman"/>
                      <w:color w:val="auto"/>
                      <w:spacing w:val="-17"/>
                      <w:kern w:val="2"/>
                      <w:sz w:val="18"/>
                      <w:szCs w:val="18"/>
                      <w:lang w:val="en-US" w:eastAsia="zh-CN" w:bidi="ar-SA"/>
                    </w:rPr>
                  </w:pPr>
                </w:p>
              </w:tc>
              <w:tc>
                <w:tcPr>
                  <w:tcW w:w="211" w:type="pct"/>
                  <w:vMerge w:val="continue"/>
                  <w:vAlign w:val="center"/>
                </w:tcPr>
                <w:p w14:paraId="3FED4088">
                  <w:pPr>
                    <w:spacing w:line="220" w:lineRule="exact"/>
                    <w:jc w:val="center"/>
                    <w:rPr>
                      <w:rFonts w:hint="eastAsia" w:ascii="Times New Roman" w:hAnsi="Times New Roman" w:cs="Times New Roman"/>
                      <w:color w:val="auto"/>
                      <w:spacing w:val="-17"/>
                      <w:sz w:val="18"/>
                      <w:szCs w:val="18"/>
                      <w:lang w:val="en-US" w:eastAsia="zh-CN"/>
                    </w:rPr>
                  </w:pPr>
                </w:p>
              </w:tc>
              <w:tc>
                <w:tcPr>
                  <w:tcW w:w="379" w:type="pct"/>
                  <w:shd w:val="clear" w:color="auto" w:fill="auto"/>
                  <w:vAlign w:val="center"/>
                </w:tcPr>
                <w:p w14:paraId="038B0567">
                  <w:pPr>
                    <w:pStyle w:val="71"/>
                    <w:spacing w:line="220" w:lineRule="exact"/>
                    <w:jc w:val="center"/>
                    <w:rPr>
                      <w:rFonts w:hint="eastAsia" w:ascii="Times New Roman" w:hAnsi="Times New Roman" w:eastAsia="宋体" w:cs="Times New Roman"/>
                      <w:color w:val="auto"/>
                      <w:spacing w:val="-17"/>
                      <w:kern w:val="0"/>
                      <w:sz w:val="18"/>
                      <w:szCs w:val="18"/>
                      <w:highlight w:val="none"/>
                      <w:lang w:val="en-US" w:eastAsia="zh-CN" w:bidi="ar-SA"/>
                    </w:rPr>
                  </w:pPr>
                  <w:r>
                    <w:rPr>
                      <w:rFonts w:hint="eastAsia" w:ascii="Times New Roman" w:hAnsi="Times New Roman" w:cs="Times New Roman"/>
                      <w:color w:val="auto"/>
                      <w:spacing w:val="-17"/>
                      <w:sz w:val="18"/>
                      <w:szCs w:val="18"/>
                      <w:highlight w:val="none"/>
                      <w:lang w:val="en-US" w:eastAsia="zh-CN"/>
                    </w:rPr>
                    <w:t>1</w:t>
                  </w:r>
                  <w:r>
                    <w:rPr>
                      <w:rFonts w:hint="eastAsia" w:ascii="Times New Roman" w:hAnsi="Times New Roman" w:cs="Times New Roman"/>
                      <w:color w:val="auto"/>
                      <w:spacing w:val="-17"/>
                      <w:sz w:val="18"/>
                      <w:szCs w:val="18"/>
                      <w:highlight w:val="none"/>
                      <w:vertAlign w:val="superscript"/>
                      <w:lang w:val="en-US" w:eastAsia="zh-CN"/>
                    </w:rPr>
                    <w:t>#</w:t>
                  </w:r>
                  <w:r>
                    <w:rPr>
                      <w:rFonts w:hint="eastAsia" w:ascii="Times New Roman" w:hAnsi="Times New Roman" w:cs="Times New Roman"/>
                      <w:color w:val="auto"/>
                      <w:spacing w:val="-17"/>
                      <w:sz w:val="18"/>
                      <w:szCs w:val="18"/>
                      <w:highlight w:val="none"/>
                      <w:lang w:val="en-US" w:eastAsia="zh-CN"/>
                    </w:rPr>
                    <w:t>除尘风机</w:t>
                  </w:r>
                </w:p>
              </w:tc>
              <w:tc>
                <w:tcPr>
                  <w:tcW w:w="193" w:type="pct"/>
                  <w:shd w:val="clear" w:color="auto" w:fill="auto"/>
                  <w:vAlign w:val="center"/>
                </w:tcPr>
                <w:p w14:paraId="39E2A3A3">
                  <w:pPr>
                    <w:spacing w:line="220" w:lineRule="exact"/>
                    <w:jc w:val="center"/>
                    <w:rPr>
                      <w:rFonts w:hint="eastAsia" w:ascii="Times New Roman" w:hAnsi="Times New Roman" w:eastAsia="宋体" w:cs="Times New Roman"/>
                      <w:color w:val="auto"/>
                      <w:spacing w:val="-17"/>
                      <w:kern w:val="2"/>
                      <w:sz w:val="18"/>
                      <w:szCs w:val="18"/>
                      <w:highlight w:val="none"/>
                      <w:lang w:val="en-US" w:eastAsia="zh-CN" w:bidi="ar-SA"/>
                    </w:rPr>
                  </w:pPr>
                  <w:r>
                    <w:rPr>
                      <w:rFonts w:hint="eastAsia"/>
                      <w:color w:val="auto"/>
                      <w:spacing w:val="-17"/>
                      <w:sz w:val="18"/>
                      <w:szCs w:val="18"/>
                      <w:highlight w:val="none"/>
                      <w:lang w:val="en-US" w:eastAsia="zh-CN"/>
                    </w:rPr>
                    <w:t>1</w:t>
                  </w:r>
                </w:p>
              </w:tc>
              <w:tc>
                <w:tcPr>
                  <w:tcW w:w="250" w:type="pct"/>
                  <w:shd w:val="clear" w:color="auto" w:fill="auto"/>
                  <w:vAlign w:val="center"/>
                </w:tcPr>
                <w:p w14:paraId="69D84689">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85</w:t>
                  </w:r>
                </w:p>
              </w:tc>
              <w:tc>
                <w:tcPr>
                  <w:tcW w:w="314" w:type="pct"/>
                  <w:vMerge w:val="continue"/>
                  <w:vAlign w:val="center"/>
                </w:tcPr>
                <w:p w14:paraId="01172820">
                  <w:pPr>
                    <w:spacing w:line="220" w:lineRule="exact"/>
                    <w:jc w:val="center"/>
                    <w:rPr>
                      <w:rFonts w:hint="eastAsia"/>
                      <w:color w:val="auto"/>
                      <w:spacing w:val="-17"/>
                      <w:sz w:val="18"/>
                      <w:szCs w:val="18"/>
                      <w:lang w:val="en-US" w:eastAsia="zh-CN"/>
                    </w:rPr>
                  </w:pPr>
                </w:p>
              </w:tc>
              <w:tc>
                <w:tcPr>
                  <w:tcW w:w="172" w:type="pct"/>
                  <w:shd w:val="clear" w:color="auto" w:fill="FFFFFF"/>
                  <w:vAlign w:val="center"/>
                </w:tcPr>
                <w:p w14:paraId="2437CF40">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35</w:t>
                  </w:r>
                </w:p>
              </w:tc>
              <w:tc>
                <w:tcPr>
                  <w:tcW w:w="202" w:type="pct"/>
                  <w:shd w:val="clear" w:color="auto" w:fill="FFFFFF"/>
                  <w:vAlign w:val="center"/>
                </w:tcPr>
                <w:p w14:paraId="3E2E0574">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0.8</w:t>
                  </w:r>
                </w:p>
              </w:tc>
              <w:tc>
                <w:tcPr>
                  <w:tcW w:w="202" w:type="pct"/>
                  <w:shd w:val="clear" w:color="auto" w:fill="FFFFFF"/>
                  <w:vAlign w:val="center"/>
                </w:tcPr>
                <w:p w14:paraId="0916EE18">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42</w:t>
                  </w:r>
                </w:p>
              </w:tc>
              <w:tc>
                <w:tcPr>
                  <w:tcW w:w="211" w:type="pct"/>
                  <w:shd w:val="clear" w:color="auto" w:fill="FFFFFF"/>
                  <w:vAlign w:val="center"/>
                </w:tcPr>
                <w:p w14:paraId="7927C160">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14.2</w:t>
                  </w:r>
                </w:p>
              </w:tc>
              <w:tc>
                <w:tcPr>
                  <w:tcW w:w="194" w:type="pct"/>
                  <w:shd w:val="clear" w:color="auto" w:fill="FFFFFF"/>
                  <w:vAlign w:val="center"/>
                </w:tcPr>
                <w:p w14:paraId="23F4EF7B">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54.2</w:t>
                  </w:r>
                </w:p>
              </w:tc>
              <w:tc>
                <w:tcPr>
                  <w:tcW w:w="193" w:type="pct"/>
                  <w:shd w:val="clear" w:color="auto" w:fill="FFFFFF"/>
                  <w:vAlign w:val="center"/>
                </w:tcPr>
                <w:p w14:paraId="4CF78DD6">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76</w:t>
                  </w:r>
                </w:p>
              </w:tc>
              <w:tc>
                <w:tcPr>
                  <w:tcW w:w="219" w:type="pct"/>
                  <w:shd w:val="clear" w:color="auto" w:fill="FFFFFF"/>
                  <w:vAlign w:val="center"/>
                </w:tcPr>
                <w:p w14:paraId="7B10B7F6">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54.1</w:t>
                  </w:r>
                </w:p>
              </w:tc>
              <w:tc>
                <w:tcPr>
                  <w:tcW w:w="232" w:type="pct"/>
                  <w:shd w:val="clear" w:color="auto" w:fill="FFFFFF"/>
                  <w:vAlign w:val="center"/>
                </w:tcPr>
                <w:p w14:paraId="25B9D9D2">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55.7</w:t>
                  </w:r>
                </w:p>
              </w:tc>
              <w:tc>
                <w:tcPr>
                  <w:tcW w:w="262" w:type="pct"/>
                  <w:vMerge w:val="continue"/>
                  <w:vAlign w:val="center"/>
                </w:tcPr>
                <w:p w14:paraId="440E56C0">
                  <w:pPr>
                    <w:pStyle w:val="71"/>
                    <w:spacing w:line="220" w:lineRule="exact"/>
                    <w:jc w:val="center"/>
                    <w:rPr>
                      <w:rFonts w:hint="default" w:ascii="Times New Roman" w:hAnsi="Times New Roman" w:eastAsia="宋体" w:cs="Calibri"/>
                      <w:color w:val="auto"/>
                      <w:spacing w:val="-17"/>
                      <w:kern w:val="0"/>
                      <w:sz w:val="18"/>
                      <w:szCs w:val="18"/>
                      <w:lang w:val="en-US" w:eastAsia="zh-CN" w:bidi="ar-SA"/>
                    </w:rPr>
                  </w:pPr>
                </w:p>
              </w:tc>
              <w:tc>
                <w:tcPr>
                  <w:tcW w:w="331" w:type="pct"/>
                  <w:vAlign w:val="center"/>
                </w:tcPr>
                <w:p w14:paraId="0149FED2">
                  <w:pPr>
                    <w:pStyle w:val="71"/>
                    <w:spacing w:line="220" w:lineRule="exact"/>
                    <w:jc w:val="center"/>
                    <w:rPr>
                      <w:rFonts w:hint="default" w:ascii="Times New Roman" w:hAnsi="Times New Roman" w:eastAsia="宋体" w:cs="Times New Roman"/>
                      <w:color w:val="auto"/>
                      <w:spacing w:val="-17"/>
                      <w:sz w:val="18"/>
                      <w:szCs w:val="18"/>
                      <w:highlight w:val="none"/>
                      <w:lang w:val="en-US" w:eastAsia="zh-CN"/>
                    </w:rPr>
                  </w:pPr>
                  <w:r>
                    <w:rPr>
                      <w:rFonts w:hint="eastAsia" w:ascii="Times New Roman" w:hAnsi="Times New Roman" w:eastAsia="宋体" w:cs="Times New Roman"/>
                      <w:color w:val="auto"/>
                      <w:spacing w:val="-17"/>
                      <w:sz w:val="18"/>
                      <w:szCs w:val="18"/>
                      <w:highlight w:val="none"/>
                      <w:lang w:val="en-US" w:eastAsia="zh-CN"/>
                    </w:rPr>
                    <w:t>31.0</w:t>
                  </w:r>
                </w:p>
              </w:tc>
              <w:tc>
                <w:tcPr>
                  <w:tcW w:w="159" w:type="pct"/>
                  <w:shd w:val="clear" w:color="auto" w:fill="FFFFFF"/>
                  <w:vAlign w:val="center"/>
                </w:tcPr>
                <w:p w14:paraId="39D3CE4A">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23.2</w:t>
                  </w:r>
                </w:p>
              </w:tc>
              <w:tc>
                <w:tcPr>
                  <w:tcW w:w="176" w:type="pct"/>
                  <w:shd w:val="clear" w:color="auto" w:fill="FFFFFF"/>
                  <w:vAlign w:val="center"/>
                </w:tcPr>
                <w:p w14:paraId="77C43155">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45</w:t>
                  </w:r>
                </w:p>
              </w:tc>
              <w:tc>
                <w:tcPr>
                  <w:tcW w:w="168" w:type="pct"/>
                  <w:shd w:val="clear" w:color="auto" w:fill="FFFFFF"/>
                  <w:vAlign w:val="center"/>
                </w:tcPr>
                <w:p w14:paraId="7A2ADFD7">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23.1</w:t>
                  </w:r>
                </w:p>
              </w:tc>
              <w:tc>
                <w:tcPr>
                  <w:tcW w:w="159" w:type="pct"/>
                  <w:shd w:val="clear" w:color="auto" w:fill="FFFFFF"/>
                  <w:vAlign w:val="center"/>
                </w:tcPr>
                <w:p w14:paraId="15383FDB">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24.7</w:t>
                  </w:r>
                </w:p>
              </w:tc>
              <w:tc>
                <w:tcPr>
                  <w:tcW w:w="411" w:type="pct"/>
                  <w:vAlign w:val="center"/>
                </w:tcPr>
                <w:p w14:paraId="594CCC70">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1</w:t>
                  </w:r>
                </w:p>
              </w:tc>
            </w:tr>
            <w:tr w14:paraId="2B724F4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12" w:hRule="exact"/>
                <w:jc w:val="center"/>
              </w:trPr>
              <w:tc>
                <w:tcPr>
                  <w:tcW w:w="176" w:type="pct"/>
                  <w:shd w:val="clear" w:color="auto" w:fill="auto"/>
                  <w:vAlign w:val="center"/>
                </w:tcPr>
                <w:p w14:paraId="3DDF8AD5">
                  <w:pPr>
                    <w:spacing w:line="220" w:lineRule="exact"/>
                    <w:jc w:val="center"/>
                    <w:rPr>
                      <w:rFonts w:hint="default" w:ascii="Times New Roman" w:hAnsi="Times New Roman" w:eastAsia="宋体" w:cs="Times New Roman"/>
                      <w:color w:val="auto"/>
                      <w:spacing w:val="-17"/>
                      <w:kern w:val="2"/>
                      <w:sz w:val="18"/>
                      <w:szCs w:val="18"/>
                      <w:highlight w:val="none"/>
                      <w:lang w:val="en-US" w:eastAsia="zh-CN" w:bidi="ar-SA"/>
                    </w:rPr>
                  </w:pPr>
                  <w:r>
                    <w:rPr>
                      <w:rFonts w:hint="eastAsia" w:cs="Times New Roman"/>
                      <w:color w:val="auto"/>
                      <w:spacing w:val="-17"/>
                      <w:kern w:val="2"/>
                      <w:sz w:val="18"/>
                      <w:szCs w:val="18"/>
                      <w:highlight w:val="none"/>
                      <w:lang w:val="en-US" w:eastAsia="zh-CN" w:bidi="ar-SA"/>
                    </w:rPr>
                    <w:t>52</w:t>
                  </w:r>
                </w:p>
              </w:tc>
              <w:tc>
                <w:tcPr>
                  <w:tcW w:w="176" w:type="pct"/>
                  <w:vMerge w:val="continue"/>
                  <w:vAlign w:val="center"/>
                </w:tcPr>
                <w:p w14:paraId="5A28AA9F">
                  <w:pPr>
                    <w:spacing w:line="220" w:lineRule="exact"/>
                    <w:jc w:val="center"/>
                    <w:rPr>
                      <w:rFonts w:hint="eastAsia" w:ascii="Times New Roman" w:hAnsi="Times New Roman" w:cs="Times New Roman"/>
                      <w:color w:val="auto"/>
                      <w:spacing w:val="-17"/>
                      <w:kern w:val="2"/>
                      <w:sz w:val="18"/>
                      <w:szCs w:val="18"/>
                      <w:highlight w:val="none"/>
                      <w:lang w:val="en-US" w:eastAsia="zh-CN" w:bidi="ar-SA"/>
                    </w:rPr>
                  </w:pPr>
                </w:p>
              </w:tc>
              <w:tc>
                <w:tcPr>
                  <w:tcW w:w="211" w:type="pct"/>
                  <w:vMerge w:val="continue"/>
                  <w:vAlign w:val="center"/>
                </w:tcPr>
                <w:p w14:paraId="62EE77B8">
                  <w:pPr>
                    <w:spacing w:line="220" w:lineRule="exact"/>
                    <w:jc w:val="center"/>
                    <w:rPr>
                      <w:rFonts w:hint="eastAsia" w:ascii="Times New Roman" w:hAnsi="Times New Roman" w:cs="Times New Roman"/>
                      <w:color w:val="auto"/>
                      <w:spacing w:val="-17"/>
                      <w:kern w:val="2"/>
                      <w:sz w:val="18"/>
                      <w:szCs w:val="18"/>
                      <w:highlight w:val="none"/>
                      <w:lang w:val="en-US" w:eastAsia="zh-CN" w:bidi="ar-SA"/>
                    </w:rPr>
                  </w:pPr>
                </w:p>
              </w:tc>
              <w:tc>
                <w:tcPr>
                  <w:tcW w:w="379" w:type="pct"/>
                  <w:shd w:val="clear" w:color="auto" w:fill="auto"/>
                  <w:vAlign w:val="center"/>
                </w:tcPr>
                <w:p w14:paraId="0BFAE4E3">
                  <w:pPr>
                    <w:pStyle w:val="71"/>
                    <w:spacing w:line="220" w:lineRule="exact"/>
                    <w:jc w:val="center"/>
                    <w:rPr>
                      <w:rFonts w:hint="default" w:ascii="Times New Roman" w:hAnsi="Times New Roman" w:eastAsia="宋体" w:cs="Times New Roman"/>
                      <w:color w:val="auto"/>
                      <w:spacing w:val="-17"/>
                      <w:kern w:val="0"/>
                      <w:sz w:val="18"/>
                      <w:szCs w:val="18"/>
                      <w:highlight w:val="none"/>
                      <w:lang w:val="en-US" w:eastAsia="zh-CN" w:bidi="ar-SA"/>
                    </w:rPr>
                  </w:pPr>
                  <w:r>
                    <w:rPr>
                      <w:rFonts w:hint="eastAsia" w:ascii="Times New Roman" w:hAnsi="Times New Roman" w:cs="Times New Roman"/>
                      <w:color w:val="auto"/>
                      <w:spacing w:val="-17"/>
                      <w:sz w:val="18"/>
                      <w:szCs w:val="18"/>
                      <w:highlight w:val="none"/>
                      <w:lang w:val="en-US" w:eastAsia="zh-CN"/>
                    </w:rPr>
                    <w:t>1</w:t>
                  </w:r>
                  <w:r>
                    <w:rPr>
                      <w:rFonts w:hint="eastAsia" w:ascii="Times New Roman" w:hAnsi="Times New Roman" w:cs="Times New Roman"/>
                      <w:color w:val="auto"/>
                      <w:spacing w:val="-17"/>
                      <w:sz w:val="18"/>
                      <w:szCs w:val="18"/>
                      <w:highlight w:val="none"/>
                      <w:vertAlign w:val="superscript"/>
                      <w:lang w:val="en-US" w:eastAsia="zh-CN"/>
                    </w:rPr>
                    <w:t>#</w:t>
                  </w:r>
                  <w:r>
                    <w:rPr>
                      <w:rFonts w:hint="eastAsia" w:ascii="Times New Roman" w:hAnsi="Times New Roman" w:cs="Times New Roman"/>
                      <w:color w:val="auto"/>
                      <w:spacing w:val="-17"/>
                      <w:sz w:val="18"/>
                      <w:szCs w:val="18"/>
                      <w:highlight w:val="none"/>
                      <w:lang w:val="en-US" w:eastAsia="zh-CN"/>
                    </w:rPr>
                    <w:t>空压机</w:t>
                  </w:r>
                </w:p>
              </w:tc>
              <w:tc>
                <w:tcPr>
                  <w:tcW w:w="193" w:type="pct"/>
                  <w:shd w:val="clear" w:color="auto" w:fill="auto"/>
                  <w:vAlign w:val="center"/>
                </w:tcPr>
                <w:p w14:paraId="75460935">
                  <w:pPr>
                    <w:spacing w:line="220" w:lineRule="exact"/>
                    <w:jc w:val="center"/>
                    <w:rPr>
                      <w:rFonts w:hint="eastAsia" w:ascii="Times New Roman" w:hAnsi="Times New Roman" w:eastAsia="宋体" w:cs="Times New Roman"/>
                      <w:color w:val="auto"/>
                      <w:spacing w:val="-17"/>
                      <w:kern w:val="2"/>
                      <w:sz w:val="18"/>
                      <w:szCs w:val="18"/>
                      <w:highlight w:val="none"/>
                      <w:lang w:val="en-US" w:eastAsia="zh-CN" w:bidi="ar-SA"/>
                    </w:rPr>
                  </w:pPr>
                  <w:r>
                    <w:rPr>
                      <w:rFonts w:hint="eastAsia"/>
                      <w:color w:val="auto"/>
                      <w:spacing w:val="-17"/>
                      <w:sz w:val="18"/>
                      <w:szCs w:val="18"/>
                      <w:highlight w:val="none"/>
                      <w:lang w:val="en-US" w:eastAsia="zh-CN"/>
                    </w:rPr>
                    <w:t>1</w:t>
                  </w:r>
                </w:p>
              </w:tc>
              <w:tc>
                <w:tcPr>
                  <w:tcW w:w="250" w:type="pct"/>
                  <w:shd w:val="clear" w:color="auto" w:fill="auto"/>
                  <w:vAlign w:val="center"/>
                </w:tcPr>
                <w:p w14:paraId="25523634">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85</w:t>
                  </w:r>
                </w:p>
              </w:tc>
              <w:tc>
                <w:tcPr>
                  <w:tcW w:w="314" w:type="pct"/>
                  <w:vMerge w:val="continue"/>
                  <w:vAlign w:val="center"/>
                </w:tcPr>
                <w:p w14:paraId="4FDA9C0C">
                  <w:pPr>
                    <w:pStyle w:val="71"/>
                    <w:spacing w:line="220" w:lineRule="exact"/>
                    <w:rPr>
                      <w:rFonts w:hint="eastAsia" w:ascii="Times New Roman" w:hAnsi="Times New Roman" w:eastAsia="宋体" w:cs="Times New Roman"/>
                      <w:color w:val="auto"/>
                      <w:spacing w:val="-17"/>
                      <w:kern w:val="2"/>
                      <w:sz w:val="18"/>
                      <w:szCs w:val="18"/>
                      <w:lang w:val="en-US" w:eastAsia="zh-CN" w:bidi="ar-SA"/>
                    </w:rPr>
                  </w:pPr>
                </w:p>
              </w:tc>
              <w:tc>
                <w:tcPr>
                  <w:tcW w:w="172" w:type="pct"/>
                  <w:shd w:val="clear" w:color="auto" w:fill="FFFFFF"/>
                  <w:vAlign w:val="center"/>
                </w:tcPr>
                <w:p w14:paraId="50AE2DC4">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34.5</w:t>
                  </w:r>
                </w:p>
              </w:tc>
              <w:tc>
                <w:tcPr>
                  <w:tcW w:w="202" w:type="pct"/>
                  <w:shd w:val="clear" w:color="auto" w:fill="FFFFFF"/>
                  <w:vAlign w:val="center"/>
                </w:tcPr>
                <w:p w14:paraId="148F4707">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0.6</w:t>
                  </w:r>
                </w:p>
              </w:tc>
              <w:tc>
                <w:tcPr>
                  <w:tcW w:w="202" w:type="pct"/>
                  <w:shd w:val="clear" w:color="auto" w:fill="FFFFFF"/>
                  <w:vAlign w:val="center"/>
                </w:tcPr>
                <w:p w14:paraId="57024AD2">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42.6</w:t>
                  </w:r>
                </w:p>
              </w:tc>
              <w:tc>
                <w:tcPr>
                  <w:tcW w:w="211" w:type="pct"/>
                  <w:shd w:val="clear" w:color="auto" w:fill="FFFFFF"/>
                  <w:vAlign w:val="center"/>
                </w:tcPr>
                <w:p w14:paraId="22CB45C2">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14.4</w:t>
                  </w:r>
                </w:p>
              </w:tc>
              <w:tc>
                <w:tcPr>
                  <w:tcW w:w="194" w:type="pct"/>
                  <w:shd w:val="clear" w:color="auto" w:fill="FFFFFF"/>
                  <w:vAlign w:val="center"/>
                </w:tcPr>
                <w:p w14:paraId="549A5B67">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54.3</w:t>
                  </w:r>
                </w:p>
              </w:tc>
              <w:tc>
                <w:tcPr>
                  <w:tcW w:w="193" w:type="pct"/>
                  <w:shd w:val="clear" w:color="auto" w:fill="FFFFFF"/>
                  <w:vAlign w:val="center"/>
                </w:tcPr>
                <w:p w14:paraId="008070FC">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78.5</w:t>
                  </w:r>
                </w:p>
              </w:tc>
              <w:tc>
                <w:tcPr>
                  <w:tcW w:w="219" w:type="pct"/>
                  <w:shd w:val="clear" w:color="auto" w:fill="FFFFFF"/>
                  <w:vAlign w:val="center"/>
                </w:tcPr>
                <w:p w14:paraId="5060D7A0">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54.1</w:t>
                  </w:r>
                </w:p>
              </w:tc>
              <w:tc>
                <w:tcPr>
                  <w:tcW w:w="232" w:type="pct"/>
                  <w:shd w:val="clear" w:color="auto" w:fill="FFFFFF"/>
                  <w:vAlign w:val="center"/>
                </w:tcPr>
                <w:p w14:paraId="333B91D7">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55.6</w:t>
                  </w:r>
                </w:p>
              </w:tc>
              <w:tc>
                <w:tcPr>
                  <w:tcW w:w="262" w:type="pct"/>
                  <w:vMerge w:val="continue"/>
                  <w:shd w:val="clear" w:color="auto" w:fill="auto"/>
                  <w:vAlign w:val="center"/>
                </w:tcPr>
                <w:p w14:paraId="0E70EB16">
                  <w:pPr>
                    <w:pStyle w:val="71"/>
                    <w:spacing w:line="220" w:lineRule="exact"/>
                    <w:jc w:val="center"/>
                    <w:rPr>
                      <w:rFonts w:hint="eastAsia" w:ascii="Times New Roman" w:hAnsi="Times New Roman" w:eastAsia="宋体" w:cs="Calibri"/>
                      <w:color w:val="auto"/>
                      <w:spacing w:val="-17"/>
                      <w:kern w:val="0"/>
                      <w:sz w:val="18"/>
                      <w:szCs w:val="18"/>
                      <w:lang w:val="en-US" w:eastAsia="zh-CN" w:bidi="ar-SA"/>
                    </w:rPr>
                  </w:pPr>
                </w:p>
              </w:tc>
              <w:tc>
                <w:tcPr>
                  <w:tcW w:w="331" w:type="pct"/>
                  <w:shd w:val="clear" w:color="auto" w:fill="auto"/>
                  <w:vAlign w:val="center"/>
                </w:tcPr>
                <w:p w14:paraId="431BC233">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eastAsia" w:ascii="Times New Roman" w:hAnsi="Times New Roman" w:eastAsia="宋体" w:cs="Times New Roman"/>
                      <w:color w:val="auto"/>
                      <w:spacing w:val="-17"/>
                      <w:sz w:val="18"/>
                      <w:szCs w:val="18"/>
                      <w:highlight w:val="none"/>
                      <w:lang w:val="en-US" w:eastAsia="zh-CN"/>
                    </w:rPr>
                    <w:t>31.0</w:t>
                  </w:r>
                </w:p>
              </w:tc>
              <w:tc>
                <w:tcPr>
                  <w:tcW w:w="159" w:type="pct"/>
                  <w:shd w:val="clear" w:color="auto" w:fill="FFFFFF"/>
                  <w:vAlign w:val="center"/>
                </w:tcPr>
                <w:p w14:paraId="4CE47C55">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23.3</w:t>
                  </w:r>
                </w:p>
              </w:tc>
              <w:tc>
                <w:tcPr>
                  <w:tcW w:w="176" w:type="pct"/>
                  <w:shd w:val="clear" w:color="auto" w:fill="FFFFFF"/>
                  <w:vAlign w:val="center"/>
                </w:tcPr>
                <w:p w14:paraId="48C930D1">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47.5</w:t>
                  </w:r>
                </w:p>
              </w:tc>
              <w:tc>
                <w:tcPr>
                  <w:tcW w:w="168" w:type="pct"/>
                  <w:shd w:val="clear" w:color="auto" w:fill="FFFFFF"/>
                  <w:vAlign w:val="center"/>
                </w:tcPr>
                <w:p w14:paraId="137DA450">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23.1</w:t>
                  </w:r>
                </w:p>
              </w:tc>
              <w:tc>
                <w:tcPr>
                  <w:tcW w:w="159" w:type="pct"/>
                  <w:shd w:val="clear" w:color="auto" w:fill="FFFFFF"/>
                  <w:vAlign w:val="center"/>
                </w:tcPr>
                <w:p w14:paraId="40B75D3A">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24.6</w:t>
                  </w:r>
                </w:p>
              </w:tc>
              <w:tc>
                <w:tcPr>
                  <w:tcW w:w="411" w:type="pct"/>
                  <w:shd w:val="clear" w:color="auto" w:fill="auto"/>
                  <w:vAlign w:val="center"/>
                </w:tcPr>
                <w:p w14:paraId="633856A2">
                  <w:pPr>
                    <w:pStyle w:val="71"/>
                    <w:spacing w:line="220" w:lineRule="exact"/>
                    <w:jc w:val="center"/>
                    <w:rPr>
                      <w:rFonts w:hint="eastAsia" w:ascii="Times New Roman" w:hAnsi="Times New Roman" w:eastAsia="宋体" w:cs="Times New Roman"/>
                      <w:color w:val="auto"/>
                      <w:spacing w:val="-17"/>
                      <w:sz w:val="18"/>
                      <w:szCs w:val="18"/>
                      <w:highlight w:val="none"/>
                      <w:lang w:val="en-US" w:eastAsia="zh-CN"/>
                    </w:rPr>
                  </w:pPr>
                  <w:r>
                    <w:rPr>
                      <w:rFonts w:hint="default" w:ascii="Times New Roman" w:hAnsi="Times New Roman" w:eastAsia="宋体" w:cs="Times New Roman"/>
                      <w:color w:val="auto"/>
                      <w:spacing w:val="-17"/>
                      <w:sz w:val="18"/>
                      <w:szCs w:val="18"/>
                      <w:highlight w:val="none"/>
                      <w:lang w:val="en-US" w:eastAsia="zh-CN"/>
                    </w:rPr>
                    <w:t>1</w:t>
                  </w:r>
                </w:p>
              </w:tc>
            </w:tr>
          </w:tbl>
          <w:p w14:paraId="64DAA7CA">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color w:val="auto"/>
                <w:highlight w:val="none"/>
              </w:rPr>
            </w:pPr>
          </w:p>
        </w:tc>
      </w:tr>
    </w:tbl>
    <w:p w14:paraId="7511B4F5">
      <w:pPr>
        <w:pStyle w:val="24"/>
        <w:jc w:val="center"/>
        <w:outlineLvl w:val="0"/>
        <w:rPr>
          <w:rFonts w:hint="eastAsia" w:ascii="黑体" w:hAnsi="黑体" w:eastAsia="黑体"/>
          <w:snapToGrid w:val="0"/>
          <w:color w:val="auto"/>
          <w:sz w:val="30"/>
          <w:szCs w:val="30"/>
        </w:rPr>
        <w:sectPr>
          <w:pgSz w:w="16838" w:h="11905" w:orient="landscape"/>
          <w:pgMar w:top="1531" w:right="1701" w:bottom="1531" w:left="1701" w:header="851" w:footer="1077" w:gutter="0"/>
          <w:pgBorders>
            <w:top w:val="none" w:sz="0" w:space="0"/>
            <w:left w:val="none" w:sz="0" w:space="0"/>
            <w:bottom w:val="none" w:sz="0" w:space="0"/>
            <w:right w:val="none" w:sz="0" w:space="0"/>
          </w:pgBorders>
          <w:cols w:space="0" w:num="1"/>
          <w:rtlGutter w:val="0"/>
          <w:docGrid w:linePitch="312" w:charSpace="0"/>
        </w:sectPr>
      </w:pPr>
    </w:p>
    <w:tbl>
      <w:tblPr>
        <w:tblStyle w:val="28"/>
        <w:tblW w:w="8908"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746"/>
        <w:gridCol w:w="8162"/>
      </w:tblGrid>
      <w:tr w14:paraId="420A706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333" w:hRule="atLeast"/>
          <w:jc w:val="center"/>
        </w:trPr>
        <w:tc>
          <w:tcPr>
            <w:tcW w:w="746" w:type="dxa"/>
            <w:tcMar>
              <w:left w:w="28" w:type="dxa"/>
              <w:right w:w="28" w:type="dxa"/>
            </w:tcMar>
            <w:vAlign w:val="center"/>
          </w:tcPr>
          <w:p w14:paraId="20525BF3">
            <w:pPr>
              <w:adjustRightInd w:val="0"/>
              <w:snapToGrid w:val="0"/>
              <w:jc w:val="center"/>
              <w:rPr>
                <w:rFonts w:ascii="宋体" w:hAnsi="宋体" w:cs="宋体"/>
                <w:bCs/>
                <w:color w:val="auto"/>
                <w:szCs w:val="21"/>
              </w:rPr>
            </w:pPr>
            <w:r>
              <w:rPr>
                <w:rFonts w:hint="eastAsia" w:ascii="宋体" w:hAnsi="宋体" w:cs="宋体"/>
                <w:bCs/>
                <w:color w:val="auto"/>
                <w:szCs w:val="21"/>
              </w:rPr>
              <w:t>运营</w:t>
            </w:r>
          </w:p>
          <w:p w14:paraId="45760B28">
            <w:pPr>
              <w:adjustRightInd w:val="0"/>
              <w:snapToGrid w:val="0"/>
              <w:jc w:val="center"/>
              <w:rPr>
                <w:rFonts w:ascii="宋体" w:hAnsi="宋体" w:cs="宋体"/>
                <w:bCs/>
                <w:color w:val="auto"/>
                <w:szCs w:val="21"/>
              </w:rPr>
            </w:pPr>
            <w:r>
              <w:rPr>
                <w:rFonts w:hint="eastAsia" w:ascii="宋体" w:hAnsi="宋体" w:cs="宋体"/>
                <w:bCs/>
                <w:color w:val="auto"/>
                <w:szCs w:val="21"/>
              </w:rPr>
              <w:t>期环</w:t>
            </w:r>
          </w:p>
          <w:p w14:paraId="77007F30">
            <w:pPr>
              <w:adjustRightInd w:val="0"/>
              <w:snapToGrid w:val="0"/>
              <w:jc w:val="center"/>
              <w:rPr>
                <w:rFonts w:ascii="宋体" w:hAnsi="宋体" w:cs="宋体"/>
                <w:bCs/>
                <w:color w:val="auto"/>
                <w:szCs w:val="21"/>
              </w:rPr>
            </w:pPr>
            <w:r>
              <w:rPr>
                <w:rFonts w:hint="eastAsia" w:ascii="宋体" w:hAnsi="宋体" w:cs="宋体"/>
                <w:bCs/>
                <w:color w:val="auto"/>
                <w:szCs w:val="21"/>
              </w:rPr>
              <w:t>境影</w:t>
            </w:r>
          </w:p>
          <w:p w14:paraId="4FD9816D">
            <w:pPr>
              <w:adjustRightInd w:val="0"/>
              <w:snapToGrid w:val="0"/>
              <w:jc w:val="center"/>
              <w:rPr>
                <w:rFonts w:ascii="宋体" w:hAnsi="宋体" w:cs="宋体"/>
                <w:bCs/>
                <w:color w:val="auto"/>
                <w:szCs w:val="21"/>
              </w:rPr>
            </w:pPr>
            <w:r>
              <w:rPr>
                <w:rFonts w:hint="eastAsia" w:ascii="宋体" w:hAnsi="宋体" w:cs="宋体"/>
                <w:bCs/>
                <w:color w:val="auto"/>
                <w:szCs w:val="21"/>
              </w:rPr>
              <w:t>响和</w:t>
            </w:r>
          </w:p>
          <w:p w14:paraId="6DD11C4C">
            <w:pPr>
              <w:adjustRightInd w:val="0"/>
              <w:snapToGrid w:val="0"/>
              <w:jc w:val="center"/>
              <w:rPr>
                <w:rFonts w:ascii="宋体" w:hAnsi="宋体" w:cs="宋体"/>
                <w:bCs/>
                <w:color w:val="auto"/>
                <w:szCs w:val="21"/>
              </w:rPr>
            </w:pPr>
            <w:r>
              <w:rPr>
                <w:rFonts w:hint="eastAsia" w:ascii="宋体" w:hAnsi="宋体" w:cs="宋体"/>
                <w:bCs/>
                <w:color w:val="auto"/>
                <w:szCs w:val="21"/>
              </w:rPr>
              <w:t>保护</w:t>
            </w:r>
          </w:p>
          <w:p w14:paraId="79B48D04">
            <w:pPr>
              <w:adjustRightInd w:val="0"/>
              <w:snapToGrid w:val="0"/>
              <w:jc w:val="center"/>
              <w:rPr>
                <w:rFonts w:ascii="宋体" w:hAnsi="宋体" w:cs="宋体"/>
                <w:bCs/>
                <w:color w:val="auto"/>
                <w:szCs w:val="21"/>
              </w:rPr>
            </w:pPr>
            <w:r>
              <w:rPr>
                <w:rFonts w:hint="eastAsia" w:ascii="宋体" w:hAnsi="宋体" w:cs="宋体"/>
                <w:bCs/>
                <w:color w:val="auto"/>
                <w:szCs w:val="21"/>
              </w:rPr>
              <w:t>措施</w:t>
            </w:r>
          </w:p>
        </w:tc>
        <w:tc>
          <w:tcPr>
            <w:tcW w:w="8162" w:type="dxa"/>
            <w:vAlign w:val="center"/>
          </w:tcPr>
          <w:p w14:paraId="43D26A3A">
            <w:pPr>
              <w:spacing w:line="440" w:lineRule="exact"/>
              <w:ind w:firstLine="420" w:firstLineChars="200"/>
              <w:rPr>
                <w:rFonts w:hint="default" w:ascii="Times New Roman" w:hAnsi="Times New Roman" w:eastAsia="宋体" w:cs="Times New Roman"/>
                <w:color w:val="auto"/>
                <w:szCs w:val="21"/>
                <w:lang w:eastAsia="zh-CN"/>
              </w:rPr>
            </w:pPr>
            <w:r>
              <w:rPr>
                <w:rFonts w:hint="default" w:ascii="Times New Roman" w:hAnsi="Times New Roman" w:eastAsia="宋体" w:cs="Times New Roman"/>
                <w:color w:val="auto"/>
                <w:szCs w:val="21"/>
                <w:lang w:eastAsia="zh-CN"/>
              </w:rPr>
              <w:t>项目噪声环境影响预测基础数据见表</w:t>
            </w:r>
            <w:r>
              <w:rPr>
                <w:rFonts w:hint="eastAsia" w:cs="Times New Roman"/>
                <w:color w:val="auto"/>
                <w:szCs w:val="21"/>
                <w:lang w:val="en-US" w:eastAsia="zh-CN"/>
              </w:rPr>
              <w:t>39</w:t>
            </w:r>
            <w:r>
              <w:rPr>
                <w:rFonts w:hint="default" w:ascii="Times New Roman" w:hAnsi="Times New Roman" w:eastAsia="宋体" w:cs="Times New Roman"/>
                <w:color w:val="auto"/>
                <w:szCs w:val="21"/>
                <w:lang w:eastAsia="zh-CN"/>
              </w:rPr>
              <w:t>。</w:t>
            </w:r>
          </w:p>
          <w:p w14:paraId="7AEAC8A9">
            <w:pPr>
              <w:spacing w:line="440" w:lineRule="exact"/>
              <w:jc w:val="center"/>
              <w:rPr>
                <w:rFonts w:hint="default" w:ascii="Times New Roman" w:hAnsi="Times New Roman" w:eastAsia="宋体" w:cs="Times New Roman"/>
                <w:b/>
                <w:color w:val="auto"/>
                <w:sz w:val="21"/>
                <w:szCs w:val="21"/>
                <w:lang w:val="zh-CN" w:eastAsia="zh-CN"/>
              </w:rPr>
            </w:pPr>
            <w:r>
              <w:rPr>
                <w:rFonts w:hint="default" w:ascii="Times New Roman" w:hAnsi="Times New Roman" w:eastAsia="宋体" w:cs="Times New Roman"/>
                <w:b/>
                <w:color w:val="auto"/>
                <w:sz w:val="21"/>
                <w:szCs w:val="21"/>
                <w:lang w:val="zh-CN" w:eastAsia="zh-CN"/>
              </w:rPr>
              <w:t>表</w:t>
            </w:r>
            <w:r>
              <w:rPr>
                <w:rFonts w:hint="eastAsia" w:cs="Times New Roman"/>
                <w:b/>
                <w:color w:val="auto"/>
                <w:sz w:val="21"/>
                <w:szCs w:val="21"/>
                <w:lang w:val="en-US" w:eastAsia="zh-CN"/>
              </w:rPr>
              <w:t>39</w:t>
            </w:r>
            <w:r>
              <w:rPr>
                <w:rFonts w:hint="default" w:ascii="Times New Roman" w:hAnsi="Times New Roman" w:eastAsia="宋体" w:cs="Times New Roman"/>
                <w:b/>
                <w:color w:val="auto"/>
                <w:sz w:val="21"/>
                <w:szCs w:val="21"/>
                <w:lang w:val="zh-CN" w:eastAsia="zh-CN"/>
              </w:rPr>
              <w:t xml:space="preserve"> 项目噪声环境影响预测基础数据表</w:t>
            </w:r>
          </w:p>
          <w:tbl>
            <w:tblPr>
              <w:tblStyle w:val="29"/>
              <w:tblW w:w="8031" w:type="dxa"/>
              <w:tblInd w:w="-4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142"/>
              <w:gridCol w:w="2654"/>
              <w:gridCol w:w="1165"/>
              <w:gridCol w:w="1639"/>
              <w:gridCol w:w="1431"/>
            </w:tblGrid>
            <w:tr w14:paraId="6BB7D3A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1142" w:type="dxa"/>
                  <w:tcBorders>
                    <w:tl2br w:val="nil"/>
                    <w:tr2bl w:val="nil"/>
                  </w:tcBorders>
                  <w:noWrap w:val="0"/>
                  <w:vAlign w:val="center"/>
                </w:tcPr>
                <w:p w14:paraId="412523B9">
                  <w:pPr>
                    <w:spacing w:line="280" w:lineRule="exact"/>
                    <w:jc w:val="center"/>
                    <w:rPr>
                      <w:rFonts w:hint="default" w:ascii="Times New Roman" w:hAnsi="Times New Roman" w:eastAsia="宋体" w:cs="Times New Roman"/>
                      <w:color w:val="auto"/>
                      <w:spacing w:val="-20"/>
                      <w:sz w:val="21"/>
                      <w:szCs w:val="21"/>
                      <w:highlight w:val="none"/>
                      <w:lang w:eastAsia="zh-CN"/>
                    </w:rPr>
                  </w:pPr>
                  <w:r>
                    <w:rPr>
                      <w:rFonts w:hint="default" w:ascii="Times New Roman" w:hAnsi="Times New Roman" w:eastAsia="宋体" w:cs="Times New Roman"/>
                      <w:color w:val="auto"/>
                      <w:spacing w:val="-20"/>
                      <w:sz w:val="21"/>
                      <w:szCs w:val="21"/>
                      <w:highlight w:val="none"/>
                    </w:rPr>
                    <w:t>序号</w:t>
                  </w:r>
                </w:p>
              </w:tc>
              <w:tc>
                <w:tcPr>
                  <w:tcW w:w="2654" w:type="dxa"/>
                  <w:tcBorders>
                    <w:tl2br w:val="nil"/>
                    <w:tr2bl w:val="nil"/>
                  </w:tcBorders>
                  <w:noWrap w:val="0"/>
                  <w:vAlign w:val="center"/>
                </w:tcPr>
                <w:p w14:paraId="7E32C74B">
                  <w:pPr>
                    <w:spacing w:line="280" w:lineRule="exact"/>
                    <w:jc w:val="center"/>
                    <w:rPr>
                      <w:rFonts w:hint="default" w:ascii="Times New Roman" w:hAnsi="Times New Roman" w:eastAsia="宋体" w:cs="Times New Roman"/>
                      <w:color w:val="auto"/>
                      <w:spacing w:val="-20"/>
                      <w:sz w:val="21"/>
                      <w:szCs w:val="21"/>
                      <w:highlight w:val="none"/>
                      <w:lang w:eastAsia="zh-CN"/>
                    </w:rPr>
                  </w:pPr>
                  <w:r>
                    <w:rPr>
                      <w:rFonts w:hint="default" w:ascii="Times New Roman" w:hAnsi="Times New Roman" w:eastAsia="宋体" w:cs="Times New Roman"/>
                      <w:color w:val="auto"/>
                      <w:spacing w:val="-20"/>
                      <w:sz w:val="21"/>
                      <w:szCs w:val="21"/>
                      <w:highlight w:val="none"/>
                    </w:rPr>
                    <w:t>名称</w:t>
                  </w:r>
                </w:p>
              </w:tc>
              <w:tc>
                <w:tcPr>
                  <w:tcW w:w="1165" w:type="dxa"/>
                  <w:tcBorders>
                    <w:tl2br w:val="nil"/>
                    <w:tr2bl w:val="nil"/>
                  </w:tcBorders>
                  <w:noWrap w:val="0"/>
                  <w:vAlign w:val="center"/>
                </w:tcPr>
                <w:p w14:paraId="448EA6EB">
                  <w:pPr>
                    <w:spacing w:line="280" w:lineRule="exact"/>
                    <w:jc w:val="center"/>
                    <w:rPr>
                      <w:rFonts w:hint="default" w:ascii="Times New Roman" w:hAnsi="Times New Roman" w:eastAsia="宋体" w:cs="Times New Roman"/>
                      <w:color w:val="auto"/>
                      <w:spacing w:val="-20"/>
                      <w:sz w:val="21"/>
                      <w:szCs w:val="21"/>
                      <w:highlight w:val="none"/>
                      <w:lang w:eastAsia="zh-CN"/>
                    </w:rPr>
                  </w:pPr>
                  <w:r>
                    <w:rPr>
                      <w:rFonts w:hint="default" w:ascii="Times New Roman" w:hAnsi="Times New Roman" w:eastAsia="宋体" w:cs="Times New Roman"/>
                      <w:color w:val="auto"/>
                      <w:spacing w:val="-20"/>
                      <w:sz w:val="21"/>
                      <w:szCs w:val="21"/>
                      <w:highlight w:val="none"/>
                    </w:rPr>
                    <w:t>单位</w:t>
                  </w:r>
                </w:p>
              </w:tc>
              <w:tc>
                <w:tcPr>
                  <w:tcW w:w="1639" w:type="dxa"/>
                  <w:tcBorders>
                    <w:tl2br w:val="nil"/>
                    <w:tr2bl w:val="nil"/>
                  </w:tcBorders>
                  <w:noWrap w:val="0"/>
                  <w:vAlign w:val="center"/>
                </w:tcPr>
                <w:p w14:paraId="55BE882F">
                  <w:pPr>
                    <w:spacing w:line="280" w:lineRule="exact"/>
                    <w:jc w:val="center"/>
                    <w:rPr>
                      <w:rFonts w:hint="default" w:ascii="Times New Roman" w:hAnsi="Times New Roman" w:eastAsia="宋体" w:cs="Times New Roman"/>
                      <w:color w:val="auto"/>
                      <w:spacing w:val="-20"/>
                      <w:sz w:val="21"/>
                      <w:szCs w:val="21"/>
                      <w:highlight w:val="none"/>
                      <w:lang w:eastAsia="zh-CN"/>
                    </w:rPr>
                  </w:pPr>
                  <w:r>
                    <w:rPr>
                      <w:rFonts w:hint="default" w:ascii="Times New Roman" w:hAnsi="Times New Roman" w:eastAsia="宋体" w:cs="Times New Roman"/>
                      <w:color w:val="auto"/>
                      <w:spacing w:val="-20"/>
                      <w:sz w:val="21"/>
                      <w:szCs w:val="21"/>
                      <w:highlight w:val="none"/>
                    </w:rPr>
                    <w:t>数据</w:t>
                  </w:r>
                </w:p>
              </w:tc>
              <w:tc>
                <w:tcPr>
                  <w:tcW w:w="1431" w:type="dxa"/>
                  <w:tcBorders>
                    <w:tl2br w:val="nil"/>
                    <w:tr2bl w:val="nil"/>
                  </w:tcBorders>
                  <w:noWrap w:val="0"/>
                  <w:vAlign w:val="center"/>
                </w:tcPr>
                <w:p w14:paraId="76993652">
                  <w:pPr>
                    <w:spacing w:line="280" w:lineRule="exact"/>
                    <w:jc w:val="center"/>
                    <w:rPr>
                      <w:rFonts w:hint="default" w:ascii="Times New Roman" w:hAnsi="Times New Roman" w:eastAsia="宋体" w:cs="Times New Roman"/>
                      <w:color w:val="auto"/>
                      <w:spacing w:val="-20"/>
                      <w:sz w:val="21"/>
                      <w:szCs w:val="21"/>
                      <w:highlight w:val="none"/>
                      <w:lang w:eastAsia="zh-CN"/>
                    </w:rPr>
                  </w:pPr>
                  <w:r>
                    <w:rPr>
                      <w:rFonts w:hint="default" w:ascii="Times New Roman" w:hAnsi="Times New Roman" w:eastAsia="宋体" w:cs="Times New Roman"/>
                      <w:color w:val="auto"/>
                      <w:spacing w:val="-20"/>
                      <w:sz w:val="21"/>
                      <w:szCs w:val="21"/>
                      <w:highlight w:val="none"/>
                    </w:rPr>
                    <w:t>备注</w:t>
                  </w:r>
                </w:p>
              </w:tc>
            </w:tr>
            <w:tr w14:paraId="528F6D3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1142" w:type="dxa"/>
                  <w:tcBorders>
                    <w:tl2br w:val="nil"/>
                    <w:tr2bl w:val="nil"/>
                  </w:tcBorders>
                  <w:noWrap w:val="0"/>
                  <w:vAlign w:val="center"/>
                </w:tcPr>
                <w:p w14:paraId="0BAFBACA">
                  <w:pPr>
                    <w:spacing w:line="280" w:lineRule="exact"/>
                    <w:jc w:val="center"/>
                    <w:rPr>
                      <w:rFonts w:hint="default" w:ascii="Times New Roman" w:hAnsi="Times New Roman" w:eastAsia="宋体" w:cs="Times New Roman"/>
                      <w:color w:val="auto"/>
                      <w:spacing w:val="-20"/>
                      <w:sz w:val="21"/>
                      <w:szCs w:val="21"/>
                      <w:highlight w:val="none"/>
                      <w:lang w:val="en-US" w:eastAsia="zh-CN"/>
                    </w:rPr>
                  </w:pPr>
                  <w:r>
                    <w:rPr>
                      <w:rFonts w:hint="default" w:ascii="Times New Roman" w:hAnsi="Times New Roman" w:eastAsia="宋体" w:cs="Times New Roman"/>
                      <w:color w:val="auto"/>
                      <w:spacing w:val="-20"/>
                      <w:sz w:val="21"/>
                      <w:szCs w:val="21"/>
                      <w:highlight w:val="none"/>
                      <w:lang w:val="en-US" w:eastAsia="zh-CN"/>
                    </w:rPr>
                    <w:t>1</w:t>
                  </w:r>
                </w:p>
              </w:tc>
              <w:tc>
                <w:tcPr>
                  <w:tcW w:w="2654" w:type="dxa"/>
                  <w:tcBorders>
                    <w:tl2br w:val="nil"/>
                    <w:tr2bl w:val="nil"/>
                  </w:tcBorders>
                  <w:noWrap w:val="0"/>
                  <w:vAlign w:val="center"/>
                </w:tcPr>
                <w:p w14:paraId="6B0ECEB8">
                  <w:pPr>
                    <w:spacing w:line="280" w:lineRule="exact"/>
                    <w:jc w:val="center"/>
                    <w:rPr>
                      <w:rFonts w:hint="default" w:ascii="Times New Roman" w:hAnsi="Times New Roman" w:eastAsia="宋体" w:cs="Times New Roman"/>
                      <w:color w:val="auto"/>
                      <w:spacing w:val="-20"/>
                      <w:sz w:val="21"/>
                      <w:szCs w:val="21"/>
                      <w:highlight w:val="none"/>
                      <w:lang w:val="en-US" w:eastAsia="zh-CN"/>
                    </w:rPr>
                  </w:pPr>
                  <w:r>
                    <w:rPr>
                      <w:rFonts w:hint="default" w:ascii="Times New Roman" w:hAnsi="Times New Roman" w:eastAsia="宋体" w:cs="Times New Roman"/>
                      <w:color w:val="auto"/>
                      <w:spacing w:val="-20"/>
                      <w:sz w:val="21"/>
                      <w:szCs w:val="21"/>
                      <w:highlight w:val="none"/>
                      <w:lang w:val="en-US" w:eastAsia="zh-CN"/>
                    </w:rPr>
                    <w:t>年平均风速</w:t>
                  </w:r>
                </w:p>
              </w:tc>
              <w:tc>
                <w:tcPr>
                  <w:tcW w:w="1165" w:type="dxa"/>
                  <w:tcBorders>
                    <w:tl2br w:val="nil"/>
                    <w:tr2bl w:val="nil"/>
                  </w:tcBorders>
                  <w:noWrap w:val="0"/>
                  <w:vAlign w:val="center"/>
                </w:tcPr>
                <w:p w14:paraId="11CA23F7">
                  <w:pPr>
                    <w:spacing w:line="280" w:lineRule="exact"/>
                    <w:jc w:val="center"/>
                    <w:rPr>
                      <w:rFonts w:hint="default" w:ascii="Times New Roman" w:hAnsi="Times New Roman" w:eastAsia="宋体" w:cs="Times New Roman"/>
                      <w:color w:val="auto"/>
                      <w:spacing w:val="-20"/>
                      <w:sz w:val="21"/>
                      <w:szCs w:val="21"/>
                      <w:highlight w:val="none"/>
                      <w:lang w:val="en-US" w:eastAsia="zh-CN"/>
                    </w:rPr>
                  </w:pPr>
                  <w:r>
                    <w:rPr>
                      <w:rFonts w:hint="default" w:ascii="Times New Roman" w:hAnsi="Times New Roman" w:eastAsia="宋体" w:cs="Times New Roman"/>
                      <w:color w:val="auto"/>
                      <w:spacing w:val="-20"/>
                      <w:sz w:val="21"/>
                      <w:szCs w:val="21"/>
                      <w:highlight w:val="none"/>
                      <w:lang w:val="en-US" w:eastAsia="zh-CN"/>
                    </w:rPr>
                    <w:t>m/s</w:t>
                  </w:r>
                </w:p>
              </w:tc>
              <w:tc>
                <w:tcPr>
                  <w:tcW w:w="1639" w:type="dxa"/>
                  <w:tcBorders>
                    <w:tl2br w:val="nil"/>
                    <w:tr2bl w:val="nil"/>
                  </w:tcBorders>
                  <w:noWrap w:val="0"/>
                  <w:vAlign w:val="center"/>
                </w:tcPr>
                <w:p w14:paraId="081D21D8">
                  <w:pPr>
                    <w:spacing w:line="280" w:lineRule="exact"/>
                    <w:jc w:val="center"/>
                    <w:rPr>
                      <w:rFonts w:hint="default" w:ascii="Times New Roman" w:hAnsi="Times New Roman" w:eastAsia="宋体" w:cs="Times New Roman"/>
                      <w:color w:val="auto"/>
                      <w:spacing w:val="-20"/>
                      <w:sz w:val="21"/>
                      <w:szCs w:val="21"/>
                      <w:highlight w:val="none"/>
                      <w:lang w:val="en-US" w:eastAsia="zh-CN"/>
                    </w:rPr>
                  </w:pPr>
                  <w:r>
                    <w:rPr>
                      <w:rFonts w:hint="default" w:ascii="Times New Roman" w:hAnsi="Times New Roman" w:eastAsia="宋体" w:cs="Times New Roman"/>
                      <w:color w:val="auto"/>
                      <w:spacing w:val="-20"/>
                      <w:sz w:val="21"/>
                      <w:szCs w:val="21"/>
                      <w:highlight w:val="none"/>
                      <w:lang w:val="en-US" w:eastAsia="zh-CN"/>
                    </w:rPr>
                    <w:t>2.0</w:t>
                  </w:r>
                </w:p>
              </w:tc>
              <w:tc>
                <w:tcPr>
                  <w:tcW w:w="1431" w:type="dxa"/>
                  <w:tcBorders>
                    <w:tl2br w:val="nil"/>
                    <w:tr2bl w:val="nil"/>
                  </w:tcBorders>
                  <w:noWrap w:val="0"/>
                  <w:vAlign w:val="center"/>
                </w:tcPr>
                <w:p w14:paraId="316DFB66">
                  <w:pPr>
                    <w:spacing w:line="280" w:lineRule="exact"/>
                    <w:jc w:val="center"/>
                    <w:rPr>
                      <w:rFonts w:hint="default" w:ascii="Times New Roman" w:hAnsi="Times New Roman" w:eastAsia="宋体" w:cs="Times New Roman"/>
                      <w:color w:val="auto"/>
                      <w:spacing w:val="-20"/>
                      <w:sz w:val="21"/>
                      <w:szCs w:val="21"/>
                      <w:highlight w:val="none"/>
                      <w:lang w:val="en-US" w:eastAsia="zh-CN"/>
                    </w:rPr>
                  </w:pPr>
                  <w:r>
                    <w:rPr>
                      <w:rFonts w:hint="default" w:ascii="Times New Roman" w:hAnsi="Times New Roman" w:eastAsia="宋体" w:cs="Times New Roman"/>
                      <w:color w:val="auto"/>
                      <w:spacing w:val="-20"/>
                      <w:sz w:val="21"/>
                      <w:szCs w:val="21"/>
                      <w:highlight w:val="none"/>
                      <w:lang w:val="en-US" w:eastAsia="zh-CN"/>
                    </w:rPr>
                    <w:t>--</w:t>
                  </w:r>
                </w:p>
              </w:tc>
            </w:tr>
            <w:tr w14:paraId="46CF472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1142" w:type="dxa"/>
                  <w:tcBorders>
                    <w:tl2br w:val="nil"/>
                    <w:tr2bl w:val="nil"/>
                  </w:tcBorders>
                  <w:noWrap w:val="0"/>
                  <w:vAlign w:val="center"/>
                </w:tcPr>
                <w:p w14:paraId="41D7B61D">
                  <w:pPr>
                    <w:spacing w:line="280" w:lineRule="exact"/>
                    <w:jc w:val="center"/>
                    <w:rPr>
                      <w:rFonts w:hint="default" w:ascii="Times New Roman" w:hAnsi="Times New Roman" w:eastAsia="宋体" w:cs="Times New Roman"/>
                      <w:color w:val="auto"/>
                      <w:spacing w:val="-20"/>
                      <w:sz w:val="21"/>
                      <w:szCs w:val="21"/>
                      <w:highlight w:val="none"/>
                      <w:lang w:val="en-US" w:eastAsia="zh-CN"/>
                    </w:rPr>
                  </w:pPr>
                  <w:r>
                    <w:rPr>
                      <w:rFonts w:hint="default" w:ascii="Times New Roman" w:hAnsi="Times New Roman" w:eastAsia="宋体" w:cs="Times New Roman"/>
                      <w:color w:val="auto"/>
                      <w:spacing w:val="-20"/>
                      <w:sz w:val="21"/>
                      <w:szCs w:val="21"/>
                      <w:highlight w:val="none"/>
                      <w:lang w:val="en-US" w:eastAsia="zh-CN"/>
                    </w:rPr>
                    <w:t>2</w:t>
                  </w:r>
                </w:p>
              </w:tc>
              <w:tc>
                <w:tcPr>
                  <w:tcW w:w="2654" w:type="dxa"/>
                  <w:tcBorders>
                    <w:tl2br w:val="nil"/>
                    <w:tr2bl w:val="nil"/>
                  </w:tcBorders>
                  <w:noWrap w:val="0"/>
                  <w:vAlign w:val="center"/>
                </w:tcPr>
                <w:p w14:paraId="56FD1B62">
                  <w:pPr>
                    <w:spacing w:line="280" w:lineRule="exact"/>
                    <w:jc w:val="center"/>
                    <w:rPr>
                      <w:rFonts w:hint="default" w:ascii="Times New Roman" w:hAnsi="Times New Roman" w:eastAsia="宋体" w:cs="Times New Roman"/>
                      <w:color w:val="auto"/>
                      <w:spacing w:val="-20"/>
                      <w:sz w:val="21"/>
                      <w:szCs w:val="21"/>
                      <w:highlight w:val="none"/>
                      <w:lang w:val="en-US" w:eastAsia="zh-CN"/>
                    </w:rPr>
                  </w:pPr>
                  <w:r>
                    <w:rPr>
                      <w:rFonts w:hint="default" w:ascii="Times New Roman" w:hAnsi="Times New Roman" w:eastAsia="宋体" w:cs="Times New Roman"/>
                      <w:color w:val="auto"/>
                      <w:spacing w:val="-20"/>
                      <w:sz w:val="21"/>
                      <w:szCs w:val="21"/>
                      <w:highlight w:val="none"/>
                      <w:lang w:val="en-US" w:eastAsia="zh-CN"/>
                    </w:rPr>
                    <w:t>年主要风向、风向频率</w:t>
                  </w:r>
                </w:p>
              </w:tc>
              <w:tc>
                <w:tcPr>
                  <w:tcW w:w="1165" w:type="dxa"/>
                  <w:tcBorders>
                    <w:tl2br w:val="nil"/>
                    <w:tr2bl w:val="nil"/>
                  </w:tcBorders>
                  <w:noWrap w:val="0"/>
                  <w:vAlign w:val="center"/>
                </w:tcPr>
                <w:p w14:paraId="2A82377A">
                  <w:pPr>
                    <w:spacing w:line="280" w:lineRule="exact"/>
                    <w:jc w:val="center"/>
                    <w:rPr>
                      <w:rFonts w:hint="default" w:ascii="Times New Roman" w:hAnsi="Times New Roman" w:eastAsia="宋体" w:cs="Times New Roman"/>
                      <w:color w:val="auto"/>
                      <w:spacing w:val="-20"/>
                      <w:sz w:val="21"/>
                      <w:szCs w:val="21"/>
                      <w:highlight w:val="none"/>
                      <w:lang w:val="en-US" w:eastAsia="zh-CN"/>
                    </w:rPr>
                  </w:pPr>
                  <w:r>
                    <w:rPr>
                      <w:rFonts w:hint="default" w:ascii="Times New Roman" w:hAnsi="Times New Roman" w:eastAsia="宋体" w:cs="Times New Roman"/>
                      <w:color w:val="auto"/>
                      <w:spacing w:val="-20"/>
                      <w:sz w:val="21"/>
                      <w:szCs w:val="21"/>
                      <w:highlight w:val="none"/>
                      <w:lang w:val="en-US" w:eastAsia="zh-CN"/>
                    </w:rPr>
                    <w:t>%</w:t>
                  </w:r>
                </w:p>
              </w:tc>
              <w:tc>
                <w:tcPr>
                  <w:tcW w:w="1639" w:type="dxa"/>
                  <w:tcBorders>
                    <w:tl2br w:val="nil"/>
                    <w:tr2bl w:val="nil"/>
                  </w:tcBorders>
                  <w:noWrap w:val="0"/>
                  <w:vAlign w:val="center"/>
                </w:tcPr>
                <w:p w14:paraId="21BFD268">
                  <w:pPr>
                    <w:spacing w:line="280" w:lineRule="exact"/>
                    <w:jc w:val="center"/>
                    <w:rPr>
                      <w:rFonts w:hint="default" w:ascii="Times New Roman" w:hAnsi="Times New Roman" w:eastAsia="宋体" w:cs="Times New Roman"/>
                      <w:color w:val="auto"/>
                      <w:spacing w:val="-20"/>
                      <w:sz w:val="21"/>
                      <w:szCs w:val="21"/>
                      <w:highlight w:val="none"/>
                      <w:lang w:val="en-US" w:eastAsia="zh-CN"/>
                    </w:rPr>
                  </w:pPr>
                  <w:r>
                    <w:rPr>
                      <w:rFonts w:hint="eastAsia" w:cs="Times New Roman"/>
                      <w:color w:val="auto"/>
                      <w:spacing w:val="-20"/>
                      <w:sz w:val="21"/>
                      <w:szCs w:val="21"/>
                      <w:highlight w:val="none"/>
                      <w:lang w:val="en-US" w:eastAsia="zh-CN"/>
                    </w:rPr>
                    <w:t>NNW</w:t>
                  </w:r>
                  <w:r>
                    <w:rPr>
                      <w:rFonts w:hint="default" w:ascii="Times New Roman" w:hAnsi="Times New Roman" w:eastAsia="宋体" w:cs="Times New Roman"/>
                      <w:color w:val="auto"/>
                      <w:spacing w:val="-20"/>
                      <w:sz w:val="21"/>
                      <w:szCs w:val="21"/>
                      <w:highlight w:val="none"/>
                      <w:lang w:val="en-US" w:eastAsia="zh-CN"/>
                    </w:rPr>
                    <w:t>，</w:t>
                  </w:r>
                  <w:r>
                    <w:rPr>
                      <w:rFonts w:hint="eastAsia" w:cs="Times New Roman"/>
                      <w:color w:val="auto"/>
                      <w:spacing w:val="-20"/>
                      <w:sz w:val="21"/>
                      <w:szCs w:val="21"/>
                      <w:highlight w:val="none"/>
                      <w:lang w:val="en-US" w:eastAsia="zh-CN"/>
                    </w:rPr>
                    <w:t>8.1</w:t>
                  </w:r>
                </w:p>
              </w:tc>
              <w:tc>
                <w:tcPr>
                  <w:tcW w:w="1431" w:type="dxa"/>
                  <w:tcBorders>
                    <w:tl2br w:val="nil"/>
                    <w:tr2bl w:val="nil"/>
                  </w:tcBorders>
                  <w:noWrap w:val="0"/>
                  <w:vAlign w:val="center"/>
                </w:tcPr>
                <w:p w14:paraId="73D84246">
                  <w:pPr>
                    <w:spacing w:line="280" w:lineRule="exact"/>
                    <w:jc w:val="center"/>
                    <w:rPr>
                      <w:rFonts w:hint="default" w:ascii="Times New Roman" w:hAnsi="Times New Roman" w:eastAsia="宋体" w:cs="Times New Roman"/>
                      <w:color w:val="auto"/>
                      <w:spacing w:val="-20"/>
                      <w:sz w:val="21"/>
                      <w:szCs w:val="21"/>
                      <w:highlight w:val="none"/>
                      <w:lang w:val="en-US" w:eastAsia="zh-CN"/>
                    </w:rPr>
                  </w:pPr>
                  <w:r>
                    <w:rPr>
                      <w:rFonts w:hint="default" w:ascii="Times New Roman" w:hAnsi="Times New Roman" w:eastAsia="宋体" w:cs="Times New Roman"/>
                      <w:color w:val="auto"/>
                      <w:spacing w:val="-20"/>
                      <w:sz w:val="21"/>
                      <w:szCs w:val="21"/>
                      <w:highlight w:val="none"/>
                      <w:lang w:val="en-US" w:eastAsia="zh-CN"/>
                    </w:rPr>
                    <w:t>--</w:t>
                  </w:r>
                </w:p>
              </w:tc>
            </w:tr>
            <w:tr w14:paraId="600FA54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1142" w:type="dxa"/>
                  <w:tcBorders>
                    <w:tl2br w:val="nil"/>
                    <w:tr2bl w:val="nil"/>
                  </w:tcBorders>
                  <w:noWrap w:val="0"/>
                  <w:vAlign w:val="center"/>
                </w:tcPr>
                <w:p w14:paraId="67BE3C46">
                  <w:pPr>
                    <w:spacing w:line="280" w:lineRule="exact"/>
                    <w:jc w:val="center"/>
                    <w:rPr>
                      <w:rFonts w:hint="default" w:ascii="Times New Roman" w:hAnsi="Times New Roman" w:eastAsia="宋体" w:cs="Times New Roman"/>
                      <w:color w:val="auto"/>
                      <w:spacing w:val="-20"/>
                      <w:sz w:val="21"/>
                      <w:szCs w:val="21"/>
                      <w:highlight w:val="none"/>
                      <w:lang w:val="en-US" w:eastAsia="zh-CN"/>
                    </w:rPr>
                  </w:pPr>
                  <w:r>
                    <w:rPr>
                      <w:rFonts w:hint="default" w:ascii="Times New Roman" w:hAnsi="Times New Roman" w:eastAsia="宋体" w:cs="Times New Roman"/>
                      <w:color w:val="auto"/>
                      <w:spacing w:val="-20"/>
                      <w:sz w:val="21"/>
                      <w:szCs w:val="21"/>
                      <w:highlight w:val="none"/>
                      <w:lang w:val="en-US" w:eastAsia="zh-CN"/>
                    </w:rPr>
                    <w:t>3</w:t>
                  </w:r>
                </w:p>
              </w:tc>
              <w:tc>
                <w:tcPr>
                  <w:tcW w:w="2654" w:type="dxa"/>
                  <w:tcBorders>
                    <w:tl2br w:val="nil"/>
                    <w:tr2bl w:val="nil"/>
                  </w:tcBorders>
                  <w:noWrap w:val="0"/>
                  <w:vAlign w:val="center"/>
                </w:tcPr>
                <w:p w14:paraId="235C02AF">
                  <w:pPr>
                    <w:spacing w:line="280" w:lineRule="exact"/>
                    <w:jc w:val="center"/>
                    <w:rPr>
                      <w:rFonts w:hint="default" w:ascii="Times New Roman" w:hAnsi="Times New Roman" w:eastAsia="宋体" w:cs="Times New Roman"/>
                      <w:color w:val="auto"/>
                      <w:spacing w:val="-20"/>
                      <w:sz w:val="21"/>
                      <w:szCs w:val="21"/>
                      <w:highlight w:val="none"/>
                      <w:lang w:val="en-US" w:eastAsia="zh-CN"/>
                    </w:rPr>
                  </w:pPr>
                  <w:r>
                    <w:rPr>
                      <w:rFonts w:hint="default" w:ascii="Times New Roman" w:hAnsi="Times New Roman" w:eastAsia="宋体" w:cs="Times New Roman"/>
                      <w:color w:val="auto"/>
                      <w:spacing w:val="-20"/>
                      <w:sz w:val="21"/>
                      <w:szCs w:val="21"/>
                      <w:highlight w:val="none"/>
                      <w:lang w:val="en-US" w:eastAsia="zh-CN"/>
                    </w:rPr>
                    <w:t>年平均温度</w:t>
                  </w:r>
                </w:p>
              </w:tc>
              <w:tc>
                <w:tcPr>
                  <w:tcW w:w="1165" w:type="dxa"/>
                  <w:tcBorders>
                    <w:tl2br w:val="nil"/>
                    <w:tr2bl w:val="nil"/>
                  </w:tcBorders>
                  <w:noWrap w:val="0"/>
                  <w:vAlign w:val="center"/>
                </w:tcPr>
                <w:p w14:paraId="62711323">
                  <w:pPr>
                    <w:spacing w:line="280" w:lineRule="exact"/>
                    <w:jc w:val="center"/>
                    <w:rPr>
                      <w:rFonts w:hint="default" w:ascii="Times New Roman" w:hAnsi="Times New Roman" w:eastAsia="宋体" w:cs="Times New Roman"/>
                      <w:color w:val="auto"/>
                      <w:spacing w:val="-20"/>
                      <w:sz w:val="21"/>
                      <w:szCs w:val="21"/>
                      <w:highlight w:val="none"/>
                      <w:lang w:val="en-US" w:eastAsia="zh-CN"/>
                    </w:rPr>
                  </w:pPr>
                  <w:r>
                    <w:rPr>
                      <w:rFonts w:hint="default" w:ascii="Times New Roman" w:hAnsi="Times New Roman" w:eastAsia="宋体" w:cs="Times New Roman"/>
                      <w:color w:val="auto"/>
                      <w:spacing w:val="-20"/>
                      <w:sz w:val="21"/>
                      <w:szCs w:val="21"/>
                      <w:highlight w:val="none"/>
                      <w:lang w:val="en-US" w:eastAsia="zh-CN"/>
                    </w:rPr>
                    <w:t>℃</w:t>
                  </w:r>
                </w:p>
              </w:tc>
              <w:tc>
                <w:tcPr>
                  <w:tcW w:w="1639" w:type="dxa"/>
                  <w:tcBorders>
                    <w:tl2br w:val="nil"/>
                    <w:tr2bl w:val="nil"/>
                  </w:tcBorders>
                  <w:noWrap w:val="0"/>
                  <w:vAlign w:val="center"/>
                </w:tcPr>
                <w:p w14:paraId="47A275A0">
                  <w:pPr>
                    <w:spacing w:line="280" w:lineRule="exact"/>
                    <w:jc w:val="center"/>
                    <w:rPr>
                      <w:rFonts w:hint="default" w:ascii="Times New Roman" w:hAnsi="Times New Roman" w:eastAsia="宋体" w:cs="Times New Roman"/>
                      <w:color w:val="auto"/>
                      <w:spacing w:val="-20"/>
                      <w:sz w:val="21"/>
                      <w:szCs w:val="21"/>
                      <w:highlight w:val="none"/>
                      <w:lang w:val="en-US" w:eastAsia="zh-CN"/>
                    </w:rPr>
                  </w:pPr>
                  <w:r>
                    <w:rPr>
                      <w:rFonts w:hint="default" w:ascii="Times New Roman" w:hAnsi="Times New Roman" w:eastAsia="宋体" w:cs="Times New Roman"/>
                      <w:color w:val="auto"/>
                      <w:spacing w:val="-20"/>
                      <w:sz w:val="21"/>
                      <w:szCs w:val="21"/>
                      <w:highlight w:val="none"/>
                      <w:lang w:val="en-US" w:eastAsia="zh-CN"/>
                    </w:rPr>
                    <w:t>11.</w:t>
                  </w:r>
                  <w:r>
                    <w:rPr>
                      <w:rFonts w:hint="eastAsia" w:cs="Times New Roman"/>
                      <w:color w:val="auto"/>
                      <w:spacing w:val="-20"/>
                      <w:sz w:val="21"/>
                      <w:szCs w:val="21"/>
                      <w:highlight w:val="none"/>
                      <w:lang w:val="en-US" w:eastAsia="zh-CN"/>
                    </w:rPr>
                    <w:t>9</w:t>
                  </w:r>
                </w:p>
              </w:tc>
              <w:tc>
                <w:tcPr>
                  <w:tcW w:w="1431" w:type="dxa"/>
                  <w:tcBorders>
                    <w:tl2br w:val="nil"/>
                    <w:tr2bl w:val="nil"/>
                  </w:tcBorders>
                  <w:noWrap w:val="0"/>
                  <w:vAlign w:val="center"/>
                </w:tcPr>
                <w:p w14:paraId="75819735">
                  <w:pPr>
                    <w:spacing w:line="280" w:lineRule="exact"/>
                    <w:jc w:val="center"/>
                    <w:rPr>
                      <w:rFonts w:hint="default" w:ascii="Times New Roman" w:hAnsi="Times New Roman" w:eastAsia="宋体" w:cs="Times New Roman"/>
                      <w:color w:val="auto"/>
                      <w:spacing w:val="-20"/>
                      <w:sz w:val="21"/>
                      <w:szCs w:val="21"/>
                      <w:highlight w:val="none"/>
                      <w:lang w:val="en-US" w:eastAsia="zh-CN"/>
                    </w:rPr>
                  </w:pPr>
                  <w:r>
                    <w:rPr>
                      <w:rFonts w:hint="default" w:ascii="Times New Roman" w:hAnsi="Times New Roman" w:eastAsia="宋体" w:cs="Times New Roman"/>
                      <w:color w:val="auto"/>
                      <w:spacing w:val="-20"/>
                      <w:sz w:val="21"/>
                      <w:szCs w:val="21"/>
                      <w:highlight w:val="none"/>
                      <w:lang w:val="en-US" w:eastAsia="zh-CN"/>
                    </w:rPr>
                    <w:t>--</w:t>
                  </w:r>
                </w:p>
              </w:tc>
            </w:tr>
            <w:tr w14:paraId="027A10F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1142" w:type="dxa"/>
                  <w:tcBorders>
                    <w:tl2br w:val="nil"/>
                    <w:tr2bl w:val="nil"/>
                  </w:tcBorders>
                  <w:noWrap w:val="0"/>
                  <w:vAlign w:val="center"/>
                </w:tcPr>
                <w:p w14:paraId="699C2A07">
                  <w:pPr>
                    <w:spacing w:line="280" w:lineRule="exact"/>
                    <w:jc w:val="center"/>
                    <w:rPr>
                      <w:rFonts w:hint="default" w:ascii="Times New Roman" w:hAnsi="Times New Roman" w:eastAsia="宋体" w:cs="Times New Roman"/>
                      <w:color w:val="auto"/>
                      <w:spacing w:val="-20"/>
                      <w:sz w:val="21"/>
                      <w:szCs w:val="21"/>
                      <w:highlight w:val="none"/>
                      <w:lang w:val="en-US" w:eastAsia="zh-CN"/>
                    </w:rPr>
                  </w:pPr>
                  <w:r>
                    <w:rPr>
                      <w:rFonts w:hint="default" w:ascii="Times New Roman" w:hAnsi="Times New Roman" w:eastAsia="宋体" w:cs="Times New Roman"/>
                      <w:color w:val="auto"/>
                      <w:spacing w:val="-20"/>
                      <w:sz w:val="21"/>
                      <w:szCs w:val="21"/>
                      <w:highlight w:val="none"/>
                      <w:lang w:val="en-US" w:eastAsia="zh-CN"/>
                    </w:rPr>
                    <w:t>4</w:t>
                  </w:r>
                </w:p>
              </w:tc>
              <w:tc>
                <w:tcPr>
                  <w:tcW w:w="2654" w:type="dxa"/>
                  <w:tcBorders>
                    <w:tl2br w:val="nil"/>
                    <w:tr2bl w:val="nil"/>
                  </w:tcBorders>
                  <w:noWrap w:val="0"/>
                  <w:vAlign w:val="center"/>
                </w:tcPr>
                <w:p w14:paraId="54FCC3BF">
                  <w:pPr>
                    <w:spacing w:line="280" w:lineRule="exact"/>
                    <w:jc w:val="center"/>
                    <w:rPr>
                      <w:rFonts w:hint="default" w:ascii="Times New Roman" w:hAnsi="Times New Roman" w:eastAsia="宋体" w:cs="Times New Roman"/>
                      <w:color w:val="auto"/>
                      <w:spacing w:val="-20"/>
                      <w:sz w:val="21"/>
                      <w:szCs w:val="21"/>
                      <w:highlight w:val="none"/>
                      <w:lang w:val="en-US" w:eastAsia="zh-CN"/>
                    </w:rPr>
                  </w:pPr>
                  <w:r>
                    <w:rPr>
                      <w:rFonts w:hint="default" w:ascii="Times New Roman" w:hAnsi="Times New Roman" w:eastAsia="宋体" w:cs="Times New Roman"/>
                      <w:color w:val="auto"/>
                      <w:spacing w:val="-20"/>
                      <w:sz w:val="21"/>
                      <w:szCs w:val="21"/>
                      <w:highlight w:val="none"/>
                      <w:lang w:val="en-US" w:eastAsia="zh-CN"/>
                    </w:rPr>
                    <w:t>年平均气压</w:t>
                  </w:r>
                </w:p>
              </w:tc>
              <w:tc>
                <w:tcPr>
                  <w:tcW w:w="1165" w:type="dxa"/>
                  <w:tcBorders>
                    <w:tl2br w:val="nil"/>
                    <w:tr2bl w:val="nil"/>
                  </w:tcBorders>
                  <w:noWrap w:val="0"/>
                  <w:vAlign w:val="center"/>
                </w:tcPr>
                <w:p w14:paraId="604CBAED">
                  <w:pPr>
                    <w:spacing w:line="280" w:lineRule="exact"/>
                    <w:jc w:val="center"/>
                    <w:rPr>
                      <w:rFonts w:hint="default" w:ascii="Times New Roman" w:hAnsi="Times New Roman" w:eastAsia="宋体" w:cs="Times New Roman"/>
                      <w:color w:val="auto"/>
                      <w:spacing w:val="-20"/>
                      <w:sz w:val="21"/>
                      <w:szCs w:val="21"/>
                      <w:highlight w:val="none"/>
                      <w:lang w:val="en-US" w:eastAsia="zh-CN"/>
                    </w:rPr>
                  </w:pPr>
                  <w:r>
                    <w:rPr>
                      <w:rFonts w:hint="default" w:ascii="Times New Roman" w:hAnsi="Times New Roman" w:eastAsia="宋体" w:cs="Times New Roman"/>
                      <w:color w:val="auto"/>
                      <w:spacing w:val="-20"/>
                      <w:sz w:val="21"/>
                      <w:szCs w:val="21"/>
                      <w:highlight w:val="none"/>
                      <w:lang w:val="en-US" w:eastAsia="zh-CN"/>
                    </w:rPr>
                    <w:t>hPa</w:t>
                  </w:r>
                </w:p>
              </w:tc>
              <w:tc>
                <w:tcPr>
                  <w:tcW w:w="1639" w:type="dxa"/>
                  <w:tcBorders>
                    <w:tl2br w:val="nil"/>
                    <w:tr2bl w:val="nil"/>
                  </w:tcBorders>
                  <w:noWrap w:val="0"/>
                  <w:vAlign w:val="center"/>
                </w:tcPr>
                <w:p w14:paraId="4CFFF87B">
                  <w:pPr>
                    <w:spacing w:line="280" w:lineRule="exact"/>
                    <w:jc w:val="center"/>
                    <w:rPr>
                      <w:rFonts w:hint="default" w:ascii="Times New Roman" w:hAnsi="Times New Roman" w:eastAsia="宋体" w:cs="Times New Roman"/>
                      <w:color w:val="auto"/>
                      <w:spacing w:val="-20"/>
                      <w:sz w:val="21"/>
                      <w:szCs w:val="21"/>
                      <w:highlight w:val="none"/>
                      <w:lang w:val="en-US" w:eastAsia="zh-CN"/>
                    </w:rPr>
                  </w:pPr>
                  <w:r>
                    <w:rPr>
                      <w:rFonts w:hint="default" w:ascii="Times New Roman" w:hAnsi="Times New Roman" w:eastAsia="宋体" w:cs="Times New Roman"/>
                      <w:color w:val="auto"/>
                      <w:spacing w:val="-20"/>
                      <w:sz w:val="21"/>
                      <w:szCs w:val="21"/>
                      <w:highlight w:val="none"/>
                      <w:lang w:val="en-US" w:eastAsia="zh-CN"/>
                    </w:rPr>
                    <w:t>1011.4</w:t>
                  </w:r>
                </w:p>
              </w:tc>
              <w:tc>
                <w:tcPr>
                  <w:tcW w:w="1431" w:type="dxa"/>
                  <w:tcBorders>
                    <w:tl2br w:val="nil"/>
                    <w:tr2bl w:val="nil"/>
                  </w:tcBorders>
                  <w:noWrap w:val="0"/>
                  <w:vAlign w:val="center"/>
                </w:tcPr>
                <w:p w14:paraId="5DA03ADE">
                  <w:pPr>
                    <w:spacing w:line="280" w:lineRule="exact"/>
                    <w:jc w:val="center"/>
                    <w:rPr>
                      <w:rFonts w:hint="default" w:ascii="Times New Roman" w:hAnsi="Times New Roman" w:eastAsia="宋体" w:cs="Times New Roman"/>
                      <w:color w:val="auto"/>
                      <w:spacing w:val="-20"/>
                      <w:sz w:val="21"/>
                      <w:szCs w:val="21"/>
                      <w:highlight w:val="none"/>
                      <w:lang w:val="en-US" w:eastAsia="zh-CN"/>
                    </w:rPr>
                  </w:pPr>
                  <w:r>
                    <w:rPr>
                      <w:rFonts w:hint="default" w:ascii="Times New Roman" w:hAnsi="Times New Roman" w:eastAsia="宋体" w:cs="Times New Roman"/>
                      <w:color w:val="auto"/>
                      <w:spacing w:val="-20"/>
                      <w:sz w:val="21"/>
                      <w:szCs w:val="21"/>
                      <w:highlight w:val="none"/>
                      <w:lang w:val="en-US" w:eastAsia="zh-CN"/>
                    </w:rPr>
                    <w:t>--</w:t>
                  </w:r>
                </w:p>
              </w:tc>
            </w:tr>
            <w:tr w14:paraId="7E82056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1142" w:type="dxa"/>
                  <w:tcBorders>
                    <w:tl2br w:val="nil"/>
                    <w:tr2bl w:val="nil"/>
                  </w:tcBorders>
                  <w:noWrap w:val="0"/>
                  <w:vAlign w:val="center"/>
                </w:tcPr>
                <w:p w14:paraId="29148AB2">
                  <w:pPr>
                    <w:spacing w:line="280" w:lineRule="exact"/>
                    <w:jc w:val="center"/>
                    <w:rPr>
                      <w:rFonts w:hint="default" w:ascii="Times New Roman" w:hAnsi="Times New Roman" w:eastAsia="宋体" w:cs="Times New Roman"/>
                      <w:color w:val="auto"/>
                      <w:spacing w:val="-20"/>
                      <w:sz w:val="21"/>
                      <w:szCs w:val="21"/>
                      <w:highlight w:val="none"/>
                      <w:lang w:val="en-US" w:eastAsia="zh-CN"/>
                    </w:rPr>
                  </w:pPr>
                  <w:r>
                    <w:rPr>
                      <w:rFonts w:hint="default" w:ascii="Times New Roman" w:hAnsi="Times New Roman" w:eastAsia="宋体" w:cs="Times New Roman"/>
                      <w:color w:val="auto"/>
                      <w:spacing w:val="-20"/>
                      <w:sz w:val="21"/>
                      <w:szCs w:val="21"/>
                      <w:highlight w:val="none"/>
                      <w:lang w:val="en-US" w:eastAsia="zh-CN"/>
                    </w:rPr>
                    <w:t>5</w:t>
                  </w:r>
                </w:p>
              </w:tc>
              <w:tc>
                <w:tcPr>
                  <w:tcW w:w="2654" w:type="dxa"/>
                  <w:tcBorders>
                    <w:tl2br w:val="nil"/>
                    <w:tr2bl w:val="nil"/>
                  </w:tcBorders>
                  <w:noWrap w:val="0"/>
                  <w:vAlign w:val="center"/>
                </w:tcPr>
                <w:p w14:paraId="38363FC8">
                  <w:pPr>
                    <w:spacing w:line="280" w:lineRule="exact"/>
                    <w:jc w:val="center"/>
                    <w:rPr>
                      <w:rFonts w:hint="default" w:ascii="Times New Roman" w:hAnsi="Times New Roman" w:eastAsia="宋体" w:cs="Times New Roman"/>
                      <w:color w:val="auto"/>
                      <w:spacing w:val="-20"/>
                      <w:sz w:val="21"/>
                      <w:szCs w:val="21"/>
                      <w:highlight w:val="none"/>
                      <w:lang w:val="en-US" w:eastAsia="zh-CN"/>
                    </w:rPr>
                  </w:pPr>
                  <w:r>
                    <w:rPr>
                      <w:rFonts w:hint="default" w:ascii="Times New Roman" w:hAnsi="Times New Roman" w:eastAsia="宋体" w:cs="Times New Roman"/>
                      <w:color w:val="auto"/>
                      <w:spacing w:val="-20"/>
                      <w:sz w:val="21"/>
                      <w:szCs w:val="21"/>
                      <w:highlight w:val="none"/>
                      <w:lang w:val="en-US" w:eastAsia="zh-CN"/>
                    </w:rPr>
                    <w:t>年平均相对湿度</w:t>
                  </w:r>
                </w:p>
              </w:tc>
              <w:tc>
                <w:tcPr>
                  <w:tcW w:w="1165" w:type="dxa"/>
                  <w:tcBorders>
                    <w:tl2br w:val="nil"/>
                    <w:tr2bl w:val="nil"/>
                  </w:tcBorders>
                  <w:noWrap w:val="0"/>
                  <w:vAlign w:val="center"/>
                </w:tcPr>
                <w:p w14:paraId="584F1D23">
                  <w:pPr>
                    <w:spacing w:line="280" w:lineRule="exact"/>
                    <w:jc w:val="center"/>
                    <w:rPr>
                      <w:rFonts w:hint="default" w:ascii="Times New Roman" w:hAnsi="Times New Roman" w:eastAsia="宋体" w:cs="Times New Roman"/>
                      <w:color w:val="auto"/>
                      <w:spacing w:val="-20"/>
                      <w:sz w:val="21"/>
                      <w:szCs w:val="21"/>
                      <w:highlight w:val="none"/>
                      <w:lang w:val="en-US" w:eastAsia="zh-CN"/>
                    </w:rPr>
                  </w:pPr>
                  <w:r>
                    <w:rPr>
                      <w:rFonts w:hint="default" w:ascii="Times New Roman" w:hAnsi="Times New Roman" w:eastAsia="宋体" w:cs="Times New Roman"/>
                      <w:color w:val="auto"/>
                      <w:spacing w:val="-20"/>
                      <w:sz w:val="21"/>
                      <w:szCs w:val="21"/>
                      <w:highlight w:val="none"/>
                      <w:lang w:val="en-US" w:eastAsia="zh-CN"/>
                    </w:rPr>
                    <w:t>%</w:t>
                  </w:r>
                </w:p>
              </w:tc>
              <w:tc>
                <w:tcPr>
                  <w:tcW w:w="1639" w:type="dxa"/>
                  <w:tcBorders>
                    <w:tl2br w:val="nil"/>
                    <w:tr2bl w:val="nil"/>
                  </w:tcBorders>
                  <w:noWrap w:val="0"/>
                  <w:vAlign w:val="center"/>
                </w:tcPr>
                <w:p w14:paraId="3DB666E3">
                  <w:pPr>
                    <w:spacing w:line="280" w:lineRule="exact"/>
                    <w:jc w:val="center"/>
                    <w:rPr>
                      <w:rFonts w:hint="default" w:ascii="Times New Roman" w:hAnsi="Times New Roman" w:eastAsia="宋体" w:cs="Times New Roman"/>
                      <w:color w:val="auto"/>
                      <w:spacing w:val="-20"/>
                      <w:sz w:val="21"/>
                      <w:szCs w:val="21"/>
                      <w:highlight w:val="none"/>
                      <w:lang w:val="en-US" w:eastAsia="zh-CN"/>
                    </w:rPr>
                  </w:pPr>
                  <w:r>
                    <w:rPr>
                      <w:rFonts w:hint="default" w:ascii="Times New Roman" w:hAnsi="Times New Roman" w:eastAsia="宋体" w:cs="Times New Roman"/>
                      <w:color w:val="auto"/>
                      <w:spacing w:val="-20"/>
                      <w:sz w:val="21"/>
                      <w:szCs w:val="21"/>
                      <w:highlight w:val="none"/>
                      <w:lang w:val="en-US" w:eastAsia="zh-CN"/>
                    </w:rPr>
                    <w:t>60.6</w:t>
                  </w:r>
                </w:p>
              </w:tc>
              <w:tc>
                <w:tcPr>
                  <w:tcW w:w="1431" w:type="dxa"/>
                  <w:tcBorders>
                    <w:tl2br w:val="nil"/>
                    <w:tr2bl w:val="nil"/>
                  </w:tcBorders>
                  <w:noWrap w:val="0"/>
                  <w:vAlign w:val="center"/>
                </w:tcPr>
                <w:p w14:paraId="37E33E7B">
                  <w:pPr>
                    <w:spacing w:line="280" w:lineRule="exact"/>
                    <w:jc w:val="center"/>
                    <w:rPr>
                      <w:rFonts w:hint="default" w:ascii="Times New Roman" w:hAnsi="Times New Roman" w:eastAsia="宋体" w:cs="Times New Roman"/>
                      <w:color w:val="auto"/>
                      <w:spacing w:val="-20"/>
                      <w:sz w:val="21"/>
                      <w:szCs w:val="21"/>
                      <w:highlight w:val="none"/>
                      <w:lang w:val="en-US" w:eastAsia="zh-CN"/>
                    </w:rPr>
                  </w:pPr>
                  <w:r>
                    <w:rPr>
                      <w:rFonts w:hint="default" w:ascii="Times New Roman" w:hAnsi="Times New Roman" w:eastAsia="宋体" w:cs="Times New Roman"/>
                      <w:color w:val="auto"/>
                      <w:spacing w:val="-20"/>
                      <w:sz w:val="21"/>
                      <w:szCs w:val="21"/>
                      <w:highlight w:val="none"/>
                      <w:lang w:val="en-US" w:eastAsia="zh-CN"/>
                    </w:rPr>
                    <w:t>--</w:t>
                  </w:r>
                </w:p>
              </w:tc>
            </w:tr>
            <w:tr w14:paraId="0D6984C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1142" w:type="dxa"/>
                  <w:tcBorders>
                    <w:tl2br w:val="nil"/>
                    <w:tr2bl w:val="nil"/>
                  </w:tcBorders>
                  <w:noWrap w:val="0"/>
                  <w:vAlign w:val="center"/>
                </w:tcPr>
                <w:p w14:paraId="1EC80331">
                  <w:pPr>
                    <w:spacing w:line="280" w:lineRule="exact"/>
                    <w:jc w:val="center"/>
                    <w:rPr>
                      <w:rFonts w:hint="default" w:ascii="Times New Roman" w:hAnsi="Times New Roman" w:eastAsia="宋体" w:cs="Times New Roman"/>
                      <w:color w:val="auto"/>
                      <w:spacing w:val="-20"/>
                      <w:sz w:val="21"/>
                      <w:szCs w:val="21"/>
                      <w:highlight w:val="none"/>
                      <w:lang w:val="en-US" w:eastAsia="zh-CN"/>
                    </w:rPr>
                  </w:pPr>
                  <w:r>
                    <w:rPr>
                      <w:rFonts w:hint="eastAsia" w:cs="Times New Roman"/>
                      <w:color w:val="auto"/>
                      <w:spacing w:val="-20"/>
                      <w:sz w:val="21"/>
                      <w:szCs w:val="21"/>
                      <w:highlight w:val="none"/>
                      <w:lang w:val="en-US" w:eastAsia="zh-CN"/>
                    </w:rPr>
                    <w:t>6</w:t>
                  </w:r>
                </w:p>
              </w:tc>
              <w:tc>
                <w:tcPr>
                  <w:tcW w:w="2654" w:type="dxa"/>
                  <w:tcBorders>
                    <w:tl2br w:val="nil"/>
                    <w:tr2bl w:val="nil"/>
                  </w:tcBorders>
                  <w:noWrap w:val="0"/>
                  <w:vAlign w:val="center"/>
                </w:tcPr>
                <w:p w14:paraId="601C8A84">
                  <w:pPr>
                    <w:spacing w:line="280" w:lineRule="exact"/>
                    <w:jc w:val="center"/>
                    <w:rPr>
                      <w:rFonts w:hint="default" w:ascii="Times New Roman" w:hAnsi="Times New Roman" w:eastAsia="宋体" w:cs="Times New Roman"/>
                      <w:color w:val="auto"/>
                      <w:spacing w:val="-20"/>
                      <w:sz w:val="21"/>
                      <w:szCs w:val="21"/>
                      <w:highlight w:val="none"/>
                      <w:lang w:val="en-US" w:eastAsia="zh-CN"/>
                    </w:rPr>
                  </w:pPr>
                  <w:r>
                    <w:rPr>
                      <w:rFonts w:hint="default" w:ascii="Times New Roman" w:hAnsi="Times New Roman" w:eastAsia="宋体" w:cs="Times New Roman"/>
                      <w:color w:val="auto"/>
                      <w:spacing w:val="-20"/>
                      <w:sz w:val="21"/>
                      <w:szCs w:val="21"/>
                      <w:highlight w:val="none"/>
                      <w:lang w:val="en-US" w:eastAsia="zh-CN"/>
                    </w:rPr>
                    <w:t>声源和预测点间的地面覆盖情况</w:t>
                  </w:r>
                </w:p>
              </w:tc>
              <w:tc>
                <w:tcPr>
                  <w:tcW w:w="1165" w:type="dxa"/>
                  <w:tcBorders>
                    <w:tl2br w:val="nil"/>
                    <w:tr2bl w:val="nil"/>
                  </w:tcBorders>
                  <w:noWrap w:val="0"/>
                  <w:vAlign w:val="center"/>
                </w:tcPr>
                <w:p w14:paraId="699643BE">
                  <w:pPr>
                    <w:spacing w:line="280" w:lineRule="exact"/>
                    <w:jc w:val="center"/>
                    <w:rPr>
                      <w:rFonts w:hint="default" w:ascii="Times New Roman" w:hAnsi="Times New Roman" w:eastAsia="宋体" w:cs="Times New Roman"/>
                      <w:color w:val="auto"/>
                      <w:spacing w:val="-20"/>
                      <w:sz w:val="21"/>
                      <w:szCs w:val="21"/>
                      <w:highlight w:val="none"/>
                      <w:lang w:val="en-US" w:eastAsia="zh-CN"/>
                    </w:rPr>
                  </w:pPr>
                  <w:r>
                    <w:rPr>
                      <w:rFonts w:hint="default" w:ascii="Times New Roman" w:hAnsi="Times New Roman" w:eastAsia="宋体" w:cs="Times New Roman"/>
                      <w:color w:val="auto"/>
                      <w:spacing w:val="-20"/>
                      <w:sz w:val="21"/>
                      <w:szCs w:val="21"/>
                      <w:highlight w:val="none"/>
                      <w:lang w:val="en-US" w:eastAsia="zh-CN"/>
                    </w:rPr>
                    <w:t>--</w:t>
                  </w:r>
                </w:p>
              </w:tc>
              <w:tc>
                <w:tcPr>
                  <w:tcW w:w="1639" w:type="dxa"/>
                  <w:tcBorders>
                    <w:tl2br w:val="nil"/>
                    <w:tr2bl w:val="nil"/>
                  </w:tcBorders>
                  <w:noWrap w:val="0"/>
                  <w:vAlign w:val="center"/>
                </w:tcPr>
                <w:p w14:paraId="41EB3CA5">
                  <w:pPr>
                    <w:spacing w:line="280" w:lineRule="exact"/>
                    <w:jc w:val="center"/>
                    <w:rPr>
                      <w:rFonts w:hint="default" w:ascii="Times New Roman" w:hAnsi="Times New Roman" w:eastAsia="宋体" w:cs="Times New Roman"/>
                      <w:color w:val="auto"/>
                      <w:spacing w:val="-20"/>
                      <w:sz w:val="21"/>
                      <w:szCs w:val="21"/>
                      <w:highlight w:val="none"/>
                      <w:lang w:val="en-US" w:eastAsia="zh-CN"/>
                    </w:rPr>
                  </w:pPr>
                  <w:r>
                    <w:rPr>
                      <w:rFonts w:hint="default" w:ascii="Times New Roman" w:hAnsi="Times New Roman" w:eastAsia="宋体" w:cs="Times New Roman"/>
                      <w:color w:val="auto"/>
                      <w:spacing w:val="-20"/>
                      <w:sz w:val="21"/>
                      <w:szCs w:val="21"/>
                      <w:highlight w:val="none"/>
                      <w:lang w:val="en-US" w:eastAsia="zh-CN"/>
                    </w:rPr>
                    <w:t>水泥地面</w:t>
                  </w:r>
                </w:p>
              </w:tc>
              <w:tc>
                <w:tcPr>
                  <w:tcW w:w="1431" w:type="dxa"/>
                  <w:tcBorders>
                    <w:tl2br w:val="nil"/>
                    <w:tr2bl w:val="nil"/>
                  </w:tcBorders>
                  <w:noWrap w:val="0"/>
                  <w:vAlign w:val="center"/>
                </w:tcPr>
                <w:p w14:paraId="18625186">
                  <w:pPr>
                    <w:spacing w:line="280" w:lineRule="exact"/>
                    <w:jc w:val="center"/>
                    <w:rPr>
                      <w:rFonts w:hint="default" w:ascii="Times New Roman" w:hAnsi="Times New Roman" w:eastAsia="宋体" w:cs="Times New Roman"/>
                      <w:color w:val="auto"/>
                      <w:spacing w:val="-20"/>
                      <w:sz w:val="21"/>
                      <w:szCs w:val="21"/>
                      <w:highlight w:val="none"/>
                      <w:lang w:val="en-US" w:eastAsia="zh-CN"/>
                    </w:rPr>
                  </w:pPr>
                  <w:r>
                    <w:rPr>
                      <w:rFonts w:hint="default" w:ascii="Times New Roman" w:hAnsi="Times New Roman" w:eastAsia="宋体" w:cs="Times New Roman"/>
                      <w:color w:val="auto"/>
                      <w:spacing w:val="-20"/>
                      <w:sz w:val="21"/>
                      <w:szCs w:val="21"/>
                      <w:highlight w:val="none"/>
                      <w:lang w:val="en-US" w:eastAsia="zh-CN"/>
                    </w:rPr>
                    <w:t>--</w:t>
                  </w:r>
                </w:p>
              </w:tc>
            </w:tr>
          </w:tbl>
          <w:p w14:paraId="4D99FAAA">
            <w:pPr>
              <w:pStyle w:val="24"/>
              <w:adjustRightInd w:val="0"/>
              <w:snapToGrid w:val="0"/>
              <w:spacing w:before="0" w:beforeAutospacing="0" w:after="0" w:afterAutospacing="0" w:line="440" w:lineRule="exact"/>
              <w:ind w:firstLine="422" w:firstLineChars="200"/>
              <w:rPr>
                <w:rFonts w:ascii="Times New Roman" w:hAnsi="Times New Roman"/>
                <w:b/>
                <w:color w:val="auto"/>
                <w:sz w:val="21"/>
                <w:szCs w:val="21"/>
              </w:rPr>
            </w:pPr>
            <w:r>
              <w:rPr>
                <w:rFonts w:hint="eastAsia" w:ascii="Times New Roman" w:hAnsi="Times New Roman"/>
                <w:b/>
                <w:color w:val="auto"/>
                <w:sz w:val="21"/>
                <w:szCs w:val="21"/>
              </w:rPr>
              <w:t>3.2厂界达标情况</w:t>
            </w:r>
          </w:p>
          <w:p w14:paraId="1609701F">
            <w:pPr>
              <w:spacing w:line="440" w:lineRule="exact"/>
              <w:ind w:firstLine="420" w:firstLineChars="200"/>
              <w:rPr>
                <w:color w:val="auto"/>
                <w:szCs w:val="21"/>
              </w:rPr>
            </w:pPr>
            <w:r>
              <w:rPr>
                <w:rFonts w:hint="eastAsia" w:ascii="宋体" w:hAnsi="宋体"/>
                <w:color w:val="auto"/>
                <w:szCs w:val="21"/>
              </w:rPr>
              <w:t>（1）</w:t>
            </w:r>
            <w:r>
              <w:rPr>
                <w:rFonts w:hint="eastAsia"/>
                <w:color w:val="auto"/>
                <w:szCs w:val="21"/>
              </w:rPr>
              <w:t>预测模式</w:t>
            </w:r>
          </w:p>
          <w:p w14:paraId="2598D2C0">
            <w:pPr>
              <w:spacing w:line="440" w:lineRule="exact"/>
              <w:ind w:firstLine="420" w:firstLineChars="200"/>
              <w:rPr>
                <w:color w:val="auto"/>
                <w:szCs w:val="21"/>
              </w:rPr>
            </w:pPr>
            <w:r>
              <w:rPr>
                <w:color w:val="auto"/>
                <w:szCs w:val="21"/>
              </w:rPr>
              <w:t>采用《环境影响评价技术导则·声环境》</w:t>
            </w:r>
            <w:r>
              <w:rPr>
                <w:rFonts w:hint="eastAsia"/>
                <w:color w:val="auto"/>
                <w:szCs w:val="21"/>
              </w:rPr>
              <w:t>（</w:t>
            </w:r>
            <w:r>
              <w:rPr>
                <w:color w:val="auto"/>
                <w:szCs w:val="21"/>
              </w:rPr>
              <w:t>HJ2.4-20</w:t>
            </w:r>
            <w:r>
              <w:rPr>
                <w:rFonts w:hint="eastAsia"/>
                <w:color w:val="auto"/>
                <w:szCs w:val="21"/>
              </w:rPr>
              <w:t>21）</w:t>
            </w:r>
            <w:r>
              <w:rPr>
                <w:color w:val="auto"/>
                <w:szCs w:val="21"/>
              </w:rPr>
              <w:t>中推荐的模式进行计算。</w:t>
            </w:r>
          </w:p>
          <w:p w14:paraId="3DB2F019">
            <w:pPr>
              <w:spacing w:line="440" w:lineRule="exact"/>
              <w:ind w:firstLine="420" w:firstLineChars="200"/>
              <w:rPr>
                <w:color w:val="auto"/>
                <w:szCs w:val="21"/>
              </w:rPr>
            </w:pPr>
            <w:r>
              <w:rPr>
                <w:color w:val="auto"/>
                <w:szCs w:val="21"/>
              </w:rPr>
              <w:t>室外点声源对厂界噪声预测点贡献值预测模式如下：</w:t>
            </w:r>
          </w:p>
          <w:p w14:paraId="36646D3E">
            <w:pPr>
              <w:widowControl/>
              <w:spacing w:line="440" w:lineRule="exact"/>
              <w:ind w:firstLine="1890" w:firstLineChars="900"/>
              <w:jc w:val="left"/>
              <w:rPr>
                <w:color w:val="auto"/>
              </w:rPr>
            </w:pPr>
            <w:r>
              <w:rPr>
                <w:i/>
                <w:iCs/>
                <w:color w:val="auto"/>
                <w:kern w:val="0"/>
                <w:szCs w:val="21"/>
                <w:lang w:bidi="ar"/>
              </w:rPr>
              <w:t>L</w:t>
            </w:r>
            <w:r>
              <w:rPr>
                <w:i/>
                <w:iCs/>
                <w:color w:val="auto"/>
                <w:kern w:val="0"/>
                <w:sz w:val="13"/>
                <w:szCs w:val="13"/>
                <w:lang w:bidi="ar"/>
              </w:rPr>
              <w:t>p</w:t>
            </w:r>
            <w:r>
              <w:rPr>
                <w:color w:val="auto"/>
                <w:kern w:val="0"/>
                <w:szCs w:val="21"/>
                <w:lang w:bidi="ar"/>
              </w:rPr>
              <w:t>(</w:t>
            </w:r>
            <w:r>
              <w:rPr>
                <w:i/>
                <w:iCs/>
                <w:color w:val="auto"/>
                <w:kern w:val="0"/>
                <w:szCs w:val="21"/>
                <w:lang w:bidi="ar"/>
              </w:rPr>
              <w:t>r</w:t>
            </w:r>
            <w:r>
              <w:rPr>
                <w:color w:val="auto"/>
                <w:kern w:val="0"/>
                <w:szCs w:val="21"/>
                <w:lang w:bidi="ar"/>
              </w:rPr>
              <w:t>)</w:t>
            </w:r>
            <w:r>
              <w:rPr>
                <w:rFonts w:hint="eastAsia" w:ascii="宋体" w:hAnsi="宋体" w:cs="宋体"/>
                <w:color w:val="auto"/>
                <w:kern w:val="0"/>
                <w:szCs w:val="21"/>
                <w:lang w:bidi="ar"/>
              </w:rPr>
              <w:t>＝</w:t>
            </w:r>
            <w:r>
              <w:rPr>
                <w:i/>
                <w:iCs/>
                <w:color w:val="auto"/>
                <w:kern w:val="0"/>
                <w:szCs w:val="21"/>
                <w:lang w:bidi="ar"/>
              </w:rPr>
              <w:t>L</w:t>
            </w:r>
            <w:r>
              <w:rPr>
                <w:i/>
                <w:iCs/>
                <w:color w:val="auto"/>
                <w:kern w:val="0"/>
                <w:sz w:val="13"/>
                <w:szCs w:val="13"/>
                <w:lang w:bidi="ar"/>
              </w:rPr>
              <w:t>w</w:t>
            </w:r>
            <w:r>
              <w:rPr>
                <w:color w:val="auto"/>
                <w:kern w:val="0"/>
                <w:szCs w:val="21"/>
                <w:lang w:bidi="ar"/>
              </w:rPr>
              <w:t>+</w:t>
            </w:r>
            <w:r>
              <w:rPr>
                <w:i/>
                <w:iCs/>
                <w:color w:val="auto"/>
                <w:kern w:val="0"/>
                <w:szCs w:val="21"/>
                <w:lang w:bidi="ar"/>
              </w:rPr>
              <w:t>D</w:t>
            </w:r>
            <w:r>
              <w:rPr>
                <w:color w:val="auto"/>
                <w:kern w:val="0"/>
                <w:sz w:val="13"/>
                <w:szCs w:val="13"/>
                <w:lang w:bidi="ar"/>
              </w:rPr>
              <w:t>C</w:t>
            </w:r>
            <w:r>
              <w:rPr>
                <w:rFonts w:hint="eastAsia" w:ascii="宋体" w:hAnsi="宋体" w:cs="宋体"/>
                <w:color w:val="auto"/>
                <w:kern w:val="0"/>
                <w:szCs w:val="21"/>
                <w:lang w:bidi="ar"/>
              </w:rPr>
              <w:t>－</w:t>
            </w:r>
            <w:r>
              <w:rPr>
                <w:color w:val="auto"/>
                <w:kern w:val="0"/>
                <w:szCs w:val="21"/>
                <w:lang w:bidi="ar"/>
              </w:rPr>
              <w:t>(</w:t>
            </w:r>
            <w:r>
              <w:rPr>
                <w:i/>
                <w:iCs/>
                <w:color w:val="auto"/>
                <w:kern w:val="0"/>
                <w:szCs w:val="21"/>
                <w:lang w:bidi="ar"/>
              </w:rPr>
              <w:t>A</w:t>
            </w:r>
            <w:r>
              <w:rPr>
                <w:color w:val="auto"/>
                <w:kern w:val="0"/>
                <w:sz w:val="13"/>
                <w:szCs w:val="13"/>
                <w:lang w:bidi="ar"/>
              </w:rPr>
              <w:t>div</w:t>
            </w:r>
            <w:r>
              <w:rPr>
                <w:rFonts w:hint="eastAsia" w:ascii="宋体" w:hAnsi="宋体" w:cs="宋体"/>
                <w:color w:val="auto"/>
                <w:kern w:val="0"/>
                <w:szCs w:val="21"/>
                <w:lang w:bidi="ar"/>
              </w:rPr>
              <w:t>＋</w:t>
            </w:r>
            <w:r>
              <w:rPr>
                <w:i/>
                <w:iCs/>
                <w:color w:val="auto"/>
                <w:kern w:val="0"/>
                <w:szCs w:val="21"/>
                <w:lang w:bidi="ar"/>
              </w:rPr>
              <w:t>A</w:t>
            </w:r>
            <w:r>
              <w:rPr>
                <w:color w:val="auto"/>
                <w:kern w:val="0"/>
                <w:sz w:val="13"/>
                <w:szCs w:val="13"/>
                <w:lang w:bidi="ar"/>
              </w:rPr>
              <w:t>atm</w:t>
            </w:r>
            <w:r>
              <w:rPr>
                <w:rFonts w:hint="eastAsia" w:ascii="宋体" w:hAnsi="宋体" w:cs="宋体"/>
                <w:color w:val="auto"/>
                <w:kern w:val="0"/>
                <w:szCs w:val="21"/>
                <w:lang w:bidi="ar"/>
              </w:rPr>
              <w:t>＋</w:t>
            </w:r>
            <w:r>
              <w:rPr>
                <w:i/>
                <w:iCs/>
                <w:color w:val="auto"/>
                <w:kern w:val="0"/>
                <w:szCs w:val="21"/>
                <w:lang w:bidi="ar"/>
              </w:rPr>
              <w:t>A</w:t>
            </w:r>
            <w:r>
              <w:rPr>
                <w:color w:val="auto"/>
                <w:kern w:val="0"/>
                <w:sz w:val="13"/>
                <w:szCs w:val="13"/>
                <w:lang w:bidi="ar"/>
              </w:rPr>
              <w:t>gr</w:t>
            </w:r>
            <w:r>
              <w:rPr>
                <w:rFonts w:hint="eastAsia" w:ascii="宋体" w:hAnsi="宋体" w:cs="宋体"/>
                <w:color w:val="auto"/>
                <w:kern w:val="0"/>
                <w:szCs w:val="21"/>
                <w:lang w:bidi="ar"/>
              </w:rPr>
              <w:t>＋</w:t>
            </w:r>
            <w:r>
              <w:rPr>
                <w:i/>
                <w:iCs/>
                <w:color w:val="auto"/>
                <w:kern w:val="0"/>
                <w:szCs w:val="21"/>
                <w:lang w:bidi="ar"/>
              </w:rPr>
              <w:t>A</w:t>
            </w:r>
            <w:r>
              <w:rPr>
                <w:color w:val="auto"/>
                <w:kern w:val="0"/>
                <w:sz w:val="13"/>
                <w:szCs w:val="13"/>
                <w:lang w:bidi="ar"/>
              </w:rPr>
              <w:t>bar</w:t>
            </w:r>
            <w:r>
              <w:rPr>
                <w:rFonts w:hint="eastAsia" w:ascii="宋体" w:hAnsi="宋体" w:cs="宋体"/>
                <w:color w:val="auto"/>
                <w:kern w:val="0"/>
                <w:szCs w:val="21"/>
                <w:lang w:bidi="ar"/>
              </w:rPr>
              <w:t>＋</w:t>
            </w:r>
            <w:r>
              <w:rPr>
                <w:i/>
                <w:iCs/>
                <w:color w:val="auto"/>
                <w:kern w:val="0"/>
                <w:szCs w:val="21"/>
                <w:lang w:bidi="ar"/>
              </w:rPr>
              <w:t>A</w:t>
            </w:r>
            <w:r>
              <w:rPr>
                <w:color w:val="auto"/>
                <w:kern w:val="0"/>
                <w:sz w:val="13"/>
                <w:szCs w:val="13"/>
                <w:lang w:bidi="ar"/>
              </w:rPr>
              <w:t>misc</w:t>
            </w:r>
            <w:r>
              <w:rPr>
                <w:color w:val="auto"/>
                <w:kern w:val="0"/>
                <w:szCs w:val="21"/>
                <w:lang w:bidi="ar"/>
              </w:rPr>
              <w:t xml:space="preserve">) </w:t>
            </w:r>
          </w:p>
          <w:p w14:paraId="74523E99">
            <w:pPr>
              <w:widowControl/>
              <w:spacing w:line="440" w:lineRule="exact"/>
              <w:ind w:firstLine="840" w:firstLineChars="400"/>
              <w:jc w:val="left"/>
              <w:rPr>
                <w:color w:val="auto"/>
              </w:rPr>
            </w:pPr>
            <w:r>
              <w:rPr>
                <w:color w:val="auto"/>
              </w:rPr>
              <w:t>式中：</w:t>
            </w:r>
            <w:r>
              <w:rPr>
                <w:i/>
                <w:iCs/>
                <w:color w:val="auto"/>
                <w:kern w:val="0"/>
                <w:szCs w:val="21"/>
                <w:lang w:bidi="ar"/>
              </w:rPr>
              <w:t>L</w:t>
            </w:r>
            <w:r>
              <w:rPr>
                <w:i/>
                <w:iCs/>
                <w:color w:val="auto"/>
                <w:kern w:val="0"/>
                <w:sz w:val="13"/>
                <w:szCs w:val="13"/>
                <w:lang w:bidi="ar"/>
              </w:rPr>
              <w:t>p</w:t>
            </w:r>
            <w:r>
              <w:rPr>
                <w:color w:val="auto"/>
                <w:kern w:val="0"/>
                <w:szCs w:val="21"/>
                <w:lang w:bidi="ar"/>
              </w:rPr>
              <w:t>(</w:t>
            </w:r>
            <w:r>
              <w:rPr>
                <w:i/>
                <w:iCs/>
                <w:color w:val="auto"/>
                <w:kern w:val="0"/>
                <w:szCs w:val="21"/>
                <w:lang w:bidi="ar"/>
              </w:rPr>
              <w:t>r</w:t>
            </w:r>
            <w:r>
              <w:rPr>
                <w:color w:val="auto"/>
                <w:kern w:val="0"/>
                <w:szCs w:val="21"/>
                <w:lang w:bidi="ar"/>
              </w:rPr>
              <w:t>) ——</w:t>
            </w:r>
            <w:r>
              <w:rPr>
                <w:rFonts w:hint="eastAsia" w:ascii="宋体" w:hAnsi="宋体" w:cs="宋体"/>
                <w:color w:val="auto"/>
                <w:kern w:val="0"/>
                <w:szCs w:val="21"/>
                <w:lang w:bidi="ar"/>
              </w:rPr>
              <w:t>预测点处声压级，</w:t>
            </w:r>
            <w:r>
              <w:rPr>
                <w:color w:val="auto"/>
                <w:kern w:val="0"/>
                <w:szCs w:val="21"/>
                <w:lang w:bidi="ar"/>
              </w:rPr>
              <w:t>dB</w:t>
            </w:r>
            <w:r>
              <w:rPr>
                <w:rFonts w:hint="eastAsia" w:ascii="宋体" w:hAnsi="宋体" w:cs="宋体"/>
                <w:color w:val="auto"/>
                <w:kern w:val="0"/>
                <w:szCs w:val="21"/>
                <w:lang w:bidi="ar"/>
              </w:rPr>
              <w:t>；</w:t>
            </w:r>
          </w:p>
          <w:p w14:paraId="62932F17">
            <w:pPr>
              <w:widowControl/>
              <w:spacing w:line="440" w:lineRule="exact"/>
              <w:ind w:firstLine="840" w:firstLineChars="400"/>
              <w:jc w:val="left"/>
              <w:rPr>
                <w:color w:val="auto"/>
              </w:rPr>
            </w:pPr>
            <w:r>
              <w:rPr>
                <w:i/>
                <w:iCs/>
                <w:color w:val="auto"/>
                <w:kern w:val="0"/>
                <w:szCs w:val="21"/>
                <w:lang w:bidi="ar"/>
              </w:rPr>
              <w:t>L</w:t>
            </w:r>
            <w:r>
              <w:rPr>
                <w:i/>
                <w:iCs/>
                <w:color w:val="auto"/>
                <w:kern w:val="0"/>
                <w:sz w:val="13"/>
                <w:szCs w:val="13"/>
                <w:lang w:bidi="ar"/>
              </w:rPr>
              <w:t xml:space="preserve">w </w:t>
            </w:r>
            <w:r>
              <w:rPr>
                <w:color w:val="auto"/>
                <w:kern w:val="0"/>
                <w:szCs w:val="21"/>
                <w:lang w:bidi="ar"/>
              </w:rPr>
              <w:t>——</w:t>
            </w:r>
            <w:r>
              <w:rPr>
                <w:rFonts w:hint="eastAsia" w:ascii="宋体" w:hAnsi="宋体" w:cs="宋体"/>
                <w:color w:val="auto"/>
                <w:kern w:val="0"/>
                <w:szCs w:val="21"/>
                <w:lang w:bidi="ar"/>
              </w:rPr>
              <w:t>由点声源产生的声功率级（</w:t>
            </w:r>
            <w:r>
              <w:rPr>
                <w:color w:val="auto"/>
                <w:kern w:val="0"/>
                <w:szCs w:val="21"/>
                <w:lang w:bidi="ar"/>
              </w:rPr>
              <w:t>A</w:t>
            </w:r>
            <w:r>
              <w:rPr>
                <w:rFonts w:hint="eastAsia" w:ascii="宋体" w:hAnsi="宋体" w:cs="宋体"/>
                <w:color w:val="auto"/>
                <w:kern w:val="0"/>
                <w:szCs w:val="21"/>
                <w:lang w:bidi="ar"/>
              </w:rPr>
              <w:t>计权或倍频带），</w:t>
            </w:r>
            <w:r>
              <w:rPr>
                <w:color w:val="auto"/>
                <w:kern w:val="0"/>
                <w:szCs w:val="21"/>
                <w:lang w:bidi="ar"/>
              </w:rPr>
              <w:t>dB</w:t>
            </w:r>
            <w:r>
              <w:rPr>
                <w:rFonts w:hint="eastAsia" w:ascii="宋体" w:hAnsi="宋体" w:cs="宋体"/>
                <w:color w:val="auto"/>
                <w:kern w:val="0"/>
                <w:szCs w:val="21"/>
                <w:lang w:bidi="ar"/>
              </w:rPr>
              <w:t xml:space="preserve">； </w:t>
            </w:r>
          </w:p>
          <w:p w14:paraId="2023D5A6">
            <w:pPr>
              <w:widowControl/>
              <w:spacing w:line="440" w:lineRule="exact"/>
              <w:ind w:firstLine="840" w:firstLineChars="400"/>
              <w:jc w:val="left"/>
              <w:rPr>
                <w:color w:val="auto"/>
              </w:rPr>
            </w:pPr>
            <w:r>
              <w:rPr>
                <w:i/>
                <w:iCs/>
                <w:color w:val="auto"/>
                <w:kern w:val="0"/>
                <w:szCs w:val="21"/>
                <w:lang w:bidi="ar"/>
              </w:rPr>
              <w:t>D</w:t>
            </w:r>
            <w:r>
              <w:rPr>
                <w:color w:val="auto"/>
                <w:kern w:val="0"/>
                <w:sz w:val="13"/>
                <w:szCs w:val="13"/>
                <w:lang w:bidi="ar"/>
              </w:rPr>
              <w:t xml:space="preserve">C </w:t>
            </w:r>
            <w:r>
              <w:rPr>
                <w:color w:val="auto"/>
                <w:kern w:val="0"/>
                <w:szCs w:val="21"/>
                <w:lang w:bidi="ar"/>
              </w:rPr>
              <w:t>——</w:t>
            </w:r>
            <w:r>
              <w:rPr>
                <w:rFonts w:hint="eastAsia" w:ascii="宋体" w:hAnsi="宋体" w:cs="宋体"/>
                <w:color w:val="auto"/>
                <w:kern w:val="0"/>
                <w:szCs w:val="21"/>
                <w:lang w:bidi="ar"/>
              </w:rPr>
              <w:t>指向性校正，它描述点声源的等效连续声压级与产生声功率级</w:t>
            </w:r>
            <w:r>
              <w:rPr>
                <w:i/>
                <w:iCs/>
                <w:color w:val="auto"/>
                <w:kern w:val="0"/>
                <w:szCs w:val="21"/>
                <w:lang w:bidi="ar"/>
              </w:rPr>
              <w:t>L</w:t>
            </w:r>
            <w:r>
              <w:rPr>
                <w:i/>
                <w:iCs/>
                <w:color w:val="auto"/>
                <w:kern w:val="0"/>
                <w:sz w:val="13"/>
                <w:szCs w:val="13"/>
                <w:lang w:bidi="ar"/>
              </w:rPr>
              <w:t>w</w:t>
            </w:r>
            <w:r>
              <w:rPr>
                <w:rFonts w:hint="eastAsia" w:ascii="宋体" w:hAnsi="宋体" w:cs="宋体"/>
                <w:color w:val="auto"/>
                <w:kern w:val="0"/>
                <w:szCs w:val="21"/>
                <w:lang w:bidi="ar"/>
              </w:rPr>
              <w:t>的全向点声源在规定方向的声级的偏差程度，</w:t>
            </w:r>
            <w:r>
              <w:rPr>
                <w:color w:val="auto"/>
                <w:kern w:val="0"/>
                <w:szCs w:val="21"/>
                <w:lang w:bidi="ar"/>
              </w:rPr>
              <w:t>dB</w:t>
            </w:r>
            <w:r>
              <w:rPr>
                <w:rFonts w:hint="eastAsia" w:ascii="宋体" w:hAnsi="宋体" w:cs="宋体"/>
                <w:color w:val="auto"/>
                <w:kern w:val="0"/>
                <w:szCs w:val="21"/>
                <w:lang w:bidi="ar"/>
              </w:rPr>
              <w:t xml:space="preserve">； </w:t>
            </w:r>
          </w:p>
          <w:p w14:paraId="381AF44F">
            <w:pPr>
              <w:widowControl/>
              <w:spacing w:line="440" w:lineRule="exact"/>
              <w:ind w:firstLine="840" w:firstLineChars="400"/>
              <w:jc w:val="left"/>
              <w:rPr>
                <w:color w:val="auto"/>
              </w:rPr>
            </w:pPr>
            <w:r>
              <w:rPr>
                <w:i/>
                <w:iCs/>
                <w:color w:val="auto"/>
                <w:kern w:val="0"/>
                <w:szCs w:val="21"/>
                <w:lang w:bidi="ar"/>
              </w:rPr>
              <w:t>A</w:t>
            </w:r>
            <w:r>
              <w:rPr>
                <w:color w:val="auto"/>
                <w:kern w:val="0"/>
                <w:sz w:val="13"/>
                <w:szCs w:val="13"/>
                <w:lang w:bidi="ar"/>
              </w:rPr>
              <w:t xml:space="preserve">div </w:t>
            </w:r>
            <w:r>
              <w:rPr>
                <w:color w:val="auto"/>
                <w:kern w:val="0"/>
                <w:szCs w:val="21"/>
                <w:lang w:bidi="ar"/>
              </w:rPr>
              <w:t>——</w:t>
            </w:r>
            <w:r>
              <w:rPr>
                <w:rFonts w:hint="eastAsia" w:ascii="宋体" w:hAnsi="宋体" w:cs="宋体"/>
                <w:color w:val="auto"/>
                <w:kern w:val="0"/>
                <w:szCs w:val="21"/>
                <w:lang w:bidi="ar"/>
              </w:rPr>
              <w:t>几何发散引起的衰减，</w:t>
            </w:r>
            <w:r>
              <w:rPr>
                <w:color w:val="auto"/>
                <w:kern w:val="0"/>
                <w:szCs w:val="21"/>
                <w:lang w:bidi="ar"/>
              </w:rPr>
              <w:t>dB</w:t>
            </w:r>
            <w:r>
              <w:rPr>
                <w:rFonts w:hint="eastAsia" w:ascii="宋体" w:hAnsi="宋体" w:cs="宋体"/>
                <w:color w:val="auto"/>
                <w:kern w:val="0"/>
                <w:szCs w:val="21"/>
                <w:lang w:bidi="ar"/>
              </w:rPr>
              <w:t xml:space="preserve">； </w:t>
            </w:r>
          </w:p>
          <w:p w14:paraId="5A24B615">
            <w:pPr>
              <w:widowControl/>
              <w:spacing w:line="440" w:lineRule="exact"/>
              <w:ind w:firstLine="840" w:firstLineChars="400"/>
              <w:jc w:val="left"/>
              <w:rPr>
                <w:color w:val="auto"/>
              </w:rPr>
            </w:pPr>
            <w:r>
              <w:rPr>
                <w:i/>
                <w:iCs/>
                <w:color w:val="auto"/>
                <w:kern w:val="0"/>
                <w:szCs w:val="21"/>
                <w:lang w:bidi="ar"/>
              </w:rPr>
              <w:t>A</w:t>
            </w:r>
            <w:r>
              <w:rPr>
                <w:color w:val="auto"/>
                <w:kern w:val="0"/>
                <w:sz w:val="13"/>
                <w:szCs w:val="13"/>
                <w:lang w:bidi="ar"/>
              </w:rPr>
              <w:t xml:space="preserve">atm </w:t>
            </w:r>
            <w:r>
              <w:rPr>
                <w:color w:val="auto"/>
                <w:kern w:val="0"/>
                <w:szCs w:val="21"/>
                <w:lang w:bidi="ar"/>
              </w:rPr>
              <w:t>——</w:t>
            </w:r>
            <w:r>
              <w:rPr>
                <w:rFonts w:hint="eastAsia" w:ascii="宋体" w:hAnsi="宋体" w:cs="宋体"/>
                <w:color w:val="auto"/>
                <w:kern w:val="0"/>
                <w:szCs w:val="21"/>
                <w:lang w:bidi="ar"/>
              </w:rPr>
              <w:t>大气吸收引起的衰减，</w:t>
            </w:r>
            <w:r>
              <w:rPr>
                <w:color w:val="auto"/>
                <w:kern w:val="0"/>
                <w:szCs w:val="21"/>
                <w:lang w:bidi="ar"/>
              </w:rPr>
              <w:t>dB</w:t>
            </w:r>
            <w:r>
              <w:rPr>
                <w:rFonts w:hint="eastAsia" w:ascii="宋体" w:hAnsi="宋体" w:cs="宋体"/>
                <w:color w:val="auto"/>
                <w:kern w:val="0"/>
                <w:szCs w:val="21"/>
                <w:lang w:bidi="ar"/>
              </w:rPr>
              <w:t xml:space="preserve">； </w:t>
            </w:r>
          </w:p>
          <w:p w14:paraId="235887C0">
            <w:pPr>
              <w:widowControl/>
              <w:spacing w:line="440" w:lineRule="exact"/>
              <w:ind w:firstLine="840" w:firstLineChars="400"/>
              <w:jc w:val="left"/>
              <w:rPr>
                <w:color w:val="auto"/>
              </w:rPr>
            </w:pPr>
            <w:r>
              <w:rPr>
                <w:i/>
                <w:iCs/>
                <w:color w:val="auto"/>
                <w:kern w:val="0"/>
                <w:szCs w:val="21"/>
                <w:lang w:bidi="ar"/>
              </w:rPr>
              <w:t>A</w:t>
            </w:r>
            <w:r>
              <w:rPr>
                <w:color w:val="auto"/>
                <w:kern w:val="0"/>
                <w:sz w:val="13"/>
                <w:szCs w:val="13"/>
                <w:lang w:bidi="ar"/>
              </w:rPr>
              <w:t xml:space="preserve">gr </w:t>
            </w:r>
            <w:r>
              <w:rPr>
                <w:color w:val="auto"/>
                <w:kern w:val="0"/>
                <w:szCs w:val="21"/>
                <w:lang w:bidi="ar"/>
              </w:rPr>
              <w:t>——</w:t>
            </w:r>
            <w:r>
              <w:rPr>
                <w:rFonts w:hint="eastAsia" w:ascii="宋体" w:hAnsi="宋体" w:cs="宋体"/>
                <w:color w:val="auto"/>
                <w:kern w:val="0"/>
                <w:szCs w:val="21"/>
                <w:lang w:bidi="ar"/>
              </w:rPr>
              <w:t>地面效应引起的衰减，</w:t>
            </w:r>
            <w:r>
              <w:rPr>
                <w:color w:val="auto"/>
                <w:kern w:val="0"/>
                <w:szCs w:val="21"/>
                <w:lang w:bidi="ar"/>
              </w:rPr>
              <w:t>dB</w:t>
            </w:r>
            <w:r>
              <w:rPr>
                <w:rFonts w:hint="eastAsia" w:ascii="宋体" w:hAnsi="宋体" w:cs="宋体"/>
                <w:color w:val="auto"/>
                <w:kern w:val="0"/>
                <w:szCs w:val="21"/>
                <w:lang w:bidi="ar"/>
              </w:rPr>
              <w:t xml:space="preserve">； </w:t>
            </w:r>
          </w:p>
          <w:p w14:paraId="04D2D0CA">
            <w:pPr>
              <w:widowControl/>
              <w:spacing w:line="440" w:lineRule="exact"/>
              <w:ind w:firstLine="840" w:firstLineChars="400"/>
              <w:jc w:val="left"/>
              <w:rPr>
                <w:color w:val="auto"/>
              </w:rPr>
            </w:pPr>
            <w:r>
              <w:rPr>
                <w:i/>
                <w:iCs/>
                <w:color w:val="auto"/>
                <w:kern w:val="0"/>
                <w:szCs w:val="21"/>
                <w:lang w:bidi="ar"/>
              </w:rPr>
              <w:t>A</w:t>
            </w:r>
            <w:r>
              <w:rPr>
                <w:color w:val="auto"/>
                <w:kern w:val="0"/>
                <w:sz w:val="13"/>
                <w:szCs w:val="13"/>
                <w:lang w:bidi="ar"/>
              </w:rPr>
              <w:t xml:space="preserve">bar </w:t>
            </w:r>
            <w:r>
              <w:rPr>
                <w:color w:val="auto"/>
                <w:kern w:val="0"/>
                <w:szCs w:val="21"/>
                <w:lang w:bidi="ar"/>
              </w:rPr>
              <w:t>——</w:t>
            </w:r>
            <w:r>
              <w:rPr>
                <w:rFonts w:hint="eastAsia" w:ascii="宋体" w:hAnsi="宋体" w:cs="宋体"/>
                <w:color w:val="auto"/>
                <w:kern w:val="0"/>
                <w:szCs w:val="21"/>
                <w:lang w:bidi="ar"/>
              </w:rPr>
              <w:t>障碍物屏蔽引起的衰减，</w:t>
            </w:r>
            <w:r>
              <w:rPr>
                <w:color w:val="auto"/>
                <w:kern w:val="0"/>
                <w:szCs w:val="21"/>
                <w:lang w:bidi="ar"/>
              </w:rPr>
              <w:t>dB</w:t>
            </w:r>
            <w:r>
              <w:rPr>
                <w:rFonts w:hint="eastAsia" w:ascii="宋体" w:hAnsi="宋体" w:cs="宋体"/>
                <w:color w:val="auto"/>
                <w:kern w:val="0"/>
                <w:szCs w:val="21"/>
                <w:lang w:bidi="ar"/>
              </w:rPr>
              <w:t xml:space="preserve">； </w:t>
            </w:r>
          </w:p>
          <w:p w14:paraId="5C177D58">
            <w:pPr>
              <w:widowControl/>
              <w:spacing w:line="440" w:lineRule="exact"/>
              <w:ind w:firstLine="840" w:firstLineChars="400"/>
              <w:jc w:val="left"/>
              <w:rPr>
                <w:color w:val="auto"/>
              </w:rPr>
            </w:pPr>
            <w:r>
              <w:rPr>
                <w:i/>
                <w:iCs/>
                <w:color w:val="auto"/>
                <w:kern w:val="0"/>
                <w:szCs w:val="21"/>
                <w:lang w:bidi="ar"/>
              </w:rPr>
              <w:t>A</w:t>
            </w:r>
            <w:r>
              <w:rPr>
                <w:color w:val="auto"/>
                <w:kern w:val="0"/>
                <w:sz w:val="13"/>
                <w:szCs w:val="13"/>
                <w:lang w:bidi="ar"/>
              </w:rPr>
              <w:t xml:space="preserve">misc </w:t>
            </w:r>
            <w:r>
              <w:rPr>
                <w:color w:val="auto"/>
                <w:kern w:val="0"/>
                <w:szCs w:val="21"/>
                <w:lang w:bidi="ar"/>
              </w:rPr>
              <w:t>——</w:t>
            </w:r>
            <w:r>
              <w:rPr>
                <w:rFonts w:hint="eastAsia" w:ascii="宋体" w:hAnsi="宋体" w:cs="宋体"/>
                <w:color w:val="auto"/>
                <w:kern w:val="0"/>
                <w:szCs w:val="21"/>
                <w:lang w:bidi="ar"/>
              </w:rPr>
              <w:t>其他多方面效应引起的衰减，</w:t>
            </w:r>
            <w:r>
              <w:rPr>
                <w:color w:val="auto"/>
                <w:kern w:val="0"/>
                <w:szCs w:val="21"/>
                <w:lang w:bidi="ar"/>
              </w:rPr>
              <w:t>dB</w:t>
            </w:r>
            <w:r>
              <w:rPr>
                <w:rFonts w:hint="eastAsia" w:ascii="宋体" w:hAnsi="宋体" w:cs="宋体"/>
                <w:color w:val="auto"/>
                <w:kern w:val="0"/>
                <w:szCs w:val="21"/>
                <w:lang w:bidi="ar"/>
              </w:rPr>
              <w:t>。</w:t>
            </w:r>
          </w:p>
          <w:p w14:paraId="74480121">
            <w:pPr>
              <w:spacing w:line="440" w:lineRule="exact"/>
              <w:ind w:firstLine="420" w:firstLineChars="200"/>
              <w:rPr>
                <w:rFonts w:hAnsi="宋体"/>
                <w:color w:val="auto"/>
              </w:rPr>
            </w:pPr>
            <w:r>
              <w:rPr>
                <w:rFonts w:hint="eastAsia" w:hAnsi="宋体"/>
                <w:color w:val="auto"/>
              </w:rPr>
              <w:t>预测点噪声贡献值</w:t>
            </w:r>
          </w:p>
          <w:p w14:paraId="1E0380E2">
            <w:pPr>
              <w:spacing w:line="440" w:lineRule="exact"/>
              <w:ind w:firstLine="420" w:firstLineChars="200"/>
              <w:rPr>
                <w:rFonts w:hAnsi="宋体"/>
                <w:color w:val="auto"/>
              </w:rPr>
            </w:pPr>
            <w:r>
              <w:rPr>
                <w:color w:val="auto"/>
              </w:rPr>
              <w:drawing>
                <wp:anchor distT="0" distB="0" distL="114300" distR="114300" simplePos="0" relativeHeight="251676672" behindDoc="0" locked="0" layoutInCell="1" allowOverlap="1">
                  <wp:simplePos x="0" y="0"/>
                  <wp:positionH relativeFrom="column">
                    <wp:posOffset>277495</wp:posOffset>
                  </wp:positionH>
                  <wp:positionV relativeFrom="paragraph">
                    <wp:posOffset>276860</wp:posOffset>
                  </wp:positionV>
                  <wp:extent cx="1760220" cy="327025"/>
                  <wp:effectExtent l="0" t="0" r="11430" b="15875"/>
                  <wp:wrapNone/>
                  <wp:docPr id="287"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7" name="图片 4"/>
                          <pic:cNvPicPr>
                            <a:picLocks noChangeAspect="1"/>
                          </pic:cNvPicPr>
                        </pic:nvPicPr>
                        <pic:blipFill>
                          <a:blip r:embed="rId14"/>
                          <a:stretch>
                            <a:fillRect/>
                          </a:stretch>
                        </pic:blipFill>
                        <pic:spPr>
                          <a:xfrm>
                            <a:off x="0" y="0"/>
                            <a:ext cx="1760220" cy="327025"/>
                          </a:xfrm>
                          <a:prstGeom prst="rect">
                            <a:avLst/>
                          </a:prstGeom>
                          <a:noFill/>
                          <a:ln>
                            <a:noFill/>
                          </a:ln>
                        </pic:spPr>
                      </pic:pic>
                    </a:graphicData>
                  </a:graphic>
                </wp:anchor>
              </w:drawing>
            </w:r>
            <w:r>
              <w:rPr>
                <w:rFonts w:hint="eastAsia" w:hAnsi="宋体"/>
                <w:color w:val="auto"/>
              </w:rPr>
              <w:t>拟建项目声源对预测点产生的贡献值（</w:t>
            </w:r>
            <w:r>
              <w:rPr>
                <w:rFonts w:hAnsi="宋体"/>
                <w:color w:val="auto"/>
              </w:rPr>
              <w:t>L</w:t>
            </w:r>
            <w:r>
              <w:rPr>
                <w:rFonts w:hAnsi="宋体"/>
                <w:color w:val="auto"/>
                <w:vertAlign w:val="subscript"/>
              </w:rPr>
              <w:t>eqg</w:t>
            </w:r>
            <w:r>
              <w:rPr>
                <w:rFonts w:hint="eastAsia" w:hAnsi="宋体"/>
                <w:color w:val="auto"/>
              </w:rPr>
              <w:t>）</w:t>
            </w:r>
          </w:p>
          <w:p w14:paraId="48DE12BC">
            <w:pPr>
              <w:spacing w:line="440" w:lineRule="exact"/>
              <w:ind w:firstLine="420" w:firstLineChars="200"/>
              <w:rPr>
                <w:rFonts w:hAnsi="宋体"/>
                <w:color w:val="auto"/>
              </w:rPr>
            </w:pPr>
          </w:p>
          <w:p w14:paraId="7DA45628">
            <w:pPr>
              <w:spacing w:line="440" w:lineRule="exact"/>
              <w:ind w:firstLine="420" w:firstLineChars="200"/>
              <w:rPr>
                <w:rFonts w:hAnsi="宋体"/>
                <w:color w:val="auto"/>
              </w:rPr>
            </w:pPr>
            <w:r>
              <w:rPr>
                <w:rFonts w:hint="eastAsia" w:hAnsi="宋体"/>
                <w:color w:val="auto"/>
              </w:rPr>
              <w:t>式中：</w:t>
            </w:r>
            <w:r>
              <w:rPr>
                <w:rFonts w:hAnsi="宋体"/>
                <w:color w:val="auto"/>
              </w:rPr>
              <w:t>Leqg——</w:t>
            </w:r>
            <w:r>
              <w:rPr>
                <w:rFonts w:hint="eastAsia" w:hAnsi="宋体"/>
                <w:color w:val="auto"/>
              </w:rPr>
              <w:t>建设项目声源在预测点产生的噪声贡献值，</w:t>
            </w:r>
            <w:r>
              <w:rPr>
                <w:rFonts w:hAnsi="宋体"/>
                <w:color w:val="auto"/>
              </w:rPr>
              <w:t>dB</w:t>
            </w:r>
            <w:r>
              <w:rPr>
                <w:rFonts w:hint="eastAsia" w:hAnsi="宋体"/>
                <w:color w:val="auto"/>
              </w:rPr>
              <w:t xml:space="preserve">； </w:t>
            </w:r>
          </w:p>
          <w:p w14:paraId="51DF6637">
            <w:pPr>
              <w:spacing w:line="440" w:lineRule="exact"/>
              <w:ind w:firstLine="420" w:firstLineChars="200"/>
              <w:rPr>
                <w:rFonts w:hAnsi="宋体"/>
                <w:color w:val="auto"/>
              </w:rPr>
            </w:pPr>
            <w:r>
              <w:rPr>
                <w:rFonts w:hAnsi="宋体"/>
                <w:color w:val="auto"/>
              </w:rPr>
              <w:t>T ——</w:t>
            </w:r>
            <w:r>
              <w:rPr>
                <w:rFonts w:hint="eastAsia" w:hAnsi="宋体"/>
                <w:color w:val="auto"/>
              </w:rPr>
              <w:t>用于计算等效声级的时间，</w:t>
            </w:r>
            <w:r>
              <w:rPr>
                <w:rFonts w:hAnsi="宋体"/>
                <w:color w:val="auto"/>
              </w:rPr>
              <w:t>s</w:t>
            </w:r>
            <w:r>
              <w:rPr>
                <w:rFonts w:hint="eastAsia" w:hAnsi="宋体"/>
                <w:color w:val="auto"/>
              </w:rPr>
              <w:t xml:space="preserve">； </w:t>
            </w:r>
          </w:p>
          <w:p w14:paraId="2482CB68">
            <w:pPr>
              <w:spacing w:line="440" w:lineRule="exact"/>
              <w:ind w:firstLine="420" w:firstLineChars="200"/>
              <w:rPr>
                <w:rFonts w:hAnsi="宋体"/>
                <w:color w:val="auto"/>
              </w:rPr>
            </w:pPr>
            <w:r>
              <w:rPr>
                <w:rFonts w:hAnsi="宋体"/>
                <w:color w:val="auto"/>
              </w:rPr>
              <w:t>N ——</w:t>
            </w:r>
            <w:r>
              <w:rPr>
                <w:rFonts w:hint="eastAsia" w:hAnsi="宋体"/>
                <w:color w:val="auto"/>
              </w:rPr>
              <w:t xml:space="preserve">室外声源个数； </w:t>
            </w:r>
          </w:p>
          <w:p w14:paraId="6B9A516F">
            <w:pPr>
              <w:spacing w:line="440" w:lineRule="exact"/>
              <w:ind w:firstLine="420" w:firstLineChars="200"/>
              <w:rPr>
                <w:rFonts w:hAnsi="宋体"/>
                <w:color w:val="auto"/>
              </w:rPr>
            </w:pPr>
            <w:r>
              <w:rPr>
                <w:rFonts w:hAnsi="宋体"/>
                <w:color w:val="auto"/>
              </w:rPr>
              <w:t>t</w:t>
            </w:r>
            <w:r>
              <w:rPr>
                <w:rFonts w:hAnsi="宋体"/>
                <w:color w:val="auto"/>
                <w:vertAlign w:val="subscript"/>
              </w:rPr>
              <w:t>i</w:t>
            </w:r>
            <w:r>
              <w:rPr>
                <w:rFonts w:hAnsi="宋体"/>
                <w:color w:val="auto"/>
              </w:rPr>
              <w:t xml:space="preserve"> ——</w:t>
            </w:r>
            <w:r>
              <w:rPr>
                <w:rFonts w:hint="eastAsia" w:hAnsi="宋体"/>
                <w:color w:val="auto"/>
              </w:rPr>
              <w:t xml:space="preserve">在 </w:t>
            </w:r>
            <w:r>
              <w:rPr>
                <w:rFonts w:hAnsi="宋体"/>
                <w:color w:val="auto"/>
              </w:rPr>
              <w:t xml:space="preserve">T </w:t>
            </w:r>
            <w:r>
              <w:rPr>
                <w:rFonts w:hint="eastAsia" w:hAnsi="宋体"/>
                <w:color w:val="auto"/>
              </w:rPr>
              <w:t>时间内</w:t>
            </w:r>
            <w:r>
              <w:rPr>
                <w:rFonts w:hAnsi="宋体"/>
                <w:color w:val="auto"/>
              </w:rPr>
              <w:t>i</w:t>
            </w:r>
            <w:r>
              <w:rPr>
                <w:rFonts w:hint="eastAsia" w:hAnsi="宋体"/>
                <w:color w:val="auto"/>
              </w:rPr>
              <w:t>声源工作时间，</w:t>
            </w:r>
            <w:r>
              <w:rPr>
                <w:rFonts w:hAnsi="宋体"/>
                <w:color w:val="auto"/>
              </w:rPr>
              <w:t>s</w:t>
            </w:r>
            <w:r>
              <w:rPr>
                <w:rFonts w:hint="eastAsia" w:hAnsi="宋体"/>
                <w:color w:val="auto"/>
              </w:rPr>
              <w:t xml:space="preserve">； </w:t>
            </w:r>
          </w:p>
          <w:p w14:paraId="3B4470B3">
            <w:pPr>
              <w:spacing w:line="440" w:lineRule="exact"/>
              <w:ind w:firstLine="420" w:firstLineChars="200"/>
              <w:rPr>
                <w:rFonts w:hAnsi="宋体"/>
                <w:color w:val="auto"/>
              </w:rPr>
            </w:pPr>
            <w:r>
              <w:rPr>
                <w:rFonts w:hAnsi="宋体"/>
                <w:color w:val="auto"/>
              </w:rPr>
              <w:t>M ——</w:t>
            </w:r>
            <w:r>
              <w:rPr>
                <w:rFonts w:hint="eastAsia" w:hAnsi="宋体"/>
                <w:color w:val="auto"/>
              </w:rPr>
              <w:t xml:space="preserve">等效室外声源个数； </w:t>
            </w:r>
          </w:p>
          <w:p w14:paraId="6732C794">
            <w:pPr>
              <w:spacing w:line="440" w:lineRule="exact"/>
              <w:ind w:firstLine="420" w:firstLineChars="200"/>
              <w:rPr>
                <w:rFonts w:hAnsi="宋体"/>
                <w:color w:val="auto"/>
              </w:rPr>
            </w:pPr>
            <w:r>
              <w:rPr>
                <w:rFonts w:hAnsi="宋体"/>
                <w:color w:val="auto"/>
              </w:rPr>
              <w:t>t</w:t>
            </w:r>
            <w:r>
              <w:rPr>
                <w:rFonts w:hAnsi="宋体"/>
                <w:color w:val="auto"/>
                <w:vertAlign w:val="subscript"/>
              </w:rPr>
              <w:t>j</w:t>
            </w:r>
            <w:r>
              <w:rPr>
                <w:rFonts w:hAnsi="宋体"/>
                <w:color w:val="auto"/>
              </w:rPr>
              <w:t xml:space="preserve"> ——</w:t>
            </w:r>
            <w:r>
              <w:rPr>
                <w:rFonts w:hint="eastAsia" w:hAnsi="宋体"/>
                <w:color w:val="auto"/>
              </w:rPr>
              <w:t>在</w:t>
            </w:r>
            <w:r>
              <w:rPr>
                <w:rFonts w:hAnsi="宋体"/>
                <w:color w:val="auto"/>
              </w:rPr>
              <w:t>T</w:t>
            </w:r>
            <w:r>
              <w:rPr>
                <w:rFonts w:hint="eastAsia" w:hAnsi="宋体"/>
                <w:color w:val="auto"/>
              </w:rPr>
              <w:t>时间内</w:t>
            </w:r>
            <w:r>
              <w:rPr>
                <w:rFonts w:hAnsi="宋体"/>
                <w:color w:val="auto"/>
              </w:rPr>
              <w:t>j</w:t>
            </w:r>
            <w:r>
              <w:rPr>
                <w:rFonts w:hint="eastAsia" w:hAnsi="宋体"/>
                <w:color w:val="auto"/>
              </w:rPr>
              <w:t>声源工作时间，</w:t>
            </w:r>
            <w:r>
              <w:rPr>
                <w:rFonts w:hAnsi="宋体"/>
                <w:color w:val="auto"/>
              </w:rPr>
              <w:t>s</w:t>
            </w:r>
            <w:r>
              <w:rPr>
                <w:rFonts w:hint="eastAsia" w:hAnsi="宋体"/>
                <w:color w:val="auto"/>
              </w:rPr>
              <w:t xml:space="preserve">。 </w:t>
            </w:r>
          </w:p>
          <w:p w14:paraId="28A9DBB9">
            <w:pPr>
              <w:pStyle w:val="24"/>
              <w:adjustRightInd w:val="0"/>
              <w:snapToGrid w:val="0"/>
              <w:spacing w:before="0" w:beforeAutospacing="0" w:after="0" w:afterAutospacing="0" w:line="440" w:lineRule="exact"/>
              <w:ind w:firstLine="420" w:firstLineChars="200"/>
              <w:rPr>
                <w:rFonts w:ascii="Times New Roman" w:hAnsi="Times New Roman"/>
                <w:color w:val="auto"/>
                <w:sz w:val="21"/>
                <w:szCs w:val="21"/>
              </w:rPr>
            </w:pPr>
            <w:r>
              <w:rPr>
                <w:rFonts w:hint="eastAsia" w:ascii="Times New Roman" w:hAnsi="Times New Roman"/>
                <w:color w:val="auto"/>
                <w:sz w:val="21"/>
                <w:szCs w:val="21"/>
              </w:rPr>
              <w:t>（2）预测结果</w:t>
            </w:r>
          </w:p>
          <w:p w14:paraId="6481EE08">
            <w:pPr>
              <w:pStyle w:val="24"/>
              <w:adjustRightInd w:val="0"/>
              <w:snapToGrid w:val="0"/>
              <w:spacing w:before="0" w:beforeAutospacing="0" w:after="0" w:afterAutospacing="0" w:line="440" w:lineRule="exact"/>
              <w:ind w:firstLine="420" w:firstLineChars="200"/>
              <w:rPr>
                <w:rFonts w:hint="eastAsia" w:ascii="Times New Roman" w:hAnsi="Times New Roman"/>
                <w:color w:val="auto"/>
                <w:sz w:val="21"/>
                <w:szCs w:val="21"/>
                <w:highlight w:val="none"/>
              </w:rPr>
            </w:pPr>
            <w:r>
              <w:rPr>
                <w:rFonts w:ascii="Times New Roman" w:hAnsi="Times New Roman"/>
                <w:color w:val="auto"/>
                <w:sz w:val="21"/>
                <w:szCs w:val="21"/>
              </w:rPr>
              <w:t>采用选定的预测模式和</w:t>
            </w:r>
            <w:r>
              <w:rPr>
                <w:rFonts w:ascii="Times New Roman" w:hAnsi="Times New Roman"/>
                <w:color w:val="auto"/>
                <w:sz w:val="21"/>
                <w:szCs w:val="21"/>
                <w:highlight w:val="none"/>
              </w:rPr>
              <w:t>噪声源参数进行计算，</w:t>
            </w:r>
            <w:r>
              <w:rPr>
                <w:rFonts w:hint="eastAsia" w:ascii="Times New Roman" w:hAnsi="Times New Roman"/>
                <w:color w:val="auto"/>
                <w:sz w:val="21"/>
                <w:szCs w:val="21"/>
                <w:highlight w:val="none"/>
              </w:rPr>
              <w:t>预测结果见表</w:t>
            </w:r>
            <w:r>
              <w:rPr>
                <w:rFonts w:hint="eastAsia" w:ascii="Times New Roman" w:hAnsi="Times New Roman"/>
                <w:color w:val="auto"/>
                <w:sz w:val="21"/>
                <w:szCs w:val="21"/>
                <w:highlight w:val="none"/>
                <w:lang w:val="en-US" w:eastAsia="zh-CN"/>
              </w:rPr>
              <w:t>40</w:t>
            </w:r>
            <w:r>
              <w:rPr>
                <w:rFonts w:hint="eastAsia" w:ascii="Times New Roman" w:hAnsi="Times New Roman"/>
                <w:color w:val="auto"/>
                <w:sz w:val="21"/>
                <w:szCs w:val="21"/>
                <w:highlight w:val="none"/>
              </w:rPr>
              <w:t>。</w:t>
            </w:r>
          </w:p>
          <w:p w14:paraId="222B0E13">
            <w:pPr>
              <w:tabs>
                <w:tab w:val="left" w:pos="4253"/>
              </w:tabs>
              <w:wordWrap w:val="0"/>
              <w:spacing w:line="440" w:lineRule="exact"/>
              <w:jc w:val="center"/>
              <w:rPr>
                <w:b/>
                <w:color w:val="auto"/>
                <w:szCs w:val="21"/>
                <w:highlight w:val="none"/>
              </w:rPr>
            </w:pPr>
            <w:r>
              <w:rPr>
                <w:b/>
                <w:color w:val="auto"/>
                <w:szCs w:val="21"/>
                <w:highlight w:val="none"/>
              </w:rPr>
              <w:t>表</w:t>
            </w:r>
            <w:r>
              <w:rPr>
                <w:rFonts w:hint="eastAsia"/>
                <w:b/>
                <w:color w:val="auto"/>
                <w:szCs w:val="21"/>
                <w:highlight w:val="none"/>
                <w:lang w:val="en-US" w:eastAsia="zh-CN"/>
              </w:rPr>
              <w:t xml:space="preserve">40 </w:t>
            </w:r>
            <w:r>
              <w:rPr>
                <w:b/>
                <w:color w:val="auto"/>
                <w:szCs w:val="21"/>
                <w:highlight w:val="none"/>
              </w:rPr>
              <w:t xml:space="preserve"> </w:t>
            </w:r>
            <w:r>
              <w:rPr>
                <w:rFonts w:hint="eastAsia"/>
                <w:b/>
                <w:color w:val="auto"/>
                <w:szCs w:val="21"/>
                <w:highlight w:val="none"/>
                <w:lang w:val="en-US" w:eastAsia="zh-CN"/>
              </w:rPr>
              <w:t>厂界</w:t>
            </w:r>
            <w:r>
              <w:rPr>
                <w:b/>
                <w:color w:val="auto"/>
                <w:szCs w:val="21"/>
                <w:highlight w:val="none"/>
              </w:rPr>
              <w:t>预测结果一览表</w:t>
            </w:r>
          </w:p>
          <w:tbl>
            <w:tblPr>
              <w:tblStyle w:val="28"/>
              <w:tblW w:w="7997" w:type="dxa"/>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6" w:type="dxa"/>
                <w:bottom w:w="0" w:type="dxa"/>
                <w:right w:w="6" w:type="dxa"/>
              </w:tblCellMar>
            </w:tblPr>
            <w:tblGrid>
              <w:gridCol w:w="1599"/>
              <w:gridCol w:w="1599"/>
              <w:gridCol w:w="1599"/>
              <w:gridCol w:w="1599"/>
              <w:gridCol w:w="1601"/>
            </w:tblGrid>
            <w:tr w14:paraId="5215CF8E">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PrEx>
              <w:trPr>
                <w:trHeight w:val="369" w:hRule="atLeast"/>
                <w:jc w:val="center"/>
              </w:trPr>
              <w:tc>
                <w:tcPr>
                  <w:tcW w:w="999" w:type="pct"/>
                  <w:tcBorders>
                    <w:top w:val="single" w:color="auto" w:sz="12" w:space="0"/>
                    <w:bottom w:val="single" w:color="auto" w:sz="6" w:space="0"/>
                  </w:tcBorders>
                  <w:tcMar>
                    <w:left w:w="0" w:type="dxa"/>
                    <w:right w:w="0" w:type="dxa"/>
                  </w:tcMar>
                  <w:vAlign w:val="center"/>
                </w:tcPr>
                <w:p w14:paraId="67DA9813">
                  <w:pPr>
                    <w:pStyle w:val="71"/>
                    <w:rPr>
                      <w:rFonts w:ascii="Times New Roman" w:hAnsi="Times New Roman"/>
                      <w:color w:val="auto"/>
                      <w:sz w:val="18"/>
                      <w:szCs w:val="18"/>
                      <w:highlight w:val="none"/>
                    </w:rPr>
                  </w:pPr>
                  <w:r>
                    <w:rPr>
                      <w:rFonts w:hint="eastAsia" w:ascii="Times New Roman" w:hAnsi="Times New Roman"/>
                      <w:color w:val="auto"/>
                      <w:sz w:val="18"/>
                      <w:szCs w:val="18"/>
                      <w:highlight w:val="none"/>
                    </w:rPr>
                    <w:t>项目</w:t>
                  </w:r>
                </w:p>
              </w:tc>
              <w:tc>
                <w:tcPr>
                  <w:tcW w:w="999" w:type="pct"/>
                  <w:tcBorders>
                    <w:top w:val="single" w:color="auto" w:sz="12" w:space="0"/>
                    <w:bottom w:val="single" w:color="auto" w:sz="6" w:space="0"/>
                  </w:tcBorders>
                  <w:tcMar>
                    <w:left w:w="0" w:type="dxa"/>
                    <w:right w:w="0" w:type="dxa"/>
                  </w:tcMar>
                  <w:vAlign w:val="center"/>
                </w:tcPr>
                <w:p w14:paraId="55A1488D">
                  <w:pPr>
                    <w:pStyle w:val="71"/>
                    <w:rPr>
                      <w:rFonts w:ascii="Times New Roman" w:hAnsi="Times New Roman"/>
                      <w:color w:val="auto"/>
                      <w:sz w:val="18"/>
                      <w:szCs w:val="18"/>
                      <w:highlight w:val="none"/>
                    </w:rPr>
                  </w:pPr>
                  <w:r>
                    <w:rPr>
                      <w:rFonts w:hint="eastAsia" w:ascii="Times New Roman" w:hAnsi="Times New Roman"/>
                      <w:color w:val="auto"/>
                      <w:sz w:val="18"/>
                      <w:szCs w:val="18"/>
                      <w:highlight w:val="none"/>
                    </w:rPr>
                    <w:t>北</w:t>
                  </w:r>
                  <w:r>
                    <w:rPr>
                      <w:rFonts w:ascii="Times New Roman" w:hAnsi="Times New Roman"/>
                      <w:color w:val="auto"/>
                      <w:sz w:val="18"/>
                      <w:szCs w:val="18"/>
                      <w:highlight w:val="none"/>
                    </w:rPr>
                    <w:t>厂界</w:t>
                  </w:r>
                </w:p>
              </w:tc>
              <w:tc>
                <w:tcPr>
                  <w:tcW w:w="999" w:type="pct"/>
                  <w:vAlign w:val="center"/>
                </w:tcPr>
                <w:p w14:paraId="76A5FF7A">
                  <w:pPr>
                    <w:pStyle w:val="71"/>
                    <w:rPr>
                      <w:rFonts w:ascii="Times New Roman" w:hAnsi="Times New Roman"/>
                      <w:color w:val="auto"/>
                      <w:sz w:val="18"/>
                      <w:szCs w:val="18"/>
                      <w:highlight w:val="none"/>
                    </w:rPr>
                  </w:pPr>
                  <w:r>
                    <w:rPr>
                      <w:rFonts w:hint="eastAsia" w:ascii="Times New Roman" w:hAnsi="Times New Roman"/>
                      <w:color w:val="auto"/>
                      <w:sz w:val="18"/>
                      <w:szCs w:val="18"/>
                      <w:highlight w:val="none"/>
                    </w:rPr>
                    <w:t>西</w:t>
                  </w:r>
                  <w:r>
                    <w:rPr>
                      <w:rFonts w:ascii="Times New Roman" w:hAnsi="Times New Roman"/>
                      <w:color w:val="auto"/>
                      <w:sz w:val="18"/>
                      <w:szCs w:val="18"/>
                      <w:highlight w:val="none"/>
                    </w:rPr>
                    <w:t>厂界</w:t>
                  </w:r>
                </w:p>
              </w:tc>
              <w:tc>
                <w:tcPr>
                  <w:tcW w:w="999" w:type="pct"/>
                  <w:vAlign w:val="center"/>
                </w:tcPr>
                <w:p w14:paraId="3FE24208">
                  <w:pPr>
                    <w:pStyle w:val="71"/>
                    <w:rPr>
                      <w:rFonts w:ascii="Times New Roman" w:hAnsi="Times New Roman"/>
                      <w:color w:val="auto"/>
                      <w:sz w:val="18"/>
                      <w:szCs w:val="18"/>
                      <w:highlight w:val="none"/>
                    </w:rPr>
                  </w:pPr>
                  <w:r>
                    <w:rPr>
                      <w:rFonts w:hint="eastAsia" w:ascii="Times New Roman" w:hAnsi="Times New Roman"/>
                      <w:color w:val="auto"/>
                      <w:sz w:val="18"/>
                      <w:szCs w:val="18"/>
                      <w:highlight w:val="none"/>
                    </w:rPr>
                    <w:t>南</w:t>
                  </w:r>
                  <w:r>
                    <w:rPr>
                      <w:rFonts w:ascii="Times New Roman" w:hAnsi="Times New Roman"/>
                      <w:color w:val="auto"/>
                      <w:sz w:val="18"/>
                      <w:szCs w:val="18"/>
                      <w:highlight w:val="none"/>
                    </w:rPr>
                    <w:t>厂界</w:t>
                  </w:r>
                </w:p>
              </w:tc>
              <w:tc>
                <w:tcPr>
                  <w:tcW w:w="1001" w:type="pct"/>
                  <w:vAlign w:val="center"/>
                </w:tcPr>
                <w:p w14:paraId="2805ED19">
                  <w:pPr>
                    <w:pStyle w:val="71"/>
                    <w:rPr>
                      <w:rFonts w:hint="default" w:ascii="Times New Roman" w:hAnsi="Times New Roman" w:eastAsia="宋体"/>
                      <w:color w:val="auto"/>
                      <w:sz w:val="18"/>
                      <w:szCs w:val="18"/>
                      <w:highlight w:val="none"/>
                      <w:lang w:val="en-US" w:eastAsia="zh-CN"/>
                    </w:rPr>
                  </w:pPr>
                  <w:r>
                    <w:rPr>
                      <w:rFonts w:hint="eastAsia" w:ascii="Times New Roman" w:hAnsi="Times New Roman"/>
                      <w:color w:val="auto"/>
                      <w:sz w:val="18"/>
                      <w:szCs w:val="18"/>
                      <w:highlight w:val="none"/>
                    </w:rPr>
                    <w:t>东</w:t>
                  </w:r>
                  <w:r>
                    <w:rPr>
                      <w:rFonts w:ascii="Times New Roman" w:hAnsi="Times New Roman"/>
                      <w:color w:val="auto"/>
                      <w:sz w:val="18"/>
                      <w:szCs w:val="18"/>
                      <w:highlight w:val="none"/>
                    </w:rPr>
                    <w:t>厂界</w:t>
                  </w:r>
                </w:p>
              </w:tc>
            </w:tr>
            <w:tr w14:paraId="7F75B405">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6" w:type="dxa"/>
                  <w:bottom w:w="0" w:type="dxa"/>
                  <w:right w:w="6" w:type="dxa"/>
                </w:tblCellMar>
              </w:tblPrEx>
              <w:trPr>
                <w:trHeight w:val="369" w:hRule="atLeast"/>
                <w:jc w:val="center"/>
              </w:trPr>
              <w:tc>
                <w:tcPr>
                  <w:tcW w:w="999" w:type="pct"/>
                  <w:tcBorders>
                    <w:top w:val="single" w:color="auto" w:sz="6" w:space="0"/>
                    <w:bottom w:val="single" w:color="auto" w:sz="6" w:space="0"/>
                  </w:tcBorders>
                  <w:tcMar>
                    <w:left w:w="0" w:type="dxa"/>
                    <w:right w:w="0" w:type="dxa"/>
                  </w:tcMar>
                  <w:vAlign w:val="center"/>
                </w:tcPr>
                <w:p w14:paraId="613B6F60">
                  <w:pPr>
                    <w:jc w:val="center"/>
                    <w:rPr>
                      <w:color w:val="auto"/>
                      <w:sz w:val="18"/>
                      <w:szCs w:val="18"/>
                      <w:highlight w:val="none"/>
                    </w:rPr>
                  </w:pPr>
                  <w:r>
                    <w:rPr>
                      <w:rFonts w:hint="eastAsia"/>
                      <w:color w:val="auto"/>
                      <w:sz w:val="18"/>
                      <w:szCs w:val="18"/>
                      <w:highlight w:val="none"/>
                    </w:rPr>
                    <w:t>贡献值</w:t>
                  </w:r>
                  <w:r>
                    <w:rPr>
                      <w:rFonts w:ascii="Times New Roman" w:hAnsi="Times New Roman" w:eastAsia="宋体"/>
                      <w:color w:val="auto"/>
                      <w:sz w:val="18"/>
                      <w:szCs w:val="18"/>
                      <w:highlight w:val="none"/>
                    </w:rPr>
                    <w:t>/dB(A)</w:t>
                  </w:r>
                </w:p>
              </w:tc>
              <w:tc>
                <w:tcPr>
                  <w:tcW w:w="999" w:type="pct"/>
                  <w:tcBorders>
                    <w:top w:val="single" w:color="auto" w:sz="6" w:space="0"/>
                    <w:bottom w:val="single" w:color="auto" w:sz="6" w:space="0"/>
                  </w:tcBorders>
                  <w:tcMar>
                    <w:left w:w="0" w:type="dxa"/>
                    <w:right w:w="0" w:type="dxa"/>
                  </w:tcMar>
                  <w:vAlign w:val="center"/>
                </w:tcPr>
                <w:p w14:paraId="7DE3AB5D">
                  <w:pPr>
                    <w:pStyle w:val="71"/>
                    <w:rPr>
                      <w:rFonts w:hint="default" w:ascii="Times New Roman" w:hAnsi="Times New Roman" w:eastAsia="宋体"/>
                      <w:color w:val="auto"/>
                      <w:sz w:val="18"/>
                      <w:szCs w:val="18"/>
                      <w:highlight w:val="none"/>
                      <w:lang w:val="en-US" w:eastAsia="zh-CN"/>
                    </w:rPr>
                  </w:pPr>
                  <w:r>
                    <w:rPr>
                      <w:rFonts w:hint="eastAsia" w:ascii="Times New Roman" w:hAnsi="Times New Roman"/>
                      <w:color w:val="auto"/>
                      <w:sz w:val="18"/>
                      <w:szCs w:val="18"/>
                      <w:highlight w:val="none"/>
                      <w:lang w:val="en-US" w:eastAsia="zh-CN"/>
                    </w:rPr>
                    <w:t>49.8</w:t>
                  </w:r>
                </w:p>
              </w:tc>
              <w:tc>
                <w:tcPr>
                  <w:tcW w:w="999" w:type="pct"/>
                  <w:vAlign w:val="center"/>
                </w:tcPr>
                <w:p w14:paraId="48907E4F">
                  <w:pPr>
                    <w:pStyle w:val="71"/>
                    <w:rPr>
                      <w:rFonts w:hint="default" w:ascii="Times New Roman" w:hAnsi="Times New Roman" w:eastAsia="宋体"/>
                      <w:color w:val="auto"/>
                      <w:sz w:val="18"/>
                      <w:szCs w:val="18"/>
                      <w:highlight w:val="none"/>
                      <w:lang w:val="en-US" w:eastAsia="zh-CN"/>
                    </w:rPr>
                  </w:pPr>
                  <w:r>
                    <w:rPr>
                      <w:rFonts w:hint="eastAsia" w:ascii="Times New Roman" w:hAnsi="Times New Roman"/>
                      <w:color w:val="auto"/>
                      <w:sz w:val="18"/>
                      <w:szCs w:val="18"/>
                      <w:highlight w:val="none"/>
                      <w:lang w:val="en-US" w:eastAsia="zh-CN"/>
                    </w:rPr>
                    <w:t>46.1</w:t>
                  </w:r>
                </w:p>
              </w:tc>
              <w:tc>
                <w:tcPr>
                  <w:tcW w:w="999" w:type="pct"/>
                  <w:vAlign w:val="center"/>
                </w:tcPr>
                <w:p w14:paraId="791C71C1">
                  <w:pPr>
                    <w:pStyle w:val="71"/>
                    <w:rPr>
                      <w:rFonts w:hint="default" w:ascii="Times New Roman" w:hAnsi="Times New Roman" w:eastAsia="宋体"/>
                      <w:color w:val="auto"/>
                      <w:sz w:val="18"/>
                      <w:szCs w:val="18"/>
                      <w:highlight w:val="none"/>
                      <w:lang w:val="en-US" w:eastAsia="zh-CN"/>
                    </w:rPr>
                  </w:pPr>
                  <w:r>
                    <w:rPr>
                      <w:rFonts w:hint="eastAsia" w:ascii="Times New Roman" w:hAnsi="Times New Roman"/>
                      <w:color w:val="auto"/>
                      <w:sz w:val="18"/>
                      <w:szCs w:val="18"/>
                      <w:highlight w:val="none"/>
                      <w:lang w:val="en-US" w:eastAsia="zh-CN"/>
                    </w:rPr>
                    <w:t>48.6</w:t>
                  </w:r>
                </w:p>
              </w:tc>
              <w:tc>
                <w:tcPr>
                  <w:tcW w:w="1001" w:type="pct"/>
                  <w:vAlign w:val="center"/>
                </w:tcPr>
                <w:p w14:paraId="05E6FFF7">
                  <w:pPr>
                    <w:pStyle w:val="71"/>
                    <w:rPr>
                      <w:rFonts w:hint="default" w:ascii="Times New Roman" w:hAnsi="Times New Roman" w:eastAsia="宋体"/>
                      <w:color w:val="auto"/>
                      <w:sz w:val="18"/>
                      <w:szCs w:val="18"/>
                      <w:highlight w:val="none"/>
                      <w:lang w:val="en-US" w:eastAsia="zh-CN"/>
                    </w:rPr>
                  </w:pPr>
                  <w:r>
                    <w:rPr>
                      <w:rFonts w:hint="eastAsia" w:ascii="Times New Roman" w:hAnsi="Times New Roman"/>
                      <w:color w:val="auto"/>
                      <w:sz w:val="18"/>
                      <w:szCs w:val="18"/>
                      <w:highlight w:val="none"/>
                      <w:lang w:val="en-US" w:eastAsia="zh-CN"/>
                    </w:rPr>
                    <w:t>49.7</w:t>
                  </w:r>
                </w:p>
              </w:tc>
            </w:tr>
            <w:tr w14:paraId="3AF7E3E2">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6" w:type="dxa"/>
                  <w:bottom w:w="0" w:type="dxa"/>
                  <w:right w:w="6" w:type="dxa"/>
                </w:tblCellMar>
              </w:tblPrEx>
              <w:trPr>
                <w:trHeight w:val="369" w:hRule="atLeast"/>
                <w:jc w:val="center"/>
              </w:trPr>
              <w:tc>
                <w:tcPr>
                  <w:tcW w:w="999" w:type="pct"/>
                  <w:tcBorders>
                    <w:top w:val="single" w:color="auto" w:sz="6" w:space="0"/>
                    <w:bottom w:val="single" w:color="auto" w:sz="6" w:space="0"/>
                  </w:tcBorders>
                  <w:tcMar>
                    <w:left w:w="0" w:type="dxa"/>
                    <w:right w:w="0" w:type="dxa"/>
                  </w:tcMar>
                  <w:vAlign w:val="center"/>
                </w:tcPr>
                <w:p w14:paraId="473B42DB">
                  <w:pPr>
                    <w:jc w:val="center"/>
                    <w:rPr>
                      <w:color w:val="auto"/>
                      <w:sz w:val="18"/>
                      <w:szCs w:val="18"/>
                      <w:highlight w:val="none"/>
                    </w:rPr>
                  </w:pPr>
                  <w:r>
                    <w:rPr>
                      <w:rFonts w:hint="eastAsia"/>
                      <w:color w:val="auto"/>
                      <w:sz w:val="18"/>
                      <w:szCs w:val="18"/>
                      <w:highlight w:val="none"/>
                    </w:rPr>
                    <w:t>标准值</w:t>
                  </w:r>
                  <w:r>
                    <w:rPr>
                      <w:rFonts w:ascii="Times New Roman" w:hAnsi="Times New Roman" w:eastAsia="宋体"/>
                      <w:color w:val="auto"/>
                      <w:sz w:val="18"/>
                      <w:szCs w:val="18"/>
                      <w:highlight w:val="none"/>
                    </w:rPr>
                    <w:t>/dB(A)</w:t>
                  </w:r>
                </w:p>
              </w:tc>
              <w:tc>
                <w:tcPr>
                  <w:tcW w:w="4000" w:type="pct"/>
                  <w:gridSpan w:val="4"/>
                  <w:tcBorders>
                    <w:top w:val="single" w:color="auto" w:sz="6" w:space="0"/>
                    <w:bottom w:val="single" w:color="auto" w:sz="6" w:space="0"/>
                  </w:tcBorders>
                  <w:tcMar>
                    <w:left w:w="0" w:type="dxa"/>
                    <w:right w:w="0" w:type="dxa"/>
                  </w:tcMar>
                  <w:vAlign w:val="center"/>
                </w:tcPr>
                <w:p w14:paraId="2655A820">
                  <w:pPr>
                    <w:pStyle w:val="71"/>
                    <w:rPr>
                      <w:rFonts w:hint="eastAsia" w:ascii="Times New Roman" w:hAnsi="Times New Roman"/>
                      <w:color w:val="auto"/>
                      <w:sz w:val="18"/>
                      <w:szCs w:val="18"/>
                      <w:highlight w:val="none"/>
                    </w:rPr>
                  </w:pPr>
                  <w:r>
                    <w:rPr>
                      <w:rFonts w:hint="eastAsia" w:ascii="Times New Roman" w:hAnsi="Times New Roman"/>
                      <w:color w:val="auto"/>
                      <w:sz w:val="18"/>
                      <w:szCs w:val="18"/>
                      <w:highlight w:val="none"/>
                    </w:rPr>
                    <w:t>昼间标准</w:t>
                  </w:r>
                  <w:r>
                    <w:rPr>
                      <w:rFonts w:hint="eastAsia"/>
                      <w:color w:val="auto"/>
                      <w:sz w:val="18"/>
                      <w:szCs w:val="18"/>
                      <w:highlight w:val="none"/>
                    </w:rPr>
                    <w:t>≤</w:t>
                  </w:r>
                  <w:r>
                    <w:rPr>
                      <w:rFonts w:hint="eastAsia" w:ascii="Times New Roman" w:hAnsi="Times New Roman"/>
                      <w:color w:val="auto"/>
                      <w:sz w:val="18"/>
                      <w:szCs w:val="18"/>
                      <w:highlight w:val="none"/>
                    </w:rPr>
                    <w:t>60，夜间标准</w:t>
                  </w:r>
                  <w:r>
                    <w:rPr>
                      <w:rFonts w:hint="eastAsia"/>
                      <w:color w:val="auto"/>
                      <w:sz w:val="18"/>
                      <w:szCs w:val="18"/>
                      <w:highlight w:val="none"/>
                    </w:rPr>
                    <w:t>≤</w:t>
                  </w:r>
                  <w:r>
                    <w:rPr>
                      <w:rFonts w:hint="eastAsia" w:ascii="Times New Roman" w:hAnsi="Times New Roman"/>
                      <w:color w:val="auto"/>
                      <w:sz w:val="18"/>
                      <w:szCs w:val="18"/>
                      <w:highlight w:val="none"/>
                    </w:rPr>
                    <w:t>50</w:t>
                  </w:r>
                </w:p>
              </w:tc>
            </w:tr>
            <w:tr w14:paraId="0F8808FD">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6" w:type="dxa"/>
                  <w:bottom w:w="0" w:type="dxa"/>
                  <w:right w:w="6" w:type="dxa"/>
                </w:tblCellMar>
              </w:tblPrEx>
              <w:trPr>
                <w:trHeight w:val="369" w:hRule="atLeast"/>
                <w:jc w:val="center"/>
              </w:trPr>
              <w:tc>
                <w:tcPr>
                  <w:tcW w:w="999" w:type="pct"/>
                  <w:tcBorders>
                    <w:top w:val="single" w:color="auto" w:sz="6" w:space="0"/>
                    <w:bottom w:val="single" w:color="auto" w:sz="12" w:space="0"/>
                  </w:tcBorders>
                  <w:tcMar>
                    <w:left w:w="0" w:type="dxa"/>
                    <w:right w:w="0" w:type="dxa"/>
                  </w:tcMar>
                  <w:vAlign w:val="center"/>
                </w:tcPr>
                <w:p w14:paraId="290C640B">
                  <w:pPr>
                    <w:jc w:val="center"/>
                    <w:rPr>
                      <w:color w:val="auto"/>
                      <w:sz w:val="18"/>
                      <w:szCs w:val="18"/>
                      <w:highlight w:val="none"/>
                    </w:rPr>
                  </w:pPr>
                  <w:r>
                    <w:rPr>
                      <w:rFonts w:hint="eastAsia"/>
                      <w:color w:val="auto"/>
                      <w:sz w:val="18"/>
                      <w:szCs w:val="18"/>
                      <w:highlight w:val="none"/>
                    </w:rPr>
                    <w:t>达标情况</w:t>
                  </w:r>
                </w:p>
              </w:tc>
              <w:tc>
                <w:tcPr>
                  <w:tcW w:w="4000" w:type="pct"/>
                  <w:gridSpan w:val="4"/>
                  <w:tcBorders>
                    <w:top w:val="single" w:color="auto" w:sz="6" w:space="0"/>
                    <w:bottom w:val="single" w:color="auto" w:sz="12" w:space="0"/>
                  </w:tcBorders>
                  <w:tcMar>
                    <w:left w:w="0" w:type="dxa"/>
                    <w:right w:w="0" w:type="dxa"/>
                  </w:tcMar>
                  <w:vAlign w:val="center"/>
                </w:tcPr>
                <w:p w14:paraId="54277E7F">
                  <w:pPr>
                    <w:pStyle w:val="71"/>
                    <w:rPr>
                      <w:rFonts w:ascii="Times New Roman" w:hAnsi="Times New Roman"/>
                      <w:color w:val="auto"/>
                      <w:sz w:val="18"/>
                      <w:szCs w:val="18"/>
                      <w:highlight w:val="none"/>
                    </w:rPr>
                  </w:pPr>
                  <w:r>
                    <w:rPr>
                      <w:rFonts w:hint="eastAsia" w:ascii="Times New Roman" w:hAnsi="Times New Roman"/>
                      <w:color w:val="auto"/>
                      <w:sz w:val="18"/>
                      <w:szCs w:val="18"/>
                      <w:highlight w:val="none"/>
                    </w:rPr>
                    <w:t>达标</w:t>
                  </w:r>
                </w:p>
              </w:tc>
            </w:tr>
          </w:tbl>
          <w:p w14:paraId="54393573">
            <w:pPr>
              <w:adjustRightInd w:val="0"/>
              <w:spacing w:line="440" w:lineRule="exact"/>
              <w:ind w:firstLine="420" w:firstLineChars="200"/>
              <w:outlineLvl w:val="2"/>
              <w:rPr>
                <w:rFonts w:hint="eastAsia"/>
                <w:color w:val="auto"/>
                <w:szCs w:val="21"/>
                <w:highlight w:val="none"/>
              </w:rPr>
            </w:pPr>
            <w:r>
              <w:rPr>
                <w:rFonts w:hint="eastAsia"/>
                <w:color w:val="auto"/>
                <w:szCs w:val="21"/>
                <w:highlight w:val="none"/>
              </w:rPr>
              <w:t>预测结果表明，拟建项目对四周厂界的贡献值为</w:t>
            </w:r>
            <w:r>
              <w:rPr>
                <w:rFonts w:hint="eastAsia"/>
                <w:color w:val="auto"/>
                <w:szCs w:val="21"/>
                <w:highlight w:val="none"/>
                <w:lang w:val="en-US" w:eastAsia="zh-CN"/>
              </w:rPr>
              <w:t>46.1</w:t>
            </w:r>
            <w:r>
              <w:rPr>
                <w:rFonts w:hint="eastAsia"/>
                <w:color w:val="auto"/>
                <w:szCs w:val="21"/>
                <w:highlight w:val="none"/>
              </w:rPr>
              <w:t>-</w:t>
            </w:r>
            <w:r>
              <w:rPr>
                <w:rFonts w:hint="eastAsia"/>
                <w:color w:val="auto"/>
                <w:szCs w:val="21"/>
                <w:highlight w:val="none"/>
                <w:lang w:val="en-US" w:eastAsia="zh-CN"/>
              </w:rPr>
              <w:t>49.8</w:t>
            </w:r>
            <w:r>
              <w:rPr>
                <w:rFonts w:hint="eastAsia"/>
                <w:color w:val="auto"/>
                <w:szCs w:val="21"/>
                <w:highlight w:val="none"/>
              </w:rPr>
              <w:t>dB(A)之间，可满足《工业企业厂界环境噪声排放标准》（GB12348-2008）2类标准要求，可确保各厂界达标排放</w:t>
            </w:r>
            <w:r>
              <w:rPr>
                <w:rFonts w:hint="eastAsia"/>
                <w:color w:val="auto"/>
                <w:szCs w:val="21"/>
                <w:highlight w:val="none"/>
                <w:lang w:eastAsia="zh-CN"/>
              </w:rPr>
              <w:t>。</w:t>
            </w:r>
            <w:r>
              <w:rPr>
                <w:rFonts w:hint="eastAsia"/>
                <w:color w:val="auto"/>
                <w:szCs w:val="21"/>
                <w:highlight w:val="none"/>
              </w:rPr>
              <w:t>因此，项目噪声对周围声环境影响不大。以上措施均为较常采用的措施，降噪效果好且运行稳定，措施可行。</w:t>
            </w:r>
          </w:p>
          <w:p w14:paraId="4F779A8D">
            <w:pPr>
              <w:pStyle w:val="24"/>
              <w:adjustRightInd w:val="0"/>
              <w:snapToGrid w:val="0"/>
              <w:spacing w:before="0" w:beforeAutospacing="0" w:after="0" w:afterAutospacing="0" w:line="440" w:lineRule="exact"/>
              <w:ind w:firstLine="422" w:firstLineChars="200"/>
              <w:rPr>
                <w:rFonts w:hint="default" w:ascii="Times New Roman" w:hAnsi="Times New Roman" w:eastAsia="宋体"/>
                <w:b/>
                <w:color w:val="auto"/>
                <w:sz w:val="21"/>
                <w:szCs w:val="21"/>
                <w:lang w:val="en-US" w:eastAsia="zh-CN"/>
              </w:rPr>
            </w:pPr>
            <w:r>
              <w:rPr>
                <w:rFonts w:hint="eastAsia" w:ascii="Times New Roman" w:hAnsi="Times New Roman"/>
                <w:b/>
                <w:color w:val="auto"/>
                <w:sz w:val="21"/>
                <w:szCs w:val="21"/>
              </w:rPr>
              <w:t>3.</w:t>
            </w:r>
            <w:r>
              <w:rPr>
                <w:rFonts w:hint="eastAsia" w:ascii="Times New Roman" w:hAnsi="Times New Roman"/>
                <w:b/>
                <w:color w:val="auto"/>
                <w:sz w:val="21"/>
                <w:szCs w:val="21"/>
                <w:lang w:val="en-US" w:eastAsia="zh-CN"/>
              </w:rPr>
              <w:t>3管理措施</w:t>
            </w:r>
          </w:p>
          <w:p w14:paraId="468311B5">
            <w:pPr>
              <w:pStyle w:val="24"/>
              <w:keepNext w:val="0"/>
              <w:keepLines w:val="0"/>
              <w:pageBreakBefore w:val="0"/>
              <w:widowControl/>
              <w:kinsoku/>
              <w:wordWrap/>
              <w:overflowPunct/>
              <w:topLinePunct w:val="0"/>
              <w:autoSpaceDE/>
              <w:autoSpaceDN/>
              <w:bidi w:val="0"/>
              <w:adjustRightInd w:val="0"/>
              <w:snapToGrid w:val="0"/>
              <w:spacing w:before="0" w:beforeAutospacing="0" w:after="0" w:afterAutospacing="0" w:line="430" w:lineRule="exact"/>
              <w:ind w:firstLine="420" w:firstLineChars="200"/>
              <w:textAlignment w:val="auto"/>
              <w:rPr>
                <w:rFonts w:hint="default" w:ascii="Times New Roman" w:hAnsi="Times New Roman" w:eastAsia="宋体"/>
                <w:color w:val="auto"/>
                <w:sz w:val="21"/>
                <w:szCs w:val="21"/>
                <w:highlight w:val="yellow"/>
                <w:lang w:val="en-US" w:eastAsia="zh-CN"/>
              </w:rPr>
            </w:pPr>
            <w:r>
              <w:rPr>
                <w:rFonts w:ascii="Times New Roman" w:hAnsi="Times New Roman"/>
                <w:color w:val="auto"/>
                <w:sz w:val="21"/>
                <w:szCs w:val="21"/>
              </w:rPr>
              <w:t>为最大限度避免和减轻</w:t>
            </w:r>
            <w:r>
              <w:rPr>
                <w:rFonts w:hint="eastAsia" w:ascii="Times New Roman" w:hAnsi="Times New Roman"/>
                <w:color w:val="auto"/>
                <w:sz w:val="21"/>
                <w:szCs w:val="21"/>
                <w:lang w:val="en-US" w:eastAsia="zh-CN"/>
              </w:rPr>
              <w:t>营运期</w:t>
            </w:r>
            <w:r>
              <w:rPr>
                <w:rFonts w:ascii="Times New Roman" w:hAnsi="Times New Roman"/>
                <w:color w:val="auto"/>
                <w:sz w:val="21"/>
                <w:szCs w:val="21"/>
              </w:rPr>
              <w:t>噪声对声环境</w:t>
            </w:r>
            <w:r>
              <w:rPr>
                <w:rFonts w:hint="eastAsia" w:ascii="Times New Roman" w:hAnsi="Times New Roman"/>
                <w:color w:val="auto"/>
                <w:sz w:val="21"/>
                <w:szCs w:val="21"/>
                <w:lang w:val="en-US" w:eastAsia="zh-CN"/>
              </w:rPr>
              <w:t>敏感点产生</w:t>
            </w:r>
            <w:r>
              <w:rPr>
                <w:rFonts w:ascii="Times New Roman" w:hAnsi="Times New Roman"/>
                <w:color w:val="auto"/>
                <w:sz w:val="21"/>
                <w:szCs w:val="21"/>
              </w:rPr>
              <w:t>的不利影响，本评价</w:t>
            </w:r>
            <w:r>
              <w:rPr>
                <w:rFonts w:hint="eastAsia" w:ascii="Times New Roman" w:hAnsi="Times New Roman"/>
                <w:color w:val="auto"/>
                <w:sz w:val="21"/>
                <w:szCs w:val="21"/>
              </w:rPr>
              <w:t>要求</w:t>
            </w:r>
            <w:r>
              <w:rPr>
                <w:rFonts w:ascii="Times New Roman" w:hAnsi="Times New Roman"/>
                <w:color w:val="auto"/>
                <w:sz w:val="21"/>
                <w:szCs w:val="21"/>
              </w:rPr>
              <w:t>建设单位在</w:t>
            </w:r>
            <w:r>
              <w:rPr>
                <w:rFonts w:hint="eastAsia" w:ascii="Times New Roman" w:hAnsi="Times New Roman"/>
                <w:color w:val="auto"/>
                <w:sz w:val="21"/>
                <w:szCs w:val="21"/>
                <w:lang w:val="en-US" w:eastAsia="zh-CN"/>
              </w:rPr>
              <w:t>营运期</w:t>
            </w:r>
            <w:r>
              <w:rPr>
                <w:rFonts w:ascii="Times New Roman" w:hAnsi="Times New Roman"/>
                <w:color w:val="auto"/>
                <w:sz w:val="21"/>
                <w:szCs w:val="21"/>
              </w:rPr>
              <w:t>采取以下噪声</w:t>
            </w:r>
            <w:r>
              <w:rPr>
                <w:rFonts w:hint="eastAsia" w:ascii="Times New Roman" w:hAnsi="Times New Roman"/>
                <w:color w:val="auto"/>
                <w:sz w:val="21"/>
                <w:szCs w:val="21"/>
                <w:lang w:val="en-US" w:eastAsia="zh-CN"/>
              </w:rPr>
              <w:t>管理措施</w:t>
            </w:r>
            <w:r>
              <w:rPr>
                <w:rFonts w:ascii="Times New Roman" w:hAnsi="Times New Roman"/>
                <w:color w:val="auto"/>
                <w:sz w:val="21"/>
                <w:szCs w:val="21"/>
              </w:rPr>
              <w:t>：</w:t>
            </w:r>
          </w:p>
          <w:p w14:paraId="7F67DE7D">
            <w:pPr>
              <w:pStyle w:val="24"/>
              <w:keepNext w:val="0"/>
              <w:keepLines w:val="0"/>
              <w:pageBreakBefore w:val="0"/>
              <w:widowControl/>
              <w:kinsoku/>
              <w:wordWrap/>
              <w:overflowPunct/>
              <w:topLinePunct w:val="0"/>
              <w:autoSpaceDE/>
              <w:autoSpaceDN/>
              <w:bidi w:val="0"/>
              <w:adjustRightInd w:val="0"/>
              <w:snapToGrid w:val="0"/>
              <w:spacing w:before="0" w:beforeAutospacing="0" w:after="0" w:afterAutospacing="0" w:line="430" w:lineRule="exact"/>
              <w:ind w:firstLine="420" w:firstLineChars="200"/>
              <w:textAlignment w:val="auto"/>
              <w:rPr>
                <w:rFonts w:hint="eastAsia" w:ascii="Times New Roman" w:hAnsi="Times New Roman" w:cs="Times New Roman"/>
                <w:color w:val="auto"/>
                <w:sz w:val="21"/>
                <w:szCs w:val="21"/>
                <w:lang w:eastAsia="zh-CN"/>
              </w:rPr>
            </w:pPr>
            <w:r>
              <w:rPr>
                <w:rFonts w:hint="eastAsia" w:ascii="Times New Roman" w:hAnsi="Times New Roman" w:cs="Times New Roman"/>
                <w:color w:val="auto"/>
                <w:sz w:val="21"/>
                <w:szCs w:val="21"/>
                <w:lang w:eastAsia="zh-CN"/>
              </w:rPr>
              <w:t>（</w:t>
            </w:r>
            <w:r>
              <w:rPr>
                <w:rFonts w:hint="eastAsia" w:ascii="Times New Roman" w:hAnsi="Times New Roman" w:cs="Times New Roman"/>
                <w:color w:val="auto"/>
                <w:sz w:val="21"/>
                <w:szCs w:val="21"/>
                <w:lang w:val="en-US" w:eastAsia="zh-CN"/>
              </w:rPr>
              <w:t>1</w:t>
            </w:r>
            <w:r>
              <w:rPr>
                <w:rFonts w:hint="eastAsia" w:ascii="Times New Roman" w:hAnsi="Times New Roman" w:cs="Times New Roman"/>
                <w:color w:val="auto"/>
                <w:sz w:val="21"/>
                <w:szCs w:val="21"/>
                <w:lang w:eastAsia="zh-CN"/>
              </w:rPr>
              <w:t>）</w:t>
            </w:r>
            <w:r>
              <w:rPr>
                <w:rFonts w:ascii="Times New Roman" w:hAnsi="Times New Roman" w:cs="Times New Roman"/>
                <w:color w:val="auto"/>
                <w:sz w:val="21"/>
                <w:szCs w:val="21"/>
              </w:rPr>
              <w:t>建设单位应有专人对其</w:t>
            </w:r>
            <w:r>
              <w:rPr>
                <w:rFonts w:hint="eastAsia" w:ascii="Times New Roman" w:hAnsi="Times New Roman" w:cs="Times New Roman"/>
                <w:color w:val="auto"/>
                <w:sz w:val="21"/>
                <w:szCs w:val="21"/>
                <w:lang w:val="en-US" w:eastAsia="zh-CN"/>
              </w:rPr>
              <w:t>营运期主要产噪设备</w:t>
            </w:r>
            <w:r>
              <w:rPr>
                <w:rFonts w:ascii="Times New Roman" w:hAnsi="Times New Roman" w:cs="Times New Roman"/>
                <w:color w:val="auto"/>
                <w:sz w:val="21"/>
                <w:szCs w:val="21"/>
              </w:rPr>
              <w:t>进行保养维护，</w:t>
            </w:r>
            <w:r>
              <w:rPr>
                <w:rFonts w:hint="eastAsia" w:ascii="Times New Roman" w:hAnsi="Times New Roman" w:cs="Times New Roman"/>
                <w:color w:val="auto"/>
                <w:sz w:val="21"/>
                <w:szCs w:val="21"/>
                <w:lang w:val="en-US" w:eastAsia="zh-CN"/>
              </w:rPr>
              <w:t>并对</w:t>
            </w:r>
            <w:r>
              <w:rPr>
                <w:rFonts w:ascii="Times New Roman" w:hAnsi="Times New Roman" w:cs="Times New Roman"/>
                <w:color w:val="auto"/>
                <w:sz w:val="21"/>
                <w:szCs w:val="21"/>
              </w:rPr>
              <w:t>现场使用设备的人员进行培训，严格按照操作规范使用各类</w:t>
            </w:r>
            <w:r>
              <w:rPr>
                <w:rFonts w:hint="eastAsia" w:ascii="Times New Roman" w:hAnsi="Times New Roman" w:cs="Times New Roman"/>
                <w:color w:val="auto"/>
                <w:sz w:val="21"/>
                <w:szCs w:val="21"/>
                <w:lang w:val="en-US" w:eastAsia="zh-CN"/>
              </w:rPr>
              <w:t>生产设备</w:t>
            </w:r>
            <w:r>
              <w:rPr>
                <w:rFonts w:hint="eastAsia" w:ascii="Times New Roman" w:hAnsi="Times New Roman" w:cs="Times New Roman"/>
                <w:color w:val="auto"/>
                <w:sz w:val="21"/>
                <w:szCs w:val="21"/>
                <w:lang w:eastAsia="zh-CN"/>
              </w:rPr>
              <w:t>；</w:t>
            </w:r>
          </w:p>
          <w:p w14:paraId="0545B486">
            <w:pPr>
              <w:pStyle w:val="24"/>
              <w:keepNext w:val="0"/>
              <w:keepLines w:val="0"/>
              <w:pageBreakBefore w:val="0"/>
              <w:widowControl/>
              <w:kinsoku/>
              <w:wordWrap/>
              <w:overflowPunct/>
              <w:topLinePunct w:val="0"/>
              <w:autoSpaceDE/>
              <w:autoSpaceDN/>
              <w:bidi w:val="0"/>
              <w:adjustRightInd w:val="0"/>
              <w:snapToGrid w:val="0"/>
              <w:spacing w:before="0" w:beforeAutospacing="0" w:after="0" w:afterAutospacing="0" w:line="430" w:lineRule="exact"/>
              <w:ind w:firstLine="420" w:firstLineChars="200"/>
              <w:textAlignment w:val="auto"/>
              <w:rPr>
                <w:rFonts w:hint="eastAsia" w:ascii="Times New Roman" w:hAnsi="Times New Roman" w:cs="Times New Roman"/>
                <w:color w:val="auto"/>
                <w:sz w:val="21"/>
                <w:szCs w:val="21"/>
              </w:rPr>
            </w:pPr>
            <w:r>
              <w:rPr>
                <w:rFonts w:hint="eastAsia" w:ascii="Times New Roman" w:hAnsi="Times New Roman" w:cs="Times New Roman"/>
                <w:color w:val="auto"/>
                <w:sz w:val="21"/>
                <w:szCs w:val="21"/>
                <w:lang w:eastAsia="zh-CN"/>
              </w:rPr>
              <w:t>（</w:t>
            </w:r>
            <w:r>
              <w:rPr>
                <w:rFonts w:hint="eastAsia" w:ascii="Times New Roman" w:hAnsi="Times New Roman" w:cs="Times New Roman"/>
                <w:color w:val="auto"/>
                <w:sz w:val="21"/>
                <w:szCs w:val="21"/>
                <w:lang w:val="en-US" w:eastAsia="zh-CN"/>
              </w:rPr>
              <w:t>2</w:t>
            </w:r>
            <w:r>
              <w:rPr>
                <w:rFonts w:hint="eastAsia" w:ascii="Times New Roman" w:hAnsi="Times New Roman" w:cs="Times New Roman"/>
                <w:color w:val="auto"/>
                <w:sz w:val="21"/>
                <w:szCs w:val="21"/>
                <w:lang w:eastAsia="zh-CN"/>
              </w:rPr>
              <w:t>）</w:t>
            </w:r>
            <w:r>
              <w:rPr>
                <w:rFonts w:ascii="Times New Roman" w:hAnsi="Times New Roman" w:cs="Times New Roman"/>
                <w:color w:val="auto"/>
                <w:sz w:val="21"/>
                <w:szCs w:val="21"/>
              </w:rPr>
              <w:t>增强</w:t>
            </w:r>
            <w:r>
              <w:rPr>
                <w:rFonts w:hint="eastAsia" w:ascii="Times New Roman" w:hAnsi="Times New Roman" w:cs="Times New Roman"/>
                <w:color w:val="auto"/>
                <w:sz w:val="21"/>
                <w:szCs w:val="21"/>
                <w:lang w:val="en-US" w:eastAsia="zh-CN"/>
              </w:rPr>
              <w:t>企业工作</w:t>
            </w:r>
            <w:r>
              <w:rPr>
                <w:rFonts w:ascii="Times New Roman" w:hAnsi="Times New Roman" w:cs="Times New Roman"/>
                <w:color w:val="auto"/>
                <w:sz w:val="21"/>
                <w:szCs w:val="21"/>
              </w:rPr>
              <w:t>人员环保意识，提高防止噪声扰民的自觉性；</w:t>
            </w:r>
          </w:p>
          <w:p w14:paraId="2810D946">
            <w:pPr>
              <w:pStyle w:val="24"/>
              <w:keepNext w:val="0"/>
              <w:keepLines w:val="0"/>
              <w:pageBreakBefore w:val="0"/>
              <w:widowControl/>
              <w:kinsoku/>
              <w:wordWrap/>
              <w:overflowPunct/>
              <w:topLinePunct w:val="0"/>
              <w:autoSpaceDE/>
              <w:autoSpaceDN/>
              <w:bidi w:val="0"/>
              <w:adjustRightInd w:val="0"/>
              <w:snapToGrid w:val="0"/>
              <w:spacing w:before="0" w:beforeAutospacing="0" w:after="0" w:afterAutospacing="0" w:line="430" w:lineRule="exact"/>
              <w:ind w:firstLine="420" w:firstLineChars="200"/>
              <w:textAlignment w:val="auto"/>
              <w:rPr>
                <w:rFonts w:hint="default" w:ascii="Times New Roman" w:hAnsi="Times New Roman" w:eastAsia="宋体"/>
                <w:color w:val="auto"/>
                <w:sz w:val="21"/>
                <w:szCs w:val="21"/>
                <w:lang w:val="en-US" w:eastAsia="zh-CN"/>
              </w:rPr>
            </w:pPr>
            <w:r>
              <w:rPr>
                <w:rFonts w:hint="eastAsia" w:ascii="Times New Roman" w:hAnsi="Times New Roman" w:cs="Times New Roman"/>
                <w:color w:val="auto"/>
                <w:sz w:val="21"/>
                <w:szCs w:val="21"/>
                <w:lang w:eastAsia="zh-CN"/>
              </w:rPr>
              <w:t>（</w:t>
            </w:r>
            <w:r>
              <w:rPr>
                <w:rFonts w:hint="eastAsia" w:ascii="Times New Roman" w:hAnsi="Times New Roman" w:cs="Times New Roman"/>
                <w:color w:val="auto"/>
                <w:sz w:val="21"/>
                <w:szCs w:val="21"/>
                <w:lang w:val="en-US" w:eastAsia="zh-CN"/>
              </w:rPr>
              <w:t>3</w:t>
            </w:r>
            <w:r>
              <w:rPr>
                <w:rFonts w:hint="eastAsia" w:ascii="Times New Roman" w:hAnsi="Times New Roman" w:cs="Times New Roman"/>
                <w:color w:val="auto"/>
                <w:sz w:val="21"/>
                <w:szCs w:val="21"/>
                <w:lang w:eastAsia="zh-CN"/>
              </w:rPr>
              <w:t>）</w:t>
            </w:r>
            <w:r>
              <w:rPr>
                <w:rFonts w:ascii="Times New Roman" w:hAnsi="Times New Roman"/>
                <w:color w:val="auto"/>
                <w:sz w:val="21"/>
                <w:szCs w:val="21"/>
              </w:rPr>
              <w:t>来往运输车辆</w:t>
            </w:r>
            <w:r>
              <w:rPr>
                <w:rFonts w:hint="eastAsia" w:ascii="Times New Roman" w:hAnsi="Times New Roman"/>
                <w:color w:val="auto"/>
                <w:sz w:val="21"/>
                <w:szCs w:val="21"/>
                <w:lang w:val="en-US" w:eastAsia="zh-CN"/>
              </w:rPr>
              <w:t>通过</w:t>
            </w:r>
            <w:r>
              <w:rPr>
                <w:rFonts w:ascii="Times New Roman" w:hAnsi="Times New Roman" w:cs="Times New Roman"/>
                <w:color w:val="auto"/>
                <w:sz w:val="21"/>
                <w:szCs w:val="21"/>
              </w:rPr>
              <w:t>居民点</w:t>
            </w:r>
            <w:r>
              <w:rPr>
                <w:rFonts w:hint="eastAsia" w:ascii="Times New Roman" w:hAnsi="Times New Roman" w:cs="Times New Roman"/>
                <w:color w:val="auto"/>
                <w:sz w:val="21"/>
                <w:szCs w:val="21"/>
                <w:lang w:val="en-US" w:eastAsia="zh-CN"/>
              </w:rPr>
              <w:t>附近时，应低速行驶，并禁止鸣笛；</w:t>
            </w:r>
          </w:p>
          <w:p w14:paraId="1C029E48">
            <w:pPr>
              <w:pStyle w:val="24"/>
              <w:keepNext w:val="0"/>
              <w:keepLines w:val="0"/>
              <w:pageBreakBefore w:val="0"/>
              <w:widowControl/>
              <w:kinsoku/>
              <w:wordWrap/>
              <w:overflowPunct/>
              <w:topLinePunct w:val="0"/>
              <w:autoSpaceDE/>
              <w:autoSpaceDN/>
              <w:bidi w:val="0"/>
              <w:adjustRightInd w:val="0"/>
              <w:snapToGrid w:val="0"/>
              <w:spacing w:before="0" w:beforeAutospacing="0" w:after="0" w:afterAutospacing="0" w:line="430" w:lineRule="exact"/>
              <w:ind w:firstLine="420" w:firstLineChars="200"/>
              <w:textAlignment w:val="auto"/>
              <w:rPr>
                <w:rFonts w:ascii="Times New Roman" w:hAnsi="Times New Roman"/>
                <w:color w:val="auto"/>
                <w:sz w:val="21"/>
                <w:szCs w:val="21"/>
              </w:rPr>
            </w:pPr>
            <w:r>
              <w:rPr>
                <w:rFonts w:hint="eastAsia" w:ascii="Times New Roman" w:hAnsi="Times New Roman"/>
                <w:color w:val="auto"/>
                <w:sz w:val="21"/>
                <w:szCs w:val="21"/>
                <w:lang w:eastAsia="zh-CN"/>
              </w:rPr>
              <w:t>（</w:t>
            </w:r>
            <w:r>
              <w:rPr>
                <w:rFonts w:hint="eastAsia" w:ascii="Times New Roman" w:hAnsi="Times New Roman"/>
                <w:color w:val="auto"/>
                <w:sz w:val="21"/>
                <w:szCs w:val="21"/>
                <w:lang w:val="en-US" w:eastAsia="zh-CN"/>
              </w:rPr>
              <w:t>4</w:t>
            </w:r>
            <w:r>
              <w:rPr>
                <w:rFonts w:hint="eastAsia" w:ascii="Times New Roman" w:hAnsi="Times New Roman"/>
                <w:color w:val="auto"/>
                <w:sz w:val="21"/>
                <w:szCs w:val="21"/>
                <w:lang w:eastAsia="zh-CN"/>
              </w:rPr>
              <w:t>）</w:t>
            </w:r>
            <w:r>
              <w:rPr>
                <w:rFonts w:ascii="Times New Roman" w:hAnsi="Times New Roman"/>
                <w:color w:val="auto"/>
                <w:sz w:val="21"/>
                <w:szCs w:val="21"/>
              </w:rPr>
              <w:t>加强</w:t>
            </w:r>
            <w:r>
              <w:rPr>
                <w:rFonts w:hint="eastAsia" w:ascii="Times New Roman" w:hAnsi="Times New Roman"/>
                <w:color w:val="auto"/>
                <w:sz w:val="21"/>
                <w:szCs w:val="21"/>
                <w:lang w:val="en-US" w:eastAsia="zh-CN"/>
              </w:rPr>
              <w:t>厂界</w:t>
            </w:r>
            <w:r>
              <w:rPr>
                <w:rFonts w:ascii="Times New Roman" w:hAnsi="Times New Roman"/>
                <w:color w:val="auto"/>
                <w:sz w:val="21"/>
                <w:szCs w:val="21"/>
              </w:rPr>
              <w:t>噪声监控，发现有超过</w:t>
            </w:r>
            <w:r>
              <w:rPr>
                <w:rFonts w:hint="eastAsia" w:ascii="Times New Roman" w:hAnsi="Times New Roman"/>
                <w:color w:val="auto"/>
                <w:sz w:val="21"/>
                <w:szCs w:val="21"/>
                <w:lang w:val="en-US" w:eastAsia="zh-CN"/>
              </w:rPr>
              <w:t>厂界</w:t>
            </w:r>
            <w:r>
              <w:rPr>
                <w:rFonts w:ascii="Times New Roman" w:hAnsi="Times New Roman"/>
                <w:color w:val="auto"/>
                <w:sz w:val="21"/>
                <w:szCs w:val="21"/>
              </w:rPr>
              <w:t>噪声限值标准的，</w:t>
            </w:r>
            <w:r>
              <w:rPr>
                <w:rFonts w:hint="eastAsia" w:ascii="Times New Roman" w:hAnsi="Times New Roman"/>
                <w:color w:val="auto"/>
                <w:sz w:val="21"/>
                <w:szCs w:val="21"/>
                <w:lang w:val="en-US" w:eastAsia="zh-CN"/>
              </w:rPr>
              <w:t>或有群众举报有噪声扰民现象发生时。应</w:t>
            </w:r>
            <w:r>
              <w:rPr>
                <w:rFonts w:ascii="Times New Roman" w:hAnsi="Times New Roman"/>
                <w:color w:val="auto"/>
                <w:sz w:val="21"/>
                <w:szCs w:val="21"/>
              </w:rPr>
              <w:t>立即</w:t>
            </w:r>
            <w:r>
              <w:rPr>
                <w:rFonts w:hint="eastAsia" w:ascii="Times New Roman" w:hAnsi="Times New Roman"/>
                <w:color w:val="auto"/>
                <w:sz w:val="21"/>
                <w:szCs w:val="21"/>
                <w:lang w:val="en-US" w:eastAsia="zh-CN"/>
              </w:rPr>
              <w:t>停产，并</w:t>
            </w:r>
            <w:r>
              <w:rPr>
                <w:rFonts w:ascii="Times New Roman" w:hAnsi="Times New Roman"/>
                <w:color w:val="auto"/>
                <w:sz w:val="21"/>
                <w:szCs w:val="21"/>
              </w:rPr>
              <w:t>对现场超标因素进行整改，真正达到</w:t>
            </w:r>
            <w:r>
              <w:rPr>
                <w:rFonts w:hint="eastAsia" w:ascii="Times New Roman" w:hAnsi="Times New Roman"/>
                <w:color w:val="auto"/>
                <w:sz w:val="21"/>
                <w:szCs w:val="21"/>
                <w:lang w:val="en-US" w:eastAsia="zh-CN"/>
              </w:rPr>
              <w:t>营运期</w:t>
            </w:r>
            <w:r>
              <w:rPr>
                <w:rFonts w:ascii="Times New Roman" w:hAnsi="Times New Roman"/>
                <w:color w:val="auto"/>
                <w:sz w:val="21"/>
                <w:szCs w:val="21"/>
              </w:rPr>
              <w:t>噪声不扰民的目的。</w:t>
            </w:r>
          </w:p>
          <w:p w14:paraId="677D03FB">
            <w:pPr>
              <w:pStyle w:val="24"/>
              <w:adjustRightInd w:val="0"/>
              <w:snapToGrid w:val="0"/>
              <w:spacing w:before="0" w:beforeAutospacing="0" w:after="0" w:afterAutospacing="0" w:line="440" w:lineRule="exact"/>
              <w:ind w:firstLine="422" w:firstLineChars="200"/>
              <w:rPr>
                <w:rFonts w:hint="eastAsia" w:ascii="Times New Roman" w:hAnsi="Times New Roman"/>
                <w:b/>
                <w:color w:val="auto"/>
                <w:sz w:val="21"/>
                <w:szCs w:val="21"/>
              </w:rPr>
            </w:pPr>
            <w:r>
              <w:rPr>
                <w:rFonts w:hint="eastAsia" w:ascii="Times New Roman" w:hAnsi="Times New Roman"/>
                <w:b/>
                <w:color w:val="auto"/>
                <w:sz w:val="21"/>
                <w:szCs w:val="21"/>
              </w:rPr>
              <w:t>3.</w:t>
            </w:r>
            <w:r>
              <w:rPr>
                <w:rFonts w:hint="eastAsia" w:ascii="Times New Roman" w:hAnsi="Times New Roman"/>
                <w:b/>
                <w:color w:val="auto"/>
                <w:sz w:val="21"/>
                <w:szCs w:val="21"/>
                <w:lang w:val="en-US" w:eastAsia="zh-CN"/>
              </w:rPr>
              <w:t>4</w:t>
            </w:r>
            <w:r>
              <w:rPr>
                <w:rFonts w:hint="eastAsia" w:ascii="Times New Roman" w:hAnsi="Times New Roman"/>
                <w:b/>
                <w:color w:val="auto"/>
                <w:sz w:val="21"/>
                <w:szCs w:val="21"/>
              </w:rPr>
              <w:t>监测计划</w:t>
            </w:r>
          </w:p>
          <w:p w14:paraId="628547B5">
            <w:pPr>
              <w:tabs>
                <w:tab w:val="left" w:pos="4253"/>
              </w:tabs>
              <w:spacing w:line="440" w:lineRule="exact"/>
              <w:jc w:val="center"/>
              <w:rPr>
                <w:b/>
                <w:color w:val="auto"/>
                <w:szCs w:val="21"/>
              </w:rPr>
            </w:pPr>
            <w:r>
              <w:rPr>
                <w:rFonts w:hint="eastAsia"/>
                <w:b/>
                <w:color w:val="auto"/>
                <w:szCs w:val="21"/>
              </w:rPr>
              <w:t>表</w:t>
            </w:r>
            <w:r>
              <w:rPr>
                <w:rFonts w:hint="eastAsia"/>
                <w:b/>
                <w:color w:val="auto"/>
                <w:szCs w:val="21"/>
                <w:lang w:val="en-US" w:eastAsia="zh-CN"/>
              </w:rPr>
              <w:t>41</w:t>
            </w:r>
            <w:r>
              <w:rPr>
                <w:rFonts w:hint="eastAsia"/>
                <w:b/>
                <w:color w:val="auto"/>
                <w:szCs w:val="21"/>
              </w:rPr>
              <w:t xml:space="preserve"> </w:t>
            </w:r>
            <w:r>
              <w:rPr>
                <w:b/>
                <w:color w:val="auto"/>
                <w:szCs w:val="21"/>
              </w:rPr>
              <w:t xml:space="preserve"> </w:t>
            </w:r>
            <w:r>
              <w:rPr>
                <w:rFonts w:hint="eastAsia"/>
                <w:b/>
                <w:color w:val="auto"/>
                <w:szCs w:val="21"/>
              </w:rPr>
              <w:t>噪声环境监测计划一览表</w:t>
            </w:r>
          </w:p>
          <w:tbl>
            <w:tblPr>
              <w:tblStyle w:val="28"/>
              <w:tblW w:w="5000" w:type="pct"/>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0" w:type="dxa"/>
                <w:bottom w:w="0" w:type="dxa"/>
                <w:right w:w="0" w:type="dxa"/>
              </w:tblCellMar>
            </w:tblPr>
            <w:tblGrid>
              <w:gridCol w:w="750"/>
              <w:gridCol w:w="1405"/>
              <w:gridCol w:w="1985"/>
              <w:gridCol w:w="2846"/>
              <w:gridCol w:w="960"/>
            </w:tblGrid>
            <w:tr w14:paraId="0D1D5FA1">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471" w:type="pct"/>
                  <w:tcBorders>
                    <w:tl2br w:val="nil"/>
                    <w:tr2bl w:val="nil"/>
                  </w:tcBorders>
                  <w:vAlign w:val="center"/>
                </w:tcPr>
                <w:p w14:paraId="69BFFD5A">
                  <w:pPr>
                    <w:jc w:val="center"/>
                    <w:rPr>
                      <w:color w:val="auto"/>
                      <w:sz w:val="18"/>
                      <w:szCs w:val="18"/>
                    </w:rPr>
                  </w:pPr>
                  <w:r>
                    <w:rPr>
                      <w:rFonts w:hint="eastAsia"/>
                      <w:color w:val="auto"/>
                      <w:sz w:val="18"/>
                      <w:szCs w:val="18"/>
                    </w:rPr>
                    <w:t>序号</w:t>
                  </w:r>
                </w:p>
              </w:tc>
              <w:tc>
                <w:tcPr>
                  <w:tcW w:w="884" w:type="pct"/>
                  <w:tcBorders>
                    <w:tl2br w:val="nil"/>
                    <w:tr2bl w:val="nil"/>
                  </w:tcBorders>
                  <w:vAlign w:val="center"/>
                </w:tcPr>
                <w:p w14:paraId="16869304">
                  <w:pPr>
                    <w:jc w:val="center"/>
                    <w:rPr>
                      <w:color w:val="auto"/>
                      <w:sz w:val="18"/>
                      <w:szCs w:val="18"/>
                    </w:rPr>
                  </w:pPr>
                  <w:r>
                    <w:rPr>
                      <w:rFonts w:hint="eastAsia"/>
                      <w:color w:val="auto"/>
                      <w:sz w:val="18"/>
                      <w:szCs w:val="18"/>
                    </w:rPr>
                    <w:t>监测点位</w:t>
                  </w:r>
                </w:p>
              </w:tc>
              <w:tc>
                <w:tcPr>
                  <w:tcW w:w="1249" w:type="pct"/>
                  <w:tcBorders>
                    <w:tl2br w:val="nil"/>
                    <w:tr2bl w:val="nil"/>
                  </w:tcBorders>
                  <w:vAlign w:val="center"/>
                </w:tcPr>
                <w:p w14:paraId="739DF9C0">
                  <w:pPr>
                    <w:jc w:val="center"/>
                    <w:rPr>
                      <w:color w:val="auto"/>
                      <w:sz w:val="18"/>
                      <w:szCs w:val="18"/>
                    </w:rPr>
                  </w:pPr>
                  <w:r>
                    <w:rPr>
                      <w:rFonts w:hint="eastAsia"/>
                      <w:color w:val="auto"/>
                      <w:sz w:val="18"/>
                      <w:szCs w:val="18"/>
                    </w:rPr>
                    <w:t>监测因子</w:t>
                  </w:r>
                </w:p>
              </w:tc>
              <w:tc>
                <w:tcPr>
                  <w:tcW w:w="1790" w:type="pct"/>
                  <w:tcBorders>
                    <w:tl2br w:val="nil"/>
                    <w:tr2bl w:val="nil"/>
                  </w:tcBorders>
                  <w:vAlign w:val="center"/>
                </w:tcPr>
                <w:p w14:paraId="0B692952">
                  <w:pPr>
                    <w:jc w:val="center"/>
                    <w:rPr>
                      <w:color w:val="auto"/>
                      <w:sz w:val="18"/>
                      <w:szCs w:val="18"/>
                    </w:rPr>
                  </w:pPr>
                  <w:r>
                    <w:rPr>
                      <w:rFonts w:hint="eastAsia"/>
                      <w:color w:val="auto"/>
                      <w:sz w:val="18"/>
                      <w:szCs w:val="18"/>
                    </w:rPr>
                    <w:t>监测点位</w:t>
                  </w:r>
                </w:p>
              </w:tc>
              <w:tc>
                <w:tcPr>
                  <w:tcW w:w="603" w:type="pct"/>
                  <w:tcBorders>
                    <w:tl2br w:val="nil"/>
                    <w:tr2bl w:val="nil"/>
                  </w:tcBorders>
                  <w:vAlign w:val="center"/>
                </w:tcPr>
                <w:p w14:paraId="611FFACA">
                  <w:pPr>
                    <w:jc w:val="center"/>
                    <w:rPr>
                      <w:color w:val="auto"/>
                      <w:sz w:val="18"/>
                      <w:szCs w:val="18"/>
                    </w:rPr>
                  </w:pPr>
                  <w:r>
                    <w:rPr>
                      <w:rFonts w:hint="eastAsia"/>
                      <w:color w:val="auto"/>
                      <w:sz w:val="18"/>
                      <w:szCs w:val="18"/>
                    </w:rPr>
                    <w:t>监测频次</w:t>
                  </w:r>
                </w:p>
              </w:tc>
            </w:tr>
            <w:tr w14:paraId="42C5E43A">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trHeight w:val="340" w:hRule="atLeast"/>
                <w:jc w:val="center"/>
              </w:trPr>
              <w:tc>
                <w:tcPr>
                  <w:tcW w:w="471" w:type="pct"/>
                  <w:tcBorders>
                    <w:tl2br w:val="nil"/>
                    <w:tr2bl w:val="nil"/>
                  </w:tcBorders>
                  <w:vAlign w:val="center"/>
                </w:tcPr>
                <w:p w14:paraId="612A2537">
                  <w:pPr>
                    <w:jc w:val="center"/>
                    <w:rPr>
                      <w:color w:val="auto"/>
                      <w:sz w:val="18"/>
                      <w:szCs w:val="18"/>
                    </w:rPr>
                  </w:pPr>
                  <w:r>
                    <w:rPr>
                      <w:rFonts w:hint="eastAsia"/>
                      <w:color w:val="auto"/>
                      <w:sz w:val="18"/>
                      <w:szCs w:val="18"/>
                    </w:rPr>
                    <w:t>噪声</w:t>
                  </w:r>
                </w:p>
              </w:tc>
              <w:tc>
                <w:tcPr>
                  <w:tcW w:w="884" w:type="pct"/>
                  <w:tcBorders>
                    <w:tl2br w:val="nil"/>
                    <w:tr2bl w:val="nil"/>
                  </w:tcBorders>
                  <w:vAlign w:val="center"/>
                </w:tcPr>
                <w:p w14:paraId="148F64B2">
                  <w:pPr>
                    <w:jc w:val="center"/>
                    <w:rPr>
                      <w:color w:val="auto"/>
                      <w:sz w:val="18"/>
                      <w:szCs w:val="18"/>
                    </w:rPr>
                  </w:pPr>
                  <w:r>
                    <w:rPr>
                      <w:rFonts w:hint="eastAsia"/>
                      <w:color w:val="auto"/>
                      <w:sz w:val="18"/>
                      <w:szCs w:val="18"/>
                    </w:rPr>
                    <w:t>厂界</w:t>
                  </w:r>
                </w:p>
              </w:tc>
              <w:tc>
                <w:tcPr>
                  <w:tcW w:w="1249" w:type="pct"/>
                  <w:tcBorders>
                    <w:tl2br w:val="nil"/>
                    <w:tr2bl w:val="nil"/>
                  </w:tcBorders>
                  <w:vAlign w:val="center"/>
                </w:tcPr>
                <w:p w14:paraId="7DA7E223">
                  <w:pPr>
                    <w:jc w:val="center"/>
                    <w:rPr>
                      <w:color w:val="auto"/>
                      <w:sz w:val="18"/>
                      <w:szCs w:val="18"/>
                    </w:rPr>
                  </w:pPr>
                  <w:r>
                    <w:rPr>
                      <w:rFonts w:hint="eastAsia"/>
                      <w:color w:val="auto"/>
                      <w:sz w:val="18"/>
                      <w:szCs w:val="18"/>
                    </w:rPr>
                    <w:t>连续等效A声级</w:t>
                  </w:r>
                </w:p>
              </w:tc>
              <w:tc>
                <w:tcPr>
                  <w:tcW w:w="1790" w:type="pct"/>
                  <w:tcBorders>
                    <w:tl2br w:val="nil"/>
                    <w:tr2bl w:val="nil"/>
                  </w:tcBorders>
                  <w:vAlign w:val="center"/>
                </w:tcPr>
                <w:p w14:paraId="64298E01">
                  <w:pPr>
                    <w:jc w:val="center"/>
                    <w:rPr>
                      <w:color w:val="auto"/>
                      <w:sz w:val="18"/>
                      <w:szCs w:val="18"/>
                    </w:rPr>
                  </w:pPr>
                  <w:r>
                    <w:rPr>
                      <w:rFonts w:hint="eastAsia"/>
                      <w:color w:val="auto"/>
                      <w:sz w:val="18"/>
                      <w:szCs w:val="18"/>
                    </w:rPr>
                    <w:t>东、南、西、北厂界外1m处</w:t>
                  </w:r>
                </w:p>
              </w:tc>
              <w:tc>
                <w:tcPr>
                  <w:tcW w:w="603" w:type="pct"/>
                  <w:tcBorders>
                    <w:tl2br w:val="nil"/>
                    <w:tr2bl w:val="nil"/>
                  </w:tcBorders>
                  <w:vAlign w:val="center"/>
                </w:tcPr>
                <w:p w14:paraId="5D3432D7">
                  <w:pPr>
                    <w:jc w:val="center"/>
                    <w:rPr>
                      <w:color w:val="auto"/>
                      <w:sz w:val="18"/>
                      <w:szCs w:val="18"/>
                    </w:rPr>
                  </w:pPr>
                  <w:r>
                    <w:rPr>
                      <w:rFonts w:hint="eastAsia"/>
                      <w:color w:val="auto"/>
                      <w:sz w:val="18"/>
                      <w:szCs w:val="18"/>
                    </w:rPr>
                    <w:t>1次/季</w:t>
                  </w:r>
                </w:p>
              </w:tc>
            </w:tr>
          </w:tbl>
          <w:p w14:paraId="57AF37A5">
            <w:pPr>
              <w:pStyle w:val="24"/>
              <w:adjustRightInd w:val="0"/>
              <w:snapToGrid w:val="0"/>
              <w:spacing w:before="0" w:beforeAutospacing="0" w:after="0" w:afterAutospacing="0" w:line="440" w:lineRule="exact"/>
              <w:ind w:firstLine="422" w:firstLineChars="200"/>
              <w:rPr>
                <w:rFonts w:ascii="Times New Roman" w:hAnsi="Times New Roman"/>
                <w:b/>
                <w:color w:val="auto"/>
                <w:sz w:val="21"/>
                <w:szCs w:val="21"/>
              </w:rPr>
            </w:pPr>
            <w:r>
              <w:rPr>
                <w:rFonts w:hint="eastAsia" w:ascii="Times New Roman" w:hAnsi="Times New Roman"/>
                <w:b/>
                <w:color w:val="auto"/>
                <w:sz w:val="21"/>
                <w:szCs w:val="21"/>
              </w:rPr>
              <w:t>4</w:t>
            </w:r>
            <w:r>
              <w:rPr>
                <w:rFonts w:ascii="Times New Roman" w:hAnsi="Times New Roman"/>
                <w:b/>
                <w:color w:val="auto"/>
                <w:sz w:val="21"/>
                <w:szCs w:val="21"/>
              </w:rPr>
              <w:t>.</w:t>
            </w:r>
            <w:r>
              <w:rPr>
                <w:rFonts w:hint="eastAsia" w:ascii="Times New Roman" w:hAnsi="Times New Roman"/>
                <w:b/>
                <w:color w:val="auto"/>
                <w:sz w:val="21"/>
                <w:szCs w:val="21"/>
              </w:rPr>
              <w:t>固体废物</w:t>
            </w:r>
          </w:p>
          <w:p w14:paraId="1AE2E643">
            <w:pPr>
              <w:pStyle w:val="24"/>
              <w:adjustRightInd w:val="0"/>
              <w:snapToGrid w:val="0"/>
              <w:spacing w:before="0" w:beforeAutospacing="0" w:after="0" w:afterAutospacing="0" w:line="440" w:lineRule="exact"/>
              <w:ind w:firstLine="422" w:firstLineChars="200"/>
              <w:rPr>
                <w:rFonts w:ascii="Times New Roman" w:hAnsi="Times New Roman"/>
                <w:b/>
                <w:color w:val="auto"/>
                <w:sz w:val="21"/>
                <w:szCs w:val="21"/>
              </w:rPr>
            </w:pPr>
            <w:r>
              <w:rPr>
                <w:rFonts w:hint="eastAsia" w:ascii="Times New Roman" w:hAnsi="Times New Roman"/>
                <w:b/>
                <w:color w:val="auto"/>
                <w:sz w:val="21"/>
                <w:szCs w:val="21"/>
              </w:rPr>
              <w:t>4.1固体废物产生及处置措施</w:t>
            </w:r>
          </w:p>
          <w:p w14:paraId="654355C0">
            <w:pPr>
              <w:pStyle w:val="24"/>
              <w:adjustRightInd w:val="0"/>
              <w:snapToGrid w:val="0"/>
              <w:spacing w:before="0" w:beforeAutospacing="0" w:after="0" w:afterAutospacing="0" w:line="440" w:lineRule="exact"/>
              <w:ind w:firstLine="420" w:firstLineChars="200"/>
              <w:rPr>
                <w:rFonts w:ascii="Times New Roman" w:hAnsi="Times New Roman"/>
                <w:color w:val="auto"/>
                <w:sz w:val="21"/>
                <w:szCs w:val="21"/>
              </w:rPr>
            </w:pPr>
            <w:r>
              <w:rPr>
                <w:rFonts w:hint="eastAsia" w:ascii="Times New Roman" w:hAnsi="Times New Roman"/>
                <w:color w:val="auto"/>
                <w:sz w:val="21"/>
                <w:szCs w:val="21"/>
              </w:rPr>
              <w:t>拟建项目运行产生的固废主要为</w:t>
            </w:r>
            <w:r>
              <w:rPr>
                <w:rFonts w:hint="eastAsia" w:ascii="Times New Roman" w:hAnsi="Times New Roman" w:eastAsia="宋体" w:cs="Times New Roman"/>
                <w:color w:val="auto"/>
                <w:sz w:val="21"/>
                <w:szCs w:val="21"/>
                <w:highlight w:val="none"/>
                <w:lang w:val="en-US" w:eastAsia="zh-CN"/>
              </w:rPr>
              <w:t>洗车平台沉淀池</w:t>
            </w:r>
            <w:r>
              <w:rPr>
                <w:rFonts w:hint="eastAsia" w:ascii="Times New Roman" w:hAnsi="Times New Roman" w:cs="Times New Roman"/>
                <w:color w:val="auto"/>
                <w:sz w:val="21"/>
                <w:szCs w:val="21"/>
                <w:highlight w:val="none"/>
                <w:lang w:val="en-US" w:eastAsia="zh-CN"/>
              </w:rPr>
              <w:t>、污水沉淀池</w:t>
            </w:r>
            <w:r>
              <w:rPr>
                <w:rFonts w:hint="eastAsia" w:ascii="Times New Roman" w:hAnsi="Times New Roman" w:eastAsia="宋体" w:cs="Times New Roman"/>
                <w:color w:val="auto"/>
                <w:sz w:val="21"/>
                <w:szCs w:val="21"/>
                <w:highlight w:val="none"/>
                <w:lang w:val="en-US" w:eastAsia="zh-CN"/>
              </w:rPr>
              <w:t>产生的</w:t>
            </w:r>
            <w:r>
              <w:rPr>
                <w:rFonts w:hint="eastAsia" w:ascii="Times New Roman" w:hAnsi="Times New Roman" w:cs="Times New Roman"/>
                <w:color w:val="auto"/>
                <w:sz w:val="21"/>
                <w:szCs w:val="21"/>
                <w:highlight w:val="none"/>
                <w:lang w:val="en-US" w:eastAsia="zh-CN"/>
              </w:rPr>
              <w:t>污</w:t>
            </w:r>
            <w:r>
              <w:rPr>
                <w:rFonts w:hint="eastAsia" w:ascii="Times New Roman" w:hAnsi="Times New Roman" w:eastAsia="宋体" w:cs="Times New Roman"/>
                <w:color w:val="auto"/>
                <w:sz w:val="21"/>
                <w:szCs w:val="21"/>
                <w:highlight w:val="none"/>
                <w:lang w:val="en-US" w:eastAsia="zh-CN"/>
              </w:rPr>
              <w:t>泥，</w:t>
            </w:r>
            <w:r>
              <w:rPr>
                <w:rFonts w:hint="eastAsia" w:ascii="Times New Roman" w:hAnsi="Times New Roman" w:cs="Times New Roman"/>
                <w:color w:val="auto"/>
                <w:sz w:val="21"/>
                <w:szCs w:val="21"/>
                <w:highlight w:val="none"/>
                <w:lang w:val="en-US" w:eastAsia="zh-CN"/>
              </w:rPr>
              <w:t>滚筒筛产生的废土，</w:t>
            </w:r>
            <w:r>
              <w:rPr>
                <w:rFonts w:hint="eastAsia" w:ascii="Times New Roman" w:hAnsi="Times New Roman" w:eastAsia="宋体" w:cs="Times New Roman"/>
                <w:color w:val="auto"/>
                <w:sz w:val="21"/>
                <w:szCs w:val="21"/>
                <w:highlight w:val="none"/>
                <w:lang w:val="en-US" w:eastAsia="zh-CN"/>
              </w:rPr>
              <w:t>辅料拆包过程产生的废包装袋，</w:t>
            </w:r>
            <w:r>
              <w:rPr>
                <w:rFonts w:hint="eastAsia" w:ascii="Times New Roman" w:hAnsi="Times New Roman" w:cs="Times New Roman"/>
                <w:color w:val="auto"/>
                <w:sz w:val="21"/>
                <w:szCs w:val="21"/>
                <w:lang w:val="en-US" w:eastAsia="zh-CN"/>
              </w:rPr>
              <w:t>废钢</w:t>
            </w:r>
            <w:r>
              <w:rPr>
                <w:rFonts w:hint="eastAsia" w:ascii="Times New Roman" w:hAnsi="Times New Roman" w:eastAsia="宋体" w:cs="Times New Roman"/>
                <w:color w:val="auto"/>
                <w:sz w:val="21"/>
                <w:szCs w:val="21"/>
                <w:lang w:val="en-US" w:eastAsia="zh-CN"/>
              </w:rPr>
              <w:t>破碎尾料分选过程产生的</w:t>
            </w:r>
            <w:r>
              <w:rPr>
                <w:rFonts w:hint="eastAsia" w:ascii="Times New Roman" w:hAnsi="Times New Roman" w:cs="Times New Roman"/>
                <w:color w:val="auto"/>
                <w:sz w:val="21"/>
                <w:szCs w:val="21"/>
                <w:lang w:val="en-US" w:eastAsia="zh-CN"/>
              </w:rPr>
              <w:t>棉絮、泡沫及海绵、木屑等</w:t>
            </w:r>
            <w:r>
              <w:rPr>
                <w:rFonts w:hint="eastAsia" w:ascii="Times New Roman" w:hAnsi="Times New Roman" w:cs="Times New Roman"/>
                <w:color w:val="auto"/>
                <w:sz w:val="21"/>
                <w:szCs w:val="21"/>
              </w:rPr>
              <w:t>，</w:t>
            </w:r>
            <w:r>
              <w:rPr>
                <w:rFonts w:hint="eastAsia" w:ascii="Times New Roman" w:hAnsi="Times New Roman"/>
                <w:color w:val="auto"/>
                <w:sz w:val="21"/>
                <w:szCs w:val="21"/>
              </w:rPr>
              <w:t>球磨机维护更换产生的废钢球，</w:t>
            </w:r>
            <w:r>
              <w:rPr>
                <w:rFonts w:hint="eastAsia" w:ascii="Times New Roman" w:hAnsi="Times New Roman" w:eastAsia="宋体" w:cs="Times New Roman"/>
                <w:color w:val="auto"/>
                <w:sz w:val="21"/>
                <w:szCs w:val="21"/>
                <w:highlight w:val="none"/>
                <w:lang w:val="en-US" w:eastAsia="zh-CN"/>
              </w:rPr>
              <w:t>板框压滤机产生的泥饼、废滤布，</w:t>
            </w:r>
            <w:r>
              <w:rPr>
                <w:rFonts w:hint="eastAsia" w:ascii="Times New Roman" w:hAnsi="Times New Roman"/>
                <w:color w:val="auto"/>
                <w:sz w:val="21"/>
                <w:szCs w:val="21"/>
              </w:rPr>
              <w:t>除尘器产生的除尘灰</w:t>
            </w:r>
            <w:r>
              <w:rPr>
                <w:rFonts w:hint="eastAsia" w:ascii="Times New Roman" w:hAnsi="Times New Roman"/>
                <w:color w:val="auto"/>
                <w:sz w:val="21"/>
                <w:szCs w:val="21"/>
                <w:lang w:eastAsia="zh-CN"/>
              </w:rPr>
              <w:t>、</w:t>
            </w:r>
            <w:r>
              <w:rPr>
                <w:rFonts w:hint="eastAsia" w:ascii="Times New Roman" w:hAnsi="Times New Roman"/>
                <w:color w:val="auto"/>
                <w:sz w:val="21"/>
                <w:szCs w:val="21"/>
              </w:rPr>
              <w:t>废布袋</w:t>
            </w:r>
            <w:r>
              <w:rPr>
                <w:rFonts w:hint="eastAsia" w:ascii="Times New Roman" w:hAnsi="Times New Roman"/>
                <w:color w:val="auto"/>
                <w:sz w:val="21"/>
                <w:szCs w:val="21"/>
                <w:lang w:eastAsia="zh-CN"/>
              </w:rPr>
              <w:t>，</w:t>
            </w:r>
            <w:r>
              <w:rPr>
                <w:rFonts w:hint="eastAsia" w:ascii="Times New Roman" w:hAnsi="Times New Roman" w:cs="Times New Roman"/>
                <w:color w:val="auto"/>
                <w:sz w:val="21"/>
                <w:szCs w:val="21"/>
                <w:lang w:val="en-US" w:eastAsia="zh-CN"/>
              </w:rPr>
              <w:t>粉尘车间沉降产生的沉降灰，</w:t>
            </w:r>
            <w:r>
              <w:rPr>
                <w:rFonts w:hint="eastAsia" w:ascii="Times New Roman" w:hAnsi="Times New Roman"/>
                <w:color w:val="auto"/>
                <w:sz w:val="21"/>
                <w:szCs w:val="21"/>
              </w:rPr>
              <w:t>职工生活产生的生活垃圾，机械设备维修保养产生的废润滑油、</w:t>
            </w:r>
            <w:r>
              <w:rPr>
                <w:rFonts w:hint="eastAsia" w:ascii="Times New Roman" w:hAnsi="Times New Roman"/>
                <w:color w:val="auto"/>
                <w:sz w:val="21"/>
                <w:szCs w:val="21"/>
                <w:lang w:val="en-US" w:eastAsia="zh-CN"/>
              </w:rPr>
              <w:t>废液压油、</w:t>
            </w:r>
            <w:r>
              <w:rPr>
                <w:rFonts w:hint="eastAsia" w:ascii="Times New Roman" w:hAnsi="Times New Roman"/>
                <w:color w:val="auto"/>
                <w:sz w:val="21"/>
                <w:szCs w:val="21"/>
              </w:rPr>
              <w:t>废油桶。根据《国家危险废物名录（202</w:t>
            </w:r>
            <w:r>
              <w:rPr>
                <w:rFonts w:hint="eastAsia" w:ascii="Times New Roman" w:hAnsi="Times New Roman"/>
                <w:color w:val="auto"/>
                <w:sz w:val="21"/>
                <w:szCs w:val="21"/>
                <w:lang w:val="en-US" w:eastAsia="zh-CN"/>
              </w:rPr>
              <w:t>5</w:t>
            </w:r>
            <w:r>
              <w:rPr>
                <w:rFonts w:hint="eastAsia" w:ascii="Times New Roman" w:hAnsi="Times New Roman"/>
                <w:color w:val="auto"/>
                <w:sz w:val="21"/>
                <w:szCs w:val="21"/>
              </w:rPr>
              <w:t>版）》，</w:t>
            </w:r>
            <w:r>
              <w:rPr>
                <w:rFonts w:hint="eastAsia" w:ascii="Times New Roman" w:hAnsi="Times New Roman" w:cs="Times New Roman"/>
                <w:color w:val="auto"/>
                <w:sz w:val="21"/>
                <w:szCs w:val="21"/>
                <w:highlight w:val="none"/>
                <w:lang w:val="en-US" w:eastAsia="zh-CN"/>
              </w:rPr>
              <w:t>污</w:t>
            </w:r>
            <w:r>
              <w:rPr>
                <w:rFonts w:hint="eastAsia" w:ascii="Times New Roman" w:hAnsi="Times New Roman" w:eastAsia="宋体" w:cs="Times New Roman"/>
                <w:color w:val="auto"/>
                <w:sz w:val="21"/>
                <w:szCs w:val="21"/>
                <w:highlight w:val="none"/>
                <w:lang w:val="en-US" w:eastAsia="zh-CN"/>
              </w:rPr>
              <w:t>泥，废包装袋，</w:t>
            </w:r>
            <w:r>
              <w:rPr>
                <w:rFonts w:hint="eastAsia" w:ascii="Times New Roman" w:hAnsi="Times New Roman" w:cs="Times New Roman"/>
                <w:color w:val="auto"/>
                <w:sz w:val="21"/>
                <w:szCs w:val="21"/>
                <w:highlight w:val="none"/>
                <w:lang w:val="en-US" w:eastAsia="zh-CN"/>
              </w:rPr>
              <w:t>废土，</w:t>
            </w:r>
            <w:r>
              <w:rPr>
                <w:rFonts w:hint="eastAsia" w:ascii="Times New Roman" w:hAnsi="Times New Roman" w:cs="Times New Roman"/>
                <w:color w:val="auto"/>
                <w:sz w:val="21"/>
                <w:szCs w:val="21"/>
                <w:lang w:val="en-US" w:eastAsia="zh-CN"/>
              </w:rPr>
              <w:t>棉絮、泡沫等</w:t>
            </w:r>
            <w:r>
              <w:rPr>
                <w:rFonts w:hint="eastAsia" w:ascii="Times New Roman" w:hAnsi="Times New Roman" w:eastAsia="宋体" w:cs="Times New Roman"/>
                <w:color w:val="auto"/>
                <w:sz w:val="21"/>
                <w:szCs w:val="21"/>
                <w:lang w:val="en-US" w:eastAsia="zh-CN"/>
              </w:rPr>
              <w:t>废料</w:t>
            </w:r>
            <w:r>
              <w:rPr>
                <w:rFonts w:hint="eastAsia" w:ascii="Times New Roman" w:hAnsi="Times New Roman" w:cs="Times New Roman"/>
                <w:color w:val="auto"/>
                <w:sz w:val="21"/>
                <w:szCs w:val="21"/>
                <w:lang w:val="en-US" w:eastAsia="zh-CN"/>
              </w:rPr>
              <w:t>，海绵、木屑等</w:t>
            </w:r>
            <w:r>
              <w:rPr>
                <w:rFonts w:hint="eastAsia" w:ascii="Times New Roman" w:hAnsi="Times New Roman" w:eastAsia="宋体" w:cs="Times New Roman"/>
                <w:color w:val="auto"/>
                <w:sz w:val="21"/>
                <w:szCs w:val="21"/>
                <w:lang w:val="en-US" w:eastAsia="zh-CN"/>
              </w:rPr>
              <w:t>废料，</w:t>
            </w:r>
            <w:r>
              <w:rPr>
                <w:rFonts w:hint="eastAsia" w:ascii="Times New Roman" w:hAnsi="Times New Roman"/>
                <w:color w:val="auto"/>
                <w:sz w:val="21"/>
                <w:szCs w:val="21"/>
              </w:rPr>
              <w:t>废钢球</w:t>
            </w:r>
            <w:r>
              <w:rPr>
                <w:rFonts w:hint="eastAsia" w:ascii="Times New Roman" w:hAnsi="Times New Roman"/>
                <w:color w:val="auto"/>
                <w:sz w:val="21"/>
                <w:szCs w:val="21"/>
                <w:lang w:eastAsia="zh-CN"/>
              </w:rPr>
              <w:t>，</w:t>
            </w:r>
            <w:r>
              <w:rPr>
                <w:rFonts w:hint="eastAsia" w:ascii="Times New Roman" w:hAnsi="Times New Roman" w:eastAsia="宋体" w:cs="Times New Roman"/>
                <w:color w:val="auto"/>
                <w:sz w:val="21"/>
                <w:szCs w:val="21"/>
                <w:highlight w:val="none"/>
                <w:lang w:val="en-US" w:eastAsia="zh-CN"/>
              </w:rPr>
              <w:t>泥饼，废滤布，</w:t>
            </w:r>
            <w:r>
              <w:rPr>
                <w:rFonts w:hint="eastAsia" w:ascii="Times New Roman" w:hAnsi="Times New Roman"/>
                <w:color w:val="auto"/>
                <w:sz w:val="21"/>
                <w:szCs w:val="21"/>
              </w:rPr>
              <w:t>除尘灰</w:t>
            </w:r>
            <w:r>
              <w:rPr>
                <w:rFonts w:hint="eastAsia" w:ascii="Times New Roman" w:hAnsi="Times New Roman"/>
                <w:color w:val="auto"/>
                <w:sz w:val="21"/>
                <w:szCs w:val="21"/>
                <w:lang w:eastAsia="zh-CN"/>
              </w:rPr>
              <w:t>，</w:t>
            </w:r>
            <w:r>
              <w:rPr>
                <w:rFonts w:hint="eastAsia" w:ascii="Times New Roman" w:hAnsi="Times New Roman"/>
                <w:color w:val="auto"/>
                <w:sz w:val="21"/>
                <w:szCs w:val="21"/>
              </w:rPr>
              <w:t>废布袋</w:t>
            </w:r>
            <w:r>
              <w:rPr>
                <w:rFonts w:hint="eastAsia" w:ascii="Times New Roman" w:hAnsi="Times New Roman"/>
                <w:color w:val="auto"/>
                <w:sz w:val="21"/>
                <w:szCs w:val="21"/>
                <w:lang w:eastAsia="zh-CN"/>
              </w:rPr>
              <w:t>，</w:t>
            </w:r>
            <w:r>
              <w:rPr>
                <w:rFonts w:hint="eastAsia" w:ascii="Times New Roman" w:hAnsi="Times New Roman" w:cs="Times New Roman"/>
                <w:color w:val="auto"/>
                <w:sz w:val="21"/>
                <w:szCs w:val="21"/>
                <w:lang w:val="en-US" w:eastAsia="zh-CN"/>
              </w:rPr>
              <w:t>沉降灰</w:t>
            </w:r>
            <w:r>
              <w:rPr>
                <w:rFonts w:hint="eastAsia" w:ascii="Times New Roman" w:hAnsi="Times New Roman"/>
                <w:color w:val="auto"/>
                <w:sz w:val="21"/>
                <w:szCs w:val="21"/>
              </w:rPr>
              <w:t>为一般固体废物；废润滑油、</w:t>
            </w:r>
            <w:r>
              <w:rPr>
                <w:rFonts w:hint="eastAsia" w:ascii="Times New Roman" w:hAnsi="Times New Roman"/>
                <w:color w:val="auto"/>
                <w:sz w:val="21"/>
                <w:szCs w:val="21"/>
                <w:lang w:val="en-US" w:eastAsia="zh-CN"/>
              </w:rPr>
              <w:t>废液压油及</w:t>
            </w:r>
            <w:r>
              <w:rPr>
                <w:rFonts w:hint="eastAsia" w:ascii="Times New Roman" w:hAnsi="Times New Roman"/>
                <w:color w:val="auto"/>
                <w:sz w:val="21"/>
                <w:szCs w:val="21"/>
              </w:rPr>
              <w:t>废油桶为危险废物。</w:t>
            </w:r>
          </w:p>
          <w:p w14:paraId="6A6F9BA6">
            <w:pPr>
              <w:pStyle w:val="24"/>
              <w:adjustRightInd w:val="0"/>
              <w:snapToGrid w:val="0"/>
              <w:spacing w:before="0" w:beforeAutospacing="0" w:after="0" w:afterAutospacing="0" w:line="440" w:lineRule="exact"/>
              <w:ind w:firstLine="420" w:firstLineChars="200"/>
              <w:rPr>
                <w:rFonts w:hint="eastAsia" w:ascii="Times New Roman" w:hAnsi="Times New Roman"/>
                <w:color w:val="auto"/>
                <w:sz w:val="21"/>
                <w:szCs w:val="21"/>
                <w:highlight w:val="none"/>
                <w:lang w:val="en-US" w:eastAsia="zh-CN"/>
              </w:rPr>
            </w:pPr>
            <w:r>
              <w:rPr>
                <w:rFonts w:ascii="Times New Roman" w:hAnsi="Times New Roman"/>
                <w:color w:val="auto"/>
                <w:sz w:val="21"/>
                <w:szCs w:val="21"/>
              </w:rPr>
              <w:t>①</w:t>
            </w:r>
            <w:r>
              <w:rPr>
                <w:rFonts w:hint="eastAsia" w:ascii="Times New Roman" w:hAnsi="Times New Roman"/>
                <w:color w:val="auto"/>
                <w:sz w:val="21"/>
                <w:szCs w:val="21"/>
                <w:lang w:val="en-US" w:eastAsia="zh-CN"/>
              </w:rPr>
              <w:t>污泥：</w:t>
            </w:r>
            <w:r>
              <w:rPr>
                <w:rFonts w:hint="eastAsia" w:ascii="Times New Roman" w:hAnsi="Times New Roman"/>
                <w:color w:val="auto"/>
                <w:sz w:val="21"/>
                <w:szCs w:val="21"/>
              </w:rPr>
              <w:t>项目</w:t>
            </w:r>
            <w:r>
              <w:rPr>
                <w:rFonts w:hint="eastAsia" w:ascii="Times New Roman" w:hAnsi="Times New Roman"/>
                <w:color w:val="auto"/>
                <w:sz w:val="21"/>
                <w:szCs w:val="21"/>
                <w:lang w:val="en-US" w:eastAsia="zh-CN"/>
              </w:rPr>
              <w:t>洗车平台沉淀池及污水沉淀池会产生污泥</w:t>
            </w:r>
            <w:r>
              <w:rPr>
                <w:rFonts w:hint="eastAsia" w:ascii="Times New Roman" w:hAnsi="Times New Roman"/>
                <w:color w:val="auto"/>
                <w:sz w:val="21"/>
                <w:szCs w:val="21"/>
                <w:lang w:eastAsia="zh-CN"/>
              </w:rPr>
              <w:t>，</w:t>
            </w:r>
            <w:r>
              <w:rPr>
                <w:rFonts w:hint="eastAsia" w:ascii="Times New Roman" w:hAnsi="Times New Roman"/>
                <w:color w:val="auto"/>
                <w:sz w:val="21"/>
                <w:szCs w:val="21"/>
              </w:rPr>
              <w:t>产生量为</w:t>
            </w:r>
            <w:r>
              <w:rPr>
                <w:rFonts w:hint="eastAsia" w:ascii="Times New Roman" w:hAnsi="Times New Roman"/>
                <w:color w:val="auto"/>
                <w:sz w:val="21"/>
                <w:szCs w:val="21"/>
                <w:highlight w:val="none"/>
                <w:lang w:val="en-US" w:eastAsia="zh-CN"/>
              </w:rPr>
              <w:t>450</w:t>
            </w:r>
            <w:r>
              <w:rPr>
                <w:rFonts w:ascii="Times New Roman" w:hAnsi="Times New Roman"/>
                <w:color w:val="auto"/>
                <w:sz w:val="21"/>
                <w:szCs w:val="21"/>
                <w:highlight w:val="none"/>
              </w:rPr>
              <w:t>t/a</w:t>
            </w:r>
            <w:r>
              <w:rPr>
                <w:rFonts w:hint="eastAsia" w:ascii="Times New Roman" w:hAnsi="Times New Roman"/>
                <w:color w:val="auto"/>
                <w:sz w:val="21"/>
                <w:szCs w:val="21"/>
              </w:rPr>
              <w:t>，</w:t>
            </w:r>
            <w:r>
              <w:rPr>
                <w:rFonts w:hint="eastAsia" w:ascii="Times New Roman" w:hAnsi="Times New Roman"/>
                <w:color w:val="auto"/>
                <w:sz w:val="21"/>
                <w:szCs w:val="21"/>
                <w:highlight w:val="none"/>
                <w:lang w:val="en-US" w:eastAsia="zh-CN"/>
              </w:rPr>
              <w:t>污泥定期清掏，</w:t>
            </w:r>
            <w:r>
              <w:rPr>
                <w:rFonts w:hint="eastAsia" w:ascii="Times New Roman" w:hAnsi="Times New Roman"/>
                <w:color w:val="auto"/>
                <w:sz w:val="21"/>
                <w:szCs w:val="21"/>
                <w:highlight w:val="none"/>
              </w:rPr>
              <w:t>暂存于</w:t>
            </w:r>
            <w:r>
              <w:rPr>
                <w:rFonts w:hint="eastAsia" w:ascii="Times New Roman" w:hAnsi="Times New Roman"/>
                <w:color w:val="auto"/>
                <w:sz w:val="21"/>
                <w:szCs w:val="21"/>
                <w:highlight w:val="none"/>
                <w:lang w:val="en-US" w:eastAsia="zh-CN"/>
              </w:rPr>
              <w:t>一般固废暂存区，之后外售砖厂进行制砖。</w:t>
            </w:r>
          </w:p>
          <w:p w14:paraId="3C85DC1B">
            <w:pPr>
              <w:pStyle w:val="24"/>
              <w:adjustRightInd w:val="0"/>
              <w:snapToGrid w:val="0"/>
              <w:spacing w:before="0" w:beforeAutospacing="0" w:after="0" w:afterAutospacing="0" w:line="440" w:lineRule="exact"/>
              <w:ind w:firstLine="420" w:firstLineChars="200"/>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②废包装袋：项目辅料拆包过程会产生废包装袋，产生量为0.05t/a，收集后暂存一般固废暂存区，之后外售综合利用。</w:t>
            </w:r>
          </w:p>
          <w:p w14:paraId="442347A3">
            <w:pPr>
              <w:pStyle w:val="24"/>
              <w:adjustRightInd w:val="0"/>
              <w:snapToGrid w:val="0"/>
              <w:spacing w:before="0" w:beforeAutospacing="0" w:after="0" w:afterAutospacing="0" w:line="440" w:lineRule="exact"/>
              <w:ind w:firstLine="420" w:firstLineChars="200"/>
              <w:rPr>
                <w:rFonts w:hint="default" w:ascii="Times New Roman" w:hAnsi="Times New Roman" w:eastAsia="宋体" w:cs="Times New Roman"/>
                <w:color w:val="auto"/>
                <w:sz w:val="21"/>
                <w:szCs w:val="21"/>
                <w:highlight w:val="none"/>
                <w:lang w:val="en-US" w:eastAsia="zh-CN"/>
              </w:rPr>
            </w:pPr>
            <w:r>
              <w:rPr>
                <w:rFonts w:hint="eastAsia" w:cs="宋体"/>
                <w:color w:val="auto"/>
                <w:sz w:val="21"/>
                <w:szCs w:val="21"/>
                <w:highlight w:val="none"/>
              </w:rPr>
              <w:t>③</w:t>
            </w:r>
            <w:r>
              <w:rPr>
                <w:rFonts w:hint="eastAsia" w:ascii="Times New Roman" w:hAnsi="Times New Roman" w:cs="Times New Roman"/>
                <w:color w:val="auto"/>
                <w:sz w:val="21"/>
                <w:szCs w:val="21"/>
                <w:highlight w:val="none"/>
                <w:lang w:val="en-US" w:eastAsia="zh-CN"/>
              </w:rPr>
              <w:t>废土：</w:t>
            </w:r>
            <w:r>
              <w:rPr>
                <w:rFonts w:hint="default" w:ascii="Times New Roman" w:hAnsi="Times New Roman" w:eastAsia="宋体" w:cs="Times New Roman"/>
                <w:color w:val="auto"/>
                <w:sz w:val="21"/>
                <w:szCs w:val="21"/>
                <w:lang w:val="en-US" w:eastAsia="zh-CN"/>
              </w:rPr>
              <w:t>项目废钢破碎尾料分选</w:t>
            </w:r>
            <w:r>
              <w:rPr>
                <w:rFonts w:hint="eastAsia" w:ascii="Times New Roman" w:hAnsi="Times New Roman" w:eastAsia="宋体" w:cs="Times New Roman"/>
                <w:color w:val="auto"/>
                <w:sz w:val="21"/>
                <w:szCs w:val="21"/>
                <w:lang w:val="en-US" w:eastAsia="zh-CN"/>
              </w:rPr>
              <w:t>生产线滚筒筛</w:t>
            </w:r>
            <w:r>
              <w:rPr>
                <w:rFonts w:hint="eastAsia" w:ascii="Times New Roman" w:hAnsi="Times New Roman" w:eastAsia="宋体" w:cs="Times New Roman"/>
                <w:color w:val="auto"/>
                <w:sz w:val="21"/>
                <w:szCs w:val="21"/>
                <w:highlight w:val="none"/>
                <w:lang w:val="en-US" w:eastAsia="zh-CN"/>
              </w:rPr>
              <w:t>筛分过程</w:t>
            </w:r>
            <w:r>
              <w:rPr>
                <w:rFonts w:hint="default" w:ascii="Times New Roman" w:hAnsi="Times New Roman" w:eastAsia="宋体" w:cs="Times New Roman"/>
                <w:color w:val="auto"/>
                <w:sz w:val="21"/>
                <w:szCs w:val="21"/>
                <w:highlight w:val="none"/>
                <w:lang w:val="en-US" w:eastAsia="zh-CN"/>
              </w:rPr>
              <w:t>中会产生</w:t>
            </w:r>
            <w:r>
              <w:rPr>
                <w:rFonts w:hint="eastAsia" w:ascii="Times New Roman" w:hAnsi="Times New Roman" w:eastAsia="宋体" w:cs="Times New Roman"/>
                <w:color w:val="auto"/>
                <w:sz w:val="21"/>
                <w:szCs w:val="21"/>
                <w:highlight w:val="none"/>
                <w:lang w:val="en-US" w:eastAsia="zh-CN"/>
              </w:rPr>
              <w:t>废土</w:t>
            </w:r>
            <w:r>
              <w:rPr>
                <w:rFonts w:hint="default" w:ascii="Times New Roman" w:hAnsi="Times New Roman" w:eastAsia="宋体" w:cs="Times New Roman"/>
                <w:color w:val="auto"/>
                <w:sz w:val="21"/>
                <w:szCs w:val="21"/>
                <w:highlight w:val="none"/>
                <w:lang w:val="en-US" w:eastAsia="zh-CN"/>
              </w:rPr>
              <w:t>，产生量为</w:t>
            </w:r>
            <w:r>
              <w:rPr>
                <w:rFonts w:hint="eastAsia" w:ascii="Times New Roman" w:hAnsi="Times New Roman" w:eastAsia="宋体" w:cs="Times New Roman"/>
                <w:color w:val="auto"/>
                <w:sz w:val="21"/>
                <w:szCs w:val="21"/>
                <w:highlight w:val="none"/>
                <w:lang w:val="en-US" w:eastAsia="zh-CN"/>
              </w:rPr>
              <w:t>1665</w:t>
            </w:r>
            <w:r>
              <w:rPr>
                <w:rFonts w:hint="default" w:ascii="Times New Roman" w:hAnsi="Times New Roman" w:eastAsia="宋体" w:cs="Times New Roman"/>
                <w:color w:val="auto"/>
                <w:sz w:val="21"/>
                <w:szCs w:val="21"/>
                <w:highlight w:val="none"/>
                <w:lang w:val="en-US" w:eastAsia="zh-CN"/>
              </w:rPr>
              <w:t>00t/a，暂存</w:t>
            </w:r>
            <w:r>
              <w:rPr>
                <w:rFonts w:hint="eastAsia" w:ascii="Times New Roman" w:hAnsi="Times New Roman" w:eastAsia="宋体" w:cs="Times New Roman"/>
                <w:color w:val="auto"/>
                <w:sz w:val="21"/>
                <w:szCs w:val="21"/>
                <w:highlight w:val="none"/>
                <w:lang w:val="en-US" w:eastAsia="zh-CN"/>
              </w:rPr>
              <w:t>于废土暂存区</w:t>
            </w:r>
            <w:r>
              <w:rPr>
                <w:rFonts w:hint="default" w:ascii="Times New Roman" w:hAnsi="Times New Roman" w:eastAsia="宋体" w:cs="Times New Roman"/>
                <w:color w:val="auto"/>
                <w:sz w:val="21"/>
                <w:szCs w:val="21"/>
                <w:highlight w:val="none"/>
                <w:lang w:val="en-US" w:eastAsia="zh-CN"/>
              </w:rPr>
              <w:t>，</w:t>
            </w:r>
            <w:r>
              <w:rPr>
                <w:rFonts w:hint="eastAsia" w:ascii="Times New Roman" w:hAnsi="Times New Roman" w:eastAsia="宋体" w:cs="Times New Roman"/>
                <w:color w:val="auto"/>
                <w:sz w:val="21"/>
                <w:szCs w:val="21"/>
                <w:highlight w:val="none"/>
                <w:lang w:val="en-US" w:eastAsia="zh-CN"/>
              </w:rPr>
              <w:t>之后外运用于填坑、铺路</w:t>
            </w:r>
            <w:r>
              <w:rPr>
                <w:rFonts w:hint="default" w:ascii="Times New Roman" w:hAnsi="Times New Roman" w:eastAsia="宋体" w:cs="Times New Roman"/>
                <w:color w:val="auto"/>
                <w:sz w:val="21"/>
                <w:szCs w:val="21"/>
                <w:highlight w:val="none"/>
                <w:lang w:val="en-US" w:eastAsia="zh-CN"/>
              </w:rPr>
              <w:t>。</w:t>
            </w:r>
          </w:p>
          <w:p w14:paraId="4086B583">
            <w:pPr>
              <w:pStyle w:val="24"/>
              <w:adjustRightInd w:val="0"/>
              <w:snapToGrid w:val="0"/>
              <w:spacing w:before="0" w:beforeAutospacing="0" w:after="0" w:afterAutospacing="0" w:line="440" w:lineRule="exact"/>
              <w:ind w:firstLine="420" w:firstLineChars="200"/>
              <w:rPr>
                <w:rFonts w:hint="default" w:ascii="Times New Roman" w:hAnsi="Times New Roman" w:eastAsia="宋体" w:cs="Times New Roman"/>
                <w:color w:val="auto"/>
                <w:sz w:val="21"/>
                <w:szCs w:val="21"/>
                <w:lang w:val="en-US" w:eastAsia="zh-CN"/>
              </w:rPr>
            </w:pPr>
            <w:r>
              <w:rPr>
                <w:rFonts w:hint="eastAsia" w:ascii="宋体" w:hAnsi="宋体" w:eastAsia="宋体" w:cs="宋体"/>
                <w:color w:val="auto"/>
                <w:sz w:val="21"/>
                <w:szCs w:val="21"/>
              </w:rPr>
              <w:t>④</w:t>
            </w:r>
            <w:r>
              <w:rPr>
                <w:rFonts w:hint="eastAsia" w:ascii="Times New Roman" w:hAnsi="Times New Roman" w:cs="Times New Roman"/>
                <w:color w:val="auto"/>
                <w:sz w:val="21"/>
                <w:szCs w:val="21"/>
                <w:lang w:val="en-US" w:eastAsia="zh-CN"/>
              </w:rPr>
              <w:t>棉絮、泡沫等</w:t>
            </w:r>
            <w:r>
              <w:rPr>
                <w:rFonts w:hint="eastAsia" w:ascii="Times New Roman" w:hAnsi="Times New Roman" w:eastAsia="宋体" w:cs="Times New Roman"/>
                <w:color w:val="auto"/>
                <w:sz w:val="21"/>
                <w:szCs w:val="21"/>
                <w:lang w:val="en-US" w:eastAsia="zh-CN"/>
              </w:rPr>
              <w:t>废料：</w:t>
            </w:r>
            <w:r>
              <w:rPr>
                <w:rFonts w:hint="default" w:ascii="Times New Roman" w:hAnsi="Times New Roman" w:eastAsia="宋体" w:cs="Times New Roman"/>
                <w:color w:val="auto"/>
                <w:sz w:val="21"/>
                <w:szCs w:val="21"/>
                <w:lang w:val="en-US" w:eastAsia="zh-CN"/>
              </w:rPr>
              <w:t>项目废钢破碎尾料分选过程中会产生</w:t>
            </w:r>
            <w:r>
              <w:rPr>
                <w:rFonts w:hint="eastAsia" w:ascii="Times New Roman" w:hAnsi="Times New Roman" w:eastAsia="宋体" w:cs="Times New Roman"/>
                <w:color w:val="auto"/>
                <w:sz w:val="21"/>
                <w:szCs w:val="21"/>
                <w:lang w:val="en-US" w:eastAsia="zh-CN"/>
              </w:rPr>
              <w:t>棉絮、泡沫等废料</w:t>
            </w:r>
            <w:r>
              <w:rPr>
                <w:rFonts w:hint="default" w:ascii="Times New Roman" w:hAnsi="Times New Roman" w:eastAsia="宋体" w:cs="Times New Roman"/>
                <w:color w:val="auto"/>
                <w:sz w:val="21"/>
                <w:szCs w:val="21"/>
                <w:lang w:val="en-US" w:eastAsia="zh-CN"/>
              </w:rPr>
              <w:t>，产生量为1</w:t>
            </w:r>
            <w:r>
              <w:rPr>
                <w:rFonts w:hint="eastAsia" w:ascii="Times New Roman" w:hAnsi="Times New Roman" w:eastAsia="宋体" w:cs="Times New Roman"/>
                <w:color w:val="auto"/>
                <w:sz w:val="21"/>
                <w:szCs w:val="21"/>
                <w:lang w:val="en-US" w:eastAsia="zh-CN"/>
              </w:rPr>
              <w:t>25000</w:t>
            </w:r>
            <w:r>
              <w:rPr>
                <w:rFonts w:hint="default" w:ascii="Times New Roman" w:hAnsi="Times New Roman" w:eastAsia="宋体" w:cs="Times New Roman"/>
                <w:color w:val="auto"/>
                <w:sz w:val="21"/>
                <w:szCs w:val="21"/>
                <w:lang w:val="en-US" w:eastAsia="zh-CN"/>
              </w:rPr>
              <w:t>t/a，暂存</w:t>
            </w:r>
            <w:r>
              <w:rPr>
                <w:rFonts w:hint="eastAsia" w:ascii="Times New Roman" w:hAnsi="Times New Roman" w:eastAsia="宋体" w:cs="Times New Roman"/>
                <w:color w:val="auto"/>
                <w:sz w:val="21"/>
                <w:szCs w:val="21"/>
                <w:lang w:val="en-US" w:eastAsia="zh-CN"/>
              </w:rPr>
              <w:t>于棉絮、泡沫暂存区</w:t>
            </w:r>
            <w:r>
              <w:rPr>
                <w:rFonts w:hint="default" w:ascii="Times New Roman" w:hAnsi="Times New Roman" w:eastAsia="宋体" w:cs="Times New Roman"/>
                <w:color w:val="auto"/>
                <w:sz w:val="21"/>
                <w:szCs w:val="21"/>
                <w:lang w:val="en-US" w:eastAsia="zh-CN"/>
              </w:rPr>
              <w:t>，定期外售相关回收单位。</w:t>
            </w:r>
          </w:p>
          <w:p w14:paraId="28696053">
            <w:pPr>
              <w:pStyle w:val="24"/>
              <w:adjustRightInd w:val="0"/>
              <w:snapToGrid w:val="0"/>
              <w:spacing w:before="0" w:beforeAutospacing="0" w:after="0" w:afterAutospacing="0" w:line="440" w:lineRule="exact"/>
              <w:ind w:firstLine="420" w:firstLineChars="200"/>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rPr>
              <w:t>⑤</w:t>
            </w:r>
            <w:r>
              <w:rPr>
                <w:rFonts w:hint="eastAsia" w:ascii="Times New Roman" w:hAnsi="Times New Roman" w:cs="Times New Roman"/>
                <w:color w:val="auto"/>
                <w:sz w:val="21"/>
                <w:szCs w:val="21"/>
                <w:lang w:val="en-US" w:eastAsia="zh-CN"/>
              </w:rPr>
              <w:t>海绵、木屑等</w:t>
            </w:r>
            <w:r>
              <w:rPr>
                <w:rFonts w:hint="eastAsia" w:ascii="Times New Roman" w:hAnsi="Times New Roman" w:eastAsia="宋体" w:cs="Times New Roman"/>
                <w:color w:val="auto"/>
                <w:sz w:val="21"/>
                <w:szCs w:val="21"/>
                <w:lang w:val="en-US" w:eastAsia="zh-CN"/>
              </w:rPr>
              <w:t>废料：</w:t>
            </w:r>
            <w:r>
              <w:rPr>
                <w:rFonts w:hint="default" w:ascii="Times New Roman" w:hAnsi="Times New Roman" w:eastAsia="宋体" w:cs="Times New Roman"/>
                <w:color w:val="auto"/>
                <w:sz w:val="21"/>
                <w:szCs w:val="21"/>
                <w:lang w:val="en-US" w:eastAsia="zh-CN"/>
              </w:rPr>
              <w:t>项目废钢破碎尾料分选过程中会产生</w:t>
            </w:r>
            <w:r>
              <w:rPr>
                <w:rFonts w:hint="eastAsia" w:ascii="Times New Roman" w:hAnsi="Times New Roman" w:eastAsia="宋体" w:cs="Times New Roman"/>
                <w:color w:val="auto"/>
                <w:sz w:val="21"/>
                <w:szCs w:val="21"/>
                <w:lang w:val="en-US" w:eastAsia="zh-CN"/>
              </w:rPr>
              <w:t>海绵、木屑等废料</w:t>
            </w:r>
            <w:r>
              <w:rPr>
                <w:rFonts w:hint="default" w:ascii="Times New Roman" w:hAnsi="Times New Roman" w:eastAsia="宋体" w:cs="Times New Roman"/>
                <w:color w:val="auto"/>
                <w:sz w:val="21"/>
                <w:szCs w:val="21"/>
                <w:lang w:val="en-US" w:eastAsia="zh-CN"/>
              </w:rPr>
              <w:t>，产生量为</w:t>
            </w:r>
            <w:r>
              <w:rPr>
                <w:rFonts w:hint="eastAsia" w:ascii="Times New Roman" w:hAnsi="Times New Roman" w:eastAsia="宋体" w:cs="Times New Roman"/>
                <w:color w:val="auto"/>
                <w:sz w:val="21"/>
                <w:szCs w:val="21"/>
                <w:lang w:val="en-US" w:eastAsia="zh-CN"/>
              </w:rPr>
              <w:t>5000</w:t>
            </w:r>
            <w:r>
              <w:rPr>
                <w:rFonts w:hint="default" w:ascii="Times New Roman" w:hAnsi="Times New Roman" w:eastAsia="宋体" w:cs="Times New Roman"/>
                <w:color w:val="auto"/>
                <w:sz w:val="21"/>
                <w:szCs w:val="21"/>
                <w:lang w:val="en-US" w:eastAsia="zh-CN"/>
              </w:rPr>
              <w:t>t/a，暂存</w:t>
            </w:r>
            <w:r>
              <w:rPr>
                <w:rFonts w:hint="eastAsia" w:ascii="Times New Roman" w:hAnsi="Times New Roman" w:eastAsia="宋体" w:cs="Times New Roman"/>
                <w:color w:val="auto"/>
                <w:sz w:val="21"/>
                <w:szCs w:val="21"/>
                <w:lang w:val="en-US" w:eastAsia="zh-CN"/>
              </w:rPr>
              <w:t>于3#储料池内</w:t>
            </w:r>
            <w:r>
              <w:rPr>
                <w:rFonts w:hint="default" w:ascii="Times New Roman" w:hAnsi="Times New Roman" w:eastAsia="宋体" w:cs="Times New Roman"/>
                <w:color w:val="auto"/>
                <w:sz w:val="21"/>
                <w:szCs w:val="21"/>
                <w:lang w:val="en-US" w:eastAsia="zh-CN"/>
              </w:rPr>
              <w:t>，定期外售相关回收单位。</w:t>
            </w:r>
          </w:p>
          <w:p w14:paraId="76FF5034">
            <w:pPr>
              <w:pStyle w:val="24"/>
              <w:adjustRightInd w:val="0"/>
              <w:snapToGrid w:val="0"/>
              <w:spacing w:before="0" w:beforeAutospacing="0" w:after="0" w:afterAutospacing="0" w:line="440" w:lineRule="exact"/>
              <w:ind w:firstLine="420" w:firstLineChars="200"/>
              <w:rPr>
                <w:rFonts w:hint="eastAsia" w:cs="宋体"/>
                <w:color w:val="auto"/>
                <w:sz w:val="21"/>
                <w:szCs w:val="21"/>
              </w:rPr>
            </w:pPr>
            <w:r>
              <w:rPr>
                <w:rFonts w:hint="eastAsia" w:ascii="Times New Roman" w:hAnsi="Times New Roman" w:eastAsia="宋体" w:cs="Times New Roman"/>
                <w:color w:val="auto"/>
                <w:sz w:val="21"/>
                <w:szCs w:val="21"/>
              </w:rPr>
              <w:t>⑥</w:t>
            </w:r>
            <w:r>
              <w:rPr>
                <w:rFonts w:hint="eastAsia" w:ascii="Times New Roman" w:hAnsi="Times New Roman"/>
                <w:color w:val="auto"/>
                <w:sz w:val="21"/>
                <w:szCs w:val="21"/>
              </w:rPr>
              <w:t>废钢球</w:t>
            </w:r>
            <w:r>
              <w:rPr>
                <w:rFonts w:hint="eastAsia" w:ascii="Times New Roman" w:hAnsi="Times New Roman"/>
                <w:color w:val="auto"/>
                <w:sz w:val="21"/>
                <w:szCs w:val="21"/>
                <w:lang w:eastAsia="zh-CN"/>
              </w:rPr>
              <w:t>：</w:t>
            </w:r>
            <w:r>
              <w:rPr>
                <w:rFonts w:ascii="Times New Roman" w:hAnsi="Times New Roman"/>
                <w:color w:val="auto"/>
                <w:sz w:val="21"/>
                <w:szCs w:val="21"/>
              </w:rPr>
              <w:t>球磨机所用钢球因为磨损要定期更换，本项目废钢球产生量为</w:t>
            </w:r>
            <w:r>
              <w:rPr>
                <w:rFonts w:hint="eastAsia" w:ascii="Times New Roman" w:hAnsi="Times New Roman"/>
                <w:color w:val="auto"/>
                <w:sz w:val="21"/>
                <w:szCs w:val="21"/>
                <w:lang w:val="en-US" w:eastAsia="zh-CN"/>
              </w:rPr>
              <w:t>4</w:t>
            </w:r>
            <w:r>
              <w:rPr>
                <w:rFonts w:ascii="Times New Roman" w:hAnsi="Times New Roman"/>
                <w:color w:val="auto"/>
                <w:sz w:val="21"/>
                <w:szCs w:val="21"/>
              </w:rPr>
              <w:t>t/a，废钢球收集后存储于</w:t>
            </w:r>
            <w:r>
              <w:rPr>
                <w:rFonts w:hint="eastAsia" w:ascii="Times New Roman" w:hAnsi="Times New Roman"/>
                <w:color w:val="auto"/>
                <w:sz w:val="21"/>
                <w:szCs w:val="21"/>
              </w:rPr>
              <w:t>生产车间内一般固废暂存区</w:t>
            </w:r>
            <w:r>
              <w:rPr>
                <w:rFonts w:ascii="Times New Roman" w:hAnsi="Times New Roman"/>
                <w:color w:val="auto"/>
                <w:sz w:val="21"/>
                <w:szCs w:val="21"/>
              </w:rPr>
              <w:t>，之后外售五金回收公司。</w:t>
            </w:r>
          </w:p>
          <w:p w14:paraId="5073922C">
            <w:pPr>
              <w:pStyle w:val="24"/>
              <w:adjustRightInd w:val="0"/>
              <w:snapToGrid w:val="0"/>
              <w:spacing w:before="0" w:beforeAutospacing="0" w:after="0" w:afterAutospacing="0" w:line="440" w:lineRule="exact"/>
              <w:ind w:firstLine="420" w:firstLineChars="200"/>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rPr>
              <w:t>⑦</w:t>
            </w:r>
            <w:r>
              <w:rPr>
                <w:rFonts w:hint="eastAsia" w:ascii="Times New Roman" w:hAnsi="Times New Roman"/>
                <w:color w:val="auto"/>
                <w:sz w:val="21"/>
                <w:szCs w:val="21"/>
              </w:rPr>
              <w:t>除尘灰</w:t>
            </w:r>
            <w:r>
              <w:rPr>
                <w:rFonts w:hint="eastAsia" w:ascii="Times New Roman" w:hAnsi="Times New Roman"/>
                <w:color w:val="auto"/>
                <w:sz w:val="21"/>
                <w:szCs w:val="21"/>
                <w:lang w:eastAsia="zh-CN"/>
              </w:rPr>
              <w:t>：</w:t>
            </w:r>
            <w:r>
              <w:rPr>
                <w:rFonts w:hint="eastAsia" w:ascii="Times New Roman" w:hAnsi="Times New Roman" w:cs="Times New Roman"/>
                <w:color w:val="auto"/>
                <w:sz w:val="21"/>
                <w:szCs w:val="21"/>
                <w:lang w:val="en-US" w:eastAsia="zh-CN"/>
              </w:rPr>
              <w:t>项目</w:t>
            </w:r>
            <w:r>
              <w:rPr>
                <w:rFonts w:ascii="Times New Roman" w:hAnsi="Times New Roman"/>
                <w:color w:val="auto"/>
                <w:sz w:val="21"/>
                <w:szCs w:val="21"/>
              </w:rPr>
              <w:t>除尘器收集的除尘灰为</w:t>
            </w:r>
            <w:r>
              <w:rPr>
                <w:rFonts w:hint="eastAsia" w:ascii="Times New Roman" w:hAnsi="Times New Roman"/>
                <w:color w:val="auto"/>
                <w:sz w:val="21"/>
                <w:szCs w:val="21"/>
                <w:highlight w:val="none"/>
                <w:lang w:val="en-US" w:eastAsia="zh-CN"/>
              </w:rPr>
              <w:t>446.463</w:t>
            </w:r>
            <w:r>
              <w:rPr>
                <w:rFonts w:ascii="Times New Roman" w:hAnsi="Times New Roman"/>
                <w:color w:val="auto"/>
                <w:sz w:val="21"/>
                <w:szCs w:val="21"/>
              </w:rPr>
              <w:t>t/a</w:t>
            </w:r>
            <w:r>
              <w:rPr>
                <w:rFonts w:hint="eastAsia" w:ascii="Times New Roman" w:hAnsi="Times New Roman"/>
                <w:color w:val="auto"/>
                <w:sz w:val="21"/>
                <w:szCs w:val="21"/>
                <w:lang w:eastAsia="zh-CN"/>
              </w:rPr>
              <w:t>，</w:t>
            </w:r>
            <w:r>
              <w:rPr>
                <w:rFonts w:hint="eastAsia" w:ascii="Times New Roman" w:hAnsi="Times New Roman" w:eastAsia="宋体" w:cs="Times New Roman"/>
                <w:color w:val="auto"/>
                <w:sz w:val="21"/>
                <w:szCs w:val="21"/>
                <w:highlight w:val="none"/>
                <w:lang w:val="en-US" w:eastAsia="zh-CN"/>
              </w:rPr>
              <w:t>除尘器卸灰处彩钢封闭，卸灰阀连接吨包，确保除尘灰不落地</w:t>
            </w:r>
            <w:r>
              <w:rPr>
                <w:rFonts w:hint="default" w:ascii="Times New Roman" w:hAnsi="Times New Roman" w:eastAsia="宋体" w:cs="Times New Roman"/>
                <w:color w:val="auto"/>
                <w:sz w:val="21"/>
                <w:szCs w:val="21"/>
                <w:highlight w:val="none"/>
                <w:lang w:val="en-US" w:eastAsia="zh-CN"/>
              </w:rPr>
              <w:t>，除尘灰收集后</w:t>
            </w:r>
            <w:r>
              <w:rPr>
                <w:rFonts w:hint="eastAsia" w:ascii="Times New Roman" w:hAnsi="Times New Roman"/>
                <w:color w:val="auto"/>
                <w:sz w:val="21"/>
                <w:szCs w:val="21"/>
                <w:highlight w:val="none"/>
                <w:lang w:val="en-US" w:eastAsia="zh-CN"/>
              </w:rPr>
              <w:t>外售砖厂进行制砖。</w:t>
            </w:r>
          </w:p>
          <w:p w14:paraId="0E530C5A">
            <w:pPr>
              <w:pStyle w:val="24"/>
              <w:adjustRightInd w:val="0"/>
              <w:snapToGrid w:val="0"/>
              <w:spacing w:before="0" w:beforeAutospacing="0" w:after="0" w:afterAutospacing="0" w:line="440" w:lineRule="exact"/>
              <w:ind w:firstLine="420" w:firstLineChars="200"/>
              <w:rPr>
                <w:rFonts w:ascii="Times New Roman" w:hAnsi="Times New Roman"/>
                <w:color w:val="auto"/>
                <w:sz w:val="21"/>
                <w:szCs w:val="21"/>
              </w:rPr>
            </w:pPr>
            <w:r>
              <w:rPr>
                <w:rFonts w:hint="eastAsia" w:ascii="Times New Roman" w:hAnsi="Times New Roman" w:eastAsia="宋体" w:cs="Times New Roman"/>
                <w:color w:val="auto"/>
                <w:sz w:val="21"/>
                <w:szCs w:val="21"/>
              </w:rPr>
              <w:t>⑧</w:t>
            </w:r>
            <w:r>
              <w:rPr>
                <w:rFonts w:hint="eastAsia" w:ascii="Times New Roman" w:hAnsi="Times New Roman"/>
                <w:color w:val="auto"/>
                <w:sz w:val="21"/>
                <w:szCs w:val="21"/>
              </w:rPr>
              <w:t>废布袋</w:t>
            </w:r>
            <w:r>
              <w:rPr>
                <w:rFonts w:hint="eastAsia" w:ascii="Times New Roman" w:hAnsi="Times New Roman"/>
                <w:color w:val="auto"/>
                <w:sz w:val="21"/>
                <w:szCs w:val="21"/>
                <w:lang w:eastAsia="zh-CN"/>
              </w:rPr>
              <w:t>：</w:t>
            </w:r>
            <w:r>
              <w:rPr>
                <w:rFonts w:ascii="Times New Roman" w:hAnsi="Times New Roman"/>
                <w:color w:val="auto"/>
                <w:sz w:val="21"/>
                <w:szCs w:val="21"/>
              </w:rPr>
              <w:t>项目除尘器</w:t>
            </w:r>
            <w:r>
              <w:rPr>
                <w:rFonts w:hint="eastAsia" w:ascii="Times New Roman" w:hAnsi="Times New Roman"/>
                <w:color w:val="auto"/>
                <w:sz w:val="21"/>
                <w:szCs w:val="21"/>
              </w:rPr>
              <w:t>更换的废布袋约为</w:t>
            </w:r>
            <w:r>
              <w:rPr>
                <w:rFonts w:hint="eastAsia" w:ascii="Times New Roman" w:hAnsi="Times New Roman"/>
                <w:color w:val="auto"/>
                <w:sz w:val="21"/>
                <w:szCs w:val="21"/>
                <w:highlight w:val="none"/>
                <w:lang w:val="en-US" w:eastAsia="zh-CN"/>
              </w:rPr>
              <w:t>0.05</w:t>
            </w:r>
            <w:r>
              <w:rPr>
                <w:rFonts w:ascii="Times New Roman" w:hAnsi="Times New Roman"/>
                <w:color w:val="auto"/>
                <w:sz w:val="21"/>
                <w:szCs w:val="21"/>
              </w:rPr>
              <w:t>t/a，</w:t>
            </w:r>
            <w:r>
              <w:rPr>
                <w:rFonts w:hint="eastAsia" w:ascii="Times New Roman" w:hAnsi="Times New Roman"/>
                <w:color w:val="auto"/>
                <w:sz w:val="21"/>
                <w:szCs w:val="21"/>
              </w:rPr>
              <w:t>废布袋</w:t>
            </w:r>
            <w:r>
              <w:rPr>
                <w:rFonts w:ascii="Times New Roman" w:hAnsi="Times New Roman"/>
                <w:color w:val="auto"/>
                <w:sz w:val="21"/>
                <w:szCs w:val="21"/>
              </w:rPr>
              <w:t>收集后存储于</w:t>
            </w:r>
            <w:r>
              <w:rPr>
                <w:rFonts w:hint="eastAsia" w:ascii="Times New Roman" w:hAnsi="Times New Roman"/>
                <w:color w:val="auto"/>
                <w:sz w:val="21"/>
                <w:szCs w:val="21"/>
              </w:rPr>
              <w:t>生产车间内一般固废暂存区</w:t>
            </w:r>
            <w:r>
              <w:rPr>
                <w:rFonts w:ascii="Times New Roman" w:hAnsi="Times New Roman"/>
                <w:color w:val="auto"/>
                <w:sz w:val="21"/>
                <w:szCs w:val="21"/>
              </w:rPr>
              <w:t>，之后外售</w:t>
            </w:r>
            <w:r>
              <w:rPr>
                <w:rFonts w:hint="eastAsia" w:ascii="Times New Roman" w:hAnsi="Times New Roman"/>
                <w:color w:val="auto"/>
                <w:sz w:val="21"/>
                <w:szCs w:val="21"/>
              </w:rPr>
              <w:t>综合利用</w:t>
            </w:r>
            <w:r>
              <w:rPr>
                <w:rFonts w:ascii="Times New Roman" w:hAnsi="Times New Roman"/>
                <w:color w:val="auto"/>
                <w:sz w:val="21"/>
                <w:szCs w:val="21"/>
              </w:rPr>
              <w:t>。</w:t>
            </w:r>
          </w:p>
          <w:p w14:paraId="4214E3A3">
            <w:pPr>
              <w:pStyle w:val="24"/>
              <w:adjustRightInd w:val="0"/>
              <w:snapToGrid w:val="0"/>
              <w:spacing w:before="0" w:beforeAutospacing="0" w:after="0" w:afterAutospacing="0" w:line="440" w:lineRule="exact"/>
              <w:ind w:firstLine="420" w:firstLineChars="200"/>
              <w:rPr>
                <w:rFonts w:hint="eastAsia" w:ascii="Times New Roman" w:hAnsi="Times New Roman"/>
                <w:color w:val="auto"/>
                <w:sz w:val="21"/>
                <w:szCs w:val="21"/>
                <w:highlight w:val="none"/>
                <w:lang w:val="en-US" w:eastAsia="zh-CN"/>
              </w:rPr>
            </w:pPr>
            <w:r>
              <w:rPr>
                <w:rFonts w:hint="default" w:ascii="Times New Roman" w:hAnsi="Times New Roman" w:eastAsia="宋体" w:cs="Times New Roman"/>
                <w:color w:val="auto"/>
                <w:sz w:val="21"/>
                <w:szCs w:val="21"/>
              </w:rPr>
              <w:t>⑨</w:t>
            </w:r>
            <w:r>
              <w:rPr>
                <w:rFonts w:hint="eastAsia" w:ascii="Times New Roman" w:hAnsi="Times New Roman" w:cs="Times New Roman"/>
                <w:color w:val="auto"/>
                <w:sz w:val="21"/>
                <w:szCs w:val="21"/>
                <w:lang w:val="en-US" w:eastAsia="zh-CN"/>
              </w:rPr>
              <w:t>沉降灰：</w:t>
            </w:r>
            <w:r>
              <w:rPr>
                <w:rFonts w:hint="eastAsia" w:ascii="Times New Roman" w:hAnsi="Times New Roman" w:cs="Times New Roman"/>
                <w:color w:val="auto"/>
                <w:sz w:val="21"/>
                <w:szCs w:val="21"/>
                <w:highlight w:val="none"/>
                <w:lang w:val="en-US" w:eastAsia="zh-CN"/>
              </w:rPr>
              <w:t>项目无组织排放的粉尘经车间沉降会产生沉降灰，产生量为36.625</w:t>
            </w:r>
            <w:r>
              <w:rPr>
                <w:rFonts w:hint="eastAsia" w:ascii="Times New Roman" w:hAnsi="Times New Roman" w:eastAsia="宋体" w:cs="Times New Roman"/>
                <w:color w:val="auto"/>
                <w:sz w:val="21"/>
                <w:szCs w:val="21"/>
                <w:highlight w:val="none"/>
                <w:lang w:val="en-US" w:eastAsia="zh-CN"/>
              </w:rPr>
              <w:t>t/a</w:t>
            </w:r>
            <w:r>
              <w:rPr>
                <w:rFonts w:hint="eastAsia" w:ascii="Times New Roman" w:hAnsi="Times New Roman" w:cs="Times New Roman"/>
                <w:color w:val="auto"/>
                <w:sz w:val="21"/>
                <w:szCs w:val="21"/>
                <w:highlight w:val="none"/>
                <w:lang w:val="en-US" w:eastAsia="zh-CN"/>
              </w:rPr>
              <w:t>，经人工清扫收集后</w:t>
            </w:r>
            <w:r>
              <w:rPr>
                <w:rFonts w:hint="eastAsia" w:ascii="Times New Roman" w:hAnsi="Times New Roman" w:eastAsia="宋体" w:cs="Times New Roman"/>
                <w:color w:val="auto"/>
                <w:sz w:val="21"/>
                <w:szCs w:val="21"/>
                <w:highlight w:val="none"/>
                <w:lang w:val="en-US" w:eastAsia="zh-CN"/>
              </w:rPr>
              <w:t>存储于一般固废暂存区，</w:t>
            </w:r>
            <w:r>
              <w:rPr>
                <w:rFonts w:hint="eastAsia" w:ascii="Times New Roman" w:hAnsi="Times New Roman"/>
                <w:color w:val="auto"/>
                <w:sz w:val="21"/>
                <w:szCs w:val="21"/>
                <w:highlight w:val="none"/>
                <w:lang w:val="en-US" w:eastAsia="zh-CN"/>
              </w:rPr>
              <w:t>之后外售砖厂进行制砖。</w:t>
            </w:r>
          </w:p>
          <w:p w14:paraId="3A548962">
            <w:pPr>
              <w:pStyle w:val="24"/>
              <w:keepNext w:val="0"/>
              <w:keepLines w:val="0"/>
              <w:pageBreakBefore w:val="0"/>
              <w:widowControl/>
              <w:kinsoku/>
              <w:wordWrap/>
              <w:overflowPunct/>
              <w:topLinePunct w:val="0"/>
              <w:autoSpaceDE/>
              <w:autoSpaceDN/>
              <w:bidi w:val="0"/>
              <w:adjustRightInd w:val="0"/>
              <w:snapToGrid w:val="0"/>
              <w:spacing w:before="0" w:beforeAutospacing="0" w:after="0" w:afterAutospacing="0" w:line="440" w:lineRule="exact"/>
              <w:ind w:firstLine="420" w:firstLineChars="200"/>
              <w:textAlignment w:val="auto"/>
              <w:rPr>
                <w:rFonts w:ascii="Times New Roman" w:hAnsi="Times New Roman"/>
                <w:color w:val="auto"/>
                <w:sz w:val="21"/>
                <w:szCs w:val="21"/>
                <w:highlight w:val="none"/>
              </w:rPr>
            </w:pPr>
            <w:r>
              <w:rPr>
                <w:rFonts w:hint="eastAsia" w:ascii="宋体" w:hAnsi="宋体" w:eastAsia="宋体" w:cs="宋体"/>
                <w:color w:val="auto"/>
                <w:sz w:val="21"/>
                <w:szCs w:val="21"/>
                <w:highlight w:val="none"/>
                <w:lang w:val="en-US" w:eastAsia="zh-CN"/>
              </w:rPr>
              <w:t>⑩</w:t>
            </w:r>
            <w:r>
              <w:rPr>
                <w:rFonts w:hint="eastAsia" w:ascii="Times New Roman" w:hAnsi="Times New Roman" w:cs="Times New Roman"/>
                <w:color w:val="auto"/>
                <w:sz w:val="21"/>
                <w:szCs w:val="21"/>
                <w:highlight w:val="none"/>
                <w:lang w:val="en-US" w:eastAsia="zh-CN"/>
              </w:rPr>
              <w:t>废滤布：</w:t>
            </w:r>
            <w:r>
              <w:rPr>
                <w:rFonts w:hint="eastAsia" w:ascii="Times New Roman" w:hAnsi="Times New Roman"/>
                <w:color w:val="auto"/>
                <w:sz w:val="21"/>
                <w:szCs w:val="21"/>
                <w:highlight w:val="none"/>
              </w:rPr>
              <w:t>拟建项目板框压滤机</w:t>
            </w:r>
            <w:r>
              <w:rPr>
                <w:rFonts w:hint="eastAsia" w:ascii="Times New Roman" w:hAnsi="Times New Roman"/>
                <w:color w:val="auto"/>
                <w:sz w:val="21"/>
                <w:szCs w:val="21"/>
                <w:highlight w:val="none"/>
                <w:lang w:val="en-US" w:eastAsia="zh-CN"/>
              </w:rPr>
              <w:t>滤布定期更换，</w:t>
            </w:r>
            <w:r>
              <w:rPr>
                <w:rFonts w:ascii="Times New Roman" w:hAnsi="Times New Roman"/>
                <w:color w:val="auto"/>
                <w:sz w:val="21"/>
                <w:szCs w:val="21"/>
                <w:highlight w:val="none"/>
              </w:rPr>
              <w:t>本项目废</w:t>
            </w:r>
            <w:r>
              <w:rPr>
                <w:rFonts w:hint="eastAsia" w:ascii="Times New Roman" w:hAnsi="Times New Roman"/>
                <w:color w:val="auto"/>
                <w:sz w:val="21"/>
                <w:szCs w:val="21"/>
                <w:highlight w:val="none"/>
                <w:lang w:val="en-US" w:eastAsia="zh-CN"/>
              </w:rPr>
              <w:t>滤布</w:t>
            </w:r>
            <w:r>
              <w:rPr>
                <w:rFonts w:ascii="Times New Roman" w:hAnsi="Times New Roman"/>
                <w:color w:val="auto"/>
                <w:sz w:val="21"/>
                <w:szCs w:val="21"/>
                <w:highlight w:val="none"/>
              </w:rPr>
              <w:t>产生量为</w:t>
            </w:r>
            <w:r>
              <w:rPr>
                <w:rFonts w:hint="eastAsia" w:ascii="Times New Roman" w:hAnsi="Times New Roman"/>
                <w:color w:val="auto"/>
                <w:sz w:val="21"/>
                <w:szCs w:val="21"/>
                <w:highlight w:val="none"/>
                <w:lang w:val="en-US" w:eastAsia="zh-CN"/>
              </w:rPr>
              <w:t>0.8</w:t>
            </w:r>
            <w:r>
              <w:rPr>
                <w:rFonts w:ascii="Times New Roman" w:hAnsi="Times New Roman"/>
                <w:color w:val="auto"/>
                <w:sz w:val="21"/>
                <w:szCs w:val="21"/>
                <w:highlight w:val="none"/>
              </w:rPr>
              <w:t>t/a，废</w:t>
            </w:r>
            <w:r>
              <w:rPr>
                <w:rFonts w:hint="eastAsia" w:ascii="Times New Roman" w:hAnsi="Times New Roman"/>
                <w:color w:val="auto"/>
                <w:sz w:val="21"/>
                <w:szCs w:val="21"/>
                <w:highlight w:val="none"/>
                <w:lang w:val="en-US" w:eastAsia="zh-CN"/>
              </w:rPr>
              <w:t>滤布</w:t>
            </w:r>
            <w:r>
              <w:rPr>
                <w:rFonts w:ascii="Times New Roman" w:hAnsi="Times New Roman"/>
                <w:color w:val="auto"/>
                <w:sz w:val="21"/>
                <w:szCs w:val="21"/>
                <w:highlight w:val="none"/>
              </w:rPr>
              <w:t>收集后存储于</w:t>
            </w:r>
            <w:r>
              <w:rPr>
                <w:rFonts w:hint="eastAsia" w:ascii="Times New Roman" w:hAnsi="Times New Roman"/>
                <w:color w:val="auto"/>
                <w:sz w:val="21"/>
                <w:szCs w:val="21"/>
                <w:highlight w:val="none"/>
              </w:rPr>
              <w:t>生产车间内一般固废暂存区</w:t>
            </w:r>
            <w:r>
              <w:rPr>
                <w:rFonts w:ascii="Times New Roman" w:hAnsi="Times New Roman"/>
                <w:color w:val="auto"/>
                <w:sz w:val="21"/>
                <w:szCs w:val="21"/>
                <w:highlight w:val="none"/>
              </w:rPr>
              <w:t>，之后外售</w:t>
            </w:r>
            <w:r>
              <w:rPr>
                <w:rFonts w:hint="eastAsia" w:ascii="Times New Roman" w:hAnsi="Times New Roman"/>
                <w:color w:val="auto"/>
                <w:sz w:val="21"/>
                <w:szCs w:val="21"/>
                <w:highlight w:val="none"/>
                <w:lang w:val="en-US" w:eastAsia="zh-CN"/>
              </w:rPr>
              <w:t>综合利用</w:t>
            </w:r>
            <w:r>
              <w:rPr>
                <w:rFonts w:ascii="Times New Roman" w:hAnsi="Times New Roman"/>
                <w:color w:val="auto"/>
                <w:sz w:val="21"/>
                <w:szCs w:val="21"/>
                <w:highlight w:val="none"/>
              </w:rPr>
              <w:t>。</w:t>
            </w:r>
          </w:p>
          <w:p w14:paraId="41CC4DF6">
            <w:pPr>
              <w:pStyle w:val="24"/>
              <w:keepNext w:val="0"/>
              <w:keepLines w:val="0"/>
              <w:pageBreakBefore w:val="0"/>
              <w:widowControl/>
              <w:kinsoku/>
              <w:wordWrap/>
              <w:overflowPunct/>
              <w:topLinePunct w:val="0"/>
              <w:autoSpaceDE/>
              <w:autoSpaceDN/>
              <w:bidi w:val="0"/>
              <w:adjustRightInd w:val="0"/>
              <w:snapToGrid w:val="0"/>
              <w:spacing w:before="0" w:beforeAutospacing="0" w:after="0" w:afterAutospacing="0" w:line="440" w:lineRule="exact"/>
              <w:ind w:firstLine="420" w:firstLineChars="200"/>
              <w:textAlignment w:val="auto"/>
              <w:rPr>
                <w:rFonts w:hint="default" w:ascii="Times New Roman" w:hAnsi="Times New Roman" w:eastAsia="宋体" w:cs="Times New Roman"/>
                <w:color w:val="auto"/>
                <w:sz w:val="21"/>
                <w:szCs w:val="21"/>
                <w:highlight w:val="none"/>
                <w:lang w:val="en-US" w:eastAsia="zh-CN"/>
              </w:rPr>
            </w:pPr>
            <w:r>
              <w:rPr>
                <w:rFonts w:hint="eastAsia" w:ascii="微软雅黑" w:hAnsi="微软雅黑" w:eastAsia="微软雅黑" w:cs="微软雅黑"/>
                <w:color w:val="auto"/>
                <w:sz w:val="21"/>
                <w:szCs w:val="21"/>
                <w:highlight w:val="none"/>
                <w:lang w:val="en-US" w:eastAsia="zh-CN"/>
              </w:rPr>
              <w:t>⑪</w:t>
            </w:r>
            <w:r>
              <w:rPr>
                <w:rFonts w:hint="eastAsia" w:ascii="Times New Roman" w:hAnsi="Times New Roman" w:cs="Times New Roman"/>
                <w:color w:val="auto"/>
                <w:sz w:val="21"/>
                <w:szCs w:val="21"/>
                <w:highlight w:val="none"/>
                <w:lang w:val="en-US" w:eastAsia="zh-CN"/>
              </w:rPr>
              <w:t>泥饼：</w:t>
            </w:r>
            <w:r>
              <w:rPr>
                <w:rFonts w:hint="default" w:ascii="Times New Roman" w:hAnsi="Times New Roman" w:eastAsia="宋体" w:cs="Times New Roman"/>
                <w:color w:val="auto"/>
                <w:sz w:val="21"/>
                <w:szCs w:val="21"/>
                <w:highlight w:val="none"/>
                <w:lang w:val="en-US" w:eastAsia="zh-CN"/>
              </w:rPr>
              <w:t>项目</w:t>
            </w:r>
            <w:r>
              <w:rPr>
                <w:rFonts w:hint="eastAsia" w:ascii="Times New Roman" w:hAnsi="Times New Roman" w:eastAsia="宋体" w:cs="Times New Roman"/>
                <w:color w:val="auto"/>
                <w:sz w:val="21"/>
                <w:szCs w:val="21"/>
                <w:highlight w:val="none"/>
                <w:lang w:val="en-US" w:eastAsia="zh-CN"/>
              </w:rPr>
              <w:t>板框压滤机泥饼</w:t>
            </w:r>
            <w:r>
              <w:rPr>
                <w:rFonts w:hint="default" w:ascii="Times New Roman" w:hAnsi="Times New Roman" w:eastAsia="宋体" w:cs="Times New Roman"/>
                <w:color w:val="auto"/>
                <w:sz w:val="21"/>
                <w:szCs w:val="21"/>
                <w:highlight w:val="none"/>
                <w:lang w:val="en-US" w:eastAsia="zh-CN"/>
              </w:rPr>
              <w:t>产生量</w:t>
            </w:r>
            <w:r>
              <w:rPr>
                <w:rFonts w:hint="eastAsia" w:ascii="Times New Roman" w:hAnsi="Times New Roman" w:cs="Times New Roman"/>
                <w:color w:val="auto"/>
                <w:sz w:val="21"/>
                <w:szCs w:val="21"/>
                <w:highlight w:val="none"/>
                <w:lang w:val="en-US" w:eastAsia="zh-CN"/>
              </w:rPr>
              <w:t>13456.2</w:t>
            </w:r>
            <w:r>
              <w:rPr>
                <w:rFonts w:hint="default" w:ascii="Times New Roman" w:hAnsi="Times New Roman" w:eastAsia="宋体" w:cs="Times New Roman"/>
                <w:color w:val="auto"/>
                <w:sz w:val="21"/>
                <w:szCs w:val="21"/>
                <w:highlight w:val="none"/>
                <w:lang w:val="en-US" w:eastAsia="zh-CN"/>
              </w:rPr>
              <w:t>t/a，</w:t>
            </w:r>
            <w:r>
              <w:rPr>
                <w:rFonts w:hint="eastAsia" w:ascii="Times New Roman" w:hAnsi="Times New Roman" w:eastAsia="宋体" w:cs="Times New Roman"/>
                <w:color w:val="auto"/>
                <w:sz w:val="21"/>
                <w:szCs w:val="21"/>
                <w:highlight w:val="none"/>
                <w:lang w:val="en-US" w:eastAsia="zh-CN"/>
              </w:rPr>
              <w:t>暂存于板框压滤机底部污泥存储料斗内</w:t>
            </w:r>
            <w:r>
              <w:rPr>
                <w:rFonts w:hint="default" w:ascii="Times New Roman" w:hAnsi="Times New Roman" w:eastAsia="宋体" w:cs="Times New Roman"/>
                <w:color w:val="auto"/>
                <w:sz w:val="21"/>
                <w:szCs w:val="21"/>
                <w:highlight w:val="none"/>
                <w:lang w:val="en-US" w:eastAsia="zh-CN"/>
              </w:rPr>
              <w:t>，</w:t>
            </w:r>
            <w:r>
              <w:rPr>
                <w:rFonts w:hint="eastAsia" w:ascii="Times New Roman" w:hAnsi="Times New Roman" w:eastAsia="宋体" w:cs="Times New Roman"/>
                <w:color w:val="auto"/>
                <w:sz w:val="21"/>
                <w:szCs w:val="21"/>
                <w:highlight w:val="none"/>
                <w:lang w:val="en-US" w:eastAsia="zh-CN"/>
              </w:rPr>
              <w:t>之后外售砖厂进行制砖</w:t>
            </w:r>
            <w:r>
              <w:rPr>
                <w:rFonts w:hint="default" w:ascii="Times New Roman" w:hAnsi="Times New Roman" w:eastAsia="宋体" w:cs="Times New Roman"/>
                <w:color w:val="auto"/>
                <w:sz w:val="21"/>
                <w:szCs w:val="21"/>
                <w:highlight w:val="none"/>
                <w:lang w:val="en-US" w:eastAsia="zh-CN"/>
              </w:rPr>
              <w:t>。</w:t>
            </w:r>
          </w:p>
          <w:p w14:paraId="3C12728A">
            <w:pPr>
              <w:pStyle w:val="24"/>
              <w:adjustRightInd w:val="0"/>
              <w:snapToGrid w:val="0"/>
              <w:spacing w:before="0" w:beforeAutospacing="0" w:after="0" w:afterAutospacing="0" w:line="440" w:lineRule="exact"/>
              <w:ind w:firstLine="420" w:firstLineChars="200"/>
              <w:rPr>
                <w:rFonts w:hint="default" w:ascii="Times New Roman" w:hAnsi="Times New Roman" w:cs="Times New Roman"/>
                <w:color w:val="auto"/>
                <w:sz w:val="21"/>
                <w:szCs w:val="21"/>
                <w:highlight w:val="none"/>
              </w:rPr>
            </w:pPr>
            <w:r>
              <w:rPr>
                <w:rFonts w:hint="eastAsia" w:ascii="微软雅黑" w:hAnsi="微软雅黑" w:eastAsia="微软雅黑" w:cs="微软雅黑"/>
                <w:color w:val="auto"/>
                <w:sz w:val="21"/>
                <w:szCs w:val="21"/>
                <w:highlight w:val="none"/>
              </w:rPr>
              <w:t>⑫</w:t>
            </w:r>
            <w:r>
              <w:rPr>
                <w:rFonts w:hint="default" w:ascii="Times New Roman" w:hAnsi="Times New Roman" w:cs="Times New Roman"/>
                <w:color w:val="auto"/>
                <w:sz w:val="21"/>
                <w:szCs w:val="21"/>
                <w:highlight w:val="none"/>
              </w:rPr>
              <w:t>生活垃圾</w:t>
            </w:r>
            <w:r>
              <w:rPr>
                <w:rFonts w:hint="eastAsia" w:ascii="Times New Roman" w:hAnsi="Times New Roman" w:cs="Times New Roman"/>
                <w:color w:val="auto"/>
                <w:sz w:val="21"/>
                <w:szCs w:val="21"/>
                <w:highlight w:val="none"/>
                <w:lang w:eastAsia="zh-CN"/>
              </w:rPr>
              <w:t>：</w:t>
            </w:r>
            <w:r>
              <w:rPr>
                <w:rFonts w:hint="default" w:ascii="Times New Roman" w:hAnsi="Times New Roman" w:cs="Times New Roman"/>
                <w:color w:val="auto"/>
                <w:sz w:val="21"/>
                <w:szCs w:val="21"/>
                <w:highlight w:val="none"/>
              </w:rPr>
              <w:t>项目职工人数为</w:t>
            </w:r>
            <w:r>
              <w:rPr>
                <w:rFonts w:hint="default" w:ascii="Times New Roman" w:hAnsi="Times New Roman" w:cs="Times New Roman"/>
                <w:color w:val="auto"/>
                <w:sz w:val="21"/>
                <w:szCs w:val="21"/>
                <w:highlight w:val="none"/>
                <w:lang w:val="en-US" w:eastAsia="zh-CN"/>
              </w:rPr>
              <w:t>15</w:t>
            </w:r>
            <w:r>
              <w:rPr>
                <w:rFonts w:hint="default" w:ascii="Times New Roman" w:hAnsi="Times New Roman" w:cs="Times New Roman"/>
                <w:color w:val="auto"/>
                <w:sz w:val="21"/>
                <w:szCs w:val="21"/>
                <w:highlight w:val="none"/>
              </w:rPr>
              <w:t>人，项目年工作时间为300天，职工生活垃圾产生量按每人0.5kg/d计算，则拟建项目生活垃圾产生量为</w:t>
            </w:r>
            <w:r>
              <w:rPr>
                <w:rFonts w:hint="default" w:ascii="Times New Roman" w:hAnsi="Times New Roman" w:cs="Times New Roman"/>
                <w:color w:val="auto"/>
                <w:sz w:val="21"/>
                <w:szCs w:val="21"/>
                <w:highlight w:val="none"/>
                <w:lang w:val="en-US" w:eastAsia="zh-CN"/>
              </w:rPr>
              <w:t>2.25</w:t>
            </w:r>
            <w:r>
              <w:rPr>
                <w:rFonts w:hint="default" w:ascii="Times New Roman" w:hAnsi="Times New Roman" w:cs="Times New Roman"/>
                <w:color w:val="auto"/>
                <w:sz w:val="21"/>
                <w:szCs w:val="21"/>
                <w:highlight w:val="none"/>
              </w:rPr>
              <w:t>t/a。厂内设置垃圾桶，集中收集定期运至环卫部门指定地点，由环卫部门统一处理。</w:t>
            </w:r>
          </w:p>
          <w:p w14:paraId="31409D26">
            <w:pPr>
              <w:pStyle w:val="24"/>
              <w:adjustRightInd w:val="0"/>
              <w:snapToGrid w:val="0"/>
              <w:spacing w:before="0" w:beforeAutospacing="0" w:after="0" w:afterAutospacing="0" w:line="440" w:lineRule="exact"/>
              <w:ind w:firstLine="420" w:firstLineChars="200"/>
              <w:rPr>
                <w:rFonts w:ascii="Times New Roman" w:hAnsi="Times New Roman"/>
                <w:color w:val="auto"/>
                <w:sz w:val="21"/>
                <w:szCs w:val="21"/>
                <w:highlight w:val="none"/>
              </w:rPr>
            </w:pPr>
            <w:r>
              <w:rPr>
                <w:rFonts w:hint="eastAsia" w:ascii="微软雅黑" w:hAnsi="微软雅黑" w:eastAsia="微软雅黑" w:cs="微软雅黑"/>
                <w:color w:val="auto"/>
                <w:sz w:val="21"/>
                <w:szCs w:val="21"/>
                <w:highlight w:val="none"/>
              </w:rPr>
              <w:t>⑬</w:t>
            </w:r>
            <w:r>
              <w:rPr>
                <w:rFonts w:hint="default" w:ascii="Times New Roman" w:hAnsi="Times New Roman" w:cs="Times New Roman"/>
                <w:color w:val="auto"/>
                <w:sz w:val="21"/>
                <w:szCs w:val="21"/>
                <w:highlight w:val="none"/>
              </w:rPr>
              <w:t>废润滑油、</w:t>
            </w:r>
            <w:r>
              <w:rPr>
                <w:rFonts w:hint="default" w:ascii="Times New Roman" w:hAnsi="Times New Roman" w:cs="Times New Roman"/>
                <w:color w:val="auto"/>
                <w:sz w:val="21"/>
                <w:szCs w:val="21"/>
                <w:highlight w:val="none"/>
                <w:lang w:val="en-US" w:eastAsia="zh-CN"/>
              </w:rPr>
              <w:t>废液压油、</w:t>
            </w:r>
            <w:r>
              <w:rPr>
                <w:rFonts w:hint="default" w:ascii="Times New Roman" w:hAnsi="Times New Roman" w:cs="Times New Roman"/>
                <w:color w:val="auto"/>
                <w:sz w:val="21"/>
                <w:szCs w:val="21"/>
                <w:highlight w:val="none"/>
              </w:rPr>
              <w:t>废油桶</w:t>
            </w:r>
            <w:r>
              <w:rPr>
                <w:rFonts w:hint="eastAsia" w:ascii="Times New Roman" w:hAnsi="Times New Roman" w:cs="Times New Roman"/>
                <w:color w:val="auto"/>
                <w:sz w:val="21"/>
                <w:szCs w:val="21"/>
                <w:highlight w:val="none"/>
                <w:lang w:eastAsia="zh-CN"/>
              </w:rPr>
              <w:t>：</w:t>
            </w:r>
            <w:r>
              <w:rPr>
                <w:rFonts w:ascii="Times New Roman" w:hAnsi="Times New Roman"/>
                <w:color w:val="auto"/>
                <w:sz w:val="21"/>
                <w:szCs w:val="21"/>
                <w:highlight w:val="none"/>
              </w:rPr>
              <w:t>项目设备维护、保养等产生少量的废润滑油、废液压油及废油桶。根据建设单位提供的资料，废液压油每年产生量约为</w:t>
            </w:r>
            <w:r>
              <w:rPr>
                <w:rFonts w:hint="eastAsia" w:ascii="Times New Roman" w:hAnsi="Times New Roman"/>
                <w:color w:val="auto"/>
                <w:sz w:val="21"/>
                <w:szCs w:val="21"/>
                <w:highlight w:val="none"/>
                <w:lang w:val="en-US" w:eastAsia="zh-CN"/>
              </w:rPr>
              <w:t>0.12</w:t>
            </w:r>
            <w:r>
              <w:rPr>
                <w:rFonts w:ascii="Times New Roman" w:hAnsi="Times New Roman"/>
                <w:color w:val="auto"/>
                <w:sz w:val="21"/>
                <w:szCs w:val="21"/>
                <w:highlight w:val="none"/>
              </w:rPr>
              <w:t>t，废润滑油每年产生量约为</w:t>
            </w:r>
            <w:r>
              <w:rPr>
                <w:rFonts w:hint="eastAsia" w:ascii="Times New Roman" w:hAnsi="Times New Roman"/>
                <w:color w:val="auto"/>
                <w:sz w:val="21"/>
                <w:szCs w:val="21"/>
                <w:highlight w:val="none"/>
                <w:lang w:val="en-US" w:eastAsia="zh-CN"/>
              </w:rPr>
              <w:t>0.08</w:t>
            </w:r>
            <w:r>
              <w:rPr>
                <w:rFonts w:ascii="Times New Roman" w:hAnsi="Times New Roman"/>
                <w:color w:val="auto"/>
                <w:sz w:val="21"/>
                <w:szCs w:val="21"/>
                <w:highlight w:val="none"/>
              </w:rPr>
              <w:t>t，废油桶每年产生量为</w:t>
            </w:r>
            <w:r>
              <w:rPr>
                <w:rFonts w:hint="eastAsia" w:ascii="Times New Roman" w:hAnsi="Times New Roman"/>
                <w:color w:val="auto"/>
                <w:sz w:val="21"/>
                <w:szCs w:val="21"/>
                <w:highlight w:val="none"/>
                <w:lang w:val="en-US" w:eastAsia="zh-CN"/>
              </w:rPr>
              <w:t>4</w:t>
            </w:r>
            <w:r>
              <w:rPr>
                <w:rFonts w:ascii="Times New Roman" w:hAnsi="Times New Roman"/>
                <w:color w:val="auto"/>
                <w:sz w:val="21"/>
                <w:szCs w:val="21"/>
                <w:highlight w:val="none"/>
              </w:rPr>
              <w:t>个，</w:t>
            </w:r>
            <w:r>
              <w:rPr>
                <w:rFonts w:hint="eastAsia" w:ascii="Times New Roman" w:hAnsi="Times New Roman"/>
                <w:color w:val="auto"/>
                <w:sz w:val="21"/>
                <w:szCs w:val="21"/>
                <w:highlight w:val="none"/>
              </w:rPr>
              <w:t>每个包装桶重约</w:t>
            </w:r>
            <w:r>
              <w:rPr>
                <w:rFonts w:hint="eastAsia" w:ascii="Times New Roman" w:hAnsi="Times New Roman"/>
                <w:color w:val="auto"/>
                <w:sz w:val="21"/>
                <w:szCs w:val="21"/>
                <w:highlight w:val="none"/>
                <w:lang w:val="en-US" w:eastAsia="zh-CN"/>
              </w:rPr>
              <w:t>19</w:t>
            </w:r>
            <w:r>
              <w:rPr>
                <w:rFonts w:ascii="Times New Roman" w:hAnsi="Times New Roman"/>
                <w:color w:val="auto"/>
                <w:sz w:val="21"/>
                <w:szCs w:val="21"/>
                <w:highlight w:val="none"/>
              </w:rPr>
              <w:t>kg</w:t>
            </w:r>
            <w:r>
              <w:rPr>
                <w:rFonts w:hint="eastAsia" w:ascii="Times New Roman" w:hAnsi="Times New Roman"/>
                <w:color w:val="auto"/>
                <w:sz w:val="21"/>
                <w:szCs w:val="21"/>
                <w:highlight w:val="none"/>
              </w:rPr>
              <w:t>，则年产废</w:t>
            </w:r>
            <w:r>
              <w:rPr>
                <w:rFonts w:ascii="Times New Roman" w:hAnsi="Times New Roman"/>
                <w:color w:val="auto"/>
                <w:sz w:val="21"/>
                <w:szCs w:val="21"/>
                <w:highlight w:val="none"/>
              </w:rPr>
              <w:t>油桶</w:t>
            </w:r>
            <w:r>
              <w:rPr>
                <w:rFonts w:hint="eastAsia" w:ascii="Times New Roman" w:hAnsi="Times New Roman"/>
                <w:color w:val="auto"/>
                <w:sz w:val="21"/>
                <w:szCs w:val="21"/>
                <w:highlight w:val="none"/>
              </w:rPr>
              <w:t>约</w:t>
            </w:r>
            <w:r>
              <w:rPr>
                <w:rFonts w:hint="eastAsia" w:ascii="Times New Roman" w:hAnsi="Times New Roman"/>
                <w:color w:val="auto"/>
                <w:sz w:val="21"/>
                <w:szCs w:val="21"/>
                <w:highlight w:val="none"/>
                <w:lang w:val="en-US" w:eastAsia="zh-CN"/>
              </w:rPr>
              <w:t>0.076</w:t>
            </w:r>
            <w:r>
              <w:rPr>
                <w:rFonts w:ascii="Times New Roman" w:hAnsi="Times New Roman"/>
                <w:color w:val="auto"/>
                <w:sz w:val="21"/>
                <w:szCs w:val="21"/>
                <w:highlight w:val="none"/>
              </w:rPr>
              <w:t>t</w:t>
            </w:r>
            <w:r>
              <w:rPr>
                <w:rFonts w:hint="eastAsia" w:ascii="Times New Roman" w:hAnsi="Times New Roman"/>
                <w:color w:val="auto"/>
                <w:sz w:val="21"/>
                <w:szCs w:val="21"/>
                <w:highlight w:val="none"/>
              </w:rPr>
              <w:t>。</w:t>
            </w:r>
            <w:r>
              <w:rPr>
                <w:rFonts w:ascii="Times New Roman" w:hAnsi="Times New Roman"/>
                <w:color w:val="auto"/>
                <w:sz w:val="21"/>
                <w:szCs w:val="21"/>
                <w:highlight w:val="none"/>
              </w:rPr>
              <w:t>拟建项目将废液压油、废润滑油、废油桶暂存于危险废物暂存间，定期委托资质单位进行处理。</w:t>
            </w:r>
          </w:p>
          <w:p w14:paraId="6130DBD1">
            <w:pPr>
              <w:spacing w:line="440" w:lineRule="exact"/>
              <w:jc w:val="center"/>
              <w:rPr>
                <w:b/>
                <w:color w:val="auto"/>
                <w:szCs w:val="21"/>
                <w:highlight w:val="none"/>
              </w:rPr>
            </w:pPr>
            <w:r>
              <w:rPr>
                <w:b/>
                <w:color w:val="auto"/>
                <w:szCs w:val="21"/>
                <w:highlight w:val="none"/>
              </w:rPr>
              <w:t>表</w:t>
            </w:r>
            <w:r>
              <w:rPr>
                <w:rFonts w:hint="eastAsia"/>
                <w:b/>
                <w:color w:val="auto"/>
                <w:szCs w:val="21"/>
                <w:highlight w:val="none"/>
                <w:lang w:val="en-US" w:eastAsia="zh-CN"/>
              </w:rPr>
              <w:t>42</w:t>
            </w:r>
            <w:r>
              <w:rPr>
                <w:rFonts w:hint="eastAsia"/>
                <w:b/>
                <w:color w:val="auto"/>
                <w:szCs w:val="21"/>
                <w:highlight w:val="none"/>
              </w:rPr>
              <w:t xml:space="preserve">  拟建项目固体废弃物</w:t>
            </w:r>
            <w:r>
              <w:rPr>
                <w:b/>
                <w:color w:val="auto"/>
                <w:szCs w:val="21"/>
                <w:highlight w:val="none"/>
              </w:rPr>
              <w:t>产生及治理情况一览表</w:t>
            </w:r>
          </w:p>
          <w:tbl>
            <w:tblPr>
              <w:tblStyle w:val="28"/>
              <w:tblW w:w="5055" w:type="pct"/>
              <w:jc w:val="center"/>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0" w:type="dxa"/>
                <w:bottom w:w="0" w:type="dxa"/>
                <w:right w:w="0" w:type="dxa"/>
              </w:tblCellMar>
            </w:tblPr>
            <w:tblGrid>
              <w:gridCol w:w="309"/>
              <w:gridCol w:w="614"/>
              <w:gridCol w:w="810"/>
              <w:gridCol w:w="451"/>
              <w:gridCol w:w="795"/>
              <w:gridCol w:w="525"/>
              <w:gridCol w:w="579"/>
              <w:gridCol w:w="337"/>
              <w:gridCol w:w="473"/>
              <w:gridCol w:w="799"/>
              <w:gridCol w:w="913"/>
              <w:gridCol w:w="756"/>
              <w:gridCol w:w="673"/>
            </w:tblGrid>
            <w:tr w14:paraId="60E80DB6">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192" w:type="pct"/>
                  <w:vAlign w:val="center"/>
                </w:tcPr>
                <w:p w14:paraId="12ACB898">
                  <w:pPr>
                    <w:spacing w:line="0" w:lineRule="atLeast"/>
                    <w:jc w:val="center"/>
                    <w:rPr>
                      <w:color w:val="auto"/>
                      <w:spacing w:val="-20"/>
                      <w:sz w:val="18"/>
                      <w:szCs w:val="18"/>
                      <w:highlight w:val="none"/>
                    </w:rPr>
                  </w:pPr>
                  <w:r>
                    <w:rPr>
                      <w:color w:val="auto"/>
                      <w:spacing w:val="-20"/>
                      <w:sz w:val="18"/>
                      <w:szCs w:val="18"/>
                      <w:highlight w:val="none"/>
                    </w:rPr>
                    <w:t>序号</w:t>
                  </w:r>
                </w:p>
              </w:tc>
              <w:tc>
                <w:tcPr>
                  <w:tcW w:w="382" w:type="pct"/>
                  <w:vAlign w:val="center"/>
                </w:tcPr>
                <w:p w14:paraId="6232EE3E">
                  <w:pPr>
                    <w:spacing w:line="0" w:lineRule="atLeast"/>
                    <w:jc w:val="center"/>
                    <w:rPr>
                      <w:color w:val="auto"/>
                      <w:spacing w:val="-20"/>
                      <w:sz w:val="18"/>
                      <w:szCs w:val="18"/>
                      <w:highlight w:val="none"/>
                    </w:rPr>
                  </w:pPr>
                  <w:r>
                    <w:rPr>
                      <w:color w:val="auto"/>
                      <w:spacing w:val="-20"/>
                      <w:sz w:val="18"/>
                      <w:szCs w:val="18"/>
                      <w:highlight w:val="none"/>
                    </w:rPr>
                    <w:t>固体废物名称</w:t>
                  </w:r>
                </w:p>
              </w:tc>
              <w:tc>
                <w:tcPr>
                  <w:tcW w:w="504" w:type="pct"/>
                  <w:vAlign w:val="center"/>
                </w:tcPr>
                <w:p w14:paraId="2594472B">
                  <w:pPr>
                    <w:spacing w:line="0" w:lineRule="atLeast"/>
                    <w:jc w:val="center"/>
                    <w:rPr>
                      <w:color w:val="auto"/>
                      <w:spacing w:val="-20"/>
                      <w:sz w:val="18"/>
                      <w:szCs w:val="18"/>
                      <w:highlight w:val="none"/>
                    </w:rPr>
                  </w:pPr>
                  <w:r>
                    <w:rPr>
                      <w:color w:val="auto"/>
                      <w:spacing w:val="-20"/>
                      <w:sz w:val="18"/>
                      <w:szCs w:val="18"/>
                      <w:highlight w:val="none"/>
                    </w:rPr>
                    <w:t>产生</w:t>
                  </w:r>
                  <w:r>
                    <w:rPr>
                      <w:rFonts w:hint="eastAsia"/>
                      <w:color w:val="auto"/>
                      <w:spacing w:val="-20"/>
                      <w:sz w:val="18"/>
                      <w:szCs w:val="18"/>
                      <w:highlight w:val="none"/>
                    </w:rPr>
                    <w:t>环节</w:t>
                  </w:r>
                </w:p>
              </w:tc>
              <w:tc>
                <w:tcPr>
                  <w:tcW w:w="280" w:type="pct"/>
                  <w:vAlign w:val="center"/>
                </w:tcPr>
                <w:p w14:paraId="47B5017F">
                  <w:pPr>
                    <w:spacing w:line="0" w:lineRule="atLeast"/>
                    <w:jc w:val="center"/>
                    <w:rPr>
                      <w:color w:val="auto"/>
                      <w:spacing w:val="-20"/>
                      <w:sz w:val="18"/>
                      <w:szCs w:val="18"/>
                      <w:highlight w:val="none"/>
                    </w:rPr>
                  </w:pPr>
                  <w:r>
                    <w:rPr>
                      <w:color w:val="auto"/>
                      <w:spacing w:val="-20"/>
                      <w:sz w:val="18"/>
                      <w:szCs w:val="18"/>
                      <w:highlight w:val="none"/>
                    </w:rPr>
                    <w:t>废物</w:t>
                  </w:r>
                </w:p>
                <w:p w14:paraId="3F47748A">
                  <w:pPr>
                    <w:spacing w:line="0" w:lineRule="atLeast"/>
                    <w:jc w:val="center"/>
                    <w:rPr>
                      <w:color w:val="auto"/>
                      <w:spacing w:val="-20"/>
                      <w:sz w:val="18"/>
                      <w:szCs w:val="18"/>
                      <w:highlight w:val="none"/>
                    </w:rPr>
                  </w:pPr>
                  <w:r>
                    <w:rPr>
                      <w:color w:val="auto"/>
                      <w:spacing w:val="-20"/>
                      <w:sz w:val="18"/>
                      <w:szCs w:val="18"/>
                      <w:highlight w:val="none"/>
                    </w:rPr>
                    <w:t>类别</w:t>
                  </w:r>
                </w:p>
              </w:tc>
              <w:tc>
                <w:tcPr>
                  <w:tcW w:w="494" w:type="pct"/>
                  <w:vAlign w:val="center"/>
                </w:tcPr>
                <w:p w14:paraId="4D407882">
                  <w:pPr>
                    <w:spacing w:line="0" w:lineRule="atLeast"/>
                    <w:jc w:val="center"/>
                    <w:rPr>
                      <w:color w:val="auto"/>
                      <w:spacing w:val="-20"/>
                      <w:sz w:val="18"/>
                      <w:szCs w:val="18"/>
                      <w:highlight w:val="none"/>
                    </w:rPr>
                  </w:pPr>
                  <w:r>
                    <w:rPr>
                      <w:rFonts w:hint="eastAsia"/>
                      <w:color w:val="auto"/>
                      <w:spacing w:val="-20"/>
                      <w:sz w:val="18"/>
                      <w:szCs w:val="18"/>
                      <w:highlight w:val="none"/>
                    </w:rPr>
                    <w:t>废物代码</w:t>
                  </w:r>
                </w:p>
              </w:tc>
              <w:tc>
                <w:tcPr>
                  <w:tcW w:w="326" w:type="pct"/>
                  <w:vAlign w:val="center"/>
                </w:tcPr>
                <w:p w14:paraId="493C0021">
                  <w:pPr>
                    <w:spacing w:line="0" w:lineRule="atLeast"/>
                    <w:jc w:val="center"/>
                    <w:rPr>
                      <w:color w:val="auto"/>
                      <w:spacing w:val="-20"/>
                      <w:sz w:val="18"/>
                      <w:szCs w:val="18"/>
                      <w:highlight w:val="none"/>
                    </w:rPr>
                  </w:pPr>
                  <w:r>
                    <w:rPr>
                      <w:color w:val="auto"/>
                      <w:spacing w:val="-20"/>
                      <w:sz w:val="18"/>
                      <w:szCs w:val="18"/>
                      <w:highlight w:val="none"/>
                    </w:rPr>
                    <w:t>产生量</w:t>
                  </w:r>
                  <w:r>
                    <w:rPr>
                      <w:rFonts w:hint="eastAsia"/>
                      <w:color w:val="auto"/>
                      <w:spacing w:val="-20"/>
                      <w:sz w:val="18"/>
                      <w:szCs w:val="18"/>
                      <w:highlight w:val="none"/>
                    </w:rPr>
                    <w:t>（</w:t>
                  </w:r>
                  <w:r>
                    <w:rPr>
                      <w:color w:val="auto"/>
                      <w:kern w:val="0"/>
                      <w:sz w:val="18"/>
                      <w:szCs w:val="18"/>
                      <w:highlight w:val="none"/>
                    </w:rPr>
                    <w:t>t/a</w:t>
                  </w:r>
                  <w:r>
                    <w:rPr>
                      <w:rFonts w:hint="eastAsia"/>
                      <w:color w:val="auto"/>
                      <w:spacing w:val="-20"/>
                      <w:sz w:val="18"/>
                      <w:szCs w:val="18"/>
                      <w:highlight w:val="none"/>
                    </w:rPr>
                    <w:t>）</w:t>
                  </w:r>
                </w:p>
              </w:tc>
              <w:tc>
                <w:tcPr>
                  <w:tcW w:w="360" w:type="pct"/>
                  <w:vAlign w:val="center"/>
                </w:tcPr>
                <w:p w14:paraId="3ED15544">
                  <w:pPr>
                    <w:spacing w:line="0" w:lineRule="atLeast"/>
                    <w:jc w:val="center"/>
                    <w:rPr>
                      <w:color w:val="auto"/>
                      <w:spacing w:val="-20"/>
                      <w:sz w:val="18"/>
                      <w:szCs w:val="18"/>
                      <w:highlight w:val="none"/>
                    </w:rPr>
                  </w:pPr>
                  <w:r>
                    <w:rPr>
                      <w:color w:val="auto"/>
                      <w:spacing w:val="-20"/>
                      <w:sz w:val="18"/>
                      <w:szCs w:val="18"/>
                      <w:highlight w:val="none"/>
                    </w:rPr>
                    <w:t>主要</w:t>
                  </w:r>
                  <w:r>
                    <w:rPr>
                      <w:rFonts w:hint="eastAsia"/>
                      <w:color w:val="auto"/>
                      <w:spacing w:val="-20"/>
                      <w:sz w:val="18"/>
                      <w:szCs w:val="18"/>
                      <w:highlight w:val="none"/>
                    </w:rPr>
                    <w:t>有毒有害物质名称</w:t>
                  </w:r>
                </w:p>
              </w:tc>
              <w:tc>
                <w:tcPr>
                  <w:tcW w:w="209" w:type="pct"/>
                  <w:vAlign w:val="center"/>
                </w:tcPr>
                <w:p w14:paraId="4AC627A0">
                  <w:pPr>
                    <w:spacing w:line="0" w:lineRule="atLeast"/>
                    <w:jc w:val="center"/>
                    <w:rPr>
                      <w:color w:val="auto"/>
                      <w:spacing w:val="-20"/>
                      <w:sz w:val="18"/>
                      <w:szCs w:val="18"/>
                      <w:highlight w:val="none"/>
                    </w:rPr>
                  </w:pPr>
                  <w:r>
                    <w:rPr>
                      <w:rFonts w:hint="eastAsia"/>
                      <w:color w:val="auto"/>
                      <w:spacing w:val="-20"/>
                      <w:sz w:val="18"/>
                      <w:szCs w:val="18"/>
                      <w:highlight w:val="none"/>
                    </w:rPr>
                    <w:t>物理性状</w:t>
                  </w:r>
                </w:p>
              </w:tc>
              <w:tc>
                <w:tcPr>
                  <w:tcW w:w="294" w:type="pct"/>
                  <w:vAlign w:val="center"/>
                </w:tcPr>
                <w:p w14:paraId="156D36D2">
                  <w:pPr>
                    <w:spacing w:line="0" w:lineRule="atLeast"/>
                    <w:jc w:val="center"/>
                    <w:rPr>
                      <w:color w:val="auto"/>
                      <w:spacing w:val="-20"/>
                      <w:sz w:val="18"/>
                      <w:szCs w:val="18"/>
                      <w:highlight w:val="none"/>
                    </w:rPr>
                  </w:pPr>
                  <w:r>
                    <w:rPr>
                      <w:rFonts w:hint="eastAsia"/>
                      <w:color w:val="auto"/>
                      <w:spacing w:val="-20"/>
                      <w:sz w:val="18"/>
                      <w:szCs w:val="18"/>
                      <w:highlight w:val="none"/>
                    </w:rPr>
                    <w:t>环境危险特性</w:t>
                  </w:r>
                </w:p>
              </w:tc>
              <w:tc>
                <w:tcPr>
                  <w:tcW w:w="497" w:type="pct"/>
                  <w:vAlign w:val="center"/>
                </w:tcPr>
                <w:p w14:paraId="019D847E">
                  <w:pPr>
                    <w:spacing w:line="0" w:lineRule="atLeast"/>
                    <w:jc w:val="center"/>
                    <w:rPr>
                      <w:color w:val="auto"/>
                      <w:spacing w:val="-20"/>
                      <w:sz w:val="18"/>
                      <w:szCs w:val="18"/>
                      <w:highlight w:val="none"/>
                    </w:rPr>
                  </w:pPr>
                  <w:r>
                    <w:rPr>
                      <w:rFonts w:hint="eastAsia"/>
                      <w:color w:val="auto"/>
                      <w:spacing w:val="-20"/>
                      <w:sz w:val="18"/>
                      <w:szCs w:val="18"/>
                      <w:highlight w:val="none"/>
                    </w:rPr>
                    <w:t>贮存方式</w:t>
                  </w:r>
                </w:p>
              </w:tc>
              <w:tc>
                <w:tcPr>
                  <w:tcW w:w="568" w:type="pct"/>
                  <w:vAlign w:val="center"/>
                </w:tcPr>
                <w:p w14:paraId="0F1B6B76">
                  <w:pPr>
                    <w:spacing w:line="0" w:lineRule="atLeast"/>
                    <w:jc w:val="center"/>
                    <w:rPr>
                      <w:color w:val="auto"/>
                      <w:spacing w:val="-20"/>
                      <w:sz w:val="18"/>
                      <w:szCs w:val="18"/>
                      <w:highlight w:val="none"/>
                    </w:rPr>
                  </w:pPr>
                  <w:r>
                    <w:rPr>
                      <w:rFonts w:hint="eastAsia"/>
                      <w:color w:val="auto"/>
                      <w:spacing w:val="-20"/>
                      <w:sz w:val="18"/>
                      <w:szCs w:val="18"/>
                      <w:highlight w:val="none"/>
                    </w:rPr>
                    <w:t>处置利用方式和去向</w:t>
                  </w:r>
                </w:p>
              </w:tc>
              <w:tc>
                <w:tcPr>
                  <w:tcW w:w="470" w:type="pct"/>
                  <w:vAlign w:val="center"/>
                </w:tcPr>
                <w:p w14:paraId="559C0ACC">
                  <w:pPr>
                    <w:spacing w:line="0" w:lineRule="atLeast"/>
                    <w:jc w:val="center"/>
                    <w:rPr>
                      <w:color w:val="auto"/>
                      <w:spacing w:val="-20"/>
                      <w:sz w:val="18"/>
                      <w:szCs w:val="18"/>
                      <w:highlight w:val="none"/>
                    </w:rPr>
                  </w:pPr>
                  <w:r>
                    <w:rPr>
                      <w:rFonts w:hint="eastAsia"/>
                      <w:color w:val="auto"/>
                      <w:spacing w:val="-20"/>
                      <w:sz w:val="18"/>
                      <w:szCs w:val="18"/>
                      <w:highlight w:val="none"/>
                    </w:rPr>
                    <w:t>利用或处置量（</w:t>
                  </w:r>
                  <w:r>
                    <w:rPr>
                      <w:color w:val="auto"/>
                      <w:kern w:val="0"/>
                      <w:sz w:val="18"/>
                      <w:szCs w:val="18"/>
                      <w:highlight w:val="none"/>
                    </w:rPr>
                    <w:t>t/a</w:t>
                  </w:r>
                  <w:r>
                    <w:rPr>
                      <w:rFonts w:hint="eastAsia"/>
                      <w:color w:val="auto"/>
                      <w:spacing w:val="-20"/>
                      <w:sz w:val="18"/>
                      <w:szCs w:val="18"/>
                      <w:highlight w:val="none"/>
                    </w:rPr>
                    <w:t>）</w:t>
                  </w:r>
                </w:p>
              </w:tc>
              <w:tc>
                <w:tcPr>
                  <w:tcW w:w="418" w:type="pct"/>
                  <w:vAlign w:val="center"/>
                </w:tcPr>
                <w:p w14:paraId="7B26A513">
                  <w:pPr>
                    <w:spacing w:line="0" w:lineRule="atLeast"/>
                    <w:jc w:val="center"/>
                    <w:rPr>
                      <w:color w:val="auto"/>
                      <w:spacing w:val="-20"/>
                      <w:sz w:val="18"/>
                      <w:szCs w:val="18"/>
                      <w:highlight w:val="none"/>
                    </w:rPr>
                  </w:pPr>
                  <w:r>
                    <w:rPr>
                      <w:rFonts w:hint="eastAsia"/>
                      <w:color w:val="auto"/>
                      <w:spacing w:val="-20"/>
                      <w:sz w:val="18"/>
                      <w:szCs w:val="18"/>
                      <w:highlight w:val="none"/>
                    </w:rPr>
                    <w:t>环境管理要求</w:t>
                  </w:r>
                </w:p>
              </w:tc>
            </w:tr>
            <w:tr w14:paraId="6ACB2BC7">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192" w:type="pct"/>
                  <w:vAlign w:val="center"/>
                </w:tcPr>
                <w:p w14:paraId="3FDA1DF4">
                  <w:pPr>
                    <w:spacing w:line="0" w:lineRule="atLeast"/>
                    <w:jc w:val="center"/>
                    <w:rPr>
                      <w:rFonts w:ascii="Times New Roman" w:hAnsi="Times New Roman" w:eastAsia="宋体" w:cs="Times New Roman"/>
                      <w:color w:val="auto"/>
                      <w:spacing w:val="-20"/>
                      <w:kern w:val="2"/>
                      <w:sz w:val="18"/>
                      <w:szCs w:val="18"/>
                      <w:highlight w:val="none"/>
                      <w:lang w:val="en-US" w:eastAsia="zh-CN" w:bidi="ar-SA"/>
                    </w:rPr>
                  </w:pPr>
                  <w:r>
                    <w:rPr>
                      <w:color w:val="auto"/>
                      <w:spacing w:val="-20"/>
                      <w:sz w:val="18"/>
                      <w:szCs w:val="18"/>
                      <w:highlight w:val="none"/>
                    </w:rPr>
                    <w:t>1</w:t>
                  </w:r>
                </w:p>
              </w:tc>
              <w:tc>
                <w:tcPr>
                  <w:tcW w:w="382" w:type="pct"/>
                  <w:tcBorders>
                    <w:bottom w:val="single" w:color="auto" w:sz="4" w:space="0"/>
                  </w:tcBorders>
                  <w:vAlign w:val="center"/>
                </w:tcPr>
                <w:p w14:paraId="52881064">
                  <w:pPr>
                    <w:jc w:val="center"/>
                    <w:rPr>
                      <w:rFonts w:hint="eastAsia" w:ascii="Times New Roman" w:hAnsi="Times New Roman" w:eastAsia="宋体" w:cs="Times New Roman"/>
                      <w:color w:val="auto"/>
                      <w:spacing w:val="-20"/>
                      <w:sz w:val="18"/>
                      <w:szCs w:val="18"/>
                      <w:highlight w:val="none"/>
                      <w:lang w:val="en-US" w:eastAsia="zh-CN"/>
                    </w:rPr>
                  </w:pPr>
                  <w:r>
                    <w:rPr>
                      <w:rFonts w:hint="eastAsia" w:cs="Times New Roman"/>
                      <w:color w:val="auto"/>
                      <w:spacing w:val="-20"/>
                      <w:sz w:val="18"/>
                      <w:szCs w:val="18"/>
                      <w:highlight w:val="none"/>
                      <w:lang w:val="en-US" w:eastAsia="zh-CN"/>
                    </w:rPr>
                    <w:t>污泥</w:t>
                  </w:r>
                </w:p>
              </w:tc>
              <w:tc>
                <w:tcPr>
                  <w:tcW w:w="504" w:type="pct"/>
                  <w:tcBorders>
                    <w:top w:val="single" w:color="auto" w:sz="4" w:space="0"/>
                    <w:bottom w:val="single" w:color="auto" w:sz="4" w:space="0"/>
                  </w:tcBorders>
                  <w:vAlign w:val="center"/>
                </w:tcPr>
                <w:p w14:paraId="4C35882F">
                  <w:pPr>
                    <w:spacing w:line="0" w:lineRule="atLeast"/>
                    <w:jc w:val="center"/>
                    <w:rPr>
                      <w:rFonts w:hint="eastAsia" w:ascii="Times New Roman" w:hAnsi="Times New Roman" w:eastAsia="宋体" w:cs="Times New Roman"/>
                      <w:color w:val="auto"/>
                      <w:spacing w:val="-10"/>
                      <w:sz w:val="18"/>
                      <w:szCs w:val="18"/>
                      <w:highlight w:val="none"/>
                      <w:lang w:val="en-US" w:eastAsia="zh-CN"/>
                    </w:rPr>
                  </w:pPr>
                  <w:r>
                    <w:rPr>
                      <w:rFonts w:hint="eastAsia" w:ascii="Times New Roman" w:hAnsi="Times New Roman" w:eastAsia="宋体" w:cs="Times New Roman"/>
                      <w:color w:val="auto"/>
                      <w:spacing w:val="-10"/>
                      <w:sz w:val="18"/>
                      <w:szCs w:val="18"/>
                      <w:highlight w:val="none"/>
                      <w:lang w:val="en-US" w:eastAsia="zh-CN"/>
                    </w:rPr>
                    <w:t>洗车平台沉淀池、污水沉淀池</w:t>
                  </w:r>
                </w:p>
              </w:tc>
              <w:tc>
                <w:tcPr>
                  <w:tcW w:w="280" w:type="pct"/>
                  <w:vMerge w:val="restart"/>
                  <w:tcBorders>
                    <w:top w:val="single" w:color="auto" w:sz="4" w:space="0"/>
                  </w:tcBorders>
                  <w:vAlign w:val="center"/>
                </w:tcPr>
                <w:p w14:paraId="0F3A23C7">
                  <w:pPr>
                    <w:spacing w:line="0" w:lineRule="atLeast"/>
                    <w:jc w:val="center"/>
                    <w:rPr>
                      <w:color w:val="auto"/>
                      <w:spacing w:val="-20"/>
                      <w:sz w:val="18"/>
                      <w:szCs w:val="18"/>
                      <w:highlight w:val="none"/>
                    </w:rPr>
                  </w:pPr>
                  <w:r>
                    <w:rPr>
                      <w:color w:val="auto"/>
                      <w:spacing w:val="-20"/>
                      <w:sz w:val="18"/>
                      <w:szCs w:val="18"/>
                      <w:highlight w:val="none"/>
                    </w:rPr>
                    <w:t>一般</w:t>
                  </w:r>
                </w:p>
                <w:p w14:paraId="1036A044">
                  <w:pPr>
                    <w:spacing w:line="0" w:lineRule="atLeast"/>
                    <w:jc w:val="center"/>
                    <w:rPr>
                      <w:color w:val="auto"/>
                      <w:spacing w:val="-20"/>
                      <w:sz w:val="18"/>
                      <w:szCs w:val="18"/>
                      <w:highlight w:val="none"/>
                    </w:rPr>
                  </w:pPr>
                  <w:r>
                    <w:rPr>
                      <w:color w:val="auto"/>
                      <w:spacing w:val="-20"/>
                      <w:sz w:val="18"/>
                      <w:szCs w:val="18"/>
                      <w:highlight w:val="none"/>
                    </w:rPr>
                    <w:t>固废</w:t>
                  </w:r>
                </w:p>
              </w:tc>
              <w:tc>
                <w:tcPr>
                  <w:tcW w:w="494" w:type="pct"/>
                  <w:tcBorders>
                    <w:top w:val="single" w:color="auto" w:sz="4" w:space="0"/>
                  </w:tcBorders>
                  <w:shd w:val="clear" w:color="auto" w:fill="auto"/>
                  <w:vAlign w:val="center"/>
                </w:tcPr>
                <w:p w14:paraId="525683EB">
                  <w:pPr>
                    <w:spacing w:line="0" w:lineRule="atLeast"/>
                    <w:jc w:val="center"/>
                    <w:rPr>
                      <w:rFonts w:hint="eastAsia" w:ascii="Times New Roman" w:hAnsi="Times New Roman" w:eastAsia="宋体" w:cs="Times New Roman"/>
                      <w:color w:val="auto"/>
                      <w:spacing w:val="-20"/>
                      <w:sz w:val="18"/>
                      <w:szCs w:val="18"/>
                      <w:highlight w:val="none"/>
                      <w:lang w:val="en-US" w:eastAsia="zh-CN"/>
                    </w:rPr>
                  </w:pPr>
                  <w:r>
                    <w:rPr>
                      <w:rFonts w:hint="eastAsia" w:ascii="Times New Roman" w:hAnsi="Times New Roman" w:eastAsia="宋体" w:cs="Times New Roman"/>
                      <w:color w:val="auto"/>
                      <w:spacing w:val="-20"/>
                      <w:sz w:val="18"/>
                      <w:szCs w:val="18"/>
                      <w:highlight w:val="none"/>
                      <w:lang w:val="en-US" w:eastAsia="zh-CN"/>
                    </w:rPr>
                    <w:t>900-099-S07</w:t>
                  </w:r>
                </w:p>
              </w:tc>
              <w:tc>
                <w:tcPr>
                  <w:tcW w:w="326" w:type="pct"/>
                  <w:tcBorders>
                    <w:top w:val="single" w:color="auto" w:sz="4" w:space="0"/>
                  </w:tcBorders>
                  <w:shd w:val="clear" w:color="auto" w:fill="auto"/>
                  <w:vAlign w:val="center"/>
                </w:tcPr>
                <w:p w14:paraId="4F34ED71">
                  <w:pPr>
                    <w:spacing w:line="0" w:lineRule="atLeast"/>
                    <w:jc w:val="center"/>
                    <w:rPr>
                      <w:rFonts w:hint="default" w:ascii="Times New Roman" w:hAnsi="Times New Roman" w:eastAsia="宋体" w:cs="Times New Roman"/>
                      <w:color w:val="auto"/>
                      <w:spacing w:val="-20"/>
                      <w:kern w:val="2"/>
                      <w:sz w:val="18"/>
                      <w:szCs w:val="18"/>
                      <w:highlight w:val="none"/>
                      <w:lang w:val="en-US" w:eastAsia="zh-CN" w:bidi="ar-SA"/>
                    </w:rPr>
                  </w:pPr>
                  <w:r>
                    <w:rPr>
                      <w:rFonts w:hint="eastAsia"/>
                      <w:color w:val="auto"/>
                      <w:spacing w:val="-20"/>
                      <w:sz w:val="18"/>
                      <w:szCs w:val="18"/>
                      <w:highlight w:val="none"/>
                      <w:lang w:val="en-US" w:eastAsia="zh-CN"/>
                    </w:rPr>
                    <w:t>450</w:t>
                  </w:r>
                </w:p>
              </w:tc>
              <w:tc>
                <w:tcPr>
                  <w:tcW w:w="360" w:type="pct"/>
                  <w:tcBorders>
                    <w:top w:val="single" w:color="auto" w:sz="4" w:space="0"/>
                  </w:tcBorders>
                  <w:shd w:val="clear" w:color="auto" w:fill="auto"/>
                  <w:vAlign w:val="center"/>
                </w:tcPr>
                <w:p w14:paraId="076EE73E">
                  <w:pPr>
                    <w:spacing w:line="0" w:lineRule="atLeast"/>
                    <w:jc w:val="center"/>
                    <w:rPr>
                      <w:rFonts w:ascii="Times New Roman" w:hAnsi="Times New Roman" w:eastAsia="宋体" w:cs="Times New Roman"/>
                      <w:color w:val="auto"/>
                      <w:spacing w:val="-20"/>
                      <w:kern w:val="2"/>
                      <w:sz w:val="18"/>
                      <w:szCs w:val="18"/>
                      <w:highlight w:val="none"/>
                      <w:lang w:val="en-US" w:eastAsia="zh-CN" w:bidi="ar-SA"/>
                    </w:rPr>
                  </w:pPr>
                  <w:r>
                    <w:rPr>
                      <w:rFonts w:hint="eastAsia"/>
                      <w:color w:val="auto"/>
                      <w:spacing w:val="-20"/>
                      <w:sz w:val="18"/>
                      <w:szCs w:val="18"/>
                      <w:highlight w:val="none"/>
                    </w:rPr>
                    <w:t>/</w:t>
                  </w:r>
                </w:p>
              </w:tc>
              <w:tc>
                <w:tcPr>
                  <w:tcW w:w="209" w:type="pct"/>
                  <w:tcBorders>
                    <w:top w:val="single" w:color="auto" w:sz="4" w:space="0"/>
                  </w:tcBorders>
                  <w:vAlign w:val="center"/>
                </w:tcPr>
                <w:p w14:paraId="0E9A299C">
                  <w:pPr>
                    <w:spacing w:line="0" w:lineRule="atLeast"/>
                    <w:jc w:val="center"/>
                    <w:rPr>
                      <w:color w:val="auto"/>
                      <w:spacing w:val="-20"/>
                      <w:sz w:val="18"/>
                      <w:szCs w:val="18"/>
                      <w:highlight w:val="none"/>
                    </w:rPr>
                  </w:pPr>
                  <w:r>
                    <w:rPr>
                      <w:rFonts w:hint="eastAsia"/>
                      <w:color w:val="auto"/>
                      <w:spacing w:val="-20"/>
                      <w:sz w:val="18"/>
                      <w:szCs w:val="18"/>
                      <w:highlight w:val="none"/>
                    </w:rPr>
                    <w:t>固态</w:t>
                  </w:r>
                </w:p>
              </w:tc>
              <w:tc>
                <w:tcPr>
                  <w:tcW w:w="294" w:type="pct"/>
                  <w:tcBorders>
                    <w:top w:val="single" w:color="auto" w:sz="4" w:space="0"/>
                    <w:bottom w:val="single" w:color="auto" w:sz="4" w:space="0"/>
                  </w:tcBorders>
                  <w:vAlign w:val="center"/>
                </w:tcPr>
                <w:p w14:paraId="3DF04353">
                  <w:pPr>
                    <w:spacing w:line="0" w:lineRule="atLeast"/>
                    <w:jc w:val="center"/>
                    <w:rPr>
                      <w:color w:val="auto"/>
                      <w:spacing w:val="-20"/>
                      <w:sz w:val="18"/>
                      <w:szCs w:val="18"/>
                      <w:highlight w:val="none"/>
                    </w:rPr>
                  </w:pPr>
                  <w:r>
                    <w:rPr>
                      <w:rFonts w:hint="eastAsia"/>
                      <w:color w:val="auto"/>
                      <w:spacing w:val="-20"/>
                      <w:sz w:val="18"/>
                      <w:szCs w:val="18"/>
                      <w:highlight w:val="none"/>
                    </w:rPr>
                    <w:t>/</w:t>
                  </w:r>
                </w:p>
              </w:tc>
              <w:tc>
                <w:tcPr>
                  <w:tcW w:w="497" w:type="pct"/>
                  <w:vMerge w:val="restart"/>
                  <w:tcBorders>
                    <w:top w:val="single" w:color="auto" w:sz="4" w:space="0"/>
                    <w:right w:val="single" w:color="auto" w:sz="4" w:space="0"/>
                  </w:tcBorders>
                  <w:vAlign w:val="center"/>
                </w:tcPr>
                <w:p w14:paraId="00101865">
                  <w:pPr>
                    <w:spacing w:line="0" w:lineRule="atLeast"/>
                    <w:jc w:val="center"/>
                    <w:rPr>
                      <w:color w:val="auto"/>
                      <w:spacing w:val="-20"/>
                      <w:sz w:val="18"/>
                      <w:szCs w:val="18"/>
                      <w:highlight w:val="none"/>
                    </w:rPr>
                  </w:pPr>
                  <w:r>
                    <w:rPr>
                      <w:rFonts w:hint="eastAsia"/>
                      <w:color w:val="auto"/>
                      <w:spacing w:val="-20"/>
                      <w:sz w:val="18"/>
                      <w:szCs w:val="18"/>
                      <w:highlight w:val="none"/>
                    </w:rPr>
                    <w:t>一般固废暂存区</w:t>
                  </w:r>
                </w:p>
              </w:tc>
              <w:tc>
                <w:tcPr>
                  <w:tcW w:w="568" w:type="pct"/>
                  <w:tcBorders>
                    <w:top w:val="single" w:color="auto" w:sz="4" w:space="0"/>
                    <w:left w:val="single" w:color="auto" w:sz="4" w:space="0"/>
                    <w:bottom w:val="single" w:color="auto" w:sz="4" w:space="0"/>
                  </w:tcBorders>
                  <w:vAlign w:val="center"/>
                </w:tcPr>
                <w:p w14:paraId="0C7041D0">
                  <w:pPr>
                    <w:spacing w:line="0" w:lineRule="atLeast"/>
                    <w:jc w:val="center"/>
                    <w:rPr>
                      <w:rFonts w:hint="default" w:ascii="Times New Roman" w:hAnsi="Times New Roman" w:eastAsia="宋体" w:cs="Times New Roman"/>
                      <w:color w:val="auto"/>
                      <w:spacing w:val="-20"/>
                      <w:sz w:val="18"/>
                      <w:szCs w:val="18"/>
                      <w:highlight w:val="none"/>
                      <w:lang w:val="en-US" w:eastAsia="zh-CN"/>
                    </w:rPr>
                  </w:pPr>
                  <w:r>
                    <w:rPr>
                      <w:rFonts w:hint="eastAsia" w:ascii="Times New Roman" w:hAnsi="Times New Roman" w:eastAsia="宋体" w:cs="Times New Roman"/>
                      <w:color w:val="auto"/>
                      <w:spacing w:val="-20"/>
                      <w:sz w:val="18"/>
                      <w:szCs w:val="18"/>
                      <w:highlight w:val="none"/>
                      <w:lang w:val="en-US" w:eastAsia="zh-CN"/>
                    </w:rPr>
                    <w:t>外售砖厂进行制砖</w:t>
                  </w:r>
                </w:p>
              </w:tc>
              <w:tc>
                <w:tcPr>
                  <w:tcW w:w="470" w:type="pct"/>
                  <w:tcBorders>
                    <w:top w:val="single" w:color="auto" w:sz="4" w:space="0"/>
                  </w:tcBorders>
                  <w:vAlign w:val="center"/>
                </w:tcPr>
                <w:p w14:paraId="4EF4E499">
                  <w:pPr>
                    <w:spacing w:line="0" w:lineRule="atLeast"/>
                    <w:jc w:val="center"/>
                    <w:rPr>
                      <w:rFonts w:hint="default"/>
                      <w:color w:val="auto"/>
                      <w:spacing w:val="-20"/>
                      <w:sz w:val="18"/>
                      <w:szCs w:val="18"/>
                      <w:highlight w:val="none"/>
                      <w:lang w:val="en-US" w:eastAsia="zh-CN"/>
                    </w:rPr>
                  </w:pPr>
                  <w:r>
                    <w:rPr>
                      <w:rFonts w:hint="eastAsia"/>
                      <w:color w:val="auto"/>
                      <w:spacing w:val="-20"/>
                      <w:sz w:val="18"/>
                      <w:szCs w:val="18"/>
                      <w:highlight w:val="none"/>
                      <w:lang w:val="en-US" w:eastAsia="zh-CN"/>
                    </w:rPr>
                    <w:t>450</w:t>
                  </w:r>
                </w:p>
              </w:tc>
              <w:tc>
                <w:tcPr>
                  <w:tcW w:w="418" w:type="pct"/>
                  <w:vMerge w:val="restart"/>
                  <w:tcBorders>
                    <w:top w:val="single" w:color="auto" w:sz="4" w:space="0"/>
                  </w:tcBorders>
                  <w:vAlign w:val="center"/>
                </w:tcPr>
                <w:p w14:paraId="5A3D988E">
                  <w:pPr>
                    <w:spacing w:line="0" w:lineRule="atLeast"/>
                    <w:jc w:val="center"/>
                    <w:rPr>
                      <w:color w:val="auto"/>
                      <w:spacing w:val="-20"/>
                      <w:sz w:val="18"/>
                      <w:szCs w:val="18"/>
                      <w:highlight w:val="none"/>
                    </w:rPr>
                  </w:pPr>
                  <w:r>
                    <w:rPr>
                      <w:color w:val="auto"/>
                      <w:spacing w:val="-20"/>
                      <w:sz w:val="18"/>
                      <w:szCs w:val="18"/>
                      <w:highlight w:val="none"/>
                    </w:rPr>
                    <w:t>建立固废管理台账，详细记录固废产生量</w:t>
                  </w:r>
                  <w:r>
                    <w:rPr>
                      <w:rFonts w:hint="eastAsia"/>
                      <w:color w:val="auto"/>
                      <w:spacing w:val="-20"/>
                      <w:sz w:val="18"/>
                      <w:szCs w:val="18"/>
                      <w:highlight w:val="none"/>
                    </w:rPr>
                    <w:t>、</w:t>
                  </w:r>
                  <w:r>
                    <w:rPr>
                      <w:color w:val="auto"/>
                      <w:spacing w:val="-20"/>
                      <w:sz w:val="18"/>
                      <w:szCs w:val="18"/>
                      <w:highlight w:val="none"/>
                    </w:rPr>
                    <w:t>外卖量</w:t>
                  </w:r>
                  <w:r>
                    <w:rPr>
                      <w:rFonts w:hint="eastAsia"/>
                      <w:color w:val="auto"/>
                      <w:spacing w:val="-20"/>
                      <w:sz w:val="18"/>
                      <w:szCs w:val="18"/>
                      <w:highlight w:val="none"/>
                    </w:rPr>
                    <w:t>、转移量</w:t>
                  </w:r>
                  <w:r>
                    <w:rPr>
                      <w:color w:val="auto"/>
                      <w:spacing w:val="-20"/>
                      <w:sz w:val="18"/>
                      <w:szCs w:val="18"/>
                      <w:highlight w:val="none"/>
                    </w:rPr>
                    <w:t>，并妥善保管台账</w:t>
                  </w:r>
                  <w:r>
                    <w:rPr>
                      <w:rFonts w:hint="eastAsia"/>
                      <w:color w:val="auto"/>
                      <w:spacing w:val="-20"/>
                      <w:sz w:val="18"/>
                      <w:szCs w:val="18"/>
                      <w:highlight w:val="none"/>
                    </w:rPr>
                    <w:t>。</w:t>
                  </w:r>
                  <w:r>
                    <w:rPr>
                      <w:color w:val="auto"/>
                      <w:spacing w:val="-20"/>
                      <w:sz w:val="18"/>
                      <w:szCs w:val="18"/>
                      <w:highlight w:val="none"/>
                    </w:rPr>
                    <w:t>设置警示标志，专人管理</w:t>
                  </w:r>
                  <w:r>
                    <w:rPr>
                      <w:rFonts w:hint="eastAsia"/>
                      <w:color w:val="auto"/>
                      <w:spacing w:val="-20"/>
                      <w:sz w:val="18"/>
                      <w:szCs w:val="18"/>
                      <w:highlight w:val="none"/>
                    </w:rPr>
                    <w:t>。</w:t>
                  </w:r>
                </w:p>
              </w:tc>
            </w:tr>
            <w:tr w14:paraId="0D0DBDFE">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192" w:type="pct"/>
                  <w:vAlign w:val="center"/>
                </w:tcPr>
                <w:p w14:paraId="2E296C13">
                  <w:pPr>
                    <w:spacing w:line="0" w:lineRule="atLeast"/>
                    <w:jc w:val="center"/>
                    <w:rPr>
                      <w:rFonts w:hint="eastAsia" w:eastAsia="宋体"/>
                      <w:color w:val="auto"/>
                      <w:spacing w:val="-20"/>
                      <w:sz w:val="18"/>
                      <w:szCs w:val="18"/>
                      <w:highlight w:val="none"/>
                      <w:lang w:val="en-US" w:eastAsia="zh-CN"/>
                    </w:rPr>
                  </w:pPr>
                  <w:r>
                    <w:rPr>
                      <w:rFonts w:hint="eastAsia"/>
                      <w:color w:val="auto"/>
                      <w:spacing w:val="-20"/>
                      <w:sz w:val="18"/>
                      <w:szCs w:val="18"/>
                      <w:highlight w:val="none"/>
                      <w:lang w:val="en-US" w:eastAsia="zh-CN"/>
                    </w:rPr>
                    <w:t>2</w:t>
                  </w:r>
                </w:p>
              </w:tc>
              <w:tc>
                <w:tcPr>
                  <w:tcW w:w="382" w:type="pct"/>
                  <w:tcBorders>
                    <w:bottom w:val="single" w:color="auto" w:sz="4" w:space="0"/>
                  </w:tcBorders>
                  <w:vAlign w:val="center"/>
                </w:tcPr>
                <w:p w14:paraId="7BE2FD5A">
                  <w:pPr>
                    <w:jc w:val="center"/>
                    <w:rPr>
                      <w:rFonts w:hint="eastAsia" w:ascii="Times New Roman" w:hAnsi="Times New Roman" w:eastAsia="宋体" w:cs="Times New Roman"/>
                      <w:color w:val="auto"/>
                      <w:spacing w:val="-20"/>
                      <w:sz w:val="18"/>
                      <w:szCs w:val="18"/>
                      <w:highlight w:val="none"/>
                      <w:lang w:val="en-US" w:eastAsia="zh-CN"/>
                    </w:rPr>
                  </w:pPr>
                  <w:r>
                    <w:rPr>
                      <w:rFonts w:hint="eastAsia" w:ascii="Times New Roman" w:hAnsi="Times New Roman" w:eastAsia="宋体" w:cs="Times New Roman"/>
                      <w:color w:val="auto"/>
                      <w:spacing w:val="-20"/>
                      <w:sz w:val="18"/>
                      <w:szCs w:val="18"/>
                      <w:highlight w:val="none"/>
                      <w:lang w:val="en-US" w:eastAsia="zh-CN"/>
                    </w:rPr>
                    <w:t>废包装袋</w:t>
                  </w:r>
                </w:p>
              </w:tc>
              <w:tc>
                <w:tcPr>
                  <w:tcW w:w="504" w:type="pct"/>
                  <w:tcBorders>
                    <w:top w:val="single" w:color="auto" w:sz="4" w:space="0"/>
                    <w:bottom w:val="single" w:color="auto" w:sz="4" w:space="0"/>
                  </w:tcBorders>
                  <w:vAlign w:val="center"/>
                </w:tcPr>
                <w:p w14:paraId="44A47777">
                  <w:pPr>
                    <w:spacing w:line="0" w:lineRule="atLeast"/>
                    <w:jc w:val="center"/>
                    <w:rPr>
                      <w:rFonts w:hint="default" w:ascii="Times New Roman" w:hAnsi="Times New Roman" w:eastAsia="宋体" w:cs="Times New Roman"/>
                      <w:color w:val="auto"/>
                      <w:spacing w:val="-10"/>
                      <w:sz w:val="18"/>
                      <w:szCs w:val="18"/>
                      <w:highlight w:val="none"/>
                      <w:lang w:val="en-US" w:eastAsia="zh-CN"/>
                    </w:rPr>
                  </w:pPr>
                  <w:r>
                    <w:rPr>
                      <w:rFonts w:hint="eastAsia" w:ascii="Times New Roman" w:hAnsi="Times New Roman" w:eastAsia="宋体" w:cs="Times New Roman"/>
                      <w:color w:val="auto"/>
                      <w:spacing w:val="-10"/>
                      <w:sz w:val="18"/>
                      <w:szCs w:val="18"/>
                      <w:highlight w:val="none"/>
                      <w:lang w:val="en-US" w:eastAsia="zh-CN"/>
                    </w:rPr>
                    <w:t>辅料拆包过程</w:t>
                  </w:r>
                </w:p>
              </w:tc>
              <w:tc>
                <w:tcPr>
                  <w:tcW w:w="280" w:type="pct"/>
                  <w:vMerge w:val="continue"/>
                  <w:vAlign w:val="center"/>
                </w:tcPr>
                <w:p w14:paraId="7DD7BF61">
                  <w:pPr>
                    <w:spacing w:line="0" w:lineRule="atLeast"/>
                    <w:jc w:val="center"/>
                    <w:rPr>
                      <w:color w:val="auto"/>
                      <w:spacing w:val="-20"/>
                      <w:sz w:val="18"/>
                      <w:szCs w:val="18"/>
                      <w:highlight w:val="none"/>
                    </w:rPr>
                  </w:pPr>
                </w:p>
              </w:tc>
              <w:tc>
                <w:tcPr>
                  <w:tcW w:w="494" w:type="pct"/>
                  <w:tcBorders>
                    <w:top w:val="single" w:color="auto" w:sz="4" w:space="0"/>
                  </w:tcBorders>
                  <w:shd w:val="clear" w:color="auto" w:fill="auto"/>
                  <w:vAlign w:val="center"/>
                </w:tcPr>
                <w:p w14:paraId="294809B8">
                  <w:pPr>
                    <w:spacing w:line="0" w:lineRule="atLeast"/>
                    <w:jc w:val="center"/>
                    <w:rPr>
                      <w:rFonts w:hint="default" w:ascii="Times New Roman" w:hAnsi="Times New Roman" w:eastAsia="宋体" w:cs="Times New Roman"/>
                      <w:color w:val="auto"/>
                      <w:spacing w:val="-20"/>
                      <w:sz w:val="18"/>
                      <w:szCs w:val="18"/>
                      <w:highlight w:val="none"/>
                      <w:lang w:val="en-US" w:eastAsia="zh-CN"/>
                    </w:rPr>
                  </w:pPr>
                  <w:r>
                    <w:rPr>
                      <w:rFonts w:hint="eastAsia" w:ascii="Times New Roman" w:hAnsi="Times New Roman" w:eastAsia="宋体" w:cs="Times New Roman"/>
                      <w:color w:val="auto"/>
                      <w:spacing w:val="-20"/>
                      <w:sz w:val="18"/>
                      <w:szCs w:val="18"/>
                      <w:highlight w:val="none"/>
                      <w:lang w:val="en-US" w:eastAsia="zh-CN"/>
                    </w:rPr>
                    <w:t>900-099-S59</w:t>
                  </w:r>
                </w:p>
              </w:tc>
              <w:tc>
                <w:tcPr>
                  <w:tcW w:w="326" w:type="pct"/>
                  <w:tcBorders>
                    <w:top w:val="single" w:color="auto" w:sz="4" w:space="0"/>
                  </w:tcBorders>
                  <w:shd w:val="clear" w:color="auto" w:fill="auto"/>
                  <w:vAlign w:val="center"/>
                </w:tcPr>
                <w:p w14:paraId="564D0BF0">
                  <w:pPr>
                    <w:spacing w:line="0" w:lineRule="atLeast"/>
                    <w:jc w:val="center"/>
                    <w:rPr>
                      <w:rFonts w:hint="default"/>
                      <w:color w:val="auto"/>
                      <w:spacing w:val="-20"/>
                      <w:sz w:val="18"/>
                      <w:szCs w:val="18"/>
                      <w:highlight w:val="none"/>
                      <w:lang w:val="en-US" w:eastAsia="zh-CN"/>
                    </w:rPr>
                  </w:pPr>
                  <w:r>
                    <w:rPr>
                      <w:rFonts w:hint="eastAsia"/>
                      <w:color w:val="auto"/>
                      <w:spacing w:val="-20"/>
                      <w:sz w:val="18"/>
                      <w:szCs w:val="18"/>
                      <w:highlight w:val="none"/>
                      <w:lang w:val="en-US" w:eastAsia="zh-CN"/>
                    </w:rPr>
                    <w:t>0.05</w:t>
                  </w:r>
                </w:p>
              </w:tc>
              <w:tc>
                <w:tcPr>
                  <w:tcW w:w="360" w:type="pct"/>
                  <w:tcBorders>
                    <w:top w:val="single" w:color="auto" w:sz="4" w:space="0"/>
                  </w:tcBorders>
                  <w:shd w:val="clear" w:color="auto" w:fill="auto"/>
                  <w:vAlign w:val="center"/>
                </w:tcPr>
                <w:p w14:paraId="21CA660B">
                  <w:pPr>
                    <w:spacing w:line="0" w:lineRule="atLeast"/>
                    <w:jc w:val="center"/>
                    <w:rPr>
                      <w:rFonts w:hint="eastAsia" w:ascii="Times New Roman" w:hAnsi="Times New Roman" w:eastAsia="宋体" w:cs="Times New Roman"/>
                      <w:color w:val="auto"/>
                      <w:spacing w:val="-20"/>
                      <w:kern w:val="2"/>
                      <w:sz w:val="18"/>
                      <w:szCs w:val="18"/>
                      <w:highlight w:val="none"/>
                      <w:lang w:val="en-US" w:eastAsia="zh-CN" w:bidi="ar-SA"/>
                    </w:rPr>
                  </w:pPr>
                  <w:r>
                    <w:rPr>
                      <w:rFonts w:hint="eastAsia"/>
                      <w:color w:val="auto"/>
                      <w:spacing w:val="-20"/>
                      <w:sz w:val="18"/>
                      <w:szCs w:val="18"/>
                      <w:highlight w:val="none"/>
                    </w:rPr>
                    <w:t>/</w:t>
                  </w:r>
                </w:p>
              </w:tc>
              <w:tc>
                <w:tcPr>
                  <w:tcW w:w="209" w:type="pct"/>
                  <w:tcBorders>
                    <w:top w:val="single" w:color="auto" w:sz="4" w:space="0"/>
                  </w:tcBorders>
                  <w:shd w:val="clear" w:color="auto" w:fill="auto"/>
                  <w:vAlign w:val="center"/>
                </w:tcPr>
                <w:p w14:paraId="580AF34A">
                  <w:pPr>
                    <w:spacing w:line="0" w:lineRule="atLeast"/>
                    <w:jc w:val="center"/>
                    <w:rPr>
                      <w:rFonts w:hint="eastAsia" w:ascii="Times New Roman" w:hAnsi="Times New Roman" w:eastAsia="宋体" w:cs="Times New Roman"/>
                      <w:color w:val="auto"/>
                      <w:spacing w:val="-20"/>
                      <w:kern w:val="2"/>
                      <w:sz w:val="18"/>
                      <w:szCs w:val="18"/>
                      <w:highlight w:val="none"/>
                      <w:lang w:val="en-US" w:eastAsia="zh-CN" w:bidi="ar-SA"/>
                    </w:rPr>
                  </w:pPr>
                  <w:r>
                    <w:rPr>
                      <w:rFonts w:hint="eastAsia"/>
                      <w:color w:val="auto"/>
                      <w:spacing w:val="-20"/>
                      <w:sz w:val="18"/>
                      <w:szCs w:val="18"/>
                      <w:highlight w:val="none"/>
                    </w:rPr>
                    <w:t>固态</w:t>
                  </w:r>
                </w:p>
              </w:tc>
              <w:tc>
                <w:tcPr>
                  <w:tcW w:w="294" w:type="pct"/>
                  <w:tcBorders>
                    <w:top w:val="single" w:color="auto" w:sz="4" w:space="0"/>
                    <w:bottom w:val="single" w:color="auto" w:sz="4" w:space="0"/>
                  </w:tcBorders>
                  <w:shd w:val="clear" w:color="auto" w:fill="auto"/>
                  <w:vAlign w:val="center"/>
                </w:tcPr>
                <w:p w14:paraId="047670CE">
                  <w:pPr>
                    <w:spacing w:line="0" w:lineRule="atLeast"/>
                    <w:jc w:val="center"/>
                    <w:rPr>
                      <w:rFonts w:hint="eastAsia" w:ascii="Times New Roman" w:hAnsi="Times New Roman" w:eastAsia="宋体" w:cs="Times New Roman"/>
                      <w:color w:val="auto"/>
                      <w:spacing w:val="-20"/>
                      <w:kern w:val="2"/>
                      <w:sz w:val="18"/>
                      <w:szCs w:val="18"/>
                      <w:highlight w:val="none"/>
                      <w:lang w:val="en-US" w:eastAsia="zh-CN" w:bidi="ar-SA"/>
                    </w:rPr>
                  </w:pPr>
                  <w:r>
                    <w:rPr>
                      <w:rFonts w:hint="eastAsia"/>
                      <w:color w:val="auto"/>
                      <w:spacing w:val="-20"/>
                      <w:sz w:val="18"/>
                      <w:szCs w:val="18"/>
                      <w:highlight w:val="none"/>
                    </w:rPr>
                    <w:t>/</w:t>
                  </w:r>
                </w:p>
              </w:tc>
              <w:tc>
                <w:tcPr>
                  <w:tcW w:w="497" w:type="pct"/>
                  <w:vMerge w:val="continue"/>
                  <w:tcBorders>
                    <w:right w:val="single" w:color="auto" w:sz="4" w:space="0"/>
                  </w:tcBorders>
                  <w:vAlign w:val="center"/>
                </w:tcPr>
                <w:p w14:paraId="4A036299">
                  <w:pPr>
                    <w:spacing w:line="0" w:lineRule="atLeast"/>
                    <w:jc w:val="center"/>
                    <w:rPr>
                      <w:rFonts w:hint="eastAsia"/>
                      <w:color w:val="auto"/>
                      <w:spacing w:val="-20"/>
                      <w:sz w:val="18"/>
                      <w:szCs w:val="18"/>
                      <w:highlight w:val="none"/>
                    </w:rPr>
                  </w:pPr>
                </w:p>
              </w:tc>
              <w:tc>
                <w:tcPr>
                  <w:tcW w:w="568" w:type="pct"/>
                  <w:tcBorders>
                    <w:top w:val="single" w:color="auto" w:sz="4" w:space="0"/>
                    <w:left w:val="single" w:color="auto" w:sz="4" w:space="0"/>
                    <w:bottom w:val="single" w:color="auto" w:sz="4" w:space="0"/>
                  </w:tcBorders>
                  <w:vAlign w:val="center"/>
                </w:tcPr>
                <w:p w14:paraId="5EB7713F">
                  <w:pPr>
                    <w:spacing w:line="0" w:lineRule="atLeast"/>
                    <w:jc w:val="center"/>
                    <w:rPr>
                      <w:rFonts w:hint="eastAsia" w:ascii="Times New Roman" w:hAnsi="Times New Roman" w:eastAsia="宋体" w:cs="Times New Roman"/>
                      <w:color w:val="auto"/>
                      <w:spacing w:val="-20"/>
                      <w:sz w:val="18"/>
                      <w:szCs w:val="18"/>
                      <w:highlight w:val="none"/>
                      <w:lang w:val="en-US" w:eastAsia="zh-CN"/>
                    </w:rPr>
                  </w:pPr>
                  <w:r>
                    <w:rPr>
                      <w:rFonts w:hint="eastAsia"/>
                      <w:color w:val="auto"/>
                      <w:spacing w:val="-20"/>
                      <w:sz w:val="18"/>
                      <w:szCs w:val="18"/>
                      <w:highlight w:val="none"/>
                      <w:lang w:val="en-US" w:eastAsia="zh-CN"/>
                    </w:rPr>
                    <w:t>外售综合利用</w:t>
                  </w:r>
                </w:p>
              </w:tc>
              <w:tc>
                <w:tcPr>
                  <w:tcW w:w="470" w:type="pct"/>
                  <w:tcBorders>
                    <w:top w:val="single" w:color="auto" w:sz="4" w:space="0"/>
                  </w:tcBorders>
                  <w:vAlign w:val="center"/>
                </w:tcPr>
                <w:p w14:paraId="7F7848D4">
                  <w:pPr>
                    <w:spacing w:line="0" w:lineRule="atLeast"/>
                    <w:jc w:val="center"/>
                    <w:rPr>
                      <w:rFonts w:hint="default"/>
                      <w:color w:val="auto"/>
                      <w:spacing w:val="-20"/>
                      <w:sz w:val="18"/>
                      <w:szCs w:val="18"/>
                      <w:highlight w:val="none"/>
                      <w:lang w:val="en-US" w:eastAsia="zh-CN"/>
                    </w:rPr>
                  </w:pPr>
                  <w:r>
                    <w:rPr>
                      <w:rFonts w:hint="eastAsia"/>
                      <w:color w:val="auto"/>
                      <w:spacing w:val="-20"/>
                      <w:sz w:val="18"/>
                      <w:szCs w:val="18"/>
                      <w:highlight w:val="none"/>
                      <w:lang w:val="en-US" w:eastAsia="zh-CN"/>
                    </w:rPr>
                    <w:t>0.05</w:t>
                  </w:r>
                </w:p>
              </w:tc>
              <w:tc>
                <w:tcPr>
                  <w:tcW w:w="418" w:type="pct"/>
                  <w:vMerge w:val="continue"/>
                  <w:vAlign w:val="center"/>
                </w:tcPr>
                <w:p w14:paraId="4EC0B862">
                  <w:pPr>
                    <w:spacing w:line="0" w:lineRule="atLeast"/>
                    <w:jc w:val="center"/>
                    <w:rPr>
                      <w:color w:val="auto"/>
                      <w:spacing w:val="-20"/>
                      <w:sz w:val="18"/>
                      <w:szCs w:val="18"/>
                      <w:highlight w:val="none"/>
                    </w:rPr>
                  </w:pPr>
                </w:p>
              </w:tc>
            </w:tr>
            <w:tr w14:paraId="09206DB3">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PrEx>
              <w:trPr>
                <w:trHeight w:val="397" w:hRule="atLeast"/>
                <w:jc w:val="center"/>
              </w:trPr>
              <w:tc>
                <w:tcPr>
                  <w:tcW w:w="192" w:type="pct"/>
                  <w:vAlign w:val="center"/>
                </w:tcPr>
                <w:p w14:paraId="3E71C055">
                  <w:pPr>
                    <w:spacing w:line="0" w:lineRule="atLeast"/>
                    <w:jc w:val="center"/>
                    <w:rPr>
                      <w:rFonts w:hint="eastAsia" w:ascii="Times New Roman" w:hAnsi="Times New Roman" w:eastAsia="宋体" w:cs="Times New Roman"/>
                      <w:color w:val="auto"/>
                      <w:spacing w:val="-20"/>
                      <w:kern w:val="2"/>
                      <w:sz w:val="18"/>
                      <w:szCs w:val="18"/>
                      <w:highlight w:val="none"/>
                      <w:lang w:val="en-US" w:eastAsia="zh-CN" w:bidi="ar-SA"/>
                    </w:rPr>
                  </w:pPr>
                  <w:r>
                    <w:rPr>
                      <w:rFonts w:hint="eastAsia"/>
                      <w:color w:val="auto"/>
                      <w:spacing w:val="-20"/>
                      <w:sz w:val="18"/>
                      <w:szCs w:val="18"/>
                      <w:highlight w:val="none"/>
                      <w:lang w:val="en-US" w:eastAsia="zh-CN"/>
                    </w:rPr>
                    <w:t>3</w:t>
                  </w:r>
                </w:p>
              </w:tc>
              <w:tc>
                <w:tcPr>
                  <w:tcW w:w="382" w:type="pct"/>
                  <w:tcBorders>
                    <w:top w:val="single" w:color="auto" w:sz="4" w:space="0"/>
                  </w:tcBorders>
                  <w:vAlign w:val="center"/>
                </w:tcPr>
                <w:p w14:paraId="0EB0F4DD">
                  <w:pPr>
                    <w:jc w:val="center"/>
                    <w:rPr>
                      <w:rFonts w:hint="eastAsia" w:ascii="Times New Roman" w:hAnsi="Times New Roman" w:eastAsia="宋体" w:cs="Times New Roman"/>
                      <w:color w:val="auto"/>
                      <w:spacing w:val="-20"/>
                      <w:sz w:val="18"/>
                      <w:szCs w:val="18"/>
                      <w:highlight w:val="none"/>
                      <w:lang w:val="en-US" w:eastAsia="zh-CN"/>
                    </w:rPr>
                  </w:pPr>
                  <w:r>
                    <w:rPr>
                      <w:rFonts w:hint="eastAsia" w:ascii="Times New Roman" w:hAnsi="Times New Roman" w:eastAsia="宋体" w:cs="Times New Roman"/>
                      <w:color w:val="auto"/>
                      <w:spacing w:val="-20"/>
                      <w:sz w:val="18"/>
                      <w:szCs w:val="18"/>
                      <w:highlight w:val="none"/>
                      <w:lang w:val="en-US" w:eastAsia="zh-CN"/>
                    </w:rPr>
                    <w:t>废钢球</w:t>
                  </w:r>
                </w:p>
              </w:tc>
              <w:tc>
                <w:tcPr>
                  <w:tcW w:w="504" w:type="pct"/>
                  <w:tcBorders>
                    <w:top w:val="single" w:color="auto" w:sz="4" w:space="0"/>
                  </w:tcBorders>
                  <w:vAlign w:val="center"/>
                </w:tcPr>
                <w:p w14:paraId="4EE08173">
                  <w:pPr>
                    <w:spacing w:line="0" w:lineRule="atLeast"/>
                    <w:jc w:val="center"/>
                    <w:rPr>
                      <w:rFonts w:hint="default" w:eastAsia="宋体"/>
                      <w:color w:val="auto"/>
                      <w:spacing w:val="-20"/>
                      <w:sz w:val="18"/>
                      <w:szCs w:val="18"/>
                      <w:highlight w:val="none"/>
                      <w:lang w:val="en-US" w:eastAsia="zh-CN"/>
                    </w:rPr>
                  </w:pPr>
                  <w:r>
                    <w:rPr>
                      <w:rFonts w:hint="eastAsia" w:ascii="Times New Roman" w:hAnsi="Times New Roman" w:eastAsia="宋体" w:cs="Times New Roman"/>
                      <w:color w:val="auto"/>
                      <w:spacing w:val="-20"/>
                      <w:sz w:val="18"/>
                      <w:szCs w:val="18"/>
                      <w:highlight w:val="none"/>
                      <w:lang w:val="en-US" w:eastAsia="zh-CN"/>
                    </w:rPr>
                    <w:t>球磨机</w:t>
                  </w:r>
                </w:p>
              </w:tc>
              <w:tc>
                <w:tcPr>
                  <w:tcW w:w="280" w:type="pct"/>
                  <w:vMerge w:val="continue"/>
                  <w:vAlign w:val="center"/>
                </w:tcPr>
                <w:p w14:paraId="5A06BC3E">
                  <w:pPr>
                    <w:spacing w:line="0" w:lineRule="atLeast"/>
                    <w:jc w:val="center"/>
                    <w:rPr>
                      <w:color w:val="auto"/>
                      <w:spacing w:val="-20"/>
                      <w:sz w:val="18"/>
                      <w:szCs w:val="18"/>
                      <w:highlight w:val="none"/>
                    </w:rPr>
                  </w:pPr>
                </w:p>
              </w:tc>
              <w:tc>
                <w:tcPr>
                  <w:tcW w:w="494" w:type="pct"/>
                  <w:tcBorders>
                    <w:bottom w:val="single" w:color="auto" w:sz="4" w:space="0"/>
                  </w:tcBorders>
                  <w:shd w:val="clear" w:color="auto" w:fill="auto"/>
                  <w:vAlign w:val="center"/>
                </w:tcPr>
                <w:p w14:paraId="02C53FD3">
                  <w:pPr>
                    <w:spacing w:line="0" w:lineRule="atLeast"/>
                    <w:jc w:val="center"/>
                    <w:rPr>
                      <w:rFonts w:hint="eastAsia" w:ascii="Times New Roman" w:hAnsi="Times New Roman" w:eastAsia="宋体" w:cs="Times New Roman"/>
                      <w:color w:val="auto"/>
                      <w:spacing w:val="-20"/>
                      <w:sz w:val="18"/>
                      <w:szCs w:val="18"/>
                      <w:highlight w:val="none"/>
                      <w:lang w:val="en-US" w:eastAsia="zh-CN"/>
                    </w:rPr>
                  </w:pPr>
                  <w:r>
                    <w:rPr>
                      <w:rFonts w:hint="eastAsia" w:ascii="Times New Roman" w:hAnsi="Times New Roman" w:eastAsia="宋体" w:cs="Times New Roman"/>
                      <w:color w:val="auto"/>
                      <w:spacing w:val="-20"/>
                      <w:sz w:val="18"/>
                      <w:szCs w:val="18"/>
                      <w:highlight w:val="none"/>
                      <w:lang w:val="en-US" w:eastAsia="zh-CN"/>
                    </w:rPr>
                    <w:t>900-001-S17</w:t>
                  </w:r>
                </w:p>
              </w:tc>
              <w:tc>
                <w:tcPr>
                  <w:tcW w:w="326" w:type="pct"/>
                  <w:tcBorders>
                    <w:bottom w:val="single" w:color="auto" w:sz="4" w:space="0"/>
                  </w:tcBorders>
                  <w:shd w:val="clear" w:color="auto" w:fill="auto"/>
                  <w:vAlign w:val="center"/>
                </w:tcPr>
                <w:p w14:paraId="349CF31D">
                  <w:pPr>
                    <w:spacing w:line="0" w:lineRule="atLeast"/>
                    <w:jc w:val="center"/>
                    <w:rPr>
                      <w:rFonts w:hint="eastAsia" w:ascii="Times New Roman" w:hAnsi="Times New Roman" w:eastAsia="宋体" w:cs="Times New Roman"/>
                      <w:color w:val="auto"/>
                      <w:spacing w:val="-20"/>
                      <w:sz w:val="18"/>
                      <w:szCs w:val="18"/>
                      <w:highlight w:val="none"/>
                      <w:lang w:val="en-US" w:eastAsia="zh-CN"/>
                    </w:rPr>
                  </w:pPr>
                  <w:r>
                    <w:rPr>
                      <w:rFonts w:hint="eastAsia" w:cs="Times New Roman"/>
                      <w:color w:val="auto"/>
                      <w:spacing w:val="-20"/>
                      <w:sz w:val="18"/>
                      <w:szCs w:val="18"/>
                      <w:highlight w:val="none"/>
                      <w:lang w:val="en-US" w:eastAsia="zh-CN"/>
                    </w:rPr>
                    <w:t>4</w:t>
                  </w:r>
                </w:p>
              </w:tc>
              <w:tc>
                <w:tcPr>
                  <w:tcW w:w="360" w:type="pct"/>
                  <w:shd w:val="clear" w:color="auto" w:fill="auto"/>
                  <w:vAlign w:val="center"/>
                </w:tcPr>
                <w:p w14:paraId="2E234F0A">
                  <w:pPr>
                    <w:spacing w:line="0" w:lineRule="atLeast"/>
                    <w:jc w:val="center"/>
                    <w:rPr>
                      <w:rFonts w:hint="eastAsia" w:ascii="Times New Roman" w:hAnsi="Times New Roman" w:eastAsia="宋体" w:cs="Times New Roman"/>
                      <w:color w:val="auto"/>
                      <w:spacing w:val="-20"/>
                      <w:kern w:val="2"/>
                      <w:sz w:val="18"/>
                      <w:szCs w:val="18"/>
                      <w:highlight w:val="none"/>
                      <w:lang w:val="en-US" w:eastAsia="zh-CN" w:bidi="ar-SA"/>
                    </w:rPr>
                  </w:pPr>
                  <w:r>
                    <w:rPr>
                      <w:rFonts w:hint="eastAsia"/>
                      <w:color w:val="auto"/>
                      <w:spacing w:val="-20"/>
                      <w:sz w:val="18"/>
                      <w:szCs w:val="18"/>
                      <w:highlight w:val="none"/>
                    </w:rPr>
                    <w:t>/</w:t>
                  </w:r>
                </w:p>
              </w:tc>
              <w:tc>
                <w:tcPr>
                  <w:tcW w:w="209" w:type="pct"/>
                  <w:shd w:val="clear" w:color="auto" w:fill="auto"/>
                  <w:vAlign w:val="center"/>
                </w:tcPr>
                <w:p w14:paraId="79A91341">
                  <w:pPr>
                    <w:spacing w:line="0" w:lineRule="atLeast"/>
                    <w:jc w:val="center"/>
                    <w:rPr>
                      <w:rFonts w:hint="eastAsia" w:ascii="Times New Roman" w:hAnsi="Times New Roman" w:eastAsia="宋体" w:cs="Times New Roman"/>
                      <w:color w:val="auto"/>
                      <w:spacing w:val="-20"/>
                      <w:kern w:val="2"/>
                      <w:sz w:val="18"/>
                      <w:szCs w:val="18"/>
                      <w:highlight w:val="none"/>
                      <w:lang w:val="en-US" w:eastAsia="zh-CN" w:bidi="ar-SA"/>
                    </w:rPr>
                  </w:pPr>
                  <w:r>
                    <w:rPr>
                      <w:rFonts w:hint="eastAsia"/>
                      <w:color w:val="auto"/>
                      <w:spacing w:val="-20"/>
                      <w:sz w:val="18"/>
                      <w:szCs w:val="18"/>
                      <w:highlight w:val="none"/>
                    </w:rPr>
                    <w:t>固态</w:t>
                  </w:r>
                </w:p>
              </w:tc>
              <w:tc>
                <w:tcPr>
                  <w:tcW w:w="294" w:type="pct"/>
                  <w:tcBorders>
                    <w:top w:val="single" w:color="auto" w:sz="4" w:space="0"/>
                    <w:bottom w:val="single" w:color="auto" w:sz="4" w:space="0"/>
                  </w:tcBorders>
                  <w:shd w:val="clear" w:color="auto" w:fill="auto"/>
                  <w:vAlign w:val="center"/>
                </w:tcPr>
                <w:p w14:paraId="40970DF8">
                  <w:pPr>
                    <w:spacing w:line="0" w:lineRule="atLeast"/>
                    <w:jc w:val="center"/>
                    <w:rPr>
                      <w:rFonts w:hint="eastAsia" w:ascii="Times New Roman" w:hAnsi="Times New Roman" w:eastAsia="宋体" w:cs="Times New Roman"/>
                      <w:color w:val="auto"/>
                      <w:spacing w:val="-20"/>
                      <w:kern w:val="2"/>
                      <w:sz w:val="18"/>
                      <w:szCs w:val="18"/>
                      <w:highlight w:val="none"/>
                      <w:lang w:val="en-US" w:eastAsia="zh-CN" w:bidi="ar-SA"/>
                    </w:rPr>
                  </w:pPr>
                  <w:r>
                    <w:rPr>
                      <w:rFonts w:hint="eastAsia"/>
                      <w:color w:val="auto"/>
                      <w:spacing w:val="-20"/>
                      <w:sz w:val="18"/>
                      <w:szCs w:val="18"/>
                      <w:highlight w:val="none"/>
                    </w:rPr>
                    <w:t>/</w:t>
                  </w:r>
                </w:p>
              </w:tc>
              <w:tc>
                <w:tcPr>
                  <w:tcW w:w="497" w:type="pct"/>
                  <w:vMerge w:val="continue"/>
                  <w:tcBorders>
                    <w:right w:val="single" w:color="auto" w:sz="4" w:space="0"/>
                  </w:tcBorders>
                  <w:vAlign w:val="center"/>
                </w:tcPr>
                <w:p w14:paraId="10C1BA95">
                  <w:pPr>
                    <w:spacing w:line="0" w:lineRule="atLeast"/>
                    <w:jc w:val="center"/>
                    <w:rPr>
                      <w:color w:val="auto"/>
                      <w:spacing w:val="-20"/>
                      <w:sz w:val="18"/>
                      <w:szCs w:val="18"/>
                      <w:highlight w:val="none"/>
                    </w:rPr>
                  </w:pPr>
                </w:p>
              </w:tc>
              <w:tc>
                <w:tcPr>
                  <w:tcW w:w="568" w:type="pct"/>
                  <w:tcBorders>
                    <w:top w:val="single" w:color="auto" w:sz="4" w:space="0"/>
                    <w:left w:val="single" w:color="auto" w:sz="4" w:space="0"/>
                    <w:bottom w:val="single" w:color="auto" w:sz="4" w:space="0"/>
                  </w:tcBorders>
                  <w:shd w:val="clear" w:color="auto" w:fill="auto"/>
                  <w:vAlign w:val="center"/>
                </w:tcPr>
                <w:p w14:paraId="36C4AC20">
                  <w:pPr>
                    <w:spacing w:line="0" w:lineRule="atLeast"/>
                    <w:jc w:val="center"/>
                    <w:rPr>
                      <w:rFonts w:hint="eastAsia" w:ascii="Times New Roman" w:hAnsi="Times New Roman" w:eastAsia="宋体" w:cs="Times New Roman"/>
                      <w:color w:val="auto"/>
                      <w:spacing w:val="-20"/>
                      <w:sz w:val="18"/>
                      <w:szCs w:val="18"/>
                      <w:highlight w:val="none"/>
                      <w:lang w:val="en-US" w:eastAsia="zh-CN"/>
                    </w:rPr>
                  </w:pPr>
                  <w:r>
                    <w:rPr>
                      <w:rFonts w:hint="eastAsia" w:ascii="Times New Roman" w:hAnsi="Times New Roman" w:eastAsia="宋体" w:cs="Times New Roman"/>
                      <w:color w:val="auto"/>
                      <w:spacing w:val="-20"/>
                      <w:sz w:val="18"/>
                      <w:szCs w:val="18"/>
                      <w:highlight w:val="none"/>
                      <w:lang w:val="en-US" w:eastAsia="zh-CN"/>
                    </w:rPr>
                    <w:t>收集后外售五金回收公司</w:t>
                  </w:r>
                </w:p>
              </w:tc>
              <w:tc>
                <w:tcPr>
                  <w:tcW w:w="470" w:type="pct"/>
                  <w:shd w:val="clear" w:color="auto" w:fill="auto"/>
                  <w:vAlign w:val="center"/>
                </w:tcPr>
                <w:p w14:paraId="3EF23B67">
                  <w:pPr>
                    <w:spacing w:line="0" w:lineRule="atLeast"/>
                    <w:jc w:val="center"/>
                    <w:rPr>
                      <w:rFonts w:hint="eastAsia" w:ascii="Times New Roman" w:hAnsi="Times New Roman" w:eastAsia="宋体" w:cs="Times New Roman"/>
                      <w:color w:val="auto"/>
                      <w:spacing w:val="-20"/>
                      <w:kern w:val="2"/>
                      <w:sz w:val="18"/>
                      <w:szCs w:val="18"/>
                      <w:highlight w:val="none"/>
                      <w:lang w:val="en-US" w:eastAsia="zh-CN" w:bidi="ar-SA"/>
                    </w:rPr>
                  </w:pPr>
                  <w:r>
                    <w:rPr>
                      <w:rFonts w:hint="eastAsia"/>
                      <w:color w:val="auto"/>
                      <w:spacing w:val="-20"/>
                      <w:sz w:val="18"/>
                      <w:szCs w:val="18"/>
                      <w:highlight w:val="none"/>
                      <w:lang w:val="en-US" w:eastAsia="zh-CN"/>
                    </w:rPr>
                    <w:t>4</w:t>
                  </w:r>
                </w:p>
              </w:tc>
              <w:tc>
                <w:tcPr>
                  <w:tcW w:w="418" w:type="pct"/>
                  <w:vMerge w:val="continue"/>
                  <w:vAlign w:val="center"/>
                </w:tcPr>
                <w:p w14:paraId="2C115D01">
                  <w:pPr>
                    <w:spacing w:line="0" w:lineRule="atLeast"/>
                    <w:jc w:val="center"/>
                    <w:rPr>
                      <w:color w:val="auto"/>
                      <w:spacing w:val="-20"/>
                      <w:sz w:val="18"/>
                      <w:szCs w:val="18"/>
                      <w:highlight w:val="none"/>
                    </w:rPr>
                  </w:pPr>
                </w:p>
              </w:tc>
            </w:tr>
            <w:tr w14:paraId="398C1798">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192" w:type="pct"/>
                  <w:tcBorders>
                    <w:bottom w:val="single" w:color="auto" w:sz="4" w:space="0"/>
                  </w:tcBorders>
                  <w:vAlign w:val="center"/>
                </w:tcPr>
                <w:p w14:paraId="0E960A48">
                  <w:pPr>
                    <w:spacing w:line="0" w:lineRule="atLeast"/>
                    <w:jc w:val="center"/>
                    <w:rPr>
                      <w:rFonts w:hint="eastAsia" w:eastAsia="宋体"/>
                      <w:color w:val="auto"/>
                      <w:spacing w:val="-20"/>
                      <w:sz w:val="18"/>
                      <w:szCs w:val="18"/>
                      <w:highlight w:val="none"/>
                      <w:lang w:eastAsia="zh-CN"/>
                    </w:rPr>
                  </w:pPr>
                  <w:r>
                    <w:rPr>
                      <w:rFonts w:hint="eastAsia"/>
                      <w:color w:val="auto"/>
                      <w:spacing w:val="-20"/>
                      <w:sz w:val="18"/>
                      <w:szCs w:val="18"/>
                      <w:highlight w:val="none"/>
                      <w:lang w:val="en-US" w:eastAsia="zh-CN"/>
                    </w:rPr>
                    <w:t>4</w:t>
                  </w:r>
                </w:p>
              </w:tc>
              <w:tc>
                <w:tcPr>
                  <w:tcW w:w="382" w:type="pct"/>
                  <w:tcBorders>
                    <w:bottom w:val="single" w:color="auto" w:sz="4" w:space="0"/>
                  </w:tcBorders>
                  <w:vAlign w:val="center"/>
                </w:tcPr>
                <w:p w14:paraId="665691F4">
                  <w:pPr>
                    <w:jc w:val="center"/>
                    <w:rPr>
                      <w:rFonts w:hint="default" w:eastAsia="宋体"/>
                      <w:color w:val="auto"/>
                      <w:spacing w:val="-10"/>
                      <w:sz w:val="18"/>
                      <w:szCs w:val="18"/>
                      <w:highlight w:val="none"/>
                      <w:lang w:val="en-US" w:eastAsia="zh-CN"/>
                    </w:rPr>
                  </w:pPr>
                  <w:r>
                    <w:rPr>
                      <w:rFonts w:hint="eastAsia"/>
                      <w:color w:val="auto"/>
                      <w:spacing w:val="-10"/>
                      <w:sz w:val="18"/>
                      <w:szCs w:val="18"/>
                      <w:highlight w:val="none"/>
                      <w:lang w:val="en-US" w:eastAsia="zh-CN"/>
                    </w:rPr>
                    <w:t>除尘灰</w:t>
                  </w:r>
                </w:p>
              </w:tc>
              <w:tc>
                <w:tcPr>
                  <w:tcW w:w="504" w:type="pct"/>
                  <w:vMerge w:val="restart"/>
                  <w:vAlign w:val="center"/>
                </w:tcPr>
                <w:p w14:paraId="09DEB15B">
                  <w:pPr>
                    <w:jc w:val="center"/>
                    <w:rPr>
                      <w:rFonts w:hint="default" w:ascii="Times New Roman" w:hAnsi="Times New Roman" w:cs="Times New Roman"/>
                      <w:color w:val="auto"/>
                      <w:spacing w:val="-10"/>
                      <w:sz w:val="18"/>
                      <w:szCs w:val="18"/>
                      <w:highlight w:val="none"/>
                      <w:lang w:val="en-US" w:eastAsia="zh-CN"/>
                    </w:rPr>
                  </w:pPr>
                  <w:r>
                    <w:rPr>
                      <w:rFonts w:hint="eastAsia" w:cs="Times New Roman"/>
                      <w:color w:val="auto"/>
                      <w:spacing w:val="-10"/>
                      <w:sz w:val="18"/>
                      <w:szCs w:val="18"/>
                      <w:highlight w:val="none"/>
                      <w:lang w:val="en-US" w:eastAsia="zh-CN"/>
                    </w:rPr>
                    <w:t>布袋除尘器</w:t>
                  </w:r>
                </w:p>
              </w:tc>
              <w:tc>
                <w:tcPr>
                  <w:tcW w:w="280" w:type="pct"/>
                  <w:vMerge w:val="continue"/>
                  <w:vAlign w:val="center"/>
                </w:tcPr>
                <w:p w14:paraId="16BEF8C9">
                  <w:pPr>
                    <w:spacing w:line="0" w:lineRule="atLeast"/>
                    <w:jc w:val="center"/>
                    <w:rPr>
                      <w:color w:val="auto"/>
                      <w:spacing w:val="-20"/>
                      <w:sz w:val="18"/>
                      <w:szCs w:val="18"/>
                      <w:highlight w:val="none"/>
                    </w:rPr>
                  </w:pPr>
                </w:p>
              </w:tc>
              <w:tc>
                <w:tcPr>
                  <w:tcW w:w="494" w:type="pct"/>
                  <w:tcBorders>
                    <w:bottom w:val="single" w:color="auto" w:sz="4" w:space="0"/>
                  </w:tcBorders>
                  <w:shd w:val="clear" w:color="auto" w:fill="auto"/>
                  <w:vAlign w:val="center"/>
                </w:tcPr>
                <w:p w14:paraId="4497A584">
                  <w:pPr>
                    <w:spacing w:line="0" w:lineRule="atLeast"/>
                    <w:jc w:val="center"/>
                    <w:rPr>
                      <w:rFonts w:hint="eastAsia" w:ascii="Times New Roman" w:hAnsi="Times New Roman" w:eastAsia="宋体" w:cs="Times New Roman"/>
                      <w:color w:val="auto"/>
                      <w:spacing w:val="-20"/>
                      <w:kern w:val="2"/>
                      <w:sz w:val="18"/>
                      <w:szCs w:val="18"/>
                      <w:highlight w:val="none"/>
                      <w:lang w:val="en-US" w:eastAsia="zh-CN" w:bidi="ar-SA"/>
                    </w:rPr>
                  </w:pPr>
                  <w:r>
                    <w:rPr>
                      <w:rFonts w:hint="eastAsia" w:ascii="Times New Roman" w:hAnsi="Times New Roman" w:eastAsia="宋体" w:cs="Times New Roman"/>
                      <w:color w:val="auto"/>
                      <w:spacing w:val="-20"/>
                      <w:sz w:val="18"/>
                      <w:szCs w:val="18"/>
                      <w:highlight w:val="none"/>
                      <w:lang w:val="en-US" w:eastAsia="zh-CN"/>
                    </w:rPr>
                    <w:t>900-099-S59</w:t>
                  </w:r>
                </w:p>
              </w:tc>
              <w:tc>
                <w:tcPr>
                  <w:tcW w:w="326" w:type="pct"/>
                  <w:tcBorders>
                    <w:bottom w:val="single" w:color="auto" w:sz="4" w:space="0"/>
                  </w:tcBorders>
                  <w:vAlign w:val="center"/>
                </w:tcPr>
                <w:p w14:paraId="3157FA69">
                  <w:pPr>
                    <w:spacing w:line="0" w:lineRule="atLeast"/>
                    <w:jc w:val="center"/>
                    <w:rPr>
                      <w:rFonts w:hint="default" w:cs="Times New Roman"/>
                      <w:color w:val="auto"/>
                      <w:spacing w:val="-20"/>
                      <w:sz w:val="18"/>
                      <w:szCs w:val="18"/>
                      <w:highlight w:val="none"/>
                      <w:lang w:val="en-US" w:eastAsia="zh-CN"/>
                    </w:rPr>
                  </w:pPr>
                  <w:r>
                    <w:rPr>
                      <w:rFonts w:hint="eastAsia" w:ascii="Times New Roman" w:hAnsi="Times New Roman" w:eastAsia="宋体" w:cs="Times New Roman"/>
                      <w:color w:val="auto"/>
                      <w:spacing w:val="-20"/>
                      <w:sz w:val="18"/>
                      <w:szCs w:val="18"/>
                      <w:highlight w:val="none"/>
                      <w:lang w:val="en-US" w:eastAsia="zh-CN"/>
                    </w:rPr>
                    <w:t>446.463</w:t>
                  </w:r>
                </w:p>
              </w:tc>
              <w:tc>
                <w:tcPr>
                  <w:tcW w:w="360" w:type="pct"/>
                  <w:shd w:val="clear" w:color="auto" w:fill="auto"/>
                  <w:vAlign w:val="center"/>
                </w:tcPr>
                <w:p w14:paraId="2F29AF0C">
                  <w:pPr>
                    <w:spacing w:line="0" w:lineRule="atLeast"/>
                    <w:jc w:val="center"/>
                    <w:rPr>
                      <w:rFonts w:hint="eastAsia" w:ascii="Times New Roman" w:hAnsi="Times New Roman" w:eastAsia="宋体" w:cs="Times New Roman"/>
                      <w:color w:val="auto"/>
                      <w:spacing w:val="-20"/>
                      <w:kern w:val="2"/>
                      <w:sz w:val="18"/>
                      <w:szCs w:val="18"/>
                      <w:highlight w:val="none"/>
                      <w:lang w:val="en-US" w:eastAsia="zh-CN" w:bidi="ar-SA"/>
                    </w:rPr>
                  </w:pPr>
                  <w:r>
                    <w:rPr>
                      <w:rFonts w:hint="eastAsia"/>
                      <w:color w:val="auto"/>
                      <w:spacing w:val="-20"/>
                      <w:sz w:val="18"/>
                      <w:szCs w:val="18"/>
                      <w:highlight w:val="none"/>
                    </w:rPr>
                    <w:t>/</w:t>
                  </w:r>
                </w:p>
              </w:tc>
              <w:tc>
                <w:tcPr>
                  <w:tcW w:w="209" w:type="pct"/>
                  <w:shd w:val="clear" w:color="auto" w:fill="auto"/>
                  <w:vAlign w:val="center"/>
                </w:tcPr>
                <w:p w14:paraId="2BEA8C54">
                  <w:pPr>
                    <w:spacing w:line="0" w:lineRule="atLeast"/>
                    <w:jc w:val="center"/>
                    <w:rPr>
                      <w:rFonts w:hint="eastAsia" w:ascii="Times New Roman" w:hAnsi="Times New Roman" w:eastAsia="宋体" w:cs="Times New Roman"/>
                      <w:color w:val="auto"/>
                      <w:spacing w:val="-20"/>
                      <w:kern w:val="2"/>
                      <w:sz w:val="18"/>
                      <w:szCs w:val="18"/>
                      <w:highlight w:val="none"/>
                      <w:lang w:val="en-US" w:eastAsia="zh-CN" w:bidi="ar-SA"/>
                    </w:rPr>
                  </w:pPr>
                  <w:r>
                    <w:rPr>
                      <w:rFonts w:hint="eastAsia"/>
                      <w:color w:val="auto"/>
                      <w:spacing w:val="-20"/>
                      <w:sz w:val="18"/>
                      <w:szCs w:val="18"/>
                      <w:highlight w:val="none"/>
                    </w:rPr>
                    <w:t>固态</w:t>
                  </w:r>
                </w:p>
              </w:tc>
              <w:tc>
                <w:tcPr>
                  <w:tcW w:w="294" w:type="pct"/>
                  <w:tcBorders>
                    <w:top w:val="single" w:color="auto" w:sz="4" w:space="0"/>
                    <w:bottom w:val="single" w:color="auto" w:sz="4" w:space="0"/>
                  </w:tcBorders>
                  <w:shd w:val="clear" w:color="auto" w:fill="auto"/>
                  <w:vAlign w:val="center"/>
                </w:tcPr>
                <w:p w14:paraId="3CA82A17">
                  <w:pPr>
                    <w:spacing w:line="0" w:lineRule="atLeast"/>
                    <w:jc w:val="center"/>
                    <w:rPr>
                      <w:rFonts w:hint="eastAsia" w:ascii="Times New Roman" w:hAnsi="Times New Roman" w:eastAsia="宋体" w:cs="Times New Roman"/>
                      <w:color w:val="auto"/>
                      <w:spacing w:val="-20"/>
                      <w:kern w:val="2"/>
                      <w:sz w:val="18"/>
                      <w:szCs w:val="18"/>
                      <w:highlight w:val="none"/>
                      <w:lang w:val="en-US" w:eastAsia="zh-CN" w:bidi="ar-SA"/>
                    </w:rPr>
                  </w:pPr>
                  <w:r>
                    <w:rPr>
                      <w:rFonts w:hint="eastAsia"/>
                      <w:color w:val="auto"/>
                      <w:spacing w:val="-20"/>
                      <w:sz w:val="18"/>
                      <w:szCs w:val="18"/>
                      <w:highlight w:val="none"/>
                    </w:rPr>
                    <w:t>/</w:t>
                  </w:r>
                </w:p>
              </w:tc>
              <w:tc>
                <w:tcPr>
                  <w:tcW w:w="497" w:type="pct"/>
                  <w:vMerge w:val="continue"/>
                  <w:tcBorders>
                    <w:right w:val="single" w:color="auto" w:sz="4" w:space="0"/>
                  </w:tcBorders>
                  <w:vAlign w:val="center"/>
                </w:tcPr>
                <w:p w14:paraId="4EF5C72C">
                  <w:pPr>
                    <w:spacing w:line="0" w:lineRule="atLeast"/>
                    <w:jc w:val="center"/>
                    <w:rPr>
                      <w:color w:val="auto"/>
                      <w:spacing w:val="-20"/>
                      <w:sz w:val="18"/>
                      <w:szCs w:val="18"/>
                      <w:highlight w:val="none"/>
                    </w:rPr>
                  </w:pPr>
                </w:p>
              </w:tc>
              <w:tc>
                <w:tcPr>
                  <w:tcW w:w="568" w:type="pct"/>
                  <w:tcBorders>
                    <w:top w:val="single" w:color="auto" w:sz="4" w:space="0"/>
                    <w:bottom w:val="single" w:color="auto" w:sz="4" w:space="0"/>
                  </w:tcBorders>
                  <w:shd w:val="clear" w:color="auto" w:fill="auto"/>
                  <w:vAlign w:val="center"/>
                </w:tcPr>
                <w:p w14:paraId="36CCDF44">
                  <w:pPr>
                    <w:spacing w:line="0" w:lineRule="atLeast"/>
                    <w:jc w:val="center"/>
                    <w:rPr>
                      <w:rFonts w:hint="eastAsia" w:ascii="Times New Roman" w:hAnsi="Times New Roman" w:eastAsia="宋体" w:cs="Times New Roman"/>
                      <w:color w:val="auto"/>
                      <w:spacing w:val="-20"/>
                      <w:kern w:val="2"/>
                      <w:sz w:val="18"/>
                      <w:szCs w:val="18"/>
                      <w:highlight w:val="none"/>
                      <w:lang w:val="en-US" w:eastAsia="zh-CN" w:bidi="ar-SA"/>
                    </w:rPr>
                  </w:pPr>
                  <w:r>
                    <w:rPr>
                      <w:rFonts w:hint="eastAsia" w:ascii="Times New Roman" w:hAnsi="Times New Roman" w:eastAsia="宋体" w:cs="Times New Roman"/>
                      <w:color w:val="auto"/>
                      <w:spacing w:val="-20"/>
                      <w:sz w:val="18"/>
                      <w:szCs w:val="18"/>
                      <w:highlight w:val="none"/>
                      <w:lang w:val="en-US" w:eastAsia="zh-CN"/>
                    </w:rPr>
                    <w:t>外售砖厂进行制砖</w:t>
                  </w:r>
                </w:p>
              </w:tc>
              <w:tc>
                <w:tcPr>
                  <w:tcW w:w="470" w:type="pct"/>
                  <w:vAlign w:val="center"/>
                </w:tcPr>
                <w:p w14:paraId="6C2169B9">
                  <w:pPr>
                    <w:spacing w:line="0" w:lineRule="atLeast"/>
                    <w:jc w:val="center"/>
                    <w:rPr>
                      <w:rFonts w:hint="default"/>
                      <w:color w:val="auto"/>
                      <w:spacing w:val="-20"/>
                      <w:sz w:val="18"/>
                      <w:szCs w:val="18"/>
                      <w:highlight w:val="none"/>
                      <w:lang w:val="en-US" w:eastAsia="zh-CN"/>
                    </w:rPr>
                  </w:pPr>
                  <w:r>
                    <w:rPr>
                      <w:rFonts w:hint="eastAsia" w:ascii="Times New Roman" w:hAnsi="Times New Roman" w:eastAsia="宋体" w:cs="Times New Roman"/>
                      <w:color w:val="auto"/>
                      <w:spacing w:val="-20"/>
                      <w:sz w:val="18"/>
                      <w:szCs w:val="18"/>
                      <w:highlight w:val="none"/>
                      <w:lang w:val="en-US" w:eastAsia="zh-CN"/>
                    </w:rPr>
                    <w:t>446.463</w:t>
                  </w:r>
                </w:p>
              </w:tc>
              <w:tc>
                <w:tcPr>
                  <w:tcW w:w="418" w:type="pct"/>
                  <w:vMerge w:val="continue"/>
                  <w:vAlign w:val="center"/>
                </w:tcPr>
                <w:p w14:paraId="1DFE7FC7">
                  <w:pPr>
                    <w:spacing w:line="0" w:lineRule="atLeast"/>
                    <w:jc w:val="center"/>
                    <w:rPr>
                      <w:color w:val="auto"/>
                      <w:spacing w:val="-20"/>
                      <w:sz w:val="18"/>
                      <w:szCs w:val="18"/>
                      <w:highlight w:val="none"/>
                    </w:rPr>
                  </w:pPr>
                </w:p>
              </w:tc>
            </w:tr>
            <w:tr w14:paraId="50E15954">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192" w:type="pct"/>
                  <w:tcBorders>
                    <w:bottom w:val="single" w:color="auto" w:sz="4" w:space="0"/>
                  </w:tcBorders>
                  <w:vAlign w:val="center"/>
                </w:tcPr>
                <w:p w14:paraId="39BB979B">
                  <w:pPr>
                    <w:spacing w:line="0" w:lineRule="atLeast"/>
                    <w:jc w:val="center"/>
                    <w:rPr>
                      <w:rFonts w:hint="default"/>
                      <w:color w:val="auto"/>
                      <w:spacing w:val="-20"/>
                      <w:sz w:val="18"/>
                      <w:szCs w:val="18"/>
                      <w:highlight w:val="none"/>
                      <w:lang w:val="en-US" w:eastAsia="zh-CN"/>
                    </w:rPr>
                  </w:pPr>
                  <w:r>
                    <w:rPr>
                      <w:rFonts w:hint="eastAsia"/>
                      <w:color w:val="auto"/>
                      <w:spacing w:val="-20"/>
                      <w:sz w:val="18"/>
                      <w:szCs w:val="18"/>
                      <w:highlight w:val="none"/>
                      <w:lang w:val="en-US" w:eastAsia="zh-CN"/>
                    </w:rPr>
                    <w:t>5</w:t>
                  </w:r>
                </w:p>
              </w:tc>
              <w:tc>
                <w:tcPr>
                  <w:tcW w:w="382" w:type="pct"/>
                  <w:tcBorders>
                    <w:bottom w:val="single" w:color="auto" w:sz="4" w:space="0"/>
                  </w:tcBorders>
                  <w:vAlign w:val="center"/>
                </w:tcPr>
                <w:p w14:paraId="786AB85C">
                  <w:pPr>
                    <w:jc w:val="center"/>
                    <w:rPr>
                      <w:rFonts w:hint="default"/>
                      <w:color w:val="auto"/>
                      <w:spacing w:val="-10"/>
                      <w:sz w:val="18"/>
                      <w:szCs w:val="18"/>
                      <w:highlight w:val="none"/>
                      <w:lang w:val="en-US" w:eastAsia="zh-CN"/>
                    </w:rPr>
                  </w:pPr>
                  <w:r>
                    <w:rPr>
                      <w:rFonts w:hint="eastAsia"/>
                      <w:color w:val="auto"/>
                      <w:spacing w:val="-10"/>
                      <w:sz w:val="18"/>
                      <w:szCs w:val="18"/>
                      <w:highlight w:val="none"/>
                      <w:lang w:val="en-US" w:eastAsia="zh-CN"/>
                    </w:rPr>
                    <w:t>废布袋</w:t>
                  </w:r>
                </w:p>
              </w:tc>
              <w:tc>
                <w:tcPr>
                  <w:tcW w:w="504" w:type="pct"/>
                  <w:vMerge w:val="continue"/>
                  <w:vAlign w:val="center"/>
                </w:tcPr>
                <w:p w14:paraId="64D7E795">
                  <w:pPr>
                    <w:jc w:val="center"/>
                    <w:rPr>
                      <w:rFonts w:hint="default" w:ascii="Times New Roman" w:hAnsi="Times New Roman" w:cs="Times New Roman"/>
                      <w:color w:val="auto"/>
                      <w:spacing w:val="-10"/>
                      <w:sz w:val="18"/>
                      <w:szCs w:val="18"/>
                      <w:highlight w:val="none"/>
                      <w:lang w:val="en-US" w:eastAsia="zh-CN"/>
                    </w:rPr>
                  </w:pPr>
                </w:p>
              </w:tc>
              <w:tc>
                <w:tcPr>
                  <w:tcW w:w="280" w:type="pct"/>
                  <w:vMerge w:val="continue"/>
                  <w:vAlign w:val="center"/>
                </w:tcPr>
                <w:p w14:paraId="7A8C05BB">
                  <w:pPr>
                    <w:spacing w:line="0" w:lineRule="atLeast"/>
                    <w:jc w:val="center"/>
                    <w:rPr>
                      <w:color w:val="auto"/>
                      <w:spacing w:val="-20"/>
                      <w:sz w:val="18"/>
                      <w:szCs w:val="18"/>
                      <w:highlight w:val="none"/>
                    </w:rPr>
                  </w:pPr>
                </w:p>
              </w:tc>
              <w:tc>
                <w:tcPr>
                  <w:tcW w:w="494" w:type="pct"/>
                  <w:tcBorders>
                    <w:bottom w:val="single" w:color="auto" w:sz="4" w:space="0"/>
                  </w:tcBorders>
                  <w:shd w:val="clear" w:color="auto" w:fill="auto"/>
                  <w:vAlign w:val="center"/>
                </w:tcPr>
                <w:p w14:paraId="23271584">
                  <w:pPr>
                    <w:spacing w:line="0" w:lineRule="atLeast"/>
                    <w:jc w:val="center"/>
                    <w:rPr>
                      <w:rFonts w:hint="eastAsia" w:ascii="Times New Roman" w:hAnsi="Times New Roman" w:eastAsia="宋体" w:cs="Times New Roman"/>
                      <w:color w:val="auto"/>
                      <w:spacing w:val="-20"/>
                      <w:kern w:val="2"/>
                      <w:sz w:val="18"/>
                      <w:szCs w:val="18"/>
                      <w:highlight w:val="none"/>
                      <w:lang w:val="en-US" w:eastAsia="zh-CN" w:bidi="ar-SA"/>
                    </w:rPr>
                  </w:pPr>
                  <w:r>
                    <w:rPr>
                      <w:rFonts w:hint="eastAsia" w:ascii="Times New Roman" w:hAnsi="Times New Roman" w:eastAsia="宋体" w:cs="Times New Roman"/>
                      <w:color w:val="auto"/>
                      <w:spacing w:val="-20"/>
                      <w:sz w:val="18"/>
                      <w:szCs w:val="18"/>
                      <w:highlight w:val="none"/>
                      <w:lang w:val="en-US" w:eastAsia="zh-CN"/>
                    </w:rPr>
                    <w:t>900-009-S59</w:t>
                  </w:r>
                </w:p>
              </w:tc>
              <w:tc>
                <w:tcPr>
                  <w:tcW w:w="326" w:type="pct"/>
                  <w:tcBorders>
                    <w:bottom w:val="single" w:color="auto" w:sz="4" w:space="0"/>
                  </w:tcBorders>
                  <w:vAlign w:val="center"/>
                </w:tcPr>
                <w:p w14:paraId="43D74BFE">
                  <w:pPr>
                    <w:spacing w:line="0" w:lineRule="atLeast"/>
                    <w:jc w:val="center"/>
                    <w:rPr>
                      <w:rFonts w:hint="default" w:cs="Times New Roman"/>
                      <w:color w:val="auto"/>
                      <w:spacing w:val="-20"/>
                      <w:sz w:val="18"/>
                      <w:szCs w:val="18"/>
                      <w:highlight w:val="none"/>
                      <w:lang w:val="en-US" w:eastAsia="zh-CN"/>
                    </w:rPr>
                  </w:pPr>
                  <w:r>
                    <w:rPr>
                      <w:rFonts w:hint="eastAsia" w:cs="Times New Roman"/>
                      <w:color w:val="auto"/>
                      <w:spacing w:val="-20"/>
                      <w:sz w:val="18"/>
                      <w:szCs w:val="18"/>
                      <w:highlight w:val="none"/>
                      <w:lang w:val="en-US" w:eastAsia="zh-CN"/>
                    </w:rPr>
                    <w:t>0.05</w:t>
                  </w:r>
                </w:p>
              </w:tc>
              <w:tc>
                <w:tcPr>
                  <w:tcW w:w="360" w:type="pct"/>
                  <w:shd w:val="clear" w:color="auto" w:fill="auto"/>
                  <w:vAlign w:val="center"/>
                </w:tcPr>
                <w:p w14:paraId="7AE66731">
                  <w:pPr>
                    <w:spacing w:line="0" w:lineRule="atLeast"/>
                    <w:jc w:val="center"/>
                    <w:rPr>
                      <w:rFonts w:hint="eastAsia" w:ascii="Times New Roman" w:hAnsi="Times New Roman" w:eastAsia="宋体" w:cs="Times New Roman"/>
                      <w:color w:val="auto"/>
                      <w:spacing w:val="-20"/>
                      <w:kern w:val="2"/>
                      <w:sz w:val="18"/>
                      <w:szCs w:val="18"/>
                      <w:highlight w:val="none"/>
                      <w:lang w:val="en-US" w:eastAsia="zh-CN" w:bidi="ar-SA"/>
                    </w:rPr>
                  </w:pPr>
                  <w:r>
                    <w:rPr>
                      <w:rFonts w:hint="eastAsia"/>
                      <w:color w:val="auto"/>
                      <w:spacing w:val="-20"/>
                      <w:sz w:val="18"/>
                      <w:szCs w:val="18"/>
                      <w:highlight w:val="none"/>
                    </w:rPr>
                    <w:t>/</w:t>
                  </w:r>
                </w:p>
              </w:tc>
              <w:tc>
                <w:tcPr>
                  <w:tcW w:w="209" w:type="pct"/>
                  <w:shd w:val="clear" w:color="auto" w:fill="auto"/>
                  <w:vAlign w:val="center"/>
                </w:tcPr>
                <w:p w14:paraId="79B6D70C">
                  <w:pPr>
                    <w:spacing w:line="0" w:lineRule="atLeast"/>
                    <w:jc w:val="center"/>
                    <w:rPr>
                      <w:rFonts w:hint="eastAsia" w:ascii="Times New Roman" w:hAnsi="Times New Roman" w:eastAsia="宋体" w:cs="Times New Roman"/>
                      <w:color w:val="auto"/>
                      <w:spacing w:val="-20"/>
                      <w:kern w:val="2"/>
                      <w:sz w:val="18"/>
                      <w:szCs w:val="18"/>
                      <w:highlight w:val="none"/>
                      <w:lang w:val="en-US" w:eastAsia="zh-CN" w:bidi="ar-SA"/>
                    </w:rPr>
                  </w:pPr>
                  <w:r>
                    <w:rPr>
                      <w:rFonts w:hint="eastAsia"/>
                      <w:color w:val="auto"/>
                      <w:spacing w:val="-20"/>
                      <w:sz w:val="18"/>
                      <w:szCs w:val="18"/>
                      <w:highlight w:val="none"/>
                    </w:rPr>
                    <w:t>固态</w:t>
                  </w:r>
                </w:p>
              </w:tc>
              <w:tc>
                <w:tcPr>
                  <w:tcW w:w="294" w:type="pct"/>
                  <w:tcBorders>
                    <w:top w:val="single" w:color="auto" w:sz="4" w:space="0"/>
                    <w:bottom w:val="single" w:color="auto" w:sz="4" w:space="0"/>
                  </w:tcBorders>
                  <w:shd w:val="clear" w:color="auto" w:fill="auto"/>
                  <w:vAlign w:val="center"/>
                </w:tcPr>
                <w:p w14:paraId="14ACEE01">
                  <w:pPr>
                    <w:spacing w:line="0" w:lineRule="atLeast"/>
                    <w:jc w:val="center"/>
                    <w:rPr>
                      <w:rFonts w:hint="eastAsia" w:ascii="Times New Roman" w:hAnsi="Times New Roman" w:eastAsia="宋体" w:cs="Times New Roman"/>
                      <w:color w:val="auto"/>
                      <w:spacing w:val="-20"/>
                      <w:kern w:val="2"/>
                      <w:sz w:val="18"/>
                      <w:szCs w:val="18"/>
                      <w:highlight w:val="none"/>
                      <w:lang w:val="en-US" w:eastAsia="zh-CN" w:bidi="ar-SA"/>
                    </w:rPr>
                  </w:pPr>
                  <w:r>
                    <w:rPr>
                      <w:rFonts w:hint="eastAsia"/>
                      <w:color w:val="auto"/>
                      <w:spacing w:val="-20"/>
                      <w:sz w:val="18"/>
                      <w:szCs w:val="18"/>
                      <w:highlight w:val="none"/>
                    </w:rPr>
                    <w:t>/</w:t>
                  </w:r>
                </w:p>
              </w:tc>
              <w:tc>
                <w:tcPr>
                  <w:tcW w:w="497" w:type="pct"/>
                  <w:vMerge w:val="continue"/>
                  <w:tcBorders>
                    <w:right w:val="single" w:color="auto" w:sz="4" w:space="0"/>
                  </w:tcBorders>
                  <w:vAlign w:val="center"/>
                </w:tcPr>
                <w:p w14:paraId="622D725E">
                  <w:pPr>
                    <w:spacing w:line="0" w:lineRule="atLeast"/>
                    <w:jc w:val="center"/>
                    <w:rPr>
                      <w:color w:val="auto"/>
                      <w:spacing w:val="-20"/>
                      <w:sz w:val="18"/>
                      <w:szCs w:val="18"/>
                      <w:highlight w:val="none"/>
                    </w:rPr>
                  </w:pPr>
                </w:p>
              </w:tc>
              <w:tc>
                <w:tcPr>
                  <w:tcW w:w="568" w:type="pct"/>
                  <w:tcBorders>
                    <w:top w:val="single" w:color="auto" w:sz="4" w:space="0"/>
                    <w:bottom w:val="single" w:color="auto" w:sz="4" w:space="0"/>
                  </w:tcBorders>
                  <w:shd w:val="clear" w:color="auto" w:fill="auto"/>
                  <w:vAlign w:val="center"/>
                </w:tcPr>
                <w:p w14:paraId="508A1A0A">
                  <w:pPr>
                    <w:spacing w:line="0" w:lineRule="atLeast"/>
                    <w:jc w:val="center"/>
                    <w:rPr>
                      <w:rFonts w:hint="eastAsia" w:ascii="Times New Roman" w:hAnsi="Times New Roman" w:eastAsia="宋体" w:cs="Times New Roman"/>
                      <w:color w:val="auto"/>
                      <w:spacing w:val="-20"/>
                      <w:kern w:val="2"/>
                      <w:sz w:val="18"/>
                      <w:szCs w:val="18"/>
                      <w:highlight w:val="none"/>
                      <w:lang w:val="en-US" w:eastAsia="zh-CN" w:bidi="ar-SA"/>
                    </w:rPr>
                  </w:pPr>
                  <w:r>
                    <w:rPr>
                      <w:rFonts w:hint="eastAsia"/>
                      <w:color w:val="auto"/>
                      <w:spacing w:val="-20"/>
                      <w:sz w:val="18"/>
                      <w:szCs w:val="18"/>
                      <w:highlight w:val="none"/>
                      <w:lang w:val="en-US" w:eastAsia="zh-CN"/>
                    </w:rPr>
                    <w:t>外售综合利用</w:t>
                  </w:r>
                </w:p>
              </w:tc>
              <w:tc>
                <w:tcPr>
                  <w:tcW w:w="470" w:type="pct"/>
                  <w:vAlign w:val="center"/>
                </w:tcPr>
                <w:p w14:paraId="305B3C9D">
                  <w:pPr>
                    <w:spacing w:line="0" w:lineRule="atLeast"/>
                    <w:jc w:val="center"/>
                    <w:rPr>
                      <w:rFonts w:hint="default" w:ascii="Times New Roman" w:hAnsi="Times New Roman" w:eastAsia="宋体" w:cs="Times New Roman"/>
                      <w:color w:val="auto"/>
                      <w:spacing w:val="-20"/>
                      <w:kern w:val="2"/>
                      <w:sz w:val="18"/>
                      <w:szCs w:val="18"/>
                      <w:highlight w:val="none"/>
                      <w:lang w:val="en-US" w:eastAsia="zh-CN" w:bidi="ar-SA"/>
                    </w:rPr>
                  </w:pPr>
                  <w:r>
                    <w:rPr>
                      <w:rFonts w:hint="eastAsia" w:cs="Times New Roman"/>
                      <w:color w:val="auto"/>
                      <w:spacing w:val="-20"/>
                      <w:kern w:val="2"/>
                      <w:sz w:val="18"/>
                      <w:szCs w:val="18"/>
                      <w:highlight w:val="none"/>
                      <w:lang w:val="en-US" w:eastAsia="zh-CN" w:bidi="ar-SA"/>
                    </w:rPr>
                    <w:t>0.05</w:t>
                  </w:r>
                </w:p>
              </w:tc>
              <w:tc>
                <w:tcPr>
                  <w:tcW w:w="418" w:type="pct"/>
                  <w:vMerge w:val="continue"/>
                  <w:vAlign w:val="center"/>
                </w:tcPr>
                <w:p w14:paraId="32668752">
                  <w:pPr>
                    <w:spacing w:line="0" w:lineRule="atLeast"/>
                    <w:jc w:val="center"/>
                    <w:rPr>
                      <w:color w:val="auto"/>
                      <w:spacing w:val="-20"/>
                      <w:sz w:val="18"/>
                      <w:szCs w:val="18"/>
                      <w:highlight w:val="none"/>
                    </w:rPr>
                  </w:pPr>
                </w:p>
              </w:tc>
            </w:tr>
            <w:tr w14:paraId="4B2BA884">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192" w:type="pct"/>
                  <w:vAlign w:val="center"/>
                </w:tcPr>
                <w:p w14:paraId="37DC5E33">
                  <w:pPr>
                    <w:spacing w:line="0" w:lineRule="atLeast"/>
                    <w:jc w:val="center"/>
                    <w:rPr>
                      <w:rFonts w:hint="default" w:ascii="Times New Roman" w:hAnsi="Times New Roman" w:eastAsia="宋体" w:cs="Times New Roman"/>
                      <w:color w:val="auto"/>
                      <w:spacing w:val="-20"/>
                      <w:kern w:val="2"/>
                      <w:sz w:val="18"/>
                      <w:szCs w:val="18"/>
                      <w:highlight w:val="none"/>
                      <w:lang w:val="en-US" w:eastAsia="zh-CN" w:bidi="ar-SA"/>
                    </w:rPr>
                  </w:pPr>
                  <w:r>
                    <w:rPr>
                      <w:rFonts w:hint="eastAsia" w:cs="Times New Roman"/>
                      <w:color w:val="auto"/>
                      <w:spacing w:val="-20"/>
                      <w:kern w:val="2"/>
                      <w:sz w:val="18"/>
                      <w:szCs w:val="18"/>
                      <w:highlight w:val="none"/>
                      <w:lang w:val="en-US" w:eastAsia="zh-CN" w:bidi="ar-SA"/>
                    </w:rPr>
                    <w:t>6</w:t>
                  </w:r>
                </w:p>
              </w:tc>
              <w:tc>
                <w:tcPr>
                  <w:tcW w:w="382" w:type="pct"/>
                  <w:vAlign w:val="center"/>
                </w:tcPr>
                <w:p w14:paraId="50813C7B">
                  <w:pPr>
                    <w:spacing w:line="0" w:lineRule="atLeast"/>
                    <w:jc w:val="center"/>
                    <w:rPr>
                      <w:rFonts w:hint="eastAsia" w:eastAsia="宋体"/>
                      <w:color w:val="auto"/>
                      <w:spacing w:val="-20"/>
                      <w:sz w:val="18"/>
                      <w:szCs w:val="18"/>
                      <w:highlight w:val="none"/>
                      <w:lang w:val="en-US" w:eastAsia="zh-CN"/>
                    </w:rPr>
                  </w:pPr>
                  <w:r>
                    <w:rPr>
                      <w:rFonts w:hint="eastAsia"/>
                      <w:color w:val="auto"/>
                      <w:spacing w:val="-20"/>
                      <w:sz w:val="18"/>
                      <w:szCs w:val="18"/>
                      <w:highlight w:val="none"/>
                      <w:lang w:val="en-US" w:eastAsia="zh-CN"/>
                    </w:rPr>
                    <w:t>沉降灰</w:t>
                  </w:r>
                </w:p>
              </w:tc>
              <w:tc>
                <w:tcPr>
                  <w:tcW w:w="504" w:type="pct"/>
                  <w:vAlign w:val="center"/>
                </w:tcPr>
                <w:p w14:paraId="01827BC0">
                  <w:pPr>
                    <w:spacing w:line="0" w:lineRule="atLeast"/>
                    <w:jc w:val="center"/>
                    <w:rPr>
                      <w:color w:val="auto"/>
                      <w:spacing w:val="-20"/>
                      <w:sz w:val="18"/>
                      <w:szCs w:val="18"/>
                      <w:highlight w:val="none"/>
                    </w:rPr>
                  </w:pPr>
                  <w:r>
                    <w:rPr>
                      <w:rFonts w:hint="eastAsia"/>
                      <w:color w:val="auto"/>
                      <w:spacing w:val="-10"/>
                      <w:sz w:val="18"/>
                      <w:szCs w:val="18"/>
                      <w:highlight w:val="none"/>
                      <w:lang w:val="en-US" w:eastAsia="zh-CN"/>
                    </w:rPr>
                    <w:t>车间沉降</w:t>
                  </w:r>
                </w:p>
              </w:tc>
              <w:tc>
                <w:tcPr>
                  <w:tcW w:w="280" w:type="pct"/>
                  <w:vMerge w:val="continue"/>
                  <w:vAlign w:val="center"/>
                </w:tcPr>
                <w:p w14:paraId="733BF9F3">
                  <w:pPr>
                    <w:spacing w:line="0" w:lineRule="atLeast"/>
                    <w:jc w:val="center"/>
                    <w:rPr>
                      <w:color w:val="auto"/>
                      <w:spacing w:val="-20"/>
                      <w:sz w:val="18"/>
                      <w:szCs w:val="18"/>
                      <w:highlight w:val="none"/>
                    </w:rPr>
                  </w:pPr>
                </w:p>
              </w:tc>
              <w:tc>
                <w:tcPr>
                  <w:tcW w:w="494" w:type="pct"/>
                  <w:tcBorders>
                    <w:bottom w:val="single" w:color="auto" w:sz="4" w:space="0"/>
                  </w:tcBorders>
                  <w:vAlign w:val="center"/>
                </w:tcPr>
                <w:p w14:paraId="6F6309E5">
                  <w:pPr>
                    <w:spacing w:line="0" w:lineRule="atLeast"/>
                    <w:jc w:val="center"/>
                    <w:rPr>
                      <w:color w:val="auto"/>
                      <w:spacing w:val="-11"/>
                      <w:sz w:val="18"/>
                      <w:szCs w:val="18"/>
                      <w:highlight w:val="none"/>
                    </w:rPr>
                  </w:pPr>
                  <w:r>
                    <w:rPr>
                      <w:rFonts w:hint="eastAsia" w:ascii="Times New Roman" w:hAnsi="Times New Roman" w:eastAsia="宋体" w:cs="Times New Roman"/>
                      <w:color w:val="auto"/>
                      <w:spacing w:val="-20"/>
                      <w:sz w:val="18"/>
                      <w:szCs w:val="18"/>
                      <w:highlight w:val="none"/>
                      <w:lang w:val="en-US" w:eastAsia="zh-CN"/>
                    </w:rPr>
                    <w:t>900-0</w:t>
                  </w:r>
                  <w:r>
                    <w:rPr>
                      <w:rFonts w:hint="eastAsia" w:eastAsia="宋体" w:cs="Times New Roman"/>
                      <w:color w:val="auto"/>
                      <w:spacing w:val="-20"/>
                      <w:sz w:val="18"/>
                      <w:szCs w:val="18"/>
                      <w:highlight w:val="none"/>
                      <w:lang w:val="en-US" w:eastAsia="zh-CN"/>
                    </w:rPr>
                    <w:t>9</w:t>
                  </w:r>
                  <w:r>
                    <w:rPr>
                      <w:rFonts w:hint="eastAsia" w:ascii="Times New Roman" w:hAnsi="Times New Roman" w:eastAsia="宋体" w:cs="Times New Roman"/>
                      <w:color w:val="auto"/>
                      <w:spacing w:val="-20"/>
                      <w:sz w:val="18"/>
                      <w:szCs w:val="18"/>
                      <w:highlight w:val="none"/>
                      <w:lang w:val="en-US" w:eastAsia="zh-CN"/>
                    </w:rPr>
                    <w:t>9-S59</w:t>
                  </w:r>
                </w:p>
              </w:tc>
              <w:tc>
                <w:tcPr>
                  <w:tcW w:w="326" w:type="pct"/>
                  <w:tcBorders>
                    <w:bottom w:val="single" w:color="auto" w:sz="4" w:space="0"/>
                  </w:tcBorders>
                  <w:vAlign w:val="center"/>
                </w:tcPr>
                <w:p w14:paraId="1C897771">
                  <w:pPr>
                    <w:spacing w:line="0" w:lineRule="atLeast"/>
                    <w:jc w:val="center"/>
                    <w:rPr>
                      <w:rFonts w:hint="default" w:eastAsia="宋体"/>
                      <w:color w:val="auto"/>
                      <w:spacing w:val="-20"/>
                      <w:sz w:val="18"/>
                      <w:szCs w:val="18"/>
                      <w:highlight w:val="none"/>
                      <w:lang w:val="en-US" w:eastAsia="zh-CN"/>
                    </w:rPr>
                  </w:pPr>
                  <w:r>
                    <w:rPr>
                      <w:rFonts w:hint="eastAsia"/>
                      <w:color w:val="auto"/>
                      <w:spacing w:val="-20"/>
                      <w:sz w:val="18"/>
                      <w:szCs w:val="18"/>
                      <w:highlight w:val="none"/>
                      <w:lang w:val="en-US" w:eastAsia="zh-CN"/>
                    </w:rPr>
                    <w:t>36.625</w:t>
                  </w:r>
                </w:p>
              </w:tc>
              <w:tc>
                <w:tcPr>
                  <w:tcW w:w="360" w:type="pct"/>
                  <w:shd w:val="clear" w:color="auto" w:fill="auto"/>
                  <w:vAlign w:val="center"/>
                </w:tcPr>
                <w:p w14:paraId="278F2901">
                  <w:pPr>
                    <w:spacing w:line="0" w:lineRule="atLeast"/>
                    <w:jc w:val="center"/>
                    <w:rPr>
                      <w:rFonts w:hint="eastAsia" w:ascii="Times New Roman" w:hAnsi="Times New Roman" w:eastAsia="宋体" w:cs="Times New Roman"/>
                      <w:color w:val="auto"/>
                      <w:spacing w:val="-20"/>
                      <w:kern w:val="2"/>
                      <w:sz w:val="18"/>
                      <w:szCs w:val="18"/>
                      <w:highlight w:val="none"/>
                      <w:lang w:val="en-US" w:eastAsia="zh-CN" w:bidi="ar-SA"/>
                    </w:rPr>
                  </w:pPr>
                  <w:r>
                    <w:rPr>
                      <w:rFonts w:hint="eastAsia"/>
                      <w:color w:val="auto"/>
                      <w:spacing w:val="-20"/>
                      <w:sz w:val="18"/>
                      <w:szCs w:val="18"/>
                      <w:highlight w:val="none"/>
                    </w:rPr>
                    <w:t>/</w:t>
                  </w:r>
                </w:p>
              </w:tc>
              <w:tc>
                <w:tcPr>
                  <w:tcW w:w="209" w:type="pct"/>
                  <w:shd w:val="clear" w:color="auto" w:fill="auto"/>
                  <w:vAlign w:val="center"/>
                </w:tcPr>
                <w:p w14:paraId="1675371E">
                  <w:pPr>
                    <w:spacing w:line="0" w:lineRule="atLeast"/>
                    <w:jc w:val="center"/>
                    <w:rPr>
                      <w:rFonts w:hint="eastAsia" w:ascii="Times New Roman" w:hAnsi="Times New Roman" w:eastAsia="宋体" w:cs="Times New Roman"/>
                      <w:color w:val="auto"/>
                      <w:spacing w:val="-20"/>
                      <w:kern w:val="2"/>
                      <w:sz w:val="18"/>
                      <w:szCs w:val="18"/>
                      <w:highlight w:val="none"/>
                      <w:lang w:val="en-US" w:eastAsia="zh-CN" w:bidi="ar-SA"/>
                    </w:rPr>
                  </w:pPr>
                  <w:r>
                    <w:rPr>
                      <w:rFonts w:hint="eastAsia"/>
                      <w:color w:val="auto"/>
                      <w:spacing w:val="-20"/>
                      <w:sz w:val="18"/>
                      <w:szCs w:val="18"/>
                      <w:highlight w:val="none"/>
                    </w:rPr>
                    <w:t>固态</w:t>
                  </w:r>
                </w:p>
              </w:tc>
              <w:tc>
                <w:tcPr>
                  <w:tcW w:w="294" w:type="pct"/>
                  <w:shd w:val="clear" w:color="auto" w:fill="auto"/>
                  <w:vAlign w:val="center"/>
                </w:tcPr>
                <w:p w14:paraId="4771636E">
                  <w:pPr>
                    <w:spacing w:line="0" w:lineRule="atLeast"/>
                    <w:jc w:val="center"/>
                    <w:rPr>
                      <w:rFonts w:hint="eastAsia" w:ascii="Times New Roman" w:hAnsi="Times New Roman" w:eastAsia="宋体" w:cs="Times New Roman"/>
                      <w:color w:val="auto"/>
                      <w:spacing w:val="-20"/>
                      <w:kern w:val="2"/>
                      <w:sz w:val="18"/>
                      <w:szCs w:val="18"/>
                      <w:highlight w:val="none"/>
                      <w:lang w:val="en-US" w:eastAsia="zh-CN" w:bidi="ar-SA"/>
                    </w:rPr>
                  </w:pPr>
                  <w:r>
                    <w:rPr>
                      <w:rFonts w:hint="eastAsia"/>
                      <w:color w:val="auto"/>
                      <w:spacing w:val="-20"/>
                      <w:sz w:val="18"/>
                      <w:szCs w:val="18"/>
                      <w:highlight w:val="none"/>
                    </w:rPr>
                    <w:t>/</w:t>
                  </w:r>
                </w:p>
              </w:tc>
              <w:tc>
                <w:tcPr>
                  <w:tcW w:w="497" w:type="pct"/>
                  <w:vMerge w:val="continue"/>
                  <w:tcBorders>
                    <w:right w:val="single" w:color="auto" w:sz="4" w:space="0"/>
                  </w:tcBorders>
                  <w:vAlign w:val="center"/>
                </w:tcPr>
                <w:p w14:paraId="117F9C6C">
                  <w:pPr>
                    <w:spacing w:line="0" w:lineRule="atLeast"/>
                    <w:jc w:val="center"/>
                    <w:rPr>
                      <w:color w:val="auto"/>
                      <w:spacing w:val="-20"/>
                      <w:sz w:val="18"/>
                      <w:szCs w:val="18"/>
                      <w:highlight w:val="none"/>
                    </w:rPr>
                  </w:pPr>
                </w:p>
              </w:tc>
              <w:tc>
                <w:tcPr>
                  <w:tcW w:w="568" w:type="pct"/>
                  <w:tcBorders>
                    <w:bottom w:val="single" w:color="auto" w:sz="4" w:space="0"/>
                  </w:tcBorders>
                  <w:vAlign w:val="center"/>
                </w:tcPr>
                <w:p w14:paraId="065DCA25">
                  <w:pPr>
                    <w:spacing w:line="0" w:lineRule="atLeast"/>
                    <w:jc w:val="center"/>
                    <w:rPr>
                      <w:color w:val="auto"/>
                      <w:spacing w:val="-20"/>
                      <w:sz w:val="18"/>
                      <w:szCs w:val="18"/>
                      <w:highlight w:val="none"/>
                    </w:rPr>
                  </w:pPr>
                  <w:r>
                    <w:rPr>
                      <w:rFonts w:hint="eastAsia" w:ascii="Times New Roman" w:hAnsi="Times New Roman" w:eastAsia="宋体" w:cs="Times New Roman"/>
                      <w:color w:val="auto"/>
                      <w:spacing w:val="-20"/>
                      <w:sz w:val="18"/>
                      <w:szCs w:val="18"/>
                      <w:highlight w:val="none"/>
                      <w:lang w:val="en-US" w:eastAsia="zh-CN"/>
                    </w:rPr>
                    <w:t>外售砖厂进行制砖</w:t>
                  </w:r>
                </w:p>
              </w:tc>
              <w:tc>
                <w:tcPr>
                  <w:tcW w:w="470" w:type="pct"/>
                  <w:vAlign w:val="center"/>
                </w:tcPr>
                <w:p w14:paraId="2D7BA25F">
                  <w:pPr>
                    <w:spacing w:line="0" w:lineRule="atLeast"/>
                    <w:jc w:val="center"/>
                    <w:rPr>
                      <w:rFonts w:hint="default" w:eastAsia="宋体"/>
                      <w:color w:val="auto"/>
                      <w:spacing w:val="-20"/>
                      <w:sz w:val="18"/>
                      <w:szCs w:val="18"/>
                      <w:highlight w:val="none"/>
                      <w:lang w:val="en-US" w:eastAsia="zh-CN"/>
                    </w:rPr>
                  </w:pPr>
                  <w:r>
                    <w:rPr>
                      <w:rFonts w:hint="eastAsia"/>
                      <w:color w:val="auto"/>
                      <w:spacing w:val="-20"/>
                      <w:sz w:val="18"/>
                      <w:szCs w:val="18"/>
                      <w:highlight w:val="none"/>
                      <w:lang w:val="en-US" w:eastAsia="zh-CN"/>
                    </w:rPr>
                    <w:t>36.625</w:t>
                  </w:r>
                </w:p>
              </w:tc>
              <w:tc>
                <w:tcPr>
                  <w:tcW w:w="418" w:type="pct"/>
                  <w:vMerge w:val="continue"/>
                  <w:vAlign w:val="center"/>
                </w:tcPr>
                <w:p w14:paraId="2ACB702B">
                  <w:pPr>
                    <w:spacing w:line="0" w:lineRule="atLeast"/>
                    <w:jc w:val="center"/>
                    <w:rPr>
                      <w:color w:val="auto"/>
                      <w:spacing w:val="-20"/>
                      <w:sz w:val="18"/>
                      <w:szCs w:val="18"/>
                      <w:highlight w:val="none"/>
                    </w:rPr>
                  </w:pPr>
                </w:p>
              </w:tc>
            </w:tr>
            <w:tr w14:paraId="30C5923D">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192" w:type="pct"/>
                  <w:vAlign w:val="center"/>
                </w:tcPr>
                <w:p w14:paraId="4FBE00B8">
                  <w:pPr>
                    <w:spacing w:line="0" w:lineRule="atLeast"/>
                    <w:jc w:val="center"/>
                    <w:rPr>
                      <w:rFonts w:hint="default" w:cs="Times New Roman"/>
                      <w:color w:val="auto"/>
                      <w:spacing w:val="-20"/>
                      <w:kern w:val="2"/>
                      <w:sz w:val="18"/>
                      <w:szCs w:val="18"/>
                      <w:highlight w:val="none"/>
                      <w:lang w:val="en-US" w:eastAsia="zh-CN" w:bidi="ar-SA"/>
                    </w:rPr>
                  </w:pPr>
                  <w:r>
                    <w:rPr>
                      <w:rFonts w:hint="eastAsia" w:cs="Times New Roman"/>
                      <w:color w:val="auto"/>
                      <w:spacing w:val="-20"/>
                      <w:kern w:val="2"/>
                      <w:sz w:val="18"/>
                      <w:szCs w:val="18"/>
                      <w:highlight w:val="none"/>
                      <w:lang w:val="en-US" w:eastAsia="zh-CN" w:bidi="ar-SA"/>
                    </w:rPr>
                    <w:t>7</w:t>
                  </w:r>
                </w:p>
              </w:tc>
              <w:tc>
                <w:tcPr>
                  <w:tcW w:w="382" w:type="pct"/>
                  <w:vAlign w:val="center"/>
                </w:tcPr>
                <w:p w14:paraId="0EFF7C3F">
                  <w:pPr>
                    <w:spacing w:line="0" w:lineRule="atLeast"/>
                    <w:jc w:val="center"/>
                    <w:rPr>
                      <w:rFonts w:hint="default"/>
                      <w:color w:val="auto"/>
                      <w:spacing w:val="-20"/>
                      <w:sz w:val="18"/>
                      <w:szCs w:val="18"/>
                      <w:highlight w:val="none"/>
                      <w:lang w:val="en-US" w:eastAsia="zh-CN"/>
                    </w:rPr>
                  </w:pPr>
                  <w:r>
                    <w:rPr>
                      <w:rFonts w:hint="eastAsia"/>
                      <w:color w:val="auto"/>
                      <w:spacing w:val="-20"/>
                      <w:sz w:val="18"/>
                      <w:szCs w:val="18"/>
                      <w:highlight w:val="none"/>
                      <w:lang w:val="en-US" w:eastAsia="zh-CN"/>
                    </w:rPr>
                    <w:t>废滤布</w:t>
                  </w:r>
                </w:p>
              </w:tc>
              <w:tc>
                <w:tcPr>
                  <w:tcW w:w="504" w:type="pct"/>
                  <w:vMerge w:val="restart"/>
                  <w:vAlign w:val="center"/>
                </w:tcPr>
                <w:p w14:paraId="07593FDD">
                  <w:pPr>
                    <w:spacing w:line="0" w:lineRule="atLeast"/>
                    <w:jc w:val="center"/>
                    <w:rPr>
                      <w:rFonts w:hint="default"/>
                      <w:color w:val="auto"/>
                      <w:spacing w:val="-10"/>
                      <w:sz w:val="18"/>
                      <w:szCs w:val="18"/>
                      <w:highlight w:val="none"/>
                      <w:lang w:val="en-US" w:eastAsia="zh-CN"/>
                    </w:rPr>
                  </w:pPr>
                  <w:r>
                    <w:rPr>
                      <w:rFonts w:hint="eastAsia"/>
                      <w:color w:val="auto"/>
                      <w:spacing w:val="-10"/>
                      <w:sz w:val="18"/>
                      <w:szCs w:val="18"/>
                      <w:highlight w:val="none"/>
                      <w:lang w:val="en-US" w:eastAsia="zh-CN"/>
                    </w:rPr>
                    <w:t>板框压滤机</w:t>
                  </w:r>
                </w:p>
              </w:tc>
              <w:tc>
                <w:tcPr>
                  <w:tcW w:w="280" w:type="pct"/>
                  <w:vMerge w:val="continue"/>
                  <w:vAlign w:val="center"/>
                </w:tcPr>
                <w:p w14:paraId="37B12E63">
                  <w:pPr>
                    <w:spacing w:line="0" w:lineRule="atLeast"/>
                    <w:jc w:val="center"/>
                    <w:rPr>
                      <w:color w:val="auto"/>
                      <w:spacing w:val="-20"/>
                      <w:sz w:val="18"/>
                      <w:szCs w:val="18"/>
                      <w:highlight w:val="none"/>
                    </w:rPr>
                  </w:pPr>
                </w:p>
              </w:tc>
              <w:tc>
                <w:tcPr>
                  <w:tcW w:w="494" w:type="pct"/>
                  <w:tcBorders>
                    <w:bottom w:val="single" w:color="auto" w:sz="4" w:space="0"/>
                  </w:tcBorders>
                  <w:vAlign w:val="center"/>
                </w:tcPr>
                <w:p w14:paraId="7F04FB89">
                  <w:pPr>
                    <w:spacing w:line="0" w:lineRule="atLeast"/>
                    <w:jc w:val="center"/>
                    <w:rPr>
                      <w:rFonts w:hint="eastAsia" w:ascii="Times New Roman" w:hAnsi="Times New Roman" w:eastAsia="宋体" w:cs="Times New Roman"/>
                      <w:color w:val="auto"/>
                      <w:spacing w:val="-20"/>
                      <w:sz w:val="18"/>
                      <w:szCs w:val="18"/>
                      <w:highlight w:val="none"/>
                      <w:lang w:val="en-US" w:eastAsia="zh-CN"/>
                    </w:rPr>
                  </w:pPr>
                  <w:r>
                    <w:rPr>
                      <w:rFonts w:hint="eastAsia" w:ascii="Times New Roman" w:hAnsi="Times New Roman" w:eastAsia="宋体" w:cs="Times New Roman"/>
                      <w:color w:val="auto"/>
                      <w:spacing w:val="-20"/>
                      <w:sz w:val="18"/>
                      <w:szCs w:val="18"/>
                      <w:highlight w:val="none"/>
                      <w:lang w:val="en-US" w:eastAsia="zh-CN"/>
                    </w:rPr>
                    <w:t>900-009-S59</w:t>
                  </w:r>
                </w:p>
              </w:tc>
              <w:tc>
                <w:tcPr>
                  <w:tcW w:w="326" w:type="pct"/>
                  <w:tcBorders>
                    <w:bottom w:val="single" w:color="auto" w:sz="4" w:space="0"/>
                  </w:tcBorders>
                  <w:vAlign w:val="center"/>
                </w:tcPr>
                <w:p w14:paraId="3B99F29A">
                  <w:pPr>
                    <w:spacing w:line="0" w:lineRule="atLeast"/>
                    <w:jc w:val="center"/>
                    <w:rPr>
                      <w:rFonts w:hint="default" w:eastAsia="宋体"/>
                      <w:color w:val="auto"/>
                      <w:spacing w:val="-20"/>
                      <w:sz w:val="18"/>
                      <w:szCs w:val="18"/>
                      <w:highlight w:val="none"/>
                      <w:lang w:val="en-US" w:eastAsia="zh-CN"/>
                    </w:rPr>
                  </w:pPr>
                  <w:r>
                    <w:rPr>
                      <w:rFonts w:hint="eastAsia"/>
                      <w:color w:val="auto"/>
                      <w:spacing w:val="-20"/>
                      <w:sz w:val="18"/>
                      <w:szCs w:val="18"/>
                      <w:highlight w:val="none"/>
                      <w:lang w:val="en-US" w:eastAsia="zh-CN"/>
                    </w:rPr>
                    <w:t>0.8</w:t>
                  </w:r>
                </w:p>
              </w:tc>
              <w:tc>
                <w:tcPr>
                  <w:tcW w:w="360" w:type="pct"/>
                  <w:shd w:val="clear" w:color="auto" w:fill="auto"/>
                  <w:vAlign w:val="center"/>
                </w:tcPr>
                <w:p w14:paraId="21EB2D88">
                  <w:pPr>
                    <w:spacing w:line="0" w:lineRule="atLeast"/>
                    <w:jc w:val="center"/>
                    <w:rPr>
                      <w:rFonts w:hint="eastAsia" w:ascii="Times New Roman" w:hAnsi="Times New Roman" w:eastAsia="宋体" w:cs="Times New Roman"/>
                      <w:color w:val="auto"/>
                      <w:spacing w:val="-20"/>
                      <w:kern w:val="2"/>
                      <w:sz w:val="18"/>
                      <w:szCs w:val="18"/>
                      <w:highlight w:val="none"/>
                      <w:lang w:val="en-US" w:eastAsia="zh-CN" w:bidi="ar-SA"/>
                    </w:rPr>
                  </w:pPr>
                  <w:r>
                    <w:rPr>
                      <w:rFonts w:hint="eastAsia"/>
                      <w:color w:val="auto"/>
                      <w:spacing w:val="-20"/>
                      <w:sz w:val="18"/>
                      <w:szCs w:val="18"/>
                      <w:highlight w:val="none"/>
                    </w:rPr>
                    <w:t>/</w:t>
                  </w:r>
                </w:p>
              </w:tc>
              <w:tc>
                <w:tcPr>
                  <w:tcW w:w="209" w:type="pct"/>
                  <w:shd w:val="clear" w:color="auto" w:fill="auto"/>
                  <w:vAlign w:val="center"/>
                </w:tcPr>
                <w:p w14:paraId="105B1E25">
                  <w:pPr>
                    <w:spacing w:line="0" w:lineRule="atLeast"/>
                    <w:jc w:val="center"/>
                    <w:rPr>
                      <w:rFonts w:hint="eastAsia" w:ascii="Times New Roman" w:hAnsi="Times New Roman" w:eastAsia="宋体" w:cs="Times New Roman"/>
                      <w:color w:val="auto"/>
                      <w:spacing w:val="-20"/>
                      <w:kern w:val="2"/>
                      <w:sz w:val="18"/>
                      <w:szCs w:val="18"/>
                      <w:highlight w:val="none"/>
                      <w:lang w:val="en-US" w:eastAsia="zh-CN" w:bidi="ar-SA"/>
                    </w:rPr>
                  </w:pPr>
                  <w:r>
                    <w:rPr>
                      <w:rFonts w:hint="eastAsia"/>
                      <w:color w:val="auto"/>
                      <w:spacing w:val="-20"/>
                      <w:sz w:val="18"/>
                      <w:szCs w:val="18"/>
                      <w:highlight w:val="none"/>
                    </w:rPr>
                    <w:t>固态</w:t>
                  </w:r>
                </w:p>
              </w:tc>
              <w:tc>
                <w:tcPr>
                  <w:tcW w:w="294" w:type="pct"/>
                  <w:shd w:val="clear" w:color="auto" w:fill="auto"/>
                  <w:vAlign w:val="center"/>
                </w:tcPr>
                <w:p w14:paraId="2D4483CB">
                  <w:pPr>
                    <w:spacing w:line="0" w:lineRule="atLeast"/>
                    <w:jc w:val="center"/>
                    <w:rPr>
                      <w:rFonts w:hint="eastAsia" w:ascii="Times New Roman" w:hAnsi="Times New Roman" w:eastAsia="宋体" w:cs="Times New Roman"/>
                      <w:color w:val="auto"/>
                      <w:spacing w:val="-20"/>
                      <w:kern w:val="2"/>
                      <w:sz w:val="18"/>
                      <w:szCs w:val="18"/>
                      <w:highlight w:val="none"/>
                      <w:lang w:val="en-US" w:eastAsia="zh-CN" w:bidi="ar-SA"/>
                    </w:rPr>
                  </w:pPr>
                  <w:r>
                    <w:rPr>
                      <w:rFonts w:hint="eastAsia"/>
                      <w:color w:val="auto"/>
                      <w:spacing w:val="-20"/>
                      <w:sz w:val="18"/>
                      <w:szCs w:val="18"/>
                      <w:highlight w:val="none"/>
                    </w:rPr>
                    <w:t>/</w:t>
                  </w:r>
                </w:p>
              </w:tc>
              <w:tc>
                <w:tcPr>
                  <w:tcW w:w="497" w:type="pct"/>
                  <w:vMerge w:val="continue"/>
                  <w:tcBorders>
                    <w:bottom w:val="single" w:color="auto" w:sz="4" w:space="0"/>
                    <w:right w:val="single" w:color="auto" w:sz="4" w:space="0"/>
                  </w:tcBorders>
                  <w:vAlign w:val="center"/>
                </w:tcPr>
                <w:p w14:paraId="5694E55E">
                  <w:pPr>
                    <w:spacing w:line="0" w:lineRule="atLeast"/>
                    <w:jc w:val="center"/>
                    <w:rPr>
                      <w:color w:val="auto"/>
                      <w:spacing w:val="-20"/>
                      <w:sz w:val="18"/>
                      <w:szCs w:val="18"/>
                      <w:highlight w:val="none"/>
                    </w:rPr>
                  </w:pPr>
                </w:p>
              </w:tc>
              <w:tc>
                <w:tcPr>
                  <w:tcW w:w="568" w:type="pct"/>
                  <w:tcBorders>
                    <w:bottom w:val="single" w:color="auto" w:sz="4" w:space="0"/>
                  </w:tcBorders>
                  <w:vAlign w:val="center"/>
                </w:tcPr>
                <w:p w14:paraId="64B24C6F">
                  <w:pPr>
                    <w:spacing w:line="0" w:lineRule="atLeast"/>
                    <w:jc w:val="center"/>
                    <w:rPr>
                      <w:rFonts w:hint="eastAsia" w:ascii="Times New Roman" w:hAnsi="Times New Roman" w:eastAsia="宋体" w:cs="Times New Roman"/>
                      <w:color w:val="auto"/>
                      <w:spacing w:val="-20"/>
                      <w:sz w:val="18"/>
                      <w:szCs w:val="18"/>
                      <w:highlight w:val="none"/>
                      <w:lang w:val="en-US" w:eastAsia="zh-CN"/>
                    </w:rPr>
                  </w:pPr>
                  <w:r>
                    <w:rPr>
                      <w:rFonts w:hint="eastAsia"/>
                      <w:color w:val="auto"/>
                      <w:spacing w:val="-20"/>
                      <w:sz w:val="18"/>
                      <w:szCs w:val="18"/>
                      <w:highlight w:val="none"/>
                      <w:lang w:val="en-US" w:eastAsia="zh-CN"/>
                    </w:rPr>
                    <w:t>外售综合利用</w:t>
                  </w:r>
                </w:p>
              </w:tc>
              <w:tc>
                <w:tcPr>
                  <w:tcW w:w="470" w:type="pct"/>
                  <w:vAlign w:val="center"/>
                </w:tcPr>
                <w:p w14:paraId="1ABEA50F">
                  <w:pPr>
                    <w:spacing w:line="0" w:lineRule="atLeast"/>
                    <w:jc w:val="center"/>
                    <w:rPr>
                      <w:rFonts w:hint="default" w:eastAsia="宋体"/>
                      <w:color w:val="auto"/>
                      <w:spacing w:val="-20"/>
                      <w:sz w:val="18"/>
                      <w:szCs w:val="18"/>
                      <w:highlight w:val="none"/>
                      <w:lang w:val="en-US" w:eastAsia="zh-CN"/>
                    </w:rPr>
                  </w:pPr>
                  <w:r>
                    <w:rPr>
                      <w:rFonts w:hint="eastAsia"/>
                      <w:color w:val="auto"/>
                      <w:spacing w:val="-20"/>
                      <w:sz w:val="18"/>
                      <w:szCs w:val="18"/>
                      <w:highlight w:val="none"/>
                      <w:lang w:val="en-US" w:eastAsia="zh-CN"/>
                    </w:rPr>
                    <w:t>0.8</w:t>
                  </w:r>
                </w:p>
              </w:tc>
              <w:tc>
                <w:tcPr>
                  <w:tcW w:w="418" w:type="pct"/>
                  <w:vMerge w:val="continue"/>
                  <w:vAlign w:val="center"/>
                </w:tcPr>
                <w:p w14:paraId="40E87018">
                  <w:pPr>
                    <w:spacing w:line="0" w:lineRule="atLeast"/>
                    <w:jc w:val="center"/>
                    <w:rPr>
                      <w:color w:val="auto"/>
                      <w:spacing w:val="-20"/>
                      <w:sz w:val="18"/>
                      <w:szCs w:val="18"/>
                      <w:highlight w:val="none"/>
                    </w:rPr>
                  </w:pPr>
                </w:p>
              </w:tc>
            </w:tr>
            <w:tr w14:paraId="3E8EAF24">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PrEx>
              <w:trPr>
                <w:trHeight w:val="397" w:hRule="atLeast"/>
                <w:jc w:val="center"/>
              </w:trPr>
              <w:tc>
                <w:tcPr>
                  <w:tcW w:w="192" w:type="pct"/>
                  <w:vAlign w:val="center"/>
                </w:tcPr>
                <w:p w14:paraId="7CA35BBD">
                  <w:pPr>
                    <w:spacing w:line="0" w:lineRule="atLeast"/>
                    <w:jc w:val="center"/>
                    <w:rPr>
                      <w:rFonts w:hint="default"/>
                      <w:color w:val="auto"/>
                      <w:spacing w:val="-20"/>
                      <w:sz w:val="18"/>
                      <w:szCs w:val="18"/>
                      <w:highlight w:val="none"/>
                      <w:lang w:val="en-US" w:eastAsia="zh-CN"/>
                    </w:rPr>
                  </w:pPr>
                  <w:r>
                    <w:rPr>
                      <w:rFonts w:hint="eastAsia"/>
                      <w:color w:val="auto"/>
                      <w:spacing w:val="-20"/>
                      <w:sz w:val="18"/>
                      <w:szCs w:val="18"/>
                      <w:highlight w:val="none"/>
                      <w:lang w:val="en-US" w:eastAsia="zh-CN"/>
                    </w:rPr>
                    <w:t>8</w:t>
                  </w:r>
                </w:p>
              </w:tc>
              <w:tc>
                <w:tcPr>
                  <w:tcW w:w="382" w:type="pct"/>
                  <w:vAlign w:val="center"/>
                </w:tcPr>
                <w:p w14:paraId="651158BD">
                  <w:pPr>
                    <w:spacing w:line="0" w:lineRule="atLeast"/>
                    <w:jc w:val="center"/>
                    <w:rPr>
                      <w:rFonts w:hint="eastAsia" w:eastAsia="宋体"/>
                      <w:color w:val="auto"/>
                      <w:spacing w:val="-10"/>
                      <w:sz w:val="18"/>
                      <w:szCs w:val="18"/>
                      <w:highlight w:val="none"/>
                      <w:lang w:val="en-US" w:eastAsia="zh-CN"/>
                    </w:rPr>
                  </w:pPr>
                  <w:r>
                    <w:rPr>
                      <w:rFonts w:hint="eastAsia"/>
                      <w:color w:val="auto"/>
                      <w:spacing w:val="-10"/>
                      <w:sz w:val="18"/>
                      <w:szCs w:val="18"/>
                      <w:highlight w:val="none"/>
                      <w:lang w:val="en-US" w:eastAsia="zh-CN"/>
                    </w:rPr>
                    <w:t>泥饼</w:t>
                  </w:r>
                </w:p>
              </w:tc>
              <w:tc>
                <w:tcPr>
                  <w:tcW w:w="504" w:type="pct"/>
                  <w:vMerge w:val="continue"/>
                  <w:vAlign w:val="center"/>
                </w:tcPr>
                <w:p w14:paraId="41CF2E89">
                  <w:pPr>
                    <w:spacing w:line="0" w:lineRule="atLeast"/>
                    <w:jc w:val="center"/>
                    <w:rPr>
                      <w:rFonts w:hint="eastAsia"/>
                      <w:color w:val="auto"/>
                      <w:spacing w:val="-10"/>
                      <w:sz w:val="18"/>
                      <w:szCs w:val="18"/>
                      <w:highlight w:val="none"/>
                    </w:rPr>
                  </w:pPr>
                </w:p>
              </w:tc>
              <w:tc>
                <w:tcPr>
                  <w:tcW w:w="280" w:type="pct"/>
                  <w:vMerge w:val="continue"/>
                  <w:vAlign w:val="center"/>
                </w:tcPr>
                <w:p w14:paraId="6B9B100D">
                  <w:pPr>
                    <w:spacing w:line="0" w:lineRule="atLeast"/>
                    <w:jc w:val="center"/>
                    <w:rPr>
                      <w:color w:val="auto"/>
                      <w:spacing w:val="-20"/>
                      <w:sz w:val="18"/>
                      <w:szCs w:val="18"/>
                      <w:highlight w:val="none"/>
                    </w:rPr>
                  </w:pPr>
                </w:p>
              </w:tc>
              <w:tc>
                <w:tcPr>
                  <w:tcW w:w="494" w:type="pct"/>
                  <w:tcBorders>
                    <w:bottom w:val="single" w:color="auto" w:sz="4" w:space="0"/>
                  </w:tcBorders>
                  <w:vAlign w:val="center"/>
                </w:tcPr>
                <w:p w14:paraId="7CE6EFAB">
                  <w:pPr>
                    <w:spacing w:line="0" w:lineRule="atLeast"/>
                    <w:jc w:val="center"/>
                    <w:rPr>
                      <w:rFonts w:hint="eastAsia"/>
                      <w:color w:val="auto"/>
                      <w:spacing w:val="-11"/>
                      <w:sz w:val="18"/>
                      <w:szCs w:val="18"/>
                      <w:highlight w:val="none"/>
                    </w:rPr>
                  </w:pPr>
                  <w:r>
                    <w:rPr>
                      <w:rFonts w:hint="eastAsia" w:ascii="Times New Roman" w:hAnsi="Times New Roman" w:eastAsia="宋体" w:cs="Times New Roman"/>
                      <w:color w:val="auto"/>
                      <w:spacing w:val="-20"/>
                      <w:sz w:val="18"/>
                      <w:szCs w:val="18"/>
                      <w:highlight w:val="none"/>
                      <w:lang w:val="en-US" w:eastAsia="zh-CN"/>
                    </w:rPr>
                    <w:t>900-099-S07</w:t>
                  </w:r>
                </w:p>
              </w:tc>
              <w:tc>
                <w:tcPr>
                  <w:tcW w:w="326" w:type="pct"/>
                  <w:tcBorders>
                    <w:bottom w:val="single" w:color="auto" w:sz="4" w:space="0"/>
                  </w:tcBorders>
                  <w:vAlign w:val="center"/>
                </w:tcPr>
                <w:p w14:paraId="20452F76">
                  <w:pPr>
                    <w:spacing w:line="0" w:lineRule="atLeast"/>
                    <w:jc w:val="center"/>
                    <w:rPr>
                      <w:rFonts w:hint="default" w:eastAsia="宋体"/>
                      <w:color w:val="auto"/>
                      <w:spacing w:val="-20"/>
                      <w:sz w:val="18"/>
                      <w:szCs w:val="18"/>
                      <w:highlight w:val="none"/>
                      <w:lang w:val="en-US" w:eastAsia="zh-CN"/>
                    </w:rPr>
                  </w:pPr>
                  <w:r>
                    <w:rPr>
                      <w:rFonts w:hint="eastAsia"/>
                      <w:color w:val="auto"/>
                      <w:spacing w:val="-20"/>
                      <w:sz w:val="18"/>
                      <w:szCs w:val="18"/>
                      <w:highlight w:val="none"/>
                      <w:lang w:val="en-US" w:eastAsia="zh-CN"/>
                    </w:rPr>
                    <w:t>13456.2</w:t>
                  </w:r>
                </w:p>
              </w:tc>
              <w:tc>
                <w:tcPr>
                  <w:tcW w:w="360" w:type="pct"/>
                  <w:shd w:val="clear" w:color="auto" w:fill="auto"/>
                  <w:vAlign w:val="center"/>
                </w:tcPr>
                <w:p w14:paraId="60EF5592">
                  <w:pPr>
                    <w:spacing w:line="0" w:lineRule="atLeast"/>
                    <w:jc w:val="center"/>
                    <w:rPr>
                      <w:rFonts w:hint="eastAsia" w:ascii="Times New Roman" w:hAnsi="Times New Roman" w:eastAsia="宋体" w:cs="Times New Roman"/>
                      <w:color w:val="auto"/>
                      <w:spacing w:val="-20"/>
                      <w:kern w:val="2"/>
                      <w:sz w:val="18"/>
                      <w:szCs w:val="18"/>
                      <w:highlight w:val="none"/>
                      <w:lang w:val="en-US" w:eastAsia="zh-CN" w:bidi="ar-SA"/>
                    </w:rPr>
                  </w:pPr>
                  <w:r>
                    <w:rPr>
                      <w:rFonts w:hint="eastAsia"/>
                      <w:color w:val="auto"/>
                      <w:spacing w:val="-20"/>
                      <w:sz w:val="18"/>
                      <w:szCs w:val="18"/>
                      <w:highlight w:val="none"/>
                    </w:rPr>
                    <w:t>/</w:t>
                  </w:r>
                </w:p>
              </w:tc>
              <w:tc>
                <w:tcPr>
                  <w:tcW w:w="209" w:type="pct"/>
                  <w:shd w:val="clear" w:color="auto" w:fill="auto"/>
                  <w:vAlign w:val="center"/>
                </w:tcPr>
                <w:p w14:paraId="228D734E">
                  <w:pPr>
                    <w:spacing w:line="0" w:lineRule="atLeast"/>
                    <w:jc w:val="center"/>
                    <w:rPr>
                      <w:rFonts w:hint="eastAsia" w:ascii="Times New Roman" w:hAnsi="Times New Roman" w:eastAsia="宋体" w:cs="Times New Roman"/>
                      <w:color w:val="auto"/>
                      <w:spacing w:val="-20"/>
                      <w:kern w:val="2"/>
                      <w:sz w:val="18"/>
                      <w:szCs w:val="18"/>
                      <w:highlight w:val="none"/>
                      <w:lang w:val="en-US" w:eastAsia="zh-CN" w:bidi="ar-SA"/>
                    </w:rPr>
                  </w:pPr>
                  <w:r>
                    <w:rPr>
                      <w:rFonts w:hint="eastAsia"/>
                      <w:color w:val="auto"/>
                      <w:spacing w:val="-20"/>
                      <w:sz w:val="18"/>
                      <w:szCs w:val="18"/>
                      <w:highlight w:val="none"/>
                    </w:rPr>
                    <w:t>固态</w:t>
                  </w:r>
                </w:p>
              </w:tc>
              <w:tc>
                <w:tcPr>
                  <w:tcW w:w="294" w:type="pct"/>
                  <w:shd w:val="clear" w:color="auto" w:fill="auto"/>
                  <w:vAlign w:val="center"/>
                </w:tcPr>
                <w:p w14:paraId="77B49ECC">
                  <w:pPr>
                    <w:spacing w:line="0" w:lineRule="atLeast"/>
                    <w:jc w:val="center"/>
                    <w:rPr>
                      <w:rFonts w:hint="eastAsia" w:ascii="Times New Roman" w:hAnsi="Times New Roman" w:eastAsia="宋体" w:cs="Times New Roman"/>
                      <w:color w:val="auto"/>
                      <w:spacing w:val="-20"/>
                      <w:kern w:val="2"/>
                      <w:sz w:val="18"/>
                      <w:szCs w:val="18"/>
                      <w:highlight w:val="none"/>
                      <w:lang w:val="en-US" w:eastAsia="zh-CN" w:bidi="ar-SA"/>
                    </w:rPr>
                  </w:pPr>
                  <w:r>
                    <w:rPr>
                      <w:rFonts w:hint="eastAsia"/>
                      <w:color w:val="auto"/>
                      <w:spacing w:val="-20"/>
                      <w:sz w:val="18"/>
                      <w:szCs w:val="18"/>
                      <w:highlight w:val="none"/>
                    </w:rPr>
                    <w:t>/</w:t>
                  </w:r>
                </w:p>
              </w:tc>
              <w:tc>
                <w:tcPr>
                  <w:tcW w:w="497" w:type="pct"/>
                  <w:tcBorders>
                    <w:bottom w:val="single" w:color="auto" w:sz="4" w:space="0"/>
                  </w:tcBorders>
                  <w:shd w:val="clear" w:color="auto" w:fill="auto"/>
                  <w:vAlign w:val="center"/>
                </w:tcPr>
                <w:p w14:paraId="1EE24DA1">
                  <w:pPr>
                    <w:spacing w:line="0" w:lineRule="atLeast"/>
                    <w:jc w:val="center"/>
                    <w:rPr>
                      <w:rFonts w:hint="eastAsia" w:ascii="Times New Roman" w:hAnsi="Times New Roman" w:eastAsia="宋体" w:cs="Times New Roman"/>
                      <w:color w:val="auto"/>
                      <w:spacing w:val="-20"/>
                      <w:kern w:val="2"/>
                      <w:sz w:val="18"/>
                      <w:szCs w:val="18"/>
                      <w:highlight w:val="none"/>
                      <w:lang w:val="en-US" w:eastAsia="zh-CN" w:bidi="ar-SA"/>
                    </w:rPr>
                  </w:pPr>
                  <w:r>
                    <w:rPr>
                      <w:rFonts w:hint="eastAsia"/>
                      <w:color w:val="auto"/>
                      <w:spacing w:val="-20"/>
                      <w:sz w:val="18"/>
                      <w:szCs w:val="18"/>
                      <w:highlight w:val="none"/>
                    </w:rPr>
                    <w:t>压滤机底</w:t>
                  </w:r>
                  <w:r>
                    <w:rPr>
                      <w:rFonts w:hint="eastAsia" w:ascii="Times New Roman" w:hAnsi="Times New Roman" w:cs="Times New Roman"/>
                      <w:color w:val="auto"/>
                      <w:spacing w:val="-20"/>
                      <w:sz w:val="18"/>
                      <w:szCs w:val="18"/>
                      <w:highlight w:val="none"/>
                    </w:rPr>
                    <w:t>部</w:t>
                  </w:r>
                  <w:r>
                    <w:rPr>
                      <w:rFonts w:hint="eastAsia" w:ascii="Times New Roman" w:hAnsi="Times New Roman" w:cs="Times New Roman"/>
                      <w:color w:val="auto"/>
                      <w:spacing w:val="-20"/>
                      <w:sz w:val="18"/>
                      <w:szCs w:val="18"/>
                      <w:highlight w:val="none"/>
                      <w:lang w:val="en-US" w:eastAsia="zh-CN"/>
                    </w:rPr>
                    <w:t>污泥存储料斗</w:t>
                  </w:r>
                </w:p>
              </w:tc>
              <w:tc>
                <w:tcPr>
                  <w:tcW w:w="568" w:type="pct"/>
                  <w:tcBorders>
                    <w:bottom w:val="single" w:color="auto" w:sz="4" w:space="0"/>
                  </w:tcBorders>
                  <w:shd w:val="clear" w:color="auto" w:fill="auto"/>
                  <w:vAlign w:val="center"/>
                </w:tcPr>
                <w:p w14:paraId="073F31B5">
                  <w:pPr>
                    <w:spacing w:line="0" w:lineRule="atLeast"/>
                    <w:jc w:val="center"/>
                    <w:rPr>
                      <w:rFonts w:hint="eastAsia" w:ascii="Times New Roman" w:hAnsi="Times New Roman" w:eastAsia="宋体" w:cs="Times New Roman"/>
                      <w:color w:val="auto"/>
                      <w:spacing w:val="-20"/>
                      <w:kern w:val="2"/>
                      <w:sz w:val="18"/>
                      <w:szCs w:val="18"/>
                      <w:highlight w:val="none"/>
                      <w:lang w:val="en-US" w:eastAsia="zh-CN" w:bidi="ar-SA"/>
                    </w:rPr>
                  </w:pPr>
                  <w:r>
                    <w:rPr>
                      <w:rFonts w:hint="eastAsia"/>
                      <w:color w:val="auto"/>
                      <w:spacing w:val="-20"/>
                      <w:sz w:val="18"/>
                      <w:szCs w:val="18"/>
                      <w:highlight w:val="none"/>
                      <w:lang w:val="en-US" w:eastAsia="zh-CN"/>
                    </w:rPr>
                    <w:t>外</w:t>
                  </w:r>
                  <w:r>
                    <w:rPr>
                      <w:rFonts w:hint="eastAsia" w:ascii="Times New Roman" w:hAnsi="Times New Roman" w:cs="Times New Roman"/>
                      <w:color w:val="auto"/>
                      <w:spacing w:val="-20"/>
                      <w:sz w:val="18"/>
                      <w:szCs w:val="18"/>
                      <w:highlight w:val="none"/>
                      <w:lang w:val="en-US" w:eastAsia="zh-CN"/>
                    </w:rPr>
                    <w:t>售砖厂进行制砖</w:t>
                  </w:r>
                </w:p>
              </w:tc>
              <w:tc>
                <w:tcPr>
                  <w:tcW w:w="470" w:type="pct"/>
                  <w:vAlign w:val="center"/>
                </w:tcPr>
                <w:p w14:paraId="487E064F">
                  <w:pPr>
                    <w:spacing w:line="0" w:lineRule="atLeast"/>
                    <w:jc w:val="center"/>
                    <w:rPr>
                      <w:rFonts w:hint="default" w:eastAsia="宋体"/>
                      <w:color w:val="auto"/>
                      <w:spacing w:val="-20"/>
                      <w:sz w:val="18"/>
                      <w:szCs w:val="18"/>
                      <w:highlight w:val="none"/>
                      <w:lang w:val="en-US" w:eastAsia="zh-CN"/>
                    </w:rPr>
                  </w:pPr>
                  <w:r>
                    <w:rPr>
                      <w:rFonts w:hint="eastAsia"/>
                      <w:color w:val="auto"/>
                      <w:spacing w:val="-20"/>
                      <w:sz w:val="18"/>
                      <w:szCs w:val="18"/>
                      <w:highlight w:val="none"/>
                      <w:lang w:val="en-US" w:eastAsia="zh-CN"/>
                    </w:rPr>
                    <w:t>13456.2</w:t>
                  </w:r>
                </w:p>
              </w:tc>
              <w:tc>
                <w:tcPr>
                  <w:tcW w:w="418" w:type="pct"/>
                  <w:vMerge w:val="continue"/>
                  <w:vAlign w:val="center"/>
                </w:tcPr>
                <w:p w14:paraId="7977C302">
                  <w:pPr>
                    <w:spacing w:line="0" w:lineRule="atLeast"/>
                    <w:jc w:val="center"/>
                    <w:rPr>
                      <w:color w:val="auto"/>
                      <w:spacing w:val="-20"/>
                      <w:sz w:val="18"/>
                      <w:szCs w:val="18"/>
                      <w:highlight w:val="none"/>
                    </w:rPr>
                  </w:pPr>
                </w:p>
              </w:tc>
            </w:tr>
            <w:tr w14:paraId="5143489A">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193" w:hRule="atLeast"/>
                <w:jc w:val="center"/>
              </w:trPr>
              <w:tc>
                <w:tcPr>
                  <w:tcW w:w="192" w:type="pct"/>
                  <w:shd w:val="clear" w:color="auto" w:fill="auto"/>
                  <w:vAlign w:val="center"/>
                </w:tcPr>
                <w:p w14:paraId="29CCDBCA">
                  <w:pPr>
                    <w:spacing w:line="0" w:lineRule="atLeast"/>
                    <w:jc w:val="center"/>
                    <w:rPr>
                      <w:rFonts w:hint="default" w:ascii="Times New Roman" w:hAnsi="Times New Roman" w:eastAsia="宋体" w:cs="Times New Roman"/>
                      <w:color w:val="auto"/>
                      <w:spacing w:val="-20"/>
                      <w:kern w:val="2"/>
                      <w:sz w:val="18"/>
                      <w:szCs w:val="18"/>
                      <w:lang w:val="en-US" w:eastAsia="zh-CN" w:bidi="ar-SA"/>
                    </w:rPr>
                  </w:pPr>
                  <w:r>
                    <w:rPr>
                      <w:rFonts w:hint="eastAsia"/>
                      <w:color w:val="auto"/>
                      <w:spacing w:val="-20"/>
                      <w:sz w:val="18"/>
                      <w:szCs w:val="18"/>
                      <w:lang w:val="en-US" w:eastAsia="zh-CN"/>
                    </w:rPr>
                    <w:t>9</w:t>
                  </w:r>
                </w:p>
              </w:tc>
              <w:tc>
                <w:tcPr>
                  <w:tcW w:w="382" w:type="pct"/>
                  <w:shd w:val="clear" w:color="auto" w:fill="auto"/>
                  <w:vAlign w:val="center"/>
                </w:tcPr>
                <w:p w14:paraId="1747AACF">
                  <w:pPr>
                    <w:spacing w:line="0" w:lineRule="atLeast"/>
                    <w:jc w:val="center"/>
                    <w:rPr>
                      <w:rFonts w:hint="eastAsia" w:ascii="Times New Roman" w:hAnsi="Times New Roman" w:eastAsia="宋体" w:cs="Times New Roman"/>
                      <w:color w:val="auto"/>
                      <w:spacing w:val="-10"/>
                      <w:sz w:val="18"/>
                      <w:szCs w:val="18"/>
                      <w:lang w:val="en-US" w:eastAsia="zh-CN"/>
                    </w:rPr>
                  </w:pPr>
                  <w:r>
                    <w:rPr>
                      <w:rFonts w:hint="eastAsia" w:ascii="Times New Roman" w:hAnsi="Times New Roman" w:eastAsia="宋体" w:cs="Times New Roman"/>
                      <w:color w:val="auto"/>
                      <w:spacing w:val="-10"/>
                      <w:sz w:val="18"/>
                      <w:szCs w:val="18"/>
                      <w:lang w:val="en-US" w:eastAsia="zh-CN"/>
                    </w:rPr>
                    <w:t>棉絮、泡沫等废料</w:t>
                  </w:r>
                </w:p>
              </w:tc>
              <w:tc>
                <w:tcPr>
                  <w:tcW w:w="504" w:type="pct"/>
                  <w:vMerge w:val="restart"/>
                  <w:shd w:val="clear" w:color="auto" w:fill="auto"/>
                  <w:vAlign w:val="center"/>
                </w:tcPr>
                <w:p w14:paraId="4414A03A">
                  <w:pPr>
                    <w:spacing w:line="0" w:lineRule="atLeast"/>
                    <w:jc w:val="center"/>
                    <w:rPr>
                      <w:rFonts w:hint="eastAsia" w:ascii="Times New Roman" w:hAnsi="Times New Roman" w:eastAsia="宋体" w:cs="Times New Roman"/>
                      <w:color w:val="auto"/>
                      <w:spacing w:val="-20"/>
                      <w:kern w:val="2"/>
                      <w:sz w:val="18"/>
                      <w:szCs w:val="18"/>
                      <w:lang w:val="en-US" w:eastAsia="zh-CN" w:bidi="ar-SA"/>
                    </w:rPr>
                  </w:pPr>
                  <w:r>
                    <w:rPr>
                      <w:rFonts w:hint="eastAsia"/>
                      <w:color w:val="auto"/>
                      <w:spacing w:val="-20"/>
                      <w:sz w:val="18"/>
                      <w:szCs w:val="18"/>
                      <w:lang w:val="en-US" w:eastAsia="zh-CN"/>
                    </w:rPr>
                    <w:t>废钢破碎尾料分选过程</w:t>
                  </w:r>
                </w:p>
              </w:tc>
              <w:tc>
                <w:tcPr>
                  <w:tcW w:w="280" w:type="pct"/>
                  <w:vMerge w:val="continue"/>
                  <w:vAlign w:val="center"/>
                </w:tcPr>
                <w:p w14:paraId="435A3205">
                  <w:pPr>
                    <w:spacing w:line="0" w:lineRule="atLeast"/>
                    <w:jc w:val="center"/>
                    <w:rPr>
                      <w:color w:val="auto"/>
                      <w:spacing w:val="-20"/>
                      <w:sz w:val="18"/>
                      <w:szCs w:val="18"/>
                    </w:rPr>
                  </w:pPr>
                </w:p>
              </w:tc>
              <w:tc>
                <w:tcPr>
                  <w:tcW w:w="494" w:type="pct"/>
                  <w:tcBorders>
                    <w:bottom w:val="single" w:color="auto" w:sz="4" w:space="0"/>
                  </w:tcBorders>
                  <w:shd w:val="clear" w:color="auto" w:fill="auto"/>
                  <w:vAlign w:val="center"/>
                </w:tcPr>
                <w:p w14:paraId="752FA7B6">
                  <w:pPr>
                    <w:spacing w:line="0" w:lineRule="atLeast"/>
                    <w:jc w:val="center"/>
                    <w:rPr>
                      <w:rFonts w:hint="eastAsia" w:ascii="Times New Roman" w:hAnsi="Times New Roman" w:eastAsia="宋体" w:cs="Times New Roman"/>
                      <w:color w:val="auto"/>
                      <w:spacing w:val="-20"/>
                      <w:kern w:val="2"/>
                      <w:sz w:val="18"/>
                      <w:szCs w:val="18"/>
                      <w:highlight w:val="none"/>
                      <w:lang w:val="en-US" w:eastAsia="zh-CN" w:bidi="ar-SA"/>
                    </w:rPr>
                  </w:pPr>
                  <w:r>
                    <w:rPr>
                      <w:rFonts w:hint="eastAsia" w:ascii="Times New Roman" w:hAnsi="Times New Roman" w:eastAsia="宋体" w:cs="Times New Roman"/>
                      <w:color w:val="auto"/>
                      <w:spacing w:val="-20"/>
                      <w:sz w:val="18"/>
                      <w:szCs w:val="18"/>
                      <w:highlight w:val="none"/>
                      <w:lang w:val="en-US" w:eastAsia="zh-CN"/>
                    </w:rPr>
                    <w:t>900-099-S59</w:t>
                  </w:r>
                </w:p>
              </w:tc>
              <w:tc>
                <w:tcPr>
                  <w:tcW w:w="326" w:type="pct"/>
                  <w:tcBorders>
                    <w:bottom w:val="single" w:color="auto" w:sz="4" w:space="0"/>
                  </w:tcBorders>
                  <w:shd w:val="clear" w:color="auto" w:fill="auto"/>
                  <w:vAlign w:val="center"/>
                </w:tcPr>
                <w:p w14:paraId="51AE084A">
                  <w:pPr>
                    <w:spacing w:line="0" w:lineRule="atLeast"/>
                    <w:jc w:val="center"/>
                    <w:rPr>
                      <w:rFonts w:hint="default" w:eastAsia="宋体"/>
                      <w:color w:val="auto"/>
                      <w:spacing w:val="-20"/>
                      <w:sz w:val="18"/>
                      <w:szCs w:val="18"/>
                      <w:lang w:val="en-US" w:eastAsia="zh-CN"/>
                    </w:rPr>
                  </w:pPr>
                  <w:r>
                    <w:rPr>
                      <w:rFonts w:hint="default" w:ascii="Times New Roman" w:hAnsi="Times New Roman" w:cs="Times New Roman"/>
                      <w:color w:val="auto"/>
                      <w:spacing w:val="-10"/>
                      <w:sz w:val="18"/>
                      <w:szCs w:val="18"/>
                      <w:highlight w:val="none"/>
                      <w:lang w:val="en-US" w:eastAsia="zh-CN"/>
                    </w:rPr>
                    <w:t>1</w:t>
                  </w:r>
                  <w:r>
                    <w:rPr>
                      <w:rFonts w:hint="eastAsia" w:cs="Times New Roman"/>
                      <w:color w:val="auto"/>
                      <w:spacing w:val="-10"/>
                      <w:sz w:val="18"/>
                      <w:szCs w:val="18"/>
                      <w:highlight w:val="none"/>
                      <w:lang w:val="en-US" w:eastAsia="zh-CN"/>
                    </w:rPr>
                    <w:t>25000</w:t>
                  </w:r>
                </w:p>
              </w:tc>
              <w:tc>
                <w:tcPr>
                  <w:tcW w:w="360" w:type="pct"/>
                  <w:shd w:val="clear" w:color="auto" w:fill="auto"/>
                  <w:vAlign w:val="center"/>
                </w:tcPr>
                <w:p w14:paraId="1DB54C5A">
                  <w:pPr>
                    <w:spacing w:line="0" w:lineRule="atLeast"/>
                    <w:jc w:val="center"/>
                    <w:rPr>
                      <w:rFonts w:hint="eastAsia" w:ascii="Times New Roman" w:hAnsi="Times New Roman" w:eastAsia="宋体" w:cs="Times New Roman"/>
                      <w:color w:val="auto"/>
                      <w:spacing w:val="-20"/>
                      <w:kern w:val="2"/>
                      <w:sz w:val="18"/>
                      <w:szCs w:val="18"/>
                      <w:lang w:val="en-US" w:eastAsia="zh-CN" w:bidi="ar-SA"/>
                    </w:rPr>
                  </w:pPr>
                  <w:r>
                    <w:rPr>
                      <w:rFonts w:hint="eastAsia"/>
                      <w:color w:val="auto"/>
                      <w:spacing w:val="-20"/>
                      <w:sz w:val="18"/>
                      <w:szCs w:val="18"/>
                    </w:rPr>
                    <w:t>/</w:t>
                  </w:r>
                </w:p>
              </w:tc>
              <w:tc>
                <w:tcPr>
                  <w:tcW w:w="209" w:type="pct"/>
                  <w:shd w:val="clear" w:color="auto" w:fill="auto"/>
                  <w:vAlign w:val="center"/>
                </w:tcPr>
                <w:p w14:paraId="12763363">
                  <w:pPr>
                    <w:spacing w:line="0" w:lineRule="atLeast"/>
                    <w:jc w:val="center"/>
                    <w:rPr>
                      <w:rFonts w:hint="eastAsia" w:ascii="Times New Roman" w:hAnsi="Times New Roman" w:eastAsia="宋体" w:cs="Times New Roman"/>
                      <w:color w:val="auto"/>
                      <w:spacing w:val="-20"/>
                      <w:kern w:val="2"/>
                      <w:sz w:val="18"/>
                      <w:szCs w:val="18"/>
                      <w:lang w:val="en-US" w:eastAsia="zh-CN" w:bidi="ar-SA"/>
                    </w:rPr>
                  </w:pPr>
                  <w:r>
                    <w:rPr>
                      <w:rFonts w:hint="eastAsia"/>
                      <w:color w:val="auto"/>
                      <w:spacing w:val="-20"/>
                      <w:sz w:val="18"/>
                      <w:szCs w:val="18"/>
                    </w:rPr>
                    <w:t>固态</w:t>
                  </w:r>
                </w:p>
              </w:tc>
              <w:tc>
                <w:tcPr>
                  <w:tcW w:w="294" w:type="pct"/>
                  <w:shd w:val="clear" w:color="auto" w:fill="auto"/>
                  <w:vAlign w:val="center"/>
                </w:tcPr>
                <w:p w14:paraId="01961003">
                  <w:pPr>
                    <w:spacing w:line="0" w:lineRule="atLeast"/>
                    <w:jc w:val="center"/>
                    <w:rPr>
                      <w:rFonts w:hint="eastAsia" w:ascii="Times New Roman" w:hAnsi="Times New Roman" w:eastAsia="宋体" w:cs="Times New Roman"/>
                      <w:color w:val="auto"/>
                      <w:spacing w:val="-20"/>
                      <w:kern w:val="2"/>
                      <w:sz w:val="18"/>
                      <w:szCs w:val="18"/>
                      <w:lang w:val="en-US" w:eastAsia="zh-CN" w:bidi="ar-SA"/>
                    </w:rPr>
                  </w:pPr>
                  <w:r>
                    <w:rPr>
                      <w:rFonts w:hint="eastAsia"/>
                      <w:color w:val="auto"/>
                      <w:spacing w:val="-20"/>
                      <w:sz w:val="18"/>
                      <w:szCs w:val="18"/>
                    </w:rPr>
                    <w:t>/</w:t>
                  </w:r>
                </w:p>
              </w:tc>
              <w:tc>
                <w:tcPr>
                  <w:tcW w:w="497" w:type="pct"/>
                  <w:tcBorders>
                    <w:bottom w:val="single" w:color="auto" w:sz="4" w:space="0"/>
                  </w:tcBorders>
                  <w:shd w:val="clear" w:color="auto" w:fill="auto"/>
                  <w:vAlign w:val="center"/>
                </w:tcPr>
                <w:p w14:paraId="671A0ED2">
                  <w:pPr>
                    <w:spacing w:line="0" w:lineRule="atLeast"/>
                    <w:jc w:val="center"/>
                    <w:rPr>
                      <w:rFonts w:hint="default" w:ascii="Times New Roman" w:hAnsi="Times New Roman" w:eastAsia="宋体" w:cs="Times New Roman"/>
                      <w:color w:val="auto"/>
                      <w:spacing w:val="-20"/>
                      <w:sz w:val="18"/>
                      <w:szCs w:val="18"/>
                      <w:lang w:val="en-US" w:eastAsia="zh-CN"/>
                    </w:rPr>
                  </w:pPr>
                  <w:r>
                    <w:rPr>
                      <w:rFonts w:hint="eastAsia" w:ascii="Times New Roman" w:hAnsi="Times New Roman" w:eastAsia="宋体" w:cs="Times New Roman"/>
                      <w:color w:val="auto"/>
                      <w:spacing w:val="-10"/>
                      <w:sz w:val="18"/>
                      <w:szCs w:val="18"/>
                      <w:lang w:val="en-US" w:eastAsia="zh-CN"/>
                    </w:rPr>
                    <w:t>棉絮、泡沫暂存区</w:t>
                  </w:r>
                </w:p>
              </w:tc>
              <w:tc>
                <w:tcPr>
                  <w:tcW w:w="568" w:type="pct"/>
                  <w:tcBorders>
                    <w:bottom w:val="single" w:color="auto" w:sz="4" w:space="0"/>
                  </w:tcBorders>
                  <w:shd w:val="clear" w:color="auto" w:fill="auto"/>
                  <w:vAlign w:val="center"/>
                </w:tcPr>
                <w:p w14:paraId="5EBB4EAF">
                  <w:pPr>
                    <w:spacing w:line="0" w:lineRule="atLeast"/>
                    <w:jc w:val="center"/>
                    <w:rPr>
                      <w:rFonts w:hint="eastAsia" w:ascii="Times New Roman" w:hAnsi="Times New Roman" w:eastAsia="宋体" w:cs="Times New Roman"/>
                      <w:color w:val="auto"/>
                      <w:spacing w:val="-20"/>
                      <w:sz w:val="18"/>
                      <w:szCs w:val="18"/>
                      <w:lang w:val="en-US" w:eastAsia="zh-CN"/>
                    </w:rPr>
                  </w:pPr>
                  <w:r>
                    <w:rPr>
                      <w:rFonts w:hint="eastAsia" w:ascii="Times New Roman" w:hAnsi="Times New Roman" w:eastAsia="宋体" w:cs="Times New Roman"/>
                      <w:color w:val="auto"/>
                      <w:spacing w:val="-20"/>
                      <w:sz w:val="18"/>
                      <w:szCs w:val="18"/>
                      <w:lang w:val="en-US" w:eastAsia="zh-CN"/>
                    </w:rPr>
                    <w:t>外售相关回收单位</w:t>
                  </w:r>
                </w:p>
              </w:tc>
              <w:tc>
                <w:tcPr>
                  <w:tcW w:w="470" w:type="pct"/>
                  <w:shd w:val="clear" w:color="auto" w:fill="auto"/>
                  <w:vAlign w:val="center"/>
                </w:tcPr>
                <w:p w14:paraId="120348CF">
                  <w:pPr>
                    <w:spacing w:line="0" w:lineRule="atLeast"/>
                    <w:jc w:val="center"/>
                    <w:rPr>
                      <w:rFonts w:hint="default"/>
                      <w:color w:val="auto"/>
                      <w:spacing w:val="-20"/>
                      <w:sz w:val="18"/>
                      <w:szCs w:val="18"/>
                      <w:lang w:val="en-US" w:eastAsia="zh-CN"/>
                    </w:rPr>
                  </w:pPr>
                  <w:r>
                    <w:rPr>
                      <w:rFonts w:hint="default" w:ascii="Times New Roman" w:hAnsi="Times New Roman" w:cs="Times New Roman"/>
                      <w:color w:val="auto"/>
                      <w:spacing w:val="-10"/>
                      <w:sz w:val="18"/>
                      <w:szCs w:val="18"/>
                      <w:highlight w:val="none"/>
                      <w:lang w:val="en-US" w:eastAsia="zh-CN"/>
                    </w:rPr>
                    <w:t>1</w:t>
                  </w:r>
                  <w:r>
                    <w:rPr>
                      <w:rFonts w:hint="eastAsia" w:cs="Times New Roman"/>
                      <w:color w:val="auto"/>
                      <w:spacing w:val="-10"/>
                      <w:sz w:val="18"/>
                      <w:szCs w:val="18"/>
                      <w:highlight w:val="none"/>
                      <w:lang w:val="en-US" w:eastAsia="zh-CN"/>
                    </w:rPr>
                    <w:t>25000</w:t>
                  </w:r>
                </w:p>
              </w:tc>
              <w:tc>
                <w:tcPr>
                  <w:tcW w:w="418" w:type="pct"/>
                  <w:vMerge w:val="continue"/>
                  <w:vAlign w:val="center"/>
                </w:tcPr>
                <w:p w14:paraId="7B6D22B2">
                  <w:pPr>
                    <w:spacing w:line="0" w:lineRule="atLeast"/>
                    <w:jc w:val="center"/>
                    <w:rPr>
                      <w:color w:val="auto"/>
                      <w:spacing w:val="-20"/>
                      <w:sz w:val="18"/>
                      <w:szCs w:val="18"/>
                    </w:rPr>
                  </w:pPr>
                </w:p>
              </w:tc>
            </w:tr>
            <w:tr w14:paraId="22913C13">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192" w:type="pct"/>
                  <w:shd w:val="clear" w:color="auto" w:fill="auto"/>
                  <w:vAlign w:val="center"/>
                </w:tcPr>
                <w:p w14:paraId="6BEB5209">
                  <w:pPr>
                    <w:spacing w:line="0" w:lineRule="atLeast"/>
                    <w:jc w:val="center"/>
                    <w:rPr>
                      <w:rFonts w:hint="default" w:ascii="Times New Roman" w:hAnsi="Times New Roman" w:eastAsia="宋体" w:cs="Times New Roman"/>
                      <w:color w:val="auto"/>
                      <w:spacing w:val="-20"/>
                      <w:kern w:val="2"/>
                      <w:sz w:val="18"/>
                      <w:szCs w:val="18"/>
                      <w:lang w:val="en-US" w:eastAsia="zh-CN" w:bidi="ar-SA"/>
                    </w:rPr>
                  </w:pPr>
                  <w:r>
                    <w:rPr>
                      <w:rFonts w:hint="eastAsia"/>
                      <w:color w:val="auto"/>
                      <w:spacing w:val="-20"/>
                      <w:sz w:val="18"/>
                      <w:szCs w:val="18"/>
                      <w:lang w:val="en-US" w:eastAsia="zh-CN"/>
                    </w:rPr>
                    <w:t>10</w:t>
                  </w:r>
                </w:p>
              </w:tc>
              <w:tc>
                <w:tcPr>
                  <w:tcW w:w="382" w:type="pct"/>
                  <w:shd w:val="clear" w:color="auto" w:fill="auto"/>
                  <w:vAlign w:val="center"/>
                </w:tcPr>
                <w:p w14:paraId="0AD8BE69">
                  <w:pPr>
                    <w:spacing w:line="0" w:lineRule="atLeast"/>
                    <w:jc w:val="center"/>
                    <w:rPr>
                      <w:rFonts w:hint="eastAsia" w:ascii="Times New Roman" w:hAnsi="Times New Roman" w:eastAsia="宋体" w:cs="Times New Roman"/>
                      <w:color w:val="auto"/>
                      <w:spacing w:val="-10"/>
                      <w:sz w:val="18"/>
                      <w:szCs w:val="18"/>
                      <w:lang w:val="en-US" w:eastAsia="zh-CN"/>
                    </w:rPr>
                  </w:pPr>
                  <w:r>
                    <w:rPr>
                      <w:rFonts w:hint="eastAsia" w:ascii="Times New Roman" w:hAnsi="Times New Roman" w:eastAsia="宋体" w:cs="Times New Roman"/>
                      <w:color w:val="auto"/>
                      <w:spacing w:val="-10"/>
                      <w:sz w:val="18"/>
                      <w:szCs w:val="18"/>
                      <w:lang w:val="en-US" w:eastAsia="zh-CN"/>
                    </w:rPr>
                    <w:t>海绵、木屑等废料</w:t>
                  </w:r>
                </w:p>
              </w:tc>
              <w:tc>
                <w:tcPr>
                  <w:tcW w:w="504" w:type="pct"/>
                  <w:vMerge w:val="continue"/>
                  <w:shd w:val="clear" w:color="auto" w:fill="auto"/>
                  <w:vAlign w:val="center"/>
                </w:tcPr>
                <w:p w14:paraId="637C7DF0">
                  <w:pPr>
                    <w:spacing w:line="0" w:lineRule="atLeast"/>
                    <w:jc w:val="center"/>
                    <w:rPr>
                      <w:rFonts w:hint="eastAsia"/>
                      <w:color w:val="auto"/>
                      <w:spacing w:val="-20"/>
                      <w:sz w:val="18"/>
                      <w:szCs w:val="18"/>
                      <w:lang w:val="en-US" w:eastAsia="zh-CN"/>
                    </w:rPr>
                  </w:pPr>
                </w:p>
              </w:tc>
              <w:tc>
                <w:tcPr>
                  <w:tcW w:w="280" w:type="pct"/>
                  <w:vMerge w:val="continue"/>
                  <w:vAlign w:val="center"/>
                </w:tcPr>
                <w:p w14:paraId="1C3C71B3">
                  <w:pPr>
                    <w:spacing w:line="0" w:lineRule="atLeast"/>
                    <w:jc w:val="center"/>
                    <w:rPr>
                      <w:color w:val="auto"/>
                      <w:spacing w:val="-20"/>
                      <w:sz w:val="18"/>
                      <w:szCs w:val="18"/>
                    </w:rPr>
                  </w:pPr>
                </w:p>
              </w:tc>
              <w:tc>
                <w:tcPr>
                  <w:tcW w:w="494" w:type="pct"/>
                  <w:tcBorders>
                    <w:bottom w:val="single" w:color="auto" w:sz="4" w:space="0"/>
                  </w:tcBorders>
                  <w:shd w:val="clear" w:color="auto" w:fill="auto"/>
                  <w:vAlign w:val="center"/>
                </w:tcPr>
                <w:p w14:paraId="06F9C6A8">
                  <w:pPr>
                    <w:spacing w:line="0" w:lineRule="atLeast"/>
                    <w:jc w:val="center"/>
                    <w:rPr>
                      <w:rFonts w:hint="eastAsia" w:ascii="Times New Roman" w:hAnsi="Times New Roman" w:eastAsia="宋体" w:cs="Times New Roman"/>
                      <w:color w:val="auto"/>
                      <w:spacing w:val="-20"/>
                      <w:sz w:val="18"/>
                      <w:szCs w:val="18"/>
                      <w:highlight w:val="none"/>
                      <w:lang w:val="en-US" w:eastAsia="zh-CN"/>
                    </w:rPr>
                  </w:pPr>
                  <w:r>
                    <w:rPr>
                      <w:rFonts w:hint="eastAsia" w:ascii="Times New Roman" w:hAnsi="Times New Roman" w:eastAsia="宋体" w:cs="Times New Roman"/>
                      <w:color w:val="auto"/>
                      <w:spacing w:val="-20"/>
                      <w:sz w:val="18"/>
                      <w:szCs w:val="18"/>
                      <w:highlight w:val="none"/>
                      <w:lang w:val="en-US" w:eastAsia="zh-CN"/>
                    </w:rPr>
                    <w:t>900-099-S59</w:t>
                  </w:r>
                </w:p>
              </w:tc>
              <w:tc>
                <w:tcPr>
                  <w:tcW w:w="326" w:type="pct"/>
                  <w:tcBorders>
                    <w:bottom w:val="single" w:color="auto" w:sz="4" w:space="0"/>
                  </w:tcBorders>
                  <w:shd w:val="clear" w:color="auto" w:fill="auto"/>
                  <w:vAlign w:val="center"/>
                </w:tcPr>
                <w:p w14:paraId="5D92DC80">
                  <w:pPr>
                    <w:spacing w:line="0" w:lineRule="atLeast"/>
                    <w:jc w:val="center"/>
                    <w:rPr>
                      <w:rFonts w:hint="eastAsia"/>
                      <w:color w:val="auto"/>
                      <w:spacing w:val="-20"/>
                      <w:sz w:val="18"/>
                      <w:szCs w:val="18"/>
                      <w:lang w:val="en-US" w:eastAsia="zh-CN"/>
                    </w:rPr>
                  </w:pPr>
                  <w:r>
                    <w:rPr>
                      <w:rFonts w:hint="eastAsia" w:cs="Times New Roman"/>
                      <w:color w:val="auto"/>
                      <w:spacing w:val="-10"/>
                      <w:sz w:val="18"/>
                      <w:szCs w:val="18"/>
                      <w:highlight w:val="none"/>
                      <w:lang w:val="en-US" w:eastAsia="zh-CN"/>
                    </w:rPr>
                    <w:t>5000</w:t>
                  </w:r>
                </w:p>
              </w:tc>
              <w:tc>
                <w:tcPr>
                  <w:tcW w:w="360" w:type="pct"/>
                  <w:shd w:val="clear" w:color="auto" w:fill="auto"/>
                  <w:vAlign w:val="center"/>
                </w:tcPr>
                <w:p w14:paraId="3B7A0099">
                  <w:pPr>
                    <w:spacing w:line="0" w:lineRule="atLeast"/>
                    <w:jc w:val="center"/>
                    <w:rPr>
                      <w:rFonts w:hint="eastAsia" w:ascii="Times New Roman" w:hAnsi="Times New Roman" w:eastAsia="宋体" w:cs="Times New Roman"/>
                      <w:color w:val="auto"/>
                      <w:spacing w:val="-20"/>
                      <w:kern w:val="2"/>
                      <w:sz w:val="18"/>
                      <w:szCs w:val="18"/>
                      <w:lang w:val="en-US" w:eastAsia="zh-CN" w:bidi="ar-SA"/>
                    </w:rPr>
                  </w:pPr>
                  <w:r>
                    <w:rPr>
                      <w:rFonts w:hint="eastAsia"/>
                      <w:color w:val="auto"/>
                      <w:spacing w:val="-20"/>
                      <w:sz w:val="18"/>
                      <w:szCs w:val="18"/>
                    </w:rPr>
                    <w:t>/</w:t>
                  </w:r>
                </w:p>
              </w:tc>
              <w:tc>
                <w:tcPr>
                  <w:tcW w:w="209" w:type="pct"/>
                  <w:shd w:val="clear" w:color="auto" w:fill="auto"/>
                  <w:vAlign w:val="center"/>
                </w:tcPr>
                <w:p w14:paraId="3385F451">
                  <w:pPr>
                    <w:spacing w:line="0" w:lineRule="atLeast"/>
                    <w:jc w:val="center"/>
                    <w:rPr>
                      <w:rFonts w:hint="eastAsia" w:ascii="Times New Roman" w:hAnsi="Times New Roman" w:eastAsia="宋体" w:cs="Times New Roman"/>
                      <w:color w:val="auto"/>
                      <w:spacing w:val="-20"/>
                      <w:kern w:val="2"/>
                      <w:sz w:val="18"/>
                      <w:szCs w:val="18"/>
                      <w:lang w:val="en-US" w:eastAsia="zh-CN" w:bidi="ar-SA"/>
                    </w:rPr>
                  </w:pPr>
                  <w:r>
                    <w:rPr>
                      <w:rFonts w:hint="eastAsia"/>
                      <w:color w:val="auto"/>
                      <w:spacing w:val="-20"/>
                      <w:sz w:val="18"/>
                      <w:szCs w:val="18"/>
                    </w:rPr>
                    <w:t>固态</w:t>
                  </w:r>
                </w:p>
              </w:tc>
              <w:tc>
                <w:tcPr>
                  <w:tcW w:w="294" w:type="pct"/>
                  <w:shd w:val="clear" w:color="auto" w:fill="auto"/>
                  <w:vAlign w:val="center"/>
                </w:tcPr>
                <w:p w14:paraId="4F843A1B">
                  <w:pPr>
                    <w:spacing w:line="0" w:lineRule="atLeast"/>
                    <w:jc w:val="center"/>
                    <w:rPr>
                      <w:rFonts w:hint="eastAsia" w:ascii="Times New Roman" w:hAnsi="Times New Roman" w:eastAsia="宋体" w:cs="Times New Roman"/>
                      <w:color w:val="auto"/>
                      <w:spacing w:val="-20"/>
                      <w:kern w:val="2"/>
                      <w:sz w:val="18"/>
                      <w:szCs w:val="18"/>
                      <w:lang w:val="en-US" w:eastAsia="zh-CN" w:bidi="ar-SA"/>
                    </w:rPr>
                  </w:pPr>
                  <w:r>
                    <w:rPr>
                      <w:rFonts w:hint="eastAsia"/>
                      <w:color w:val="auto"/>
                      <w:spacing w:val="-20"/>
                      <w:sz w:val="18"/>
                      <w:szCs w:val="18"/>
                    </w:rPr>
                    <w:t>/</w:t>
                  </w:r>
                </w:p>
              </w:tc>
              <w:tc>
                <w:tcPr>
                  <w:tcW w:w="497" w:type="pct"/>
                  <w:tcBorders>
                    <w:bottom w:val="single" w:color="auto" w:sz="4" w:space="0"/>
                  </w:tcBorders>
                  <w:shd w:val="clear" w:color="auto" w:fill="auto"/>
                  <w:vAlign w:val="center"/>
                </w:tcPr>
                <w:p w14:paraId="28178DD5">
                  <w:pPr>
                    <w:spacing w:line="0" w:lineRule="atLeast"/>
                    <w:jc w:val="center"/>
                    <w:rPr>
                      <w:rFonts w:hint="default" w:cs="Times New Roman"/>
                      <w:color w:val="auto"/>
                      <w:spacing w:val="-20"/>
                      <w:sz w:val="18"/>
                      <w:szCs w:val="18"/>
                      <w:lang w:val="en-US" w:eastAsia="zh-CN"/>
                    </w:rPr>
                  </w:pPr>
                  <w:r>
                    <w:rPr>
                      <w:rFonts w:hint="eastAsia" w:cs="Times New Roman"/>
                      <w:color w:val="auto"/>
                      <w:spacing w:val="-20"/>
                      <w:sz w:val="18"/>
                      <w:szCs w:val="18"/>
                      <w:lang w:val="en-US" w:eastAsia="zh-CN"/>
                    </w:rPr>
                    <w:t>3</w:t>
                  </w:r>
                  <w:r>
                    <w:rPr>
                      <w:rFonts w:hint="eastAsia" w:cs="Times New Roman"/>
                      <w:color w:val="auto"/>
                      <w:spacing w:val="-20"/>
                      <w:sz w:val="18"/>
                      <w:szCs w:val="18"/>
                      <w:vertAlign w:val="superscript"/>
                      <w:lang w:val="en-US" w:eastAsia="zh-CN"/>
                    </w:rPr>
                    <w:t>#</w:t>
                  </w:r>
                  <w:r>
                    <w:rPr>
                      <w:rFonts w:hint="eastAsia" w:cs="Times New Roman"/>
                      <w:color w:val="auto"/>
                      <w:spacing w:val="-20"/>
                      <w:sz w:val="18"/>
                      <w:szCs w:val="18"/>
                      <w:lang w:val="en-US" w:eastAsia="zh-CN"/>
                    </w:rPr>
                    <w:t>储料池</w:t>
                  </w:r>
                </w:p>
              </w:tc>
              <w:tc>
                <w:tcPr>
                  <w:tcW w:w="568" w:type="pct"/>
                  <w:tcBorders>
                    <w:bottom w:val="single" w:color="auto" w:sz="4" w:space="0"/>
                  </w:tcBorders>
                  <w:shd w:val="clear" w:color="auto" w:fill="auto"/>
                  <w:vAlign w:val="center"/>
                </w:tcPr>
                <w:p w14:paraId="50303C0D">
                  <w:pPr>
                    <w:spacing w:line="0" w:lineRule="atLeast"/>
                    <w:jc w:val="center"/>
                    <w:rPr>
                      <w:rFonts w:hint="eastAsia" w:ascii="Times New Roman" w:hAnsi="Times New Roman" w:eastAsia="宋体" w:cs="Times New Roman"/>
                      <w:color w:val="auto"/>
                      <w:spacing w:val="-20"/>
                      <w:sz w:val="18"/>
                      <w:szCs w:val="18"/>
                      <w:lang w:val="en-US" w:eastAsia="zh-CN"/>
                    </w:rPr>
                  </w:pPr>
                  <w:r>
                    <w:rPr>
                      <w:rFonts w:hint="eastAsia" w:ascii="Times New Roman" w:hAnsi="Times New Roman" w:eastAsia="宋体" w:cs="Times New Roman"/>
                      <w:color w:val="auto"/>
                      <w:spacing w:val="-20"/>
                      <w:sz w:val="18"/>
                      <w:szCs w:val="18"/>
                      <w:lang w:val="en-US" w:eastAsia="zh-CN"/>
                    </w:rPr>
                    <w:t>外售相关回收单位</w:t>
                  </w:r>
                </w:p>
              </w:tc>
              <w:tc>
                <w:tcPr>
                  <w:tcW w:w="470" w:type="pct"/>
                  <w:shd w:val="clear" w:color="auto" w:fill="auto"/>
                  <w:vAlign w:val="center"/>
                </w:tcPr>
                <w:p w14:paraId="2231E609">
                  <w:pPr>
                    <w:spacing w:line="0" w:lineRule="atLeast"/>
                    <w:jc w:val="center"/>
                    <w:rPr>
                      <w:rFonts w:hint="eastAsia"/>
                      <w:color w:val="auto"/>
                      <w:spacing w:val="-20"/>
                      <w:sz w:val="18"/>
                      <w:szCs w:val="18"/>
                      <w:lang w:val="en-US" w:eastAsia="zh-CN"/>
                    </w:rPr>
                  </w:pPr>
                  <w:r>
                    <w:rPr>
                      <w:rFonts w:hint="eastAsia" w:cs="Times New Roman"/>
                      <w:color w:val="auto"/>
                      <w:spacing w:val="-10"/>
                      <w:sz w:val="18"/>
                      <w:szCs w:val="18"/>
                      <w:highlight w:val="none"/>
                      <w:lang w:val="en-US" w:eastAsia="zh-CN"/>
                    </w:rPr>
                    <w:t>5000</w:t>
                  </w:r>
                </w:p>
              </w:tc>
              <w:tc>
                <w:tcPr>
                  <w:tcW w:w="418" w:type="pct"/>
                  <w:vMerge w:val="continue"/>
                  <w:vAlign w:val="center"/>
                </w:tcPr>
                <w:p w14:paraId="11C2BF78">
                  <w:pPr>
                    <w:spacing w:line="0" w:lineRule="atLeast"/>
                    <w:jc w:val="center"/>
                    <w:rPr>
                      <w:color w:val="auto"/>
                      <w:spacing w:val="-20"/>
                      <w:sz w:val="18"/>
                      <w:szCs w:val="18"/>
                    </w:rPr>
                  </w:pPr>
                </w:p>
              </w:tc>
            </w:tr>
            <w:tr w14:paraId="107EBE36">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PrEx>
              <w:trPr>
                <w:trHeight w:val="397" w:hRule="atLeast"/>
                <w:jc w:val="center"/>
              </w:trPr>
              <w:tc>
                <w:tcPr>
                  <w:tcW w:w="192" w:type="pct"/>
                  <w:shd w:val="clear" w:color="auto" w:fill="auto"/>
                  <w:vAlign w:val="center"/>
                </w:tcPr>
                <w:p w14:paraId="2FF92594">
                  <w:pPr>
                    <w:spacing w:line="0" w:lineRule="atLeast"/>
                    <w:jc w:val="center"/>
                    <w:rPr>
                      <w:rFonts w:hint="default" w:ascii="Times New Roman" w:hAnsi="Times New Roman" w:eastAsia="宋体" w:cs="Times New Roman"/>
                      <w:color w:val="auto"/>
                      <w:spacing w:val="-20"/>
                      <w:kern w:val="2"/>
                      <w:sz w:val="18"/>
                      <w:szCs w:val="18"/>
                      <w:lang w:val="en-US" w:eastAsia="zh-CN" w:bidi="ar-SA"/>
                    </w:rPr>
                  </w:pPr>
                  <w:r>
                    <w:rPr>
                      <w:rFonts w:hint="eastAsia"/>
                      <w:color w:val="auto"/>
                      <w:spacing w:val="-20"/>
                      <w:sz w:val="18"/>
                      <w:szCs w:val="18"/>
                      <w:lang w:val="en-US" w:eastAsia="zh-CN"/>
                    </w:rPr>
                    <w:t>11</w:t>
                  </w:r>
                </w:p>
              </w:tc>
              <w:tc>
                <w:tcPr>
                  <w:tcW w:w="382" w:type="pct"/>
                  <w:shd w:val="clear" w:color="auto" w:fill="auto"/>
                  <w:vAlign w:val="center"/>
                </w:tcPr>
                <w:p w14:paraId="5C44D04F">
                  <w:pPr>
                    <w:spacing w:line="0" w:lineRule="atLeast"/>
                    <w:jc w:val="center"/>
                    <w:rPr>
                      <w:rFonts w:hint="default" w:ascii="Times New Roman" w:hAnsi="Times New Roman" w:eastAsia="宋体" w:cs="Times New Roman"/>
                      <w:color w:val="auto"/>
                      <w:spacing w:val="-10"/>
                      <w:sz w:val="18"/>
                      <w:szCs w:val="18"/>
                      <w:lang w:val="en-US" w:eastAsia="zh-CN"/>
                    </w:rPr>
                  </w:pPr>
                  <w:r>
                    <w:rPr>
                      <w:rFonts w:hint="eastAsia" w:ascii="Times New Roman" w:hAnsi="Times New Roman" w:eastAsia="宋体" w:cs="Times New Roman"/>
                      <w:color w:val="auto"/>
                      <w:spacing w:val="-10"/>
                      <w:sz w:val="18"/>
                      <w:szCs w:val="18"/>
                      <w:lang w:val="en-US" w:eastAsia="zh-CN"/>
                    </w:rPr>
                    <w:t>废土</w:t>
                  </w:r>
                </w:p>
              </w:tc>
              <w:tc>
                <w:tcPr>
                  <w:tcW w:w="504" w:type="pct"/>
                  <w:shd w:val="clear" w:color="auto" w:fill="auto"/>
                  <w:vAlign w:val="center"/>
                </w:tcPr>
                <w:p w14:paraId="39EE21A8">
                  <w:pPr>
                    <w:spacing w:line="0" w:lineRule="atLeast"/>
                    <w:jc w:val="center"/>
                    <w:rPr>
                      <w:rFonts w:hint="default"/>
                      <w:color w:val="auto"/>
                      <w:spacing w:val="-20"/>
                      <w:sz w:val="18"/>
                      <w:szCs w:val="18"/>
                      <w:lang w:val="en-US" w:eastAsia="zh-CN"/>
                    </w:rPr>
                  </w:pPr>
                  <w:r>
                    <w:rPr>
                      <w:rFonts w:hint="eastAsia"/>
                      <w:color w:val="auto"/>
                      <w:spacing w:val="-20"/>
                      <w:sz w:val="18"/>
                      <w:szCs w:val="18"/>
                      <w:lang w:val="en-US" w:eastAsia="zh-CN"/>
                    </w:rPr>
                    <w:t>滚筒筛</w:t>
                  </w:r>
                </w:p>
              </w:tc>
              <w:tc>
                <w:tcPr>
                  <w:tcW w:w="280" w:type="pct"/>
                  <w:vMerge w:val="continue"/>
                  <w:vAlign w:val="center"/>
                </w:tcPr>
                <w:p w14:paraId="62313B05">
                  <w:pPr>
                    <w:spacing w:line="0" w:lineRule="atLeast"/>
                    <w:jc w:val="center"/>
                    <w:rPr>
                      <w:color w:val="auto"/>
                      <w:spacing w:val="-20"/>
                      <w:sz w:val="18"/>
                      <w:szCs w:val="18"/>
                    </w:rPr>
                  </w:pPr>
                </w:p>
              </w:tc>
              <w:tc>
                <w:tcPr>
                  <w:tcW w:w="494" w:type="pct"/>
                  <w:tcBorders>
                    <w:bottom w:val="single" w:color="auto" w:sz="4" w:space="0"/>
                  </w:tcBorders>
                  <w:shd w:val="clear" w:color="auto" w:fill="auto"/>
                  <w:vAlign w:val="center"/>
                </w:tcPr>
                <w:p w14:paraId="61C310B0">
                  <w:pPr>
                    <w:spacing w:line="0" w:lineRule="atLeast"/>
                    <w:jc w:val="center"/>
                    <w:rPr>
                      <w:rFonts w:hint="eastAsia" w:ascii="Times New Roman" w:hAnsi="Times New Roman" w:eastAsia="宋体" w:cs="Times New Roman"/>
                      <w:color w:val="auto"/>
                      <w:spacing w:val="-20"/>
                      <w:sz w:val="18"/>
                      <w:szCs w:val="18"/>
                      <w:highlight w:val="none"/>
                      <w:lang w:val="en-US" w:eastAsia="zh-CN"/>
                    </w:rPr>
                  </w:pPr>
                  <w:r>
                    <w:rPr>
                      <w:rFonts w:hint="eastAsia" w:ascii="Times New Roman" w:hAnsi="Times New Roman" w:eastAsia="宋体" w:cs="Times New Roman"/>
                      <w:color w:val="auto"/>
                      <w:spacing w:val="-20"/>
                      <w:sz w:val="18"/>
                      <w:szCs w:val="18"/>
                      <w:highlight w:val="none"/>
                      <w:lang w:val="en-US" w:eastAsia="zh-CN"/>
                    </w:rPr>
                    <w:t>900-099-S59</w:t>
                  </w:r>
                </w:p>
              </w:tc>
              <w:tc>
                <w:tcPr>
                  <w:tcW w:w="326" w:type="pct"/>
                  <w:tcBorders>
                    <w:bottom w:val="single" w:color="auto" w:sz="4" w:space="0"/>
                  </w:tcBorders>
                  <w:shd w:val="clear" w:color="auto" w:fill="auto"/>
                  <w:vAlign w:val="center"/>
                </w:tcPr>
                <w:p w14:paraId="09B586BD">
                  <w:pPr>
                    <w:spacing w:line="0" w:lineRule="atLeast"/>
                    <w:jc w:val="center"/>
                    <w:rPr>
                      <w:rFonts w:hint="eastAsia"/>
                      <w:color w:val="auto"/>
                      <w:spacing w:val="-20"/>
                      <w:sz w:val="18"/>
                      <w:szCs w:val="18"/>
                      <w:lang w:val="en-US" w:eastAsia="zh-CN"/>
                    </w:rPr>
                  </w:pPr>
                  <w:r>
                    <w:rPr>
                      <w:rFonts w:hint="eastAsia" w:cs="Times New Roman"/>
                      <w:color w:val="auto"/>
                      <w:spacing w:val="-10"/>
                      <w:sz w:val="18"/>
                      <w:szCs w:val="18"/>
                      <w:highlight w:val="none"/>
                      <w:lang w:val="en-US" w:eastAsia="zh-CN"/>
                    </w:rPr>
                    <w:t>1665</w:t>
                  </w:r>
                  <w:r>
                    <w:rPr>
                      <w:rFonts w:hint="default" w:ascii="Times New Roman" w:hAnsi="Times New Roman" w:cs="Times New Roman"/>
                      <w:color w:val="auto"/>
                      <w:spacing w:val="-10"/>
                      <w:sz w:val="18"/>
                      <w:szCs w:val="18"/>
                      <w:highlight w:val="none"/>
                      <w:lang w:val="en-US" w:eastAsia="zh-CN"/>
                    </w:rPr>
                    <w:t>00</w:t>
                  </w:r>
                </w:p>
              </w:tc>
              <w:tc>
                <w:tcPr>
                  <w:tcW w:w="360" w:type="pct"/>
                  <w:shd w:val="clear" w:color="auto" w:fill="auto"/>
                  <w:vAlign w:val="center"/>
                </w:tcPr>
                <w:p w14:paraId="2E60A24F">
                  <w:pPr>
                    <w:spacing w:line="0" w:lineRule="atLeast"/>
                    <w:jc w:val="center"/>
                    <w:rPr>
                      <w:rFonts w:hint="eastAsia" w:ascii="Times New Roman" w:hAnsi="Times New Roman" w:eastAsia="宋体" w:cs="Times New Roman"/>
                      <w:color w:val="auto"/>
                      <w:spacing w:val="-20"/>
                      <w:kern w:val="2"/>
                      <w:sz w:val="18"/>
                      <w:szCs w:val="18"/>
                      <w:lang w:val="en-US" w:eastAsia="zh-CN" w:bidi="ar-SA"/>
                    </w:rPr>
                  </w:pPr>
                  <w:r>
                    <w:rPr>
                      <w:rFonts w:hint="eastAsia"/>
                      <w:color w:val="auto"/>
                      <w:spacing w:val="-20"/>
                      <w:sz w:val="18"/>
                      <w:szCs w:val="18"/>
                    </w:rPr>
                    <w:t>/</w:t>
                  </w:r>
                </w:p>
              </w:tc>
              <w:tc>
                <w:tcPr>
                  <w:tcW w:w="209" w:type="pct"/>
                  <w:shd w:val="clear" w:color="auto" w:fill="auto"/>
                  <w:vAlign w:val="center"/>
                </w:tcPr>
                <w:p w14:paraId="4E011CAD">
                  <w:pPr>
                    <w:spacing w:line="0" w:lineRule="atLeast"/>
                    <w:jc w:val="center"/>
                    <w:rPr>
                      <w:rFonts w:hint="eastAsia" w:ascii="Times New Roman" w:hAnsi="Times New Roman" w:eastAsia="宋体" w:cs="Times New Roman"/>
                      <w:color w:val="auto"/>
                      <w:spacing w:val="-20"/>
                      <w:kern w:val="2"/>
                      <w:sz w:val="18"/>
                      <w:szCs w:val="18"/>
                      <w:lang w:val="en-US" w:eastAsia="zh-CN" w:bidi="ar-SA"/>
                    </w:rPr>
                  </w:pPr>
                  <w:r>
                    <w:rPr>
                      <w:rFonts w:hint="eastAsia"/>
                      <w:color w:val="auto"/>
                      <w:spacing w:val="-20"/>
                      <w:sz w:val="18"/>
                      <w:szCs w:val="18"/>
                    </w:rPr>
                    <w:t>固态</w:t>
                  </w:r>
                </w:p>
              </w:tc>
              <w:tc>
                <w:tcPr>
                  <w:tcW w:w="294" w:type="pct"/>
                  <w:shd w:val="clear" w:color="auto" w:fill="auto"/>
                  <w:vAlign w:val="center"/>
                </w:tcPr>
                <w:p w14:paraId="37B50FBC">
                  <w:pPr>
                    <w:spacing w:line="0" w:lineRule="atLeast"/>
                    <w:jc w:val="center"/>
                    <w:rPr>
                      <w:rFonts w:hint="eastAsia" w:ascii="Times New Roman" w:hAnsi="Times New Roman" w:eastAsia="宋体" w:cs="Times New Roman"/>
                      <w:color w:val="auto"/>
                      <w:spacing w:val="-20"/>
                      <w:kern w:val="2"/>
                      <w:sz w:val="18"/>
                      <w:szCs w:val="18"/>
                      <w:lang w:val="en-US" w:eastAsia="zh-CN" w:bidi="ar-SA"/>
                    </w:rPr>
                  </w:pPr>
                  <w:r>
                    <w:rPr>
                      <w:rFonts w:hint="eastAsia"/>
                      <w:color w:val="auto"/>
                      <w:spacing w:val="-20"/>
                      <w:sz w:val="18"/>
                      <w:szCs w:val="18"/>
                    </w:rPr>
                    <w:t>/</w:t>
                  </w:r>
                </w:p>
              </w:tc>
              <w:tc>
                <w:tcPr>
                  <w:tcW w:w="497" w:type="pct"/>
                  <w:tcBorders>
                    <w:bottom w:val="single" w:color="auto" w:sz="4" w:space="0"/>
                  </w:tcBorders>
                  <w:shd w:val="clear" w:color="auto" w:fill="auto"/>
                  <w:vAlign w:val="center"/>
                </w:tcPr>
                <w:p w14:paraId="03BAAE61">
                  <w:pPr>
                    <w:spacing w:line="0" w:lineRule="atLeast"/>
                    <w:jc w:val="center"/>
                    <w:rPr>
                      <w:rFonts w:hint="eastAsia" w:cs="Times New Roman"/>
                      <w:color w:val="auto"/>
                      <w:spacing w:val="-20"/>
                      <w:sz w:val="18"/>
                      <w:szCs w:val="18"/>
                      <w:lang w:val="en-US" w:eastAsia="zh-CN"/>
                    </w:rPr>
                  </w:pPr>
                  <w:r>
                    <w:rPr>
                      <w:rFonts w:hint="eastAsia" w:ascii="Times New Roman" w:hAnsi="Times New Roman" w:eastAsia="宋体" w:cs="Times New Roman"/>
                      <w:color w:val="auto"/>
                      <w:spacing w:val="-10"/>
                      <w:sz w:val="18"/>
                      <w:szCs w:val="18"/>
                      <w:lang w:val="en-US" w:eastAsia="zh-CN"/>
                    </w:rPr>
                    <w:t>废土暂存区</w:t>
                  </w:r>
                </w:p>
              </w:tc>
              <w:tc>
                <w:tcPr>
                  <w:tcW w:w="568" w:type="pct"/>
                  <w:tcBorders>
                    <w:bottom w:val="single" w:color="auto" w:sz="4" w:space="0"/>
                  </w:tcBorders>
                  <w:shd w:val="clear" w:color="auto" w:fill="auto"/>
                  <w:vAlign w:val="center"/>
                </w:tcPr>
                <w:p w14:paraId="166E8FA2">
                  <w:pPr>
                    <w:spacing w:line="0" w:lineRule="atLeast"/>
                    <w:jc w:val="center"/>
                    <w:rPr>
                      <w:rFonts w:hint="default" w:ascii="Times New Roman" w:hAnsi="Times New Roman" w:eastAsia="宋体" w:cs="Times New Roman"/>
                      <w:color w:val="auto"/>
                      <w:spacing w:val="-20"/>
                      <w:sz w:val="18"/>
                      <w:szCs w:val="18"/>
                      <w:lang w:val="en-US" w:eastAsia="zh-CN"/>
                    </w:rPr>
                  </w:pPr>
                  <w:r>
                    <w:rPr>
                      <w:rFonts w:hint="eastAsia" w:ascii="Times New Roman" w:hAnsi="Times New Roman" w:eastAsia="宋体" w:cs="Times New Roman"/>
                      <w:color w:val="auto"/>
                      <w:spacing w:val="-20"/>
                      <w:sz w:val="18"/>
                      <w:szCs w:val="18"/>
                      <w:lang w:val="en-US" w:eastAsia="zh-CN"/>
                    </w:rPr>
                    <w:t>用于填坑、铺路</w:t>
                  </w:r>
                </w:p>
              </w:tc>
              <w:tc>
                <w:tcPr>
                  <w:tcW w:w="470" w:type="pct"/>
                  <w:shd w:val="clear" w:color="auto" w:fill="auto"/>
                  <w:vAlign w:val="center"/>
                </w:tcPr>
                <w:p w14:paraId="64F4BA04">
                  <w:pPr>
                    <w:spacing w:line="0" w:lineRule="atLeast"/>
                    <w:jc w:val="center"/>
                    <w:rPr>
                      <w:rFonts w:hint="eastAsia"/>
                      <w:color w:val="auto"/>
                      <w:spacing w:val="-20"/>
                      <w:sz w:val="18"/>
                      <w:szCs w:val="18"/>
                      <w:lang w:val="en-US" w:eastAsia="zh-CN"/>
                    </w:rPr>
                  </w:pPr>
                  <w:r>
                    <w:rPr>
                      <w:rFonts w:hint="eastAsia" w:cs="Times New Roman"/>
                      <w:color w:val="auto"/>
                      <w:spacing w:val="-10"/>
                      <w:sz w:val="18"/>
                      <w:szCs w:val="18"/>
                      <w:highlight w:val="none"/>
                      <w:lang w:val="en-US" w:eastAsia="zh-CN"/>
                    </w:rPr>
                    <w:t>1665</w:t>
                  </w:r>
                  <w:r>
                    <w:rPr>
                      <w:rFonts w:hint="default" w:ascii="Times New Roman" w:hAnsi="Times New Roman" w:cs="Times New Roman"/>
                      <w:color w:val="auto"/>
                      <w:spacing w:val="-10"/>
                      <w:sz w:val="18"/>
                      <w:szCs w:val="18"/>
                      <w:highlight w:val="none"/>
                      <w:lang w:val="en-US" w:eastAsia="zh-CN"/>
                    </w:rPr>
                    <w:t>00</w:t>
                  </w:r>
                </w:p>
              </w:tc>
              <w:tc>
                <w:tcPr>
                  <w:tcW w:w="418" w:type="pct"/>
                  <w:vMerge w:val="continue"/>
                  <w:vAlign w:val="center"/>
                </w:tcPr>
                <w:p w14:paraId="08FFEDE0">
                  <w:pPr>
                    <w:spacing w:line="0" w:lineRule="atLeast"/>
                    <w:jc w:val="center"/>
                    <w:rPr>
                      <w:color w:val="auto"/>
                      <w:spacing w:val="-20"/>
                      <w:sz w:val="18"/>
                      <w:szCs w:val="18"/>
                    </w:rPr>
                  </w:pPr>
                </w:p>
              </w:tc>
            </w:tr>
            <w:tr w14:paraId="2D0025D7">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192" w:type="pct"/>
                  <w:shd w:val="clear" w:color="auto" w:fill="auto"/>
                  <w:vAlign w:val="center"/>
                </w:tcPr>
                <w:p w14:paraId="31C970AE">
                  <w:pPr>
                    <w:spacing w:line="0" w:lineRule="atLeast"/>
                    <w:jc w:val="center"/>
                    <w:rPr>
                      <w:rFonts w:hint="default" w:ascii="Times New Roman" w:hAnsi="Times New Roman" w:eastAsia="宋体" w:cs="Times New Roman"/>
                      <w:color w:val="auto"/>
                      <w:spacing w:val="-20"/>
                      <w:kern w:val="2"/>
                      <w:sz w:val="18"/>
                      <w:szCs w:val="18"/>
                      <w:lang w:val="en-US" w:eastAsia="zh-CN" w:bidi="ar-SA"/>
                    </w:rPr>
                  </w:pPr>
                  <w:r>
                    <w:rPr>
                      <w:rFonts w:hint="eastAsia"/>
                      <w:color w:val="auto"/>
                      <w:spacing w:val="-20"/>
                      <w:sz w:val="18"/>
                      <w:szCs w:val="18"/>
                      <w:lang w:val="en-US" w:eastAsia="zh-CN"/>
                    </w:rPr>
                    <w:t>12</w:t>
                  </w:r>
                </w:p>
              </w:tc>
              <w:tc>
                <w:tcPr>
                  <w:tcW w:w="382" w:type="pct"/>
                  <w:shd w:val="clear" w:color="auto" w:fill="auto"/>
                  <w:vAlign w:val="center"/>
                </w:tcPr>
                <w:p w14:paraId="06795F5E">
                  <w:pPr>
                    <w:spacing w:line="0" w:lineRule="atLeast"/>
                    <w:jc w:val="center"/>
                    <w:rPr>
                      <w:rFonts w:hint="eastAsia" w:ascii="Times New Roman" w:hAnsi="Times New Roman" w:eastAsia="宋体" w:cs="Times New Roman"/>
                      <w:color w:val="auto"/>
                      <w:spacing w:val="-20"/>
                      <w:kern w:val="2"/>
                      <w:sz w:val="18"/>
                      <w:szCs w:val="18"/>
                      <w:lang w:val="en-US" w:eastAsia="zh-CN" w:bidi="ar-SA"/>
                    </w:rPr>
                  </w:pPr>
                  <w:r>
                    <w:rPr>
                      <w:rFonts w:hint="eastAsia"/>
                      <w:color w:val="auto"/>
                      <w:spacing w:val="-10"/>
                      <w:sz w:val="18"/>
                      <w:szCs w:val="18"/>
                    </w:rPr>
                    <w:t>生活垃圾</w:t>
                  </w:r>
                </w:p>
              </w:tc>
              <w:tc>
                <w:tcPr>
                  <w:tcW w:w="504" w:type="pct"/>
                  <w:shd w:val="clear" w:color="auto" w:fill="auto"/>
                  <w:vAlign w:val="center"/>
                </w:tcPr>
                <w:p w14:paraId="67CA4AD3">
                  <w:pPr>
                    <w:spacing w:line="0" w:lineRule="atLeast"/>
                    <w:jc w:val="center"/>
                    <w:rPr>
                      <w:rFonts w:hint="eastAsia" w:ascii="Times New Roman" w:hAnsi="Times New Roman" w:eastAsia="宋体" w:cs="Times New Roman"/>
                      <w:color w:val="auto"/>
                      <w:spacing w:val="-20"/>
                      <w:kern w:val="2"/>
                      <w:sz w:val="18"/>
                      <w:szCs w:val="18"/>
                      <w:lang w:val="en-US" w:eastAsia="zh-CN" w:bidi="ar-SA"/>
                    </w:rPr>
                  </w:pPr>
                  <w:r>
                    <w:rPr>
                      <w:rFonts w:hint="eastAsia"/>
                      <w:color w:val="auto"/>
                      <w:spacing w:val="-10"/>
                      <w:sz w:val="18"/>
                      <w:szCs w:val="18"/>
                    </w:rPr>
                    <w:t>职工生活</w:t>
                  </w:r>
                </w:p>
              </w:tc>
              <w:tc>
                <w:tcPr>
                  <w:tcW w:w="280" w:type="pct"/>
                  <w:vMerge w:val="continue"/>
                  <w:vAlign w:val="center"/>
                </w:tcPr>
                <w:p w14:paraId="71F30E2D">
                  <w:pPr>
                    <w:spacing w:line="0" w:lineRule="atLeast"/>
                    <w:jc w:val="center"/>
                    <w:rPr>
                      <w:color w:val="auto"/>
                      <w:spacing w:val="-20"/>
                      <w:sz w:val="18"/>
                      <w:szCs w:val="18"/>
                    </w:rPr>
                  </w:pPr>
                </w:p>
              </w:tc>
              <w:tc>
                <w:tcPr>
                  <w:tcW w:w="494" w:type="pct"/>
                  <w:tcBorders>
                    <w:bottom w:val="single" w:color="auto" w:sz="4" w:space="0"/>
                  </w:tcBorders>
                  <w:shd w:val="clear" w:color="auto" w:fill="auto"/>
                  <w:vAlign w:val="center"/>
                </w:tcPr>
                <w:p w14:paraId="3413B436">
                  <w:pPr>
                    <w:spacing w:line="0" w:lineRule="atLeast"/>
                    <w:jc w:val="center"/>
                    <w:rPr>
                      <w:rFonts w:hint="eastAsia" w:ascii="Times New Roman" w:hAnsi="Times New Roman" w:eastAsia="宋体" w:cs="Times New Roman"/>
                      <w:color w:val="auto"/>
                      <w:spacing w:val="-11"/>
                      <w:kern w:val="2"/>
                      <w:sz w:val="18"/>
                      <w:szCs w:val="18"/>
                      <w:lang w:val="en-US" w:eastAsia="zh-CN" w:bidi="ar-SA"/>
                    </w:rPr>
                  </w:pPr>
                  <w:r>
                    <w:rPr>
                      <w:rFonts w:hint="eastAsia"/>
                      <w:color w:val="auto"/>
                      <w:spacing w:val="-11"/>
                      <w:sz w:val="18"/>
                      <w:szCs w:val="18"/>
                    </w:rPr>
                    <w:t>/</w:t>
                  </w:r>
                </w:p>
              </w:tc>
              <w:tc>
                <w:tcPr>
                  <w:tcW w:w="326" w:type="pct"/>
                  <w:tcBorders>
                    <w:bottom w:val="single" w:color="auto" w:sz="4" w:space="0"/>
                  </w:tcBorders>
                  <w:shd w:val="clear" w:color="auto" w:fill="auto"/>
                  <w:vAlign w:val="center"/>
                </w:tcPr>
                <w:p w14:paraId="5503A1FE">
                  <w:pPr>
                    <w:spacing w:line="0" w:lineRule="atLeast"/>
                    <w:jc w:val="center"/>
                    <w:rPr>
                      <w:rFonts w:hint="default" w:ascii="Times New Roman" w:hAnsi="Times New Roman" w:eastAsia="宋体" w:cs="Times New Roman"/>
                      <w:color w:val="auto"/>
                      <w:spacing w:val="-20"/>
                      <w:kern w:val="2"/>
                      <w:sz w:val="18"/>
                      <w:szCs w:val="18"/>
                      <w:lang w:val="en-US" w:eastAsia="zh-CN" w:bidi="ar-SA"/>
                    </w:rPr>
                  </w:pPr>
                  <w:r>
                    <w:rPr>
                      <w:rFonts w:hint="eastAsia"/>
                      <w:color w:val="auto"/>
                      <w:spacing w:val="-20"/>
                      <w:sz w:val="18"/>
                      <w:szCs w:val="18"/>
                      <w:lang w:val="en-US" w:eastAsia="zh-CN"/>
                    </w:rPr>
                    <w:t>2.25</w:t>
                  </w:r>
                </w:p>
              </w:tc>
              <w:tc>
                <w:tcPr>
                  <w:tcW w:w="360" w:type="pct"/>
                  <w:shd w:val="clear" w:color="auto" w:fill="auto"/>
                  <w:vAlign w:val="center"/>
                </w:tcPr>
                <w:p w14:paraId="55FEF172">
                  <w:pPr>
                    <w:spacing w:line="0" w:lineRule="atLeast"/>
                    <w:jc w:val="center"/>
                    <w:rPr>
                      <w:rFonts w:hint="eastAsia" w:ascii="Times New Roman" w:hAnsi="Times New Roman" w:eastAsia="宋体" w:cs="Times New Roman"/>
                      <w:color w:val="auto"/>
                      <w:spacing w:val="-20"/>
                      <w:kern w:val="2"/>
                      <w:sz w:val="18"/>
                      <w:szCs w:val="18"/>
                      <w:lang w:val="en-US" w:eastAsia="zh-CN" w:bidi="ar-SA"/>
                    </w:rPr>
                  </w:pPr>
                  <w:r>
                    <w:rPr>
                      <w:rFonts w:hint="eastAsia"/>
                      <w:color w:val="auto"/>
                      <w:spacing w:val="-20"/>
                      <w:sz w:val="18"/>
                      <w:szCs w:val="18"/>
                    </w:rPr>
                    <w:t>/</w:t>
                  </w:r>
                </w:p>
              </w:tc>
              <w:tc>
                <w:tcPr>
                  <w:tcW w:w="209" w:type="pct"/>
                  <w:shd w:val="clear" w:color="auto" w:fill="auto"/>
                  <w:vAlign w:val="center"/>
                </w:tcPr>
                <w:p w14:paraId="1EB44B73">
                  <w:pPr>
                    <w:spacing w:line="0" w:lineRule="atLeast"/>
                    <w:jc w:val="center"/>
                    <w:rPr>
                      <w:rFonts w:hint="eastAsia" w:ascii="Times New Roman" w:hAnsi="Times New Roman" w:eastAsia="宋体" w:cs="Times New Roman"/>
                      <w:color w:val="auto"/>
                      <w:spacing w:val="-20"/>
                      <w:kern w:val="2"/>
                      <w:sz w:val="18"/>
                      <w:szCs w:val="18"/>
                      <w:lang w:val="en-US" w:eastAsia="zh-CN" w:bidi="ar-SA"/>
                    </w:rPr>
                  </w:pPr>
                  <w:r>
                    <w:rPr>
                      <w:rFonts w:hint="eastAsia"/>
                      <w:color w:val="auto"/>
                      <w:spacing w:val="-20"/>
                      <w:sz w:val="18"/>
                      <w:szCs w:val="18"/>
                    </w:rPr>
                    <w:t>固态</w:t>
                  </w:r>
                </w:p>
              </w:tc>
              <w:tc>
                <w:tcPr>
                  <w:tcW w:w="294" w:type="pct"/>
                  <w:shd w:val="clear" w:color="auto" w:fill="auto"/>
                  <w:vAlign w:val="center"/>
                </w:tcPr>
                <w:p w14:paraId="09F39138">
                  <w:pPr>
                    <w:spacing w:line="0" w:lineRule="atLeast"/>
                    <w:jc w:val="center"/>
                    <w:rPr>
                      <w:rFonts w:hint="eastAsia" w:ascii="Times New Roman" w:hAnsi="Times New Roman" w:eastAsia="宋体" w:cs="Times New Roman"/>
                      <w:color w:val="auto"/>
                      <w:spacing w:val="-20"/>
                      <w:kern w:val="2"/>
                      <w:sz w:val="18"/>
                      <w:szCs w:val="18"/>
                      <w:lang w:val="en-US" w:eastAsia="zh-CN" w:bidi="ar-SA"/>
                    </w:rPr>
                  </w:pPr>
                  <w:r>
                    <w:rPr>
                      <w:rFonts w:hint="eastAsia"/>
                      <w:color w:val="auto"/>
                      <w:spacing w:val="-20"/>
                      <w:sz w:val="18"/>
                      <w:szCs w:val="18"/>
                    </w:rPr>
                    <w:t>/</w:t>
                  </w:r>
                </w:p>
              </w:tc>
              <w:tc>
                <w:tcPr>
                  <w:tcW w:w="497" w:type="pct"/>
                  <w:tcBorders>
                    <w:bottom w:val="single" w:color="auto" w:sz="4" w:space="0"/>
                  </w:tcBorders>
                  <w:shd w:val="clear" w:color="auto" w:fill="auto"/>
                  <w:vAlign w:val="center"/>
                </w:tcPr>
                <w:p w14:paraId="45335202">
                  <w:pPr>
                    <w:spacing w:line="0" w:lineRule="atLeast"/>
                    <w:jc w:val="center"/>
                    <w:rPr>
                      <w:rFonts w:hint="eastAsia" w:ascii="Times New Roman" w:hAnsi="Times New Roman" w:eastAsia="宋体" w:cs="Times New Roman"/>
                      <w:color w:val="auto"/>
                      <w:spacing w:val="-20"/>
                      <w:kern w:val="2"/>
                      <w:sz w:val="18"/>
                      <w:szCs w:val="18"/>
                      <w:lang w:val="en-US" w:eastAsia="zh-CN" w:bidi="ar-SA"/>
                    </w:rPr>
                  </w:pPr>
                  <w:r>
                    <w:rPr>
                      <w:rFonts w:hint="eastAsia"/>
                      <w:color w:val="auto"/>
                      <w:spacing w:val="-20"/>
                      <w:sz w:val="18"/>
                      <w:szCs w:val="18"/>
                    </w:rPr>
                    <w:t>垃圾桶</w:t>
                  </w:r>
                </w:p>
              </w:tc>
              <w:tc>
                <w:tcPr>
                  <w:tcW w:w="568" w:type="pct"/>
                  <w:tcBorders>
                    <w:bottom w:val="single" w:color="auto" w:sz="4" w:space="0"/>
                  </w:tcBorders>
                  <w:shd w:val="clear" w:color="auto" w:fill="auto"/>
                  <w:vAlign w:val="center"/>
                </w:tcPr>
                <w:p w14:paraId="2769455A">
                  <w:pPr>
                    <w:spacing w:line="0" w:lineRule="atLeast"/>
                    <w:jc w:val="center"/>
                    <w:rPr>
                      <w:rFonts w:hint="eastAsia" w:ascii="Times New Roman" w:hAnsi="Times New Roman" w:eastAsia="宋体" w:cs="Times New Roman"/>
                      <w:color w:val="auto"/>
                      <w:spacing w:val="-20"/>
                      <w:kern w:val="2"/>
                      <w:sz w:val="18"/>
                      <w:szCs w:val="18"/>
                      <w:lang w:val="en-US" w:eastAsia="zh-CN" w:bidi="ar-SA"/>
                    </w:rPr>
                  </w:pPr>
                  <w:r>
                    <w:rPr>
                      <w:rFonts w:hint="eastAsia"/>
                      <w:color w:val="auto"/>
                      <w:spacing w:val="-10"/>
                      <w:sz w:val="18"/>
                      <w:szCs w:val="18"/>
                    </w:rPr>
                    <w:t>由环卫部门处理</w:t>
                  </w:r>
                </w:p>
              </w:tc>
              <w:tc>
                <w:tcPr>
                  <w:tcW w:w="470" w:type="pct"/>
                  <w:shd w:val="clear" w:color="auto" w:fill="auto"/>
                  <w:vAlign w:val="center"/>
                </w:tcPr>
                <w:p w14:paraId="1386185D">
                  <w:pPr>
                    <w:spacing w:line="0" w:lineRule="atLeast"/>
                    <w:jc w:val="center"/>
                    <w:rPr>
                      <w:rFonts w:hint="default" w:ascii="Times New Roman" w:hAnsi="Times New Roman" w:eastAsia="宋体" w:cs="Times New Roman"/>
                      <w:color w:val="auto"/>
                      <w:spacing w:val="-20"/>
                      <w:kern w:val="2"/>
                      <w:sz w:val="18"/>
                      <w:szCs w:val="18"/>
                      <w:lang w:val="en-US" w:eastAsia="zh-CN" w:bidi="ar-SA"/>
                    </w:rPr>
                  </w:pPr>
                  <w:r>
                    <w:rPr>
                      <w:rFonts w:hint="eastAsia"/>
                      <w:color w:val="auto"/>
                      <w:spacing w:val="-20"/>
                      <w:sz w:val="18"/>
                      <w:szCs w:val="18"/>
                      <w:lang w:val="en-US" w:eastAsia="zh-CN"/>
                    </w:rPr>
                    <w:t>2.25</w:t>
                  </w:r>
                </w:p>
              </w:tc>
              <w:tc>
                <w:tcPr>
                  <w:tcW w:w="418" w:type="pct"/>
                  <w:vMerge w:val="continue"/>
                  <w:vAlign w:val="center"/>
                </w:tcPr>
                <w:p w14:paraId="3C46DF32">
                  <w:pPr>
                    <w:spacing w:line="0" w:lineRule="atLeast"/>
                    <w:jc w:val="center"/>
                    <w:rPr>
                      <w:color w:val="auto"/>
                      <w:spacing w:val="-20"/>
                      <w:sz w:val="18"/>
                      <w:szCs w:val="18"/>
                    </w:rPr>
                  </w:pPr>
                </w:p>
              </w:tc>
            </w:tr>
            <w:tr w14:paraId="24668533">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192" w:type="pct"/>
                  <w:shd w:val="clear" w:color="auto" w:fill="auto"/>
                  <w:vAlign w:val="center"/>
                </w:tcPr>
                <w:p w14:paraId="660AFF5E">
                  <w:pPr>
                    <w:spacing w:line="0" w:lineRule="atLeast"/>
                    <w:jc w:val="center"/>
                    <w:rPr>
                      <w:rFonts w:hint="default" w:ascii="Times New Roman" w:hAnsi="Times New Roman" w:eastAsia="宋体" w:cs="Times New Roman"/>
                      <w:color w:val="auto"/>
                      <w:spacing w:val="-20"/>
                      <w:kern w:val="2"/>
                      <w:sz w:val="18"/>
                      <w:szCs w:val="18"/>
                      <w:lang w:val="en-US" w:eastAsia="zh-CN" w:bidi="ar-SA"/>
                    </w:rPr>
                  </w:pPr>
                  <w:r>
                    <w:rPr>
                      <w:rFonts w:hint="eastAsia" w:cs="Times New Roman"/>
                      <w:color w:val="auto"/>
                      <w:spacing w:val="-20"/>
                      <w:kern w:val="2"/>
                      <w:sz w:val="18"/>
                      <w:szCs w:val="18"/>
                      <w:lang w:val="en-US" w:eastAsia="zh-CN" w:bidi="ar-SA"/>
                    </w:rPr>
                    <w:t>13</w:t>
                  </w:r>
                </w:p>
              </w:tc>
              <w:tc>
                <w:tcPr>
                  <w:tcW w:w="382" w:type="pct"/>
                  <w:vAlign w:val="center"/>
                </w:tcPr>
                <w:p w14:paraId="70C225E2">
                  <w:pPr>
                    <w:jc w:val="center"/>
                    <w:rPr>
                      <w:rFonts w:ascii="Times New Roman" w:hAnsi="Times New Roman" w:eastAsia="宋体" w:cs="Times New Roman"/>
                      <w:color w:val="auto"/>
                      <w:spacing w:val="-10"/>
                      <w:kern w:val="0"/>
                      <w:sz w:val="18"/>
                      <w:szCs w:val="18"/>
                      <w:lang w:val="en-US" w:eastAsia="zh-CN" w:bidi="ar-SA"/>
                    </w:rPr>
                  </w:pPr>
                  <w:r>
                    <w:rPr>
                      <w:rFonts w:hint="eastAsia"/>
                      <w:color w:val="auto"/>
                      <w:spacing w:val="-10"/>
                      <w:sz w:val="18"/>
                      <w:szCs w:val="18"/>
                    </w:rPr>
                    <w:t>废润滑油</w:t>
                  </w:r>
                </w:p>
              </w:tc>
              <w:tc>
                <w:tcPr>
                  <w:tcW w:w="504" w:type="pct"/>
                  <w:vMerge w:val="restart"/>
                  <w:vAlign w:val="center"/>
                </w:tcPr>
                <w:p w14:paraId="653B1B1F">
                  <w:pPr>
                    <w:spacing w:line="0" w:lineRule="atLeast"/>
                    <w:jc w:val="center"/>
                    <w:rPr>
                      <w:color w:val="auto"/>
                      <w:spacing w:val="-20"/>
                      <w:sz w:val="18"/>
                      <w:szCs w:val="18"/>
                    </w:rPr>
                  </w:pPr>
                  <w:r>
                    <w:rPr>
                      <w:rFonts w:hint="eastAsia"/>
                      <w:color w:val="auto"/>
                      <w:spacing w:val="-10"/>
                      <w:sz w:val="18"/>
                      <w:szCs w:val="18"/>
                    </w:rPr>
                    <w:t>机械设备维修保养</w:t>
                  </w:r>
                </w:p>
              </w:tc>
              <w:tc>
                <w:tcPr>
                  <w:tcW w:w="280" w:type="pct"/>
                  <w:vMerge w:val="restart"/>
                  <w:vAlign w:val="center"/>
                </w:tcPr>
                <w:p w14:paraId="1EC94774">
                  <w:pPr>
                    <w:spacing w:line="0" w:lineRule="atLeast"/>
                    <w:jc w:val="center"/>
                    <w:rPr>
                      <w:color w:val="auto"/>
                      <w:spacing w:val="-20"/>
                      <w:sz w:val="18"/>
                      <w:szCs w:val="18"/>
                    </w:rPr>
                  </w:pPr>
                  <w:r>
                    <w:rPr>
                      <w:rFonts w:hint="eastAsia"/>
                      <w:color w:val="auto"/>
                      <w:spacing w:val="-20"/>
                      <w:sz w:val="18"/>
                      <w:szCs w:val="18"/>
                    </w:rPr>
                    <w:t>危险废物HW08</w:t>
                  </w:r>
                </w:p>
              </w:tc>
              <w:tc>
                <w:tcPr>
                  <w:tcW w:w="494" w:type="pct"/>
                  <w:tcBorders>
                    <w:bottom w:val="single" w:color="auto" w:sz="4" w:space="0"/>
                  </w:tcBorders>
                  <w:vAlign w:val="center"/>
                </w:tcPr>
                <w:p w14:paraId="2B66385C">
                  <w:pPr>
                    <w:spacing w:line="0" w:lineRule="atLeast"/>
                    <w:jc w:val="center"/>
                    <w:rPr>
                      <w:rFonts w:ascii="Times New Roman" w:hAnsi="Times New Roman" w:eastAsia="宋体" w:cs="Times New Roman"/>
                      <w:color w:val="auto"/>
                      <w:spacing w:val="-11"/>
                      <w:sz w:val="18"/>
                      <w:szCs w:val="18"/>
                      <w:lang w:val="en-US" w:eastAsia="zh-CN"/>
                    </w:rPr>
                  </w:pPr>
                  <w:r>
                    <w:rPr>
                      <w:rFonts w:ascii="Times New Roman" w:hAnsi="Times New Roman" w:eastAsia="宋体" w:cs="Times New Roman"/>
                      <w:color w:val="auto"/>
                      <w:spacing w:val="-11"/>
                      <w:sz w:val="18"/>
                      <w:szCs w:val="18"/>
                    </w:rPr>
                    <w:t>900-21</w:t>
                  </w:r>
                  <w:r>
                    <w:rPr>
                      <w:rFonts w:hint="eastAsia" w:cs="Times New Roman"/>
                      <w:color w:val="auto"/>
                      <w:spacing w:val="-11"/>
                      <w:sz w:val="18"/>
                      <w:szCs w:val="18"/>
                      <w:lang w:val="en-US" w:eastAsia="zh-CN"/>
                    </w:rPr>
                    <w:t>4</w:t>
                  </w:r>
                  <w:r>
                    <w:rPr>
                      <w:rFonts w:ascii="Times New Roman" w:hAnsi="Times New Roman" w:eastAsia="宋体" w:cs="Times New Roman"/>
                      <w:color w:val="auto"/>
                      <w:spacing w:val="-11"/>
                      <w:sz w:val="18"/>
                      <w:szCs w:val="18"/>
                    </w:rPr>
                    <w:t>-08</w:t>
                  </w:r>
                </w:p>
              </w:tc>
              <w:tc>
                <w:tcPr>
                  <w:tcW w:w="326" w:type="pct"/>
                  <w:tcBorders>
                    <w:bottom w:val="single" w:color="auto" w:sz="4" w:space="0"/>
                  </w:tcBorders>
                  <w:vAlign w:val="center"/>
                </w:tcPr>
                <w:p w14:paraId="34D17174">
                  <w:pPr>
                    <w:spacing w:line="0" w:lineRule="atLeast"/>
                    <w:jc w:val="center"/>
                    <w:rPr>
                      <w:rFonts w:hint="default" w:ascii="Times New Roman" w:hAnsi="Times New Roman" w:eastAsia="宋体" w:cs="Times New Roman"/>
                      <w:color w:val="auto"/>
                      <w:spacing w:val="-20"/>
                      <w:kern w:val="2"/>
                      <w:sz w:val="18"/>
                      <w:szCs w:val="18"/>
                      <w:lang w:val="en-US" w:eastAsia="zh-CN" w:bidi="ar-SA"/>
                    </w:rPr>
                  </w:pPr>
                  <w:r>
                    <w:rPr>
                      <w:rFonts w:hint="eastAsia" w:cs="Times New Roman"/>
                      <w:color w:val="auto"/>
                      <w:spacing w:val="-20"/>
                      <w:kern w:val="2"/>
                      <w:sz w:val="18"/>
                      <w:szCs w:val="18"/>
                      <w:lang w:val="en-US" w:eastAsia="zh-CN" w:bidi="ar-SA"/>
                    </w:rPr>
                    <w:t>0.08</w:t>
                  </w:r>
                </w:p>
              </w:tc>
              <w:tc>
                <w:tcPr>
                  <w:tcW w:w="360" w:type="pct"/>
                  <w:vAlign w:val="center"/>
                </w:tcPr>
                <w:p w14:paraId="4AF856A9">
                  <w:pPr>
                    <w:spacing w:line="0" w:lineRule="atLeast"/>
                    <w:jc w:val="center"/>
                    <w:rPr>
                      <w:rFonts w:ascii="Times New Roman" w:hAnsi="Times New Roman" w:eastAsia="宋体" w:cs="Times New Roman"/>
                      <w:color w:val="auto"/>
                      <w:spacing w:val="-20"/>
                      <w:kern w:val="2"/>
                      <w:sz w:val="18"/>
                      <w:szCs w:val="18"/>
                      <w:lang w:val="en-US" w:eastAsia="zh-CN" w:bidi="ar-SA"/>
                    </w:rPr>
                  </w:pPr>
                  <w:r>
                    <w:rPr>
                      <w:rFonts w:hint="eastAsia"/>
                      <w:color w:val="auto"/>
                      <w:spacing w:val="-20"/>
                      <w:sz w:val="18"/>
                      <w:szCs w:val="18"/>
                    </w:rPr>
                    <w:t>油脂</w:t>
                  </w:r>
                </w:p>
              </w:tc>
              <w:tc>
                <w:tcPr>
                  <w:tcW w:w="209" w:type="pct"/>
                  <w:vAlign w:val="center"/>
                </w:tcPr>
                <w:p w14:paraId="2EA2AD0F">
                  <w:pPr>
                    <w:spacing w:line="0" w:lineRule="atLeast"/>
                    <w:jc w:val="center"/>
                    <w:rPr>
                      <w:rFonts w:ascii="Times New Roman" w:hAnsi="Times New Roman" w:eastAsia="宋体" w:cs="Times New Roman"/>
                      <w:color w:val="auto"/>
                      <w:spacing w:val="-20"/>
                      <w:kern w:val="2"/>
                      <w:sz w:val="18"/>
                      <w:szCs w:val="18"/>
                      <w:lang w:val="en-US" w:eastAsia="zh-CN" w:bidi="ar-SA"/>
                    </w:rPr>
                  </w:pPr>
                  <w:r>
                    <w:rPr>
                      <w:rFonts w:hint="eastAsia"/>
                      <w:color w:val="auto"/>
                      <w:spacing w:val="-20"/>
                      <w:sz w:val="18"/>
                      <w:szCs w:val="18"/>
                    </w:rPr>
                    <w:t>液态</w:t>
                  </w:r>
                </w:p>
              </w:tc>
              <w:tc>
                <w:tcPr>
                  <w:tcW w:w="294" w:type="pct"/>
                  <w:vAlign w:val="center"/>
                </w:tcPr>
                <w:p w14:paraId="4415420E">
                  <w:pPr>
                    <w:spacing w:line="0" w:lineRule="atLeast"/>
                    <w:jc w:val="center"/>
                    <w:rPr>
                      <w:rFonts w:ascii="Times New Roman" w:hAnsi="Times New Roman" w:eastAsia="宋体" w:cs="Times New Roman"/>
                      <w:color w:val="auto"/>
                      <w:spacing w:val="-20"/>
                      <w:kern w:val="2"/>
                      <w:sz w:val="18"/>
                      <w:szCs w:val="18"/>
                      <w:lang w:val="en-US" w:eastAsia="zh-CN" w:bidi="ar-SA"/>
                    </w:rPr>
                  </w:pPr>
                  <w:r>
                    <w:rPr>
                      <w:rFonts w:hint="eastAsia"/>
                      <w:color w:val="auto"/>
                      <w:spacing w:val="-20"/>
                      <w:sz w:val="18"/>
                      <w:szCs w:val="18"/>
                    </w:rPr>
                    <w:t>T，I</w:t>
                  </w:r>
                </w:p>
              </w:tc>
              <w:tc>
                <w:tcPr>
                  <w:tcW w:w="1065" w:type="pct"/>
                  <w:gridSpan w:val="2"/>
                  <w:vMerge w:val="restart"/>
                  <w:vAlign w:val="center"/>
                </w:tcPr>
                <w:p w14:paraId="785CDC41">
                  <w:pPr>
                    <w:spacing w:line="0" w:lineRule="atLeast"/>
                    <w:jc w:val="center"/>
                    <w:rPr>
                      <w:color w:val="auto"/>
                      <w:spacing w:val="-20"/>
                      <w:sz w:val="18"/>
                      <w:szCs w:val="18"/>
                    </w:rPr>
                  </w:pPr>
                  <w:r>
                    <w:rPr>
                      <w:rFonts w:hint="eastAsia"/>
                      <w:color w:val="auto"/>
                      <w:spacing w:val="-20"/>
                      <w:sz w:val="18"/>
                      <w:szCs w:val="18"/>
                      <w:lang w:val="en-US" w:eastAsia="zh-CN"/>
                    </w:rPr>
                    <w:t>分区</w:t>
                  </w:r>
                  <w:r>
                    <w:rPr>
                      <w:rFonts w:hint="eastAsia"/>
                      <w:color w:val="auto"/>
                      <w:spacing w:val="-20"/>
                      <w:sz w:val="18"/>
                      <w:szCs w:val="18"/>
                    </w:rPr>
                    <w:t>暂存于危险废物暂存间，送有资质单位进行处理</w:t>
                  </w:r>
                </w:p>
              </w:tc>
              <w:tc>
                <w:tcPr>
                  <w:tcW w:w="470" w:type="pct"/>
                  <w:vAlign w:val="center"/>
                </w:tcPr>
                <w:p w14:paraId="4097D7A6">
                  <w:pPr>
                    <w:spacing w:line="0" w:lineRule="atLeast"/>
                    <w:jc w:val="center"/>
                    <w:rPr>
                      <w:color w:val="auto"/>
                      <w:spacing w:val="-20"/>
                      <w:sz w:val="18"/>
                      <w:szCs w:val="18"/>
                    </w:rPr>
                  </w:pPr>
                  <w:r>
                    <w:rPr>
                      <w:rFonts w:hint="eastAsia" w:cs="Times New Roman"/>
                      <w:color w:val="auto"/>
                      <w:spacing w:val="-20"/>
                      <w:kern w:val="2"/>
                      <w:sz w:val="18"/>
                      <w:szCs w:val="18"/>
                      <w:lang w:val="en-US" w:eastAsia="zh-CN" w:bidi="ar-SA"/>
                    </w:rPr>
                    <w:t>0.08</w:t>
                  </w:r>
                </w:p>
              </w:tc>
              <w:tc>
                <w:tcPr>
                  <w:tcW w:w="418" w:type="pct"/>
                  <w:vMerge w:val="continue"/>
                  <w:vAlign w:val="center"/>
                </w:tcPr>
                <w:p w14:paraId="6347820F">
                  <w:pPr>
                    <w:spacing w:line="0" w:lineRule="atLeast"/>
                    <w:jc w:val="center"/>
                    <w:rPr>
                      <w:color w:val="auto"/>
                      <w:spacing w:val="-20"/>
                      <w:sz w:val="18"/>
                      <w:szCs w:val="18"/>
                    </w:rPr>
                  </w:pPr>
                </w:p>
              </w:tc>
            </w:tr>
            <w:tr w14:paraId="7FFDF003">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192" w:type="pct"/>
                  <w:shd w:val="clear" w:color="auto" w:fill="auto"/>
                  <w:vAlign w:val="center"/>
                </w:tcPr>
                <w:p w14:paraId="0A793763">
                  <w:pPr>
                    <w:spacing w:line="0" w:lineRule="atLeast"/>
                    <w:jc w:val="center"/>
                    <w:rPr>
                      <w:rFonts w:hint="default" w:ascii="Times New Roman" w:hAnsi="Times New Roman" w:eastAsia="宋体" w:cs="Times New Roman"/>
                      <w:color w:val="auto"/>
                      <w:spacing w:val="-20"/>
                      <w:kern w:val="2"/>
                      <w:sz w:val="18"/>
                      <w:szCs w:val="18"/>
                      <w:lang w:val="en-US" w:eastAsia="zh-CN" w:bidi="ar-SA"/>
                    </w:rPr>
                  </w:pPr>
                  <w:r>
                    <w:rPr>
                      <w:rFonts w:hint="eastAsia"/>
                      <w:color w:val="auto"/>
                      <w:spacing w:val="-20"/>
                      <w:sz w:val="18"/>
                      <w:szCs w:val="18"/>
                      <w:lang w:val="en-US" w:eastAsia="zh-CN"/>
                    </w:rPr>
                    <w:t>14</w:t>
                  </w:r>
                </w:p>
              </w:tc>
              <w:tc>
                <w:tcPr>
                  <w:tcW w:w="382" w:type="pct"/>
                  <w:vAlign w:val="center"/>
                </w:tcPr>
                <w:p w14:paraId="0479D0F1">
                  <w:pPr>
                    <w:jc w:val="center"/>
                    <w:rPr>
                      <w:rFonts w:hint="default" w:eastAsia="宋体"/>
                      <w:color w:val="auto"/>
                      <w:spacing w:val="-10"/>
                      <w:sz w:val="18"/>
                      <w:szCs w:val="18"/>
                      <w:lang w:val="en-US" w:eastAsia="zh-CN"/>
                    </w:rPr>
                  </w:pPr>
                  <w:r>
                    <w:rPr>
                      <w:rFonts w:hint="eastAsia"/>
                      <w:color w:val="auto"/>
                      <w:spacing w:val="-10"/>
                      <w:sz w:val="18"/>
                      <w:szCs w:val="18"/>
                      <w:lang w:val="en-US" w:eastAsia="zh-CN"/>
                    </w:rPr>
                    <w:t>废液压油</w:t>
                  </w:r>
                </w:p>
              </w:tc>
              <w:tc>
                <w:tcPr>
                  <w:tcW w:w="504" w:type="pct"/>
                  <w:vMerge w:val="continue"/>
                  <w:vAlign w:val="center"/>
                </w:tcPr>
                <w:p w14:paraId="477102A6">
                  <w:pPr>
                    <w:spacing w:line="0" w:lineRule="atLeast"/>
                    <w:jc w:val="center"/>
                    <w:rPr>
                      <w:rFonts w:hint="eastAsia"/>
                      <w:color w:val="auto"/>
                      <w:spacing w:val="-10"/>
                      <w:sz w:val="18"/>
                      <w:szCs w:val="18"/>
                    </w:rPr>
                  </w:pPr>
                </w:p>
              </w:tc>
              <w:tc>
                <w:tcPr>
                  <w:tcW w:w="280" w:type="pct"/>
                  <w:vMerge w:val="continue"/>
                  <w:vAlign w:val="center"/>
                </w:tcPr>
                <w:p w14:paraId="136D6276">
                  <w:pPr>
                    <w:spacing w:line="0" w:lineRule="atLeast"/>
                    <w:jc w:val="center"/>
                    <w:rPr>
                      <w:rFonts w:hint="eastAsia"/>
                      <w:color w:val="auto"/>
                      <w:spacing w:val="-20"/>
                      <w:sz w:val="18"/>
                      <w:szCs w:val="18"/>
                    </w:rPr>
                  </w:pPr>
                </w:p>
              </w:tc>
              <w:tc>
                <w:tcPr>
                  <w:tcW w:w="494" w:type="pct"/>
                  <w:tcBorders>
                    <w:bottom w:val="single" w:color="auto" w:sz="4" w:space="0"/>
                  </w:tcBorders>
                  <w:vAlign w:val="center"/>
                </w:tcPr>
                <w:p w14:paraId="5DD20C3D">
                  <w:pPr>
                    <w:spacing w:line="0" w:lineRule="atLeast"/>
                    <w:jc w:val="center"/>
                    <w:rPr>
                      <w:rFonts w:ascii="Times New Roman" w:hAnsi="Times New Roman" w:eastAsia="宋体" w:cs="Times New Roman"/>
                      <w:color w:val="auto"/>
                      <w:spacing w:val="-11"/>
                      <w:sz w:val="18"/>
                      <w:szCs w:val="18"/>
                    </w:rPr>
                  </w:pPr>
                  <w:r>
                    <w:rPr>
                      <w:rFonts w:hint="eastAsia" w:ascii="Times New Roman" w:hAnsi="Times New Roman" w:eastAsia="宋体" w:cs="Times New Roman"/>
                      <w:color w:val="auto"/>
                      <w:spacing w:val="-11"/>
                      <w:sz w:val="18"/>
                      <w:szCs w:val="18"/>
                      <w:lang w:val="en-US" w:eastAsia="zh-CN"/>
                    </w:rPr>
                    <w:t>900-</w:t>
                  </w:r>
                  <w:r>
                    <w:rPr>
                      <w:rFonts w:hint="eastAsia" w:cs="Times New Roman"/>
                      <w:color w:val="auto"/>
                      <w:spacing w:val="-11"/>
                      <w:sz w:val="18"/>
                      <w:szCs w:val="18"/>
                      <w:lang w:val="en-US" w:eastAsia="zh-CN"/>
                    </w:rPr>
                    <w:t>218</w:t>
                  </w:r>
                  <w:r>
                    <w:rPr>
                      <w:rFonts w:hint="eastAsia" w:ascii="Times New Roman" w:hAnsi="Times New Roman" w:eastAsia="宋体" w:cs="Times New Roman"/>
                      <w:color w:val="auto"/>
                      <w:spacing w:val="-11"/>
                      <w:sz w:val="18"/>
                      <w:szCs w:val="18"/>
                      <w:lang w:val="en-US" w:eastAsia="zh-CN"/>
                    </w:rPr>
                    <w:t>-08</w:t>
                  </w:r>
                </w:p>
              </w:tc>
              <w:tc>
                <w:tcPr>
                  <w:tcW w:w="326" w:type="pct"/>
                  <w:tcBorders>
                    <w:bottom w:val="single" w:color="auto" w:sz="4" w:space="0"/>
                  </w:tcBorders>
                  <w:vAlign w:val="center"/>
                </w:tcPr>
                <w:p w14:paraId="76D8AD27">
                  <w:pPr>
                    <w:spacing w:line="0" w:lineRule="atLeast"/>
                    <w:jc w:val="center"/>
                    <w:rPr>
                      <w:rFonts w:hint="default" w:cs="Times New Roman"/>
                      <w:color w:val="auto"/>
                      <w:spacing w:val="-20"/>
                      <w:kern w:val="2"/>
                      <w:sz w:val="18"/>
                      <w:szCs w:val="18"/>
                      <w:lang w:val="en-US" w:eastAsia="zh-CN" w:bidi="ar-SA"/>
                    </w:rPr>
                  </w:pPr>
                  <w:r>
                    <w:rPr>
                      <w:rFonts w:hint="eastAsia" w:cs="Times New Roman"/>
                      <w:color w:val="auto"/>
                      <w:spacing w:val="-20"/>
                      <w:kern w:val="2"/>
                      <w:sz w:val="18"/>
                      <w:szCs w:val="18"/>
                      <w:lang w:val="en-US" w:eastAsia="zh-CN" w:bidi="ar-SA"/>
                    </w:rPr>
                    <w:t>0.12</w:t>
                  </w:r>
                </w:p>
              </w:tc>
              <w:tc>
                <w:tcPr>
                  <w:tcW w:w="360" w:type="pct"/>
                  <w:vAlign w:val="center"/>
                </w:tcPr>
                <w:p w14:paraId="222169E1">
                  <w:pPr>
                    <w:spacing w:line="0" w:lineRule="atLeast"/>
                    <w:jc w:val="center"/>
                    <w:rPr>
                      <w:rFonts w:hint="eastAsia" w:ascii="Times New Roman" w:hAnsi="Times New Roman" w:eastAsia="宋体" w:cs="Times New Roman"/>
                      <w:color w:val="auto"/>
                      <w:spacing w:val="-20"/>
                      <w:kern w:val="2"/>
                      <w:sz w:val="18"/>
                      <w:szCs w:val="18"/>
                      <w:lang w:val="en-US" w:eastAsia="zh-CN" w:bidi="ar-SA"/>
                    </w:rPr>
                  </w:pPr>
                  <w:r>
                    <w:rPr>
                      <w:rFonts w:hint="eastAsia"/>
                      <w:color w:val="auto"/>
                      <w:spacing w:val="-20"/>
                      <w:sz w:val="18"/>
                      <w:szCs w:val="18"/>
                    </w:rPr>
                    <w:t>油脂</w:t>
                  </w:r>
                </w:p>
              </w:tc>
              <w:tc>
                <w:tcPr>
                  <w:tcW w:w="209" w:type="pct"/>
                  <w:vAlign w:val="center"/>
                </w:tcPr>
                <w:p w14:paraId="6A555F3B">
                  <w:pPr>
                    <w:spacing w:line="0" w:lineRule="atLeast"/>
                    <w:jc w:val="center"/>
                    <w:rPr>
                      <w:rFonts w:hint="eastAsia" w:ascii="Times New Roman" w:hAnsi="Times New Roman" w:eastAsia="宋体" w:cs="Times New Roman"/>
                      <w:color w:val="auto"/>
                      <w:spacing w:val="-20"/>
                      <w:kern w:val="2"/>
                      <w:sz w:val="18"/>
                      <w:szCs w:val="18"/>
                      <w:lang w:val="en-US" w:eastAsia="zh-CN" w:bidi="ar-SA"/>
                    </w:rPr>
                  </w:pPr>
                  <w:r>
                    <w:rPr>
                      <w:rFonts w:hint="eastAsia"/>
                      <w:color w:val="auto"/>
                      <w:spacing w:val="-20"/>
                      <w:sz w:val="18"/>
                      <w:szCs w:val="18"/>
                    </w:rPr>
                    <w:t>液态</w:t>
                  </w:r>
                </w:p>
              </w:tc>
              <w:tc>
                <w:tcPr>
                  <w:tcW w:w="294" w:type="pct"/>
                  <w:vAlign w:val="center"/>
                </w:tcPr>
                <w:p w14:paraId="08EEFBB9">
                  <w:pPr>
                    <w:spacing w:line="0" w:lineRule="atLeast"/>
                    <w:jc w:val="center"/>
                    <w:rPr>
                      <w:rFonts w:hint="eastAsia" w:ascii="Times New Roman" w:hAnsi="Times New Roman" w:eastAsia="宋体" w:cs="Times New Roman"/>
                      <w:color w:val="auto"/>
                      <w:spacing w:val="-20"/>
                      <w:kern w:val="2"/>
                      <w:sz w:val="18"/>
                      <w:szCs w:val="18"/>
                      <w:lang w:val="en-US" w:eastAsia="zh-CN" w:bidi="ar-SA"/>
                    </w:rPr>
                  </w:pPr>
                  <w:r>
                    <w:rPr>
                      <w:rFonts w:hint="eastAsia"/>
                      <w:color w:val="auto"/>
                      <w:spacing w:val="-20"/>
                      <w:sz w:val="18"/>
                      <w:szCs w:val="18"/>
                    </w:rPr>
                    <w:t>T，I</w:t>
                  </w:r>
                </w:p>
              </w:tc>
              <w:tc>
                <w:tcPr>
                  <w:tcW w:w="1065" w:type="pct"/>
                  <w:gridSpan w:val="2"/>
                  <w:vMerge w:val="continue"/>
                  <w:vAlign w:val="center"/>
                </w:tcPr>
                <w:p w14:paraId="49FF8D7D">
                  <w:pPr>
                    <w:spacing w:line="0" w:lineRule="atLeast"/>
                    <w:jc w:val="center"/>
                    <w:rPr>
                      <w:rFonts w:hint="eastAsia" w:ascii="Times New Roman" w:hAnsi="Times New Roman" w:eastAsia="宋体" w:cs="Times New Roman"/>
                      <w:color w:val="auto"/>
                      <w:spacing w:val="-10"/>
                      <w:sz w:val="18"/>
                      <w:szCs w:val="18"/>
                      <w:lang w:val="en-US" w:eastAsia="zh-CN"/>
                    </w:rPr>
                  </w:pPr>
                </w:p>
              </w:tc>
              <w:tc>
                <w:tcPr>
                  <w:tcW w:w="470" w:type="pct"/>
                  <w:vAlign w:val="center"/>
                </w:tcPr>
                <w:p w14:paraId="6B25F7D1">
                  <w:pPr>
                    <w:spacing w:line="0" w:lineRule="atLeast"/>
                    <w:jc w:val="center"/>
                    <w:rPr>
                      <w:rFonts w:hint="eastAsia" w:cs="Times New Roman"/>
                      <w:color w:val="auto"/>
                      <w:spacing w:val="-20"/>
                      <w:kern w:val="2"/>
                      <w:sz w:val="18"/>
                      <w:szCs w:val="18"/>
                      <w:lang w:val="en-US" w:eastAsia="zh-CN" w:bidi="ar-SA"/>
                    </w:rPr>
                  </w:pPr>
                  <w:r>
                    <w:rPr>
                      <w:rFonts w:hint="eastAsia" w:cs="Times New Roman"/>
                      <w:color w:val="auto"/>
                      <w:spacing w:val="-20"/>
                      <w:kern w:val="2"/>
                      <w:sz w:val="18"/>
                      <w:szCs w:val="18"/>
                      <w:lang w:val="en-US" w:eastAsia="zh-CN" w:bidi="ar-SA"/>
                    </w:rPr>
                    <w:t>0.12</w:t>
                  </w:r>
                </w:p>
              </w:tc>
              <w:tc>
                <w:tcPr>
                  <w:tcW w:w="418" w:type="pct"/>
                  <w:vMerge w:val="continue"/>
                  <w:vAlign w:val="center"/>
                </w:tcPr>
                <w:p w14:paraId="48CA5300">
                  <w:pPr>
                    <w:spacing w:line="0" w:lineRule="atLeast"/>
                    <w:jc w:val="center"/>
                    <w:rPr>
                      <w:color w:val="auto"/>
                      <w:spacing w:val="-20"/>
                      <w:sz w:val="18"/>
                      <w:szCs w:val="18"/>
                    </w:rPr>
                  </w:pPr>
                </w:p>
              </w:tc>
            </w:tr>
            <w:tr w14:paraId="1E4A5F0D">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97" w:hRule="atLeast"/>
                <w:jc w:val="center"/>
              </w:trPr>
              <w:tc>
                <w:tcPr>
                  <w:tcW w:w="192" w:type="pct"/>
                  <w:shd w:val="clear" w:color="auto" w:fill="auto"/>
                  <w:vAlign w:val="center"/>
                </w:tcPr>
                <w:p w14:paraId="7FA476BA">
                  <w:pPr>
                    <w:spacing w:line="0" w:lineRule="atLeast"/>
                    <w:jc w:val="center"/>
                    <w:rPr>
                      <w:rFonts w:hint="default" w:ascii="Times New Roman" w:hAnsi="Times New Roman" w:eastAsia="宋体" w:cs="Times New Roman"/>
                      <w:color w:val="auto"/>
                      <w:spacing w:val="-20"/>
                      <w:kern w:val="2"/>
                      <w:sz w:val="18"/>
                      <w:szCs w:val="18"/>
                      <w:lang w:val="en-US" w:eastAsia="zh-CN" w:bidi="ar-SA"/>
                    </w:rPr>
                  </w:pPr>
                  <w:r>
                    <w:rPr>
                      <w:rFonts w:hint="eastAsia"/>
                      <w:color w:val="auto"/>
                      <w:spacing w:val="-20"/>
                      <w:sz w:val="18"/>
                      <w:szCs w:val="18"/>
                      <w:lang w:val="en-US" w:eastAsia="zh-CN"/>
                    </w:rPr>
                    <w:t>15</w:t>
                  </w:r>
                </w:p>
              </w:tc>
              <w:tc>
                <w:tcPr>
                  <w:tcW w:w="382" w:type="pct"/>
                  <w:vAlign w:val="center"/>
                </w:tcPr>
                <w:p w14:paraId="425F37CF">
                  <w:pPr>
                    <w:jc w:val="center"/>
                    <w:rPr>
                      <w:color w:val="auto"/>
                      <w:spacing w:val="-10"/>
                      <w:kern w:val="0"/>
                      <w:sz w:val="18"/>
                      <w:szCs w:val="18"/>
                    </w:rPr>
                  </w:pPr>
                  <w:r>
                    <w:rPr>
                      <w:rFonts w:hint="eastAsia"/>
                      <w:color w:val="auto"/>
                      <w:spacing w:val="-10"/>
                      <w:sz w:val="18"/>
                      <w:szCs w:val="18"/>
                    </w:rPr>
                    <w:t>废油桶</w:t>
                  </w:r>
                </w:p>
              </w:tc>
              <w:tc>
                <w:tcPr>
                  <w:tcW w:w="504" w:type="pct"/>
                  <w:vMerge w:val="continue"/>
                  <w:vAlign w:val="center"/>
                </w:tcPr>
                <w:p w14:paraId="7F3D5199">
                  <w:pPr>
                    <w:spacing w:line="0" w:lineRule="atLeast"/>
                    <w:jc w:val="center"/>
                    <w:rPr>
                      <w:color w:val="auto"/>
                      <w:spacing w:val="-10"/>
                      <w:kern w:val="0"/>
                      <w:sz w:val="18"/>
                      <w:szCs w:val="18"/>
                    </w:rPr>
                  </w:pPr>
                </w:p>
              </w:tc>
              <w:tc>
                <w:tcPr>
                  <w:tcW w:w="280" w:type="pct"/>
                  <w:vMerge w:val="continue"/>
                  <w:vAlign w:val="center"/>
                </w:tcPr>
                <w:p w14:paraId="5F1B1700">
                  <w:pPr>
                    <w:spacing w:line="0" w:lineRule="atLeast"/>
                    <w:jc w:val="center"/>
                    <w:rPr>
                      <w:color w:val="auto"/>
                      <w:spacing w:val="-20"/>
                      <w:sz w:val="18"/>
                      <w:szCs w:val="18"/>
                    </w:rPr>
                  </w:pPr>
                </w:p>
              </w:tc>
              <w:tc>
                <w:tcPr>
                  <w:tcW w:w="494" w:type="pct"/>
                  <w:vAlign w:val="center"/>
                </w:tcPr>
                <w:p w14:paraId="3AEBA68D">
                  <w:pPr>
                    <w:spacing w:line="0" w:lineRule="atLeast"/>
                    <w:jc w:val="center"/>
                    <w:rPr>
                      <w:color w:val="auto"/>
                      <w:spacing w:val="-11"/>
                      <w:sz w:val="18"/>
                      <w:szCs w:val="18"/>
                    </w:rPr>
                  </w:pPr>
                  <w:r>
                    <w:rPr>
                      <w:color w:val="auto"/>
                      <w:spacing w:val="-11"/>
                      <w:sz w:val="18"/>
                      <w:szCs w:val="18"/>
                    </w:rPr>
                    <w:t>900-</w:t>
                  </w:r>
                  <w:r>
                    <w:rPr>
                      <w:rFonts w:hint="eastAsia"/>
                      <w:color w:val="auto"/>
                      <w:spacing w:val="-11"/>
                      <w:sz w:val="18"/>
                      <w:szCs w:val="18"/>
                    </w:rPr>
                    <w:t>249-08</w:t>
                  </w:r>
                </w:p>
              </w:tc>
              <w:tc>
                <w:tcPr>
                  <w:tcW w:w="326" w:type="pct"/>
                  <w:vAlign w:val="center"/>
                </w:tcPr>
                <w:p w14:paraId="3559B0F9">
                  <w:pPr>
                    <w:spacing w:line="0" w:lineRule="atLeast"/>
                    <w:jc w:val="center"/>
                    <w:rPr>
                      <w:rFonts w:hint="default" w:eastAsia="宋体"/>
                      <w:color w:val="auto"/>
                      <w:spacing w:val="-20"/>
                      <w:sz w:val="18"/>
                      <w:szCs w:val="18"/>
                      <w:lang w:val="en-US" w:eastAsia="zh-CN"/>
                    </w:rPr>
                  </w:pPr>
                  <w:r>
                    <w:rPr>
                      <w:rFonts w:hint="eastAsia"/>
                      <w:color w:val="auto"/>
                      <w:spacing w:val="-20"/>
                      <w:sz w:val="18"/>
                      <w:szCs w:val="18"/>
                      <w:lang w:val="en-US" w:eastAsia="zh-CN"/>
                    </w:rPr>
                    <w:t>0.076</w:t>
                  </w:r>
                </w:p>
              </w:tc>
              <w:tc>
                <w:tcPr>
                  <w:tcW w:w="360" w:type="pct"/>
                  <w:vAlign w:val="center"/>
                </w:tcPr>
                <w:p w14:paraId="72893DDE">
                  <w:pPr>
                    <w:spacing w:line="0" w:lineRule="atLeast"/>
                    <w:jc w:val="center"/>
                    <w:rPr>
                      <w:color w:val="auto"/>
                      <w:spacing w:val="-20"/>
                      <w:sz w:val="18"/>
                      <w:szCs w:val="18"/>
                    </w:rPr>
                  </w:pPr>
                  <w:r>
                    <w:rPr>
                      <w:rFonts w:hint="eastAsia"/>
                      <w:color w:val="auto"/>
                      <w:spacing w:val="-20"/>
                      <w:sz w:val="18"/>
                      <w:szCs w:val="18"/>
                    </w:rPr>
                    <w:t>油脂</w:t>
                  </w:r>
                </w:p>
              </w:tc>
              <w:tc>
                <w:tcPr>
                  <w:tcW w:w="209" w:type="pct"/>
                  <w:vAlign w:val="center"/>
                </w:tcPr>
                <w:p w14:paraId="36DFD34A">
                  <w:pPr>
                    <w:spacing w:line="0" w:lineRule="atLeast"/>
                    <w:jc w:val="center"/>
                    <w:rPr>
                      <w:color w:val="auto"/>
                      <w:spacing w:val="-20"/>
                      <w:sz w:val="18"/>
                      <w:szCs w:val="18"/>
                    </w:rPr>
                  </w:pPr>
                  <w:r>
                    <w:rPr>
                      <w:rFonts w:hint="eastAsia"/>
                      <w:color w:val="auto"/>
                      <w:spacing w:val="-20"/>
                      <w:sz w:val="18"/>
                      <w:szCs w:val="18"/>
                    </w:rPr>
                    <w:t>固态</w:t>
                  </w:r>
                </w:p>
              </w:tc>
              <w:tc>
                <w:tcPr>
                  <w:tcW w:w="294" w:type="pct"/>
                  <w:tcBorders>
                    <w:top w:val="single" w:color="auto" w:sz="4" w:space="0"/>
                  </w:tcBorders>
                  <w:vAlign w:val="center"/>
                </w:tcPr>
                <w:p w14:paraId="443BE8C5">
                  <w:pPr>
                    <w:spacing w:line="0" w:lineRule="atLeast"/>
                    <w:jc w:val="center"/>
                    <w:rPr>
                      <w:color w:val="auto"/>
                      <w:spacing w:val="-20"/>
                      <w:sz w:val="18"/>
                      <w:szCs w:val="18"/>
                    </w:rPr>
                  </w:pPr>
                  <w:r>
                    <w:rPr>
                      <w:rFonts w:hint="eastAsia"/>
                      <w:color w:val="auto"/>
                      <w:spacing w:val="-20"/>
                      <w:sz w:val="18"/>
                      <w:szCs w:val="18"/>
                    </w:rPr>
                    <w:t>T，I</w:t>
                  </w:r>
                </w:p>
              </w:tc>
              <w:tc>
                <w:tcPr>
                  <w:tcW w:w="1065" w:type="pct"/>
                  <w:gridSpan w:val="2"/>
                  <w:vMerge w:val="continue"/>
                  <w:vAlign w:val="center"/>
                </w:tcPr>
                <w:p w14:paraId="0D3F13D1">
                  <w:pPr>
                    <w:spacing w:line="0" w:lineRule="atLeast"/>
                    <w:jc w:val="center"/>
                    <w:rPr>
                      <w:color w:val="auto"/>
                      <w:spacing w:val="-20"/>
                      <w:sz w:val="18"/>
                      <w:szCs w:val="18"/>
                    </w:rPr>
                  </w:pPr>
                </w:p>
              </w:tc>
              <w:tc>
                <w:tcPr>
                  <w:tcW w:w="470" w:type="pct"/>
                  <w:vAlign w:val="center"/>
                </w:tcPr>
                <w:p w14:paraId="7E48431B">
                  <w:pPr>
                    <w:spacing w:line="0" w:lineRule="atLeast"/>
                    <w:jc w:val="center"/>
                    <w:rPr>
                      <w:rFonts w:hint="default" w:eastAsia="宋体"/>
                      <w:color w:val="auto"/>
                      <w:spacing w:val="-20"/>
                      <w:sz w:val="18"/>
                      <w:szCs w:val="18"/>
                      <w:lang w:val="en-US" w:eastAsia="zh-CN"/>
                    </w:rPr>
                  </w:pPr>
                  <w:r>
                    <w:rPr>
                      <w:rFonts w:hint="eastAsia"/>
                      <w:color w:val="auto"/>
                      <w:spacing w:val="-20"/>
                      <w:sz w:val="18"/>
                      <w:szCs w:val="18"/>
                      <w:lang w:val="en-US" w:eastAsia="zh-CN"/>
                    </w:rPr>
                    <w:t>0.076</w:t>
                  </w:r>
                </w:p>
              </w:tc>
              <w:tc>
                <w:tcPr>
                  <w:tcW w:w="418" w:type="pct"/>
                  <w:vMerge w:val="continue"/>
                  <w:vAlign w:val="center"/>
                </w:tcPr>
                <w:p w14:paraId="1447FA36">
                  <w:pPr>
                    <w:spacing w:line="0" w:lineRule="atLeast"/>
                    <w:jc w:val="center"/>
                    <w:rPr>
                      <w:color w:val="auto"/>
                      <w:spacing w:val="-20"/>
                      <w:sz w:val="18"/>
                      <w:szCs w:val="18"/>
                    </w:rPr>
                  </w:pPr>
                </w:p>
              </w:tc>
            </w:tr>
          </w:tbl>
          <w:p w14:paraId="1B281B1E">
            <w:pPr>
              <w:pStyle w:val="24"/>
              <w:adjustRightInd w:val="0"/>
              <w:snapToGrid w:val="0"/>
              <w:spacing w:before="0" w:beforeAutospacing="0" w:after="0" w:afterAutospacing="0" w:line="440" w:lineRule="exact"/>
              <w:ind w:firstLine="422" w:firstLineChars="200"/>
              <w:rPr>
                <w:rFonts w:ascii="Times New Roman" w:hAnsi="Times New Roman"/>
                <w:b/>
                <w:color w:val="auto"/>
                <w:sz w:val="21"/>
                <w:szCs w:val="21"/>
              </w:rPr>
            </w:pPr>
            <w:r>
              <w:rPr>
                <w:rFonts w:hint="eastAsia" w:ascii="Times New Roman" w:hAnsi="Times New Roman"/>
                <w:b/>
                <w:color w:val="auto"/>
                <w:sz w:val="21"/>
                <w:szCs w:val="21"/>
              </w:rPr>
              <w:t>4.2一般固废</w:t>
            </w:r>
            <w:r>
              <w:rPr>
                <w:rFonts w:ascii="Times New Roman" w:hAnsi="Times New Roman"/>
                <w:b/>
                <w:color w:val="auto"/>
                <w:sz w:val="21"/>
                <w:szCs w:val="21"/>
              </w:rPr>
              <w:t>影响分析</w:t>
            </w:r>
          </w:p>
          <w:p w14:paraId="751E5046">
            <w:pPr>
              <w:pStyle w:val="24"/>
              <w:adjustRightInd w:val="0"/>
              <w:snapToGrid w:val="0"/>
              <w:spacing w:before="0" w:beforeAutospacing="0" w:after="0" w:afterAutospacing="0" w:line="440" w:lineRule="exact"/>
              <w:ind w:firstLine="422" w:firstLineChars="200"/>
              <w:rPr>
                <w:rFonts w:ascii="Times New Roman" w:hAnsi="Times New Roman"/>
                <w:b/>
                <w:color w:val="auto"/>
                <w:sz w:val="21"/>
                <w:szCs w:val="21"/>
              </w:rPr>
            </w:pPr>
            <w:r>
              <w:rPr>
                <w:rFonts w:hint="eastAsia" w:ascii="Times New Roman" w:hAnsi="Times New Roman"/>
                <w:b/>
                <w:color w:val="auto"/>
                <w:sz w:val="21"/>
                <w:szCs w:val="21"/>
              </w:rPr>
              <w:t>4.2.1一般固废贮存环境影响分析</w:t>
            </w:r>
          </w:p>
          <w:p w14:paraId="09B6308F">
            <w:pPr>
              <w:pStyle w:val="24"/>
              <w:adjustRightInd w:val="0"/>
              <w:snapToGrid w:val="0"/>
              <w:spacing w:before="0" w:beforeAutospacing="0" w:after="0" w:afterAutospacing="0" w:line="440" w:lineRule="exact"/>
              <w:ind w:firstLine="420" w:firstLineChars="200"/>
              <w:rPr>
                <w:rFonts w:hint="eastAsia" w:ascii="Times New Roman" w:hAnsi="Times New Roman" w:cs="Times New Roman"/>
                <w:color w:val="auto"/>
                <w:sz w:val="21"/>
                <w:szCs w:val="21"/>
                <w:highlight w:val="none"/>
                <w:lang w:val="en-US" w:eastAsia="zh-CN"/>
              </w:rPr>
            </w:pPr>
            <w:r>
              <w:rPr>
                <w:rFonts w:hint="eastAsia" w:ascii="Times New Roman" w:hAnsi="Times New Roman"/>
                <w:color w:val="auto"/>
                <w:sz w:val="21"/>
                <w:szCs w:val="21"/>
              </w:rPr>
              <w:t>为避免本项目产生的一般工业固废对环境造成的影响，拟建项目在</w:t>
            </w:r>
            <w:r>
              <w:rPr>
                <w:rFonts w:hint="eastAsia" w:ascii="Times New Roman" w:hAnsi="Times New Roman"/>
                <w:color w:val="auto"/>
                <w:sz w:val="21"/>
                <w:szCs w:val="21"/>
                <w:lang w:val="en-US" w:eastAsia="zh-CN"/>
              </w:rPr>
              <w:t>生产车间内</w:t>
            </w:r>
            <w:r>
              <w:rPr>
                <w:rFonts w:hint="eastAsia" w:ascii="Times New Roman" w:hAnsi="Times New Roman"/>
                <w:color w:val="auto"/>
                <w:sz w:val="21"/>
                <w:szCs w:val="21"/>
              </w:rPr>
              <w:t>设一般固废暂存区，一般固废暂存区面</w:t>
            </w:r>
            <w:r>
              <w:rPr>
                <w:rFonts w:hint="eastAsia" w:ascii="Times New Roman" w:hAnsi="Times New Roman"/>
                <w:color w:val="auto"/>
                <w:sz w:val="21"/>
                <w:szCs w:val="21"/>
                <w:highlight w:val="none"/>
              </w:rPr>
              <w:t>积</w:t>
            </w:r>
            <w:r>
              <w:rPr>
                <w:rFonts w:hint="eastAsia" w:ascii="Times New Roman" w:hAnsi="Times New Roman"/>
                <w:color w:val="auto"/>
                <w:sz w:val="21"/>
                <w:szCs w:val="21"/>
                <w:highlight w:val="none"/>
                <w:lang w:val="en-US" w:eastAsia="zh-CN"/>
              </w:rPr>
              <w:t>3</w:t>
            </w:r>
            <w:r>
              <w:rPr>
                <w:rFonts w:ascii="Times New Roman" w:hAnsi="Times New Roman"/>
                <w:color w:val="auto"/>
                <w:sz w:val="21"/>
                <w:szCs w:val="21"/>
                <w:highlight w:val="none"/>
              </w:rPr>
              <w:t>0</w:t>
            </w:r>
            <w:r>
              <w:rPr>
                <w:rFonts w:hint="eastAsia" w:ascii="Times New Roman" w:hAnsi="Times New Roman"/>
                <w:color w:val="auto"/>
                <w:sz w:val="21"/>
                <w:szCs w:val="21"/>
                <w:highlight w:val="none"/>
              </w:rPr>
              <w:t>m</w:t>
            </w:r>
            <w:r>
              <w:rPr>
                <w:rFonts w:hint="eastAsia" w:ascii="Times New Roman" w:hAnsi="Times New Roman"/>
                <w:color w:val="auto"/>
                <w:sz w:val="21"/>
                <w:szCs w:val="21"/>
                <w:highlight w:val="none"/>
                <w:vertAlign w:val="superscript"/>
              </w:rPr>
              <w:t>2</w:t>
            </w:r>
            <w:r>
              <w:rPr>
                <w:rFonts w:hint="eastAsia" w:ascii="Times New Roman" w:hAnsi="Times New Roman"/>
                <w:color w:val="auto"/>
                <w:sz w:val="21"/>
                <w:szCs w:val="21"/>
                <w:highlight w:val="none"/>
              </w:rPr>
              <w:t>，用于贮存项</w:t>
            </w:r>
            <w:r>
              <w:rPr>
                <w:rFonts w:hint="eastAsia" w:ascii="Times New Roman" w:hAnsi="Times New Roman"/>
                <w:color w:val="auto"/>
                <w:sz w:val="21"/>
                <w:szCs w:val="21"/>
              </w:rPr>
              <w:t>目产生的一般工业固体废物</w:t>
            </w:r>
            <w:r>
              <w:rPr>
                <w:rFonts w:hint="eastAsia" w:ascii="Times New Roman" w:hAnsi="Times New Roman"/>
                <w:color w:val="auto"/>
                <w:sz w:val="21"/>
                <w:szCs w:val="21"/>
                <w:lang w:eastAsia="zh-CN"/>
              </w:rPr>
              <w:t>，</w:t>
            </w:r>
            <w:r>
              <w:rPr>
                <w:rFonts w:hint="eastAsia" w:ascii="Times New Roman" w:hAnsi="Times New Roman" w:eastAsia="宋体" w:cs="Times New Roman"/>
                <w:color w:val="auto"/>
                <w:sz w:val="21"/>
                <w:szCs w:val="21"/>
                <w:highlight w:val="none"/>
                <w:lang w:val="en-US" w:eastAsia="zh-CN"/>
              </w:rPr>
              <w:t>其中棉絮、泡沫等废料，海绵、木屑等废料，废土，泥饼均不在一般固废暂存区储存，各自设置了储存区域。项目一般工业固体废物贮存或处置，应符合《一</w:t>
            </w:r>
            <w:r>
              <w:rPr>
                <w:rFonts w:hint="eastAsia" w:ascii="Times New Roman" w:hAnsi="Times New Roman" w:cs="Times New Roman"/>
                <w:color w:val="auto"/>
                <w:sz w:val="21"/>
                <w:szCs w:val="21"/>
                <w:highlight w:val="none"/>
                <w:lang w:val="en-US" w:eastAsia="zh-CN"/>
              </w:rPr>
              <w:t>般工业固体废物贮存和填埋污染控制标准》（GB18599-2020）有关要求。</w:t>
            </w:r>
          </w:p>
          <w:p w14:paraId="2367879A">
            <w:pPr>
              <w:pStyle w:val="24"/>
              <w:adjustRightInd w:val="0"/>
              <w:snapToGrid w:val="0"/>
              <w:spacing w:before="0" w:beforeAutospacing="0" w:after="0" w:afterAutospacing="0" w:line="440" w:lineRule="exact"/>
              <w:ind w:firstLine="420" w:firstLineChars="200"/>
              <w:rPr>
                <w:rFonts w:hint="eastAsia"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①一般工业固体废物的贮存设施、场所必须采取防扬散、防流失、防渗漏或者其他防止污染环境的措施，必须符合国家环境保护标准，并对未处理的固体废物做出妥善处理，安全存放。拟建项目</w:t>
            </w:r>
            <w:r>
              <w:rPr>
                <w:rFonts w:ascii="Times New Roman" w:hAnsi="Times New Roman"/>
                <w:color w:val="auto"/>
                <w:sz w:val="21"/>
                <w:szCs w:val="21"/>
                <w:highlight w:val="none"/>
              </w:rPr>
              <w:t>一般固废</w:t>
            </w:r>
            <w:r>
              <w:rPr>
                <w:rFonts w:hint="eastAsia" w:ascii="Times New Roman" w:hAnsi="Times New Roman"/>
                <w:color w:val="auto"/>
                <w:sz w:val="21"/>
                <w:szCs w:val="21"/>
                <w:highlight w:val="none"/>
              </w:rPr>
              <w:t>暂存区</w:t>
            </w:r>
            <w:r>
              <w:rPr>
                <w:rFonts w:hint="eastAsia" w:ascii="Times New Roman" w:hAnsi="Times New Roman"/>
                <w:color w:val="auto"/>
                <w:sz w:val="21"/>
                <w:szCs w:val="21"/>
                <w:highlight w:val="none"/>
                <w:lang w:val="en-US" w:eastAsia="zh-CN"/>
              </w:rPr>
              <w:t>地面采</w:t>
            </w:r>
            <w:r>
              <w:rPr>
                <w:rFonts w:hint="eastAsia" w:ascii="Times New Roman" w:hAnsi="Times New Roman"/>
                <w:color w:val="auto"/>
                <w:sz w:val="21"/>
                <w:szCs w:val="21"/>
                <w:lang w:val="en-US" w:eastAsia="zh-CN"/>
              </w:rPr>
              <w:t>用200mm厚防渗混凝土进行防渗</w:t>
            </w:r>
            <w:r>
              <w:rPr>
                <w:rFonts w:ascii="Times New Roman" w:hAnsi="Times New Roman"/>
                <w:color w:val="auto"/>
                <w:sz w:val="21"/>
                <w:szCs w:val="21"/>
              </w:rPr>
              <w:t>，</w:t>
            </w:r>
            <w:r>
              <w:rPr>
                <w:rFonts w:hint="eastAsia" w:ascii="Times New Roman" w:hAnsi="Times New Roman"/>
                <w:color w:val="auto"/>
                <w:sz w:val="21"/>
                <w:szCs w:val="21"/>
                <w:lang w:val="en-US" w:eastAsia="zh-CN"/>
              </w:rPr>
              <w:t>并</w:t>
            </w:r>
            <w:r>
              <w:rPr>
                <w:rFonts w:ascii="Times New Roman" w:hAnsi="Times New Roman"/>
                <w:color w:val="auto"/>
                <w:sz w:val="21"/>
                <w:szCs w:val="21"/>
              </w:rPr>
              <w:t>做防滑处理，渗透系数</w:t>
            </w:r>
            <w:r>
              <w:rPr>
                <w:rFonts w:hint="eastAsia" w:ascii="Times New Roman" w:hAnsi="Times New Roman"/>
                <w:color w:val="auto"/>
                <w:sz w:val="21"/>
                <w:szCs w:val="21"/>
              </w:rPr>
              <w:t>不大于</w:t>
            </w:r>
            <w:r>
              <w:rPr>
                <w:rFonts w:ascii="Times New Roman" w:hAnsi="Times New Roman"/>
                <w:color w:val="auto"/>
                <w:sz w:val="21"/>
                <w:szCs w:val="21"/>
              </w:rPr>
              <w:t>1.0×10</w:t>
            </w:r>
            <w:r>
              <w:rPr>
                <w:rFonts w:ascii="Times New Roman" w:hAnsi="Times New Roman"/>
                <w:color w:val="auto"/>
                <w:sz w:val="21"/>
                <w:szCs w:val="21"/>
                <w:vertAlign w:val="superscript"/>
              </w:rPr>
              <w:t>-7</w:t>
            </w:r>
            <w:r>
              <w:rPr>
                <w:rFonts w:ascii="Times New Roman" w:hAnsi="Times New Roman"/>
                <w:color w:val="auto"/>
                <w:sz w:val="21"/>
                <w:szCs w:val="21"/>
              </w:rPr>
              <w:t>cm/s</w:t>
            </w:r>
            <w:r>
              <w:rPr>
                <w:rFonts w:hint="eastAsia" w:ascii="Times New Roman" w:hAnsi="Times New Roman"/>
                <w:color w:val="auto"/>
                <w:sz w:val="21"/>
                <w:szCs w:val="21"/>
                <w:lang w:eastAsia="zh-CN"/>
              </w:rPr>
              <w:t>。</w:t>
            </w:r>
          </w:p>
          <w:p w14:paraId="568777C7">
            <w:pPr>
              <w:pStyle w:val="24"/>
              <w:adjustRightInd w:val="0"/>
              <w:snapToGrid w:val="0"/>
              <w:spacing w:before="0" w:beforeAutospacing="0" w:after="0" w:afterAutospacing="0" w:line="440" w:lineRule="exact"/>
              <w:ind w:firstLine="420" w:firstLineChars="200"/>
              <w:rPr>
                <w:rFonts w:hint="eastAsia"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②对暂时不利用或者不能回收利用的一般工业固体废物，必须配套建设防雨淋、防渗漏、易识别等符合环境保护标准和管理要求的贮存设施或场所，以及足够的流转空间按国家环境保护的技术和管理要求，有专人看管，建立便于核查的进、出物料的台账记录和固体废物明细表。</w:t>
            </w:r>
          </w:p>
          <w:p w14:paraId="5A496ECD">
            <w:pPr>
              <w:pStyle w:val="24"/>
              <w:adjustRightInd w:val="0"/>
              <w:snapToGrid w:val="0"/>
              <w:spacing w:before="0" w:beforeAutospacing="0" w:after="0" w:afterAutospacing="0" w:line="440" w:lineRule="exact"/>
              <w:ind w:firstLine="420" w:firstLineChars="200"/>
              <w:rPr>
                <w:rFonts w:hint="eastAsia"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③不得擅自倾倒、堆放、丢弃、遗撒固体废物。</w:t>
            </w:r>
          </w:p>
          <w:p w14:paraId="3549447A">
            <w:pPr>
              <w:pStyle w:val="24"/>
              <w:adjustRightInd w:val="0"/>
              <w:snapToGrid w:val="0"/>
              <w:spacing w:before="0" w:beforeAutospacing="0" w:after="0" w:afterAutospacing="0" w:line="440" w:lineRule="exact"/>
              <w:ind w:firstLine="422" w:firstLineChars="200"/>
              <w:rPr>
                <w:rFonts w:hint="default" w:ascii="Times New Roman" w:hAnsi="Times New Roman" w:eastAsia="宋体"/>
                <w:b/>
                <w:color w:val="auto"/>
                <w:sz w:val="21"/>
                <w:szCs w:val="21"/>
                <w:highlight w:val="none"/>
                <w:lang w:val="en-US" w:eastAsia="zh-CN"/>
              </w:rPr>
            </w:pPr>
            <w:r>
              <w:rPr>
                <w:rFonts w:hint="eastAsia" w:ascii="Times New Roman" w:hAnsi="Times New Roman"/>
                <w:b/>
                <w:color w:val="auto"/>
                <w:sz w:val="21"/>
                <w:szCs w:val="21"/>
                <w:highlight w:val="none"/>
              </w:rPr>
              <w:t>4.</w:t>
            </w:r>
            <w:r>
              <w:rPr>
                <w:rFonts w:hint="eastAsia" w:ascii="Times New Roman" w:hAnsi="Times New Roman"/>
                <w:b/>
                <w:color w:val="auto"/>
                <w:sz w:val="21"/>
                <w:szCs w:val="21"/>
                <w:highlight w:val="none"/>
                <w:lang w:val="en-US" w:eastAsia="zh-CN"/>
              </w:rPr>
              <w:t>2</w:t>
            </w:r>
            <w:r>
              <w:rPr>
                <w:rFonts w:hint="eastAsia" w:ascii="Times New Roman" w:hAnsi="Times New Roman"/>
                <w:b/>
                <w:color w:val="auto"/>
                <w:sz w:val="21"/>
                <w:szCs w:val="21"/>
                <w:highlight w:val="none"/>
              </w:rPr>
              <w:t>.</w:t>
            </w:r>
            <w:r>
              <w:rPr>
                <w:rFonts w:hint="eastAsia" w:ascii="Times New Roman" w:hAnsi="Times New Roman"/>
                <w:b/>
                <w:color w:val="auto"/>
                <w:sz w:val="21"/>
                <w:szCs w:val="21"/>
                <w:highlight w:val="none"/>
                <w:lang w:val="en-US" w:eastAsia="zh-CN"/>
              </w:rPr>
              <w:t>2处置去向及管理要求</w:t>
            </w:r>
          </w:p>
          <w:p w14:paraId="7B1FD26C">
            <w:pPr>
              <w:pStyle w:val="24"/>
              <w:adjustRightInd w:val="0"/>
              <w:snapToGrid w:val="0"/>
              <w:spacing w:before="0" w:beforeAutospacing="0" w:after="0" w:afterAutospacing="0" w:line="440" w:lineRule="exact"/>
              <w:ind w:firstLine="420" w:firstLineChars="200"/>
              <w:rPr>
                <w:rFonts w:hint="eastAsia"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生活垃圾</w:t>
            </w:r>
            <w:r>
              <w:rPr>
                <w:rFonts w:hint="eastAsia" w:ascii="Times New Roman" w:hAnsi="Times New Roman" w:cs="Times New Roman"/>
                <w:color w:val="auto"/>
                <w:sz w:val="21"/>
                <w:szCs w:val="21"/>
                <w:highlight w:val="none"/>
                <w:lang w:eastAsia="zh-CN"/>
              </w:rPr>
              <w:t>：</w:t>
            </w:r>
            <w:r>
              <w:rPr>
                <w:rFonts w:hint="eastAsia" w:ascii="Times New Roman" w:hAnsi="Times New Roman" w:cs="Times New Roman"/>
                <w:color w:val="auto"/>
                <w:sz w:val="21"/>
                <w:szCs w:val="21"/>
                <w:highlight w:val="none"/>
              </w:rPr>
              <w:t>生活垃圾交环卫部门定期清理，统一处理，并对垃圾堆放点进行消毒杀灭害虫，以免散发恶臭，孽生蚊蝇。</w:t>
            </w:r>
          </w:p>
          <w:p w14:paraId="351EA143">
            <w:pPr>
              <w:pStyle w:val="24"/>
              <w:adjustRightInd w:val="0"/>
              <w:snapToGrid w:val="0"/>
              <w:spacing w:before="0" w:beforeAutospacing="0" w:after="0" w:afterAutospacing="0" w:line="440" w:lineRule="exact"/>
              <w:ind w:firstLine="420" w:firstLineChars="200"/>
              <w:rPr>
                <w:rFonts w:hint="eastAsia" w:ascii="Times New Roman" w:hAnsi="Times New Roman"/>
                <w:color w:val="auto"/>
                <w:sz w:val="21"/>
                <w:szCs w:val="21"/>
                <w:highlight w:val="none"/>
              </w:rPr>
            </w:pPr>
            <w:r>
              <w:rPr>
                <w:rFonts w:hint="eastAsia" w:ascii="Times New Roman" w:hAnsi="Times New Roman" w:cs="Times New Roman"/>
                <w:color w:val="auto"/>
                <w:sz w:val="21"/>
                <w:szCs w:val="21"/>
                <w:highlight w:val="none"/>
                <w:lang w:val="en-US" w:eastAsia="zh-CN"/>
              </w:rPr>
              <w:t>污泥、</w:t>
            </w:r>
            <w:r>
              <w:rPr>
                <w:rFonts w:hint="eastAsia" w:ascii="Times New Roman" w:hAnsi="Times New Roman" w:eastAsia="宋体" w:cs="Times New Roman"/>
                <w:color w:val="auto"/>
                <w:sz w:val="21"/>
                <w:szCs w:val="21"/>
                <w:highlight w:val="none"/>
                <w:lang w:val="en-US" w:eastAsia="zh-CN"/>
              </w:rPr>
              <w:t>除尘灰</w:t>
            </w:r>
            <w:r>
              <w:rPr>
                <w:rFonts w:hint="eastAsia" w:ascii="Times New Roman" w:hAnsi="Times New Roman" w:cs="Times New Roman"/>
                <w:color w:val="auto"/>
                <w:sz w:val="21"/>
                <w:szCs w:val="21"/>
                <w:highlight w:val="none"/>
                <w:lang w:val="en-US" w:eastAsia="zh-CN"/>
              </w:rPr>
              <w:t>、沉降</w:t>
            </w:r>
            <w:r>
              <w:rPr>
                <w:rFonts w:hint="eastAsia" w:ascii="Times New Roman" w:hAnsi="Times New Roman" w:eastAsia="宋体" w:cs="Times New Roman"/>
                <w:color w:val="auto"/>
                <w:sz w:val="21"/>
                <w:szCs w:val="21"/>
                <w:highlight w:val="none"/>
                <w:lang w:val="en-US" w:eastAsia="zh-CN"/>
              </w:rPr>
              <w:t>灰、泥饼</w:t>
            </w:r>
            <w:r>
              <w:rPr>
                <w:rFonts w:hint="eastAsia" w:ascii="Times New Roman" w:hAnsi="Times New Roman" w:cs="Times New Roman"/>
                <w:color w:val="auto"/>
                <w:sz w:val="21"/>
                <w:szCs w:val="21"/>
                <w:highlight w:val="none"/>
                <w:lang w:eastAsia="zh-CN"/>
              </w:rPr>
              <w:t>：</w:t>
            </w:r>
            <w:r>
              <w:rPr>
                <w:rFonts w:hint="eastAsia" w:ascii="Times New Roman" w:hAnsi="Times New Roman"/>
                <w:color w:val="auto"/>
                <w:sz w:val="21"/>
                <w:szCs w:val="21"/>
                <w:highlight w:val="none"/>
              </w:rPr>
              <w:t>拟建项目</w:t>
            </w:r>
            <w:r>
              <w:rPr>
                <w:rFonts w:hint="eastAsia" w:ascii="Times New Roman" w:hAnsi="Times New Roman" w:cs="Times New Roman"/>
                <w:color w:val="auto"/>
                <w:sz w:val="21"/>
                <w:szCs w:val="21"/>
                <w:highlight w:val="none"/>
                <w:lang w:val="en-US" w:eastAsia="zh-CN"/>
              </w:rPr>
              <w:t>污泥、</w:t>
            </w:r>
            <w:r>
              <w:rPr>
                <w:rFonts w:hint="eastAsia" w:ascii="Times New Roman" w:hAnsi="Times New Roman" w:eastAsia="宋体" w:cs="Times New Roman"/>
                <w:color w:val="auto"/>
                <w:sz w:val="21"/>
                <w:szCs w:val="21"/>
                <w:highlight w:val="none"/>
                <w:lang w:val="en-US" w:eastAsia="zh-CN"/>
              </w:rPr>
              <w:t>除尘灰</w:t>
            </w:r>
            <w:r>
              <w:rPr>
                <w:rFonts w:hint="eastAsia" w:ascii="Times New Roman" w:hAnsi="Times New Roman" w:cs="Times New Roman"/>
                <w:color w:val="auto"/>
                <w:sz w:val="21"/>
                <w:szCs w:val="21"/>
                <w:highlight w:val="none"/>
                <w:lang w:val="en-US" w:eastAsia="zh-CN"/>
              </w:rPr>
              <w:t>、沉降灰</w:t>
            </w:r>
            <w:r>
              <w:rPr>
                <w:rFonts w:hint="eastAsia" w:ascii="Times New Roman" w:hAnsi="Times New Roman"/>
                <w:color w:val="auto"/>
                <w:sz w:val="21"/>
                <w:szCs w:val="21"/>
                <w:highlight w:val="none"/>
              </w:rPr>
              <w:t>暂存于一般固废暂存区</w:t>
            </w:r>
            <w:r>
              <w:rPr>
                <w:rFonts w:hint="eastAsia" w:ascii="Times New Roman" w:hAnsi="Times New Roman"/>
                <w:color w:val="auto"/>
                <w:sz w:val="21"/>
                <w:szCs w:val="21"/>
                <w:highlight w:val="none"/>
                <w:lang w:eastAsia="zh-CN"/>
              </w:rPr>
              <w:t>、</w:t>
            </w:r>
            <w:r>
              <w:rPr>
                <w:rFonts w:hint="eastAsia" w:ascii="Times New Roman" w:hAnsi="Times New Roman" w:eastAsia="宋体" w:cs="Times New Roman"/>
                <w:color w:val="auto"/>
                <w:sz w:val="21"/>
                <w:szCs w:val="21"/>
                <w:highlight w:val="none"/>
                <w:lang w:val="en-US" w:eastAsia="zh-CN"/>
              </w:rPr>
              <w:t>泥饼暂存于压滤机底部污泥存储料斗</w:t>
            </w:r>
            <w:r>
              <w:rPr>
                <w:rFonts w:hint="eastAsia" w:ascii="Times New Roman" w:hAnsi="Times New Roman"/>
                <w:color w:val="auto"/>
                <w:sz w:val="21"/>
                <w:szCs w:val="21"/>
                <w:highlight w:val="none"/>
              </w:rPr>
              <w:t>，</w:t>
            </w:r>
            <w:r>
              <w:rPr>
                <w:rFonts w:hint="eastAsia" w:ascii="Times New Roman" w:hAnsi="Times New Roman" w:cs="Times New Roman"/>
                <w:color w:val="auto"/>
                <w:sz w:val="21"/>
                <w:szCs w:val="21"/>
                <w:highlight w:val="none"/>
                <w:lang w:val="en-US" w:eastAsia="zh-CN"/>
              </w:rPr>
              <w:t>之后</w:t>
            </w:r>
            <w:r>
              <w:rPr>
                <w:rFonts w:hint="eastAsia" w:ascii="Times New Roman" w:hAnsi="Times New Roman" w:eastAsia="宋体" w:cs="Times New Roman"/>
                <w:color w:val="auto"/>
                <w:sz w:val="21"/>
                <w:szCs w:val="21"/>
                <w:highlight w:val="none"/>
                <w:lang w:val="en-US" w:eastAsia="zh-CN"/>
              </w:rPr>
              <w:t>外售砖厂进行制砖</w:t>
            </w:r>
            <w:r>
              <w:rPr>
                <w:rFonts w:hint="eastAsia" w:ascii="Times New Roman" w:hAnsi="Times New Roman" w:cs="Times New Roman"/>
                <w:color w:val="auto"/>
                <w:sz w:val="21"/>
                <w:szCs w:val="21"/>
                <w:highlight w:val="none"/>
                <w:lang w:val="en-US" w:eastAsia="zh-CN"/>
              </w:rPr>
              <w:t>。根据</w:t>
            </w:r>
            <w:r>
              <w:rPr>
                <w:rFonts w:hint="eastAsia" w:ascii="Times New Roman" w:hAnsi="Times New Roman"/>
                <w:color w:val="auto"/>
                <w:sz w:val="21"/>
                <w:szCs w:val="21"/>
                <w:highlight w:val="none"/>
                <w:lang w:val="en-US" w:eastAsia="zh-CN"/>
              </w:rPr>
              <w:t>《关于加快烧结砖瓦行业转型发展的若干意见》（工信部联原〔2017〕279号）中（三）强化综合利用：</w:t>
            </w:r>
            <w:r>
              <w:rPr>
                <w:rFonts w:hint="eastAsia" w:ascii="Times New Roman" w:hAnsi="Times New Roman"/>
                <w:color w:val="auto"/>
                <w:sz w:val="21"/>
                <w:szCs w:val="21"/>
                <w:highlight w:val="none"/>
              </w:rPr>
              <w:t>鼓励利用工业固废、矿物尾渣、淤泥、污泥、农林废弃物等替代一次原燃料，支持利用建筑垃圾生产砖瓦制品，进一步扩大资源综合利用范围，提高原燃料中固废掺配比例，减少对天然资源的消耗。因此，项目</w:t>
            </w:r>
            <w:r>
              <w:rPr>
                <w:rFonts w:hint="eastAsia" w:ascii="Times New Roman" w:hAnsi="Times New Roman" w:cs="Times New Roman"/>
                <w:color w:val="auto"/>
                <w:sz w:val="21"/>
                <w:szCs w:val="21"/>
                <w:highlight w:val="none"/>
                <w:lang w:val="en-US" w:eastAsia="zh-CN"/>
              </w:rPr>
              <w:t>污</w:t>
            </w:r>
            <w:r>
              <w:rPr>
                <w:rFonts w:hint="eastAsia" w:ascii="Times New Roman" w:hAnsi="Times New Roman" w:eastAsia="宋体" w:cs="Times New Roman"/>
                <w:color w:val="auto"/>
                <w:sz w:val="21"/>
                <w:szCs w:val="21"/>
                <w:highlight w:val="none"/>
                <w:lang w:val="en-US" w:eastAsia="zh-CN"/>
              </w:rPr>
              <w:t>泥、除尘灰</w:t>
            </w:r>
            <w:r>
              <w:rPr>
                <w:rFonts w:hint="eastAsia" w:ascii="Times New Roman" w:hAnsi="Times New Roman" w:cs="Times New Roman"/>
                <w:color w:val="auto"/>
                <w:sz w:val="21"/>
                <w:szCs w:val="21"/>
                <w:highlight w:val="none"/>
                <w:lang w:val="en-US" w:eastAsia="zh-CN"/>
              </w:rPr>
              <w:t>、沉降灰、泥饼</w:t>
            </w:r>
            <w:r>
              <w:rPr>
                <w:rFonts w:hint="eastAsia" w:ascii="Times New Roman" w:hAnsi="Times New Roman" w:eastAsia="宋体" w:cs="Times New Roman"/>
                <w:color w:val="auto"/>
                <w:sz w:val="21"/>
                <w:szCs w:val="21"/>
                <w:highlight w:val="none"/>
                <w:lang w:val="en-US" w:eastAsia="zh-CN"/>
              </w:rPr>
              <w:t>外售砖厂进行制砖</w:t>
            </w:r>
            <w:r>
              <w:rPr>
                <w:rFonts w:hint="eastAsia" w:ascii="Times New Roman" w:hAnsi="Times New Roman"/>
                <w:color w:val="auto"/>
                <w:sz w:val="21"/>
                <w:szCs w:val="21"/>
                <w:highlight w:val="none"/>
              </w:rPr>
              <w:t>，措施可行。</w:t>
            </w:r>
          </w:p>
          <w:p w14:paraId="6A0C3EB4">
            <w:pPr>
              <w:pStyle w:val="24"/>
              <w:adjustRightInd w:val="0"/>
              <w:snapToGrid w:val="0"/>
              <w:spacing w:before="0" w:beforeAutospacing="0" w:after="0" w:afterAutospacing="0" w:line="440" w:lineRule="exact"/>
              <w:ind w:firstLine="420" w:firstLineChars="200"/>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废包装袋、</w:t>
            </w:r>
            <w:r>
              <w:rPr>
                <w:rFonts w:hint="eastAsia" w:ascii="Times New Roman" w:hAnsi="Times New Roman" w:eastAsia="宋体" w:cs="Times New Roman"/>
                <w:color w:val="auto"/>
                <w:sz w:val="21"/>
                <w:szCs w:val="21"/>
                <w:highlight w:val="none"/>
              </w:rPr>
              <w:t>废布袋</w:t>
            </w:r>
            <w:r>
              <w:rPr>
                <w:rFonts w:hint="eastAsia" w:ascii="Times New Roman" w:hAnsi="Times New Roman" w:eastAsia="宋体" w:cs="Times New Roman"/>
                <w:color w:val="auto"/>
                <w:sz w:val="21"/>
                <w:szCs w:val="21"/>
                <w:highlight w:val="none"/>
                <w:lang w:eastAsia="zh-CN"/>
              </w:rPr>
              <w:t>、</w:t>
            </w:r>
            <w:r>
              <w:rPr>
                <w:rFonts w:hint="eastAsia" w:ascii="Times New Roman" w:hAnsi="Times New Roman" w:eastAsia="宋体" w:cs="Times New Roman"/>
                <w:color w:val="auto"/>
                <w:sz w:val="21"/>
                <w:szCs w:val="21"/>
                <w:highlight w:val="none"/>
                <w:lang w:val="en-US" w:eastAsia="zh-CN"/>
              </w:rPr>
              <w:t>废滤布：废包装袋、</w:t>
            </w:r>
            <w:r>
              <w:rPr>
                <w:rFonts w:hint="eastAsia" w:ascii="Times New Roman" w:hAnsi="Times New Roman" w:eastAsia="宋体" w:cs="Times New Roman"/>
                <w:color w:val="auto"/>
                <w:sz w:val="21"/>
                <w:szCs w:val="21"/>
                <w:highlight w:val="none"/>
              </w:rPr>
              <w:t>废布袋</w:t>
            </w:r>
            <w:r>
              <w:rPr>
                <w:rFonts w:hint="eastAsia" w:ascii="Times New Roman" w:hAnsi="Times New Roman" w:eastAsia="宋体" w:cs="Times New Roman"/>
                <w:color w:val="auto"/>
                <w:sz w:val="21"/>
                <w:szCs w:val="21"/>
                <w:highlight w:val="none"/>
                <w:lang w:eastAsia="zh-CN"/>
              </w:rPr>
              <w:t>、</w:t>
            </w:r>
            <w:r>
              <w:rPr>
                <w:rFonts w:hint="eastAsia" w:ascii="Times New Roman" w:hAnsi="Times New Roman" w:eastAsia="宋体" w:cs="Times New Roman"/>
                <w:color w:val="auto"/>
                <w:sz w:val="21"/>
                <w:szCs w:val="21"/>
                <w:highlight w:val="none"/>
                <w:lang w:val="en-US" w:eastAsia="zh-CN"/>
              </w:rPr>
              <w:t>废滤布</w:t>
            </w:r>
            <w:r>
              <w:rPr>
                <w:rFonts w:hint="eastAsia" w:ascii="Times New Roman" w:hAnsi="Times New Roman" w:eastAsia="宋体" w:cs="Times New Roman"/>
                <w:color w:val="auto"/>
                <w:sz w:val="21"/>
                <w:szCs w:val="21"/>
                <w:highlight w:val="none"/>
              </w:rPr>
              <w:t>暂存于一般固废暂存区，之后外售综合利用</w:t>
            </w:r>
            <w:r>
              <w:rPr>
                <w:rFonts w:hint="eastAsia" w:ascii="Times New Roman" w:hAnsi="Times New Roman" w:eastAsia="宋体" w:cs="Times New Roman"/>
                <w:color w:val="auto"/>
                <w:sz w:val="21"/>
                <w:szCs w:val="21"/>
                <w:highlight w:val="none"/>
                <w:lang w:eastAsia="zh-CN"/>
              </w:rPr>
              <w:t>；</w:t>
            </w:r>
            <w:r>
              <w:rPr>
                <w:rFonts w:hint="eastAsia" w:ascii="Times New Roman" w:hAnsi="Times New Roman" w:eastAsia="宋体" w:cs="Times New Roman"/>
                <w:color w:val="auto"/>
                <w:sz w:val="21"/>
                <w:szCs w:val="21"/>
                <w:highlight w:val="none"/>
              </w:rPr>
              <w:t>废</w:t>
            </w:r>
            <w:r>
              <w:rPr>
                <w:rFonts w:hint="eastAsia" w:ascii="Times New Roman" w:hAnsi="Times New Roman" w:eastAsia="宋体" w:cs="Times New Roman"/>
                <w:color w:val="auto"/>
                <w:sz w:val="21"/>
                <w:szCs w:val="21"/>
                <w:highlight w:val="none"/>
                <w:lang w:val="en-US" w:eastAsia="zh-CN"/>
              </w:rPr>
              <w:t>钢球：</w:t>
            </w:r>
            <w:r>
              <w:rPr>
                <w:rFonts w:hint="eastAsia" w:ascii="Times New Roman" w:hAnsi="Times New Roman" w:eastAsia="宋体" w:cs="Times New Roman"/>
                <w:color w:val="auto"/>
                <w:sz w:val="21"/>
                <w:szCs w:val="21"/>
                <w:highlight w:val="none"/>
              </w:rPr>
              <w:t>废</w:t>
            </w:r>
            <w:r>
              <w:rPr>
                <w:rFonts w:hint="eastAsia" w:ascii="Times New Roman" w:hAnsi="Times New Roman" w:eastAsia="宋体" w:cs="Times New Roman"/>
                <w:color w:val="auto"/>
                <w:sz w:val="21"/>
                <w:szCs w:val="21"/>
                <w:highlight w:val="none"/>
                <w:lang w:val="en-US" w:eastAsia="zh-CN"/>
              </w:rPr>
              <w:t>钢球</w:t>
            </w:r>
            <w:r>
              <w:rPr>
                <w:rFonts w:hint="eastAsia" w:ascii="Times New Roman" w:hAnsi="Times New Roman" w:eastAsia="宋体" w:cs="Times New Roman"/>
                <w:color w:val="auto"/>
                <w:sz w:val="21"/>
                <w:szCs w:val="21"/>
                <w:highlight w:val="none"/>
              </w:rPr>
              <w:t>暂存于一般固废暂存区，之后收集后外售五金回收公司</w:t>
            </w:r>
            <w:r>
              <w:rPr>
                <w:rFonts w:hint="eastAsia" w:ascii="Times New Roman" w:hAnsi="Times New Roman" w:eastAsia="宋体" w:cs="Times New Roman"/>
                <w:color w:val="auto"/>
                <w:sz w:val="21"/>
                <w:szCs w:val="21"/>
                <w:highlight w:val="none"/>
                <w:lang w:val="en-US" w:eastAsia="zh-CN"/>
              </w:rPr>
              <w:t>；棉絮、泡沫等废料及海绵、木屑等废料：棉絮、泡沫等废料</w:t>
            </w:r>
            <w:r>
              <w:rPr>
                <w:rFonts w:hint="eastAsia" w:ascii="Times New Roman" w:hAnsi="Times New Roman" w:eastAsia="宋体" w:cs="Times New Roman"/>
                <w:color w:val="auto"/>
                <w:sz w:val="21"/>
                <w:szCs w:val="21"/>
                <w:highlight w:val="none"/>
              </w:rPr>
              <w:t>暂存于</w:t>
            </w:r>
            <w:r>
              <w:rPr>
                <w:rFonts w:hint="eastAsia" w:ascii="Times New Roman" w:hAnsi="Times New Roman" w:eastAsia="宋体" w:cs="Times New Roman"/>
                <w:color w:val="auto"/>
                <w:sz w:val="21"/>
                <w:szCs w:val="21"/>
                <w:highlight w:val="none"/>
                <w:lang w:val="en-US" w:eastAsia="zh-CN"/>
              </w:rPr>
              <w:t>棉絮、泡沫暂存区、海绵、木屑等废料</w:t>
            </w:r>
            <w:r>
              <w:rPr>
                <w:rFonts w:hint="eastAsia" w:ascii="Times New Roman" w:hAnsi="Times New Roman" w:eastAsia="宋体" w:cs="Times New Roman"/>
                <w:color w:val="auto"/>
                <w:sz w:val="21"/>
                <w:szCs w:val="21"/>
                <w:highlight w:val="none"/>
              </w:rPr>
              <w:t>暂存于</w:t>
            </w:r>
            <w:r>
              <w:rPr>
                <w:rFonts w:hint="eastAsia" w:ascii="Times New Roman" w:hAnsi="Times New Roman" w:eastAsia="宋体" w:cs="Times New Roman"/>
                <w:color w:val="auto"/>
                <w:sz w:val="21"/>
                <w:szCs w:val="21"/>
                <w:highlight w:val="none"/>
                <w:lang w:val="en-US" w:eastAsia="zh-CN"/>
              </w:rPr>
              <w:t>3</w:t>
            </w:r>
            <w:r>
              <w:rPr>
                <w:rFonts w:hint="eastAsia" w:ascii="Times New Roman" w:hAnsi="Times New Roman" w:eastAsia="宋体" w:cs="Times New Roman"/>
                <w:color w:val="auto"/>
                <w:sz w:val="21"/>
                <w:szCs w:val="21"/>
                <w:highlight w:val="none"/>
                <w:vertAlign w:val="superscript"/>
                <w:lang w:val="en-US" w:eastAsia="zh-CN"/>
              </w:rPr>
              <w:t>#</w:t>
            </w:r>
            <w:r>
              <w:rPr>
                <w:rFonts w:hint="eastAsia" w:ascii="Times New Roman" w:hAnsi="Times New Roman" w:eastAsia="宋体" w:cs="Times New Roman"/>
                <w:color w:val="auto"/>
                <w:sz w:val="21"/>
                <w:szCs w:val="21"/>
                <w:highlight w:val="none"/>
                <w:lang w:val="en-US" w:eastAsia="zh-CN"/>
              </w:rPr>
              <w:t>储料池</w:t>
            </w:r>
            <w:r>
              <w:rPr>
                <w:rFonts w:hint="eastAsia" w:ascii="Times New Roman" w:hAnsi="Times New Roman" w:eastAsia="宋体" w:cs="Times New Roman"/>
                <w:color w:val="auto"/>
                <w:sz w:val="21"/>
                <w:szCs w:val="21"/>
                <w:highlight w:val="none"/>
              </w:rPr>
              <w:t>，之后</w:t>
            </w:r>
            <w:r>
              <w:rPr>
                <w:rFonts w:hint="eastAsia" w:ascii="Times New Roman" w:hAnsi="Times New Roman" w:eastAsia="宋体" w:cs="Times New Roman"/>
                <w:color w:val="auto"/>
                <w:sz w:val="21"/>
                <w:szCs w:val="21"/>
                <w:highlight w:val="none"/>
                <w:lang w:val="en-US" w:eastAsia="zh-CN"/>
              </w:rPr>
              <w:t>外售相关回收单位；废土：废土暂存于废土暂存区，之后用于填坑、铺路。</w:t>
            </w:r>
          </w:p>
          <w:p w14:paraId="3216BE73">
            <w:pPr>
              <w:pStyle w:val="24"/>
              <w:adjustRightInd w:val="0"/>
              <w:snapToGrid w:val="0"/>
              <w:spacing w:before="0" w:beforeAutospacing="0" w:after="0" w:afterAutospacing="0" w:line="440" w:lineRule="exact"/>
              <w:ind w:firstLine="420" w:firstLineChars="200"/>
              <w:rPr>
                <w:rFonts w:hint="eastAsia"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rPr>
              <w:t>项目应按照《中华人民共和国固体废物污染环境防治法》</w:t>
            </w:r>
            <w:r>
              <w:rPr>
                <w:rFonts w:hint="eastAsia" w:ascii="Times New Roman" w:hAnsi="Times New Roman" w:cs="Times New Roman"/>
                <w:color w:val="auto"/>
                <w:sz w:val="21"/>
                <w:szCs w:val="21"/>
                <w:highlight w:val="none"/>
                <w:lang w:eastAsia="zh-CN"/>
              </w:rPr>
              <w:t>（</w:t>
            </w:r>
            <w:r>
              <w:rPr>
                <w:rFonts w:hint="eastAsia" w:ascii="Times New Roman" w:hAnsi="Times New Roman" w:cs="Times New Roman"/>
                <w:color w:val="auto"/>
                <w:sz w:val="21"/>
                <w:szCs w:val="21"/>
                <w:highlight w:val="none"/>
              </w:rPr>
              <w:t>2020年4月29日修订版</w:t>
            </w:r>
            <w:r>
              <w:rPr>
                <w:rFonts w:hint="eastAsia" w:ascii="Times New Roman" w:hAnsi="Times New Roman" w:cs="Times New Roman"/>
                <w:color w:val="auto"/>
                <w:sz w:val="21"/>
                <w:szCs w:val="21"/>
                <w:highlight w:val="none"/>
                <w:lang w:eastAsia="zh-CN"/>
              </w:rPr>
              <w:t>）</w:t>
            </w:r>
            <w:r>
              <w:rPr>
                <w:rFonts w:hint="eastAsia" w:ascii="Times New Roman" w:hAnsi="Times New Roman" w:cs="Times New Roman"/>
                <w:color w:val="auto"/>
                <w:sz w:val="21"/>
                <w:szCs w:val="21"/>
                <w:highlight w:val="none"/>
              </w:rPr>
              <w:t>，建立健全工业固体废物产生、收集、贮存、运输、利用、处置全过程的污染环境防治责任制度</w:t>
            </w:r>
            <w:r>
              <w:rPr>
                <w:rFonts w:hint="eastAsia" w:ascii="Times New Roman" w:hAnsi="Times New Roman" w:cs="Times New Roman"/>
                <w:color w:val="auto"/>
                <w:sz w:val="21"/>
                <w:szCs w:val="21"/>
                <w:highlight w:val="none"/>
                <w:lang w:eastAsia="zh-CN"/>
              </w:rPr>
              <w:t>，</w:t>
            </w:r>
            <w:r>
              <w:rPr>
                <w:rFonts w:hint="eastAsia" w:ascii="Times New Roman" w:hAnsi="Times New Roman" w:cs="Times New Roman"/>
                <w:color w:val="auto"/>
                <w:sz w:val="21"/>
                <w:szCs w:val="21"/>
                <w:highlight w:val="none"/>
              </w:rPr>
              <w:t>建立工业固体废物管理台账，如实记录产生工业固体废物的种类、数量、流向、贮存、利用、处置等信息，实现工业固体废物可追溯、可查询。应当对受托方的主体资格和技术能力进行核实，依法签订书面合同，在合同中约定污染防治要求。应当向所在地生态环境主管部门提供工业固体废物的种类、数量、流向、贮存、利用、处置等有关资料，以及减少工业固体废物产生、促进综合利用的具体措施，并执行排污许可管理制度的相关规定。</w:t>
            </w:r>
          </w:p>
          <w:p w14:paraId="025D9270">
            <w:pPr>
              <w:pStyle w:val="24"/>
              <w:adjustRightInd w:val="0"/>
              <w:snapToGrid w:val="0"/>
              <w:spacing w:before="0" w:beforeAutospacing="0" w:after="0" w:afterAutospacing="0" w:line="440" w:lineRule="exact"/>
              <w:ind w:firstLine="420" w:firstLineChars="200"/>
              <w:rPr>
                <w:rFonts w:hint="eastAsia" w:ascii="Times New Roman" w:hAnsi="Times New Roman"/>
                <w:color w:val="auto"/>
                <w:sz w:val="21"/>
                <w:szCs w:val="21"/>
              </w:rPr>
            </w:pPr>
            <w:r>
              <w:rPr>
                <w:rFonts w:hint="eastAsia" w:ascii="Times New Roman" w:hAnsi="Times New Roman" w:cs="Times New Roman"/>
                <w:color w:val="auto"/>
                <w:sz w:val="21"/>
                <w:szCs w:val="21"/>
                <w:highlight w:val="none"/>
              </w:rPr>
              <w:t>经上述措施治理后，建设项目排放的一般工业固体废物对环境影响不大。</w:t>
            </w:r>
          </w:p>
          <w:p w14:paraId="153FFE6A">
            <w:pPr>
              <w:pStyle w:val="24"/>
              <w:adjustRightInd w:val="0"/>
              <w:snapToGrid w:val="0"/>
              <w:spacing w:before="0" w:beforeAutospacing="0" w:after="0" w:afterAutospacing="0" w:line="440" w:lineRule="exact"/>
              <w:ind w:firstLine="422" w:firstLineChars="200"/>
              <w:rPr>
                <w:rFonts w:ascii="Times New Roman" w:hAnsi="Times New Roman"/>
                <w:b/>
                <w:color w:val="auto"/>
                <w:sz w:val="21"/>
                <w:szCs w:val="21"/>
              </w:rPr>
            </w:pPr>
            <w:r>
              <w:rPr>
                <w:rFonts w:hint="eastAsia" w:ascii="Times New Roman" w:hAnsi="Times New Roman"/>
                <w:b/>
                <w:color w:val="auto"/>
                <w:sz w:val="21"/>
                <w:szCs w:val="21"/>
              </w:rPr>
              <w:t>4.3危险废物</w:t>
            </w:r>
            <w:r>
              <w:rPr>
                <w:rFonts w:ascii="Times New Roman" w:hAnsi="Times New Roman"/>
                <w:b/>
                <w:color w:val="auto"/>
                <w:sz w:val="21"/>
                <w:szCs w:val="21"/>
              </w:rPr>
              <w:t>影响分析</w:t>
            </w:r>
          </w:p>
          <w:p w14:paraId="11B3DA9F">
            <w:pPr>
              <w:pStyle w:val="24"/>
              <w:adjustRightInd w:val="0"/>
              <w:snapToGrid w:val="0"/>
              <w:spacing w:before="0" w:beforeAutospacing="0" w:after="0" w:afterAutospacing="0" w:line="440" w:lineRule="exact"/>
              <w:ind w:firstLine="422" w:firstLineChars="200"/>
              <w:rPr>
                <w:rFonts w:hint="eastAsia" w:ascii="Times New Roman" w:hAnsi="Times New Roman" w:eastAsia="宋体" w:cs="Times New Roman"/>
                <w:b/>
                <w:color w:val="auto"/>
                <w:sz w:val="21"/>
                <w:szCs w:val="21"/>
              </w:rPr>
            </w:pPr>
            <w:r>
              <w:rPr>
                <w:rFonts w:hint="eastAsia" w:ascii="Times New Roman" w:hAnsi="Times New Roman" w:eastAsia="宋体" w:cs="Times New Roman"/>
                <w:b/>
                <w:color w:val="auto"/>
                <w:sz w:val="21"/>
                <w:szCs w:val="21"/>
              </w:rPr>
              <w:t>4.3.1危险废物</w:t>
            </w:r>
            <w:r>
              <w:rPr>
                <w:rFonts w:hint="eastAsia" w:ascii="Times New Roman" w:hAnsi="Times New Roman" w:cs="Times New Roman"/>
                <w:b/>
                <w:color w:val="auto"/>
                <w:sz w:val="21"/>
                <w:szCs w:val="21"/>
                <w:lang w:val="en-US" w:eastAsia="zh-CN"/>
              </w:rPr>
              <w:t>产生</w:t>
            </w:r>
            <w:r>
              <w:rPr>
                <w:rFonts w:hint="eastAsia" w:ascii="Times New Roman" w:hAnsi="Times New Roman" w:eastAsia="宋体" w:cs="Times New Roman"/>
                <w:b/>
                <w:color w:val="auto"/>
                <w:sz w:val="21"/>
                <w:szCs w:val="21"/>
              </w:rPr>
              <w:t>情况</w:t>
            </w:r>
          </w:p>
          <w:p w14:paraId="14C23ADC">
            <w:pPr>
              <w:pStyle w:val="24"/>
              <w:adjustRightInd w:val="0"/>
              <w:snapToGrid w:val="0"/>
              <w:spacing w:before="0" w:beforeAutospacing="0" w:after="0" w:afterAutospacing="0" w:line="440" w:lineRule="exact"/>
              <w:ind w:firstLine="420" w:firstLineChars="200"/>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本项目危险废物</w:t>
            </w:r>
            <w:r>
              <w:rPr>
                <w:rFonts w:hint="eastAsia" w:ascii="Times New Roman" w:hAnsi="Times New Roman" w:cs="Times New Roman"/>
                <w:color w:val="auto"/>
                <w:sz w:val="21"/>
                <w:szCs w:val="21"/>
                <w:lang w:val="en-US" w:eastAsia="zh-CN"/>
              </w:rPr>
              <w:t>产生</w:t>
            </w:r>
            <w:r>
              <w:rPr>
                <w:rFonts w:hint="eastAsia" w:ascii="Times New Roman" w:hAnsi="Times New Roman" w:eastAsia="宋体" w:cs="Times New Roman"/>
                <w:color w:val="auto"/>
                <w:sz w:val="21"/>
                <w:szCs w:val="21"/>
              </w:rPr>
              <w:t>情况见下表。</w:t>
            </w:r>
          </w:p>
          <w:p w14:paraId="7813D228">
            <w:pPr>
              <w:spacing w:line="440" w:lineRule="exact"/>
              <w:jc w:val="center"/>
              <w:rPr>
                <w:rFonts w:hint="eastAsia" w:ascii="Times New Roman" w:hAnsi="Times New Roman" w:eastAsia="宋体" w:cs="Times New Roman"/>
                <w:b/>
                <w:color w:val="auto"/>
                <w:szCs w:val="21"/>
              </w:rPr>
            </w:pPr>
            <w:r>
              <w:rPr>
                <w:rFonts w:hint="eastAsia" w:ascii="Times New Roman" w:hAnsi="Times New Roman" w:eastAsia="宋体" w:cs="Times New Roman"/>
                <w:b/>
                <w:color w:val="auto"/>
                <w:szCs w:val="21"/>
              </w:rPr>
              <w:t>表</w:t>
            </w:r>
            <w:r>
              <w:rPr>
                <w:rFonts w:hint="eastAsia" w:cs="Times New Roman"/>
                <w:b/>
                <w:color w:val="auto"/>
                <w:szCs w:val="21"/>
                <w:lang w:val="en-US" w:eastAsia="zh-CN"/>
              </w:rPr>
              <w:t>43</w:t>
            </w:r>
            <w:r>
              <w:rPr>
                <w:rFonts w:hint="eastAsia" w:ascii="Times New Roman" w:hAnsi="Times New Roman" w:eastAsia="宋体" w:cs="Times New Roman"/>
                <w:b/>
                <w:color w:val="auto"/>
                <w:szCs w:val="21"/>
                <w:lang w:val="en-US" w:eastAsia="zh-CN"/>
              </w:rPr>
              <w:t xml:space="preserve"> </w:t>
            </w:r>
            <w:r>
              <w:rPr>
                <w:rFonts w:hint="eastAsia" w:ascii="Times New Roman" w:hAnsi="Times New Roman" w:eastAsia="宋体" w:cs="Times New Roman"/>
                <w:b/>
                <w:color w:val="auto"/>
                <w:szCs w:val="21"/>
              </w:rPr>
              <w:t>本项目危险废物</w:t>
            </w:r>
            <w:r>
              <w:rPr>
                <w:rFonts w:hint="eastAsia" w:cs="Times New Roman"/>
                <w:b/>
                <w:color w:val="auto"/>
                <w:szCs w:val="21"/>
                <w:lang w:val="en-US" w:eastAsia="zh-CN"/>
              </w:rPr>
              <w:t>产生</w:t>
            </w:r>
            <w:r>
              <w:rPr>
                <w:rFonts w:hint="eastAsia" w:ascii="Times New Roman" w:hAnsi="Times New Roman" w:eastAsia="宋体" w:cs="Times New Roman"/>
                <w:b/>
                <w:color w:val="auto"/>
                <w:szCs w:val="21"/>
              </w:rPr>
              <w:t>情况一览表</w:t>
            </w:r>
          </w:p>
          <w:tbl>
            <w:tblPr>
              <w:tblStyle w:val="28"/>
              <w:tblW w:w="4996"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28" w:type="dxa"/>
                <w:bottom w:w="0" w:type="dxa"/>
                <w:right w:w="28" w:type="dxa"/>
              </w:tblCellMar>
            </w:tblPr>
            <w:tblGrid>
              <w:gridCol w:w="256"/>
              <w:gridCol w:w="890"/>
              <w:gridCol w:w="710"/>
              <w:gridCol w:w="931"/>
              <w:gridCol w:w="645"/>
              <w:gridCol w:w="852"/>
              <w:gridCol w:w="710"/>
              <w:gridCol w:w="853"/>
              <w:gridCol w:w="567"/>
              <w:gridCol w:w="1526"/>
            </w:tblGrid>
            <w:tr w14:paraId="3BDB899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36" w:hRule="atLeast"/>
                <w:jc w:val="center"/>
              </w:trPr>
              <w:tc>
                <w:tcPr>
                  <w:tcW w:w="161" w:type="pct"/>
                  <w:tcBorders>
                    <w:tl2br w:val="nil"/>
                    <w:tr2bl w:val="nil"/>
                  </w:tcBorders>
                  <w:noWrap w:val="0"/>
                  <w:vAlign w:val="center"/>
                </w:tcPr>
                <w:p w14:paraId="30EAFE75">
                  <w:pPr>
                    <w:spacing w:line="0" w:lineRule="atLeast"/>
                    <w:jc w:val="center"/>
                    <w:rPr>
                      <w:rFonts w:ascii="Times New Roman" w:hAnsi="Times New Roman" w:eastAsia="宋体" w:cs="Times New Roman"/>
                      <w:color w:val="auto"/>
                      <w:spacing w:val="-20"/>
                      <w:sz w:val="18"/>
                      <w:szCs w:val="18"/>
                    </w:rPr>
                  </w:pPr>
                  <w:r>
                    <w:rPr>
                      <w:rFonts w:ascii="Times New Roman" w:hAnsi="Times New Roman" w:eastAsia="宋体" w:cs="Times New Roman"/>
                      <w:color w:val="auto"/>
                      <w:spacing w:val="-20"/>
                      <w:sz w:val="18"/>
                      <w:szCs w:val="18"/>
                    </w:rPr>
                    <w:t>序号</w:t>
                  </w:r>
                </w:p>
              </w:tc>
              <w:tc>
                <w:tcPr>
                  <w:tcW w:w="560" w:type="pct"/>
                  <w:tcBorders>
                    <w:tl2br w:val="nil"/>
                    <w:tr2bl w:val="nil"/>
                  </w:tcBorders>
                  <w:noWrap w:val="0"/>
                  <w:vAlign w:val="center"/>
                </w:tcPr>
                <w:p w14:paraId="73F962FA">
                  <w:pPr>
                    <w:spacing w:line="0" w:lineRule="atLeast"/>
                    <w:jc w:val="center"/>
                    <w:rPr>
                      <w:rFonts w:ascii="Times New Roman" w:hAnsi="Times New Roman" w:eastAsia="宋体" w:cs="Times New Roman"/>
                      <w:color w:val="auto"/>
                      <w:spacing w:val="-20"/>
                      <w:sz w:val="18"/>
                      <w:szCs w:val="18"/>
                    </w:rPr>
                  </w:pPr>
                  <w:r>
                    <w:rPr>
                      <w:rFonts w:ascii="Times New Roman" w:hAnsi="Times New Roman" w:eastAsia="宋体" w:cs="Times New Roman"/>
                      <w:color w:val="auto"/>
                      <w:spacing w:val="-20"/>
                      <w:sz w:val="18"/>
                      <w:szCs w:val="18"/>
                    </w:rPr>
                    <w:t>危险废物名称</w:t>
                  </w:r>
                </w:p>
              </w:tc>
              <w:tc>
                <w:tcPr>
                  <w:tcW w:w="447" w:type="pct"/>
                  <w:tcBorders>
                    <w:tl2br w:val="nil"/>
                    <w:tr2bl w:val="nil"/>
                  </w:tcBorders>
                  <w:noWrap w:val="0"/>
                  <w:vAlign w:val="center"/>
                </w:tcPr>
                <w:p w14:paraId="4BE8E77F">
                  <w:pPr>
                    <w:spacing w:line="0" w:lineRule="atLeast"/>
                    <w:jc w:val="center"/>
                    <w:rPr>
                      <w:rFonts w:ascii="Times New Roman" w:hAnsi="Times New Roman" w:eastAsia="宋体" w:cs="Times New Roman"/>
                      <w:color w:val="auto"/>
                      <w:spacing w:val="-20"/>
                      <w:sz w:val="18"/>
                      <w:szCs w:val="18"/>
                    </w:rPr>
                  </w:pPr>
                  <w:r>
                    <w:rPr>
                      <w:rFonts w:ascii="Times New Roman" w:hAnsi="Times New Roman" w:eastAsia="宋体" w:cs="Times New Roman"/>
                      <w:color w:val="auto"/>
                      <w:spacing w:val="-20"/>
                      <w:sz w:val="18"/>
                      <w:szCs w:val="18"/>
                    </w:rPr>
                    <w:t>危险废物类别</w:t>
                  </w:r>
                </w:p>
              </w:tc>
              <w:tc>
                <w:tcPr>
                  <w:tcW w:w="586" w:type="pct"/>
                  <w:tcBorders>
                    <w:tl2br w:val="nil"/>
                    <w:tr2bl w:val="nil"/>
                  </w:tcBorders>
                  <w:noWrap w:val="0"/>
                  <w:vAlign w:val="center"/>
                </w:tcPr>
                <w:p w14:paraId="3D91FCCA">
                  <w:pPr>
                    <w:spacing w:line="0" w:lineRule="atLeast"/>
                    <w:jc w:val="center"/>
                    <w:rPr>
                      <w:rFonts w:ascii="Times New Roman" w:hAnsi="Times New Roman" w:eastAsia="宋体" w:cs="Times New Roman"/>
                      <w:color w:val="auto"/>
                      <w:spacing w:val="-20"/>
                      <w:sz w:val="18"/>
                      <w:szCs w:val="18"/>
                    </w:rPr>
                  </w:pPr>
                  <w:r>
                    <w:rPr>
                      <w:rFonts w:ascii="Times New Roman" w:hAnsi="Times New Roman" w:eastAsia="宋体" w:cs="Times New Roman"/>
                      <w:color w:val="auto"/>
                      <w:spacing w:val="-20"/>
                      <w:sz w:val="18"/>
                      <w:szCs w:val="18"/>
                    </w:rPr>
                    <w:t>危险废物代码</w:t>
                  </w:r>
                </w:p>
              </w:tc>
              <w:tc>
                <w:tcPr>
                  <w:tcW w:w="406" w:type="pct"/>
                  <w:tcBorders>
                    <w:tl2br w:val="nil"/>
                    <w:tr2bl w:val="nil"/>
                  </w:tcBorders>
                  <w:noWrap w:val="0"/>
                  <w:vAlign w:val="center"/>
                </w:tcPr>
                <w:p w14:paraId="0569E978">
                  <w:pPr>
                    <w:spacing w:line="0" w:lineRule="atLeast"/>
                    <w:jc w:val="center"/>
                    <w:rPr>
                      <w:rFonts w:ascii="Times New Roman" w:hAnsi="Times New Roman" w:eastAsia="宋体" w:cs="Times New Roman"/>
                      <w:color w:val="auto"/>
                      <w:spacing w:val="-20"/>
                      <w:sz w:val="18"/>
                      <w:szCs w:val="18"/>
                    </w:rPr>
                  </w:pPr>
                  <w:r>
                    <w:rPr>
                      <w:rFonts w:ascii="Times New Roman" w:hAnsi="Times New Roman" w:eastAsia="宋体" w:cs="Times New Roman"/>
                      <w:color w:val="auto"/>
                      <w:spacing w:val="-20"/>
                      <w:sz w:val="18"/>
                      <w:szCs w:val="18"/>
                    </w:rPr>
                    <w:t>产生量（t/a）</w:t>
                  </w:r>
                </w:p>
              </w:tc>
              <w:tc>
                <w:tcPr>
                  <w:tcW w:w="536" w:type="pct"/>
                  <w:vMerge w:val="restart"/>
                  <w:tcBorders>
                    <w:tl2br w:val="nil"/>
                    <w:tr2bl w:val="nil"/>
                  </w:tcBorders>
                  <w:noWrap w:val="0"/>
                  <w:vAlign w:val="center"/>
                </w:tcPr>
                <w:p w14:paraId="57CD481A">
                  <w:pPr>
                    <w:spacing w:line="0" w:lineRule="atLeast"/>
                    <w:jc w:val="center"/>
                    <w:rPr>
                      <w:rFonts w:ascii="Times New Roman" w:hAnsi="Times New Roman" w:eastAsia="宋体" w:cs="Times New Roman"/>
                      <w:color w:val="auto"/>
                      <w:spacing w:val="-20"/>
                      <w:sz w:val="18"/>
                      <w:szCs w:val="18"/>
                    </w:rPr>
                  </w:pPr>
                  <w:r>
                    <w:rPr>
                      <w:rFonts w:ascii="Times New Roman" w:hAnsi="Times New Roman" w:eastAsia="宋体" w:cs="Times New Roman"/>
                      <w:color w:val="auto"/>
                      <w:spacing w:val="-20"/>
                      <w:sz w:val="18"/>
                      <w:szCs w:val="18"/>
                    </w:rPr>
                    <w:t>产生工序及装置</w:t>
                  </w:r>
                </w:p>
              </w:tc>
              <w:tc>
                <w:tcPr>
                  <w:tcW w:w="447" w:type="pct"/>
                  <w:tcBorders>
                    <w:tl2br w:val="nil"/>
                    <w:tr2bl w:val="nil"/>
                  </w:tcBorders>
                  <w:noWrap w:val="0"/>
                  <w:vAlign w:val="center"/>
                </w:tcPr>
                <w:p w14:paraId="0F1D5937">
                  <w:pPr>
                    <w:spacing w:line="0" w:lineRule="atLeast"/>
                    <w:jc w:val="center"/>
                    <w:rPr>
                      <w:rFonts w:ascii="Times New Roman" w:hAnsi="Times New Roman" w:eastAsia="宋体" w:cs="Times New Roman"/>
                      <w:color w:val="auto"/>
                      <w:spacing w:val="-20"/>
                      <w:sz w:val="18"/>
                      <w:szCs w:val="18"/>
                    </w:rPr>
                  </w:pPr>
                  <w:r>
                    <w:rPr>
                      <w:rFonts w:ascii="Times New Roman" w:hAnsi="Times New Roman" w:eastAsia="宋体" w:cs="Times New Roman"/>
                      <w:color w:val="auto"/>
                      <w:spacing w:val="-20"/>
                      <w:sz w:val="18"/>
                      <w:szCs w:val="18"/>
                    </w:rPr>
                    <w:t>形态</w:t>
                  </w:r>
                </w:p>
              </w:tc>
              <w:tc>
                <w:tcPr>
                  <w:tcW w:w="537" w:type="pct"/>
                  <w:vMerge w:val="restart"/>
                  <w:tcBorders>
                    <w:tl2br w:val="nil"/>
                    <w:tr2bl w:val="nil"/>
                  </w:tcBorders>
                  <w:noWrap w:val="0"/>
                  <w:vAlign w:val="center"/>
                </w:tcPr>
                <w:p w14:paraId="77CE866F">
                  <w:pPr>
                    <w:spacing w:line="0" w:lineRule="atLeast"/>
                    <w:jc w:val="center"/>
                    <w:rPr>
                      <w:rFonts w:ascii="Times New Roman" w:hAnsi="Times New Roman" w:eastAsia="宋体" w:cs="Times New Roman"/>
                      <w:color w:val="auto"/>
                      <w:spacing w:val="-20"/>
                      <w:sz w:val="18"/>
                      <w:szCs w:val="18"/>
                    </w:rPr>
                  </w:pPr>
                  <w:r>
                    <w:rPr>
                      <w:rFonts w:ascii="Times New Roman" w:hAnsi="Times New Roman" w:eastAsia="宋体" w:cs="Times New Roman"/>
                      <w:color w:val="auto"/>
                      <w:spacing w:val="-20"/>
                      <w:sz w:val="18"/>
                      <w:szCs w:val="18"/>
                    </w:rPr>
                    <w:t>有害成分</w:t>
                  </w:r>
                </w:p>
              </w:tc>
              <w:tc>
                <w:tcPr>
                  <w:tcW w:w="357" w:type="pct"/>
                  <w:vMerge w:val="restart"/>
                  <w:tcBorders>
                    <w:tl2br w:val="nil"/>
                    <w:tr2bl w:val="nil"/>
                  </w:tcBorders>
                  <w:noWrap w:val="0"/>
                  <w:vAlign w:val="center"/>
                </w:tcPr>
                <w:p w14:paraId="35CB0287">
                  <w:pPr>
                    <w:spacing w:line="0" w:lineRule="atLeast"/>
                    <w:jc w:val="center"/>
                    <w:rPr>
                      <w:rFonts w:ascii="Times New Roman" w:hAnsi="Times New Roman" w:eastAsia="宋体" w:cs="Times New Roman"/>
                      <w:color w:val="auto"/>
                      <w:spacing w:val="-20"/>
                      <w:sz w:val="18"/>
                      <w:szCs w:val="18"/>
                    </w:rPr>
                  </w:pPr>
                  <w:r>
                    <w:rPr>
                      <w:rFonts w:ascii="Times New Roman" w:hAnsi="Times New Roman" w:eastAsia="宋体" w:cs="Times New Roman"/>
                      <w:color w:val="auto"/>
                      <w:spacing w:val="-20"/>
                      <w:sz w:val="18"/>
                      <w:szCs w:val="18"/>
                    </w:rPr>
                    <w:t>危险</w:t>
                  </w:r>
                </w:p>
                <w:p w14:paraId="2264E357">
                  <w:pPr>
                    <w:spacing w:line="0" w:lineRule="atLeast"/>
                    <w:jc w:val="center"/>
                    <w:rPr>
                      <w:rFonts w:ascii="Times New Roman" w:hAnsi="Times New Roman" w:eastAsia="宋体" w:cs="Times New Roman"/>
                      <w:color w:val="auto"/>
                      <w:spacing w:val="-20"/>
                      <w:sz w:val="18"/>
                      <w:szCs w:val="18"/>
                    </w:rPr>
                  </w:pPr>
                  <w:r>
                    <w:rPr>
                      <w:rFonts w:ascii="Times New Roman" w:hAnsi="Times New Roman" w:eastAsia="宋体" w:cs="Times New Roman"/>
                      <w:color w:val="auto"/>
                      <w:spacing w:val="-20"/>
                      <w:sz w:val="18"/>
                      <w:szCs w:val="18"/>
                    </w:rPr>
                    <w:t>特性</w:t>
                  </w:r>
                </w:p>
              </w:tc>
              <w:tc>
                <w:tcPr>
                  <w:tcW w:w="960" w:type="pct"/>
                  <w:vMerge w:val="restart"/>
                  <w:tcBorders>
                    <w:tl2br w:val="nil"/>
                    <w:tr2bl w:val="nil"/>
                  </w:tcBorders>
                  <w:noWrap w:val="0"/>
                  <w:vAlign w:val="center"/>
                </w:tcPr>
                <w:p w14:paraId="4932EEE7">
                  <w:pPr>
                    <w:spacing w:line="0" w:lineRule="atLeast"/>
                    <w:jc w:val="center"/>
                    <w:rPr>
                      <w:rFonts w:ascii="Times New Roman" w:hAnsi="Times New Roman" w:eastAsia="宋体" w:cs="Times New Roman"/>
                      <w:color w:val="auto"/>
                      <w:spacing w:val="-20"/>
                      <w:sz w:val="18"/>
                      <w:szCs w:val="18"/>
                    </w:rPr>
                  </w:pPr>
                  <w:r>
                    <w:rPr>
                      <w:rFonts w:ascii="Times New Roman" w:hAnsi="Times New Roman" w:eastAsia="宋体" w:cs="Times New Roman"/>
                      <w:color w:val="auto"/>
                      <w:spacing w:val="-20"/>
                      <w:sz w:val="18"/>
                      <w:szCs w:val="18"/>
                    </w:rPr>
                    <w:t>污染防治措施</w:t>
                  </w:r>
                </w:p>
              </w:tc>
            </w:tr>
            <w:tr w14:paraId="7BECF56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04" w:hRule="atLeast"/>
                <w:jc w:val="center"/>
              </w:trPr>
              <w:tc>
                <w:tcPr>
                  <w:tcW w:w="161" w:type="pct"/>
                  <w:tcBorders>
                    <w:tl2br w:val="nil"/>
                    <w:tr2bl w:val="nil"/>
                  </w:tcBorders>
                  <w:noWrap w:val="0"/>
                  <w:vAlign w:val="center"/>
                </w:tcPr>
                <w:p w14:paraId="60C72136">
                  <w:pPr>
                    <w:spacing w:line="0" w:lineRule="atLeast"/>
                    <w:jc w:val="center"/>
                    <w:rPr>
                      <w:rFonts w:ascii="Times New Roman" w:hAnsi="Times New Roman" w:eastAsia="宋体" w:cs="Times New Roman"/>
                      <w:color w:val="auto"/>
                      <w:spacing w:val="-20"/>
                      <w:sz w:val="18"/>
                      <w:szCs w:val="18"/>
                    </w:rPr>
                  </w:pPr>
                  <w:r>
                    <w:rPr>
                      <w:rFonts w:ascii="Times New Roman" w:hAnsi="Times New Roman" w:eastAsia="宋体" w:cs="Times New Roman"/>
                      <w:color w:val="auto"/>
                      <w:spacing w:val="-20"/>
                      <w:sz w:val="18"/>
                      <w:szCs w:val="18"/>
                    </w:rPr>
                    <w:t>1</w:t>
                  </w:r>
                </w:p>
              </w:tc>
              <w:tc>
                <w:tcPr>
                  <w:tcW w:w="560" w:type="pct"/>
                  <w:tcBorders>
                    <w:tl2br w:val="nil"/>
                    <w:tr2bl w:val="nil"/>
                  </w:tcBorders>
                  <w:noWrap w:val="0"/>
                  <w:vAlign w:val="center"/>
                </w:tcPr>
                <w:p w14:paraId="4EC4D8CF">
                  <w:pPr>
                    <w:spacing w:line="0" w:lineRule="atLeast"/>
                    <w:jc w:val="center"/>
                    <w:rPr>
                      <w:rFonts w:hint="eastAsia" w:ascii="Times New Roman" w:hAnsi="Times New Roman" w:eastAsia="宋体" w:cs="Times New Roman"/>
                      <w:color w:val="auto"/>
                      <w:spacing w:val="-20"/>
                      <w:sz w:val="18"/>
                      <w:szCs w:val="18"/>
                      <w:lang w:val="en-US" w:eastAsia="zh-CN"/>
                    </w:rPr>
                  </w:pPr>
                  <w:r>
                    <w:rPr>
                      <w:rFonts w:hint="eastAsia" w:ascii="Times New Roman" w:hAnsi="Times New Roman" w:eastAsia="宋体" w:cs="Times New Roman"/>
                      <w:color w:val="auto"/>
                      <w:spacing w:val="-20"/>
                      <w:sz w:val="18"/>
                      <w:szCs w:val="18"/>
                      <w:lang w:val="en-US" w:eastAsia="zh-CN"/>
                    </w:rPr>
                    <w:t>废润滑油</w:t>
                  </w:r>
                </w:p>
              </w:tc>
              <w:tc>
                <w:tcPr>
                  <w:tcW w:w="447" w:type="pct"/>
                  <w:tcBorders>
                    <w:tl2br w:val="nil"/>
                    <w:tr2bl w:val="nil"/>
                  </w:tcBorders>
                  <w:noWrap w:val="0"/>
                  <w:vAlign w:val="center"/>
                </w:tcPr>
                <w:p w14:paraId="1C2D6006">
                  <w:pPr>
                    <w:spacing w:line="0" w:lineRule="atLeast"/>
                    <w:jc w:val="center"/>
                    <w:rPr>
                      <w:rFonts w:ascii="Times New Roman" w:hAnsi="Times New Roman" w:eastAsia="宋体" w:cs="Times New Roman"/>
                      <w:color w:val="auto"/>
                      <w:spacing w:val="-20"/>
                      <w:sz w:val="18"/>
                      <w:szCs w:val="18"/>
                    </w:rPr>
                  </w:pPr>
                  <w:r>
                    <w:rPr>
                      <w:rFonts w:ascii="Times New Roman" w:hAnsi="Times New Roman" w:eastAsia="宋体" w:cs="Times New Roman"/>
                      <w:color w:val="auto"/>
                      <w:spacing w:val="-20"/>
                      <w:sz w:val="18"/>
                      <w:szCs w:val="18"/>
                    </w:rPr>
                    <w:t>HW08</w:t>
                  </w:r>
                </w:p>
              </w:tc>
              <w:tc>
                <w:tcPr>
                  <w:tcW w:w="586" w:type="pct"/>
                  <w:tcBorders>
                    <w:tl2br w:val="nil"/>
                    <w:tr2bl w:val="nil"/>
                  </w:tcBorders>
                  <w:noWrap w:val="0"/>
                  <w:vAlign w:val="center"/>
                </w:tcPr>
                <w:p w14:paraId="3FB70D97">
                  <w:pPr>
                    <w:spacing w:line="0" w:lineRule="atLeast"/>
                    <w:jc w:val="center"/>
                    <w:rPr>
                      <w:rFonts w:ascii="Times New Roman" w:hAnsi="Times New Roman" w:eastAsia="宋体" w:cs="Times New Roman"/>
                      <w:color w:val="auto"/>
                      <w:spacing w:val="-20"/>
                      <w:sz w:val="18"/>
                      <w:szCs w:val="18"/>
                      <w:highlight w:val="none"/>
                    </w:rPr>
                  </w:pPr>
                  <w:r>
                    <w:rPr>
                      <w:rFonts w:ascii="Times New Roman" w:hAnsi="Times New Roman" w:eastAsia="宋体" w:cs="Times New Roman"/>
                      <w:color w:val="auto"/>
                      <w:spacing w:val="-20"/>
                      <w:sz w:val="18"/>
                      <w:szCs w:val="18"/>
                      <w:highlight w:val="none"/>
                    </w:rPr>
                    <w:t>900-21</w:t>
                  </w:r>
                  <w:r>
                    <w:rPr>
                      <w:rFonts w:hint="eastAsia" w:cs="Times New Roman"/>
                      <w:color w:val="auto"/>
                      <w:spacing w:val="-20"/>
                      <w:sz w:val="18"/>
                      <w:szCs w:val="18"/>
                      <w:highlight w:val="none"/>
                      <w:lang w:val="en-US" w:eastAsia="zh-CN"/>
                    </w:rPr>
                    <w:t>4</w:t>
                  </w:r>
                  <w:r>
                    <w:rPr>
                      <w:rFonts w:ascii="Times New Roman" w:hAnsi="Times New Roman" w:eastAsia="宋体" w:cs="Times New Roman"/>
                      <w:color w:val="auto"/>
                      <w:spacing w:val="-20"/>
                      <w:sz w:val="18"/>
                      <w:szCs w:val="18"/>
                      <w:highlight w:val="none"/>
                    </w:rPr>
                    <w:t>-08</w:t>
                  </w:r>
                </w:p>
              </w:tc>
              <w:tc>
                <w:tcPr>
                  <w:tcW w:w="406" w:type="pct"/>
                  <w:tcBorders>
                    <w:tl2br w:val="nil"/>
                    <w:tr2bl w:val="nil"/>
                  </w:tcBorders>
                  <w:noWrap w:val="0"/>
                  <w:vAlign w:val="center"/>
                </w:tcPr>
                <w:p w14:paraId="22C39006">
                  <w:pPr>
                    <w:spacing w:line="0" w:lineRule="atLeast"/>
                    <w:jc w:val="center"/>
                    <w:rPr>
                      <w:rFonts w:hint="default" w:ascii="Times New Roman" w:hAnsi="Times New Roman" w:eastAsia="宋体" w:cs="Times New Roman"/>
                      <w:color w:val="auto"/>
                      <w:spacing w:val="-20"/>
                      <w:kern w:val="2"/>
                      <w:sz w:val="18"/>
                      <w:szCs w:val="18"/>
                      <w:highlight w:val="none"/>
                      <w:lang w:val="en-US" w:eastAsia="zh-CN" w:bidi="ar-SA"/>
                    </w:rPr>
                  </w:pPr>
                  <w:r>
                    <w:rPr>
                      <w:rFonts w:hint="eastAsia" w:cs="Times New Roman"/>
                      <w:color w:val="auto"/>
                      <w:spacing w:val="-20"/>
                      <w:kern w:val="2"/>
                      <w:sz w:val="18"/>
                      <w:szCs w:val="18"/>
                      <w:highlight w:val="none"/>
                      <w:lang w:val="en-US" w:eastAsia="zh-CN" w:bidi="ar-SA"/>
                    </w:rPr>
                    <w:t>0.08</w:t>
                  </w:r>
                </w:p>
              </w:tc>
              <w:tc>
                <w:tcPr>
                  <w:tcW w:w="536" w:type="pct"/>
                  <w:vMerge w:val="restart"/>
                  <w:tcBorders>
                    <w:tl2br w:val="nil"/>
                    <w:tr2bl w:val="nil"/>
                  </w:tcBorders>
                  <w:noWrap w:val="0"/>
                  <w:vAlign w:val="center"/>
                </w:tcPr>
                <w:p w14:paraId="604B9D9E">
                  <w:pPr>
                    <w:spacing w:line="0" w:lineRule="atLeast"/>
                    <w:jc w:val="center"/>
                    <w:rPr>
                      <w:rFonts w:ascii="Times New Roman" w:hAnsi="Times New Roman" w:eastAsia="宋体" w:cs="Times New Roman"/>
                      <w:color w:val="auto"/>
                      <w:spacing w:val="-20"/>
                      <w:sz w:val="18"/>
                      <w:szCs w:val="18"/>
                    </w:rPr>
                  </w:pPr>
                  <w:r>
                    <w:rPr>
                      <w:rFonts w:hint="eastAsia" w:ascii="Times New Roman" w:hAnsi="Times New Roman" w:eastAsia="宋体" w:cs="Times New Roman"/>
                      <w:color w:val="auto"/>
                      <w:spacing w:val="-10"/>
                      <w:sz w:val="18"/>
                      <w:szCs w:val="18"/>
                      <w:highlight w:val="none"/>
                      <w:lang w:val="en-US" w:eastAsia="zh-CN"/>
                    </w:rPr>
                    <w:t>机械设备维修保养</w:t>
                  </w:r>
                </w:p>
              </w:tc>
              <w:tc>
                <w:tcPr>
                  <w:tcW w:w="447" w:type="pct"/>
                  <w:tcBorders>
                    <w:tl2br w:val="nil"/>
                    <w:tr2bl w:val="nil"/>
                  </w:tcBorders>
                  <w:noWrap w:val="0"/>
                  <w:vAlign w:val="center"/>
                </w:tcPr>
                <w:p w14:paraId="3B61DAC8">
                  <w:pPr>
                    <w:spacing w:line="0" w:lineRule="atLeast"/>
                    <w:jc w:val="center"/>
                    <w:rPr>
                      <w:rFonts w:ascii="Times New Roman" w:hAnsi="Times New Roman" w:eastAsia="宋体" w:cs="Times New Roman"/>
                      <w:color w:val="auto"/>
                      <w:spacing w:val="-20"/>
                      <w:sz w:val="18"/>
                      <w:szCs w:val="18"/>
                    </w:rPr>
                  </w:pPr>
                  <w:r>
                    <w:rPr>
                      <w:rFonts w:ascii="Times New Roman" w:hAnsi="Times New Roman" w:eastAsia="宋体" w:cs="Times New Roman"/>
                      <w:color w:val="auto"/>
                      <w:spacing w:val="-20"/>
                      <w:sz w:val="18"/>
                      <w:szCs w:val="18"/>
                    </w:rPr>
                    <w:t>液态</w:t>
                  </w:r>
                </w:p>
              </w:tc>
              <w:tc>
                <w:tcPr>
                  <w:tcW w:w="537" w:type="pct"/>
                  <w:vMerge w:val="restart"/>
                  <w:tcBorders>
                    <w:tl2br w:val="nil"/>
                    <w:tr2bl w:val="nil"/>
                  </w:tcBorders>
                  <w:noWrap w:val="0"/>
                  <w:vAlign w:val="center"/>
                </w:tcPr>
                <w:p w14:paraId="60D2EF49">
                  <w:pPr>
                    <w:spacing w:line="0" w:lineRule="atLeast"/>
                    <w:jc w:val="center"/>
                    <w:rPr>
                      <w:rFonts w:ascii="Times New Roman" w:hAnsi="Times New Roman" w:eastAsia="宋体" w:cs="Times New Roman"/>
                      <w:color w:val="auto"/>
                      <w:spacing w:val="-20"/>
                      <w:sz w:val="18"/>
                      <w:szCs w:val="18"/>
                    </w:rPr>
                  </w:pPr>
                  <w:r>
                    <w:rPr>
                      <w:rFonts w:ascii="Times New Roman" w:hAnsi="Times New Roman" w:eastAsia="宋体" w:cs="Times New Roman"/>
                      <w:color w:val="auto"/>
                      <w:spacing w:val="-20"/>
                      <w:sz w:val="18"/>
                      <w:szCs w:val="18"/>
                    </w:rPr>
                    <w:t>苯系物、多环芳烃</w:t>
                  </w:r>
                </w:p>
              </w:tc>
              <w:tc>
                <w:tcPr>
                  <w:tcW w:w="357" w:type="pct"/>
                  <w:vMerge w:val="restart"/>
                  <w:tcBorders>
                    <w:tl2br w:val="nil"/>
                    <w:tr2bl w:val="nil"/>
                  </w:tcBorders>
                  <w:noWrap w:val="0"/>
                  <w:vAlign w:val="center"/>
                </w:tcPr>
                <w:p w14:paraId="7C7310A3">
                  <w:pPr>
                    <w:spacing w:line="0" w:lineRule="atLeast"/>
                    <w:jc w:val="center"/>
                    <w:rPr>
                      <w:rFonts w:ascii="Times New Roman" w:hAnsi="Times New Roman" w:eastAsia="宋体" w:cs="Times New Roman"/>
                      <w:color w:val="auto"/>
                      <w:spacing w:val="-20"/>
                      <w:sz w:val="18"/>
                      <w:szCs w:val="18"/>
                    </w:rPr>
                  </w:pPr>
                  <w:r>
                    <w:rPr>
                      <w:rFonts w:ascii="Times New Roman" w:hAnsi="Times New Roman" w:eastAsia="宋体" w:cs="Times New Roman"/>
                      <w:color w:val="auto"/>
                      <w:spacing w:val="-20"/>
                      <w:sz w:val="18"/>
                      <w:szCs w:val="18"/>
                    </w:rPr>
                    <w:t>T、I</w:t>
                  </w:r>
                </w:p>
              </w:tc>
              <w:tc>
                <w:tcPr>
                  <w:tcW w:w="960" w:type="pct"/>
                  <w:vMerge w:val="restart"/>
                  <w:tcBorders>
                    <w:tl2br w:val="nil"/>
                    <w:tr2bl w:val="nil"/>
                  </w:tcBorders>
                  <w:noWrap w:val="0"/>
                  <w:vAlign w:val="center"/>
                </w:tcPr>
                <w:p w14:paraId="78203BA9">
                  <w:pPr>
                    <w:spacing w:line="0" w:lineRule="atLeast"/>
                    <w:jc w:val="center"/>
                    <w:rPr>
                      <w:rFonts w:hint="default" w:ascii="Times New Roman" w:hAnsi="Times New Roman" w:eastAsia="宋体" w:cs="Times New Roman"/>
                      <w:color w:val="auto"/>
                      <w:spacing w:val="-20"/>
                      <w:sz w:val="18"/>
                      <w:szCs w:val="18"/>
                      <w:lang w:val="en-US" w:eastAsia="zh-CN"/>
                    </w:rPr>
                  </w:pPr>
                  <w:r>
                    <w:rPr>
                      <w:rFonts w:hint="eastAsia"/>
                      <w:color w:val="auto"/>
                      <w:spacing w:val="-20"/>
                      <w:sz w:val="18"/>
                      <w:szCs w:val="18"/>
                      <w:lang w:val="en-US" w:eastAsia="zh-CN"/>
                    </w:rPr>
                    <w:t>分区</w:t>
                  </w:r>
                  <w:r>
                    <w:rPr>
                      <w:rFonts w:hint="eastAsia"/>
                      <w:color w:val="auto"/>
                      <w:spacing w:val="-20"/>
                      <w:sz w:val="18"/>
                      <w:szCs w:val="18"/>
                    </w:rPr>
                    <w:t>暂存于危险废物暂存间，送有资质单位进行处理</w:t>
                  </w:r>
                </w:p>
              </w:tc>
            </w:tr>
            <w:tr w14:paraId="7519C34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04" w:hRule="atLeast"/>
                <w:jc w:val="center"/>
              </w:trPr>
              <w:tc>
                <w:tcPr>
                  <w:tcW w:w="161" w:type="pct"/>
                  <w:tcBorders>
                    <w:tl2br w:val="nil"/>
                    <w:tr2bl w:val="nil"/>
                  </w:tcBorders>
                  <w:noWrap w:val="0"/>
                  <w:vAlign w:val="center"/>
                </w:tcPr>
                <w:p w14:paraId="1F923A5F">
                  <w:pPr>
                    <w:spacing w:line="0" w:lineRule="atLeast"/>
                    <w:jc w:val="center"/>
                    <w:rPr>
                      <w:rFonts w:hint="eastAsia" w:ascii="Times New Roman" w:hAnsi="Times New Roman" w:eastAsia="宋体" w:cs="Times New Roman"/>
                      <w:color w:val="auto"/>
                      <w:spacing w:val="-20"/>
                      <w:sz w:val="18"/>
                      <w:szCs w:val="18"/>
                      <w:lang w:val="en-US" w:eastAsia="zh-CN"/>
                    </w:rPr>
                  </w:pPr>
                  <w:r>
                    <w:rPr>
                      <w:rFonts w:hint="eastAsia" w:cs="Times New Roman"/>
                      <w:color w:val="auto"/>
                      <w:spacing w:val="-20"/>
                      <w:sz w:val="18"/>
                      <w:szCs w:val="18"/>
                      <w:lang w:val="en-US" w:eastAsia="zh-CN"/>
                    </w:rPr>
                    <w:t>2</w:t>
                  </w:r>
                </w:p>
              </w:tc>
              <w:tc>
                <w:tcPr>
                  <w:tcW w:w="560" w:type="pct"/>
                  <w:tcBorders>
                    <w:tl2br w:val="nil"/>
                    <w:tr2bl w:val="nil"/>
                  </w:tcBorders>
                  <w:noWrap w:val="0"/>
                  <w:vAlign w:val="center"/>
                </w:tcPr>
                <w:p w14:paraId="03DAEAAA">
                  <w:pPr>
                    <w:spacing w:line="0" w:lineRule="atLeast"/>
                    <w:jc w:val="center"/>
                    <w:rPr>
                      <w:rFonts w:hint="default" w:ascii="Times New Roman" w:hAnsi="Times New Roman" w:eastAsia="宋体" w:cs="Times New Roman"/>
                      <w:color w:val="auto"/>
                      <w:spacing w:val="-20"/>
                      <w:sz w:val="18"/>
                      <w:szCs w:val="18"/>
                      <w:lang w:val="en-US" w:eastAsia="zh-CN"/>
                    </w:rPr>
                  </w:pPr>
                  <w:r>
                    <w:rPr>
                      <w:rFonts w:hint="eastAsia" w:cs="Times New Roman"/>
                      <w:color w:val="auto"/>
                      <w:spacing w:val="-20"/>
                      <w:sz w:val="18"/>
                      <w:szCs w:val="18"/>
                      <w:lang w:val="en-US" w:eastAsia="zh-CN"/>
                    </w:rPr>
                    <w:t>废液压油</w:t>
                  </w:r>
                </w:p>
              </w:tc>
              <w:tc>
                <w:tcPr>
                  <w:tcW w:w="447" w:type="pct"/>
                  <w:tcBorders>
                    <w:tl2br w:val="nil"/>
                    <w:tr2bl w:val="nil"/>
                  </w:tcBorders>
                  <w:noWrap w:val="0"/>
                  <w:vAlign w:val="center"/>
                </w:tcPr>
                <w:p w14:paraId="7943DB9B">
                  <w:pPr>
                    <w:spacing w:line="0" w:lineRule="atLeast"/>
                    <w:jc w:val="center"/>
                    <w:rPr>
                      <w:rFonts w:hint="default" w:ascii="Times New Roman" w:hAnsi="Times New Roman" w:eastAsia="宋体" w:cs="Times New Roman"/>
                      <w:color w:val="auto"/>
                      <w:spacing w:val="-20"/>
                      <w:sz w:val="18"/>
                      <w:szCs w:val="18"/>
                      <w:lang w:val="en-US"/>
                    </w:rPr>
                  </w:pPr>
                  <w:r>
                    <w:rPr>
                      <w:rFonts w:ascii="Times New Roman" w:hAnsi="Times New Roman" w:eastAsia="宋体" w:cs="Times New Roman"/>
                      <w:color w:val="auto"/>
                      <w:spacing w:val="-20"/>
                      <w:sz w:val="18"/>
                      <w:szCs w:val="18"/>
                    </w:rPr>
                    <w:t>HW08</w:t>
                  </w:r>
                </w:p>
              </w:tc>
              <w:tc>
                <w:tcPr>
                  <w:tcW w:w="586" w:type="pct"/>
                  <w:tcBorders>
                    <w:tl2br w:val="nil"/>
                    <w:tr2bl w:val="nil"/>
                  </w:tcBorders>
                  <w:noWrap w:val="0"/>
                  <w:vAlign w:val="center"/>
                </w:tcPr>
                <w:p w14:paraId="197119FF">
                  <w:pPr>
                    <w:spacing w:line="0" w:lineRule="atLeast"/>
                    <w:jc w:val="center"/>
                    <w:rPr>
                      <w:rFonts w:ascii="Times New Roman" w:hAnsi="Times New Roman" w:eastAsia="宋体" w:cs="Times New Roman"/>
                      <w:color w:val="auto"/>
                      <w:spacing w:val="-20"/>
                      <w:sz w:val="18"/>
                      <w:szCs w:val="18"/>
                      <w:highlight w:val="none"/>
                    </w:rPr>
                  </w:pPr>
                  <w:r>
                    <w:rPr>
                      <w:rFonts w:ascii="Times New Roman" w:hAnsi="Times New Roman" w:eastAsia="宋体" w:cs="Times New Roman"/>
                      <w:color w:val="auto"/>
                      <w:spacing w:val="-20"/>
                      <w:sz w:val="18"/>
                      <w:szCs w:val="18"/>
                      <w:highlight w:val="none"/>
                    </w:rPr>
                    <w:t>900-21</w:t>
                  </w:r>
                  <w:r>
                    <w:rPr>
                      <w:rFonts w:hint="eastAsia" w:ascii="Times New Roman" w:hAnsi="Times New Roman" w:eastAsia="宋体" w:cs="Times New Roman"/>
                      <w:color w:val="auto"/>
                      <w:spacing w:val="-20"/>
                      <w:sz w:val="18"/>
                      <w:szCs w:val="18"/>
                      <w:highlight w:val="none"/>
                      <w:lang w:val="en-US" w:eastAsia="zh-CN"/>
                    </w:rPr>
                    <w:t>8</w:t>
                  </w:r>
                  <w:r>
                    <w:rPr>
                      <w:rFonts w:ascii="Times New Roman" w:hAnsi="Times New Roman" w:eastAsia="宋体" w:cs="Times New Roman"/>
                      <w:color w:val="auto"/>
                      <w:spacing w:val="-20"/>
                      <w:sz w:val="18"/>
                      <w:szCs w:val="18"/>
                      <w:highlight w:val="none"/>
                    </w:rPr>
                    <w:t>-08</w:t>
                  </w:r>
                </w:p>
              </w:tc>
              <w:tc>
                <w:tcPr>
                  <w:tcW w:w="406" w:type="pct"/>
                  <w:tcBorders>
                    <w:tl2br w:val="nil"/>
                    <w:tr2bl w:val="nil"/>
                  </w:tcBorders>
                  <w:noWrap w:val="0"/>
                  <w:vAlign w:val="center"/>
                </w:tcPr>
                <w:p w14:paraId="2673A377">
                  <w:pPr>
                    <w:spacing w:line="0" w:lineRule="atLeast"/>
                    <w:jc w:val="center"/>
                    <w:rPr>
                      <w:rFonts w:hint="default" w:ascii="Times New Roman" w:hAnsi="Times New Roman" w:eastAsia="宋体" w:cs="Times New Roman"/>
                      <w:color w:val="auto"/>
                      <w:spacing w:val="-20"/>
                      <w:kern w:val="2"/>
                      <w:sz w:val="18"/>
                      <w:szCs w:val="18"/>
                      <w:highlight w:val="none"/>
                      <w:lang w:val="en-US" w:eastAsia="zh-CN" w:bidi="ar-SA"/>
                    </w:rPr>
                  </w:pPr>
                  <w:r>
                    <w:rPr>
                      <w:rFonts w:hint="eastAsia" w:cs="Times New Roman"/>
                      <w:color w:val="auto"/>
                      <w:spacing w:val="-20"/>
                      <w:kern w:val="2"/>
                      <w:sz w:val="18"/>
                      <w:szCs w:val="18"/>
                      <w:highlight w:val="none"/>
                      <w:lang w:val="en-US" w:eastAsia="zh-CN" w:bidi="ar-SA"/>
                    </w:rPr>
                    <w:t>0.12</w:t>
                  </w:r>
                </w:p>
              </w:tc>
              <w:tc>
                <w:tcPr>
                  <w:tcW w:w="536" w:type="pct"/>
                  <w:vMerge w:val="continue"/>
                  <w:tcBorders>
                    <w:tl2br w:val="nil"/>
                    <w:tr2bl w:val="nil"/>
                  </w:tcBorders>
                  <w:noWrap w:val="0"/>
                  <w:vAlign w:val="center"/>
                </w:tcPr>
                <w:p w14:paraId="2C4218CB">
                  <w:pPr>
                    <w:spacing w:line="0" w:lineRule="atLeast"/>
                    <w:jc w:val="center"/>
                    <w:rPr>
                      <w:rFonts w:ascii="Times New Roman" w:hAnsi="Times New Roman" w:eastAsia="宋体" w:cs="Times New Roman"/>
                      <w:color w:val="auto"/>
                      <w:spacing w:val="-20"/>
                      <w:sz w:val="18"/>
                      <w:szCs w:val="18"/>
                    </w:rPr>
                  </w:pPr>
                </w:p>
              </w:tc>
              <w:tc>
                <w:tcPr>
                  <w:tcW w:w="447" w:type="pct"/>
                  <w:tcBorders>
                    <w:tl2br w:val="nil"/>
                    <w:tr2bl w:val="nil"/>
                  </w:tcBorders>
                  <w:noWrap w:val="0"/>
                  <w:vAlign w:val="center"/>
                </w:tcPr>
                <w:p w14:paraId="105B55C2">
                  <w:pPr>
                    <w:spacing w:line="0" w:lineRule="atLeast"/>
                    <w:jc w:val="center"/>
                    <w:rPr>
                      <w:rFonts w:ascii="Times New Roman" w:hAnsi="Times New Roman" w:eastAsia="宋体" w:cs="Times New Roman"/>
                      <w:color w:val="auto"/>
                      <w:spacing w:val="-20"/>
                      <w:sz w:val="18"/>
                      <w:szCs w:val="18"/>
                    </w:rPr>
                  </w:pPr>
                  <w:r>
                    <w:rPr>
                      <w:rFonts w:ascii="Times New Roman" w:hAnsi="Times New Roman" w:eastAsia="宋体" w:cs="Times New Roman"/>
                      <w:color w:val="auto"/>
                      <w:spacing w:val="-20"/>
                      <w:sz w:val="18"/>
                      <w:szCs w:val="18"/>
                    </w:rPr>
                    <w:t>液态</w:t>
                  </w:r>
                </w:p>
              </w:tc>
              <w:tc>
                <w:tcPr>
                  <w:tcW w:w="537" w:type="pct"/>
                  <w:vMerge w:val="continue"/>
                  <w:tcBorders>
                    <w:tl2br w:val="nil"/>
                    <w:tr2bl w:val="nil"/>
                  </w:tcBorders>
                  <w:noWrap w:val="0"/>
                  <w:vAlign w:val="center"/>
                </w:tcPr>
                <w:p w14:paraId="540C46F2">
                  <w:pPr>
                    <w:spacing w:line="0" w:lineRule="atLeast"/>
                    <w:jc w:val="center"/>
                    <w:rPr>
                      <w:rFonts w:ascii="Times New Roman" w:hAnsi="Times New Roman" w:eastAsia="宋体" w:cs="Times New Roman"/>
                      <w:color w:val="auto"/>
                      <w:spacing w:val="-20"/>
                      <w:sz w:val="18"/>
                      <w:szCs w:val="18"/>
                    </w:rPr>
                  </w:pPr>
                </w:p>
              </w:tc>
              <w:tc>
                <w:tcPr>
                  <w:tcW w:w="357" w:type="pct"/>
                  <w:vMerge w:val="continue"/>
                  <w:tcBorders>
                    <w:tl2br w:val="nil"/>
                    <w:tr2bl w:val="nil"/>
                  </w:tcBorders>
                  <w:noWrap w:val="0"/>
                  <w:vAlign w:val="center"/>
                </w:tcPr>
                <w:p w14:paraId="10943A9B">
                  <w:pPr>
                    <w:spacing w:line="0" w:lineRule="atLeast"/>
                    <w:jc w:val="center"/>
                    <w:rPr>
                      <w:rFonts w:ascii="Times New Roman" w:hAnsi="Times New Roman" w:eastAsia="宋体" w:cs="Times New Roman"/>
                      <w:color w:val="auto"/>
                      <w:spacing w:val="-20"/>
                      <w:sz w:val="18"/>
                      <w:szCs w:val="18"/>
                    </w:rPr>
                  </w:pPr>
                </w:p>
              </w:tc>
              <w:tc>
                <w:tcPr>
                  <w:tcW w:w="960" w:type="pct"/>
                  <w:vMerge w:val="continue"/>
                  <w:tcBorders>
                    <w:tl2br w:val="nil"/>
                    <w:tr2bl w:val="nil"/>
                  </w:tcBorders>
                  <w:noWrap w:val="0"/>
                  <w:vAlign w:val="center"/>
                </w:tcPr>
                <w:p w14:paraId="32FDED00">
                  <w:pPr>
                    <w:spacing w:line="0" w:lineRule="atLeast"/>
                    <w:jc w:val="center"/>
                    <w:rPr>
                      <w:rFonts w:hint="eastAsia" w:ascii="Times New Roman" w:hAnsi="Times New Roman" w:eastAsia="宋体" w:cs="Times New Roman"/>
                      <w:color w:val="auto"/>
                      <w:spacing w:val="-20"/>
                      <w:sz w:val="18"/>
                      <w:szCs w:val="18"/>
                      <w:lang w:val="en-US" w:eastAsia="zh-CN"/>
                    </w:rPr>
                  </w:pPr>
                </w:p>
              </w:tc>
            </w:tr>
            <w:tr w14:paraId="42180E5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192" w:hRule="atLeast"/>
                <w:jc w:val="center"/>
              </w:trPr>
              <w:tc>
                <w:tcPr>
                  <w:tcW w:w="161" w:type="pct"/>
                  <w:tcBorders>
                    <w:tl2br w:val="nil"/>
                    <w:tr2bl w:val="nil"/>
                  </w:tcBorders>
                  <w:noWrap w:val="0"/>
                  <w:vAlign w:val="center"/>
                </w:tcPr>
                <w:p w14:paraId="45D8EA22">
                  <w:pPr>
                    <w:spacing w:line="0" w:lineRule="atLeast"/>
                    <w:jc w:val="center"/>
                    <w:rPr>
                      <w:rFonts w:hint="eastAsia" w:ascii="Times New Roman" w:hAnsi="Times New Roman" w:eastAsia="宋体" w:cs="Times New Roman"/>
                      <w:color w:val="auto"/>
                      <w:spacing w:val="-20"/>
                      <w:sz w:val="18"/>
                      <w:szCs w:val="18"/>
                      <w:lang w:eastAsia="zh-CN"/>
                    </w:rPr>
                  </w:pPr>
                  <w:r>
                    <w:rPr>
                      <w:rFonts w:hint="eastAsia" w:cs="Times New Roman"/>
                      <w:color w:val="auto"/>
                      <w:spacing w:val="-20"/>
                      <w:sz w:val="18"/>
                      <w:szCs w:val="18"/>
                      <w:lang w:val="en-US" w:eastAsia="zh-CN"/>
                    </w:rPr>
                    <w:t>3</w:t>
                  </w:r>
                </w:p>
              </w:tc>
              <w:tc>
                <w:tcPr>
                  <w:tcW w:w="560" w:type="pct"/>
                  <w:tcBorders>
                    <w:tl2br w:val="nil"/>
                    <w:tr2bl w:val="nil"/>
                  </w:tcBorders>
                  <w:shd w:val="clear" w:color="auto" w:fill="auto"/>
                  <w:noWrap w:val="0"/>
                  <w:vAlign w:val="center"/>
                </w:tcPr>
                <w:p w14:paraId="1A185B0F">
                  <w:pPr>
                    <w:spacing w:line="0" w:lineRule="atLeast"/>
                    <w:jc w:val="center"/>
                    <w:rPr>
                      <w:rFonts w:hint="eastAsia" w:ascii="Times New Roman" w:hAnsi="Times New Roman" w:eastAsia="宋体" w:cs="Times New Roman"/>
                      <w:color w:val="auto"/>
                      <w:spacing w:val="-20"/>
                      <w:kern w:val="2"/>
                      <w:sz w:val="18"/>
                      <w:szCs w:val="18"/>
                      <w:lang w:val="en-US" w:eastAsia="zh-CN" w:bidi="ar-SA"/>
                    </w:rPr>
                  </w:pPr>
                  <w:r>
                    <w:rPr>
                      <w:rFonts w:hint="eastAsia" w:ascii="Times New Roman" w:hAnsi="Times New Roman" w:eastAsia="宋体" w:cs="Times New Roman"/>
                      <w:color w:val="auto"/>
                      <w:spacing w:val="-20"/>
                      <w:sz w:val="18"/>
                      <w:szCs w:val="18"/>
                    </w:rPr>
                    <w:t>废油桶</w:t>
                  </w:r>
                </w:p>
              </w:tc>
              <w:tc>
                <w:tcPr>
                  <w:tcW w:w="447" w:type="pct"/>
                  <w:tcBorders>
                    <w:tl2br w:val="nil"/>
                    <w:tr2bl w:val="nil"/>
                  </w:tcBorders>
                  <w:shd w:val="clear" w:color="auto" w:fill="auto"/>
                  <w:noWrap w:val="0"/>
                  <w:vAlign w:val="center"/>
                </w:tcPr>
                <w:p w14:paraId="4C03EE7F">
                  <w:pPr>
                    <w:spacing w:line="0" w:lineRule="atLeast"/>
                    <w:jc w:val="center"/>
                    <w:rPr>
                      <w:rFonts w:ascii="Times New Roman" w:hAnsi="Times New Roman" w:eastAsia="宋体" w:cs="Times New Roman"/>
                      <w:color w:val="auto"/>
                      <w:spacing w:val="-20"/>
                      <w:kern w:val="2"/>
                      <w:sz w:val="18"/>
                      <w:szCs w:val="18"/>
                      <w:lang w:val="en-US" w:eastAsia="zh-CN" w:bidi="ar-SA"/>
                    </w:rPr>
                  </w:pPr>
                  <w:r>
                    <w:rPr>
                      <w:rFonts w:ascii="Times New Roman" w:hAnsi="Times New Roman" w:eastAsia="宋体" w:cs="Times New Roman"/>
                      <w:color w:val="auto"/>
                      <w:spacing w:val="-20"/>
                      <w:sz w:val="18"/>
                      <w:szCs w:val="18"/>
                    </w:rPr>
                    <w:t>HW08</w:t>
                  </w:r>
                </w:p>
              </w:tc>
              <w:tc>
                <w:tcPr>
                  <w:tcW w:w="586" w:type="pct"/>
                  <w:tcBorders>
                    <w:tl2br w:val="nil"/>
                    <w:tr2bl w:val="nil"/>
                  </w:tcBorders>
                  <w:shd w:val="clear" w:color="auto" w:fill="auto"/>
                  <w:noWrap w:val="0"/>
                  <w:vAlign w:val="center"/>
                </w:tcPr>
                <w:p w14:paraId="6AD7D365">
                  <w:pPr>
                    <w:spacing w:line="0" w:lineRule="atLeast"/>
                    <w:jc w:val="center"/>
                    <w:rPr>
                      <w:rFonts w:ascii="Times New Roman" w:hAnsi="Times New Roman" w:eastAsia="宋体" w:cs="Times New Roman"/>
                      <w:color w:val="auto"/>
                      <w:spacing w:val="-20"/>
                      <w:kern w:val="2"/>
                      <w:sz w:val="18"/>
                      <w:szCs w:val="18"/>
                      <w:highlight w:val="none"/>
                      <w:lang w:val="en-US" w:eastAsia="zh-CN" w:bidi="ar-SA"/>
                    </w:rPr>
                  </w:pPr>
                  <w:r>
                    <w:rPr>
                      <w:color w:val="auto"/>
                      <w:spacing w:val="-20"/>
                      <w:sz w:val="18"/>
                      <w:szCs w:val="18"/>
                      <w:highlight w:val="none"/>
                    </w:rPr>
                    <w:t>900-</w:t>
                  </w:r>
                  <w:r>
                    <w:rPr>
                      <w:rFonts w:hint="eastAsia"/>
                      <w:color w:val="auto"/>
                      <w:spacing w:val="-20"/>
                      <w:sz w:val="18"/>
                      <w:szCs w:val="18"/>
                      <w:highlight w:val="none"/>
                    </w:rPr>
                    <w:t>249-08</w:t>
                  </w:r>
                </w:p>
              </w:tc>
              <w:tc>
                <w:tcPr>
                  <w:tcW w:w="406" w:type="pct"/>
                  <w:tcBorders>
                    <w:tl2br w:val="nil"/>
                    <w:tr2bl w:val="nil"/>
                  </w:tcBorders>
                  <w:shd w:val="clear" w:color="auto" w:fill="auto"/>
                  <w:noWrap w:val="0"/>
                  <w:vAlign w:val="center"/>
                </w:tcPr>
                <w:p w14:paraId="1ABCC6AB">
                  <w:pPr>
                    <w:spacing w:line="0" w:lineRule="atLeast"/>
                    <w:jc w:val="center"/>
                    <w:rPr>
                      <w:rFonts w:hint="default" w:ascii="Times New Roman" w:hAnsi="Times New Roman" w:eastAsia="宋体" w:cs="Times New Roman"/>
                      <w:color w:val="auto"/>
                      <w:spacing w:val="-20"/>
                      <w:kern w:val="2"/>
                      <w:sz w:val="18"/>
                      <w:szCs w:val="18"/>
                      <w:highlight w:val="none"/>
                      <w:lang w:val="en-US" w:eastAsia="zh-CN" w:bidi="ar-SA"/>
                    </w:rPr>
                  </w:pPr>
                  <w:r>
                    <w:rPr>
                      <w:rFonts w:hint="eastAsia"/>
                      <w:color w:val="auto"/>
                      <w:spacing w:val="-20"/>
                      <w:sz w:val="18"/>
                      <w:szCs w:val="18"/>
                      <w:highlight w:val="none"/>
                      <w:lang w:val="en-US" w:eastAsia="zh-CN"/>
                    </w:rPr>
                    <w:t>0.076</w:t>
                  </w:r>
                </w:p>
              </w:tc>
              <w:tc>
                <w:tcPr>
                  <w:tcW w:w="536" w:type="pct"/>
                  <w:vMerge w:val="continue"/>
                  <w:tcBorders>
                    <w:tl2br w:val="nil"/>
                    <w:tr2bl w:val="nil"/>
                  </w:tcBorders>
                  <w:noWrap w:val="0"/>
                  <w:vAlign w:val="center"/>
                </w:tcPr>
                <w:p w14:paraId="201576B0">
                  <w:pPr>
                    <w:spacing w:line="0" w:lineRule="atLeast"/>
                    <w:jc w:val="center"/>
                    <w:rPr>
                      <w:rFonts w:ascii="Times New Roman" w:hAnsi="Times New Roman" w:eastAsia="宋体" w:cs="Times New Roman"/>
                      <w:color w:val="auto"/>
                      <w:spacing w:val="-20"/>
                      <w:sz w:val="18"/>
                      <w:szCs w:val="18"/>
                    </w:rPr>
                  </w:pPr>
                </w:p>
              </w:tc>
              <w:tc>
                <w:tcPr>
                  <w:tcW w:w="447" w:type="pct"/>
                  <w:tcBorders>
                    <w:tl2br w:val="nil"/>
                    <w:tr2bl w:val="nil"/>
                  </w:tcBorders>
                  <w:noWrap w:val="0"/>
                  <w:vAlign w:val="center"/>
                </w:tcPr>
                <w:p w14:paraId="7C3E59DC">
                  <w:pPr>
                    <w:spacing w:line="0" w:lineRule="atLeast"/>
                    <w:jc w:val="center"/>
                    <w:rPr>
                      <w:rFonts w:ascii="Times New Roman" w:hAnsi="Times New Roman" w:eastAsia="宋体" w:cs="Times New Roman"/>
                      <w:color w:val="auto"/>
                      <w:spacing w:val="-20"/>
                      <w:sz w:val="18"/>
                      <w:szCs w:val="18"/>
                    </w:rPr>
                  </w:pPr>
                  <w:r>
                    <w:rPr>
                      <w:rFonts w:hint="eastAsia" w:ascii="Times New Roman" w:hAnsi="Times New Roman" w:eastAsia="宋体" w:cs="Times New Roman"/>
                      <w:color w:val="auto"/>
                      <w:spacing w:val="-20"/>
                      <w:sz w:val="18"/>
                      <w:szCs w:val="18"/>
                    </w:rPr>
                    <w:t>固态</w:t>
                  </w:r>
                </w:p>
              </w:tc>
              <w:tc>
                <w:tcPr>
                  <w:tcW w:w="537" w:type="pct"/>
                  <w:vMerge w:val="continue"/>
                  <w:tcBorders>
                    <w:tl2br w:val="nil"/>
                    <w:tr2bl w:val="nil"/>
                  </w:tcBorders>
                  <w:noWrap w:val="0"/>
                  <w:vAlign w:val="center"/>
                </w:tcPr>
                <w:p w14:paraId="7937AF99">
                  <w:pPr>
                    <w:topLinePunct/>
                    <w:spacing w:line="240" w:lineRule="atLeast"/>
                    <w:jc w:val="center"/>
                    <w:rPr>
                      <w:color w:val="auto"/>
                      <w:spacing w:val="-23"/>
                      <w:szCs w:val="21"/>
                      <w:highlight w:val="none"/>
                    </w:rPr>
                  </w:pPr>
                </w:p>
              </w:tc>
              <w:tc>
                <w:tcPr>
                  <w:tcW w:w="357" w:type="pct"/>
                  <w:vMerge w:val="continue"/>
                  <w:tcBorders>
                    <w:tl2br w:val="nil"/>
                    <w:tr2bl w:val="nil"/>
                  </w:tcBorders>
                  <w:noWrap w:val="0"/>
                  <w:vAlign w:val="center"/>
                </w:tcPr>
                <w:p w14:paraId="31CE6115">
                  <w:pPr>
                    <w:topLinePunct/>
                    <w:spacing w:line="240" w:lineRule="atLeast"/>
                    <w:jc w:val="center"/>
                    <w:rPr>
                      <w:color w:val="auto"/>
                      <w:spacing w:val="-23"/>
                      <w:szCs w:val="21"/>
                      <w:highlight w:val="none"/>
                    </w:rPr>
                  </w:pPr>
                </w:p>
              </w:tc>
              <w:tc>
                <w:tcPr>
                  <w:tcW w:w="960" w:type="pct"/>
                  <w:vMerge w:val="continue"/>
                  <w:tcBorders>
                    <w:tl2br w:val="nil"/>
                    <w:tr2bl w:val="nil"/>
                  </w:tcBorders>
                  <w:noWrap w:val="0"/>
                  <w:vAlign w:val="center"/>
                </w:tcPr>
                <w:p w14:paraId="5EC3626A">
                  <w:pPr>
                    <w:topLinePunct/>
                    <w:spacing w:line="240" w:lineRule="atLeast"/>
                    <w:jc w:val="center"/>
                    <w:rPr>
                      <w:color w:val="auto"/>
                      <w:spacing w:val="-23"/>
                      <w:szCs w:val="21"/>
                      <w:highlight w:val="none"/>
                    </w:rPr>
                  </w:pPr>
                </w:p>
              </w:tc>
            </w:tr>
          </w:tbl>
          <w:p w14:paraId="6C6EC7C6">
            <w:pPr>
              <w:pStyle w:val="24"/>
              <w:adjustRightInd w:val="0"/>
              <w:snapToGrid w:val="0"/>
              <w:spacing w:before="0" w:beforeAutospacing="0" w:after="0" w:afterAutospacing="0" w:line="440" w:lineRule="exact"/>
              <w:ind w:firstLine="422" w:firstLineChars="200"/>
              <w:rPr>
                <w:rFonts w:hint="eastAsia" w:ascii="Times New Roman" w:hAnsi="Times New Roman" w:eastAsia="宋体" w:cs="Times New Roman"/>
                <w:b/>
                <w:color w:val="auto"/>
                <w:sz w:val="21"/>
                <w:szCs w:val="21"/>
              </w:rPr>
            </w:pPr>
            <w:r>
              <w:rPr>
                <w:rFonts w:hint="eastAsia" w:ascii="Times New Roman" w:hAnsi="Times New Roman" w:eastAsia="宋体" w:cs="Times New Roman"/>
                <w:b/>
                <w:color w:val="auto"/>
                <w:sz w:val="21"/>
                <w:szCs w:val="21"/>
              </w:rPr>
              <w:t>4.3.</w:t>
            </w:r>
            <w:r>
              <w:rPr>
                <w:rFonts w:hint="eastAsia" w:ascii="Times New Roman" w:hAnsi="Times New Roman" w:eastAsia="宋体" w:cs="Times New Roman"/>
                <w:b/>
                <w:color w:val="auto"/>
                <w:sz w:val="21"/>
                <w:szCs w:val="21"/>
                <w:lang w:val="en-US" w:eastAsia="zh-CN"/>
              </w:rPr>
              <w:t>2</w:t>
            </w:r>
            <w:r>
              <w:rPr>
                <w:rFonts w:hint="eastAsia" w:ascii="Times New Roman" w:hAnsi="Times New Roman" w:eastAsia="宋体" w:cs="Times New Roman"/>
                <w:b/>
                <w:color w:val="auto"/>
                <w:sz w:val="21"/>
                <w:szCs w:val="21"/>
              </w:rPr>
              <w:t>危险废物收集、暂存</w:t>
            </w:r>
          </w:p>
          <w:p w14:paraId="77D93308">
            <w:pPr>
              <w:pStyle w:val="24"/>
              <w:adjustRightInd w:val="0"/>
              <w:snapToGrid w:val="0"/>
              <w:spacing w:before="0" w:beforeAutospacing="0" w:after="0" w:afterAutospacing="0" w:line="440" w:lineRule="exact"/>
              <w:ind w:firstLine="420" w:firstLineChars="200"/>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rPr>
              <w:t>本项目危险废物在收集过程中按照《危险废物</w:t>
            </w:r>
            <w:r>
              <w:rPr>
                <w:rFonts w:hint="eastAsia" w:ascii="Times New Roman" w:hAnsi="Times New Roman" w:eastAsia="宋体" w:cs="Times New Roman"/>
                <w:color w:val="auto"/>
                <w:sz w:val="21"/>
                <w:szCs w:val="21"/>
                <w:lang w:val="en-US" w:eastAsia="zh-CN"/>
              </w:rPr>
              <w:t>识别标志设置技术规范</w:t>
            </w:r>
            <w:r>
              <w:rPr>
                <w:rFonts w:hint="eastAsia" w:ascii="Times New Roman" w:hAnsi="Times New Roman" w:eastAsia="宋体" w:cs="Times New Roman"/>
                <w:color w:val="auto"/>
                <w:sz w:val="21"/>
                <w:szCs w:val="21"/>
              </w:rPr>
              <w:t>》</w:t>
            </w:r>
            <w:r>
              <w:rPr>
                <w:rFonts w:hint="eastAsia" w:ascii="Times New Roman" w:hAnsi="Times New Roman" w:eastAsia="宋体" w:cs="Times New Roman"/>
                <w:color w:val="auto"/>
                <w:sz w:val="21"/>
                <w:szCs w:val="21"/>
                <w:lang w:eastAsia="zh-CN"/>
              </w:rPr>
              <w:t>（</w:t>
            </w:r>
            <w:r>
              <w:rPr>
                <w:rFonts w:hint="eastAsia" w:ascii="Times New Roman" w:hAnsi="Times New Roman" w:eastAsia="宋体" w:cs="Times New Roman"/>
                <w:color w:val="auto"/>
                <w:sz w:val="21"/>
                <w:szCs w:val="21"/>
                <w:lang w:val="en-US" w:eastAsia="zh-CN"/>
              </w:rPr>
              <w:t>HJ1276-2022</w:t>
            </w:r>
            <w:r>
              <w:rPr>
                <w:rFonts w:hint="eastAsia" w:ascii="Times New Roman" w:hAnsi="Times New Roman" w:eastAsia="宋体" w:cs="Times New Roman"/>
                <w:color w:val="auto"/>
                <w:sz w:val="21"/>
                <w:szCs w:val="21"/>
                <w:lang w:eastAsia="zh-CN"/>
              </w:rPr>
              <w:t>）</w:t>
            </w:r>
            <w:r>
              <w:rPr>
                <w:rFonts w:hint="eastAsia" w:ascii="Times New Roman" w:hAnsi="Times New Roman" w:eastAsia="宋体" w:cs="Times New Roman"/>
                <w:color w:val="auto"/>
                <w:sz w:val="21"/>
                <w:szCs w:val="21"/>
              </w:rPr>
              <w:t>要求选择相应的包装容器，并按照附录A相关要求张贴对应标签，包括危废类别、主要成分、危险情况、安全措施、数量等内容。</w:t>
            </w:r>
          </w:p>
          <w:p w14:paraId="3BB34946">
            <w:pPr>
              <w:pStyle w:val="24"/>
              <w:keepNext w:val="0"/>
              <w:keepLines w:val="0"/>
              <w:pageBreakBefore w:val="0"/>
              <w:widowControl/>
              <w:kinsoku/>
              <w:wordWrap/>
              <w:overflowPunct/>
              <w:topLinePunct w:val="0"/>
              <w:autoSpaceDE/>
              <w:autoSpaceDN/>
              <w:bidi w:val="0"/>
              <w:adjustRightInd w:val="0"/>
              <w:snapToGrid w:val="0"/>
              <w:spacing w:before="0" w:beforeAutospacing="0" w:after="0" w:afterAutospacing="0" w:line="440" w:lineRule="exact"/>
              <w:ind w:firstLine="420" w:firstLineChars="200"/>
              <w:textAlignment w:val="auto"/>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为避免本项目产生的危险废物对环境造成的影响，</w:t>
            </w:r>
            <w:r>
              <w:rPr>
                <w:rFonts w:hint="eastAsia" w:ascii="Times New Roman" w:hAnsi="Times New Roman" w:cs="Times New Roman"/>
                <w:color w:val="auto"/>
                <w:sz w:val="21"/>
                <w:szCs w:val="21"/>
                <w:highlight w:val="none"/>
                <w:lang w:val="en-US" w:eastAsia="zh-CN"/>
              </w:rPr>
              <w:t>本项目危险废物暂存于危险废物暂存间内，危险废物暂存间位于生产车间内，暂存区</w:t>
            </w:r>
            <w:r>
              <w:rPr>
                <w:rFonts w:hint="eastAsia" w:ascii="Times New Roman" w:hAnsi="Times New Roman" w:eastAsia="宋体" w:cs="Times New Roman"/>
                <w:color w:val="auto"/>
                <w:sz w:val="21"/>
                <w:szCs w:val="21"/>
                <w:highlight w:val="none"/>
                <w:lang w:val="en-US" w:eastAsia="zh-CN"/>
              </w:rPr>
              <w:t>面积</w:t>
            </w:r>
            <w:r>
              <w:rPr>
                <w:rFonts w:hint="eastAsia" w:ascii="Times New Roman" w:hAnsi="Times New Roman" w:cs="Times New Roman"/>
                <w:color w:val="auto"/>
                <w:sz w:val="21"/>
                <w:szCs w:val="21"/>
                <w:highlight w:val="none"/>
                <w:lang w:val="en-US" w:eastAsia="zh-CN"/>
              </w:rPr>
              <w:t>9</w:t>
            </w:r>
            <w:r>
              <w:rPr>
                <w:rFonts w:hint="eastAsia" w:ascii="Times New Roman" w:hAnsi="Times New Roman" w:eastAsia="宋体" w:cs="Times New Roman"/>
                <w:color w:val="auto"/>
                <w:sz w:val="21"/>
                <w:szCs w:val="21"/>
                <w:highlight w:val="none"/>
                <w:lang w:val="en-US" w:eastAsia="zh-CN"/>
              </w:rPr>
              <w:t>m</w:t>
            </w:r>
            <w:r>
              <w:rPr>
                <w:rFonts w:hint="eastAsia" w:ascii="Times New Roman" w:hAnsi="Times New Roman" w:eastAsia="宋体" w:cs="Times New Roman"/>
                <w:color w:val="auto"/>
                <w:sz w:val="21"/>
                <w:szCs w:val="21"/>
                <w:highlight w:val="none"/>
                <w:vertAlign w:val="superscript"/>
                <w:lang w:val="en-US" w:eastAsia="zh-CN"/>
              </w:rPr>
              <w:t>2</w:t>
            </w:r>
            <w:r>
              <w:rPr>
                <w:rFonts w:hint="eastAsia" w:ascii="Times New Roman" w:hAnsi="Times New Roman" w:eastAsia="宋体" w:cs="Times New Roman"/>
                <w:color w:val="auto"/>
                <w:sz w:val="21"/>
                <w:szCs w:val="21"/>
                <w:highlight w:val="none"/>
                <w:lang w:val="en-US" w:eastAsia="zh-CN"/>
              </w:rPr>
              <w:t>，用于贮存项目产生的危险废物。</w:t>
            </w:r>
          </w:p>
          <w:p w14:paraId="0E447E0F">
            <w:pPr>
              <w:pStyle w:val="24"/>
              <w:keepNext w:val="0"/>
              <w:keepLines w:val="0"/>
              <w:pageBreakBefore w:val="0"/>
              <w:widowControl/>
              <w:kinsoku/>
              <w:wordWrap/>
              <w:overflowPunct/>
              <w:topLinePunct w:val="0"/>
              <w:autoSpaceDE/>
              <w:autoSpaceDN/>
              <w:bidi w:val="0"/>
              <w:adjustRightInd w:val="0"/>
              <w:snapToGrid w:val="0"/>
              <w:spacing w:before="0" w:beforeAutospacing="0" w:after="0" w:afterAutospacing="0" w:line="440" w:lineRule="exact"/>
              <w:ind w:firstLine="420" w:firstLineChars="200"/>
              <w:textAlignment w:val="auto"/>
              <w:rPr>
                <w:rFonts w:hint="eastAsia"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危险废物暂存间按照《危险废物贮存污染控制标准》的相关要求</w:t>
            </w:r>
            <w:r>
              <w:rPr>
                <w:rFonts w:hint="eastAsia" w:ascii="Times New Roman" w:hAnsi="Times New Roman" w:eastAsia="宋体" w:cs="Times New Roman"/>
                <w:color w:val="auto"/>
                <w:sz w:val="21"/>
                <w:szCs w:val="21"/>
                <w:highlight w:val="none"/>
                <w:lang w:val="en-US" w:eastAsia="zh-CN"/>
              </w:rPr>
              <w:t>进行建设。裙角及地面设置2mm高密度聚乙烯</w:t>
            </w:r>
            <w:r>
              <w:rPr>
                <w:rFonts w:hint="eastAsia" w:ascii="Times New Roman" w:hAnsi="Times New Roman" w:cs="Times New Roman"/>
                <w:color w:val="auto"/>
                <w:sz w:val="21"/>
                <w:szCs w:val="21"/>
                <w:highlight w:val="none"/>
                <w:lang w:val="en-US" w:eastAsia="zh-CN"/>
              </w:rPr>
              <w:t>（</w:t>
            </w:r>
            <w:r>
              <w:rPr>
                <w:rFonts w:hint="eastAsia" w:ascii="Times New Roman" w:hAnsi="Times New Roman" w:eastAsia="宋体" w:cs="Times New Roman"/>
                <w:color w:val="auto"/>
                <w:sz w:val="21"/>
                <w:szCs w:val="21"/>
                <w:highlight w:val="none"/>
                <w:lang w:val="en-US" w:eastAsia="zh-CN"/>
              </w:rPr>
              <w:t>HDPE</w:t>
            </w:r>
            <w:r>
              <w:rPr>
                <w:rFonts w:hint="eastAsia" w:ascii="Times New Roman" w:hAnsi="Times New Roman" w:cs="Times New Roman"/>
                <w:color w:val="auto"/>
                <w:sz w:val="21"/>
                <w:szCs w:val="21"/>
                <w:highlight w:val="none"/>
                <w:lang w:val="en-US" w:eastAsia="zh-CN"/>
              </w:rPr>
              <w:t>）</w:t>
            </w:r>
            <w:r>
              <w:rPr>
                <w:rFonts w:hint="eastAsia" w:ascii="Times New Roman" w:hAnsi="Times New Roman" w:eastAsia="宋体" w:cs="Times New Roman"/>
                <w:color w:val="auto"/>
                <w:sz w:val="21"/>
                <w:szCs w:val="21"/>
                <w:highlight w:val="none"/>
                <w:lang w:val="en-US" w:eastAsia="zh-CN"/>
              </w:rPr>
              <w:t>膜，膜上、膜下设置“长丝无纺土工布”保护层，保护层以上设置200mm抗渗混凝土，渗透系数不大于</w:t>
            </w:r>
            <w:r>
              <w:rPr>
                <w:rFonts w:hint="default" w:ascii="Times New Roman" w:hAnsi="Times New Roman" w:eastAsia="宋体" w:cs="Times New Roman"/>
                <w:color w:val="auto"/>
                <w:sz w:val="21"/>
                <w:szCs w:val="21"/>
                <w:highlight w:val="none"/>
                <w:lang w:val="en-US" w:eastAsia="zh-CN"/>
              </w:rPr>
              <w:t>1.0×10</w:t>
            </w:r>
            <w:r>
              <w:rPr>
                <w:rFonts w:hint="default" w:ascii="Times New Roman" w:hAnsi="Times New Roman" w:eastAsia="宋体" w:cs="Times New Roman"/>
                <w:color w:val="auto"/>
                <w:sz w:val="21"/>
                <w:szCs w:val="21"/>
                <w:highlight w:val="none"/>
                <w:vertAlign w:val="superscript"/>
                <w:lang w:val="en-US" w:eastAsia="zh-CN"/>
              </w:rPr>
              <w:t>-</w:t>
            </w:r>
            <w:r>
              <w:rPr>
                <w:rFonts w:hint="eastAsia" w:ascii="Times New Roman" w:hAnsi="Times New Roman" w:cs="Times New Roman"/>
                <w:color w:val="auto"/>
                <w:sz w:val="21"/>
                <w:szCs w:val="21"/>
                <w:highlight w:val="none"/>
                <w:vertAlign w:val="superscript"/>
                <w:lang w:val="en-US" w:eastAsia="zh-CN"/>
              </w:rPr>
              <w:t>10</w:t>
            </w:r>
            <w:r>
              <w:rPr>
                <w:rFonts w:hint="default" w:ascii="Times New Roman" w:hAnsi="Times New Roman" w:eastAsia="宋体" w:cs="Times New Roman"/>
                <w:color w:val="auto"/>
                <w:sz w:val="21"/>
                <w:szCs w:val="21"/>
                <w:highlight w:val="none"/>
                <w:lang w:val="en-US" w:eastAsia="zh-CN"/>
              </w:rPr>
              <w:t>cm/s</w:t>
            </w:r>
            <w:r>
              <w:rPr>
                <w:rFonts w:hint="eastAsia" w:ascii="Times New Roman" w:hAnsi="Times New Roman" w:eastAsia="宋体" w:cs="Times New Roman"/>
                <w:color w:val="auto"/>
                <w:sz w:val="21"/>
                <w:szCs w:val="21"/>
                <w:highlight w:val="none"/>
                <w:lang w:val="en-US" w:eastAsia="zh-CN"/>
              </w:rPr>
              <w:t>。</w:t>
            </w:r>
            <w:r>
              <w:rPr>
                <w:rFonts w:hint="default" w:ascii="Times New Roman" w:hAnsi="Times New Roman" w:eastAsia="宋体" w:cs="Times New Roman"/>
                <w:color w:val="auto"/>
                <w:sz w:val="21"/>
                <w:szCs w:val="21"/>
                <w:highlight w:val="none"/>
                <w:lang w:val="en-US" w:eastAsia="zh-CN"/>
              </w:rPr>
              <w:t>地面及四周裙脚均应耐腐蚀，耐热且表面无裂隙，同时设置泄漏液体的收集装置，设施内有安全照明装置和观察窗口，并设置环保专用标志。</w:t>
            </w:r>
            <w:r>
              <w:rPr>
                <w:rFonts w:hint="eastAsia" w:ascii="Times New Roman" w:hAnsi="Times New Roman" w:eastAsia="宋体" w:cs="Times New Roman"/>
                <w:color w:val="auto"/>
                <w:sz w:val="21"/>
                <w:szCs w:val="21"/>
                <w:highlight w:val="none"/>
                <w:lang w:val="en-US" w:eastAsia="zh-CN"/>
              </w:rPr>
              <w:t>同时</w:t>
            </w:r>
            <w:r>
              <w:rPr>
                <w:rFonts w:hint="default" w:ascii="Times New Roman" w:hAnsi="Times New Roman" w:eastAsia="宋体" w:cs="Times New Roman"/>
                <w:color w:val="auto"/>
                <w:sz w:val="21"/>
                <w:szCs w:val="21"/>
                <w:highlight w:val="none"/>
                <w:lang w:val="en-US" w:eastAsia="zh-CN"/>
              </w:rPr>
              <w:t>危废间设有隔离设施、报警装置和防风、防晒、防雨等安全设施</w:t>
            </w:r>
            <w:r>
              <w:rPr>
                <w:rFonts w:hint="eastAsia" w:ascii="Times New Roman" w:hAnsi="Times New Roman" w:eastAsia="宋体" w:cs="Times New Roman"/>
                <w:color w:val="auto"/>
                <w:sz w:val="21"/>
                <w:szCs w:val="21"/>
                <w:highlight w:val="none"/>
                <w:lang w:val="en-US" w:eastAsia="zh-CN"/>
              </w:rPr>
              <w:t>。</w:t>
            </w:r>
          </w:p>
          <w:p w14:paraId="58D8ABDC">
            <w:pPr>
              <w:pStyle w:val="24"/>
              <w:keepNext w:val="0"/>
              <w:keepLines w:val="0"/>
              <w:pageBreakBefore w:val="0"/>
              <w:widowControl/>
              <w:kinsoku/>
              <w:wordWrap/>
              <w:overflowPunct/>
              <w:topLinePunct w:val="0"/>
              <w:autoSpaceDE/>
              <w:autoSpaceDN/>
              <w:bidi w:val="0"/>
              <w:adjustRightInd w:val="0"/>
              <w:snapToGrid w:val="0"/>
              <w:spacing w:before="0" w:beforeAutospacing="0" w:after="0" w:afterAutospacing="0" w:line="440" w:lineRule="exact"/>
              <w:ind w:firstLine="420" w:firstLineChars="200"/>
              <w:textAlignment w:val="auto"/>
              <w:rPr>
                <w:rFonts w:hint="eastAsia" w:ascii="Times New Roman" w:hAnsi="Times New Roman" w:eastAsia="宋体" w:cs="Times New Roman"/>
                <w:color w:val="auto"/>
                <w:sz w:val="21"/>
                <w:szCs w:val="21"/>
                <w:highlight w:val="none"/>
                <w:lang w:val="en-US" w:eastAsia="zh-CN"/>
              </w:rPr>
            </w:pPr>
          </w:p>
          <w:p w14:paraId="40EC9CA7">
            <w:pPr>
              <w:pStyle w:val="24"/>
              <w:keepNext w:val="0"/>
              <w:keepLines w:val="0"/>
              <w:pageBreakBefore w:val="0"/>
              <w:widowControl/>
              <w:kinsoku/>
              <w:wordWrap/>
              <w:overflowPunct/>
              <w:topLinePunct w:val="0"/>
              <w:autoSpaceDE/>
              <w:autoSpaceDN/>
              <w:bidi w:val="0"/>
              <w:adjustRightInd w:val="0"/>
              <w:snapToGrid w:val="0"/>
              <w:spacing w:before="0" w:beforeAutospacing="0" w:after="0" w:afterAutospacing="0" w:line="440" w:lineRule="exact"/>
              <w:ind w:firstLine="420" w:firstLineChars="200"/>
              <w:textAlignment w:val="auto"/>
              <w:rPr>
                <w:rFonts w:hint="eastAsia" w:ascii="Times New Roman" w:hAnsi="Times New Roman" w:eastAsia="宋体" w:cs="Times New Roman"/>
                <w:color w:val="auto"/>
                <w:sz w:val="21"/>
                <w:szCs w:val="21"/>
                <w:highlight w:val="none"/>
                <w:lang w:val="en-US" w:eastAsia="zh-CN"/>
              </w:rPr>
            </w:pPr>
          </w:p>
          <w:p w14:paraId="5CF133D8">
            <w:pPr>
              <w:pStyle w:val="24"/>
              <w:keepNext w:val="0"/>
              <w:keepLines w:val="0"/>
              <w:pageBreakBefore w:val="0"/>
              <w:widowControl/>
              <w:kinsoku/>
              <w:wordWrap/>
              <w:overflowPunct/>
              <w:topLinePunct w:val="0"/>
              <w:autoSpaceDE/>
              <w:autoSpaceDN/>
              <w:bidi w:val="0"/>
              <w:adjustRightInd w:val="0"/>
              <w:snapToGrid w:val="0"/>
              <w:spacing w:before="0" w:beforeAutospacing="0" w:after="0" w:afterAutospacing="0" w:line="440" w:lineRule="exact"/>
              <w:ind w:firstLine="420" w:firstLineChars="200"/>
              <w:textAlignment w:val="auto"/>
              <w:rPr>
                <w:rFonts w:hint="eastAsia" w:ascii="Times New Roman" w:hAnsi="Times New Roman" w:eastAsia="宋体" w:cs="Times New Roman"/>
                <w:color w:val="auto"/>
                <w:sz w:val="21"/>
                <w:szCs w:val="21"/>
                <w:highlight w:val="none"/>
                <w:lang w:val="en-US" w:eastAsia="zh-CN"/>
              </w:rPr>
            </w:pPr>
          </w:p>
          <w:p w14:paraId="3DBAE022">
            <w:pPr>
              <w:pStyle w:val="24"/>
              <w:keepNext w:val="0"/>
              <w:keepLines w:val="0"/>
              <w:pageBreakBefore w:val="0"/>
              <w:widowControl/>
              <w:kinsoku/>
              <w:wordWrap/>
              <w:overflowPunct/>
              <w:topLinePunct w:val="0"/>
              <w:autoSpaceDE/>
              <w:autoSpaceDN/>
              <w:bidi w:val="0"/>
              <w:adjustRightInd w:val="0"/>
              <w:snapToGrid w:val="0"/>
              <w:spacing w:before="0" w:beforeAutospacing="0" w:after="0" w:afterAutospacing="0" w:line="440" w:lineRule="exact"/>
              <w:ind w:firstLine="420" w:firstLineChars="200"/>
              <w:textAlignment w:val="auto"/>
              <w:rPr>
                <w:rFonts w:hint="eastAsia" w:ascii="Times New Roman" w:hAnsi="Times New Roman" w:eastAsia="宋体" w:cs="Times New Roman"/>
                <w:color w:val="auto"/>
                <w:sz w:val="21"/>
                <w:szCs w:val="21"/>
                <w:highlight w:val="none"/>
                <w:lang w:val="en-US" w:eastAsia="zh-CN"/>
              </w:rPr>
            </w:pPr>
          </w:p>
          <w:p w14:paraId="3FC1AA71">
            <w:pPr>
              <w:spacing w:line="440" w:lineRule="exact"/>
              <w:jc w:val="center"/>
              <w:rPr>
                <w:rFonts w:hint="eastAsia" w:ascii="Times New Roman" w:hAnsi="Times New Roman" w:eastAsia="宋体" w:cs="Times New Roman"/>
                <w:b/>
                <w:color w:val="auto"/>
                <w:szCs w:val="21"/>
                <w:highlight w:val="none"/>
                <w:lang w:val="en-US" w:eastAsia="zh-CN"/>
              </w:rPr>
            </w:pPr>
            <w:r>
              <w:rPr>
                <w:rFonts w:hint="eastAsia" w:ascii="Times New Roman" w:hAnsi="Times New Roman" w:eastAsia="宋体" w:cs="Times New Roman"/>
                <w:b/>
                <w:color w:val="auto"/>
                <w:szCs w:val="21"/>
              </w:rPr>
              <w:t>表</w:t>
            </w:r>
            <w:r>
              <w:rPr>
                <w:rFonts w:hint="eastAsia" w:cs="Times New Roman"/>
                <w:b/>
                <w:color w:val="auto"/>
                <w:szCs w:val="21"/>
                <w:lang w:val="en-US" w:eastAsia="zh-CN"/>
              </w:rPr>
              <w:t>44</w:t>
            </w:r>
            <w:r>
              <w:rPr>
                <w:rFonts w:hint="eastAsia" w:ascii="Times New Roman" w:hAnsi="Times New Roman" w:eastAsia="宋体" w:cs="Times New Roman"/>
                <w:b/>
                <w:color w:val="auto"/>
                <w:szCs w:val="21"/>
                <w:lang w:val="en-US" w:eastAsia="zh-CN"/>
              </w:rPr>
              <w:t xml:space="preserve"> </w:t>
            </w:r>
            <w:r>
              <w:rPr>
                <w:rFonts w:hint="eastAsia" w:ascii="Times New Roman" w:hAnsi="Times New Roman" w:eastAsia="宋体" w:cs="Times New Roman"/>
                <w:b/>
                <w:color w:val="auto"/>
                <w:szCs w:val="21"/>
                <w:highlight w:val="none"/>
                <w:lang w:val="en-US" w:eastAsia="zh-CN"/>
              </w:rPr>
              <w:t>项目危险废物贮存场所（设施）基本情况表</w:t>
            </w:r>
          </w:p>
          <w:tbl>
            <w:tblPr>
              <w:tblStyle w:val="28"/>
              <w:tblW w:w="7937" w:type="dxa"/>
              <w:tblInd w:w="0" w:type="dxa"/>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
            <w:tblGrid>
              <w:gridCol w:w="729"/>
              <w:gridCol w:w="759"/>
              <w:gridCol w:w="758"/>
              <w:gridCol w:w="808"/>
              <w:gridCol w:w="755"/>
              <w:gridCol w:w="711"/>
              <w:gridCol w:w="857"/>
              <w:gridCol w:w="598"/>
              <w:gridCol w:w="552"/>
              <w:gridCol w:w="1410"/>
            </w:tblGrid>
            <w:tr w14:paraId="79576FA2">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467" w:hRule="atLeast"/>
              </w:trPr>
              <w:tc>
                <w:tcPr>
                  <w:tcW w:w="729" w:type="dxa"/>
                  <w:tcBorders>
                    <w:tl2br w:val="nil"/>
                    <w:tr2bl w:val="nil"/>
                  </w:tcBorders>
                  <w:noWrap w:val="0"/>
                  <w:vAlign w:val="center"/>
                </w:tcPr>
                <w:p w14:paraId="7A044D1E">
                  <w:pPr>
                    <w:jc w:val="center"/>
                    <w:rPr>
                      <w:rFonts w:hint="eastAsia" w:ascii="Times New Roman" w:hAnsi="Times New Roman" w:eastAsia="宋体" w:cs="Times New Roman"/>
                      <w:color w:val="auto"/>
                      <w:spacing w:val="-10"/>
                      <w:sz w:val="18"/>
                      <w:szCs w:val="18"/>
                      <w:highlight w:val="none"/>
                      <w:lang w:val="en-US" w:eastAsia="zh-CN"/>
                    </w:rPr>
                  </w:pPr>
                  <w:r>
                    <w:rPr>
                      <w:rFonts w:hint="eastAsia" w:ascii="Times New Roman" w:hAnsi="Times New Roman" w:eastAsia="宋体" w:cs="Times New Roman"/>
                      <w:color w:val="auto"/>
                      <w:spacing w:val="-10"/>
                      <w:sz w:val="18"/>
                      <w:szCs w:val="18"/>
                      <w:highlight w:val="none"/>
                      <w:lang w:val="en-US" w:eastAsia="zh-CN"/>
                    </w:rPr>
                    <w:t>贮存场所名称</w:t>
                  </w:r>
                </w:p>
              </w:tc>
              <w:tc>
                <w:tcPr>
                  <w:tcW w:w="759" w:type="dxa"/>
                  <w:tcBorders>
                    <w:tl2br w:val="nil"/>
                    <w:tr2bl w:val="nil"/>
                  </w:tcBorders>
                  <w:noWrap w:val="0"/>
                  <w:vAlign w:val="center"/>
                </w:tcPr>
                <w:p w14:paraId="49584185">
                  <w:pPr>
                    <w:jc w:val="center"/>
                    <w:rPr>
                      <w:rFonts w:hint="eastAsia" w:ascii="Times New Roman" w:hAnsi="Times New Roman" w:eastAsia="宋体" w:cs="Times New Roman"/>
                      <w:color w:val="auto"/>
                      <w:spacing w:val="-10"/>
                      <w:sz w:val="18"/>
                      <w:szCs w:val="18"/>
                      <w:highlight w:val="none"/>
                      <w:lang w:val="en-US" w:eastAsia="zh-CN"/>
                    </w:rPr>
                  </w:pPr>
                  <w:r>
                    <w:rPr>
                      <w:rFonts w:hint="eastAsia" w:ascii="Times New Roman" w:hAnsi="Times New Roman" w:eastAsia="宋体" w:cs="Times New Roman"/>
                      <w:color w:val="auto"/>
                      <w:spacing w:val="-10"/>
                      <w:sz w:val="18"/>
                      <w:szCs w:val="18"/>
                      <w:highlight w:val="none"/>
                      <w:lang w:val="en-US" w:eastAsia="zh-CN"/>
                    </w:rPr>
                    <w:t>危险废物名称</w:t>
                  </w:r>
                </w:p>
              </w:tc>
              <w:tc>
                <w:tcPr>
                  <w:tcW w:w="758" w:type="dxa"/>
                  <w:tcBorders>
                    <w:tl2br w:val="nil"/>
                    <w:tr2bl w:val="nil"/>
                  </w:tcBorders>
                  <w:noWrap w:val="0"/>
                  <w:vAlign w:val="center"/>
                </w:tcPr>
                <w:p w14:paraId="51333F08">
                  <w:pPr>
                    <w:jc w:val="center"/>
                    <w:rPr>
                      <w:rFonts w:hint="eastAsia" w:ascii="Times New Roman" w:hAnsi="Times New Roman" w:eastAsia="宋体" w:cs="Times New Roman"/>
                      <w:color w:val="auto"/>
                      <w:spacing w:val="-10"/>
                      <w:sz w:val="18"/>
                      <w:szCs w:val="18"/>
                      <w:highlight w:val="none"/>
                      <w:lang w:val="en-US" w:eastAsia="zh-CN"/>
                    </w:rPr>
                  </w:pPr>
                  <w:r>
                    <w:rPr>
                      <w:rFonts w:hint="eastAsia" w:ascii="Times New Roman" w:hAnsi="Times New Roman" w:eastAsia="宋体" w:cs="Times New Roman"/>
                      <w:color w:val="auto"/>
                      <w:spacing w:val="-10"/>
                      <w:sz w:val="18"/>
                      <w:szCs w:val="18"/>
                      <w:highlight w:val="none"/>
                      <w:lang w:val="en-US" w:eastAsia="zh-CN"/>
                    </w:rPr>
                    <w:t>危险废物类别</w:t>
                  </w:r>
                </w:p>
              </w:tc>
              <w:tc>
                <w:tcPr>
                  <w:tcW w:w="808" w:type="dxa"/>
                  <w:tcBorders>
                    <w:tl2br w:val="nil"/>
                    <w:tr2bl w:val="nil"/>
                  </w:tcBorders>
                  <w:noWrap w:val="0"/>
                  <w:vAlign w:val="center"/>
                </w:tcPr>
                <w:p w14:paraId="1D4D4ACE">
                  <w:pPr>
                    <w:jc w:val="center"/>
                    <w:rPr>
                      <w:rFonts w:hint="eastAsia" w:ascii="Times New Roman" w:hAnsi="Times New Roman" w:eastAsia="宋体" w:cs="Times New Roman"/>
                      <w:color w:val="auto"/>
                      <w:spacing w:val="-10"/>
                      <w:sz w:val="18"/>
                      <w:szCs w:val="18"/>
                      <w:highlight w:val="none"/>
                      <w:lang w:val="en-US" w:eastAsia="zh-CN"/>
                    </w:rPr>
                  </w:pPr>
                  <w:r>
                    <w:rPr>
                      <w:rFonts w:hint="eastAsia" w:ascii="Times New Roman" w:hAnsi="Times New Roman" w:eastAsia="宋体" w:cs="Times New Roman"/>
                      <w:color w:val="auto"/>
                      <w:spacing w:val="-10"/>
                      <w:sz w:val="18"/>
                      <w:szCs w:val="18"/>
                      <w:highlight w:val="none"/>
                      <w:lang w:val="en-US" w:eastAsia="zh-CN"/>
                    </w:rPr>
                    <w:t>危险废物代码</w:t>
                  </w:r>
                </w:p>
              </w:tc>
              <w:tc>
                <w:tcPr>
                  <w:tcW w:w="755" w:type="dxa"/>
                  <w:tcBorders>
                    <w:right w:val="single" w:color="auto" w:sz="4" w:space="0"/>
                    <w:tl2br w:val="nil"/>
                    <w:tr2bl w:val="nil"/>
                  </w:tcBorders>
                  <w:noWrap w:val="0"/>
                  <w:vAlign w:val="center"/>
                </w:tcPr>
                <w:p w14:paraId="62B4B60F">
                  <w:pPr>
                    <w:jc w:val="center"/>
                    <w:rPr>
                      <w:rFonts w:hint="eastAsia" w:ascii="Times New Roman" w:hAnsi="Times New Roman" w:eastAsia="宋体" w:cs="Times New Roman"/>
                      <w:color w:val="auto"/>
                      <w:spacing w:val="-10"/>
                      <w:sz w:val="18"/>
                      <w:szCs w:val="18"/>
                      <w:highlight w:val="none"/>
                      <w:lang w:val="en-US" w:eastAsia="zh-CN"/>
                    </w:rPr>
                  </w:pPr>
                  <w:r>
                    <w:rPr>
                      <w:rFonts w:hint="eastAsia"/>
                      <w:color w:val="auto"/>
                      <w:spacing w:val="-10"/>
                      <w:sz w:val="18"/>
                      <w:szCs w:val="18"/>
                    </w:rPr>
                    <w:t>位置</w:t>
                  </w:r>
                </w:p>
              </w:tc>
              <w:tc>
                <w:tcPr>
                  <w:tcW w:w="711" w:type="dxa"/>
                  <w:tcBorders>
                    <w:left w:val="single" w:color="auto" w:sz="4" w:space="0"/>
                    <w:tl2br w:val="nil"/>
                    <w:tr2bl w:val="nil"/>
                  </w:tcBorders>
                  <w:noWrap w:val="0"/>
                  <w:vAlign w:val="center"/>
                </w:tcPr>
                <w:p w14:paraId="7A7E1DD6">
                  <w:pPr>
                    <w:jc w:val="center"/>
                    <w:rPr>
                      <w:rFonts w:hint="eastAsia" w:ascii="Times New Roman" w:hAnsi="Times New Roman" w:eastAsia="宋体" w:cs="Times New Roman"/>
                      <w:color w:val="auto"/>
                      <w:spacing w:val="-10"/>
                      <w:sz w:val="18"/>
                      <w:szCs w:val="18"/>
                      <w:highlight w:val="none"/>
                      <w:lang w:val="en-US" w:eastAsia="zh-CN"/>
                    </w:rPr>
                  </w:pPr>
                  <w:r>
                    <w:rPr>
                      <w:rFonts w:hint="eastAsia" w:ascii="Times New Roman" w:hAnsi="Times New Roman" w:eastAsia="宋体" w:cs="Times New Roman"/>
                      <w:color w:val="auto"/>
                      <w:spacing w:val="-10"/>
                      <w:sz w:val="18"/>
                      <w:szCs w:val="18"/>
                      <w:highlight w:val="none"/>
                      <w:lang w:val="en-US" w:eastAsia="zh-CN"/>
                    </w:rPr>
                    <w:t>占地面</w:t>
                  </w:r>
                </w:p>
                <w:p w14:paraId="1B65813F">
                  <w:pPr>
                    <w:jc w:val="center"/>
                    <w:rPr>
                      <w:rFonts w:hint="eastAsia" w:ascii="Times New Roman" w:hAnsi="Times New Roman" w:eastAsia="宋体" w:cs="Times New Roman"/>
                      <w:color w:val="auto"/>
                      <w:spacing w:val="-10"/>
                      <w:sz w:val="18"/>
                      <w:szCs w:val="18"/>
                      <w:highlight w:val="none"/>
                      <w:lang w:val="en-US" w:eastAsia="zh-CN"/>
                    </w:rPr>
                  </w:pPr>
                  <w:r>
                    <w:rPr>
                      <w:rFonts w:hint="eastAsia" w:ascii="Times New Roman" w:hAnsi="Times New Roman" w:eastAsia="宋体" w:cs="Times New Roman"/>
                      <w:color w:val="auto"/>
                      <w:spacing w:val="-10"/>
                      <w:sz w:val="18"/>
                      <w:szCs w:val="18"/>
                      <w:highlight w:val="none"/>
                      <w:lang w:val="en-US" w:eastAsia="zh-CN"/>
                    </w:rPr>
                    <w:t>积(m</w:t>
                  </w:r>
                  <w:r>
                    <w:rPr>
                      <w:rFonts w:hint="eastAsia" w:ascii="Times New Roman" w:hAnsi="Times New Roman" w:eastAsia="宋体" w:cs="Times New Roman"/>
                      <w:color w:val="auto"/>
                      <w:spacing w:val="-10"/>
                      <w:sz w:val="18"/>
                      <w:szCs w:val="18"/>
                      <w:highlight w:val="none"/>
                      <w:vertAlign w:val="superscript"/>
                      <w:lang w:val="en-US" w:eastAsia="zh-CN"/>
                    </w:rPr>
                    <w:t>2</w:t>
                  </w:r>
                  <w:r>
                    <w:rPr>
                      <w:rFonts w:hint="eastAsia" w:ascii="Times New Roman" w:hAnsi="Times New Roman" w:eastAsia="宋体" w:cs="Times New Roman"/>
                      <w:color w:val="auto"/>
                      <w:spacing w:val="-10"/>
                      <w:sz w:val="18"/>
                      <w:szCs w:val="18"/>
                      <w:highlight w:val="none"/>
                      <w:lang w:val="en-US" w:eastAsia="zh-CN"/>
                    </w:rPr>
                    <w:t>)</w:t>
                  </w:r>
                </w:p>
              </w:tc>
              <w:tc>
                <w:tcPr>
                  <w:tcW w:w="857" w:type="dxa"/>
                  <w:tcBorders>
                    <w:tl2br w:val="nil"/>
                    <w:tr2bl w:val="nil"/>
                  </w:tcBorders>
                  <w:noWrap w:val="0"/>
                  <w:vAlign w:val="center"/>
                </w:tcPr>
                <w:p w14:paraId="2ED98701">
                  <w:pPr>
                    <w:jc w:val="center"/>
                    <w:rPr>
                      <w:rFonts w:hint="eastAsia" w:ascii="Times New Roman" w:hAnsi="Times New Roman" w:eastAsia="宋体" w:cs="Times New Roman"/>
                      <w:color w:val="auto"/>
                      <w:spacing w:val="-10"/>
                      <w:sz w:val="18"/>
                      <w:szCs w:val="18"/>
                      <w:highlight w:val="none"/>
                      <w:lang w:val="en-US" w:eastAsia="zh-CN"/>
                    </w:rPr>
                  </w:pPr>
                  <w:r>
                    <w:rPr>
                      <w:rFonts w:hint="eastAsia" w:ascii="Times New Roman" w:hAnsi="Times New Roman" w:eastAsia="宋体" w:cs="Times New Roman"/>
                      <w:color w:val="auto"/>
                      <w:spacing w:val="-10"/>
                      <w:sz w:val="18"/>
                      <w:szCs w:val="18"/>
                      <w:highlight w:val="none"/>
                      <w:lang w:val="en-US" w:eastAsia="zh-CN"/>
                    </w:rPr>
                    <w:t>贮存</w:t>
                  </w:r>
                </w:p>
                <w:p w14:paraId="54C7659F">
                  <w:pPr>
                    <w:jc w:val="center"/>
                    <w:rPr>
                      <w:rFonts w:hint="eastAsia" w:ascii="Times New Roman" w:hAnsi="Times New Roman" w:eastAsia="宋体" w:cs="Times New Roman"/>
                      <w:color w:val="auto"/>
                      <w:spacing w:val="-10"/>
                      <w:sz w:val="18"/>
                      <w:szCs w:val="18"/>
                      <w:highlight w:val="none"/>
                      <w:lang w:val="en-US" w:eastAsia="zh-CN"/>
                    </w:rPr>
                  </w:pPr>
                  <w:r>
                    <w:rPr>
                      <w:rFonts w:hint="eastAsia" w:ascii="Times New Roman" w:hAnsi="Times New Roman" w:eastAsia="宋体" w:cs="Times New Roman"/>
                      <w:color w:val="auto"/>
                      <w:spacing w:val="-10"/>
                      <w:sz w:val="18"/>
                      <w:szCs w:val="18"/>
                      <w:highlight w:val="none"/>
                      <w:lang w:val="en-US" w:eastAsia="zh-CN"/>
                    </w:rPr>
                    <w:t>方式</w:t>
                  </w:r>
                </w:p>
              </w:tc>
              <w:tc>
                <w:tcPr>
                  <w:tcW w:w="598" w:type="dxa"/>
                  <w:tcBorders>
                    <w:tl2br w:val="nil"/>
                    <w:tr2bl w:val="nil"/>
                  </w:tcBorders>
                  <w:noWrap w:val="0"/>
                  <w:vAlign w:val="center"/>
                </w:tcPr>
                <w:p w14:paraId="2DA20B9C">
                  <w:pPr>
                    <w:jc w:val="center"/>
                    <w:rPr>
                      <w:rFonts w:hint="eastAsia" w:ascii="Times New Roman" w:hAnsi="Times New Roman" w:eastAsia="宋体" w:cs="Times New Roman"/>
                      <w:color w:val="auto"/>
                      <w:spacing w:val="-10"/>
                      <w:sz w:val="18"/>
                      <w:szCs w:val="18"/>
                      <w:highlight w:val="none"/>
                      <w:lang w:val="en-US" w:eastAsia="zh-CN"/>
                    </w:rPr>
                  </w:pPr>
                  <w:r>
                    <w:rPr>
                      <w:rFonts w:hint="eastAsia" w:ascii="Times New Roman" w:hAnsi="Times New Roman" w:eastAsia="宋体" w:cs="Times New Roman"/>
                      <w:color w:val="auto"/>
                      <w:spacing w:val="-10"/>
                      <w:sz w:val="18"/>
                      <w:szCs w:val="18"/>
                      <w:highlight w:val="none"/>
                      <w:lang w:val="en-US" w:eastAsia="zh-CN"/>
                    </w:rPr>
                    <w:t>贮存</w:t>
                  </w:r>
                </w:p>
                <w:p w14:paraId="0CA39C36">
                  <w:pPr>
                    <w:jc w:val="center"/>
                    <w:rPr>
                      <w:rFonts w:hint="eastAsia" w:ascii="Times New Roman" w:hAnsi="Times New Roman" w:eastAsia="宋体" w:cs="Times New Roman"/>
                      <w:color w:val="auto"/>
                      <w:spacing w:val="-10"/>
                      <w:sz w:val="18"/>
                      <w:szCs w:val="18"/>
                      <w:highlight w:val="none"/>
                      <w:lang w:val="en-US" w:eastAsia="zh-CN"/>
                    </w:rPr>
                  </w:pPr>
                  <w:r>
                    <w:rPr>
                      <w:rFonts w:hint="eastAsia" w:ascii="Times New Roman" w:hAnsi="Times New Roman" w:eastAsia="宋体" w:cs="Times New Roman"/>
                      <w:color w:val="auto"/>
                      <w:spacing w:val="-10"/>
                      <w:sz w:val="18"/>
                      <w:szCs w:val="18"/>
                      <w:highlight w:val="none"/>
                      <w:lang w:val="en-US" w:eastAsia="zh-CN"/>
                    </w:rPr>
                    <w:t>能力</w:t>
                  </w:r>
                </w:p>
              </w:tc>
              <w:tc>
                <w:tcPr>
                  <w:tcW w:w="552" w:type="dxa"/>
                  <w:tcBorders>
                    <w:tl2br w:val="nil"/>
                    <w:tr2bl w:val="nil"/>
                  </w:tcBorders>
                  <w:noWrap w:val="0"/>
                  <w:vAlign w:val="center"/>
                </w:tcPr>
                <w:p w14:paraId="6A879693">
                  <w:pPr>
                    <w:jc w:val="center"/>
                    <w:rPr>
                      <w:rFonts w:hint="eastAsia" w:ascii="Times New Roman" w:hAnsi="Times New Roman" w:eastAsia="宋体" w:cs="Times New Roman"/>
                      <w:color w:val="auto"/>
                      <w:spacing w:val="-10"/>
                      <w:sz w:val="18"/>
                      <w:szCs w:val="18"/>
                      <w:highlight w:val="none"/>
                      <w:lang w:val="en-US" w:eastAsia="zh-CN"/>
                    </w:rPr>
                  </w:pPr>
                  <w:r>
                    <w:rPr>
                      <w:rFonts w:hint="eastAsia" w:ascii="Times New Roman" w:hAnsi="Times New Roman" w:eastAsia="宋体" w:cs="Times New Roman"/>
                      <w:color w:val="auto"/>
                      <w:spacing w:val="-10"/>
                      <w:sz w:val="18"/>
                      <w:szCs w:val="18"/>
                      <w:highlight w:val="none"/>
                      <w:lang w:val="en-US" w:eastAsia="zh-CN"/>
                    </w:rPr>
                    <w:t>贮存</w:t>
                  </w:r>
                </w:p>
                <w:p w14:paraId="6B49D3C9">
                  <w:pPr>
                    <w:jc w:val="center"/>
                    <w:rPr>
                      <w:rFonts w:hint="eastAsia" w:ascii="Times New Roman" w:hAnsi="Times New Roman" w:eastAsia="宋体" w:cs="Times New Roman"/>
                      <w:color w:val="auto"/>
                      <w:spacing w:val="-10"/>
                      <w:sz w:val="18"/>
                      <w:szCs w:val="18"/>
                      <w:highlight w:val="none"/>
                      <w:lang w:val="en-US" w:eastAsia="zh-CN"/>
                    </w:rPr>
                  </w:pPr>
                  <w:r>
                    <w:rPr>
                      <w:rFonts w:hint="eastAsia" w:ascii="Times New Roman" w:hAnsi="Times New Roman" w:eastAsia="宋体" w:cs="Times New Roman"/>
                      <w:color w:val="auto"/>
                      <w:spacing w:val="-10"/>
                      <w:sz w:val="18"/>
                      <w:szCs w:val="18"/>
                      <w:highlight w:val="none"/>
                      <w:lang w:val="en-US" w:eastAsia="zh-CN"/>
                    </w:rPr>
                    <w:t>周期</w:t>
                  </w:r>
                </w:p>
              </w:tc>
              <w:tc>
                <w:tcPr>
                  <w:tcW w:w="1410" w:type="dxa"/>
                  <w:tcBorders>
                    <w:tl2br w:val="nil"/>
                    <w:tr2bl w:val="nil"/>
                  </w:tcBorders>
                  <w:noWrap w:val="0"/>
                  <w:vAlign w:val="center"/>
                </w:tcPr>
                <w:p w14:paraId="586FD852">
                  <w:pPr>
                    <w:jc w:val="center"/>
                    <w:rPr>
                      <w:rFonts w:hint="eastAsia" w:ascii="Times New Roman" w:hAnsi="Times New Roman" w:eastAsia="宋体" w:cs="Times New Roman"/>
                      <w:color w:val="auto"/>
                      <w:spacing w:val="-10"/>
                      <w:sz w:val="18"/>
                      <w:szCs w:val="18"/>
                      <w:highlight w:val="none"/>
                      <w:lang w:val="en-US" w:eastAsia="zh-CN"/>
                    </w:rPr>
                  </w:pPr>
                  <w:r>
                    <w:rPr>
                      <w:rFonts w:hint="eastAsia" w:ascii="Times New Roman" w:hAnsi="Times New Roman" w:eastAsia="宋体" w:cs="Times New Roman"/>
                      <w:color w:val="auto"/>
                      <w:spacing w:val="-10"/>
                      <w:sz w:val="18"/>
                      <w:szCs w:val="18"/>
                      <w:highlight w:val="none"/>
                      <w:lang w:val="en-US" w:eastAsia="zh-CN"/>
                    </w:rPr>
                    <w:t>防治措施</w:t>
                  </w:r>
                </w:p>
              </w:tc>
            </w:tr>
            <w:tr w14:paraId="43C60B19">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638" w:hRule="atLeast"/>
              </w:trPr>
              <w:tc>
                <w:tcPr>
                  <w:tcW w:w="729" w:type="dxa"/>
                  <w:vMerge w:val="restart"/>
                  <w:tcBorders>
                    <w:tl2br w:val="nil"/>
                    <w:tr2bl w:val="nil"/>
                  </w:tcBorders>
                  <w:noWrap w:val="0"/>
                  <w:vAlign w:val="center"/>
                </w:tcPr>
                <w:p w14:paraId="58E012BB">
                  <w:pPr>
                    <w:jc w:val="center"/>
                    <w:rPr>
                      <w:rFonts w:hint="eastAsia" w:ascii="Times New Roman" w:hAnsi="Times New Roman" w:eastAsia="宋体" w:cs="Times New Roman"/>
                      <w:color w:val="auto"/>
                      <w:spacing w:val="-10"/>
                      <w:sz w:val="18"/>
                      <w:szCs w:val="18"/>
                      <w:highlight w:val="none"/>
                      <w:lang w:val="en-US" w:eastAsia="zh-CN"/>
                    </w:rPr>
                  </w:pPr>
                  <w:r>
                    <w:rPr>
                      <w:rFonts w:hint="eastAsia" w:ascii="Times New Roman" w:hAnsi="Times New Roman" w:eastAsia="宋体" w:cs="Times New Roman"/>
                      <w:color w:val="auto"/>
                      <w:spacing w:val="-10"/>
                      <w:sz w:val="18"/>
                      <w:szCs w:val="18"/>
                      <w:highlight w:val="none"/>
                      <w:lang w:val="en-US" w:eastAsia="zh-CN"/>
                    </w:rPr>
                    <w:t>危废</w:t>
                  </w:r>
                </w:p>
                <w:p w14:paraId="13567FE7">
                  <w:pPr>
                    <w:jc w:val="center"/>
                    <w:rPr>
                      <w:rFonts w:hint="eastAsia" w:ascii="Times New Roman" w:hAnsi="Times New Roman" w:eastAsia="宋体" w:cs="Times New Roman"/>
                      <w:color w:val="auto"/>
                      <w:spacing w:val="-10"/>
                      <w:sz w:val="18"/>
                      <w:szCs w:val="18"/>
                      <w:highlight w:val="none"/>
                      <w:lang w:val="en-US" w:eastAsia="zh-CN"/>
                    </w:rPr>
                  </w:pPr>
                  <w:r>
                    <w:rPr>
                      <w:rFonts w:hint="eastAsia" w:ascii="Times New Roman" w:hAnsi="Times New Roman" w:eastAsia="宋体" w:cs="Times New Roman"/>
                      <w:color w:val="auto"/>
                      <w:spacing w:val="-10"/>
                      <w:sz w:val="18"/>
                      <w:szCs w:val="18"/>
                      <w:highlight w:val="none"/>
                      <w:lang w:val="en-US" w:eastAsia="zh-CN"/>
                    </w:rPr>
                    <w:t>间</w:t>
                  </w:r>
                </w:p>
              </w:tc>
              <w:tc>
                <w:tcPr>
                  <w:tcW w:w="759" w:type="dxa"/>
                  <w:tcBorders>
                    <w:tl2br w:val="nil"/>
                    <w:tr2bl w:val="nil"/>
                  </w:tcBorders>
                  <w:noWrap w:val="0"/>
                  <w:vAlign w:val="center"/>
                </w:tcPr>
                <w:p w14:paraId="4C8145F9">
                  <w:pPr>
                    <w:spacing w:line="0" w:lineRule="atLeast"/>
                    <w:jc w:val="center"/>
                    <w:rPr>
                      <w:rFonts w:hint="eastAsia" w:ascii="Times New Roman" w:hAnsi="Times New Roman" w:eastAsia="宋体" w:cs="Times New Roman"/>
                      <w:color w:val="auto"/>
                      <w:spacing w:val="-20"/>
                      <w:kern w:val="2"/>
                      <w:sz w:val="18"/>
                      <w:szCs w:val="18"/>
                      <w:lang w:val="en-US" w:eastAsia="zh-CN" w:bidi="ar-SA"/>
                    </w:rPr>
                  </w:pPr>
                  <w:r>
                    <w:rPr>
                      <w:rFonts w:hint="eastAsia" w:ascii="Times New Roman" w:hAnsi="Times New Roman" w:eastAsia="宋体" w:cs="Times New Roman"/>
                      <w:color w:val="auto"/>
                      <w:spacing w:val="-20"/>
                      <w:sz w:val="18"/>
                      <w:szCs w:val="18"/>
                      <w:lang w:val="en-US" w:eastAsia="zh-CN"/>
                    </w:rPr>
                    <w:t>废润滑油</w:t>
                  </w:r>
                </w:p>
              </w:tc>
              <w:tc>
                <w:tcPr>
                  <w:tcW w:w="758" w:type="dxa"/>
                  <w:tcBorders>
                    <w:tl2br w:val="nil"/>
                    <w:tr2bl w:val="nil"/>
                  </w:tcBorders>
                  <w:noWrap w:val="0"/>
                  <w:vAlign w:val="center"/>
                </w:tcPr>
                <w:p w14:paraId="0126D3A2">
                  <w:pPr>
                    <w:spacing w:line="0" w:lineRule="atLeast"/>
                    <w:jc w:val="center"/>
                    <w:rPr>
                      <w:rFonts w:hint="eastAsia" w:ascii="Times New Roman" w:hAnsi="Times New Roman" w:eastAsia="宋体" w:cs="Times New Roman"/>
                      <w:color w:val="auto"/>
                      <w:spacing w:val="-20"/>
                      <w:kern w:val="2"/>
                      <w:sz w:val="18"/>
                      <w:szCs w:val="18"/>
                      <w:lang w:val="en-US" w:eastAsia="zh-CN" w:bidi="ar-SA"/>
                    </w:rPr>
                  </w:pPr>
                  <w:r>
                    <w:rPr>
                      <w:rFonts w:ascii="Times New Roman" w:hAnsi="Times New Roman" w:eastAsia="宋体" w:cs="Times New Roman"/>
                      <w:color w:val="auto"/>
                      <w:spacing w:val="-20"/>
                      <w:sz w:val="18"/>
                      <w:szCs w:val="18"/>
                    </w:rPr>
                    <w:t>HW08</w:t>
                  </w:r>
                </w:p>
              </w:tc>
              <w:tc>
                <w:tcPr>
                  <w:tcW w:w="808" w:type="dxa"/>
                  <w:tcBorders>
                    <w:tl2br w:val="nil"/>
                    <w:tr2bl w:val="nil"/>
                  </w:tcBorders>
                  <w:noWrap w:val="0"/>
                  <w:vAlign w:val="center"/>
                </w:tcPr>
                <w:p w14:paraId="37BA3CF7">
                  <w:pPr>
                    <w:spacing w:line="0" w:lineRule="atLeast"/>
                    <w:jc w:val="center"/>
                    <w:rPr>
                      <w:rFonts w:hint="eastAsia" w:ascii="Times New Roman" w:hAnsi="Times New Roman" w:eastAsia="宋体" w:cs="Times New Roman"/>
                      <w:color w:val="auto"/>
                      <w:spacing w:val="-20"/>
                      <w:kern w:val="2"/>
                      <w:sz w:val="18"/>
                      <w:szCs w:val="18"/>
                      <w:lang w:val="en-US" w:eastAsia="zh-CN" w:bidi="ar-SA"/>
                    </w:rPr>
                  </w:pPr>
                  <w:r>
                    <w:rPr>
                      <w:rFonts w:ascii="Times New Roman" w:hAnsi="Times New Roman" w:eastAsia="宋体" w:cs="Times New Roman"/>
                      <w:color w:val="auto"/>
                      <w:spacing w:val="-20"/>
                      <w:sz w:val="18"/>
                      <w:szCs w:val="18"/>
                    </w:rPr>
                    <w:t>900-21</w:t>
                  </w:r>
                  <w:r>
                    <w:rPr>
                      <w:rFonts w:hint="eastAsia" w:cs="Times New Roman"/>
                      <w:color w:val="auto"/>
                      <w:spacing w:val="-20"/>
                      <w:sz w:val="18"/>
                      <w:szCs w:val="18"/>
                      <w:lang w:val="en-US" w:eastAsia="zh-CN"/>
                    </w:rPr>
                    <w:t>4</w:t>
                  </w:r>
                  <w:r>
                    <w:rPr>
                      <w:rFonts w:ascii="Times New Roman" w:hAnsi="Times New Roman" w:eastAsia="宋体" w:cs="Times New Roman"/>
                      <w:color w:val="auto"/>
                      <w:spacing w:val="-20"/>
                      <w:sz w:val="18"/>
                      <w:szCs w:val="18"/>
                    </w:rPr>
                    <w:t>-08</w:t>
                  </w:r>
                </w:p>
              </w:tc>
              <w:tc>
                <w:tcPr>
                  <w:tcW w:w="755" w:type="dxa"/>
                  <w:vMerge w:val="restart"/>
                  <w:tcBorders>
                    <w:right w:val="single" w:color="auto" w:sz="4" w:space="0"/>
                    <w:tl2br w:val="nil"/>
                    <w:tr2bl w:val="nil"/>
                  </w:tcBorders>
                  <w:noWrap w:val="0"/>
                  <w:vAlign w:val="center"/>
                </w:tcPr>
                <w:p w14:paraId="67ECF6BA">
                  <w:pPr>
                    <w:jc w:val="center"/>
                    <w:rPr>
                      <w:rFonts w:hint="default" w:ascii="Times New Roman" w:hAnsi="Times New Roman" w:eastAsia="宋体" w:cs="Times New Roman"/>
                      <w:color w:val="auto"/>
                      <w:spacing w:val="-10"/>
                      <w:sz w:val="18"/>
                      <w:szCs w:val="18"/>
                      <w:highlight w:val="none"/>
                      <w:lang w:val="en-US" w:eastAsia="zh-CN"/>
                    </w:rPr>
                  </w:pPr>
                  <w:r>
                    <w:rPr>
                      <w:rFonts w:hint="eastAsia"/>
                      <w:color w:val="auto"/>
                      <w:spacing w:val="-10"/>
                      <w:sz w:val="18"/>
                      <w:szCs w:val="18"/>
                      <w:highlight w:val="none"/>
                    </w:rPr>
                    <w:t>生产车间</w:t>
                  </w:r>
                  <w:r>
                    <w:rPr>
                      <w:rFonts w:hint="eastAsia"/>
                      <w:color w:val="auto"/>
                      <w:spacing w:val="-10"/>
                      <w:sz w:val="18"/>
                      <w:szCs w:val="18"/>
                      <w:highlight w:val="none"/>
                      <w:lang w:val="en-US" w:eastAsia="zh-CN"/>
                    </w:rPr>
                    <w:t>内</w:t>
                  </w:r>
                </w:p>
              </w:tc>
              <w:tc>
                <w:tcPr>
                  <w:tcW w:w="711" w:type="dxa"/>
                  <w:vMerge w:val="restart"/>
                  <w:tcBorders>
                    <w:left w:val="single" w:color="auto" w:sz="4" w:space="0"/>
                    <w:tl2br w:val="nil"/>
                    <w:tr2bl w:val="nil"/>
                  </w:tcBorders>
                  <w:noWrap w:val="0"/>
                  <w:vAlign w:val="center"/>
                </w:tcPr>
                <w:p w14:paraId="2A33A735">
                  <w:pPr>
                    <w:jc w:val="center"/>
                    <w:rPr>
                      <w:rFonts w:hint="eastAsia" w:cs="Times New Roman"/>
                      <w:color w:val="auto"/>
                      <w:spacing w:val="-10"/>
                      <w:sz w:val="18"/>
                      <w:szCs w:val="18"/>
                      <w:highlight w:val="none"/>
                      <w:lang w:val="en-US" w:eastAsia="zh-CN"/>
                    </w:rPr>
                  </w:pPr>
                  <w:r>
                    <w:rPr>
                      <w:rFonts w:hint="eastAsia" w:cs="Times New Roman"/>
                      <w:color w:val="auto"/>
                      <w:spacing w:val="-10"/>
                      <w:sz w:val="18"/>
                      <w:szCs w:val="18"/>
                      <w:highlight w:val="none"/>
                      <w:lang w:val="en-US" w:eastAsia="zh-CN"/>
                    </w:rPr>
                    <w:t>9</w:t>
                  </w:r>
                </w:p>
              </w:tc>
              <w:tc>
                <w:tcPr>
                  <w:tcW w:w="857" w:type="dxa"/>
                  <w:tcBorders>
                    <w:tl2br w:val="nil"/>
                    <w:tr2bl w:val="nil"/>
                  </w:tcBorders>
                  <w:noWrap w:val="0"/>
                  <w:vAlign w:val="center"/>
                </w:tcPr>
                <w:p w14:paraId="7975D2E4">
                  <w:pPr>
                    <w:jc w:val="center"/>
                    <w:rPr>
                      <w:rFonts w:hint="default" w:ascii="Times New Roman" w:hAnsi="Times New Roman" w:eastAsia="宋体" w:cs="Times New Roman"/>
                      <w:color w:val="auto"/>
                      <w:spacing w:val="-10"/>
                      <w:sz w:val="18"/>
                      <w:szCs w:val="18"/>
                      <w:highlight w:val="none"/>
                      <w:lang w:val="en-US" w:eastAsia="zh-CN"/>
                    </w:rPr>
                  </w:pPr>
                  <w:r>
                    <w:rPr>
                      <w:rFonts w:hint="eastAsia" w:ascii="Times New Roman" w:hAnsi="Times New Roman" w:eastAsia="宋体" w:cs="Times New Roman"/>
                      <w:color w:val="auto"/>
                      <w:spacing w:val="-10"/>
                      <w:sz w:val="18"/>
                      <w:szCs w:val="18"/>
                      <w:highlight w:val="none"/>
                      <w:lang w:val="en-US" w:eastAsia="zh-CN"/>
                    </w:rPr>
                    <w:t>专用容器桶</w:t>
                  </w:r>
                </w:p>
              </w:tc>
              <w:tc>
                <w:tcPr>
                  <w:tcW w:w="598" w:type="dxa"/>
                  <w:vMerge w:val="restart"/>
                  <w:tcBorders>
                    <w:tl2br w:val="nil"/>
                    <w:tr2bl w:val="nil"/>
                  </w:tcBorders>
                  <w:noWrap w:val="0"/>
                  <w:vAlign w:val="center"/>
                </w:tcPr>
                <w:p w14:paraId="1D2AA892">
                  <w:pPr>
                    <w:jc w:val="center"/>
                    <w:rPr>
                      <w:rFonts w:hint="default" w:ascii="Times New Roman" w:hAnsi="Times New Roman" w:eastAsia="宋体" w:cs="Times New Roman"/>
                      <w:color w:val="auto"/>
                      <w:spacing w:val="-10"/>
                      <w:sz w:val="18"/>
                      <w:szCs w:val="18"/>
                      <w:highlight w:val="none"/>
                      <w:lang w:val="en-US" w:eastAsia="zh-CN"/>
                    </w:rPr>
                  </w:pPr>
                  <w:r>
                    <w:rPr>
                      <w:rFonts w:hint="eastAsia" w:cs="Times New Roman"/>
                      <w:color w:val="auto"/>
                      <w:spacing w:val="-10"/>
                      <w:sz w:val="18"/>
                      <w:szCs w:val="18"/>
                      <w:highlight w:val="none"/>
                      <w:lang w:val="en-US" w:eastAsia="zh-CN"/>
                    </w:rPr>
                    <w:t>1t</w:t>
                  </w:r>
                </w:p>
              </w:tc>
              <w:tc>
                <w:tcPr>
                  <w:tcW w:w="552" w:type="dxa"/>
                  <w:vMerge w:val="restart"/>
                  <w:tcBorders>
                    <w:tl2br w:val="nil"/>
                    <w:tr2bl w:val="nil"/>
                  </w:tcBorders>
                  <w:noWrap w:val="0"/>
                  <w:vAlign w:val="center"/>
                </w:tcPr>
                <w:p w14:paraId="0899BF08">
                  <w:pPr>
                    <w:jc w:val="center"/>
                    <w:rPr>
                      <w:rFonts w:hint="eastAsia" w:ascii="Times New Roman" w:hAnsi="Times New Roman" w:eastAsia="宋体" w:cs="Times New Roman"/>
                      <w:color w:val="auto"/>
                      <w:spacing w:val="-10"/>
                      <w:sz w:val="18"/>
                      <w:szCs w:val="18"/>
                      <w:highlight w:val="none"/>
                      <w:lang w:val="en-US" w:eastAsia="zh-CN"/>
                    </w:rPr>
                  </w:pPr>
                  <w:r>
                    <w:rPr>
                      <w:rFonts w:hint="eastAsia" w:ascii="Times New Roman" w:hAnsi="Times New Roman" w:eastAsia="宋体" w:cs="Times New Roman"/>
                      <w:color w:val="auto"/>
                      <w:spacing w:val="-10"/>
                      <w:sz w:val="18"/>
                      <w:szCs w:val="18"/>
                      <w:highlight w:val="none"/>
                      <w:lang w:val="en-US" w:eastAsia="zh-CN"/>
                    </w:rPr>
                    <w:t>一年</w:t>
                  </w:r>
                </w:p>
              </w:tc>
              <w:tc>
                <w:tcPr>
                  <w:tcW w:w="1410" w:type="dxa"/>
                  <w:vMerge w:val="restart"/>
                  <w:tcBorders>
                    <w:tl2br w:val="nil"/>
                    <w:tr2bl w:val="nil"/>
                  </w:tcBorders>
                  <w:noWrap w:val="0"/>
                  <w:vAlign w:val="center"/>
                </w:tcPr>
                <w:p w14:paraId="4A7F3A08">
                  <w:pPr>
                    <w:jc w:val="center"/>
                    <w:rPr>
                      <w:rFonts w:hint="eastAsia" w:ascii="Times New Roman" w:hAnsi="Times New Roman" w:eastAsia="宋体" w:cs="Times New Roman"/>
                      <w:color w:val="auto"/>
                      <w:spacing w:val="-10"/>
                      <w:sz w:val="18"/>
                      <w:szCs w:val="18"/>
                      <w:highlight w:val="none"/>
                      <w:lang w:val="en-US" w:eastAsia="zh-CN"/>
                    </w:rPr>
                  </w:pPr>
                  <w:r>
                    <w:rPr>
                      <w:rFonts w:hint="eastAsia" w:ascii="Times New Roman" w:hAnsi="Times New Roman" w:eastAsia="宋体" w:cs="Times New Roman"/>
                      <w:color w:val="auto"/>
                      <w:spacing w:val="-10"/>
                      <w:sz w:val="18"/>
                      <w:szCs w:val="18"/>
                      <w:highlight w:val="none"/>
                      <w:lang w:val="en-US" w:eastAsia="zh-CN"/>
                    </w:rPr>
                    <w:t>裙角及地面设置2mm高密度聚乙烯膜，膜上、膜下设置保护层，保护层以上设置200mm抗渗混凝土，渗透系数不大于</w:t>
                  </w:r>
                  <w:r>
                    <w:rPr>
                      <w:rFonts w:hint="default" w:ascii="Times New Roman" w:hAnsi="Times New Roman" w:eastAsia="宋体" w:cs="Times New Roman"/>
                      <w:color w:val="auto"/>
                      <w:spacing w:val="-10"/>
                      <w:sz w:val="18"/>
                      <w:szCs w:val="18"/>
                      <w:highlight w:val="none"/>
                      <w:lang w:val="en-US" w:eastAsia="zh-CN"/>
                    </w:rPr>
                    <w:t>1.0×10</w:t>
                  </w:r>
                  <w:r>
                    <w:rPr>
                      <w:rFonts w:hint="default" w:ascii="Times New Roman" w:hAnsi="Times New Roman" w:eastAsia="宋体" w:cs="Times New Roman"/>
                      <w:color w:val="auto"/>
                      <w:spacing w:val="-10"/>
                      <w:sz w:val="18"/>
                      <w:szCs w:val="18"/>
                      <w:highlight w:val="none"/>
                      <w:vertAlign w:val="superscript"/>
                      <w:lang w:val="en-US" w:eastAsia="zh-CN"/>
                    </w:rPr>
                    <w:t>-</w:t>
                  </w:r>
                  <w:r>
                    <w:rPr>
                      <w:rFonts w:hint="eastAsia" w:cs="Times New Roman"/>
                      <w:color w:val="auto"/>
                      <w:spacing w:val="-10"/>
                      <w:sz w:val="18"/>
                      <w:szCs w:val="18"/>
                      <w:highlight w:val="none"/>
                      <w:vertAlign w:val="superscript"/>
                      <w:lang w:val="en-US" w:eastAsia="zh-CN"/>
                    </w:rPr>
                    <w:t>10</w:t>
                  </w:r>
                  <w:r>
                    <w:rPr>
                      <w:rFonts w:hint="default" w:ascii="Times New Roman" w:hAnsi="Times New Roman" w:eastAsia="宋体" w:cs="Times New Roman"/>
                      <w:color w:val="auto"/>
                      <w:spacing w:val="-10"/>
                      <w:sz w:val="18"/>
                      <w:szCs w:val="18"/>
                      <w:highlight w:val="none"/>
                      <w:lang w:val="en-US" w:eastAsia="zh-CN"/>
                    </w:rPr>
                    <w:t>cm/s</w:t>
                  </w:r>
                </w:p>
              </w:tc>
            </w:tr>
            <w:tr w14:paraId="3E14761B">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672" w:hRule="atLeast"/>
              </w:trPr>
              <w:tc>
                <w:tcPr>
                  <w:tcW w:w="729" w:type="dxa"/>
                  <w:vMerge w:val="continue"/>
                  <w:tcBorders>
                    <w:tl2br w:val="nil"/>
                    <w:tr2bl w:val="nil"/>
                  </w:tcBorders>
                  <w:noWrap w:val="0"/>
                  <w:vAlign w:val="center"/>
                </w:tcPr>
                <w:p w14:paraId="5D58D9A5">
                  <w:pPr>
                    <w:jc w:val="center"/>
                    <w:rPr>
                      <w:rFonts w:hint="eastAsia" w:ascii="Times New Roman" w:hAnsi="Times New Roman" w:eastAsia="宋体" w:cs="Times New Roman"/>
                      <w:color w:val="auto"/>
                      <w:spacing w:val="-10"/>
                      <w:sz w:val="18"/>
                      <w:szCs w:val="18"/>
                      <w:highlight w:val="none"/>
                      <w:lang w:val="en-US" w:eastAsia="zh-CN"/>
                    </w:rPr>
                  </w:pPr>
                </w:p>
              </w:tc>
              <w:tc>
                <w:tcPr>
                  <w:tcW w:w="759" w:type="dxa"/>
                  <w:tcBorders>
                    <w:tl2br w:val="nil"/>
                    <w:tr2bl w:val="nil"/>
                  </w:tcBorders>
                  <w:noWrap w:val="0"/>
                  <w:vAlign w:val="center"/>
                </w:tcPr>
                <w:p w14:paraId="6BF994A1">
                  <w:pPr>
                    <w:spacing w:line="0" w:lineRule="atLeast"/>
                    <w:jc w:val="center"/>
                    <w:rPr>
                      <w:rFonts w:hint="default" w:ascii="Times New Roman" w:hAnsi="Times New Roman" w:eastAsia="宋体" w:cs="Times New Roman"/>
                      <w:color w:val="auto"/>
                      <w:spacing w:val="-20"/>
                      <w:kern w:val="2"/>
                      <w:sz w:val="18"/>
                      <w:szCs w:val="18"/>
                      <w:lang w:val="en-US" w:eastAsia="zh-CN" w:bidi="ar-SA"/>
                    </w:rPr>
                  </w:pPr>
                  <w:r>
                    <w:rPr>
                      <w:rFonts w:hint="eastAsia" w:cs="Times New Roman"/>
                      <w:color w:val="auto"/>
                      <w:spacing w:val="-20"/>
                      <w:sz w:val="18"/>
                      <w:szCs w:val="18"/>
                      <w:lang w:val="en-US" w:eastAsia="zh-CN"/>
                    </w:rPr>
                    <w:t>废液压油</w:t>
                  </w:r>
                </w:p>
              </w:tc>
              <w:tc>
                <w:tcPr>
                  <w:tcW w:w="758" w:type="dxa"/>
                  <w:tcBorders>
                    <w:tl2br w:val="nil"/>
                    <w:tr2bl w:val="nil"/>
                  </w:tcBorders>
                  <w:noWrap w:val="0"/>
                  <w:vAlign w:val="center"/>
                </w:tcPr>
                <w:p w14:paraId="391CE5D6">
                  <w:pPr>
                    <w:spacing w:line="0" w:lineRule="atLeast"/>
                    <w:jc w:val="center"/>
                    <w:rPr>
                      <w:rFonts w:hint="eastAsia" w:ascii="Times New Roman" w:hAnsi="Times New Roman" w:eastAsia="宋体" w:cs="Times New Roman"/>
                      <w:color w:val="auto"/>
                      <w:spacing w:val="-20"/>
                      <w:kern w:val="2"/>
                      <w:sz w:val="18"/>
                      <w:szCs w:val="18"/>
                      <w:lang w:val="en-US" w:eastAsia="zh-CN" w:bidi="ar-SA"/>
                    </w:rPr>
                  </w:pPr>
                  <w:r>
                    <w:rPr>
                      <w:rFonts w:ascii="Times New Roman" w:hAnsi="Times New Roman" w:eastAsia="宋体" w:cs="Times New Roman"/>
                      <w:color w:val="auto"/>
                      <w:spacing w:val="-20"/>
                      <w:sz w:val="18"/>
                      <w:szCs w:val="18"/>
                    </w:rPr>
                    <w:t>HW08</w:t>
                  </w:r>
                </w:p>
              </w:tc>
              <w:tc>
                <w:tcPr>
                  <w:tcW w:w="808" w:type="dxa"/>
                  <w:tcBorders>
                    <w:tl2br w:val="nil"/>
                    <w:tr2bl w:val="nil"/>
                  </w:tcBorders>
                  <w:noWrap w:val="0"/>
                  <w:vAlign w:val="center"/>
                </w:tcPr>
                <w:p w14:paraId="3D6E05D6">
                  <w:pPr>
                    <w:spacing w:line="0" w:lineRule="atLeast"/>
                    <w:jc w:val="center"/>
                    <w:rPr>
                      <w:rFonts w:hint="eastAsia" w:ascii="Times New Roman" w:hAnsi="Times New Roman" w:eastAsia="宋体" w:cs="Times New Roman"/>
                      <w:color w:val="auto"/>
                      <w:spacing w:val="-20"/>
                      <w:kern w:val="2"/>
                      <w:sz w:val="18"/>
                      <w:szCs w:val="18"/>
                      <w:lang w:val="en-US" w:eastAsia="zh-CN" w:bidi="ar-SA"/>
                    </w:rPr>
                  </w:pPr>
                  <w:r>
                    <w:rPr>
                      <w:rFonts w:hint="eastAsia" w:ascii="Times New Roman" w:hAnsi="Times New Roman" w:eastAsia="宋体" w:cs="Times New Roman"/>
                      <w:color w:val="auto"/>
                      <w:spacing w:val="-20"/>
                      <w:sz w:val="18"/>
                      <w:szCs w:val="18"/>
                      <w:lang w:val="en-US" w:eastAsia="zh-CN"/>
                    </w:rPr>
                    <w:t>900-2</w:t>
                  </w:r>
                  <w:r>
                    <w:rPr>
                      <w:rFonts w:hint="eastAsia" w:cs="Times New Roman"/>
                      <w:color w:val="auto"/>
                      <w:spacing w:val="-20"/>
                      <w:sz w:val="18"/>
                      <w:szCs w:val="18"/>
                      <w:lang w:val="en-US" w:eastAsia="zh-CN"/>
                    </w:rPr>
                    <w:t>18</w:t>
                  </w:r>
                  <w:r>
                    <w:rPr>
                      <w:rFonts w:hint="eastAsia" w:ascii="Times New Roman" w:hAnsi="Times New Roman" w:eastAsia="宋体" w:cs="Times New Roman"/>
                      <w:color w:val="auto"/>
                      <w:spacing w:val="-20"/>
                      <w:sz w:val="18"/>
                      <w:szCs w:val="18"/>
                      <w:lang w:val="en-US" w:eastAsia="zh-CN"/>
                    </w:rPr>
                    <w:t>-08</w:t>
                  </w:r>
                </w:p>
              </w:tc>
              <w:tc>
                <w:tcPr>
                  <w:tcW w:w="755" w:type="dxa"/>
                  <w:vMerge w:val="continue"/>
                  <w:tcBorders>
                    <w:right w:val="single" w:color="auto" w:sz="4" w:space="0"/>
                    <w:tl2br w:val="nil"/>
                    <w:tr2bl w:val="nil"/>
                  </w:tcBorders>
                  <w:noWrap w:val="0"/>
                  <w:vAlign w:val="center"/>
                </w:tcPr>
                <w:p w14:paraId="59F6BDD0">
                  <w:pPr>
                    <w:jc w:val="center"/>
                    <w:rPr>
                      <w:rFonts w:hint="eastAsia" w:cs="Times New Roman"/>
                      <w:color w:val="auto"/>
                      <w:spacing w:val="-10"/>
                      <w:sz w:val="18"/>
                      <w:szCs w:val="18"/>
                      <w:highlight w:val="none"/>
                      <w:lang w:val="en-US" w:eastAsia="zh-CN"/>
                    </w:rPr>
                  </w:pPr>
                </w:p>
              </w:tc>
              <w:tc>
                <w:tcPr>
                  <w:tcW w:w="711" w:type="dxa"/>
                  <w:vMerge w:val="continue"/>
                  <w:tcBorders>
                    <w:left w:val="single" w:color="auto" w:sz="4" w:space="0"/>
                    <w:tl2br w:val="nil"/>
                    <w:tr2bl w:val="nil"/>
                  </w:tcBorders>
                  <w:noWrap w:val="0"/>
                  <w:vAlign w:val="center"/>
                </w:tcPr>
                <w:p w14:paraId="33E072C7">
                  <w:pPr>
                    <w:jc w:val="center"/>
                    <w:rPr>
                      <w:rFonts w:hint="eastAsia" w:cs="Times New Roman"/>
                      <w:color w:val="auto"/>
                      <w:spacing w:val="-10"/>
                      <w:sz w:val="18"/>
                      <w:szCs w:val="18"/>
                      <w:highlight w:val="none"/>
                      <w:lang w:val="en-US" w:eastAsia="zh-CN"/>
                    </w:rPr>
                  </w:pPr>
                </w:p>
              </w:tc>
              <w:tc>
                <w:tcPr>
                  <w:tcW w:w="857" w:type="dxa"/>
                  <w:tcBorders>
                    <w:bottom w:val="single" w:color="auto" w:sz="4" w:space="0"/>
                    <w:tl2br w:val="nil"/>
                    <w:tr2bl w:val="nil"/>
                  </w:tcBorders>
                  <w:noWrap w:val="0"/>
                  <w:vAlign w:val="center"/>
                </w:tcPr>
                <w:p w14:paraId="0DA94897">
                  <w:pPr>
                    <w:jc w:val="center"/>
                    <w:rPr>
                      <w:rFonts w:hint="eastAsia" w:ascii="Times New Roman" w:hAnsi="Times New Roman" w:eastAsia="宋体" w:cs="Times New Roman"/>
                      <w:color w:val="auto"/>
                      <w:spacing w:val="-10"/>
                      <w:kern w:val="2"/>
                      <w:sz w:val="18"/>
                      <w:szCs w:val="18"/>
                      <w:highlight w:val="none"/>
                      <w:lang w:val="en-US" w:eastAsia="zh-CN" w:bidi="ar-SA"/>
                    </w:rPr>
                  </w:pPr>
                  <w:r>
                    <w:rPr>
                      <w:rFonts w:hint="eastAsia" w:ascii="Times New Roman" w:hAnsi="Times New Roman" w:eastAsia="宋体" w:cs="Times New Roman"/>
                      <w:color w:val="auto"/>
                      <w:spacing w:val="-10"/>
                      <w:sz w:val="18"/>
                      <w:szCs w:val="18"/>
                      <w:highlight w:val="none"/>
                      <w:lang w:val="en-US" w:eastAsia="zh-CN"/>
                    </w:rPr>
                    <w:t>专用容器桶</w:t>
                  </w:r>
                </w:p>
              </w:tc>
              <w:tc>
                <w:tcPr>
                  <w:tcW w:w="598" w:type="dxa"/>
                  <w:vMerge w:val="continue"/>
                  <w:tcBorders>
                    <w:bottom w:val="single" w:color="auto" w:sz="4" w:space="0"/>
                    <w:tl2br w:val="nil"/>
                    <w:tr2bl w:val="nil"/>
                  </w:tcBorders>
                  <w:noWrap w:val="0"/>
                  <w:vAlign w:val="center"/>
                </w:tcPr>
                <w:p w14:paraId="495CB1FF">
                  <w:pPr>
                    <w:jc w:val="center"/>
                    <w:rPr>
                      <w:rFonts w:hint="eastAsia" w:cs="Times New Roman"/>
                      <w:color w:val="auto"/>
                      <w:spacing w:val="-10"/>
                      <w:sz w:val="18"/>
                      <w:szCs w:val="18"/>
                      <w:highlight w:val="none"/>
                      <w:lang w:val="en-US" w:eastAsia="zh-CN"/>
                    </w:rPr>
                  </w:pPr>
                </w:p>
              </w:tc>
              <w:tc>
                <w:tcPr>
                  <w:tcW w:w="552" w:type="dxa"/>
                  <w:vMerge w:val="continue"/>
                  <w:tcBorders>
                    <w:tl2br w:val="nil"/>
                    <w:tr2bl w:val="nil"/>
                  </w:tcBorders>
                  <w:noWrap w:val="0"/>
                  <w:vAlign w:val="center"/>
                </w:tcPr>
                <w:p w14:paraId="547ADC8A">
                  <w:pPr>
                    <w:jc w:val="center"/>
                    <w:rPr>
                      <w:rFonts w:hint="eastAsia" w:ascii="Times New Roman" w:hAnsi="Times New Roman" w:eastAsia="宋体" w:cs="Times New Roman"/>
                      <w:color w:val="auto"/>
                      <w:spacing w:val="-10"/>
                      <w:sz w:val="18"/>
                      <w:szCs w:val="18"/>
                      <w:highlight w:val="none"/>
                      <w:lang w:val="en-US" w:eastAsia="zh-CN"/>
                    </w:rPr>
                  </w:pPr>
                </w:p>
              </w:tc>
              <w:tc>
                <w:tcPr>
                  <w:tcW w:w="1410" w:type="dxa"/>
                  <w:vMerge w:val="continue"/>
                  <w:tcBorders>
                    <w:tl2br w:val="nil"/>
                    <w:tr2bl w:val="nil"/>
                  </w:tcBorders>
                  <w:noWrap w:val="0"/>
                  <w:vAlign w:val="center"/>
                </w:tcPr>
                <w:p w14:paraId="09ADB9CF">
                  <w:pPr>
                    <w:jc w:val="center"/>
                    <w:rPr>
                      <w:rFonts w:hint="eastAsia" w:ascii="Times New Roman" w:hAnsi="Times New Roman" w:eastAsia="宋体" w:cs="Times New Roman"/>
                      <w:color w:val="auto"/>
                      <w:spacing w:val="-10"/>
                      <w:sz w:val="18"/>
                      <w:szCs w:val="18"/>
                      <w:highlight w:val="none"/>
                      <w:lang w:val="en-US" w:eastAsia="zh-CN"/>
                    </w:rPr>
                  </w:pPr>
                </w:p>
              </w:tc>
            </w:tr>
            <w:tr w14:paraId="05707F56">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PrEx>
              <w:trPr>
                <w:trHeight w:val="454" w:hRule="atLeast"/>
              </w:trPr>
              <w:tc>
                <w:tcPr>
                  <w:tcW w:w="729" w:type="dxa"/>
                  <w:vMerge w:val="continue"/>
                  <w:tcBorders>
                    <w:tl2br w:val="nil"/>
                    <w:tr2bl w:val="nil"/>
                  </w:tcBorders>
                  <w:noWrap w:val="0"/>
                  <w:vAlign w:val="center"/>
                </w:tcPr>
                <w:p w14:paraId="3F1A23DB">
                  <w:pPr>
                    <w:jc w:val="center"/>
                    <w:rPr>
                      <w:rFonts w:hint="eastAsia" w:ascii="Times New Roman" w:hAnsi="Times New Roman" w:eastAsia="宋体" w:cs="Times New Roman"/>
                      <w:color w:val="auto"/>
                      <w:spacing w:val="-10"/>
                      <w:sz w:val="18"/>
                      <w:szCs w:val="18"/>
                      <w:highlight w:val="none"/>
                      <w:lang w:val="en-US" w:eastAsia="zh-CN"/>
                    </w:rPr>
                  </w:pPr>
                </w:p>
              </w:tc>
              <w:tc>
                <w:tcPr>
                  <w:tcW w:w="759" w:type="dxa"/>
                  <w:tcBorders>
                    <w:tl2br w:val="nil"/>
                    <w:tr2bl w:val="nil"/>
                  </w:tcBorders>
                  <w:noWrap w:val="0"/>
                  <w:vAlign w:val="center"/>
                </w:tcPr>
                <w:p w14:paraId="497B1E44">
                  <w:pPr>
                    <w:jc w:val="center"/>
                    <w:rPr>
                      <w:rFonts w:hint="eastAsia" w:ascii="Times New Roman" w:hAnsi="Times New Roman" w:eastAsia="宋体" w:cs="Times New Roman"/>
                      <w:color w:val="auto"/>
                      <w:spacing w:val="-10"/>
                      <w:kern w:val="2"/>
                      <w:sz w:val="18"/>
                      <w:szCs w:val="18"/>
                      <w:highlight w:val="none"/>
                      <w:lang w:val="en-US" w:eastAsia="zh-CN" w:bidi="ar-SA"/>
                    </w:rPr>
                  </w:pPr>
                  <w:r>
                    <w:rPr>
                      <w:rFonts w:hint="eastAsia" w:ascii="Times New Roman" w:hAnsi="Times New Roman" w:eastAsia="宋体" w:cs="Times New Roman"/>
                      <w:color w:val="auto"/>
                      <w:spacing w:val="-10"/>
                      <w:sz w:val="18"/>
                      <w:szCs w:val="18"/>
                      <w:highlight w:val="none"/>
                      <w:lang w:val="en-US" w:eastAsia="zh-CN"/>
                    </w:rPr>
                    <w:t>废油桶</w:t>
                  </w:r>
                </w:p>
              </w:tc>
              <w:tc>
                <w:tcPr>
                  <w:tcW w:w="758" w:type="dxa"/>
                  <w:tcBorders>
                    <w:tl2br w:val="nil"/>
                    <w:tr2bl w:val="nil"/>
                  </w:tcBorders>
                  <w:noWrap w:val="0"/>
                  <w:vAlign w:val="center"/>
                </w:tcPr>
                <w:p w14:paraId="6EA556F9">
                  <w:pPr>
                    <w:jc w:val="center"/>
                    <w:rPr>
                      <w:rFonts w:hint="eastAsia" w:ascii="Times New Roman" w:hAnsi="Times New Roman" w:eastAsia="宋体" w:cs="Times New Roman"/>
                      <w:color w:val="auto"/>
                      <w:spacing w:val="-10"/>
                      <w:kern w:val="2"/>
                      <w:sz w:val="18"/>
                      <w:szCs w:val="18"/>
                      <w:highlight w:val="none"/>
                      <w:lang w:val="en-US" w:eastAsia="zh-CN" w:bidi="ar-SA"/>
                    </w:rPr>
                  </w:pPr>
                  <w:r>
                    <w:rPr>
                      <w:rFonts w:hint="eastAsia" w:ascii="Times New Roman" w:hAnsi="Times New Roman" w:eastAsia="宋体" w:cs="Times New Roman"/>
                      <w:color w:val="auto"/>
                      <w:spacing w:val="-10"/>
                      <w:sz w:val="18"/>
                      <w:szCs w:val="18"/>
                      <w:highlight w:val="none"/>
                      <w:lang w:val="en-US" w:eastAsia="zh-CN"/>
                    </w:rPr>
                    <w:t>HW08</w:t>
                  </w:r>
                </w:p>
              </w:tc>
              <w:tc>
                <w:tcPr>
                  <w:tcW w:w="808" w:type="dxa"/>
                  <w:tcBorders>
                    <w:tl2br w:val="nil"/>
                    <w:tr2bl w:val="nil"/>
                  </w:tcBorders>
                  <w:noWrap w:val="0"/>
                  <w:vAlign w:val="center"/>
                </w:tcPr>
                <w:p w14:paraId="7420EF1C">
                  <w:pPr>
                    <w:spacing w:line="0" w:lineRule="atLeast"/>
                    <w:jc w:val="center"/>
                    <w:rPr>
                      <w:rFonts w:hint="eastAsia" w:ascii="Times New Roman" w:hAnsi="Times New Roman" w:eastAsia="宋体" w:cs="Times New Roman"/>
                      <w:color w:val="auto"/>
                      <w:spacing w:val="-10"/>
                      <w:kern w:val="2"/>
                      <w:sz w:val="18"/>
                      <w:szCs w:val="18"/>
                      <w:highlight w:val="none"/>
                      <w:lang w:val="en-US" w:eastAsia="zh-CN" w:bidi="ar-SA"/>
                    </w:rPr>
                  </w:pPr>
                  <w:r>
                    <w:rPr>
                      <w:color w:val="auto"/>
                      <w:spacing w:val="-20"/>
                      <w:sz w:val="18"/>
                      <w:szCs w:val="18"/>
                    </w:rPr>
                    <w:t>900-</w:t>
                  </w:r>
                  <w:r>
                    <w:rPr>
                      <w:rFonts w:hint="eastAsia"/>
                      <w:color w:val="auto"/>
                      <w:spacing w:val="-20"/>
                      <w:sz w:val="18"/>
                      <w:szCs w:val="18"/>
                    </w:rPr>
                    <w:t>249-08</w:t>
                  </w:r>
                </w:p>
              </w:tc>
              <w:tc>
                <w:tcPr>
                  <w:tcW w:w="755" w:type="dxa"/>
                  <w:vMerge w:val="continue"/>
                  <w:tcBorders>
                    <w:right w:val="single" w:color="auto" w:sz="4" w:space="0"/>
                    <w:tl2br w:val="nil"/>
                    <w:tr2bl w:val="nil"/>
                  </w:tcBorders>
                  <w:noWrap w:val="0"/>
                  <w:vAlign w:val="center"/>
                </w:tcPr>
                <w:p w14:paraId="65B8C607">
                  <w:pPr>
                    <w:jc w:val="center"/>
                    <w:rPr>
                      <w:rFonts w:hint="eastAsia" w:cs="Times New Roman"/>
                      <w:color w:val="auto"/>
                      <w:spacing w:val="-10"/>
                      <w:sz w:val="18"/>
                      <w:szCs w:val="18"/>
                      <w:highlight w:val="none"/>
                      <w:lang w:val="en-US" w:eastAsia="zh-CN"/>
                    </w:rPr>
                  </w:pPr>
                </w:p>
              </w:tc>
              <w:tc>
                <w:tcPr>
                  <w:tcW w:w="711" w:type="dxa"/>
                  <w:vMerge w:val="continue"/>
                  <w:tcBorders>
                    <w:left w:val="single" w:color="auto" w:sz="4" w:space="0"/>
                    <w:tl2br w:val="nil"/>
                    <w:tr2bl w:val="nil"/>
                  </w:tcBorders>
                  <w:noWrap w:val="0"/>
                  <w:vAlign w:val="center"/>
                </w:tcPr>
                <w:p w14:paraId="0C2ABF7A">
                  <w:pPr>
                    <w:jc w:val="center"/>
                    <w:rPr>
                      <w:rFonts w:hint="eastAsia" w:cs="Times New Roman"/>
                      <w:color w:val="auto"/>
                      <w:spacing w:val="-10"/>
                      <w:sz w:val="18"/>
                      <w:szCs w:val="18"/>
                      <w:highlight w:val="none"/>
                      <w:lang w:val="en-US" w:eastAsia="zh-CN"/>
                    </w:rPr>
                  </w:pPr>
                </w:p>
              </w:tc>
              <w:tc>
                <w:tcPr>
                  <w:tcW w:w="857" w:type="dxa"/>
                  <w:tcBorders>
                    <w:top w:val="single" w:color="auto" w:sz="4" w:space="0"/>
                    <w:tl2br w:val="nil"/>
                    <w:tr2bl w:val="nil"/>
                  </w:tcBorders>
                  <w:noWrap w:val="0"/>
                  <w:vAlign w:val="center"/>
                </w:tcPr>
                <w:p w14:paraId="2C828461">
                  <w:pPr>
                    <w:jc w:val="center"/>
                    <w:rPr>
                      <w:rFonts w:hint="eastAsia" w:ascii="Times New Roman" w:hAnsi="Times New Roman" w:eastAsia="宋体" w:cs="Times New Roman"/>
                      <w:color w:val="auto"/>
                      <w:spacing w:val="-10"/>
                      <w:kern w:val="2"/>
                      <w:sz w:val="18"/>
                      <w:szCs w:val="18"/>
                      <w:highlight w:val="none"/>
                      <w:lang w:val="en-US" w:eastAsia="zh-CN" w:bidi="ar-SA"/>
                    </w:rPr>
                  </w:pPr>
                  <w:r>
                    <w:rPr>
                      <w:rFonts w:hint="default" w:ascii="Times New Roman" w:hAnsi="Times New Roman" w:eastAsia="宋体" w:cs="Times New Roman"/>
                      <w:color w:val="auto"/>
                      <w:spacing w:val="-10"/>
                      <w:sz w:val="18"/>
                      <w:szCs w:val="18"/>
                      <w:highlight w:val="none"/>
                      <w:lang w:val="en-US" w:eastAsia="zh-CN"/>
                    </w:rPr>
                    <w:t>原盖封存</w:t>
                  </w:r>
                </w:p>
              </w:tc>
              <w:tc>
                <w:tcPr>
                  <w:tcW w:w="598" w:type="dxa"/>
                  <w:tcBorders>
                    <w:top w:val="single" w:color="auto" w:sz="4" w:space="0"/>
                    <w:tl2br w:val="nil"/>
                    <w:tr2bl w:val="nil"/>
                  </w:tcBorders>
                  <w:noWrap w:val="0"/>
                  <w:vAlign w:val="center"/>
                </w:tcPr>
                <w:p w14:paraId="5CC762C1">
                  <w:pPr>
                    <w:jc w:val="center"/>
                    <w:rPr>
                      <w:rFonts w:hint="default" w:cs="Times New Roman"/>
                      <w:color w:val="auto"/>
                      <w:spacing w:val="-10"/>
                      <w:sz w:val="18"/>
                      <w:szCs w:val="18"/>
                      <w:highlight w:val="none"/>
                      <w:lang w:val="en-US" w:eastAsia="zh-CN"/>
                    </w:rPr>
                  </w:pPr>
                  <w:r>
                    <w:rPr>
                      <w:rFonts w:hint="eastAsia" w:cs="Times New Roman"/>
                      <w:color w:val="auto"/>
                      <w:spacing w:val="-10"/>
                      <w:sz w:val="18"/>
                      <w:szCs w:val="18"/>
                      <w:highlight w:val="none"/>
                      <w:lang w:val="en-US" w:eastAsia="zh-CN"/>
                    </w:rPr>
                    <w:t>0.4t</w:t>
                  </w:r>
                </w:p>
              </w:tc>
              <w:tc>
                <w:tcPr>
                  <w:tcW w:w="552" w:type="dxa"/>
                  <w:vMerge w:val="continue"/>
                  <w:tcBorders>
                    <w:tl2br w:val="nil"/>
                    <w:tr2bl w:val="nil"/>
                  </w:tcBorders>
                  <w:noWrap w:val="0"/>
                  <w:vAlign w:val="center"/>
                </w:tcPr>
                <w:p w14:paraId="0B27C54A">
                  <w:pPr>
                    <w:jc w:val="center"/>
                    <w:rPr>
                      <w:rFonts w:hint="eastAsia" w:ascii="Times New Roman" w:hAnsi="Times New Roman" w:eastAsia="宋体" w:cs="Times New Roman"/>
                      <w:color w:val="auto"/>
                      <w:spacing w:val="-10"/>
                      <w:sz w:val="18"/>
                      <w:szCs w:val="18"/>
                      <w:highlight w:val="none"/>
                      <w:lang w:val="en-US" w:eastAsia="zh-CN"/>
                    </w:rPr>
                  </w:pPr>
                </w:p>
              </w:tc>
              <w:tc>
                <w:tcPr>
                  <w:tcW w:w="1410" w:type="dxa"/>
                  <w:vMerge w:val="continue"/>
                  <w:tcBorders>
                    <w:tl2br w:val="nil"/>
                    <w:tr2bl w:val="nil"/>
                  </w:tcBorders>
                  <w:noWrap w:val="0"/>
                  <w:vAlign w:val="center"/>
                </w:tcPr>
                <w:p w14:paraId="524FD78C">
                  <w:pPr>
                    <w:jc w:val="center"/>
                    <w:rPr>
                      <w:rFonts w:hint="eastAsia" w:ascii="Times New Roman" w:hAnsi="Times New Roman" w:eastAsia="宋体" w:cs="Times New Roman"/>
                      <w:color w:val="auto"/>
                      <w:spacing w:val="-10"/>
                      <w:sz w:val="18"/>
                      <w:szCs w:val="18"/>
                      <w:highlight w:val="none"/>
                      <w:lang w:val="en-US" w:eastAsia="zh-CN"/>
                    </w:rPr>
                  </w:pPr>
                </w:p>
              </w:tc>
            </w:tr>
          </w:tbl>
          <w:p w14:paraId="099D1EAB">
            <w:pPr>
              <w:pStyle w:val="24"/>
              <w:keepNext w:val="0"/>
              <w:keepLines w:val="0"/>
              <w:pageBreakBefore w:val="0"/>
              <w:widowControl/>
              <w:kinsoku/>
              <w:wordWrap/>
              <w:overflowPunct/>
              <w:topLinePunct w:val="0"/>
              <w:autoSpaceDE/>
              <w:autoSpaceDN/>
              <w:bidi w:val="0"/>
              <w:adjustRightInd w:val="0"/>
              <w:snapToGrid w:val="0"/>
              <w:spacing w:before="0" w:beforeAutospacing="0" w:after="0" w:afterAutospacing="0" w:line="440" w:lineRule="exact"/>
              <w:ind w:firstLine="422" w:firstLineChars="200"/>
              <w:textAlignment w:val="auto"/>
              <w:rPr>
                <w:rFonts w:hint="eastAsia" w:ascii="Times New Roman" w:hAnsi="Times New Roman" w:eastAsia="宋体" w:cs="Times New Roman"/>
                <w:b/>
                <w:color w:val="auto"/>
                <w:sz w:val="21"/>
                <w:szCs w:val="21"/>
                <w:lang w:val="en-US" w:eastAsia="zh-CN"/>
              </w:rPr>
            </w:pPr>
            <w:r>
              <w:rPr>
                <w:rFonts w:hint="eastAsia" w:ascii="Times New Roman" w:hAnsi="Times New Roman" w:eastAsia="宋体" w:cs="Times New Roman"/>
                <w:b/>
                <w:color w:val="auto"/>
                <w:sz w:val="21"/>
                <w:szCs w:val="21"/>
                <w:lang w:val="en-US" w:eastAsia="zh-CN"/>
              </w:rPr>
              <w:t>4.3.</w:t>
            </w:r>
            <w:r>
              <w:rPr>
                <w:rFonts w:hint="eastAsia" w:ascii="Times New Roman" w:hAnsi="Times New Roman" w:cs="Times New Roman"/>
                <w:b/>
                <w:color w:val="auto"/>
                <w:sz w:val="21"/>
                <w:szCs w:val="21"/>
                <w:lang w:val="en-US" w:eastAsia="zh-CN"/>
              </w:rPr>
              <w:t>3</w:t>
            </w:r>
            <w:r>
              <w:rPr>
                <w:rFonts w:hint="eastAsia" w:ascii="Times New Roman" w:hAnsi="Times New Roman" w:eastAsia="宋体" w:cs="Times New Roman"/>
                <w:b/>
                <w:color w:val="auto"/>
                <w:sz w:val="21"/>
                <w:szCs w:val="21"/>
              </w:rPr>
              <w:t>危险废物</w:t>
            </w:r>
            <w:r>
              <w:rPr>
                <w:rFonts w:hint="eastAsia" w:ascii="Times New Roman" w:hAnsi="Times New Roman" w:eastAsia="宋体" w:cs="Times New Roman"/>
                <w:b/>
                <w:color w:val="auto"/>
                <w:sz w:val="21"/>
                <w:szCs w:val="21"/>
                <w:lang w:val="en-US" w:eastAsia="zh-CN"/>
              </w:rPr>
              <w:t xml:space="preserve">日常管理要求 </w:t>
            </w:r>
          </w:p>
          <w:p w14:paraId="053B76A5">
            <w:pPr>
              <w:pStyle w:val="24"/>
              <w:keepNext w:val="0"/>
              <w:keepLines w:val="0"/>
              <w:pageBreakBefore w:val="0"/>
              <w:widowControl/>
              <w:kinsoku/>
              <w:wordWrap/>
              <w:overflowPunct/>
              <w:topLinePunct w:val="0"/>
              <w:autoSpaceDE/>
              <w:autoSpaceDN/>
              <w:bidi w:val="0"/>
              <w:adjustRightInd w:val="0"/>
              <w:snapToGrid w:val="0"/>
              <w:spacing w:before="0" w:beforeAutospacing="0" w:after="0" w:afterAutospacing="0" w:line="440" w:lineRule="exact"/>
              <w:ind w:firstLine="420" w:firstLineChars="200"/>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依照《中华人民共和国固体废物污染环境防治法》，对危险废物提出以下要求：危险废物贮存按《危险废物贮存污染控制标准》（GB18597-20</w:t>
            </w:r>
            <w:r>
              <w:rPr>
                <w:rFonts w:hint="eastAsia" w:ascii="Times New Roman" w:hAnsi="Times New Roman" w:cs="Times New Roman"/>
                <w:color w:val="auto"/>
                <w:sz w:val="21"/>
                <w:szCs w:val="21"/>
                <w:highlight w:val="none"/>
                <w:lang w:val="en-US" w:eastAsia="zh-CN"/>
              </w:rPr>
              <w:t>23</w:t>
            </w:r>
            <w:r>
              <w:rPr>
                <w:rFonts w:hint="default" w:ascii="Times New Roman" w:hAnsi="Times New Roman" w:eastAsia="宋体" w:cs="Times New Roman"/>
                <w:color w:val="auto"/>
                <w:sz w:val="21"/>
                <w:szCs w:val="21"/>
                <w:highlight w:val="none"/>
                <w:lang w:val="en-US" w:eastAsia="zh-CN"/>
              </w:rPr>
              <w:t>）规定进行：</w:t>
            </w:r>
          </w:p>
          <w:p w14:paraId="71DD6B6F">
            <w:pPr>
              <w:pStyle w:val="24"/>
              <w:keepNext w:val="0"/>
              <w:keepLines w:val="0"/>
              <w:pageBreakBefore w:val="0"/>
              <w:widowControl/>
              <w:kinsoku/>
              <w:wordWrap/>
              <w:overflowPunct/>
              <w:topLinePunct w:val="0"/>
              <w:autoSpaceDE/>
              <w:autoSpaceDN/>
              <w:bidi w:val="0"/>
              <w:adjustRightInd w:val="0"/>
              <w:snapToGrid w:val="0"/>
              <w:spacing w:before="0" w:beforeAutospacing="0" w:after="0" w:afterAutospacing="0" w:line="440" w:lineRule="exact"/>
              <w:ind w:firstLine="420" w:firstLineChars="200"/>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①必须将危险废物装入容器内，装载危险废物的容器内须留足够空间。</w:t>
            </w:r>
          </w:p>
          <w:p w14:paraId="0974A052">
            <w:pPr>
              <w:pStyle w:val="24"/>
              <w:keepNext w:val="0"/>
              <w:keepLines w:val="0"/>
              <w:pageBreakBefore w:val="0"/>
              <w:widowControl/>
              <w:kinsoku/>
              <w:wordWrap/>
              <w:overflowPunct/>
              <w:topLinePunct w:val="0"/>
              <w:autoSpaceDE/>
              <w:autoSpaceDN/>
              <w:bidi w:val="0"/>
              <w:adjustRightInd w:val="0"/>
              <w:snapToGrid w:val="0"/>
              <w:spacing w:before="0" w:beforeAutospacing="0" w:after="0" w:afterAutospacing="0" w:line="440" w:lineRule="exact"/>
              <w:ind w:firstLine="420" w:firstLineChars="200"/>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②盛装危险废物的容器上必须粘贴符合标准要求的标签。</w:t>
            </w:r>
          </w:p>
          <w:p w14:paraId="7EB57359">
            <w:pPr>
              <w:pStyle w:val="24"/>
              <w:keepNext w:val="0"/>
              <w:keepLines w:val="0"/>
              <w:pageBreakBefore w:val="0"/>
              <w:widowControl/>
              <w:kinsoku/>
              <w:wordWrap/>
              <w:overflowPunct/>
              <w:topLinePunct w:val="0"/>
              <w:autoSpaceDE/>
              <w:autoSpaceDN/>
              <w:bidi w:val="0"/>
              <w:adjustRightInd w:val="0"/>
              <w:snapToGrid w:val="0"/>
              <w:spacing w:before="0" w:beforeAutospacing="0" w:after="0" w:afterAutospacing="0" w:line="440" w:lineRule="exact"/>
              <w:ind w:firstLine="420" w:firstLineChars="200"/>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③装载危险废物的容器及材质要满足相应的强度要求，装载危险废物的容器必须完好无损。</w:t>
            </w:r>
          </w:p>
          <w:p w14:paraId="0324CA89">
            <w:pPr>
              <w:pStyle w:val="24"/>
              <w:keepNext w:val="0"/>
              <w:keepLines w:val="0"/>
              <w:pageBreakBefore w:val="0"/>
              <w:widowControl/>
              <w:kinsoku/>
              <w:wordWrap/>
              <w:overflowPunct/>
              <w:topLinePunct w:val="0"/>
              <w:autoSpaceDE/>
              <w:autoSpaceDN/>
              <w:bidi w:val="0"/>
              <w:adjustRightInd w:val="0"/>
              <w:snapToGrid w:val="0"/>
              <w:spacing w:before="0" w:beforeAutospacing="0" w:after="0" w:afterAutospacing="0" w:line="440" w:lineRule="exact"/>
              <w:ind w:firstLine="420" w:firstLineChars="200"/>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④作好危险废物情况的记录，记录上须注明危险废物的名称、来源、数量、特性和包装容器的类别、入库日期、存放库位、废物出库日期及接收单位名称。危险废物的记录和货单在危险废物回取后应继续保留三年。</w:t>
            </w:r>
          </w:p>
          <w:p w14:paraId="5708E1B8">
            <w:pPr>
              <w:pStyle w:val="24"/>
              <w:keepNext w:val="0"/>
              <w:keepLines w:val="0"/>
              <w:pageBreakBefore w:val="0"/>
              <w:widowControl/>
              <w:kinsoku/>
              <w:wordWrap/>
              <w:overflowPunct/>
              <w:topLinePunct w:val="0"/>
              <w:autoSpaceDE/>
              <w:autoSpaceDN/>
              <w:bidi w:val="0"/>
              <w:adjustRightInd w:val="0"/>
              <w:snapToGrid w:val="0"/>
              <w:spacing w:before="0" w:beforeAutospacing="0" w:after="0" w:afterAutospacing="0" w:line="440" w:lineRule="exact"/>
              <w:ind w:firstLine="420" w:firstLineChars="200"/>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⑤必须定期对所贮存的危险废物包装容器及贮存设施进行检查，发现破损，应及时采取措施清理更换。</w:t>
            </w:r>
          </w:p>
          <w:p w14:paraId="33B102C1">
            <w:pPr>
              <w:spacing w:line="440" w:lineRule="exact"/>
              <w:jc w:val="center"/>
              <w:rPr>
                <w:rFonts w:hint="default" w:ascii="Times New Roman" w:hAnsi="Times New Roman" w:eastAsia="宋体" w:cs="Times New Roman"/>
                <w:b/>
                <w:color w:val="auto"/>
                <w:szCs w:val="21"/>
                <w:highlight w:val="none"/>
                <w:lang w:val="en-US" w:eastAsia="zh-CN"/>
              </w:rPr>
            </w:pPr>
            <w:r>
              <w:rPr>
                <w:rFonts w:hint="default" w:ascii="Times New Roman" w:hAnsi="Times New Roman" w:eastAsia="宋体" w:cs="Times New Roman"/>
                <w:b/>
                <w:color w:val="auto"/>
                <w:szCs w:val="21"/>
                <w:highlight w:val="none"/>
                <w:lang w:val="en-US" w:eastAsia="zh-CN"/>
              </w:rPr>
              <w:t>表</w:t>
            </w:r>
            <w:r>
              <w:rPr>
                <w:rFonts w:hint="eastAsia" w:cs="Times New Roman"/>
                <w:b/>
                <w:color w:val="auto"/>
                <w:szCs w:val="21"/>
                <w:highlight w:val="none"/>
                <w:lang w:val="en-US" w:eastAsia="zh-CN"/>
              </w:rPr>
              <w:t>45</w:t>
            </w:r>
            <w:r>
              <w:rPr>
                <w:rFonts w:hint="default" w:ascii="Times New Roman" w:hAnsi="Times New Roman" w:eastAsia="宋体" w:cs="Times New Roman"/>
                <w:b/>
                <w:color w:val="auto"/>
                <w:szCs w:val="21"/>
                <w:highlight w:val="none"/>
                <w:lang w:val="en-US" w:eastAsia="zh-CN"/>
              </w:rPr>
              <w:t xml:space="preserve"> </w:t>
            </w:r>
            <w:r>
              <w:rPr>
                <w:rFonts w:hint="eastAsia" w:ascii="Times New Roman" w:hAnsi="Times New Roman" w:eastAsia="宋体" w:cs="Times New Roman"/>
                <w:b/>
                <w:color w:val="auto"/>
                <w:szCs w:val="21"/>
                <w:highlight w:val="none"/>
                <w:lang w:val="en-US" w:eastAsia="zh-CN"/>
              </w:rPr>
              <w:t xml:space="preserve"> </w:t>
            </w:r>
            <w:r>
              <w:rPr>
                <w:rFonts w:hint="default" w:ascii="Times New Roman" w:hAnsi="Times New Roman" w:eastAsia="宋体" w:cs="Times New Roman"/>
                <w:b/>
                <w:color w:val="auto"/>
                <w:szCs w:val="21"/>
                <w:highlight w:val="none"/>
                <w:lang w:val="en-US" w:eastAsia="zh-CN"/>
              </w:rPr>
              <w:t>危废间及储存容器标签示例</w:t>
            </w:r>
          </w:p>
          <w:tbl>
            <w:tblPr>
              <w:tblStyle w:val="28"/>
              <w:tblW w:w="7942"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2406"/>
              <w:gridCol w:w="5536"/>
            </w:tblGrid>
            <w:tr w14:paraId="6B35358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464" w:hRule="atLeast"/>
                <w:jc w:val="center"/>
              </w:trPr>
              <w:tc>
                <w:tcPr>
                  <w:tcW w:w="2406" w:type="dxa"/>
                  <w:tcBorders>
                    <w:tl2br w:val="nil"/>
                    <w:tr2bl w:val="nil"/>
                  </w:tcBorders>
                  <w:noWrap w:val="0"/>
                  <w:vAlign w:val="center"/>
                </w:tcPr>
                <w:p w14:paraId="570AC74E">
                  <w:pPr>
                    <w:keepNext w:val="0"/>
                    <w:keepLines w:val="0"/>
                    <w:suppressLineNumbers w:val="0"/>
                    <w:shd w:val="clear" w:color="auto" w:fill="auto"/>
                    <w:spacing w:before="0" w:beforeAutospacing="0" w:after="0" w:afterAutospacing="0"/>
                    <w:ind w:left="0" w:right="0"/>
                    <w:jc w:val="center"/>
                    <w:rPr>
                      <w:rFonts w:hint="default" w:ascii="Times New Roman" w:hAnsi="Times New Roman" w:eastAsia="仿宋_GB2312" w:cs="Times New Roman"/>
                      <w:color w:val="auto"/>
                      <w:sz w:val="18"/>
                      <w:szCs w:val="18"/>
                      <w:highlight w:val="none"/>
                    </w:rPr>
                  </w:pPr>
                  <w:r>
                    <w:rPr>
                      <w:color w:val="auto"/>
                    </w:rPr>
                    <w:drawing>
                      <wp:inline distT="0" distB="0" distL="114300" distR="114300">
                        <wp:extent cx="1383030" cy="876300"/>
                        <wp:effectExtent l="0" t="0" r="7620" b="0"/>
                        <wp:docPr id="13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 name="图片 2"/>
                                <pic:cNvPicPr>
                                  <a:picLocks noChangeAspect="1"/>
                                </pic:cNvPicPr>
                              </pic:nvPicPr>
                              <pic:blipFill>
                                <a:blip r:embed="rId15"/>
                                <a:stretch>
                                  <a:fillRect/>
                                </a:stretch>
                              </pic:blipFill>
                              <pic:spPr>
                                <a:xfrm>
                                  <a:off x="0" y="0"/>
                                  <a:ext cx="1383030" cy="876300"/>
                                </a:xfrm>
                                <a:prstGeom prst="rect">
                                  <a:avLst/>
                                </a:prstGeom>
                                <a:noFill/>
                                <a:ln>
                                  <a:noFill/>
                                </a:ln>
                              </pic:spPr>
                            </pic:pic>
                          </a:graphicData>
                        </a:graphic>
                      </wp:inline>
                    </w:drawing>
                  </w:r>
                </w:p>
              </w:tc>
              <w:tc>
                <w:tcPr>
                  <w:tcW w:w="5536" w:type="dxa"/>
                  <w:vMerge w:val="restart"/>
                  <w:tcBorders>
                    <w:tl2br w:val="nil"/>
                    <w:tr2bl w:val="nil"/>
                  </w:tcBorders>
                  <w:noWrap w:val="0"/>
                  <w:vAlign w:val="center"/>
                </w:tcPr>
                <w:p w14:paraId="43322D88">
                  <w:pPr>
                    <w:keepNext w:val="0"/>
                    <w:keepLines w:val="0"/>
                    <w:pageBreakBefore w:val="0"/>
                    <w:widowControl w:val="0"/>
                    <w:kinsoku/>
                    <w:wordWrap/>
                    <w:overflowPunct/>
                    <w:topLinePunct w:val="0"/>
                    <w:autoSpaceDE/>
                    <w:autoSpaceDN/>
                    <w:bidi w:val="0"/>
                    <w:adjustRightInd/>
                    <w:snapToGrid/>
                    <w:ind w:firstLine="320" w:firstLineChars="200"/>
                    <w:jc w:val="left"/>
                    <w:textAlignment w:val="auto"/>
                    <w:rPr>
                      <w:rFonts w:hint="default" w:ascii="Times New Roman" w:hAnsi="Times New Roman" w:eastAsia="宋体" w:cs="Times New Roman"/>
                      <w:color w:val="auto"/>
                      <w:spacing w:val="-10"/>
                      <w:sz w:val="18"/>
                      <w:szCs w:val="18"/>
                      <w:highlight w:val="none"/>
                      <w:lang w:val="en-US" w:eastAsia="zh-CN"/>
                    </w:rPr>
                  </w:pPr>
                  <w:r>
                    <w:rPr>
                      <w:rFonts w:hint="default" w:ascii="Times New Roman" w:hAnsi="Times New Roman" w:eastAsia="宋体" w:cs="Times New Roman"/>
                      <w:color w:val="auto"/>
                      <w:spacing w:val="-10"/>
                      <w:sz w:val="18"/>
                      <w:szCs w:val="18"/>
                      <w:highlight w:val="none"/>
                      <w:lang w:val="en-US" w:eastAsia="zh-CN"/>
                    </w:rPr>
                    <w:t>说明：</w:t>
                  </w:r>
                </w:p>
                <w:p w14:paraId="341892C5">
                  <w:pPr>
                    <w:keepNext w:val="0"/>
                    <w:keepLines w:val="0"/>
                    <w:pageBreakBefore w:val="0"/>
                    <w:widowControl w:val="0"/>
                    <w:numPr>
                      <w:ilvl w:val="0"/>
                      <w:numId w:val="10"/>
                    </w:numPr>
                    <w:kinsoku/>
                    <w:wordWrap/>
                    <w:overflowPunct/>
                    <w:topLinePunct w:val="0"/>
                    <w:autoSpaceDE/>
                    <w:autoSpaceDN/>
                    <w:bidi w:val="0"/>
                    <w:adjustRightInd/>
                    <w:snapToGrid/>
                    <w:ind w:firstLine="320" w:firstLineChars="200"/>
                    <w:jc w:val="left"/>
                    <w:textAlignment w:val="auto"/>
                    <w:rPr>
                      <w:rFonts w:hint="eastAsia" w:ascii="Times New Roman" w:hAnsi="Times New Roman" w:eastAsia="宋体" w:cs="Times New Roman"/>
                      <w:color w:val="auto"/>
                      <w:spacing w:val="-10"/>
                      <w:sz w:val="18"/>
                      <w:szCs w:val="18"/>
                      <w:highlight w:val="none"/>
                      <w:lang w:val="en-US" w:eastAsia="zh-CN"/>
                    </w:rPr>
                  </w:pPr>
                  <w:r>
                    <w:rPr>
                      <w:rFonts w:hint="eastAsia" w:ascii="Times New Roman" w:hAnsi="Times New Roman" w:eastAsia="宋体" w:cs="Times New Roman"/>
                      <w:color w:val="auto"/>
                      <w:spacing w:val="-10"/>
                      <w:sz w:val="18"/>
                      <w:szCs w:val="18"/>
                      <w:highlight w:val="none"/>
                      <w:lang w:val="en-US" w:eastAsia="zh-CN"/>
                    </w:rPr>
                    <w:t>标签</w:t>
                  </w:r>
                  <w:r>
                    <w:rPr>
                      <w:rFonts w:hint="default" w:ascii="Times New Roman" w:hAnsi="Times New Roman" w:eastAsia="宋体" w:cs="Times New Roman"/>
                      <w:color w:val="auto"/>
                      <w:spacing w:val="-10"/>
                      <w:sz w:val="18"/>
                      <w:szCs w:val="18"/>
                      <w:highlight w:val="none"/>
                      <w:lang w:val="en-US" w:eastAsia="zh-CN"/>
                    </w:rPr>
                    <w:t>尺寸：</w:t>
                  </w:r>
                  <w:r>
                    <w:rPr>
                      <w:rFonts w:hint="eastAsia" w:ascii="Times New Roman" w:hAnsi="Times New Roman" w:eastAsia="宋体" w:cs="Times New Roman"/>
                      <w:color w:val="auto"/>
                      <w:spacing w:val="-10"/>
                      <w:sz w:val="18"/>
                      <w:szCs w:val="18"/>
                      <w:highlight w:val="none"/>
                      <w:lang w:val="en-US" w:eastAsia="zh-CN"/>
                    </w:rPr>
                    <w:t>①露天/室外入口：观察距离＞10m，最小尺寸90</w:t>
                  </w:r>
                  <w:r>
                    <w:rPr>
                      <w:rFonts w:hint="default" w:ascii="Times New Roman" w:hAnsi="Times New Roman" w:eastAsia="宋体" w:cs="Times New Roman"/>
                      <w:color w:val="auto"/>
                      <w:spacing w:val="-10"/>
                      <w:sz w:val="18"/>
                      <w:szCs w:val="18"/>
                      <w:highlight w:val="none"/>
                      <w:lang w:val="en-US" w:eastAsia="zh-CN"/>
                    </w:rPr>
                    <w:t>0×</w:t>
                  </w:r>
                  <w:r>
                    <w:rPr>
                      <w:rFonts w:hint="eastAsia" w:ascii="Times New Roman" w:hAnsi="Times New Roman" w:eastAsia="宋体" w:cs="Times New Roman"/>
                      <w:color w:val="auto"/>
                      <w:spacing w:val="-10"/>
                      <w:sz w:val="18"/>
                      <w:szCs w:val="18"/>
                      <w:highlight w:val="none"/>
                      <w:lang w:val="en-US" w:eastAsia="zh-CN"/>
                    </w:rPr>
                    <w:t>558m</w:t>
                  </w:r>
                  <w:r>
                    <w:rPr>
                      <w:rFonts w:hint="default" w:ascii="Times New Roman" w:hAnsi="Times New Roman" w:eastAsia="宋体" w:cs="Times New Roman"/>
                      <w:color w:val="auto"/>
                      <w:spacing w:val="-10"/>
                      <w:sz w:val="18"/>
                      <w:szCs w:val="18"/>
                      <w:highlight w:val="none"/>
                      <w:lang w:val="en-US" w:eastAsia="zh-CN"/>
                    </w:rPr>
                    <w:t>m</w:t>
                  </w:r>
                  <w:r>
                    <w:rPr>
                      <w:rFonts w:hint="eastAsia" w:ascii="Times New Roman" w:hAnsi="Times New Roman" w:eastAsia="宋体" w:cs="Times New Roman"/>
                      <w:color w:val="auto"/>
                      <w:spacing w:val="-10"/>
                      <w:sz w:val="18"/>
                      <w:szCs w:val="18"/>
                      <w:highlight w:val="none"/>
                      <w:lang w:val="en-US" w:eastAsia="zh-CN"/>
                    </w:rPr>
                    <w:t>，三角形外边长500mm，三角形内边长375mm，边框外角圆弧半径30mm；②室内入口：4m＜观察距离≤10m，最小尺寸600</w:t>
                  </w:r>
                  <w:r>
                    <w:rPr>
                      <w:rFonts w:hint="default" w:ascii="Times New Roman" w:hAnsi="Times New Roman" w:eastAsia="宋体" w:cs="Times New Roman"/>
                      <w:color w:val="auto"/>
                      <w:spacing w:val="-10"/>
                      <w:sz w:val="18"/>
                      <w:szCs w:val="18"/>
                      <w:highlight w:val="none"/>
                      <w:lang w:val="en-US" w:eastAsia="zh-CN"/>
                    </w:rPr>
                    <w:t>×</w:t>
                  </w:r>
                  <w:r>
                    <w:rPr>
                      <w:rFonts w:hint="eastAsia" w:ascii="Times New Roman" w:hAnsi="Times New Roman" w:eastAsia="宋体" w:cs="Times New Roman"/>
                      <w:color w:val="auto"/>
                      <w:spacing w:val="-10"/>
                      <w:sz w:val="18"/>
                      <w:szCs w:val="18"/>
                      <w:highlight w:val="none"/>
                      <w:lang w:val="en-US" w:eastAsia="zh-CN"/>
                    </w:rPr>
                    <w:t>372m</w:t>
                  </w:r>
                  <w:r>
                    <w:rPr>
                      <w:rFonts w:hint="default" w:ascii="Times New Roman" w:hAnsi="Times New Roman" w:eastAsia="宋体" w:cs="Times New Roman"/>
                      <w:color w:val="auto"/>
                      <w:spacing w:val="-10"/>
                      <w:sz w:val="18"/>
                      <w:szCs w:val="18"/>
                      <w:highlight w:val="none"/>
                      <w:lang w:val="en-US" w:eastAsia="zh-CN"/>
                    </w:rPr>
                    <w:t>m</w:t>
                  </w:r>
                  <w:r>
                    <w:rPr>
                      <w:rFonts w:hint="eastAsia" w:ascii="Times New Roman" w:hAnsi="Times New Roman" w:eastAsia="宋体" w:cs="Times New Roman"/>
                      <w:color w:val="auto"/>
                      <w:spacing w:val="-10"/>
                      <w:sz w:val="18"/>
                      <w:szCs w:val="18"/>
                      <w:highlight w:val="none"/>
                      <w:lang w:val="en-US" w:eastAsia="zh-CN"/>
                    </w:rPr>
                    <w:t>，三角形外边长300mm，三角形内边长225mm，边框外角圆弧半径18mm；③室内入口：观察距离≤</w:t>
                  </w:r>
                  <w:r>
                    <w:rPr>
                      <w:rFonts w:hint="eastAsia" w:cs="Times New Roman"/>
                      <w:color w:val="auto"/>
                      <w:spacing w:val="-10"/>
                      <w:sz w:val="18"/>
                      <w:szCs w:val="18"/>
                      <w:highlight w:val="none"/>
                      <w:lang w:val="en-US" w:eastAsia="zh-CN"/>
                    </w:rPr>
                    <w:t>4</w:t>
                  </w:r>
                  <w:r>
                    <w:rPr>
                      <w:rFonts w:hint="eastAsia" w:ascii="Times New Roman" w:hAnsi="Times New Roman" w:eastAsia="宋体" w:cs="Times New Roman"/>
                      <w:color w:val="auto"/>
                      <w:spacing w:val="-10"/>
                      <w:sz w:val="18"/>
                      <w:szCs w:val="18"/>
                      <w:highlight w:val="none"/>
                      <w:lang w:val="en-US" w:eastAsia="zh-CN"/>
                    </w:rPr>
                    <w:t>m，最小尺寸</w:t>
                  </w:r>
                  <w:r>
                    <w:rPr>
                      <w:rFonts w:hint="eastAsia" w:cs="Times New Roman"/>
                      <w:color w:val="auto"/>
                      <w:spacing w:val="-10"/>
                      <w:sz w:val="18"/>
                      <w:szCs w:val="18"/>
                      <w:highlight w:val="none"/>
                      <w:lang w:val="en-US" w:eastAsia="zh-CN"/>
                    </w:rPr>
                    <w:t>3</w:t>
                  </w:r>
                  <w:r>
                    <w:rPr>
                      <w:rFonts w:hint="eastAsia" w:ascii="Times New Roman" w:hAnsi="Times New Roman" w:eastAsia="宋体" w:cs="Times New Roman"/>
                      <w:color w:val="auto"/>
                      <w:spacing w:val="-10"/>
                      <w:sz w:val="18"/>
                      <w:szCs w:val="18"/>
                      <w:highlight w:val="none"/>
                      <w:lang w:val="en-US" w:eastAsia="zh-CN"/>
                    </w:rPr>
                    <w:t>00</w:t>
                  </w:r>
                  <w:r>
                    <w:rPr>
                      <w:rFonts w:hint="default" w:ascii="Times New Roman" w:hAnsi="Times New Roman" w:eastAsia="宋体" w:cs="Times New Roman"/>
                      <w:color w:val="auto"/>
                      <w:spacing w:val="-10"/>
                      <w:sz w:val="18"/>
                      <w:szCs w:val="18"/>
                      <w:highlight w:val="none"/>
                      <w:lang w:val="en-US" w:eastAsia="zh-CN"/>
                    </w:rPr>
                    <w:t>×</w:t>
                  </w:r>
                  <w:r>
                    <w:rPr>
                      <w:rFonts w:hint="eastAsia" w:cs="Times New Roman"/>
                      <w:color w:val="auto"/>
                      <w:spacing w:val="-10"/>
                      <w:sz w:val="18"/>
                      <w:szCs w:val="18"/>
                      <w:highlight w:val="none"/>
                      <w:lang w:val="en-US" w:eastAsia="zh-CN"/>
                    </w:rPr>
                    <w:t>186</w:t>
                  </w:r>
                  <w:r>
                    <w:rPr>
                      <w:rFonts w:hint="eastAsia" w:ascii="Times New Roman" w:hAnsi="Times New Roman" w:eastAsia="宋体" w:cs="Times New Roman"/>
                      <w:color w:val="auto"/>
                      <w:spacing w:val="-10"/>
                      <w:sz w:val="18"/>
                      <w:szCs w:val="18"/>
                      <w:highlight w:val="none"/>
                      <w:lang w:val="en-US" w:eastAsia="zh-CN"/>
                    </w:rPr>
                    <w:t>m</w:t>
                  </w:r>
                  <w:r>
                    <w:rPr>
                      <w:rFonts w:hint="default" w:ascii="Times New Roman" w:hAnsi="Times New Roman" w:eastAsia="宋体" w:cs="Times New Roman"/>
                      <w:color w:val="auto"/>
                      <w:spacing w:val="-10"/>
                      <w:sz w:val="18"/>
                      <w:szCs w:val="18"/>
                      <w:highlight w:val="none"/>
                      <w:lang w:val="en-US" w:eastAsia="zh-CN"/>
                    </w:rPr>
                    <w:t>m</w:t>
                  </w:r>
                  <w:r>
                    <w:rPr>
                      <w:rFonts w:hint="eastAsia" w:ascii="Times New Roman" w:hAnsi="Times New Roman" w:eastAsia="宋体" w:cs="Times New Roman"/>
                      <w:color w:val="auto"/>
                      <w:spacing w:val="-10"/>
                      <w:sz w:val="18"/>
                      <w:szCs w:val="18"/>
                      <w:highlight w:val="none"/>
                      <w:lang w:val="en-US" w:eastAsia="zh-CN"/>
                    </w:rPr>
                    <w:t>，三角形外边长</w:t>
                  </w:r>
                  <w:r>
                    <w:rPr>
                      <w:rFonts w:hint="eastAsia" w:cs="Times New Roman"/>
                      <w:color w:val="auto"/>
                      <w:spacing w:val="-10"/>
                      <w:sz w:val="18"/>
                      <w:szCs w:val="18"/>
                      <w:highlight w:val="none"/>
                      <w:lang w:val="en-US" w:eastAsia="zh-CN"/>
                    </w:rPr>
                    <w:t>14</w:t>
                  </w:r>
                  <w:r>
                    <w:rPr>
                      <w:rFonts w:hint="eastAsia" w:ascii="Times New Roman" w:hAnsi="Times New Roman" w:eastAsia="宋体" w:cs="Times New Roman"/>
                      <w:color w:val="auto"/>
                      <w:spacing w:val="-10"/>
                      <w:sz w:val="18"/>
                      <w:szCs w:val="18"/>
                      <w:highlight w:val="none"/>
                      <w:lang w:val="en-US" w:eastAsia="zh-CN"/>
                    </w:rPr>
                    <w:t>0mm，三角形内边长</w:t>
                  </w:r>
                  <w:r>
                    <w:rPr>
                      <w:rFonts w:hint="eastAsia" w:cs="Times New Roman"/>
                      <w:color w:val="auto"/>
                      <w:spacing w:val="-10"/>
                      <w:sz w:val="18"/>
                      <w:szCs w:val="18"/>
                      <w:highlight w:val="none"/>
                      <w:lang w:val="en-US" w:eastAsia="zh-CN"/>
                    </w:rPr>
                    <w:t>10</w:t>
                  </w:r>
                  <w:r>
                    <w:rPr>
                      <w:rFonts w:hint="eastAsia" w:ascii="Times New Roman" w:hAnsi="Times New Roman" w:eastAsia="宋体" w:cs="Times New Roman"/>
                      <w:color w:val="auto"/>
                      <w:spacing w:val="-10"/>
                      <w:sz w:val="18"/>
                      <w:szCs w:val="18"/>
                      <w:highlight w:val="none"/>
                      <w:lang w:val="en-US" w:eastAsia="zh-CN"/>
                    </w:rPr>
                    <w:t>5mm，边框外角圆弧半径</w:t>
                  </w:r>
                  <w:r>
                    <w:rPr>
                      <w:rFonts w:hint="eastAsia" w:cs="Times New Roman"/>
                      <w:color w:val="auto"/>
                      <w:spacing w:val="-10"/>
                      <w:sz w:val="18"/>
                      <w:szCs w:val="18"/>
                      <w:highlight w:val="none"/>
                      <w:lang w:val="en-US" w:eastAsia="zh-CN"/>
                    </w:rPr>
                    <w:t>8.4</w:t>
                  </w:r>
                  <w:r>
                    <w:rPr>
                      <w:rFonts w:hint="eastAsia" w:ascii="Times New Roman" w:hAnsi="Times New Roman" w:eastAsia="宋体" w:cs="Times New Roman"/>
                      <w:color w:val="auto"/>
                      <w:spacing w:val="-10"/>
                      <w:sz w:val="18"/>
                      <w:szCs w:val="18"/>
                      <w:highlight w:val="none"/>
                      <w:lang w:val="en-US" w:eastAsia="zh-CN"/>
                    </w:rPr>
                    <w:t>mm。</w:t>
                  </w:r>
                </w:p>
                <w:p w14:paraId="1E4F959F">
                  <w:pPr>
                    <w:keepNext w:val="0"/>
                    <w:keepLines w:val="0"/>
                    <w:pageBreakBefore w:val="0"/>
                    <w:widowControl w:val="0"/>
                    <w:numPr>
                      <w:ilvl w:val="0"/>
                      <w:numId w:val="10"/>
                    </w:numPr>
                    <w:kinsoku/>
                    <w:wordWrap/>
                    <w:overflowPunct/>
                    <w:topLinePunct w:val="0"/>
                    <w:autoSpaceDE/>
                    <w:autoSpaceDN/>
                    <w:bidi w:val="0"/>
                    <w:adjustRightInd/>
                    <w:snapToGrid/>
                    <w:ind w:firstLine="320" w:firstLineChars="200"/>
                    <w:jc w:val="left"/>
                    <w:textAlignment w:val="auto"/>
                    <w:rPr>
                      <w:rFonts w:hint="default" w:ascii="Times New Roman" w:hAnsi="Times New Roman" w:eastAsia="宋体" w:cs="Times New Roman"/>
                      <w:color w:val="auto"/>
                      <w:spacing w:val="-10"/>
                      <w:sz w:val="18"/>
                      <w:szCs w:val="18"/>
                      <w:highlight w:val="none"/>
                      <w:lang w:val="en-US" w:eastAsia="zh-CN"/>
                    </w:rPr>
                  </w:pPr>
                  <w:r>
                    <w:rPr>
                      <w:rFonts w:hint="eastAsia" w:ascii="Times New Roman" w:hAnsi="Times New Roman" w:eastAsia="宋体" w:cs="Times New Roman"/>
                      <w:color w:val="auto"/>
                      <w:spacing w:val="-10"/>
                      <w:sz w:val="18"/>
                      <w:szCs w:val="18"/>
                      <w:highlight w:val="none"/>
                      <w:lang w:val="en-US" w:eastAsia="zh-CN"/>
                    </w:rPr>
                    <w:t>危险废物设施标志背景颜色为黄色，RGB 颜色值为（255，255，0）。字体和边框颜色为黑色，RGB颜色值为（0，0，0）。</w:t>
                  </w:r>
                </w:p>
                <w:p w14:paraId="1851CCD2">
                  <w:pPr>
                    <w:keepNext w:val="0"/>
                    <w:keepLines w:val="0"/>
                    <w:pageBreakBefore w:val="0"/>
                    <w:widowControl w:val="0"/>
                    <w:kinsoku/>
                    <w:wordWrap/>
                    <w:overflowPunct/>
                    <w:topLinePunct w:val="0"/>
                    <w:autoSpaceDE/>
                    <w:autoSpaceDN/>
                    <w:bidi w:val="0"/>
                    <w:adjustRightInd/>
                    <w:snapToGrid/>
                    <w:ind w:firstLine="320" w:firstLineChars="200"/>
                    <w:jc w:val="left"/>
                    <w:textAlignment w:val="auto"/>
                    <w:rPr>
                      <w:rFonts w:hint="default" w:ascii="Times New Roman" w:hAnsi="Times New Roman" w:eastAsia="宋体" w:cs="Times New Roman"/>
                      <w:color w:val="auto"/>
                      <w:spacing w:val="-10"/>
                      <w:sz w:val="18"/>
                      <w:szCs w:val="18"/>
                      <w:highlight w:val="none"/>
                      <w:lang w:val="en-US" w:eastAsia="zh-CN"/>
                    </w:rPr>
                  </w:pPr>
                  <w:r>
                    <w:rPr>
                      <w:rFonts w:hint="eastAsia" w:cs="Times New Roman"/>
                      <w:color w:val="auto"/>
                      <w:spacing w:val="-10"/>
                      <w:sz w:val="18"/>
                      <w:szCs w:val="18"/>
                      <w:highlight w:val="none"/>
                      <w:lang w:val="en-US" w:eastAsia="zh-CN"/>
                    </w:rPr>
                    <w:t>3、</w:t>
                  </w:r>
                  <w:r>
                    <w:rPr>
                      <w:rFonts w:hint="default" w:ascii="Times New Roman" w:hAnsi="Times New Roman" w:eastAsia="宋体" w:cs="Times New Roman"/>
                      <w:color w:val="auto"/>
                      <w:spacing w:val="-10"/>
                      <w:sz w:val="18"/>
                      <w:szCs w:val="18"/>
                      <w:highlight w:val="none"/>
                      <w:lang w:val="en-US" w:eastAsia="zh-CN"/>
                    </w:rPr>
                    <w:t>危险废物设施标志字体应采用黑体字，其中危险废物设施类型的字样应加粗放大并居中显示。</w:t>
                  </w:r>
                </w:p>
                <w:p w14:paraId="372C8566">
                  <w:pPr>
                    <w:keepNext w:val="0"/>
                    <w:keepLines w:val="0"/>
                    <w:pageBreakBefore w:val="0"/>
                    <w:widowControl w:val="0"/>
                    <w:kinsoku/>
                    <w:wordWrap/>
                    <w:overflowPunct/>
                    <w:topLinePunct w:val="0"/>
                    <w:autoSpaceDE/>
                    <w:autoSpaceDN/>
                    <w:bidi w:val="0"/>
                    <w:adjustRightInd/>
                    <w:snapToGrid/>
                    <w:ind w:firstLine="320" w:firstLineChars="200"/>
                    <w:jc w:val="left"/>
                    <w:textAlignment w:val="auto"/>
                    <w:rPr>
                      <w:rFonts w:hint="default" w:ascii="Times New Roman" w:hAnsi="Times New Roman" w:eastAsia="宋体" w:cs="Times New Roman"/>
                      <w:color w:val="auto"/>
                      <w:spacing w:val="-10"/>
                      <w:sz w:val="18"/>
                      <w:szCs w:val="18"/>
                      <w:highlight w:val="none"/>
                      <w:lang w:val="en-US" w:eastAsia="zh-CN"/>
                    </w:rPr>
                  </w:pPr>
                  <w:r>
                    <w:rPr>
                      <w:rFonts w:hint="eastAsia" w:cs="Times New Roman"/>
                      <w:color w:val="auto"/>
                      <w:spacing w:val="-10"/>
                      <w:sz w:val="18"/>
                      <w:szCs w:val="18"/>
                      <w:highlight w:val="none"/>
                      <w:lang w:val="en-US" w:eastAsia="zh-CN"/>
                    </w:rPr>
                    <w:t>4、</w:t>
                  </w:r>
                  <w:r>
                    <w:rPr>
                      <w:rFonts w:hint="eastAsia" w:ascii="Times New Roman" w:hAnsi="Times New Roman" w:eastAsia="宋体" w:cs="Times New Roman"/>
                      <w:color w:val="auto"/>
                      <w:spacing w:val="-10"/>
                      <w:sz w:val="18"/>
                      <w:szCs w:val="18"/>
                      <w:highlight w:val="none"/>
                      <w:lang w:val="en-US" w:eastAsia="zh-CN"/>
                    </w:rPr>
                    <w:t>材质：</w:t>
                  </w:r>
                  <w:r>
                    <w:rPr>
                      <w:rFonts w:hint="default" w:ascii="Times New Roman" w:hAnsi="Times New Roman" w:eastAsia="宋体" w:cs="Times New Roman"/>
                      <w:color w:val="auto"/>
                      <w:spacing w:val="-10"/>
                      <w:sz w:val="18"/>
                      <w:szCs w:val="18"/>
                      <w:highlight w:val="none"/>
                      <w:lang w:val="en-US" w:eastAsia="zh-CN"/>
                    </w:rPr>
                    <w:t>采用坚固耐用的材料，并做搪瓷处理或贴膜处理</w:t>
                  </w:r>
                  <w:r>
                    <w:rPr>
                      <w:rFonts w:hint="eastAsia" w:ascii="Times New Roman" w:hAnsi="Times New Roman" w:eastAsia="宋体" w:cs="Times New Roman"/>
                      <w:color w:val="auto"/>
                      <w:spacing w:val="-10"/>
                      <w:sz w:val="18"/>
                      <w:szCs w:val="18"/>
                      <w:highlight w:val="none"/>
                      <w:lang w:val="en-US" w:eastAsia="zh-CN"/>
                    </w:rPr>
                    <w:t>。柱式标志牌的立柱可采用38×4无缝钢管或其他坚固耐用的材料，并经过防腐处理。</w:t>
                  </w:r>
                </w:p>
                <w:p w14:paraId="1D21A8C4">
                  <w:pPr>
                    <w:keepNext w:val="0"/>
                    <w:keepLines w:val="0"/>
                    <w:pageBreakBefore w:val="0"/>
                    <w:widowControl w:val="0"/>
                    <w:kinsoku/>
                    <w:wordWrap/>
                    <w:overflowPunct/>
                    <w:topLinePunct w:val="0"/>
                    <w:autoSpaceDE/>
                    <w:autoSpaceDN/>
                    <w:bidi w:val="0"/>
                    <w:adjustRightInd/>
                    <w:snapToGrid/>
                    <w:ind w:firstLine="320" w:firstLineChars="200"/>
                    <w:jc w:val="left"/>
                    <w:textAlignment w:val="auto"/>
                    <w:rPr>
                      <w:rFonts w:hint="default" w:ascii="Times New Roman" w:hAnsi="Times New Roman" w:eastAsia="仿宋_GB2312" w:cs="Times New Roman"/>
                      <w:color w:val="auto"/>
                      <w:sz w:val="18"/>
                      <w:szCs w:val="18"/>
                      <w:highlight w:val="yellow"/>
                    </w:rPr>
                  </w:pPr>
                  <w:r>
                    <w:rPr>
                      <w:rFonts w:hint="eastAsia" w:ascii="Times New Roman" w:hAnsi="Times New Roman" w:eastAsia="宋体" w:cs="Times New Roman"/>
                      <w:color w:val="auto"/>
                      <w:spacing w:val="-10"/>
                      <w:sz w:val="18"/>
                      <w:szCs w:val="18"/>
                      <w:highlight w:val="none"/>
                      <w:lang w:val="en-US" w:eastAsia="zh-CN"/>
                    </w:rPr>
                    <w:t>5、印刷：</w:t>
                  </w:r>
                  <w:r>
                    <w:rPr>
                      <w:rFonts w:hint="default" w:ascii="Times New Roman" w:hAnsi="Times New Roman" w:eastAsia="宋体" w:cs="Times New Roman"/>
                      <w:color w:val="auto"/>
                      <w:spacing w:val="-10"/>
                      <w:sz w:val="18"/>
                      <w:szCs w:val="18"/>
                      <w:highlight w:val="none"/>
                      <w:lang w:val="en-US" w:eastAsia="zh-CN"/>
                    </w:rPr>
                    <w:t>图形和文字应清晰、完整，保证在足够的观察距离条件下也不影响阅读。三角形警告性图形与其他信息间宜加黑色分界线区分，分界线的宽度宜不小于3mm。</w:t>
                  </w:r>
                </w:p>
              </w:tc>
            </w:tr>
            <w:tr w14:paraId="363D142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849" w:hRule="atLeast"/>
                <w:jc w:val="center"/>
              </w:trPr>
              <w:tc>
                <w:tcPr>
                  <w:tcW w:w="2406" w:type="dxa"/>
                  <w:tcBorders>
                    <w:tl2br w:val="nil"/>
                    <w:tr2bl w:val="nil"/>
                  </w:tcBorders>
                  <w:noWrap w:val="0"/>
                  <w:vAlign w:val="center"/>
                </w:tcPr>
                <w:p w14:paraId="31F00AFA">
                  <w:pPr>
                    <w:keepNext w:val="0"/>
                    <w:keepLines w:val="0"/>
                    <w:suppressLineNumbers w:val="0"/>
                    <w:shd w:val="clear" w:color="auto" w:fill="auto"/>
                    <w:spacing w:before="0" w:beforeAutospacing="0" w:after="0" w:afterAutospacing="0"/>
                    <w:ind w:left="0" w:right="0"/>
                    <w:jc w:val="center"/>
                    <w:rPr>
                      <w:color w:val="auto"/>
                    </w:rPr>
                  </w:pPr>
                  <w:r>
                    <w:rPr>
                      <w:color w:val="auto"/>
                    </w:rPr>
                    <w:drawing>
                      <wp:anchor distT="0" distB="0" distL="114300" distR="114300" simplePos="0" relativeHeight="251677696" behindDoc="0" locked="0" layoutInCell="1" allowOverlap="1">
                        <wp:simplePos x="0" y="0"/>
                        <wp:positionH relativeFrom="column">
                          <wp:posOffset>229870</wp:posOffset>
                        </wp:positionH>
                        <wp:positionV relativeFrom="paragraph">
                          <wp:posOffset>11430</wp:posOffset>
                        </wp:positionV>
                        <wp:extent cx="891540" cy="1407795"/>
                        <wp:effectExtent l="0" t="0" r="3810" b="1905"/>
                        <wp:wrapNone/>
                        <wp:docPr id="96"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 name="图片 4"/>
                                <pic:cNvPicPr>
                                  <a:picLocks noChangeAspect="1"/>
                                </pic:cNvPicPr>
                              </pic:nvPicPr>
                              <pic:blipFill>
                                <a:blip r:embed="rId16"/>
                                <a:stretch>
                                  <a:fillRect/>
                                </a:stretch>
                              </pic:blipFill>
                              <pic:spPr>
                                <a:xfrm>
                                  <a:off x="0" y="0"/>
                                  <a:ext cx="891540" cy="1407795"/>
                                </a:xfrm>
                                <a:prstGeom prst="rect">
                                  <a:avLst/>
                                </a:prstGeom>
                                <a:noFill/>
                                <a:ln>
                                  <a:noFill/>
                                </a:ln>
                              </pic:spPr>
                            </pic:pic>
                          </a:graphicData>
                        </a:graphic>
                      </wp:anchor>
                    </w:drawing>
                  </w:r>
                </w:p>
              </w:tc>
              <w:tc>
                <w:tcPr>
                  <w:tcW w:w="5536" w:type="dxa"/>
                  <w:vMerge w:val="continue"/>
                  <w:tcBorders>
                    <w:tl2br w:val="nil"/>
                    <w:tr2bl w:val="nil"/>
                  </w:tcBorders>
                  <w:noWrap w:val="0"/>
                  <w:vAlign w:val="center"/>
                </w:tcPr>
                <w:p w14:paraId="389F399A">
                  <w:pPr>
                    <w:keepNext w:val="0"/>
                    <w:keepLines w:val="0"/>
                    <w:pageBreakBefore w:val="0"/>
                    <w:widowControl w:val="0"/>
                    <w:kinsoku/>
                    <w:wordWrap/>
                    <w:overflowPunct/>
                    <w:topLinePunct w:val="0"/>
                    <w:autoSpaceDE/>
                    <w:autoSpaceDN/>
                    <w:bidi w:val="0"/>
                    <w:adjustRightInd/>
                    <w:snapToGrid/>
                    <w:ind w:firstLine="320" w:firstLineChars="200"/>
                    <w:jc w:val="left"/>
                    <w:textAlignment w:val="auto"/>
                    <w:rPr>
                      <w:rFonts w:hint="eastAsia" w:ascii="Times New Roman" w:hAnsi="Times New Roman" w:eastAsia="宋体" w:cs="Times New Roman"/>
                      <w:color w:val="auto"/>
                      <w:spacing w:val="-10"/>
                      <w:sz w:val="18"/>
                      <w:szCs w:val="18"/>
                      <w:highlight w:val="none"/>
                      <w:lang w:val="en-US" w:eastAsia="zh-CN"/>
                    </w:rPr>
                  </w:pPr>
                </w:p>
              </w:tc>
            </w:tr>
            <w:tr w14:paraId="0691164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230" w:hRule="atLeast"/>
                <w:jc w:val="center"/>
              </w:trPr>
              <w:tc>
                <w:tcPr>
                  <w:tcW w:w="2406" w:type="dxa"/>
                  <w:tcBorders>
                    <w:tl2br w:val="nil"/>
                    <w:tr2bl w:val="nil"/>
                  </w:tcBorders>
                  <w:noWrap w:val="0"/>
                  <w:vAlign w:val="center"/>
                </w:tcPr>
                <w:p w14:paraId="6B34D6BC">
                  <w:pPr>
                    <w:keepNext w:val="0"/>
                    <w:keepLines w:val="0"/>
                    <w:suppressLineNumbers w:val="0"/>
                    <w:shd w:val="clear" w:color="auto" w:fill="auto"/>
                    <w:spacing w:before="0" w:beforeAutospacing="0" w:after="0" w:afterAutospacing="0"/>
                    <w:ind w:left="0" w:right="0"/>
                    <w:jc w:val="center"/>
                    <w:rPr>
                      <w:rFonts w:hint="default" w:ascii="Times New Roman" w:hAnsi="Times New Roman" w:cs="Times New Roman"/>
                      <w:color w:val="auto"/>
                      <w:sz w:val="18"/>
                      <w:szCs w:val="18"/>
                      <w:highlight w:val="none"/>
                    </w:rPr>
                  </w:pPr>
                  <w:r>
                    <w:rPr>
                      <w:color w:val="auto"/>
                    </w:rPr>
                    <w:drawing>
                      <wp:inline distT="0" distB="0" distL="114300" distR="114300">
                        <wp:extent cx="1386205" cy="1381760"/>
                        <wp:effectExtent l="0" t="0" r="4445" b="8890"/>
                        <wp:docPr id="9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图片 1"/>
                                <pic:cNvPicPr>
                                  <a:picLocks noChangeAspect="1"/>
                                </pic:cNvPicPr>
                              </pic:nvPicPr>
                              <pic:blipFill>
                                <a:blip r:embed="rId17"/>
                                <a:stretch>
                                  <a:fillRect/>
                                </a:stretch>
                              </pic:blipFill>
                              <pic:spPr>
                                <a:xfrm>
                                  <a:off x="0" y="0"/>
                                  <a:ext cx="1386205" cy="1381760"/>
                                </a:xfrm>
                                <a:prstGeom prst="rect">
                                  <a:avLst/>
                                </a:prstGeom>
                                <a:noFill/>
                                <a:ln>
                                  <a:noFill/>
                                </a:ln>
                              </pic:spPr>
                            </pic:pic>
                          </a:graphicData>
                        </a:graphic>
                      </wp:inline>
                    </w:drawing>
                  </w:r>
                </w:p>
              </w:tc>
              <w:tc>
                <w:tcPr>
                  <w:tcW w:w="5536" w:type="dxa"/>
                  <w:tcBorders>
                    <w:tl2br w:val="nil"/>
                    <w:tr2bl w:val="nil"/>
                  </w:tcBorders>
                  <w:noWrap w:val="0"/>
                  <w:vAlign w:val="center"/>
                </w:tcPr>
                <w:p w14:paraId="2DBE6DB9">
                  <w:pPr>
                    <w:keepNext w:val="0"/>
                    <w:keepLines w:val="0"/>
                    <w:pageBreakBefore w:val="0"/>
                    <w:widowControl w:val="0"/>
                    <w:kinsoku/>
                    <w:wordWrap/>
                    <w:overflowPunct/>
                    <w:topLinePunct w:val="0"/>
                    <w:autoSpaceDE/>
                    <w:autoSpaceDN/>
                    <w:bidi w:val="0"/>
                    <w:adjustRightInd/>
                    <w:snapToGrid/>
                    <w:ind w:firstLine="320" w:firstLineChars="200"/>
                    <w:jc w:val="left"/>
                    <w:textAlignment w:val="auto"/>
                    <w:rPr>
                      <w:rFonts w:hint="default" w:ascii="Times New Roman" w:hAnsi="Times New Roman" w:eastAsia="宋体" w:cs="Times New Roman"/>
                      <w:color w:val="auto"/>
                      <w:spacing w:val="-10"/>
                      <w:sz w:val="18"/>
                      <w:szCs w:val="18"/>
                      <w:highlight w:val="none"/>
                      <w:lang w:val="en-US" w:eastAsia="zh-CN"/>
                    </w:rPr>
                  </w:pPr>
                  <w:r>
                    <w:rPr>
                      <w:rFonts w:hint="default" w:ascii="Times New Roman" w:hAnsi="Times New Roman" w:eastAsia="宋体" w:cs="Times New Roman"/>
                      <w:color w:val="auto"/>
                      <w:spacing w:val="-10"/>
                      <w:sz w:val="18"/>
                      <w:szCs w:val="18"/>
                      <w:highlight w:val="none"/>
                      <w:lang w:val="en-US" w:eastAsia="zh-CN"/>
                    </w:rPr>
                    <w:t>说明：</w:t>
                  </w:r>
                </w:p>
                <w:p w14:paraId="126849D8">
                  <w:pPr>
                    <w:keepNext w:val="0"/>
                    <w:keepLines w:val="0"/>
                    <w:pageBreakBefore w:val="0"/>
                    <w:widowControl w:val="0"/>
                    <w:kinsoku/>
                    <w:wordWrap/>
                    <w:overflowPunct/>
                    <w:topLinePunct w:val="0"/>
                    <w:autoSpaceDE/>
                    <w:autoSpaceDN/>
                    <w:bidi w:val="0"/>
                    <w:adjustRightInd/>
                    <w:snapToGrid/>
                    <w:ind w:firstLine="320" w:firstLineChars="200"/>
                    <w:jc w:val="left"/>
                    <w:textAlignment w:val="auto"/>
                    <w:rPr>
                      <w:rFonts w:hint="eastAsia" w:ascii="Times New Roman" w:hAnsi="Times New Roman" w:eastAsia="宋体" w:cs="Times New Roman"/>
                      <w:color w:val="auto"/>
                      <w:spacing w:val="-10"/>
                      <w:sz w:val="18"/>
                      <w:szCs w:val="18"/>
                      <w:highlight w:val="none"/>
                      <w:lang w:val="en-US" w:eastAsia="zh-CN"/>
                    </w:rPr>
                  </w:pPr>
                  <w:r>
                    <w:rPr>
                      <w:rFonts w:hint="eastAsia" w:ascii="Times New Roman" w:hAnsi="Times New Roman" w:eastAsia="宋体" w:cs="Times New Roman"/>
                      <w:color w:val="auto"/>
                      <w:spacing w:val="-10"/>
                      <w:sz w:val="18"/>
                      <w:szCs w:val="18"/>
                      <w:highlight w:val="none"/>
                      <w:lang w:val="en-US" w:eastAsia="zh-CN"/>
                    </w:rPr>
                    <w:t>1、标签</w:t>
                  </w:r>
                  <w:r>
                    <w:rPr>
                      <w:rFonts w:hint="default" w:ascii="Times New Roman" w:hAnsi="Times New Roman" w:eastAsia="宋体" w:cs="Times New Roman"/>
                      <w:color w:val="auto"/>
                      <w:spacing w:val="-10"/>
                      <w:sz w:val="18"/>
                      <w:szCs w:val="18"/>
                      <w:highlight w:val="none"/>
                      <w:lang w:val="en-US" w:eastAsia="zh-CN"/>
                    </w:rPr>
                    <w:t>尺寸：</w:t>
                  </w:r>
                  <w:r>
                    <w:rPr>
                      <w:rFonts w:hint="eastAsia" w:ascii="Times New Roman" w:hAnsi="Times New Roman" w:eastAsia="宋体" w:cs="Times New Roman"/>
                      <w:color w:val="auto"/>
                      <w:spacing w:val="-10"/>
                      <w:sz w:val="18"/>
                      <w:szCs w:val="18"/>
                      <w:highlight w:val="none"/>
                      <w:lang w:val="en-US" w:eastAsia="zh-CN"/>
                    </w:rPr>
                    <w:t>①容器或包装物容积≤50L，标签最小尺寸10</w:t>
                  </w:r>
                  <w:r>
                    <w:rPr>
                      <w:rFonts w:hint="default" w:ascii="Times New Roman" w:hAnsi="Times New Roman" w:eastAsia="宋体" w:cs="Times New Roman"/>
                      <w:color w:val="auto"/>
                      <w:spacing w:val="-10"/>
                      <w:sz w:val="18"/>
                      <w:szCs w:val="18"/>
                      <w:highlight w:val="none"/>
                      <w:lang w:val="en-US" w:eastAsia="zh-CN"/>
                    </w:rPr>
                    <w:t>0×</w:t>
                  </w:r>
                  <w:r>
                    <w:rPr>
                      <w:rFonts w:hint="eastAsia" w:ascii="Times New Roman" w:hAnsi="Times New Roman" w:eastAsia="宋体" w:cs="Times New Roman"/>
                      <w:color w:val="auto"/>
                      <w:spacing w:val="-10"/>
                      <w:sz w:val="18"/>
                      <w:szCs w:val="18"/>
                      <w:highlight w:val="none"/>
                      <w:lang w:val="en-US" w:eastAsia="zh-CN"/>
                    </w:rPr>
                    <w:t>10</w:t>
                  </w:r>
                  <w:r>
                    <w:rPr>
                      <w:rFonts w:hint="default" w:ascii="Times New Roman" w:hAnsi="Times New Roman" w:eastAsia="宋体" w:cs="Times New Roman"/>
                      <w:color w:val="auto"/>
                      <w:spacing w:val="-10"/>
                      <w:sz w:val="18"/>
                      <w:szCs w:val="18"/>
                      <w:highlight w:val="none"/>
                      <w:lang w:val="en-US" w:eastAsia="zh-CN"/>
                    </w:rPr>
                    <w:t>0</w:t>
                  </w:r>
                  <w:r>
                    <w:rPr>
                      <w:rFonts w:hint="eastAsia" w:ascii="Times New Roman" w:hAnsi="Times New Roman" w:eastAsia="宋体" w:cs="Times New Roman"/>
                      <w:color w:val="auto"/>
                      <w:spacing w:val="-10"/>
                      <w:sz w:val="18"/>
                      <w:szCs w:val="18"/>
                      <w:highlight w:val="none"/>
                      <w:lang w:val="en-US" w:eastAsia="zh-CN"/>
                    </w:rPr>
                    <w:t>m</w:t>
                  </w:r>
                  <w:r>
                    <w:rPr>
                      <w:rFonts w:hint="default" w:ascii="Times New Roman" w:hAnsi="Times New Roman" w:eastAsia="宋体" w:cs="Times New Roman"/>
                      <w:color w:val="auto"/>
                      <w:spacing w:val="-10"/>
                      <w:sz w:val="18"/>
                      <w:szCs w:val="18"/>
                      <w:highlight w:val="none"/>
                      <w:lang w:val="en-US" w:eastAsia="zh-CN"/>
                    </w:rPr>
                    <w:t>m；</w:t>
                  </w:r>
                  <w:r>
                    <w:rPr>
                      <w:rFonts w:hint="eastAsia" w:ascii="Times New Roman" w:hAnsi="Times New Roman" w:eastAsia="宋体" w:cs="Times New Roman"/>
                      <w:color w:val="auto"/>
                      <w:spacing w:val="-10"/>
                      <w:sz w:val="18"/>
                      <w:szCs w:val="18"/>
                      <w:highlight w:val="none"/>
                      <w:lang w:val="en-US" w:eastAsia="zh-CN"/>
                    </w:rPr>
                    <w:t>②50L＜容器或包装物容积≤450L，标签最小尺寸15</w:t>
                  </w:r>
                  <w:r>
                    <w:rPr>
                      <w:rFonts w:hint="default" w:ascii="Times New Roman" w:hAnsi="Times New Roman" w:eastAsia="宋体" w:cs="Times New Roman"/>
                      <w:color w:val="auto"/>
                      <w:spacing w:val="-10"/>
                      <w:sz w:val="18"/>
                      <w:szCs w:val="18"/>
                      <w:highlight w:val="none"/>
                      <w:lang w:val="en-US" w:eastAsia="zh-CN"/>
                    </w:rPr>
                    <w:t>0×</w:t>
                  </w:r>
                  <w:r>
                    <w:rPr>
                      <w:rFonts w:hint="eastAsia" w:ascii="Times New Roman" w:hAnsi="Times New Roman" w:eastAsia="宋体" w:cs="Times New Roman"/>
                      <w:color w:val="auto"/>
                      <w:spacing w:val="-10"/>
                      <w:sz w:val="18"/>
                      <w:szCs w:val="18"/>
                      <w:highlight w:val="none"/>
                      <w:lang w:val="en-US" w:eastAsia="zh-CN"/>
                    </w:rPr>
                    <w:t>15</w:t>
                  </w:r>
                  <w:r>
                    <w:rPr>
                      <w:rFonts w:hint="default" w:ascii="Times New Roman" w:hAnsi="Times New Roman" w:eastAsia="宋体" w:cs="Times New Roman"/>
                      <w:color w:val="auto"/>
                      <w:spacing w:val="-10"/>
                      <w:sz w:val="18"/>
                      <w:szCs w:val="18"/>
                      <w:highlight w:val="none"/>
                      <w:lang w:val="en-US" w:eastAsia="zh-CN"/>
                    </w:rPr>
                    <w:t>0</w:t>
                  </w:r>
                  <w:r>
                    <w:rPr>
                      <w:rFonts w:hint="eastAsia" w:ascii="Times New Roman" w:hAnsi="Times New Roman" w:eastAsia="宋体" w:cs="Times New Roman"/>
                      <w:color w:val="auto"/>
                      <w:spacing w:val="-10"/>
                      <w:sz w:val="18"/>
                      <w:szCs w:val="18"/>
                      <w:highlight w:val="none"/>
                      <w:lang w:val="en-US" w:eastAsia="zh-CN"/>
                    </w:rPr>
                    <w:t>m</w:t>
                  </w:r>
                  <w:r>
                    <w:rPr>
                      <w:rFonts w:hint="default" w:ascii="Times New Roman" w:hAnsi="Times New Roman" w:eastAsia="宋体" w:cs="Times New Roman"/>
                      <w:color w:val="auto"/>
                      <w:spacing w:val="-10"/>
                      <w:sz w:val="18"/>
                      <w:szCs w:val="18"/>
                      <w:highlight w:val="none"/>
                      <w:lang w:val="en-US" w:eastAsia="zh-CN"/>
                    </w:rPr>
                    <w:t>m；</w:t>
                  </w:r>
                  <w:r>
                    <w:rPr>
                      <w:rFonts w:hint="eastAsia" w:ascii="Times New Roman" w:hAnsi="Times New Roman" w:eastAsia="宋体" w:cs="Times New Roman"/>
                      <w:color w:val="auto"/>
                      <w:spacing w:val="-10"/>
                      <w:sz w:val="18"/>
                      <w:szCs w:val="18"/>
                      <w:highlight w:val="none"/>
                      <w:lang w:val="en-US" w:eastAsia="zh-CN"/>
                    </w:rPr>
                    <w:t>③容器或包装物容积＞450L，标签最小尺寸20</w:t>
                  </w:r>
                  <w:r>
                    <w:rPr>
                      <w:rFonts w:hint="default" w:ascii="Times New Roman" w:hAnsi="Times New Roman" w:eastAsia="宋体" w:cs="Times New Roman"/>
                      <w:color w:val="auto"/>
                      <w:spacing w:val="-10"/>
                      <w:sz w:val="18"/>
                      <w:szCs w:val="18"/>
                      <w:highlight w:val="none"/>
                      <w:lang w:val="en-US" w:eastAsia="zh-CN"/>
                    </w:rPr>
                    <w:t>0×</w:t>
                  </w:r>
                  <w:r>
                    <w:rPr>
                      <w:rFonts w:hint="eastAsia" w:ascii="Times New Roman" w:hAnsi="Times New Roman" w:eastAsia="宋体" w:cs="Times New Roman"/>
                      <w:color w:val="auto"/>
                      <w:spacing w:val="-10"/>
                      <w:sz w:val="18"/>
                      <w:szCs w:val="18"/>
                      <w:highlight w:val="none"/>
                      <w:lang w:val="en-US" w:eastAsia="zh-CN"/>
                    </w:rPr>
                    <w:t>20</w:t>
                  </w:r>
                  <w:r>
                    <w:rPr>
                      <w:rFonts w:hint="default" w:ascii="Times New Roman" w:hAnsi="Times New Roman" w:eastAsia="宋体" w:cs="Times New Roman"/>
                      <w:color w:val="auto"/>
                      <w:spacing w:val="-10"/>
                      <w:sz w:val="18"/>
                      <w:szCs w:val="18"/>
                      <w:highlight w:val="none"/>
                      <w:lang w:val="en-US" w:eastAsia="zh-CN"/>
                    </w:rPr>
                    <w:t>0</w:t>
                  </w:r>
                  <w:r>
                    <w:rPr>
                      <w:rFonts w:hint="eastAsia" w:ascii="Times New Roman" w:hAnsi="Times New Roman" w:eastAsia="宋体" w:cs="Times New Roman"/>
                      <w:color w:val="auto"/>
                      <w:spacing w:val="-10"/>
                      <w:sz w:val="18"/>
                      <w:szCs w:val="18"/>
                      <w:highlight w:val="none"/>
                      <w:lang w:val="en-US" w:eastAsia="zh-CN"/>
                    </w:rPr>
                    <w:t>m</w:t>
                  </w:r>
                  <w:r>
                    <w:rPr>
                      <w:rFonts w:hint="default" w:ascii="Times New Roman" w:hAnsi="Times New Roman" w:eastAsia="宋体" w:cs="Times New Roman"/>
                      <w:color w:val="auto"/>
                      <w:spacing w:val="-10"/>
                      <w:sz w:val="18"/>
                      <w:szCs w:val="18"/>
                      <w:highlight w:val="none"/>
                      <w:lang w:val="en-US" w:eastAsia="zh-CN"/>
                    </w:rPr>
                    <w:t>m</w:t>
                  </w:r>
                  <w:r>
                    <w:rPr>
                      <w:rFonts w:hint="eastAsia" w:ascii="Times New Roman" w:hAnsi="Times New Roman" w:eastAsia="宋体" w:cs="Times New Roman"/>
                      <w:color w:val="auto"/>
                      <w:spacing w:val="-10"/>
                      <w:sz w:val="18"/>
                      <w:szCs w:val="18"/>
                      <w:highlight w:val="none"/>
                      <w:lang w:val="en-US" w:eastAsia="zh-CN"/>
                    </w:rPr>
                    <w:t>。</w:t>
                  </w:r>
                </w:p>
                <w:p w14:paraId="659BFA87">
                  <w:pPr>
                    <w:keepNext w:val="0"/>
                    <w:keepLines w:val="0"/>
                    <w:pageBreakBefore w:val="0"/>
                    <w:widowControl w:val="0"/>
                    <w:kinsoku/>
                    <w:wordWrap/>
                    <w:overflowPunct/>
                    <w:topLinePunct w:val="0"/>
                    <w:autoSpaceDE/>
                    <w:autoSpaceDN/>
                    <w:bidi w:val="0"/>
                    <w:adjustRightInd/>
                    <w:snapToGrid/>
                    <w:ind w:firstLine="320" w:firstLineChars="200"/>
                    <w:jc w:val="left"/>
                    <w:textAlignment w:val="auto"/>
                    <w:rPr>
                      <w:rFonts w:hint="default" w:ascii="Times New Roman" w:hAnsi="Times New Roman" w:eastAsia="宋体" w:cs="Times New Roman"/>
                      <w:color w:val="auto"/>
                      <w:spacing w:val="-10"/>
                      <w:sz w:val="18"/>
                      <w:szCs w:val="18"/>
                      <w:highlight w:val="none"/>
                      <w:lang w:val="en-US" w:eastAsia="zh-CN"/>
                    </w:rPr>
                  </w:pPr>
                  <w:r>
                    <w:rPr>
                      <w:rFonts w:hint="eastAsia" w:ascii="Times New Roman" w:hAnsi="Times New Roman" w:eastAsia="宋体" w:cs="Times New Roman"/>
                      <w:color w:val="auto"/>
                      <w:spacing w:val="-10"/>
                      <w:sz w:val="18"/>
                      <w:szCs w:val="18"/>
                      <w:highlight w:val="none"/>
                      <w:lang w:val="en-US" w:eastAsia="zh-CN"/>
                    </w:rPr>
                    <w:t>2、标签背景</w:t>
                  </w:r>
                  <w:r>
                    <w:rPr>
                      <w:rFonts w:hint="default" w:ascii="Times New Roman" w:hAnsi="Times New Roman" w:eastAsia="宋体" w:cs="Times New Roman"/>
                      <w:color w:val="auto"/>
                      <w:spacing w:val="-10"/>
                      <w:sz w:val="18"/>
                      <w:szCs w:val="18"/>
                      <w:highlight w:val="none"/>
                      <w:lang w:val="en-US" w:eastAsia="zh-CN"/>
                    </w:rPr>
                    <w:t>色</w:t>
                  </w:r>
                  <w:r>
                    <w:rPr>
                      <w:rFonts w:hint="eastAsia" w:ascii="Times New Roman" w:hAnsi="Times New Roman" w:eastAsia="宋体" w:cs="Times New Roman"/>
                      <w:color w:val="auto"/>
                      <w:spacing w:val="-10"/>
                      <w:sz w:val="18"/>
                      <w:szCs w:val="18"/>
                      <w:highlight w:val="none"/>
                      <w:lang w:val="en-US" w:eastAsia="zh-CN"/>
                    </w:rPr>
                    <w:t>应为</w:t>
                  </w:r>
                  <w:r>
                    <w:rPr>
                      <w:rFonts w:hint="default" w:ascii="Times New Roman" w:hAnsi="Times New Roman" w:eastAsia="宋体" w:cs="Times New Roman"/>
                      <w:color w:val="auto"/>
                      <w:spacing w:val="-10"/>
                      <w:sz w:val="18"/>
                      <w:szCs w:val="18"/>
                      <w:highlight w:val="none"/>
                      <w:lang w:val="en-US" w:eastAsia="zh-CN"/>
                    </w:rPr>
                    <w:t>醒目的橘黄色</w:t>
                  </w:r>
                  <w:r>
                    <w:rPr>
                      <w:rFonts w:hint="eastAsia" w:ascii="Times New Roman" w:hAnsi="Times New Roman" w:eastAsia="宋体" w:cs="Times New Roman"/>
                      <w:color w:val="auto"/>
                      <w:spacing w:val="-10"/>
                      <w:sz w:val="18"/>
                      <w:szCs w:val="18"/>
                      <w:highlight w:val="none"/>
                      <w:lang w:val="en-US" w:eastAsia="zh-CN"/>
                    </w:rPr>
                    <w:t>，RGB颜色值为（255，150，0）。</w:t>
                  </w:r>
                </w:p>
                <w:p w14:paraId="5EB41609">
                  <w:pPr>
                    <w:keepNext w:val="0"/>
                    <w:keepLines w:val="0"/>
                    <w:pageBreakBefore w:val="0"/>
                    <w:widowControl w:val="0"/>
                    <w:kinsoku/>
                    <w:wordWrap/>
                    <w:overflowPunct/>
                    <w:topLinePunct w:val="0"/>
                    <w:autoSpaceDE/>
                    <w:autoSpaceDN/>
                    <w:bidi w:val="0"/>
                    <w:adjustRightInd/>
                    <w:snapToGrid/>
                    <w:ind w:firstLine="320" w:firstLineChars="200"/>
                    <w:jc w:val="left"/>
                    <w:textAlignment w:val="auto"/>
                    <w:rPr>
                      <w:rFonts w:hint="default" w:ascii="Times New Roman" w:hAnsi="Times New Roman" w:eastAsia="宋体" w:cs="Times New Roman"/>
                      <w:color w:val="auto"/>
                      <w:spacing w:val="-10"/>
                      <w:sz w:val="18"/>
                      <w:szCs w:val="18"/>
                      <w:highlight w:val="none"/>
                      <w:lang w:val="en-US" w:eastAsia="zh-CN"/>
                    </w:rPr>
                  </w:pPr>
                  <w:r>
                    <w:rPr>
                      <w:rFonts w:hint="eastAsia" w:ascii="Times New Roman" w:hAnsi="Times New Roman" w:eastAsia="宋体" w:cs="Times New Roman"/>
                      <w:color w:val="auto"/>
                      <w:spacing w:val="-10"/>
                      <w:sz w:val="18"/>
                      <w:szCs w:val="18"/>
                      <w:highlight w:val="none"/>
                      <w:lang w:val="en-US" w:eastAsia="zh-CN"/>
                    </w:rPr>
                    <w:t>3、标签边框和字体颜色为黑色，RGB颜色值为（0，0，0）。</w:t>
                  </w:r>
                </w:p>
                <w:p w14:paraId="4EA2505D">
                  <w:pPr>
                    <w:keepNext w:val="0"/>
                    <w:keepLines w:val="0"/>
                    <w:pageBreakBefore w:val="0"/>
                    <w:widowControl w:val="0"/>
                    <w:kinsoku/>
                    <w:wordWrap/>
                    <w:overflowPunct/>
                    <w:topLinePunct w:val="0"/>
                    <w:autoSpaceDE/>
                    <w:autoSpaceDN/>
                    <w:bidi w:val="0"/>
                    <w:adjustRightInd/>
                    <w:snapToGrid/>
                    <w:ind w:firstLine="320" w:firstLineChars="200"/>
                    <w:jc w:val="left"/>
                    <w:textAlignment w:val="auto"/>
                    <w:rPr>
                      <w:rFonts w:hint="eastAsia" w:ascii="Times New Roman" w:hAnsi="Times New Roman" w:eastAsia="宋体" w:cs="Times New Roman"/>
                      <w:color w:val="auto"/>
                      <w:spacing w:val="-10"/>
                      <w:sz w:val="18"/>
                      <w:szCs w:val="18"/>
                      <w:highlight w:val="none"/>
                      <w:lang w:val="en-US" w:eastAsia="zh-CN"/>
                    </w:rPr>
                  </w:pPr>
                  <w:r>
                    <w:rPr>
                      <w:rFonts w:hint="eastAsia" w:ascii="Times New Roman" w:hAnsi="Times New Roman" w:eastAsia="宋体" w:cs="Times New Roman"/>
                      <w:color w:val="auto"/>
                      <w:spacing w:val="-10"/>
                      <w:sz w:val="18"/>
                      <w:szCs w:val="18"/>
                      <w:highlight w:val="none"/>
                      <w:lang w:val="en-US" w:eastAsia="zh-CN"/>
                    </w:rPr>
                    <w:t>4、标签材质：具有一定的耐用性和防水性。标签可采用不干胶印刷品，或印刷品外加防水塑料袋或塑封等。</w:t>
                  </w:r>
                </w:p>
                <w:p w14:paraId="694A4245">
                  <w:pPr>
                    <w:keepNext w:val="0"/>
                    <w:keepLines w:val="0"/>
                    <w:pageBreakBefore w:val="0"/>
                    <w:widowControl w:val="0"/>
                    <w:kinsoku/>
                    <w:wordWrap/>
                    <w:overflowPunct/>
                    <w:topLinePunct w:val="0"/>
                    <w:autoSpaceDE/>
                    <w:autoSpaceDN/>
                    <w:bidi w:val="0"/>
                    <w:adjustRightInd/>
                    <w:snapToGrid/>
                    <w:ind w:firstLine="320" w:firstLineChars="200"/>
                    <w:jc w:val="left"/>
                    <w:textAlignment w:val="auto"/>
                    <w:rPr>
                      <w:rFonts w:hint="default"/>
                      <w:color w:val="auto"/>
                      <w:lang w:val="en-US" w:eastAsia="zh-CN"/>
                    </w:rPr>
                  </w:pPr>
                  <w:r>
                    <w:rPr>
                      <w:rFonts w:hint="eastAsia" w:ascii="Times New Roman" w:hAnsi="Times New Roman" w:eastAsia="宋体" w:cs="Times New Roman"/>
                      <w:color w:val="auto"/>
                      <w:spacing w:val="-10"/>
                      <w:sz w:val="18"/>
                      <w:szCs w:val="18"/>
                      <w:highlight w:val="none"/>
                      <w:lang w:val="en-US" w:eastAsia="zh-CN"/>
                    </w:rPr>
                    <w:t>5、危险废物标签印刷的油墨应均匀，图案和文字应清晰、完整。危险废物标签的文字边缘宜加黑色边框，边框宽度不小于1mm，边框外宜留不小于3mm的空白。</w:t>
                  </w:r>
                </w:p>
              </w:tc>
            </w:tr>
          </w:tbl>
          <w:p w14:paraId="72AB86F6">
            <w:pPr>
              <w:pStyle w:val="24"/>
              <w:adjustRightInd w:val="0"/>
              <w:snapToGrid w:val="0"/>
              <w:spacing w:before="0" w:beforeAutospacing="0" w:after="0" w:afterAutospacing="0" w:line="440" w:lineRule="exact"/>
              <w:ind w:firstLine="422" w:firstLineChars="200"/>
              <w:rPr>
                <w:rFonts w:hint="eastAsia" w:ascii="Times New Roman" w:hAnsi="Times New Roman" w:eastAsia="宋体" w:cs="Times New Roman"/>
                <w:b/>
                <w:color w:val="auto"/>
                <w:sz w:val="21"/>
                <w:szCs w:val="21"/>
                <w:lang w:eastAsia="zh-CN"/>
              </w:rPr>
            </w:pPr>
            <w:r>
              <w:rPr>
                <w:rFonts w:hint="eastAsia" w:ascii="Times New Roman" w:hAnsi="Times New Roman" w:eastAsia="宋体" w:cs="Times New Roman"/>
                <w:b/>
                <w:color w:val="auto"/>
                <w:sz w:val="21"/>
                <w:szCs w:val="21"/>
              </w:rPr>
              <w:t>4.3.</w:t>
            </w:r>
            <w:r>
              <w:rPr>
                <w:rFonts w:hint="eastAsia" w:ascii="Times New Roman" w:hAnsi="Times New Roman" w:cs="Times New Roman"/>
                <w:b/>
                <w:color w:val="auto"/>
                <w:sz w:val="21"/>
                <w:szCs w:val="21"/>
                <w:lang w:val="en-US" w:eastAsia="zh-CN"/>
              </w:rPr>
              <w:t>4</w:t>
            </w:r>
            <w:r>
              <w:rPr>
                <w:rFonts w:hint="eastAsia" w:ascii="Times New Roman" w:hAnsi="Times New Roman" w:eastAsia="宋体" w:cs="Times New Roman"/>
                <w:b/>
                <w:color w:val="auto"/>
                <w:sz w:val="21"/>
                <w:szCs w:val="21"/>
              </w:rPr>
              <w:t>危险废物</w:t>
            </w:r>
            <w:r>
              <w:rPr>
                <w:rFonts w:hint="eastAsia" w:ascii="Times New Roman" w:hAnsi="Times New Roman" w:eastAsia="宋体" w:cs="Times New Roman"/>
                <w:b/>
                <w:color w:val="auto"/>
                <w:sz w:val="21"/>
                <w:szCs w:val="21"/>
                <w:lang w:val="en-US" w:eastAsia="zh-CN"/>
              </w:rPr>
              <w:t>运输</w:t>
            </w:r>
          </w:p>
          <w:p w14:paraId="19E95258">
            <w:pPr>
              <w:pStyle w:val="24"/>
              <w:adjustRightInd w:val="0"/>
              <w:snapToGrid w:val="0"/>
              <w:spacing w:before="0" w:beforeAutospacing="0" w:after="0" w:afterAutospacing="0" w:line="440" w:lineRule="exact"/>
              <w:ind w:firstLine="420" w:firstLineChars="200"/>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项目危险废物废润滑油、废</w:t>
            </w:r>
            <w:r>
              <w:rPr>
                <w:rFonts w:hint="eastAsia" w:ascii="Times New Roman" w:hAnsi="Times New Roman" w:cs="Times New Roman"/>
                <w:color w:val="auto"/>
                <w:sz w:val="21"/>
                <w:szCs w:val="21"/>
                <w:lang w:val="en-US" w:eastAsia="zh-CN"/>
              </w:rPr>
              <w:t>液压油</w:t>
            </w:r>
            <w:r>
              <w:rPr>
                <w:rFonts w:hint="eastAsia" w:ascii="Times New Roman" w:hAnsi="Times New Roman" w:eastAsia="宋体" w:cs="Times New Roman"/>
                <w:color w:val="auto"/>
                <w:sz w:val="21"/>
                <w:szCs w:val="21"/>
                <w:lang w:val="en-US" w:eastAsia="zh-CN"/>
              </w:rPr>
              <w:t>采用专用容器密封盛装，废油桶密封，分区暂存于危险废物暂存间，之后委托有资质单位进行运输，专人负责对危废产生和运输情况进行记录，定期对人员进行考核培训，对包装容器进行查验，严禁容器不密闭或散装运输。危险废物的转移应遵从《危险废物转移管理办法》及危险废物转移管理办法（部令第23号，2022.1.1 执行）其它有关规定的要求。</w:t>
            </w:r>
          </w:p>
          <w:p w14:paraId="568F58DD">
            <w:pPr>
              <w:pStyle w:val="24"/>
              <w:adjustRightInd w:val="0"/>
              <w:snapToGrid w:val="0"/>
              <w:spacing w:before="0" w:beforeAutospacing="0" w:after="0" w:afterAutospacing="0" w:line="440" w:lineRule="exact"/>
              <w:ind w:firstLine="420" w:firstLineChars="200"/>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危险废物移出人、危险废物承运人、危险废物接受人（以下分别简称移出人、承运人和接受人）在危险废物转移过程中应当采取防扬散、防流失、防渗漏或者其他防止污染环境的措施，不得擅自倾倒、堆放、丢弃、遗撒危险废物，并对所造成的环境污染及生态破坏依法承担责任。移出人、承运人、接受人应当依法制定突发环境事件的防范措施和应急预案，并报有关部门备案。</w:t>
            </w:r>
          </w:p>
          <w:p w14:paraId="6C8BD9F2">
            <w:pPr>
              <w:pStyle w:val="24"/>
              <w:adjustRightInd w:val="0"/>
              <w:snapToGrid w:val="0"/>
              <w:spacing w:before="0" w:beforeAutospacing="0" w:after="0" w:afterAutospacing="0" w:line="440" w:lineRule="exact"/>
              <w:ind w:firstLine="422" w:firstLineChars="200"/>
              <w:rPr>
                <w:rFonts w:hint="eastAsia" w:ascii="Times New Roman" w:hAnsi="Times New Roman" w:eastAsia="宋体" w:cs="Times New Roman"/>
                <w:b/>
                <w:color w:val="auto"/>
                <w:sz w:val="21"/>
                <w:szCs w:val="21"/>
                <w:lang w:eastAsia="zh-CN"/>
              </w:rPr>
            </w:pPr>
            <w:r>
              <w:rPr>
                <w:rFonts w:hint="eastAsia" w:ascii="Times New Roman" w:hAnsi="Times New Roman" w:eastAsia="宋体" w:cs="Times New Roman"/>
                <w:b/>
                <w:color w:val="auto"/>
                <w:sz w:val="21"/>
                <w:szCs w:val="21"/>
              </w:rPr>
              <w:t>4.3.</w:t>
            </w:r>
            <w:r>
              <w:rPr>
                <w:rFonts w:hint="eastAsia" w:ascii="Times New Roman" w:hAnsi="Times New Roman" w:cs="Times New Roman"/>
                <w:b/>
                <w:color w:val="auto"/>
                <w:sz w:val="21"/>
                <w:szCs w:val="21"/>
                <w:lang w:val="en-US" w:eastAsia="zh-CN"/>
              </w:rPr>
              <w:t>5</w:t>
            </w:r>
            <w:r>
              <w:rPr>
                <w:rFonts w:hint="eastAsia" w:ascii="Times New Roman" w:hAnsi="Times New Roman" w:eastAsia="宋体" w:cs="Times New Roman"/>
                <w:b/>
                <w:color w:val="auto"/>
                <w:sz w:val="21"/>
                <w:szCs w:val="21"/>
              </w:rPr>
              <w:t>危险废物</w:t>
            </w:r>
            <w:r>
              <w:rPr>
                <w:rFonts w:hint="eastAsia" w:ascii="Times New Roman" w:hAnsi="Times New Roman" w:eastAsia="宋体" w:cs="Times New Roman"/>
                <w:b/>
                <w:color w:val="auto"/>
                <w:sz w:val="21"/>
                <w:szCs w:val="21"/>
                <w:lang w:val="en-US" w:eastAsia="zh-CN"/>
              </w:rPr>
              <w:t>处置</w:t>
            </w:r>
          </w:p>
          <w:p w14:paraId="6A36CA99">
            <w:pPr>
              <w:pStyle w:val="24"/>
              <w:adjustRightInd w:val="0"/>
              <w:snapToGrid w:val="0"/>
              <w:spacing w:before="0" w:beforeAutospacing="0" w:after="0" w:afterAutospacing="0" w:line="440" w:lineRule="exact"/>
              <w:ind w:firstLine="420" w:firstLineChars="200"/>
              <w:rPr>
                <w:rFonts w:hint="eastAsia"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lang w:val="en-US" w:eastAsia="zh-CN"/>
              </w:rPr>
              <w:t>本项目不对厂区内危险废物进行处置，危险废物经收集后委托</w:t>
            </w:r>
            <w:r>
              <w:rPr>
                <w:rFonts w:hint="eastAsia" w:ascii="Times New Roman" w:hAnsi="Times New Roman" w:eastAsia="宋体" w:cs="Times New Roman"/>
                <w:color w:val="auto"/>
                <w:sz w:val="21"/>
                <w:szCs w:val="21"/>
              </w:rPr>
              <w:t>有资质的危险废物处置单位</w:t>
            </w:r>
            <w:r>
              <w:rPr>
                <w:rFonts w:hint="eastAsia" w:ascii="Times New Roman" w:hAnsi="Times New Roman" w:eastAsia="宋体" w:cs="Times New Roman"/>
                <w:color w:val="auto"/>
                <w:sz w:val="21"/>
                <w:szCs w:val="21"/>
                <w:lang w:val="en-US" w:eastAsia="zh-CN"/>
              </w:rPr>
              <w:t>进行</w:t>
            </w:r>
            <w:r>
              <w:rPr>
                <w:rFonts w:hint="eastAsia" w:ascii="Times New Roman" w:hAnsi="Times New Roman" w:eastAsia="宋体" w:cs="Times New Roman"/>
                <w:color w:val="auto"/>
                <w:sz w:val="21"/>
                <w:szCs w:val="21"/>
              </w:rPr>
              <w:t>处置。</w:t>
            </w:r>
          </w:p>
          <w:p w14:paraId="4C643ADB">
            <w:pPr>
              <w:pStyle w:val="24"/>
              <w:adjustRightInd w:val="0"/>
              <w:snapToGrid w:val="0"/>
              <w:spacing w:before="0" w:beforeAutospacing="0" w:after="0" w:afterAutospacing="0" w:line="440" w:lineRule="exact"/>
              <w:ind w:firstLine="420" w:firstLineChars="200"/>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根据上述分析可知，本项目危险废物贮存和运输满足《危险废物收集、贮存、运输技术规范》（HJ2025-2012）、《危险废物贮存污染控制标准》（GB18597-2023），对环境影响很小。</w:t>
            </w:r>
          </w:p>
          <w:p w14:paraId="6E452425">
            <w:pPr>
              <w:pStyle w:val="24"/>
              <w:adjustRightInd w:val="0"/>
              <w:snapToGrid w:val="0"/>
              <w:spacing w:before="0" w:beforeAutospacing="0" w:after="0" w:afterAutospacing="0" w:line="440" w:lineRule="exact"/>
              <w:ind w:firstLine="422" w:firstLineChars="200"/>
              <w:rPr>
                <w:rFonts w:ascii="Times New Roman" w:hAnsi="Times New Roman"/>
                <w:b/>
                <w:color w:val="auto"/>
                <w:sz w:val="21"/>
                <w:szCs w:val="21"/>
              </w:rPr>
            </w:pPr>
            <w:r>
              <w:rPr>
                <w:rFonts w:hint="eastAsia" w:ascii="Times New Roman" w:hAnsi="Times New Roman"/>
                <w:b/>
                <w:color w:val="auto"/>
                <w:sz w:val="21"/>
                <w:szCs w:val="21"/>
              </w:rPr>
              <w:t>4.4结论</w:t>
            </w:r>
          </w:p>
          <w:p w14:paraId="64DE8D7E">
            <w:pPr>
              <w:spacing w:line="440" w:lineRule="exact"/>
              <w:ind w:firstLine="420" w:firstLineChars="200"/>
              <w:rPr>
                <w:color w:val="auto"/>
                <w:szCs w:val="21"/>
              </w:rPr>
            </w:pPr>
            <w:r>
              <w:rPr>
                <w:rFonts w:hint="eastAsia"/>
                <w:color w:val="auto"/>
                <w:szCs w:val="21"/>
              </w:rPr>
              <w:t>综上，拟建项目固体废物全部综合利用或妥善处置，不会对环境产生明显影响，措施可行。</w:t>
            </w:r>
          </w:p>
          <w:p w14:paraId="4DFB5D74">
            <w:pPr>
              <w:pStyle w:val="24"/>
              <w:adjustRightInd w:val="0"/>
              <w:snapToGrid w:val="0"/>
              <w:spacing w:before="0" w:beforeAutospacing="0" w:after="0" w:afterAutospacing="0" w:line="440" w:lineRule="exact"/>
              <w:ind w:firstLine="422" w:firstLineChars="200"/>
              <w:rPr>
                <w:rFonts w:ascii="Times New Roman" w:hAnsi="Times New Roman"/>
                <w:b/>
                <w:color w:val="auto"/>
                <w:sz w:val="21"/>
                <w:szCs w:val="21"/>
                <w:highlight w:val="none"/>
              </w:rPr>
            </w:pPr>
            <w:r>
              <w:rPr>
                <w:rFonts w:hint="eastAsia" w:ascii="Times New Roman" w:hAnsi="Times New Roman"/>
                <w:b/>
                <w:color w:val="auto"/>
                <w:sz w:val="21"/>
                <w:szCs w:val="21"/>
                <w:highlight w:val="none"/>
              </w:rPr>
              <w:t>5</w:t>
            </w:r>
            <w:r>
              <w:rPr>
                <w:rFonts w:ascii="Times New Roman" w:hAnsi="Times New Roman"/>
                <w:b/>
                <w:color w:val="auto"/>
                <w:sz w:val="21"/>
                <w:szCs w:val="21"/>
                <w:highlight w:val="none"/>
              </w:rPr>
              <w:t>.</w:t>
            </w:r>
            <w:r>
              <w:rPr>
                <w:rFonts w:hint="eastAsia" w:ascii="Times New Roman" w:hAnsi="Times New Roman"/>
                <w:b/>
                <w:color w:val="auto"/>
                <w:sz w:val="21"/>
                <w:szCs w:val="21"/>
                <w:highlight w:val="none"/>
              </w:rPr>
              <w:t>地下水、土壤</w:t>
            </w:r>
          </w:p>
          <w:p w14:paraId="49BBE3E9">
            <w:pPr>
              <w:spacing w:line="440" w:lineRule="exact"/>
              <w:ind w:firstLine="420" w:firstLineChars="200"/>
              <w:rPr>
                <w:color w:val="auto"/>
                <w:szCs w:val="21"/>
                <w:highlight w:val="none"/>
              </w:rPr>
            </w:pPr>
            <w:r>
              <w:rPr>
                <w:rFonts w:hint="eastAsia"/>
                <w:color w:val="auto"/>
                <w:szCs w:val="21"/>
                <w:highlight w:val="none"/>
              </w:rPr>
              <w:t>（1）污染源及途径</w:t>
            </w:r>
          </w:p>
          <w:p w14:paraId="07C8E076">
            <w:pPr>
              <w:adjustRightInd w:val="0"/>
              <w:spacing w:line="440" w:lineRule="exact"/>
              <w:ind w:firstLine="420" w:firstLineChars="200"/>
              <w:outlineLvl w:val="2"/>
              <w:rPr>
                <w:rFonts w:hint="eastAsia" w:ascii="Times New Roman" w:hAnsi="Times New Roman" w:eastAsia="宋体" w:cs="Times New Roman"/>
                <w:color w:val="auto"/>
                <w:szCs w:val="21"/>
                <w:highlight w:val="none"/>
              </w:rPr>
            </w:pPr>
            <w:r>
              <w:rPr>
                <w:rFonts w:hint="eastAsia" w:ascii="Times New Roman" w:hAnsi="Times New Roman" w:eastAsia="宋体" w:cs="Times New Roman"/>
                <w:color w:val="auto"/>
                <w:szCs w:val="21"/>
                <w:highlight w:val="none"/>
              </w:rPr>
              <w:t>本项目生产过程产生的废气主要为颗粒物，排放量较少，因此不会通过大气沉降对土壤环境及地下水环境产生明显不利影响。</w:t>
            </w:r>
            <w:r>
              <w:rPr>
                <w:rFonts w:hint="eastAsia"/>
                <w:color w:val="auto"/>
                <w:szCs w:val="21"/>
                <w:highlight w:val="none"/>
              </w:rPr>
              <w:t>车辆冲洗废水经沉淀池沉淀后循环利用，不外排</w:t>
            </w:r>
            <w:r>
              <w:rPr>
                <w:rFonts w:hint="eastAsia" w:ascii="Times New Roman" w:hAnsi="Times New Roman" w:eastAsia="宋体" w:cs="Times New Roman"/>
                <w:color w:val="auto"/>
                <w:szCs w:val="21"/>
                <w:highlight w:val="none"/>
                <w:lang w:val="en-US" w:eastAsia="zh-CN"/>
              </w:rPr>
              <w:t>；</w:t>
            </w:r>
            <w:r>
              <w:rPr>
                <w:rFonts w:hint="eastAsia" w:cs="Times New Roman"/>
                <w:color w:val="auto"/>
                <w:szCs w:val="21"/>
                <w:highlight w:val="none"/>
                <w:lang w:val="en-US" w:eastAsia="zh-CN"/>
              </w:rPr>
              <w:t>生产废水</w:t>
            </w:r>
            <w:r>
              <w:rPr>
                <w:rFonts w:hint="eastAsia" w:ascii="Times New Roman" w:hAnsi="Times New Roman" w:cs="Times New Roman"/>
                <w:color w:val="auto"/>
                <w:szCs w:val="21"/>
                <w:highlight w:val="none"/>
                <w:lang w:val="en-US" w:eastAsia="zh-CN"/>
              </w:rPr>
              <w:t>中各料池产生的溢流水经集水沟收集后，流入污水池，</w:t>
            </w:r>
            <w:r>
              <w:rPr>
                <w:rFonts w:hint="eastAsia" w:ascii="Times New Roman" w:hAnsi="Times New Roman" w:eastAsia="宋体" w:cs="Times New Roman"/>
                <w:color w:val="auto"/>
                <w:sz w:val="21"/>
                <w:szCs w:val="21"/>
                <w:highlight w:val="none"/>
                <w:lang w:val="en-US" w:eastAsia="zh-CN"/>
              </w:rPr>
              <w:t>由渣浆泵将污水池中污水打入</w:t>
            </w:r>
            <w:r>
              <w:rPr>
                <w:rFonts w:hint="eastAsia" w:ascii="Times New Roman" w:hAnsi="Times New Roman" w:cs="Times New Roman"/>
                <w:color w:val="auto"/>
                <w:sz w:val="21"/>
                <w:szCs w:val="21"/>
                <w:highlight w:val="none"/>
                <w:lang w:val="en-US" w:eastAsia="zh-CN"/>
              </w:rPr>
              <w:t>沉淀池，</w:t>
            </w:r>
            <w:r>
              <w:rPr>
                <w:rFonts w:hint="eastAsia" w:ascii="Times New Roman" w:hAnsi="Times New Roman" w:cs="Times New Roman"/>
                <w:color w:val="auto"/>
                <w:szCs w:val="21"/>
                <w:highlight w:val="none"/>
                <w:lang w:val="en-US" w:eastAsia="zh-CN"/>
              </w:rPr>
              <w:t>其余废水</w:t>
            </w:r>
            <w:r>
              <w:rPr>
                <w:rFonts w:hint="eastAsia" w:ascii="Times New Roman" w:hAnsi="Times New Roman" w:eastAsia="宋体" w:cs="Times New Roman"/>
                <w:color w:val="auto"/>
                <w:sz w:val="21"/>
                <w:szCs w:val="21"/>
                <w:highlight w:val="none"/>
                <w:lang w:val="en-US" w:eastAsia="zh-CN"/>
              </w:rPr>
              <w:t>通过管道进入</w:t>
            </w:r>
            <w:r>
              <w:rPr>
                <w:rFonts w:hint="eastAsia" w:ascii="Times New Roman" w:hAnsi="Times New Roman" w:cs="Times New Roman"/>
                <w:color w:val="auto"/>
                <w:sz w:val="21"/>
                <w:szCs w:val="21"/>
                <w:highlight w:val="none"/>
                <w:lang w:val="en-US" w:eastAsia="zh-CN"/>
              </w:rPr>
              <w:t>沉淀池，废水在沉淀池沉淀后，在由</w:t>
            </w:r>
            <w:r>
              <w:rPr>
                <w:rFonts w:hint="eastAsia" w:ascii="Times New Roman" w:hAnsi="Times New Roman" w:eastAsia="宋体" w:cs="Times New Roman"/>
                <w:color w:val="auto"/>
                <w:sz w:val="21"/>
                <w:szCs w:val="21"/>
                <w:highlight w:val="none"/>
                <w:lang w:val="en-US" w:eastAsia="zh-CN"/>
              </w:rPr>
              <w:t>渣浆泵将</w:t>
            </w:r>
            <w:r>
              <w:rPr>
                <w:rFonts w:hint="eastAsia" w:ascii="Times New Roman" w:hAnsi="Times New Roman" w:cs="Times New Roman"/>
                <w:color w:val="auto"/>
                <w:sz w:val="21"/>
                <w:szCs w:val="21"/>
                <w:highlight w:val="none"/>
                <w:lang w:val="en-US" w:eastAsia="zh-CN"/>
              </w:rPr>
              <w:t>沉淀</w:t>
            </w:r>
            <w:r>
              <w:rPr>
                <w:rFonts w:hint="eastAsia" w:ascii="Times New Roman" w:hAnsi="Times New Roman" w:eastAsia="宋体" w:cs="Times New Roman"/>
                <w:color w:val="auto"/>
                <w:sz w:val="21"/>
                <w:szCs w:val="21"/>
                <w:highlight w:val="none"/>
                <w:lang w:val="en-US" w:eastAsia="zh-CN"/>
              </w:rPr>
              <w:t>池中污水打入浓缩罐</w:t>
            </w:r>
            <w:r>
              <w:rPr>
                <w:rFonts w:hint="eastAsia" w:ascii="Times New Roman" w:hAnsi="Times New Roman" w:cs="Times New Roman"/>
                <w:color w:val="auto"/>
                <w:sz w:val="21"/>
                <w:szCs w:val="21"/>
                <w:highlight w:val="none"/>
                <w:lang w:val="en-US" w:eastAsia="zh-CN"/>
              </w:rPr>
              <w:t>，</w:t>
            </w:r>
            <w:r>
              <w:rPr>
                <w:rFonts w:hint="eastAsia" w:ascii="Times New Roman" w:hAnsi="Times New Roman" w:eastAsia="宋体" w:cs="Times New Roman"/>
                <w:color w:val="auto"/>
                <w:sz w:val="21"/>
                <w:szCs w:val="21"/>
                <w:highlight w:val="none"/>
                <w:lang w:val="en-US" w:eastAsia="zh-CN"/>
              </w:rPr>
              <w:t>以上废水经浓缩罐</w:t>
            </w:r>
            <w:r>
              <w:rPr>
                <w:rFonts w:hint="eastAsia" w:ascii="Times New Roman" w:hAnsi="Times New Roman" w:cs="Times New Roman"/>
                <w:color w:val="auto"/>
                <w:sz w:val="21"/>
                <w:szCs w:val="21"/>
                <w:highlight w:val="none"/>
                <w:lang w:val="en-US" w:eastAsia="zh-CN"/>
              </w:rPr>
              <w:t>加药</w:t>
            </w:r>
            <w:r>
              <w:rPr>
                <w:rFonts w:hint="eastAsia" w:ascii="Times New Roman" w:hAnsi="Times New Roman" w:eastAsia="宋体" w:cs="Times New Roman"/>
                <w:color w:val="auto"/>
                <w:sz w:val="21"/>
                <w:szCs w:val="21"/>
                <w:highlight w:val="none"/>
                <w:lang w:val="en-US" w:eastAsia="zh-CN"/>
              </w:rPr>
              <w:t>浓缩后，上清液进入清水池，</w:t>
            </w:r>
            <w:r>
              <w:rPr>
                <w:rFonts w:hint="eastAsia" w:ascii="Times New Roman" w:hAnsi="Times New Roman" w:cs="Times New Roman"/>
                <w:color w:val="auto"/>
                <w:sz w:val="21"/>
                <w:szCs w:val="21"/>
                <w:highlight w:val="none"/>
                <w:lang w:val="en-US" w:eastAsia="zh-CN"/>
              </w:rPr>
              <w:t>之后经清水泵</w:t>
            </w:r>
            <w:r>
              <w:rPr>
                <w:rFonts w:hint="eastAsia" w:ascii="Times New Roman" w:hAnsi="Times New Roman" w:eastAsia="宋体" w:cs="Times New Roman"/>
                <w:color w:val="auto"/>
                <w:sz w:val="21"/>
                <w:szCs w:val="21"/>
                <w:highlight w:val="none"/>
                <w:lang w:val="en-US" w:eastAsia="zh-CN"/>
              </w:rPr>
              <w:t>回用于生产，底部浆液经渣浆泵打入板框压滤机进行压滤，压滤后的清水进入清水池，</w:t>
            </w:r>
            <w:r>
              <w:rPr>
                <w:rFonts w:hint="eastAsia" w:ascii="Times New Roman" w:hAnsi="Times New Roman" w:cs="Times New Roman"/>
                <w:color w:val="auto"/>
                <w:sz w:val="21"/>
                <w:szCs w:val="21"/>
                <w:highlight w:val="none"/>
                <w:lang w:val="en-US" w:eastAsia="zh-CN"/>
              </w:rPr>
              <w:t>之后经清水泵</w:t>
            </w:r>
            <w:r>
              <w:rPr>
                <w:rFonts w:hint="eastAsia" w:ascii="Times New Roman" w:hAnsi="Times New Roman" w:eastAsia="宋体" w:cs="Times New Roman"/>
                <w:color w:val="auto"/>
                <w:sz w:val="21"/>
                <w:szCs w:val="21"/>
                <w:highlight w:val="none"/>
                <w:lang w:val="en-US" w:eastAsia="zh-CN"/>
              </w:rPr>
              <w:t>回用于生产</w:t>
            </w:r>
            <w:r>
              <w:rPr>
                <w:rFonts w:hint="eastAsia" w:ascii="Times New Roman" w:hAnsi="Times New Roman" w:cs="Times New Roman"/>
                <w:color w:val="auto"/>
                <w:szCs w:val="21"/>
                <w:highlight w:val="none"/>
                <w:lang w:val="en-US" w:eastAsia="zh-CN"/>
              </w:rPr>
              <w:t>；</w:t>
            </w:r>
            <w:r>
              <w:rPr>
                <w:rFonts w:hint="eastAsia" w:cs="Times New Roman"/>
                <w:color w:val="auto"/>
                <w:szCs w:val="21"/>
                <w:highlight w:val="none"/>
                <w:lang w:val="en-US" w:eastAsia="zh-CN"/>
              </w:rPr>
              <w:t>项目产生的废水</w:t>
            </w:r>
            <w:r>
              <w:rPr>
                <w:rFonts w:hint="eastAsia" w:ascii="Times New Roman" w:hAnsi="Times New Roman" w:eastAsia="宋体" w:cs="Times New Roman"/>
                <w:color w:val="auto"/>
                <w:szCs w:val="21"/>
                <w:highlight w:val="none"/>
                <w:lang w:val="en-US" w:eastAsia="zh-CN"/>
              </w:rPr>
              <w:t>不会通过地表漫流对土壤及地下水环境产生明显不利影响。项目危险废物暂存间、</w:t>
            </w:r>
            <w:r>
              <w:rPr>
                <w:rFonts w:hint="eastAsia" w:cs="Times New Roman"/>
                <w:color w:val="auto"/>
                <w:szCs w:val="21"/>
                <w:highlight w:val="none"/>
                <w:lang w:val="en-US" w:eastAsia="zh-CN"/>
              </w:rPr>
              <w:t>球磨机、1</w:t>
            </w:r>
            <w:r>
              <w:rPr>
                <w:rFonts w:hint="eastAsia" w:cs="Times New Roman"/>
                <w:color w:val="auto"/>
                <w:szCs w:val="21"/>
                <w:highlight w:val="none"/>
                <w:vertAlign w:val="superscript"/>
                <w:lang w:val="en-US" w:eastAsia="zh-CN"/>
              </w:rPr>
              <w:t>#</w:t>
            </w:r>
            <w:r>
              <w:rPr>
                <w:rFonts w:hint="eastAsia" w:cs="Times New Roman"/>
                <w:color w:val="auto"/>
                <w:szCs w:val="21"/>
                <w:highlight w:val="none"/>
                <w:lang w:val="en-US" w:eastAsia="zh-CN"/>
              </w:rPr>
              <w:t>-2</w:t>
            </w:r>
            <w:r>
              <w:rPr>
                <w:rFonts w:hint="eastAsia" w:cs="Times New Roman"/>
                <w:color w:val="auto"/>
                <w:szCs w:val="21"/>
                <w:highlight w:val="none"/>
                <w:vertAlign w:val="superscript"/>
                <w:lang w:val="en-US" w:eastAsia="zh-CN"/>
              </w:rPr>
              <w:t>#</w:t>
            </w:r>
            <w:r>
              <w:rPr>
                <w:rFonts w:hint="eastAsia" w:ascii="Times New Roman" w:hAnsi="Times New Roman" w:eastAsia="宋体" w:cs="Times New Roman"/>
                <w:color w:val="auto"/>
                <w:szCs w:val="21"/>
                <w:highlight w:val="none"/>
                <w:lang w:val="en-US" w:eastAsia="zh-CN"/>
              </w:rPr>
              <w:t>生产车间</w:t>
            </w:r>
            <w:r>
              <w:rPr>
                <w:rFonts w:hint="eastAsia" w:ascii="Times New Roman" w:hAnsi="Times New Roman" w:cs="Times New Roman"/>
                <w:color w:val="auto"/>
                <w:szCs w:val="21"/>
                <w:highlight w:val="none"/>
                <w:lang w:val="en-US" w:eastAsia="zh-CN"/>
              </w:rPr>
              <w:t>、</w:t>
            </w:r>
            <w:r>
              <w:rPr>
                <w:rFonts w:hint="eastAsia" w:ascii="Times New Roman" w:hAnsi="Times New Roman" w:eastAsia="宋体" w:cs="Times New Roman"/>
                <w:color w:val="auto"/>
                <w:szCs w:val="21"/>
                <w:highlight w:val="none"/>
                <w:lang w:val="en-US" w:eastAsia="zh-CN"/>
              </w:rPr>
              <w:t>一般固废暂存区</w:t>
            </w:r>
            <w:r>
              <w:rPr>
                <w:rFonts w:hint="eastAsia" w:cs="Times New Roman"/>
                <w:color w:val="auto"/>
                <w:szCs w:val="21"/>
                <w:highlight w:val="none"/>
                <w:lang w:val="en-US" w:eastAsia="zh-CN"/>
              </w:rPr>
              <w:t>、</w:t>
            </w:r>
            <w:r>
              <w:rPr>
                <w:rFonts w:hint="eastAsia" w:ascii="Times New Roman" w:hAnsi="Times New Roman" w:eastAsia="宋体" w:cs="Times New Roman"/>
                <w:color w:val="auto"/>
                <w:szCs w:val="21"/>
                <w:highlight w:val="none"/>
                <w:lang w:val="en-US" w:eastAsia="zh-CN"/>
              </w:rPr>
              <w:t>暂存池、1</w:t>
            </w:r>
            <w:r>
              <w:rPr>
                <w:rFonts w:hint="eastAsia" w:ascii="Times New Roman" w:hAnsi="Times New Roman" w:eastAsia="宋体" w:cs="Times New Roman"/>
                <w:color w:val="auto"/>
                <w:szCs w:val="21"/>
                <w:highlight w:val="none"/>
                <w:vertAlign w:val="superscript"/>
                <w:lang w:val="en-US" w:eastAsia="zh-CN"/>
              </w:rPr>
              <w:t>#</w:t>
            </w:r>
            <w:r>
              <w:rPr>
                <w:rFonts w:hint="eastAsia" w:ascii="Times New Roman" w:hAnsi="Times New Roman" w:eastAsia="宋体" w:cs="Times New Roman"/>
                <w:color w:val="auto"/>
                <w:szCs w:val="21"/>
                <w:highlight w:val="none"/>
                <w:lang w:val="en-US" w:eastAsia="zh-CN"/>
              </w:rPr>
              <w:t>-5</w:t>
            </w:r>
            <w:r>
              <w:rPr>
                <w:rFonts w:hint="eastAsia" w:ascii="Times New Roman" w:hAnsi="Times New Roman" w:eastAsia="宋体" w:cs="Times New Roman"/>
                <w:color w:val="auto"/>
                <w:szCs w:val="21"/>
                <w:highlight w:val="none"/>
                <w:vertAlign w:val="superscript"/>
                <w:lang w:val="en-US" w:eastAsia="zh-CN"/>
              </w:rPr>
              <w:t>#</w:t>
            </w:r>
            <w:r>
              <w:rPr>
                <w:rFonts w:hint="eastAsia" w:ascii="Times New Roman" w:hAnsi="Times New Roman" w:eastAsia="宋体" w:cs="Times New Roman"/>
                <w:color w:val="auto"/>
                <w:szCs w:val="21"/>
                <w:highlight w:val="none"/>
                <w:lang w:val="en-US" w:eastAsia="zh-CN"/>
              </w:rPr>
              <w:t>储料池、金属混合物料储料池、铁粉池、污水池、</w:t>
            </w:r>
            <w:r>
              <w:rPr>
                <w:rFonts w:hint="eastAsia" w:cs="Times New Roman"/>
                <w:color w:val="auto"/>
                <w:szCs w:val="21"/>
                <w:highlight w:val="none"/>
                <w:lang w:val="en-US" w:eastAsia="zh-CN"/>
              </w:rPr>
              <w:t>沉淀池、</w:t>
            </w:r>
            <w:r>
              <w:rPr>
                <w:rFonts w:hint="eastAsia" w:ascii="Times New Roman" w:hAnsi="Times New Roman" w:eastAsia="宋体" w:cs="Times New Roman"/>
                <w:color w:val="auto"/>
                <w:szCs w:val="21"/>
                <w:highlight w:val="none"/>
                <w:lang w:val="en-US" w:eastAsia="zh-CN"/>
              </w:rPr>
              <w:t>清水池、洗车平台清水池、洗车平台沉淀池、集水沟均采取了防渗处理</w:t>
            </w:r>
            <w:r>
              <w:rPr>
                <w:rFonts w:hint="eastAsia" w:ascii="Times New Roman" w:hAnsi="Times New Roman" w:eastAsia="宋体" w:cs="Times New Roman"/>
                <w:color w:val="auto"/>
                <w:szCs w:val="21"/>
                <w:highlight w:val="none"/>
              </w:rPr>
              <w:t>，因此本项目建成后对地下水、土壤的污染源主要为</w:t>
            </w:r>
            <w:r>
              <w:rPr>
                <w:rFonts w:hint="eastAsia" w:cs="Times New Roman"/>
                <w:color w:val="auto"/>
                <w:szCs w:val="21"/>
                <w:highlight w:val="none"/>
                <w:lang w:val="en-US" w:eastAsia="zh-CN"/>
              </w:rPr>
              <w:t>生产车间堆存的原料、成品，各料池中的溢流水、污水池、污水沉淀池中的废水、清水池中的清水、</w:t>
            </w:r>
            <w:r>
              <w:rPr>
                <w:rFonts w:hint="eastAsia" w:ascii="Times New Roman" w:hAnsi="Times New Roman" w:eastAsia="宋体" w:cs="Times New Roman"/>
                <w:color w:val="auto"/>
                <w:szCs w:val="21"/>
                <w:highlight w:val="none"/>
                <w:lang w:val="en-US" w:eastAsia="zh-CN"/>
              </w:rPr>
              <w:t>洗车平台</w:t>
            </w:r>
            <w:r>
              <w:rPr>
                <w:rFonts w:hint="eastAsia" w:cs="Times New Roman"/>
                <w:color w:val="auto"/>
                <w:szCs w:val="21"/>
                <w:highlight w:val="none"/>
                <w:lang w:val="en-US" w:eastAsia="zh-CN"/>
              </w:rPr>
              <w:t>清水池及沉淀池中的废水，生产设备中的润滑油、液压油及危险废物暂存间中废润滑油、废液压油</w:t>
            </w:r>
            <w:r>
              <w:rPr>
                <w:rFonts w:hint="eastAsia" w:ascii="Times New Roman" w:hAnsi="Times New Roman" w:eastAsia="宋体" w:cs="Times New Roman"/>
                <w:color w:val="auto"/>
                <w:szCs w:val="21"/>
                <w:highlight w:val="none"/>
                <w:lang w:val="en-US" w:eastAsia="zh-CN"/>
              </w:rPr>
              <w:t>泄漏通过失效的防渗层，泄漏进入</w:t>
            </w:r>
            <w:r>
              <w:rPr>
                <w:rFonts w:hint="eastAsia" w:ascii="Times New Roman" w:hAnsi="Times New Roman" w:eastAsia="宋体" w:cs="Times New Roman"/>
                <w:color w:val="auto"/>
                <w:szCs w:val="21"/>
                <w:highlight w:val="none"/>
              </w:rPr>
              <w:t>地下水</w:t>
            </w:r>
            <w:r>
              <w:rPr>
                <w:rFonts w:hint="eastAsia" w:ascii="Times New Roman" w:hAnsi="Times New Roman" w:eastAsia="宋体" w:cs="Times New Roman"/>
                <w:color w:val="auto"/>
                <w:szCs w:val="21"/>
                <w:highlight w:val="none"/>
                <w:lang w:eastAsia="zh-CN"/>
              </w:rPr>
              <w:t>、</w:t>
            </w:r>
            <w:r>
              <w:rPr>
                <w:rFonts w:hint="eastAsia" w:ascii="Times New Roman" w:hAnsi="Times New Roman" w:eastAsia="宋体" w:cs="Times New Roman"/>
                <w:color w:val="auto"/>
                <w:szCs w:val="21"/>
                <w:highlight w:val="none"/>
                <w:lang w:val="en-US" w:eastAsia="zh-CN"/>
              </w:rPr>
              <w:t>土壤环境，</w:t>
            </w:r>
            <w:r>
              <w:rPr>
                <w:rFonts w:hint="eastAsia" w:ascii="Times New Roman" w:hAnsi="Times New Roman" w:eastAsia="宋体" w:cs="Times New Roman"/>
                <w:color w:val="auto"/>
                <w:szCs w:val="21"/>
                <w:highlight w:val="none"/>
              </w:rPr>
              <w:t>导致垂直入渗污染地下水、土壤</w:t>
            </w:r>
            <w:r>
              <w:rPr>
                <w:rFonts w:hint="default" w:ascii="Times New Roman" w:hAnsi="Times New Roman" w:eastAsia="宋体" w:cs="Times New Roman"/>
                <w:color w:val="auto"/>
                <w:szCs w:val="21"/>
                <w:highlight w:val="none"/>
                <w:lang w:eastAsia="zh-CN"/>
              </w:rPr>
              <w:t>。</w:t>
            </w:r>
          </w:p>
          <w:p w14:paraId="0510A34D">
            <w:pPr>
              <w:spacing w:line="440" w:lineRule="exact"/>
              <w:ind w:firstLine="420" w:firstLineChars="200"/>
              <w:rPr>
                <w:rFonts w:hint="default" w:eastAsia="宋体"/>
                <w:color w:val="auto"/>
                <w:szCs w:val="21"/>
                <w:lang w:val="en-US" w:eastAsia="zh-CN"/>
              </w:rPr>
            </w:pPr>
            <w:r>
              <w:rPr>
                <w:rFonts w:hint="eastAsia"/>
                <w:color w:val="auto"/>
                <w:szCs w:val="21"/>
              </w:rPr>
              <w:t>（2）</w:t>
            </w:r>
            <w:r>
              <w:rPr>
                <w:rFonts w:hint="eastAsia"/>
                <w:color w:val="auto"/>
                <w:szCs w:val="21"/>
                <w:lang w:val="en-US" w:eastAsia="zh-CN"/>
              </w:rPr>
              <w:t>污染防治措施</w:t>
            </w:r>
          </w:p>
          <w:p w14:paraId="204627C7">
            <w:pPr>
              <w:spacing w:line="440" w:lineRule="exact"/>
              <w:ind w:firstLine="420" w:firstLineChars="200"/>
              <w:rPr>
                <w:rFonts w:hint="eastAsia"/>
                <w:color w:val="auto"/>
                <w:szCs w:val="21"/>
              </w:rPr>
            </w:pPr>
            <w:r>
              <w:rPr>
                <w:rFonts w:hint="eastAsia" w:ascii="宋体" w:hAnsi="宋体"/>
                <w:color w:val="auto"/>
                <w:szCs w:val="21"/>
                <w:highlight w:val="none"/>
              </w:rPr>
              <w:t>①</w:t>
            </w:r>
            <w:r>
              <w:rPr>
                <w:rFonts w:hint="eastAsia" w:ascii="宋体" w:hAnsi="宋体"/>
                <w:color w:val="auto"/>
                <w:szCs w:val="21"/>
                <w:highlight w:val="none"/>
                <w:lang w:val="en-US" w:eastAsia="zh-CN"/>
              </w:rPr>
              <w:t>分区</w:t>
            </w:r>
            <w:r>
              <w:rPr>
                <w:rFonts w:hint="eastAsia"/>
                <w:color w:val="auto"/>
                <w:szCs w:val="21"/>
                <w:highlight w:val="none"/>
              </w:rPr>
              <w:t>防渗</w:t>
            </w:r>
            <w:r>
              <w:rPr>
                <w:rFonts w:hint="eastAsia"/>
                <w:color w:val="auto"/>
                <w:szCs w:val="21"/>
                <w:highlight w:val="none"/>
                <w:lang w:eastAsia="zh-CN"/>
              </w:rPr>
              <w:t>：</w:t>
            </w:r>
            <w:r>
              <w:rPr>
                <w:rFonts w:hint="default" w:ascii="Times New Roman" w:hAnsi="Times New Roman" w:eastAsia="宋体" w:cs="Times New Roman"/>
                <w:color w:val="auto"/>
                <w:szCs w:val="21"/>
                <w:lang w:val="en-US" w:eastAsia="zh-CN"/>
              </w:rPr>
              <w:t>为防止对</w:t>
            </w:r>
            <w:r>
              <w:rPr>
                <w:rFonts w:hint="eastAsia" w:ascii="Times New Roman" w:hAnsi="Times New Roman" w:eastAsia="宋体" w:cs="Times New Roman"/>
                <w:color w:val="auto"/>
                <w:szCs w:val="21"/>
                <w:lang w:val="en-US" w:eastAsia="zh-CN"/>
              </w:rPr>
              <w:t>土壤、</w:t>
            </w:r>
            <w:r>
              <w:rPr>
                <w:rFonts w:hint="default" w:ascii="Times New Roman" w:hAnsi="Times New Roman" w:eastAsia="宋体" w:cs="Times New Roman"/>
                <w:color w:val="auto"/>
                <w:szCs w:val="21"/>
                <w:lang w:val="en-US" w:eastAsia="zh-CN"/>
              </w:rPr>
              <w:t>地下水环境产生不利影响，</w:t>
            </w:r>
            <w:r>
              <w:rPr>
                <w:rFonts w:hint="eastAsia" w:ascii="Times New Roman" w:hAnsi="Times New Roman" w:eastAsia="宋体" w:cs="Times New Roman"/>
                <w:color w:val="auto"/>
                <w:szCs w:val="21"/>
              </w:rPr>
              <w:t>本项目按照“源头控制、分区防治、污染监控、应急响应”相结合的原则，采用源头控制措施、分区防治措施。尽可能从源头上减少污染物的产生，防止环境污染，严格按照国家相关规范要求，对工艺、设备、构建</w:t>
            </w:r>
            <w:r>
              <w:rPr>
                <w:rFonts w:hint="eastAsia" w:ascii="Times New Roman" w:hAnsi="Times New Roman" w:eastAsia="宋体" w:cs="Times New Roman"/>
                <w:color w:val="auto"/>
                <w:szCs w:val="21"/>
                <w:lang w:eastAsia="zh-CN"/>
              </w:rPr>
              <w:t>筑</w:t>
            </w:r>
            <w:r>
              <w:rPr>
                <w:rFonts w:hint="eastAsia" w:ascii="Times New Roman" w:hAnsi="Times New Roman" w:eastAsia="宋体" w:cs="Times New Roman"/>
                <w:color w:val="auto"/>
                <w:szCs w:val="21"/>
              </w:rPr>
              <w:t>物采取相应措施，以防止和降低污染物的跑、冒、滴、漏，做好防渗措施，避免由于泄漏造成物料下渗污染地下水。针对可能污染源，本项目</w:t>
            </w:r>
            <w:r>
              <w:rPr>
                <w:rFonts w:hint="eastAsia"/>
                <w:color w:val="auto"/>
                <w:szCs w:val="21"/>
              </w:rPr>
              <w:t>采取了防渗措施，阻断了地下水污染途径，</w:t>
            </w:r>
            <w:r>
              <w:rPr>
                <w:rFonts w:hint="eastAsia"/>
                <w:color w:val="auto"/>
                <w:szCs w:val="21"/>
                <w:lang w:val="en-US" w:eastAsia="zh-CN"/>
              </w:rPr>
              <w:t>污染源</w:t>
            </w:r>
            <w:r>
              <w:rPr>
                <w:rFonts w:hint="eastAsia"/>
                <w:color w:val="auto"/>
              </w:rPr>
              <w:t>与</w:t>
            </w:r>
            <w:r>
              <w:rPr>
                <w:color w:val="auto"/>
              </w:rPr>
              <w:t>天然土壤隔离</w:t>
            </w:r>
            <w:r>
              <w:rPr>
                <w:rFonts w:hint="eastAsia"/>
                <w:color w:val="auto"/>
                <w:lang w:eastAsia="zh-CN"/>
              </w:rPr>
              <w:t>，</w:t>
            </w:r>
            <w:r>
              <w:rPr>
                <w:rFonts w:hint="eastAsia"/>
                <w:color w:val="auto"/>
                <w:szCs w:val="21"/>
              </w:rPr>
              <w:t>正常工况下，不会对地下水</w:t>
            </w:r>
            <w:r>
              <w:rPr>
                <w:rFonts w:hint="eastAsia"/>
                <w:color w:val="auto"/>
                <w:szCs w:val="21"/>
                <w:lang w:eastAsia="zh-CN"/>
              </w:rPr>
              <w:t>、</w:t>
            </w:r>
            <w:r>
              <w:rPr>
                <w:rFonts w:hint="eastAsia"/>
                <w:color w:val="auto"/>
                <w:szCs w:val="21"/>
                <w:lang w:val="en-US" w:eastAsia="zh-CN"/>
              </w:rPr>
              <w:t>土壤</w:t>
            </w:r>
            <w:r>
              <w:rPr>
                <w:rFonts w:hint="eastAsia"/>
                <w:color w:val="auto"/>
                <w:szCs w:val="21"/>
              </w:rPr>
              <w:t>环境产生影响。分区防渗措施详见下表。</w:t>
            </w:r>
          </w:p>
          <w:p w14:paraId="687E04AF">
            <w:pPr>
              <w:spacing w:line="440" w:lineRule="exact"/>
              <w:ind w:firstLine="420" w:firstLineChars="200"/>
              <w:rPr>
                <w:rFonts w:hint="eastAsia"/>
                <w:color w:val="auto"/>
                <w:szCs w:val="21"/>
              </w:rPr>
            </w:pPr>
          </w:p>
          <w:p w14:paraId="2402D082">
            <w:pPr>
              <w:spacing w:line="440" w:lineRule="exact"/>
              <w:ind w:firstLine="420" w:firstLineChars="200"/>
              <w:rPr>
                <w:rFonts w:hint="eastAsia"/>
                <w:color w:val="auto"/>
                <w:szCs w:val="21"/>
              </w:rPr>
            </w:pPr>
          </w:p>
          <w:p w14:paraId="3DC9A1D2">
            <w:pPr>
              <w:spacing w:line="440" w:lineRule="exact"/>
              <w:ind w:firstLine="420" w:firstLineChars="200"/>
              <w:rPr>
                <w:rFonts w:hint="eastAsia"/>
                <w:color w:val="auto"/>
                <w:szCs w:val="21"/>
              </w:rPr>
            </w:pPr>
          </w:p>
          <w:p w14:paraId="3A0037C4">
            <w:pPr>
              <w:spacing w:line="440" w:lineRule="exact"/>
              <w:ind w:firstLine="420" w:firstLineChars="200"/>
              <w:rPr>
                <w:rFonts w:hint="eastAsia"/>
                <w:color w:val="auto"/>
                <w:szCs w:val="21"/>
              </w:rPr>
            </w:pPr>
          </w:p>
          <w:p w14:paraId="7CF4DA3F">
            <w:pPr>
              <w:spacing w:line="440" w:lineRule="exact"/>
              <w:ind w:firstLine="420" w:firstLineChars="200"/>
              <w:rPr>
                <w:rFonts w:hint="eastAsia"/>
                <w:color w:val="auto"/>
                <w:szCs w:val="21"/>
              </w:rPr>
            </w:pPr>
          </w:p>
          <w:p w14:paraId="39514DB7">
            <w:pPr>
              <w:spacing w:line="440" w:lineRule="exact"/>
              <w:ind w:firstLine="420" w:firstLineChars="200"/>
              <w:rPr>
                <w:rFonts w:hint="eastAsia"/>
                <w:color w:val="auto"/>
                <w:szCs w:val="21"/>
              </w:rPr>
            </w:pPr>
          </w:p>
          <w:p w14:paraId="27564894">
            <w:pPr>
              <w:spacing w:line="440" w:lineRule="exact"/>
              <w:ind w:firstLine="420" w:firstLineChars="200"/>
              <w:rPr>
                <w:rFonts w:hint="eastAsia"/>
                <w:color w:val="auto"/>
                <w:szCs w:val="21"/>
              </w:rPr>
            </w:pPr>
          </w:p>
          <w:p w14:paraId="7C135D40">
            <w:pPr>
              <w:spacing w:line="440" w:lineRule="exact"/>
              <w:ind w:firstLine="420" w:firstLineChars="200"/>
              <w:rPr>
                <w:rFonts w:hint="eastAsia"/>
                <w:color w:val="auto"/>
                <w:szCs w:val="21"/>
              </w:rPr>
            </w:pPr>
          </w:p>
          <w:p w14:paraId="097717F4">
            <w:pPr>
              <w:spacing w:line="440" w:lineRule="exact"/>
              <w:ind w:firstLine="420" w:firstLineChars="200"/>
              <w:rPr>
                <w:rFonts w:hint="eastAsia"/>
                <w:color w:val="auto"/>
                <w:szCs w:val="21"/>
              </w:rPr>
            </w:pPr>
          </w:p>
          <w:p w14:paraId="6212F78B">
            <w:pPr>
              <w:spacing w:line="440" w:lineRule="exact"/>
              <w:ind w:firstLine="420" w:firstLineChars="200"/>
              <w:rPr>
                <w:rFonts w:hint="eastAsia"/>
                <w:color w:val="auto"/>
                <w:szCs w:val="21"/>
              </w:rPr>
            </w:pPr>
          </w:p>
          <w:p w14:paraId="6B3B4B5A">
            <w:pPr>
              <w:tabs>
                <w:tab w:val="left" w:pos="4253"/>
              </w:tabs>
              <w:spacing w:line="440" w:lineRule="exact"/>
              <w:jc w:val="center"/>
              <w:rPr>
                <w:b/>
                <w:color w:val="auto"/>
                <w:szCs w:val="21"/>
                <w:highlight w:val="none"/>
              </w:rPr>
            </w:pPr>
            <w:r>
              <w:rPr>
                <w:b/>
                <w:color w:val="auto"/>
                <w:szCs w:val="21"/>
                <w:highlight w:val="none"/>
              </w:rPr>
              <w:t>表</w:t>
            </w:r>
            <w:r>
              <w:rPr>
                <w:rFonts w:hint="eastAsia"/>
                <w:b/>
                <w:color w:val="auto"/>
                <w:szCs w:val="21"/>
                <w:highlight w:val="none"/>
                <w:lang w:val="en-US" w:eastAsia="zh-CN"/>
              </w:rPr>
              <w:t>46 本项目</w:t>
            </w:r>
            <w:r>
              <w:rPr>
                <w:b/>
                <w:color w:val="auto"/>
                <w:szCs w:val="21"/>
                <w:highlight w:val="none"/>
              </w:rPr>
              <w:t>防渗分区及防渗防腐要求一览表</w:t>
            </w:r>
          </w:p>
          <w:tbl>
            <w:tblPr>
              <w:tblStyle w:val="28"/>
              <w:tblW w:w="805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84"/>
              <w:gridCol w:w="2176"/>
              <w:gridCol w:w="2899"/>
              <w:gridCol w:w="961"/>
              <w:gridCol w:w="1130"/>
            </w:tblGrid>
            <w:tr w14:paraId="54C3786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29" w:hRule="atLeast"/>
                <w:tblHeader/>
                <w:jc w:val="center"/>
              </w:trPr>
              <w:tc>
                <w:tcPr>
                  <w:tcW w:w="884" w:type="dxa"/>
                  <w:tcBorders>
                    <w:top w:val="single" w:color="auto" w:sz="12" w:space="0"/>
                    <w:left w:val="nil"/>
                    <w:bottom w:val="single" w:color="auto" w:sz="12" w:space="0"/>
                  </w:tcBorders>
                </w:tcPr>
                <w:p w14:paraId="13099F12">
                  <w:pPr>
                    <w:spacing w:line="280" w:lineRule="exact"/>
                    <w:jc w:val="center"/>
                    <w:rPr>
                      <w:color w:val="auto"/>
                      <w:spacing w:val="-10"/>
                      <w:sz w:val="18"/>
                      <w:szCs w:val="18"/>
                    </w:rPr>
                  </w:pPr>
                  <w:r>
                    <w:rPr>
                      <w:rFonts w:hint="eastAsia"/>
                      <w:color w:val="auto"/>
                      <w:spacing w:val="-10"/>
                      <w:sz w:val="18"/>
                      <w:szCs w:val="18"/>
                    </w:rPr>
                    <w:t>防渗级别</w:t>
                  </w:r>
                </w:p>
              </w:tc>
              <w:tc>
                <w:tcPr>
                  <w:tcW w:w="2176" w:type="dxa"/>
                  <w:tcBorders>
                    <w:top w:val="single" w:color="auto" w:sz="12" w:space="0"/>
                    <w:bottom w:val="single" w:color="auto" w:sz="12" w:space="0"/>
                    <w:right w:val="single" w:color="auto" w:sz="4" w:space="0"/>
                  </w:tcBorders>
                  <w:vAlign w:val="center"/>
                </w:tcPr>
                <w:p w14:paraId="54900A36">
                  <w:pPr>
                    <w:spacing w:line="280" w:lineRule="exact"/>
                    <w:jc w:val="center"/>
                    <w:rPr>
                      <w:color w:val="auto"/>
                      <w:spacing w:val="-10"/>
                      <w:sz w:val="18"/>
                      <w:szCs w:val="18"/>
                    </w:rPr>
                  </w:pPr>
                  <w:r>
                    <w:rPr>
                      <w:rFonts w:hint="eastAsia"/>
                      <w:color w:val="auto"/>
                      <w:spacing w:val="-10"/>
                      <w:sz w:val="18"/>
                      <w:szCs w:val="18"/>
                    </w:rPr>
                    <w:t>防渗区域</w:t>
                  </w:r>
                </w:p>
              </w:tc>
              <w:tc>
                <w:tcPr>
                  <w:tcW w:w="2899" w:type="dxa"/>
                  <w:tcBorders>
                    <w:top w:val="single" w:color="auto" w:sz="12" w:space="0"/>
                    <w:left w:val="single" w:color="auto" w:sz="4" w:space="0"/>
                    <w:bottom w:val="single" w:color="auto" w:sz="12" w:space="0"/>
                  </w:tcBorders>
                  <w:vAlign w:val="center"/>
                </w:tcPr>
                <w:p w14:paraId="4DB34857">
                  <w:pPr>
                    <w:spacing w:line="280" w:lineRule="exact"/>
                    <w:jc w:val="center"/>
                    <w:rPr>
                      <w:color w:val="auto"/>
                      <w:spacing w:val="-10"/>
                      <w:sz w:val="18"/>
                      <w:szCs w:val="18"/>
                    </w:rPr>
                  </w:pPr>
                  <w:r>
                    <w:rPr>
                      <w:rFonts w:hint="eastAsia"/>
                      <w:color w:val="auto"/>
                      <w:spacing w:val="-10"/>
                      <w:sz w:val="18"/>
                      <w:szCs w:val="18"/>
                    </w:rPr>
                    <w:t>防渗措施</w:t>
                  </w:r>
                </w:p>
              </w:tc>
              <w:tc>
                <w:tcPr>
                  <w:tcW w:w="961" w:type="dxa"/>
                  <w:tcBorders>
                    <w:top w:val="single" w:color="auto" w:sz="12" w:space="0"/>
                    <w:bottom w:val="single" w:color="auto" w:sz="12" w:space="0"/>
                    <w:right w:val="single" w:color="auto" w:sz="4" w:space="0"/>
                  </w:tcBorders>
                  <w:vAlign w:val="center"/>
                </w:tcPr>
                <w:p w14:paraId="53F289A4">
                  <w:pPr>
                    <w:spacing w:line="280" w:lineRule="exact"/>
                    <w:jc w:val="center"/>
                    <w:rPr>
                      <w:color w:val="auto"/>
                      <w:spacing w:val="-10"/>
                      <w:sz w:val="18"/>
                      <w:szCs w:val="18"/>
                    </w:rPr>
                  </w:pPr>
                  <w:r>
                    <w:rPr>
                      <w:rFonts w:hint="eastAsia"/>
                      <w:color w:val="auto"/>
                      <w:spacing w:val="-10"/>
                      <w:sz w:val="18"/>
                      <w:szCs w:val="18"/>
                    </w:rPr>
                    <w:t>防渗效果</w:t>
                  </w:r>
                </w:p>
              </w:tc>
              <w:tc>
                <w:tcPr>
                  <w:tcW w:w="1130" w:type="dxa"/>
                  <w:tcBorders>
                    <w:top w:val="single" w:color="auto" w:sz="12" w:space="0"/>
                    <w:left w:val="single" w:color="auto" w:sz="4" w:space="0"/>
                    <w:bottom w:val="single" w:color="auto" w:sz="12" w:space="0"/>
                    <w:right w:val="nil"/>
                  </w:tcBorders>
                  <w:vAlign w:val="center"/>
                </w:tcPr>
                <w:p w14:paraId="217A1FB9">
                  <w:pPr>
                    <w:spacing w:line="280" w:lineRule="exact"/>
                    <w:jc w:val="center"/>
                    <w:rPr>
                      <w:rFonts w:hint="eastAsia"/>
                      <w:color w:val="auto"/>
                      <w:spacing w:val="-10"/>
                      <w:sz w:val="18"/>
                      <w:szCs w:val="18"/>
                      <w:lang w:val="en-US" w:eastAsia="zh-CN"/>
                    </w:rPr>
                  </w:pPr>
                  <w:r>
                    <w:rPr>
                      <w:rFonts w:hint="eastAsia"/>
                      <w:color w:val="auto"/>
                      <w:spacing w:val="-10"/>
                      <w:sz w:val="18"/>
                      <w:szCs w:val="18"/>
                      <w:lang w:val="en-US" w:eastAsia="zh-CN"/>
                    </w:rPr>
                    <w:t>备注</w:t>
                  </w:r>
                </w:p>
              </w:tc>
            </w:tr>
            <w:tr w14:paraId="4576E3E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29" w:hRule="atLeast"/>
                <w:tblHeader/>
                <w:jc w:val="center"/>
              </w:trPr>
              <w:tc>
                <w:tcPr>
                  <w:tcW w:w="884" w:type="dxa"/>
                  <w:vMerge w:val="restart"/>
                  <w:tcBorders>
                    <w:top w:val="single" w:color="auto" w:sz="12" w:space="0"/>
                    <w:left w:val="nil"/>
                  </w:tcBorders>
                  <w:vAlign w:val="center"/>
                </w:tcPr>
                <w:p w14:paraId="0DD7AAD4">
                  <w:pPr>
                    <w:spacing w:line="280" w:lineRule="exact"/>
                    <w:jc w:val="center"/>
                    <w:rPr>
                      <w:rFonts w:hint="eastAsia" w:ascii="Times New Roman" w:hAnsi="Times New Roman" w:eastAsia="宋体" w:cs="Times New Roman"/>
                      <w:color w:val="auto"/>
                      <w:spacing w:val="-10"/>
                      <w:kern w:val="2"/>
                      <w:sz w:val="18"/>
                      <w:szCs w:val="18"/>
                      <w:highlight w:val="none"/>
                      <w:lang w:val="en-US" w:eastAsia="zh-CN" w:bidi="ar-SA"/>
                    </w:rPr>
                  </w:pPr>
                  <w:r>
                    <w:rPr>
                      <w:rFonts w:hint="eastAsia" w:ascii="Times New Roman" w:hAnsi="Times New Roman" w:eastAsia="宋体" w:cs="Times New Roman"/>
                      <w:color w:val="auto"/>
                      <w:spacing w:val="-10"/>
                      <w:sz w:val="18"/>
                      <w:szCs w:val="18"/>
                      <w:highlight w:val="none"/>
                      <w:lang w:val="en-US" w:eastAsia="zh-CN"/>
                    </w:rPr>
                    <w:t>重点防渗区</w:t>
                  </w:r>
                </w:p>
              </w:tc>
              <w:tc>
                <w:tcPr>
                  <w:tcW w:w="2176" w:type="dxa"/>
                  <w:tcBorders>
                    <w:top w:val="single" w:color="auto" w:sz="12" w:space="0"/>
                    <w:bottom w:val="single" w:color="auto" w:sz="4" w:space="0"/>
                    <w:right w:val="single" w:color="auto" w:sz="4" w:space="0"/>
                  </w:tcBorders>
                  <w:vAlign w:val="center"/>
                </w:tcPr>
                <w:p w14:paraId="32A9558E">
                  <w:pPr>
                    <w:spacing w:line="280" w:lineRule="exact"/>
                    <w:jc w:val="center"/>
                    <w:rPr>
                      <w:rFonts w:hint="eastAsia"/>
                      <w:color w:val="auto"/>
                      <w:spacing w:val="-10"/>
                      <w:sz w:val="18"/>
                      <w:szCs w:val="18"/>
                      <w:highlight w:val="none"/>
                      <w:lang w:val="en-US" w:eastAsia="zh-CN"/>
                    </w:rPr>
                  </w:pPr>
                  <w:r>
                    <w:rPr>
                      <w:rFonts w:hint="eastAsia"/>
                      <w:color w:val="auto"/>
                      <w:spacing w:val="-10"/>
                      <w:sz w:val="18"/>
                      <w:szCs w:val="18"/>
                      <w:highlight w:val="none"/>
                      <w:lang w:val="en-US" w:eastAsia="zh-CN"/>
                    </w:rPr>
                    <w:t>危险废物暂存间</w:t>
                  </w:r>
                </w:p>
              </w:tc>
              <w:tc>
                <w:tcPr>
                  <w:tcW w:w="2899" w:type="dxa"/>
                  <w:tcBorders>
                    <w:top w:val="single" w:color="auto" w:sz="12" w:space="0"/>
                    <w:left w:val="single" w:color="auto" w:sz="4" w:space="0"/>
                    <w:bottom w:val="single" w:color="auto" w:sz="4" w:space="0"/>
                  </w:tcBorders>
                  <w:vAlign w:val="center"/>
                </w:tcPr>
                <w:p w14:paraId="125D25B0">
                  <w:pPr>
                    <w:spacing w:line="280" w:lineRule="exact"/>
                    <w:jc w:val="center"/>
                    <w:rPr>
                      <w:rFonts w:hint="eastAsia"/>
                      <w:color w:val="auto"/>
                      <w:spacing w:val="-10"/>
                      <w:sz w:val="18"/>
                      <w:szCs w:val="18"/>
                      <w:highlight w:val="none"/>
                      <w:lang w:val="en-US" w:eastAsia="zh-CN"/>
                    </w:rPr>
                  </w:pPr>
                  <w:r>
                    <w:rPr>
                      <w:rFonts w:hint="eastAsia" w:ascii="Times New Roman" w:hAnsi="Times New Roman" w:eastAsia="宋体" w:cs="Times New Roman"/>
                      <w:color w:val="auto"/>
                      <w:spacing w:val="-10"/>
                      <w:sz w:val="18"/>
                      <w:szCs w:val="18"/>
                      <w:lang w:val="en-US" w:eastAsia="zh-CN"/>
                    </w:rPr>
                    <w:t>裙角及地面设置2mm高密度聚乙烯（HDPE）膜，膜上、膜下设置“长丝无纺土工布”保护层，保护层以上设置200mm抗渗混凝土</w:t>
                  </w:r>
                </w:p>
              </w:tc>
              <w:tc>
                <w:tcPr>
                  <w:tcW w:w="961" w:type="dxa"/>
                  <w:vMerge w:val="restart"/>
                  <w:tcBorders>
                    <w:top w:val="single" w:color="auto" w:sz="12" w:space="0"/>
                    <w:right w:val="single" w:color="auto" w:sz="4" w:space="0"/>
                  </w:tcBorders>
                  <w:vAlign w:val="center"/>
                </w:tcPr>
                <w:p w14:paraId="33719982">
                  <w:pPr>
                    <w:spacing w:line="280" w:lineRule="exact"/>
                    <w:jc w:val="center"/>
                    <w:rPr>
                      <w:rFonts w:hint="eastAsia" w:ascii="Times New Roman" w:hAnsi="Times New Roman" w:eastAsia="宋体" w:cs="Times New Roman"/>
                      <w:color w:val="auto"/>
                      <w:spacing w:val="-10"/>
                      <w:sz w:val="18"/>
                      <w:szCs w:val="18"/>
                      <w:highlight w:val="none"/>
                      <w:lang w:val="en-US" w:eastAsia="zh-CN"/>
                    </w:rPr>
                  </w:pPr>
                  <w:r>
                    <w:rPr>
                      <w:rFonts w:hint="eastAsia" w:ascii="Times New Roman" w:hAnsi="Times New Roman" w:eastAsia="宋体" w:cs="Times New Roman"/>
                      <w:color w:val="auto"/>
                      <w:spacing w:val="-10"/>
                      <w:sz w:val="18"/>
                      <w:szCs w:val="18"/>
                      <w:highlight w:val="none"/>
                      <w:lang w:val="en-US" w:eastAsia="zh-CN"/>
                    </w:rPr>
                    <w:t>渗透系数不大于</w:t>
                  </w:r>
                </w:p>
                <w:p w14:paraId="2B51EA4B">
                  <w:pPr>
                    <w:spacing w:line="280" w:lineRule="exact"/>
                    <w:jc w:val="center"/>
                    <w:rPr>
                      <w:rFonts w:hint="eastAsia" w:ascii="Times New Roman" w:hAnsi="Times New Roman" w:eastAsia="宋体" w:cs="Times New Roman"/>
                      <w:color w:val="auto"/>
                      <w:spacing w:val="-10"/>
                      <w:kern w:val="2"/>
                      <w:sz w:val="18"/>
                      <w:szCs w:val="18"/>
                      <w:highlight w:val="none"/>
                      <w:lang w:val="en-US" w:eastAsia="zh-CN" w:bidi="ar-SA"/>
                    </w:rPr>
                  </w:pPr>
                  <w:r>
                    <w:rPr>
                      <w:rFonts w:hint="eastAsia" w:ascii="Times New Roman" w:hAnsi="Times New Roman" w:eastAsia="宋体" w:cs="Times New Roman"/>
                      <w:color w:val="auto"/>
                      <w:spacing w:val="-10"/>
                      <w:sz w:val="18"/>
                      <w:szCs w:val="18"/>
                      <w:highlight w:val="none"/>
                      <w:lang w:val="en-US" w:eastAsia="zh-CN"/>
                    </w:rPr>
                    <w:t>10</w:t>
                  </w:r>
                  <w:r>
                    <w:rPr>
                      <w:rFonts w:hint="eastAsia" w:ascii="Times New Roman" w:hAnsi="Times New Roman" w:eastAsia="宋体" w:cs="Times New Roman"/>
                      <w:color w:val="auto"/>
                      <w:spacing w:val="-10"/>
                      <w:sz w:val="18"/>
                      <w:szCs w:val="18"/>
                      <w:highlight w:val="none"/>
                      <w:vertAlign w:val="superscript"/>
                      <w:lang w:val="en-US" w:eastAsia="zh-CN"/>
                    </w:rPr>
                    <w:t>-10</w:t>
                  </w:r>
                  <w:r>
                    <w:rPr>
                      <w:rFonts w:hint="eastAsia" w:ascii="Times New Roman" w:hAnsi="Times New Roman" w:eastAsia="宋体" w:cs="Times New Roman"/>
                      <w:color w:val="auto"/>
                      <w:spacing w:val="-10"/>
                      <w:sz w:val="18"/>
                      <w:szCs w:val="18"/>
                      <w:highlight w:val="none"/>
                      <w:lang w:val="en-US" w:eastAsia="zh-CN"/>
                    </w:rPr>
                    <w:t xml:space="preserve"> cm/s</w:t>
                  </w:r>
                </w:p>
              </w:tc>
              <w:tc>
                <w:tcPr>
                  <w:tcW w:w="1130" w:type="dxa"/>
                  <w:vMerge w:val="restart"/>
                  <w:tcBorders>
                    <w:top w:val="single" w:color="auto" w:sz="12" w:space="0"/>
                    <w:left w:val="single" w:color="auto" w:sz="4" w:space="0"/>
                    <w:right w:val="nil"/>
                  </w:tcBorders>
                  <w:vAlign w:val="center"/>
                </w:tcPr>
                <w:p w14:paraId="62F9A52C">
                  <w:pPr>
                    <w:spacing w:line="280" w:lineRule="exact"/>
                    <w:jc w:val="center"/>
                    <w:rPr>
                      <w:rFonts w:hint="eastAsia" w:eastAsia="宋体"/>
                      <w:color w:val="auto"/>
                      <w:spacing w:val="-10"/>
                      <w:sz w:val="18"/>
                      <w:szCs w:val="18"/>
                      <w:lang w:val="en-US" w:eastAsia="zh-CN"/>
                    </w:rPr>
                  </w:pPr>
                  <w:r>
                    <w:rPr>
                      <w:rFonts w:hint="eastAsia"/>
                      <w:color w:val="auto"/>
                      <w:spacing w:val="-10"/>
                      <w:sz w:val="18"/>
                      <w:szCs w:val="18"/>
                      <w:lang w:val="en-US" w:eastAsia="zh-CN"/>
                    </w:rPr>
                    <w:t>符合</w:t>
                  </w:r>
                  <w:r>
                    <w:rPr>
                      <w:rFonts w:hint="eastAsia"/>
                      <w:color w:val="auto"/>
                      <w:spacing w:val="-10"/>
                      <w:sz w:val="18"/>
                      <w:szCs w:val="18"/>
                    </w:rPr>
                    <w:t>《环境影响评价技术导则 地下水环境》（HJ610-2016）地下水污染防渗分区防渗技术要求</w:t>
                  </w:r>
                </w:p>
              </w:tc>
            </w:tr>
            <w:tr w14:paraId="0726CF7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29" w:hRule="atLeast"/>
                <w:tblHeader/>
                <w:jc w:val="center"/>
              </w:trPr>
              <w:tc>
                <w:tcPr>
                  <w:tcW w:w="884" w:type="dxa"/>
                  <w:vMerge w:val="continue"/>
                  <w:tcBorders>
                    <w:left w:val="nil"/>
                    <w:bottom w:val="single" w:color="auto" w:sz="4" w:space="0"/>
                  </w:tcBorders>
                  <w:vAlign w:val="center"/>
                </w:tcPr>
                <w:p w14:paraId="595CB8BC">
                  <w:pPr>
                    <w:spacing w:line="280" w:lineRule="exact"/>
                    <w:jc w:val="center"/>
                    <w:rPr>
                      <w:rFonts w:hint="eastAsia" w:ascii="Times New Roman" w:hAnsi="Times New Roman" w:eastAsia="宋体" w:cs="Times New Roman"/>
                      <w:color w:val="auto"/>
                      <w:spacing w:val="-10"/>
                      <w:sz w:val="18"/>
                      <w:szCs w:val="18"/>
                      <w:highlight w:val="none"/>
                      <w:lang w:val="en-US" w:eastAsia="zh-CN"/>
                    </w:rPr>
                  </w:pPr>
                </w:p>
              </w:tc>
              <w:tc>
                <w:tcPr>
                  <w:tcW w:w="2176" w:type="dxa"/>
                  <w:tcBorders>
                    <w:top w:val="single" w:color="auto" w:sz="4" w:space="0"/>
                    <w:bottom w:val="single" w:color="auto" w:sz="4" w:space="0"/>
                    <w:right w:val="single" w:color="auto" w:sz="4" w:space="0"/>
                  </w:tcBorders>
                  <w:vAlign w:val="center"/>
                </w:tcPr>
                <w:p w14:paraId="4976A3B8">
                  <w:pPr>
                    <w:spacing w:line="280" w:lineRule="exact"/>
                    <w:jc w:val="center"/>
                    <w:rPr>
                      <w:rFonts w:hint="default"/>
                      <w:color w:val="auto"/>
                      <w:spacing w:val="-10"/>
                      <w:sz w:val="18"/>
                      <w:szCs w:val="18"/>
                      <w:highlight w:val="none"/>
                      <w:lang w:val="en-US" w:eastAsia="zh-CN"/>
                    </w:rPr>
                  </w:pPr>
                  <w:r>
                    <w:rPr>
                      <w:rFonts w:hint="eastAsia"/>
                      <w:color w:val="auto"/>
                      <w:spacing w:val="-10"/>
                      <w:sz w:val="18"/>
                      <w:szCs w:val="18"/>
                      <w:highlight w:val="none"/>
                      <w:lang w:val="en-US" w:eastAsia="zh-CN"/>
                    </w:rPr>
                    <w:t>球磨机</w:t>
                  </w:r>
                </w:p>
              </w:tc>
              <w:tc>
                <w:tcPr>
                  <w:tcW w:w="2899" w:type="dxa"/>
                  <w:tcBorders>
                    <w:top w:val="single" w:color="auto" w:sz="4" w:space="0"/>
                    <w:left w:val="single" w:color="auto" w:sz="4" w:space="0"/>
                    <w:bottom w:val="single" w:color="auto" w:sz="4" w:space="0"/>
                  </w:tcBorders>
                  <w:vAlign w:val="center"/>
                </w:tcPr>
                <w:p w14:paraId="17B7A611">
                  <w:pPr>
                    <w:spacing w:line="280" w:lineRule="exact"/>
                    <w:jc w:val="center"/>
                    <w:rPr>
                      <w:rFonts w:hint="eastAsia"/>
                      <w:color w:val="auto"/>
                      <w:spacing w:val="-10"/>
                      <w:sz w:val="18"/>
                      <w:szCs w:val="18"/>
                      <w:highlight w:val="none"/>
                      <w:lang w:val="en-US" w:eastAsia="zh-CN"/>
                    </w:rPr>
                  </w:pPr>
                  <w:r>
                    <w:rPr>
                      <w:rFonts w:hint="eastAsia"/>
                      <w:color w:val="auto"/>
                      <w:spacing w:val="-10"/>
                      <w:sz w:val="18"/>
                      <w:szCs w:val="18"/>
                    </w:rPr>
                    <w:t>为防止球磨机渗油落地，球磨机底部设接油托盘。</w:t>
                  </w:r>
                </w:p>
              </w:tc>
              <w:tc>
                <w:tcPr>
                  <w:tcW w:w="961" w:type="dxa"/>
                  <w:vMerge w:val="continue"/>
                  <w:tcBorders>
                    <w:bottom w:val="single" w:color="auto" w:sz="4" w:space="0"/>
                    <w:right w:val="single" w:color="auto" w:sz="4" w:space="0"/>
                  </w:tcBorders>
                  <w:vAlign w:val="center"/>
                </w:tcPr>
                <w:p w14:paraId="0BEDE446">
                  <w:pPr>
                    <w:spacing w:line="280" w:lineRule="exact"/>
                    <w:jc w:val="center"/>
                    <w:rPr>
                      <w:rFonts w:hint="eastAsia" w:ascii="Times New Roman" w:hAnsi="Times New Roman" w:eastAsia="宋体" w:cs="Times New Roman"/>
                      <w:color w:val="auto"/>
                      <w:spacing w:val="-10"/>
                      <w:sz w:val="18"/>
                      <w:szCs w:val="18"/>
                      <w:highlight w:val="none"/>
                      <w:lang w:val="en-US" w:eastAsia="zh-CN"/>
                    </w:rPr>
                  </w:pPr>
                </w:p>
              </w:tc>
              <w:tc>
                <w:tcPr>
                  <w:tcW w:w="1130" w:type="dxa"/>
                  <w:vMerge w:val="continue"/>
                  <w:tcBorders>
                    <w:left w:val="single" w:color="auto" w:sz="4" w:space="0"/>
                    <w:right w:val="nil"/>
                  </w:tcBorders>
                  <w:vAlign w:val="center"/>
                </w:tcPr>
                <w:p w14:paraId="0F698576">
                  <w:pPr>
                    <w:spacing w:line="280" w:lineRule="exact"/>
                    <w:jc w:val="center"/>
                    <w:rPr>
                      <w:rFonts w:hint="eastAsia"/>
                      <w:color w:val="auto"/>
                      <w:spacing w:val="-10"/>
                      <w:sz w:val="18"/>
                      <w:szCs w:val="18"/>
                      <w:lang w:val="en-US" w:eastAsia="zh-CN"/>
                    </w:rPr>
                  </w:pPr>
                </w:p>
              </w:tc>
            </w:tr>
            <w:tr w14:paraId="0086556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98" w:hRule="atLeast"/>
                <w:jc w:val="center"/>
              </w:trPr>
              <w:tc>
                <w:tcPr>
                  <w:tcW w:w="884" w:type="dxa"/>
                  <w:vMerge w:val="restart"/>
                  <w:tcBorders>
                    <w:top w:val="single" w:color="auto" w:sz="4" w:space="0"/>
                    <w:left w:val="nil"/>
                  </w:tcBorders>
                  <w:vAlign w:val="center"/>
                </w:tcPr>
                <w:p w14:paraId="0EF458F1">
                  <w:pPr>
                    <w:spacing w:line="280" w:lineRule="exact"/>
                    <w:jc w:val="center"/>
                    <w:rPr>
                      <w:color w:val="auto"/>
                      <w:spacing w:val="-10"/>
                      <w:sz w:val="18"/>
                      <w:szCs w:val="18"/>
                    </w:rPr>
                  </w:pPr>
                  <w:r>
                    <w:rPr>
                      <w:rFonts w:hint="eastAsia"/>
                      <w:color w:val="auto"/>
                      <w:spacing w:val="-10"/>
                      <w:sz w:val="18"/>
                      <w:szCs w:val="18"/>
                    </w:rPr>
                    <w:t>一般防渗区</w:t>
                  </w:r>
                </w:p>
              </w:tc>
              <w:tc>
                <w:tcPr>
                  <w:tcW w:w="2176" w:type="dxa"/>
                  <w:tcBorders>
                    <w:top w:val="single" w:color="auto" w:sz="4" w:space="0"/>
                    <w:right w:val="single" w:color="auto" w:sz="4" w:space="0"/>
                  </w:tcBorders>
                  <w:vAlign w:val="center"/>
                </w:tcPr>
                <w:p w14:paraId="07020592">
                  <w:pPr>
                    <w:spacing w:line="280" w:lineRule="exact"/>
                    <w:jc w:val="center"/>
                    <w:rPr>
                      <w:rFonts w:hint="default" w:eastAsia="宋体"/>
                      <w:color w:val="auto"/>
                      <w:spacing w:val="-10"/>
                      <w:sz w:val="18"/>
                      <w:szCs w:val="18"/>
                      <w:lang w:val="en-US" w:eastAsia="zh-CN"/>
                    </w:rPr>
                  </w:pPr>
                  <w:r>
                    <w:rPr>
                      <w:rFonts w:hint="eastAsia"/>
                      <w:color w:val="auto"/>
                      <w:spacing w:val="-10"/>
                      <w:sz w:val="18"/>
                      <w:szCs w:val="18"/>
                      <w:lang w:val="en-US" w:eastAsia="zh-CN"/>
                    </w:rPr>
                    <w:t>1</w:t>
                  </w:r>
                  <w:r>
                    <w:rPr>
                      <w:rFonts w:hint="eastAsia"/>
                      <w:color w:val="auto"/>
                      <w:spacing w:val="-10"/>
                      <w:sz w:val="18"/>
                      <w:szCs w:val="18"/>
                      <w:vertAlign w:val="superscript"/>
                      <w:lang w:val="en-US" w:eastAsia="zh-CN"/>
                    </w:rPr>
                    <w:t>#</w:t>
                  </w:r>
                  <w:r>
                    <w:rPr>
                      <w:rFonts w:hint="eastAsia"/>
                      <w:color w:val="auto"/>
                      <w:spacing w:val="-10"/>
                      <w:sz w:val="18"/>
                      <w:szCs w:val="18"/>
                      <w:lang w:val="en-US" w:eastAsia="zh-CN"/>
                    </w:rPr>
                    <w:t>生产车间水洗装置区（漂洗船、摇穿分选机等设备区）</w:t>
                  </w:r>
                </w:p>
              </w:tc>
              <w:tc>
                <w:tcPr>
                  <w:tcW w:w="2899" w:type="dxa"/>
                  <w:tcBorders>
                    <w:top w:val="single" w:color="auto" w:sz="4" w:space="0"/>
                    <w:left w:val="single" w:color="auto" w:sz="4" w:space="0"/>
                  </w:tcBorders>
                  <w:vAlign w:val="center"/>
                </w:tcPr>
                <w:p w14:paraId="5AD4FD9B">
                  <w:pPr>
                    <w:spacing w:line="280" w:lineRule="exact"/>
                    <w:jc w:val="center"/>
                    <w:rPr>
                      <w:rFonts w:hint="default"/>
                      <w:color w:val="auto"/>
                      <w:spacing w:val="-10"/>
                      <w:sz w:val="18"/>
                      <w:szCs w:val="18"/>
                      <w:lang w:val="en-US"/>
                    </w:rPr>
                  </w:pPr>
                  <w:r>
                    <w:rPr>
                      <w:rFonts w:hint="eastAsia"/>
                      <w:color w:val="auto"/>
                      <w:spacing w:val="-10"/>
                      <w:sz w:val="18"/>
                      <w:szCs w:val="18"/>
                      <w:lang w:val="en-US" w:eastAsia="zh-CN"/>
                    </w:rPr>
                    <w:t>水洗装置区设围堰，围堰采用</w:t>
                  </w:r>
                  <w:r>
                    <w:rPr>
                      <w:rFonts w:hint="eastAsia"/>
                      <w:color w:val="auto"/>
                      <w:spacing w:val="-10"/>
                      <w:sz w:val="18"/>
                      <w:szCs w:val="18"/>
                    </w:rPr>
                    <w:t>200mm厚防渗混凝土一体浇筑</w:t>
                  </w:r>
                </w:p>
              </w:tc>
              <w:tc>
                <w:tcPr>
                  <w:tcW w:w="961" w:type="dxa"/>
                  <w:vMerge w:val="restart"/>
                  <w:tcBorders>
                    <w:top w:val="single" w:color="auto" w:sz="4" w:space="0"/>
                    <w:right w:val="single" w:color="auto" w:sz="4" w:space="0"/>
                  </w:tcBorders>
                  <w:vAlign w:val="center"/>
                </w:tcPr>
                <w:p w14:paraId="743B7EF1">
                  <w:pPr>
                    <w:spacing w:line="280" w:lineRule="exact"/>
                    <w:jc w:val="center"/>
                    <w:rPr>
                      <w:rFonts w:hint="eastAsia"/>
                      <w:color w:val="auto"/>
                      <w:spacing w:val="-10"/>
                      <w:sz w:val="18"/>
                      <w:szCs w:val="18"/>
                    </w:rPr>
                  </w:pPr>
                  <w:r>
                    <w:rPr>
                      <w:rFonts w:hint="eastAsia"/>
                      <w:color w:val="auto"/>
                      <w:spacing w:val="-10"/>
                      <w:sz w:val="18"/>
                      <w:szCs w:val="18"/>
                    </w:rPr>
                    <w:t>渗透系数不大于</w:t>
                  </w:r>
                </w:p>
                <w:p w14:paraId="533F127E">
                  <w:pPr>
                    <w:spacing w:line="280" w:lineRule="exact"/>
                    <w:jc w:val="center"/>
                    <w:rPr>
                      <w:rFonts w:hint="eastAsia"/>
                      <w:color w:val="auto"/>
                      <w:spacing w:val="-10"/>
                      <w:sz w:val="18"/>
                      <w:szCs w:val="18"/>
                    </w:rPr>
                  </w:pPr>
                  <w:r>
                    <w:rPr>
                      <w:rFonts w:hint="eastAsia"/>
                      <w:color w:val="auto"/>
                      <w:spacing w:val="-10"/>
                      <w:sz w:val="18"/>
                      <w:szCs w:val="18"/>
                    </w:rPr>
                    <w:t>10</w:t>
                  </w:r>
                  <w:r>
                    <w:rPr>
                      <w:rFonts w:hint="eastAsia"/>
                      <w:color w:val="auto"/>
                      <w:spacing w:val="-10"/>
                      <w:sz w:val="18"/>
                      <w:szCs w:val="18"/>
                      <w:vertAlign w:val="superscript"/>
                    </w:rPr>
                    <w:t>-7</w:t>
                  </w:r>
                  <w:r>
                    <w:rPr>
                      <w:rFonts w:hint="eastAsia"/>
                      <w:color w:val="auto"/>
                      <w:spacing w:val="-10"/>
                      <w:sz w:val="18"/>
                      <w:szCs w:val="18"/>
                    </w:rPr>
                    <w:t xml:space="preserve"> cm/s</w:t>
                  </w:r>
                </w:p>
              </w:tc>
              <w:tc>
                <w:tcPr>
                  <w:tcW w:w="1130" w:type="dxa"/>
                  <w:vMerge w:val="continue"/>
                  <w:tcBorders>
                    <w:left w:val="single" w:color="auto" w:sz="4" w:space="0"/>
                    <w:right w:val="nil"/>
                  </w:tcBorders>
                  <w:vAlign w:val="center"/>
                </w:tcPr>
                <w:p w14:paraId="4AE16195">
                  <w:pPr>
                    <w:spacing w:line="280" w:lineRule="exact"/>
                    <w:jc w:val="center"/>
                    <w:rPr>
                      <w:rFonts w:hint="eastAsia" w:eastAsia="宋体"/>
                      <w:color w:val="auto"/>
                      <w:spacing w:val="-10"/>
                      <w:sz w:val="18"/>
                      <w:szCs w:val="18"/>
                      <w:lang w:val="en-US" w:eastAsia="zh-CN"/>
                    </w:rPr>
                  </w:pPr>
                </w:p>
              </w:tc>
            </w:tr>
            <w:tr w14:paraId="1040D5B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98" w:hRule="atLeast"/>
                <w:jc w:val="center"/>
              </w:trPr>
              <w:tc>
                <w:tcPr>
                  <w:tcW w:w="884" w:type="dxa"/>
                  <w:vMerge w:val="continue"/>
                  <w:tcBorders>
                    <w:left w:val="nil"/>
                  </w:tcBorders>
                  <w:vAlign w:val="center"/>
                </w:tcPr>
                <w:p w14:paraId="29D19517">
                  <w:pPr>
                    <w:spacing w:line="280" w:lineRule="exact"/>
                    <w:jc w:val="center"/>
                    <w:rPr>
                      <w:rFonts w:hint="eastAsia"/>
                      <w:color w:val="auto"/>
                      <w:spacing w:val="-10"/>
                      <w:sz w:val="18"/>
                      <w:szCs w:val="18"/>
                    </w:rPr>
                  </w:pPr>
                </w:p>
              </w:tc>
              <w:tc>
                <w:tcPr>
                  <w:tcW w:w="2176" w:type="dxa"/>
                  <w:tcBorders>
                    <w:top w:val="single" w:color="auto" w:sz="4" w:space="0"/>
                    <w:right w:val="single" w:color="auto" w:sz="4" w:space="0"/>
                  </w:tcBorders>
                  <w:shd w:val="clear" w:color="auto" w:fill="auto"/>
                  <w:vAlign w:val="center"/>
                </w:tcPr>
                <w:p w14:paraId="3766B155">
                  <w:pPr>
                    <w:spacing w:line="280" w:lineRule="exact"/>
                    <w:jc w:val="center"/>
                    <w:rPr>
                      <w:rFonts w:hint="default" w:ascii="Times New Roman" w:hAnsi="Times New Roman" w:eastAsia="宋体" w:cs="Times New Roman"/>
                      <w:color w:val="auto"/>
                      <w:spacing w:val="-10"/>
                      <w:kern w:val="2"/>
                      <w:sz w:val="18"/>
                      <w:szCs w:val="18"/>
                      <w:lang w:val="en-US" w:eastAsia="zh-CN" w:bidi="ar-SA"/>
                    </w:rPr>
                  </w:pPr>
                  <w:r>
                    <w:rPr>
                      <w:rFonts w:hint="eastAsia"/>
                      <w:color w:val="auto"/>
                      <w:spacing w:val="-10"/>
                      <w:sz w:val="18"/>
                      <w:szCs w:val="18"/>
                      <w:lang w:val="en-US" w:eastAsia="zh-CN"/>
                    </w:rPr>
                    <w:t>暂存池、1</w:t>
                  </w:r>
                  <w:r>
                    <w:rPr>
                      <w:rFonts w:hint="eastAsia"/>
                      <w:color w:val="auto"/>
                      <w:spacing w:val="-10"/>
                      <w:sz w:val="18"/>
                      <w:szCs w:val="18"/>
                      <w:vertAlign w:val="superscript"/>
                      <w:lang w:val="en-US" w:eastAsia="zh-CN"/>
                    </w:rPr>
                    <w:t>#</w:t>
                  </w:r>
                  <w:r>
                    <w:rPr>
                      <w:rFonts w:hint="eastAsia"/>
                      <w:color w:val="auto"/>
                      <w:spacing w:val="-10"/>
                      <w:sz w:val="18"/>
                      <w:szCs w:val="18"/>
                      <w:lang w:val="en-US" w:eastAsia="zh-CN"/>
                    </w:rPr>
                    <w:t>-5</w:t>
                  </w:r>
                  <w:r>
                    <w:rPr>
                      <w:rFonts w:hint="eastAsia"/>
                      <w:color w:val="auto"/>
                      <w:spacing w:val="-10"/>
                      <w:sz w:val="18"/>
                      <w:szCs w:val="18"/>
                      <w:vertAlign w:val="superscript"/>
                      <w:lang w:val="en-US" w:eastAsia="zh-CN"/>
                    </w:rPr>
                    <w:t>#</w:t>
                  </w:r>
                  <w:r>
                    <w:rPr>
                      <w:rFonts w:hint="eastAsia"/>
                      <w:color w:val="auto"/>
                      <w:spacing w:val="-10"/>
                      <w:sz w:val="18"/>
                      <w:szCs w:val="18"/>
                      <w:lang w:val="en-US" w:eastAsia="zh-CN"/>
                    </w:rPr>
                    <w:t>储料池、金属混合物料储料池、铁粉池、污水池、污水沉淀池、清水池、洗车平台清水池、洗车平台沉淀池、集水沟、雨水收集池</w:t>
                  </w:r>
                </w:p>
              </w:tc>
              <w:tc>
                <w:tcPr>
                  <w:tcW w:w="2899" w:type="dxa"/>
                  <w:tcBorders>
                    <w:top w:val="single" w:color="auto" w:sz="4" w:space="0"/>
                    <w:left w:val="single" w:color="auto" w:sz="4" w:space="0"/>
                  </w:tcBorders>
                  <w:shd w:val="clear" w:color="auto" w:fill="auto"/>
                  <w:vAlign w:val="center"/>
                </w:tcPr>
                <w:p w14:paraId="6BA4E201">
                  <w:pPr>
                    <w:spacing w:line="280" w:lineRule="exact"/>
                    <w:jc w:val="center"/>
                    <w:rPr>
                      <w:rFonts w:hint="eastAsia" w:ascii="Times New Roman" w:hAnsi="Times New Roman" w:eastAsia="宋体" w:cs="Times New Roman"/>
                      <w:color w:val="auto"/>
                      <w:spacing w:val="-10"/>
                      <w:kern w:val="2"/>
                      <w:sz w:val="18"/>
                      <w:szCs w:val="18"/>
                      <w:lang w:val="en-US" w:eastAsia="zh-CN" w:bidi="ar-SA"/>
                    </w:rPr>
                  </w:pPr>
                  <w:r>
                    <w:rPr>
                      <w:rFonts w:hint="eastAsia"/>
                      <w:color w:val="auto"/>
                      <w:spacing w:val="-10"/>
                      <w:sz w:val="18"/>
                      <w:szCs w:val="18"/>
                    </w:rPr>
                    <w:t>采用200mm厚防渗混凝土一体浇筑</w:t>
                  </w:r>
                </w:p>
              </w:tc>
              <w:tc>
                <w:tcPr>
                  <w:tcW w:w="961" w:type="dxa"/>
                  <w:vMerge w:val="continue"/>
                  <w:tcBorders>
                    <w:right w:val="single" w:color="auto" w:sz="4" w:space="0"/>
                  </w:tcBorders>
                  <w:vAlign w:val="center"/>
                </w:tcPr>
                <w:p w14:paraId="547C08D4">
                  <w:pPr>
                    <w:spacing w:line="280" w:lineRule="exact"/>
                    <w:jc w:val="center"/>
                    <w:rPr>
                      <w:rFonts w:hint="eastAsia"/>
                      <w:color w:val="auto"/>
                      <w:spacing w:val="-10"/>
                      <w:sz w:val="18"/>
                      <w:szCs w:val="18"/>
                    </w:rPr>
                  </w:pPr>
                </w:p>
              </w:tc>
              <w:tc>
                <w:tcPr>
                  <w:tcW w:w="1130" w:type="dxa"/>
                  <w:vMerge w:val="continue"/>
                  <w:tcBorders>
                    <w:left w:val="single" w:color="auto" w:sz="4" w:space="0"/>
                    <w:right w:val="nil"/>
                  </w:tcBorders>
                  <w:vAlign w:val="center"/>
                </w:tcPr>
                <w:p w14:paraId="1DB27FB3">
                  <w:pPr>
                    <w:spacing w:line="280" w:lineRule="exact"/>
                    <w:jc w:val="center"/>
                    <w:rPr>
                      <w:rFonts w:hint="eastAsia" w:eastAsia="宋体"/>
                      <w:color w:val="auto"/>
                      <w:spacing w:val="-10"/>
                      <w:sz w:val="18"/>
                      <w:szCs w:val="18"/>
                      <w:lang w:val="en-US" w:eastAsia="zh-CN"/>
                    </w:rPr>
                  </w:pPr>
                </w:p>
              </w:tc>
            </w:tr>
            <w:tr w14:paraId="0C660EC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98" w:hRule="atLeast"/>
                <w:jc w:val="center"/>
              </w:trPr>
              <w:tc>
                <w:tcPr>
                  <w:tcW w:w="884" w:type="dxa"/>
                  <w:vMerge w:val="continue"/>
                  <w:tcBorders>
                    <w:left w:val="nil"/>
                  </w:tcBorders>
                  <w:vAlign w:val="center"/>
                </w:tcPr>
                <w:p w14:paraId="71B2F859">
                  <w:pPr>
                    <w:spacing w:line="280" w:lineRule="exact"/>
                    <w:jc w:val="center"/>
                    <w:rPr>
                      <w:rFonts w:hint="eastAsia"/>
                      <w:color w:val="auto"/>
                      <w:spacing w:val="-10"/>
                      <w:sz w:val="18"/>
                      <w:szCs w:val="18"/>
                    </w:rPr>
                  </w:pPr>
                </w:p>
              </w:tc>
              <w:tc>
                <w:tcPr>
                  <w:tcW w:w="2176" w:type="dxa"/>
                  <w:tcBorders>
                    <w:top w:val="single" w:color="auto" w:sz="4" w:space="0"/>
                    <w:right w:val="single" w:color="auto" w:sz="4" w:space="0"/>
                  </w:tcBorders>
                  <w:vAlign w:val="center"/>
                </w:tcPr>
                <w:p w14:paraId="5EAAAFE4">
                  <w:pPr>
                    <w:spacing w:line="280" w:lineRule="exact"/>
                    <w:jc w:val="center"/>
                    <w:rPr>
                      <w:rFonts w:hint="eastAsia"/>
                      <w:color w:val="auto"/>
                      <w:spacing w:val="-10"/>
                      <w:sz w:val="18"/>
                      <w:szCs w:val="18"/>
                      <w:lang w:val="en-US" w:eastAsia="zh-CN"/>
                    </w:rPr>
                  </w:pPr>
                  <w:r>
                    <w:rPr>
                      <w:rFonts w:hint="eastAsia"/>
                      <w:color w:val="auto"/>
                      <w:spacing w:val="-10"/>
                      <w:sz w:val="18"/>
                      <w:szCs w:val="18"/>
                      <w:lang w:val="en-US" w:eastAsia="zh-CN"/>
                    </w:rPr>
                    <w:t>1</w:t>
                  </w:r>
                  <w:r>
                    <w:rPr>
                      <w:rFonts w:hint="eastAsia"/>
                      <w:color w:val="auto"/>
                      <w:spacing w:val="-10"/>
                      <w:sz w:val="18"/>
                      <w:szCs w:val="18"/>
                      <w:vertAlign w:val="superscript"/>
                      <w:lang w:val="en-US" w:eastAsia="zh-CN"/>
                    </w:rPr>
                    <w:t>#</w:t>
                  </w:r>
                  <w:r>
                    <w:rPr>
                      <w:rFonts w:hint="eastAsia"/>
                      <w:color w:val="auto"/>
                      <w:spacing w:val="-10"/>
                      <w:sz w:val="18"/>
                      <w:szCs w:val="18"/>
                      <w:lang w:val="en-US" w:eastAsia="zh-CN"/>
                    </w:rPr>
                    <w:t>生产车间其他区域、2</w:t>
                  </w:r>
                  <w:r>
                    <w:rPr>
                      <w:rFonts w:hint="eastAsia"/>
                      <w:color w:val="auto"/>
                      <w:spacing w:val="-10"/>
                      <w:sz w:val="18"/>
                      <w:szCs w:val="18"/>
                      <w:vertAlign w:val="superscript"/>
                      <w:lang w:val="en-US" w:eastAsia="zh-CN"/>
                    </w:rPr>
                    <w:t>#</w:t>
                  </w:r>
                  <w:r>
                    <w:rPr>
                      <w:rFonts w:hint="eastAsia"/>
                      <w:color w:val="auto"/>
                      <w:spacing w:val="-10"/>
                      <w:sz w:val="18"/>
                      <w:szCs w:val="18"/>
                      <w:lang w:val="en-US" w:eastAsia="zh-CN"/>
                    </w:rPr>
                    <w:t>生产车间其他区域、一般固废暂存区</w:t>
                  </w:r>
                </w:p>
              </w:tc>
              <w:tc>
                <w:tcPr>
                  <w:tcW w:w="2899" w:type="dxa"/>
                  <w:tcBorders>
                    <w:top w:val="single" w:color="auto" w:sz="4" w:space="0"/>
                    <w:left w:val="single" w:color="auto" w:sz="4" w:space="0"/>
                  </w:tcBorders>
                  <w:vAlign w:val="center"/>
                </w:tcPr>
                <w:p w14:paraId="45529925">
                  <w:pPr>
                    <w:spacing w:line="280" w:lineRule="exact"/>
                    <w:jc w:val="center"/>
                    <w:rPr>
                      <w:rFonts w:hint="eastAsia"/>
                      <w:color w:val="auto"/>
                      <w:spacing w:val="-10"/>
                      <w:sz w:val="18"/>
                      <w:szCs w:val="18"/>
                      <w:lang w:val="en-US" w:eastAsia="zh-CN"/>
                    </w:rPr>
                  </w:pPr>
                  <w:r>
                    <w:rPr>
                      <w:rFonts w:hint="eastAsia"/>
                      <w:color w:val="auto"/>
                      <w:spacing w:val="-10"/>
                      <w:sz w:val="18"/>
                      <w:szCs w:val="18"/>
                      <w:lang w:val="en-US" w:eastAsia="zh-CN"/>
                    </w:rPr>
                    <w:t>地面采用200mm厚防渗混凝土进行防渗</w:t>
                  </w:r>
                </w:p>
              </w:tc>
              <w:tc>
                <w:tcPr>
                  <w:tcW w:w="961" w:type="dxa"/>
                  <w:vMerge w:val="continue"/>
                  <w:tcBorders>
                    <w:right w:val="single" w:color="auto" w:sz="4" w:space="0"/>
                  </w:tcBorders>
                  <w:vAlign w:val="center"/>
                </w:tcPr>
                <w:p w14:paraId="42B0A424">
                  <w:pPr>
                    <w:spacing w:line="280" w:lineRule="exact"/>
                    <w:jc w:val="center"/>
                    <w:rPr>
                      <w:rFonts w:hint="eastAsia"/>
                      <w:color w:val="auto"/>
                      <w:spacing w:val="-10"/>
                      <w:sz w:val="18"/>
                      <w:szCs w:val="18"/>
                    </w:rPr>
                  </w:pPr>
                </w:p>
              </w:tc>
              <w:tc>
                <w:tcPr>
                  <w:tcW w:w="1130" w:type="dxa"/>
                  <w:vMerge w:val="continue"/>
                  <w:tcBorders>
                    <w:left w:val="single" w:color="auto" w:sz="4" w:space="0"/>
                    <w:right w:val="nil"/>
                  </w:tcBorders>
                  <w:vAlign w:val="center"/>
                </w:tcPr>
                <w:p w14:paraId="755AB3B7">
                  <w:pPr>
                    <w:spacing w:line="280" w:lineRule="exact"/>
                    <w:jc w:val="center"/>
                    <w:rPr>
                      <w:rFonts w:hint="eastAsia" w:eastAsia="宋体"/>
                      <w:color w:val="auto"/>
                      <w:spacing w:val="-10"/>
                      <w:sz w:val="18"/>
                      <w:szCs w:val="18"/>
                      <w:lang w:val="en-US" w:eastAsia="zh-CN"/>
                    </w:rPr>
                  </w:pPr>
                </w:p>
              </w:tc>
            </w:tr>
            <w:tr w14:paraId="5D798C8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9" w:hRule="atLeast"/>
                <w:jc w:val="center"/>
              </w:trPr>
              <w:tc>
                <w:tcPr>
                  <w:tcW w:w="884" w:type="dxa"/>
                  <w:tcBorders>
                    <w:left w:val="nil"/>
                    <w:bottom w:val="single" w:color="auto" w:sz="12" w:space="0"/>
                  </w:tcBorders>
                  <w:vAlign w:val="center"/>
                </w:tcPr>
                <w:p w14:paraId="236D5B0B">
                  <w:pPr>
                    <w:spacing w:line="280" w:lineRule="exact"/>
                    <w:jc w:val="center"/>
                    <w:rPr>
                      <w:color w:val="auto"/>
                      <w:spacing w:val="-10"/>
                      <w:sz w:val="18"/>
                      <w:szCs w:val="18"/>
                    </w:rPr>
                  </w:pPr>
                  <w:r>
                    <w:rPr>
                      <w:rFonts w:hint="eastAsia"/>
                      <w:color w:val="auto"/>
                      <w:spacing w:val="-10"/>
                      <w:sz w:val="18"/>
                      <w:szCs w:val="18"/>
                    </w:rPr>
                    <w:t>简单防渗区</w:t>
                  </w:r>
                </w:p>
              </w:tc>
              <w:tc>
                <w:tcPr>
                  <w:tcW w:w="2176" w:type="dxa"/>
                  <w:tcBorders>
                    <w:bottom w:val="single" w:color="auto" w:sz="12" w:space="0"/>
                    <w:right w:val="single" w:color="auto" w:sz="4" w:space="0"/>
                  </w:tcBorders>
                  <w:vAlign w:val="center"/>
                </w:tcPr>
                <w:p w14:paraId="2A612071">
                  <w:pPr>
                    <w:spacing w:line="280" w:lineRule="exact"/>
                    <w:jc w:val="center"/>
                    <w:rPr>
                      <w:color w:val="auto"/>
                      <w:spacing w:val="-10"/>
                      <w:sz w:val="18"/>
                      <w:szCs w:val="18"/>
                    </w:rPr>
                  </w:pPr>
                  <w:r>
                    <w:rPr>
                      <w:rFonts w:hint="eastAsia"/>
                      <w:color w:val="auto"/>
                      <w:spacing w:val="-10"/>
                      <w:sz w:val="18"/>
                      <w:szCs w:val="18"/>
                    </w:rPr>
                    <w:t>厂区其他地面</w:t>
                  </w:r>
                </w:p>
              </w:tc>
              <w:tc>
                <w:tcPr>
                  <w:tcW w:w="2899" w:type="dxa"/>
                  <w:tcBorders>
                    <w:left w:val="single" w:color="auto" w:sz="4" w:space="0"/>
                    <w:bottom w:val="single" w:color="auto" w:sz="12" w:space="0"/>
                  </w:tcBorders>
                  <w:vAlign w:val="center"/>
                </w:tcPr>
                <w:p w14:paraId="7F1B5806">
                  <w:pPr>
                    <w:spacing w:line="280" w:lineRule="exact"/>
                    <w:jc w:val="center"/>
                    <w:rPr>
                      <w:color w:val="auto"/>
                      <w:spacing w:val="-10"/>
                      <w:sz w:val="18"/>
                      <w:szCs w:val="18"/>
                    </w:rPr>
                  </w:pPr>
                  <w:r>
                    <w:rPr>
                      <w:rFonts w:hint="eastAsia"/>
                      <w:color w:val="auto"/>
                      <w:spacing w:val="-10"/>
                      <w:sz w:val="18"/>
                      <w:szCs w:val="18"/>
                    </w:rPr>
                    <w:t>水泥硬化</w:t>
                  </w:r>
                </w:p>
              </w:tc>
              <w:tc>
                <w:tcPr>
                  <w:tcW w:w="961" w:type="dxa"/>
                  <w:tcBorders>
                    <w:top w:val="single" w:color="auto" w:sz="4" w:space="0"/>
                    <w:bottom w:val="single" w:color="auto" w:sz="12" w:space="0"/>
                    <w:right w:val="single" w:color="auto" w:sz="4" w:space="0"/>
                  </w:tcBorders>
                  <w:vAlign w:val="center"/>
                </w:tcPr>
                <w:p w14:paraId="02E1975A">
                  <w:pPr>
                    <w:spacing w:line="280" w:lineRule="exact"/>
                    <w:jc w:val="center"/>
                    <w:rPr>
                      <w:color w:val="auto"/>
                      <w:spacing w:val="-10"/>
                      <w:sz w:val="18"/>
                      <w:szCs w:val="18"/>
                    </w:rPr>
                  </w:pPr>
                  <w:r>
                    <w:rPr>
                      <w:rFonts w:hint="eastAsia"/>
                      <w:color w:val="auto"/>
                      <w:spacing w:val="-10"/>
                      <w:sz w:val="18"/>
                      <w:szCs w:val="18"/>
                    </w:rPr>
                    <w:t>一般地面硬化</w:t>
                  </w:r>
                </w:p>
              </w:tc>
              <w:tc>
                <w:tcPr>
                  <w:tcW w:w="1130" w:type="dxa"/>
                  <w:vMerge w:val="continue"/>
                  <w:tcBorders>
                    <w:left w:val="single" w:color="auto" w:sz="4" w:space="0"/>
                    <w:bottom w:val="single" w:color="auto" w:sz="12" w:space="0"/>
                    <w:right w:val="nil"/>
                  </w:tcBorders>
                  <w:vAlign w:val="center"/>
                </w:tcPr>
                <w:p w14:paraId="07504495">
                  <w:pPr>
                    <w:spacing w:line="280" w:lineRule="exact"/>
                    <w:jc w:val="center"/>
                    <w:rPr>
                      <w:rFonts w:hint="eastAsia"/>
                      <w:color w:val="auto"/>
                      <w:spacing w:val="-10"/>
                      <w:sz w:val="18"/>
                      <w:szCs w:val="18"/>
                    </w:rPr>
                  </w:pPr>
                </w:p>
              </w:tc>
            </w:tr>
          </w:tbl>
          <w:p w14:paraId="69C0CDDC">
            <w:pPr>
              <w:spacing w:line="440" w:lineRule="exact"/>
              <w:ind w:firstLine="420" w:firstLineChars="200"/>
              <w:rPr>
                <w:color w:val="auto"/>
                <w:szCs w:val="21"/>
              </w:rPr>
            </w:pPr>
            <w:r>
              <w:rPr>
                <w:rFonts w:hint="eastAsia" w:ascii="宋体" w:hAnsi="宋体"/>
                <w:color w:val="auto"/>
                <w:szCs w:val="21"/>
              </w:rPr>
              <w:t>②</w:t>
            </w:r>
            <w:r>
              <w:rPr>
                <w:rFonts w:hint="eastAsia"/>
                <w:color w:val="auto"/>
                <w:szCs w:val="21"/>
              </w:rPr>
              <w:t>污染监控措施：安排专人定期进行检查，发生地面破裂、泄漏易于及时发现。</w:t>
            </w:r>
          </w:p>
          <w:p w14:paraId="7836CE7D">
            <w:pPr>
              <w:spacing w:line="440" w:lineRule="exact"/>
              <w:ind w:firstLine="420" w:firstLineChars="200"/>
              <w:rPr>
                <w:color w:val="auto"/>
                <w:szCs w:val="21"/>
              </w:rPr>
            </w:pPr>
            <w:r>
              <w:rPr>
                <w:rFonts w:hint="eastAsia" w:ascii="宋体" w:hAnsi="宋体"/>
                <w:color w:val="auto"/>
                <w:szCs w:val="21"/>
              </w:rPr>
              <w:t>③</w:t>
            </w:r>
            <w:r>
              <w:rPr>
                <w:rFonts w:hint="eastAsia"/>
                <w:color w:val="auto"/>
                <w:szCs w:val="21"/>
              </w:rPr>
              <w:t>应急响应措施：建设单位通过严格管理，专人巡检等方式进行监管，非正常情况渗漏一经发现，启动应急预案，立即采取封堵、吸收、吸附等措施，防止大量泄漏。综上所述，防渗措施符合《环境影响评价技术导则 地下水环境》（HJ610-2016）相关要求，能够有效防控</w:t>
            </w:r>
            <w:r>
              <w:rPr>
                <w:rFonts w:hint="eastAsia"/>
                <w:color w:val="auto"/>
                <w:szCs w:val="21"/>
                <w:lang w:val="en-US" w:eastAsia="zh-CN"/>
              </w:rPr>
              <w:t>土壤、</w:t>
            </w:r>
            <w:r>
              <w:rPr>
                <w:rFonts w:hint="eastAsia"/>
                <w:color w:val="auto"/>
                <w:szCs w:val="21"/>
              </w:rPr>
              <w:t>地下水污染。</w:t>
            </w:r>
          </w:p>
          <w:p w14:paraId="1DBDB283">
            <w:pPr>
              <w:spacing w:line="440" w:lineRule="exact"/>
              <w:ind w:firstLine="420" w:firstLineChars="200"/>
              <w:rPr>
                <w:color w:val="auto"/>
                <w:szCs w:val="21"/>
              </w:rPr>
            </w:pPr>
            <w:r>
              <w:rPr>
                <w:rFonts w:hint="eastAsia"/>
                <w:color w:val="auto"/>
                <w:szCs w:val="21"/>
              </w:rPr>
              <w:t>（3）跟踪监测</w:t>
            </w:r>
          </w:p>
          <w:p w14:paraId="7D0961E7">
            <w:pPr>
              <w:spacing w:line="440" w:lineRule="exact"/>
              <w:ind w:firstLine="420" w:firstLineChars="200"/>
              <w:rPr>
                <w:color w:val="auto"/>
                <w:szCs w:val="21"/>
              </w:rPr>
            </w:pPr>
            <w:r>
              <w:rPr>
                <w:rFonts w:hint="eastAsia"/>
                <w:color w:val="auto"/>
                <w:szCs w:val="21"/>
              </w:rPr>
              <w:t>拟建项目采取了严格的分区防渗措施，阻断了地下水污染途径，</w:t>
            </w:r>
            <w:r>
              <w:rPr>
                <w:rFonts w:hint="eastAsia"/>
                <w:color w:val="auto"/>
                <w:szCs w:val="21"/>
                <w:lang w:val="en-US" w:eastAsia="zh-CN"/>
              </w:rPr>
              <w:t>污染源</w:t>
            </w:r>
            <w:r>
              <w:rPr>
                <w:rFonts w:hint="eastAsia"/>
                <w:color w:val="auto"/>
              </w:rPr>
              <w:t>与</w:t>
            </w:r>
            <w:r>
              <w:rPr>
                <w:color w:val="auto"/>
              </w:rPr>
              <w:t>天然土壤隔离</w:t>
            </w:r>
            <w:r>
              <w:rPr>
                <w:rFonts w:hint="eastAsia"/>
                <w:color w:val="auto"/>
                <w:lang w:eastAsia="zh-CN"/>
              </w:rPr>
              <w:t>，</w:t>
            </w:r>
            <w:r>
              <w:rPr>
                <w:rFonts w:hint="eastAsia"/>
                <w:color w:val="auto"/>
                <w:szCs w:val="21"/>
              </w:rPr>
              <w:t>正常工况下，不会对</w:t>
            </w:r>
            <w:r>
              <w:rPr>
                <w:rFonts w:hint="eastAsia"/>
                <w:color w:val="auto"/>
                <w:szCs w:val="21"/>
                <w:lang w:val="en-US" w:eastAsia="zh-CN"/>
              </w:rPr>
              <w:t>土壤、</w:t>
            </w:r>
            <w:r>
              <w:rPr>
                <w:rFonts w:hint="eastAsia"/>
                <w:color w:val="auto"/>
                <w:szCs w:val="21"/>
              </w:rPr>
              <w:t>地下水环境产生影响</w:t>
            </w:r>
            <w:r>
              <w:rPr>
                <w:rFonts w:hint="eastAsia"/>
                <w:color w:val="auto"/>
                <w:szCs w:val="21"/>
                <w:lang w:eastAsia="zh-CN"/>
              </w:rPr>
              <w:t>。</w:t>
            </w:r>
            <w:r>
              <w:rPr>
                <w:rFonts w:hint="eastAsia"/>
                <w:color w:val="auto"/>
                <w:szCs w:val="21"/>
              </w:rPr>
              <w:t>且拟建项目厂界外500m范围内无地下水集中式饮用水水源和热水、矿泉水、温泉等特殊地下水资源，可不开展</w:t>
            </w:r>
            <w:r>
              <w:rPr>
                <w:rFonts w:hint="eastAsia"/>
                <w:color w:val="auto"/>
                <w:szCs w:val="21"/>
                <w:lang w:val="en-US" w:eastAsia="zh-CN"/>
              </w:rPr>
              <w:t>土壤、</w:t>
            </w:r>
            <w:r>
              <w:rPr>
                <w:rFonts w:hint="eastAsia"/>
                <w:color w:val="auto"/>
                <w:szCs w:val="21"/>
              </w:rPr>
              <w:t>地下水跟踪监测。</w:t>
            </w:r>
          </w:p>
          <w:p w14:paraId="7DAC156D">
            <w:pPr>
              <w:pStyle w:val="24"/>
              <w:adjustRightInd w:val="0"/>
              <w:snapToGrid w:val="0"/>
              <w:spacing w:before="0" w:beforeAutospacing="0" w:after="0" w:afterAutospacing="0" w:line="440" w:lineRule="exact"/>
              <w:ind w:firstLine="422" w:firstLineChars="200"/>
              <w:rPr>
                <w:rFonts w:ascii="Times New Roman" w:hAnsi="Times New Roman"/>
                <w:b/>
                <w:color w:val="auto"/>
                <w:sz w:val="21"/>
                <w:szCs w:val="21"/>
              </w:rPr>
            </w:pPr>
            <w:r>
              <w:rPr>
                <w:rFonts w:hint="eastAsia" w:ascii="Times New Roman" w:hAnsi="Times New Roman"/>
                <w:b/>
                <w:color w:val="auto"/>
                <w:sz w:val="21"/>
                <w:szCs w:val="21"/>
              </w:rPr>
              <w:t>6</w:t>
            </w:r>
            <w:r>
              <w:rPr>
                <w:rFonts w:ascii="Times New Roman" w:hAnsi="Times New Roman"/>
                <w:b/>
                <w:color w:val="auto"/>
                <w:sz w:val="21"/>
                <w:szCs w:val="21"/>
              </w:rPr>
              <w:t>.</w:t>
            </w:r>
            <w:r>
              <w:rPr>
                <w:rFonts w:hint="eastAsia" w:ascii="Times New Roman" w:hAnsi="Times New Roman"/>
                <w:b/>
                <w:color w:val="auto"/>
                <w:sz w:val="21"/>
                <w:szCs w:val="21"/>
              </w:rPr>
              <w:t>生态</w:t>
            </w:r>
          </w:p>
          <w:p w14:paraId="5367661A">
            <w:pPr>
              <w:spacing w:line="440" w:lineRule="exact"/>
              <w:ind w:firstLine="420" w:firstLineChars="200"/>
              <w:rPr>
                <w:rFonts w:hint="eastAsia"/>
                <w:color w:val="auto"/>
                <w:szCs w:val="21"/>
              </w:rPr>
            </w:pPr>
            <w:r>
              <w:rPr>
                <w:rFonts w:hint="eastAsia"/>
                <w:color w:val="auto"/>
                <w:szCs w:val="21"/>
              </w:rPr>
              <w:t>本项目位于</w:t>
            </w:r>
            <w:r>
              <w:rPr>
                <w:rFonts w:hint="eastAsia" w:eastAsia="宋体"/>
                <w:color w:val="auto"/>
                <w:sz w:val="21"/>
                <w:szCs w:val="21"/>
                <w:highlight w:val="none"/>
                <w:lang w:val="en-US" w:eastAsia="zh-CN"/>
              </w:rPr>
              <w:t>河北省唐山市滦州市九百户镇宜安村西</w:t>
            </w:r>
            <w:r>
              <w:rPr>
                <w:rFonts w:hint="eastAsia"/>
                <w:color w:val="auto"/>
                <w:szCs w:val="21"/>
              </w:rPr>
              <w:t>，占地范围内无生态环境保护目标，无需开展生态环境影响评价。</w:t>
            </w:r>
          </w:p>
          <w:p w14:paraId="463655FE">
            <w:pPr>
              <w:pStyle w:val="24"/>
              <w:adjustRightInd w:val="0"/>
              <w:snapToGrid w:val="0"/>
              <w:spacing w:before="0" w:beforeAutospacing="0" w:after="0" w:afterAutospacing="0" w:line="440" w:lineRule="exact"/>
              <w:ind w:firstLine="422" w:firstLineChars="200"/>
              <w:rPr>
                <w:rFonts w:ascii="Times New Roman" w:hAnsi="Times New Roman"/>
                <w:b/>
                <w:color w:val="auto"/>
                <w:sz w:val="21"/>
                <w:szCs w:val="21"/>
              </w:rPr>
            </w:pPr>
            <w:r>
              <w:rPr>
                <w:rFonts w:hint="eastAsia" w:ascii="Times New Roman" w:hAnsi="Times New Roman"/>
                <w:b/>
                <w:color w:val="auto"/>
                <w:sz w:val="21"/>
                <w:szCs w:val="21"/>
              </w:rPr>
              <w:t>7.环境风险</w:t>
            </w:r>
          </w:p>
          <w:p w14:paraId="737743D1">
            <w:pPr>
              <w:spacing w:line="440" w:lineRule="exact"/>
              <w:ind w:firstLine="422" w:firstLineChars="200"/>
              <w:rPr>
                <w:rFonts w:hint="default" w:eastAsia="宋体"/>
                <w:b/>
                <w:bCs/>
                <w:color w:val="auto"/>
                <w:lang w:val="en-US" w:eastAsia="zh-CN"/>
              </w:rPr>
            </w:pPr>
            <w:r>
              <w:rPr>
                <w:rFonts w:hint="eastAsia"/>
                <w:b/>
                <w:bCs/>
                <w:color w:val="auto"/>
              </w:rPr>
              <w:t>7.1</w:t>
            </w:r>
            <w:r>
              <w:rPr>
                <w:rFonts w:hint="eastAsia"/>
                <w:b/>
                <w:bCs/>
                <w:color w:val="auto"/>
                <w:lang w:val="en-US" w:eastAsia="zh-CN"/>
              </w:rPr>
              <w:t>风险源调查</w:t>
            </w:r>
          </w:p>
          <w:p w14:paraId="6472BD67">
            <w:pPr>
              <w:spacing w:line="440" w:lineRule="exact"/>
              <w:ind w:firstLine="420" w:firstLineChars="200"/>
              <w:rPr>
                <w:rFonts w:hint="eastAsia" w:ascii="Times New Roman" w:eastAsia="宋体"/>
                <w:color w:val="auto"/>
                <w:lang w:val="en-US" w:eastAsia="zh-CN"/>
              </w:rPr>
            </w:pPr>
            <w:r>
              <w:rPr>
                <w:rFonts w:hint="eastAsia" w:ascii="Times New Roman" w:hAnsi="Times New Roman" w:eastAsia="宋体" w:cs="Times New Roman"/>
                <w:color w:val="auto"/>
                <w:szCs w:val="21"/>
              </w:rPr>
              <w:t>根据《建设项目环境风险评价技术导则》（HJ169-2018）附录B，</w:t>
            </w:r>
            <w:r>
              <w:rPr>
                <w:rFonts w:hint="default" w:ascii="Times New Roman" w:hAnsi="Times New Roman" w:eastAsia="宋体" w:cs="Times New Roman"/>
                <w:color w:val="auto"/>
                <w:szCs w:val="21"/>
                <w:lang w:val="en-US" w:eastAsia="zh-CN"/>
              </w:rPr>
              <w:t>项目涉及的风险物质为润滑油、</w:t>
            </w:r>
            <w:r>
              <w:rPr>
                <w:rFonts w:hint="eastAsia" w:cs="Times New Roman"/>
                <w:color w:val="auto"/>
                <w:szCs w:val="21"/>
                <w:lang w:val="en-US" w:eastAsia="zh-CN"/>
              </w:rPr>
              <w:t>液压</w:t>
            </w:r>
            <w:r>
              <w:rPr>
                <w:rFonts w:hint="eastAsia" w:ascii="Times New Roman" w:hAnsi="Times New Roman" w:eastAsia="宋体" w:cs="Times New Roman"/>
                <w:color w:val="auto"/>
                <w:szCs w:val="21"/>
                <w:lang w:val="en-US" w:eastAsia="zh-CN"/>
              </w:rPr>
              <w:t>油、</w:t>
            </w:r>
            <w:r>
              <w:rPr>
                <w:rFonts w:hint="default" w:ascii="Times New Roman" w:hAnsi="Times New Roman" w:eastAsia="宋体" w:cs="Times New Roman"/>
                <w:color w:val="auto"/>
                <w:szCs w:val="21"/>
                <w:lang w:val="en-US" w:eastAsia="zh-CN"/>
              </w:rPr>
              <w:t>废润滑油</w:t>
            </w:r>
            <w:r>
              <w:rPr>
                <w:rFonts w:hint="eastAsia" w:ascii="Times New Roman" w:hAnsi="Times New Roman" w:eastAsia="宋体" w:cs="Times New Roman"/>
                <w:color w:val="auto"/>
                <w:szCs w:val="21"/>
                <w:lang w:val="en-US" w:eastAsia="zh-CN"/>
              </w:rPr>
              <w:t>、废</w:t>
            </w:r>
            <w:r>
              <w:rPr>
                <w:rFonts w:hint="eastAsia" w:cs="Times New Roman"/>
                <w:color w:val="auto"/>
                <w:szCs w:val="21"/>
                <w:lang w:val="en-US" w:eastAsia="zh-CN"/>
              </w:rPr>
              <w:t>液压</w:t>
            </w:r>
            <w:r>
              <w:rPr>
                <w:rFonts w:hint="eastAsia" w:ascii="Times New Roman" w:hAnsi="Times New Roman" w:eastAsia="宋体" w:cs="Times New Roman"/>
                <w:color w:val="auto"/>
                <w:szCs w:val="21"/>
                <w:lang w:val="en-US" w:eastAsia="zh-CN"/>
              </w:rPr>
              <w:t>油</w:t>
            </w:r>
            <w:r>
              <w:rPr>
                <w:rFonts w:hint="default" w:ascii="Times New Roman" w:hAnsi="Times New Roman" w:eastAsia="宋体" w:cs="Times New Roman"/>
                <w:color w:val="auto"/>
                <w:szCs w:val="21"/>
                <w:lang w:val="en-US" w:eastAsia="zh-CN"/>
              </w:rPr>
              <w:t>。</w:t>
            </w:r>
            <w:r>
              <w:rPr>
                <w:rFonts w:hint="eastAsia" w:ascii="Times New Roman" w:hAnsi="Times New Roman" w:eastAsia="宋体" w:cs="Times New Roman"/>
                <w:color w:val="auto"/>
                <w:szCs w:val="21"/>
                <w:lang w:val="en-US" w:eastAsia="zh-CN"/>
              </w:rPr>
              <w:t>本项目成品油随买随换，因此项目厂区内不设成品油存储区，润滑油、液压油每年更换一次，生产作业区设备内润滑油最大存储量为0.2t、液压油最大存储量为0.2t；</w:t>
            </w:r>
            <w:r>
              <w:rPr>
                <w:rFonts w:hint="default" w:ascii="Times New Roman" w:hAnsi="Times New Roman" w:eastAsia="宋体" w:cs="Times New Roman"/>
                <w:color w:val="auto"/>
                <w:szCs w:val="21"/>
                <w:lang w:val="en-US" w:eastAsia="zh-CN"/>
              </w:rPr>
              <w:t>废润滑油</w:t>
            </w:r>
            <w:r>
              <w:rPr>
                <w:rFonts w:hint="eastAsia" w:ascii="Times New Roman" w:hAnsi="Times New Roman" w:eastAsia="宋体" w:cs="Times New Roman"/>
                <w:color w:val="auto"/>
                <w:szCs w:val="21"/>
                <w:lang w:val="en-US" w:eastAsia="zh-CN"/>
              </w:rPr>
              <w:t>、废</w:t>
            </w:r>
            <w:r>
              <w:rPr>
                <w:rFonts w:hint="eastAsia" w:cs="Times New Roman"/>
                <w:color w:val="auto"/>
                <w:szCs w:val="21"/>
                <w:lang w:val="en-US" w:eastAsia="zh-CN"/>
              </w:rPr>
              <w:t>液压</w:t>
            </w:r>
            <w:r>
              <w:rPr>
                <w:rFonts w:hint="eastAsia" w:ascii="Times New Roman" w:hAnsi="Times New Roman" w:eastAsia="宋体" w:cs="Times New Roman"/>
                <w:color w:val="auto"/>
                <w:szCs w:val="21"/>
                <w:lang w:val="en-US" w:eastAsia="zh-CN"/>
              </w:rPr>
              <w:t>油、废油桶暂存于危险废物暂存间</w:t>
            </w:r>
            <w:r>
              <w:rPr>
                <w:rFonts w:hint="eastAsia"/>
                <w:color w:val="auto"/>
                <w:szCs w:val="21"/>
                <w:lang w:eastAsia="zh-CN"/>
              </w:rPr>
              <w:t>，</w:t>
            </w:r>
            <w:r>
              <w:rPr>
                <w:rFonts w:hint="eastAsia"/>
                <w:color w:val="auto"/>
                <w:szCs w:val="21"/>
                <w:lang w:val="en-US" w:eastAsia="zh-CN"/>
              </w:rPr>
              <w:t>定期委托有资质单位进行处置</w:t>
            </w:r>
            <w:r>
              <w:rPr>
                <w:rFonts w:hint="eastAsia" w:ascii="Times New Roman" w:hAnsi="Times New Roman" w:eastAsia="宋体" w:cs="Times New Roman"/>
                <w:color w:val="auto"/>
                <w:szCs w:val="21"/>
                <w:lang w:val="en-US" w:eastAsia="zh-CN"/>
              </w:rPr>
              <w:t>。</w:t>
            </w:r>
          </w:p>
          <w:p w14:paraId="72F57E3C">
            <w:pPr>
              <w:spacing w:line="440" w:lineRule="exact"/>
              <w:ind w:firstLine="420" w:firstLineChars="200"/>
              <w:rPr>
                <w:rFonts w:hint="eastAsia" w:ascii="Times New Roman" w:hAnsi="Times New Roman" w:eastAsia="宋体" w:cs="Times New Roman"/>
                <w:color w:val="auto"/>
                <w:szCs w:val="21"/>
              </w:rPr>
            </w:pPr>
            <w:r>
              <w:rPr>
                <w:rFonts w:hint="eastAsia" w:ascii="Times New Roman" w:hAnsi="Times New Roman" w:eastAsia="宋体" w:cs="Times New Roman"/>
                <w:color w:val="auto"/>
                <w:szCs w:val="21"/>
              </w:rPr>
              <w:t>本项目涉及的危险物质概况见下表。</w:t>
            </w:r>
          </w:p>
          <w:p w14:paraId="7C656C19">
            <w:pPr>
              <w:spacing w:line="460" w:lineRule="exact"/>
              <w:jc w:val="center"/>
              <w:rPr>
                <w:rFonts w:hint="eastAsia" w:ascii="Times New Roman" w:hAnsi="Times New Roman" w:eastAsia="宋体" w:cs="Times New Roman"/>
                <w:b/>
                <w:bCs/>
                <w:color w:val="auto"/>
              </w:rPr>
            </w:pPr>
            <w:r>
              <w:rPr>
                <w:rFonts w:hint="eastAsia" w:ascii="Times New Roman" w:hAnsi="Times New Roman" w:eastAsia="宋体" w:cs="Times New Roman"/>
                <w:b/>
                <w:bCs/>
                <w:color w:val="auto"/>
              </w:rPr>
              <w:t>表</w:t>
            </w:r>
            <w:r>
              <w:rPr>
                <w:rFonts w:hint="eastAsia" w:cs="Times New Roman"/>
                <w:b/>
                <w:bCs/>
                <w:color w:val="auto"/>
                <w:lang w:val="en-US" w:eastAsia="zh-CN"/>
              </w:rPr>
              <w:t>47</w:t>
            </w:r>
            <w:r>
              <w:rPr>
                <w:rFonts w:hint="eastAsia" w:ascii="Times New Roman" w:hAnsi="Times New Roman" w:eastAsia="宋体" w:cs="Times New Roman"/>
                <w:b/>
                <w:bCs/>
                <w:color w:val="auto"/>
                <w:lang w:val="en-US" w:eastAsia="zh-CN"/>
              </w:rPr>
              <w:t xml:space="preserve"> </w:t>
            </w:r>
            <w:r>
              <w:rPr>
                <w:rFonts w:hint="eastAsia" w:cs="Times New Roman"/>
                <w:b/>
                <w:bCs/>
                <w:color w:val="auto"/>
                <w:lang w:val="en-US" w:eastAsia="zh-CN"/>
              </w:rPr>
              <w:t>项目</w:t>
            </w:r>
            <w:r>
              <w:rPr>
                <w:rFonts w:hint="eastAsia" w:ascii="Times New Roman" w:hAnsi="Times New Roman" w:eastAsia="宋体" w:cs="Times New Roman"/>
                <w:b/>
                <w:bCs/>
                <w:color w:val="auto"/>
              </w:rPr>
              <w:t>风险源调查概况一览表</w:t>
            </w:r>
          </w:p>
          <w:tbl>
            <w:tblPr>
              <w:tblStyle w:val="28"/>
              <w:tblW w:w="4996"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28" w:type="dxa"/>
                <w:bottom w:w="0" w:type="dxa"/>
                <w:right w:w="28" w:type="dxa"/>
              </w:tblCellMar>
            </w:tblPr>
            <w:tblGrid>
              <w:gridCol w:w="443"/>
              <w:gridCol w:w="1279"/>
              <w:gridCol w:w="1468"/>
              <w:gridCol w:w="2907"/>
              <w:gridCol w:w="1844"/>
            </w:tblGrid>
            <w:tr w14:paraId="5B2DD2C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278" w:type="pct"/>
                  <w:noWrap w:val="0"/>
                  <w:vAlign w:val="center"/>
                </w:tcPr>
                <w:p w14:paraId="0C05F454">
                  <w:pPr>
                    <w:spacing w:line="320" w:lineRule="exact"/>
                    <w:jc w:val="center"/>
                    <w:rPr>
                      <w:rFonts w:hint="default" w:ascii="Times New Roman" w:hAnsi="Times New Roman" w:eastAsia="宋体" w:cs="Times New Roman"/>
                      <w:color w:val="auto"/>
                      <w:spacing w:val="-10"/>
                      <w:sz w:val="18"/>
                      <w:szCs w:val="18"/>
                      <w:lang w:val="en-US" w:eastAsia="zh-CN"/>
                    </w:rPr>
                  </w:pPr>
                  <w:r>
                    <w:rPr>
                      <w:rFonts w:hint="default" w:ascii="Times New Roman" w:hAnsi="Times New Roman" w:eastAsia="宋体" w:cs="Times New Roman"/>
                      <w:color w:val="auto"/>
                      <w:spacing w:val="-10"/>
                      <w:sz w:val="18"/>
                      <w:szCs w:val="18"/>
                      <w:lang w:val="en-US" w:eastAsia="zh-CN"/>
                    </w:rPr>
                    <w:t>序号</w:t>
                  </w:r>
                </w:p>
              </w:tc>
              <w:tc>
                <w:tcPr>
                  <w:tcW w:w="805" w:type="pct"/>
                  <w:noWrap w:val="0"/>
                  <w:vAlign w:val="center"/>
                </w:tcPr>
                <w:p w14:paraId="6F4FD59B">
                  <w:pPr>
                    <w:spacing w:line="320" w:lineRule="exact"/>
                    <w:jc w:val="center"/>
                    <w:rPr>
                      <w:rFonts w:hint="default" w:ascii="Times New Roman" w:hAnsi="Times New Roman" w:eastAsia="宋体" w:cs="Times New Roman"/>
                      <w:color w:val="auto"/>
                      <w:spacing w:val="-10"/>
                      <w:sz w:val="18"/>
                      <w:szCs w:val="18"/>
                      <w:lang w:val="en-US" w:eastAsia="zh-CN"/>
                    </w:rPr>
                  </w:pPr>
                  <w:r>
                    <w:rPr>
                      <w:rFonts w:hint="default" w:ascii="Times New Roman" w:hAnsi="Times New Roman" w:eastAsia="宋体" w:cs="Times New Roman"/>
                      <w:color w:val="auto"/>
                      <w:spacing w:val="-10"/>
                      <w:sz w:val="18"/>
                      <w:szCs w:val="18"/>
                      <w:lang w:val="en-US" w:eastAsia="zh-CN"/>
                    </w:rPr>
                    <w:t>危险物质名称</w:t>
                  </w:r>
                </w:p>
              </w:tc>
              <w:tc>
                <w:tcPr>
                  <w:tcW w:w="924" w:type="pct"/>
                  <w:noWrap w:val="0"/>
                  <w:vAlign w:val="center"/>
                </w:tcPr>
                <w:p w14:paraId="5FA2FE15">
                  <w:pPr>
                    <w:spacing w:line="320" w:lineRule="exact"/>
                    <w:jc w:val="center"/>
                    <w:rPr>
                      <w:rFonts w:hint="default" w:ascii="Times New Roman" w:hAnsi="Times New Roman" w:eastAsia="宋体" w:cs="Times New Roman"/>
                      <w:color w:val="auto"/>
                      <w:spacing w:val="-10"/>
                      <w:sz w:val="18"/>
                      <w:szCs w:val="18"/>
                      <w:lang w:val="en-US" w:eastAsia="zh-CN"/>
                    </w:rPr>
                  </w:pPr>
                  <w:r>
                    <w:rPr>
                      <w:rFonts w:hint="eastAsia" w:ascii="Times New Roman" w:hAnsi="Times New Roman" w:eastAsia="宋体" w:cs="Times New Roman"/>
                      <w:color w:val="auto"/>
                      <w:spacing w:val="-10"/>
                      <w:sz w:val="18"/>
                      <w:szCs w:val="18"/>
                      <w:lang w:val="en-US" w:eastAsia="zh-CN"/>
                    </w:rPr>
                    <w:t>分布的生产单元</w:t>
                  </w:r>
                </w:p>
              </w:tc>
              <w:tc>
                <w:tcPr>
                  <w:tcW w:w="1830" w:type="pct"/>
                  <w:noWrap w:val="0"/>
                  <w:vAlign w:val="center"/>
                </w:tcPr>
                <w:p w14:paraId="2CB2EFA6">
                  <w:pPr>
                    <w:spacing w:line="320" w:lineRule="exact"/>
                    <w:jc w:val="center"/>
                    <w:rPr>
                      <w:rFonts w:hint="default" w:ascii="Times New Roman" w:hAnsi="Times New Roman" w:eastAsia="宋体" w:cs="Times New Roman"/>
                      <w:color w:val="auto"/>
                      <w:spacing w:val="-10"/>
                      <w:sz w:val="18"/>
                      <w:szCs w:val="18"/>
                      <w:lang w:val="en-US" w:eastAsia="zh-CN"/>
                    </w:rPr>
                  </w:pPr>
                  <w:r>
                    <w:rPr>
                      <w:rFonts w:hint="eastAsia" w:ascii="Times New Roman" w:hAnsi="Times New Roman" w:eastAsia="宋体" w:cs="Times New Roman"/>
                      <w:color w:val="auto"/>
                      <w:spacing w:val="-10"/>
                      <w:sz w:val="18"/>
                      <w:szCs w:val="18"/>
                      <w:lang w:val="en-US" w:eastAsia="zh-CN"/>
                    </w:rPr>
                    <w:t>全厂最大储存量(t)</w:t>
                  </w:r>
                </w:p>
              </w:tc>
              <w:tc>
                <w:tcPr>
                  <w:tcW w:w="1161" w:type="pct"/>
                  <w:noWrap w:val="0"/>
                  <w:vAlign w:val="center"/>
                </w:tcPr>
                <w:p w14:paraId="4B10622F">
                  <w:pPr>
                    <w:spacing w:line="320" w:lineRule="exact"/>
                    <w:jc w:val="center"/>
                    <w:rPr>
                      <w:rFonts w:hint="default" w:ascii="Times New Roman" w:hAnsi="Times New Roman" w:eastAsia="宋体" w:cs="Times New Roman"/>
                      <w:color w:val="auto"/>
                      <w:spacing w:val="-10"/>
                      <w:sz w:val="18"/>
                      <w:szCs w:val="18"/>
                      <w:lang w:val="en-US" w:eastAsia="zh-CN"/>
                    </w:rPr>
                  </w:pPr>
                  <w:r>
                    <w:rPr>
                      <w:rFonts w:hint="eastAsia" w:ascii="Times New Roman" w:hAnsi="Times New Roman" w:eastAsia="宋体" w:cs="Times New Roman"/>
                      <w:color w:val="auto"/>
                      <w:spacing w:val="-10"/>
                      <w:sz w:val="18"/>
                      <w:szCs w:val="18"/>
                      <w:lang w:val="en-US" w:eastAsia="zh-CN"/>
                    </w:rPr>
                    <w:t>生产工艺特点</w:t>
                  </w:r>
                </w:p>
              </w:tc>
            </w:tr>
            <w:tr w14:paraId="1865964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140" w:hRule="atLeast"/>
                <w:jc w:val="center"/>
              </w:trPr>
              <w:tc>
                <w:tcPr>
                  <w:tcW w:w="278" w:type="pct"/>
                  <w:noWrap w:val="0"/>
                  <w:vAlign w:val="center"/>
                </w:tcPr>
                <w:p w14:paraId="7572049D">
                  <w:pPr>
                    <w:spacing w:line="320" w:lineRule="exact"/>
                    <w:jc w:val="center"/>
                    <w:rPr>
                      <w:rFonts w:hint="eastAsia" w:ascii="Times New Roman" w:hAnsi="Times New Roman" w:eastAsia="宋体" w:cs="Times New Roman"/>
                      <w:color w:val="auto"/>
                      <w:spacing w:val="-10"/>
                      <w:sz w:val="18"/>
                      <w:szCs w:val="18"/>
                      <w:lang w:val="en-US" w:eastAsia="zh-CN"/>
                    </w:rPr>
                  </w:pPr>
                  <w:r>
                    <w:rPr>
                      <w:rFonts w:hint="eastAsia" w:ascii="Times New Roman" w:hAnsi="Times New Roman" w:eastAsia="宋体" w:cs="Times New Roman"/>
                      <w:color w:val="auto"/>
                      <w:spacing w:val="-10"/>
                      <w:sz w:val="18"/>
                      <w:szCs w:val="18"/>
                      <w:lang w:val="en-US" w:eastAsia="zh-CN"/>
                    </w:rPr>
                    <w:t>1</w:t>
                  </w:r>
                </w:p>
              </w:tc>
              <w:tc>
                <w:tcPr>
                  <w:tcW w:w="805" w:type="pct"/>
                  <w:noWrap w:val="0"/>
                  <w:vAlign w:val="center"/>
                </w:tcPr>
                <w:p w14:paraId="07FB062B">
                  <w:pPr>
                    <w:spacing w:line="320" w:lineRule="exact"/>
                    <w:jc w:val="center"/>
                    <w:rPr>
                      <w:rFonts w:hint="default" w:ascii="Times New Roman" w:hAnsi="Times New Roman" w:eastAsia="宋体" w:cs="Times New Roman"/>
                      <w:color w:val="auto"/>
                      <w:spacing w:val="-10"/>
                      <w:sz w:val="18"/>
                      <w:szCs w:val="18"/>
                      <w:lang w:val="en-US" w:eastAsia="zh-CN"/>
                    </w:rPr>
                  </w:pPr>
                  <w:r>
                    <w:rPr>
                      <w:rFonts w:hint="eastAsia" w:ascii="Times New Roman" w:hAnsi="Times New Roman" w:eastAsia="宋体" w:cs="Times New Roman"/>
                      <w:color w:val="auto"/>
                      <w:spacing w:val="-10"/>
                      <w:sz w:val="18"/>
                      <w:szCs w:val="18"/>
                      <w:lang w:val="en-US" w:eastAsia="zh-CN"/>
                    </w:rPr>
                    <w:t>润滑油</w:t>
                  </w:r>
                </w:p>
              </w:tc>
              <w:tc>
                <w:tcPr>
                  <w:tcW w:w="924" w:type="pct"/>
                  <w:noWrap w:val="0"/>
                  <w:vAlign w:val="center"/>
                </w:tcPr>
                <w:p w14:paraId="4B127662">
                  <w:pPr>
                    <w:spacing w:line="320" w:lineRule="exact"/>
                    <w:jc w:val="center"/>
                    <w:rPr>
                      <w:rFonts w:hint="eastAsia" w:ascii="Times New Roman" w:hAnsi="Times New Roman" w:eastAsia="宋体" w:cs="Times New Roman"/>
                      <w:color w:val="auto"/>
                      <w:spacing w:val="-10"/>
                      <w:sz w:val="18"/>
                      <w:szCs w:val="18"/>
                      <w:lang w:val="en-US" w:eastAsia="zh-CN"/>
                    </w:rPr>
                  </w:pPr>
                  <w:r>
                    <w:rPr>
                      <w:rFonts w:hint="eastAsia" w:ascii="Times New Roman" w:hAnsi="Times New Roman" w:eastAsia="宋体" w:cs="Times New Roman"/>
                      <w:color w:val="auto"/>
                      <w:spacing w:val="-10"/>
                      <w:sz w:val="18"/>
                      <w:szCs w:val="18"/>
                      <w:lang w:val="en-US" w:eastAsia="zh-CN"/>
                    </w:rPr>
                    <w:t>生产作业区</w:t>
                  </w:r>
                </w:p>
              </w:tc>
              <w:tc>
                <w:tcPr>
                  <w:tcW w:w="1830" w:type="pct"/>
                  <w:noWrap w:val="0"/>
                  <w:vAlign w:val="center"/>
                </w:tcPr>
                <w:p w14:paraId="4CB35966">
                  <w:pPr>
                    <w:spacing w:line="320" w:lineRule="exact"/>
                    <w:jc w:val="center"/>
                    <w:rPr>
                      <w:rFonts w:hint="default" w:ascii="Times New Roman" w:hAnsi="Times New Roman" w:eastAsia="宋体" w:cs="Times New Roman"/>
                      <w:color w:val="auto"/>
                      <w:spacing w:val="-10"/>
                      <w:sz w:val="18"/>
                      <w:szCs w:val="18"/>
                      <w:lang w:val="en-US" w:eastAsia="zh-CN"/>
                    </w:rPr>
                  </w:pPr>
                  <w:r>
                    <w:rPr>
                      <w:rFonts w:hint="eastAsia" w:ascii="Times New Roman" w:hAnsi="Times New Roman" w:eastAsia="宋体" w:cs="Times New Roman"/>
                      <w:color w:val="auto"/>
                      <w:spacing w:val="-10"/>
                      <w:sz w:val="18"/>
                      <w:szCs w:val="18"/>
                      <w:lang w:val="en-US" w:eastAsia="zh-CN"/>
                    </w:rPr>
                    <w:t>即用即买，厂区内不设成品油存储区，设备内最大存在量为</w:t>
                  </w:r>
                  <w:r>
                    <w:rPr>
                      <w:rFonts w:hint="eastAsia" w:cs="Times New Roman"/>
                      <w:color w:val="auto"/>
                      <w:spacing w:val="-10"/>
                      <w:sz w:val="18"/>
                      <w:szCs w:val="18"/>
                      <w:lang w:val="en-US" w:eastAsia="zh-CN"/>
                    </w:rPr>
                    <w:t>0.2</w:t>
                  </w:r>
                  <w:r>
                    <w:rPr>
                      <w:rFonts w:hint="eastAsia" w:ascii="Times New Roman" w:hAnsi="Times New Roman" w:eastAsia="宋体" w:cs="Times New Roman"/>
                      <w:color w:val="auto"/>
                      <w:spacing w:val="-10"/>
                      <w:sz w:val="18"/>
                      <w:szCs w:val="18"/>
                      <w:lang w:val="en-US" w:eastAsia="zh-CN"/>
                    </w:rPr>
                    <w:t>t</w:t>
                  </w:r>
                </w:p>
              </w:tc>
              <w:tc>
                <w:tcPr>
                  <w:tcW w:w="1161" w:type="pct"/>
                  <w:noWrap w:val="0"/>
                  <w:vAlign w:val="center"/>
                </w:tcPr>
                <w:p w14:paraId="3E15298E">
                  <w:pPr>
                    <w:spacing w:line="320" w:lineRule="exact"/>
                    <w:jc w:val="center"/>
                    <w:rPr>
                      <w:rFonts w:hint="eastAsia" w:ascii="Times New Roman" w:hAnsi="Times New Roman" w:eastAsia="宋体" w:cs="Times New Roman"/>
                      <w:color w:val="auto"/>
                      <w:spacing w:val="-10"/>
                      <w:sz w:val="18"/>
                      <w:szCs w:val="18"/>
                      <w:lang w:val="en-US" w:eastAsia="zh-CN"/>
                    </w:rPr>
                  </w:pPr>
                  <w:r>
                    <w:rPr>
                      <w:rFonts w:hint="eastAsia" w:ascii="Times New Roman" w:hAnsi="Times New Roman" w:eastAsia="宋体" w:cs="Times New Roman"/>
                      <w:color w:val="auto"/>
                      <w:spacing w:val="-10"/>
                      <w:sz w:val="18"/>
                      <w:szCs w:val="18"/>
                      <w:lang w:val="en-US" w:eastAsia="zh-CN"/>
                    </w:rPr>
                    <w:t>涉及危险物质使用</w:t>
                  </w:r>
                </w:p>
              </w:tc>
            </w:tr>
            <w:tr w14:paraId="4ED6564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140" w:hRule="atLeast"/>
                <w:jc w:val="center"/>
              </w:trPr>
              <w:tc>
                <w:tcPr>
                  <w:tcW w:w="278" w:type="pct"/>
                  <w:noWrap w:val="0"/>
                  <w:vAlign w:val="center"/>
                </w:tcPr>
                <w:p w14:paraId="4B8BC28E">
                  <w:pPr>
                    <w:spacing w:line="320" w:lineRule="exact"/>
                    <w:jc w:val="center"/>
                    <w:rPr>
                      <w:rFonts w:hint="default" w:ascii="Times New Roman" w:hAnsi="Times New Roman" w:eastAsia="宋体" w:cs="Times New Roman"/>
                      <w:color w:val="auto"/>
                      <w:spacing w:val="-10"/>
                      <w:sz w:val="18"/>
                      <w:szCs w:val="18"/>
                      <w:lang w:val="en-US" w:eastAsia="zh-CN"/>
                    </w:rPr>
                  </w:pPr>
                  <w:r>
                    <w:rPr>
                      <w:rFonts w:hint="eastAsia" w:cs="Times New Roman"/>
                      <w:color w:val="auto"/>
                      <w:spacing w:val="-10"/>
                      <w:sz w:val="18"/>
                      <w:szCs w:val="18"/>
                      <w:lang w:val="en-US" w:eastAsia="zh-CN"/>
                    </w:rPr>
                    <w:t>2</w:t>
                  </w:r>
                </w:p>
              </w:tc>
              <w:tc>
                <w:tcPr>
                  <w:tcW w:w="805" w:type="pct"/>
                  <w:noWrap w:val="0"/>
                  <w:vAlign w:val="center"/>
                </w:tcPr>
                <w:p w14:paraId="1558CA2F">
                  <w:pPr>
                    <w:spacing w:line="320" w:lineRule="exact"/>
                    <w:jc w:val="center"/>
                    <w:rPr>
                      <w:rFonts w:hint="default" w:ascii="Times New Roman" w:hAnsi="Times New Roman" w:eastAsia="宋体" w:cs="Times New Roman"/>
                      <w:color w:val="auto"/>
                      <w:spacing w:val="-10"/>
                      <w:sz w:val="18"/>
                      <w:szCs w:val="18"/>
                      <w:lang w:val="en-US" w:eastAsia="zh-CN"/>
                    </w:rPr>
                  </w:pPr>
                  <w:r>
                    <w:rPr>
                      <w:rFonts w:hint="eastAsia" w:cs="Times New Roman"/>
                      <w:color w:val="auto"/>
                      <w:spacing w:val="-10"/>
                      <w:sz w:val="18"/>
                      <w:szCs w:val="18"/>
                      <w:lang w:val="en-US" w:eastAsia="zh-CN"/>
                    </w:rPr>
                    <w:t>液压油</w:t>
                  </w:r>
                </w:p>
              </w:tc>
              <w:tc>
                <w:tcPr>
                  <w:tcW w:w="924" w:type="pct"/>
                  <w:noWrap w:val="0"/>
                  <w:vAlign w:val="center"/>
                </w:tcPr>
                <w:p w14:paraId="4CF25AEF">
                  <w:pPr>
                    <w:spacing w:line="320" w:lineRule="exact"/>
                    <w:jc w:val="center"/>
                    <w:rPr>
                      <w:rFonts w:hint="default" w:ascii="Times New Roman" w:hAnsi="Times New Roman" w:eastAsia="宋体" w:cs="Times New Roman"/>
                      <w:color w:val="auto"/>
                      <w:spacing w:val="-10"/>
                      <w:sz w:val="18"/>
                      <w:szCs w:val="18"/>
                      <w:lang w:val="en-US" w:eastAsia="zh-CN"/>
                    </w:rPr>
                  </w:pPr>
                  <w:r>
                    <w:rPr>
                      <w:rFonts w:hint="eastAsia" w:ascii="Times New Roman" w:hAnsi="Times New Roman" w:eastAsia="宋体" w:cs="Times New Roman"/>
                      <w:color w:val="auto"/>
                      <w:spacing w:val="-10"/>
                      <w:sz w:val="18"/>
                      <w:szCs w:val="18"/>
                      <w:lang w:val="en-US" w:eastAsia="zh-CN"/>
                    </w:rPr>
                    <w:t>生产作业区</w:t>
                  </w:r>
                </w:p>
              </w:tc>
              <w:tc>
                <w:tcPr>
                  <w:tcW w:w="1830" w:type="pct"/>
                  <w:noWrap w:val="0"/>
                  <w:vAlign w:val="center"/>
                </w:tcPr>
                <w:p w14:paraId="02E13BB3">
                  <w:pPr>
                    <w:spacing w:line="320" w:lineRule="exact"/>
                    <w:jc w:val="center"/>
                    <w:rPr>
                      <w:rFonts w:hint="eastAsia" w:ascii="Times New Roman" w:hAnsi="Times New Roman" w:eastAsia="宋体" w:cs="Times New Roman"/>
                      <w:color w:val="auto"/>
                      <w:spacing w:val="-10"/>
                      <w:kern w:val="2"/>
                      <w:sz w:val="18"/>
                      <w:szCs w:val="18"/>
                      <w:lang w:val="en-US" w:eastAsia="zh-CN" w:bidi="ar-SA"/>
                    </w:rPr>
                  </w:pPr>
                  <w:r>
                    <w:rPr>
                      <w:rFonts w:hint="eastAsia" w:ascii="Times New Roman" w:hAnsi="Times New Roman" w:eastAsia="宋体" w:cs="Times New Roman"/>
                      <w:color w:val="auto"/>
                      <w:spacing w:val="-10"/>
                      <w:sz w:val="18"/>
                      <w:szCs w:val="18"/>
                      <w:lang w:val="en-US" w:eastAsia="zh-CN"/>
                    </w:rPr>
                    <w:t>即用即买，厂区内不设成品油存储区，设备内最大存在量为</w:t>
                  </w:r>
                  <w:r>
                    <w:rPr>
                      <w:rFonts w:hint="eastAsia" w:cs="Times New Roman"/>
                      <w:color w:val="auto"/>
                      <w:spacing w:val="-10"/>
                      <w:sz w:val="18"/>
                      <w:szCs w:val="18"/>
                      <w:lang w:val="en-US" w:eastAsia="zh-CN"/>
                    </w:rPr>
                    <w:t>0.2</w:t>
                  </w:r>
                  <w:r>
                    <w:rPr>
                      <w:rFonts w:hint="eastAsia" w:ascii="Times New Roman" w:hAnsi="Times New Roman" w:eastAsia="宋体" w:cs="Times New Roman"/>
                      <w:color w:val="auto"/>
                      <w:spacing w:val="-10"/>
                      <w:sz w:val="18"/>
                      <w:szCs w:val="18"/>
                      <w:lang w:val="en-US" w:eastAsia="zh-CN"/>
                    </w:rPr>
                    <w:t>t</w:t>
                  </w:r>
                </w:p>
              </w:tc>
              <w:tc>
                <w:tcPr>
                  <w:tcW w:w="1161" w:type="pct"/>
                  <w:noWrap w:val="0"/>
                  <w:vAlign w:val="center"/>
                </w:tcPr>
                <w:p w14:paraId="597E8413">
                  <w:pPr>
                    <w:spacing w:line="320" w:lineRule="exact"/>
                    <w:jc w:val="center"/>
                    <w:rPr>
                      <w:rFonts w:hint="eastAsia" w:ascii="Times New Roman" w:hAnsi="Times New Roman" w:eastAsia="宋体" w:cs="Times New Roman"/>
                      <w:color w:val="auto"/>
                      <w:spacing w:val="-10"/>
                      <w:kern w:val="2"/>
                      <w:sz w:val="18"/>
                      <w:szCs w:val="18"/>
                      <w:lang w:val="en-US" w:eastAsia="zh-CN" w:bidi="ar-SA"/>
                    </w:rPr>
                  </w:pPr>
                  <w:r>
                    <w:rPr>
                      <w:rFonts w:hint="eastAsia" w:ascii="Times New Roman" w:hAnsi="Times New Roman" w:eastAsia="宋体" w:cs="Times New Roman"/>
                      <w:color w:val="auto"/>
                      <w:spacing w:val="-10"/>
                      <w:sz w:val="18"/>
                      <w:szCs w:val="18"/>
                      <w:lang w:val="en-US" w:eastAsia="zh-CN"/>
                    </w:rPr>
                    <w:t>涉及危险物质使用</w:t>
                  </w:r>
                </w:p>
              </w:tc>
            </w:tr>
            <w:tr w14:paraId="5C05841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278" w:type="pct"/>
                  <w:noWrap w:val="0"/>
                  <w:vAlign w:val="center"/>
                </w:tcPr>
                <w:p w14:paraId="5E931307">
                  <w:pPr>
                    <w:spacing w:line="320" w:lineRule="exact"/>
                    <w:jc w:val="center"/>
                    <w:rPr>
                      <w:rFonts w:hint="eastAsia" w:ascii="Times New Roman" w:hAnsi="Times New Roman" w:eastAsia="宋体" w:cs="Times New Roman"/>
                      <w:color w:val="auto"/>
                      <w:spacing w:val="-10"/>
                      <w:sz w:val="18"/>
                      <w:szCs w:val="18"/>
                      <w:lang w:val="en-US" w:eastAsia="zh-CN"/>
                    </w:rPr>
                  </w:pPr>
                  <w:r>
                    <w:rPr>
                      <w:rFonts w:hint="eastAsia" w:cs="Times New Roman"/>
                      <w:color w:val="auto"/>
                      <w:spacing w:val="-10"/>
                      <w:sz w:val="18"/>
                      <w:szCs w:val="18"/>
                      <w:lang w:val="en-US" w:eastAsia="zh-CN"/>
                    </w:rPr>
                    <w:t>3</w:t>
                  </w:r>
                </w:p>
              </w:tc>
              <w:tc>
                <w:tcPr>
                  <w:tcW w:w="805" w:type="pct"/>
                  <w:noWrap w:val="0"/>
                  <w:vAlign w:val="center"/>
                </w:tcPr>
                <w:p w14:paraId="1ED7E51C">
                  <w:pPr>
                    <w:spacing w:line="320" w:lineRule="exact"/>
                    <w:jc w:val="center"/>
                    <w:rPr>
                      <w:rFonts w:hint="eastAsia" w:ascii="Times New Roman" w:hAnsi="Times New Roman" w:eastAsia="宋体" w:cs="Times New Roman"/>
                      <w:color w:val="auto"/>
                      <w:spacing w:val="-10"/>
                      <w:sz w:val="18"/>
                      <w:szCs w:val="18"/>
                      <w:lang w:val="en-US" w:eastAsia="zh-CN"/>
                    </w:rPr>
                  </w:pPr>
                  <w:r>
                    <w:rPr>
                      <w:rFonts w:hint="eastAsia" w:ascii="Times New Roman" w:hAnsi="Times New Roman" w:eastAsia="宋体" w:cs="Times New Roman"/>
                      <w:color w:val="auto"/>
                      <w:spacing w:val="-10"/>
                      <w:sz w:val="18"/>
                      <w:szCs w:val="18"/>
                      <w:lang w:val="en-US" w:eastAsia="zh-CN"/>
                    </w:rPr>
                    <w:t>废润滑油</w:t>
                  </w:r>
                </w:p>
              </w:tc>
              <w:tc>
                <w:tcPr>
                  <w:tcW w:w="924" w:type="pct"/>
                  <w:noWrap w:val="0"/>
                  <w:vAlign w:val="center"/>
                </w:tcPr>
                <w:p w14:paraId="139472F2">
                  <w:pPr>
                    <w:spacing w:line="320" w:lineRule="exact"/>
                    <w:jc w:val="center"/>
                    <w:rPr>
                      <w:rFonts w:hint="default" w:ascii="Times New Roman" w:hAnsi="Times New Roman" w:eastAsia="宋体" w:cs="Times New Roman"/>
                      <w:color w:val="auto"/>
                      <w:spacing w:val="-10"/>
                      <w:sz w:val="18"/>
                      <w:szCs w:val="18"/>
                      <w:lang w:val="en-US" w:eastAsia="zh-CN"/>
                    </w:rPr>
                  </w:pPr>
                  <w:r>
                    <w:rPr>
                      <w:rFonts w:hint="eastAsia" w:cs="Times New Roman"/>
                      <w:color w:val="auto"/>
                      <w:spacing w:val="-10"/>
                      <w:sz w:val="18"/>
                      <w:szCs w:val="18"/>
                      <w:lang w:val="en-US" w:eastAsia="zh-CN"/>
                    </w:rPr>
                    <w:t>危险废物暂存间</w:t>
                  </w:r>
                </w:p>
              </w:tc>
              <w:tc>
                <w:tcPr>
                  <w:tcW w:w="1830" w:type="pct"/>
                  <w:noWrap w:val="0"/>
                  <w:vAlign w:val="center"/>
                </w:tcPr>
                <w:p w14:paraId="10A9C356">
                  <w:pPr>
                    <w:spacing w:line="320" w:lineRule="exact"/>
                    <w:jc w:val="center"/>
                    <w:rPr>
                      <w:rFonts w:hint="default" w:ascii="Times New Roman" w:hAnsi="Times New Roman" w:eastAsia="宋体" w:cs="Times New Roman"/>
                      <w:color w:val="auto"/>
                      <w:spacing w:val="-10"/>
                      <w:sz w:val="18"/>
                      <w:szCs w:val="18"/>
                      <w:lang w:val="en-US" w:eastAsia="zh-CN"/>
                    </w:rPr>
                  </w:pPr>
                  <w:r>
                    <w:rPr>
                      <w:rFonts w:hint="eastAsia" w:ascii="Times New Roman" w:hAnsi="Times New Roman" w:eastAsia="宋体" w:cs="Times New Roman"/>
                      <w:color w:val="auto"/>
                      <w:spacing w:val="-10"/>
                      <w:sz w:val="18"/>
                      <w:szCs w:val="18"/>
                      <w:lang w:val="en-US" w:eastAsia="zh-CN"/>
                    </w:rPr>
                    <w:t>暂存于危险废物，最大存储量为</w:t>
                  </w:r>
                  <w:r>
                    <w:rPr>
                      <w:rFonts w:hint="eastAsia" w:cs="Times New Roman"/>
                      <w:color w:val="auto"/>
                      <w:spacing w:val="-10"/>
                      <w:sz w:val="18"/>
                      <w:szCs w:val="18"/>
                      <w:lang w:val="en-US" w:eastAsia="zh-CN"/>
                    </w:rPr>
                    <w:t>0.08</w:t>
                  </w:r>
                  <w:r>
                    <w:rPr>
                      <w:rFonts w:hint="eastAsia" w:ascii="Times New Roman" w:hAnsi="Times New Roman" w:eastAsia="宋体" w:cs="Times New Roman"/>
                      <w:color w:val="auto"/>
                      <w:spacing w:val="-10"/>
                      <w:sz w:val="18"/>
                      <w:szCs w:val="18"/>
                      <w:lang w:val="en-US" w:eastAsia="zh-CN"/>
                    </w:rPr>
                    <w:t>t</w:t>
                  </w:r>
                </w:p>
              </w:tc>
              <w:tc>
                <w:tcPr>
                  <w:tcW w:w="1161" w:type="pct"/>
                  <w:noWrap w:val="0"/>
                  <w:vAlign w:val="center"/>
                </w:tcPr>
                <w:p w14:paraId="08A242F3">
                  <w:pPr>
                    <w:spacing w:line="320" w:lineRule="exact"/>
                    <w:jc w:val="center"/>
                    <w:rPr>
                      <w:rFonts w:hint="eastAsia" w:ascii="Times New Roman" w:hAnsi="Times New Roman" w:eastAsia="宋体" w:cs="Times New Roman"/>
                      <w:color w:val="auto"/>
                      <w:spacing w:val="-10"/>
                      <w:sz w:val="18"/>
                      <w:szCs w:val="18"/>
                      <w:lang w:val="en-US" w:eastAsia="zh-CN"/>
                    </w:rPr>
                  </w:pPr>
                  <w:r>
                    <w:rPr>
                      <w:rFonts w:hint="eastAsia" w:ascii="Times New Roman" w:hAnsi="Times New Roman" w:eastAsia="宋体" w:cs="Times New Roman"/>
                      <w:color w:val="auto"/>
                      <w:spacing w:val="-10"/>
                      <w:sz w:val="18"/>
                      <w:szCs w:val="18"/>
                      <w:lang w:val="en-US" w:eastAsia="zh-CN"/>
                    </w:rPr>
                    <w:t>涉及危险物质使用</w:t>
                  </w:r>
                </w:p>
              </w:tc>
            </w:tr>
            <w:tr w14:paraId="0D2FAD2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278" w:type="pct"/>
                  <w:noWrap w:val="0"/>
                  <w:vAlign w:val="center"/>
                </w:tcPr>
                <w:p w14:paraId="34C0631D">
                  <w:pPr>
                    <w:spacing w:line="320" w:lineRule="exact"/>
                    <w:jc w:val="center"/>
                    <w:rPr>
                      <w:rFonts w:hint="default" w:ascii="Times New Roman" w:hAnsi="Times New Roman" w:eastAsia="宋体" w:cs="Times New Roman"/>
                      <w:color w:val="auto"/>
                      <w:spacing w:val="-10"/>
                      <w:sz w:val="18"/>
                      <w:szCs w:val="18"/>
                      <w:lang w:val="en-US" w:eastAsia="zh-CN"/>
                    </w:rPr>
                  </w:pPr>
                  <w:r>
                    <w:rPr>
                      <w:rFonts w:hint="eastAsia" w:cs="Times New Roman"/>
                      <w:color w:val="auto"/>
                      <w:spacing w:val="-10"/>
                      <w:sz w:val="18"/>
                      <w:szCs w:val="18"/>
                      <w:lang w:val="en-US" w:eastAsia="zh-CN"/>
                    </w:rPr>
                    <w:t>4</w:t>
                  </w:r>
                </w:p>
              </w:tc>
              <w:tc>
                <w:tcPr>
                  <w:tcW w:w="805" w:type="pct"/>
                  <w:noWrap w:val="0"/>
                  <w:vAlign w:val="center"/>
                </w:tcPr>
                <w:p w14:paraId="498EDD01">
                  <w:pPr>
                    <w:spacing w:line="320" w:lineRule="exact"/>
                    <w:jc w:val="center"/>
                    <w:rPr>
                      <w:rFonts w:hint="eastAsia" w:ascii="Times New Roman" w:hAnsi="Times New Roman" w:eastAsia="宋体" w:cs="Times New Roman"/>
                      <w:color w:val="auto"/>
                      <w:spacing w:val="-10"/>
                      <w:sz w:val="18"/>
                      <w:szCs w:val="18"/>
                      <w:lang w:val="en-US" w:eastAsia="zh-CN"/>
                    </w:rPr>
                  </w:pPr>
                  <w:r>
                    <w:rPr>
                      <w:rFonts w:hint="eastAsia" w:ascii="Times New Roman" w:hAnsi="Times New Roman" w:eastAsia="宋体" w:cs="Times New Roman"/>
                      <w:color w:val="auto"/>
                      <w:spacing w:val="-10"/>
                      <w:sz w:val="18"/>
                      <w:szCs w:val="18"/>
                      <w:lang w:val="en-US" w:eastAsia="zh-CN"/>
                    </w:rPr>
                    <w:t>废</w:t>
                  </w:r>
                  <w:r>
                    <w:rPr>
                      <w:rFonts w:hint="eastAsia" w:cs="Times New Roman"/>
                      <w:color w:val="auto"/>
                      <w:spacing w:val="-10"/>
                      <w:sz w:val="18"/>
                      <w:szCs w:val="18"/>
                      <w:lang w:val="en-US" w:eastAsia="zh-CN"/>
                    </w:rPr>
                    <w:t>液压油</w:t>
                  </w:r>
                </w:p>
              </w:tc>
              <w:tc>
                <w:tcPr>
                  <w:tcW w:w="924" w:type="pct"/>
                  <w:noWrap w:val="0"/>
                  <w:vAlign w:val="center"/>
                </w:tcPr>
                <w:p w14:paraId="509DA2A3">
                  <w:pPr>
                    <w:spacing w:line="320" w:lineRule="exact"/>
                    <w:jc w:val="center"/>
                    <w:rPr>
                      <w:rFonts w:hint="eastAsia" w:ascii="Times New Roman" w:hAnsi="Times New Roman" w:eastAsia="宋体" w:cs="Times New Roman"/>
                      <w:color w:val="auto"/>
                      <w:spacing w:val="-10"/>
                      <w:sz w:val="18"/>
                      <w:szCs w:val="18"/>
                      <w:lang w:val="en-US" w:eastAsia="zh-CN"/>
                    </w:rPr>
                  </w:pPr>
                  <w:r>
                    <w:rPr>
                      <w:rFonts w:hint="eastAsia" w:cs="Times New Roman"/>
                      <w:color w:val="auto"/>
                      <w:spacing w:val="-10"/>
                      <w:sz w:val="18"/>
                      <w:szCs w:val="18"/>
                      <w:lang w:val="en-US" w:eastAsia="zh-CN"/>
                    </w:rPr>
                    <w:t>危险废物暂存间</w:t>
                  </w:r>
                </w:p>
              </w:tc>
              <w:tc>
                <w:tcPr>
                  <w:tcW w:w="1830" w:type="pct"/>
                  <w:noWrap w:val="0"/>
                  <w:vAlign w:val="center"/>
                </w:tcPr>
                <w:p w14:paraId="3AF25F20">
                  <w:pPr>
                    <w:spacing w:line="320" w:lineRule="exact"/>
                    <w:jc w:val="center"/>
                    <w:rPr>
                      <w:rFonts w:hint="eastAsia" w:ascii="Times New Roman" w:hAnsi="Times New Roman" w:eastAsia="宋体" w:cs="Times New Roman"/>
                      <w:color w:val="auto"/>
                      <w:spacing w:val="-10"/>
                      <w:sz w:val="18"/>
                      <w:szCs w:val="18"/>
                      <w:lang w:val="en-US" w:eastAsia="zh-CN"/>
                    </w:rPr>
                  </w:pPr>
                  <w:r>
                    <w:rPr>
                      <w:rFonts w:hint="eastAsia" w:ascii="Times New Roman" w:hAnsi="Times New Roman" w:eastAsia="宋体" w:cs="Times New Roman"/>
                      <w:color w:val="auto"/>
                      <w:spacing w:val="-10"/>
                      <w:sz w:val="18"/>
                      <w:szCs w:val="18"/>
                      <w:lang w:val="en-US" w:eastAsia="zh-CN"/>
                    </w:rPr>
                    <w:t>暂存于危险废物，最大存储量为</w:t>
                  </w:r>
                  <w:r>
                    <w:rPr>
                      <w:rFonts w:hint="eastAsia" w:cs="Times New Roman"/>
                      <w:color w:val="auto"/>
                      <w:spacing w:val="-10"/>
                      <w:sz w:val="18"/>
                      <w:szCs w:val="18"/>
                      <w:lang w:val="en-US" w:eastAsia="zh-CN"/>
                    </w:rPr>
                    <w:t>0.12</w:t>
                  </w:r>
                  <w:r>
                    <w:rPr>
                      <w:rFonts w:hint="eastAsia" w:ascii="Times New Roman" w:hAnsi="Times New Roman" w:eastAsia="宋体" w:cs="Times New Roman"/>
                      <w:color w:val="auto"/>
                      <w:spacing w:val="-10"/>
                      <w:sz w:val="18"/>
                      <w:szCs w:val="18"/>
                      <w:lang w:val="en-US" w:eastAsia="zh-CN"/>
                    </w:rPr>
                    <w:t>t</w:t>
                  </w:r>
                </w:p>
              </w:tc>
              <w:tc>
                <w:tcPr>
                  <w:tcW w:w="1161" w:type="pct"/>
                  <w:noWrap w:val="0"/>
                  <w:vAlign w:val="center"/>
                </w:tcPr>
                <w:p w14:paraId="6850A360">
                  <w:pPr>
                    <w:spacing w:line="320" w:lineRule="exact"/>
                    <w:jc w:val="center"/>
                    <w:rPr>
                      <w:rFonts w:hint="eastAsia" w:ascii="Times New Roman" w:hAnsi="Times New Roman" w:eastAsia="宋体" w:cs="Times New Roman"/>
                      <w:color w:val="auto"/>
                      <w:spacing w:val="-10"/>
                      <w:sz w:val="18"/>
                      <w:szCs w:val="18"/>
                      <w:lang w:val="en-US" w:eastAsia="zh-CN"/>
                    </w:rPr>
                  </w:pPr>
                  <w:r>
                    <w:rPr>
                      <w:rFonts w:hint="eastAsia" w:ascii="Times New Roman" w:hAnsi="Times New Roman" w:eastAsia="宋体" w:cs="Times New Roman"/>
                      <w:color w:val="auto"/>
                      <w:spacing w:val="-10"/>
                      <w:sz w:val="18"/>
                      <w:szCs w:val="18"/>
                      <w:lang w:val="en-US" w:eastAsia="zh-CN"/>
                    </w:rPr>
                    <w:t>涉及危险物质使用</w:t>
                  </w:r>
                </w:p>
              </w:tc>
            </w:tr>
            <w:tr w14:paraId="324F3F9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278" w:type="pct"/>
                  <w:noWrap w:val="0"/>
                  <w:vAlign w:val="center"/>
                </w:tcPr>
                <w:p w14:paraId="2A9019AA">
                  <w:pPr>
                    <w:spacing w:line="320" w:lineRule="exact"/>
                    <w:jc w:val="center"/>
                    <w:rPr>
                      <w:rFonts w:hint="default" w:cs="Times New Roman"/>
                      <w:color w:val="auto"/>
                      <w:spacing w:val="-10"/>
                      <w:sz w:val="18"/>
                      <w:szCs w:val="18"/>
                      <w:lang w:val="en-US" w:eastAsia="zh-CN"/>
                    </w:rPr>
                  </w:pPr>
                  <w:r>
                    <w:rPr>
                      <w:rFonts w:hint="eastAsia" w:cs="Times New Roman"/>
                      <w:color w:val="auto"/>
                      <w:spacing w:val="-10"/>
                      <w:sz w:val="18"/>
                      <w:szCs w:val="18"/>
                      <w:lang w:val="en-US" w:eastAsia="zh-CN"/>
                    </w:rPr>
                    <w:t>5</w:t>
                  </w:r>
                </w:p>
              </w:tc>
              <w:tc>
                <w:tcPr>
                  <w:tcW w:w="805" w:type="pct"/>
                  <w:shd w:val="clear" w:color="auto" w:fill="auto"/>
                  <w:noWrap w:val="0"/>
                  <w:vAlign w:val="center"/>
                </w:tcPr>
                <w:p w14:paraId="05515F67">
                  <w:pPr>
                    <w:spacing w:line="320" w:lineRule="exact"/>
                    <w:jc w:val="center"/>
                    <w:rPr>
                      <w:rFonts w:hint="eastAsia" w:ascii="Times New Roman" w:hAnsi="Times New Roman" w:eastAsia="宋体" w:cs="Times New Roman"/>
                      <w:color w:val="auto"/>
                      <w:spacing w:val="-10"/>
                      <w:kern w:val="2"/>
                      <w:sz w:val="18"/>
                      <w:szCs w:val="18"/>
                      <w:lang w:val="en-US" w:eastAsia="zh-CN" w:bidi="ar-SA"/>
                    </w:rPr>
                  </w:pPr>
                  <w:r>
                    <w:rPr>
                      <w:rFonts w:hint="eastAsia" w:cs="Times New Roman"/>
                      <w:color w:val="auto"/>
                      <w:spacing w:val="-10"/>
                      <w:sz w:val="18"/>
                      <w:szCs w:val="18"/>
                      <w:lang w:val="en-US" w:eastAsia="zh-CN"/>
                    </w:rPr>
                    <w:t>废油桶</w:t>
                  </w:r>
                </w:p>
              </w:tc>
              <w:tc>
                <w:tcPr>
                  <w:tcW w:w="924" w:type="pct"/>
                  <w:shd w:val="clear" w:color="auto" w:fill="auto"/>
                  <w:noWrap w:val="0"/>
                  <w:vAlign w:val="center"/>
                </w:tcPr>
                <w:p w14:paraId="33695E9F">
                  <w:pPr>
                    <w:spacing w:line="320" w:lineRule="exact"/>
                    <w:jc w:val="center"/>
                    <w:rPr>
                      <w:rFonts w:hint="eastAsia" w:ascii="Times New Roman" w:hAnsi="Times New Roman" w:eastAsia="宋体" w:cs="Times New Roman"/>
                      <w:color w:val="auto"/>
                      <w:spacing w:val="-10"/>
                      <w:kern w:val="2"/>
                      <w:sz w:val="18"/>
                      <w:szCs w:val="18"/>
                      <w:lang w:val="en-US" w:eastAsia="zh-CN" w:bidi="ar-SA"/>
                    </w:rPr>
                  </w:pPr>
                  <w:r>
                    <w:rPr>
                      <w:rFonts w:hint="eastAsia" w:cs="Times New Roman"/>
                      <w:color w:val="auto"/>
                      <w:spacing w:val="-10"/>
                      <w:sz w:val="18"/>
                      <w:szCs w:val="18"/>
                      <w:lang w:val="en-US" w:eastAsia="zh-CN"/>
                    </w:rPr>
                    <w:t>危险废物暂存间</w:t>
                  </w:r>
                </w:p>
              </w:tc>
              <w:tc>
                <w:tcPr>
                  <w:tcW w:w="1830" w:type="pct"/>
                  <w:shd w:val="clear" w:color="auto" w:fill="auto"/>
                  <w:noWrap w:val="0"/>
                  <w:vAlign w:val="center"/>
                </w:tcPr>
                <w:p w14:paraId="07FB8581">
                  <w:pPr>
                    <w:spacing w:line="320" w:lineRule="exact"/>
                    <w:jc w:val="center"/>
                    <w:rPr>
                      <w:rFonts w:hint="eastAsia" w:ascii="Times New Roman" w:hAnsi="Times New Roman" w:eastAsia="宋体" w:cs="Times New Roman"/>
                      <w:color w:val="auto"/>
                      <w:spacing w:val="-10"/>
                      <w:kern w:val="2"/>
                      <w:sz w:val="18"/>
                      <w:szCs w:val="18"/>
                      <w:lang w:val="en-US" w:eastAsia="zh-CN" w:bidi="ar-SA"/>
                    </w:rPr>
                  </w:pPr>
                  <w:r>
                    <w:rPr>
                      <w:rFonts w:hint="eastAsia" w:ascii="Times New Roman" w:hAnsi="Times New Roman" w:eastAsia="宋体" w:cs="Times New Roman"/>
                      <w:color w:val="auto"/>
                      <w:spacing w:val="-10"/>
                      <w:sz w:val="18"/>
                      <w:szCs w:val="18"/>
                      <w:lang w:val="en-US" w:eastAsia="zh-CN"/>
                    </w:rPr>
                    <w:t>暂存于危险废物</w:t>
                  </w:r>
                  <w:r>
                    <w:rPr>
                      <w:rFonts w:hint="eastAsia" w:cs="Times New Roman"/>
                      <w:color w:val="auto"/>
                      <w:spacing w:val="-10"/>
                      <w:sz w:val="18"/>
                      <w:szCs w:val="18"/>
                      <w:lang w:val="en-US" w:eastAsia="zh-CN"/>
                    </w:rPr>
                    <w:t>暂存间</w:t>
                  </w:r>
                  <w:r>
                    <w:rPr>
                      <w:rFonts w:hint="eastAsia" w:ascii="Times New Roman" w:hAnsi="Times New Roman" w:eastAsia="宋体" w:cs="Times New Roman"/>
                      <w:color w:val="auto"/>
                      <w:spacing w:val="-10"/>
                      <w:sz w:val="18"/>
                      <w:szCs w:val="18"/>
                      <w:lang w:val="en-US" w:eastAsia="zh-CN"/>
                    </w:rPr>
                    <w:t>，最大存储量为0.0</w:t>
                  </w:r>
                  <w:r>
                    <w:rPr>
                      <w:rFonts w:hint="eastAsia" w:cs="Times New Roman"/>
                      <w:color w:val="auto"/>
                      <w:spacing w:val="-10"/>
                      <w:sz w:val="18"/>
                      <w:szCs w:val="18"/>
                      <w:lang w:val="en-US" w:eastAsia="zh-CN"/>
                    </w:rPr>
                    <w:t>76</w:t>
                  </w:r>
                  <w:r>
                    <w:rPr>
                      <w:rFonts w:hint="eastAsia" w:ascii="Times New Roman" w:hAnsi="Times New Roman" w:eastAsia="宋体" w:cs="Times New Roman"/>
                      <w:color w:val="auto"/>
                      <w:spacing w:val="-10"/>
                      <w:sz w:val="18"/>
                      <w:szCs w:val="18"/>
                      <w:lang w:val="en-US" w:eastAsia="zh-CN"/>
                    </w:rPr>
                    <w:t>t</w:t>
                  </w:r>
                </w:p>
              </w:tc>
              <w:tc>
                <w:tcPr>
                  <w:tcW w:w="1161" w:type="pct"/>
                  <w:shd w:val="clear" w:color="auto" w:fill="auto"/>
                  <w:noWrap w:val="0"/>
                  <w:vAlign w:val="center"/>
                </w:tcPr>
                <w:p w14:paraId="529B550B">
                  <w:pPr>
                    <w:spacing w:line="320" w:lineRule="exact"/>
                    <w:jc w:val="center"/>
                    <w:rPr>
                      <w:rFonts w:hint="eastAsia" w:ascii="Times New Roman" w:hAnsi="Times New Roman" w:eastAsia="宋体" w:cs="Times New Roman"/>
                      <w:color w:val="auto"/>
                      <w:spacing w:val="-10"/>
                      <w:kern w:val="2"/>
                      <w:sz w:val="18"/>
                      <w:szCs w:val="18"/>
                      <w:lang w:val="en-US" w:eastAsia="zh-CN" w:bidi="ar-SA"/>
                    </w:rPr>
                  </w:pPr>
                  <w:r>
                    <w:rPr>
                      <w:rFonts w:hint="eastAsia" w:ascii="Times New Roman" w:hAnsi="Times New Roman" w:eastAsia="宋体" w:cs="Times New Roman"/>
                      <w:color w:val="auto"/>
                      <w:spacing w:val="-10"/>
                      <w:sz w:val="18"/>
                      <w:szCs w:val="18"/>
                      <w:lang w:val="en-US" w:eastAsia="zh-CN"/>
                    </w:rPr>
                    <w:t>涉及危险物质使用</w:t>
                  </w:r>
                </w:p>
              </w:tc>
            </w:tr>
          </w:tbl>
          <w:p w14:paraId="088A6BE8">
            <w:pPr>
              <w:spacing w:line="440" w:lineRule="exact"/>
              <w:ind w:firstLine="422" w:firstLineChars="200"/>
              <w:rPr>
                <w:rFonts w:hint="eastAsia" w:ascii="Times New Roman" w:hAnsi="Times New Roman" w:eastAsia="宋体" w:cs="Times New Roman"/>
                <w:b/>
                <w:bCs/>
                <w:color w:val="auto"/>
                <w:lang w:val="en-US" w:eastAsia="zh-CN"/>
              </w:rPr>
            </w:pPr>
            <w:r>
              <w:rPr>
                <w:rFonts w:hint="eastAsia"/>
                <w:b/>
                <w:bCs/>
                <w:color w:val="auto"/>
              </w:rPr>
              <w:t>7.</w:t>
            </w:r>
            <w:r>
              <w:rPr>
                <w:rFonts w:hint="eastAsia"/>
                <w:b/>
                <w:bCs/>
                <w:color w:val="auto"/>
                <w:lang w:val="en-US" w:eastAsia="zh-CN"/>
              </w:rPr>
              <w:t>2</w:t>
            </w:r>
            <w:r>
              <w:rPr>
                <w:rFonts w:hint="eastAsia" w:ascii="Times New Roman" w:hAnsi="Times New Roman" w:eastAsia="宋体" w:cs="Times New Roman"/>
                <w:b/>
                <w:bCs/>
                <w:color w:val="auto"/>
                <w:lang w:val="en-US" w:eastAsia="zh-CN"/>
              </w:rPr>
              <w:t>危险物质数量与临界量比值(Q)</w:t>
            </w:r>
          </w:p>
          <w:p w14:paraId="12BDEE5F">
            <w:pPr>
              <w:spacing w:line="440" w:lineRule="exact"/>
              <w:ind w:firstLine="420" w:firstLineChars="200"/>
              <w:rPr>
                <w:rFonts w:hint="eastAsia" w:ascii="Times New Roman" w:hAnsi="Times New Roman" w:eastAsia="宋体" w:cs="Times New Roman"/>
                <w:color w:val="auto"/>
                <w:szCs w:val="21"/>
              </w:rPr>
            </w:pPr>
            <w:r>
              <w:rPr>
                <w:rFonts w:hint="eastAsia" w:ascii="Times New Roman" w:hAnsi="Times New Roman" w:eastAsia="宋体" w:cs="Times New Roman"/>
                <w:color w:val="auto"/>
                <w:szCs w:val="21"/>
                <w:lang w:val="en-US" w:eastAsia="zh-CN"/>
              </w:rPr>
              <w:t>本项目成品油随买随换，因此项目厂区内不设成品油存储区，润滑油、液压油每年更换一次，生产作业区设备内润滑油最大存储量为0.2t、液压油最大存储量为0.2t；</w:t>
            </w:r>
            <w:r>
              <w:rPr>
                <w:rFonts w:hint="default" w:ascii="Times New Roman" w:hAnsi="Times New Roman" w:eastAsia="宋体" w:cs="Times New Roman"/>
                <w:color w:val="auto"/>
                <w:szCs w:val="21"/>
                <w:lang w:val="en-US" w:eastAsia="zh-CN"/>
              </w:rPr>
              <w:t>废润滑油</w:t>
            </w:r>
            <w:r>
              <w:rPr>
                <w:rFonts w:hint="eastAsia" w:ascii="Times New Roman" w:hAnsi="Times New Roman" w:eastAsia="宋体" w:cs="Times New Roman"/>
                <w:color w:val="auto"/>
                <w:szCs w:val="21"/>
                <w:lang w:val="en-US" w:eastAsia="zh-CN"/>
              </w:rPr>
              <w:t>、废</w:t>
            </w:r>
            <w:r>
              <w:rPr>
                <w:rFonts w:hint="eastAsia" w:cs="Times New Roman"/>
                <w:color w:val="auto"/>
                <w:szCs w:val="21"/>
                <w:lang w:val="en-US" w:eastAsia="zh-CN"/>
              </w:rPr>
              <w:t>液压</w:t>
            </w:r>
            <w:r>
              <w:rPr>
                <w:rFonts w:hint="eastAsia" w:ascii="Times New Roman" w:hAnsi="Times New Roman" w:eastAsia="宋体" w:cs="Times New Roman"/>
                <w:color w:val="auto"/>
                <w:szCs w:val="21"/>
                <w:lang w:val="en-US" w:eastAsia="zh-CN"/>
              </w:rPr>
              <w:t>油、废油桶暂存于危险废物暂存间</w:t>
            </w:r>
            <w:r>
              <w:rPr>
                <w:rFonts w:hint="eastAsia"/>
                <w:color w:val="auto"/>
                <w:szCs w:val="21"/>
                <w:lang w:eastAsia="zh-CN"/>
              </w:rPr>
              <w:t>，</w:t>
            </w:r>
            <w:r>
              <w:rPr>
                <w:rFonts w:hint="eastAsia"/>
                <w:color w:val="auto"/>
                <w:szCs w:val="21"/>
                <w:lang w:val="en-US" w:eastAsia="zh-CN"/>
              </w:rPr>
              <w:t>定期委托有资质单位进行处置</w:t>
            </w:r>
            <w:r>
              <w:rPr>
                <w:rFonts w:hint="eastAsia" w:ascii="Times New Roman" w:hAnsi="Times New Roman" w:eastAsia="宋体" w:cs="Times New Roman"/>
                <w:color w:val="auto"/>
                <w:szCs w:val="21"/>
                <w:lang w:val="en-US" w:eastAsia="zh-CN"/>
              </w:rPr>
              <w:t>。</w:t>
            </w:r>
            <w:r>
              <w:rPr>
                <w:rFonts w:hint="eastAsia" w:ascii="Times New Roman" w:hAnsi="Times New Roman" w:eastAsia="宋体" w:cs="Times New Roman"/>
                <w:color w:val="auto"/>
                <w:szCs w:val="21"/>
              </w:rPr>
              <w:t>本项目危险物质数量与临界量比值Q见下表。</w:t>
            </w:r>
          </w:p>
          <w:p w14:paraId="36DB8949">
            <w:pPr>
              <w:spacing w:line="460" w:lineRule="exact"/>
              <w:jc w:val="center"/>
              <w:rPr>
                <w:rFonts w:hint="eastAsia" w:ascii="Times New Roman" w:hAnsi="Times New Roman" w:eastAsia="宋体" w:cs="Times New Roman"/>
                <w:b/>
                <w:bCs/>
                <w:color w:val="auto"/>
              </w:rPr>
            </w:pPr>
            <w:r>
              <w:rPr>
                <w:rFonts w:hint="eastAsia" w:ascii="Times New Roman" w:hAnsi="Times New Roman" w:eastAsia="宋体" w:cs="Times New Roman"/>
                <w:b/>
                <w:bCs/>
                <w:color w:val="auto"/>
              </w:rPr>
              <w:t>表</w:t>
            </w:r>
            <w:r>
              <w:rPr>
                <w:rFonts w:hint="eastAsia" w:cs="Times New Roman"/>
                <w:b/>
                <w:bCs/>
                <w:color w:val="auto"/>
                <w:lang w:val="en-US" w:eastAsia="zh-CN"/>
              </w:rPr>
              <w:t>48</w:t>
            </w:r>
            <w:r>
              <w:rPr>
                <w:rFonts w:hint="eastAsia" w:ascii="Times New Roman" w:hAnsi="Times New Roman" w:eastAsia="宋体" w:cs="Times New Roman"/>
                <w:b/>
                <w:bCs/>
                <w:color w:val="auto"/>
                <w:lang w:val="en-US" w:eastAsia="zh-CN"/>
              </w:rPr>
              <w:t xml:space="preserve"> </w:t>
            </w:r>
            <w:r>
              <w:rPr>
                <w:rFonts w:hint="eastAsia" w:cs="Times New Roman"/>
                <w:b/>
                <w:bCs/>
                <w:color w:val="auto"/>
                <w:lang w:val="en-US" w:eastAsia="zh-CN"/>
              </w:rPr>
              <w:t>项目</w:t>
            </w:r>
            <w:r>
              <w:rPr>
                <w:rFonts w:hint="eastAsia" w:ascii="Times New Roman" w:hAnsi="Times New Roman" w:eastAsia="宋体" w:cs="Times New Roman"/>
                <w:b/>
                <w:bCs/>
                <w:color w:val="auto"/>
              </w:rPr>
              <w:t>危险物质数量与临界量比值一览表</w:t>
            </w:r>
          </w:p>
          <w:tbl>
            <w:tblPr>
              <w:tblStyle w:val="28"/>
              <w:tblW w:w="4996"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28" w:type="dxa"/>
                <w:bottom w:w="0" w:type="dxa"/>
                <w:right w:w="28" w:type="dxa"/>
              </w:tblCellMar>
            </w:tblPr>
            <w:tblGrid>
              <w:gridCol w:w="438"/>
              <w:gridCol w:w="1277"/>
              <w:gridCol w:w="1136"/>
              <w:gridCol w:w="1846"/>
              <w:gridCol w:w="1290"/>
              <w:gridCol w:w="1954"/>
            </w:tblGrid>
            <w:tr w14:paraId="3413288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84" w:hRule="atLeast"/>
                <w:jc w:val="center"/>
              </w:trPr>
              <w:tc>
                <w:tcPr>
                  <w:tcW w:w="275" w:type="pct"/>
                  <w:noWrap w:val="0"/>
                  <w:vAlign w:val="center"/>
                </w:tcPr>
                <w:p w14:paraId="3469D4DD">
                  <w:pPr>
                    <w:spacing w:line="320" w:lineRule="exact"/>
                    <w:jc w:val="center"/>
                    <w:rPr>
                      <w:rFonts w:hint="eastAsia" w:ascii="Times New Roman" w:hAnsi="Times New Roman" w:eastAsia="宋体" w:cs="Times New Roman"/>
                      <w:color w:val="auto"/>
                      <w:spacing w:val="-10"/>
                      <w:sz w:val="18"/>
                      <w:szCs w:val="18"/>
                      <w:lang w:val="en-US" w:eastAsia="zh-CN"/>
                    </w:rPr>
                  </w:pPr>
                  <w:r>
                    <w:rPr>
                      <w:rFonts w:hint="eastAsia" w:ascii="Times New Roman" w:hAnsi="Times New Roman" w:eastAsia="宋体" w:cs="Times New Roman"/>
                      <w:color w:val="auto"/>
                      <w:spacing w:val="-10"/>
                      <w:sz w:val="18"/>
                      <w:szCs w:val="18"/>
                      <w:lang w:val="en-US" w:eastAsia="zh-CN"/>
                    </w:rPr>
                    <w:t>序号</w:t>
                  </w:r>
                </w:p>
              </w:tc>
              <w:tc>
                <w:tcPr>
                  <w:tcW w:w="804" w:type="pct"/>
                  <w:noWrap w:val="0"/>
                  <w:vAlign w:val="center"/>
                </w:tcPr>
                <w:p w14:paraId="023A0D79">
                  <w:pPr>
                    <w:spacing w:line="320" w:lineRule="exact"/>
                    <w:jc w:val="center"/>
                    <w:rPr>
                      <w:rFonts w:hint="eastAsia" w:ascii="Times New Roman" w:hAnsi="Times New Roman" w:eastAsia="宋体" w:cs="Times New Roman"/>
                      <w:color w:val="auto"/>
                      <w:spacing w:val="-10"/>
                      <w:sz w:val="18"/>
                      <w:szCs w:val="18"/>
                      <w:lang w:val="en-US" w:eastAsia="zh-CN"/>
                    </w:rPr>
                  </w:pPr>
                  <w:r>
                    <w:rPr>
                      <w:rFonts w:hint="eastAsia" w:ascii="Times New Roman" w:hAnsi="Times New Roman" w:eastAsia="宋体" w:cs="Times New Roman"/>
                      <w:color w:val="auto"/>
                      <w:spacing w:val="-10"/>
                      <w:sz w:val="18"/>
                      <w:szCs w:val="18"/>
                      <w:lang w:val="en-US" w:eastAsia="zh-CN"/>
                    </w:rPr>
                    <w:t>危险物质名称</w:t>
                  </w:r>
                </w:p>
              </w:tc>
              <w:tc>
                <w:tcPr>
                  <w:tcW w:w="715" w:type="pct"/>
                  <w:noWrap w:val="0"/>
                  <w:vAlign w:val="center"/>
                </w:tcPr>
                <w:p w14:paraId="6AFD032D">
                  <w:pPr>
                    <w:spacing w:line="320" w:lineRule="exact"/>
                    <w:jc w:val="center"/>
                    <w:rPr>
                      <w:rFonts w:hint="eastAsia" w:ascii="Times New Roman" w:hAnsi="Times New Roman" w:eastAsia="宋体" w:cs="Times New Roman"/>
                      <w:color w:val="auto"/>
                      <w:spacing w:val="-10"/>
                      <w:sz w:val="18"/>
                      <w:szCs w:val="18"/>
                      <w:lang w:val="en-US" w:eastAsia="zh-CN"/>
                    </w:rPr>
                  </w:pPr>
                  <w:r>
                    <w:rPr>
                      <w:rFonts w:hint="eastAsia" w:ascii="Times New Roman" w:hAnsi="Times New Roman" w:eastAsia="宋体" w:cs="Times New Roman"/>
                      <w:color w:val="auto"/>
                      <w:spacing w:val="-10"/>
                      <w:sz w:val="18"/>
                      <w:szCs w:val="18"/>
                      <w:lang w:val="en-US" w:eastAsia="zh-CN"/>
                    </w:rPr>
                    <w:t>CAS号</w:t>
                  </w:r>
                </w:p>
              </w:tc>
              <w:tc>
                <w:tcPr>
                  <w:tcW w:w="1162" w:type="pct"/>
                  <w:noWrap w:val="0"/>
                  <w:vAlign w:val="center"/>
                </w:tcPr>
                <w:p w14:paraId="04A4CC0C">
                  <w:pPr>
                    <w:spacing w:line="320" w:lineRule="exact"/>
                    <w:jc w:val="center"/>
                    <w:rPr>
                      <w:rFonts w:hint="eastAsia" w:ascii="Times New Roman" w:hAnsi="Times New Roman" w:eastAsia="宋体" w:cs="Times New Roman"/>
                      <w:color w:val="auto"/>
                      <w:spacing w:val="-10"/>
                      <w:sz w:val="18"/>
                      <w:szCs w:val="18"/>
                      <w:lang w:val="en-US" w:eastAsia="zh-CN"/>
                    </w:rPr>
                  </w:pPr>
                  <w:r>
                    <w:rPr>
                      <w:rFonts w:hint="eastAsia" w:ascii="Times New Roman" w:hAnsi="Times New Roman" w:eastAsia="宋体" w:cs="Times New Roman"/>
                      <w:color w:val="auto"/>
                      <w:spacing w:val="-10"/>
                      <w:sz w:val="18"/>
                      <w:szCs w:val="18"/>
                      <w:lang w:val="en-US" w:eastAsia="zh-CN"/>
                    </w:rPr>
                    <w:t>最大存在总量qn(t)</w:t>
                  </w:r>
                </w:p>
              </w:tc>
              <w:tc>
                <w:tcPr>
                  <w:tcW w:w="812" w:type="pct"/>
                  <w:noWrap w:val="0"/>
                  <w:vAlign w:val="center"/>
                </w:tcPr>
                <w:p w14:paraId="0DBB56E1">
                  <w:pPr>
                    <w:spacing w:line="320" w:lineRule="exact"/>
                    <w:jc w:val="center"/>
                    <w:rPr>
                      <w:rFonts w:hint="eastAsia" w:ascii="Times New Roman" w:hAnsi="Times New Roman" w:eastAsia="宋体" w:cs="Times New Roman"/>
                      <w:color w:val="auto"/>
                      <w:spacing w:val="-10"/>
                      <w:sz w:val="18"/>
                      <w:szCs w:val="18"/>
                      <w:lang w:val="en-US" w:eastAsia="zh-CN"/>
                    </w:rPr>
                  </w:pPr>
                  <w:r>
                    <w:rPr>
                      <w:rFonts w:hint="eastAsia" w:ascii="Times New Roman" w:hAnsi="Times New Roman" w:eastAsia="宋体" w:cs="Times New Roman"/>
                      <w:color w:val="auto"/>
                      <w:spacing w:val="-10"/>
                      <w:sz w:val="18"/>
                      <w:szCs w:val="18"/>
                      <w:lang w:val="en-US" w:eastAsia="zh-CN"/>
                    </w:rPr>
                    <w:t>临界量Qn(t)</w:t>
                  </w:r>
                </w:p>
              </w:tc>
              <w:tc>
                <w:tcPr>
                  <w:tcW w:w="1230" w:type="pct"/>
                  <w:noWrap w:val="0"/>
                  <w:vAlign w:val="center"/>
                </w:tcPr>
                <w:p w14:paraId="28DC46AC">
                  <w:pPr>
                    <w:spacing w:line="320" w:lineRule="exact"/>
                    <w:jc w:val="center"/>
                    <w:rPr>
                      <w:rFonts w:hint="eastAsia" w:ascii="Times New Roman" w:hAnsi="Times New Roman" w:eastAsia="宋体" w:cs="Times New Roman"/>
                      <w:color w:val="auto"/>
                      <w:spacing w:val="-10"/>
                      <w:sz w:val="18"/>
                      <w:szCs w:val="18"/>
                      <w:lang w:val="en-US" w:eastAsia="zh-CN"/>
                    </w:rPr>
                  </w:pPr>
                  <w:r>
                    <w:rPr>
                      <w:rFonts w:hint="eastAsia" w:ascii="Times New Roman" w:hAnsi="Times New Roman" w:eastAsia="宋体" w:cs="Times New Roman"/>
                      <w:color w:val="auto"/>
                      <w:spacing w:val="-10"/>
                      <w:sz w:val="18"/>
                      <w:szCs w:val="18"/>
                      <w:lang w:val="en-US" w:eastAsia="zh-CN"/>
                    </w:rPr>
                    <w:t>该种危险物质Q值</w:t>
                  </w:r>
                </w:p>
              </w:tc>
            </w:tr>
            <w:tr w14:paraId="79AC9DF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34" w:hRule="atLeast"/>
                <w:jc w:val="center"/>
              </w:trPr>
              <w:tc>
                <w:tcPr>
                  <w:tcW w:w="275" w:type="pct"/>
                  <w:noWrap w:val="0"/>
                  <w:vAlign w:val="center"/>
                </w:tcPr>
                <w:p w14:paraId="4CF8F32B">
                  <w:pPr>
                    <w:spacing w:line="320" w:lineRule="exact"/>
                    <w:jc w:val="center"/>
                    <w:rPr>
                      <w:rFonts w:hint="eastAsia" w:ascii="Times New Roman" w:hAnsi="Times New Roman" w:eastAsia="宋体" w:cs="Times New Roman"/>
                      <w:color w:val="auto"/>
                      <w:spacing w:val="-10"/>
                      <w:sz w:val="18"/>
                      <w:szCs w:val="18"/>
                      <w:lang w:val="en-US" w:eastAsia="zh-CN"/>
                    </w:rPr>
                  </w:pPr>
                  <w:r>
                    <w:rPr>
                      <w:rFonts w:hint="eastAsia" w:ascii="Times New Roman" w:hAnsi="Times New Roman" w:eastAsia="宋体" w:cs="Times New Roman"/>
                      <w:color w:val="auto"/>
                      <w:spacing w:val="-10"/>
                      <w:sz w:val="18"/>
                      <w:szCs w:val="18"/>
                      <w:lang w:val="en-US" w:eastAsia="zh-CN"/>
                    </w:rPr>
                    <w:t>1</w:t>
                  </w:r>
                </w:p>
              </w:tc>
              <w:tc>
                <w:tcPr>
                  <w:tcW w:w="804" w:type="pct"/>
                  <w:noWrap w:val="0"/>
                  <w:vAlign w:val="center"/>
                </w:tcPr>
                <w:p w14:paraId="610E22D2">
                  <w:pPr>
                    <w:spacing w:line="320" w:lineRule="exact"/>
                    <w:jc w:val="center"/>
                    <w:rPr>
                      <w:rFonts w:hint="eastAsia" w:ascii="Times New Roman" w:hAnsi="Times New Roman" w:eastAsia="宋体" w:cs="Times New Roman"/>
                      <w:color w:val="auto"/>
                      <w:spacing w:val="-10"/>
                      <w:kern w:val="2"/>
                      <w:sz w:val="18"/>
                      <w:szCs w:val="18"/>
                      <w:lang w:val="en-US" w:eastAsia="zh-CN" w:bidi="ar-SA"/>
                    </w:rPr>
                  </w:pPr>
                  <w:r>
                    <w:rPr>
                      <w:rFonts w:hint="eastAsia" w:ascii="Times New Roman" w:hAnsi="Times New Roman" w:eastAsia="宋体" w:cs="Times New Roman"/>
                      <w:color w:val="auto"/>
                      <w:spacing w:val="-10"/>
                      <w:sz w:val="18"/>
                      <w:szCs w:val="18"/>
                      <w:lang w:val="en-US" w:eastAsia="zh-CN"/>
                    </w:rPr>
                    <w:t>润滑油</w:t>
                  </w:r>
                </w:p>
              </w:tc>
              <w:tc>
                <w:tcPr>
                  <w:tcW w:w="715" w:type="pct"/>
                  <w:noWrap w:val="0"/>
                  <w:vAlign w:val="top"/>
                </w:tcPr>
                <w:p w14:paraId="1768FB4B">
                  <w:pPr>
                    <w:spacing w:line="320" w:lineRule="exact"/>
                    <w:jc w:val="center"/>
                    <w:rPr>
                      <w:rFonts w:hint="eastAsia" w:ascii="Times New Roman" w:hAnsi="Times New Roman" w:eastAsia="宋体" w:cs="Times New Roman"/>
                      <w:color w:val="auto"/>
                      <w:spacing w:val="-10"/>
                      <w:sz w:val="18"/>
                      <w:szCs w:val="18"/>
                      <w:lang w:val="en-US" w:eastAsia="zh-CN"/>
                    </w:rPr>
                  </w:pPr>
                  <w:r>
                    <w:rPr>
                      <w:rFonts w:hint="eastAsia" w:ascii="Times New Roman" w:hAnsi="Times New Roman" w:eastAsia="宋体" w:cs="Times New Roman"/>
                      <w:color w:val="auto"/>
                      <w:spacing w:val="-10"/>
                      <w:sz w:val="18"/>
                      <w:szCs w:val="18"/>
                      <w:lang w:val="en-US" w:eastAsia="zh-CN"/>
                    </w:rPr>
                    <w:t>—</w:t>
                  </w:r>
                </w:p>
              </w:tc>
              <w:tc>
                <w:tcPr>
                  <w:tcW w:w="1162" w:type="pct"/>
                  <w:noWrap w:val="0"/>
                  <w:vAlign w:val="center"/>
                </w:tcPr>
                <w:p w14:paraId="67052A6F">
                  <w:pPr>
                    <w:spacing w:line="320" w:lineRule="exact"/>
                    <w:jc w:val="center"/>
                    <w:rPr>
                      <w:rFonts w:hint="default" w:ascii="Times New Roman" w:hAnsi="Times New Roman" w:eastAsia="宋体" w:cs="Times New Roman"/>
                      <w:color w:val="auto"/>
                      <w:spacing w:val="-10"/>
                      <w:sz w:val="18"/>
                      <w:szCs w:val="18"/>
                      <w:lang w:val="en-US" w:eastAsia="zh-CN"/>
                    </w:rPr>
                  </w:pPr>
                  <w:r>
                    <w:rPr>
                      <w:rFonts w:hint="eastAsia" w:cs="Times New Roman"/>
                      <w:color w:val="auto"/>
                      <w:spacing w:val="-10"/>
                      <w:sz w:val="18"/>
                      <w:szCs w:val="18"/>
                      <w:lang w:val="en-US" w:eastAsia="zh-CN"/>
                    </w:rPr>
                    <w:t>0.2</w:t>
                  </w:r>
                </w:p>
              </w:tc>
              <w:tc>
                <w:tcPr>
                  <w:tcW w:w="812" w:type="pct"/>
                  <w:noWrap w:val="0"/>
                  <w:vAlign w:val="center"/>
                </w:tcPr>
                <w:p w14:paraId="22F93862">
                  <w:pPr>
                    <w:spacing w:line="320" w:lineRule="exact"/>
                    <w:jc w:val="center"/>
                    <w:rPr>
                      <w:rFonts w:hint="eastAsia" w:ascii="Times New Roman" w:hAnsi="Times New Roman" w:eastAsia="宋体" w:cs="Times New Roman"/>
                      <w:color w:val="auto"/>
                      <w:spacing w:val="-10"/>
                      <w:kern w:val="2"/>
                      <w:sz w:val="18"/>
                      <w:szCs w:val="18"/>
                      <w:highlight w:val="none"/>
                      <w:lang w:val="en-US" w:eastAsia="zh-CN" w:bidi="ar-SA"/>
                    </w:rPr>
                  </w:pPr>
                  <w:r>
                    <w:rPr>
                      <w:rFonts w:hint="eastAsia" w:ascii="Times New Roman" w:hAnsi="Times New Roman" w:eastAsia="宋体" w:cs="Times New Roman"/>
                      <w:color w:val="auto"/>
                      <w:spacing w:val="-10"/>
                      <w:sz w:val="18"/>
                      <w:szCs w:val="18"/>
                      <w:highlight w:val="none"/>
                      <w:lang w:val="en-US" w:eastAsia="zh-CN"/>
                    </w:rPr>
                    <w:t>2500</w:t>
                  </w:r>
                </w:p>
              </w:tc>
              <w:tc>
                <w:tcPr>
                  <w:tcW w:w="1954" w:type="dxa"/>
                  <w:noWrap w:val="0"/>
                  <w:vAlign w:val="center"/>
                </w:tcPr>
                <w:p w14:paraId="02C15655">
                  <w:pPr>
                    <w:spacing w:line="320" w:lineRule="exact"/>
                    <w:jc w:val="center"/>
                    <w:rPr>
                      <w:rFonts w:hint="default" w:ascii="Times New Roman" w:hAnsi="Times New Roman" w:eastAsia="宋体" w:cs="Times New Roman"/>
                      <w:color w:val="auto"/>
                      <w:spacing w:val="-10"/>
                      <w:kern w:val="2"/>
                      <w:sz w:val="18"/>
                      <w:szCs w:val="18"/>
                      <w:highlight w:val="none"/>
                      <w:lang w:val="en-US" w:eastAsia="zh-CN" w:bidi="ar-SA"/>
                    </w:rPr>
                  </w:pPr>
                  <w:r>
                    <w:rPr>
                      <w:rFonts w:hint="eastAsia" w:ascii="Times New Roman" w:hAnsi="Times New Roman" w:eastAsia="宋体" w:cs="Times New Roman"/>
                      <w:color w:val="auto"/>
                      <w:spacing w:val="-10"/>
                      <w:kern w:val="2"/>
                      <w:sz w:val="18"/>
                      <w:szCs w:val="18"/>
                      <w:highlight w:val="none"/>
                      <w:lang w:val="en-US" w:eastAsia="zh-CN" w:bidi="ar-SA"/>
                    </w:rPr>
                    <w:t>0.00008</w:t>
                  </w:r>
                </w:p>
              </w:tc>
            </w:tr>
            <w:tr w14:paraId="57FF765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34" w:hRule="atLeast"/>
                <w:jc w:val="center"/>
              </w:trPr>
              <w:tc>
                <w:tcPr>
                  <w:tcW w:w="275" w:type="pct"/>
                  <w:noWrap w:val="0"/>
                  <w:vAlign w:val="center"/>
                </w:tcPr>
                <w:p w14:paraId="5D418DFA">
                  <w:pPr>
                    <w:spacing w:line="320" w:lineRule="exact"/>
                    <w:jc w:val="center"/>
                    <w:rPr>
                      <w:rFonts w:hint="default" w:ascii="Times New Roman" w:hAnsi="Times New Roman" w:eastAsia="宋体" w:cs="Times New Roman"/>
                      <w:color w:val="auto"/>
                      <w:spacing w:val="-10"/>
                      <w:sz w:val="18"/>
                      <w:szCs w:val="18"/>
                      <w:lang w:val="en-US" w:eastAsia="zh-CN"/>
                    </w:rPr>
                  </w:pPr>
                  <w:r>
                    <w:rPr>
                      <w:rFonts w:hint="eastAsia" w:cs="Times New Roman"/>
                      <w:color w:val="auto"/>
                      <w:spacing w:val="-10"/>
                      <w:sz w:val="18"/>
                      <w:szCs w:val="18"/>
                      <w:lang w:val="en-US" w:eastAsia="zh-CN"/>
                    </w:rPr>
                    <w:t>2</w:t>
                  </w:r>
                </w:p>
              </w:tc>
              <w:tc>
                <w:tcPr>
                  <w:tcW w:w="804" w:type="pct"/>
                  <w:noWrap w:val="0"/>
                  <w:vAlign w:val="center"/>
                </w:tcPr>
                <w:p w14:paraId="0A2FA422">
                  <w:pPr>
                    <w:spacing w:line="320" w:lineRule="exact"/>
                    <w:jc w:val="center"/>
                    <w:rPr>
                      <w:rFonts w:hint="eastAsia" w:ascii="Times New Roman" w:hAnsi="Times New Roman" w:eastAsia="宋体" w:cs="Times New Roman"/>
                      <w:color w:val="auto"/>
                      <w:spacing w:val="-10"/>
                      <w:kern w:val="2"/>
                      <w:sz w:val="18"/>
                      <w:szCs w:val="18"/>
                      <w:lang w:val="en-US" w:eastAsia="zh-CN" w:bidi="ar-SA"/>
                    </w:rPr>
                  </w:pPr>
                  <w:r>
                    <w:rPr>
                      <w:rFonts w:hint="eastAsia" w:cs="Times New Roman"/>
                      <w:color w:val="auto"/>
                      <w:spacing w:val="-10"/>
                      <w:sz w:val="18"/>
                      <w:szCs w:val="18"/>
                      <w:lang w:val="en-US" w:eastAsia="zh-CN"/>
                    </w:rPr>
                    <w:t>液压油</w:t>
                  </w:r>
                </w:p>
              </w:tc>
              <w:tc>
                <w:tcPr>
                  <w:tcW w:w="715" w:type="pct"/>
                  <w:noWrap w:val="0"/>
                  <w:vAlign w:val="top"/>
                </w:tcPr>
                <w:p w14:paraId="201B7DC2">
                  <w:pPr>
                    <w:spacing w:line="320" w:lineRule="exact"/>
                    <w:jc w:val="center"/>
                    <w:rPr>
                      <w:rFonts w:hint="eastAsia" w:ascii="Times New Roman" w:hAnsi="Times New Roman" w:eastAsia="宋体" w:cs="Times New Roman"/>
                      <w:color w:val="auto"/>
                      <w:spacing w:val="-10"/>
                      <w:sz w:val="18"/>
                      <w:szCs w:val="18"/>
                      <w:lang w:val="en-US" w:eastAsia="zh-CN"/>
                    </w:rPr>
                  </w:pPr>
                  <w:r>
                    <w:rPr>
                      <w:rFonts w:hint="eastAsia" w:ascii="Times New Roman" w:hAnsi="Times New Roman" w:eastAsia="宋体" w:cs="Times New Roman"/>
                      <w:color w:val="auto"/>
                      <w:spacing w:val="-10"/>
                      <w:sz w:val="18"/>
                      <w:szCs w:val="18"/>
                      <w:lang w:val="en-US" w:eastAsia="zh-CN"/>
                    </w:rPr>
                    <w:t>—</w:t>
                  </w:r>
                </w:p>
              </w:tc>
              <w:tc>
                <w:tcPr>
                  <w:tcW w:w="1162" w:type="pct"/>
                  <w:noWrap w:val="0"/>
                  <w:vAlign w:val="center"/>
                </w:tcPr>
                <w:p w14:paraId="2F536E1C">
                  <w:pPr>
                    <w:spacing w:line="320" w:lineRule="exact"/>
                    <w:jc w:val="center"/>
                    <w:rPr>
                      <w:rFonts w:hint="default" w:ascii="Times New Roman" w:hAnsi="Times New Roman" w:eastAsia="宋体" w:cs="Times New Roman"/>
                      <w:color w:val="auto"/>
                      <w:spacing w:val="-10"/>
                      <w:sz w:val="18"/>
                      <w:szCs w:val="18"/>
                      <w:lang w:val="en-US" w:eastAsia="zh-CN"/>
                    </w:rPr>
                  </w:pPr>
                  <w:r>
                    <w:rPr>
                      <w:rFonts w:hint="eastAsia" w:cs="Times New Roman"/>
                      <w:color w:val="auto"/>
                      <w:spacing w:val="-10"/>
                      <w:sz w:val="18"/>
                      <w:szCs w:val="18"/>
                      <w:lang w:val="en-US" w:eastAsia="zh-CN"/>
                    </w:rPr>
                    <w:t>0.2</w:t>
                  </w:r>
                </w:p>
              </w:tc>
              <w:tc>
                <w:tcPr>
                  <w:tcW w:w="812" w:type="pct"/>
                  <w:noWrap w:val="0"/>
                  <w:vAlign w:val="center"/>
                </w:tcPr>
                <w:p w14:paraId="2B7BA258">
                  <w:pPr>
                    <w:spacing w:line="320" w:lineRule="exact"/>
                    <w:jc w:val="center"/>
                    <w:rPr>
                      <w:rFonts w:hint="eastAsia" w:ascii="Times New Roman" w:hAnsi="Times New Roman" w:eastAsia="宋体" w:cs="Times New Roman"/>
                      <w:color w:val="auto"/>
                      <w:spacing w:val="-10"/>
                      <w:kern w:val="2"/>
                      <w:sz w:val="18"/>
                      <w:szCs w:val="18"/>
                      <w:highlight w:val="none"/>
                      <w:lang w:val="en-US" w:eastAsia="zh-CN" w:bidi="ar-SA"/>
                    </w:rPr>
                  </w:pPr>
                  <w:r>
                    <w:rPr>
                      <w:rFonts w:hint="eastAsia" w:cs="Times New Roman"/>
                      <w:color w:val="auto"/>
                      <w:spacing w:val="-10"/>
                      <w:sz w:val="18"/>
                      <w:szCs w:val="18"/>
                      <w:highlight w:val="none"/>
                      <w:lang w:val="en-US" w:eastAsia="zh-CN"/>
                    </w:rPr>
                    <w:t>2500</w:t>
                  </w:r>
                </w:p>
              </w:tc>
              <w:tc>
                <w:tcPr>
                  <w:tcW w:w="1954" w:type="dxa"/>
                  <w:noWrap w:val="0"/>
                  <w:vAlign w:val="center"/>
                </w:tcPr>
                <w:p w14:paraId="52CABA69">
                  <w:pPr>
                    <w:spacing w:line="320" w:lineRule="exact"/>
                    <w:jc w:val="center"/>
                    <w:rPr>
                      <w:rFonts w:hint="eastAsia" w:ascii="Times New Roman" w:hAnsi="Times New Roman" w:eastAsia="宋体" w:cs="Times New Roman"/>
                      <w:color w:val="auto"/>
                      <w:spacing w:val="-10"/>
                      <w:kern w:val="2"/>
                      <w:sz w:val="18"/>
                      <w:szCs w:val="18"/>
                      <w:highlight w:val="none"/>
                      <w:lang w:val="en-US" w:eastAsia="zh-CN" w:bidi="ar-SA"/>
                    </w:rPr>
                  </w:pPr>
                  <w:r>
                    <w:rPr>
                      <w:rFonts w:hint="eastAsia" w:ascii="Times New Roman" w:hAnsi="Times New Roman" w:eastAsia="宋体" w:cs="Times New Roman"/>
                      <w:color w:val="auto"/>
                      <w:spacing w:val="-10"/>
                      <w:kern w:val="2"/>
                      <w:sz w:val="18"/>
                      <w:szCs w:val="18"/>
                      <w:highlight w:val="none"/>
                      <w:lang w:val="en-US" w:eastAsia="zh-CN" w:bidi="ar-SA"/>
                    </w:rPr>
                    <w:t>0.00008</w:t>
                  </w:r>
                </w:p>
              </w:tc>
            </w:tr>
            <w:tr w14:paraId="27239DF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34" w:hRule="atLeast"/>
                <w:jc w:val="center"/>
              </w:trPr>
              <w:tc>
                <w:tcPr>
                  <w:tcW w:w="275" w:type="pct"/>
                  <w:noWrap w:val="0"/>
                  <w:vAlign w:val="center"/>
                </w:tcPr>
                <w:p w14:paraId="3FF2238B">
                  <w:pPr>
                    <w:spacing w:line="320" w:lineRule="exact"/>
                    <w:jc w:val="center"/>
                    <w:rPr>
                      <w:rFonts w:hint="default" w:ascii="Times New Roman" w:hAnsi="Times New Roman" w:eastAsia="宋体" w:cs="Times New Roman"/>
                      <w:color w:val="auto"/>
                      <w:spacing w:val="-10"/>
                      <w:sz w:val="18"/>
                      <w:szCs w:val="18"/>
                      <w:lang w:val="en-US" w:eastAsia="zh-CN"/>
                    </w:rPr>
                  </w:pPr>
                  <w:r>
                    <w:rPr>
                      <w:rFonts w:hint="eastAsia" w:cs="Times New Roman"/>
                      <w:color w:val="auto"/>
                      <w:spacing w:val="-10"/>
                      <w:sz w:val="18"/>
                      <w:szCs w:val="18"/>
                      <w:lang w:val="en-US" w:eastAsia="zh-CN"/>
                    </w:rPr>
                    <w:t>3</w:t>
                  </w:r>
                </w:p>
              </w:tc>
              <w:tc>
                <w:tcPr>
                  <w:tcW w:w="804" w:type="pct"/>
                  <w:noWrap w:val="0"/>
                  <w:vAlign w:val="center"/>
                </w:tcPr>
                <w:p w14:paraId="7A94E678">
                  <w:pPr>
                    <w:spacing w:line="320" w:lineRule="exact"/>
                    <w:jc w:val="center"/>
                    <w:rPr>
                      <w:rFonts w:hint="eastAsia" w:ascii="Times New Roman" w:hAnsi="Times New Roman" w:eastAsia="宋体" w:cs="Times New Roman"/>
                      <w:color w:val="auto"/>
                      <w:spacing w:val="-10"/>
                      <w:kern w:val="2"/>
                      <w:sz w:val="18"/>
                      <w:szCs w:val="18"/>
                      <w:lang w:val="en-US" w:eastAsia="zh-CN" w:bidi="ar-SA"/>
                    </w:rPr>
                  </w:pPr>
                  <w:r>
                    <w:rPr>
                      <w:rFonts w:hint="eastAsia" w:ascii="Times New Roman" w:hAnsi="Times New Roman" w:eastAsia="宋体" w:cs="Times New Roman"/>
                      <w:color w:val="auto"/>
                      <w:spacing w:val="-10"/>
                      <w:sz w:val="18"/>
                      <w:szCs w:val="18"/>
                      <w:lang w:val="en-US" w:eastAsia="zh-CN"/>
                    </w:rPr>
                    <w:t>废润滑油</w:t>
                  </w:r>
                </w:p>
              </w:tc>
              <w:tc>
                <w:tcPr>
                  <w:tcW w:w="715" w:type="pct"/>
                  <w:noWrap w:val="0"/>
                  <w:vAlign w:val="top"/>
                </w:tcPr>
                <w:p w14:paraId="76806C2A">
                  <w:pPr>
                    <w:spacing w:line="320" w:lineRule="exact"/>
                    <w:jc w:val="center"/>
                    <w:rPr>
                      <w:rFonts w:hint="eastAsia" w:ascii="Times New Roman" w:hAnsi="Times New Roman" w:eastAsia="宋体" w:cs="Times New Roman"/>
                      <w:color w:val="auto"/>
                      <w:spacing w:val="-10"/>
                      <w:sz w:val="18"/>
                      <w:szCs w:val="18"/>
                      <w:lang w:val="en-US" w:eastAsia="zh-CN"/>
                    </w:rPr>
                  </w:pPr>
                  <w:r>
                    <w:rPr>
                      <w:rFonts w:hint="eastAsia" w:ascii="Times New Roman" w:hAnsi="Times New Roman" w:eastAsia="宋体" w:cs="Times New Roman"/>
                      <w:color w:val="auto"/>
                      <w:spacing w:val="-10"/>
                      <w:sz w:val="18"/>
                      <w:szCs w:val="18"/>
                      <w:lang w:val="en-US" w:eastAsia="zh-CN"/>
                    </w:rPr>
                    <w:t>—</w:t>
                  </w:r>
                </w:p>
              </w:tc>
              <w:tc>
                <w:tcPr>
                  <w:tcW w:w="1162" w:type="pct"/>
                  <w:noWrap w:val="0"/>
                  <w:vAlign w:val="center"/>
                </w:tcPr>
                <w:p w14:paraId="4168A189">
                  <w:pPr>
                    <w:spacing w:line="320" w:lineRule="exact"/>
                    <w:jc w:val="center"/>
                    <w:rPr>
                      <w:rFonts w:hint="default" w:ascii="Times New Roman" w:hAnsi="Times New Roman" w:eastAsia="宋体" w:cs="Times New Roman"/>
                      <w:color w:val="auto"/>
                      <w:spacing w:val="-10"/>
                      <w:sz w:val="18"/>
                      <w:szCs w:val="18"/>
                      <w:lang w:val="en-US" w:eastAsia="zh-CN"/>
                    </w:rPr>
                  </w:pPr>
                  <w:r>
                    <w:rPr>
                      <w:rFonts w:hint="eastAsia" w:cs="Times New Roman"/>
                      <w:color w:val="auto"/>
                      <w:spacing w:val="-10"/>
                      <w:sz w:val="18"/>
                      <w:szCs w:val="18"/>
                      <w:lang w:val="en-US" w:eastAsia="zh-CN"/>
                    </w:rPr>
                    <w:t>0.08</w:t>
                  </w:r>
                </w:p>
              </w:tc>
              <w:tc>
                <w:tcPr>
                  <w:tcW w:w="812" w:type="pct"/>
                  <w:noWrap w:val="0"/>
                  <w:vAlign w:val="center"/>
                </w:tcPr>
                <w:p w14:paraId="422A95EB">
                  <w:pPr>
                    <w:spacing w:line="320" w:lineRule="exact"/>
                    <w:jc w:val="center"/>
                    <w:rPr>
                      <w:rFonts w:hint="eastAsia" w:ascii="Times New Roman" w:hAnsi="Times New Roman" w:eastAsia="宋体" w:cs="Times New Roman"/>
                      <w:color w:val="auto"/>
                      <w:spacing w:val="-10"/>
                      <w:kern w:val="2"/>
                      <w:sz w:val="18"/>
                      <w:szCs w:val="18"/>
                      <w:highlight w:val="none"/>
                      <w:lang w:val="en-US" w:eastAsia="zh-CN" w:bidi="ar-SA"/>
                    </w:rPr>
                  </w:pPr>
                  <w:r>
                    <w:rPr>
                      <w:rFonts w:hint="eastAsia" w:ascii="Times New Roman" w:hAnsi="Times New Roman" w:eastAsia="宋体" w:cs="Times New Roman"/>
                      <w:color w:val="auto"/>
                      <w:spacing w:val="-10"/>
                      <w:sz w:val="18"/>
                      <w:szCs w:val="18"/>
                      <w:highlight w:val="none"/>
                      <w:lang w:val="en-US" w:eastAsia="zh-CN"/>
                    </w:rPr>
                    <w:t>100</w:t>
                  </w:r>
                </w:p>
              </w:tc>
              <w:tc>
                <w:tcPr>
                  <w:tcW w:w="1954" w:type="dxa"/>
                  <w:noWrap w:val="0"/>
                  <w:vAlign w:val="center"/>
                </w:tcPr>
                <w:p w14:paraId="25AC8967">
                  <w:pPr>
                    <w:spacing w:line="320" w:lineRule="exact"/>
                    <w:jc w:val="center"/>
                    <w:rPr>
                      <w:rFonts w:hint="eastAsia" w:ascii="Times New Roman" w:hAnsi="Times New Roman" w:eastAsia="宋体" w:cs="Times New Roman"/>
                      <w:color w:val="auto"/>
                      <w:spacing w:val="-10"/>
                      <w:kern w:val="2"/>
                      <w:sz w:val="18"/>
                      <w:szCs w:val="18"/>
                      <w:highlight w:val="none"/>
                      <w:lang w:val="en-US" w:eastAsia="zh-CN" w:bidi="ar-SA"/>
                    </w:rPr>
                  </w:pPr>
                  <w:r>
                    <w:rPr>
                      <w:rFonts w:hint="eastAsia" w:ascii="Times New Roman" w:hAnsi="Times New Roman" w:eastAsia="宋体" w:cs="Times New Roman"/>
                      <w:color w:val="auto"/>
                      <w:spacing w:val="-10"/>
                      <w:kern w:val="2"/>
                      <w:sz w:val="18"/>
                      <w:szCs w:val="18"/>
                      <w:highlight w:val="none"/>
                      <w:lang w:val="en-US" w:eastAsia="zh-CN" w:bidi="ar-SA"/>
                    </w:rPr>
                    <w:t>0.0008</w:t>
                  </w:r>
                </w:p>
              </w:tc>
            </w:tr>
            <w:tr w14:paraId="365A108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34" w:hRule="atLeast"/>
                <w:jc w:val="center"/>
              </w:trPr>
              <w:tc>
                <w:tcPr>
                  <w:tcW w:w="275" w:type="pct"/>
                  <w:noWrap w:val="0"/>
                  <w:vAlign w:val="center"/>
                </w:tcPr>
                <w:p w14:paraId="76CC9DBB">
                  <w:pPr>
                    <w:spacing w:line="320" w:lineRule="exact"/>
                    <w:jc w:val="center"/>
                    <w:rPr>
                      <w:rFonts w:hint="default" w:ascii="Times New Roman" w:hAnsi="Times New Roman" w:eastAsia="宋体" w:cs="Times New Roman"/>
                      <w:color w:val="auto"/>
                      <w:spacing w:val="-10"/>
                      <w:sz w:val="18"/>
                      <w:szCs w:val="18"/>
                      <w:lang w:val="en-US" w:eastAsia="zh-CN"/>
                    </w:rPr>
                  </w:pPr>
                  <w:r>
                    <w:rPr>
                      <w:rFonts w:hint="eastAsia" w:cs="Times New Roman"/>
                      <w:color w:val="auto"/>
                      <w:spacing w:val="-10"/>
                      <w:sz w:val="18"/>
                      <w:szCs w:val="18"/>
                      <w:lang w:val="en-US" w:eastAsia="zh-CN"/>
                    </w:rPr>
                    <w:t>4</w:t>
                  </w:r>
                </w:p>
              </w:tc>
              <w:tc>
                <w:tcPr>
                  <w:tcW w:w="804" w:type="pct"/>
                  <w:noWrap w:val="0"/>
                  <w:vAlign w:val="center"/>
                </w:tcPr>
                <w:p w14:paraId="6754BC64">
                  <w:pPr>
                    <w:spacing w:line="320" w:lineRule="exact"/>
                    <w:jc w:val="center"/>
                    <w:rPr>
                      <w:rFonts w:hint="eastAsia" w:ascii="Times New Roman" w:hAnsi="Times New Roman" w:eastAsia="宋体" w:cs="Times New Roman"/>
                      <w:color w:val="auto"/>
                      <w:spacing w:val="-10"/>
                      <w:kern w:val="2"/>
                      <w:sz w:val="18"/>
                      <w:szCs w:val="18"/>
                      <w:lang w:val="en-US" w:eastAsia="zh-CN" w:bidi="ar-SA"/>
                    </w:rPr>
                  </w:pPr>
                  <w:r>
                    <w:rPr>
                      <w:rFonts w:hint="eastAsia" w:ascii="Times New Roman" w:hAnsi="Times New Roman" w:eastAsia="宋体" w:cs="Times New Roman"/>
                      <w:color w:val="auto"/>
                      <w:spacing w:val="-10"/>
                      <w:sz w:val="18"/>
                      <w:szCs w:val="18"/>
                      <w:lang w:val="en-US" w:eastAsia="zh-CN"/>
                    </w:rPr>
                    <w:t>废</w:t>
                  </w:r>
                  <w:r>
                    <w:rPr>
                      <w:rFonts w:hint="eastAsia" w:cs="Times New Roman"/>
                      <w:color w:val="auto"/>
                      <w:spacing w:val="-10"/>
                      <w:sz w:val="18"/>
                      <w:szCs w:val="18"/>
                      <w:lang w:val="en-US" w:eastAsia="zh-CN"/>
                    </w:rPr>
                    <w:t>液压油</w:t>
                  </w:r>
                </w:p>
              </w:tc>
              <w:tc>
                <w:tcPr>
                  <w:tcW w:w="715" w:type="pct"/>
                  <w:noWrap w:val="0"/>
                  <w:vAlign w:val="top"/>
                </w:tcPr>
                <w:p w14:paraId="6E596B77">
                  <w:pPr>
                    <w:spacing w:line="320" w:lineRule="exact"/>
                    <w:jc w:val="center"/>
                    <w:rPr>
                      <w:rFonts w:hint="eastAsia" w:ascii="Times New Roman" w:hAnsi="Times New Roman" w:eastAsia="宋体" w:cs="Times New Roman"/>
                      <w:color w:val="auto"/>
                      <w:spacing w:val="-10"/>
                      <w:sz w:val="18"/>
                      <w:szCs w:val="18"/>
                      <w:lang w:val="en-US" w:eastAsia="zh-CN"/>
                    </w:rPr>
                  </w:pPr>
                  <w:r>
                    <w:rPr>
                      <w:rFonts w:hint="eastAsia" w:ascii="Times New Roman" w:hAnsi="Times New Roman" w:eastAsia="宋体" w:cs="Times New Roman"/>
                      <w:color w:val="auto"/>
                      <w:spacing w:val="-10"/>
                      <w:sz w:val="18"/>
                      <w:szCs w:val="18"/>
                      <w:lang w:val="en-US" w:eastAsia="zh-CN"/>
                    </w:rPr>
                    <w:t>—</w:t>
                  </w:r>
                </w:p>
              </w:tc>
              <w:tc>
                <w:tcPr>
                  <w:tcW w:w="1162" w:type="pct"/>
                  <w:noWrap w:val="0"/>
                  <w:vAlign w:val="center"/>
                </w:tcPr>
                <w:p w14:paraId="7F0A27F4">
                  <w:pPr>
                    <w:spacing w:line="320" w:lineRule="exact"/>
                    <w:jc w:val="center"/>
                    <w:rPr>
                      <w:rFonts w:hint="default" w:ascii="Times New Roman" w:hAnsi="Times New Roman" w:eastAsia="宋体" w:cs="Times New Roman"/>
                      <w:color w:val="auto"/>
                      <w:spacing w:val="-10"/>
                      <w:sz w:val="18"/>
                      <w:szCs w:val="18"/>
                      <w:lang w:val="en-US" w:eastAsia="zh-CN"/>
                    </w:rPr>
                  </w:pPr>
                  <w:r>
                    <w:rPr>
                      <w:rFonts w:hint="eastAsia" w:cs="Times New Roman"/>
                      <w:color w:val="auto"/>
                      <w:spacing w:val="-10"/>
                      <w:sz w:val="18"/>
                      <w:szCs w:val="18"/>
                      <w:lang w:val="en-US" w:eastAsia="zh-CN"/>
                    </w:rPr>
                    <w:t>0.12</w:t>
                  </w:r>
                </w:p>
              </w:tc>
              <w:tc>
                <w:tcPr>
                  <w:tcW w:w="812" w:type="pct"/>
                  <w:noWrap w:val="0"/>
                  <w:vAlign w:val="center"/>
                </w:tcPr>
                <w:p w14:paraId="12C0621E">
                  <w:pPr>
                    <w:spacing w:line="320" w:lineRule="exact"/>
                    <w:jc w:val="center"/>
                    <w:rPr>
                      <w:rFonts w:hint="eastAsia" w:ascii="Times New Roman" w:hAnsi="Times New Roman" w:eastAsia="宋体" w:cs="Times New Roman"/>
                      <w:color w:val="auto"/>
                      <w:spacing w:val="-10"/>
                      <w:kern w:val="2"/>
                      <w:sz w:val="18"/>
                      <w:szCs w:val="18"/>
                      <w:highlight w:val="none"/>
                      <w:lang w:val="en-US" w:eastAsia="zh-CN" w:bidi="ar-SA"/>
                    </w:rPr>
                  </w:pPr>
                  <w:r>
                    <w:rPr>
                      <w:rFonts w:hint="eastAsia" w:cs="Times New Roman"/>
                      <w:color w:val="auto"/>
                      <w:spacing w:val="-10"/>
                      <w:sz w:val="18"/>
                      <w:szCs w:val="18"/>
                      <w:highlight w:val="none"/>
                      <w:lang w:val="en-US" w:eastAsia="zh-CN"/>
                    </w:rPr>
                    <w:t>100</w:t>
                  </w:r>
                </w:p>
              </w:tc>
              <w:tc>
                <w:tcPr>
                  <w:tcW w:w="1954" w:type="dxa"/>
                  <w:noWrap w:val="0"/>
                  <w:vAlign w:val="center"/>
                </w:tcPr>
                <w:p w14:paraId="0D3CEC50">
                  <w:pPr>
                    <w:spacing w:line="320" w:lineRule="exact"/>
                    <w:jc w:val="center"/>
                    <w:rPr>
                      <w:rFonts w:hint="eastAsia" w:ascii="Times New Roman" w:hAnsi="Times New Roman" w:eastAsia="宋体" w:cs="Times New Roman"/>
                      <w:color w:val="auto"/>
                      <w:spacing w:val="-10"/>
                      <w:kern w:val="2"/>
                      <w:sz w:val="18"/>
                      <w:szCs w:val="18"/>
                      <w:highlight w:val="none"/>
                      <w:lang w:val="en-US" w:eastAsia="zh-CN" w:bidi="ar-SA"/>
                    </w:rPr>
                  </w:pPr>
                  <w:r>
                    <w:rPr>
                      <w:rFonts w:hint="eastAsia" w:ascii="Times New Roman" w:hAnsi="Times New Roman" w:eastAsia="宋体" w:cs="Times New Roman"/>
                      <w:color w:val="auto"/>
                      <w:spacing w:val="-10"/>
                      <w:kern w:val="2"/>
                      <w:sz w:val="18"/>
                      <w:szCs w:val="18"/>
                      <w:highlight w:val="none"/>
                      <w:lang w:val="en-US" w:eastAsia="zh-CN" w:bidi="ar-SA"/>
                    </w:rPr>
                    <w:t>0.0012</w:t>
                  </w:r>
                </w:p>
              </w:tc>
            </w:tr>
            <w:tr w14:paraId="05692E6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74" w:hRule="atLeast"/>
                <w:jc w:val="center"/>
              </w:trPr>
              <w:tc>
                <w:tcPr>
                  <w:tcW w:w="275" w:type="pct"/>
                  <w:noWrap w:val="0"/>
                  <w:vAlign w:val="center"/>
                </w:tcPr>
                <w:p w14:paraId="2875586E">
                  <w:pPr>
                    <w:spacing w:line="320" w:lineRule="exact"/>
                    <w:jc w:val="center"/>
                    <w:rPr>
                      <w:rFonts w:hint="eastAsia" w:ascii="Times New Roman" w:hAnsi="Times New Roman" w:eastAsia="宋体" w:cs="Times New Roman"/>
                      <w:color w:val="auto"/>
                      <w:spacing w:val="-10"/>
                      <w:sz w:val="18"/>
                      <w:szCs w:val="18"/>
                      <w:lang w:val="en-US" w:eastAsia="zh-CN"/>
                    </w:rPr>
                  </w:pPr>
                  <w:r>
                    <w:rPr>
                      <w:rFonts w:hint="eastAsia" w:cs="Times New Roman"/>
                      <w:color w:val="auto"/>
                      <w:spacing w:val="-10"/>
                      <w:sz w:val="18"/>
                      <w:szCs w:val="18"/>
                      <w:lang w:val="en-US" w:eastAsia="zh-CN"/>
                    </w:rPr>
                    <w:t>5</w:t>
                  </w:r>
                </w:p>
              </w:tc>
              <w:tc>
                <w:tcPr>
                  <w:tcW w:w="804" w:type="pct"/>
                  <w:noWrap w:val="0"/>
                  <w:vAlign w:val="center"/>
                </w:tcPr>
                <w:p w14:paraId="6C693D58">
                  <w:pPr>
                    <w:spacing w:line="320" w:lineRule="exact"/>
                    <w:jc w:val="center"/>
                    <w:rPr>
                      <w:rFonts w:hint="eastAsia" w:ascii="Times New Roman" w:hAnsi="Times New Roman" w:eastAsia="宋体" w:cs="Times New Roman"/>
                      <w:color w:val="auto"/>
                      <w:spacing w:val="-10"/>
                      <w:kern w:val="2"/>
                      <w:sz w:val="18"/>
                      <w:szCs w:val="18"/>
                      <w:lang w:val="en-US" w:eastAsia="zh-CN" w:bidi="ar-SA"/>
                    </w:rPr>
                  </w:pPr>
                  <w:r>
                    <w:rPr>
                      <w:rFonts w:hint="eastAsia" w:cs="Times New Roman"/>
                      <w:color w:val="auto"/>
                      <w:spacing w:val="-10"/>
                      <w:sz w:val="18"/>
                      <w:szCs w:val="18"/>
                      <w:lang w:val="en-US" w:eastAsia="zh-CN"/>
                    </w:rPr>
                    <w:t>废油桶</w:t>
                  </w:r>
                </w:p>
              </w:tc>
              <w:tc>
                <w:tcPr>
                  <w:tcW w:w="715" w:type="pct"/>
                  <w:noWrap w:val="0"/>
                  <w:vAlign w:val="top"/>
                </w:tcPr>
                <w:p w14:paraId="75775BEB">
                  <w:pPr>
                    <w:spacing w:line="320" w:lineRule="exact"/>
                    <w:jc w:val="center"/>
                    <w:rPr>
                      <w:rFonts w:hint="eastAsia" w:ascii="Times New Roman" w:hAnsi="Times New Roman" w:eastAsia="宋体" w:cs="Times New Roman"/>
                      <w:color w:val="auto"/>
                      <w:spacing w:val="-10"/>
                      <w:sz w:val="18"/>
                      <w:szCs w:val="18"/>
                      <w:lang w:val="en-US" w:eastAsia="zh-CN"/>
                    </w:rPr>
                  </w:pPr>
                  <w:r>
                    <w:rPr>
                      <w:rFonts w:hint="eastAsia" w:ascii="Times New Roman" w:hAnsi="Times New Roman" w:eastAsia="宋体" w:cs="Times New Roman"/>
                      <w:color w:val="auto"/>
                      <w:spacing w:val="-10"/>
                      <w:sz w:val="18"/>
                      <w:szCs w:val="18"/>
                      <w:lang w:val="en-US" w:eastAsia="zh-CN"/>
                    </w:rPr>
                    <w:t>—</w:t>
                  </w:r>
                </w:p>
              </w:tc>
              <w:tc>
                <w:tcPr>
                  <w:tcW w:w="1162" w:type="pct"/>
                  <w:noWrap w:val="0"/>
                  <w:vAlign w:val="center"/>
                </w:tcPr>
                <w:p w14:paraId="002DF3BB">
                  <w:pPr>
                    <w:spacing w:line="320" w:lineRule="exact"/>
                    <w:jc w:val="center"/>
                    <w:rPr>
                      <w:rFonts w:hint="default" w:ascii="Times New Roman" w:hAnsi="Times New Roman" w:eastAsia="宋体" w:cs="Times New Roman"/>
                      <w:color w:val="auto"/>
                      <w:spacing w:val="-10"/>
                      <w:sz w:val="18"/>
                      <w:szCs w:val="18"/>
                      <w:lang w:val="en-US" w:eastAsia="zh-CN"/>
                    </w:rPr>
                  </w:pPr>
                  <w:r>
                    <w:rPr>
                      <w:rFonts w:hint="eastAsia" w:cs="Times New Roman"/>
                      <w:color w:val="auto"/>
                      <w:spacing w:val="-10"/>
                      <w:sz w:val="18"/>
                      <w:szCs w:val="18"/>
                      <w:lang w:val="en-US" w:eastAsia="zh-CN"/>
                    </w:rPr>
                    <w:t>0.076</w:t>
                  </w:r>
                </w:p>
              </w:tc>
              <w:tc>
                <w:tcPr>
                  <w:tcW w:w="812" w:type="pct"/>
                  <w:noWrap w:val="0"/>
                  <w:vAlign w:val="center"/>
                </w:tcPr>
                <w:p w14:paraId="75A5A635">
                  <w:pPr>
                    <w:spacing w:line="320" w:lineRule="exact"/>
                    <w:jc w:val="center"/>
                    <w:rPr>
                      <w:rFonts w:hint="default" w:ascii="Times New Roman" w:hAnsi="Times New Roman" w:eastAsia="宋体" w:cs="Times New Roman"/>
                      <w:color w:val="auto"/>
                      <w:spacing w:val="-10"/>
                      <w:kern w:val="2"/>
                      <w:sz w:val="18"/>
                      <w:szCs w:val="18"/>
                      <w:highlight w:val="none"/>
                      <w:lang w:val="en-US" w:eastAsia="zh-CN" w:bidi="ar-SA"/>
                    </w:rPr>
                  </w:pPr>
                  <w:r>
                    <w:rPr>
                      <w:rFonts w:hint="eastAsia" w:cs="Times New Roman"/>
                      <w:color w:val="auto"/>
                      <w:spacing w:val="-10"/>
                      <w:sz w:val="18"/>
                      <w:szCs w:val="18"/>
                      <w:highlight w:val="none"/>
                      <w:lang w:val="en-US" w:eastAsia="zh-CN"/>
                    </w:rPr>
                    <w:t>100</w:t>
                  </w:r>
                </w:p>
              </w:tc>
              <w:tc>
                <w:tcPr>
                  <w:tcW w:w="1954" w:type="dxa"/>
                  <w:noWrap w:val="0"/>
                  <w:vAlign w:val="center"/>
                </w:tcPr>
                <w:p w14:paraId="4F53DDC5">
                  <w:pPr>
                    <w:spacing w:line="320" w:lineRule="exact"/>
                    <w:jc w:val="center"/>
                    <w:rPr>
                      <w:rFonts w:hint="default" w:ascii="Times New Roman" w:hAnsi="Times New Roman" w:eastAsia="宋体" w:cs="Times New Roman"/>
                      <w:color w:val="auto"/>
                      <w:spacing w:val="-10"/>
                      <w:kern w:val="2"/>
                      <w:sz w:val="18"/>
                      <w:szCs w:val="18"/>
                      <w:highlight w:val="none"/>
                      <w:lang w:val="en-US" w:eastAsia="zh-CN" w:bidi="ar-SA"/>
                    </w:rPr>
                  </w:pPr>
                  <w:r>
                    <w:rPr>
                      <w:rFonts w:hint="eastAsia" w:ascii="Times New Roman" w:hAnsi="Times New Roman" w:eastAsia="宋体" w:cs="Times New Roman"/>
                      <w:color w:val="auto"/>
                      <w:spacing w:val="-10"/>
                      <w:kern w:val="2"/>
                      <w:sz w:val="18"/>
                      <w:szCs w:val="18"/>
                      <w:highlight w:val="none"/>
                      <w:lang w:val="en-US" w:eastAsia="zh-CN" w:bidi="ar-SA"/>
                    </w:rPr>
                    <w:t>0.000</w:t>
                  </w:r>
                  <w:r>
                    <w:rPr>
                      <w:rFonts w:hint="eastAsia" w:cs="Times New Roman"/>
                      <w:color w:val="auto"/>
                      <w:spacing w:val="-10"/>
                      <w:kern w:val="2"/>
                      <w:sz w:val="18"/>
                      <w:szCs w:val="18"/>
                      <w:highlight w:val="none"/>
                      <w:lang w:val="en-US" w:eastAsia="zh-CN" w:bidi="ar-SA"/>
                    </w:rPr>
                    <w:t>76</w:t>
                  </w:r>
                </w:p>
              </w:tc>
            </w:tr>
            <w:tr w14:paraId="45B400E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284" w:hRule="atLeast"/>
                <w:jc w:val="center"/>
              </w:trPr>
              <w:tc>
                <w:tcPr>
                  <w:tcW w:w="3769" w:type="pct"/>
                  <w:gridSpan w:val="5"/>
                  <w:noWrap w:val="0"/>
                  <w:vAlign w:val="center"/>
                </w:tcPr>
                <w:p w14:paraId="4358F28C">
                  <w:pPr>
                    <w:spacing w:line="320" w:lineRule="exact"/>
                    <w:jc w:val="center"/>
                    <w:rPr>
                      <w:rFonts w:hint="eastAsia" w:ascii="Times New Roman" w:hAnsi="Times New Roman" w:eastAsia="宋体" w:cs="Times New Roman"/>
                      <w:color w:val="auto"/>
                      <w:spacing w:val="-10"/>
                      <w:sz w:val="18"/>
                      <w:szCs w:val="18"/>
                      <w:lang w:val="en-US" w:eastAsia="zh-CN"/>
                    </w:rPr>
                  </w:pPr>
                  <w:r>
                    <w:rPr>
                      <w:rFonts w:hint="eastAsia" w:ascii="Times New Roman" w:hAnsi="Times New Roman" w:eastAsia="宋体" w:cs="Times New Roman"/>
                      <w:color w:val="auto"/>
                      <w:spacing w:val="-10"/>
                      <w:sz w:val="18"/>
                      <w:szCs w:val="18"/>
                      <w:lang w:val="en-US" w:eastAsia="zh-CN"/>
                    </w:rPr>
                    <w:t>项目Q值∑</w:t>
                  </w:r>
                </w:p>
              </w:tc>
              <w:tc>
                <w:tcPr>
                  <w:tcW w:w="1954" w:type="dxa"/>
                  <w:noWrap w:val="0"/>
                  <w:vAlign w:val="center"/>
                </w:tcPr>
                <w:p w14:paraId="14477991">
                  <w:pPr>
                    <w:spacing w:line="320" w:lineRule="exact"/>
                    <w:jc w:val="center"/>
                    <w:rPr>
                      <w:rFonts w:hint="default" w:ascii="Times New Roman" w:hAnsi="Times New Roman" w:eastAsia="宋体" w:cs="Times New Roman"/>
                      <w:color w:val="auto"/>
                      <w:spacing w:val="-10"/>
                      <w:kern w:val="2"/>
                      <w:sz w:val="18"/>
                      <w:szCs w:val="18"/>
                      <w:highlight w:val="none"/>
                      <w:lang w:val="en-US" w:eastAsia="zh-CN" w:bidi="ar-SA"/>
                    </w:rPr>
                  </w:pPr>
                  <w:r>
                    <w:rPr>
                      <w:rFonts w:hint="eastAsia" w:ascii="Times New Roman" w:hAnsi="Times New Roman" w:eastAsia="宋体" w:cs="Times New Roman"/>
                      <w:color w:val="auto"/>
                      <w:spacing w:val="-10"/>
                      <w:kern w:val="2"/>
                      <w:sz w:val="18"/>
                      <w:szCs w:val="18"/>
                      <w:highlight w:val="none"/>
                      <w:lang w:val="en-US" w:eastAsia="zh-CN" w:bidi="ar-SA"/>
                    </w:rPr>
                    <w:t>0.002</w:t>
                  </w:r>
                  <w:r>
                    <w:rPr>
                      <w:rFonts w:hint="eastAsia" w:cs="Times New Roman"/>
                      <w:color w:val="auto"/>
                      <w:spacing w:val="-10"/>
                      <w:kern w:val="2"/>
                      <w:sz w:val="18"/>
                      <w:szCs w:val="18"/>
                      <w:highlight w:val="none"/>
                      <w:lang w:val="en-US" w:eastAsia="zh-CN" w:bidi="ar-SA"/>
                    </w:rPr>
                    <w:t>92</w:t>
                  </w:r>
                </w:p>
              </w:tc>
            </w:tr>
          </w:tbl>
          <w:p w14:paraId="27F62D0F">
            <w:pPr>
              <w:spacing w:line="440" w:lineRule="exact"/>
              <w:ind w:firstLine="420" w:firstLineChars="200"/>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由上表可知，本项目Q值为0.00</w:t>
            </w:r>
            <w:r>
              <w:rPr>
                <w:rFonts w:hint="eastAsia" w:cs="Times New Roman"/>
                <w:color w:val="auto"/>
                <w:szCs w:val="21"/>
                <w:lang w:val="en-US" w:eastAsia="zh-CN"/>
              </w:rPr>
              <w:t>292</w:t>
            </w:r>
            <w:r>
              <w:rPr>
                <w:rFonts w:hint="eastAsia" w:ascii="Times New Roman" w:hAnsi="Times New Roman" w:eastAsia="宋体" w:cs="Times New Roman"/>
                <w:color w:val="auto"/>
                <w:szCs w:val="21"/>
                <w:lang w:val="en-US" w:eastAsia="zh-CN"/>
              </w:rPr>
              <w:t>，即Q＜1。</w:t>
            </w:r>
          </w:p>
          <w:p w14:paraId="20D9664B">
            <w:pPr>
              <w:spacing w:line="440" w:lineRule="exact"/>
              <w:ind w:firstLine="422" w:firstLineChars="200"/>
              <w:rPr>
                <w:rFonts w:hint="eastAsia" w:ascii="Times New Roman" w:hAnsi="Times New Roman" w:eastAsia="宋体" w:cs="Times New Roman"/>
                <w:b/>
                <w:bCs/>
                <w:color w:val="auto"/>
                <w:lang w:val="en-US" w:eastAsia="zh-CN"/>
              </w:rPr>
            </w:pPr>
            <w:r>
              <w:rPr>
                <w:rFonts w:hint="eastAsia"/>
                <w:b/>
                <w:bCs/>
                <w:color w:val="auto"/>
              </w:rPr>
              <w:t>7.</w:t>
            </w:r>
            <w:r>
              <w:rPr>
                <w:rFonts w:hint="eastAsia"/>
                <w:b/>
                <w:bCs/>
                <w:color w:val="auto"/>
                <w:lang w:val="en-US" w:eastAsia="zh-CN"/>
              </w:rPr>
              <w:t>3</w:t>
            </w:r>
            <w:r>
              <w:rPr>
                <w:rFonts w:hint="eastAsia" w:ascii="Times New Roman" w:hAnsi="Times New Roman" w:eastAsia="宋体" w:cs="Times New Roman"/>
                <w:b/>
                <w:bCs/>
                <w:color w:val="auto"/>
                <w:lang w:val="en-US" w:eastAsia="zh-CN"/>
              </w:rPr>
              <w:t>风险识别</w:t>
            </w:r>
          </w:p>
          <w:p w14:paraId="602E97FD">
            <w:pPr>
              <w:spacing w:line="440" w:lineRule="exact"/>
              <w:ind w:firstLine="420" w:firstLineChars="200"/>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风险识别内容包括物质危险性识别、生产系统危险性识别及危险物质向环境转移的途径识别。</w:t>
            </w:r>
          </w:p>
          <w:p w14:paraId="0E48C6FE">
            <w:pPr>
              <w:spacing w:line="440" w:lineRule="exact"/>
              <w:ind w:firstLine="420" w:firstLineChars="200"/>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①物质危险性识别</w:t>
            </w:r>
          </w:p>
          <w:p w14:paraId="68A8BBE2">
            <w:pPr>
              <w:spacing w:line="440" w:lineRule="exact"/>
              <w:ind w:firstLine="420" w:firstLineChars="200"/>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本项目涉及的危险物质主要包括油类物质等，其危险特性、分布情况见下表。</w:t>
            </w:r>
          </w:p>
          <w:p w14:paraId="181B8012">
            <w:pPr>
              <w:spacing w:line="460" w:lineRule="exact"/>
              <w:jc w:val="center"/>
              <w:rPr>
                <w:rFonts w:hint="eastAsia" w:ascii="Times New Roman" w:hAnsi="Times New Roman" w:eastAsia="宋体" w:cs="Times New Roman"/>
                <w:b/>
                <w:bCs/>
                <w:color w:val="auto"/>
              </w:rPr>
            </w:pPr>
            <w:r>
              <w:rPr>
                <w:rFonts w:hint="eastAsia" w:ascii="Times New Roman" w:hAnsi="Times New Roman" w:eastAsia="宋体" w:cs="Times New Roman"/>
                <w:b/>
                <w:bCs/>
                <w:color w:val="auto"/>
              </w:rPr>
              <w:t>表</w:t>
            </w:r>
            <w:r>
              <w:rPr>
                <w:rFonts w:hint="eastAsia" w:cs="Times New Roman"/>
                <w:b/>
                <w:bCs/>
                <w:color w:val="auto"/>
                <w:lang w:val="en-US" w:eastAsia="zh-CN"/>
              </w:rPr>
              <w:t>49</w:t>
            </w:r>
            <w:r>
              <w:rPr>
                <w:rFonts w:hint="eastAsia" w:ascii="Times New Roman" w:hAnsi="Times New Roman" w:eastAsia="宋体" w:cs="Times New Roman"/>
                <w:b/>
                <w:bCs/>
                <w:color w:val="auto"/>
                <w:lang w:val="en-US" w:eastAsia="zh-CN"/>
              </w:rPr>
              <w:t xml:space="preserve"> </w:t>
            </w:r>
            <w:r>
              <w:rPr>
                <w:rFonts w:hint="eastAsia" w:ascii="Times New Roman" w:hAnsi="Times New Roman" w:eastAsia="宋体" w:cs="Times New Roman"/>
                <w:b/>
                <w:bCs/>
                <w:color w:val="auto"/>
              </w:rPr>
              <w:t>物质危险性识别结果一览表</w:t>
            </w:r>
          </w:p>
          <w:tbl>
            <w:tblPr>
              <w:tblStyle w:val="28"/>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28" w:type="dxa"/>
                <w:bottom w:w="0" w:type="dxa"/>
                <w:right w:w="28" w:type="dxa"/>
              </w:tblCellMar>
            </w:tblPr>
            <w:tblGrid>
              <w:gridCol w:w="723"/>
              <w:gridCol w:w="1751"/>
              <w:gridCol w:w="3899"/>
              <w:gridCol w:w="1570"/>
            </w:tblGrid>
            <w:tr w14:paraId="170583C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455" w:type="pct"/>
                  <w:noWrap w:val="0"/>
                  <w:vAlign w:val="center"/>
                </w:tcPr>
                <w:p w14:paraId="2D05643B">
                  <w:pPr>
                    <w:spacing w:line="320" w:lineRule="exact"/>
                    <w:jc w:val="center"/>
                    <w:rPr>
                      <w:rFonts w:hint="eastAsia" w:ascii="Times New Roman" w:hAnsi="Times New Roman" w:eastAsia="宋体" w:cs="Times New Roman"/>
                      <w:color w:val="auto"/>
                      <w:spacing w:val="-10"/>
                      <w:sz w:val="18"/>
                      <w:szCs w:val="18"/>
                      <w:lang w:val="en-US" w:eastAsia="zh-CN"/>
                    </w:rPr>
                  </w:pPr>
                  <w:r>
                    <w:rPr>
                      <w:rFonts w:hint="eastAsia" w:ascii="Times New Roman" w:hAnsi="Times New Roman" w:eastAsia="宋体" w:cs="Times New Roman"/>
                      <w:color w:val="auto"/>
                      <w:spacing w:val="-10"/>
                      <w:sz w:val="18"/>
                      <w:szCs w:val="18"/>
                      <w:lang w:val="en-US" w:eastAsia="zh-CN"/>
                    </w:rPr>
                    <w:t>序号</w:t>
                  </w:r>
                </w:p>
              </w:tc>
              <w:tc>
                <w:tcPr>
                  <w:tcW w:w="1102" w:type="pct"/>
                  <w:noWrap w:val="0"/>
                  <w:vAlign w:val="center"/>
                </w:tcPr>
                <w:p w14:paraId="55346EC8">
                  <w:pPr>
                    <w:spacing w:line="320" w:lineRule="exact"/>
                    <w:jc w:val="center"/>
                    <w:rPr>
                      <w:rFonts w:hint="eastAsia" w:ascii="Times New Roman" w:hAnsi="Times New Roman" w:eastAsia="宋体" w:cs="Times New Roman"/>
                      <w:color w:val="auto"/>
                      <w:spacing w:val="-10"/>
                      <w:sz w:val="18"/>
                      <w:szCs w:val="18"/>
                      <w:lang w:val="en-US" w:eastAsia="zh-CN"/>
                    </w:rPr>
                  </w:pPr>
                  <w:r>
                    <w:rPr>
                      <w:rFonts w:hint="eastAsia" w:ascii="Times New Roman" w:hAnsi="Times New Roman" w:eastAsia="宋体" w:cs="Times New Roman"/>
                      <w:color w:val="auto"/>
                      <w:spacing w:val="-10"/>
                      <w:sz w:val="18"/>
                      <w:szCs w:val="18"/>
                      <w:lang w:val="en-US" w:eastAsia="zh-CN"/>
                    </w:rPr>
                    <w:t>危险物质名称</w:t>
                  </w:r>
                </w:p>
              </w:tc>
              <w:tc>
                <w:tcPr>
                  <w:tcW w:w="2454" w:type="pct"/>
                  <w:noWrap w:val="0"/>
                  <w:vAlign w:val="center"/>
                </w:tcPr>
                <w:p w14:paraId="4DB32AB6">
                  <w:pPr>
                    <w:spacing w:line="320" w:lineRule="exact"/>
                    <w:jc w:val="center"/>
                    <w:rPr>
                      <w:rFonts w:hint="eastAsia" w:ascii="Times New Roman" w:hAnsi="Times New Roman" w:eastAsia="宋体" w:cs="Times New Roman"/>
                      <w:color w:val="auto"/>
                      <w:spacing w:val="-10"/>
                      <w:sz w:val="18"/>
                      <w:szCs w:val="18"/>
                      <w:lang w:val="en-US" w:eastAsia="zh-CN"/>
                    </w:rPr>
                  </w:pPr>
                  <w:r>
                    <w:rPr>
                      <w:rFonts w:hint="eastAsia" w:ascii="Times New Roman" w:hAnsi="Times New Roman" w:eastAsia="宋体" w:cs="Times New Roman"/>
                      <w:color w:val="auto"/>
                      <w:spacing w:val="-10"/>
                      <w:sz w:val="18"/>
                      <w:szCs w:val="18"/>
                      <w:lang w:val="en-US" w:eastAsia="zh-CN"/>
                    </w:rPr>
                    <w:t>易燃易爆性</w:t>
                  </w:r>
                </w:p>
              </w:tc>
              <w:tc>
                <w:tcPr>
                  <w:tcW w:w="988" w:type="pct"/>
                  <w:noWrap w:val="0"/>
                  <w:vAlign w:val="center"/>
                </w:tcPr>
                <w:p w14:paraId="421E5B06">
                  <w:pPr>
                    <w:spacing w:line="320" w:lineRule="exact"/>
                    <w:jc w:val="center"/>
                    <w:rPr>
                      <w:rFonts w:hint="eastAsia" w:ascii="Times New Roman" w:hAnsi="Times New Roman" w:eastAsia="宋体" w:cs="Times New Roman"/>
                      <w:color w:val="auto"/>
                      <w:spacing w:val="-10"/>
                      <w:sz w:val="18"/>
                      <w:szCs w:val="18"/>
                      <w:lang w:val="en-US" w:eastAsia="zh-CN"/>
                    </w:rPr>
                  </w:pPr>
                  <w:r>
                    <w:rPr>
                      <w:rFonts w:hint="eastAsia" w:ascii="Times New Roman" w:hAnsi="Times New Roman" w:eastAsia="宋体" w:cs="Times New Roman"/>
                      <w:color w:val="auto"/>
                      <w:spacing w:val="-10"/>
                      <w:sz w:val="18"/>
                      <w:szCs w:val="18"/>
                      <w:lang w:val="en-US" w:eastAsia="zh-CN"/>
                    </w:rPr>
                    <w:t>有毒有害性</w:t>
                  </w:r>
                </w:p>
              </w:tc>
            </w:tr>
            <w:tr w14:paraId="4F47D28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455" w:type="pct"/>
                  <w:noWrap w:val="0"/>
                  <w:vAlign w:val="center"/>
                </w:tcPr>
                <w:p w14:paraId="4B7E1D86">
                  <w:pPr>
                    <w:spacing w:line="320" w:lineRule="exact"/>
                    <w:jc w:val="center"/>
                    <w:rPr>
                      <w:rFonts w:hint="eastAsia" w:ascii="Times New Roman" w:hAnsi="Times New Roman" w:eastAsia="宋体" w:cs="Times New Roman"/>
                      <w:color w:val="auto"/>
                      <w:spacing w:val="-10"/>
                      <w:sz w:val="18"/>
                      <w:szCs w:val="18"/>
                      <w:lang w:val="en-US" w:eastAsia="zh-CN"/>
                    </w:rPr>
                  </w:pPr>
                  <w:r>
                    <w:rPr>
                      <w:rFonts w:hint="eastAsia" w:ascii="Times New Roman" w:hAnsi="Times New Roman" w:eastAsia="宋体" w:cs="Times New Roman"/>
                      <w:color w:val="auto"/>
                      <w:spacing w:val="-10"/>
                      <w:sz w:val="18"/>
                      <w:szCs w:val="18"/>
                      <w:lang w:val="en-US" w:eastAsia="zh-CN"/>
                    </w:rPr>
                    <w:t>1</w:t>
                  </w:r>
                </w:p>
              </w:tc>
              <w:tc>
                <w:tcPr>
                  <w:tcW w:w="1102" w:type="pct"/>
                  <w:noWrap w:val="0"/>
                  <w:vAlign w:val="center"/>
                </w:tcPr>
                <w:p w14:paraId="034CEFCE">
                  <w:pPr>
                    <w:spacing w:line="320" w:lineRule="exact"/>
                    <w:jc w:val="center"/>
                    <w:rPr>
                      <w:rFonts w:hint="eastAsia" w:ascii="Times New Roman" w:hAnsi="Times New Roman" w:eastAsia="宋体" w:cs="Times New Roman"/>
                      <w:color w:val="auto"/>
                      <w:spacing w:val="-10"/>
                      <w:sz w:val="18"/>
                      <w:szCs w:val="18"/>
                      <w:lang w:val="en-US" w:eastAsia="zh-CN"/>
                    </w:rPr>
                  </w:pPr>
                  <w:r>
                    <w:rPr>
                      <w:rFonts w:hint="eastAsia" w:ascii="Times New Roman" w:hAnsi="Times New Roman" w:eastAsia="宋体" w:cs="Times New Roman"/>
                      <w:color w:val="auto"/>
                      <w:spacing w:val="-10"/>
                      <w:sz w:val="18"/>
                      <w:szCs w:val="18"/>
                      <w:lang w:val="en-US" w:eastAsia="zh-CN"/>
                    </w:rPr>
                    <w:t>油类</w:t>
                  </w:r>
                </w:p>
              </w:tc>
              <w:tc>
                <w:tcPr>
                  <w:tcW w:w="2454" w:type="pct"/>
                  <w:noWrap w:val="0"/>
                  <w:vAlign w:val="center"/>
                </w:tcPr>
                <w:p w14:paraId="31A7F117">
                  <w:pPr>
                    <w:spacing w:line="320" w:lineRule="exact"/>
                    <w:jc w:val="center"/>
                    <w:rPr>
                      <w:rFonts w:hint="eastAsia" w:ascii="Times New Roman" w:hAnsi="Times New Roman" w:eastAsia="宋体" w:cs="Times New Roman"/>
                      <w:color w:val="auto"/>
                      <w:spacing w:val="-10"/>
                      <w:sz w:val="18"/>
                      <w:szCs w:val="18"/>
                      <w:lang w:val="en-US" w:eastAsia="zh-CN"/>
                    </w:rPr>
                  </w:pPr>
                  <w:r>
                    <w:rPr>
                      <w:rFonts w:hint="eastAsia" w:ascii="Times New Roman" w:hAnsi="Times New Roman" w:eastAsia="宋体" w:cs="Times New Roman"/>
                      <w:color w:val="auto"/>
                      <w:spacing w:val="-10"/>
                      <w:sz w:val="18"/>
                      <w:szCs w:val="18"/>
                      <w:lang w:val="en-US" w:eastAsia="zh-CN"/>
                    </w:rPr>
                    <w:t>发生热裂解反应，生成易挥发及较低闪点的低聚物</w:t>
                  </w:r>
                </w:p>
              </w:tc>
              <w:tc>
                <w:tcPr>
                  <w:tcW w:w="988" w:type="pct"/>
                  <w:noWrap w:val="0"/>
                  <w:vAlign w:val="center"/>
                </w:tcPr>
                <w:p w14:paraId="3DD2D69D">
                  <w:pPr>
                    <w:spacing w:line="320" w:lineRule="exact"/>
                    <w:jc w:val="center"/>
                    <w:rPr>
                      <w:rFonts w:hint="eastAsia" w:ascii="Times New Roman" w:hAnsi="Times New Roman" w:eastAsia="宋体" w:cs="Times New Roman"/>
                      <w:color w:val="auto"/>
                      <w:spacing w:val="-10"/>
                      <w:sz w:val="18"/>
                      <w:szCs w:val="18"/>
                      <w:lang w:val="en-US" w:eastAsia="zh-CN"/>
                    </w:rPr>
                  </w:pPr>
                  <w:r>
                    <w:rPr>
                      <w:rFonts w:hint="eastAsia" w:ascii="Times New Roman" w:hAnsi="Times New Roman" w:eastAsia="宋体" w:cs="Times New Roman"/>
                      <w:color w:val="auto"/>
                      <w:spacing w:val="-10"/>
                      <w:sz w:val="18"/>
                      <w:szCs w:val="18"/>
                      <w:lang w:val="en-US" w:eastAsia="zh-CN"/>
                    </w:rPr>
                    <w:t>--</w:t>
                  </w:r>
                </w:p>
              </w:tc>
            </w:tr>
          </w:tbl>
          <w:p w14:paraId="71036A8E">
            <w:pPr>
              <w:spacing w:line="440" w:lineRule="exact"/>
              <w:ind w:firstLine="420" w:firstLineChars="200"/>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②生产系统危险性识别</w:t>
            </w:r>
          </w:p>
          <w:p w14:paraId="2A53351C">
            <w:pPr>
              <w:spacing w:line="440" w:lineRule="exact"/>
              <w:ind w:firstLine="420" w:firstLineChars="200"/>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根据本项目工艺流程及平面布置功能分区，并结合物质危险性识别，确定危险单元为生产作业区</w:t>
            </w:r>
            <w:r>
              <w:rPr>
                <w:rFonts w:hint="eastAsia" w:cs="Times New Roman"/>
                <w:color w:val="auto"/>
                <w:szCs w:val="21"/>
                <w:lang w:val="en-US" w:eastAsia="zh-CN"/>
              </w:rPr>
              <w:t>、危险废物暂存间</w:t>
            </w:r>
            <w:r>
              <w:rPr>
                <w:rFonts w:hint="eastAsia" w:ascii="Times New Roman" w:hAnsi="Times New Roman" w:eastAsia="宋体" w:cs="Times New Roman"/>
                <w:color w:val="auto"/>
                <w:szCs w:val="21"/>
                <w:lang w:val="en-US" w:eastAsia="zh-CN"/>
              </w:rPr>
              <w:t>。</w:t>
            </w:r>
          </w:p>
          <w:p w14:paraId="0DFA4745">
            <w:pPr>
              <w:spacing w:line="440" w:lineRule="exact"/>
              <w:ind w:firstLine="420" w:firstLineChars="200"/>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③危险物质向环境转移的途径识别</w:t>
            </w:r>
          </w:p>
          <w:p w14:paraId="52E88D64">
            <w:pPr>
              <w:spacing w:line="440" w:lineRule="exact"/>
              <w:ind w:firstLine="420" w:firstLineChars="200"/>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根据本项目危险物质及生产系统危险性识别结果，项目涉及的环境风险类型涉及危险物质泄漏以及火灾爆炸引发的次生污染物排放。危险物质向环境转移的可能途径及影响方式主要有以下几个方面：</w:t>
            </w:r>
          </w:p>
          <w:p w14:paraId="02B5ECB5">
            <w:pPr>
              <w:spacing w:line="440" w:lineRule="exact"/>
              <w:ind w:firstLine="420" w:firstLineChars="200"/>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大气扩散：有毒有害物质泄漏后直接进入大气环境或发生火灾或爆炸后产生的次生污染物进入大气环境，通过大气扩散对周围环境造成影响。</w:t>
            </w:r>
          </w:p>
          <w:p w14:paraId="021BDE9B">
            <w:pPr>
              <w:spacing w:line="440" w:lineRule="exact"/>
              <w:ind w:firstLine="420" w:firstLineChars="200"/>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水环境扩散：本项目泄漏物料和泄漏物料发生火灾事故时产生的消防废水可能通过管网排入外环境，对周围水环境造成影响。</w:t>
            </w:r>
          </w:p>
          <w:p w14:paraId="4031A2EE">
            <w:pPr>
              <w:spacing w:line="440" w:lineRule="exact"/>
              <w:ind w:firstLine="420" w:firstLineChars="200"/>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土壤扩散：本项目液态危险物质泄漏后聚积地面，在防渗层失效情况下，通过地表渗透进入土壤或地下水，对土壤、地下水环境造成影响。</w:t>
            </w:r>
          </w:p>
          <w:p w14:paraId="79D04EC0">
            <w:pPr>
              <w:spacing w:line="440" w:lineRule="exact"/>
              <w:ind w:firstLine="420" w:firstLineChars="200"/>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④风险识别结果</w:t>
            </w:r>
          </w:p>
          <w:p w14:paraId="7B7B7D64">
            <w:pPr>
              <w:spacing w:line="440" w:lineRule="exact"/>
              <w:ind w:firstLine="420" w:firstLineChars="200"/>
              <w:rPr>
                <w:rFonts w:hint="eastAsia" w:ascii="Times New Roman" w:hAnsi="Times New Roman" w:eastAsia="宋体" w:cs="Times New Roman"/>
                <w:color w:val="auto"/>
                <w:szCs w:val="21"/>
                <w:lang w:val="en-US" w:eastAsia="zh-CN"/>
              </w:rPr>
            </w:pPr>
            <w:r>
              <w:rPr>
                <w:rFonts w:hint="eastAsia" w:cs="Times New Roman"/>
                <w:color w:val="auto"/>
                <w:szCs w:val="21"/>
                <w:lang w:val="en-US" w:eastAsia="zh-CN"/>
              </w:rPr>
              <w:t>项目风险</w:t>
            </w:r>
            <w:r>
              <w:rPr>
                <w:rFonts w:hint="eastAsia" w:ascii="Times New Roman" w:hAnsi="Times New Roman" w:eastAsia="宋体" w:cs="Times New Roman"/>
                <w:color w:val="auto"/>
                <w:szCs w:val="21"/>
                <w:lang w:val="en-US" w:eastAsia="zh-CN"/>
              </w:rPr>
              <w:t>物质及生产系统危险性识别结果见下表。</w:t>
            </w:r>
          </w:p>
          <w:p w14:paraId="14DB7B4E">
            <w:pPr>
              <w:spacing w:line="460" w:lineRule="exact"/>
              <w:jc w:val="center"/>
              <w:rPr>
                <w:rFonts w:hint="eastAsia" w:ascii="Times New Roman" w:hAnsi="Times New Roman" w:eastAsia="宋体" w:cs="Times New Roman"/>
                <w:b/>
                <w:bCs/>
                <w:color w:val="auto"/>
              </w:rPr>
            </w:pPr>
            <w:r>
              <w:rPr>
                <w:rFonts w:hint="eastAsia" w:ascii="Times New Roman" w:hAnsi="Times New Roman" w:eastAsia="宋体" w:cs="Times New Roman"/>
                <w:b/>
                <w:bCs/>
                <w:color w:val="auto"/>
              </w:rPr>
              <w:t>表</w:t>
            </w:r>
            <w:r>
              <w:rPr>
                <w:rFonts w:hint="eastAsia" w:cs="Times New Roman"/>
                <w:b/>
                <w:bCs/>
                <w:color w:val="auto"/>
                <w:lang w:val="en-US" w:eastAsia="zh-CN"/>
              </w:rPr>
              <w:t>50</w:t>
            </w:r>
            <w:r>
              <w:rPr>
                <w:rFonts w:hint="eastAsia" w:ascii="Times New Roman" w:hAnsi="Times New Roman" w:eastAsia="宋体" w:cs="Times New Roman"/>
                <w:b/>
                <w:bCs/>
                <w:color w:val="auto"/>
                <w:lang w:val="en-US" w:eastAsia="zh-CN"/>
              </w:rPr>
              <w:t xml:space="preserve"> </w:t>
            </w:r>
            <w:r>
              <w:rPr>
                <w:rFonts w:hint="eastAsia" w:cs="Times New Roman"/>
                <w:b/>
                <w:bCs/>
                <w:color w:val="auto"/>
                <w:lang w:val="en-US" w:eastAsia="zh-CN"/>
              </w:rPr>
              <w:t>本项目</w:t>
            </w:r>
            <w:r>
              <w:rPr>
                <w:rFonts w:hint="eastAsia" w:ascii="Times New Roman" w:hAnsi="Times New Roman" w:eastAsia="宋体" w:cs="Times New Roman"/>
                <w:b/>
                <w:bCs/>
                <w:color w:val="auto"/>
              </w:rPr>
              <w:t>环境风险识别表</w:t>
            </w:r>
          </w:p>
          <w:tbl>
            <w:tblPr>
              <w:tblStyle w:val="28"/>
              <w:tblW w:w="4997"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28" w:type="dxa"/>
                <w:bottom w:w="0" w:type="dxa"/>
                <w:right w:w="28" w:type="dxa"/>
              </w:tblCellMar>
            </w:tblPr>
            <w:tblGrid>
              <w:gridCol w:w="420"/>
              <w:gridCol w:w="1082"/>
              <w:gridCol w:w="1203"/>
              <w:gridCol w:w="813"/>
              <w:gridCol w:w="1087"/>
              <w:gridCol w:w="1307"/>
              <w:gridCol w:w="2030"/>
            </w:tblGrid>
            <w:tr w14:paraId="71377D1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264" w:type="pct"/>
                  <w:noWrap w:val="0"/>
                  <w:vAlign w:val="center"/>
                </w:tcPr>
                <w:p w14:paraId="520261E8">
                  <w:pPr>
                    <w:spacing w:line="320" w:lineRule="exact"/>
                    <w:jc w:val="center"/>
                    <w:rPr>
                      <w:rFonts w:hint="eastAsia" w:ascii="Times New Roman" w:hAnsi="Times New Roman" w:eastAsia="宋体" w:cs="Times New Roman"/>
                      <w:color w:val="auto"/>
                      <w:spacing w:val="-10"/>
                      <w:sz w:val="18"/>
                      <w:szCs w:val="18"/>
                      <w:lang w:val="en-US" w:eastAsia="zh-CN"/>
                    </w:rPr>
                  </w:pPr>
                  <w:r>
                    <w:rPr>
                      <w:rFonts w:hint="eastAsia" w:ascii="Times New Roman" w:hAnsi="Times New Roman" w:eastAsia="宋体" w:cs="Times New Roman"/>
                      <w:color w:val="auto"/>
                      <w:spacing w:val="-10"/>
                      <w:sz w:val="18"/>
                      <w:szCs w:val="18"/>
                      <w:lang w:val="en-US" w:eastAsia="zh-CN"/>
                    </w:rPr>
                    <w:t>序号</w:t>
                  </w:r>
                </w:p>
              </w:tc>
              <w:tc>
                <w:tcPr>
                  <w:tcW w:w="681" w:type="pct"/>
                  <w:noWrap w:val="0"/>
                  <w:vAlign w:val="center"/>
                </w:tcPr>
                <w:p w14:paraId="41308234">
                  <w:pPr>
                    <w:spacing w:line="320" w:lineRule="exact"/>
                    <w:jc w:val="center"/>
                    <w:rPr>
                      <w:rFonts w:hint="eastAsia" w:ascii="Times New Roman" w:hAnsi="Times New Roman" w:eastAsia="宋体" w:cs="Times New Roman"/>
                      <w:color w:val="auto"/>
                      <w:spacing w:val="-10"/>
                      <w:sz w:val="18"/>
                      <w:szCs w:val="18"/>
                      <w:lang w:val="en-US" w:eastAsia="zh-CN"/>
                    </w:rPr>
                  </w:pPr>
                  <w:r>
                    <w:rPr>
                      <w:rFonts w:hint="eastAsia" w:ascii="Times New Roman" w:hAnsi="Times New Roman" w:eastAsia="宋体" w:cs="Times New Roman"/>
                      <w:color w:val="auto"/>
                      <w:spacing w:val="-10"/>
                      <w:sz w:val="18"/>
                      <w:szCs w:val="18"/>
                      <w:lang w:val="en-US" w:eastAsia="zh-CN"/>
                    </w:rPr>
                    <w:t>危险单元</w:t>
                  </w:r>
                </w:p>
              </w:tc>
              <w:tc>
                <w:tcPr>
                  <w:tcW w:w="757" w:type="pct"/>
                  <w:noWrap w:val="0"/>
                  <w:vAlign w:val="center"/>
                </w:tcPr>
                <w:p w14:paraId="1F5B3681">
                  <w:pPr>
                    <w:spacing w:line="320" w:lineRule="exact"/>
                    <w:jc w:val="center"/>
                    <w:rPr>
                      <w:rFonts w:hint="eastAsia" w:ascii="Times New Roman" w:hAnsi="Times New Roman" w:eastAsia="宋体" w:cs="Times New Roman"/>
                      <w:color w:val="auto"/>
                      <w:spacing w:val="-10"/>
                      <w:sz w:val="18"/>
                      <w:szCs w:val="18"/>
                      <w:lang w:val="en-US" w:eastAsia="zh-CN"/>
                    </w:rPr>
                  </w:pPr>
                  <w:r>
                    <w:rPr>
                      <w:rFonts w:hint="eastAsia" w:ascii="Times New Roman" w:hAnsi="Times New Roman" w:eastAsia="宋体" w:cs="Times New Roman"/>
                      <w:color w:val="auto"/>
                      <w:spacing w:val="-10"/>
                      <w:sz w:val="18"/>
                      <w:szCs w:val="18"/>
                      <w:lang w:val="en-US" w:eastAsia="zh-CN"/>
                    </w:rPr>
                    <w:t>风险源</w:t>
                  </w:r>
                </w:p>
              </w:tc>
              <w:tc>
                <w:tcPr>
                  <w:tcW w:w="511" w:type="pct"/>
                  <w:noWrap w:val="0"/>
                  <w:vAlign w:val="center"/>
                </w:tcPr>
                <w:p w14:paraId="4CC3D3A1">
                  <w:pPr>
                    <w:spacing w:line="320" w:lineRule="exact"/>
                    <w:jc w:val="center"/>
                    <w:rPr>
                      <w:rFonts w:hint="eastAsia" w:ascii="Times New Roman" w:hAnsi="Times New Roman" w:eastAsia="宋体" w:cs="Times New Roman"/>
                      <w:color w:val="auto"/>
                      <w:spacing w:val="-10"/>
                      <w:sz w:val="18"/>
                      <w:szCs w:val="18"/>
                      <w:lang w:val="en-US" w:eastAsia="zh-CN"/>
                    </w:rPr>
                  </w:pPr>
                  <w:r>
                    <w:rPr>
                      <w:rFonts w:hint="eastAsia" w:ascii="Times New Roman" w:hAnsi="Times New Roman" w:eastAsia="宋体" w:cs="Times New Roman"/>
                      <w:color w:val="auto"/>
                      <w:spacing w:val="-10"/>
                      <w:sz w:val="18"/>
                      <w:szCs w:val="18"/>
                      <w:lang w:val="en-US" w:eastAsia="zh-CN"/>
                    </w:rPr>
                    <w:t>主要危险物质</w:t>
                  </w:r>
                </w:p>
              </w:tc>
              <w:tc>
                <w:tcPr>
                  <w:tcW w:w="684" w:type="pct"/>
                  <w:noWrap w:val="0"/>
                  <w:vAlign w:val="center"/>
                </w:tcPr>
                <w:p w14:paraId="0E0E549D">
                  <w:pPr>
                    <w:spacing w:line="320" w:lineRule="exact"/>
                    <w:jc w:val="center"/>
                    <w:rPr>
                      <w:rFonts w:hint="eastAsia" w:ascii="Times New Roman" w:hAnsi="Times New Roman" w:eastAsia="宋体" w:cs="Times New Roman"/>
                      <w:color w:val="auto"/>
                      <w:spacing w:val="-10"/>
                      <w:sz w:val="18"/>
                      <w:szCs w:val="18"/>
                      <w:lang w:val="en-US" w:eastAsia="zh-CN"/>
                    </w:rPr>
                  </w:pPr>
                  <w:r>
                    <w:rPr>
                      <w:rFonts w:hint="eastAsia" w:ascii="Times New Roman" w:hAnsi="Times New Roman" w:eastAsia="宋体" w:cs="Times New Roman"/>
                      <w:color w:val="auto"/>
                      <w:spacing w:val="-10"/>
                      <w:sz w:val="18"/>
                      <w:szCs w:val="18"/>
                      <w:lang w:val="en-US" w:eastAsia="zh-CN"/>
                    </w:rPr>
                    <w:t>环境风险类型</w:t>
                  </w:r>
                </w:p>
              </w:tc>
              <w:tc>
                <w:tcPr>
                  <w:tcW w:w="822" w:type="pct"/>
                  <w:noWrap w:val="0"/>
                  <w:vAlign w:val="center"/>
                </w:tcPr>
                <w:p w14:paraId="0CCBF8B2">
                  <w:pPr>
                    <w:spacing w:line="320" w:lineRule="exact"/>
                    <w:jc w:val="center"/>
                    <w:rPr>
                      <w:rFonts w:hint="eastAsia" w:ascii="Times New Roman" w:hAnsi="Times New Roman" w:eastAsia="宋体" w:cs="Times New Roman"/>
                      <w:color w:val="auto"/>
                      <w:spacing w:val="-10"/>
                      <w:sz w:val="18"/>
                      <w:szCs w:val="18"/>
                      <w:lang w:val="en-US" w:eastAsia="zh-CN"/>
                    </w:rPr>
                  </w:pPr>
                  <w:r>
                    <w:rPr>
                      <w:rFonts w:hint="eastAsia" w:ascii="Times New Roman" w:hAnsi="Times New Roman" w:eastAsia="宋体" w:cs="Times New Roman"/>
                      <w:color w:val="auto"/>
                      <w:spacing w:val="-10"/>
                      <w:sz w:val="18"/>
                      <w:szCs w:val="18"/>
                      <w:lang w:val="en-US" w:eastAsia="zh-CN"/>
                    </w:rPr>
                    <w:t>环境影响途径</w:t>
                  </w:r>
                </w:p>
              </w:tc>
              <w:tc>
                <w:tcPr>
                  <w:tcW w:w="1278" w:type="pct"/>
                  <w:noWrap w:val="0"/>
                  <w:vAlign w:val="center"/>
                </w:tcPr>
                <w:p w14:paraId="322C9D6B">
                  <w:pPr>
                    <w:spacing w:line="320" w:lineRule="exact"/>
                    <w:jc w:val="center"/>
                    <w:rPr>
                      <w:rFonts w:hint="eastAsia" w:ascii="Times New Roman" w:hAnsi="Times New Roman" w:eastAsia="宋体" w:cs="Times New Roman"/>
                      <w:color w:val="auto"/>
                      <w:spacing w:val="-10"/>
                      <w:sz w:val="18"/>
                      <w:szCs w:val="18"/>
                      <w:lang w:val="en-US" w:eastAsia="zh-CN"/>
                    </w:rPr>
                  </w:pPr>
                  <w:r>
                    <w:rPr>
                      <w:rFonts w:hint="eastAsia" w:ascii="Times New Roman" w:hAnsi="Times New Roman" w:eastAsia="宋体" w:cs="Times New Roman"/>
                      <w:color w:val="auto"/>
                      <w:spacing w:val="-10"/>
                      <w:sz w:val="18"/>
                      <w:szCs w:val="18"/>
                      <w:lang w:val="en-US" w:eastAsia="zh-CN"/>
                    </w:rPr>
                    <w:t>可能受影响的环境敏感目标</w:t>
                  </w:r>
                </w:p>
              </w:tc>
            </w:tr>
            <w:tr w14:paraId="20F7A82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264" w:type="pct"/>
                  <w:noWrap w:val="0"/>
                  <w:vAlign w:val="center"/>
                </w:tcPr>
                <w:p w14:paraId="66A3909E">
                  <w:pPr>
                    <w:spacing w:line="320" w:lineRule="exact"/>
                    <w:jc w:val="center"/>
                    <w:rPr>
                      <w:rFonts w:hint="eastAsia" w:ascii="Times New Roman" w:hAnsi="Times New Roman" w:eastAsia="宋体" w:cs="Times New Roman"/>
                      <w:color w:val="auto"/>
                      <w:spacing w:val="-10"/>
                      <w:sz w:val="18"/>
                      <w:szCs w:val="18"/>
                      <w:lang w:val="en-US" w:eastAsia="zh-CN"/>
                    </w:rPr>
                  </w:pPr>
                  <w:r>
                    <w:rPr>
                      <w:rFonts w:hint="eastAsia" w:ascii="Times New Roman" w:hAnsi="Times New Roman" w:eastAsia="宋体" w:cs="Times New Roman"/>
                      <w:color w:val="auto"/>
                      <w:spacing w:val="-10"/>
                      <w:sz w:val="18"/>
                      <w:szCs w:val="18"/>
                      <w:lang w:val="en-US" w:eastAsia="zh-CN"/>
                    </w:rPr>
                    <w:t>1</w:t>
                  </w:r>
                </w:p>
              </w:tc>
              <w:tc>
                <w:tcPr>
                  <w:tcW w:w="681" w:type="pct"/>
                  <w:noWrap w:val="0"/>
                  <w:vAlign w:val="center"/>
                </w:tcPr>
                <w:p w14:paraId="3EB2B7F3">
                  <w:pPr>
                    <w:spacing w:line="320" w:lineRule="exact"/>
                    <w:jc w:val="center"/>
                    <w:rPr>
                      <w:rFonts w:hint="default" w:ascii="Times New Roman" w:hAnsi="Times New Roman" w:eastAsia="宋体" w:cs="Times New Roman"/>
                      <w:color w:val="auto"/>
                      <w:spacing w:val="-10"/>
                      <w:sz w:val="18"/>
                      <w:szCs w:val="18"/>
                      <w:lang w:val="en-US" w:eastAsia="zh-CN"/>
                    </w:rPr>
                  </w:pPr>
                  <w:r>
                    <w:rPr>
                      <w:rFonts w:hint="eastAsia" w:ascii="Times New Roman" w:hAnsi="Times New Roman" w:eastAsia="宋体" w:cs="Times New Roman"/>
                      <w:color w:val="auto"/>
                      <w:spacing w:val="-10"/>
                      <w:sz w:val="18"/>
                      <w:szCs w:val="18"/>
                      <w:lang w:val="en-US" w:eastAsia="zh-CN"/>
                    </w:rPr>
                    <w:t>生产作业区</w:t>
                  </w:r>
                </w:p>
              </w:tc>
              <w:tc>
                <w:tcPr>
                  <w:tcW w:w="757" w:type="pct"/>
                  <w:noWrap w:val="0"/>
                  <w:vAlign w:val="center"/>
                </w:tcPr>
                <w:p w14:paraId="4F1F4050">
                  <w:pPr>
                    <w:spacing w:line="320" w:lineRule="exact"/>
                    <w:jc w:val="center"/>
                    <w:rPr>
                      <w:rFonts w:hint="eastAsia" w:ascii="Times New Roman" w:hAnsi="Times New Roman" w:eastAsia="宋体" w:cs="Times New Roman"/>
                      <w:color w:val="auto"/>
                      <w:spacing w:val="-10"/>
                      <w:sz w:val="18"/>
                      <w:szCs w:val="18"/>
                      <w:lang w:val="en-US" w:eastAsia="zh-CN"/>
                    </w:rPr>
                  </w:pPr>
                  <w:r>
                    <w:rPr>
                      <w:rFonts w:hint="eastAsia" w:ascii="Times New Roman" w:hAnsi="Times New Roman" w:eastAsia="宋体" w:cs="Times New Roman"/>
                      <w:color w:val="auto"/>
                      <w:spacing w:val="-10"/>
                      <w:sz w:val="18"/>
                      <w:szCs w:val="18"/>
                      <w:lang w:val="en-US" w:eastAsia="zh-CN"/>
                    </w:rPr>
                    <w:t>生产作业区</w:t>
                  </w:r>
                </w:p>
              </w:tc>
              <w:tc>
                <w:tcPr>
                  <w:tcW w:w="511" w:type="pct"/>
                  <w:noWrap w:val="0"/>
                  <w:vAlign w:val="center"/>
                </w:tcPr>
                <w:p w14:paraId="0DD88464">
                  <w:pPr>
                    <w:spacing w:line="320" w:lineRule="exact"/>
                    <w:jc w:val="center"/>
                    <w:rPr>
                      <w:rFonts w:hint="eastAsia" w:ascii="Times New Roman" w:hAnsi="Times New Roman" w:eastAsia="宋体" w:cs="Times New Roman"/>
                      <w:color w:val="auto"/>
                      <w:spacing w:val="-10"/>
                      <w:sz w:val="18"/>
                      <w:szCs w:val="18"/>
                      <w:lang w:val="en-US" w:eastAsia="zh-CN"/>
                    </w:rPr>
                  </w:pPr>
                  <w:r>
                    <w:rPr>
                      <w:rFonts w:hint="eastAsia" w:ascii="Times New Roman" w:hAnsi="Times New Roman" w:eastAsia="宋体" w:cs="Times New Roman"/>
                      <w:color w:val="auto"/>
                      <w:spacing w:val="-10"/>
                      <w:sz w:val="18"/>
                      <w:szCs w:val="18"/>
                      <w:lang w:val="en-US" w:eastAsia="zh-CN"/>
                    </w:rPr>
                    <w:t>油类物质</w:t>
                  </w:r>
                </w:p>
              </w:tc>
              <w:tc>
                <w:tcPr>
                  <w:tcW w:w="684" w:type="pct"/>
                  <w:noWrap w:val="0"/>
                  <w:vAlign w:val="center"/>
                </w:tcPr>
                <w:p w14:paraId="627E185A">
                  <w:pPr>
                    <w:spacing w:line="320" w:lineRule="exact"/>
                    <w:jc w:val="center"/>
                    <w:rPr>
                      <w:rFonts w:hint="eastAsia" w:ascii="Times New Roman" w:hAnsi="Times New Roman" w:eastAsia="宋体" w:cs="Times New Roman"/>
                      <w:color w:val="auto"/>
                      <w:spacing w:val="-10"/>
                      <w:sz w:val="18"/>
                      <w:szCs w:val="18"/>
                      <w:lang w:val="en-US" w:eastAsia="zh-CN"/>
                    </w:rPr>
                  </w:pPr>
                  <w:r>
                    <w:rPr>
                      <w:rFonts w:hint="eastAsia" w:ascii="Times New Roman" w:hAnsi="Times New Roman" w:eastAsia="宋体" w:cs="Times New Roman"/>
                      <w:color w:val="auto"/>
                      <w:spacing w:val="-10"/>
                      <w:sz w:val="18"/>
                      <w:szCs w:val="18"/>
                      <w:lang w:val="en-US" w:eastAsia="zh-CN"/>
                    </w:rPr>
                    <w:t>泄漏、火灾</w:t>
                  </w:r>
                </w:p>
              </w:tc>
              <w:tc>
                <w:tcPr>
                  <w:tcW w:w="822" w:type="pct"/>
                  <w:noWrap w:val="0"/>
                  <w:vAlign w:val="center"/>
                </w:tcPr>
                <w:p w14:paraId="73ACD04B">
                  <w:pPr>
                    <w:spacing w:line="320" w:lineRule="exact"/>
                    <w:jc w:val="center"/>
                    <w:rPr>
                      <w:rFonts w:hint="eastAsia" w:ascii="Times New Roman" w:hAnsi="Times New Roman" w:eastAsia="宋体" w:cs="Times New Roman"/>
                      <w:color w:val="auto"/>
                      <w:spacing w:val="-10"/>
                      <w:sz w:val="18"/>
                      <w:szCs w:val="18"/>
                      <w:lang w:val="en-US" w:eastAsia="zh-CN"/>
                    </w:rPr>
                  </w:pPr>
                  <w:r>
                    <w:rPr>
                      <w:rFonts w:hint="eastAsia" w:ascii="Times New Roman" w:hAnsi="Times New Roman" w:eastAsia="宋体" w:cs="Times New Roman"/>
                      <w:color w:val="auto"/>
                      <w:spacing w:val="-10"/>
                      <w:sz w:val="18"/>
                      <w:szCs w:val="18"/>
                      <w:lang w:val="en-US" w:eastAsia="zh-CN"/>
                    </w:rPr>
                    <w:t>大气、地表水、地下水</w:t>
                  </w:r>
                </w:p>
              </w:tc>
              <w:tc>
                <w:tcPr>
                  <w:tcW w:w="1278" w:type="pct"/>
                  <w:noWrap w:val="0"/>
                  <w:vAlign w:val="center"/>
                </w:tcPr>
                <w:p w14:paraId="61AEAD7E">
                  <w:pPr>
                    <w:spacing w:line="320" w:lineRule="exact"/>
                    <w:jc w:val="center"/>
                    <w:rPr>
                      <w:rFonts w:hint="eastAsia" w:ascii="Times New Roman" w:hAnsi="Times New Roman" w:eastAsia="宋体" w:cs="Times New Roman"/>
                      <w:color w:val="auto"/>
                      <w:spacing w:val="-10"/>
                      <w:sz w:val="18"/>
                      <w:szCs w:val="18"/>
                      <w:lang w:val="en-US" w:eastAsia="zh-CN"/>
                    </w:rPr>
                  </w:pPr>
                  <w:r>
                    <w:rPr>
                      <w:rFonts w:hint="eastAsia" w:ascii="Times New Roman" w:hAnsi="Times New Roman" w:eastAsia="宋体" w:cs="Times New Roman"/>
                      <w:color w:val="auto"/>
                      <w:spacing w:val="-10"/>
                      <w:sz w:val="18"/>
                      <w:szCs w:val="18"/>
                      <w:lang w:val="en-US" w:eastAsia="zh-CN"/>
                    </w:rPr>
                    <w:t>居民区、地表水、地下水</w:t>
                  </w:r>
                </w:p>
              </w:tc>
            </w:tr>
            <w:tr w14:paraId="22CD960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40" w:hRule="atLeast"/>
                <w:jc w:val="center"/>
              </w:trPr>
              <w:tc>
                <w:tcPr>
                  <w:tcW w:w="264" w:type="pct"/>
                  <w:noWrap w:val="0"/>
                  <w:vAlign w:val="center"/>
                </w:tcPr>
                <w:p w14:paraId="4A28C277">
                  <w:pPr>
                    <w:spacing w:line="320" w:lineRule="exact"/>
                    <w:jc w:val="center"/>
                    <w:rPr>
                      <w:rFonts w:hint="default" w:ascii="Times New Roman" w:hAnsi="Times New Roman" w:eastAsia="宋体" w:cs="Times New Roman"/>
                      <w:color w:val="auto"/>
                      <w:spacing w:val="-10"/>
                      <w:sz w:val="18"/>
                      <w:szCs w:val="18"/>
                      <w:lang w:val="en-US" w:eastAsia="zh-CN"/>
                    </w:rPr>
                  </w:pPr>
                  <w:r>
                    <w:rPr>
                      <w:rFonts w:hint="eastAsia" w:cs="Times New Roman"/>
                      <w:color w:val="auto"/>
                      <w:spacing w:val="-10"/>
                      <w:sz w:val="18"/>
                      <w:szCs w:val="18"/>
                      <w:lang w:val="en-US" w:eastAsia="zh-CN"/>
                    </w:rPr>
                    <w:t>2</w:t>
                  </w:r>
                </w:p>
              </w:tc>
              <w:tc>
                <w:tcPr>
                  <w:tcW w:w="681" w:type="pct"/>
                  <w:noWrap w:val="0"/>
                  <w:vAlign w:val="center"/>
                </w:tcPr>
                <w:p w14:paraId="715D78F5">
                  <w:pPr>
                    <w:spacing w:line="320" w:lineRule="exact"/>
                    <w:jc w:val="center"/>
                    <w:rPr>
                      <w:rFonts w:hint="default" w:ascii="Times New Roman" w:hAnsi="Times New Roman" w:eastAsia="宋体" w:cs="Times New Roman"/>
                      <w:color w:val="auto"/>
                      <w:spacing w:val="-10"/>
                      <w:sz w:val="18"/>
                      <w:szCs w:val="18"/>
                      <w:lang w:val="en-US" w:eastAsia="zh-CN"/>
                    </w:rPr>
                  </w:pPr>
                  <w:r>
                    <w:rPr>
                      <w:rFonts w:hint="eastAsia" w:ascii="Times New Roman" w:hAnsi="Times New Roman" w:eastAsia="宋体" w:cs="Times New Roman"/>
                      <w:color w:val="auto"/>
                      <w:spacing w:val="-10"/>
                      <w:sz w:val="18"/>
                      <w:szCs w:val="18"/>
                      <w:lang w:val="en-US" w:eastAsia="zh-CN"/>
                    </w:rPr>
                    <w:t>危险废物暂存间</w:t>
                  </w:r>
                </w:p>
              </w:tc>
              <w:tc>
                <w:tcPr>
                  <w:tcW w:w="757" w:type="pct"/>
                  <w:noWrap w:val="0"/>
                  <w:vAlign w:val="center"/>
                </w:tcPr>
                <w:p w14:paraId="201DBA1E">
                  <w:pPr>
                    <w:spacing w:line="320" w:lineRule="exact"/>
                    <w:jc w:val="center"/>
                    <w:rPr>
                      <w:rFonts w:hint="eastAsia" w:ascii="Times New Roman" w:hAnsi="Times New Roman" w:eastAsia="宋体" w:cs="Times New Roman"/>
                      <w:color w:val="auto"/>
                      <w:spacing w:val="-10"/>
                      <w:sz w:val="18"/>
                      <w:szCs w:val="18"/>
                      <w:lang w:val="en-US" w:eastAsia="zh-CN"/>
                    </w:rPr>
                  </w:pPr>
                  <w:r>
                    <w:rPr>
                      <w:rFonts w:hint="eastAsia" w:ascii="Times New Roman" w:hAnsi="Times New Roman" w:eastAsia="宋体" w:cs="Times New Roman"/>
                      <w:color w:val="auto"/>
                      <w:spacing w:val="-10"/>
                      <w:sz w:val="18"/>
                      <w:szCs w:val="18"/>
                      <w:lang w:val="en-US" w:eastAsia="zh-CN"/>
                    </w:rPr>
                    <w:t>危险废物暂存间</w:t>
                  </w:r>
                </w:p>
              </w:tc>
              <w:tc>
                <w:tcPr>
                  <w:tcW w:w="511" w:type="pct"/>
                  <w:noWrap w:val="0"/>
                  <w:vAlign w:val="center"/>
                </w:tcPr>
                <w:p w14:paraId="312BE111">
                  <w:pPr>
                    <w:spacing w:line="320" w:lineRule="exact"/>
                    <w:jc w:val="center"/>
                    <w:rPr>
                      <w:rFonts w:hint="eastAsia" w:ascii="Times New Roman" w:hAnsi="Times New Roman" w:eastAsia="宋体" w:cs="Times New Roman"/>
                      <w:color w:val="auto"/>
                      <w:spacing w:val="-10"/>
                      <w:kern w:val="2"/>
                      <w:sz w:val="18"/>
                      <w:szCs w:val="18"/>
                      <w:lang w:val="en-US" w:eastAsia="zh-CN" w:bidi="ar-SA"/>
                    </w:rPr>
                  </w:pPr>
                  <w:r>
                    <w:rPr>
                      <w:rFonts w:hint="eastAsia" w:ascii="Times New Roman" w:hAnsi="Times New Roman" w:eastAsia="宋体" w:cs="Times New Roman"/>
                      <w:color w:val="auto"/>
                      <w:spacing w:val="-10"/>
                      <w:sz w:val="18"/>
                      <w:szCs w:val="18"/>
                      <w:lang w:val="en-US" w:eastAsia="zh-CN"/>
                    </w:rPr>
                    <w:t>油类物质</w:t>
                  </w:r>
                </w:p>
              </w:tc>
              <w:tc>
                <w:tcPr>
                  <w:tcW w:w="684" w:type="pct"/>
                  <w:noWrap w:val="0"/>
                  <w:vAlign w:val="center"/>
                </w:tcPr>
                <w:p w14:paraId="3BC07BF9">
                  <w:pPr>
                    <w:spacing w:line="320" w:lineRule="exact"/>
                    <w:jc w:val="center"/>
                    <w:rPr>
                      <w:rFonts w:hint="eastAsia" w:ascii="Times New Roman" w:hAnsi="Times New Roman" w:eastAsia="宋体" w:cs="Times New Roman"/>
                      <w:color w:val="auto"/>
                      <w:spacing w:val="-10"/>
                      <w:kern w:val="2"/>
                      <w:sz w:val="18"/>
                      <w:szCs w:val="18"/>
                      <w:lang w:val="en-US" w:eastAsia="zh-CN" w:bidi="ar-SA"/>
                    </w:rPr>
                  </w:pPr>
                  <w:r>
                    <w:rPr>
                      <w:rFonts w:hint="eastAsia" w:ascii="Times New Roman" w:hAnsi="Times New Roman" w:eastAsia="宋体" w:cs="Times New Roman"/>
                      <w:color w:val="auto"/>
                      <w:spacing w:val="-10"/>
                      <w:sz w:val="18"/>
                      <w:szCs w:val="18"/>
                      <w:lang w:val="en-US" w:eastAsia="zh-CN"/>
                    </w:rPr>
                    <w:t>泄漏、火灾</w:t>
                  </w:r>
                </w:p>
              </w:tc>
              <w:tc>
                <w:tcPr>
                  <w:tcW w:w="822" w:type="pct"/>
                  <w:noWrap w:val="0"/>
                  <w:vAlign w:val="center"/>
                </w:tcPr>
                <w:p w14:paraId="2955AA9B">
                  <w:pPr>
                    <w:spacing w:line="320" w:lineRule="exact"/>
                    <w:jc w:val="center"/>
                    <w:rPr>
                      <w:rFonts w:hint="eastAsia" w:ascii="Times New Roman" w:hAnsi="Times New Roman" w:eastAsia="宋体" w:cs="Times New Roman"/>
                      <w:color w:val="auto"/>
                      <w:spacing w:val="-10"/>
                      <w:kern w:val="2"/>
                      <w:sz w:val="18"/>
                      <w:szCs w:val="18"/>
                      <w:lang w:val="en-US" w:eastAsia="zh-CN" w:bidi="ar-SA"/>
                    </w:rPr>
                  </w:pPr>
                  <w:r>
                    <w:rPr>
                      <w:rFonts w:hint="eastAsia" w:ascii="Times New Roman" w:hAnsi="Times New Roman" w:eastAsia="宋体" w:cs="Times New Roman"/>
                      <w:color w:val="auto"/>
                      <w:spacing w:val="-10"/>
                      <w:sz w:val="18"/>
                      <w:szCs w:val="18"/>
                      <w:lang w:val="en-US" w:eastAsia="zh-CN"/>
                    </w:rPr>
                    <w:t>大气、地表水、地下水</w:t>
                  </w:r>
                </w:p>
              </w:tc>
              <w:tc>
                <w:tcPr>
                  <w:tcW w:w="1278" w:type="pct"/>
                  <w:noWrap w:val="0"/>
                  <w:vAlign w:val="center"/>
                </w:tcPr>
                <w:p w14:paraId="04E1A8EE">
                  <w:pPr>
                    <w:spacing w:line="320" w:lineRule="exact"/>
                    <w:jc w:val="center"/>
                    <w:rPr>
                      <w:rFonts w:hint="eastAsia" w:ascii="Times New Roman" w:hAnsi="Times New Roman" w:eastAsia="宋体" w:cs="Times New Roman"/>
                      <w:color w:val="auto"/>
                      <w:spacing w:val="-10"/>
                      <w:kern w:val="2"/>
                      <w:sz w:val="18"/>
                      <w:szCs w:val="18"/>
                      <w:lang w:val="en-US" w:eastAsia="zh-CN" w:bidi="ar-SA"/>
                    </w:rPr>
                  </w:pPr>
                  <w:r>
                    <w:rPr>
                      <w:rFonts w:hint="eastAsia" w:ascii="Times New Roman" w:hAnsi="Times New Roman" w:eastAsia="宋体" w:cs="Times New Roman"/>
                      <w:color w:val="auto"/>
                      <w:spacing w:val="-10"/>
                      <w:sz w:val="18"/>
                      <w:szCs w:val="18"/>
                      <w:lang w:val="en-US" w:eastAsia="zh-CN"/>
                    </w:rPr>
                    <w:t>居民区、地表水、地下水</w:t>
                  </w:r>
                </w:p>
              </w:tc>
            </w:tr>
          </w:tbl>
          <w:p w14:paraId="0B4001EC">
            <w:pPr>
              <w:spacing w:line="440" w:lineRule="exact"/>
              <w:ind w:firstLine="422" w:firstLineChars="200"/>
              <w:rPr>
                <w:rFonts w:hint="eastAsia" w:ascii="Times New Roman" w:hAnsi="Times New Roman" w:eastAsia="宋体" w:cs="Times New Roman"/>
                <w:b/>
                <w:bCs/>
                <w:color w:val="auto"/>
                <w:lang w:val="en-US" w:eastAsia="zh-CN"/>
              </w:rPr>
            </w:pPr>
            <w:r>
              <w:rPr>
                <w:rFonts w:hint="eastAsia"/>
                <w:b/>
                <w:bCs/>
                <w:color w:val="auto"/>
              </w:rPr>
              <w:t>7.</w:t>
            </w:r>
            <w:r>
              <w:rPr>
                <w:rFonts w:hint="eastAsia"/>
                <w:b/>
                <w:bCs/>
                <w:color w:val="auto"/>
                <w:lang w:val="en-US" w:eastAsia="zh-CN"/>
              </w:rPr>
              <w:t>4</w:t>
            </w:r>
            <w:r>
              <w:rPr>
                <w:rFonts w:hint="eastAsia" w:ascii="Times New Roman" w:hAnsi="Times New Roman" w:eastAsia="宋体" w:cs="Times New Roman"/>
                <w:b/>
                <w:bCs/>
                <w:color w:val="auto"/>
                <w:lang w:val="en-US" w:eastAsia="zh-CN"/>
              </w:rPr>
              <w:t>风险预测与评价</w:t>
            </w:r>
          </w:p>
          <w:p w14:paraId="63C23F17">
            <w:pPr>
              <w:spacing w:line="440" w:lineRule="exact"/>
              <w:ind w:firstLine="420" w:firstLineChars="200"/>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①大气环境风险分析</w:t>
            </w:r>
          </w:p>
          <w:p w14:paraId="0DCCB2F6">
            <w:pPr>
              <w:spacing w:line="440" w:lineRule="exact"/>
              <w:ind w:firstLine="420" w:firstLineChars="200"/>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本项目使用的润滑油</w:t>
            </w:r>
            <w:r>
              <w:rPr>
                <w:rFonts w:hint="eastAsia" w:cs="Times New Roman"/>
                <w:color w:val="auto"/>
                <w:szCs w:val="21"/>
                <w:lang w:val="en-US" w:eastAsia="zh-CN"/>
              </w:rPr>
              <w:t>、液压油及危险废物暂存间存储的废润滑油、废液压油</w:t>
            </w:r>
            <w:r>
              <w:rPr>
                <w:rFonts w:hint="eastAsia" w:ascii="Times New Roman" w:hAnsi="Times New Roman" w:eastAsia="宋体" w:cs="Times New Roman"/>
                <w:color w:val="auto"/>
                <w:szCs w:val="21"/>
                <w:lang w:val="en-US" w:eastAsia="zh-CN"/>
              </w:rPr>
              <w:t>泄漏时若遇到明火，引发的火灾事故可在短时间内产生大量的烟气。完全燃烧反应生成物主要是二氧化碳，对大气环境影响较小，但如果出现不完全燃烧，则会残留一定量的一氧化碳。为此，在出现泄漏物质燃烧情况下，应采取加强通风、及时切断泄漏源、采用干粉灭火器灭火等措施，以减轻不完全燃烧伴生物一氧化碳对人员的影响。</w:t>
            </w:r>
          </w:p>
          <w:p w14:paraId="29C29D04">
            <w:pPr>
              <w:spacing w:line="440" w:lineRule="exact"/>
              <w:ind w:firstLine="420" w:firstLineChars="200"/>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②地下水环境风险分析</w:t>
            </w:r>
          </w:p>
          <w:p w14:paraId="613F4A90">
            <w:pPr>
              <w:spacing w:line="440" w:lineRule="exact"/>
              <w:ind w:firstLine="420" w:firstLineChars="200"/>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生产作业区</w:t>
            </w:r>
            <w:r>
              <w:rPr>
                <w:rFonts w:hint="eastAsia" w:cs="Times New Roman"/>
                <w:color w:val="auto"/>
                <w:szCs w:val="21"/>
                <w:lang w:val="en-US" w:eastAsia="zh-CN"/>
              </w:rPr>
              <w:t>及危险废物暂存间</w:t>
            </w:r>
            <w:r>
              <w:rPr>
                <w:rFonts w:hint="eastAsia" w:ascii="Times New Roman" w:hAnsi="Times New Roman" w:eastAsia="宋体" w:cs="Times New Roman"/>
                <w:color w:val="auto"/>
                <w:szCs w:val="21"/>
                <w:lang w:val="en-US" w:eastAsia="zh-CN"/>
              </w:rPr>
              <w:t>的油类物质可能发生泄漏事故，排放的油类物质下渗进入地下水环境，引起地下水污染，生产作业区</w:t>
            </w:r>
            <w:r>
              <w:rPr>
                <w:rFonts w:hint="eastAsia" w:cs="Times New Roman"/>
                <w:color w:val="auto"/>
                <w:szCs w:val="21"/>
                <w:lang w:val="en-US" w:eastAsia="zh-CN"/>
              </w:rPr>
              <w:t>及危险废物暂存间</w:t>
            </w:r>
            <w:r>
              <w:rPr>
                <w:rFonts w:hint="eastAsia" w:ascii="Times New Roman" w:hAnsi="Times New Roman" w:eastAsia="宋体" w:cs="Times New Roman"/>
                <w:color w:val="auto"/>
                <w:szCs w:val="21"/>
                <w:lang w:val="en-US" w:eastAsia="zh-CN"/>
              </w:rPr>
              <w:t>进行严格的防渗措施，油类物质无入渗地下水的通道。</w:t>
            </w:r>
          </w:p>
          <w:p w14:paraId="10C18C6F">
            <w:pPr>
              <w:spacing w:line="440" w:lineRule="exact"/>
              <w:ind w:firstLine="420" w:firstLineChars="200"/>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③地表水环境风险分析</w:t>
            </w:r>
          </w:p>
          <w:p w14:paraId="701C2954">
            <w:pPr>
              <w:spacing w:line="440" w:lineRule="exact"/>
              <w:ind w:firstLine="420" w:firstLineChars="200"/>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生产作业区</w:t>
            </w:r>
            <w:r>
              <w:rPr>
                <w:rFonts w:hint="eastAsia" w:cs="Times New Roman"/>
                <w:color w:val="auto"/>
                <w:szCs w:val="21"/>
                <w:lang w:val="en-US" w:eastAsia="zh-CN"/>
              </w:rPr>
              <w:t>及危险废物暂存间</w:t>
            </w:r>
            <w:r>
              <w:rPr>
                <w:rFonts w:hint="eastAsia" w:ascii="Times New Roman" w:hAnsi="Times New Roman" w:eastAsia="宋体" w:cs="Times New Roman"/>
                <w:color w:val="auto"/>
                <w:szCs w:val="21"/>
                <w:lang w:val="en-US" w:eastAsia="zh-CN"/>
              </w:rPr>
              <w:t>的油类物质储存设施可能发生泄漏事故，排放的油类物质进入地表水体，引起地表水污染</w:t>
            </w:r>
            <w:r>
              <w:rPr>
                <w:rFonts w:hint="eastAsia" w:cs="Times New Roman"/>
                <w:color w:val="auto"/>
                <w:szCs w:val="21"/>
                <w:lang w:val="en-US" w:eastAsia="zh-CN"/>
              </w:rPr>
              <w:t>。</w:t>
            </w:r>
            <w:r>
              <w:rPr>
                <w:rFonts w:hint="eastAsia" w:ascii="Times New Roman" w:hAnsi="Times New Roman" w:eastAsia="宋体" w:cs="Times New Roman"/>
                <w:color w:val="auto"/>
                <w:szCs w:val="21"/>
                <w:lang w:val="en-US" w:eastAsia="zh-CN"/>
              </w:rPr>
              <w:t>本项目原料油类即用即买，不在厂区储存，</w:t>
            </w:r>
            <w:r>
              <w:rPr>
                <w:rFonts w:hint="eastAsia" w:cs="Times New Roman"/>
                <w:color w:val="auto"/>
                <w:szCs w:val="21"/>
                <w:lang w:val="en-US" w:eastAsia="zh-CN"/>
              </w:rPr>
              <w:t>本项目危险废物暂存间设置泄露收集装置，生产车间地面、危险废物暂存间地面及裙角均采取了</w:t>
            </w:r>
            <w:r>
              <w:rPr>
                <w:rFonts w:hint="eastAsia" w:ascii="Times New Roman" w:hAnsi="Times New Roman" w:eastAsia="宋体" w:cs="Times New Roman"/>
                <w:color w:val="auto"/>
                <w:szCs w:val="21"/>
                <w:lang w:val="en-US" w:eastAsia="zh-CN"/>
              </w:rPr>
              <w:t>严格的防渗措施，</w:t>
            </w:r>
            <w:r>
              <w:rPr>
                <w:rFonts w:hint="eastAsia" w:cs="Times New Roman"/>
                <w:color w:val="auto"/>
                <w:szCs w:val="21"/>
                <w:lang w:val="en-US" w:eastAsia="zh-CN"/>
              </w:rPr>
              <w:t>另外风险物质</w:t>
            </w:r>
            <w:r>
              <w:rPr>
                <w:rFonts w:hint="eastAsia" w:ascii="Times New Roman" w:hAnsi="Times New Roman" w:eastAsia="宋体" w:cs="Times New Roman"/>
                <w:color w:val="auto"/>
                <w:szCs w:val="21"/>
                <w:lang w:val="en-US" w:eastAsia="zh-CN"/>
              </w:rPr>
              <w:t>泄漏量少，不会出厂区</w:t>
            </w:r>
            <w:r>
              <w:rPr>
                <w:rFonts w:hint="eastAsia" w:cs="Times New Roman"/>
                <w:color w:val="auto"/>
                <w:szCs w:val="21"/>
                <w:lang w:val="en-US" w:eastAsia="zh-CN"/>
              </w:rPr>
              <w:t>。因此，</w:t>
            </w:r>
            <w:r>
              <w:rPr>
                <w:rFonts w:hint="eastAsia" w:ascii="Times New Roman" w:hAnsi="Times New Roman" w:eastAsia="宋体" w:cs="Times New Roman"/>
                <w:color w:val="auto"/>
                <w:szCs w:val="21"/>
                <w:lang w:val="en-US" w:eastAsia="zh-CN"/>
              </w:rPr>
              <w:t>不会污染区域地表水体。</w:t>
            </w:r>
          </w:p>
          <w:p w14:paraId="595BCECD">
            <w:pPr>
              <w:spacing w:line="440" w:lineRule="exact"/>
              <w:ind w:firstLine="422" w:firstLineChars="200"/>
              <w:rPr>
                <w:rFonts w:hint="eastAsia" w:ascii="Times New Roman" w:hAnsi="Times New Roman" w:eastAsia="宋体" w:cs="Times New Roman"/>
                <w:b/>
                <w:bCs/>
                <w:color w:val="auto"/>
                <w:lang w:val="en-US" w:eastAsia="zh-CN"/>
              </w:rPr>
            </w:pPr>
            <w:r>
              <w:rPr>
                <w:rFonts w:hint="eastAsia"/>
                <w:b/>
                <w:bCs/>
                <w:color w:val="auto"/>
              </w:rPr>
              <w:t>7.</w:t>
            </w:r>
            <w:r>
              <w:rPr>
                <w:rFonts w:hint="eastAsia"/>
                <w:b/>
                <w:bCs/>
                <w:color w:val="auto"/>
                <w:lang w:val="en-US" w:eastAsia="zh-CN"/>
              </w:rPr>
              <w:t>5</w:t>
            </w:r>
            <w:r>
              <w:rPr>
                <w:rFonts w:hint="eastAsia" w:ascii="Times New Roman" w:hAnsi="Times New Roman" w:eastAsia="宋体" w:cs="Times New Roman"/>
                <w:b/>
                <w:bCs/>
                <w:color w:val="auto"/>
                <w:lang w:val="en-US" w:eastAsia="zh-CN"/>
              </w:rPr>
              <w:t>环境风险管理</w:t>
            </w:r>
          </w:p>
          <w:p w14:paraId="6DD87FDA">
            <w:pPr>
              <w:spacing w:line="440" w:lineRule="exact"/>
              <w:ind w:firstLine="420" w:firstLineChars="200"/>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风险管理目标是采用最低合理可行原则管控环境风险。采取的环境风险防范措施应与社会经济技术发展水平相适应，运用科学的技术手段和管理方法对环境风险进行有效地预防、监控、响应。</w:t>
            </w:r>
          </w:p>
          <w:p w14:paraId="5D44DB6D">
            <w:pPr>
              <w:spacing w:line="440" w:lineRule="exact"/>
              <w:ind w:firstLine="420" w:firstLineChars="200"/>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①预防工作</w:t>
            </w:r>
          </w:p>
          <w:p w14:paraId="0CEA9AEB">
            <w:pPr>
              <w:spacing w:line="440" w:lineRule="exact"/>
              <w:ind w:firstLine="420" w:firstLineChars="200"/>
              <w:rPr>
                <w:color w:val="auto"/>
                <w:highlight w:val="none"/>
              </w:rPr>
            </w:pPr>
            <w:r>
              <w:rPr>
                <w:rFonts w:hint="eastAsia"/>
                <w:color w:val="auto"/>
                <w:highlight w:val="none"/>
                <w:lang w:val="en-US" w:eastAsia="zh-CN"/>
              </w:rPr>
              <w:t>a.</w:t>
            </w:r>
            <w:r>
              <w:rPr>
                <w:rFonts w:hint="eastAsia"/>
                <w:color w:val="auto"/>
                <w:highlight w:val="none"/>
              </w:rPr>
              <w:t>废润滑油、废液压油装入废油桶，废油桶采取密封措施</w:t>
            </w:r>
            <w:r>
              <w:rPr>
                <w:rFonts w:hint="eastAsia"/>
                <w:color w:val="auto"/>
                <w:highlight w:val="none"/>
                <w:lang w:eastAsia="zh-CN"/>
              </w:rPr>
              <w:t>；</w:t>
            </w:r>
            <w:r>
              <w:rPr>
                <w:rFonts w:hint="eastAsia" w:ascii="Times New Roman" w:hAnsi="Times New Roman" w:eastAsia="宋体" w:cs="Times New Roman"/>
                <w:color w:val="auto"/>
                <w:szCs w:val="21"/>
                <w:highlight w:val="none"/>
                <w:lang w:val="en-US" w:eastAsia="zh-CN"/>
              </w:rPr>
              <w:t>b</w:t>
            </w:r>
            <w:r>
              <w:rPr>
                <w:rFonts w:hint="eastAsia"/>
                <w:color w:val="auto"/>
                <w:highlight w:val="none"/>
                <w:lang w:val="en-US" w:eastAsia="zh-CN"/>
              </w:rPr>
              <w:t>.</w:t>
            </w:r>
            <w:r>
              <w:rPr>
                <w:rFonts w:hint="eastAsia"/>
                <w:color w:val="auto"/>
                <w:highlight w:val="none"/>
              </w:rPr>
              <w:t>制定危险废物暂存间的日常巡查制度，定期指派专人负责巡查。</w:t>
            </w:r>
          </w:p>
          <w:p w14:paraId="6655E31B">
            <w:pPr>
              <w:spacing w:line="440" w:lineRule="exact"/>
              <w:ind w:firstLine="420" w:firstLineChars="200"/>
              <w:rPr>
                <w:rFonts w:hint="eastAsia"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②应急物资</w:t>
            </w:r>
          </w:p>
          <w:p w14:paraId="702BAE74">
            <w:pPr>
              <w:spacing w:line="440" w:lineRule="exact"/>
              <w:ind w:firstLine="420" w:firstLineChars="200"/>
              <w:rPr>
                <w:rFonts w:hint="eastAsia"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配备相应品种和数量的消防器材及泄漏应急处理设备。制定风险应急措施，一旦发生泄漏，及时采取措施</w:t>
            </w:r>
            <w:r>
              <w:rPr>
                <w:rFonts w:hint="eastAsia"/>
                <w:color w:val="auto"/>
                <w:highlight w:val="none"/>
              </w:rPr>
              <w:t>。</w:t>
            </w:r>
          </w:p>
          <w:p w14:paraId="7B7E44F3">
            <w:pPr>
              <w:spacing w:line="440" w:lineRule="exact"/>
              <w:ind w:firstLine="420" w:firstLineChars="200"/>
              <w:rPr>
                <w:rFonts w:hint="eastAsia"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③大气环境风险防范措施</w:t>
            </w:r>
          </w:p>
          <w:p w14:paraId="2EA4E5D3">
            <w:pPr>
              <w:spacing w:line="440" w:lineRule="exact"/>
              <w:ind w:firstLine="420" w:firstLineChars="200"/>
              <w:rPr>
                <w:rFonts w:hint="eastAsia"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定期开展防火检查，疏散通道、安全出口和消防车通道是否畅通，防火间距是否被占用；安全疏散指示标志、火灾事故应急照明设置是否正确、醒目、完整。</w:t>
            </w:r>
          </w:p>
          <w:p w14:paraId="4D209180">
            <w:pPr>
              <w:spacing w:line="440" w:lineRule="exact"/>
              <w:ind w:firstLine="420" w:firstLineChars="200"/>
              <w:rPr>
                <w:rFonts w:hint="eastAsia"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④地表水环境风险防范措施</w:t>
            </w:r>
          </w:p>
          <w:p w14:paraId="3622DBA7">
            <w:pPr>
              <w:spacing w:line="440" w:lineRule="exact"/>
              <w:ind w:firstLine="420" w:firstLineChars="200"/>
              <w:rPr>
                <w:rFonts w:hint="eastAsia" w:ascii="Times New Roman" w:hAnsi="Times New Roman" w:eastAsia="宋体" w:cs="Times New Roman"/>
                <w:color w:val="auto"/>
                <w:szCs w:val="21"/>
                <w:highlight w:val="none"/>
                <w:lang w:val="en-US" w:eastAsia="zh-CN"/>
              </w:rPr>
            </w:pPr>
            <w:r>
              <w:rPr>
                <w:rFonts w:hint="eastAsia" w:cs="Times New Roman"/>
                <w:color w:val="auto"/>
                <w:szCs w:val="21"/>
                <w:highlight w:val="none"/>
                <w:lang w:val="en-US" w:eastAsia="zh-CN"/>
              </w:rPr>
              <w:t>危险废物暂存间及</w:t>
            </w:r>
            <w:r>
              <w:rPr>
                <w:rFonts w:hint="eastAsia" w:ascii="Times New Roman" w:hAnsi="Times New Roman" w:eastAsia="宋体" w:cs="Times New Roman"/>
                <w:color w:val="auto"/>
                <w:szCs w:val="21"/>
                <w:highlight w:val="none"/>
                <w:lang w:val="en-US" w:eastAsia="zh-CN"/>
              </w:rPr>
              <w:t>生产车间若发生油类物质泄漏事故时，泄漏物料进行收集，排入收集池，从而将污染控制在厂内，防止造成水环境污染。</w:t>
            </w:r>
          </w:p>
          <w:p w14:paraId="75168393">
            <w:pPr>
              <w:spacing w:line="440" w:lineRule="exact"/>
              <w:ind w:firstLine="420" w:firstLineChars="200"/>
              <w:rPr>
                <w:rFonts w:hint="eastAsia"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⑤地下水环境风险防范措施</w:t>
            </w:r>
          </w:p>
          <w:p w14:paraId="18827E71">
            <w:pPr>
              <w:spacing w:line="440" w:lineRule="exact"/>
              <w:ind w:firstLine="420" w:firstLineChars="200"/>
              <w:rPr>
                <w:color w:val="auto"/>
                <w:highlight w:val="none"/>
              </w:rPr>
            </w:pPr>
            <w:r>
              <w:rPr>
                <w:rFonts w:hint="eastAsia"/>
                <w:color w:val="auto"/>
                <w:highlight w:val="none"/>
              </w:rPr>
              <w:t>生产车间、危险废物暂存间</w:t>
            </w:r>
            <w:r>
              <w:rPr>
                <w:rFonts w:hint="eastAsia"/>
                <w:color w:val="auto"/>
                <w:highlight w:val="none"/>
                <w:lang w:eastAsia="zh-CN"/>
              </w:rPr>
              <w:t>、</w:t>
            </w:r>
            <w:r>
              <w:rPr>
                <w:rFonts w:hint="eastAsia"/>
                <w:color w:val="auto"/>
                <w:highlight w:val="none"/>
                <w:lang w:val="en-US" w:eastAsia="zh-CN"/>
              </w:rPr>
              <w:t>各池体</w:t>
            </w:r>
            <w:r>
              <w:rPr>
                <w:rFonts w:hint="eastAsia"/>
                <w:color w:val="auto"/>
                <w:highlight w:val="none"/>
              </w:rPr>
              <w:t>采取防渗</w:t>
            </w:r>
            <w:r>
              <w:rPr>
                <w:rFonts w:hint="eastAsia"/>
                <w:color w:val="auto"/>
                <w:highlight w:val="none"/>
                <w:lang w:val="en-US" w:eastAsia="zh-CN"/>
              </w:rPr>
              <w:t>措施</w:t>
            </w:r>
            <w:r>
              <w:rPr>
                <w:rFonts w:hint="eastAsia"/>
                <w:color w:val="auto"/>
                <w:highlight w:val="none"/>
              </w:rPr>
              <w:t>，防渗系数满足相关标准要求。同时，为防止球磨机渗油落地，球磨机底部设接油托盘。</w:t>
            </w:r>
          </w:p>
          <w:p w14:paraId="400A3266">
            <w:pPr>
              <w:spacing w:line="440" w:lineRule="exact"/>
              <w:ind w:firstLine="420" w:firstLineChars="200"/>
              <w:rPr>
                <w:rFonts w:hint="eastAsia"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⑥人员疏散通道及安置厂址</w:t>
            </w:r>
          </w:p>
          <w:p w14:paraId="45CE27D4">
            <w:pPr>
              <w:spacing w:line="440" w:lineRule="exact"/>
              <w:ind w:firstLine="420" w:firstLineChars="200"/>
              <w:rPr>
                <w:rFonts w:hint="eastAsia"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结合气象条件及区域道路制定人员疏散通道，一旦发生重大风险事故，应立即停产，立即通知下风向各敏感点，有效组织人员疏散并进行安置，并迅速启动应急预案，通知环境监测部门进驻事故现场，在现场周围布点监测，掌握事故情况下空气环境恶化状况。</w:t>
            </w:r>
          </w:p>
          <w:p w14:paraId="6FEB66F7">
            <w:pPr>
              <w:spacing w:line="440" w:lineRule="exact"/>
              <w:ind w:firstLine="420" w:firstLineChars="200"/>
              <w:rPr>
                <w:rFonts w:hint="eastAsia"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⑦应急预案</w:t>
            </w:r>
          </w:p>
          <w:p w14:paraId="1FBE7489">
            <w:pPr>
              <w:spacing w:line="440" w:lineRule="exact"/>
              <w:ind w:firstLine="420" w:firstLineChars="200"/>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为保证企业及人民生命财产的安全，防止突发性危险物质重大事故发生，并在发生事故时，能迅速有序地开展救援工作，尽最大努力减少事故的危害和损失，</w:t>
            </w:r>
            <w:r>
              <w:rPr>
                <w:rFonts w:hint="eastAsia" w:cs="Times New Roman"/>
                <w:color w:val="auto"/>
                <w:szCs w:val="21"/>
                <w:lang w:val="en-US" w:eastAsia="zh-CN"/>
              </w:rPr>
              <w:t>滦州市祯璟再生资源有限公司</w:t>
            </w:r>
            <w:r>
              <w:rPr>
                <w:rFonts w:hint="eastAsia" w:ascii="Times New Roman" w:hAnsi="Times New Roman" w:eastAsia="宋体" w:cs="Times New Roman"/>
                <w:color w:val="auto"/>
                <w:szCs w:val="21"/>
                <w:lang w:val="en-US" w:eastAsia="zh-CN"/>
              </w:rPr>
              <w:t>应尽快完成应急预案修编工作。</w:t>
            </w:r>
          </w:p>
          <w:p w14:paraId="1A12595A">
            <w:pPr>
              <w:spacing w:line="440" w:lineRule="exact"/>
              <w:ind w:firstLine="420" w:firstLineChars="200"/>
              <w:rPr>
                <w:color w:val="auto"/>
                <w:highlight w:val="none"/>
              </w:rPr>
            </w:pPr>
            <w:r>
              <w:rPr>
                <w:rFonts w:hint="eastAsia"/>
                <w:color w:val="auto"/>
                <w:highlight w:val="none"/>
              </w:rPr>
              <w:t>拟建项目营运期间要加强管理，制定相应的规章制度。营运期严格杜绝矿物油的跑、冒、滴、漏现象的发生，同时要防火、防爆、防雷击，注意安全，杜绝一切不安全因素造成的对周围环境的影响。</w:t>
            </w:r>
          </w:p>
          <w:p w14:paraId="1AADCE2E">
            <w:pPr>
              <w:spacing w:line="440" w:lineRule="exact"/>
              <w:ind w:firstLine="422" w:firstLineChars="200"/>
              <w:rPr>
                <w:rFonts w:hint="eastAsia" w:ascii="Times New Roman" w:hAnsi="Times New Roman" w:eastAsia="宋体" w:cs="Times New Roman"/>
                <w:b/>
                <w:bCs/>
                <w:color w:val="auto"/>
                <w:lang w:val="en-US" w:eastAsia="zh-CN"/>
              </w:rPr>
            </w:pPr>
            <w:r>
              <w:rPr>
                <w:rFonts w:hint="eastAsia"/>
                <w:b/>
                <w:bCs/>
                <w:color w:val="auto"/>
              </w:rPr>
              <w:t>7.</w:t>
            </w:r>
            <w:r>
              <w:rPr>
                <w:rFonts w:hint="eastAsia"/>
                <w:b/>
                <w:bCs/>
                <w:color w:val="auto"/>
                <w:lang w:val="en-US" w:eastAsia="zh-CN"/>
              </w:rPr>
              <w:t>6</w:t>
            </w:r>
            <w:r>
              <w:rPr>
                <w:rFonts w:hint="eastAsia" w:ascii="Times New Roman" w:hAnsi="Times New Roman" w:eastAsia="宋体" w:cs="Times New Roman"/>
                <w:b/>
                <w:bCs/>
                <w:color w:val="auto"/>
                <w:lang w:val="en-US" w:eastAsia="zh-CN"/>
              </w:rPr>
              <w:t>评价结论及建议</w:t>
            </w:r>
          </w:p>
          <w:p w14:paraId="28AA1D82">
            <w:pPr>
              <w:spacing w:line="440" w:lineRule="exact"/>
              <w:ind w:firstLine="420" w:firstLineChars="200"/>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①项目危险因素</w:t>
            </w:r>
          </w:p>
          <w:p w14:paraId="7645BC07">
            <w:pPr>
              <w:spacing w:line="440" w:lineRule="exact"/>
              <w:ind w:firstLine="420" w:firstLineChars="200"/>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本项目主要风险物质为油类物质，风险物质主要分布在生产作业区</w:t>
            </w:r>
            <w:r>
              <w:rPr>
                <w:rFonts w:hint="eastAsia" w:cs="Times New Roman"/>
                <w:color w:val="auto"/>
                <w:szCs w:val="21"/>
                <w:lang w:val="en-US" w:eastAsia="zh-CN"/>
              </w:rPr>
              <w:t>、危险废物暂存间</w:t>
            </w:r>
            <w:r>
              <w:rPr>
                <w:rFonts w:hint="eastAsia" w:ascii="Times New Roman" w:hAnsi="Times New Roman" w:eastAsia="宋体" w:cs="Times New Roman"/>
                <w:color w:val="auto"/>
                <w:szCs w:val="21"/>
                <w:lang w:val="en-US" w:eastAsia="zh-CN"/>
              </w:rPr>
              <w:t>。</w:t>
            </w:r>
          </w:p>
          <w:p w14:paraId="01C3D0BD">
            <w:pPr>
              <w:spacing w:line="440" w:lineRule="exact"/>
              <w:ind w:firstLine="420" w:firstLineChars="200"/>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②环境敏感性与事故环境影响</w:t>
            </w:r>
          </w:p>
          <w:p w14:paraId="455810F0">
            <w:pPr>
              <w:spacing w:line="440" w:lineRule="exact"/>
              <w:ind w:firstLine="420" w:firstLineChars="200"/>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根据风险分析内容，分别提出了大气环境、地表水环境、地下水环境风险保护措施及要求。</w:t>
            </w:r>
          </w:p>
          <w:p w14:paraId="49FCF3AA">
            <w:pPr>
              <w:spacing w:line="440" w:lineRule="exact"/>
              <w:ind w:firstLine="420" w:firstLineChars="200"/>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③环境风险评价结论与建议</w:t>
            </w:r>
          </w:p>
          <w:p w14:paraId="57538150">
            <w:pPr>
              <w:spacing w:line="440" w:lineRule="exact"/>
              <w:ind w:firstLine="420" w:firstLineChars="200"/>
              <w:rPr>
                <w:rFonts w:hint="eastAsia" w:ascii="Times New Roman" w:hAnsi="Times New Roman" w:eastAsia="宋体" w:cs="Times New Roman"/>
                <w:color w:val="auto"/>
                <w:szCs w:val="21"/>
                <w:lang w:val="en-US" w:eastAsia="zh-CN"/>
              </w:rPr>
            </w:pPr>
            <w:r>
              <w:rPr>
                <w:rFonts w:hint="eastAsia" w:ascii="Times New Roman" w:hAnsi="Times New Roman" w:eastAsia="宋体" w:cs="Times New Roman"/>
                <w:color w:val="auto"/>
                <w:szCs w:val="21"/>
                <w:lang w:val="en-US" w:eastAsia="zh-CN"/>
              </w:rPr>
              <w:t>综合环境风险评价工作过程，本项目环境风险可防控，建设单位应针对环境风险事故采取多种防范措施。建议企业强化管理意识，通过加强事故应急演练增强风险防范能力。</w:t>
            </w:r>
          </w:p>
          <w:p w14:paraId="57E9BA01">
            <w:pPr>
              <w:pStyle w:val="24"/>
              <w:adjustRightInd w:val="0"/>
              <w:snapToGrid w:val="0"/>
              <w:spacing w:before="0" w:beforeAutospacing="0" w:after="0" w:afterAutospacing="0" w:line="440" w:lineRule="exact"/>
              <w:ind w:firstLine="422" w:firstLineChars="200"/>
              <w:rPr>
                <w:rFonts w:ascii="Times New Roman" w:hAnsi="Times New Roman"/>
                <w:b/>
                <w:color w:val="auto"/>
                <w:sz w:val="21"/>
                <w:szCs w:val="21"/>
              </w:rPr>
            </w:pPr>
            <w:r>
              <w:rPr>
                <w:rFonts w:hint="eastAsia" w:ascii="Times New Roman" w:hAnsi="Times New Roman"/>
                <w:b/>
                <w:color w:val="auto"/>
                <w:sz w:val="21"/>
                <w:szCs w:val="21"/>
              </w:rPr>
              <w:t>8.电磁辐射</w:t>
            </w:r>
          </w:p>
          <w:p w14:paraId="29E21E8E">
            <w:pPr>
              <w:spacing w:line="440" w:lineRule="exact"/>
              <w:ind w:firstLine="420" w:firstLineChars="200"/>
              <w:rPr>
                <w:rFonts w:hint="eastAsia"/>
                <w:color w:val="auto"/>
                <w:szCs w:val="21"/>
              </w:rPr>
            </w:pPr>
            <w:r>
              <w:rPr>
                <w:rFonts w:hint="eastAsia"/>
                <w:color w:val="auto"/>
                <w:szCs w:val="21"/>
              </w:rPr>
              <w:t>拟建项目不涉及电磁辐射，无需开展电磁辐射评价。</w:t>
            </w:r>
          </w:p>
          <w:p w14:paraId="2DC7B0CA">
            <w:pPr>
              <w:rPr>
                <w:color w:val="auto"/>
              </w:rPr>
            </w:pPr>
          </w:p>
          <w:p w14:paraId="0CD90F64">
            <w:pPr>
              <w:pStyle w:val="6"/>
              <w:rPr>
                <w:color w:val="auto"/>
              </w:rPr>
            </w:pPr>
          </w:p>
          <w:p w14:paraId="41AF667E">
            <w:pPr>
              <w:rPr>
                <w:color w:val="auto"/>
              </w:rPr>
            </w:pPr>
          </w:p>
          <w:p w14:paraId="19933D9D">
            <w:pPr>
              <w:pStyle w:val="35"/>
              <w:rPr>
                <w:color w:val="auto"/>
              </w:rPr>
            </w:pPr>
          </w:p>
          <w:p w14:paraId="4C1D820D">
            <w:pPr>
              <w:pStyle w:val="35"/>
              <w:rPr>
                <w:color w:val="auto"/>
              </w:rPr>
            </w:pPr>
          </w:p>
          <w:p w14:paraId="7708116B">
            <w:pPr>
              <w:pStyle w:val="35"/>
              <w:rPr>
                <w:color w:val="auto"/>
              </w:rPr>
            </w:pPr>
          </w:p>
          <w:p w14:paraId="7E212AC5">
            <w:pPr>
              <w:pStyle w:val="35"/>
              <w:rPr>
                <w:color w:val="auto"/>
              </w:rPr>
            </w:pPr>
          </w:p>
          <w:p w14:paraId="3CB7B6CE">
            <w:pPr>
              <w:pStyle w:val="35"/>
              <w:rPr>
                <w:color w:val="auto"/>
              </w:rPr>
            </w:pPr>
          </w:p>
          <w:p w14:paraId="6568839B">
            <w:pPr>
              <w:pStyle w:val="35"/>
              <w:rPr>
                <w:color w:val="auto"/>
              </w:rPr>
            </w:pPr>
          </w:p>
          <w:p w14:paraId="5130B9CF">
            <w:pPr>
              <w:pStyle w:val="35"/>
              <w:rPr>
                <w:color w:val="auto"/>
              </w:rPr>
            </w:pPr>
          </w:p>
        </w:tc>
      </w:tr>
    </w:tbl>
    <w:p w14:paraId="2BAEA14E">
      <w:pPr>
        <w:pStyle w:val="24"/>
        <w:jc w:val="center"/>
        <w:outlineLvl w:val="0"/>
        <w:rPr>
          <w:rFonts w:ascii="黑体" w:hAnsi="黑体" w:eastAsia="黑体"/>
          <w:snapToGrid w:val="0"/>
          <w:color w:val="auto"/>
          <w:sz w:val="30"/>
          <w:szCs w:val="30"/>
        </w:rPr>
      </w:pPr>
      <w:bookmarkStart w:id="23" w:name="_Toc9584"/>
      <w:r>
        <w:rPr>
          <w:rFonts w:hint="eastAsia" w:ascii="黑体" w:hAnsi="黑体" w:eastAsia="黑体"/>
          <w:snapToGrid w:val="0"/>
          <w:color w:val="auto"/>
          <w:sz w:val="30"/>
          <w:szCs w:val="30"/>
        </w:rPr>
        <w:t>五、</w:t>
      </w:r>
      <w:bookmarkStart w:id="24" w:name="_Hlk54167917"/>
      <w:r>
        <w:rPr>
          <w:rFonts w:hint="eastAsia" w:ascii="黑体" w:hAnsi="黑体" w:eastAsia="黑体"/>
          <w:snapToGrid w:val="0"/>
          <w:color w:val="auto"/>
          <w:sz w:val="30"/>
          <w:szCs w:val="30"/>
        </w:rPr>
        <w:t>环境保护措施监督检查清单</w:t>
      </w:r>
      <w:bookmarkEnd w:id="23"/>
      <w:bookmarkEnd w:id="24"/>
    </w:p>
    <w:tbl>
      <w:tblPr>
        <w:tblStyle w:val="28"/>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266"/>
        <w:gridCol w:w="620"/>
        <w:gridCol w:w="647"/>
        <w:gridCol w:w="881"/>
        <w:gridCol w:w="924"/>
        <w:gridCol w:w="2807"/>
        <w:gridCol w:w="1655"/>
      </w:tblGrid>
      <w:tr w14:paraId="4D0BFA2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266" w:type="dxa"/>
            <w:tcBorders>
              <w:tl2br w:val="single" w:color="auto" w:sz="4" w:space="0"/>
            </w:tcBorders>
          </w:tcPr>
          <w:p w14:paraId="5D1F558C">
            <w:pPr>
              <w:adjustRightInd w:val="0"/>
              <w:snapToGrid w:val="0"/>
              <w:ind w:firstLine="630" w:firstLineChars="300"/>
              <w:rPr>
                <w:color w:val="auto"/>
                <w:szCs w:val="21"/>
              </w:rPr>
            </w:pPr>
            <w:r>
              <w:rPr>
                <w:color w:val="auto"/>
                <w:szCs w:val="21"/>
              </w:rPr>
              <w:t>内容</w:t>
            </w:r>
          </w:p>
          <w:p w14:paraId="4F715539">
            <w:pPr>
              <w:adjustRightInd w:val="0"/>
              <w:snapToGrid w:val="0"/>
              <w:rPr>
                <w:color w:val="auto"/>
                <w:szCs w:val="21"/>
              </w:rPr>
            </w:pPr>
            <w:r>
              <w:rPr>
                <w:color w:val="auto"/>
                <w:szCs w:val="21"/>
              </w:rPr>
              <w:t>要素</w:t>
            </w:r>
          </w:p>
        </w:tc>
        <w:tc>
          <w:tcPr>
            <w:tcW w:w="2148" w:type="dxa"/>
            <w:gridSpan w:val="3"/>
            <w:vAlign w:val="center"/>
          </w:tcPr>
          <w:p w14:paraId="61D53FFB">
            <w:pPr>
              <w:adjustRightInd w:val="0"/>
              <w:snapToGrid w:val="0"/>
              <w:jc w:val="center"/>
              <w:rPr>
                <w:color w:val="auto"/>
                <w:szCs w:val="21"/>
              </w:rPr>
            </w:pPr>
            <w:r>
              <w:rPr>
                <w:color w:val="auto"/>
                <w:szCs w:val="21"/>
              </w:rPr>
              <w:t>排放口(编号、名称)/污染源</w:t>
            </w:r>
          </w:p>
        </w:tc>
        <w:tc>
          <w:tcPr>
            <w:tcW w:w="924" w:type="dxa"/>
            <w:vAlign w:val="center"/>
          </w:tcPr>
          <w:p w14:paraId="1A242C84">
            <w:pPr>
              <w:adjustRightInd w:val="0"/>
              <w:snapToGrid w:val="0"/>
              <w:jc w:val="center"/>
              <w:rPr>
                <w:color w:val="auto"/>
                <w:szCs w:val="21"/>
              </w:rPr>
            </w:pPr>
            <w:r>
              <w:rPr>
                <w:color w:val="auto"/>
                <w:szCs w:val="21"/>
              </w:rPr>
              <w:t>污染物项目</w:t>
            </w:r>
          </w:p>
        </w:tc>
        <w:tc>
          <w:tcPr>
            <w:tcW w:w="2807" w:type="dxa"/>
            <w:vAlign w:val="center"/>
          </w:tcPr>
          <w:p w14:paraId="4DFD923D">
            <w:pPr>
              <w:adjustRightInd w:val="0"/>
              <w:snapToGrid w:val="0"/>
              <w:jc w:val="center"/>
              <w:rPr>
                <w:color w:val="auto"/>
                <w:szCs w:val="21"/>
              </w:rPr>
            </w:pPr>
            <w:r>
              <w:rPr>
                <w:color w:val="auto"/>
                <w:szCs w:val="21"/>
              </w:rPr>
              <w:t>环境保护措施</w:t>
            </w:r>
          </w:p>
        </w:tc>
        <w:tc>
          <w:tcPr>
            <w:tcW w:w="1655" w:type="dxa"/>
            <w:vAlign w:val="center"/>
          </w:tcPr>
          <w:p w14:paraId="429797DF">
            <w:pPr>
              <w:adjustRightInd w:val="0"/>
              <w:snapToGrid w:val="0"/>
              <w:jc w:val="center"/>
              <w:rPr>
                <w:color w:val="auto"/>
                <w:szCs w:val="21"/>
              </w:rPr>
            </w:pPr>
            <w:r>
              <w:rPr>
                <w:color w:val="auto"/>
                <w:szCs w:val="21"/>
              </w:rPr>
              <w:t>执行标准</w:t>
            </w:r>
          </w:p>
        </w:tc>
      </w:tr>
      <w:tr w14:paraId="2213572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1266" w:type="dxa"/>
            <w:vMerge w:val="restart"/>
            <w:vAlign w:val="center"/>
          </w:tcPr>
          <w:p w14:paraId="12ADE627">
            <w:pPr>
              <w:adjustRightInd w:val="0"/>
              <w:snapToGrid w:val="0"/>
              <w:jc w:val="center"/>
              <w:rPr>
                <w:color w:val="auto"/>
                <w:szCs w:val="21"/>
              </w:rPr>
            </w:pPr>
            <w:r>
              <w:rPr>
                <w:color w:val="auto"/>
                <w:szCs w:val="21"/>
              </w:rPr>
              <w:t>大气环境</w:t>
            </w:r>
          </w:p>
        </w:tc>
        <w:tc>
          <w:tcPr>
            <w:tcW w:w="620" w:type="dxa"/>
            <w:vMerge w:val="restart"/>
            <w:vAlign w:val="center"/>
          </w:tcPr>
          <w:p w14:paraId="68A5F221">
            <w:pPr>
              <w:snapToGrid w:val="0"/>
              <w:spacing w:line="220" w:lineRule="exact"/>
              <w:jc w:val="center"/>
              <w:rPr>
                <w:color w:val="auto"/>
                <w:spacing w:val="-10"/>
                <w:sz w:val="18"/>
                <w:szCs w:val="18"/>
              </w:rPr>
            </w:pPr>
            <w:r>
              <w:rPr>
                <w:rFonts w:hint="eastAsia"/>
                <w:color w:val="auto"/>
                <w:spacing w:val="-10"/>
                <w:sz w:val="18"/>
                <w:szCs w:val="18"/>
              </w:rPr>
              <w:t>有组织</w:t>
            </w:r>
          </w:p>
        </w:tc>
        <w:tc>
          <w:tcPr>
            <w:tcW w:w="647" w:type="dxa"/>
            <w:vMerge w:val="restart"/>
            <w:vAlign w:val="center"/>
          </w:tcPr>
          <w:p w14:paraId="768665EF">
            <w:pPr>
              <w:jc w:val="center"/>
              <w:rPr>
                <w:rFonts w:hint="eastAsia" w:ascii="Times New Roman" w:hAnsi="Times New Roman" w:eastAsia="宋体" w:cs="Times New Roman"/>
                <w:color w:val="auto"/>
                <w:spacing w:val="-10"/>
                <w:kern w:val="2"/>
                <w:sz w:val="18"/>
                <w:szCs w:val="18"/>
                <w:highlight w:val="none"/>
                <w:lang w:val="en-US" w:eastAsia="zh-CN" w:bidi="ar-SA"/>
              </w:rPr>
            </w:pPr>
            <w:r>
              <w:rPr>
                <w:rFonts w:hint="eastAsia"/>
                <w:color w:val="auto"/>
                <w:spacing w:val="-10"/>
                <w:sz w:val="18"/>
                <w:szCs w:val="18"/>
                <w:lang w:val="en-US" w:eastAsia="zh-CN"/>
              </w:rPr>
              <w:t>钢渣处理生产线</w:t>
            </w:r>
          </w:p>
        </w:tc>
        <w:tc>
          <w:tcPr>
            <w:tcW w:w="881" w:type="dxa"/>
            <w:shd w:val="clear" w:color="auto" w:fill="auto"/>
            <w:vAlign w:val="center"/>
          </w:tcPr>
          <w:p w14:paraId="7FD79A71">
            <w:pPr>
              <w:jc w:val="center"/>
              <w:rPr>
                <w:rFonts w:hint="eastAsia" w:ascii="Times New Roman" w:hAnsi="Times New Roman" w:eastAsia="宋体" w:cs="Times New Roman"/>
                <w:color w:val="auto"/>
                <w:spacing w:val="-10"/>
                <w:kern w:val="2"/>
                <w:sz w:val="18"/>
                <w:szCs w:val="18"/>
                <w:lang w:val="en-US" w:eastAsia="zh-CN" w:bidi="ar-SA"/>
              </w:rPr>
            </w:pPr>
            <w:r>
              <w:rPr>
                <w:rFonts w:hint="eastAsia"/>
                <w:color w:val="auto"/>
                <w:spacing w:val="-10"/>
                <w:sz w:val="18"/>
                <w:szCs w:val="18"/>
                <w:lang w:val="en-US" w:eastAsia="zh-CN"/>
              </w:rPr>
              <w:t>钢渣上料仓</w:t>
            </w:r>
          </w:p>
        </w:tc>
        <w:tc>
          <w:tcPr>
            <w:tcW w:w="924" w:type="dxa"/>
            <w:vAlign w:val="center"/>
          </w:tcPr>
          <w:p w14:paraId="14ADCCF1">
            <w:pPr>
              <w:jc w:val="center"/>
              <w:rPr>
                <w:rFonts w:hint="eastAsia" w:ascii="Times New Roman" w:hAnsi="Times New Roman" w:eastAsia="宋体" w:cs="Times New Roman"/>
                <w:color w:val="auto"/>
                <w:spacing w:val="-10"/>
                <w:kern w:val="2"/>
                <w:sz w:val="18"/>
                <w:szCs w:val="18"/>
                <w:lang w:val="en-US" w:eastAsia="zh-CN" w:bidi="ar-SA"/>
              </w:rPr>
            </w:pPr>
            <w:r>
              <w:rPr>
                <w:rFonts w:hint="eastAsia"/>
                <w:color w:val="auto"/>
                <w:spacing w:val="-10"/>
                <w:sz w:val="18"/>
                <w:szCs w:val="18"/>
              </w:rPr>
              <w:t>颗粒物</w:t>
            </w:r>
          </w:p>
        </w:tc>
        <w:tc>
          <w:tcPr>
            <w:tcW w:w="2807" w:type="dxa"/>
            <w:vMerge w:val="restart"/>
            <w:vAlign w:val="center"/>
          </w:tcPr>
          <w:p w14:paraId="194555D2">
            <w:pPr>
              <w:snapToGrid w:val="0"/>
              <w:spacing w:line="220" w:lineRule="exact"/>
              <w:jc w:val="center"/>
              <w:rPr>
                <w:color w:val="auto"/>
                <w:sz w:val="18"/>
                <w:szCs w:val="18"/>
              </w:rPr>
            </w:pPr>
            <w:r>
              <w:rPr>
                <w:rFonts w:hint="eastAsia"/>
                <w:color w:val="auto"/>
                <w:spacing w:val="-10"/>
                <w:sz w:val="18"/>
                <w:szCs w:val="18"/>
                <w:highlight w:val="none"/>
                <w:lang w:val="en-US" w:eastAsia="zh-CN"/>
              </w:rPr>
              <w:t>上料仓三面围挡，上方设集气罩，上料一侧设置软帘，并设感应喷淋装置，上料时进行喷淋；鄂破机、锤式破碎机全封闭，入料口、出料口均设置引风管；</w:t>
            </w:r>
            <w:r>
              <w:rPr>
                <w:rFonts w:hint="eastAsia"/>
                <w:color w:val="auto"/>
                <w:spacing w:val="-10"/>
                <w:sz w:val="18"/>
                <w:szCs w:val="18"/>
                <w:highlight w:val="none"/>
              </w:rPr>
              <w:t>振动筛封闭处理，入料口、筛面、出料口均设置集气管</w:t>
            </w:r>
            <w:r>
              <w:rPr>
                <w:rFonts w:hint="eastAsia"/>
                <w:color w:val="auto"/>
                <w:spacing w:val="-10"/>
                <w:sz w:val="18"/>
                <w:szCs w:val="18"/>
                <w:highlight w:val="none"/>
                <w:lang w:eastAsia="zh-CN"/>
              </w:rPr>
              <w:t>；</w:t>
            </w:r>
            <w:r>
              <w:rPr>
                <w:rFonts w:hint="eastAsia"/>
                <w:color w:val="auto"/>
                <w:spacing w:val="-10"/>
                <w:sz w:val="18"/>
                <w:szCs w:val="18"/>
                <w:highlight w:val="none"/>
                <w:lang w:val="en-US" w:eastAsia="zh-CN"/>
              </w:rPr>
              <w:t>将以上废气收集后通过集尘管</w:t>
            </w:r>
            <w:r>
              <w:rPr>
                <w:rFonts w:hint="default" w:ascii="Times New Roman" w:hAnsi="Times New Roman" w:eastAsia="宋体" w:cs="Times New Roman"/>
                <w:color w:val="auto"/>
                <w:spacing w:val="-10"/>
                <w:sz w:val="18"/>
                <w:szCs w:val="18"/>
                <w:highlight w:val="none"/>
                <w:lang w:val="en-US" w:eastAsia="zh-CN"/>
              </w:rPr>
              <w:t>道引入</w:t>
            </w:r>
            <w:r>
              <w:rPr>
                <w:rFonts w:hint="eastAsia" w:ascii="Times New Roman" w:hAnsi="Times New Roman" w:eastAsia="宋体" w:cs="Times New Roman"/>
                <w:color w:val="auto"/>
                <w:spacing w:val="-10"/>
                <w:sz w:val="18"/>
                <w:szCs w:val="18"/>
                <w:highlight w:val="none"/>
                <w:lang w:val="en-US" w:eastAsia="zh-CN"/>
              </w:rPr>
              <w:t>脉冲布袋除尘器</w:t>
            </w:r>
            <w:r>
              <w:rPr>
                <w:rFonts w:hint="eastAsia" w:cs="Times New Roman"/>
                <w:color w:val="auto"/>
                <w:spacing w:val="-10"/>
                <w:sz w:val="18"/>
                <w:szCs w:val="18"/>
                <w:highlight w:val="none"/>
                <w:lang w:val="en-US" w:eastAsia="zh-CN"/>
              </w:rPr>
              <w:t>（50000m</w:t>
            </w:r>
            <w:r>
              <w:rPr>
                <w:rFonts w:hint="eastAsia" w:cs="Times New Roman"/>
                <w:color w:val="auto"/>
                <w:spacing w:val="-10"/>
                <w:sz w:val="18"/>
                <w:szCs w:val="18"/>
                <w:highlight w:val="none"/>
                <w:vertAlign w:val="superscript"/>
                <w:lang w:val="en-US" w:eastAsia="zh-CN"/>
              </w:rPr>
              <w:t>3</w:t>
            </w:r>
            <w:r>
              <w:rPr>
                <w:rFonts w:hint="eastAsia" w:cs="Times New Roman"/>
                <w:color w:val="auto"/>
                <w:spacing w:val="-10"/>
                <w:sz w:val="18"/>
                <w:szCs w:val="18"/>
                <w:highlight w:val="none"/>
                <w:lang w:val="en-US" w:eastAsia="zh-CN"/>
              </w:rPr>
              <w:t>/h）</w:t>
            </w:r>
            <w:r>
              <w:rPr>
                <w:rFonts w:hint="eastAsia" w:ascii="Times New Roman" w:hAnsi="Times New Roman" w:eastAsia="宋体" w:cs="Times New Roman"/>
                <w:color w:val="auto"/>
                <w:spacing w:val="-10"/>
                <w:sz w:val="18"/>
                <w:szCs w:val="18"/>
                <w:highlight w:val="none"/>
                <w:lang w:val="en-US" w:eastAsia="zh-CN"/>
              </w:rPr>
              <w:t>处理后，通过15m高排气筒</w:t>
            </w:r>
            <w:r>
              <w:rPr>
                <w:rFonts w:hint="eastAsia"/>
                <w:color w:val="auto"/>
                <w:spacing w:val="-10"/>
                <w:sz w:val="18"/>
                <w:szCs w:val="18"/>
                <w:highlight w:val="none"/>
              </w:rPr>
              <w:t>（DA00</w:t>
            </w:r>
            <w:r>
              <w:rPr>
                <w:rFonts w:hint="eastAsia"/>
                <w:color w:val="auto"/>
                <w:spacing w:val="-10"/>
                <w:sz w:val="18"/>
                <w:szCs w:val="18"/>
                <w:highlight w:val="none"/>
                <w:lang w:val="en-US" w:eastAsia="zh-CN"/>
              </w:rPr>
              <w:t>1</w:t>
            </w:r>
            <w:r>
              <w:rPr>
                <w:rFonts w:hint="eastAsia"/>
                <w:color w:val="auto"/>
                <w:spacing w:val="-10"/>
                <w:sz w:val="18"/>
                <w:szCs w:val="18"/>
                <w:highlight w:val="none"/>
              </w:rPr>
              <w:t>）</w:t>
            </w:r>
            <w:r>
              <w:rPr>
                <w:rFonts w:hint="eastAsia" w:ascii="Times New Roman" w:hAnsi="Times New Roman" w:eastAsia="宋体" w:cs="Times New Roman"/>
                <w:color w:val="auto"/>
                <w:spacing w:val="-10"/>
                <w:sz w:val="18"/>
                <w:szCs w:val="18"/>
                <w:highlight w:val="none"/>
                <w:lang w:val="en-US" w:eastAsia="zh-CN"/>
              </w:rPr>
              <w:t>排放</w:t>
            </w:r>
          </w:p>
        </w:tc>
        <w:tc>
          <w:tcPr>
            <w:tcW w:w="1655" w:type="dxa"/>
            <w:vMerge w:val="restart"/>
            <w:vAlign w:val="center"/>
          </w:tcPr>
          <w:p w14:paraId="23EF7741">
            <w:pPr>
              <w:snapToGrid w:val="0"/>
              <w:spacing w:line="220" w:lineRule="exact"/>
              <w:jc w:val="center"/>
              <w:rPr>
                <w:rFonts w:hint="eastAsia" w:ascii="Times New Roman" w:hAnsi="Times New Roman" w:eastAsia="宋体" w:cs="Times New Roman"/>
                <w:color w:val="auto"/>
                <w:spacing w:val="-10"/>
                <w:sz w:val="18"/>
                <w:szCs w:val="18"/>
                <w:highlight w:val="none"/>
                <w:lang w:val="en-US" w:eastAsia="zh-CN"/>
              </w:rPr>
            </w:pPr>
            <w:r>
              <w:rPr>
                <w:rFonts w:hint="eastAsia" w:ascii="Times New Roman" w:hAnsi="Times New Roman" w:eastAsia="宋体" w:cs="Times New Roman"/>
                <w:color w:val="auto"/>
                <w:spacing w:val="-10"/>
                <w:sz w:val="18"/>
                <w:szCs w:val="18"/>
                <w:highlight w:val="none"/>
                <w:lang w:val="en-US" w:eastAsia="zh-CN"/>
              </w:rPr>
              <w:t>《钢铁工业大气污染物超低排放标准》（DB13/2169-2018及《关于下达唐山市2019年五大行业大气污染治理重点工作任务的通知》（唐环气[2019]1号）</w:t>
            </w:r>
          </w:p>
        </w:tc>
      </w:tr>
      <w:tr w14:paraId="3717D18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1266" w:type="dxa"/>
            <w:vMerge w:val="continue"/>
            <w:vAlign w:val="center"/>
          </w:tcPr>
          <w:p w14:paraId="07875C2D">
            <w:pPr>
              <w:adjustRightInd w:val="0"/>
              <w:snapToGrid w:val="0"/>
              <w:jc w:val="center"/>
              <w:rPr>
                <w:color w:val="auto"/>
                <w:szCs w:val="21"/>
              </w:rPr>
            </w:pPr>
          </w:p>
        </w:tc>
        <w:tc>
          <w:tcPr>
            <w:tcW w:w="620" w:type="dxa"/>
            <w:vMerge w:val="continue"/>
            <w:vAlign w:val="center"/>
          </w:tcPr>
          <w:p w14:paraId="2AA5BA65">
            <w:pPr>
              <w:snapToGrid w:val="0"/>
              <w:spacing w:line="220" w:lineRule="exact"/>
              <w:jc w:val="center"/>
              <w:rPr>
                <w:rFonts w:hint="eastAsia"/>
                <w:color w:val="auto"/>
                <w:spacing w:val="-10"/>
                <w:sz w:val="18"/>
                <w:szCs w:val="18"/>
              </w:rPr>
            </w:pPr>
          </w:p>
        </w:tc>
        <w:tc>
          <w:tcPr>
            <w:tcW w:w="647" w:type="dxa"/>
            <w:vMerge w:val="continue"/>
            <w:vAlign w:val="center"/>
          </w:tcPr>
          <w:p w14:paraId="5F3731A4">
            <w:pPr>
              <w:jc w:val="center"/>
              <w:rPr>
                <w:rFonts w:hint="eastAsia" w:ascii="Times New Roman" w:hAnsi="Times New Roman" w:eastAsia="宋体" w:cs="Times New Roman"/>
                <w:color w:val="auto"/>
                <w:spacing w:val="-11"/>
                <w:kern w:val="2"/>
                <w:sz w:val="18"/>
                <w:szCs w:val="18"/>
                <w:lang w:val="en-US" w:eastAsia="zh-CN" w:bidi="ar-SA"/>
              </w:rPr>
            </w:pPr>
          </w:p>
        </w:tc>
        <w:tc>
          <w:tcPr>
            <w:tcW w:w="881" w:type="dxa"/>
            <w:shd w:val="clear" w:color="auto" w:fill="auto"/>
            <w:vAlign w:val="center"/>
          </w:tcPr>
          <w:p w14:paraId="7598A197">
            <w:pPr>
              <w:jc w:val="center"/>
              <w:rPr>
                <w:rFonts w:hint="eastAsia" w:ascii="Times New Roman" w:hAnsi="Times New Roman" w:eastAsia="宋体" w:cs="Times New Roman"/>
                <w:color w:val="auto"/>
                <w:spacing w:val="-10"/>
                <w:kern w:val="2"/>
                <w:sz w:val="18"/>
                <w:szCs w:val="18"/>
                <w:lang w:val="en-US" w:eastAsia="zh-CN" w:bidi="ar-SA"/>
              </w:rPr>
            </w:pPr>
            <w:r>
              <w:rPr>
                <w:rFonts w:hint="eastAsia"/>
                <w:color w:val="auto"/>
                <w:spacing w:val="-10"/>
                <w:sz w:val="18"/>
                <w:szCs w:val="18"/>
                <w:lang w:val="en-US" w:eastAsia="zh-CN"/>
              </w:rPr>
              <w:t>鄂式</w:t>
            </w:r>
            <w:r>
              <w:rPr>
                <w:rFonts w:hint="eastAsia"/>
                <w:color w:val="auto"/>
                <w:spacing w:val="-10"/>
                <w:sz w:val="18"/>
                <w:szCs w:val="18"/>
              </w:rPr>
              <w:t>破碎机</w:t>
            </w:r>
          </w:p>
        </w:tc>
        <w:tc>
          <w:tcPr>
            <w:tcW w:w="924" w:type="dxa"/>
            <w:vAlign w:val="center"/>
          </w:tcPr>
          <w:p w14:paraId="4152A1E2">
            <w:pPr>
              <w:snapToGrid w:val="0"/>
              <w:spacing w:line="220" w:lineRule="exact"/>
              <w:jc w:val="center"/>
              <w:rPr>
                <w:rFonts w:hint="eastAsia" w:ascii="Times New Roman" w:hAnsi="Times New Roman" w:eastAsia="宋体" w:cs="Times New Roman"/>
                <w:color w:val="auto"/>
                <w:spacing w:val="-10"/>
                <w:kern w:val="2"/>
                <w:sz w:val="18"/>
                <w:szCs w:val="18"/>
                <w:lang w:val="en-US" w:eastAsia="zh-CN" w:bidi="ar-SA"/>
              </w:rPr>
            </w:pPr>
            <w:r>
              <w:rPr>
                <w:rFonts w:hint="eastAsia"/>
                <w:color w:val="auto"/>
                <w:spacing w:val="-10"/>
                <w:sz w:val="18"/>
                <w:szCs w:val="18"/>
              </w:rPr>
              <w:t>颗粒物</w:t>
            </w:r>
          </w:p>
        </w:tc>
        <w:tc>
          <w:tcPr>
            <w:tcW w:w="2807" w:type="dxa"/>
            <w:vMerge w:val="continue"/>
            <w:vAlign w:val="center"/>
          </w:tcPr>
          <w:p w14:paraId="0E1B1563">
            <w:pPr>
              <w:snapToGrid w:val="0"/>
              <w:spacing w:line="220" w:lineRule="exact"/>
              <w:jc w:val="center"/>
              <w:rPr>
                <w:rFonts w:hint="eastAsia"/>
                <w:color w:val="auto"/>
                <w:spacing w:val="-10"/>
                <w:sz w:val="18"/>
                <w:szCs w:val="18"/>
              </w:rPr>
            </w:pPr>
          </w:p>
        </w:tc>
        <w:tc>
          <w:tcPr>
            <w:tcW w:w="1655" w:type="dxa"/>
            <w:vMerge w:val="continue"/>
            <w:vAlign w:val="center"/>
          </w:tcPr>
          <w:p w14:paraId="363D1253">
            <w:pPr>
              <w:snapToGrid w:val="0"/>
              <w:spacing w:line="220" w:lineRule="exact"/>
              <w:jc w:val="center"/>
              <w:rPr>
                <w:rFonts w:hint="eastAsia" w:ascii="Times New Roman" w:hAnsi="Times New Roman" w:eastAsia="宋体" w:cs="Times New Roman"/>
                <w:color w:val="auto"/>
                <w:spacing w:val="-10"/>
                <w:sz w:val="18"/>
                <w:szCs w:val="18"/>
                <w:highlight w:val="none"/>
                <w:lang w:val="en-US" w:eastAsia="zh-CN"/>
              </w:rPr>
            </w:pPr>
          </w:p>
        </w:tc>
      </w:tr>
      <w:tr w14:paraId="59E5C3E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266" w:type="dxa"/>
            <w:vMerge w:val="continue"/>
            <w:vAlign w:val="center"/>
          </w:tcPr>
          <w:p w14:paraId="484F78BD">
            <w:pPr>
              <w:adjustRightInd w:val="0"/>
              <w:snapToGrid w:val="0"/>
              <w:jc w:val="center"/>
              <w:rPr>
                <w:color w:val="auto"/>
                <w:szCs w:val="21"/>
              </w:rPr>
            </w:pPr>
          </w:p>
        </w:tc>
        <w:tc>
          <w:tcPr>
            <w:tcW w:w="620" w:type="dxa"/>
            <w:vMerge w:val="continue"/>
            <w:vAlign w:val="center"/>
          </w:tcPr>
          <w:p w14:paraId="43B19345">
            <w:pPr>
              <w:snapToGrid w:val="0"/>
              <w:spacing w:line="220" w:lineRule="exact"/>
              <w:jc w:val="center"/>
              <w:rPr>
                <w:color w:val="auto"/>
                <w:spacing w:val="-10"/>
                <w:sz w:val="18"/>
                <w:szCs w:val="18"/>
              </w:rPr>
            </w:pPr>
          </w:p>
        </w:tc>
        <w:tc>
          <w:tcPr>
            <w:tcW w:w="647" w:type="dxa"/>
            <w:vMerge w:val="continue"/>
            <w:vAlign w:val="center"/>
          </w:tcPr>
          <w:p w14:paraId="62704E89">
            <w:pPr>
              <w:jc w:val="center"/>
              <w:rPr>
                <w:rFonts w:hint="eastAsia" w:ascii="Times New Roman" w:hAnsi="Times New Roman" w:eastAsia="宋体" w:cs="Times New Roman"/>
                <w:color w:val="auto"/>
                <w:spacing w:val="-10"/>
                <w:kern w:val="2"/>
                <w:sz w:val="18"/>
                <w:szCs w:val="18"/>
                <w:lang w:val="en-US" w:eastAsia="zh-CN" w:bidi="ar-SA"/>
              </w:rPr>
            </w:pPr>
          </w:p>
        </w:tc>
        <w:tc>
          <w:tcPr>
            <w:tcW w:w="881" w:type="dxa"/>
            <w:shd w:val="clear" w:color="auto" w:fill="auto"/>
            <w:vAlign w:val="center"/>
          </w:tcPr>
          <w:p w14:paraId="228E92AC">
            <w:pPr>
              <w:jc w:val="center"/>
              <w:rPr>
                <w:rFonts w:hint="eastAsia" w:ascii="Times New Roman" w:hAnsi="Times New Roman" w:eastAsia="宋体" w:cs="Times New Roman"/>
                <w:color w:val="auto"/>
                <w:spacing w:val="-10"/>
                <w:kern w:val="2"/>
                <w:sz w:val="18"/>
                <w:szCs w:val="18"/>
                <w:lang w:val="en-US" w:eastAsia="zh-CN" w:bidi="ar-SA"/>
              </w:rPr>
            </w:pPr>
            <w:r>
              <w:rPr>
                <w:rFonts w:hint="eastAsia"/>
                <w:color w:val="auto"/>
                <w:spacing w:val="-10"/>
                <w:sz w:val="18"/>
                <w:szCs w:val="18"/>
                <w:lang w:val="en-US" w:eastAsia="zh-CN"/>
              </w:rPr>
              <w:t>振动筛</w:t>
            </w:r>
          </w:p>
        </w:tc>
        <w:tc>
          <w:tcPr>
            <w:tcW w:w="924" w:type="dxa"/>
            <w:vAlign w:val="center"/>
          </w:tcPr>
          <w:p w14:paraId="56356CC4">
            <w:pPr>
              <w:snapToGrid w:val="0"/>
              <w:spacing w:line="220" w:lineRule="exact"/>
              <w:jc w:val="center"/>
              <w:rPr>
                <w:color w:val="auto"/>
                <w:spacing w:val="-10"/>
                <w:sz w:val="18"/>
                <w:szCs w:val="18"/>
              </w:rPr>
            </w:pPr>
            <w:r>
              <w:rPr>
                <w:rFonts w:hint="eastAsia"/>
                <w:color w:val="auto"/>
                <w:spacing w:val="-10"/>
                <w:sz w:val="18"/>
                <w:szCs w:val="18"/>
              </w:rPr>
              <w:t>颗粒物</w:t>
            </w:r>
          </w:p>
        </w:tc>
        <w:tc>
          <w:tcPr>
            <w:tcW w:w="2807" w:type="dxa"/>
            <w:vMerge w:val="continue"/>
            <w:vAlign w:val="center"/>
          </w:tcPr>
          <w:p w14:paraId="367C81CE">
            <w:pPr>
              <w:snapToGrid w:val="0"/>
              <w:spacing w:line="220" w:lineRule="exact"/>
              <w:jc w:val="center"/>
              <w:rPr>
                <w:color w:val="auto"/>
                <w:spacing w:val="-10"/>
                <w:sz w:val="18"/>
                <w:szCs w:val="18"/>
              </w:rPr>
            </w:pPr>
          </w:p>
        </w:tc>
        <w:tc>
          <w:tcPr>
            <w:tcW w:w="1655" w:type="dxa"/>
            <w:vMerge w:val="continue"/>
            <w:vAlign w:val="center"/>
          </w:tcPr>
          <w:p w14:paraId="74F94C62">
            <w:pPr>
              <w:snapToGrid w:val="0"/>
              <w:spacing w:line="220" w:lineRule="exact"/>
              <w:jc w:val="center"/>
              <w:rPr>
                <w:rFonts w:hint="eastAsia" w:ascii="Times New Roman" w:hAnsi="Times New Roman" w:eastAsia="宋体" w:cs="Times New Roman"/>
                <w:color w:val="auto"/>
                <w:spacing w:val="-10"/>
                <w:sz w:val="18"/>
                <w:szCs w:val="18"/>
                <w:highlight w:val="none"/>
                <w:lang w:val="en-US" w:eastAsia="zh-CN"/>
              </w:rPr>
            </w:pPr>
          </w:p>
        </w:tc>
      </w:tr>
      <w:tr w14:paraId="1C4F304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0" w:hRule="exact"/>
          <w:jc w:val="center"/>
        </w:trPr>
        <w:tc>
          <w:tcPr>
            <w:tcW w:w="1266" w:type="dxa"/>
            <w:vMerge w:val="continue"/>
            <w:vAlign w:val="center"/>
          </w:tcPr>
          <w:p w14:paraId="309EE77C">
            <w:pPr>
              <w:adjustRightInd w:val="0"/>
              <w:snapToGrid w:val="0"/>
              <w:jc w:val="center"/>
              <w:rPr>
                <w:color w:val="auto"/>
                <w:szCs w:val="21"/>
              </w:rPr>
            </w:pPr>
          </w:p>
        </w:tc>
        <w:tc>
          <w:tcPr>
            <w:tcW w:w="620" w:type="dxa"/>
            <w:vMerge w:val="continue"/>
            <w:vAlign w:val="center"/>
          </w:tcPr>
          <w:p w14:paraId="0C5C28DD">
            <w:pPr>
              <w:snapToGrid w:val="0"/>
              <w:spacing w:line="220" w:lineRule="exact"/>
              <w:jc w:val="center"/>
              <w:rPr>
                <w:color w:val="auto"/>
                <w:spacing w:val="-10"/>
                <w:sz w:val="18"/>
                <w:szCs w:val="18"/>
              </w:rPr>
            </w:pPr>
          </w:p>
        </w:tc>
        <w:tc>
          <w:tcPr>
            <w:tcW w:w="647" w:type="dxa"/>
            <w:vMerge w:val="continue"/>
            <w:vAlign w:val="center"/>
          </w:tcPr>
          <w:p w14:paraId="33F35F35">
            <w:pPr>
              <w:jc w:val="center"/>
              <w:rPr>
                <w:rFonts w:hint="eastAsia" w:ascii="Times New Roman" w:hAnsi="Times New Roman" w:eastAsia="宋体" w:cs="Times New Roman"/>
                <w:color w:val="auto"/>
                <w:spacing w:val="-10"/>
                <w:kern w:val="2"/>
                <w:sz w:val="18"/>
                <w:szCs w:val="18"/>
                <w:lang w:val="en-US" w:eastAsia="zh-CN" w:bidi="ar-SA"/>
              </w:rPr>
            </w:pPr>
          </w:p>
        </w:tc>
        <w:tc>
          <w:tcPr>
            <w:tcW w:w="881" w:type="dxa"/>
            <w:shd w:val="clear" w:color="auto" w:fill="auto"/>
            <w:vAlign w:val="center"/>
          </w:tcPr>
          <w:p w14:paraId="4DE72097">
            <w:pPr>
              <w:jc w:val="center"/>
              <w:rPr>
                <w:rFonts w:hint="eastAsia" w:ascii="Times New Roman" w:hAnsi="Times New Roman" w:eastAsia="宋体" w:cs="Times New Roman"/>
                <w:color w:val="auto"/>
                <w:spacing w:val="-10"/>
                <w:kern w:val="2"/>
                <w:sz w:val="18"/>
                <w:szCs w:val="18"/>
                <w:lang w:val="en-US" w:eastAsia="zh-CN" w:bidi="ar-SA"/>
              </w:rPr>
            </w:pPr>
            <w:r>
              <w:rPr>
                <w:rFonts w:hint="eastAsia" w:cs="Times New Roman"/>
                <w:color w:val="auto"/>
                <w:spacing w:val="-10"/>
                <w:kern w:val="2"/>
                <w:sz w:val="18"/>
                <w:szCs w:val="18"/>
                <w:lang w:val="en-US" w:eastAsia="zh-CN" w:bidi="ar-SA"/>
              </w:rPr>
              <w:t>锤式破碎机</w:t>
            </w:r>
          </w:p>
        </w:tc>
        <w:tc>
          <w:tcPr>
            <w:tcW w:w="924" w:type="dxa"/>
            <w:vAlign w:val="center"/>
          </w:tcPr>
          <w:p w14:paraId="69286273">
            <w:pPr>
              <w:snapToGrid w:val="0"/>
              <w:spacing w:line="220" w:lineRule="exact"/>
              <w:jc w:val="center"/>
              <w:rPr>
                <w:color w:val="auto"/>
                <w:spacing w:val="-10"/>
                <w:sz w:val="18"/>
                <w:szCs w:val="18"/>
              </w:rPr>
            </w:pPr>
            <w:r>
              <w:rPr>
                <w:rFonts w:hint="eastAsia"/>
                <w:color w:val="auto"/>
                <w:spacing w:val="-10"/>
                <w:sz w:val="18"/>
                <w:szCs w:val="18"/>
              </w:rPr>
              <w:t>颗粒物</w:t>
            </w:r>
          </w:p>
        </w:tc>
        <w:tc>
          <w:tcPr>
            <w:tcW w:w="2807" w:type="dxa"/>
            <w:vMerge w:val="continue"/>
            <w:vAlign w:val="center"/>
          </w:tcPr>
          <w:p w14:paraId="6D08AB69">
            <w:pPr>
              <w:snapToGrid w:val="0"/>
              <w:spacing w:line="220" w:lineRule="exact"/>
              <w:jc w:val="center"/>
              <w:rPr>
                <w:color w:val="auto"/>
                <w:spacing w:val="-10"/>
                <w:sz w:val="18"/>
                <w:szCs w:val="18"/>
              </w:rPr>
            </w:pPr>
          </w:p>
        </w:tc>
        <w:tc>
          <w:tcPr>
            <w:tcW w:w="1655" w:type="dxa"/>
            <w:vMerge w:val="continue"/>
            <w:vAlign w:val="center"/>
          </w:tcPr>
          <w:p w14:paraId="609EB148">
            <w:pPr>
              <w:snapToGrid w:val="0"/>
              <w:spacing w:line="220" w:lineRule="exact"/>
              <w:jc w:val="center"/>
              <w:rPr>
                <w:rFonts w:hint="eastAsia" w:ascii="Times New Roman" w:hAnsi="Times New Roman" w:eastAsia="宋体" w:cs="Times New Roman"/>
                <w:color w:val="auto"/>
                <w:spacing w:val="-10"/>
                <w:sz w:val="18"/>
                <w:szCs w:val="18"/>
                <w:highlight w:val="none"/>
                <w:lang w:val="en-US" w:eastAsia="zh-CN"/>
              </w:rPr>
            </w:pPr>
          </w:p>
        </w:tc>
      </w:tr>
      <w:tr w14:paraId="66A3D3C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37" w:hRule="exact"/>
          <w:jc w:val="center"/>
        </w:trPr>
        <w:tc>
          <w:tcPr>
            <w:tcW w:w="1266" w:type="dxa"/>
            <w:vMerge w:val="continue"/>
            <w:vAlign w:val="center"/>
          </w:tcPr>
          <w:p w14:paraId="1235CB07">
            <w:pPr>
              <w:adjustRightInd w:val="0"/>
              <w:snapToGrid w:val="0"/>
              <w:jc w:val="center"/>
              <w:rPr>
                <w:color w:val="auto"/>
                <w:szCs w:val="21"/>
              </w:rPr>
            </w:pPr>
          </w:p>
        </w:tc>
        <w:tc>
          <w:tcPr>
            <w:tcW w:w="620" w:type="dxa"/>
            <w:vMerge w:val="continue"/>
            <w:vAlign w:val="center"/>
          </w:tcPr>
          <w:p w14:paraId="4FA4B2CA">
            <w:pPr>
              <w:snapToGrid w:val="0"/>
              <w:spacing w:line="220" w:lineRule="exact"/>
              <w:jc w:val="center"/>
              <w:rPr>
                <w:color w:val="auto"/>
                <w:spacing w:val="-10"/>
                <w:sz w:val="18"/>
                <w:szCs w:val="18"/>
              </w:rPr>
            </w:pPr>
          </w:p>
        </w:tc>
        <w:tc>
          <w:tcPr>
            <w:tcW w:w="647" w:type="dxa"/>
            <w:vMerge w:val="restart"/>
            <w:vAlign w:val="center"/>
          </w:tcPr>
          <w:p w14:paraId="5B2FD900">
            <w:pPr>
              <w:snapToGrid w:val="0"/>
              <w:spacing w:line="220" w:lineRule="exact"/>
              <w:jc w:val="center"/>
              <w:rPr>
                <w:rFonts w:hint="default" w:ascii="Times New Roman" w:hAnsi="Times New Roman" w:cs="Times New Roman"/>
                <w:color w:val="auto"/>
                <w:spacing w:val="-10"/>
                <w:sz w:val="18"/>
                <w:szCs w:val="18"/>
                <w:highlight w:val="none"/>
                <w:lang w:val="en-US" w:eastAsia="zh-CN"/>
              </w:rPr>
            </w:pPr>
            <w:r>
              <w:rPr>
                <w:rFonts w:hint="eastAsia" w:ascii="Times New Roman" w:hAnsi="Times New Roman" w:cs="Times New Roman"/>
                <w:color w:val="auto"/>
                <w:spacing w:val="-10"/>
                <w:sz w:val="18"/>
                <w:szCs w:val="18"/>
                <w:highlight w:val="none"/>
                <w:lang w:val="en-US" w:eastAsia="zh-CN"/>
              </w:rPr>
              <w:t>废钢破碎尾料分选生产线</w:t>
            </w:r>
          </w:p>
        </w:tc>
        <w:tc>
          <w:tcPr>
            <w:tcW w:w="881" w:type="dxa"/>
            <w:shd w:val="clear" w:color="auto" w:fill="auto"/>
            <w:vAlign w:val="center"/>
          </w:tcPr>
          <w:p w14:paraId="243EE825">
            <w:pPr>
              <w:jc w:val="center"/>
              <w:rPr>
                <w:rFonts w:hint="eastAsia" w:ascii="Times New Roman" w:hAnsi="Times New Roman" w:eastAsia="宋体" w:cs="Times New Roman"/>
                <w:color w:val="auto"/>
                <w:spacing w:val="-10"/>
                <w:kern w:val="2"/>
                <w:sz w:val="18"/>
                <w:szCs w:val="18"/>
                <w:lang w:val="en-US" w:eastAsia="zh-CN" w:bidi="ar-SA"/>
              </w:rPr>
            </w:pPr>
            <w:r>
              <w:rPr>
                <w:rFonts w:hint="eastAsia" w:ascii="Times New Roman" w:hAnsi="Times New Roman" w:eastAsia="宋体" w:cs="Times New Roman"/>
                <w:color w:val="auto"/>
                <w:spacing w:val="-10"/>
                <w:kern w:val="2"/>
                <w:sz w:val="18"/>
                <w:szCs w:val="18"/>
                <w:lang w:val="en-US" w:eastAsia="zh-CN" w:bidi="ar-SA"/>
              </w:rPr>
              <w:t>1</w:t>
            </w:r>
            <w:r>
              <w:rPr>
                <w:rFonts w:hint="eastAsia" w:ascii="Times New Roman" w:hAnsi="Times New Roman" w:eastAsia="宋体" w:cs="Times New Roman"/>
                <w:color w:val="auto"/>
                <w:spacing w:val="-10"/>
                <w:kern w:val="2"/>
                <w:sz w:val="18"/>
                <w:szCs w:val="18"/>
                <w:vertAlign w:val="superscript"/>
                <w:lang w:val="en-US" w:eastAsia="zh-CN" w:bidi="ar-SA"/>
              </w:rPr>
              <w:t>#</w:t>
            </w:r>
            <w:r>
              <w:rPr>
                <w:rFonts w:hint="eastAsia" w:ascii="Times New Roman" w:hAnsi="Times New Roman" w:eastAsia="宋体" w:cs="Times New Roman"/>
                <w:color w:val="auto"/>
                <w:spacing w:val="-10"/>
                <w:kern w:val="2"/>
                <w:sz w:val="18"/>
                <w:szCs w:val="18"/>
                <w:lang w:val="en-US" w:eastAsia="zh-CN" w:bidi="ar-SA"/>
              </w:rPr>
              <w:t>线一次漂洗前上料仓</w:t>
            </w:r>
          </w:p>
        </w:tc>
        <w:tc>
          <w:tcPr>
            <w:tcW w:w="924" w:type="dxa"/>
            <w:vAlign w:val="center"/>
          </w:tcPr>
          <w:p w14:paraId="6A78FE09">
            <w:pPr>
              <w:snapToGrid w:val="0"/>
              <w:spacing w:line="220" w:lineRule="exact"/>
              <w:jc w:val="center"/>
              <w:rPr>
                <w:color w:val="auto"/>
                <w:spacing w:val="-10"/>
                <w:sz w:val="18"/>
                <w:szCs w:val="18"/>
              </w:rPr>
            </w:pPr>
            <w:r>
              <w:rPr>
                <w:rFonts w:hint="eastAsia"/>
                <w:color w:val="auto"/>
                <w:spacing w:val="-10"/>
                <w:sz w:val="18"/>
                <w:szCs w:val="18"/>
              </w:rPr>
              <w:t>颗粒物</w:t>
            </w:r>
          </w:p>
        </w:tc>
        <w:tc>
          <w:tcPr>
            <w:tcW w:w="2807" w:type="dxa"/>
            <w:vMerge w:val="restart"/>
            <w:vAlign w:val="center"/>
          </w:tcPr>
          <w:p w14:paraId="2670CA10">
            <w:pPr>
              <w:snapToGrid w:val="0"/>
              <w:spacing w:line="220" w:lineRule="exact"/>
              <w:jc w:val="center"/>
              <w:rPr>
                <w:color w:val="auto"/>
                <w:sz w:val="18"/>
                <w:szCs w:val="18"/>
              </w:rPr>
            </w:pPr>
            <w:r>
              <w:rPr>
                <w:rFonts w:hint="eastAsia"/>
                <w:color w:val="auto"/>
                <w:spacing w:val="-10"/>
                <w:sz w:val="18"/>
                <w:szCs w:val="18"/>
                <w:highlight w:val="none"/>
                <w:lang w:val="en-US" w:eastAsia="zh-CN"/>
              </w:rPr>
              <w:t>上料仓均三面围挡，上方均设集气罩，上料一侧设置软帘，并设感应喷淋装置，上料时进行喷淋；</w:t>
            </w:r>
            <w:r>
              <w:rPr>
                <w:rFonts w:hint="eastAsia"/>
                <w:color w:val="auto"/>
                <w:spacing w:val="-11"/>
                <w:sz w:val="18"/>
                <w:szCs w:val="18"/>
                <w:highlight w:val="none"/>
                <w:lang w:val="en-US" w:eastAsia="zh-CN"/>
              </w:rPr>
              <w:t>滚筒筛</w:t>
            </w:r>
            <w:r>
              <w:rPr>
                <w:rFonts w:hint="eastAsia"/>
                <w:color w:val="auto"/>
                <w:spacing w:val="-11"/>
                <w:sz w:val="18"/>
                <w:szCs w:val="18"/>
                <w:highlight w:val="none"/>
              </w:rPr>
              <w:t>全封闭，入料口、出料口设</w:t>
            </w:r>
            <w:r>
              <w:rPr>
                <w:rFonts w:hint="eastAsia" w:ascii="Times New Roman" w:hAnsi="Times New Roman" w:cs="Times New Roman"/>
                <w:color w:val="auto"/>
                <w:spacing w:val="-11"/>
                <w:sz w:val="18"/>
                <w:szCs w:val="18"/>
                <w:highlight w:val="none"/>
                <w:lang w:val="en-US" w:eastAsia="zh-CN"/>
              </w:rPr>
              <w:t>集气</w:t>
            </w:r>
            <w:r>
              <w:rPr>
                <w:rFonts w:hint="eastAsia"/>
                <w:color w:val="auto"/>
                <w:spacing w:val="-11"/>
                <w:sz w:val="18"/>
                <w:szCs w:val="18"/>
                <w:highlight w:val="none"/>
              </w:rPr>
              <w:t>管</w:t>
            </w:r>
            <w:r>
              <w:rPr>
                <w:rFonts w:hint="eastAsia"/>
                <w:color w:val="auto"/>
                <w:spacing w:val="-11"/>
                <w:sz w:val="18"/>
                <w:szCs w:val="18"/>
                <w:highlight w:val="none"/>
                <w:lang w:eastAsia="zh-CN"/>
              </w:rPr>
              <w:t>；</w:t>
            </w:r>
            <w:r>
              <w:rPr>
                <w:rFonts w:hint="eastAsia"/>
                <w:color w:val="auto"/>
                <w:spacing w:val="-11"/>
                <w:sz w:val="18"/>
                <w:szCs w:val="18"/>
                <w:highlight w:val="none"/>
                <w:lang w:val="en-US" w:eastAsia="zh-CN"/>
              </w:rPr>
              <w:t>空气分选机入料口、出料口设集气罩</w:t>
            </w:r>
            <w:r>
              <w:rPr>
                <w:rFonts w:hint="eastAsia"/>
                <w:color w:val="auto"/>
                <w:spacing w:val="-10"/>
                <w:sz w:val="18"/>
                <w:szCs w:val="18"/>
                <w:highlight w:val="none"/>
                <w:lang w:val="en-US" w:eastAsia="zh-CN"/>
              </w:rPr>
              <w:t>，将废气收集后通过集尘管</w:t>
            </w:r>
            <w:r>
              <w:rPr>
                <w:rFonts w:hint="default" w:ascii="Times New Roman" w:hAnsi="Times New Roman" w:eastAsia="宋体" w:cs="Times New Roman"/>
                <w:color w:val="auto"/>
                <w:spacing w:val="-10"/>
                <w:sz w:val="18"/>
                <w:szCs w:val="18"/>
                <w:highlight w:val="none"/>
                <w:lang w:val="en-US" w:eastAsia="zh-CN"/>
              </w:rPr>
              <w:t>道引入</w:t>
            </w:r>
            <w:r>
              <w:rPr>
                <w:rFonts w:hint="eastAsia" w:ascii="Times New Roman" w:hAnsi="Times New Roman" w:eastAsia="宋体" w:cs="Times New Roman"/>
                <w:color w:val="auto"/>
                <w:spacing w:val="-10"/>
                <w:sz w:val="18"/>
                <w:szCs w:val="18"/>
                <w:highlight w:val="none"/>
                <w:lang w:val="en-US" w:eastAsia="zh-CN"/>
              </w:rPr>
              <w:t>脉冲布袋除尘器</w:t>
            </w:r>
            <w:r>
              <w:rPr>
                <w:rFonts w:hint="eastAsia" w:cs="Times New Roman"/>
                <w:color w:val="auto"/>
                <w:spacing w:val="-10"/>
                <w:sz w:val="18"/>
                <w:szCs w:val="18"/>
                <w:highlight w:val="none"/>
                <w:lang w:val="en-US" w:eastAsia="zh-CN"/>
              </w:rPr>
              <w:t>（50000m</w:t>
            </w:r>
            <w:r>
              <w:rPr>
                <w:rFonts w:hint="eastAsia" w:cs="Times New Roman"/>
                <w:color w:val="auto"/>
                <w:spacing w:val="-10"/>
                <w:sz w:val="18"/>
                <w:szCs w:val="18"/>
                <w:highlight w:val="none"/>
                <w:vertAlign w:val="superscript"/>
                <w:lang w:val="en-US" w:eastAsia="zh-CN"/>
              </w:rPr>
              <w:t>3</w:t>
            </w:r>
            <w:r>
              <w:rPr>
                <w:rFonts w:hint="eastAsia" w:cs="Times New Roman"/>
                <w:color w:val="auto"/>
                <w:spacing w:val="-10"/>
                <w:sz w:val="18"/>
                <w:szCs w:val="18"/>
                <w:highlight w:val="none"/>
                <w:lang w:val="en-US" w:eastAsia="zh-CN"/>
              </w:rPr>
              <w:t>/h）</w:t>
            </w:r>
            <w:r>
              <w:rPr>
                <w:rFonts w:hint="eastAsia" w:ascii="Times New Roman" w:hAnsi="Times New Roman" w:eastAsia="宋体" w:cs="Times New Roman"/>
                <w:color w:val="auto"/>
                <w:spacing w:val="-10"/>
                <w:sz w:val="18"/>
                <w:szCs w:val="18"/>
                <w:highlight w:val="none"/>
                <w:lang w:val="en-US" w:eastAsia="zh-CN"/>
              </w:rPr>
              <w:t>处理后，通过15m高排气筒</w:t>
            </w:r>
            <w:r>
              <w:rPr>
                <w:rFonts w:hint="eastAsia"/>
                <w:color w:val="auto"/>
                <w:spacing w:val="-10"/>
                <w:sz w:val="18"/>
                <w:szCs w:val="18"/>
                <w:highlight w:val="none"/>
              </w:rPr>
              <w:t>（DA00</w:t>
            </w:r>
            <w:r>
              <w:rPr>
                <w:rFonts w:hint="eastAsia"/>
                <w:color w:val="auto"/>
                <w:spacing w:val="-10"/>
                <w:sz w:val="18"/>
                <w:szCs w:val="18"/>
                <w:highlight w:val="none"/>
                <w:lang w:val="en-US" w:eastAsia="zh-CN"/>
              </w:rPr>
              <w:t>2</w:t>
            </w:r>
            <w:r>
              <w:rPr>
                <w:rFonts w:hint="eastAsia"/>
                <w:color w:val="auto"/>
                <w:spacing w:val="-10"/>
                <w:sz w:val="18"/>
                <w:szCs w:val="18"/>
                <w:highlight w:val="none"/>
              </w:rPr>
              <w:t>）</w:t>
            </w:r>
            <w:r>
              <w:rPr>
                <w:rFonts w:hint="eastAsia" w:ascii="Times New Roman" w:hAnsi="Times New Roman" w:eastAsia="宋体" w:cs="Times New Roman"/>
                <w:color w:val="auto"/>
                <w:spacing w:val="-10"/>
                <w:sz w:val="18"/>
                <w:szCs w:val="18"/>
                <w:highlight w:val="none"/>
                <w:lang w:val="en-US" w:eastAsia="zh-CN"/>
              </w:rPr>
              <w:t>排放</w:t>
            </w:r>
          </w:p>
        </w:tc>
        <w:tc>
          <w:tcPr>
            <w:tcW w:w="1655" w:type="dxa"/>
            <w:vMerge w:val="restart"/>
            <w:vAlign w:val="center"/>
          </w:tcPr>
          <w:p w14:paraId="4D8D32D7">
            <w:pPr>
              <w:snapToGrid w:val="0"/>
              <w:spacing w:line="220" w:lineRule="exact"/>
              <w:jc w:val="center"/>
              <w:rPr>
                <w:rFonts w:hint="eastAsia" w:ascii="Times New Roman" w:hAnsi="Times New Roman" w:eastAsia="宋体" w:cs="Times New Roman"/>
                <w:color w:val="auto"/>
                <w:spacing w:val="-10"/>
                <w:sz w:val="18"/>
                <w:szCs w:val="18"/>
                <w:highlight w:val="none"/>
                <w:lang w:val="en-US" w:eastAsia="zh-CN"/>
              </w:rPr>
            </w:pPr>
            <w:r>
              <w:rPr>
                <w:rFonts w:hint="eastAsia" w:ascii="Times New Roman" w:hAnsi="Times New Roman" w:eastAsia="宋体" w:cs="Times New Roman"/>
                <w:color w:val="auto"/>
                <w:spacing w:val="-10"/>
                <w:sz w:val="18"/>
                <w:szCs w:val="18"/>
                <w:highlight w:val="none"/>
                <w:lang w:val="en-US" w:eastAsia="zh-CN"/>
              </w:rPr>
              <w:t>《钢铁工业大气污染物超低排放标准》（DB13/2169-2018）</w:t>
            </w:r>
          </w:p>
        </w:tc>
      </w:tr>
      <w:tr w14:paraId="49286BF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exact"/>
          <w:jc w:val="center"/>
        </w:trPr>
        <w:tc>
          <w:tcPr>
            <w:tcW w:w="1266" w:type="dxa"/>
            <w:vMerge w:val="continue"/>
            <w:vAlign w:val="center"/>
          </w:tcPr>
          <w:p w14:paraId="69F2BD96">
            <w:pPr>
              <w:adjustRightInd w:val="0"/>
              <w:snapToGrid w:val="0"/>
              <w:jc w:val="center"/>
              <w:rPr>
                <w:color w:val="auto"/>
                <w:szCs w:val="21"/>
              </w:rPr>
            </w:pPr>
          </w:p>
        </w:tc>
        <w:tc>
          <w:tcPr>
            <w:tcW w:w="620" w:type="dxa"/>
            <w:vMerge w:val="continue"/>
            <w:vAlign w:val="center"/>
          </w:tcPr>
          <w:p w14:paraId="14E00D17">
            <w:pPr>
              <w:snapToGrid w:val="0"/>
              <w:spacing w:line="220" w:lineRule="exact"/>
              <w:jc w:val="center"/>
              <w:rPr>
                <w:color w:val="auto"/>
                <w:spacing w:val="-10"/>
                <w:sz w:val="18"/>
                <w:szCs w:val="18"/>
              </w:rPr>
            </w:pPr>
          </w:p>
        </w:tc>
        <w:tc>
          <w:tcPr>
            <w:tcW w:w="647" w:type="dxa"/>
            <w:vMerge w:val="continue"/>
            <w:vAlign w:val="center"/>
          </w:tcPr>
          <w:p w14:paraId="0E7C6FBB">
            <w:pPr>
              <w:snapToGrid w:val="0"/>
              <w:spacing w:line="220" w:lineRule="exact"/>
              <w:jc w:val="center"/>
              <w:rPr>
                <w:rFonts w:hint="eastAsia" w:ascii="Times New Roman" w:hAnsi="Times New Roman" w:cs="Times New Roman"/>
                <w:color w:val="auto"/>
                <w:spacing w:val="-10"/>
                <w:sz w:val="18"/>
                <w:szCs w:val="18"/>
                <w:highlight w:val="none"/>
                <w:lang w:val="en-US" w:eastAsia="zh-CN"/>
              </w:rPr>
            </w:pPr>
          </w:p>
        </w:tc>
        <w:tc>
          <w:tcPr>
            <w:tcW w:w="881" w:type="dxa"/>
            <w:shd w:val="clear" w:color="auto" w:fill="auto"/>
            <w:vAlign w:val="center"/>
          </w:tcPr>
          <w:p w14:paraId="7E74A335">
            <w:pPr>
              <w:jc w:val="center"/>
              <w:rPr>
                <w:rFonts w:hint="eastAsia" w:ascii="Times New Roman" w:hAnsi="Times New Roman" w:eastAsia="宋体" w:cs="Times New Roman"/>
                <w:color w:val="auto"/>
                <w:spacing w:val="-10"/>
                <w:kern w:val="2"/>
                <w:sz w:val="18"/>
                <w:szCs w:val="18"/>
                <w:highlight w:val="none"/>
                <w:lang w:val="en-US" w:eastAsia="zh-CN" w:bidi="ar-SA"/>
              </w:rPr>
            </w:pPr>
            <w:r>
              <w:rPr>
                <w:rFonts w:hint="eastAsia" w:cs="Times New Roman"/>
                <w:color w:val="auto"/>
                <w:spacing w:val="-10"/>
                <w:kern w:val="2"/>
                <w:sz w:val="18"/>
                <w:szCs w:val="18"/>
                <w:highlight w:val="none"/>
                <w:lang w:val="en-US" w:eastAsia="zh-CN" w:bidi="ar-SA"/>
              </w:rPr>
              <w:t>1</w:t>
            </w:r>
            <w:r>
              <w:rPr>
                <w:rFonts w:hint="eastAsia" w:cs="Times New Roman"/>
                <w:color w:val="auto"/>
                <w:spacing w:val="-10"/>
                <w:kern w:val="2"/>
                <w:sz w:val="18"/>
                <w:szCs w:val="18"/>
                <w:highlight w:val="none"/>
                <w:vertAlign w:val="superscript"/>
                <w:lang w:val="en-US" w:eastAsia="zh-CN" w:bidi="ar-SA"/>
              </w:rPr>
              <w:t>#</w:t>
            </w:r>
            <w:r>
              <w:rPr>
                <w:rFonts w:hint="eastAsia" w:cs="Times New Roman"/>
                <w:color w:val="auto"/>
                <w:spacing w:val="-10"/>
                <w:kern w:val="2"/>
                <w:sz w:val="18"/>
                <w:szCs w:val="18"/>
                <w:highlight w:val="none"/>
                <w:lang w:val="en-US" w:eastAsia="zh-CN" w:bidi="ar-SA"/>
              </w:rPr>
              <w:t>线滚筒筛</w:t>
            </w:r>
          </w:p>
        </w:tc>
        <w:tc>
          <w:tcPr>
            <w:tcW w:w="924" w:type="dxa"/>
            <w:vAlign w:val="center"/>
          </w:tcPr>
          <w:p w14:paraId="684165A5">
            <w:pPr>
              <w:snapToGrid w:val="0"/>
              <w:spacing w:line="220" w:lineRule="exact"/>
              <w:jc w:val="center"/>
              <w:rPr>
                <w:rFonts w:hint="eastAsia"/>
                <w:color w:val="auto"/>
                <w:spacing w:val="-10"/>
                <w:sz w:val="18"/>
                <w:szCs w:val="18"/>
              </w:rPr>
            </w:pPr>
            <w:r>
              <w:rPr>
                <w:rFonts w:hint="eastAsia"/>
                <w:color w:val="auto"/>
                <w:spacing w:val="-10"/>
                <w:sz w:val="18"/>
                <w:szCs w:val="18"/>
              </w:rPr>
              <w:t>颗粒物</w:t>
            </w:r>
          </w:p>
        </w:tc>
        <w:tc>
          <w:tcPr>
            <w:tcW w:w="2807" w:type="dxa"/>
            <w:vMerge w:val="continue"/>
            <w:vAlign w:val="center"/>
          </w:tcPr>
          <w:p w14:paraId="631812FA">
            <w:pPr>
              <w:snapToGrid w:val="0"/>
              <w:spacing w:line="220" w:lineRule="exact"/>
              <w:jc w:val="center"/>
              <w:rPr>
                <w:rFonts w:hint="eastAsia" w:ascii="Times New Roman" w:hAnsi="Times New Roman" w:eastAsia="宋体" w:cs="Times New Roman"/>
                <w:color w:val="auto"/>
                <w:spacing w:val="-10"/>
                <w:sz w:val="18"/>
                <w:szCs w:val="18"/>
                <w:highlight w:val="none"/>
                <w:lang w:val="en-US" w:eastAsia="zh-CN"/>
              </w:rPr>
            </w:pPr>
          </w:p>
        </w:tc>
        <w:tc>
          <w:tcPr>
            <w:tcW w:w="1655" w:type="dxa"/>
            <w:vMerge w:val="continue"/>
            <w:vAlign w:val="center"/>
          </w:tcPr>
          <w:p w14:paraId="144F80E9">
            <w:pPr>
              <w:snapToGrid w:val="0"/>
              <w:spacing w:line="220" w:lineRule="exact"/>
              <w:jc w:val="center"/>
              <w:rPr>
                <w:rFonts w:hint="eastAsia" w:ascii="Times New Roman" w:hAnsi="Times New Roman" w:eastAsia="宋体" w:cs="Times New Roman"/>
                <w:color w:val="auto"/>
                <w:spacing w:val="-10"/>
                <w:sz w:val="18"/>
                <w:szCs w:val="18"/>
                <w:highlight w:val="none"/>
                <w:lang w:val="en-US" w:eastAsia="zh-CN"/>
              </w:rPr>
            </w:pPr>
          </w:p>
        </w:tc>
      </w:tr>
      <w:tr w14:paraId="3374B06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exact"/>
          <w:jc w:val="center"/>
        </w:trPr>
        <w:tc>
          <w:tcPr>
            <w:tcW w:w="1266" w:type="dxa"/>
            <w:vMerge w:val="continue"/>
            <w:vAlign w:val="center"/>
          </w:tcPr>
          <w:p w14:paraId="543EB0A1">
            <w:pPr>
              <w:adjustRightInd w:val="0"/>
              <w:snapToGrid w:val="0"/>
              <w:jc w:val="center"/>
              <w:rPr>
                <w:color w:val="auto"/>
                <w:szCs w:val="21"/>
              </w:rPr>
            </w:pPr>
          </w:p>
        </w:tc>
        <w:tc>
          <w:tcPr>
            <w:tcW w:w="620" w:type="dxa"/>
            <w:vMerge w:val="continue"/>
            <w:vAlign w:val="center"/>
          </w:tcPr>
          <w:p w14:paraId="11021905">
            <w:pPr>
              <w:snapToGrid w:val="0"/>
              <w:spacing w:line="220" w:lineRule="exact"/>
              <w:jc w:val="center"/>
              <w:rPr>
                <w:color w:val="auto"/>
                <w:spacing w:val="-10"/>
                <w:sz w:val="18"/>
                <w:szCs w:val="18"/>
              </w:rPr>
            </w:pPr>
          </w:p>
        </w:tc>
        <w:tc>
          <w:tcPr>
            <w:tcW w:w="647" w:type="dxa"/>
            <w:vMerge w:val="continue"/>
            <w:vAlign w:val="center"/>
          </w:tcPr>
          <w:p w14:paraId="5C556626">
            <w:pPr>
              <w:snapToGrid w:val="0"/>
              <w:spacing w:line="220" w:lineRule="exact"/>
              <w:jc w:val="center"/>
              <w:rPr>
                <w:rFonts w:hint="eastAsia" w:ascii="Times New Roman" w:hAnsi="Times New Roman" w:cs="Times New Roman"/>
                <w:color w:val="auto"/>
                <w:spacing w:val="-10"/>
                <w:sz w:val="18"/>
                <w:szCs w:val="18"/>
                <w:highlight w:val="none"/>
                <w:lang w:val="en-US" w:eastAsia="zh-CN"/>
              </w:rPr>
            </w:pPr>
          </w:p>
        </w:tc>
        <w:tc>
          <w:tcPr>
            <w:tcW w:w="881" w:type="dxa"/>
            <w:shd w:val="clear" w:color="auto" w:fill="auto"/>
            <w:vAlign w:val="center"/>
          </w:tcPr>
          <w:p w14:paraId="28DEF8E0">
            <w:pPr>
              <w:jc w:val="center"/>
              <w:rPr>
                <w:rFonts w:hint="eastAsia" w:ascii="Times New Roman" w:hAnsi="Times New Roman" w:eastAsia="宋体" w:cs="Times New Roman"/>
                <w:color w:val="auto"/>
                <w:spacing w:val="-10"/>
                <w:kern w:val="2"/>
                <w:sz w:val="18"/>
                <w:szCs w:val="18"/>
                <w:highlight w:val="none"/>
                <w:lang w:val="en-US" w:eastAsia="zh-CN" w:bidi="ar-SA"/>
              </w:rPr>
            </w:pPr>
            <w:r>
              <w:rPr>
                <w:rFonts w:hint="eastAsia" w:cs="Times New Roman"/>
                <w:color w:val="auto"/>
                <w:spacing w:val="-10"/>
                <w:kern w:val="2"/>
                <w:sz w:val="18"/>
                <w:szCs w:val="18"/>
                <w:highlight w:val="none"/>
                <w:lang w:val="en-US" w:eastAsia="zh-CN" w:bidi="ar-SA"/>
              </w:rPr>
              <w:t>1</w:t>
            </w:r>
            <w:r>
              <w:rPr>
                <w:rFonts w:hint="eastAsia" w:cs="Times New Roman"/>
                <w:color w:val="auto"/>
                <w:spacing w:val="-10"/>
                <w:kern w:val="2"/>
                <w:sz w:val="18"/>
                <w:szCs w:val="18"/>
                <w:highlight w:val="none"/>
                <w:vertAlign w:val="superscript"/>
                <w:lang w:val="en-US" w:eastAsia="zh-CN" w:bidi="ar-SA"/>
              </w:rPr>
              <w:t>#</w:t>
            </w:r>
            <w:r>
              <w:rPr>
                <w:rFonts w:hint="eastAsia" w:cs="Times New Roman"/>
                <w:color w:val="auto"/>
                <w:spacing w:val="-10"/>
                <w:kern w:val="2"/>
                <w:sz w:val="18"/>
                <w:szCs w:val="18"/>
                <w:highlight w:val="none"/>
                <w:lang w:val="en-US" w:eastAsia="zh-CN" w:bidi="ar-SA"/>
              </w:rPr>
              <w:t>空气分选机</w:t>
            </w:r>
          </w:p>
        </w:tc>
        <w:tc>
          <w:tcPr>
            <w:tcW w:w="924" w:type="dxa"/>
            <w:vAlign w:val="center"/>
          </w:tcPr>
          <w:p w14:paraId="25AD90C0">
            <w:pPr>
              <w:snapToGrid w:val="0"/>
              <w:spacing w:line="220" w:lineRule="exact"/>
              <w:jc w:val="center"/>
              <w:rPr>
                <w:rFonts w:hint="eastAsia"/>
                <w:color w:val="auto"/>
                <w:spacing w:val="-10"/>
                <w:sz w:val="18"/>
                <w:szCs w:val="18"/>
              </w:rPr>
            </w:pPr>
            <w:r>
              <w:rPr>
                <w:rFonts w:hint="eastAsia"/>
                <w:color w:val="auto"/>
                <w:spacing w:val="-10"/>
                <w:sz w:val="18"/>
                <w:szCs w:val="18"/>
              </w:rPr>
              <w:t>颗粒物</w:t>
            </w:r>
          </w:p>
        </w:tc>
        <w:tc>
          <w:tcPr>
            <w:tcW w:w="2807" w:type="dxa"/>
            <w:vMerge w:val="continue"/>
            <w:vAlign w:val="center"/>
          </w:tcPr>
          <w:p w14:paraId="40F1C6B3">
            <w:pPr>
              <w:snapToGrid w:val="0"/>
              <w:spacing w:line="220" w:lineRule="exact"/>
              <w:jc w:val="center"/>
              <w:rPr>
                <w:rFonts w:hint="eastAsia" w:ascii="Times New Roman" w:hAnsi="Times New Roman" w:eastAsia="宋体" w:cs="Times New Roman"/>
                <w:color w:val="auto"/>
                <w:spacing w:val="-10"/>
                <w:sz w:val="18"/>
                <w:szCs w:val="18"/>
                <w:highlight w:val="none"/>
                <w:lang w:val="en-US" w:eastAsia="zh-CN"/>
              </w:rPr>
            </w:pPr>
          </w:p>
        </w:tc>
        <w:tc>
          <w:tcPr>
            <w:tcW w:w="1655" w:type="dxa"/>
            <w:vMerge w:val="continue"/>
            <w:vAlign w:val="center"/>
          </w:tcPr>
          <w:p w14:paraId="03391ED7">
            <w:pPr>
              <w:snapToGrid w:val="0"/>
              <w:spacing w:line="220" w:lineRule="exact"/>
              <w:jc w:val="center"/>
              <w:rPr>
                <w:rFonts w:hint="eastAsia" w:ascii="Times New Roman" w:hAnsi="Times New Roman" w:eastAsia="宋体" w:cs="Times New Roman"/>
                <w:color w:val="auto"/>
                <w:spacing w:val="-10"/>
                <w:sz w:val="18"/>
                <w:szCs w:val="18"/>
                <w:highlight w:val="none"/>
                <w:lang w:val="en-US" w:eastAsia="zh-CN"/>
              </w:rPr>
            </w:pPr>
          </w:p>
        </w:tc>
      </w:tr>
      <w:tr w14:paraId="6CB97E5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37" w:hRule="exact"/>
          <w:jc w:val="center"/>
        </w:trPr>
        <w:tc>
          <w:tcPr>
            <w:tcW w:w="1266" w:type="dxa"/>
            <w:vMerge w:val="continue"/>
            <w:vAlign w:val="center"/>
          </w:tcPr>
          <w:p w14:paraId="3AFAF88A">
            <w:pPr>
              <w:adjustRightInd w:val="0"/>
              <w:snapToGrid w:val="0"/>
              <w:jc w:val="center"/>
              <w:rPr>
                <w:color w:val="auto"/>
                <w:szCs w:val="21"/>
              </w:rPr>
            </w:pPr>
          </w:p>
        </w:tc>
        <w:tc>
          <w:tcPr>
            <w:tcW w:w="620" w:type="dxa"/>
            <w:vMerge w:val="continue"/>
            <w:vAlign w:val="center"/>
          </w:tcPr>
          <w:p w14:paraId="16DE628A">
            <w:pPr>
              <w:snapToGrid w:val="0"/>
              <w:spacing w:line="220" w:lineRule="exact"/>
              <w:jc w:val="center"/>
              <w:rPr>
                <w:color w:val="auto"/>
                <w:spacing w:val="-10"/>
                <w:sz w:val="18"/>
                <w:szCs w:val="18"/>
              </w:rPr>
            </w:pPr>
          </w:p>
        </w:tc>
        <w:tc>
          <w:tcPr>
            <w:tcW w:w="647" w:type="dxa"/>
            <w:vMerge w:val="continue"/>
            <w:vAlign w:val="center"/>
          </w:tcPr>
          <w:p w14:paraId="047F43FF">
            <w:pPr>
              <w:snapToGrid w:val="0"/>
              <w:spacing w:line="220" w:lineRule="exact"/>
              <w:jc w:val="center"/>
              <w:rPr>
                <w:rFonts w:hint="eastAsia" w:ascii="Times New Roman" w:hAnsi="Times New Roman" w:cs="Times New Roman"/>
                <w:color w:val="auto"/>
                <w:spacing w:val="-10"/>
                <w:sz w:val="18"/>
                <w:szCs w:val="18"/>
                <w:highlight w:val="none"/>
                <w:lang w:val="en-US" w:eastAsia="zh-CN"/>
              </w:rPr>
            </w:pPr>
          </w:p>
        </w:tc>
        <w:tc>
          <w:tcPr>
            <w:tcW w:w="881" w:type="dxa"/>
            <w:shd w:val="clear" w:color="auto" w:fill="auto"/>
            <w:vAlign w:val="center"/>
          </w:tcPr>
          <w:p w14:paraId="7A188FFE">
            <w:pPr>
              <w:jc w:val="center"/>
              <w:rPr>
                <w:rFonts w:hint="eastAsia" w:ascii="Times New Roman" w:hAnsi="Times New Roman" w:eastAsia="宋体" w:cs="Times New Roman"/>
                <w:color w:val="auto"/>
                <w:spacing w:val="-10"/>
                <w:kern w:val="2"/>
                <w:sz w:val="18"/>
                <w:szCs w:val="18"/>
                <w:lang w:val="en-US" w:eastAsia="zh-CN" w:bidi="ar-SA"/>
              </w:rPr>
            </w:pPr>
            <w:r>
              <w:rPr>
                <w:rFonts w:hint="eastAsia" w:ascii="Times New Roman" w:hAnsi="Times New Roman" w:eastAsia="宋体" w:cs="Times New Roman"/>
                <w:color w:val="auto"/>
                <w:spacing w:val="-10"/>
                <w:kern w:val="2"/>
                <w:sz w:val="18"/>
                <w:szCs w:val="18"/>
                <w:lang w:val="en-US" w:eastAsia="zh-CN" w:bidi="ar-SA"/>
              </w:rPr>
              <w:t>2</w:t>
            </w:r>
            <w:r>
              <w:rPr>
                <w:rFonts w:hint="eastAsia" w:ascii="Times New Roman" w:hAnsi="Times New Roman" w:eastAsia="宋体" w:cs="Times New Roman"/>
                <w:color w:val="auto"/>
                <w:spacing w:val="-10"/>
                <w:kern w:val="2"/>
                <w:sz w:val="18"/>
                <w:szCs w:val="18"/>
                <w:vertAlign w:val="superscript"/>
                <w:lang w:val="en-US" w:eastAsia="zh-CN" w:bidi="ar-SA"/>
              </w:rPr>
              <w:t>#</w:t>
            </w:r>
            <w:r>
              <w:rPr>
                <w:rFonts w:hint="eastAsia" w:ascii="Times New Roman" w:hAnsi="Times New Roman" w:eastAsia="宋体" w:cs="Times New Roman"/>
                <w:color w:val="auto"/>
                <w:spacing w:val="-10"/>
                <w:kern w:val="2"/>
                <w:sz w:val="18"/>
                <w:szCs w:val="18"/>
                <w:lang w:val="en-US" w:eastAsia="zh-CN" w:bidi="ar-SA"/>
              </w:rPr>
              <w:t>线一次漂洗前上料仓</w:t>
            </w:r>
          </w:p>
        </w:tc>
        <w:tc>
          <w:tcPr>
            <w:tcW w:w="924" w:type="dxa"/>
            <w:vAlign w:val="center"/>
          </w:tcPr>
          <w:p w14:paraId="1AAA8A77">
            <w:pPr>
              <w:snapToGrid w:val="0"/>
              <w:spacing w:line="220" w:lineRule="exact"/>
              <w:jc w:val="center"/>
              <w:rPr>
                <w:rFonts w:hint="eastAsia"/>
                <w:color w:val="auto"/>
                <w:spacing w:val="-10"/>
                <w:sz w:val="18"/>
                <w:szCs w:val="18"/>
              </w:rPr>
            </w:pPr>
            <w:r>
              <w:rPr>
                <w:rFonts w:hint="eastAsia"/>
                <w:color w:val="auto"/>
                <w:spacing w:val="-10"/>
                <w:sz w:val="18"/>
                <w:szCs w:val="18"/>
              </w:rPr>
              <w:t>颗粒物</w:t>
            </w:r>
          </w:p>
        </w:tc>
        <w:tc>
          <w:tcPr>
            <w:tcW w:w="2807" w:type="dxa"/>
            <w:vMerge w:val="continue"/>
            <w:vAlign w:val="center"/>
          </w:tcPr>
          <w:p w14:paraId="04900E01">
            <w:pPr>
              <w:jc w:val="center"/>
              <w:rPr>
                <w:rFonts w:hint="eastAsia"/>
                <w:color w:val="auto"/>
                <w:spacing w:val="-10"/>
                <w:sz w:val="18"/>
                <w:szCs w:val="18"/>
                <w:highlight w:val="none"/>
                <w:lang w:val="en-US" w:eastAsia="zh-CN"/>
              </w:rPr>
            </w:pPr>
          </w:p>
        </w:tc>
        <w:tc>
          <w:tcPr>
            <w:tcW w:w="1655" w:type="dxa"/>
            <w:vMerge w:val="continue"/>
            <w:vAlign w:val="center"/>
          </w:tcPr>
          <w:p w14:paraId="2C04AD6B">
            <w:pPr>
              <w:snapToGrid w:val="0"/>
              <w:spacing w:line="220" w:lineRule="exact"/>
              <w:jc w:val="center"/>
              <w:rPr>
                <w:rFonts w:hint="eastAsia" w:ascii="Times New Roman" w:hAnsi="Times New Roman" w:eastAsia="宋体" w:cs="Times New Roman"/>
                <w:color w:val="auto"/>
                <w:spacing w:val="-10"/>
                <w:sz w:val="18"/>
                <w:szCs w:val="18"/>
                <w:highlight w:val="none"/>
                <w:lang w:val="en-US" w:eastAsia="zh-CN"/>
              </w:rPr>
            </w:pPr>
          </w:p>
        </w:tc>
      </w:tr>
      <w:tr w14:paraId="11ADAEB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exact"/>
          <w:jc w:val="center"/>
        </w:trPr>
        <w:tc>
          <w:tcPr>
            <w:tcW w:w="1266" w:type="dxa"/>
            <w:vMerge w:val="continue"/>
            <w:vAlign w:val="center"/>
          </w:tcPr>
          <w:p w14:paraId="3CD3BCFD">
            <w:pPr>
              <w:adjustRightInd w:val="0"/>
              <w:snapToGrid w:val="0"/>
              <w:jc w:val="center"/>
              <w:rPr>
                <w:color w:val="auto"/>
                <w:szCs w:val="21"/>
              </w:rPr>
            </w:pPr>
          </w:p>
        </w:tc>
        <w:tc>
          <w:tcPr>
            <w:tcW w:w="620" w:type="dxa"/>
            <w:vMerge w:val="continue"/>
            <w:vAlign w:val="center"/>
          </w:tcPr>
          <w:p w14:paraId="07DA9F1F">
            <w:pPr>
              <w:snapToGrid w:val="0"/>
              <w:spacing w:line="220" w:lineRule="exact"/>
              <w:jc w:val="center"/>
              <w:rPr>
                <w:color w:val="auto"/>
                <w:spacing w:val="-10"/>
                <w:sz w:val="18"/>
                <w:szCs w:val="18"/>
              </w:rPr>
            </w:pPr>
          </w:p>
        </w:tc>
        <w:tc>
          <w:tcPr>
            <w:tcW w:w="647" w:type="dxa"/>
            <w:vMerge w:val="continue"/>
            <w:vAlign w:val="center"/>
          </w:tcPr>
          <w:p w14:paraId="73E23C09">
            <w:pPr>
              <w:snapToGrid w:val="0"/>
              <w:spacing w:line="220" w:lineRule="exact"/>
              <w:jc w:val="center"/>
              <w:rPr>
                <w:rFonts w:hint="eastAsia" w:ascii="Times New Roman" w:hAnsi="Times New Roman" w:cs="Times New Roman"/>
                <w:color w:val="auto"/>
                <w:spacing w:val="-10"/>
                <w:sz w:val="18"/>
                <w:szCs w:val="18"/>
                <w:highlight w:val="none"/>
                <w:lang w:val="en-US" w:eastAsia="zh-CN"/>
              </w:rPr>
            </w:pPr>
          </w:p>
        </w:tc>
        <w:tc>
          <w:tcPr>
            <w:tcW w:w="881" w:type="dxa"/>
            <w:shd w:val="clear" w:color="auto" w:fill="auto"/>
            <w:vAlign w:val="center"/>
          </w:tcPr>
          <w:p w14:paraId="7F82E0DF">
            <w:pPr>
              <w:jc w:val="center"/>
              <w:rPr>
                <w:rFonts w:hint="eastAsia" w:ascii="Times New Roman" w:hAnsi="Times New Roman" w:eastAsia="宋体" w:cs="Times New Roman"/>
                <w:color w:val="auto"/>
                <w:spacing w:val="-10"/>
                <w:kern w:val="2"/>
                <w:sz w:val="18"/>
                <w:szCs w:val="18"/>
                <w:highlight w:val="none"/>
                <w:lang w:val="en-US" w:eastAsia="zh-CN" w:bidi="ar-SA"/>
              </w:rPr>
            </w:pPr>
            <w:r>
              <w:rPr>
                <w:rFonts w:hint="eastAsia" w:cs="Times New Roman"/>
                <w:color w:val="auto"/>
                <w:spacing w:val="-10"/>
                <w:kern w:val="2"/>
                <w:sz w:val="18"/>
                <w:szCs w:val="18"/>
                <w:highlight w:val="none"/>
                <w:lang w:val="en-US" w:eastAsia="zh-CN" w:bidi="ar-SA"/>
              </w:rPr>
              <w:t>2</w:t>
            </w:r>
            <w:r>
              <w:rPr>
                <w:rFonts w:hint="eastAsia" w:cs="Times New Roman"/>
                <w:color w:val="auto"/>
                <w:spacing w:val="-10"/>
                <w:kern w:val="2"/>
                <w:sz w:val="18"/>
                <w:szCs w:val="18"/>
                <w:highlight w:val="none"/>
                <w:vertAlign w:val="superscript"/>
                <w:lang w:val="en-US" w:eastAsia="zh-CN" w:bidi="ar-SA"/>
              </w:rPr>
              <w:t>#</w:t>
            </w:r>
            <w:r>
              <w:rPr>
                <w:rFonts w:hint="eastAsia" w:cs="Times New Roman"/>
                <w:color w:val="auto"/>
                <w:spacing w:val="-10"/>
                <w:kern w:val="2"/>
                <w:sz w:val="18"/>
                <w:szCs w:val="18"/>
                <w:highlight w:val="none"/>
                <w:lang w:val="en-US" w:eastAsia="zh-CN" w:bidi="ar-SA"/>
              </w:rPr>
              <w:t>线滚筒筛</w:t>
            </w:r>
          </w:p>
        </w:tc>
        <w:tc>
          <w:tcPr>
            <w:tcW w:w="924" w:type="dxa"/>
            <w:vAlign w:val="center"/>
          </w:tcPr>
          <w:p w14:paraId="2C520214">
            <w:pPr>
              <w:snapToGrid w:val="0"/>
              <w:spacing w:line="220" w:lineRule="exact"/>
              <w:jc w:val="center"/>
              <w:rPr>
                <w:rFonts w:hint="eastAsia"/>
                <w:color w:val="auto"/>
                <w:spacing w:val="-10"/>
                <w:sz w:val="18"/>
                <w:szCs w:val="18"/>
              </w:rPr>
            </w:pPr>
            <w:r>
              <w:rPr>
                <w:rFonts w:hint="eastAsia"/>
                <w:color w:val="auto"/>
                <w:spacing w:val="-10"/>
                <w:sz w:val="18"/>
                <w:szCs w:val="18"/>
              </w:rPr>
              <w:t>颗粒物</w:t>
            </w:r>
          </w:p>
        </w:tc>
        <w:tc>
          <w:tcPr>
            <w:tcW w:w="2807" w:type="dxa"/>
            <w:vMerge w:val="continue"/>
            <w:vAlign w:val="center"/>
          </w:tcPr>
          <w:p w14:paraId="38ED4764">
            <w:pPr>
              <w:jc w:val="center"/>
              <w:rPr>
                <w:rFonts w:hint="eastAsia"/>
                <w:color w:val="auto"/>
                <w:spacing w:val="-10"/>
                <w:sz w:val="18"/>
                <w:szCs w:val="18"/>
                <w:highlight w:val="none"/>
                <w:lang w:val="en-US" w:eastAsia="zh-CN"/>
              </w:rPr>
            </w:pPr>
          </w:p>
        </w:tc>
        <w:tc>
          <w:tcPr>
            <w:tcW w:w="1655" w:type="dxa"/>
            <w:vMerge w:val="continue"/>
            <w:vAlign w:val="center"/>
          </w:tcPr>
          <w:p w14:paraId="14175EF7">
            <w:pPr>
              <w:snapToGrid w:val="0"/>
              <w:spacing w:line="220" w:lineRule="exact"/>
              <w:jc w:val="center"/>
              <w:rPr>
                <w:rFonts w:hint="eastAsia" w:ascii="Times New Roman" w:hAnsi="Times New Roman" w:eastAsia="宋体" w:cs="Times New Roman"/>
                <w:color w:val="auto"/>
                <w:spacing w:val="-10"/>
                <w:sz w:val="18"/>
                <w:szCs w:val="18"/>
                <w:highlight w:val="none"/>
                <w:lang w:val="en-US" w:eastAsia="zh-CN"/>
              </w:rPr>
            </w:pPr>
          </w:p>
        </w:tc>
      </w:tr>
      <w:tr w14:paraId="53455D8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exact"/>
          <w:jc w:val="center"/>
        </w:trPr>
        <w:tc>
          <w:tcPr>
            <w:tcW w:w="1266" w:type="dxa"/>
            <w:vMerge w:val="continue"/>
            <w:vAlign w:val="center"/>
          </w:tcPr>
          <w:p w14:paraId="39C3DE55">
            <w:pPr>
              <w:adjustRightInd w:val="0"/>
              <w:snapToGrid w:val="0"/>
              <w:jc w:val="center"/>
              <w:rPr>
                <w:color w:val="auto"/>
                <w:szCs w:val="21"/>
              </w:rPr>
            </w:pPr>
          </w:p>
        </w:tc>
        <w:tc>
          <w:tcPr>
            <w:tcW w:w="620" w:type="dxa"/>
            <w:vMerge w:val="continue"/>
            <w:vAlign w:val="center"/>
          </w:tcPr>
          <w:p w14:paraId="15D3AD7D">
            <w:pPr>
              <w:snapToGrid w:val="0"/>
              <w:spacing w:line="220" w:lineRule="exact"/>
              <w:jc w:val="center"/>
              <w:rPr>
                <w:color w:val="auto"/>
                <w:spacing w:val="-10"/>
                <w:sz w:val="18"/>
                <w:szCs w:val="18"/>
              </w:rPr>
            </w:pPr>
          </w:p>
        </w:tc>
        <w:tc>
          <w:tcPr>
            <w:tcW w:w="647" w:type="dxa"/>
            <w:vMerge w:val="continue"/>
            <w:vAlign w:val="center"/>
          </w:tcPr>
          <w:p w14:paraId="10863B65">
            <w:pPr>
              <w:snapToGrid w:val="0"/>
              <w:spacing w:line="220" w:lineRule="exact"/>
              <w:jc w:val="center"/>
              <w:rPr>
                <w:rFonts w:hint="eastAsia" w:ascii="Times New Roman" w:hAnsi="Times New Roman" w:cs="Times New Roman"/>
                <w:color w:val="auto"/>
                <w:spacing w:val="-10"/>
                <w:sz w:val="18"/>
                <w:szCs w:val="18"/>
                <w:highlight w:val="none"/>
                <w:lang w:val="en-US" w:eastAsia="zh-CN"/>
              </w:rPr>
            </w:pPr>
          </w:p>
        </w:tc>
        <w:tc>
          <w:tcPr>
            <w:tcW w:w="881" w:type="dxa"/>
            <w:shd w:val="clear" w:color="auto" w:fill="auto"/>
            <w:vAlign w:val="center"/>
          </w:tcPr>
          <w:p w14:paraId="72A7BC20">
            <w:pPr>
              <w:jc w:val="center"/>
              <w:rPr>
                <w:rFonts w:hint="eastAsia" w:ascii="Times New Roman" w:hAnsi="Times New Roman" w:eastAsia="宋体" w:cs="Times New Roman"/>
                <w:color w:val="auto"/>
                <w:spacing w:val="-10"/>
                <w:kern w:val="2"/>
                <w:sz w:val="18"/>
                <w:szCs w:val="18"/>
                <w:highlight w:val="none"/>
                <w:lang w:val="en-US" w:eastAsia="zh-CN" w:bidi="ar-SA"/>
              </w:rPr>
            </w:pPr>
            <w:r>
              <w:rPr>
                <w:rFonts w:hint="eastAsia" w:cs="Times New Roman"/>
                <w:color w:val="auto"/>
                <w:spacing w:val="-10"/>
                <w:kern w:val="2"/>
                <w:sz w:val="18"/>
                <w:szCs w:val="18"/>
                <w:highlight w:val="none"/>
                <w:lang w:val="en-US" w:eastAsia="zh-CN" w:bidi="ar-SA"/>
              </w:rPr>
              <w:t>2</w:t>
            </w:r>
            <w:r>
              <w:rPr>
                <w:rFonts w:hint="eastAsia" w:cs="Times New Roman"/>
                <w:color w:val="auto"/>
                <w:spacing w:val="-10"/>
                <w:kern w:val="2"/>
                <w:sz w:val="18"/>
                <w:szCs w:val="18"/>
                <w:highlight w:val="none"/>
                <w:vertAlign w:val="superscript"/>
                <w:lang w:val="en-US" w:eastAsia="zh-CN" w:bidi="ar-SA"/>
              </w:rPr>
              <w:t>#</w:t>
            </w:r>
            <w:r>
              <w:rPr>
                <w:rFonts w:hint="eastAsia" w:cs="Times New Roman"/>
                <w:color w:val="auto"/>
                <w:spacing w:val="-10"/>
                <w:kern w:val="2"/>
                <w:sz w:val="18"/>
                <w:szCs w:val="18"/>
                <w:highlight w:val="none"/>
                <w:lang w:val="en-US" w:eastAsia="zh-CN" w:bidi="ar-SA"/>
              </w:rPr>
              <w:t>空气分选机</w:t>
            </w:r>
          </w:p>
        </w:tc>
        <w:tc>
          <w:tcPr>
            <w:tcW w:w="924" w:type="dxa"/>
            <w:vAlign w:val="center"/>
          </w:tcPr>
          <w:p w14:paraId="20ABAFC2">
            <w:pPr>
              <w:snapToGrid w:val="0"/>
              <w:spacing w:line="220" w:lineRule="exact"/>
              <w:jc w:val="center"/>
              <w:rPr>
                <w:rFonts w:hint="eastAsia"/>
                <w:color w:val="auto"/>
                <w:spacing w:val="-10"/>
                <w:sz w:val="18"/>
                <w:szCs w:val="18"/>
              </w:rPr>
            </w:pPr>
            <w:r>
              <w:rPr>
                <w:rFonts w:hint="eastAsia"/>
                <w:color w:val="auto"/>
                <w:spacing w:val="-10"/>
                <w:sz w:val="18"/>
                <w:szCs w:val="18"/>
              </w:rPr>
              <w:t>颗粒物</w:t>
            </w:r>
          </w:p>
        </w:tc>
        <w:tc>
          <w:tcPr>
            <w:tcW w:w="2807" w:type="dxa"/>
            <w:vMerge w:val="continue"/>
            <w:vAlign w:val="center"/>
          </w:tcPr>
          <w:p w14:paraId="7718CBB3">
            <w:pPr>
              <w:jc w:val="center"/>
              <w:rPr>
                <w:rFonts w:hint="eastAsia"/>
                <w:color w:val="auto"/>
                <w:spacing w:val="-10"/>
                <w:sz w:val="18"/>
                <w:szCs w:val="18"/>
                <w:highlight w:val="none"/>
                <w:lang w:val="en-US" w:eastAsia="zh-CN"/>
              </w:rPr>
            </w:pPr>
          </w:p>
        </w:tc>
        <w:tc>
          <w:tcPr>
            <w:tcW w:w="1655" w:type="dxa"/>
            <w:vMerge w:val="continue"/>
            <w:vAlign w:val="center"/>
          </w:tcPr>
          <w:p w14:paraId="360774F2">
            <w:pPr>
              <w:snapToGrid w:val="0"/>
              <w:spacing w:line="220" w:lineRule="exact"/>
              <w:jc w:val="center"/>
              <w:rPr>
                <w:rFonts w:hint="eastAsia" w:ascii="Times New Roman" w:hAnsi="Times New Roman" w:eastAsia="宋体" w:cs="Times New Roman"/>
                <w:color w:val="auto"/>
                <w:spacing w:val="-10"/>
                <w:sz w:val="18"/>
                <w:szCs w:val="18"/>
                <w:highlight w:val="none"/>
                <w:lang w:val="en-US" w:eastAsia="zh-CN"/>
              </w:rPr>
            </w:pPr>
          </w:p>
        </w:tc>
      </w:tr>
      <w:tr w14:paraId="6B31778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68" w:hRule="atLeast"/>
          <w:jc w:val="center"/>
        </w:trPr>
        <w:tc>
          <w:tcPr>
            <w:tcW w:w="1266" w:type="dxa"/>
            <w:vMerge w:val="continue"/>
            <w:vAlign w:val="center"/>
          </w:tcPr>
          <w:p w14:paraId="3AA6E1D3">
            <w:pPr>
              <w:adjustRightInd w:val="0"/>
              <w:snapToGrid w:val="0"/>
              <w:jc w:val="center"/>
              <w:rPr>
                <w:color w:val="auto"/>
                <w:szCs w:val="21"/>
              </w:rPr>
            </w:pPr>
          </w:p>
        </w:tc>
        <w:tc>
          <w:tcPr>
            <w:tcW w:w="620" w:type="dxa"/>
            <w:vAlign w:val="center"/>
          </w:tcPr>
          <w:p w14:paraId="69085493">
            <w:pPr>
              <w:snapToGrid w:val="0"/>
              <w:spacing w:line="220" w:lineRule="exact"/>
              <w:jc w:val="center"/>
              <w:rPr>
                <w:color w:val="auto"/>
                <w:spacing w:val="-10"/>
                <w:sz w:val="18"/>
                <w:szCs w:val="18"/>
              </w:rPr>
            </w:pPr>
            <w:r>
              <w:rPr>
                <w:rFonts w:hint="eastAsia"/>
                <w:color w:val="auto"/>
                <w:spacing w:val="-10"/>
                <w:sz w:val="18"/>
                <w:szCs w:val="18"/>
              </w:rPr>
              <w:t>无组织</w:t>
            </w:r>
          </w:p>
        </w:tc>
        <w:tc>
          <w:tcPr>
            <w:tcW w:w="1528" w:type="dxa"/>
            <w:gridSpan w:val="2"/>
            <w:vAlign w:val="center"/>
          </w:tcPr>
          <w:p w14:paraId="2873F37D">
            <w:pPr>
              <w:snapToGrid w:val="0"/>
              <w:spacing w:line="220" w:lineRule="exact"/>
              <w:jc w:val="center"/>
              <w:rPr>
                <w:color w:val="auto"/>
                <w:spacing w:val="-10"/>
                <w:sz w:val="18"/>
                <w:szCs w:val="18"/>
              </w:rPr>
            </w:pPr>
            <w:r>
              <w:rPr>
                <w:rFonts w:hint="eastAsia"/>
                <w:color w:val="auto"/>
                <w:spacing w:val="-10"/>
                <w:sz w:val="18"/>
                <w:szCs w:val="18"/>
                <w:highlight w:val="none"/>
                <w:lang w:val="en-US" w:eastAsia="zh-CN"/>
              </w:rPr>
              <w:t>各生产车间</w:t>
            </w:r>
          </w:p>
        </w:tc>
        <w:tc>
          <w:tcPr>
            <w:tcW w:w="924" w:type="dxa"/>
            <w:vAlign w:val="center"/>
          </w:tcPr>
          <w:p w14:paraId="79C2F219">
            <w:pPr>
              <w:snapToGrid w:val="0"/>
              <w:spacing w:line="220" w:lineRule="exact"/>
              <w:jc w:val="center"/>
              <w:rPr>
                <w:color w:val="auto"/>
                <w:spacing w:val="-10"/>
                <w:sz w:val="18"/>
                <w:szCs w:val="18"/>
              </w:rPr>
            </w:pPr>
            <w:r>
              <w:rPr>
                <w:rFonts w:hint="eastAsia"/>
                <w:color w:val="auto"/>
                <w:spacing w:val="-10"/>
                <w:sz w:val="18"/>
                <w:szCs w:val="18"/>
              </w:rPr>
              <w:t>颗粒物</w:t>
            </w:r>
          </w:p>
        </w:tc>
        <w:tc>
          <w:tcPr>
            <w:tcW w:w="2807" w:type="dxa"/>
            <w:vAlign w:val="center"/>
          </w:tcPr>
          <w:p w14:paraId="782AC1C0">
            <w:pPr>
              <w:snapToGrid w:val="0"/>
              <w:spacing w:line="220" w:lineRule="exact"/>
              <w:jc w:val="center"/>
              <w:rPr>
                <w:color w:val="auto"/>
                <w:sz w:val="18"/>
                <w:szCs w:val="18"/>
              </w:rPr>
            </w:pPr>
            <w:r>
              <w:rPr>
                <w:rFonts w:hint="eastAsia"/>
                <w:color w:val="auto"/>
                <w:spacing w:val="-10"/>
                <w:sz w:val="18"/>
                <w:szCs w:val="18"/>
                <w:highlight w:val="none"/>
                <w:lang w:val="en-US" w:eastAsia="zh-CN"/>
              </w:rPr>
              <w:t>生产</w:t>
            </w:r>
            <w:r>
              <w:rPr>
                <w:rFonts w:hint="eastAsia" w:cs="Times New Roman"/>
                <w:color w:val="auto"/>
                <w:spacing w:val="-10"/>
                <w:sz w:val="18"/>
                <w:szCs w:val="18"/>
                <w:highlight w:val="none"/>
                <w:lang w:val="en-US" w:eastAsia="zh-CN"/>
              </w:rPr>
              <w:t>车间均为封闭车间；物料</w:t>
            </w:r>
            <w:r>
              <w:rPr>
                <w:rFonts w:hint="eastAsia" w:ascii="Times New Roman" w:hAnsi="Times New Roman" w:eastAsia="宋体" w:cs="Times New Roman"/>
                <w:color w:val="auto"/>
                <w:spacing w:val="-10"/>
                <w:sz w:val="18"/>
                <w:szCs w:val="18"/>
                <w:highlight w:val="none"/>
                <w:lang w:val="en-US" w:eastAsia="zh-CN"/>
              </w:rPr>
              <w:t>堆存区域上方设置可覆盖整个区域的喷淋装置（电伴热），喷淋管路使用保温棉包裹，每隔5m设置1个喷淋口</w:t>
            </w:r>
            <w:r>
              <w:rPr>
                <w:rFonts w:hint="eastAsia" w:cs="Times New Roman"/>
                <w:color w:val="auto"/>
                <w:spacing w:val="-10"/>
                <w:sz w:val="18"/>
                <w:szCs w:val="18"/>
                <w:highlight w:val="none"/>
                <w:lang w:val="en-US" w:eastAsia="zh-CN"/>
              </w:rPr>
              <w:t>；</w:t>
            </w:r>
            <w:r>
              <w:rPr>
                <w:rFonts w:hint="eastAsia" w:ascii="Times New Roman" w:hAnsi="Times New Roman" w:eastAsia="宋体" w:cs="Times New Roman"/>
                <w:color w:val="auto"/>
                <w:spacing w:val="-10"/>
                <w:sz w:val="18"/>
                <w:szCs w:val="18"/>
                <w:highlight w:val="none"/>
                <w:lang w:val="en-US" w:eastAsia="zh-CN"/>
              </w:rPr>
              <w:t>物料转运均为封闭式皮带通廊</w:t>
            </w:r>
            <w:r>
              <w:rPr>
                <w:rFonts w:hint="eastAsia" w:cs="Times New Roman"/>
                <w:color w:val="auto"/>
                <w:spacing w:val="-10"/>
                <w:sz w:val="18"/>
                <w:szCs w:val="18"/>
                <w:highlight w:val="none"/>
                <w:lang w:val="en-US" w:eastAsia="zh-CN"/>
              </w:rPr>
              <w:t>；各</w:t>
            </w:r>
            <w:r>
              <w:rPr>
                <w:rFonts w:hint="eastAsia" w:ascii="Times New Roman" w:hAnsi="Times New Roman" w:eastAsia="宋体" w:cs="Times New Roman"/>
                <w:color w:val="auto"/>
                <w:spacing w:val="-10"/>
                <w:sz w:val="18"/>
                <w:szCs w:val="18"/>
                <w:highlight w:val="none"/>
                <w:lang w:val="en-US" w:eastAsia="zh-CN"/>
              </w:rPr>
              <w:t>车间出入口</w:t>
            </w:r>
            <w:r>
              <w:rPr>
                <w:rFonts w:hint="eastAsia" w:cs="Times New Roman"/>
                <w:color w:val="auto"/>
                <w:spacing w:val="-10"/>
                <w:sz w:val="18"/>
                <w:szCs w:val="18"/>
                <w:highlight w:val="none"/>
                <w:lang w:val="en-US" w:eastAsia="zh-CN"/>
              </w:rPr>
              <w:t>均</w:t>
            </w:r>
            <w:r>
              <w:rPr>
                <w:rFonts w:hint="eastAsia" w:ascii="Times New Roman" w:hAnsi="Times New Roman" w:eastAsia="宋体" w:cs="Times New Roman"/>
                <w:color w:val="auto"/>
                <w:spacing w:val="-10"/>
                <w:sz w:val="18"/>
                <w:szCs w:val="18"/>
                <w:highlight w:val="none"/>
                <w:lang w:val="en-US" w:eastAsia="zh-CN"/>
              </w:rPr>
              <w:t>设置自动感应门</w:t>
            </w:r>
          </w:p>
        </w:tc>
        <w:tc>
          <w:tcPr>
            <w:tcW w:w="1655" w:type="dxa"/>
            <w:vAlign w:val="center"/>
          </w:tcPr>
          <w:p w14:paraId="4ACEC9BF">
            <w:pPr>
              <w:snapToGrid w:val="0"/>
              <w:spacing w:line="220" w:lineRule="exact"/>
              <w:jc w:val="center"/>
              <w:rPr>
                <w:rFonts w:hint="eastAsia" w:ascii="Times New Roman" w:hAnsi="Times New Roman" w:eastAsia="宋体" w:cs="Times New Roman"/>
                <w:color w:val="auto"/>
                <w:spacing w:val="-10"/>
                <w:sz w:val="18"/>
                <w:szCs w:val="18"/>
                <w:highlight w:val="none"/>
                <w:lang w:val="en-US" w:eastAsia="zh-CN"/>
              </w:rPr>
            </w:pPr>
            <w:r>
              <w:rPr>
                <w:rFonts w:hint="eastAsia" w:ascii="Times New Roman" w:hAnsi="Times New Roman" w:eastAsia="宋体" w:cs="Times New Roman"/>
                <w:color w:val="auto"/>
                <w:spacing w:val="-10"/>
                <w:sz w:val="18"/>
                <w:szCs w:val="18"/>
                <w:highlight w:val="none"/>
                <w:lang w:val="en-US" w:eastAsia="zh-CN"/>
              </w:rPr>
              <w:t>《钢铁工业大气污染物超低排放标准》（DB13/2169-2018）</w:t>
            </w:r>
          </w:p>
        </w:tc>
      </w:tr>
      <w:tr w14:paraId="475D844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266" w:type="dxa"/>
            <w:vMerge w:val="restart"/>
            <w:vAlign w:val="center"/>
          </w:tcPr>
          <w:p w14:paraId="7C773B3F">
            <w:pPr>
              <w:adjustRightInd w:val="0"/>
              <w:snapToGrid w:val="0"/>
              <w:jc w:val="center"/>
              <w:rPr>
                <w:color w:val="auto"/>
                <w:szCs w:val="21"/>
              </w:rPr>
            </w:pPr>
            <w:r>
              <w:rPr>
                <w:color w:val="auto"/>
                <w:szCs w:val="21"/>
              </w:rPr>
              <w:t>地表水环境</w:t>
            </w:r>
          </w:p>
        </w:tc>
        <w:tc>
          <w:tcPr>
            <w:tcW w:w="2148" w:type="dxa"/>
            <w:gridSpan w:val="3"/>
            <w:vAlign w:val="center"/>
          </w:tcPr>
          <w:p w14:paraId="3642CED8">
            <w:pPr>
              <w:snapToGrid w:val="0"/>
              <w:spacing w:line="220" w:lineRule="exact"/>
              <w:jc w:val="center"/>
              <w:rPr>
                <w:color w:val="auto"/>
                <w:spacing w:val="-10"/>
                <w:sz w:val="18"/>
                <w:szCs w:val="18"/>
              </w:rPr>
            </w:pPr>
            <w:r>
              <w:rPr>
                <w:rFonts w:hint="eastAsia"/>
                <w:color w:val="auto"/>
                <w:spacing w:val="-10"/>
                <w:sz w:val="18"/>
                <w:szCs w:val="18"/>
                <w:lang w:val="en-US" w:eastAsia="zh-CN"/>
              </w:rPr>
              <w:t>生产</w:t>
            </w:r>
            <w:r>
              <w:rPr>
                <w:rFonts w:hint="eastAsia"/>
                <w:color w:val="auto"/>
                <w:spacing w:val="-10"/>
                <w:sz w:val="18"/>
                <w:szCs w:val="18"/>
              </w:rPr>
              <w:t>废水</w:t>
            </w:r>
          </w:p>
        </w:tc>
        <w:tc>
          <w:tcPr>
            <w:tcW w:w="924" w:type="dxa"/>
            <w:vAlign w:val="center"/>
          </w:tcPr>
          <w:p w14:paraId="27C52399">
            <w:pPr>
              <w:snapToGrid w:val="0"/>
              <w:spacing w:line="220" w:lineRule="exact"/>
              <w:jc w:val="center"/>
              <w:rPr>
                <w:color w:val="auto"/>
                <w:spacing w:val="-10"/>
                <w:sz w:val="18"/>
                <w:szCs w:val="18"/>
              </w:rPr>
            </w:pPr>
            <w:r>
              <w:rPr>
                <w:rFonts w:hint="eastAsia"/>
                <w:color w:val="auto"/>
                <w:spacing w:val="-10"/>
                <w:sz w:val="18"/>
                <w:szCs w:val="18"/>
              </w:rPr>
              <w:t>SS</w:t>
            </w:r>
          </w:p>
        </w:tc>
        <w:tc>
          <w:tcPr>
            <w:tcW w:w="2807" w:type="dxa"/>
            <w:vAlign w:val="center"/>
          </w:tcPr>
          <w:p w14:paraId="46A7BD75">
            <w:pPr>
              <w:adjustRightInd w:val="0"/>
              <w:snapToGrid w:val="0"/>
              <w:jc w:val="center"/>
              <w:rPr>
                <w:color w:val="auto"/>
                <w:spacing w:val="-10"/>
                <w:sz w:val="18"/>
                <w:szCs w:val="18"/>
              </w:rPr>
            </w:pPr>
            <w:r>
              <w:rPr>
                <w:rFonts w:hint="eastAsia" w:ascii="Times New Roman" w:hAnsi="Times New Roman" w:eastAsia="宋体" w:cs="Times New Roman"/>
                <w:color w:val="auto"/>
                <w:spacing w:val="-10"/>
                <w:sz w:val="18"/>
                <w:szCs w:val="18"/>
                <w:lang w:val="en-US" w:eastAsia="zh-CN"/>
              </w:rPr>
              <w:t>各料池产生的溢流水经集水沟收集后，流入污水池，</w:t>
            </w:r>
            <w:r>
              <w:rPr>
                <w:rFonts w:hint="eastAsia" w:cs="Times New Roman"/>
                <w:color w:val="auto"/>
                <w:spacing w:val="-10"/>
                <w:sz w:val="18"/>
                <w:szCs w:val="18"/>
                <w:lang w:val="en-US" w:eastAsia="zh-CN"/>
              </w:rPr>
              <w:t>之后泵入沉淀池</w:t>
            </w:r>
            <w:r>
              <w:rPr>
                <w:rFonts w:hint="eastAsia" w:ascii="Times New Roman" w:hAnsi="Times New Roman" w:eastAsia="宋体" w:cs="Times New Roman"/>
                <w:color w:val="auto"/>
                <w:spacing w:val="-10"/>
                <w:sz w:val="18"/>
                <w:szCs w:val="18"/>
                <w:lang w:val="en-US" w:eastAsia="zh-CN"/>
              </w:rPr>
              <w:t>，其余废水通过管道进入沉淀池，废水在沉淀池沉淀后，泵入浓缩罐；以上废水经浓缩罐浓缩后，上清液进入清水池，之后回用于生产，底部浆液经渣浆泵打入板框压滤机进行压滤，压滤后的清水进入清水池，之后回用于生产</w:t>
            </w:r>
          </w:p>
        </w:tc>
        <w:tc>
          <w:tcPr>
            <w:tcW w:w="1655" w:type="dxa"/>
            <w:vMerge w:val="restart"/>
            <w:vAlign w:val="center"/>
          </w:tcPr>
          <w:p w14:paraId="16C7B7A8">
            <w:pPr>
              <w:snapToGrid w:val="0"/>
              <w:spacing w:line="220" w:lineRule="exact"/>
              <w:jc w:val="center"/>
              <w:rPr>
                <w:rFonts w:hint="eastAsia" w:ascii="Times New Roman" w:hAnsi="Times New Roman" w:eastAsia="宋体" w:cs="Times New Roman"/>
                <w:color w:val="auto"/>
                <w:spacing w:val="-10"/>
                <w:sz w:val="18"/>
                <w:szCs w:val="18"/>
                <w:highlight w:val="none"/>
                <w:lang w:val="en-US" w:eastAsia="zh-CN"/>
              </w:rPr>
            </w:pPr>
            <w:r>
              <w:rPr>
                <w:rFonts w:hint="eastAsia" w:ascii="Times New Roman" w:hAnsi="Times New Roman" w:eastAsia="宋体" w:cs="Times New Roman"/>
                <w:color w:val="auto"/>
                <w:spacing w:val="-10"/>
                <w:sz w:val="18"/>
                <w:szCs w:val="18"/>
                <w:highlight w:val="none"/>
                <w:lang w:val="en-US" w:eastAsia="zh-CN"/>
              </w:rPr>
              <w:t>不外排</w:t>
            </w:r>
          </w:p>
        </w:tc>
      </w:tr>
      <w:tr w14:paraId="363EB7F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266" w:type="dxa"/>
            <w:vMerge w:val="continue"/>
            <w:vAlign w:val="center"/>
          </w:tcPr>
          <w:p w14:paraId="07CE878C">
            <w:pPr>
              <w:adjustRightInd w:val="0"/>
              <w:snapToGrid w:val="0"/>
              <w:jc w:val="center"/>
              <w:rPr>
                <w:color w:val="auto"/>
                <w:szCs w:val="21"/>
              </w:rPr>
            </w:pPr>
          </w:p>
        </w:tc>
        <w:tc>
          <w:tcPr>
            <w:tcW w:w="2148" w:type="dxa"/>
            <w:gridSpan w:val="3"/>
            <w:shd w:val="clear" w:color="auto" w:fill="auto"/>
            <w:vAlign w:val="center"/>
          </w:tcPr>
          <w:p w14:paraId="0FFD8CA1">
            <w:pPr>
              <w:snapToGrid w:val="0"/>
              <w:spacing w:line="220" w:lineRule="exact"/>
              <w:jc w:val="center"/>
              <w:rPr>
                <w:rFonts w:hint="eastAsia" w:ascii="Times New Roman" w:hAnsi="Times New Roman" w:eastAsia="宋体" w:cs="Times New Roman"/>
                <w:color w:val="auto"/>
                <w:spacing w:val="-10"/>
                <w:kern w:val="2"/>
                <w:sz w:val="18"/>
                <w:szCs w:val="18"/>
                <w:lang w:val="en-US" w:eastAsia="zh-CN" w:bidi="ar-SA"/>
              </w:rPr>
            </w:pPr>
            <w:r>
              <w:rPr>
                <w:rFonts w:hint="eastAsia"/>
                <w:color w:val="auto"/>
                <w:spacing w:val="-10"/>
                <w:sz w:val="18"/>
                <w:szCs w:val="18"/>
              </w:rPr>
              <w:t>洗车废水</w:t>
            </w:r>
          </w:p>
        </w:tc>
        <w:tc>
          <w:tcPr>
            <w:tcW w:w="924" w:type="dxa"/>
            <w:shd w:val="clear" w:color="auto" w:fill="auto"/>
            <w:vAlign w:val="center"/>
          </w:tcPr>
          <w:p w14:paraId="673FA21A">
            <w:pPr>
              <w:snapToGrid w:val="0"/>
              <w:spacing w:line="220" w:lineRule="exact"/>
              <w:jc w:val="center"/>
              <w:rPr>
                <w:rFonts w:hint="eastAsia" w:ascii="Times New Roman" w:hAnsi="Times New Roman" w:eastAsia="宋体" w:cs="Times New Roman"/>
                <w:color w:val="auto"/>
                <w:spacing w:val="-10"/>
                <w:kern w:val="2"/>
                <w:sz w:val="18"/>
                <w:szCs w:val="18"/>
                <w:lang w:val="en-US" w:eastAsia="zh-CN" w:bidi="ar-SA"/>
              </w:rPr>
            </w:pPr>
            <w:r>
              <w:rPr>
                <w:rFonts w:hint="eastAsia"/>
                <w:color w:val="auto"/>
                <w:spacing w:val="-10"/>
                <w:sz w:val="18"/>
                <w:szCs w:val="18"/>
              </w:rPr>
              <w:t>SS</w:t>
            </w:r>
          </w:p>
        </w:tc>
        <w:tc>
          <w:tcPr>
            <w:tcW w:w="2807" w:type="dxa"/>
            <w:shd w:val="clear" w:color="auto" w:fill="auto"/>
            <w:vAlign w:val="center"/>
          </w:tcPr>
          <w:p w14:paraId="0B30C5DE">
            <w:pPr>
              <w:adjustRightInd w:val="0"/>
              <w:snapToGrid w:val="0"/>
              <w:jc w:val="center"/>
              <w:rPr>
                <w:rFonts w:hint="eastAsia" w:ascii="Times New Roman" w:hAnsi="Times New Roman" w:eastAsia="宋体" w:cs="Times New Roman"/>
                <w:color w:val="auto"/>
                <w:spacing w:val="-10"/>
                <w:kern w:val="2"/>
                <w:sz w:val="18"/>
                <w:szCs w:val="18"/>
                <w:lang w:val="en-US" w:eastAsia="zh-CN" w:bidi="ar-SA"/>
              </w:rPr>
            </w:pPr>
            <w:r>
              <w:rPr>
                <w:rFonts w:hint="eastAsia"/>
                <w:color w:val="auto"/>
                <w:spacing w:val="-10"/>
                <w:sz w:val="18"/>
                <w:szCs w:val="18"/>
              </w:rPr>
              <w:t>经洗车平台沉淀池沉淀后循环利用</w:t>
            </w:r>
          </w:p>
        </w:tc>
        <w:tc>
          <w:tcPr>
            <w:tcW w:w="1655" w:type="dxa"/>
            <w:vMerge w:val="continue"/>
            <w:vAlign w:val="center"/>
          </w:tcPr>
          <w:p w14:paraId="685D12B8">
            <w:pPr>
              <w:snapToGrid w:val="0"/>
              <w:spacing w:line="220" w:lineRule="exact"/>
              <w:jc w:val="center"/>
              <w:rPr>
                <w:rFonts w:hint="eastAsia" w:ascii="Times New Roman" w:hAnsi="Times New Roman" w:eastAsia="宋体" w:cs="Times New Roman"/>
                <w:color w:val="auto"/>
                <w:spacing w:val="-10"/>
                <w:sz w:val="18"/>
                <w:szCs w:val="18"/>
                <w:highlight w:val="none"/>
                <w:lang w:val="en-US" w:eastAsia="zh-CN"/>
              </w:rPr>
            </w:pPr>
          </w:p>
        </w:tc>
      </w:tr>
      <w:tr w14:paraId="321577B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266" w:type="dxa"/>
            <w:vMerge w:val="continue"/>
            <w:vAlign w:val="center"/>
          </w:tcPr>
          <w:p w14:paraId="7643F7CB">
            <w:pPr>
              <w:adjustRightInd w:val="0"/>
              <w:snapToGrid w:val="0"/>
              <w:jc w:val="center"/>
              <w:rPr>
                <w:color w:val="auto"/>
                <w:szCs w:val="21"/>
              </w:rPr>
            </w:pPr>
          </w:p>
        </w:tc>
        <w:tc>
          <w:tcPr>
            <w:tcW w:w="2148" w:type="dxa"/>
            <w:gridSpan w:val="3"/>
            <w:vAlign w:val="center"/>
          </w:tcPr>
          <w:p w14:paraId="5E3923DC">
            <w:pPr>
              <w:snapToGrid w:val="0"/>
              <w:spacing w:line="220" w:lineRule="exact"/>
              <w:jc w:val="center"/>
              <w:rPr>
                <w:color w:val="auto"/>
                <w:spacing w:val="-10"/>
                <w:sz w:val="18"/>
                <w:szCs w:val="18"/>
              </w:rPr>
            </w:pPr>
            <w:r>
              <w:rPr>
                <w:rFonts w:hint="eastAsia"/>
                <w:color w:val="auto"/>
                <w:spacing w:val="-10"/>
                <w:sz w:val="18"/>
                <w:szCs w:val="18"/>
              </w:rPr>
              <w:t>生活污水</w:t>
            </w:r>
          </w:p>
        </w:tc>
        <w:tc>
          <w:tcPr>
            <w:tcW w:w="924" w:type="dxa"/>
            <w:vAlign w:val="center"/>
          </w:tcPr>
          <w:p w14:paraId="71CFE034">
            <w:pPr>
              <w:snapToGrid w:val="0"/>
              <w:spacing w:line="220" w:lineRule="exact"/>
              <w:jc w:val="center"/>
              <w:rPr>
                <w:rFonts w:hint="eastAsia" w:eastAsia="宋体"/>
                <w:color w:val="auto"/>
                <w:spacing w:val="-10"/>
                <w:sz w:val="18"/>
                <w:szCs w:val="18"/>
                <w:lang w:eastAsia="zh-CN"/>
              </w:rPr>
            </w:pPr>
            <w:r>
              <w:rPr>
                <w:rFonts w:hint="eastAsia"/>
                <w:color w:val="auto"/>
                <w:spacing w:val="-10"/>
                <w:sz w:val="18"/>
                <w:szCs w:val="18"/>
                <w:lang w:val="en-US" w:eastAsia="zh-CN"/>
              </w:rPr>
              <w:t>PH、</w:t>
            </w:r>
            <w:r>
              <w:rPr>
                <w:rFonts w:hint="eastAsia"/>
                <w:color w:val="auto"/>
                <w:spacing w:val="-10"/>
                <w:sz w:val="18"/>
                <w:szCs w:val="18"/>
              </w:rPr>
              <w:t>SS</w:t>
            </w:r>
            <w:r>
              <w:rPr>
                <w:rFonts w:hint="eastAsia"/>
                <w:color w:val="auto"/>
                <w:spacing w:val="-10"/>
                <w:sz w:val="18"/>
                <w:szCs w:val="18"/>
                <w:lang w:eastAsia="zh-CN"/>
              </w:rPr>
              <w:t>、</w:t>
            </w:r>
          </w:p>
          <w:p w14:paraId="08DAA0D6">
            <w:pPr>
              <w:snapToGrid w:val="0"/>
              <w:spacing w:line="220" w:lineRule="exact"/>
              <w:jc w:val="center"/>
              <w:rPr>
                <w:color w:val="auto"/>
                <w:spacing w:val="-10"/>
                <w:sz w:val="18"/>
                <w:szCs w:val="18"/>
              </w:rPr>
            </w:pPr>
            <w:r>
              <w:rPr>
                <w:rFonts w:hint="eastAsia"/>
                <w:color w:val="auto"/>
                <w:spacing w:val="-10"/>
                <w:sz w:val="18"/>
                <w:szCs w:val="18"/>
              </w:rPr>
              <w:t>COD</w:t>
            </w:r>
          </w:p>
        </w:tc>
        <w:tc>
          <w:tcPr>
            <w:tcW w:w="2807" w:type="dxa"/>
            <w:vAlign w:val="center"/>
          </w:tcPr>
          <w:p w14:paraId="58D500E1">
            <w:pPr>
              <w:adjustRightInd w:val="0"/>
              <w:snapToGrid w:val="0"/>
              <w:jc w:val="center"/>
              <w:rPr>
                <w:color w:val="auto"/>
                <w:spacing w:val="-10"/>
                <w:sz w:val="18"/>
                <w:szCs w:val="18"/>
              </w:rPr>
            </w:pPr>
            <w:r>
              <w:rPr>
                <w:rFonts w:hint="eastAsia"/>
                <w:color w:val="auto"/>
                <w:spacing w:val="-10"/>
                <w:sz w:val="18"/>
                <w:szCs w:val="18"/>
              </w:rPr>
              <w:t>厂区内泼洒地面抑尘</w:t>
            </w:r>
          </w:p>
        </w:tc>
        <w:tc>
          <w:tcPr>
            <w:tcW w:w="1655" w:type="dxa"/>
            <w:vMerge w:val="continue"/>
            <w:vAlign w:val="center"/>
          </w:tcPr>
          <w:p w14:paraId="50BAA7A4">
            <w:pPr>
              <w:snapToGrid w:val="0"/>
              <w:spacing w:line="220" w:lineRule="exact"/>
              <w:jc w:val="center"/>
              <w:rPr>
                <w:color w:val="auto"/>
                <w:sz w:val="18"/>
                <w:szCs w:val="18"/>
              </w:rPr>
            </w:pPr>
          </w:p>
        </w:tc>
      </w:tr>
      <w:tr w14:paraId="68D3CA2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266" w:type="dxa"/>
            <w:vAlign w:val="center"/>
          </w:tcPr>
          <w:p w14:paraId="42152230">
            <w:pPr>
              <w:adjustRightInd w:val="0"/>
              <w:snapToGrid w:val="0"/>
              <w:jc w:val="center"/>
              <w:rPr>
                <w:color w:val="auto"/>
                <w:szCs w:val="21"/>
              </w:rPr>
            </w:pPr>
            <w:r>
              <w:rPr>
                <w:color w:val="auto"/>
                <w:szCs w:val="21"/>
              </w:rPr>
              <w:t>声环境</w:t>
            </w:r>
          </w:p>
        </w:tc>
        <w:tc>
          <w:tcPr>
            <w:tcW w:w="2148" w:type="dxa"/>
            <w:gridSpan w:val="3"/>
            <w:vAlign w:val="center"/>
          </w:tcPr>
          <w:p w14:paraId="5B173CB4">
            <w:pPr>
              <w:adjustRightInd w:val="0"/>
              <w:snapToGrid w:val="0"/>
              <w:jc w:val="center"/>
              <w:rPr>
                <w:color w:val="auto"/>
                <w:spacing w:val="-10"/>
                <w:sz w:val="18"/>
                <w:szCs w:val="18"/>
              </w:rPr>
            </w:pPr>
            <w:r>
              <w:rPr>
                <w:rFonts w:hint="eastAsia"/>
                <w:color w:val="auto"/>
                <w:spacing w:val="-10"/>
                <w:sz w:val="18"/>
                <w:szCs w:val="18"/>
              </w:rPr>
              <w:t>生产设备运行时产生的噪声</w:t>
            </w:r>
          </w:p>
        </w:tc>
        <w:tc>
          <w:tcPr>
            <w:tcW w:w="924" w:type="dxa"/>
            <w:vAlign w:val="center"/>
          </w:tcPr>
          <w:p w14:paraId="56A76AAB">
            <w:pPr>
              <w:adjustRightInd w:val="0"/>
              <w:snapToGrid w:val="0"/>
              <w:jc w:val="center"/>
              <w:rPr>
                <w:color w:val="auto"/>
                <w:spacing w:val="-10"/>
                <w:sz w:val="18"/>
                <w:szCs w:val="18"/>
              </w:rPr>
            </w:pPr>
            <w:r>
              <w:rPr>
                <w:rFonts w:hint="eastAsia"/>
                <w:color w:val="auto"/>
                <w:spacing w:val="-10"/>
                <w:sz w:val="18"/>
                <w:szCs w:val="18"/>
              </w:rPr>
              <w:t>噪声</w:t>
            </w:r>
          </w:p>
        </w:tc>
        <w:tc>
          <w:tcPr>
            <w:tcW w:w="2807" w:type="dxa"/>
            <w:vAlign w:val="center"/>
          </w:tcPr>
          <w:p w14:paraId="25F1B249">
            <w:pPr>
              <w:adjustRightInd w:val="0"/>
              <w:snapToGrid w:val="0"/>
              <w:jc w:val="center"/>
              <w:rPr>
                <w:color w:val="auto"/>
                <w:spacing w:val="-10"/>
                <w:sz w:val="18"/>
                <w:szCs w:val="18"/>
              </w:rPr>
            </w:pPr>
            <w:r>
              <w:rPr>
                <w:rFonts w:hint="eastAsia"/>
                <w:color w:val="auto"/>
                <w:spacing w:val="-10"/>
                <w:sz w:val="18"/>
                <w:szCs w:val="18"/>
              </w:rPr>
              <w:t>采取选用低噪声设备、厂房隔声、基础减振等措施</w:t>
            </w:r>
          </w:p>
        </w:tc>
        <w:tc>
          <w:tcPr>
            <w:tcW w:w="1655" w:type="dxa"/>
            <w:vAlign w:val="center"/>
          </w:tcPr>
          <w:p w14:paraId="609E3E97">
            <w:pPr>
              <w:adjustRightInd w:val="0"/>
              <w:snapToGrid w:val="0"/>
              <w:jc w:val="center"/>
              <w:rPr>
                <w:color w:val="auto"/>
                <w:spacing w:val="-10"/>
                <w:sz w:val="18"/>
                <w:szCs w:val="18"/>
              </w:rPr>
            </w:pPr>
            <w:r>
              <w:rPr>
                <w:rFonts w:hint="eastAsia"/>
                <w:color w:val="auto"/>
                <w:spacing w:val="-10"/>
                <w:sz w:val="18"/>
                <w:szCs w:val="18"/>
              </w:rPr>
              <w:t>《工业企业厂界环境噪声排放标准》（GB12348-2008）2类标准要求</w:t>
            </w:r>
          </w:p>
        </w:tc>
      </w:tr>
      <w:tr w14:paraId="1D9017A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266" w:type="dxa"/>
            <w:vAlign w:val="center"/>
          </w:tcPr>
          <w:p w14:paraId="41FFCE81">
            <w:pPr>
              <w:adjustRightInd w:val="0"/>
              <w:snapToGrid w:val="0"/>
              <w:jc w:val="center"/>
              <w:rPr>
                <w:color w:val="auto"/>
                <w:szCs w:val="21"/>
              </w:rPr>
            </w:pPr>
            <w:r>
              <w:rPr>
                <w:color w:val="auto"/>
                <w:szCs w:val="21"/>
              </w:rPr>
              <w:t>电磁辐射</w:t>
            </w:r>
          </w:p>
        </w:tc>
        <w:tc>
          <w:tcPr>
            <w:tcW w:w="2148" w:type="dxa"/>
            <w:gridSpan w:val="3"/>
            <w:vAlign w:val="center"/>
          </w:tcPr>
          <w:p w14:paraId="01EBA23D">
            <w:pPr>
              <w:adjustRightInd w:val="0"/>
              <w:snapToGrid w:val="0"/>
              <w:jc w:val="center"/>
              <w:rPr>
                <w:color w:val="auto"/>
                <w:szCs w:val="21"/>
              </w:rPr>
            </w:pPr>
            <w:r>
              <w:rPr>
                <w:color w:val="auto"/>
                <w:szCs w:val="21"/>
              </w:rPr>
              <w:t>--</w:t>
            </w:r>
          </w:p>
        </w:tc>
        <w:tc>
          <w:tcPr>
            <w:tcW w:w="924" w:type="dxa"/>
            <w:vAlign w:val="center"/>
          </w:tcPr>
          <w:p w14:paraId="592DD541">
            <w:pPr>
              <w:adjustRightInd w:val="0"/>
              <w:snapToGrid w:val="0"/>
              <w:jc w:val="center"/>
              <w:rPr>
                <w:color w:val="auto"/>
                <w:szCs w:val="21"/>
              </w:rPr>
            </w:pPr>
            <w:r>
              <w:rPr>
                <w:color w:val="auto"/>
                <w:szCs w:val="21"/>
              </w:rPr>
              <w:t>--</w:t>
            </w:r>
          </w:p>
        </w:tc>
        <w:tc>
          <w:tcPr>
            <w:tcW w:w="2807" w:type="dxa"/>
            <w:vAlign w:val="center"/>
          </w:tcPr>
          <w:p w14:paraId="755B0923">
            <w:pPr>
              <w:adjustRightInd w:val="0"/>
              <w:snapToGrid w:val="0"/>
              <w:jc w:val="center"/>
              <w:rPr>
                <w:color w:val="auto"/>
                <w:szCs w:val="21"/>
              </w:rPr>
            </w:pPr>
            <w:r>
              <w:rPr>
                <w:color w:val="auto"/>
                <w:szCs w:val="21"/>
              </w:rPr>
              <w:t>--</w:t>
            </w:r>
          </w:p>
        </w:tc>
        <w:tc>
          <w:tcPr>
            <w:tcW w:w="1655" w:type="dxa"/>
            <w:vAlign w:val="center"/>
          </w:tcPr>
          <w:p w14:paraId="6258B91A">
            <w:pPr>
              <w:adjustRightInd w:val="0"/>
              <w:snapToGrid w:val="0"/>
              <w:jc w:val="center"/>
              <w:rPr>
                <w:color w:val="auto"/>
                <w:szCs w:val="21"/>
              </w:rPr>
            </w:pPr>
            <w:r>
              <w:rPr>
                <w:color w:val="auto"/>
                <w:szCs w:val="21"/>
              </w:rPr>
              <w:t>--</w:t>
            </w:r>
          </w:p>
        </w:tc>
      </w:tr>
      <w:tr w14:paraId="1072E02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38" w:hRule="atLeast"/>
          <w:jc w:val="center"/>
        </w:trPr>
        <w:tc>
          <w:tcPr>
            <w:tcW w:w="1266" w:type="dxa"/>
            <w:vAlign w:val="center"/>
          </w:tcPr>
          <w:p w14:paraId="7123D3CF">
            <w:pPr>
              <w:adjustRightInd w:val="0"/>
              <w:snapToGrid w:val="0"/>
              <w:jc w:val="center"/>
              <w:rPr>
                <w:color w:val="auto"/>
                <w:szCs w:val="21"/>
              </w:rPr>
            </w:pPr>
            <w:r>
              <w:rPr>
                <w:color w:val="auto"/>
                <w:szCs w:val="21"/>
              </w:rPr>
              <w:t>固体废物</w:t>
            </w:r>
          </w:p>
        </w:tc>
        <w:tc>
          <w:tcPr>
            <w:tcW w:w="7534" w:type="dxa"/>
            <w:gridSpan w:val="6"/>
            <w:vAlign w:val="center"/>
          </w:tcPr>
          <w:p w14:paraId="18C0AC22">
            <w:pPr>
              <w:adjustRightInd w:val="0"/>
              <w:snapToGrid w:val="0"/>
              <w:ind w:firstLine="320" w:firstLineChars="200"/>
              <w:jc w:val="left"/>
              <w:rPr>
                <w:rFonts w:hint="eastAsia"/>
                <w:color w:val="auto"/>
                <w:spacing w:val="-10"/>
                <w:sz w:val="18"/>
                <w:szCs w:val="18"/>
                <w:highlight w:val="none"/>
                <w:lang w:eastAsia="zh-CN"/>
              </w:rPr>
            </w:pPr>
            <w:r>
              <w:rPr>
                <w:rFonts w:hint="eastAsia"/>
                <w:color w:val="auto"/>
                <w:spacing w:val="-10"/>
                <w:sz w:val="18"/>
                <w:szCs w:val="18"/>
                <w:highlight w:val="none"/>
                <w:lang w:val="en-US" w:eastAsia="zh-CN"/>
              </w:rPr>
              <w:t>污泥、除尘灰、沉降灰</w:t>
            </w:r>
            <w:r>
              <w:rPr>
                <w:rFonts w:hint="eastAsia"/>
                <w:color w:val="auto"/>
                <w:spacing w:val="-10"/>
                <w:sz w:val="18"/>
                <w:szCs w:val="18"/>
                <w:highlight w:val="none"/>
              </w:rPr>
              <w:t>暂存于一般固废暂存区</w:t>
            </w:r>
            <w:r>
              <w:rPr>
                <w:rFonts w:hint="eastAsia"/>
                <w:color w:val="auto"/>
                <w:spacing w:val="-10"/>
                <w:sz w:val="18"/>
                <w:szCs w:val="18"/>
                <w:highlight w:val="none"/>
                <w:lang w:eastAsia="zh-CN"/>
              </w:rPr>
              <w:t>，</w:t>
            </w:r>
            <w:r>
              <w:rPr>
                <w:rFonts w:hint="eastAsia"/>
                <w:color w:val="auto"/>
                <w:spacing w:val="-10"/>
                <w:sz w:val="18"/>
                <w:szCs w:val="18"/>
                <w:highlight w:val="none"/>
                <w:lang w:val="en-US" w:eastAsia="zh-CN"/>
              </w:rPr>
              <w:t>之后外售制砖厂进行制砖；废钢球</w:t>
            </w:r>
            <w:r>
              <w:rPr>
                <w:rFonts w:hint="eastAsia"/>
                <w:color w:val="auto"/>
                <w:spacing w:val="-10"/>
                <w:sz w:val="18"/>
                <w:szCs w:val="18"/>
                <w:highlight w:val="none"/>
              </w:rPr>
              <w:t>暂存于一般固废暂存区</w:t>
            </w:r>
            <w:r>
              <w:rPr>
                <w:rFonts w:hint="eastAsia"/>
                <w:color w:val="auto"/>
                <w:spacing w:val="-10"/>
                <w:sz w:val="18"/>
                <w:szCs w:val="18"/>
                <w:highlight w:val="none"/>
                <w:lang w:eastAsia="zh-CN"/>
              </w:rPr>
              <w:t>，</w:t>
            </w:r>
            <w:r>
              <w:rPr>
                <w:rFonts w:hint="eastAsia"/>
                <w:color w:val="auto"/>
                <w:spacing w:val="-10"/>
                <w:sz w:val="18"/>
                <w:szCs w:val="18"/>
                <w:highlight w:val="none"/>
                <w:lang w:val="en-US" w:eastAsia="zh-CN"/>
              </w:rPr>
              <w:t>之后外售五金回收公司；废包装袋、废布袋、废滤布</w:t>
            </w:r>
            <w:r>
              <w:rPr>
                <w:rFonts w:hint="eastAsia"/>
                <w:color w:val="auto"/>
                <w:spacing w:val="-10"/>
                <w:sz w:val="18"/>
                <w:szCs w:val="18"/>
                <w:highlight w:val="none"/>
              </w:rPr>
              <w:t>暂存于一般固废暂存区</w:t>
            </w:r>
            <w:r>
              <w:rPr>
                <w:rFonts w:hint="eastAsia"/>
                <w:color w:val="auto"/>
                <w:spacing w:val="-10"/>
                <w:sz w:val="18"/>
                <w:szCs w:val="18"/>
                <w:highlight w:val="none"/>
                <w:lang w:eastAsia="zh-CN"/>
              </w:rPr>
              <w:t>，</w:t>
            </w:r>
            <w:r>
              <w:rPr>
                <w:rFonts w:hint="eastAsia"/>
                <w:color w:val="auto"/>
                <w:spacing w:val="-10"/>
                <w:sz w:val="18"/>
                <w:szCs w:val="18"/>
                <w:highlight w:val="none"/>
                <w:lang w:val="en-US" w:eastAsia="zh-CN"/>
              </w:rPr>
              <w:t>之后外售综合利用；泥饼</w:t>
            </w:r>
            <w:r>
              <w:rPr>
                <w:rFonts w:hint="eastAsia"/>
                <w:color w:val="auto"/>
                <w:spacing w:val="-10"/>
                <w:sz w:val="18"/>
                <w:szCs w:val="18"/>
                <w:highlight w:val="none"/>
              </w:rPr>
              <w:t>暂存于压滤机底部</w:t>
            </w:r>
            <w:r>
              <w:rPr>
                <w:rFonts w:hint="eastAsia"/>
                <w:color w:val="auto"/>
                <w:spacing w:val="-10"/>
                <w:sz w:val="18"/>
                <w:szCs w:val="18"/>
                <w:highlight w:val="none"/>
                <w:lang w:val="en-US" w:eastAsia="zh-CN"/>
              </w:rPr>
              <w:t>污泥存储料斗</w:t>
            </w:r>
            <w:r>
              <w:rPr>
                <w:rFonts w:hint="eastAsia"/>
                <w:color w:val="auto"/>
                <w:spacing w:val="-10"/>
                <w:sz w:val="18"/>
                <w:szCs w:val="18"/>
                <w:highlight w:val="none"/>
                <w:lang w:eastAsia="zh-CN"/>
              </w:rPr>
              <w:t>，</w:t>
            </w:r>
            <w:r>
              <w:rPr>
                <w:rFonts w:hint="eastAsia"/>
                <w:color w:val="auto"/>
                <w:spacing w:val="-10"/>
                <w:sz w:val="18"/>
                <w:szCs w:val="18"/>
                <w:highlight w:val="none"/>
                <w:lang w:val="en-US" w:eastAsia="zh-CN"/>
              </w:rPr>
              <w:t>之后外售制砖厂进行制砖；废土暂存于废土暂存区，之</w:t>
            </w:r>
            <w:r>
              <w:rPr>
                <w:rFonts w:hint="eastAsia" w:ascii="Times New Roman" w:hAnsi="Times New Roman" w:eastAsia="宋体" w:cs="Times New Roman"/>
                <w:color w:val="auto"/>
                <w:spacing w:val="-10"/>
                <w:sz w:val="18"/>
                <w:szCs w:val="18"/>
                <w:highlight w:val="none"/>
                <w:lang w:val="en-US" w:eastAsia="zh-CN"/>
              </w:rPr>
              <w:t>后用于填坑、铺路；棉絮、泡沫等废料</w:t>
            </w:r>
            <w:r>
              <w:rPr>
                <w:rFonts w:hint="eastAsia"/>
                <w:color w:val="auto"/>
                <w:spacing w:val="-10"/>
                <w:sz w:val="18"/>
                <w:szCs w:val="18"/>
                <w:highlight w:val="none"/>
                <w:lang w:val="en-US" w:eastAsia="zh-CN"/>
              </w:rPr>
              <w:t>暂存于</w:t>
            </w:r>
            <w:r>
              <w:rPr>
                <w:rFonts w:hint="eastAsia" w:ascii="Times New Roman" w:hAnsi="Times New Roman" w:eastAsia="宋体" w:cs="Times New Roman"/>
                <w:color w:val="auto"/>
                <w:spacing w:val="-10"/>
                <w:sz w:val="18"/>
                <w:szCs w:val="18"/>
                <w:highlight w:val="none"/>
                <w:lang w:val="en-US" w:eastAsia="zh-CN"/>
              </w:rPr>
              <w:t>棉絮、泡沫暂存区</w:t>
            </w:r>
            <w:r>
              <w:rPr>
                <w:rFonts w:hint="eastAsia"/>
                <w:color w:val="auto"/>
                <w:spacing w:val="-10"/>
                <w:sz w:val="18"/>
                <w:szCs w:val="18"/>
                <w:highlight w:val="none"/>
                <w:lang w:val="en-US" w:eastAsia="zh-CN"/>
              </w:rPr>
              <w:t>，之后外售相关回收单位；</w:t>
            </w:r>
            <w:r>
              <w:rPr>
                <w:rFonts w:hint="eastAsia" w:ascii="Times New Roman" w:hAnsi="Times New Roman" w:eastAsia="宋体" w:cs="Times New Roman"/>
                <w:color w:val="auto"/>
                <w:spacing w:val="-10"/>
                <w:sz w:val="18"/>
                <w:szCs w:val="18"/>
                <w:highlight w:val="none"/>
                <w:lang w:val="en-US" w:eastAsia="zh-CN"/>
              </w:rPr>
              <w:t>海绵、木屑等废料</w:t>
            </w:r>
            <w:r>
              <w:rPr>
                <w:rFonts w:hint="eastAsia"/>
                <w:color w:val="auto"/>
                <w:spacing w:val="-10"/>
                <w:sz w:val="18"/>
                <w:szCs w:val="18"/>
                <w:highlight w:val="none"/>
                <w:lang w:val="en-US" w:eastAsia="zh-CN"/>
              </w:rPr>
              <w:t>暂存于3</w:t>
            </w:r>
            <w:r>
              <w:rPr>
                <w:rFonts w:hint="eastAsia"/>
                <w:color w:val="auto"/>
                <w:spacing w:val="-10"/>
                <w:sz w:val="18"/>
                <w:szCs w:val="18"/>
                <w:highlight w:val="none"/>
                <w:vertAlign w:val="superscript"/>
                <w:lang w:val="en-US" w:eastAsia="zh-CN"/>
              </w:rPr>
              <w:t>#</w:t>
            </w:r>
            <w:r>
              <w:rPr>
                <w:rFonts w:hint="eastAsia"/>
                <w:color w:val="auto"/>
                <w:spacing w:val="-10"/>
                <w:sz w:val="18"/>
                <w:szCs w:val="18"/>
                <w:highlight w:val="none"/>
                <w:lang w:val="en-US" w:eastAsia="zh-CN"/>
              </w:rPr>
              <w:t>储料池内，之后外售相关回收单位；</w:t>
            </w:r>
            <w:r>
              <w:rPr>
                <w:rFonts w:hint="eastAsia"/>
                <w:color w:val="auto"/>
                <w:spacing w:val="-10"/>
                <w:sz w:val="18"/>
                <w:szCs w:val="18"/>
                <w:highlight w:val="none"/>
              </w:rPr>
              <w:t>生活垃圾集中收集后由环卫部门统一处理</w:t>
            </w:r>
            <w:r>
              <w:rPr>
                <w:rFonts w:hint="eastAsia"/>
                <w:color w:val="auto"/>
                <w:spacing w:val="-10"/>
                <w:sz w:val="18"/>
                <w:szCs w:val="18"/>
                <w:highlight w:val="none"/>
                <w:lang w:val="en-US" w:eastAsia="zh-CN"/>
              </w:rPr>
              <w:t>；</w:t>
            </w:r>
            <w:r>
              <w:rPr>
                <w:color w:val="auto"/>
                <w:spacing w:val="-10"/>
                <w:sz w:val="18"/>
                <w:szCs w:val="18"/>
                <w:highlight w:val="none"/>
              </w:rPr>
              <w:t>废润滑油</w:t>
            </w:r>
            <w:r>
              <w:rPr>
                <w:rFonts w:hint="eastAsia"/>
                <w:color w:val="auto"/>
                <w:spacing w:val="-10"/>
                <w:sz w:val="18"/>
                <w:szCs w:val="18"/>
                <w:highlight w:val="none"/>
                <w:lang w:eastAsia="zh-CN"/>
              </w:rPr>
              <w:t>、</w:t>
            </w:r>
            <w:r>
              <w:rPr>
                <w:rFonts w:hint="eastAsia"/>
                <w:color w:val="auto"/>
                <w:spacing w:val="-10"/>
                <w:sz w:val="18"/>
                <w:szCs w:val="18"/>
                <w:highlight w:val="none"/>
                <w:lang w:val="en-US" w:eastAsia="zh-CN"/>
              </w:rPr>
              <w:t>废液压油</w:t>
            </w:r>
            <w:r>
              <w:rPr>
                <w:color w:val="auto"/>
                <w:spacing w:val="-10"/>
                <w:sz w:val="18"/>
                <w:szCs w:val="18"/>
                <w:highlight w:val="none"/>
              </w:rPr>
              <w:t>采用专用容器分类收集，废油桶原盖封存，暂存于</w:t>
            </w:r>
            <w:r>
              <w:rPr>
                <w:rFonts w:hint="eastAsia"/>
                <w:color w:val="auto"/>
                <w:spacing w:val="-10"/>
                <w:sz w:val="18"/>
                <w:szCs w:val="18"/>
                <w:highlight w:val="none"/>
              </w:rPr>
              <w:t>危险废物暂存间</w:t>
            </w:r>
            <w:r>
              <w:rPr>
                <w:color w:val="auto"/>
                <w:spacing w:val="-10"/>
                <w:sz w:val="18"/>
                <w:szCs w:val="18"/>
                <w:highlight w:val="none"/>
              </w:rPr>
              <w:t>，委托有资质单位定期收集处置</w:t>
            </w:r>
            <w:r>
              <w:rPr>
                <w:rFonts w:hint="eastAsia"/>
                <w:color w:val="auto"/>
                <w:spacing w:val="-10"/>
                <w:sz w:val="18"/>
                <w:szCs w:val="18"/>
                <w:highlight w:val="none"/>
              </w:rPr>
              <w:t>。</w:t>
            </w:r>
          </w:p>
        </w:tc>
      </w:tr>
      <w:tr w14:paraId="373B7A3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49" w:hRule="atLeast"/>
          <w:jc w:val="center"/>
        </w:trPr>
        <w:tc>
          <w:tcPr>
            <w:tcW w:w="1266" w:type="dxa"/>
            <w:vAlign w:val="center"/>
          </w:tcPr>
          <w:p w14:paraId="38939329">
            <w:pPr>
              <w:adjustRightInd w:val="0"/>
              <w:snapToGrid w:val="0"/>
              <w:jc w:val="center"/>
              <w:rPr>
                <w:color w:val="auto"/>
                <w:szCs w:val="21"/>
              </w:rPr>
            </w:pPr>
            <w:r>
              <w:rPr>
                <w:color w:val="auto"/>
                <w:szCs w:val="21"/>
              </w:rPr>
              <w:t>土壤及地下水污染防治措施</w:t>
            </w:r>
          </w:p>
        </w:tc>
        <w:tc>
          <w:tcPr>
            <w:tcW w:w="7534" w:type="dxa"/>
            <w:gridSpan w:val="6"/>
            <w:vAlign w:val="center"/>
          </w:tcPr>
          <w:p w14:paraId="693A0AD8">
            <w:pPr>
              <w:numPr>
                <w:ilvl w:val="0"/>
                <w:numId w:val="11"/>
              </w:numPr>
              <w:adjustRightInd w:val="0"/>
              <w:snapToGrid w:val="0"/>
              <w:ind w:firstLine="320" w:firstLineChars="200"/>
              <w:jc w:val="left"/>
              <w:rPr>
                <w:rFonts w:hint="eastAsia" w:ascii="Times New Roman" w:hAnsi="Times New Roman" w:eastAsia="宋体" w:cs="Times New Roman"/>
                <w:color w:val="auto"/>
                <w:spacing w:val="-10"/>
                <w:sz w:val="18"/>
                <w:szCs w:val="18"/>
                <w:lang w:val="en-US" w:eastAsia="zh-CN"/>
              </w:rPr>
            </w:pPr>
            <w:r>
              <w:rPr>
                <w:rFonts w:hint="eastAsia" w:ascii="Times New Roman" w:hAnsi="Times New Roman" w:eastAsia="宋体" w:cs="Times New Roman"/>
                <w:color w:val="auto"/>
                <w:spacing w:val="-10"/>
                <w:sz w:val="18"/>
                <w:szCs w:val="18"/>
                <w:lang w:val="en-US" w:eastAsia="zh-CN"/>
              </w:rPr>
              <w:t>分区防渗：①重点防渗区：</w:t>
            </w:r>
            <w:r>
              <w:rPr>
                <w:rFonts w:hint="eastAsia" w:cs="Times New Roman"/>
                <w:color w:val="auto"/>
                <w:spacing w:val="-10"/>
                <w:sz w:val="18"/>
                <w:szCs w:val="18"/>
                <w:lang w:val="en-US" w:eastAsia="zh-CN"/>
              </w:rPr>
              <w:t>a.</w:t>
            </w:r>
            <w:r>
              <w:rPr>
                <w:rFonts w:hint="eastAsia" w:ascii="Times New Roman" w:hAnsi="Times New Roman" w:eastAsia="宋体" w:cs="Times New Roman"/>
                <w:color w:val="auto"/>
                <w:spacing w:val="-10"/>
                <w:sz w:val="18"/>
                <w:szCs w:val="18"/>
                <w:lang w:val="en-US" w:eastAsia="zh-CN"/>
              </w:rPr>
              <w:t>危险废物暂存间</w:t>
            </w:r>
            <w:r>
              <w:rPr>
                <w:rFonts w:hint="eastAsia" w:cs="Times New Roman"/>
                <w:color w:val="auto"/>
                <w:spacing w:val="-10"/>
                <w:sz w:val="18"/>
                <w:szCs w:val="18"/>
                <w:lang w:val="en-US" w:eastAsia="zh-CN"/>
              </w:rPr>
              <w:t>：</w:t>
            </w:r>
            <w:r>
              <w:rPr>
                <w:rFonts w:hint="eastAsia" w:ascii="Times New Roman" w:hAnsi="Times New Roman" w:eastAsia="宋体" w:cs="Times New Roman"/>
                <w:color w:val="auto"/>
                <w:spacing w:val="-10"/>
                <w:sz w:val="18"/>
                <w:szCs w:val="18"/>
                <w:highlight w:val="none"/>
                <w:lang w:val="en-US" w:eastAsia="zh-CN"/>
              </w:rPr>
              <w:t>裙角及地面设置2mm高密度聚乙烯（HDPE）膜，膜上、膜下设置“长丝无纺土工布”保护层，保护层以上设置200mm抗渗混凝土</w:t>
            </w:r>
            <w:r>
              <w:rPr>
                <w:rFonts w:hint="eastAsia" w:ascii="Times New Roman" w:hAnsi="Times New Roman" w:eastAsia="宋体" w:cs="Times New Roman"/>
                <w:color w:val="auto"/>
                <w:spacing w:val="-10"/>
                <w:sz w:val="18"/>
                <w:szCs w:val="18"/>
                <w:lang w:val="en-US" w:eastAsia="zh-CN"/>
              </w:rPr>
              <w:t>，</w:t>
            </w:r>
            <w:r>
              <w:rPr>
                <w:rFonts w:hint="eastAsia" w:ascii="Times New Roman" w:hAnsi="Times New Roman" w:eastAsia="宋体" w:cs="Times New Roman"/>
                <w:color w:val="auto"/>
                <w:spacing w:val="-10"/>
                <w:sz w:val="18"/>
                <w:szCs w:val="18"/>
                <w:highlight w:val="none"/>
                <w:lang w:val="en-US" w:eastAsia="zh-CN"/>
              </w:rPr>
              <w:t>渗透系数不大于10</w:t>
            </w:r>
            <w:r>
              <w:rPr>
                <w:rFonts w:hint="eastAsia" w:ascii="Times New Roman" w:hAnsi="Times New Roman" w:eastAsia="宋体" w:cs="Times New Roman"/>
                <w:color w:val="auto"/>
                <w:spacing w:val="-10"/>
                <w:sz w:val="18"/>
                <w:szCs w:val="18"/>
                <w:highlight w:val="none"/>
                <w:vertAlign w:val="superscript"/>
                <w:lang w:val="en-US" w:eastAsia="zh-CN"/>
              </w:rPr>
              <w:t>-10</w:t>
            </w:r>
            <w:r>
              <w:rPr>
                <w:rFonts w:hint="eastAsia" w:ascii="Times New Roman" w:hAnsi="Times New Roman" w:eastAsia="宋体" w:cs="Times New Roman"/>
                <w:color w:val="auto"/>
                <w:spacing w:val="-10"/>
                <w:sz w:val="18"/>
                <w:szCs w:val="18"/>
                <w:highlight w:val="none"/>
                <w:lang w:val="en-US" w:eastAsia="zh-CN"/>
              </w:rPr>
              <w:t>cm/s</w:t>
            </w:r>
            <w:r>
              <w:rPr>
                <w:rFonts w:hint="eastAsia" w:eastAsia="宋体" w:cs="Times New Roman"/>
                <w:color w:val="auto"/>
                <w:spacing w:val="-10"/>
                <w:sz w:val="18"/>
                <w:szCs w:val="18"/>
                <w:highlight w:val="none"/>
                <w:lang w:val="en-US" w:eastAsia="zh-CN"/>
              </w:rPr>
              <w:t>；b.球磨机：</w:t>
            </w:r>
            <w:r>
              <w:rPr>
                <w:rFonts w:hint="eastAsia"/>
                <w:color w:val="auto"/>
                <w:spacing w:val="-10"/>
                <w:sz w:val="18"/>
                <w:szCs w:val="18"/>
              </w:rPr>
              <w:t>为防止球磨机渗油落地，球磨机底部设接油托盘</w:t>
            </w:r>
            <w:r>
              <w:rPr>
                <w:rFonts w:hint="eastAsia" w:ascii="Times New Roman" w:hAnsi="Times New Roman" w:eastAsia="宋体" w:cs="Times New Roman"/>
                <w:color w:val="auto"/>
                <w:spacing w:val="-10"/>
                <w:sz w:val="18"/>
                <w:szCs w:val="18"/>
                <w:lang w:val="en-US" w:eastAsia="zh-CN"/>
              </w:rPr>
              <w:t>，</w:t>
            </w:r>
            <w:r>
              <w:rPr>
                <w:rFonts w:hint="eastAsia" w:ascii="Times New Roman" w:hAnsi="Times New Roman" w:eastAsia="宋体" w:cs="Times New Roman"/>
                <w:color w:val="auto"/>
                <w:spacing w:val="-10"/>
                <w:sz w:val="18"/>
                <w:szCs w:val="18"/>
                <w:highlight w:val="none"/>
                <w:lang w:val="en-US" w:eastAsia="zh-CN"/>
              </w:rPr>
              <w:t>渗透系数不大于10</w:t>
            </w:r>
            <w:r>
              <w:rPr>
                <w:rFonts w:hint="eastAsia" w:ascii="Times New Roman" w:hAnsi="Times New Roman" w:eastAsia="宋体" w:cs="Times New Roman"/>
                <w:color w:val="auto"/>
                <w:spacing w:val="-10"/>
                <w:sz w:val="18"/>
                <w:szCs w:val="18"/>
                <w:highlight w:val="none"/>
                <w:vertAlign w:val="superscript"/>
                <w:lang w:val="en-US" w:eastAsia="zh-CN"/>
              </w:rPr>
              <w:t>-10</w:t>
            </w:r>
            <w:r>
              <w:rPr>
                <w:rFonts w:hint="eastAsia" w:ascii="Times New Roman" w:hAnsi="Times New Roman" w:eastAsia="宋体" w:cs="Times New Roman"/>
                <w:color w:val="auto"/>
                <w:spacing w:val="-10"/>
                <w:sz w:val="18"/>
                <w:szCs w:val="18"/>
                <w:highlight w:val="none"/>
                <w:lang w:val="en-US" w:eastAsia="zh-CN"/>
              </w:rPr>
              <w:t xml:space="preserve"> cm/s；</w:t>
            </w:r>
            <w:r>
              <w:rPr>
                <w:rFonts w:hint="eastAsia" w:ascii="Times New Roman" w:hAnsi="Times New Roman" w:eastAsia="宋体" w:cs="Times New Roman"/>
                <w:color w:val="auto"/>
                <w:spacing w:val="-10"/>
                <w:sz w:val="18"/>
                <w:szCs w:val="18"/>
                <w:lang w:val="en-US" w:eastAsia="zh-CN"/>
              </w:rPr>
              <w:t>②一般防渗区：</w:t>
            </w:r>
            <w:r>
              <w:rPr>
                <w:rFonts w:hint="eastAsia" w:cs="Times New Roman"/>
                <w:color w:val="auto"/>
                <w:spacing w:val="-10"/>
                <w:sz w:val="18"/>
                <w:szCs w:val="18"/>
                <w:lang w:val="en-US" w:eastAsia="zh-CN"/>
              </w:rPr>
              <w:t>a.</w:t>
            </w:r>
            <w:r>
              <w:rPr>
                <w:rFonts w:hint="eastAsia"/>
                <w:color w:val="auto"/>
                <w:spacing w:val="-10"/>
                <w:sz w:val="18"/>
                <w:szCs w:val="18"/>
                <w:lang w:val="en-US" w:eastAsia="zh-CN"/>
              </w:rPr>
              <w:t>1</w:t>
            </w:r>
            <w:r>
              <w:rPr>
                <w:rFonts w:hint="eastAsia"/>
                <w:color w:val="auto"/>
                <w:spacing w:val="-10"/>
                <w:sz w:val="18"/>
                <w:szCs w:val="18"/>
                <w:vertAlign w:val="superscript"/>
                <w:lang w:val="en-US" w:eastAsia="zh-CN"/>
              </w:rPr>
              <w:t>#</w:t>
            </w:r>
            <w:r>
              <w:rPr>
                <w:rFonts w:hint="eastAsia"/>
                <w:color w:val="auto"/>
                <w:spacing w:val="-10"/>
                <w:sz w:val="18"/>
                <w:szCs w:val="18"/>
                <w:lang w:val="en-US" w:eastAsia="zh-CN"/>
              </w:rPr>
              <w:t>生产车间水洗装置区（漂洗船、摇穿分选机等设备区）</w:t>
            </w:r>
            <w:r>
              <w:rPr>
                <w:rFonts w:hint="eastAsia" w:ascii="Times New Roman" w:hAnsi="Times New Roman" w:eastAsia="宋体" w:cs="Times New Roman"/>
                <w:color w:val="auto"/>
                <w:spacing w:val="-10"/>
                <w:sz w:val="18"/>
                <w:szCs w:val="18"/>
                <w:lang w:val="en-US" w:eastAsia="zh-CN"/>
              </w:rPr>
              <w:t>：</w:t>
            </w:r>
            <w:r>
              <w:rPr>
                <w:rFonts w:hint="eastAsia"/>
                <w:color w:val="auto"/>
                <w:spacing w:val="-10"/>
                <w:sz w:val="18"/>
                <w:szCs w:val="18"/>
                <w:lang w:val="en-US" w:eastAsia="zh-CN"/>
              </w:rPr>
              <w:t>水洗装置区设围堰，围堰</w:t>
            </w:r>
            <w:r>
              <w:rPr>
                <w:rFonts w:hint="eastAsia"/>
                <w:color w:val="auto"/>
                <w:spacing w:val="-10"/>
                <w:sz w:val="18"/>
                <w:szCs w:val="18"/>
              </w:rPr>
              <w:t>采用200mm厚防渗混凝土一体浇筑</w:t>
            </w:r>
            <w:r>
              <w:rPr>
                <w:rFonts w:hint="eastAsia" w:ascii="Times New Roman" w:hAnsi="Times New Roman" w:eastAsia="宋体" w:cs="Times New Roman"/>
                <w:color w:val="auto"/>
                <w:spacing w:val="-10"/>
                <w:sz w:val="18"/>
                <w:szCs w:val="18"/>
                <w:lang w:val="en-US" w:eastAsia="zh-CN"/>
              </w:rPr>
              <w:t>，</w:t>
            </w:r>
            <w:r>
              <w:rPr>
                <w:rFonts w:hint="eastAsia" w:ascii="Times New Roman" w:hAnsi="Times New Roman" w:eastAsia="宋体" w:cs="Times New Roman"/>
                <w:color w:val="auto"/>
                <w:spacing w:val="-10"/>
                <w:sz w:val="18"/>
                <w:szCs w:val="18"/>
                <w:highlight w:val="none"/>
                <w:lang w:val="en-US" w:eastAsia="zh-CN"/>
              </w:rPr>
              <w:t>渗透系数不大于10</w:t>
            </w:r>
            <w:r>
              <w:rPr>
                <w:rFonts w:hint="eastAsia" w:ascii="Times New Roman" w:hAnsi="Times New Roman" w:eastAsia="宋体" w:cs="Times New Roman"/>
                <w:color w:val="auto"/>
                <w:spacing w:val="-10"/>
                <w:sz w:val="18"/>
                <w:szCs w:val="18"/>
                <w:highlight w:val="none"/>
                <w:vertAlign w:val="superscript"/>
                <w:lang w:val="en-US" w:eastAsia="zh-CN"/>
              </w:rPr>
              <w:t>-7</w:t>
            </w:r>
            <w:r>
              <w:rPr>
                <w:rFonts w:hint="eastAsia" w:ascii="Times New Roman" w:hAnsi="Times New Roman" w:eastAsia="宋体" w:cs="Times New Roman"/>
                <w:color w:val="auto"/>
                <w:spacing w:val="-10"/>
                <w:sz w:val="18"/>
                <w:szCs w:val="18"/>
                <w:highlight w:val="none"/>
                <w:lang w:val="en-US" w:eastAsia="zh-CN"/>
              </w:rPr>
              <w:t>cm/s</w:t>
            </w:r>
            <w:r>
              <w:rPr>
                <w:rFonts w:hint="eastAsia"/>
                <w:color w:val="auto"/>
                <w:spacing w:val="-10"/>
                <w:sz w:val="18"/>
                <w:szCs w:val="18"/>
                <w:lang w:eastAsia="zh-CN"/>
              </w:rPr>
              <w:t>；</w:t>
            </w:r>
            <w:r>
              <w:rPr>
                <w:rFonts w:hint="eastAsia" w:eastAsia="宋体" w:cs="Times New Roman"/>
                <w:color w:val="auto"/>
                <w:spacing w:val="-10"/>
                <w:sz w:val="18"/>
                <w:szCs w:val="18"/>
                <w:highlight w:val="none"/>
                <w:lang w:val="en-US" w:eastAsia="zh-CN"/>
              </w:rPr>
              <w:t>b.</w:t>
            </w:r>
            <w:r>
              <w:rPr>
                <w:rFonts w:hint="eastAsia"/>
                <w:color w:val="auto"/>
                <w:spacing w:val="-10"/>
                <w:sz w:val="18"/>
                <w:szCs w:val="18"/>
                <w:lang w:val="en-US" w:eastAsia="zh-CN"/>
              </w:rPr>
              <w:t>暂存池、1</w:t>
            </w:r>
            <w:r>
              <w:rPr>
                <w:rFonts w:hint="eastAsia"/>
                <w:color w:val="auto"/>
                <w:spacing w:val="-10"/>
                <w:sz w:val="18"/>
                <w:szCs w:val="18"/>
                <w:vertAlign w:val="superscript"/>
                <w:lang w:val="en-US" w:eastAsia="zh-CN"/>
              </w:rPr>
              <w:t>#</w:t>
            </w:r>
            <w:r>
              <w:rPr>
                <w:rFonts w:hint="eastAsia"/>
                <w:color w:val="auto"/>
                <w:spacing w:val="-10"/>
                <w:sz w:val="18"/>
                <w:szCs w:val="18"/>
                <w:lang w:val="en-US" w:eastAsia="zh-CN"/>
              </w:rPr>
              <w:t>-5</w:t>
            </w:r>
            <w:r>
              <w:rPr>
                <w:rFonts w:hint="eastAsia"/>
                <w:color w:val="auto"/>
                <w:spacing w:val="-10"/>
                <w:sz w:val="18"/>
                <w:szCs w:val="18"/>
                <w:vertAlign w:val="superscript"/>
                <w:lang w:val="en-US" w:eastAsia="zh-CN"/>
              </w:rPr>
              <w:t>#</w:t>
            </w:r>
            <w:r>
              <w:rPr>
                <w:rFonts w:hint="eastAsia"/>
                <w:color w:val="auto"/>
                <w:spacing w:val="-10"/>
                <w:sz w:val="18"/>
                <w:szCs w:val="18"/>
                <w:lang w:val="en-US" w:eastAsia="zh-CN"/>
              </w:rPr>
              <w:t>储料池、金属混合物料储料池、铁粉池、污水池、污水沉淀池、清水池、洗车平台清水池、洗车平台沉淀池、集水沟、雨水收集池</w:t>
            </w:r>
            <w:r>
              <w:rPr>
                <w:rFonts w:hint="eastAsia" w:ascii="Times New Roman" w:hAnsi="Times New Roman" w:eastAsia="宋体" w:cs="Times New Roman"/>
                <w:color w:val="auto"/>
                <w:spacing w:val="-10"/>
                <w:sz w:val="18"/>
                <w:szCs w:val="18"/>
                <w:lang w:val="en-US" w:eastAsia="zh-CN"/>
              </w:rPr>
              <w:t>：</w:t>
            </w:r>
            <w:r>
              <w:rPr>
                <w:rFonts w:hint="eastAsia"/>
                <w:color w:val="auto"/>
                <w:spacing w:val="-10"/>
                <w:sz w:val="18"/>
                <w:szCs w:val="18"/>
              </w:rPr>
              <w:t>采用200mm厚防渗混凝土一体浇筑</w:t>
            </w:r>
            <w:r>
              <w:rPr>
                <w:rFonts w:hint="eastAsia" w:ascii="Times New Roman" w:hAnsi="Times New Roman" w:eastAsia="宋体" w:cs="Times New Roman"/>
                <w:color w:val="auto"/>
                <w:spacing w:val="-10"/>
                <w:sz w:val="18"/>
                <w:szCs w:val="18"/>
                <w:lang w:val="en-US" w:eastAsia="zh-CN"/>
              </w:rPr>
              <w:t>，</w:t>
            </w:r>
            <w:r>
              <w:rPr>
                <w:rFonts w:hint="eastAsia" w:ascii="Times New Roman" w:hAnsi="Times New Roman" w:eastAsia="宋体" w:cs="Times New Roman"/>
                <w:color w:val="auto"/>
                <w:spacing w:val="-10"/>
                <w:sz w:val="18"/>
                <w:szCs w:val="18"/>
                <w:highlight w:val="none"/>
                <w:lang w:val="en-US" w:eastAsia="zh-CN"/>
              </w:rPr>
              <w:t>渗透系数不大于10</w:t>
            </w:r>
            <w:r>
              <w:rPr>
                <w:rFonts w:hint="eastAsia" w:ascii="Times New Roman" w:hAnsi="Times New Roman" w:eastAsia="宋体" w:cs="Times New Roman"/>
                <w:color w:val="auto"/>
                <w:spacing w:val="-10"/>
                <w:sz w:val="18"/>
                <w:szCs w:val="18"/>
                <w:highlight w:val="none"/>
                <w:vertAlign w:val="superscript"/>
                <w:lang w:val="en-US" w:eastAsia="zh-CN"/>
              </w:rPr>
              <w:t>-7</w:t>
            </w:r>
            <w:r>
              <w:rPr>
                <w:rFonts w:hint="eastAsia" w:ascii="Times New Roman" w:hAnsi="Times New Roman" w:eastAsia="宋体" w:cs="Times New Roman"/>
                <w:color w:val="auto"/>
                <w:spacing w:val="-10"/>
                <w:sz w:val="18"/>
                <w:szCs w:val="18"/>
                <w:highlight w:val="none"/>
                <w:lang w:val="en-US" w:eastAsia="zh-CN"/>
              </w:rPr>
              <w:t>cm/s</w:t>
            </w:r>
            <w:r>
              <w:rPr>
                <w:rFonts w:hint="eastAsia"/>
                <w:color w:val="auto"/>
                <w:spacing w:val="-10"/>
                <w:sz w:val="18"/>
                <w:szCs w:val="18"/>
                <w:lang w:eastAsia="zh-CN"/>
              </w:rPr>
              <w:t>；</w:t>
            </w:r>
            <w:r>
              <w:rPr>
                <w:rFonts w:hint="eastAsia"/>
                <w:color w:val="auto"/>
                <w:spacing w:val="-10"/>
                <w:sz w:val="18"/>
                <w:szCs w:val="18"/>
                <w:lang w:val="en-US" w:eastAsia="zh-CN"/>
              </w:rPr>
              <w:t>c.1</w:t>
            </w:r>
            <w:r>
              <w:rPr>
                <w:rFonts w:hint="eastAsia"/>
                <w:color w:val="auto"/>
                <w:spacing w:val="-10"/>
                <w:sz w:val="18"/>
                <w:szCs w:val="18"/>
                <w:vertAlign w:val="superscript"/>
                <w:lang w:val="en-US" w:eastAsia="zh-CN"/>
              </w:rPr>
              <w:t>#</w:t>
            </w:r>
            <w:r>
              <w:rPr>
                <w:rFonts w:hint="eastAsia"/>
                <w:color w:val="auto"/>
                <w:spacing w:val="-10"/>
                <w:sz w:val="18"/>
                <w:szCs w:val="18"/>
                <w:lang w:val="en-US" w:eastAsia="zh-CN"/>
              </w:rPr>
              <w:t>生产车间其他区域、2</w:t>
            </w:r>
            <w:r>
              <w:rPr>
                <w:rFonts w:hint="eastAsia"/>
                <w:color w:val="auto"/>
                <w:spacing w:val="-10"/>
                <w:sz w:val="18"/>
                <w:szCs w:val="18"/>
                <w:vertAlign w:val="superscript"/>
                <w:lang w:val="en-US" w:eastAsia="zh-CN"/>
              </w:rPr>
              <w:t>#</w:t>
            </w:r>
            <w:r>
              <w:rPr>
                <w:rFonts w:hint="eastAsia"/>
                <w:color w:val="auto"/>
                <w:spacing w:val="-10"/>
                <w:sz w:val="18"/>
                <w:szCs w:val="18"/>
                <w:lang w:val="en-US" w:eastAsia="zh-CN"/>
              </w:rPr>
              <w:t>生产车间其他区域、一般固废暂存区：地面采用200mm厚防渗混凝土进行防渗</w:t>
            </w:r>
            <w:r>
              <w:rPr>
                <w:rFonts w:hint="eastAsia" w:ascii="Times New Roman" w:hAnsi="Times New Roman" w:eastAsia="宋体" w:cs="Times New Roman"/>
                <w:color w:val="auto"/>
                <w:spacing w:val="-10"/>
                <w:sz w:val="18"/>
                <w:szCs w:val="18"/>
                <w:lang w:val="en-US" w:eastAsia="zh-CN"/>
              </w:rPr>
              <w:t>，</w:t>
            </w:r>
            <w:r>
              <w:rPr>
                <w:rFonts w:hint="eastAsia" w:ascii="Times New Roman" w:hAnsi="Times New Roman" w:eastAsia="宋体" w:cs="Times New Roman"/>
                <w:color w:val="auto"/>
                <w:spacing w:val="-10"/>
                <w:sz w:val="18"/>
                <w:szCs w:val="18"/>
                <w:highlight w:val="none"/>
                <w:lang w:val="en-US" w:eastAsia="zh-CN"/>
              </w:rPr>
              <w:t>渗透系数不大于10</w:t>
            </w:r>
            <w:r>
              <w:rPr>
                <w:rFonts w:hint="eastAsia" w:ascii="Times New Roman" w:hAnsi="Times New Roman" w:eastAsia="宋体" w:cs="Times New Roman"/>
                <w:color w:val="auto"/>
                <w:spacing w:val="-10"/>
                <w:sz w:val="18"/>
                <w:szCs w:val="18"/>
                <w:highlight w:val="none"/>
                <w:vertAlign w:val="superscript"/>
                <w:lang w:val="en-US" w:eastAsia="zh-CN"/>
              </w:rPr>
              <w:t>-7</w:t>
            </w:r>
            <w:r>
              <w:rPr>
                <w:rFonts w:hint="eastAsia" w:ascii="Times New Roman" w:hAnsi="Times New Roman" w:eastAsia="宋体" w:cs="Times New Roman"/>
                <w:color w:val="auto"/>
                <w:spacing w:val="-10"/>
                <w:sz w:val="18"/>
                <w:szCs w:val="18"/>
                <w:highlight w:val="none"/>
                <w:lang w:val="en-US" w:eastAsia="zh-CN"/>
              </w:rPr>
              <w:t>cm/s；</w:t>
            </w:r>
            <w:r>
              <w:rPr>
                <w:rFonts w:hint="default" w:ascii="Times New Roman" w:hAnsi="Times New Roman" w:eastAsia="宋体" w:cs="Times New Roman"/>
                <w:color w:val="auto"/>
                <w:spacing w:val="-10"/>
                <w:sz w:val="18"/>
                <w:szCs w:val="18"/>
                <w:lang w:val="en-US" w:eastAsia="zh-CN"/>
              </w:rPr>
              <w:t>③</w:t>
            </w:r>
            <w:r>
              <w:rPr>
                <w:rFonts w:hint="eastAsia" w:ascii="Times New Roman" w:hAnsi="Times New Roman" w:eastAsia="宋体" w:cs="Times New Roman"/>
                <w:color w:val="auto"/>
                <w:spacing w:val="-10"/>
                <w:sz w:val="18"/>
                <w:szCs w:val="18"/>
                <w:lang w:val="en-US" w:eastAsia="zh-CN"/>
              </w:rPr>
              <w:t>简单防渗区：厂区其他地面采用水泥硬化。采取分区防渗措施后，阻断了地下水、土壤污染途径，正常工况下，不会对地下水环境产生影响。</w:t>
            </w:r>
          </w:p>
          <w:p w14:paraId="715F54D8">
            <w:pPr>
              <w:numPr>
                <w:ilvl w:val="0"/>
                <w:numId w:val="11"/>
              </w:numPr>
              <w:adjustRightInd w:val="0"/>
              <w:snapToGrid w:val="0"/>
              <w:ind w:firstLine="320" w:firstLineChars="200"/>
              <w:jc w:val="left"/>
              <w:rPr>
                <w:rFonts w:hint="eastAsia" w:ascii="Times New Roman" w:hAnsi="Times New Roman" w:eastAsia="宋体" w:cs="Times New Roman"/>
                <w:color w:val="auto"/>
                <w:spacing w:val="-10"/>
                <w:sz w:val="18"/>
                <w:szCs w:val="18"/>
                <w:lang w:val="en-US" w:eastAsia="zh-CN"/>
              </w:rPr>
            </w:pPr>
            <w:r>
              <w:rPr>
                <w:rFonts w:hint="eastAsia" w:ascii="Times New Roman" w:hAnsi="Times New Roman" w:eastAsia="宋体" w:cs="Times New Roman"/>
                <w:color w:val="auto"/>
                <w:spacing w:val="-10"/>
                <w:sz w:val="18"/>
                <w:szCs w:val="18"/>
                <w:lang w:val="en-US" w:eastAsia="zh-CN"/>
              </w:rPr>
              <w:t>污染监控措施：安排专人定期进行检查，发生地面破裂、泄漏易于及时发现。</w:t>
            </w:r>
          </w:p>
          <w:p w14:paraId="1FC10141">
            <w:pPr>
              <w:adjustRightInd w:val="0"/>
              <w:snapToGrid w:val="0"/>
              <w:ind w:firstLine="320" w:firstLineChars="200"/>
              <w:jc w:val="left"/>
              <w:rPr>
                <w:rFonts w:hint="eastAsia"/>
                <w:color w:val="auto"/>
                <w:spacing w:val="-10"/>
                <w:sz w:val="18"/>
                <w:szCs w:val="18"/>
                <w:highlight w:val="none"/>
              </w:rPr>
            </w:pPr>
            <w:r>
              <w:rPr>
                <w:rFonts w:hint="eastAsia" w:ascii="Times New Roman" w:hAnsi="Times New Roman" w:eastAsia="宋体" w:cs="Times New Roman"/>
                <w:color w:val="auto"/>
                <w:spacing w:val="-10"/>
                <w:sz w:val="18"/>
                <w:szCs w:val="18"/>
                <w:lang w:val="en-US" w:eastAsia="zh-CN"/>
              </w:rPr>
              <w:t>（3）应急响应措施：建设单位通过严格管理，专人巡检等方式进行监管，非正常情况渗漏一经发现，启动应急预案，立即采取封堵、吸收、吸附等措施，防止大量泄漏。</w:t>
            </w:r>
          </w:p>
        </w:tc>
      </w:tr>
      <w:tr w14:paraId="126AF81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95" w:hRule="atLeast"/>
          <w:jc w:val="center"/>
        </w:trPr>
        <w:tc>
          <w:tcPr>
            <w:tcW w:w="1266" w:type="dxa"/>
            <w:vAlign w:val="center"/>
          </w:tcPr>
          <w:p w14:paraId="0C3BED2A">
            <w:pPr>
              <w:adjustRightInd w:val="0"/>
              <w:snapToGrid w:val="0"/>
              <w:jc w:val="center"/>
              <w:rPr>
                <w:color w:val="auto"/>
                <w:szCs w:val="21"/>
              </w:rPr>
            </w:pPr>
            <w:r>
              <w:rPr>
                <w:color w:val="auto"/>
                <w:szCs w:val="21"/>
              </w:rPr>
              <w:t>生态保护措施</w:t>
            </w:r>
          </w:p>
        </w:tc>
        <w:tc>
          <w:tcPr>
            <w:tcW w:w="7534" w:type="dxa"/>
            <w:gridSpan w:val="6"/>
            <w:vAlign w:val="center"/>
          </w:tcPr>
          <w:p w14:paraId="75603556">
            <w:pPr>
              <w:tabs>
                <w:tab w:val="left" w:pos="4253"/>
              </w:tabs>
              <w:spacing w:line="440" w:lineRule="exact"/>
              <w:jc w:val="center"/>
              <w:rPr>
                <w:color w:val="auto"/>
                <w:szCs w:val="21"/>
              </w:rPr>
            </w:pPr>
            <w:r>
              <w:rPr>
                <w:rFonts w:hint="eastAsia"/>
                <w:color w:val="auto"/>
                <w:spacing w:val="-10"/>
                <w:sz w:val="18"/>
                <w:szCs w:val="18"/>
              </w:rPr>
              <w:t>--</w:t>
            </w:r>
            <w:r>
              <w:rPr>
                <w:color w:val="auto"/>
                <w:szCs w:val="21"/>
              </w:rPr>
              <w:t xml:space="preserve"> </w:t>
            </w:r>
          </w:p>
        </w:tc>
      </w:tr>
      <w:tr w14:paraId="1FEB818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20" w:hRule="atLeast"/>
          <w:jc w:val="center"/>
        </w:trPr>
        <w:tc>
          <w:tcPr>
            <w:tcW w:w="1266" w:type="dxa"/>
            <w:vAlign w:val="center"/>
          </w:tcPr>
          <w:p w14:paraId="0270B740">
            <w:pPr>
              <w:adjustRightInd w:val="0"/>
              <w:snapToGrid w:val="0"/>
              <w:jc w:val="center"/>
              <w:rPr>
                <w:color w:val="auto"/>
                <w:spacing w:val="-8"/>
                <w:szCs w:val="21"/>
              </w:rPr>
            </w:pPr>
            <w:r>
              <w:rPr>
                <w:color w:val="auto"/>
                <w:spacing w:val="-8"/>
                <w:szCs w:val="21"/>
              </w:rPr>
              <w:t>环境风险</w:t>
            </w:r>
          </w:p>
          <w:p w14:paraId="4A7F0D2E">
            <w:pPr>
              <w:adjustRightInd w:val="0"/>
              <w:snapToGrid w:val="0"/>
              <w:jc w:val="center"/>
              <w:rPr>
                <w:color w:val="auto"/>
                <w:spacing w:val="-8"/>
                <w:szCs w:val="21"/>
              </w:rPr>
            </w:pPr>
            <w:r>
              <w:rPr>
                <w:color w:val="auto"/>
                <w:spacing w:val="-8"/>
                <w:szCs w:val="21"/>
              </w:rPr>
              <w:t>防范措施</w:t>
            </w:r>
          </w:p>
        </w:tc>
        <w:tc>
          <w:tcPr>
            <w:tcW w:w="7534" w:type="dxa"/>
            <w:gridSpan w:val="6"/>
            <w:vAlign w:val="center"/>
          </w:tcPr>
          <w:p w14:paraId="1F4FA17A">
            <w:pPr>
              <w:adjustRightInd w:val="0"/>
              <w:snapToGrid w:val="0"/>
              <w:ind w:firstLine="320" w:firstLineChars="200"/>
              <w:jc w:val="left"/>
              <w:rPr>
                <w:rFonts w:hint="eastAsia" w:ascii="Times New Roman" w:hAnsi="Times New Roman" w:eastAsia="宋体" w:cs="Times New Roman"/>
                <w:color w:val="auto"/>
                <w:spacing w:val="-10"/>
                <w:sz w:val="18"/>
                <w:szCs w:val="18"/>
              </w:rPr>
            </w:pPr>
            <w:r>
              <w:rPr>
                <w:rFonts w:hint="eastAsia" w:ascii="Times New Roman" w:hAnsi="Times New Roman" w:eastAsia="宋体" w:cs="Times New Roman"/>
                <w:color w:val="auto"/>
                <w:spacing w:val="-10"/>
                <w:sz w:val="18"/>
                <w:szCs w:val="18"/>
                <w:lang w:val="en-US" w:eastAsia="zh-CN"/>
              </w:rPr>
              <w:t>①预防工作：a.</w:t>
            </w:r>
            <w:r>
              <w:rPr>
                <w:rFonts w:hint="eastAsia" w:ascii="Times New Roman" w:hAnsi="Times New Roman" w:eastAsia="宋体" w:cs="Times New Roman"/>
                <w:color w:val="auto"/>
                <w:spacing w:val="-10"/>
                <w:sz w:val="18"/>
                <w:szCs w:val="18"/>
              </w:rPr>
              <w:t>废润滑油、废液压油装入废油桶，废油桶采取密封措施</w:t>
            </w:r>
            <w:r>
              <w:rPr>
                <w:rFonts w:hint="eastAsia" w:ascii="Times New Roman" w:hAnsi="Times New Roman" w:eastAsia="宋体" w:cs="Times New Roman"/>
                <w:color w:val="auto"/>
                <w:spacing w:val="-10"/>
                <w:sz w:val="18"/>
                <w:szCs w:val="18"/>
                <w:lang w:eastAsia="zh-CN"/>
              </w:rPr>
              <w:t>；</w:t>
            </w:r>
            <w:r>
              <w:rPr>
                <w:rFonts w:hint="eastAsia" w:ascii="Times New Roman" w:hAnsi="Times New Roman" w:eastAsia="宋体" w:cs="Times New Roman"/>
                <w:color w:val="auto"/>
                <w:spacing w:val="-10"/>
                <w:sz w:val="18"/>
                <w:szCs w:val="18"/>
                <w:lang w:val="en-US" w:eastAsia="zh-CN"/>
              </w:rPr>
              <w:t>b.</w:t>
            </w:r>
            <w:r>
              <w:rPr>
                <w:rFonts w:hint="eastAsia" w:ascii="Times New Roman" w:hAnsi="Times New Roman" w:eastAsia="宋体" w:cs="Times New Roman"/>
                <w:color w:val="auto"/>
                <w:spacing w:val="-10"/>
                <w:sz w:val="18"/>
                <w:szCs w:val="18"/>
              </w:rPr>
              <w:t>制定危险废物暂存间的日常巡查制度，定期指派专人负责巡查。</w:t>
            </w:r>
          </w:p>
          <w:p w14:paraId="1EF7EDAC">
            <w:pPr>
              <w:adjustRightInd w:val="0"/>
              <w:snapToGrid w:val="0"/>
              <w:ind w:firstLine="320" w:firstLineChars="200"/>
              <w:jc w:val="left"/>
              <w:rPr>
                <w:rFonts w:hint="eastAsia" w:ascii="Times New Roman" w:hAnsi="Times New Roman" w:eastAsia="宋体" w:cs="Times New Roman"/>
                <w:color w:val="auto"/>
                <w:spacing w:val="-10"/>
                <w:sz w:val="18"/>
                <w:szCs w:val="18"/>
                <w:lang w:val="en-US" w:eastAsia="zh-CN"/>
              </w:rPr>
            </w:pPr>
            <w:r>
              <w:rPr>
                <w:rFonts w:hint="eastAsia" w:ascii="Times New Roman" w:hAnsi="Times New Roman" w:eastAsia="宋体" w:cs="Times New Roman"/>
                <w:color w:val="auto"/>
                <w:spacing w:val="-10"/>
                <w:sz w:val="18"/>
                <w:szCs w:val="18"/>
                <w:lang w:val="en-US" w:eastAsia="zh-CN"/>
              </w:rPr>
              <w:t>②应急物资：配备相应品种和数量的消防器材及泄漏应急处理设备。制定风险应急措施，一旦发生泄漏，及时采取措施</w:t>
            </w:r>
            <w:r>
              <w:rPr>
                <w:rFonts w:hint="eastAsia" w:ascii="Times New Roman" w:hAnsi="Times New Roman" w:eastAsia="宋体" w:cs="Times New Roman"/>
                <w:color w:val="auto"/>
                <w:spacing w:val="-10"/>
                <w:sz w:val="18"/>
                <w:szCs w:val="18"/>
              </w:rPr>
              <w:t>。</w:t>
            </w:r>
          </w:p>
          <w:p w14:paraId="56424298">
            <w:pPr>
              <w:adjustRightInd w:val="0"/>
              <w:snapToGrid w:val="0"/>
              <w:ind w:firstLine="320" w:firstLineChars="200"/>
              <w:jc w:val="left"/>
              <w:rPr>
                <w:rFonts w:hint="eastAsia" w:ascii="Times New Roman" w:hAnsi="Times New Roman" w:eastAsia="宋体" w:cs="Times New Roman"/>
                <w:color w:val="auto"/>
                <w:spacing w:val="-10"/>
                <w:sz w:val="18"/>
                <w:szCs w:val="18"/>
                <w:lang w:val="en-US" w:eastAsia="zh-CN"/>
              </w:rPr>
            </w:pPr>
            <w:r>
              <w:rPr>
                <w:rFonts w:hint="eastAsia" w:ascii="Times New Roman" w:hAnsi="Times New Roman" w:eastAsia="宋体" w:cs="Times New Roman"/>
                <w:color w:val="auto"/>
                <w:spacing w:val="-10"/>
                <w:sz w:val="18"/>
                <w:szCs w:val="18"/>
                <w:lang w:val="en-US" w:eastAsia="zh-CN"/>
              </w:rPr>
              <w:t>③大气环境风险防范措施：定期开展防火检查，疏散通道、安全出口和消防车通道是否畅通，防火间距是否被占用；安全疏散指示标志、火灾事故应急照明设置是否正确、醒目、完整。</w:t>
            </w:r>
          </w:p>
          <w:p w14:paraId="2B95AC99">
            <w:pPr>
              <w:adjustRightInd w:val="0"/>
              <w:snapToGrid w:val="0"/>
              <w:ind w:firstLine="320" w:firstLineChars="200"/>
              <w:jc w:val="left"/>
              <w:rPr>
                <w:rFonts w:hint="eastAsia" w:ascii="Times New Roman" w:hAnsi="Times New Roman" w:eastAsia="宋体" w:cs="Times New Roman"/>
                <w:color w:val="auto"/>
                <w:spacing w:val="-10"/>
                <w:sz w:val="18"/>
                <w:szCs w:val="18"/>
                <w:lang w:val="en-US" w:eastAsia="zh-CN"/>
              </w:rPr>
            </w:pPr>
            <w:r>
              <w:rPr>
                <w:rFonts w:hint="eastAsia" w:ascii="Times New Roman" w:hAnsi="Times New Roman" w:eastAsia="宋体" w:cs="Times New Roman"/>
                <w:color w:val="auto"/>
                <w:spacing w:val="-10"/>
                <w:sz w:val="18"/>
                <w:szCs w:val="18"/>
                <w:lang w:val="en-US" w:eastAsia="zh-CN"/>
              </w:rPr>
              <w:t>④地表水环境风险防范措施：危险废物暂存间及生产车间若发生油类物质泄漏事故时，泄漏物料进行收集，排入收集池，从而将污染控制在厂内，防止造成水环境污染。</w:t>
            </w:r>
          </w:p>
          <w:p w14:paraId="5D42DD7D">
            <w:pPr>
              <w:adjustRightInd w:val="0"/>
              <w:snapToGrid w:val="0"/>
              <w:ind w:firstLine="320" w:firstLineChars="200"/>
              <w:jc w:val="left"/>
              <w:rPr>
                <w:rFonts w:hint="eastAsia" w:ascii="Times New Roman" w:hAnsi="Times New Roman" w:eastAsia="宋体" w:cs="Times New Roman"/>
                <w:color w:val="auto"/>
                <w:spacing w:val="-10"/>
                <w:sz w:val="18"/>
                <w:szCs w:val="18"/>
              </w:rPr>
            </w:pPr>
            <w:r>
              <w:rPr>
                <w:rFonts w:hint="eastAsia" w:ascii="Times New Roman" w:hAnsi="Times New Roman" w:eastAsia="宋体" w:cs="Times New Roman"/>
                <w:color w:val="auto"/>
                <w:spacing w:val="-10"/>
                <w:sz w:val="18"/>
                <w:szCs w:val="18"/>
                <w:lang w:val="en-US" w:eastAsia="zh-CN"/>
              </w:rPr>
              <w:t>⑤地下水环境风险防范措施：</w:t>
            </w:r>
            <w:r>
              <w:rPr>
                <w:rFonts w:hint="eastAsia" w:ascii="Times New Roman" w:hAnsi="Times New Roman" w:eastAsia="宋体" w:cs="Times New Roman"/>
                <w:color w:val="auto"/>
                <w:spacing w:val="-10"/>
                <w:sz w:val="18"/>
                <w:szCs w:val="18"/>
              </w:rPr>
              <w:t>生产车间、危险废物暂存间</w:t>
            </w:r>
            <w:r>
              <w:rPr>
                <w:rFonts w:hint="eastAsia" w:ascii="Times New Roman" w:hAnsi="Times New Roman" w:eastAsia="宋体" w:cs="Times New Roman"/>
                <w:color w:val="auto"/>
                <w:spacing w:val="-10"/>
                <w:sz w:val="18"/>
                <w:szCs w:val="18"/>
                <w:lang w:eastAsia="zh-CN"/>
              </w:rPr>
              <w:t>、</w:t>
            </w:r>
            <w:r>
              <w:rPr>
                <w:rFonts w:hint="eastAsia" w:ascii="Times New Roman" w:hAnsi="Times New Roman" w:eastAsia="宋体" w:cs="Times New Roman"/>
                <w:color w:val="auto"/>
                <w:spacing w:val="-10"/>
                <w:sz w:val="18"/>
                <w:szCs w:val="18"/>
                <w:lang w:val="en-US" w:eastAsia="zh-CN"/>
              </w:rPr>
              <w:t>各池体</w:t>
            </w:r>
            <w:r>
              <w:rPr>
                <w:rFonts w:hint="eastAsia" w:ascii="Times New Roman" w:hAnsi="Times New Roman" w:eastAsia="宋体" w:cs="Times New Roman"/>
                <w:color w:val="auto"/>
                <w:spacing w:val="-10"/>
                <w:sz w:val="18"/>
                <w:szCs w:val="18"/>
              </w:rPr>
              <w:t>采取防渗</w:t>
            </w:r>
            <w:r>
              <w:rPr>
                <w:rFonts w:hint="eastAsia" w:ascii="Times New Roman" w:hAnsi="Times New Roman" w:eastAsia="宋体" w:cs="Times New Roman"/>
                <w:color w:val="auto"/>
                <w:spacing w:val="-10"/>
                <w:sz w:val="18"/>
                <w:szCs w:val="18"/>
                <w:lang w:val="en-US" w:eastAsia="zh-CN"/>
              </w:rPr>
              <w:t>措施</w:t>
            </w:r>
            <w:r>
              <w:rPr>
                <w:rFonts w:hint="eastAsia" w:ascii="Times New Roman" w:hAnsi="Times New Roman" w:eastAsia="宋体" w:cs="Times New Roman"/>
                <w:color w:val="auto"/>
                <w:spacing w:val="-10"/>
                <w:sz w:val="18"/>
                <w:szCs w:val="18"/>
              </w:rPr>
              <w:t>，防渗系数满足相关标准要求。同时，为防止球磨机渗油落地，球磨机底部设接油托盘。</w:t>
            </w:r>
          </w:p>
          <w:p w14:paraId="576883DC">
            <w:pPr>
              <w:adjustRightInd w:val="0"/>
              <w:snapToGrid w:val="0"/>
              <w:ind w:firstLine="320" w:firstLineChars="200"/>
              <w:jc w:val="left"/>
              <w:rPr>
                <w:rFonts w:hint="eastAsia" w:ascii="Times New Roman" w:hAnsi="Times New Roman" w:eastAsia="宋体" w:cs="Times New Roman"/>
                <w:color w:val="auto"/>
                <w:spacing w:val="-10"/>
                <w:sz w:val="18"/>
                <w:szCs w:val="18"/>
                <w:lang w:val="en-US" w:eastAsia="zh-CN"/>
              </w:rPr>
            </w:pPr>
            <w:r>
              <w:rPr>
                <w:rFonts w:hint="eastAsia" w:ascii="Times New Roman" w:hAnsi="Times New Roman" w:eastAsia="宋体" w:cs="Times New Roman"/>
                <w:color w:val="auto"/>
                <w:spacing w:val="-10"/>
                <w:sz w:val="18"/>
                <w:szCs w:val="18"/>
                <w:lang w:val="en-US" w:eastAsia="zh-CN"/>
              </w:rPr>
              <w:t>⑥人员疏散通道及安置厂址：结合气象条件及区域道路制定人员疏散通道，一旦发生重大风险事故，应立即停产，立即通知下风向各敏感点，有效组织人员疏散并进行安置，并迅速启动应急预案，通知环境监测部门进驻事故现场，在现场周围布点监测，掌握事故情况下空气环境恶化状况。</w:t>
            </w:r>
          </w:p>
          <w:p w14:paraId="5CDFD9F5">
            <w:pPr>
              <w:adjustRightInd w:val="0"/>
              <w:snapToGrid w:val="0"/>
              <w:ind w:firstLine="320" w:firstLineChars="200"/>
              <w:jc w:val="left"/>
              <w:rPr>
                <w:color w:val="auto"/>
              </w:rPr>
            </w:pPr>
            <w:r>
              <w:rPr>
                <w:rFonts w:hint="eastAsia" w:ascii="Times New Roman" w:hAnsi="Times New Roman" w:eastAsia="宋体" w:cs="Times New Roman"/>
                <w:color w:val="auto"/>
                <w:spacing w:val="-10"/>
                <w:sz w:val="18"/>
                <w:szCs w:val="18"/>
                <w:lang w:val="en-US" w:eastAsia="zh-CN"/>
              </w:rPr>
              <w:t>⑦应急预案：为保证企业及人民生命财产的安全，防止突发性危险物质重大事故发生，并在发生事故时，能迅速有序地开展救援工作，尽最大努力减少事故的危害和损失，滦州市祯璟再生资源有限公司应尽快完成应急预案修编工作。</w:t>
            </w:r>
          </w:p>
        </w:tc>
      </w:tr>
      <w:tr w14:paraId="5876957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02" w:hRule="atLeast"/>
          <w:jc w:val="center"/>
        </w:trPr>
        <w:tc>
          <w:tcPr>
            <w:tcW w:w="1266" w:type="dxa"/>
            <w:vAlign w:val="center"/>
          </w:tcPr>
          <w:p w14:paraId="3460ECCE">
            <w:pPr>
              <w:adjustRightInd w:val="0"/>
              <w:snapToGrid w:val="0"/>
              <w:jc w:val="center"/>
              <w:rPr>
                <w:color w:val="auto"/>
                <w:spacing w:val="-8"/>
                <w:szCs w:val="21"/>
              </w:rPr>
            </w:pPr>
            <w:r>
              <w:rPr>
                <w:color w:val="auto"/>
                <w:spacing w:val="-8"/>
                <w:szCs w:val="21"/>
              </w:rPr>
              <w:t>其他环境</w:t>
            </w:r>
          </w:p>
          <w:p w14:paraId="51A1B31D">
            <w:pPr>
              <w:adjustRightInd w:val="0"/>
              <w:snapToGrid w:val="0"/>
              <w:jc w:val="center"/>
              <w:rPr>
                <w:color w:val="auto"/>
                <w:spacing w:val="-8"/>
                <w:szCs w:val="21"/>
              </w:rPr>
            </w:pPr>
            <w:r>
              <w:rPr>
                <w:color w:val="auto"/>
                <w:spacing w:val="-8"/>
                <w:szCs w:val="21"/>
              </w:rPr>
              <w:t>管理要求</w:t>
            </w:r>
          </w:p>
        </w:tc>
        <w:tc>
          <w:tcPr>
            <w:tcW w:w="7534" w:type="dxa"/>
            <w:gridSpan w:val="6"/>
            <w:vAlign w:val="center"/>
          </w:tcPr>
          <w:p w14:paraId="213FCCB6">
            <w:pPr>
              <w:adjustRightInd w:val="0"/>
              <w:snapToGrid w:val="0"/>
              <w:ind w:firstLine="321" w:firstLineChars="200"/>
              <w:jc w:val="left"/>
              <w:rPr>
                <w:b/>
                <w:bCs/>
                <w:color w:val="auto"/>
                <w:spacing w:val="-10"/>
                <w:sz w:val="18"/>
                <w:szCs w:val="18"/>
              </w:rPr>
            </w:pPr>
            <w:r>
              <w:rPr>
                <w:rFonts w:hint="eastAsia"/>
                <w:b/>
                <w:bCs/>
                <w:color w:val="auto"/>
                <w:spacing w:val="-10"/>
                <w:sz w:val="18"/>
                <w:szCs w:val="18"/>
              </w:rPr>
              <w:t>1.环境管理要求</w:t>
            </w:r>
          </w:p>
          <w:p w14:paraId="0F8920D2">
            <w:pPr>
              <w:adjustRightInd w:val="0"/>
              <w:snapToGrid w:val="0"/>
              <w:ind w:firstLine="320" w:firstLineChars="200"/>
              <w:jc w:val="left"/>
              <w:rPr>
                <w:color w:val="auto"/>
                <w:spacing w:val="-10"/>
                <w:sz w:val="18"/>
                <w:szCs w:val="18"/>
              </w:rPr>
            </w:pPr>
            <w:r>
              <w:rPr>
                <w:rFonts w:hint="eastAsia"/>
                <w:color w:val="auto"/>
                <w:spacing w:val="-10"/>
                <w:sz w:val="18"/>
                <w:szCs w:val="18"/>
              </w:rPr>
              <w:t>（1）环境管理</w:t>
            </w:r>
          </w:p>
          <w:p w14:paraId="2AD19F29">
            <w:pPr>
              <w:adjustRightInd w:val="0"/>
              <w:snapToGrid w:val="0"/>
              <w:ind w:firstLine="320" w:firstLineChars="200"/>
              <w:jc w:val="left"/>
              <w:rPr>
                <w:color w:val="auto"/>
                <w:spacing w:val="-10"/>
                <w:sz w:val="18"/>
                <w:szCs w:val="18"/>
              </w:rPr>
            </w:pPr>
            <w:r>
              <w:rPr>
                <w:rFonts w:hint="eastAsia"/>
                <w:color w:val="auto"/>
                <w:spacing w:val="-10"/>
                <w:sz w:val="18"/>
                <w:szCs w:val="18"/>
              </w:rPr>
              <w:t>根据有关环境管理和环境监测的规定，厂区设立环保管理机构，配备环保管理专业人员1名，负责全场的环境管理、污染源治理及监测管理工作。环保人员的主要职责是：</w:t>
            </w:r>
          </w:p>
          <w:p w14:paraId="52936405">
            <w:pPr>
              <w:adjustRightInd w:val="0"/>
              <w:snapToGrid w:val="0"/>
              <w:ind w:firstLine="320" w:firstLineChars="200"/>
              <w:jc w:val="left"/>
              <w:rPr>
                <w:color w:val="auto"/>
                <w:spacing w:val="-10"/>
                <w:sz w:val="18"/>
                <w:szCs w:val="18"/>
              </w:rPr>
            </w:pPr>
            <w:r>
              <w:rPr>
                <w:rFonts w:hint="eastAsia"/>
                <w:color w:val="auto"/>
                <w:spacing w:val="-10"/>
                <w:sz w:val="18"/>
                <w:szCs w:val="18"/>
              </w:rPr>
              <w:t>①贯彻执行环境保护法规和标准。</w:t>
            </w:r>
          </w:p>
          <w:p w14:paraId="327130DD">
            <w:pPr>
              <w:adjustRightInd w:val="0"/>
              <w:snapToGrid w:val="0"/>
              <w:ind w:firstLine="320" w:firstLineChars="200"/>
              <w:jc w:val="left"/>
              <w:rPr>
                <w:color w:val="auto"/>
                <w:spacing w:val="-10"/>
                <w:sz w:val="18"/>
                <w:szCs w:val="18"/>
              </w:rPr>
            </w:pPr>
            <w:r>
              <w:rPr>
                <w:rFonts w:hint="eastAsia"/>
                <w:color w:val="auto"/>
                <w:spacing w:val="-10"/>
                <w:sz w:val="18"/>
                <w:szCs w:val="18"/>
              </w:rPr>
              <w:t>②组织制定和修改企业的环境保护管理规章制度并负责监督执行。</w:t>
            </w:r>
          </w:p>
          <w:p w14:paraId="3257CB68">
            <w:pPr>
              <w:adjustRightInd w:val="0"/>
              <w:snapToGrid w:val="0"/>
              <w:ind w:firstLine="320" w:firstLineChars="200"/>
              <w:jc w:val="left"/>
              <w:rPr>
                <w:color w:val="auto"/>
                <w:spacing w:val="-10"/>
                <w:sz w:val="18"/>
                <w:szCs w:val="18"/>
              </w:rPr>
            </w:pPr>
            <w:r>
              <w:rPr>
                <w:rFonts w:hint="eastAsia"/>
                <w:color w:val="auto"/>
                <w:spacing w:val="-10"/>
                <w:sz w:val="18"/>
                <w:szCs w:val="18"/>
              </w:rPr>
              <w:t>③制定并组织实施企业环境保护规划和计划。</w:t>
            </w:r>
          </w:p>
          <w:p w14:paraId="223B8F4D">
            <w:pPr>
              <w:adjustRightInd w:val="0"/>
              <w:snapToGrid w:val="0"/>
              <w:ind w:firstLine="320" w:firstLineChars="200"/>
              <w:jc w:val="left"/>
              <w:rPr>
                <w:color w:val="auto"/>
                <w:spacing w:val="-10"/>
                <w:sz w:val="18"/>
                <w:szCs w:val="18"/>
              </w:rPr>
            </w:pPr>
            <w:r>
              <w:rPr>
                <w:rFonts w:hint="eastAsia"/>
                <w:color w:val="auto"/>
                <w:spacing w:val="-10"/>
                <w:sz w:val="18"/>
                <w:szCs w:val="18"/>
              </w:rPr>
              <w:t>④开展企业日常的环境监测工作、负责整理和统计企业污染源资料、日常监测 资料，并及时上报地方环保部门。</w:t>
            </w:r>
          </w:p>
          <w:p w14:paraId="7C29FA2B">
            <w:pPr>
              <w:adjustRightInd w:val="0"/>
              <w:snapToGrid w:val="0"/>
              <w:ind w:firstLine="320" w:firstLineChars="200"/>
              <w:jc w:val="left"/>
              <w:rPr>
                <w:color w:val="auto"/>
                <w:spacing w:val="-10"/>
                <w:sz w:val="18"/>
                <w:szCs w:val="18"/>
              </w:rPr>
            </w:pPr>
            <w:r>
              <w:rPr>
                <w:rFonts w:hint="eastAsia"/>
                <w:color w:val="auto"/>
                <w:spacing w:val="-10"/>
                <w:sz w:val="18"/>
                <w:szCs w:val="18"/>
              </w:rPr>
              <w:t>⑤检查企业环境保护设施的运行情况。</w:t>
            </w:r>
          </w:p>
          <w:p w14:paraId="02320EAA">
            <w:pPr>
              <w:adjustRightInd w:val="0"/>
              <w:snapToGrid w:val="0"/>
              <w:ind w:firstLine="320" w:firstLineChars="200"/>
              <w:jc w:val="left"/>
              <w:rPr>
                <w:color w:val="auto"/>
                <w:spacing w:val="-10"/>
                <w:sz w:val="18"/>
                <w:szCs w:val="18"/>
              </w:rPr>
            </w:pPr>
            <w:r>
              <w:rPr>
                <w:rFonts w:hint="eastAsia"/>
                <w:color w:val="auto"/>
                <w:spacing w:val="-10"/>
                <w:sz w:val="18"/>
                <w:szCs w:val="18"/>
              </w:rPr>
              <w:t>⑥落实企业污染物排放许可。加强对污染治理设施、治理效果以及治理后的污 染物排放状况的监测检查。</w:t>
            </w:r>
          </w:p>
          <w:p w14:paraId="34102D33">
            <w:pPr>
              <w:adjustRightInd w:val="0"/>
              <w:snapToGrid w:val="0"/>
              <w:ind w:firstLine="320" w:firstLineChars="200"/>
              <w:jc w:val="left"/>
              <w:rPr>
                <w:color w:val="auto"/>
                <w:spacing w:val="-10"/>
                <w:sz w:val="18"/>
                <w:szCs w:val="18"/>
              </w:rPr>
            </w:pPr>
            <w:r>
              <w:rPr>
                <w:rFonts w:hint="eastAsia"/>
                <w:color w:val="auto"/>
                <w:spacing w:val="-10"/>
                <w:sz w:val="18"/>
                <w:szCs w:val="18"/>
              </w:rPr>
              <w:t>⑦组织开展企业的环保宣传工作及环保专业技术培训，用以提高全体员工环境保护意识及素质水平。</w:t>
            </w:r>
          </w:p>
          <w:p w14:paraId="72043499">
            <w:pPr>
              <w:adjustRightInd w:val="0"/>
              <w:snapToGrid w:val="0"/>
              <w:ind w:firstLine="320" w:firstLineChars="200"/>
              <w:jc w:val="left"/>
              <w:rPr>
                <w:color w:val="auto"/>
                <w:spacing w:val="-10"/>
                <w:sz w:val="18"/>
                <w:szCs w:val="18"/>
              </w:rPr>
            </w:pPr>
            <w:r>
              <w:rPr>
                <w:rFonts w:hint="eastAsia"/>
                <w:color w:val="auto"/>
                <w:spacing w:val="-10"/>
                <w:sz w:val="18"/>
                <w:szCs w:val="18"/>
              </w:rPr>
              <w:t>（2）营运期环境</w:t>
            </w:r>
          </w:p>
          <w:p w14:paraId="4B030A5F">
            <w:pPr>
              <w:adjustRightInd w:val="0"/>
              <w:snapToGrid w:val="0"/>
              <w:ind w:firstLine="320" w:firstLineChars="200"/>
              <w:jc w:val="left"/>
              <w:rPr>
                <w:color w:val="auto"/>
                <w:spacing w:val="-10"/>
                <w:sz w:val="18"/>
                <w:szCs w:val="18"/>
              </w:rPr>
            </w:pPr>
            <w:r>
              <w:rPr>
                <w:rFonts w:hint="eastAsia"/>
                <w:color w:val="auto"/>
                <w:spacing w:val="-10"/>
                <w:sz w:val="18"/>
                <w:szCs w:val="18"/>
              </w:rPr>
              <w:t>项目建成后，将对周围环境产生一定的影响，因此建设单位应在加强环境管理的同时，定期进行环境监测，以便及时了解拟建项目对环境造成影响的情况，并采取相应措施，消除不利因素，减轻环境污染，使各项环保措施落到实处，以期达到预定的目标。</w:t>
            </w:r>
          </w:p>
          <w:p w14:paraId="4398AB7C">
            <w:pPr>
              <w:adjustRightInd w:val="0"/>
              <w:snapToGrid w:val="0"/>
              <w:ind w:firstLine="320" w:firstLineChars="200"/>
              <w:jc w:val="left"/>
              <w:rPr>
                <w:color w:val="auto"/>
                <w:spacing w:val="-10"/>
                <w:sz w:val="18"/>
                <w:szCs w:val="18"/>
              </w:rPr>
            </w:pPr>
            <w:r>
              <w:rPr>
                <w:rFonts w:hint="eastAsia"/>
                <w:color w:val="auto"/>
                <w:spacing w:val="-10"/>
                <w:sz w:val="18"/>
                <w:szCs w:val="18"/>
              </w:rPr>
              <w:t>（3）环境管理制度</w:t>
            </w:r>
          </w:p>
          <w:p w14:paraId="4B2DBF56">
            <w:pPr>
              <w:adjustRightInd w:val="0"/>
              <w:snapToGrid w:val="0"/>
              <w:ind w:firstLine="320" w:firstLineChars="200"/>
              <w:jc w:val="left"/>
              <w:rPr>
                <w:color w:val="auto"/>
                <w:spacing w:val="-10"/>
                <w:sz w:val="18"/>
                <w:szCs w:val="18"/>
              </w:rPr>
            </w:pPr>
            <w:r>
              <w:rPr>
                <w:rFonts w:hint="eastAsia"/>
                <w:color w:val="auto"/>
                <w:spacing w:val="-10"/>
                <w:sz w:val="18"/>
                <w:szCs w:val="18"/>
              </w:rPr>
              <w:t>企业应建立健全环境管理制度体系，将环保工作纳入考核体系，确保在日常运行中将环保目标落实到实处。</w:t>
            </w:r>
          </w:p>
          <w:p w14:paraId="03BF346A">
            <w:pPr>
              <w:adjustRightInd w:val="0"/>
              <w:snapToGrid w:val="0"/>
              <w:ind w:firstLine="321" w:firstLineChars="200"/>
              <w:jc w:val="left"/>
              <w:rPr>
                <w:rFonts w:hint="default" w:ascii="Times New Roman" w:hAnsi="Times New Roman" w:cs="Times New Roman"/>
                <w:b/>
                <w:bCs/>
                <w:color w:val="auto"/>
                <w:spacing w:val="-10"/>
                <w:sz w:val="18"/>
                <w:szCs w:val="18"/>
              </w:rPr>
            </w:pPr>
            <w:r>
              <w:rPr>
                <w:rFonts w:hint="default" w:ascii="Times New Roman" w:hAnsi="Times New Roman" w:cs="Times New Roman"/>
                <w:b/>
                <w:bCs/>
                <w:color w:val="auto"/>
                <w:spacing w:val="-10"/>
                <w:sz w:val="18"/>
                <w:szCs w:val="18"/>
              </w:rPr>
              <w:t>2.环保台账制度</w:t>
            </w:r>
          </w:p>
          <w:p w14:paraId="18895EA0">
            <w:pPr>
              <w:adjustRightInd w:val="0"/>
              <w:snapToGrid w:val="0"/>
              <w:ind w:firstLine="320" w:firstLineChars="200"/>
              <w:jc w:val="left"/>
              <w:rPr>
                <w:rFonts w:hint="default" w:ascii="Times New Roman" w:hAnsi="Times New Roman" w:eastAsia="宋体" w:cs="Times New Roman"/>
                <w:color w:val="auto"/>
                <w:spacing w:val="-10"/>
                <w:sz w:val="18"/>
                <w:szCs w:val="18"/>
                <w:highlight w:val="none"/>
              </w:rPr>
            </w:pPr>
            <w:r>
              <w:rPr>
                <w:rFonts w:hint="default" w:ascii="Times New Roman" w:hAnsi="Times New Roman" w:eastAsia="宋体" w:cs="Times New Roman"/>
                <w:color w:val="auto"/>
                <w:spacing w:val="-10"/>
                <w:sz w:val="18"/>
                <w:szCs w:val="18"/>
                <w:highlight w:val="none"/>
              </w:rPr>
              <w:t>环境管理台账编制按照《排污单位环境管理台账及排污许可证执行报告技术规范 总则</w:t>
            </w:r>
            <w:r>
              <w:rPr>
                <w:rFonts w:hint="default" w:ascii="Times New Roman" w:hAnsi="Times New Roman" w:cs="Times New Roman"/>
                <w:color w:val="auto"/>
                <w:spacing w:val="-10"/>
                <w:sz w:val="18"/>
                <w:szCs w:val="18"/>
                <w:highlight w:val="none"/>
                <w:lang w:eastAsia="zh-CN"/>
              </w:rPr>
              <w:t>（</w:t>
            </w:r>
            <w:r>
              <w:rPr>
                <w:rFonts w:hint="default" w:ascii="Times New Roman" w:hAnsi="Times New Roman" w:eastAsia="宋体" w:cs="Times New Roman"/>
                <w:color w:val="auto"/>
                <w:spacing w:val="-10"/>
                <w:sz w:val="18"/>
                <w:szCs w:val="18"/>
                <w:highlight w:val="none"/>
              </w:rPr>
              <w:t>试行</w:t>
            </w:r>
            <w:r>
              <w:rPr>
                <w:rFonts w:hint="default" w:ascii="Times New Roman" w:hAnsi="Times New Roman" w:cs="Times New Roman"/>
                <w:color w:val="auto"/>
                <w:spacing w:val="-10"/>
                <w:sz w:val="18"/>
                <w:szCs w:val="18"/>
                <w:highlight w:val="none"/>
                <w:lang w:eastAsia="zh-CN"/>
              </w:rPr>
              <w:t>）</w:t>
            </w:r>
            <w:r>
              <w:rPr>
                <w:rFonts w:hint="default" w:ascii="Times New Roman" w:hAnsi="Times New Roman" w:eastAsia="宋体" w:cs="Times New Roman"/>
                <w:color w:val="auto"/>
                <w:spacing w:val="-10"/>
                <w:sz w:val="18"/>
                <w:szCs w:val="18"/>
                <w:highlight w:val="none"/>
              </w:rPr>
              <w:t>》执行。</w:t>
            </w:r>
          </w:p>
          <w:p w14:paraId="2E2612D6">
            <w:pPr>
              <w:adjustRightInd w:val="0"/>
              <w:snapToGrid w:val="0"/>
              <w:ind w:firstLine="320" w:firstLineChars="200"/>
              <w:jc w:val="left"/>
              <w:rPr>
                <w:rFonts w:hint="default" w:ascii="Times New Roman" w:hAnsi="Times New Roman" w:eastAsia="宋体" w:cs="Times New Roman"/>
                <w:color w:val="auto"/>
                <w:spacing w:val="-10"/>
                <w:sz w:val="18"/>
                <w:szCs w:val="18"/>
                <w:highlight w:val="none"/>
              </w:rPr>
            </w:pPr>
            <w:r>
              <w:rPr>
                <w:rFonts w:hint="default" w:ascii="Times New Roman" w:hAnsi="Times New Roman" w:cs="Times New Roman"/>
                <w:color w:val="auto"/>
                <w:spacing w:val="-10"/>
                <w:sz w:val="18"/>
                <w:szCs w:val="18"/>
              </w:rPr>
              <w:t>（</w:t>
            </w:r>
            <w:r>
              <w:rPr>
                <w:rFonts w:hint="default" w:ascii="Times New Roman" w:hAnsi="Times New Roman" w:cs="Times New Roman"/>
                <w:color w:val="auto"/>
                <w:spacing w:val="-10"/>
                <w:sz w:val="18"/>
                <w:szCs w:val="18"/>
                <w:lang w:val="en-US" w:eastAsia="zh-CN"/>
              </w:rPr>
              <w:t>1</w:t>
            </w:r>
            <w:r>
              <w:rPr>
                <w:rFonts w:hint="default" w:ascii="Times New Roman" w:hAnsi="Times New Roman" w:cs="Times New Roman"/>
                <w:color w:val="auto"/>
                <w:spacing w:val="-10"/>
                <w:sz w:val="18"/>
                <w:szCs w:val="18"/>
              </w:rPr>
              <w:t>）</w:t>
            </w:r>
            <w:r>
              <w:rPr>
                <w:rFonts w:hint="default" w:ascii="Times New Roman" w:hAnsi="Times New Roman" w:eastAsia="宋体" w:cs="Times New Roman"/>
                <w:color w:val="auto"/>
                <w:spacing w:val="-10"/>
                <w:sz w:val="18"/>
                <w:szCs w:val="18"/>
                <w:highlight w:val="none"/>
              </w:rPr>
              <w:t>一般原则</w:t>
            </w:r>
          </w:p>
          <w:p w14:paraId="6C308B6E">
            <w:pPr>
              <w:adjustRightInd w:val="0"/>
              <w:snapToGrid w:val="0"/>
              <w:ind w:firstLine="320" w:firstLineChars="200"/>
              <w:jc w:val="left"/>
              <w:rPr>
                <w:rFonts w:hint="default" w:ascii="Times New Roman" w:hAnsi="Times New Roman" w:eastAsia="宋体" w:cs="Times New Roman"/>
                <w:color w:val="auto"/>
                <w:spacing w:val="-10"/>
                <w:sz w:val="18"/>
                <w:szCs w:val="18"/>
                <w:highlight w:val="none"/>
              </w:rPr>
            </w:pPr>
            <w:r>
              <w:rPr>
                <w:rFonts w:hint="default" w:ascii="Times New Roman" w:hAnsi="Times New Roman" w:eastAsia="宋体" w:cs="Times New Roman"/>
                <w:color w:val="auto"/>
                <w:spacing w:val="-10"/>
                <w:sz w:val="18"/>
                <w:szCs w:val="18"/>
                <w:highlight w:val="none"/>
              </w:rPr>
              <w:t>排污单位应建立环境管理台账记录制度，落实环境管理台账记录责任单位和责任人，明确工作职责，并对环境管理台账的真实性、完整性和规范性负责。一般按日或按批次进行记录，异常情况应按次记录。</w:t>
            </w:r>
          </w:p>
          <w:p w14:paraId="2FBC1615">
            <w:pPr>
              <w:adjustRightInd w:val="0"/>
              <w:snapToGrid w:val="0"/>
              <w:ind w:firstLine="320" w:firstLineChars="200"/>
              <w:jc w:val="left"/>
              <w:rPr>
                <w:rFonts w:hint="default" w:ascii="Times New Roman" w:hAnsi="Times New Roman" w:eastAsia="宋体" w:cs="Times New Roman"/>
                <w:color w:val="auto"/>
                <w:spacing w:val="-10"/>
                <w:sz w:val="18"/>
                <w:szCs w:val="18"/>
                <w:highlight w:val="none"/>
              </w:rPr>
            </w:pPr>
            <w:r>
              <w:rPr>
                <w:rFonts w:hint="default" w:ascii="Times New Roman" w:hAnsi="Times New Roman" w:cs="Times New Roman"/>
                <w:color w:val="auto"/>
                <w:spacing w:val="-10"/>
                <w:sz w:val="18"/>
                <w:szCs w:val="18"/>
              </w:rPr>
              <w:t>（2）</w:t>
            </w:r>
            <w:r>
              <w:rPr>
                <w:rFonts w:hint="default" w:ascii="Times New Roman" w:hAnsi="Times New Roman" w:eastAsia="宋体" w:cs="Times New Roman"/>
                <w:color w:val="auto"/>
                <w:spacing w:val="-10"/>
                <w:sz w:val="18"/>
                <w:szCs w:val="18"/>
                <w:highlight w:val="none"/>
              </w:rPr>
              <w:t>记录形式</w:t>
            </w:r>
          </w:p>
          <w:p w14:paraId="33786FB6">
            <w:pPr>
              <w:adjustRightInd w:val="0"/>
              <w:snapToGrid w:val="0"/>
              <w:ind w:firstLine="320" w:firstLineChars="200"/>
              <w:jc w:val="left"/>
              <w:rPr>
                <w:rFonts w:hint="default" w:ascii="Times New Roman" w:hAnsi="Times New Roman" w:eastAsia="宋体" w:cs="Times New Roman"/>
                <w:color w:val="auto"/>
                <w:spacing w:val="-10"/>
                <w:sz w:val="18"/>
                <w:szCs w:val="18"/>
                <w:highlight w:val="none"/>
              </w:rPr>
            </w:pPr>
            <w:r>
              <w:rPr>
                <w:rFonts w:hint="default" w:ascii="Times New Roman" w:hAnsi="Times New Roman" w:eastAsia="宋体" w:cs="Times New Roman"/>
                <w:color w:val="auto"/>
                <w:spacing w:val="-10"/>
                <w:sz w:val="18"/>
                <w:szCs w:val="18"/>
                <w:highlight w:val="none"/>
              </w:rPr>
              <w:t>分电子台账和纸质台账两种形式。</w:t>
            </w:r>
          </w:p>
          <w:p w14:paraId="7653B64F">
            <w:pPr>
              <w:adjustRightInd w:val="0"/>
              <w:snapToGrid w:val="0"/>
              <w:ind w:firstLine="320" w:firstLineChars="200"/>
              <w:jc w:val="left"/>
              <w:rPr>
                <w:rFonts w:hint="default" w:ascii="Times New Roman" w:hAnsi="Times New Roman" w:eastAsia="宋体" w:cs="Times New Roman"/>
                <w:color w:val="auto"/>
                <w:spacing w:val="-10"/>
                <w:sz w:val="18"/>
                <w:szCs w:val="18"/>
                <w:highlight w:val="none"/>
              </w:rPr>
            </w:pPr>
            <w:r>
              <w:rPr>
                <w:rFonts w:hint="default" w:ascii="Times New Roman" w:hAnsi="Times New Roman" w:cs="Times New Roman"/>
                <w:color w:val="auto"/>
                <w:spacing w:val="-10"/>
                <w:sz w:val="18"/>
                <w:szCs w:val="18"/>
              </w:rPr>
              <w:t>（</w:t>
            </w:r>
            <w:r>
              <w:rPr>
                <w:rFonts w:hint="default" w:ascii="Times New Roman" w:hAnsi="Times New Roman" w:cs="Times New Roman"/>
                <w:color w:val="auto"/>
                <w:spacing w:val="-10"/>
                <w:sz w:val="18"/>
                <w:szCs w:val="18"/>
                <w:lang w:val="en-US" w:eastAsia="zh-CN"/>
              </w:rPr>
              <w:t>3</w:t>
            </w:r>
            <w:r>
              <w:rPr>
                <w:rFonts w:hint="default" w:ascii="Times New Roman" w:hAnsi="Times New Roman" w:cs="Times New Roman"/>
                <w:color w:val="auto"/>
                <w:spacing w:val="-10"/>
                <w:sz w:val="18"/>
                <w:szCs w:val="18"/>
              </w:rPr>
              <w:t>）</w:t>
            </w:r>
            <w:r>
              <w:rPr>
                <w:rFonts w:hint="default" w:ascii="Times New Roman" w:hAnsi="Times New Roman" w:eastAsia="宋体" w:cs="Times New Roman"/>
                <w:color w:val="auto"/>
                <w:spacing w:val="-10"/>
                <w:sz w:val="18"/>
                <w:szCs w:val="18"/>
                <w:highlight w:val="none"/>
              </w:rPr>
              <w:t>记录内容</w:t>
            </w:r>
          </w:p>
          <w:p w14:paraId="737DE288">
            <w:pPr>
              <w:adjustRightInd w:val="0"/>
              <w:snapToGrid w:val="0"/>
              <w:ind w:firstLine="320" w:firstLineChars="200"/>
              <w:jc w:val="left"/>
              <w:rPr>
                <w:rFonts w:hint="default" w:ascii="Times New Roman" w:hAnsi="Times New Roman" w:eastAsia="宋体" w:cs="Times New Roman"/>
                <w:color w:val="auto"/>
                <w:spacing w:val="-10"/>
                <w:sz w:val="18"/>
                <w:szCs w:val="18"/>
                <w:highlight w:val="none"/>
              </w:rPr>
            </w:pPr>
            <w:r>
              <w:rPr>
                <w:rFonts w:hint="default" w:ascii="Times New Roman" w:hAnsi="Times New Roman" w:eastAsia="宋体" w:cs="Times New Roman"/>
                <w:color w:val="auto"/>
                <w:spacing w:val="-10"/>
                <w:sz w:val="18"/>
                <w:szCs w:val="18"/>
                <w:highlight w:val="none"/>
              </w:rPr>
              <w:t>包括基本信息、生产设施运行管理信息、污染治理设施运行管理信息、监测记录信息及其他环境管理信息等，具体参照HJ944-2018中的附录A。</w:t>
            </w:r>
          </w:p>
          <w:p w14:paraId="480DC26B">
            <w:pPr>
              <w:adjustRightInd w:val="0"/>
              <w:snapToGrid w:val="0"/>
              <w:ind w:firstLine="320" w:firstLineChars="200"/>
              <w:jc w:val="left"/>
              <w:rPr>
                <w:rFonts w:hint="default" w:ascii="Times New Roman" w:hAnsi="Times New Roman" w:eastAsia="宋体" w:cs="Times New Roman"/>
                <w:color w:val="auto"/>
                <w:spacing w:val="-10"/>
                <w:sz w:val="18"/>
                <w:szCs w:val="18"/>
                <w:highlight w:val="none"/>
              </w:rPr>
            </w:pPr>
            <w:r>
              <w:rPr>
                <w:rFonts w:hint="default" w:ascii="Times New Roman" w:hAnsi="Times New Roman" w:cs="Times New Roman"/>
                <w:color w:val="auto"/>
                <w:spacing w:val="-10"/>
                <w:sz w:val="18"/>
                <w:szCs w:val="18"/>
              </w:rPr>
              <w:t>（</w:t>
            </w:r>
            <w:r>
              <w:rPr>
                <w:rFonts w:hint="default" w:ascii="Times New Roman" w:hAnsi="Times New Roman" w:cs="Times New Roman"/>
                <w:color w:val="auto"/>
                <w:spacing w:val="-10"/>
                <w:sz w:val="18"/>
                <w:szCs w:val="18"/>
                <w:lang w:val="en-US" w:eastAsia="zh-CN"/>
              </w:rPr>
              <w:t>4</w:t>
            </w:r>
            <w:r>
              <w:rPr>
                <w:rFonts w:hint="default" w:ascii="Times New Roman" w:hAnsi="Times New Roman" w:cs="Times New Roman"/>
                <w:color w:val="auto"/>
                <w:spacing w:val="-10"/>
                <w:sz w:val="18"/>
                <w:szCs w:val="18"/>
              </w:rPr>
              <w:t>）</w:t>
            </w:r>
            <w:r>
              <w:rPr>
                <w:rFonts w:hint="default" w:ascii="Times New Roman" w:hAnsi="Times New Roman" w:eastAsia="宋体" w:cs="Times New Roman"/>
                <w:color w:val="auto"/>
                <w:spacing w:val="-10"/>
                <w:sz w:val="18"/>
                <w:szCs w:val="18"/>
                <w:highlight w:val="none"/>
              </w:rPr>
              <w:t>记录频次</w:t>
            </w:r>
          </w:p>
          <w:p w14:paraId="751E4834">
            <w:pPr>
              <w:adjustRightInd w:val="0"/>
              <w:snapToGrid w:val="0"/>
              <w:ind w:firstLine="320" w:firstLineChars="200"/>
              <w:jc w:val="left"/>
              <w:rPr>
                <w:rFonts w:hint="default" w:ascii="Times New Roman" w:hAnsi="Times New Roman" w:eastAsia="宋体" w:cs="Times New Roman"/>
                <w:color w:val="auto"/>
                <w:spacing w:val="-10"/>
                <w:sz w:val="18"/>
                <w:szCs w:val="18"/>
                <w:highlight w:val="none"/>
              </w:rPr>
            </w:pPr>
            <w:r>
              <w:rPr>
                <w:rFonts w:hint="default" w:ascii="Times New Roman" w:hAnsi="Times New Roman" w:eastAsia="宋体" w:cs="Times New Roman"/>
                <w:color w:val="auto"/>
                <w:spacing w:val="-10"/>
                <w:sz w:val="18"/>
                <w:szCs w:val="18"/>
                <w:highlight w:val="none"/>
              </w:rPr>
              <w:t>①基本信息：对于未发生变化的基本信息，按年记录，1年/次；对于发生变化的基本信息，在发生变化时记录1次。</w:t>
            </w:r>
          </w:p>
          <w:p w14:paraId="27B7463A">
            <w:pPr>
              <w:adjustRightInd w:val="0"/>
              <w:snapToGrid w:val="0"/>
              <w:ind w:firstLine="320" w:firstLineChars="200"/>
              <w:jc w:val="left"/>
              <w:rPr>
                <w:rFonts w:hint="default" w:ascii="Times New Roman" w:hAnsi="Times New Roman" w:eastAsia="宋体" w:cs="Times New Roman"/>
                <w:color w:val="auto"/>
                <w:spacing w:val="-10"/>
                <w:sz w:val="18"/>
                <w:szCs w:val="18"/>
                <w:highlight w:val="none"/>
              </w:rPr>
            </w:pPr>
            <w:r>
              <w:rPr>
                <w:rFonts w:hint="default" w:ascii="Times New Roman" w:hAnsi="Times New Roman" w:eastAsia="宋体" w:cs="Times New Roman"/>
                <w:color w:val="auto"/>
                <w:spacing w:val="-10"/>
                <w:sz w:val="18"/>
                <w:szCs w:val="18"/>
                <w:highlight w:val="none"/>
              </w:rPr>
              <w:t>②生产设施运行管理信息：正常工况：运行状态：一般按日或批次记录，1次/日或批次；生产负荷：一般按日或批次记录，1次/日或批次；产品产量：连续生产的，按日记录，1次/日；原辅料：按照采购批次记录，1次/批次。</w:t>
            </w:r>
          </w:p>
          <w:p w14:paraId="4B9EF4B0">
            <w:pPr>
              <w:adjustRightInd w:val="0"/>
              <w:snapToGrid w:val="0"/>
              <w:ind w:firstLine="320" w:firstLineChars="200"/>
              <w:jc w:val="left"/>
              <w:rPr>
                <w:rFonts w:hint="default" w:ascii="Times New Roman" w:hAnsi="Times New Roman" w:eastAsia="宋体" w:cs="Times New Roman"/>
                <w:color w:val="auto"/>
                <w:spacing w:val="-10"/>
                <w:sz w:val="18"/>
                <w:szCs w:val="18"/>
                <w:highlight w:val="none"/>
              </w:rPr>
            </w:pPr>
            <w:r>
              <w:rPr>
                <w:rFonts w:hint="default" w:ascii="Times New Roman" w:hAnsi="Times New Roman" w:eastAsia="宋体" w:cs="Times New Roman"/>
                <w:color w:val="auto"/>
                <w:spacing w:val="-10"/>
                <w:sz w:val="18"/>
                <w:szCs w:val="18"/>
                <w:highlight w:val="none"/>
              </w:rPr>
              <w:t>非正常工况：按照工况期记录，1次/工况期。</w:t>
            </w:r>
          </w:p>
          <w:p w14:paraId="73F0B482">
            <w:pPr>
              <w:adjustRightInd w:val="0"/>
              <w:snapToGrid w:val="0"/>
              <w:ind w:firstLine="320" w:firstLineChars="200"/>
              <w:jc w:val="left"/>
              <w:rPr>
                <w:rFonts w:hint="default" w:ascii="Times New Roman" w:hAnsi="Times New Roman" w:eastAsia="宋体" w:cs="Times New Roman"/>
                <w:color w:val="auto"/>
                <w:spacing w:val="-10"/>
                <w:sz w:val="18"/>
                <w:szCs w:val="18"/>
                <w:highlight w:val="none"/>
              </w:rPr>
            </w:pPr>
            <w:r>
              <w:rPr>
                <w:rFonts w:hint="default" w:ascii="Times New Roman" w:hAnsi="Times New Roman" w:eastAsia="宋体" w:cs="Times New Roman"/>
                <w:color w:val="auto"/>
                <w:spacing w:val="-10"/>
                <w:sz w:val="18"/>
                <w:szCs w:val="18"/>
                <w:highlight w:val="none"/>
              </w:rPr>
              <w:t>③污染治理设施运行管理信息：正常情况：运行情况：按日记录，1次/日；主要药剂添加情况：按日或批次记录，1日/次或批次。异常情况：按照异常情况记录，1次/异常情况期。</w:t>
            </w:r>
          </w:p>
          <w:p w14:paraId="75087D7F">
            <w:pPr>
              <w:adjustRightInd w:val="0"/>
              <w:snapToGrid w:val="0"/>
              <w:ind w:firstLine="320" w:firstLineChars="200"/>
              <w:jc w:val="left"/>
              <w:rPr>
                <w:rFonts w:hint="default" w:ascii="Times New Roman" w:hAnsi="Times New Roman" w:eastAsia="宋体" w:cs="Times New Roman"/>
                <w:color w:val="auto"/>
                <w:spacing w:val="-10"/>
                <w:sz w:val="18"/>
                <w:szCs w:val="18"/>
                <w:highlight w:val="none"/>
              </w:rPr>
            </w:pPr>
            <w:r>
              <w:rPr>
                <w:rFonts w:hint="default" w:ascii="Times New Roman" w:hAnsi="Times New Roman" w:eastAsia="宋体" w:cs="Times New Roman"/>
                <w:color w:val="auto"/>
                <w:spacing w:val="-10"/>
                <w:sz w:val="18"/>
                <w:szCs w:val="18"/>
                <w:highlight w:val="none"/>
              </w:rPr>
              <w:t>(5)记录存储及保存</w:t>
            </w:r>
          </w:p>
          <w:p w14:paraId="7A534F64">
            <w:pPr>
              <w:adjustRightInd w:val="0"/>
              <w:snapToGrid w:val="0"/>
              <w:ind w:firstLine="320" w:firstLineChars="200"/>
              <w:jc w:val="left"/>
              <w:rPr>
                <w:rFonts w:hint="default" w:ascii="Times New Roman" w:hAnsi="Times New Roman" w:eastAsia="宋体" w:cs="Times New Roman"/>
                <w:color w:val="auto"/>
                <w:spacing w:val="-10"/>
                <w:sz w:val="18"/>
                <w:szCs w:val="18"/>
                <w:highlight w:val="none"/>
              </w:rPr>
            </w:pPr>
            <w:r>
              <w:rPr>
                <w:rFonts w:hint="default" w:ascii="Times New Roman" w:hAnsi="Times New Roman" w:eastAsia="宋体" w:cs="Times New Roman"/>
                <w:color w:val="auto"/>
                <w:spacing w:val="-10"/>
                <w:sz w:val="18"/>
                <w:szCs w:val="18"/>
                <w:highlight w:val="none"/>
              </w:rPr>
              <w:t>①纸质存储：应将纸质台账应存放于保护袋、卷夹或保护盒等保存介质中，由专人签字、定点保存；应采取防光、防热、防潮、防细菌及防污染等措施；如有破损应及时修补，并留存备查；保存时间原则上不低于</w:t>
            </w:r>
            <w:r>
              <w:rPr>
                <w:rFonts w:hint="eastAsia" w:cs="Times New Roman"/>
                <w:color w:val="auto"/>
                <w:spacing w:val="-10"/>
                <w:sz w:val="18"/>
                <w:szCs w:val="18"/>
                <w:highlight w:val="none"/>
                <w:lang w:val="en-US" w:eastAsia="zh-CN"/>
              </w:rPr>
              <w:t>5</w:t>
            </w:r>
            <w:r>
              <w:rPr>
                <w:rFonts w:hint="default" w:ascii="Times New Roman" w:hAnsi="Times New Roman" w:eastAsia="宋体" w:cs="Times New Roman"/>
                <w:color w:val="auto"/>
                <w:spacing w:val="-10"/>
                <w:sz w:val="18"/>
                <w:szCs w:val="18"/>
                <w:highlight w:val="none"/>
              </w:rPr>
              <w:t>年。</w:t>
            </w:r>
          </w:p>
          <w:p w14:paraId="7DBF2328">
            <w:pPr>
              <w:adjustRightInd w:val="0"/>
              <w:snapToGrid w:val="0"/>
              <w:ind w:firstLine="320" w:firstLineChars="200"/>
              <w:jc w:val="left"/>
              <w:rPr>
                <w:rFonts w:hint="default" w:ascii="Times New Roman" w:hAnsi="Times New Roman" w:eastAsia="宋体" w:cs="Times New Roman"/>
                <w:color w:val="auto"/>
                <w:spacing w:val="-10"/>
                <w:sz w:val="18"/>
                <w:szCs w:val="18"/>
                <w:highlight w:val="none"/>
              </w:rPr>
            </w:pPr>
            <w:r>
              <w:rPr>
                <w:rFonts w:hint="default" w:ascii="Times New Roman" w:hAnsi="Times New Roman" w:eastAsia="宋体" w:cs="Times New Roman"/>
                <w:color w:val="auto"/>
                <w:spacing w:val="-10"/>
                <w:sz w:val="18"/>
                <w:szCs w:val="18"/>
                <w:highlight w:val="none"/>
              </w:rPr>
              <w:t>②电子存储：应存放于电子存储介质中，并进行数据备份；可在排污许可管理信息平台填报并保存；由专人定期维护管理；保存时间原则上不低于</w:t>
            </w:r>
            <w:r>
              <w:rPr>
                <w:rFonts w:hint="eastAsia" w:cs="Times New Roman"/>
                <w:color w:val="auto"/>
                <w:spacing w:val="-10"/>
                <w:sz w:val="18"/>
                <w:szCs w:val="18"/>
                <w:highlight w:val="none"/>
                <w:lang w:val="en-US" w:eastAsia="zh-CN"/>
              </w:rPr>
              <w:t>5</w:t>
            </w:r>
            <w:r>
              <w:rPr>
                <w:rFonts w:hint="default" w:ascii="Times New Roman" w:hAnsi="Times New Roman" w:eastAsia="宋体" w:cs="Times New Roman"/>
                <w:color w:val="auto"/>
                <w:spacing w:val="-10"/>
                <w:sz w:val="18"/>
                <w:szCs w:val="18"/>
                <w:highlight w:val="none"/>
              </w:rPr>
              <w:t>年。</w:t>
            </w:r>
          </w:p>
          <w:p w14:paraId="5176C07E">
            <w:pPr>
              <w:adjustRightInd w:val="0"/>
              <w:snapToGrid w:val="0"/>
              <w:ind w:firstLine="321" w:firstLineChars="200"/>
              <w:jc w:val="left"/>
              <w:rPr>
                <w:b/>
                <w:bCs/>
                <w:color w:val="auto"/>
                <w:spacing w:val="-10"/>
                <w:sz w:val="18"/>
                <w:szCs w:val="18"/>
              </w:rPr>
            </w:pPr>
            <w:r>
              <w:rPr>
                <w:rFonts w:hint="eastAsia"/>
                <w:b/>
                <w:bCs/>
                <w:color w:val="auto"/>
                <w:spacing w:val="-10"/>
                <w:sz w:val="18"/>
                <w:szCs w:val="18"/>
              </w:rPr>
              <w:t>3.污染治理设施的管理、监控制度</w:t>
            </w:r>
          </w:p>
          <w:p w14:paraId="407E9DE8">
            <w:pPr>
              <w:adjustRightInd w:val="0"/>
              <w:snapToGrid w:val="0"/>
              <w:ind w:firstLine="320" w:firstLineChars="200"/>
              <w:jc w:val="left"/>
              <w:rPr>
                <w:color w:val="auto"/>
                <w:spacing w:val="-10"/>
                <w:sz w:val="18"/>
                <w:szCs w:val="18"/>
              </w:rPr>
            </w:pPr>
            <w:r>
              <w:rPr>
                <w:rFonts w:hint="eastAsia"/>
                <w:color w:val="auto"/>
                <w:spacing w:val="-10"/>
                <w:sz w:val="18"/>
                <w:szCs w:val="18"/>
              </w:rPr>
              <w:t>项目建成后，必须确保污染治理设施长期、稳定、有效地运行，不得擅自拆除或者闲置污染治理设施，不得故意不正常使用污染治理设施。污染治理设施的管理必须与生产经营活动一起纳入单位日常管理工作的范畴，落实责任人、操作人员、维修人员、运行经费、设备的备品备件和其它原辅材料。同时要建立健全岗位责任制、制定正确的操作规程、建立管理台帐。</w:t>
            </w:r>
          </w:p>
          <w:p w14:paraId="65A98452">
            <w:pPr>
              <w:adjustRightInd w:val="0"/>
              <w:snapToGrid w:val="0"/>
              <w:ind w:firstLine="321" w:firstLineChars="200"/>
              <w:jc w:val="left"/>
              <w:rPr>
                <w:b/>
                <w:bCs/>
                <w:color w:val="auto"/>
                <w:spacing w:val="-10"/>
                <w:sz w:val="18"/>
                <w:szCs w:val="18"/>
              </w:rPr>
            </w:pPr>
            <w:r>
              <w:rPr>
                <w:rFonts w:hint="eastAsia"/>
                <w:b/>
                <w:bCs/>
                <w:color w:val="auto"/>
                <w:spacing w:val="-10"/>
                <w:sz w:val="18"/>
                <w:szCs w:val="18"/>
              </w:rPr>
              <w:t>4.环保奖惩条例</w:t>
            </w:r>
          </w:p>
          <w:p w14:paraId="282B4816">
            <w:pPr>
              <w:adjustRightInd w:val="0"/>
              <w:snapToGrid w:val="0"/>
              <w:ind w:firstLine="320" w:firstLineChars="200"/>
              <w:jc w:val="left"/>
              <w:rPr>
                <w:color w:val="auto"/>
              </w:rPr>
            </w:pPr>
            <w:r>
              <w:rPr>
                <w:rFonts w:hint="eastAsia"/>
                <w:color w:val="auto"/>
                <w:spacing w:val="-10"/>
                <w:sz w:val="18"/>
                <w:szCs w:val="18"/>
              </w:rPr>
              <w:t>各级管理人员都应树立保护环境的思想，企业也应设置环境保护奖惩条例。对爱护环保设施、节能降耗、改善环境者实行奖励；对环保观念淡薄，不按环保要求管理，造成环境设施损坏、环境污染及资源和能源浪费者一律予以重罚。</w:t>
            </w:r>
          </w:p>
          <w:p w14:paraId="1CB45201">
            <w:pPr>
              <w:adjustRightInd w:val="0"/>
              <w:snapToGrid w:val="0"/>
              <w:ind w:firstLine="321" w:firstLineChars="200"/>
              <w:jc w:val="left"/>
              <w:rPr>
                <w:b/>
                <w:bCs/>
                <w:color w:val="auto"/>
                <w:spacing w:val="-10"/>
                <w:sz w:val="18"/>
                <w:szCs w:val="18"/>
              </w:rPr>
            </w:pPr>
            <w:r>
              <w:rPr>
                <w:rFonts w:hint="eastAsia"/>
                <w:b/>
                <w:bCs/>
                <w:color w:val="auto"/>
                <w:spacing w:val="-10"/>
                <w:sz w:val="18"/>
                <w:szCs w:val="18"/>
              </w:rPr>
              <w:t>5.企业环境信息公开</w:t>
            </w:r>
          </w:p>
          <w:p w14:paraId="5CDD49F5">
            <w:pPr>
              <w:adjustRightInd w:val="0"/>
              <w:snapToGrid w:val="0"/>
              <w:ind w:firstLine="320" w:firstLineChars="200"/>
              <w:jc w:val="left"/>
              <w:rPr>
                <w:rFonts w:hint="default" w:ascii="Times New Roman" w:hAnsi="Times New Roman" w:eastAsia="宋体" w:cs="Times New Roman"/>
                <w:color w:val="auto"/>
                <w:spacing w:val="-10"/>
                <w:sz w:val="18"/>
                <w:szCs w:val="18"/>
                <w:lang w:val="en-US" w:eastAsia="zh-CN"/>
              </w:rPr>
            </w:pPr>
            <w:r>
              <w:rPr>
                <w:rFonts w:hint="eastAsia" w:ascii="Times New Roman" w:hAnsi="Times New Roman" w:eastAsia="宋体" w:cs="Times New Roman"/>
                <w:color w:val="auto"/>
                <w:spacing w:val="-10"/>
                <w:sz w:val="18"/>
                <w:szCs w:val="18"/>
                <w:lang w:val="en-US" w:eastAsia="zh-CN"/>
              </w:rPr>
              <w:t>按照</w:t>
            </w:r>
            <w:r>
              <w:rPr>
                <w:rFonts w:hint="default" w:ascii="Times New Roman" w:hAnsi="Times New Roman" w:eastAsia="宋体" w:cs="Times New Roman"/>
                <w:color w:val="auto"/>
                <w:spacing w:val="-10"/>
                <w:sz w:val="18"/>
                <w:szCs w:val="18"/>
                <w:lang w:val="en-US" w:eastAsia="zh-CN"/>
              </w:rPr>
              <w:t>《企业环境信息依法披露管理办法》（</w:t>
            </w:r>
            <w:r>
              <w:rPr>
                <w:rFonts w:hint="eastAsia" w:ascii="Times New Roman" w:hAnsi="Times New Roman" w:eastAsia="宋体" w:cs="Times New Roman"/>
                <w:color w:val="auto"/>
                <w:spacing w:val="-10"/>
                <w:sz w:val="18"/>
                <w:szCs w:val="18"/>
              </w:rPr>
              <w:t>中华人民共和国生态环境部令第</w:t>
            </w:r>
            <w:r>
              <w:rPr>
                <w:rFonts w:hint="eastAsia" w:ascii="Times New Roman" w:hAnsi="Times New Roman" w:eastAsia="宋体" w:cs="Times New Roman"/>
                <w:color w:val="auto"/>
                <w:spacing w:val="-10"/>
                <w:sz w:val="18"/>
                <w:szCs w:val="18"/>
                <w:lang w:val="en-US" w:eastAsia="zh-CN"/>
              </w:rPr>
              <w:t>24</w:t>
            </w:r>
            <w:r>
              <w:rPr>
                <w:rFonts w:hint="eastAsia" w:ascii="Times New Roman" w:hAnsi="Times New Roman" w:eastAsia="宋体" w:cs="Times New Roman"/>
                <w:color w:val="auto"/>
                <w:spacing w:val="-10"/>
                <w:sz w:val="18"/>
                <w:szCs w:val="18"/>
              </w:rPr>
              <w:t>号</w:t>
            </w:r>
            <w:r>
              <w:rPr>
                <w:rFonts w:hint="default" w:ascii="Times New Roman" w:hAnsi="Times New Roman" w:eastAsia="宋体" w:cs="Times New Roman"/>
                <w:color w:val="auto"/>
                <w:spacing w:val="-10"/>
                <w:sz w:val="18"/>
                <w:szCs w:val="18"/>
                <w:lang w:val="en-US" w:eastAsia="zh-CN"/>
              </w:rPr>
              <w:t>）要求</w:t>
            </w:r>
            <w:r>
              <w:rPr>
                <w:rFonts w:hint="eastAsia" w:ascii="Times New Roman" w:hAnsi="Times New Roman" w:eastAsia="宋体" w:cs="Times New Roman"/>
                <w:color w:val="auto"/>
                <w:spacing w:val="-10"/>
                <w:sz w:val="18"/>
                <w:szCs w:val="18"/>
                <w:lang w:val="en-US" w:eastAsia="zh-CN"/>
              </w:rPr>
              <w:t>，</w:t>
            </w:r>
            <w:r>
              <w:rPr>
                <w:rFonts w:hint="default" w:ascii="Times New Roman" w:hAnsi="Times New Roman" w:eastAsia="宋体" w:cs="Times New Roman"/>
                <w:color w:val="auto"/>
                <w:spacing w:val="-10"/>
                <w:sz w:val="18"/>
                <w:szCs w:val="18"/>
                <w:lang w:val="en-US" w:eastAsia="zh-CN"/>
              </w:rPr>
              <w:t>进行相关信息公开。</w:t>
            </w:r>
          </w:p>
          <w:p w14:paraId="5CAFAFB5">
            <w:pPr>
              <w:adjustRightInd w:val="0"/>
              <w:snapToGrid w:val="0"/>
              <w:ind w:firstLine="321" w:firstLineChars="200"/>
              <w:jc w:val="left"/>
              <w:rPr>
                <w:b/>
                <w:bCs/>
                <w:color w:val="auto"/>
                <w:spacing w:val="-10"/>
                <w:sz w:val="18"/>
                <w:szCs w:val="18"/>
              </w:rPr>
            </w:pPr>
            <w:r>
              <w:rPr>
                <w:rFonts w:hint="eastAsia"/>
                <w:b/>
                <w:bCs/>
                <w:color w:val="auto"/>
                <w:spacing w:val="-10"/>
                <w:sz w:val="18"/>
                <w:szCs w:val="18"/>
              </w:rPr>
              <w:t>6.环境监测及排污口规范化</w:t>
            </w:r>
          </w:p>
          <w:p w14:paraId="168D321C">
            <w:pPr>
              <w:adjustRightInd w:val="0"/>
              <w:snapToGrid w:val="0"/>
              <w:ind w:firstLine="321" w:firstLineChars="200"/>
              <w:jc w:val="left"/>
              <w:rPr>
                <w:b/>
                <w:bCs/>
                <w:color w:val="auto"/>
                <w:spacing w:val="-10"/>
                <w:sz w:val="18"/>
                <w:szCs w:val="18"/>
              </w:rPr>
            </w:pPr>
            <w:r>
              <w:rPr>
                <w:rFonts w:hint="eastAsia"/>
                <w:b/>
                <w:bCs/>
                <w:color w:val="auto"/>
                <w:spacing w:val="-10"/>
                <w:sz w:val="18"/>
                <w:szCs w:val="18"/>
              </w:rPr>
              <w:t>6.1环境监测</w:t>
            </w:r>
          </w:p>
          <w:p w14:paraId="0643E547">
            <w:pPr>
              <w:adjustRightInd w:val="0"/>
              <w:snapToGrid w:val="0"/>
              <w:ind w:firstLine="320" w:firstLineChars="200"/>
              <w:jc w:val="left"/>
              <w:rPr>
                <w:color w:val="auto"/>
                <w:spacing w:val="-10"/>
                <w:sz w:val="18"/>
                <w:szCs w:val="18"/>
                <w:highlight w:val="yellow"/>
              </w:rPr>
            </w:pPr>
            <w:r>
              <w:rPr>
                <w:rFonts w:hint="eastAsia"/>
                <w:color w:val="auto"/>
                <w:spacing w:val="-10"/>
                <w:sz w:val="18"/>
                <w:szCs w:val="18"/>
              </w:rPr>
              <w:t>根据本建设项目性质与实际情况，建议由当地环境监测部门承担本项目废气、噪声的常规监测，固废的日常分析记录由建设单位</w:t>
            </w:r>
            <w:r>
              <w:rPr>
                <w:rFonts w:hint="eastAsia"/>
                <w:color w:val="auto"/>
                <w:spacing w:val="-10"/>
                <w:sz w:val="18"/>
                <w:szCs w:val="18"/>
                <w:highlight w:val="none"/>
              </w:rPr>
              <w:t>负责。</w:t>
            </w:r>
          </w:p>
          <w:p w14:paraId="1933A86A">
            <w:pPr>
              <w:adjustRightInd w:val="0"/>
              <w:snapToGrid w:val="0"/>
              <w:jc w:val="center"/>
              <w:rPr>
                <w:b/>
                <w:bCs/>
                <w:color w:val="auto"/>
                <w:spacing w:val="-10"/>
                <w:sz w:val="18"/>
                <w:szCs w:val="18"/>
                <w:highlight w:val="none"/>
              </w:rPr>
            </w:pPr>
            <w:r>
              <w:rPr>
                <w:rFonts w:hint="eastAsia"/>
                <w:b/>
                <w:bCs/>
                <w:color w:val="auto"/>
                <w:spacing w:val="-10"/>
                <w:sz w:val="18"/>
                <w:szCs w:val="18"/>
                <w:highlight w:val="none"/>
              </w:rPr>
              <w:t>环境监测计划一览表</w:t>
            </w:r>
          </w:p>
          <w:tbl>
            <w:tblPr>
              <w:tblStyle w:val="28"/>
              <w:tblW w:w="4809" w:type="pct"/>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0" w:type="dxa"/>
                <w:bottom w:w="0" w:type="dxa"/>
                <w:right w:w="0" w:type="dxa"/>
              </w:tblCellMar>
            </w:tblPr>
            <w:tblGrid>
              <w:gridCol w:w="626"/>
              <w:gridCol w:w="512"/>
              <w:gridCol w:w="1026"/>
              <w:gridCol w:w="2795"/>
              <w:gridCol w:w="1219"/>
              <w:gridCol w:w="832"/>
            </w:tblGrid>
            <w:tr w14:paraId="51FAA7E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227" w:hRule="atLeast"/>
                <w:jc w:val="center"/>
              </w:trPr>
              <w:tc>
                <w:tcPr>
                  <w:tcW w:w="446" w:type="pct"/>
                  <w:tcBorders>
                    <w:top w:val="single" w:color="auto" w:sz="12" w:space="0"/>
                    <w:left w:val="nil"/>
                    <w:bottom w:val="single" w:color="auto" w:sz="6" w:space="0"/>
                    <w:right w:val="single" w:color="auto" w:sz="6" w:space="0"/>
                  </w:tcBorders>
                  <w:vAlign w:val="center"/>
                </w:tcPr>
                <w:p w14:paraId="4C1AD338">
                  <w:pPr>
                    <w:adjustRightInd w:val="0"/>
                    <w:snapToGrid w:val="0"/>
                    <w:jc w:val="center"/>
                    <w:rPr>
                      <w:rFonts w:hint="eastAsia" w:eastAsia="宋体"/>
                      <w:color w:val="auto"/>
                      <w:spacing w:val="-20"/>
                      <w:sz w:val="18"/>
                      <w:szCs w:val="18"/>
                      <w:highlight w:val="none"/>
                    </w:rPr>
                  </w:pPr>
                  <w:r>
                    <w:rPr>
                      <w:rFonts w:hint="eastAsia" w:eastAsia="宋体"/>
                      <w:color w:val="auto"/>
                      <w:spacing w:val="-20"/>
                      <w:sz w:val="18"/>
                      <w:szCs w:val="18"/>
                      <w:highlight w:val="none"/>
                    </w:rPr>
                    <w:t>序号</w:t>
                  </w:r>
                </w:p>
              </w:tc>
              <w:tc>
                <w:tcPr>
                  <w:tcW w:w="3090" w:type="pct"/>
                  <w:gridSpan w:val="3"/>
                  <w:tcBorders>
                    <w:top w:val="single" w:color="auto" w:sz="12" w:space="0"/>
                    <w:left w:val="single" w:color="auto" w:sz="6" w:space="0"/>
                    <w:bottom w:val="single" w:color="auto" w:sz="6" w:space="0"/>
                    <w:right w:val="single" w:color="auto" w:sz="6" w:space="0"/>
                  </w:tcBorders>
                  <w:vAlign w:val="center"/>
                </w:tcPr>
                <w:p w14:paraId="27E14A37">
                  <w:pPr>
                    <w:adjustRightInd w:val="0"/>
                    <w:snapToGrid w:val="0"/>
                    <w:jc w:val="center"/>
                    <w:rPr>
                      <w:rFonts w:hint="eastAsia" w:eastAsia="宋体"/>
                      <w:color w:val="auto"/>
                      <w:spacing w:val="-20"/>
                      <w:sz w:val="18"/>
                      <w:szCs w:val="18"/>
                      <w:highlight w:val="none"/>
                    </w:rPr>
                  </w:pPr>
                  <w:r>
                    <w:rPr>
                      <w:rFonts w:hint="eastAsia" w:eastAsia="宋体"/>
                      <w:color w:val="auto"/>
                      <w:spacing w:val="-20"/>
                      <w:sz w:val="18"/>
                      <w:szCs w:val="18"/>
                      <w:highlight w:val="none"/>
                    </w:rPr>
                    <w:t>监测点位</w:t>
                  </w:r>
                </w:p>
              </w:tc>
              <w:tc>
                <w:tcPr>
                  <w:tcW w:w="869" w:type="pct"/>
                  <w:tcBorders>
                    <w:top w:val="single" w:color="auto" w:sz="12" w:space="0"/>
                    <w:left w:val="single" w:color="auto" w:sz="6" w:space="0"/>
                    <w:bottom w:val="single" w:color="auto" w:sz="6" w:space="0"/>
                    <w:right w:val="single" w:color="auto" w:sz="6" w:space="0"/>
                  </w:tcBorders>
                  <w:vAlign w:val="center"/>
                </w:tcPr>
                <w:p w14:paraId="2B5C8CF6">
                  <w:pPr>
                    <w:adjustRightInd w:val="0"/>
                    <w:snapToGrid w:val="0"/>
                    <w:jc w:val="center"/>
                    <w:rPr>
                      <w:rFonts w:hint="eastAsia" w:eastAsia="宋体"/>
                      <w:color w:val="auto"/>
                      <w:spacing w:val="-20"/>
                      <w:sz w:val="18"/>
                      <w:szCs w:val="18"/>
                      <w:highlight w:val="none"/>
                    </w:rPr>
                  </w:pPr>
                  <w:r>
                    <w:rPr>
                      <w:rFonts w:hint="eastAsia" w:eastAsia="宋体"/>
                      <w:color w:val="auto"/>
                      <w:spacing w:val="-20"/>
                      <w:sz w:val="18"/>
                      <w:szCs w:val="18"/>
                      <w:highlight w:val="none"/>
                    </w:rPr>
                    <w:t>监测项目</w:t>
                  </w:r>
                </w:p>
              </w:tc>
              <w:tc>
                <w:tcPr>
                  <w:tcW w:w="593" w:type="pct"/>
                  <w:tcBorders>
                    <w:top w:val="single" w:color="auto" w:sz="12" w:space="0"/>
                    <w:left w:val="single" w:color="auto" w:sz="6" w:space="0"/>
                    <w:bottom w:val="single" w:color="auto" w:sz="6" w:space="0"/>
                    <w:right w:val="nil"/>
                  </w:tcBorders>
                  <w:vAlign w:val="center"/>
                </w:tcPr>
                <w:p w14:paraId="0DABC554">
                  <w:pPr>
                    <w:adjustRightInd w:val="0"/>
                    <w:snapToGrid w:val="0"/>
                    <w:jc w:val="center"/>
                    <w:rPr>
                      <w:rFonts w:hint="eastAsia" w:eastAsia="宋体"/>
                      <w:color w:val="auto"/>
                      <w:spacing w:val="-20"/>
                      <w:sz w:val="18"/>
                      <w:szCs w:val="18"/>
                      <w:highlight w:val="none"/>
                    </w:rPr>
                  </w:pPr>
                  <w:r>
                    <w:rPr>
                      <w:rFonts w:hint="eastAsia" w:eastAsia="宋体"/>
                      <w:color w:val="auto"/>
                      <w:spacing w:val="-20"/>
                      <w:sz w:val="18"/>
                      <w:szCs w:val="18"/>
                      <w:highlight w:val="none"/>
                    </w:rPr>
                    <w:t>监测频次</w:t>
                  </w:r>
                </w:p>
              </w:tc>
            </w:tr>
            <w:tr w14:paraId="2937B6F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227" w:hRule="atLeast"/>
                <w:jc w:val="center"/>
              </w:trPr>
              <w:tc>
                <w:tcPr>
                  <w:tcW w:w="446" w:type="pct"/>
                  <w:vMerge w:val="restart"/>
                  <w:tcBorders>
                    <w:top w:val="single" w:color="auto" w:sz="6" w:space="0"/>
                    <w:left w:val="nil"/>
                    <w:right w:val="single" w:color="auto" w:sz="6" w:space="0"/>
                  </w:tcBorders>
                  <w:vAlign w:val="center"/>
                </w:tcPr>
                <w:p w14:paraId="0C36F10F">
                  <w:pPr>
                    <w:adjustRightInd w:val="0"/>
                    <w:snapToGrid w:val="0"/>
                    <w:jc w:val="center"/>
                    <w:rPr>
                      <w:rFonts w:hint="eastAsia" w:eastAsia="宋体"/>
                      <w:color w:val="auto"/>
                      <w:spacing w:val="-20"/>
                      <w:sz w:val="18"/>
                      <w:szCs w:val="18"/>
                      <w:highlight w:val="none"/>
                    </w:rPr>
                  </w:pPr>
                  <w:r>
                    <w:rPr>
                      <w:rFonts w:hint="eastAsia" w:eastAsia="宋体"/>
                      <w:color w:val="auto"/>
                      <w:spacing w:val="-20"/>
                      <w:sz w:val="18"/>
                      <w:szCs w:val="18"/>
                      <w:highlight w:val="none"/>
                    </w:rPr>
                    <w:t>废气</w:t>
                  </w:r>
                </w:p>
              </w:tc>
              <w:tc>
                <w:tcPr>
                  <w:tcW w:w="365" w:type="pct"/>
                  <w:vMerge w:val="restart"/>
                  <w:tcBorders>
                    <w:top w:val="single" w:color="auto" w:sz="6" w:space="0"/>
                    <w:left w:val="single" w:color="auto" w:sz="6" w:space="0"/>
                    <w:right w:val="single" w:color="auto" w:sz="4" w:space="0"/>
                  </w:tcBorders>
                  <w:vAlign w:val="center"/>
                </w:tcPr>
                <w:p w14:paraId="63136AC3">
                  <w:pPr>
                    <w:adjustRightInd w:val="0"/>
                    <w:snapToGrid w:val="0"/>
                    <w:jc w:val="center"/>
                    <w:rPr>
                      <w:rFonts w:hint="eastAsia" w:eastAsia="宋体"/>
                      <w:color w:val="auto"/>
                      <w:spacing w:val="-20"/>
                      <w:sz w:val="18"/>
                      <w:szCs w:val="18"/>
                      <w:highlight w:val="none"/>
                    </w:rPr>
                  </w:pPr>
                  <w:r>
                    <w:rPr>
                      <w:rFonts w:hint="eastAsia" w:eastAsia="宋体"/>
                      <w:color w:val="auto"/>
                      <w:spacing w:val="-20"/>
                      <w:sz w:val="18"/>
                      <w:szCs w:val="18"/>
                      <w:highlight w:val="none"/>
                    </w:rPr>
                    <w:t>有组织</w:t>
                  </w:r>
                </w:p>
              </w:tc>
              <w:tc>
                <w:tcPr>
                  <w:tcW w:w="2725" w:type="pct"/>
                  <w:gridSpan w:val="2"/>
                  <w:tcBorders>
                    <w:top w:val="single" w:color="auto" w:sz="6" w:space="0"/>
                    <w:left w:val="single" w:color="auto" w:sz="4" w:space="0"/>
                    <w:bottom w:val="single" w:color="auto" w:sz="4" w:space="0"/>
                    <w:right w:val="single" w:color="auto" w:sz="6" w:space="0"/>
                  </w:tcBorders>
                  <w:vAlign w:val="center"/>
                </w:tcPr>
                <w:p w14:paraId="558EE043">
                  <w:pPr>
                    <w:adjustRightInd w:val="0"/>
                    <w:snapToGrid w:val="0"/>
                    <w:jc w:val="center"/>
                    <w:rPr>
                      <w:rFonts w:hint="eastAsia" w:ascii="Times New Roman" w:hAnsi="Times New Roman" w:eastAsia="宋体" w:cs="Times New Roman"/>
                      <w:color w:val="auto"/>
                      <w:spacing w:val="-20"/>
                      <w:sz w:val="18"/>
                      <w:szCs w:val="18"/>
                      <w:highlight w:val="none"/>
                      <w:lang w:val="en-US" w:eastAsia="zh-CN"/>
                    </w:rPr>
                  </w:pPr>
                  <w:r>
                    <w:rPr>
                      <w:rFonts w:hint="eastAsia" w:ascii="Times New Roman" w:hAnsi="Times New Roman" w:eastAsia="宋体" w:cs="Times New Roman"/>
                      <w:color w:val="auto"/>
                      <w:spacing w:val="-20"/>
                      <w:sz w:val="18"/>
                      <w:szCs w:val="18"/>
                      <w:highlight w:val="none"/>
                      <w:lang w:val="en-US" w:eastAsia="zh-CN"/>
                    </w:rPr>
                    <w:t>钢渣处理生产线上料、破碎、筛分</w:t>
                  </w:r>
                  <w:r>
                    <w:rPr>
                      <w:rFonts w:hint="eastAsia" w:ascii="Times New Roman" w:hAnsi="Times New Roman" w:eastAsia="宋体" w:cs="Times New Roman"/>
                      <w:color w:val="auto"/>
                      <w:spacing w:val="-20"/>
                      <w:sz w:val="18"/>
                      <w:szCs w:val="18"/>
                      <w:highlight w:val="none"/>
                    </w:rPr>
                    <w:t>布袋除尘器排气筒</w:t>
                  </w:r>
                </w:p>
              </w:tc>
              <w:tc>
                <w:tcPr>
                  <w:tcW w:w="869" w:type="pct"/>
                  <w:tcBorders>
                    <w:top w:val="single" w:color="auto" w:sz="6" w:space="0"/>
                    <w:left w:val="single" w:color="auto" w:sz="6" w:space="0"/>
                    <w:bottom w:val="single" w:color="auto" w:sz="4" w:space="0"/>
                    <w:right w:val="single" w:color="auto" w:sz="6" w:space="0"/>
                  </w:tcBorders>
                  <w:vAlign w:val="center"/>
                </w:tcPr>
                <w:p w14:paraId="68470BFD">
                  <w:pPr>
                    <w:adjustRightInd w:val="0"/>
                    <w:snapToGrid w:val="0"/>
                    <w:jc w:val="center"/>
                    <w:rPr>
                      <w:rFonts w:hint="eastAsia" w:eastAsia="宋体"/>
                      <w:color w:val="auto"/>
                      <w:spacing w:val="-20"/>
                      <w:sz w:val="18"/>
                      <w:szCs w:val="18"/>
                      <w:highlight w:val="none"/>
                    </w:rPr>
                  </w:pPr>
                  <w:r>
                    <w:rPr>
                      <w:rFonts w:hint="eastAsia" w:eastAsia="宋体"/>
                      <w:color w:val="auto"/>
                      <w:spacing w:val="-20"/>
                      <w:sz w:val="18"/>
                      <w:szCs w:val="18"/>
                      <w:highlight w:val="none"/>
                    </w:rPr>
                    <w:t>颗粒物</w:t>
                  </w:r>
                </w:p>
              </w:tc>
              <w:tc>
                <w:tcPr>
                  <w:tcW w:w="593" w:type="pct"/>
                  <w:tcBorders>
                    <w:top w:val="single" w:color="auto" w:sz="6" w:space="0"/>
                    <w:left w:val="single" w:color="auto" w:sz="6" w:space="0"/>
                    <w:bottom w:val="single" w:color="auto" w:sz="4" w:space="0"/>
                    <w:right w:val="nil"/>
                  </w:tcBorders>
                  <w:vAlign w:val="center"/>
                </w:tcPr>
                <w:p w14:paraId="248F4706">
                  <w:pPr>
                    <w:adjustRightInd w:val="0"/>
                    <w:snapToGrid w:val="0"/>
                    <w:jc w:val="center"/>
                    <w:rPr>
                      <w:rFonts w:hint="eastAsia" w:eastAsia="宋体"/>
                      <w:color w:val="auto"/>
                      <w:spacing w:val="-20"/>
                      <w:sz w:val="18"/>
                      <w:szCs w:val="18"/>
                      <w:highlight w:val="none"/>
                    </w:rPr>
                  </w:pPr>
                  <w:r>
                    <w:rPr>
                      <w:rFonts w:hint="eastAsia" w:eastAsia="宋体"/>
                      <w:color w:val="auto"/>
                      <w:spacing w:val="-20"/>
                      <w:sz w:val="18"/>
                      <w:szCs w:val="18"/>
                      <w:highlight w:val="none"/>
                    </w:rPr>
                    <w:t>1次/年</w:t>
                  </w:r>
                </w:p>
              </w:tc>
            </w:tr>
            <w:tr w14:paraId="1513DA2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227" w:hRule="atLeast"/>
                <w:jc w:val="center"/>
              </w:trPr>
              <w:tc>
                <w:tcPr>
                  <w:tcW w:w="446" w:type="pct"/>
                  <w:vMerge w:val="continue"/>
                  <w:tcBorders>
                    <w:left w:val="nil"/>
                    <w:right w:val="single" w:color="auto" w:sz="6" w:space="0"/>
                  </w:tcBorders>
                  <w:vAlign w:val="center"/>
                </w:tcPr>
                <w:p w14:paraId="762301F7">
                  <w:pPr>
                    <w:adjustRightInd w:val="0"/>
                    <w:snapToGrid w:val="0"/>
                    <w:jc w:val="center"/>
                    <w:rPr>
                      <w:rFonts w:hint="eastAsia" w:eastAsia="宋体"/>
                      <w:color w:val="auto"/>
                      <w:spacing w:val="-20"/>
                      <w:sz w:val="18"/>
                      <w:szCs w:val="18"/>
                      <w:highlight w:val="none"/>
                    </w:rPr>
                  </w:pPr>
                </w:p>
              </w:tc>
              <w:tc>
                <w:tcPr>
                  <w:tcW w:w="365" w:type="pct"/>
                  <w:vMerge w:val="continue"/>
                  <w:tcBorders>
                    <w:left w:val="single" w:color="auto" w:sz="6" w:space="0"/>
                    <w:right w:val="single" w:color="auto" w:sz="4" w:space="0"/>
                  </w:tcBorders>
                  <w:vAlign w:val="center"/>
                </w:tcPr>
                <w:p w14:paraId="6F2822F3">
                  <w:pPr>
                    <w:adjustRightInd w:val="0"/>
                    <w:snapToGrid w:val="0"/>
                    <w:jc w:val="center"/>
                    <w:rPr>
                      <w:rFonts w:hint="eastAsia" w:eastAsia="宋体"/>
                      <w:color w:val="auto"/>
                      <w:spacing w:val="-20"/>
                      <w:sz w:val="18"/>
                      <w:szCs w:val="18"/>
                      <w:highlight w:val="none"/>
                    </w:rPr>
                  </w:pPr>
                </w:p>
              </w:tc>
              <w:tc>
                <w:tcPr>
                  <w:tcW w:w="2725" w:type="pct"/>
                  <w:gridSpan w:val="2"/>
                  <w:tcBorders>
                    <w:top w:val="single" w:color="auto" w:sz="6" w:space="0"/>
                    <w:left w:val="single" w:color="auto" w:sz="4" w:space="0"/>
                    <w:bottom w:val="single" w:color="auto" w:sz="4" w:space="0"/>
                    <w:right w:val="single" w:color="auto" w:sz="6" w:space="0"/>
                  </w:tcBorders>
                  <w:vAlign w:val="center"/>
                </w:tcPr>
                <w:p w14:paraId="163AE6A5">
                  <w:pPr>
                    <w:adjustRightInd w:val="0"/>
                    <w:snapToGrid w:val="0"/>
                    <w:jc w:val="center"/>
                    <w:rPr>
                      <w:rFonts w:hint="default" w:ascii="Times New Roman" w:hAnsi="Times New Roman" w:eastAsia="宋体" w:cs="Times New Roman"/>
                      <w:color w:val="auto"/>
                      <w:spacing w:val="-20"/>
                      <w:sz w:val="18"/>
                      <w:szCs w:val="18"/>
                      <w:highlight w:val="none"/>
                      <w:lang w:val="en-US" w:eastAsia="zh-CN"/>
                    </w:rPr>
                  </w:pPr>
                  <w:r>
                    <w:rPr>
                      <w:rFonts w:hint="eastAsia" w:ascii="Times New Roman" w:hAnsi="Times New Roman" w:eastAsia="宋体" w:cs="Times New Roman"/>
                      <w:color w:val="auto"/>
                      <w:spacing w:val="-20"/>
                      <w:sz w:val="18"/>
                      <w:szCs w:val="18"/>
                      <w:highlight w:val="none"/>
                      <w:lang w:val="en-US" w:eastAsia="zh-CN"/>
                    </w:rPr>
                    <w:t>废钢破碎尾料分选生产线上料</w:t>
                  </w:r>
                  <w:r>
                    <w:rPr>
                      <w:rFonts w:hint="eastAsia" w:cs="Times New Roman"/>
                      <w:color w:val="auto"/>
                      <w:spacing w:val="-20"/>
                      <w:sz w:val="18"/>
                      <w:szCs w:val="18"/>
                      <w:highlight w:val="none"/>
                      <w:lang w:val="en-US" w:eastAsia="zh-CN"/>
                    </w:rPr>
                    <w:t>、筛分、空分</w:t>
                  </w:r>
                  <w:r>
                    <w:rPr>
                      <w:rFonts w:hint="eastAsia" w:ascii="Times New Roman" w:hAnsi="Times New Roman" w:eastAsia="宋体" w:cs="Times New Roman"/>
                      <w:color w:val="auto"/>
                      <w:spacing w:val="-20"/>
                      <w:sz w:val="18"/>
                      <w:szCs w:val="18"/>
                      <w:highlight w:val="none"/>
                    </w:rPr>
                    <w:t>布袋除尘器排气筒</w:t>
                  </w:r>
                </w:p>
              </w:tc>
              <w:tc>
                <w:tcPr>
                  <w:tcW w:w="869" w:type="pct"/>
                  <w:tcBorders>
                    <w:top w:val="single" w:color="auto" w:sz="6" w:space="0"/>
                    <w:left w:val="single" w:color="auto" w:sz="6" w:space="0"/>
                    <w:bottom w:val="single" w:color="auto" w:sz="4" w:space="0"/>
                    <w:right w:val="single" w:color="auto" w:sz="6" w:space="0"/>
                  </w:tcBorders>
                  <w:vAlign w:val="center"/>
                </w:tcPr>
                <w:p w14:paraId="2B008395">
                  <w:pPr>
                    <w:adjustRightInd w:val="0"/>
                    <w:snapToGrid w:val="0"/>
                    <w:jc w:val="center"/>
                    <w:rPr>
                      <w:rFonts w:hint="eastAsia" w:eastAsia="宋体"/>
                      <w:color w:val="auto"/>
                      <w:spacing w:val="-10"/>
                      <w:sz w:val="18"/>
                      <w:szCs w:val="18"/>
                      <w:highlight w:val="none"/>
                      <w:lang w:eastAsia="zh-CN"/>
                    </w:rPr>
                  </w:pPr>
                  <w:r>
                    <w:rPr>
                      <w:rFonts w:hint="eastAsia"/>
                      <w:color w:val="auto"/>
                      <w:spacing w:val="-20"/>
                      <w:sz w:val="18"/>
                      <w:szCs w:val="18"/>
                      <w:highlight w:val="none"/>
                    </w:rPr>
                    <w:t>颗粒物</w:t>
                  </w:r>
                </w:p>
              </w:tc>
              <w:tc>
                <w:tcPr>
                  <w:tcW w:w="593" w:type="pct"/>
                  <w:tcBorders>
                    <w:top w:val="single" w:color="auto" w:sz="6" w:space="0"/>
                    <w:left w:val="single" w:color="auto" w:sz="6" w:space="0"/>
                    <w:bottom w:val="single" w:color="auto" w:sz="4" w:space="0"/>
                    <w:right w:val="nil"/>
                  </w:tcBorders>
                  <w:vAlign w:val="center"/>
                </w:tcPr>
                <w:p w14:paraId="29E88E86">
                  <w:pPr>
                    <w:adjustRightInd w:val="0"/>
                    <w:snapToGrid w:val="0"/>
                    <w:jc w:val="center"/>
                    <w:rPr>
                      <w:rFonts w:hint="eastAsia" w:eastAsia="宋体"/>
                      <w:color w:val="auto"/>
                      <w:spacing w:val="-20"/>
                      <w:sz w:val="18"/>
                      <w:szCs w:val="18"/>
                      <w:highlight w:val="none"/>
                    </w:rPr>
                  </w:pPr>
                  <w:r>
                    <w:rPr>
                      <w:rFonts w:hint="eastAsia" w:eastAsia="宋体"/>
                      <w:color w:val="auto"/>
                      <w:spacing w:val="-20"/>
                      <w:sz w:val="18"/>
                      <w:szCs w:val="18"/>
                      <w:highlight w:val="none"/>
                    </w:rPr>
                    <w:t>1次/年</w:t>
                  </w:r>
                </w:p>
              </w:tc>
            </w:tr>
            <w:tr w14:paraId="6A1FBF0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227" w:hRule="atLeast"/>
                <w:jc w:val="center"/>
              </w:trPr>
              <w:tc>
                <w:tcPr>
                  <w:tcW w:w="446" w:type="pct"/>
                  <w:vMerge w:val="continue"/>
                  <w:tcBorders>
                    <w:left w:val="nil"/>
                    <w:right w:val="single" w:color="auto" w:sz="6" w:space="0"/>
                  </w:tcBorders>
                  <w:vAlign w:val="center"/>
                </w:tcPr>
                <w:p w14:paraId="070B7AF9">
                  <w:pPr>
                    <w:adjustRightInd w:val="0"/>
                    <w:snapToGrid w:val="0"/>
                    <w:jc w:val="center"/>
                    <w:rPr>
                      <w:rFonts w:hint="eastAsia" w:eastAsia="宋体"/>
                      <w:color w:val="auto"/>
                      <w:spacing w:val="-20"/>
                      <w:sz w:val="18"/>
                      <w:szCs w:val="18"/>
                      <w:highlight w:val="none"/>
                    </w:rPr>
                  </w:pPr>
                </w:p>
              </w:tc>
              <w:tc>
                <w:tcPr>
                  <w:tcW w:w="365" w:type="pct"/>
                  <w:tcBorders>
                    <w:top w:val="single" w:color="auto" w:sz="4" w:space="0"/>
                    <w:left w:val="single" w:color="auto" w:sz="6" w:space="0"/>
                    <w:right w:val="single" w:color="auto" w:sz="4" w:space="0"/>
                  </w:tcBorders>
                  <w:vAlign w:val="center"/>
                </w:tcPr>
                <w:p w14:paraId="5D807912">
                  <w:pPr>
                    <w:adjustRightInd w:val="0"/>
                    <w:snapToGrid w:val="0"/>
                    <w:jc w:val="center"/>
                    <w:rPr>
                      <w:rFonts w:hint="eastAsia" w:eastAsia="宋体"/>
                      <w:color w:val="auto"/>
                      <w:spacing w:val="-20"/>
                      <w:sz w:val="18"/>
                      <w:szCs w:val="18"/>
                      <w:highlight w:val="none"/>
                    </w:rPr>
                  </w:pPr>
                  <w:r>
                    <w:rPr>
                      <w:rFonts w:hint="eastAsia" w:eastAsia="宋体"/>
                      <w:color w:val="auto"/>
                      <w:spacing w:val="-20"/>
                      <w:sz w:val="18"/>
                      <w:szCs w:val="18"/>
                      <w:highlight w:val="none"/>
                    </w:rPr>
                    <w:t>无组织</w:t>
                  </w:r>
                </w:p>
              </w:tc>
              <w:tc>
                <w:tcPr>
                  <w:tcW w:w="731" w:type="pct"/>
                  <w:tcBorders>
                    <w:top w:val="single" w:color="auto" w:sz="4" w:space="0"/>
                    <w:left w:val="single" w:color="auto" w:sz="4" w:space="0"/>
                    <w:bottom w:val="single" w:color="auto" w:sz="6" w:space="0"/>
                    <w:right w:val="single" w:color="auto" w:sz="4" w:space="0"/>
                  </w:tcBorders>
                  <w:vAlign w:val="center"/>
                </w:tcPr>
                <w:p w14:paraId="15F3252B">
                  <w:pPr>
                    <w:adjustRightInd w:val="0"/>
                    <w:snapToGrid w:val="0"/>
                    <w:jc w:val="center"/>
                    <w:rPr>
                      <w:rFonts w:hint="eastAsia" w:eastAsia="宋体"/>
                      <w:color w:val="auto"/>
                      <w:spacing w:val="-20"/>
                      <w:sz w:val="18"/>
                      <w:szCs w:val="18"/>
                      <w:highlight w:val="none"/>
                    </w:rPr>
                  </w:pPr>
                  <w:r>
                    <w:rPr>
                      <w:rFonts w:hint="eastAsia" w:eastAsia="宋体"/>
                      <w:color w:val="auto"/>
                      <w:spacing w:val="-20"/>
                      <w:sz w:val="18"/>
                      <w:szCs w:val="18"/>
                      <w:highlight w:val="none"/>
                    </w:rPr>
                    <w:t>厂界</w:t>
                  </w:r>
                </w:p>
              </w:tc>
              <w:tc>
                <w:tcPr>
                  <w:tcW w:w="1993" w:type="pct"/>
                  <w:tcBorders>
                    <w:top w:val="single" w:color="auto" w:sz="4" w:space="0"/>
                    <w:left w:val="single" w:color="auto" w:sz="4" w:space="0"/>
                    <w:bottom w:val="single" w:color="auto" w:sz="6" w:space="0"/>
                    <w:right w:val="single" w:color="auto" w:sz="6" w:space="0"/>
                  </w:tcBorders>
                  <w:vAlign w:val="center"/>
                </w:tcPr>
                <w:p w14:paraId="2A5A64D7">
                  <w:pPr>
                    <w:adjustRightInd w:val="0"/>
                    <w:snapToGrid w:val="0"/>
                    <w:jc w:val="center"/>
                    <w:rPr>
                      <w:rFonts w:hint="eastAsia" w:eastAsia="宋体"/>
                      <w:color w:val="auto"/>
                      <w:spacing w:val="-20"/>
                      <w:sz w:val="18"/>
                      <w:szCs w:val="18"/>
                      <w:highlight w:val="none"/>
                    </w:rPr>
                  </w:pPr>
                  <w:r>
                    <w:rPr>
                      <w:rFonts w:hint="eastAsia" w:eastAsia="宋体"/>
                      <w:color w:val="auto"/>
                      <w:spacing w:val="-20"/>
                      <w:sz w:val="18"/>
                      <w:szCs w:val="18"/>
                      <w:highlight w:val="none"/>
                    </w:rPr>
                    <w:t>上风向1个参照点，下风向3个监测点</w:t>
                  </w:r>
                </w:p>
              </w:tc>
              <w:tc>
                <w:tcPr>
                  <w:tcW w:w="869" w:type="pct"/>
                  <w:tcBorders>
                    <w:top w:val="single" w:color="auto" w:sz="4" w:space="0"/>
                    <w:left w:val="single" w:color="auto" w:sz="6" w:space="0"/>
                    <w:bottom w:val="single" w:color="auto" w:sz="6" w:space="0"/>
                    <w:right w:val="single" w:color="auto" w:sz="6" w:space="0"/>
                  </w:tcBorders>
                  <w:vAlign w:val="center"/>
                </w:tcPr>
                <w:p w14:paraId="5F353274">
                  <w:pPr>
                    <w:adjustRightInd w:val="0"/>
                    <w:snapToGrid w:val="0"/>
                    <w:jc w:val="center"/>
                    <w:rPr>
                      <w:rFonts w:hint="eastAsia" w:eastAsia="宋体"/>
                      <w:color w:val="auto"/>
                      <w:spacing w:val="-20"/>
                      <w:sz w:val="18"/>
                      <w:szCs w:val="18"/>
                      <w:highlight w:val="none"/>
                    </w:rPr>
                  </w:pPr>
                  <w:r>
                    <w:rPr>
                      <w:rFonts w:hint="eastAsia" w:eastAsia="宋体"/>
                      <w:color w:val="auto"/>
                      <w:spacing w:val="-20"/>
                      <w:sz w:val="18"/>
                      <w:szCs w:val="18"/>
                      <w:highlight w:val="none"/>
                    </w:rPr>
                    <w:t>颗粒物</w:t>
                  </w:r>
                </w:p>
              </w:tc>
              <w:tc>
                <w:tcPr>
                  <w:tcW w:w="593" w:type="pct"/>
                  <w:tcBorders>
                    <w:top w:val="single" w:color="auto" w:sz="4" w:space="0"/>
                    <w:left w:val="single" w:color="auto" w:sz="6" w:space="0"/>
                    <w:bottom w:val="single" w:color="auto" w:sz="6" w:space="0"/>
                    <w:right w:val="nil"/>
                  </w:tcBorders>
                  <w:vAlign w:val="center"/>
                </w:tcPr>
                <w:p w14:paraId="39791E73">
                  <w:pPr>
                    <w:adjustRightInd w:val="0"/>
                    <w:snapToGrid w:val="0"/>
                    <w:jc w:val="center"/>
                    <w:rPr>
                      <w:rFonts w:hint="eastAsia" w:eastAsia="宋体"/>
                      <w:color w:val="auto"/>
                      <w:spacing w:val="-20"/>
                      <w:sz w:val="18"/>
                      <w:szCs w:val="18"/>
                      <w:highlight w:val="none"/>
                    </w:rPr>
                  </w:pPr>
                  <w:r>
                    <w:rPr>
                      <w:rFonts w:hint="eastAsia" w:eastAsia="宋体"/>
                      <w:color w:val="auto"/>
                      <w:spacing w:val="-20"/>
                      <w:sz w:val="18"/>
                      <w:szCs w:val="18"/>
                      <w:highlight w:val="none"/>
                    </w:rPr>
                    <w:t>1次/年</w:t>
                  </w:r>
                </w:p>
              </w:tc>
            </w:tr>
            <w:tr w14:paraId="07CD25D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227" w:hRule="atLeast"/>
                <w:jc w:val="center"/>
              </w:trPr>
              <w:tc>
                <w:tcPr>
                  <w:tcW w:w="446" w:type="pct"/>
                  <w:tcBorders>
                    <w:left w:val="nil"/>
                    <w:bottom w:val="single" w:color="auto" w:sz="12" w:space="0"/>
                    <w:right w:val="single" w:color="auto" w:sz="6" w:space="0"/>
                  </w:tcBorders>
                  <w:vAlign w:val="center"/>
                </w:tcPr>
                <w:p w14:paraId="7F92B1A8">
                  <w:pPr>
                    <w:adjustRightInd w:val="0"/>
                    <w:snapToGrid w:val="0"/>
                    <w:jc w:val="center"/>
                    <w:rPr>
                      <w:rFonts w:hint="eastAsia" w:eastAsia="宋体"/>
                      <w:color w:val="auto"/>
                      <w:spacing w:val="-20"/>
                      <w:sz w:val="18"/>
                      <w:szCs w:val="18"/>
                      <w:highlight w:val="none"/>
                      <w:lang w:val="en-US" w:eastAsia="zh-CN"/>
                    </w:rPr>
                  </w:pPr>
                  <w:r>
                    <w:rPr>
                      <w:rFonts w:hint="eastAsia"/>
                      <w:color w:val="auto"/>
                      <w:spacing w:val="-20"/>
                      <w:sz w:val="18"/>
                      <w:szCs w:val="18"/>
                      <w:highlight w:val="none"/>
                      <w:lang w:val="en-US" w:eastAsia="zh-CN"/>
                    </w:rPr>
                    <w:t>噪声</w:t>
                  </w:r>
                </w:p>
              </w:tc>
              <w:tc>
                <w:tcPr>
                  <w:tcW w:w="3090" w:type="pct"/>
                  <w:gridSpan w:val="3"/>
                  <w:tcBorders>
                    <w:top w:val="single" w:color="auto" w:sz="6" w:space="0"/>
                    <w:left w:val="single" w:color="auto" w:sz="6" w:space="0"/>
                    <w:bottom w:val="single" w:color="auto" w:sz="12" w:space="0"/>
                    <w:right w:val="single" w:color="auto" w:sz="6" w:space="0"/>
                  </w:tcBorders>
                  <w:vAlign w:val="center"/>
                </w:tcPr>
                <w:p w14:paraId="02C44768">
                  <w:pPr>
                    <w:adjustRightInd w:val="0"/>
                    <w:snapToGrid w:val="0"/>
                    <w:jc w:val="center"/>
                    <w:rPr>
                      <w:rFonts w:hint="eastAsia" w:ascii="Times New Roman" w:hAnsi="Times New Roman" w:eastAsia="宋体" w:cs="Times New Roman"/>
                      <w:color w:val="auto"/>
                      <w:spacing w:val="-20"/>
                      <w:kern w:val="2"/>
                      <w:sz w:val="18"/>
                      <w:szCs w:val="18"/>
                      <w:highlight w:val="none"/>
                      <w:lang w:val="en-US" w:eastAsia="zh-CN" w:bidi="ar-SA"/>
                    </w:rPr>
                  </w:pPr>
                  <w:r>
                    <w:rPr>
                      <w:rFonts w:hint="eastAsia" w:eastAsia="宋体"/>
                      <w:color w:val="auto"/>
                      <w:spacing w:val="-20"/>
                      <w:sz w:val="18"/>
                      <w:szCs w:val="18"/>
                      <w:highlight w:val="none"/>
                    </w:rPr>
                    <w:t>东、南、西、北厂界外1m处</w:t>
                  </w:r>
                </w:p>
              </w:tc>
              <w:tc>
                <w:tcPr>
                  <w:tcW w:w="869" w:type="pct"/>
                  <w:tcBorders>
                    <w:top w:val="single" w:color="auto" w:sz="6" w:space="0"/>
                    <w:left w:val="single" w:color="auto" w:sz="6" w:space="0"/>
                    <w:bottom w:val="single" w:color="auto" w:sz="12" w:space="0"/>
                    <w:right w:val="single" w:color="auto" w:sz="6" w:space="0"/>
                  </w:tcBorders>
                  <w:vAlign w:val="center"/>
                </w:tcPr>
                <w:p w14:paraId="1EC3951E">
                  <w:pPr>
                    <w:adjustRightInd w:val="0"/>
                    <w:snapToGrid w:val="0"/>
                    <w:jc w:val="center"/>
                    <w:rPr>
                      <w:rFonts w:hint="eastAsia" w:ascii="Times New Roman" w:hAnsi="Times New Roman" w:eastAsia="宋体" w:cs="Times New Roman"/>
                      <w:color w:val="auto"/>
                      <w:spacing w:val="-20"/>
                      <w:kern w:val="2"/>
                      <w:sz w:val="18"/>
                      <w:szCs w:val="18"/>
                      <w:highlight w:val="none"/>
                      <w:lang w:val="en-US" w:eastAsia="zh-CN" w:bidi="ar-SA"/>
                    </w:rPr>
                  </w:pPr>
                  <w:r>
                    <w:rPr>
                      <w:rFonts w:hint="eastAsia" w:eastAsia="宋体"/>
                      <w:color w:val="auto"/>
                      <w:spacing w:val="-20"/>
                      <w:sz w:val="18"/>
                      <w:szCs w:val="18"/>
                      <w:highlight w:val="none"/>
                    </w:rPr>
                    <w:t>连续等效A声级</w:t>
                  </w:r>
                </w:p>
              </w:tc>
              <w:tc>
                <w:tcPr>
                  <w:tcW w:w="593" w:type="pct"/>
                  <w:tcBorders>
                    <w:top w:val="single" w:color="auto" w:sz="6" w:space="0"/>
                    <w:left w:val="single" w:color="auto" w:sz="6" w:space="0"/>
                    <w:bottom w:val="single" w:color="auto" w:sz="12" w:space="0"/>
                    <w:right w:val="nil"/>
                  </w:tcBorders>
                  <w:vAlign w:val="center"/>
                </w:tcPr>
                <w:p w14:paraId="24016720">
                  <w:pPr>
                    <w:adjustRightInd w:val="0"/>
                    <w:snapToGrid w:val="0"/>
                    <w:jc w:val="center"/>
                    <w:rPr>
                      <w:rFonts w:hint="eastAsia" w:ascii="Times New Roman" w:hAnsi="Times New Roman" w:eastAsia="宋体" w:cs="Times New Roman"/>
                      <w:color w:val="auto"/>
                      <w:spacing w:val="-20"/>
                      <w:kern w:val="2"/>
                      <w:sz w:val="18"/>
                      <w:szCs w:val="18"/>
                      <w:highlight w:val="none"/>
                      <w:lang w:val="en-US" w:eastAsia="zh-CN" w:bidi="ar-SA"/>
                    </w:rPr>
                  </w:pPr>
                  <w:r>
                    <w:rPr>
                      <w:rFonts w:hint="eastAsia" w:eastAsia="宋体"/>
                      <w:color w:val="auto"/>
                      <w:spacing w:val="-20"/>
                      <w:sz w:val="18"/>
                      <w:szCs w:val="18"/>
                      <w:highlight w:val="none"/>
                    </w:rPr>
                    <w:t>1次/季</w:t>
                  </w:r>
                </w:p>
              </w:tc>
            </w:tr>
          </w:tbl>
          <w:p w14:paraId="1916F47F">
            <w:pPr>
              <w:adjustRightInd w:val="0"/>
              <w:snapToGrid w:val="0"/>
              <w:ind w:firstLine="321" w:firstLineChars="200"/>
              <w:jc w:val="left"/>
              <w:rPr>
                <w:b/>
                <w:bCs/>
                <w:color w:val="auto"/>
                <w:spacing w:val="-10"/>
                <w:sz w:val="18"/>
                <w:szCs w:val="18"/>
              </w:rPr>
            </w:pPr>
            <w:r>
              <w:rPr>
                <w:rFonts w:hint="eastAsia"/>
                <w:b/>
                <w:bCs/>
                <w:color w:val="auto"/>
                <w:spacing w:val="-10"/>
                <w:sz w:val="18"/>
                <w:szCs w:val="18"/>
              </w:rPr>
              <w:t>6.2排污口规范化</w:t>
            </w:r>
          </w:p>
          <w:p w14:paraId="4ECB83A4">
            <w:pPr>
              <w:adjustRightInd w:val="0"/>
              <w:snapToGrid w:val="0"/>
              <w:ind w:firstLine="320" w:firstLineChars="200"/>
              <w:jc w:val="left"/>
              <w:rPr>
                <w:color w:val="auto"/>
                <w:spacing w:val="-10"/>
                <w:sz w:val="18"/>
                <w:szCs w:val="18"/>
              </w:rPr>
            </w:pPr>
            <w:r>
              <w:rPr>
                <w:rFonts w:hint="eastAsia"/>
                <w:color w:val="auto"/>
                <w:spacing w:val="-10"/>
                <w:sz w:val="18"/>
                <w:szCs w:val="18"/>
              </w:rPr>
              <w:t>按照《排污口规范化整治技术要求(试行)》（环监[1996]470号）相关要求设置规范化排污口。</w:t>
            </w:r>
          </w:p>
          <w:p w14:paraId="0B904954">
            <w:pPr>
              <w:adjustRightInd w:val="0"/>
              <w:snapToGrid w:val="0"/>
              <w:ind w:firstLine="320" w:firstLineChars="200"/>
              <w:jc w:val="left"/>
              <w:rPr>
                <w:color w:val="auto"/>
                <w:spacing w:val="-10"/>
                <w:sz w:val="18"/>
                <w:szCs w:val="18"/>
              </w:rPr>
            </w:pPr>
            <w:r>
              <w:rPr>
                <w:rFonts w:hint="eastAsia"/>
                <w:color w:val="auto"/>
                <w:spacing w:val="-10"/>
                <w:sz w:val="18"/>
                <w:szCs w:val="18"/>
              </w:rPr>
              <w:t xml:space="preserve">（1）排污口立标要求 </w:t>
            </w:r>
          </w:p>
          <w:p w14:paraId="1CBFFB1A">
            <w:pPr>
              <w:adjustRightInd w:val="0"/>
              <w:snapToGrid w:val="0"/>
              <w:ind w:firstLine="320" w:firstLineChars="200"/>
              <w:jc w:val="left"/>
              <w:rPr>
                <w:color w:val="auto"/>
                <w:spacing w:val="-10"/>
                <w:sz w:val="18"/>
                <w:szCs w:val="18"/>
              </w:rPr>
            </w:pPr>
            <w:r>
              <w:rPr>
                <w:rFonts w:hint="eastAsia"/>
                <w:color w:val="auto"/>
                <w:spacing w:val="-10"/>
                <w:sz w:val="18"/>
                <w:szCs w:val="18"/>
              </w:rPr>
              <w:t>①有组织废气排放口设置便于采样、监测的采样口，采样孔距离监测平台1.2m，废气监测平台、监测断面和监测孔的设置应符合《固定污染源排气中颗粒物测定与气态污染物采样方法》（GB/T16157-1996）、《固定源废气监测技术规范》（HJ/T397-2007）等相关要求；监测平台面积不小于1.5m</w:t>
            </w:r>
            <w:r>
              <w:rPr>
                <w:rFonts w:hint="eastAsia"/>
                <w:color w:val="auto"/>
                <w:spacing w:val="-10"/>
                <w:sz w:val="18"/>
                <w:szCs w:val="18"/>
                <w:vertAlign w:val="superscript"/>
              </w:rPr>
              <w:t>2</w:t>
            </w:r>
            <w:r>
              <w:rPr>
                <w:rFonts w:hint="eastAsia"/>
                <w:color w:val="auto"/>
                <w:spacing w:val="-10"/>
                <w:sz w:val="18"/>
                <w:szCs w:val="18"/>
              </w:rPr>
              <w:t xml:space="preserve">，并设有1.1m高的护栏，便于开展监测活动，并能保证监测人员的安全。 </w:t>
            </w:r>
          </w:p>
          <w:p w14:paraId="69F492AE">
            <w:pPr>
              <w:adjustRightInd w:val="0"/>
              <w:snapToGrid w:val="0"/>
              <w:ind w:firstLine="320" w:firstLineChars="200"/>
              <w:jc w:val="left"/>
              <w:rPr>
                <w:color w:val="auto"/>
                <w:spacing w:val="-10"/>
                <w:sz w:val="18"/>
                <w:szCs w:val="18"/>
              </w:rPr>
            </w:pPr>
            <w:r>
              <w:rPr>
                <w:rFonts w:hint="eastAsia"/>
                <w:color w:val="auto"/>
                <w:spacing w:val="-10"/>
                <w:sz w:val="18"/>
                <w:szCs w:val="18"/>
              </w:rPr>
              <w:t>②按照国家标准《环境保护图形标志》（GB15562.1-1995）（GB15562.2-1995）的规定，设置与之相适应的环境保护图形标志牌，标明废气排放单位，排放口编号，污染物种类等。</w:t>
            </w:r>
          </w:p>
          <w:p w14:paraId="0DB13D68">
            <w:pPr>
              <w:adjustRightInd w:val="0"/>
              <w:snapToGrid w:val="0"/>
              <w:ind w:firstLine="320" w:firstLineChars="200"/>
              <w:jc w:val="left"/>
              <w:rPr>
                <w:color w:val="auto"/>
                <w:spacing w:val="-10"/>
                <w:sz w:val="18"/>
                <w:szCs w:val="18"/>
              </w:rPr>
            </w:pPr>
            <w:r>
              <w:rPr>
                <w:rFonts w:hint="eastAsia"/>
                <w:color w:val="auto"/>
                <w:spacing w:val="-10"/>
                <w:sz w:val="18"/>
                <w:szCs w:val="18"/>
              </w:rPr>
              <w:t>③排放口（源）及固体废物贮存场所使用国家环保部门统一制作和监制的环境保护图形标志牌，标志牌应位于醒目处，并长久保留。其中，噪声排放源标志牌应设置在距选定监测点较近且醒目处，设置高度一般为环境保护图形标志牌上缘距离地面2m。</w:t>
            </w:r>
          </w:p>
          <w:p w14:paraId="30AFF491">
            <w:pPr>
              <w:adjustRightInd w:val="0"/>
              <w:snapToGrid w:val="0"/>
              <w:ind w:firstLine="320" w:firstLineChars="200"/>
              <w:jc w:val="left"/>
              <w:rPr>
                <w:color w:val="auto"/>
                <w:spacing w:val="-10"/>
                <w:sz w:val="18"/>
                <w:szCs w:val="18"/>
              </w:rPr>
            </w:pPr>
            <w:r>
              <w:rPr>
                <w:rFonts w:hint="eastAsia"/>
                <w:color w:val="auto"/>
                <w:spacing w:val="-10"/>
                <w:sz w:val="18"/>
                <w:szCs w:val="18"/>
              </w:rPr>
              <w:t xml:space="preserve">（2）排污口建档要求 </w:t>
            </w:r>
          </w:p>
          <w:p w14:paraId="4A1C7912">
            <w:pPr>
              <w:adjustRightInd w:val="0"/>
              <w:snapToGrid w:val="0"/>
              <w:ind w:firstLine="320" w:firstLineChars="200"/>
              <w:jc w:val="left"/>
              <w:rPr>
                <w:color w:val="auto"/>
                <w:spacing w:val="-10"/>
                <w:sz w:val="18"/>
                <w:szCs w:val="18"/>
              </w:rPr>
            </w:pPr>
            <w:r>
              <w:rPr>
                <w:rFonts w:hint="eastAsia"/>
                <w:color w:val="auto"/>
                <w:spacing w:val="-10"/>
                <w:sz w:val="18"/>
                <w:szCs w:val="18"/>
              </w:rPr>
              <w:t>①使用由国家环境保护部门统一印制的《中华人民共和国规范化排污口标志登记证》，并按要求填写相关内容。</w:t>
            </w:r>
          </w:p>
          <w:p w14:paraId="6F5967AF">
            <w:pPr>
              <w:adjustRightInd w:val="0"/>
              <w:snapToGrid w:val="0"/>
              <w:ind w:firstLine="320" w:firstLineChars="200"/>
              <w:jc w:val="left"/>
              <w:rPr>
                <w:color w:val="auto"/>
                <w:spacing w:val="-10"/>
                <w:sz w:val="18"/>
                <w:szCs w:val="18"/>
              </w:rPr>
            </w:pPr>
            <w:r>
              <w:rPr>
                <w:rFonts w:hint="eastAsia"/>
                <w:color w:val="auto"/>
                <w:spacing w:val="-10"/>
                <w:sz w:val="18"/>
                <w:szCs w:val="18"/>
              </w:rPr>
              <w:t>②参考《固定污染源（水、大气）编码规则》（试行）对厂区生产设备、污染治理设备、固定污染源及排放口进行编号。</w:t>
            </w:r>
          </w:p>
          <w:p w14:paraId="7616267A">
            <w:pPr>
              <w:adjustRightInd w:val="0"/>
              <w:snapToGrid w:val="0"/>
              <w:ind w:firstLine="320" w:firstLineChars="200"/>
              <w:jc w:val="left"/>
              <w:rPr>
                <w:color w:val="auto"/>
                <w:spacing w:val="-10"/>
                <w:sz w:val="18"/>
                <w:szCs w:val="18"/>
              </w:rPr>
            </w:pPr>
            <w:r>
              <w:rPr>
                <w:rFonts w:hint="eastAsia"/>
                <w:color w:val="auto"/>
                <w:spacing w:val="-10"/>
                <w:sz w:val="18"/>
                <w:szCs w:val="18"/>
              </w:rPr>
              <w:t>（3）排污口管理要求</w:t>
            </w:r>
          </w:p>
          <w:p w14:paraId="0134B25D">
            <w:pPr>
              <w:adjustRightInd w:val="0"/>
              <w:snapToGrid w:val="0"/>
              <w:ind w:firstLine="320" w:firstLineChars="200"/>
              <w:jc w:val="left"/>
              <w:rPr>
                <w:color w:val="auto"/>
                <w:spacing w:val="-10"/>
                <w:sz w:val="18"/>
                <w:szCs w:val="18"/>
              </w:rPr>
            </w:pPr>
            <w:r>
              <w:rPr>
                <w:rFonts w:hint="eastAsia"/>
                <w:color w:val="auto"/>
                <w:spacing w:val="-10"/>
                <w:sz w:val="18"/>
                <w:szCs w:val="18"/>
              </w:rPr>
              <w:t>①规范化整治排污口的有关设施，将环境保护设施纳入本单位设备管理，制定相应的管理办法和规章制度。</w:t>
            </w:r>
          </w:p>
          <w:p w14:paraId="0FFA3FC7">
            <w:pPr>
              <w:adjustRightInd w:val="0"/>
              <w:snapToGrid w:val="0"/>
              <w:ind w:firstLine="320" w:firstLineChars="200"/>
              <w:jc w:val="left"/>
              <w:rPr>
                <w:rFonts w:hint="eastAsia"/>
                <w:color w:val="auto"/>
                <w:spacing w:val="-10"/>
                <w:sz w:val="18"/>
                <w:szCs w:val="18"/>
              </w:rPr>
            </w:pPr>
            <w:r>
              <w:rPr>
                <w:rFonts w:hint="eastAsia"/>
                <w:color w:val="auto"/>
                <w:spacing w:val="-10"/>
                <w:sz w:val="18"/>
                <w:szCs w:val="18"/>
              </w:rPr>
              <w:t>②排污单位应选派责任心强，有专业知识和技能的兼、专职人员对排污口进行管理，做到责任明确、奖罚分明。</w:t>
            </w:r>
          </w:p>
          <w:p w14:paraId="2E5DB336">
            <w:pPr>
              <w:adjustRightInd w:val="0"/>
              <w:snapToGrid w:val="0"/>
              <w:jc w:val="center"/>
              <w:rPr>
                <w:rFonts w:hint="eastAsia" w:ascii="Times New Roman" w:hAnsi="Times New Roman" w:eastAsia="宋体" w:cs="Times New Roman"/>
                <w:b/>
                <w:bCs/>
                <w:color w:val="auto"/>
                <w:spacing w:val="-10"/>
                <w:sz w:val="18"/>
                <w:szCs w:val="18"/>
                <w:highlight w:val="none"/>
              </w:rPr>
            </w:pPr>
            <w:r>
              <w:rPr>
                <w:rFonts w:hint="eastAsia" w:ascii="Times New Roman" w:hAnsi="Times New Roman" w:eastAsia="宋体" w:cs="Times New Roman"/>
                <w:b/>
                <w:bCs/>
                <w:color w:val="auto"/>
                <w:spacing w:val="-10"/>
                <w:sz w:val="18"/>
                <w:szCs w:val="18"/>
                <w:highlight w:val="none"/>
              </w:rPr>
              <w:t>环境保护图形标志的形状及颜色表</w:t>
            </w:r>
          </w:p>
          <w:tbl>
            <w:tblPr>
              <w:tblStyle w:val="28"/>
              <w:tblW w:w="7417"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840"/>
              <w:gridCol w:w="2205"/>
              <w:gridCol w:w="1839"/>
              <w:gridCol w:w="1533"/>
            </w:tblGrid>
            <w:tr w14:paraId="1CBC59A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1840" w:type="dxa"/>
                  <w:tcBorders>
                    <w:tl2br w:val="nil"/>
                    <w:tr2bl w:val="nil"/>
                  </w:tcBorders>
                  <w:noWrap w:val="0"/>
                  <w:vAlign w:val="center"/>
                </w:tcPr>
                <w:p w14:paraId="4C278F77">
                  <w:pPr>
                    <w:adjustRightInd w:val="0"/>
                    <w:snapToGrid w:val="0"/>
                    <w:jc w:val="center"/>
                    <w:rPr>
                      <w:rFonts w:hint="eastAsia" w:ascii="Times New Roman" w:hAnsi="Times New Roman" w:eastAsia="宋体" w:cs="Times New Roman"/>
                      <w:color w:val="auto"/>
                      <w:spacing w:val="-20"/>
                      <w:sz w:val="18"/>
                      <w:szCs w:val="18"/>
                      <w:lang w:val="en-US" w:eastAsia="zh-CN"/>
                    </w:rPr>
                  </w:pPr>
                  <w:r>
                    <w:rPr>
                      <w:rFonts w:hint="eastAsia" w:ascii="Times New Roman" w:hAnsi="Times New Roman" w:eastAsia="宋体" w:cs="Times New Roman"/>
                      <w:color w:val="auto"/>
                      <w:spacing w:val="-20"/>
                      <w:sz w:val="18"/>
                      <w:szCs w:val="18"/>
                      <w:lang w:val="en-US" w:eastAsia="zh-CN"/>
                    </w:rPr>
                    <w:t>标志名称</w:t>
                  </w:r>
                </w:p>
              </w:tc>
              <w:tc>
                <w:tcPr>
                  <w:tcW w:w="2205" w:type="dxa"/>
                  <w:tcBorders>
                    <w:tl2br w:val="nil"/>
                    <w:tr2bl w:val="nil"/>
                  </w:tcBorders>
                  <w:noWrap w:val="0"/>
                  <w:vAlign w:val="center"/>
                </w:tcPr>
                <w:p w14:paraId="540ABBDF">
                  <w:pPr>
                    <w:adjustRightInd w:val="0"/>
                    <w:snapToGrid w:val="0"/>
                    <w:jc w:val="center"/>
                    <w:rPr>
                      <w:rFonts w:hint="eastAsia" w:ascii="Times New Roman" w:hAnsi="Times New Roman" w:eastAsia="宋体" w:cs="Times New Roman"/>
                      <w:color w:val="auto"/>
                      <w:spacing w:val="-20"/>
                      <w:sz w:val="18"/>
                      <w:szCs w:val="18"/>
                      <w:lang w:val="en-US" w:eastAsia="zh-CN"/>
                    </w:rPr>
                  </w:pPr>
                  <w:r>
                    <w:rPr>
                      <w:rFonts w:hint="eastAsia" w:ascii="Times New Roman" w:hAnsi="Times New Roman" w:eastAsia="宋体" w:cs="Times New Roman"/>
                      <w:color w:val="auto"/>
                      <w:spacing w:val="-20"/>
                      <w:sz w:val="18"/>
                      <w:szCs w:val="18"/>
                      <w:lang w:val="en-US" w:eastAsia="zh-CN"/>
                    </w:rPr>
                    <w:t>形状</w:t>
                  </w:r>
                </w:p>
              </w:tc>
              <w:tc>
                <w:tcPr>
                  <w:tcW w:w="1839" w:type="dxa"/>
                  <w:tcBorders>
                    <w:tl2br w:val="nil"/>
                    <w:tr2bl w:val="nil"/>
                  </w:tcBorders>
                  <w:noWrap w:val="0"/>
                  <w:vAlign w:val="center"/>
                </w:tcPr>
                <w:p w14:paraId="470DABC2">
                  <w:pPr>
                    <w:adjustRightInd w:val="0"/>
                    <w:snapToGrid w:val="0"/>
                    <w:jc w:val="center"/>
                    <w:rPr>
                      <w:rFonts w:hint="eastAsia" w:ascii="Times New Roman" w:hAnsi="Times New Roman" w:eastAsia="宋体" w:cs="Times New Roman"/>
                      <w:color w:val="auto"/>
                      <w:spacing w:val="-20"/>
                      <w:sz w:val="18"/>
                      <w:szCs w:val="18"/>
                      <w:lang w:val="en-US" w:eastAsia="zh-CN"/>
                    </w:rPr>
                  </w:pPr>
                  <w:r>
                    <w:rPr>
                      <w:rFonts w:hint="eastAsia" w:ascii="Times New Roman" w:hAnsi="Times New Roman" w:eastAsia="宋体" w:cs="Times New Roman"/>
                      <w:color w:val="auto"/>
                      <w:spacing w:val="-20"/>
                      <w:sz w:val="18"/>
                      <w:szCs w:val="18"/>
                      <w:lang w:val="en-US" w:eastAsia="zh-CN"/>
                    </w:rPr>
                    <w:t>背景颜色</w:t>
                  </w:r>
                </w:p>
              </w:tc>
              <w:tc>
                <w:tcPr>
                  <w:tcW w:w="1533" w:type="dxa"/>
                  <w:tcBorders>
                    <w:tl2br w:val="nil"/>
                    <w:tr2bl w:val="nil"/>
                  </w:tcBorders>
                  <w:noWrap w:val="0"/>
                  <w:vAlign w:val="center"/>
                </w:tcPr>
                <w:p w14:paraId="66B85D9D">
                  <w:pPr>
                    <w:adjustRightInd w:val="0"/>
                    <w:snapToGrid w:val="0"/>
                    <w:jc w:val="center"/>
                    <w:rPr>
                      <w:rFonts w:hint="eastAsia" w:ascii="Times New Roman" w:hAnsi="Times New Roman" w:eastAsia="宋体" w:cs="Times New Roman"/>
                      <w:color w:val="auto"/>
                      <w:spacing w:val="-20"/>
                      <w:sz w:val="18"/>
                      <w:szCs w:val="18"/>
                      <w:lang w:val="en-US" w:eastAsia="zh-CN"/>
                    </w:rPr>
                  </w:pPr>
                  <w:r>
                    <w:rPr>
                      <w:rFonts w:hint="eastAsia" w:ascii="Times New Roman" w:hAnsi="Times New Roman" w:eastAsia="宋体" w:cs="Times New Roman"/>
                      <w:color w:val="auto"/>
                      <w:spacing w:val="-20"/>
                      <w:sz w:val="18"/>
                      <w:szCs w:val="18"/>
                      <w:lang w:val="en-US" w:eastAsia="zh-CN"/>
                    </w:rPr>
                    <w:t>图形颜色</w:t>
                  </w:r>
                </w:p>
              </w:tc>
            </w:tr>
            <w:tr w14:paraId="2AEB18E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1840" w:type="dxa"/>
                  <w:tcBorders>
                    <w:tl2br w:val="nil"/>
                    <w:tr2bl w:val="nil"/>
                  </w:tcBorders>
                  <w:noWrap w:val="0"/>
                  <w:vAlign w:val="center"/>
                </w:tcPr>
                <w:p w14:paraId="39B896D7">
                  <w:pPr>
                    <w:adjustRightInd w:val="0"/>
                    <w:snapToGrid w:val="0"/>
                    <w:jc w:val="center"/>
                    <w:rPr>
                      <w:rFonts w:hint="eastAsia" w:ascii="Times New Roman" w:hAnsi="Times New Roman" w:eastAsia="宋体" w:cs="Times New Roman"/>
                      <w:color w:val="auto"/>
                      <w:spacing w:val="-20"/>
                      <w:sz w:val="18"/>
                      <w:szCs w:val="18"/>
                      <w:lang w:val="en-US" w:eastAsia="zh-CN"/>
                    </w:rPr>
                  </w:pPr>
                  <w:r>
                    <w:rPr>
                      <w:rFonts w:hint="eastAsia" w:ascii="Times New Roman" w:hAnsi="Times New Roman" w:eastAsia="宋体" w:cs="Times New Roman"/>
                      <w:color w:val="auto"/>
                      <w:spacing w:val="-20"/>
                      <w:sz w:val="18"/>
                      <w:szCs w:val="18"/>
                      <w:lang w:val="en-US" w:eastAsia="zh-CN"/>
                    </w:rPr>
                    <w:t>警告标志</w:t>
                  </w:r>
                </w:p>
              </w:tc>
              <w:tc>
                <w:tcPr>
                  <w:tcW w:w="2205" w:type="dxa"/>
                  <w:tcBorders>
                    <w:tl2br w:val="nil"/>
                    <w:tr2bl w:val="nil"/>
                  </w:tcBorders>
                  <w:noWrap w:val="0"/>
                  <w:vAlign w:val="center"/>
                </w:tcPr>
                <w:p w14:paraId="32E0804F">
                  <w:pPr>
                    <w:adjustRightInd w:val="0"/>
                    <w:snapToGrid w:val="0"/>
                    <w:jc w:val="center"/>
                    <w:rPr>
                      <w:rFonts w:hint="eastAsia" w:ascii="Times New Roman" w:hAnsi="Times New Roman" w:eastAsia="宋体" w:cs="Times New Roman"/>
                      <w:color w:val="auto"/>
                      <w:spacing w:val="-20"/>
                      <w:sz w:val="18"/>
                      <w:szCs w:val="18"/>
                      <w:lang w:val="en-US" w:eastAsia="zh-CN"/>
                    </w:rPr>
                  </w:pPr>
                  <w:r>
                    <w:rPr>
                      <w:rFonts w:hint="eastAsia" w:ascii="Times New Roman" w:hAnsi="Times New Roman" w:eastAsia="宋体" w:cs="Times New Roman"/>
                      <w:color w:val="auto"/>
                      <w:spacing w:val="-20"/>
                      <w:sz w:val="18"/>
                      <w:szCs w:val="18"/>
                      <w:lang w:val="en-US" w:eastAsia="zh-CN"/>
                    </w:rPr>
                    <w:t>三角形边框</w:t>
                  </w:r>
                </w:p>
              </w:tc>
              <w:tc>
                <w:tcPr>
                  <w:tcW w:w="1839" w:type="dxa"/>
                  <w:tcBorders>
                    <w:tl2br w:val="nil"/>
                    <w:tr2bl w:val="nil"/>
                  </w:tcBorders>
                  <w:noWrap w:val="0"/>
                  <w:vAlign w:val="center"/>
                </w:tcPr>
                <w:p w14:paraId="64E38CED">
                  <w:pPr>
                    <w:adjustRightInd w:val="0"/>
                    <w:snapToGrid w:val="0"/>
                    <w:jc w:val="center"/>
                    <w:rPr>
                      <w:rFonts w:hint="eastAsia" w:ascii="Times New Roman" w:hAnsi="Times New Roman" w:eastAsia="宋体" w:cs="Times New Roman"/>
                      <w:color w:val="auto"/>
                      <w:spacing w:val="-20"/>
                      <w:sz w:val="18"/>
                      <w:szCs w:val="18"/>
                      <w:lang w:val="en-US" w:eastAsia="zh-CN"/>
                    </w:rPr>
                  </w:pPr>
                  <w:r>
                    <w:rPr>
                      <w:rFonts w:hint="eastAsia" w:ascii="Times New Roman" w:hAnsi="Times New Roman" w:eastAsia="宋体" w:cs="Times New Roman"/>
                      <w:color w:val="auto"/>
                      <w:spacing w:val="-20"/>
                      <w:sz w:val="18"/>
                      <w:szCs w:val="18"/>
                      <w:lang w:val="en-US" w:eastAsia="zh-CN"/>
                    </w:rPr>
                    <w:t>黄色</w:t>
                  </w:r>
                </w:p>
              </w:tc>
              <w:tc>
                <w:tcPr>
                  <w:tcW w:w="1533" w:type="dxa"/>
                  <w:tcBorders>
                    <w:tl2br w:val="nil"/>
                    <w:tr2bl w:val="nil"/>
                  </w:tcBorders>
                  <w:noWrap w:val="0"/>
                  <w:vAlign w:val="center"/>
                </w:tcPr>
                <w:p w14:paraId="5894E662">
                  <w:pPr>
                    <w:adjustRightInd w:val="0"/>
                    <w:snapToGrid w:val="0"/>
                    <w:jc w:val="center"/>
                    <w:rPr>
                      <w:rFonts w:hint="eastAsia" w:ascii="Times New Roman" w:hAnsi="Times New Roman" w:eastAsia="宋体" w:cs="Times New Roman"/>
                      <w:color w:val="auto"/>
                      <w:spacing w:val="-20"/>
                      <w:sz w:val="18"/>
                      <w:szCs w:val="18"/>
                      <w:lang w:val="en-US" w:eastAsia="zh-CN"/>
                    </w:rPr>
                  </w:pPr>
                  <w:r>
                    <w:rPr>
                      <w:rFonts w:hint="eastAsia" w:ascii="Times New Roman" w:hAnsi="Times New Roman" w:eastAsia="宋体" w:cs="Times New Roman"/>
                      <w:color w:val="auto"/>
                      <w:spacing w:val="-20"/>
                      <w:sz w:val="18"/>
                      <w:szCs w:val="18"/>
                      <w:lang w:val="en-US" w:eastAsia="zh-CN"/>
                    </w:rPr>
                    <w:t>黑色</w:t>
                  </w:r>
                </w:p>
              </w:tc>
            </w:tr>
            <w:tr w14:paraId="4BD9B09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1840" w:type="dxa"/>
                  <w:tcBorders>
                    <w:tl2br w:val="nil"/>
                    <w:tr2bl w:val="nil"/>
                  </w:tcBorders>
                  <w:noWrap w:val="0"/>
                  <w:vAlign w:val="center"/>
                </w:tcPr>
                <w:p w14:paraId="148FD516">
                  <w:pPr>
                    <w:adjustRightInd w:val="0"/>
                    <w:snapToGrid w:val="0"/>
                    <w:jc w:val="center"/>
                    <w:rPr>
                      <w:rFonts w:hint="eastAsia" w:ascii="Times New Roman" w:hAnsi="Times New Roman" w:eastAsia="宋体" w:cs="Times New Roman"/>
                      <w:color w:val="auto"/>
                      <w:spacing w:val="-20"/>
                      <w:sz w:val="18"/>
                      <w:szCs w:val="18"/>
                      <w:lang w:val="en-US" w:eastAsia="zh-CN"/>
                    </w:rPr>
                  </w:pPr>
                  <w:r>
                    <w:rPr>
                      <w:rFonts w:hint="eastAsia" w:ascii="Times New Roman" w:hAnsi="Times New Roman" w:eastAsia="宋体" w:cs="Times New Roman"/>
                      <w:color w:val="auto"/>
                      <w:spacing w:val="-20"/>
                      <w:sz w:val="18"/>
                      <w:szCs w:val="18"/>
                      <w:lang w:val="en-US" w:eastAsia="zh-CN"/>
                    </w:rPr>
                    <w:t>提示标志</w:t>
                  </w:r>
                </w:p>
              </w:tc>
              <w:tc>
                <w:tcPr>
                  <w:tcW w:w="2205" w:type="dxa"/>
                  <w:tcBorders>
                    <w:tl2br w:val="nil"/>
                    <w:tr2bl w:val="nil"/>
                  </w:tcBorders>
                  <w:noWrap w:val="0"/>
                  <w:vAlign w:val="center"/>
                </w:tcPr>
                <w:p w14:paraId="4A57249E">
                  <w:pPr>
                    <w:adjustRightInd w:val="0"/>
                    <w:snapToGrid w:val="0"/>
                    <w:jc w:val="center"/>
                    <w:rPr>
                      <w:rFonts w:hint="eastAsia" w:ascii="Times New Roman" w:hAnsi="Times New Roman" w:eastAsia="宋体" w:cs="Times New Roman"/>
                      <w:color w:val="auto"/>
                      <w:spacing w:val="-20"/>
                      <w:sz w:val="18"/>
                      <w:szCs w:val="18"/>
                      <w:lang w:val="en-US" w:eastAsia="zh-CN"/>
                    </w:rPr>
                  </w:pPr>
                  <w:r>
                    <w:rPr>
                      <w:rFonts w:hint="eastAsia" w:ascii="Times New Roman" w:hAnsi="Times New Roman" w:eastAsia="宋体" w:cs="Times New Roman"/>
                      <w:color w:val="auto"/>
                      <w:spacing w:val="-20"/>
                      <w:sz w:val="18"/>
                      <w:szCs w:val="18"/>
                      <w:lang w:val="en-US" w:eastAsia="zh-CN"/>
                    </w:rPr>
                    <w:t>正方形边框</w:t>
                  </w:r>
                </w:p>
              </w:tc>
              <w:tc>
                <w:tcPr>
                  <w:tcW w:w="1839" w:type="dxa"/>
                  <w:tcBorders>
                    <w:tl2br w:val="nil"/>
                    <w:tr2bl w:val="nil"/>
                  </w:tcBorders>
                  <w:noWrap w:val="0"/>
                  <w:vAlign w:val="center"/>
                </w:tcPr>
                <w:p w14:paraId="71EC98F3">
                  <w:pPr>
                    <w:adjustRightInd w:val="0"/>
                    <w:snapToGrid w:val="0"/>
                    <w:jc w:val="center"/>
                    <w:rPr>
                      <w:rFonts w:hint="eastAsia" w:ascii="Times New Roman" w:hAnsi="Times New Roman" w:eastAsia="宋体" w:cs="Times New Roman"/>
                      <w:color w:val="auto"/>
                      <w:spacing w:val="-20"/>
                      <w:sz w:val="18"/>
                      <w:szCs w:val="18"/>
                      <w:lang w:val="en-US" w:eastAsia="zh-CN"/>
                    </w:rPr>
                  </w:pPr>
                  <w:r>
                    <w:rPr>
                      <w:rFonts w:hint="eastAsia" w:ascii="Times New Roman" w:hAnsi="Times New Roman" w:eastAsia="宋体" w:cs="Times New Roman"/>
                      <w:color w:val="auto"/>
                      <w:spacing w:val="-20"/>
                      <w:sz w:val="18"/>
                      <w:szCs w:val="18"/>
                      <w:lang w:val="en-US" w:eastAsia="zh-CN"/>
                    </w:rPr>
                    <w:t>绿色</w:t>
                  </w:r>
                </w:p>
              </w:tc>
              <w:tc>
                <w:tcPr>
                  <w:tcW w:w="1533" w:type="dxa"/>
                  <w:tcBorders>
                    <w:tl2br w:val="nil"/>
                    <w:tr2bl w:val="nil"/>
                  </w:tcBorders>
                  <w:noWrap w:val="0"/>
                  <w:vAlign w:val="center"/>
                </w:tcPr>
                <w:p w14:paraId="78D42725">
                  <w:pPr>
                    <w:adjustRightInd w:val="0"/>
                    <w:snapToGrid w:val="0"/>
                    <w:jc w:val="center"/>
                    <w:rPr>
                      <w:rFonts w:hint="eastAsia" w:ascii="Times New Roman" w:hAnsi="Times New Roman" w:eastAsia="宋体" w:cs="Times New Roman"/>
                      <w:color w:val="auto"/>
                      <w:spacing w:val="-20"/>
                      <w:sz w:val="18"/>
                      <w:szCs w:val="18"/>
                      <w:lang w:val="en-US" w:eastAsia="zh-CN"/>
                    </w:rPr>
                  </w:pPr>
                  <w:r>
                    <w:rPr>
                      <w:rFonts w:hint="eastAsia" w:ascii="Times New Roman" w:hAnsi="Times New Roman" w:eastAsia="宋体" w:cs="Times New Roman"/>
                      <w:color w:val="auto"/>
                      <w:spacing w:val="-20"/>
                      <w:sz w:val="18"/>
                      <w:szCs w:val="18"/>
                      <w:lang w:val="en-US" w:eastAsia="zh-CN"/>
                    </w:rPr>
                    <w:t>白色</w:t>
                  </w:r>
                </w:p>
              </w:tc>
            </w:tr>
          </w:tbl>
          <w:p w14:paraId="22C10E76">
            <w:pPr>
              <w:adjustRightInd w:val="0"/>
              <w:snapToGrid w:val="0"/>
              <w:jc w:val="center"/>
              <w:rPr>
                <w:rFonts w:hint="eastAsia" w:ascii="Times New Roman" w:hAnsi="Times New Roman" w:eastAsia="宋体" w:cs="Times New Roman"/>
                <w:b/>
                <w:bCs/>
                <w:color w:val="auto"/>
                <w:spacing w:val="-10"/>
                <w:sz w:val="18"/>
                <w:szCs w:val="18"/>
                <w:highlight w:val="none"/>
              </w:rPr>
            </w:pPr>
            <w:bookmarkStart w:id="25" w:name="_Toc523908313"/>
            <w:r>
              <w:rPr>
                <w:rFonts w:hint="eastAsia" w:ascii="Times New Roman" w:hAnsi="Times New Roman" w:eastAsia="宋体" w:cs="Times New Roman"/>
                <w:b/>
                <w:bCs/>
                <w:color w:val="auto"/>
                <w:spacing w:val="-10"/>
                <w:sz w:val="18"/>
                <w:szCs w:val="18"/>
                <w:highlight w:val="none"/>
              </w:rPr>
              <w:t>环境保护图形符号一览表</w:t>
            </w:r>
          </w:p>
          <w:tbl>
            <w:tblPr>
              <w:tblStyle w:val="28"/>
              <w:tblW w:w="7435"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4605"/>
              <w:gridCol w:w="1000"/>
              <w:gridCol w:w="1830"/>
            </w:tblGrid>
            <w:tr w14:paraId="333C39A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12" w:hRule="atLeast"/>
                <w:jc w:val="center"/>
              </w:trPr>
              <w:tc>
                <w:tcPr>
                  <w:tcW w:w="4605" w:type="dxa"/>
                  <w:tcBorders>
                    <w:tl2br w:val="nil"/>
                    <w:tr2bl w:val="nil"/>
                  </w:tcBorders>
                  <w:noWrap w:val="0"/>
                  <w:vAlign w:val="center"/>
                </w:tcPr>
                <w:p w14:paraId="47941CE3">
                  <w:pPr>
                    <w:adjustRightInd w:val="0"/>
                    <w:snapToGrid w:val="0"/>
                    <w:jc w:val="center"/>
                    <w:rPr>
                      <w:rFonts w:hint="eastAsia" w:ascii="Times New Roman" w:hAnsi="Times New Roman" w:eastAsia="宋体" w:cs="Times New Roman"/>
                      <w:color w:val="auto"/>
                      <w:spacing w:val="-20"/>
                      <w:sz w:val="18"/>
                      <w:szCs w:val="18"/>
                      <w:lang w:val="en-US" w:eastAsia="zh-CN"/>
                    </w:rPr>
                  </w:pPr>
                  <w:r>
                    <w:rPr>
                      <w:rFonts w:hint="eastAsia" w:ascii="Times New Roman" w:hAnsi="Times New Roman" w:eastAsia="宋体" w:cs="Times New Roman"/>
                      <w:color w:val="auto"/>
                      <w:spacing w:val="-20"/>
                      <w:sz w:val="18"/>
                      <w:szCs w:val="18"/>
                      <w:lang w:val="en-US" w:eastAsia="zh-CN"/>
                    </w:rPr>
                    <w:t>提示图形符号</w:t>
                  </w:r>
                </w:p>
              </w:tc>
              <w:tc>
                <w:tcPr>
                  <w:tcW w:w="1000" w:type="dxa"/>
                  <w:tcBorders>
                    <w:tl2br w:val="nil"/>
                    <w:tr2bl w:val="nil"/>
                  </w:tcBorders>
                  <w:noWrap w:val="0"/>
                  <w:vAlign w:val="center"/>
                </w:tcPr>
                <w:p w14:paraId="513F2E4B">
                  <w:pPr>
                    <w:adjustRightInd w:val="0"/>
                    <w:snapToGrid w:val="0"/>
                    <w:jc w:val="center"/>
                    <w:rPr>
                      <w:rFonts w:hint="eastAsia" w:ascii="Times New Roman" w:hAnsi="Times New Roman" w:eastAsia="宋体" w:cs="Times New Roman"/>
                      <w:color w:val="auto"/>
                      <w:spacing w:val="-20"/>
                      <w:sz w:val="18"/>
                      <w:szCs w:val="18"/>
                      <w:lang w:val="en-US" w:eastAsia="zh-CN"/>
                    </w:rPr>
                  </w:pPr>
                  <w:r>
                    <w:rPr>
                      <w:rFonts w:hint="eastAsia" w:ascii="Times New Roman" w:hAnsi="Times New Roman" w:eastAsia="宋体" w:cs="Times New Roman"/>
                      <w:color w:val="auto"/>
                      <w:spacing w:val="-20"/>
                      <w:sz w:val="18"/>
                      <w:szCs w:val="18"/>
                      <w:lang w:val="en-US" w:eastAsia="zh-CN"/>
                    </w:rPr>
                    <w:t>名称</w:t>
                  </w:r>
                </w:p>
              </w:tc>
              <w:tc>
                <w:tcPr>
                  <w:tcW w:w="1830" w:type="dxa"/>
                  <w:tcBorders>
                    <w:tl2br w:val="nil"/>
                    <w:tr2bl w:val="nil"/>
                  </w:tcBorders>
                  <w:noWrap w:val="0"/>
                  <w:vAlign w:val="center"/>
                </w:tcPr>
                <w:p w14:paraId="283FF5A0">
                  <w:pPr>
                    <w:adjustRightInd w:val="0"/>
                    <w:snapToGrid w:val="0"/>
                    <w:jc w:val="center"/>
                    <w:rPr>
                      <w:rFonts w:hint="eastAsia" w:ascii="Times New Roman" w:hAnsi="Times New Roman" w:eastAsia="宋体" w:cs="Times New Roman"/>
                      <w:color w:val="auto"/>
                      <w:spacing w:val="-20"/>
                      <w:sz w:val="18"/>
                      <w:szCs w:val="18"/>
                      <w:lang w:val="en-US" w:eastAsia="zh-CN"/>
                    </w:rPr>
                  </w:pPr>
                  <w:r>
                    <w:rPr>
                      <w:rFonts w:hint="eastAsia" w:ascii="Times New Roman" w:hAnsi="Times New Roman" w:eastAsia="宋体" w:cs="Times New Roman"/>
                      <w:color w:val="auto"/>
                      <w:spacing w:val="-20"/>
                      <w:sz w:val="18"/>
                      <w:szCs w:val="18"/>
                      <w:lang w:val="en-US" w:eastAsia="zh-CN"/>
                    </w:rPr>
                    <w:t>功能</w:t>
                  </w:r>
                </w:p>
              </w:tc>
            </w:tr>
            <w:tr w14:paraId="674CFD3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847" w:hRule="atLeast"/>
                <w:jc w:val="center"/>
              </w:trPr>
              <w:tc>
                <w:tcPr>
                  <w:tcW w:w="4605" w:type="dxa"/>
                  <w:tcBorders>
                    <w:tl2br w:val="nil"/>
                    <w:tr2bl w:val="nil"/>
                  </w:tcBorders>
                  <w:noWrap w:val="0"/>
                  <w:vAlign w:val="center"/>
                </w:tcPr>
                <w:p w14:paraId="5CC629C4">
                  <w:pPr>
                    <w:adjustRightInd w:val="0"/>
                    <w:snapToGrid w:val="0"/>
                    <w:jc w:val="center"/>
                    <w:rPr>
                      <w:rFonts w:hint="eastAsia" w:ascii="Times New Roman" w:hAnsi="Times New Roman" w:eastAsia="宋体" w:cs="Times New Roman"/>
                      <w:color w:val="auto"/>
                      <w:spacing w:val="-20"/>
                      <w:sz w:val="18"/>
                      <w:szCs w:val="18"/>
                      <w:lang w:val="en-US" w:eastAsia="zh-CN"/>
                    </w:rPr>
                  </w:pPr>
                  <w:r>
                    <w:rPr>
                      <w:rFonts w:hint="eastAsia" w:ascii="Times New Roman" w:hAnsi="Times New Roman" w:eastAsia="宋体" w:cs="Times New Roman"/>
                      <w:color w:val="auto"/>
                      <w:spacing w:val="-20"/>
                      <w:sz w:val="18"/>
                      <w:szCs w:val="18"/>
                      <w:lang w:val="en-US" w:eastAsia="zh-CN"/>
                    </w:rPr>
                    <w:drawing>
                      <wp:anchor distT="0" distB="0" distL="114300" distR="114300" simplePos="0" relativeHeight="251678720" behindDoc="0" locked="0" layoutInCell="1" allowOverlap="1">
                        <wp:simplePos x="0" y="0"/>
                        <wp:positionH relativeFrom="column">
                          <wp:posOffset>220345</wp:posOffset>
                        </wp:positionH>
                        <wp:positionV relativeFrom="paragraph">
                          <wp:posOffset>31750</wp:posOffset>
                        </wp:positionV>
                        <wp:extent cx="2192020" cy="1131570"/>
                        <wp:effectExtent l="0" t="0" r="17780" b="11430"/>
                        <wp:wrapSquare wrapText="bothSides"/>
                        <wp:docPr id="144" name="图片 20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 name="图片 2086"/>
                                <pic:cNvPicPr>
                                  <a:picLocks noChangeAspect="1"/>
                                </pic:cNvPicPr>
                              </pic:nvPicPr>
                              <pic:blipFill>
                                <a:blip r:embed="rId18"/>
                                <a:stretch>
                                  <a:fillRect/>
                                </a:stretch>
                              </pic:blipFill>
                              <pic:spPr>
                                <a:xfrm>
                                  <a:off x="0" y="0"/>
                                  <a:ext cx="2192020" cy="1131570"/>
                                </a:xfrm>
                                <a:prstGeom prst="rect">
                                  <a:avLst/>
                                </a:prstGeom>
                                <a:noFill/>
                                <a:ln>
                                  <a:noFill/>
                                </a:ln>
                              </pic:spPr>
                            </pic:pic>
                          </a:graphicData>
                        </a:graphic>
                      </wp:anchor>
                    </w:drawing>
                  </w:r>
                </w:p>
              </w:tc>
              <w:tc>
                <w:tcPr>
                  <w:tcW w:w="1000" w:type="dxa"/>
                  <w:tcBorders>
                    <w:tl2br w:val="nil"/>
                    <w:tr2bl w:val="nil"/>
                  </w:tcBorders>
                  <w:noWrap w:val="0"/>
                  <w:vAlign w:val="center"/>
                </w:tcPr>
                <w:p w14:paraId="371E01D3">
                  <w:pPr>
                    <w:adjustRightInd w:val="0"/>
                    <w:snapToGrid w:val="0"/>
                    <w:jc w:val="center"/>
                    <w:rPr>
                      <w:rFonts w:hint="eastAsia" w:ascii="Times New Roman" w:hAnsi="Times New Roman" w:eastAsia="宋体" w:cs="Times New Roman"/>
                      <w:color w:val="auto"/>
                      <w:spacing w:val="-20"/>
                      <w:sz w:val="18"/>
                      <w:szCs w:val="18"/>
                      <w:lang w:val="en-US" w:eastAsia="zh-CN"/>
                    </w:rPr>
                  </w:pPr>
                  <w:r>
                    <w:rPr>
                      <w:rFonts w:hint="eastAsia" w:ascii="Times New Roman" w:hAnsi="Times New Roman" w:eastAsia="宋体" w:cs="Times New Roman"/>
                      <w:color w:val="auto"/>
                      <w:spacing w:val="-20"/>
                      <w:sz w:val="18"/>
                      <w:szCs w:val="18"/>
                      <w:lang w:val="en-US" w:eastAsia="zh-CN"/>
                    </w:rPr>
                    <w:t>废气排放口</w:t>
                  </w:r>
                </w:p>
              </w:tc>
              <w:tc>
                <w:tcPr>
                  <w:tcW w:w="1830" w:type="dxa"/>
                  <w:tcBorders>
                    <w:tl2br w:val="nil"/>
                    <w:tr2bl w:val="nil"/>
                  </w:tcBorders>
                  <w:noWrap w:val="0"/>
                  <w:vAlign w:val="center"/>
                </w:tcPr>
                <w:p w14:paraId="181231C6">
                  <w:pPr>
                    <w:adjustRightInd w:val="0"/>
                    <w:snapToGrid w:val="0"/>
                    <w:jc w:val="center"/>
                    <w:rPr>
                      <w:rFonts w:hint="eastAsia" w:ascii="Times New Roman" w:hAnsi="Times New Roman" w:eastAsia="宋体" w:cs="Times New Roman"/>
                      <w:color w:val="auto"/>
                      <w:spacing w:val="-20"/>
                      <w:sz w:val="18"/>
                      <w:szCs w:val="18"/>
                      <w:lang w:val="en-US" w:eastAsia="zh-CN"/>
                    </w:rPr>
                  </w:pPr>
                  <w:r>
                    <w:rPr>
                      <w:rFonts w:hint="eastAsia" w:ascii="Times New Roman" w:hAnsi="Times New Roman" w:eastAsia="宋体" w:cs="Times New Roman"/>
                      <w:color w:val="auto"/>
                      <w:spacing w:val="-20"/>
                      <w:sz w:val="18"/>
                      <w:szCs w:val="18"/>
                      <w:lang w:val="en-US" w:eastAsia="zh-CN"/>
                    </w:rPr>
                    <w:t>表示废气向大气环境排放</w:t>
                  </w:r>
                </w:p>
              </w:tc>
            </w:tr>
            <w:tr w14:paraId="6FE8279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796" w:hRule="atLeast"/>
                <w:jc w:val="center"/>
              </w:trPr>
              <w:tc>
                <w:tcPr>
                  <w:tcW w:w="4605" w:type="dxa"/>
                  <w:tcBorders>
                    <w:tl2br w:val="nil"/>
                    <w:tr2bl w:val="nil"/>
                  </w:tcBorders>
                  <w:noWrap w:val="0"/>
                  <w:vAlign w:val="center"/>
                </w:tcPr>
                <w:p w14:paraId="44B20F47">
                  <w:pPr>
                    <w:adjustRightInd w:val="0"/>
                    <w:snapToGrid w:val="0"/>
                    <w:jc w:val="center"/>
                    <w:rPr>
                      <w:rFonts w:hint="eastAsia" w:ascii="Times New Roman" w:hAnsi="Times New Roman" w:eastAsia="宋体" w:cs="Times New Roman"/>
                      <w:color w:val="auto"/>
                      <w:spacing w:val="-20"/>
                      <w:sz w:val="18"/>
                      <w:szCs w:val="18"/>
                      <w:lang w:val="en-US" w:eastAsia="zh-CN"/>
                    </w:rPr>
                  </w:pPr>
                  <w:r>
                    <w:rPr>
                      <w:rFonts w:hint="eastAsia" w:ascii="Times New Roman" w:hAnsi="Times New Roman" w:eastAsia="宋体" w:cs="Times New Roman"/>
                      <w:color w:val="auto"/>
                      <w:spacing w:val="-20"/>
                      <w:sz w:val="18"/>
                      <w:szCs w:val="18"/>
                      <w:lang w:val="en-US" w:eastAsia="zh-CN"/>
                    </w:rPr>
                    <w:drawing>
                      <wp:anchor distT="0" distB="0" distL="114300" distR="114300" simplePos="0" relativeHeight="251679744" behindDoc="0" locked="0" layoutInCell="1" allowOverlap="1">
                        <wp:simplePos x="0" y="0"/>
                        <wp:positionH relativeFrom="column">
                          <wp:posOffset>218440</wp:posOffset>
                        </wp:positionH>
                        <wp:positionV relativeFrom="paragraph">
                          <wp:posOffset>20320</wp:posOffset>
                        </wp:positionV>
                        <wp:extent cx="2192655" cy="1130300"/>
                        <wp:effectExtent l="0" t="0" r="17145" b="12700"/>
                        <wp:wrapSquare wrapText="bothSides"/>
                        <wp:docPr id="60" name="图片 2088"/>
                        <wp:cNvGraphicFramePr/>
                        <a:graphic xmlns:a="http://schemas.openxmlformats.org/drawingml/2006/main">
                          <a:graphicData uri="http://schemas.openxmlformats.org/drawingml/2006/picture">
                            <pic:pic xmlns:pic="http://schemas.openxmlformats.org/drawingml/2006/picture">
                              <pic:nvPicPr>
                                <pic:cNvPr id="60" name="图片 2088"/>
                                <pic:cNvPicPr/>
                              </pic:nvPicPr>
                              <pic:blipFill>
                                <a:blip r:embed="rId19"/>
                                <a:stretch>
                                  <a:fillRect/>
                                </a:stretch>
                              </pic:blipFill>
                              <pic:spPr>
                                <a:xfrm>
                                  <a:off x="0" y="0"/>
                                  <a:ext cx="2192655" cy="1130300"/>
                                </a:xfrm>
                                <a:prstGeom prst="rect">
                                  <a:avLst/>
                                </a:prstGeom>
                                <a:noFill/>
                                <a:ln>
                                  <a:noFill/>
                                </a:ln>
                              </pic:spPr>
                            </pic:pic>
                          </a:graphicData>
                        </a:graphic>
                      </wp:anchor>
                    </w:drawing>
                  </w:r>
                </w:p>
              </w:tc>
              <w:tc>
                <w:tcPr>
                  <w:tcW w:w="1000" w:type="dxa"/>
                  <w:tcBorders>
                    <w:tl2br w:val="nil"/>
                    <w:tr2bl w:val="nil"/>
                  </w:tcBorders>
                  <w:noWrap w:val="0"/>
                  <w:vAlign w:val="center"/>
                </w:tcPr>
                <w:p w14:paraId="297DFC0E">
                  <w:pPr>
                    <w:adjustRightInd w:val="0"/>
                    <w:snapToGrid w:val="0"/>
                    <w:jc w:val="center"/>
                    <w:rPr>
                      <w:rFonts w:hint="eastAsia" w:ascii="Times New Roman" w:hAnsi="Times New Roman" w:eastAsia="宋体" w:cs="Times New Roman"/>
                      <w:color w:val="auto"/>
                      <w:spacing w:val="-20"/>
                      <w:sz w:val="18"/>
                      <w:szCs w:val="18"/>
                      <w:lang w:val="en-US" w:eastAsia="zh-CN"/>
                    </w:rPr>
                  </w:pPr>
                  <w:r>
                    <w:rPr>
                      <w:rFonts w:hint="eastAsia" w:ascii="Times New Roman" w:hAnsi="Times New Roman" w:eastAsia="宋体" w:cs="Times New Roman"/>
                      <w:color w:val="auto"/>
                      <w:spacing w:val="-20"/>
                      <w:sz w:val="18"/>
                      <w:szCs w:val="18"/>
                      <w:lang w:val="en-US" w:eastAsia="zh-CN"/>
                    </w:rPr>
                    <w:t>一般废物</w:t>
                  </w:r>
                </w:p>
              </w:tc>
              <w:tc>
                <w:tcPr>
                  <w:tcW w:w="1830" w:type="dxa"/>
                  <w:tcBorders>
                    <w:tl2br w:val="nil"/>
                    <w:tr2bl w:val="nil"/>
                  </w:tcBorders>
                  <w:noWrap w:val="0"/>
                  <w:vAlign w:val="center"/>
                </w:tcPr>
                <w:p w14:paraId="47E6005D">
                  <w:pPr>
                    <w:adjustRightInd w:val="0"/>
                    <w:snapToGrid w:val="0"/>
                    <w:jc w:val="center"/>
                    <w:rPr>
                      <w:rFonts w:hint="eastAsia" w:ascii="Times New Roman" w:hAnsi="Times New Roman" w:eastAsia="宋体" w:cs="Times New Roman"/>
                      <w:color w:val="auto"/>
                      <w:spacing w:val="-20"/>
                      <w:sz w:val="18"/>
                      <w:szCs w:val="18"/>
                      <w:lang w:val="en-US" w:eastAsia="zh-CN"/>
                    </w:rPr>
                  </w:pPr>
                  <w:r>
                    <w:rPr>
                      <w:rFonts w:hint="eastAsia" w:ascii="Times New Roman" w:hAnsi="Times New Roman" w:eastAsia="宋体" w:cs="Times New Roman"/>
                      <w:color w:val="auto"/>
                      <w:spacing w:val="-20"/>
                      <w:sz w:val="18"/>
                      <w:szCs w:val="18"/>
                      <w:lang w:val="en-US" w:eastAsia="zh-CN"/>
                    </w:rPr>
                    <w:t>一般固废暂存区</w:t>
                  </w:r>
                </w:p>
              </w:tc>
            </w:tr>
            <w:tr w14:paraId="38C0849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187" w:hRule="atLeast"/>
                <w:jc w:val="center"/>
              </w:trPr>
              <w:tc>
                <w:tcPr>
                  <w:tcW w:w="4605" w:type="dxa"/>
                  <w:tcBorders>
                    <w:tl2br w:val="nil"/>
                    <w:tr2bl w:val="nil"/>
                  </w:tcBorders>
                  <w:noWrap w:val="0"/>
                  <w:vAlign w:val="center"/>
                </w:tcPr>
                <w:p w14:paraId="0A35BEF9">
                  <w:pPr>
                    <w:adjustRightInd w:val="0"/>
                    <w:snapToGrid w:val="0"/>
                    <w:jc w:val="center"/>
                    <w:rPr>
                      <w:rFonts w:hint="eastAsia" w:ascii="Times New Roman" w:hAnsi="Times New Roman" w:eastAsia="宋体" w:cs="Times New Roman"/>
                      <w:color w:val="auto"/>
                      <w:spacing w:val="-20"/>
                      <w:sz w:val="18"/>
                      <w:szCs w:val="18"/>
                      <w:lang w:val="en-US" w:eastAsia="zh-CN"/>
                    </w:rPr>
                  </w:pPr>
                  <w:r>
                    <w:rPr>
                      <w:rFonts w:hint="eastAsia" w:ascii="Times New Roman" w:hAnsi="Times New Roman" w:eastAsia="宋体" w:cs="Times New Roman"/>
                      <w:color w:val="auto"/>
                      <w:spacing w:val="-20"/>
                      <w:sz w:val="18"/>
                      <w:szCs w:val="18"/>
                      <w:lang w:val="en-US" w:eastAsia="zh-CN"/>
                    </w:rPr>
                    <w:drawing>
                      <wp:anchor distT="0" distB="0" distL="114300" distR="114300" simplePos="0" relativeHeight="251680768" behindDoc="0" locked="0" layoutInCell="1" allowOverlap="1">
                        <wp:simplePos x="0" y="0"/>
                        <wp:positionH relativeFrom="column">
                          <wp:posOffset>31750</wp:posOffset>
                        </wp:positionH>
                        <wp:positionV relativeFrom="paragraph">
                          <wp:posOffset>19685</wp:posOffset>
                        </wp:positionV>
                        <wp:extent cx="1338580" cy="1337310"/>
                        <wp:effectExtent l="0" t="0" r="13970" b="15240"/>
                        <wp:wrapSquare wrapText="bothSides"/>
                        <wp:docPr id="98" name="图片 20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 name="图片 2090"/>
                                <pic:cNvPicPr>
                                  <a:picLocks noChangeAspect="1"/>
                                </pic:cNvPicPr>
                              </pic:nvPicPr>
                              <pic:blipFill>
                                <a:blip r:embed="rId20"/>
                                <a:stretch>
                                  <a:fillRect/>
                                </a:stretch>
                              </pic:blipFill>
                              <pic:spPr>
                                <a:xfrm>
                                  <a:off x="0" y="0"/>
                                  <a:ext cx="1338580" cy="1337310"/>
                                </a:xfrm>
                                <a:prstGeom prst="rect">
                                  <a:avLst/>
                                </a:prstGeom>
                                <a:noFill/>
                                <a:ln>
                                  <a:noFill/>
                                </a:ln>
                              </pic:spPr>
                            </pic:pic>
                          </a:graphicData>
                        </a:graphic>
                      </wp:anchor>
                    </w:drawing>
                  </w:r>
                  <w:r>
                    <w:rPr>
                      <w:rFonts w:hint="eastAsia" w:ascii="Times New Roman" w:hAnsi="Times New Roman" w:eastAsia="宋体" w:cs="Times New Roman"/>
                      <w:color w:val="auto"/>
                      <w:spacing w:val="-20"/>
                      <w:sz w:val="18"/>
                      <w:szCs w:val="18"/>
                      <w:lang w:val="en-US" w:eastAsia="zh-CN"/>
                    </w:rPr>
                    <w:drawing>
                      <wp:anchor distT="0" distB="0" distL="114300" distR="114300" simplePos="0" relativeHeight="251682816" behindDoc="0" locked="0" layoutInCell="1" allowOverlap="1">
                        <wp:simplePos x="0" y="0"/>
                        <wp:positionH relativeFrom="column">
                          <wp:posOffset>-60960</wp:posOffset>
                        </wp:positionH>
                        <wp:positionV relativeFrom="paragraph">
                          <wp:posOffset>107315</wp:posOffset>
                        </wp:positionV>
                        <wp:extent cx="1310640" cy="1175385"/>
                        <wp:effectExtent l="0" t="0" r="3810" b="5715"/>
                        <wp:wrapNone/>
                        <wp:docPr id="150"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 name="图片 4"/>
                                <pic:cNvPicPr>
                                  <a:picLocks noChangeAspect="1"/>
                                </pic:cNvPicPr>
                              </pic:nvPicPr>
                              <pic:blipFill>
                                <a:blip r:embed="rId21"/>
                                <a:stretch>
                                  <a:fillRect/>
                                </a:stretch>
                              </pic:blipFill>
                              <pic:spPr>
                                <a:xfrm>
                                  <a:off x="0" y="0"/>
                                  <a:ext cx="1310640" cy="1175385"/>
                                </a:xfrm>
                                <a:prstGeom prst="rect">
                                  <a:avLst/>
                                </a:prstGeom>
                                <a:noFill/>
                                <a:ln>
                                  <a:noFill/>
                                </a:ln>
                              </pic:spPr>
                            </pic:pic>
                          </a:graphicData>
                        </a:graphic>
                      </wp:anchor>
                    </w:drawing>
                  </w:r>
                </w:p>
              </w:tc>
              <w:tc>
                <w:tcPr>
                  <w:tcW w:w="1000" w:type="dxa"/>
                  <w:tcBorders>
                    <w:tl2br w:val="nil"/>
                    <w:tr2bl w:val="nil"/>
                  </w:tcBorders>
                  <w:noWrap w:val="0"/>
                  <w:vAlign w:val="center"/>
                </w:tcPr>
                <w:p w14:paraId="3B51A212">
                  <w:pPr>
                    <w:adjustRightInd w:val="0"/>
                    <w:snapToGrid w:val="0"/>
                    <w:jc w:val="center"/>
                    <w:rPr>
                      <w:rFonts w:hint="eastAsia" w:ascii="Times New Roman" w:hAnsi="Times New Roman" w:eastAsia="宋体" w:cs="Times New Roman"/>
                      <w:color w:val="auto"/>
                      <w:spacing w:val="-20"/>
                      <w:sz w:val="18"/>
                      <w:szCs w:val="18"/>
                      <w:lang w:val="en-US" w:eastAsia="zh-CN"/>
                    </w:rPr>
                  </w:pPr>
                  <w:r>
                    <w:rPr>
                      <w:rFonts w:hint="eastAsia" w:ascii="Times New Roman" w:hAnsi="Times New Roman" w:eastAsia="宋体" w:cs="Times New Roman"/>
                      <w:color w:val="auto"/>
                      <w:spacing w:val="-20"/>
                      <w:sz w:val="18"/>
                      <w:szCs w:val="18"/>
                      <w:lang w:val="en-US" w:eastAsia="zh-CN"/>
                    </w:rPr>
                    <w:t>危险废物</w:t>
                  </w:r>
                </w:p>
              </w:tc>
              <w:tc>
                <w:tcPr>
                  <w:tcW w:w="1830" w:type="dxa"/>
                  <w:tcBorders>
                    <w:tl2br w:val="nil"/>
                    <w:tr2bl w:val="nil"/>
                  </w:tcBorders>
                  <w:noWrap w:val="0"/>
                  <w:vAlign w:val="center"/>
                </w:tcPr>
                <w:p w14:paraId="62EE4A4D">
                  <w:pPr>
                    <w:adjustRightInd w:val="0"/>
                    <w:snapToGrid w:val="0"/>
                    <w:jc w:val="center"/>
                    <w:rPr>
                      <w:rFonts w:hint="default" w:ascii="Times New Roman" w:hAnsi="Times New Roman" w:eastAsia="宋体" w:cs="Times New Roman"/>
                      <w:color w:val="auto"/>
                      <w:spacing w:val="-20"/>
                      <w:sz w:val="18"/>
                      <w:szCs w:val="18"/>
                      <w:lang w:val="en-US" w:eastAsia="zh-CN"/>
                    </w:rPr>
                  </w:pPr>
                  <w:r>
                    <w:rPr>
                      <w:rFonts w:hint="eastAsia" w:cs="Times New Roman"/>
                      <w:color w:val="auto"/>
                      <w:spacing w:val="-20"/>
                      <w:sz w:val="18"/>
                      <w:szCs w:val="18"/>
                      <w:lang w:val="en-US" w:eastAsia="zh-CN"/>
                    </w:rPr>
                    <w:t>危险废物暂存间</w:t>
                  </w:r>
                </w:p>
              </w:tc>
            </w:tr>
            <w:tr w14:paraId="60C765E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831" w:hRule="atLeast"/>
                <w:jc w:val="center"/>
              </w:trPr>
              <w:tc>
                <w:tcPr>
                  <w:tcW w:w="4605" w:type="dxa"/>
                  <w:tcBorders>
                    <w:tl2br w:val="nil"/>
                    <w:tr2bl w:val="nil"/>
                  </w:tcBorders>
                  <w:noWrap w:val="0"/>
                  <w:vAlign w:val="center"/>
                </w:tcPr>
                <w:p w14:paraId="048C14A3">
                  <w:pPr>
                    <w:adjustRightInd w:val="0"/>
                    <w:snapToGrid w:val="0"/>
                    <w:jc w:val="center"/>
                    <w:rPr>
                      <w:rFonts w:hint="eastAsia" w:ascii="Times New Roman" w:hAnsi="Times New Roman" w:eastAsia="宋体" w:cs="Times New Roman"/>
                      <w:color w:val="auto"/>
                      <w:spacing w:val="-20"/>
                      <w:sz w:val="18"/>
                      <w:szCs w:val="18"/>
                      <w:lang w:val="en-US" w:eastAsia="zh-CN"/>
                    </w:rPr>
                  </w:pPr>
                  <w:r>
                    <w:rPr>
                      <w:rFonts w:hint="eastAsia" w:ascii="Times New Roman" w:hAnsi="Times New Roman" w:eastAsia="宋体" w:cs="Times New Roman"/>
                      <w:color w:val="auto"/>
                      <w:spacing w:val="-20"/>
                      <w:sz w:val="18"/>
                      <w:szCs w:val="18"/>
                      <w:lang w:val="en-US" w:eastAsia="zh-CN"/>
                    </w:rPr>
                    <w:drawing>
                      <wp:anchor distT="0" distB="0" distL="114300" distR="114300" simplePos="0" relativeHeight="251681792" behindDoc="0" locked="0" layoutInCell="1" allowOverlap="1">
                        <wp:simplePos x="0" y="0"/>
                        <wp:positionH relativeFrom="column">
                          <wp:posOffset>231140</wp:posOffset>
                        </wp:positionH>
                        <wp:positionV relativeFrom="paragraph">
                          <wp:posOffset>20320</wp:posOffset>
                        </wp:positionV>
                        <wp:extent cx="2192655" cy="1130300"/>
                        <wp:effectExtent l="0" t="0" r="17145" b="12700"/>
                        <wp:wrapSquare wrapText="bothSides"/>
                        <wp:docPr id="145" name="图片 2091"/>
                        <wp:cNvGraphicFramePr/>
                        <a:graphic xmlns:a="http://schemas.openxmlformats.org/drawingml/2006/main">
                          <a:graphicData uri="http://schemas.openxmlformats.org/drawingml/2006/picture">
                            <pic:pic xmlns:pic="http://schemas.openxmlformats.org/drawingml/2006/picture">
                              <pic:nvPicPr>
                                <pic:cNvPr id="145" name="图片 2091"/>
                                <pic:cNvPicPr/>
                              </pic:nvPicPr>
                              <pic:blipFill>
                                <a:blip r:embed="rId22"/>
                                <a:stretch>
                                  <a:fillRect/>
                                </a:stretch>
                              </pic:blipFill>
                              <pic:spPr>
                                <a:xfrm>
                                  <a:off x="0" y="0"/>
                                  <a:ext cx="2192655" cy="1130300"/>
                                </a:xfrm>
                                <a:prstGeom prst="rect">
                                  <a:avLst/>
                                </a:prstGeom>
                                <a:noFill/>
                                <a:ln>
                                  <a:noFill/>
                                </a:ln>
                              </pic:spPr>
                            </pic:pic>
                          </a:graphicData>
                        </a:graphic>
                      </wp:anchor>
                    </w:drawing>
                  </w:r>
                </w:p>
              </w:tc>
              <w:tc>
                <w:tcPr>
                  <w:tcW w:w="1000" w:type="dxa"/>
                  <w:tcBorders>
                    <w:tl2br w:val="nil"/>
                    <w:tr2bl w:val="nil"/>
                  </w:tcBorders>
                  <w:noWrap w:val="0"/>
                  <w:vAlign w:val="center"/>
                </w:tcPr>
                <w:p w14:paraId="7CC785B7">
                  <w:pPr>
                    <w:adjustRightInd w:val="0"/>
                    <w:snapToGrid w:val="0"/>
                    <w:jc w:val="center"/>
                    <w:rPr>
                      <w:rFonts w:hint="eastAsia" w:ascii="Times New Roman" w:hAnsi="Times New Roman" w:eastAsia="宋体" w:cs="Times New Roman"/>
                      <w:color w:val="auto"/>
                      <w:spacing w:val="-20"/>
                      <w:sz w:val="18"/>
                      <w:szCs w:val="18"/>
                      <w:lang w:val="en-US" w:eastAsia="zh-CN"/>
                    </w:rPr>
                  </w:pPr>
                  <w:r>
                    <w:rPr>
                      <w:rFonts w:hint="eastAsia" w:ascii="Times New Roman" w:hAnsi="Times New Roman" w:eastAsia="宋体" w:cs="Times New Roman"/>
                      <w:color w:val="auto"/>
                      <w:spacing w:val="-20"/>
                      <w:sz w:val="18"/>
                      <w:szCs w:val="18"/>
                      <w:lang w:val="en-US" w:eastAsia="zh-CN"/>
                    </w:rPr>
                    <w:t>噪声排放源</w:t>
                  </w:r>
                </w:p>
              </w:tc>
              <w:tc>
                <w:tcPr>
                  <w:tcW w:w="1830" w:type="dxa"/>
                  <w:tcBorders>
                    <w:tl2br w:val="nil"/>
                    <w:tr2bl w:val="nil"/>
                  </w:tcBorders>
                  <w:noWrap w:val="0"/>
                  <w:vAlign w:val="center"/>
                </w:tcPr>
                <w:p w14:paraId="01DB0C07">
                  <w:pPr>
                    <w:adjustRightInd w:val="0"/>
                    <w:snapToGrid w:val="0"/>
                    <w:jc w:val="center"/>
                    <w:rPr>
                      <w:rFonts w:hint="eastAsia" w:ascii="Times New Roman" w:hAnsi="Times New Roman" w:eastAsia="宋体" w:cs="Times New Roman"/>
                      <w:color w:val="auto"/>
                      <w:spacing w:val="-20"/>
                      <w:sz w:val="18"/>
                      <w:szCs w:val="18"/>
                      <w:lang w:val="en-US" w:eastAsia="zh-CN"/>
                    </w:rPr>
                  </w:pPr>
                  <w:r>
                    <w:rPr>
                      <w:rFonts w:hint="eastAsia" w:ascii="Times New Roman" w:hAnsi="Times New Roman" w:eastAsia="宋体" w:cs="Times New Roman"/>
                      <w:color w:val="auto"/>
                      <w:spacing w:val="-20"/>
                      <w:sz w:val="18"/>
                      <w:szCs w:val="18"/>
                      <w:lang w:val="en-US" w:eastAsia="zh-CN"/>
                    </w:rPr>
                    <w:t>表示噪声向外环境排放</w:t>
                  </w:r>
                </w:p>
              </w:tc>
            </w:tr>
            <w:bookmarkEnd w:id="25"/>
          </w:tbl>
          <w:p w14:paraId="512FF773">
            <w:pPr>
              <w:adjustRightInd w:val="0"/>
              <w:snapToGrid w:val="0"/>
              <w:ind w:firstLine="321" w:firstLineChars="200"/>
              <w:jc w:val="left"/>
              <w:rPr>
                <w:b/>
                <w:bCs/>
                <w:color w:val="auto"/>
                <w:spacing w:val="-10"/>
                <w:sz w:val="18"/>
                <w:szCs w:val="18"/>
              </w:rPr>
            </w:pPr>
            <w:r>
              <w:rPr>
                <w:rFonts w:hint="eastAsia"/>
                <w:b/>
                <w:bCs/>
                <w:color w:val="auto"/>
                <w:spacing w:val="-10"/>
                <w:sz w:val="18"/>
                <w:szCs w:val="18"/>
                <w:lang w:val="en-US" w:eastAsia="zh-CN"/>
              </w:rPr>
              <w:t>7</w:t>
            </w:r>
            <w:r>
              <w:rPr>
                <w:rFonts w:hint="eastAsia"/>
                <w:b/>
                <w:bCs/>
                <w:color w:val="auto"/>
                <w:spacing w:val="-10"/>
                <w:sz w:val="18"/>
                <w:szCs w:val="18"/>
              </w:rPr>
              <w:t>.</w:t>
            </w:r>
            <w:r>
              <w:rPr>
                <w:rFonts w:hint="eastAsia"/>
                <w:b/>
                <w:bCs/>
                <w:color w:val="auto"/>
                <w:spacing w:val="-10"/>
                <w:sz w:val="18"/>
                <w:szCs w:val="18"/>
                <w:lang w:val="en-US" w:eastAsia="zh-CN"/>
              </w:rPr>
              <w:t>环境影响评价制度与排污许可制度衔接</w:t>
            </w:r>
          </w:p>
          <w:p w14:paraId="27F3E12D">
            <w:pPr>
              <w:adjustRightInd w:val="0"/>
              <w:snapToGrid w:val="0"/>
              <w:ind w:firstLine="320" w:firstLineChars="200"/>
              <w:jc w:val="left"/>
              <w:rPr>
                <w:rFonts w:hint="eastAsia"/>
                <w:color w:val="auto"/>
                <w:spacing w:val="-10"/>
                <w:sz w:val="18"/>
                <w:szCs w:val="18"/>
                <w:highlight w:val="none"/>
              </w:rPr>
            </w:pPr>
            <w:r>
              <w:rPr>
                <w:rFonts w:hint="eastAsia"/>
                <w:color w:val="auto"/>
                <w:spacing w:val="-10"/>
                <w:sz w:val="18"/>
                <w:szCs w:val="18"/>
                <w:highlight w:val="none"/>
              </w:rPr>
              <w:t>根据《控制污染物排放许可制实施方案的通知》</w:t>
            </w:r>
            <w:r>
              <w:rPr>
                <w:rFonts w:hint="eastAsia"/>
                <w:color w:val="auto"/>
                <w:spacing w:val="-10"/>
                <w:sz w:val="18"/>
                <w:szCs w:val="18"/>
                <w:highlight w:val="none"/>
                <w:lang w:eastAsia="zh-CN"/>
              </w:rPr>
              <w:t>（</w:t>
            </w:r>
            <w:r>
              <w:rPr>
                <w:rFonts w:hint="eastAsia"/>
                <w:color w:val="auto"/>
                <w:spacing w:val="-10"/>
                <w:sz w:val="18"/>
                <w:szCs w:val="18"/>
                <w:highlight w:val="none"/>
              </w:rPr>
              <w:t>国办发[2016]81号</w:t>
            </w:r>
            <w:r>
              <w:rPr>
                <w:rFonts w:hint="eastAsia"/>
                <w:color w:val="auto"/>
                <w:spacing w:val="-10"/>
                <w:sz w:val="18"/>
                <w:szCs w:val="18"/>
                <w:highlight w:val="none"/>
                <w:lang w:eastAsia="zh-CN"/>
              </w:rPr>
              <w:t>）</w:t>
            </w:r>
            <w:r>
              <w:rPr>
                <w:rFonts w:hint="eastAsia"/>
                <w:color w:val="auto"/>
                <w:spacing w:val="-10"/>
                <w:sz w:val="18"/>
                <w:szCs w:val="18"/>
                <w:highlight w:val="none"/>
              </w:rPr>
              <w:t>、《排污许可管理办法</w:t>
            </w:r>
            <w:r>
              <w:rPr>
                <w:rFonts w:hint="eastAsia"/>
                <w:color w:val="auto"/>
                <w:spacing w:val="-10"/>
                <w:sz w:val="18"/>
                <w:szCs w:val="18"/>
                <w:highlight w:val="none"/>
                <w:lang w:eastAsia="zh-CN"/>
              </w:rPr>
              <w:t>（</w:t>
            </w:r>
            <w:r>
              <w:rPr>
                <w:rFonts w:hint="eastAsia"/>
                <w:color w:val="auto"/>
                <w:spacing w:val="-10"/>
                <w:sz w:val="18"/>
                <w:szCs w:val="18"/>
                <w:highlight w:val="none"/>
              </w:rPr>
              <w:t>试行</w:t>
            </w:r>
            <w:r>
              <w:rPr>
                <w:rFonts w:hint="eastAsia"/>
                <w:color w:val="auto"/>
                <w:spacing w:val="-10"/>
                <w:sz w:val="18"/>
                <w:szCs w:val="18"/>
                <w:highlight w:val="none"/>
                <w:lang w:eastAsia="zh-CN"/>
              </w:rPr>
              <w:t>）</w:t>
            </w:r>
            <w:r>
              <w:rPr>
                <w:rFonts w:hint="eastAsia"/>
                <w:color w:val="auto"/>
                <w:spacing w:val="-10"/>
                <w:sz w:val="18"/>
                <w:szCs w:val="18"/>
                <w:highlight w:val="none"/>
              </w:rPr>
              <w:t>》</w:t>
            </w:r>
            <w:r>
              <w:rPr>
                <w:rFonts w:hint="eastAsia"/>
                <w:color w:val="auto"/>
                <w:spacing w:val="-10"/>
                <w:sz w:val="18"/>
                <w:szCs w:val="18"/>
                <w:highlight w:val="none"/>
                <w:lang w:eastAsia="zh-CN"/>
              </w:rPr>
              <w:t>（</w:t>
            </w:r>
            <w:r>
              <w:rPr>
                <w:rFonts w:hint="eastAsia"/>
                <w:color w:val="auto"/>
                <w:spacing w:val="-10"/>
                <w:sz w:val="18"/>
                <w:szCs w:val="18"/>
                <w:highlight w:val="none"/>
              </w:rPr>
              <w:t>环境保护部令第48号</w:t>
            </w:r>
            <w:r>
              <w:rPr>
                <w:rFonts w:hint="eastAsia"/>
                <w:color w:val="auto"/>
                <w:spacing w:val="-10"/>
                <w:sz w:val="18"/>
                <w:szCs w:val="18"/>
                <w:highlight w:val="none"/>
                <w:lang w:eastAsia="zh-CN"/>
              </w:rPr>
              <w:t>）</w:t>
            </w:r>
            <w:r>
              <w:rPr>
                <w:rFonts w:hint="eastAsia"/>
                <w:color w:val="auto"/>
                <w:spacing w:val="-10"/>
                <w:sz w:val="18"/>
                <w:szCs w:val="18"/>
                <w:highlight w:val="none"/>
              </w:rPr>
              <w:t>、《排污许可管理条例》</w:t>
            </w:r>
            <w:r>
              <w:rPr>
                <w:rFonts w:hint="eastAsia"/>
                <w:color w:val="auto"/>
                <w:spacing w:val="-10"/>
                <w:sz w:val="18"/>
                <w:szCs w:val="18"/>
                <w:highlight w:val="none"/>
                <w:lang w:eastAsia="zh-CN"/>
              </w:rPr>
              <w:t>（</w:t>
            </w:r>
            <w:r>
              <w:rPr>
                <w:rFonts w:hint="eastAsia"/>
                <w:color w:val="auto"/>
                <w:spacing w:val="-10"/>
                <w:sz w:val="18"/>
                <w:szCs w:val="18"/>
                <w:highlight w:val="none"/>
              </w:rPr>
              <w:t>国务院令第736号</w:t>
            </w:r>
            <w:r>
              <w:rPr>
                <w:rFonts w:hint="eastAsia"/>
                <w:color w:val="auto"/>
                <w:spacing w:val="-10"/>
                <w:sz w:val="18"/>
                <w:szCs w:val="18"/>
                <w:highlight w:val="none"/>
                <w:lang w:eastAsia="zh-CN"/>
              </w:rPr>
              <w:t>）</w:t>
            </w:r>
            <w:r>
              <w:rPr>
                <w:rFonts w:hint="eastAsia"/>
                <w:color w:val="auto"/>
                <w:spacing w:val="-10"/>
                <w:sz w:val="18"/>
                <w:szCs w:val="18"/>
                <w:highlight w:val="none"/>
              </w:rPr>
              <w:t>、原环境保护部办公厅《关于做好环境影响评价制度与排污许可衔接相关工作的通知》</w:t>
            </w:r>
            <w:r>
              <w:rPr>
                <w:rFonts w:hint="eastAsia"/>
                <w:color w:val="auto"/>
                <w:spacing w:val="-10"/>
                <w:sz w:val="18"/>
                <w:szCs w:val="18"/>
                <w:highlight w:val="none"/>
                <w:lang w:eastAsia="zh-CN"/>
              </w:rPr>
              <w:t>（</w:t>
            </w:r>
            <w:r>
              <w:rPr>
                <w:rFonts w:hint="eastAsia"/>
                <w:color w:val="auto"/>
                <w:spacing w:val="-10"/>
                <w:sz w:val="18"/>
                <w:szCs w:val="18"/>
                <w:highlight w:val="none"/>
              </w:rPr>
              <w:t>环办环评[2017]84号</w:t>
            </w:r>
            <w:r>
              <w:rPr>
                <w:rFonts w:hint="eastAsia"/>
                <w:color w:val="auto"/>
                <w:spacing w:val="-10"/>
                <w:sz w:val="18"/>
                <w:szCs w:val="18"/>
                <w:highlight w:val="none"/>
                <w:lang w:eastAsia="zh-CN"/>
              </w:rPr>
              <w:t>）</w:t>
            </w:r>
            <w:r>
              <w:rPr>
                <w:rFonts w:hint="eastAsia"/>
                <w:color w:val="auto"/>
                <w:spacing w:val="-10"/>
                <w:sz w:val="18"/>
                <w:szCs w:val="18"/>
                <w:highlight w:val="none"/>
              </w:rPr>
              <w:t>、河北省环境保护厅《关于进一步规范和完善排污许可管理工作的通知》</w:t>
            </w:r>
            <w:r>
              <w:rPr>
                <w:rFonts w:hint="eastAsia"/>
                <w:color w:val="auto"/>
                <w:spacing w:val="-10"/>
                <w:sz w:val="18"/>
                <w:szCs w:val="18"/>
                <w:highlight w:val="none"/>
                <w:lang w:eastAsia="zh-CN"/>
              </w:rPr>
              <w:t>（</w:t>
            </w:r>
            <w:r>
              <w:rPr>
                <w:rFonts w:hint="eastAsia"/>
                <w:color w:val="auto"/>
                <w:spacing w:val="-10"/>
                <w:sz w:val="18"/>
                <w:szCs w:val="18"/>
                <w:highlight w:val="none"/>
              </w:rPr>
              <w:t>冀环评函[2018]1534号</w:t>
            </w:r>
            <w:r>
              <w:rPr>
                <w:rFonts w:hint="eastAsia"/>
                <w:color w:val="auto"/>
                <w:spacing w:val="-10"/>
                <w:sz w:val="18"/>
                <w:szCs w:val="18"/>
                <w:highlight w:val="none"/>
                <w:lang w:eastAsia="zh-CN"/>
              </w:rPr>
              <w:t>）</w:t>
            </w:r>
            <w:r>
              <w:rPr>
                <w:rFonts w:hint="eastAsia"/>
                <w:color w:val="auto"/>
                <w:spacing w:val="-10"/>
                <w:sz w:val="18"/>
                <w:szCs w:val="18"/>
                <w:highlight w:val="none"/>
              </w:rPr>
              <w:t>中相关要求，建设项目发生实际排污行为之前，排污单位应当按照国家环境保护相关法律法规以及排污许可证申请与核发技术规范要求申请排污许可证，不得无证排污或不按证排污，环境保护部门通过对企事业单位发放排污许可证并依证监管实施排污许可制。</w:t>
            </w:r>
          </w:p>
          <w:p w14:paraId="2A7A0D96">
            <w:pPr>
              <w:adjustRightInd w:val="0"/>
              <w:snapToGrid w:val="0"/>
              <w:ind w:firstLine="320" w:firstLineChars="200"/>
              <w:jc w:val="left"/>
              <w:rPr>
                <w:rFonts w:hint="eastAsia"/>
                <w:color w:val="auto"/>
                <w:spacing w:val="-10"/>
                <w:sz w:val="18"/>
                <w:szCs w:val="18"/>
                <w:highlight w:val="none"/>
                <w:lang w:val="en-US" w:eastAsia="zh-CN"/>
              </w:rPr>
            </w:pPr>
            <w:r>
              <w:rPr>
                <w:rFonts w:hint="eastAsia"/>
                <w:color w:val="auto"/>
                <w:spacing w:val="-10"/>
                <w:sz w:val="18"/>
                <w:szCs w:val="18"/>
                <w:highlight w:val="none"/>
              </w:rPr>
              <w:t>根据《固定污染源排污许可分类管理名录（2019年版）》（生态环境部部令第11号）</w:t>
            </w:r>
            <w:r>
              <w:rPr>
                <w:rFonts w:hint="eastAsia"/>
                <w:color w:val="auto"/>
                <w:spacing w:val="-10"/>
                <w:sz w:val="18"/>
                <w:szCs w:val="18"/>
                <w:highlight w:val="none"/>
                <w:lang w:val="en-US" w:eastAsia="zh-CN"/>
              </w:rPr>
              <w:t>附表划分排污许可管理程度，相关内容见下表。</w:t>
            </w:r>
          </w:p>
          <w:p w14:paraId="65575FAB">
            <w:pPr>
              <w:adjustRightInd w:val="0"/>
              <w:snapToGrid w:val="0"/>
              <w:jc w:val="center"/>
              <w:rPr>
                <w:rFonts w:hint="eastAsia" w:ascii="Times New Roman" w:hAnsi="Times New Roman" w:eastAsia="宋体" w:cs="Times New Roman"/>
                <w:b/>
                <w:bCs/>
                <w:color w:val="auto"/>
                <w:spacing w:val="-10"/>
                <w:sz w:val="18"/>
                <w:szCs w:val="18"/>
                <w:highlight w:val="none"/>
                <w:lang w:val="en-US" w:eastAsia="zh-CN"/>
              </w:rPr>
            </w:pPr>
            <w:r>
              <w:rPr>
                <w:rFonts w:hint="eastAsia" w:ascii="Times New Roman" w:hAnsi="Times New Roman" w:eastAsia="宋体" w:cs="Times New Roman"/>
                <w:b/>
                <w:bCs/>
                <w:color w:val="auto"/>
                <w:spacing w:val="-10"/>
                <w:sz w:val="18"/>
                <w:szCs w:val="18"/>
                <w:highlight w:val="none"/>
                <w:lang w:val="en-US" w:eastAsia="zh-CN"/>
              </w:rPr>
              <w:t>固定污染源排污许可管理程度划分表</w:t>
            </w:r>
          </w:p>
          <w:tbl>
            <w:tblPr>
              <w:tblStyle w:val="29"/>
              <w:tblW w:w="7447" w:type="dxa"/>
              <w:tblInd w:w="-85"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916"/>
              <w:gridCol w:w="1751"/>
              <w:gridCol w:w="1386"/>
              <w:gridCol w:w="2495"/>
              <w:gridCol w:w="899"/>
            </w:tblGrid>
            <w:tr w14:paraId="0340B1D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3" w:hRule="atLeast"/>
              </w:trPr>
              <w:tc>
                <w:tcPr>
                  <w:tcW w:w="916" w:type="dxa"/>
                  <w:tcBorders>
                    <w:tl2br w:val="nil"/>
                    <w:tr2bl w:val="nil"/>
                  </w:tcBorders>
                  <w:vAlign w:val="center"/>
                </w:tcPr>
                <w:p w14:paraId="2D0AC4DA">
                  <w:pPr>
                    <w:adjustRightInd w:val="0"/>
                    <w:snapToGrid w:val="0"/>
                    <w:jc w:val="center"/>
                    <w:rPr>
                      <w:rFonts w:hint="eastAsia" w:ascii="Times New Roman" w:hAnsi="Times New Roman" w:eastAsia="宋体" w:cs="Times New Roman"/>
                      <w:color w:val="auto"/>
                      <w:spacing w:val="-20"/>
                      <w:sz w:val="18"/>
                      <w:szCs w:val="18"/>
                      <w:highlight w:val="none"/>
                      <w:lang w:val="en-US" w:eastAsia="zh-CN"/>
                    </w:rPr>
                  </w:pPr>
                  <w:r>
                    <w:rPr>
                      <w:rFonts w:hint="eastAsia" w:ascii="Times New Roman" w:hAnsi="Times New Roman" w:eastAsia="宋体" w:cs="Times New Roman"/>
                      <w:color w:val="auto"/>
                      <w:spacing w:val="-20"/>
                      <w:sz w:val="18"/>
                      <w:szCs w:val="18"/>
                      <w:highlight w:val="none"/>
                      <w:lang w:val="en-US" w:eastAsia="zh-CN"/>
                    </w:rPr>
                    <w:t>序号</w:t>
                  </w:r>
                </w:p>
              </w:tc>
              <w:tc>
                <w:tcPr>
                  <w:tcW w:w="1751" w:type="dxa"/>
                  <w:tcBorders>
                    <w:tl2br w:val="nil"/>
                    <w:tr2bl w:val="nil"/>
                  </w:tcBorders>
                  <w:vAlign w:val="center"/>
                </w:tcPr>
                <w:p w14:paraId="78722789">
                  <w:pPr>
                    <w:adjustRightInd w:val="0"/>
                    <w:snapToGrid w:val="0"/>
                    <w:jc w:val="center"/>
                    <w:rPr>
                      <w:rFonts w:hint="eastAsia" w:ascii="Times New Roman" w:hAnsi="Times New Roman" w:eastAsia="宋体" w:cs="Times New Roman"/>
                      <w:color w:val="auto"/>
                      <w:spacing w:val="-20"/>
                      <w:sz w:val="18"/>
                      <w:szCs w:val="18"/>
                      <w:highlight w:val="none"/>
                      <w:lang w:val="en-US" w:eastAsia="zh-CN"/>
                    </w:rPr>
                  </w:pPr>
                  <w:r>
                    <w:rPr>
                      <w:rFonts w:hint="eastAsia" w:ascii="Times New Roman" w:hAnsi="Times New Roman" w:eastAsia="宋体" w:cs="Times New Roman"/>
                      <w:color w:val="auto"/>
                      <w:spacing w:val="-20"/>
                      <w:sz w:val="18"/>
                      <w:szCs w:val="18"/>
                      <w:highlight w:val="none"/>
                      <w:lang w:val="en-US" w:eastAsia="zh-CN"/>
                    </w:rPr>
                    <w:t>行业类别</w:t>
                  </w:r>
                </w:p>
              </w:tc>
              <w:tc>
                <w:tcPr>
                  <w:tcW w:w="1386" w:type="dxa"/>
                  <w:tcBorders>
                    <w:tl2br w:val="nil"/>
                    <w:tr2bl w:val="nil"/>
                  </w:tcBorders>
                  <w:vAlign w:val="center"/>
                </w:tcPr>
                <w:p w14:paraId="753076FE">
                  <w:pPr>
                    <w:adjustRightInd w:val="0"/>
                    <w:snapToGrid w:val="0"/>
                    <w:jc w:val="center"/>
                    <w:rPr>
                      <w:rFonts w:hint="eastAsia" w:ascii="Times New Roman" w:hAnsi="Times New Roman" w:eastAsia="宋体" w:cs="Times New Roman"/>
                      <w:color w:val="auto"/>
                      <w:spacing w:val="-20"/>
                      <w:sz w:val="18"/>
                      <w:szCs w:val="18"/>
                      <w:highlight w:val="none"/>
                      <w:lang w:val="en-US" w:eastAsia="zh-CN"/>
                    </w:rPr>
                  </w:pPr>
                  <w:r>
                    <w:rPr>
                      <w:rFonts w:hint="eastAsia" w:ascii="Times New Roman" w:hAnsi="Times New Roman" w:eastAsia="宋体" w:cs="Times New Roman"/>
                      <w:color w:val="auto"/>
                      <w:spacing w:val="-20"/>
                      <w:sz w:val="18"/>
                      <w:szCs w:val="18"/>
                      <w:highlight w:val="none"/>
                      <w:lang w:val="en-US" w:eastAsia="zh-CN"/>
                    </w:rPr>
                    <w:t>重点管理</w:t>
                  </w:r>
                </w:p>
              </w:tc>
              <w:tc>
                <w:tcPr>
                  <w:tcW w:w="2495" w:type="dxa"/>
                  <w:tcBorders>
                    <w:tl2br w:val="nil"/>
                    <w:tr2bl w:val="nil"/>
                  </w:tcBorders>
                  <w:vAlign w:val="center"/>
                </w:tcPr>
                <w:p w14:paraId="23B0F5E9">
                  <w:pPr>
                    <w:adjustRightInd w:val="0"/>
                    <w:snapToGrid w:val="0"/>
                    <w:jc w:val="center"/>
                    <w:rPr>
                      <w:rFonts w:hint="eastAsia" w:ascii="Times New Roman" w:hAnsi="Times New Roman" w:eastAsia="宋体" w:cs="Times New Roman"/>
                      <w:color w:val="auto"/>
                      <w:spacing w:val="-20"/>
                      <w:sz w:val="18"/>
                      <w:szCs w:val="18"/>
                      <w:highlight w:val="none"/>
                      <w:lang w:val="en-US" w:eastAsia="zh-CN"/>
                    </w:rPr>
                  </w:pPr>
                  <w:r>
                    <w:rPr>
                      <w:rFonts w:hint="eastAsia" w:ascii="Times New Roman" w:hAnsi="Times New Roman" w:eastAsia="宋体" w:cs="Times New Roman"/>
                      <w:color w:val="auto"/>
                      <w:spacing w:val="-20"/>
                      <w:sz w:val="18"/>
                      <w:szCs w:val="18"/>
                      <w:highlight w:val="none"/>
                      <w:lang w:val="en-US" w:eastAsia="zh-CN"/>
                    </w:rPr>
                    <w:t>简化管理</w:t>
                  </w:r>
                </w:p>
              </w:tc>
              <w:tc>
                <w:tcPr>
                  <w:tcW w:w="899" w:type="dxa"/>
                  <w:tcBorders>
                    <w:tl2br w:val="nil"/>
                    <w:tr2bl w:val="nil"/>
                  </w:tcBorders>
                  <w:vAlign w:val="center"/>
                </w:tcPr>
                <w:p w14:paraId="161EA247">
                  <w:pPr>
                    <w:adjustRightInd w:val="0"/>
                    <w:snapToGrid w:val="0"/>
                    <w:jc w:val="center"/>
                    <w:rPr>
                      <w:rFonts w:hint="eastAsia" w:ascii="Times New Roman" w:hAnsi="Times New Roman" w:eastAsia="宋体" w:cs="Times New Roman"/>
                      <w:color w:val="auto"/>
                      <w:spacing w:val="-20"/>
                      <w:sz w:val="18"/>
                      <w:szCs w:val="18"/>
                      <w:highlight w:val="none"/>
                      <w:lang w:val="en-US" w:eastAsia="zh-CN"/>
                    </w:rPr>
                  </w:pPr>
                  <w:r>
                    <w:rPr>
                      <w:rFonts w:hint="eastAsia" w:ascii="Times New Roman" w:hAnsi="Times New Roman" w:eastAsia="宋体" w:cs="Times New Roman"/>
                      <w:color w:val="auto"/>
                      <w:spacing w:val="-20"/>
                      <w:sz w:val="18"/>
                      <w:szCs w:val="18"/>
                      <w:highlight w:val="none"/>
                      <w:lang w:val="en-US" w:eastAsia="zh-CN"/>
                    </w:rPr>
                    <w:t>登记管理</w:t>
                  </w:r>
                </w:p>
              </w:tc>
            </w:tr>
            <w:tr w14:paraId="48E73E4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916" w:type="dxa"/>
                  <w:tcBorders>
                    <w:tl2br w:val="nil"/>
                    <w:tr2bl w:val="nil"/>
                  </w:tcBorders>
                  <w:vAlign w:val="center"/>
                </w:tcPr>
                <w:p w14:paraId="3F371EE3">
                  <w:pPr>
                    <w:adjustRightInd w:val="0"/>
                    <w:snapToGrid w:val="0"/>
                    <w:jc w:val="center"/>
                    <w:rPr>
                      <w:rFonts w:hint="default" w:ascii="Times New Roman" w:hAnsi="Times New Roman" w:eastAsia="宋体" w:cs="Times New Roman"/>
                      <w:color w:val="auto"/>
                      <w:spacing w:val="-20"/>
                      <w:sz w:val="18"/>
                      <w:szCs w:val="18"/>
                      <w:highlight w:val="none"/>
                      <w:lang w:val="en-US" w:eastAsia="zh-CN"/>
                    </w:rPr>
                  </w:pPr>
                  <w:r>
                    <w:rPr>
                      <w:rFonts w:hint="eastAsia" w:ascii="Times New Roman" w:hAnsi="Times New Roman" w:eastAsia="宋体" w:cs="Times New Roman"/>
                      <w:color w:val="auto"/>
                      <w:spacing w:val="-20"/>
                      <w:sz w:val="18"/>
                      <w:szCs w:val="18"/>
                      <w:highlight w:val="none"/>
                      <w:lang w:val="en-US" w:eastAsia="zh-CN"/>
                    </w:rPr>
                    <w:t>三十七、废弃资源综合利用业 42</w:t>
                  </w:r>
                </w:p>
              </w:tc>
              <w:tc>
                <w:tcPr>
                  <w:tcW w:w="1751" w:type="dxa"/>
                  <w:tcBorders>
                    <w:tl2br w:val="nil"/>
                    <w:tr2bl w:val="nil"/>
                  </w:tcBorders>
                  <w:vAlign w:val="center"/>
                </w:tcPr>
                <w:p w14:paraId="0BED9E4B">
                  <w:pPr>
                    <w:adjustRightInd w:val="0"/>
                    <w:snapToGrid w:val="0"/>
                    <w:jc w:val="center"/>
                    <w:rPr>
                      <w:rFonts w:hint="eastAsia" w:ascii="Times New Roman" w:hAnsi="Times New Roman" w:eastAsia="宋体" w:cs="Times New Roman"/>
                      <w:color w:val="auto"/>
                      <w:spacing w:val="-20"/>
                      <w:sz w:val="18"/>
                      <w:szCs w:val="18"/>
                      <w:highlight w:val="none"/>
                      <w:lang w:val="en-US" w:eastAsia="zh-CN"/>
                    </w:rPr>
                  </w:pPr>
                  <w:r>
                    <w:rPr>
                      <w:rFonts w:hint="eastAsia" w:ascii="Times New Roman" w:hAnsi="Times New Roman" w:eastAsia="宋体" w:cs="Times New Roman"/>
                      <w:color w:val="auto"/>
                      <w:spacing w:val="-20"/>
                      <w:sz w:val="18"/>
                      <w:szCs w:val="18"/>
                      <w:highlight w:val="none"/>
                      <w:lang w:val="en-US" w:eastAsia="zh-CN"/>
                    </w:rPr>
                    <w:t>金属废料和碎屑加工处理 421，非金属废料和碎屑加工处理 422</w:t>
                  </w:r>
                </w:p>
              </w:tc>
              <w:tc>
                <w:tcPr>
                  <w:tcW w:w="1386" w:type="dxa"/>
                  <w:tcBorders>
                    <w:tl2br w:val="nil"/>
                    <w:tr2bl w:val="nil"/>
                  </w:tcBorders>
                  <w:vAlign w:val="center"/>
                </w:tcPr>
                <w:p w14:paraId="36E36CBD">
                  <w:pPr>
                    <w:adjustRightInd w:val="0"/>
                    <w:snapToGrid w:val="0"/>
                    <w:jc w:val="center"/>
                    <w:rPr>
                      <w:rFonts w:hint="eastAsia" w:ascii="Times New Roman" w:hAnsi="Times New Roman" w:eastAsia="宋体" w:cs="Times New Roman"/>
                      <w:color w:val="auto"/>
                      <w:spacing w:val="-20"/>
                      <w:sz w:val="18"/>
                      <w:szCs w:val="18"/>
                      <w:highlight w:val="none"/>
                      <w:lang w:val="en-US" w:eastAsia="zh-CN"/>
                    </w:rPr>
                  </w:pPr>
                  <w:r>
                    <w:rPr>
                      <w:rFonts w:hint="eastAsia" w:ascii="Times New Roman" w:hAnsi="Times New Roman" w:eastAsia="宋体" w:cs="Times New Roman"/>
                      <w:color w:val="auto"/>
                      <w:spacing w:val="-20"/>
                      <w:sz w:val="18"/>
                      <w:szCs w:val="18"/>
                      <w:highlight w:val="none"/>
                      <w:lang w:val="en-US" w:eastAsia="zh-CN"/>
                    </w:rPr>
                    <w:t>废电池、废油、废轮胎加工处理</w:t>
                  </w:r>
                </w:p>
              </w:tc>
              <w:tc>
                <w:tcPr>
                  <w:tcW w:w="2495" w:type="dxa"/>
                  <w:tcBorders>
                    <w:tl2br w:val="nil"/>
                    <w:tr2bl w:val="nil"/>
                  </w:tcBorders>
                  <w:vAlign w:val="center"/>
                </w:tcPr>
                <w:p w14:paraId="163C3209">
                  <w:pPr>
                    <w:adjustRightInd w:val="0"/>
                    <w:snapToGrid w:val="0"/>
                    <w:jc w:val="center"/>
                    <w:rPr>
                      <w:rFonts w:hint="eastAsia" w:ascii="Times New Roman" w:hAnsi="Times New Roman" w:eastAsia="宋体" w:cs="Times New Roman"/>
                      <w:color w:val="auto"/>
                      <w:spacing w:val="-20"/>
                      <w:sz w:val="18"/>
                      <w:szCs w:val="18"/>
                      <w:highlight w:val="none"/>
                      <w:lang w:val="en-US" w:eastAsia="zh-CN"/>
                    </w:rPr>
                  </w:pPr>
                  <w:r>
                    <w:rPr>
                      <w:rFonts w:hint="eastAsia" w:ascii="Times New Roman" w:hAnsi="Times New Roman" w:eastAsia="宋体" w:cs="Times New Roman"/>
                      <w:color w:val="auto"/>
                      <w:spacing w:val="-20"/>
                      <w:sz w:val="18"/>
                      <w:szCs w:val="18"/>
                      <w:highlight w:val="none"/>
                      <w:lang w:val="en-US" w:eastAsia="zh-CN"/>
                    </w:rPr>
                    <w:t>废弃电器电子产品、废机动车、废电机、废电线电缆、废塑料、废船、含水洗工艺的其他废料和碎屑加工处理</w:t>
                  </w:r>
                </w:p>
              </w:tc>
              <w:tc>
                <w:tcPr>
                  <w:tcW w:w="899" w:type="dxa"/>
                  <w:tcBorders>
                    <w:tl2br w:val="nil"/>
                    <w:tr2bl w:val="nil"/>
                  </w:tcBorders>
                  <w:vAlign w:val="center"/>
                </w:tcPr>
                <w:p w14:paraId="28AA608D">
                  <w:pPr>
                    <w:adjustRightInd w:val="0"/>
                    <w:snapToGrid w:val="0"/>
                    <w:jc w:val="center"/>
                    <w:rPr>
                      <w:rFonts w:hint="default" w:ascii="Times New Roman" w:hAnsi="Times New Roman" w:eastAsia="宋体" w:cs="Times New Roman"/>
                      <w:color w:val="auto"/>
                      <w:spacing w:val="-20"/>
                      <w:sz w:val="18"/>
                      <w:szCs w:val="18"/>
                      <w:highlight w:val="none"/>
                      <w:lang w:val="en-US" w:eastAsia="zh-CN"/>
                    </w:rPr>
                  </w:pPr>
                  <w:r>
                    <w:rPr>
                      <w:rFonts w:hint="eastAsia" w:ascii="Times New Roman" w:hAnsi="Times New Roman" w:eastAsia="宋体" w:cs="Times New Roman"/>
                      <w:color w:val="auto"/>
                      <w:spacing w:val="-20"/>
                      <w:sz w:val="18"/>
                      <w:szCs w:val="18"/>
                      <w:highlight w:val="none"/>
                      <w:lang w:val="en-US" w:eastAsia="zh-CN"/>
                    </w:rPr>
                    <w:t>其他</w:t>
                  </w:r>
                </w:p>
              </w:tc>
            </w:tr>
          </w:tbl>
          <w:p w14:paraId="46B19C8B">
            <w:pPr>
              <w:adjustRightInd w:val="0"/>
              <w:snapToGrid w:val="0"/>
              <w:ind w:firstLine="320" w:firstLineChars="200"/>
              <w:jc w:val="left"/>
              <w:rPr>
                <w:rFonts w:hint="eastAsia" w:ascii="Times New Roman" w:hAnsi="Times New Roman" w:eastAsia="宋体" w:cs="Times New Roman"/>
                <w:color w:val="auto"/>
                <w:spacing w:val="-10"/>
                <w:sz w:val="18"/>
                <w:szCs w:val="18"/>
                <w:highlight w:val="none"/>
              </w:rPr>
            </w:pPr>
            <w:r>
              <w:rPr>
                <w:rFonts w:hint="eastAsia" w:ascii="Times New Roman" w:hAnsi="Times New Roman" w:eastAsia="宋体" w:cs="Times New Roman"/>
                <w:color w:val="auto"/>
                <w:spacing w:val="-10"/>
                <w:sz w:val="18"/>
                <w:szCs w:val="18"/>
                <w:highlight w:val="none"/>
              </w:rPr>
              <w:t>本项目建成后，</w:t>
            </w:r>
            <w:r>
              <w:rPr>
                <w:rFonts w:hint="eastAsia" w:ascii="Times New Roman" w:hAnsi="Times New Roman" w:eastAsia="宋体" w:cs="Times New Roman"/>
                <w:color w:val="auto"/>
                <w:spacing w:val="-10"/>
                <w:sz w:val="18"/>
                <w:szCs w:val="18"/>
                <w:highlight w:val="none"/>
                <w:lang w:val="en-US" w:eastAsia="zh-CN"/>
              </w:rPr>
              <w:t>年分选处理废钢破碎尾料50万吨、转炉钢渣20万吨</w:t>
            </w:r>
            <w:r>
              <w:rPr>
                <w:rFonts w:hint="eastAsia" w:ascii="Times New Roman" w:hAnsi="Times New Roman" w:eastAsia="宋体" w:cs="Times New Roman"/>
                <w:color w:val="auto"/>
                <w:spacing w:val="-10"/>
                <w:sz w:val="18"/>
                <w:szCs w:val="18"/>
                <w:highlight w:val="none"/>
              </w:rPr>
              <w:t>，</w:t>
            </w:r>
            <w:r>
              <w:rPr>
                <w:rFonts w:hint="eastAsia" w:cs="Times New Roman"/>
                <w:color w:val="auto"/>
                <w:spacing w:val="-10"/>
                <w:sz w:val="18"/>
                <w:szCs w:val="18"/>
                <w:highlight w:val="none"/>
                <w:lang w:val="en-US" w:eastAsia="zh-CN"/>
              </w:rPr>
              <w:t>国民经济行业类别为</w:t>
            </w:r>
            <w:r>
              <w:rPr>
                <w:rFonts w:hint="eastAsia" w:ascii="Times New Roman" w:hAnsi="Times New Roman" w:eastAsia="宋体" w:cs="Times New Roman"/>
                <w:color w:val="auto"/>
                <w:spacing w:val="-10"/>
                <w:sz w:val="18"/>
                <w:szCs w:val="18"/>
                <w:highlight w:val="none"/>
              </w:rPr>
              <w:t>C4210金属废料和碎屑加工处理</w:t>
            </w:r>
            <w:r>
              <w:rPr>
                <w:rFonts w:hint="eastAsia" w:ascii="Times New Roman" w:hAnsi="Times New Roman" w:cs="Times New Roman"/>
                <w:color w:val="auto"/>
                <w:spacing w:val="-10"/>
                <w:sz w:val="18"/>
                <w:szCs w:val="18"/>
                <w:highlight w:val="none"/>
                <w:lang w:val="en-US" w:eastAsia="zh-CN"/>
              </w:rPr>
              <w:t>及</w:t>
            </w:r>
            <w:r>
              <w:rPr>
                <w:rFonts w:hint="eastAsia" w:ascii="Times New Roman" w:hAnsi="Times New Roman" w:eastAsia="宋体" w:cs="Times New Roman"/>
                <w:color w:val="auto"/>
                <w:spacing w:val="-10"/>
                <w:sz w:val="18"/>
                <w:szCs w:val="18"/>
                <w:highlight w:val="none"/>
                <w:lang w:val="en-US" w:eastAsia="zh-CN"/>
              </w:rPr>
              <w:t>C4220非</w:t>
            </w:r>
            <w:r>
              <w:rPr>
                <w:rFonts w:hint="eastAsia" w:ascii="Times New Roman" w:hAnsi="Times New Roman" w:eastAsia="宋体" w:cs="Times New Roman"/>
                <w:color w:val="auto"/>
                <w:spacing w:val="-10"/>
                <w:sz w:val="18"/>
                <w:szCs w:val="18"/>
                <w:highlight w:val="none"/>
              </w:rPr>
              <w:t>金属废料和碎屑加工处理</w:t>
            </w:r>
            <w:r>
              <w:rPr>
                <w:rFonts w:hint="eastAsia" w:ascii="Times New Roman" w:hAnsi="Times New Roman" w:cs="Times New Roman"/>
                <w:color w:val="auto"/>
                <w:spacing w:val="-10"/>
                <w:sz w:val="18"/>
                <w:szCs w:val="18"/>
                <w:highlight w:val="none"/>
                <w:lang w:eastAsia="zh-CN"/>
              </w:rPr>
              <w:t>。</w:t>
            </w:r>
            <w:r>
              <w:rPr>
                <w:rFonts w:hint="eastAsia" w:ascii="Times New Roman" w:hAnsi="Times New Roman" w:eastAsia="宋体" w:cs="Times New Roman"/>
                <w:color w:val="auto"/>
                <w:spacing w:val="-10"/>
                <w:sz w:val="18"/>
                <w:szCs w:val="18"/>
                <w:highlight w:val="none"/>
              </w:rPr>
              <w:t>据上表可知，该项目属于三十七、废弃资源综合利用业42中含水洗工艺的其他废料和碎屑加工处理，因此该项目排污许可实行简化管理。企业应当在本项目建成后及时在全国排污许可证管理信息平台进行排污信息申请。</w:t>
            </w:r>
          </w:p>
          <w:p w14:paraId="65AC13AB">
            <w:pPr>
              <w:adjustRightInd w:val="0"/>
              <w:snapToGrid w:val="0"/>
              <w:ind w:firstLine="321" w:firstLineChars="200"/>
              <w:jc w:val="left"/>
              <w:rPr>
                <w:b/>
                <w:bCs/>
                <w:color w:val="auto"/>
                <w:spacing w:val="-10"/>
                <w:sz w:val="18"/>
                <w:szCs w:val="18"/>
              </w:rPr>
            </w:pPr>
            <w:r>
              <w:rPr>
                <w:rFonts w:hint="eastAsia"/>
                <w:b/>
                <w:bCs/>
                <w:color w:val="auto"/>
                <w:spacing w:val="-10"/>
                <w:sz w:val="18"/>
                <w:szCs w:val="18"/>
                <w:lang w:val="en-US" w:eastAsia="zh-CN"/>
              </w:rPr>
              <w:t>8</w:t>
            </w:r>
            <w:r>
              <w:rPr>
                <w:rFonts w:hint="eastAsia"/>
                <w:b/>
                <w:bCs/>
                <w:color w:val="auto"/>
                <w:spacing w:val="-10"/>
                <w:sz w:val="18"/>
                <w:szCs w:val="18"/>
              </w:rPr>
              <w:t>.项目竣工验收</w:t>
            </w:r>
          </w:p>
          <w:p w14:paraId="0337B49B">
            <w:pPr>
              <w:adjustRightInd w:val="0"/>
              <w:snapToGrid w:val="0"/>
              <w:ind w:firstLine="320" w:firstLineChars="200"/>
              <w:jc w:val="left"/>
              <w:rPr>
                <w:color w:val="auto"/>
                <w:spacing w:val="-10"/>
                <w:sz w:val="18"/>
                <w:szCs w:val="18"/>
              </w:rPr>
            </w:pPr>
            <w:r>
              <w:rPr>
                <w:rFonts w:hint="eastAsia"/>
                <w:color w:val="auto"/>
                <w:spacing w:val="-10"/>
                <w:sz w:val="18"/>
                <w:szCs w:val="18"/>
              </w:rPr>
              <w:t>建设单位是建设项目竣工环境保护验收的责任主体，应当按照《建设项目竣工环境保护验收暂行办法》的规定的程序和标准，组织对配套建设的环境保护设施进行验收，编制验收报告，公开相关信息，接受社会监督，确保建设项目需要配套建设的环境保护设施与主体工程同时投产或者使用，并对验收内容、结论和所公开信息的真实性、准确性和完整性负责，不得在验收过程中弄虚作假。</w:t>
            </w:r>
          </w:p>
          <w:p w14:paraId="24E1F15D">
            <w:pPr>
              <w:adjustRightInd w:val="0"/>
              <w:snapToGrid w:val="0"/>
              <w:ind w:firstLine="320" w:firstLineChars="200"/>
              <w:jc w:val="left"/>
              <w:rPr>
                <w:color w:val="auto"/>
                <w:spacing w:val="-10"/>
                <w:sz w:val="18"/>
                <w:szCs w:val="18"/>
              </w:rPr>
            </w:pPr>
            <w:r>
              <w:rPr>
                <w:rFonts w:hint="eastAsia"/>
                <w:color w:val="auto"/>
                <w:spacing w:val="-10"/>
                <w:sz w:val="18"/>
                <w:szCs w:val="18"/>
              </w:rPr>
              <w:t>建设项目配套建设的环境保护设施经验收合格后，其主体工程方可投入生产或者使用；未经验收或者验收不合格的，不得投入生产或者使用。</w:t>
            </w:r>
          </w:p>
          <w:p w14:paraId="23E7085D">
            <w:pPr>
              <w:adjustRightInd w:val="0"/>
              <w:snapToGrid w:val="0"/>
              <w:ind w:firstLine="321" w:firstLineChars="200"/>
              <w:jc w:val="left"/>
              <w:rPr>
                <w:b/>
                <w:bCs/>
                <w:color w:val="auto"/>
                <w:spacing w:val="-10"/>
                <w:sz w:val="18"/>
                <w:szCs w:val="18"/>
              </w:rPr>
            </w:pPr>
            <w:r>
              <w:rPr>
                <w:rFonts w:hint="eastAsia"/>
                <w:b/>
                <w:bCs/>
                <w:color w:val="auto"/>
                <w:spacing w:val="-10"/>
                <w:sz w:val="18"/>
                <w:szCs w:val="18"/>
              </w:rPr>
              <w:t>9.运输方式和运输监管</w:t>
            </w:r>
          </w:p>
          <w:p w14:paraId="37175679">
            <w:pPr>
              <w:adjustRightInd w:val="0"/>
              <w:snapToGrid w:val="0"/>
              <w:ind w:firstLine="320" w:firstLineChars="200"/>
              <w:jc w:val="left"/>
              <w:rPr>
                <w:rFonts w:hint="eastAsia" w:ascii="Times New Roman" w:hAnsi="Times New Roman" w:eastAsia="宋体" w:cs="Times New Roman"/>
                <w:color w:val="auto"/>
                <w:spacing w:val="-10"/>
                <w:sz w:val="18"/>
                <w:szCs w:val="18"/>
                <w:highlight w:val="none"/>
              </w:rPr>
            </w:pPr>
            <w:r>
              <w:rPr>
                <w:rFonts w:hint="eastAsia" w:ascii="Times New Roman" w:hAnsi="Times New Roman" w:eastAsia="宋体" w:cs="Times New Roman"/>
                <w:color w:val="auto"/>
                <w:spacing w:val="-10"/>
                <w:sz w:val="18"/>
                <w:szCs w:val="18"/>
                <w:highlight w:val="none"/>
              </w:rPr>
              <w:t>①参照《重污染天气重点行业移动源应急管理技术指南》建立门禁系统和电子台账。厂区所有车辆出入口全部安装重型货车门禁系统，严禁国四及以下排放标准车辆运输，严禁私开偏门进行车辆运输</w:t>
            </w:r>
            <w:r>
              <w:rPr>
                <w:rFonts w:hint="eastAsia" w:ascii="Times New Roman" w:hAnsi="Times New Roman" w:eastAsia="宋体" w:cs="Times New Roman"/>
                <w:color w:val="auto"/>
                <w:spacing w:val="-10"/>
                <w:sz w:val="18"/>
                <w:szCs w:val="18"/>
                <w:highlight w:val="none"/>
                <w:lang w:eastAsia="zh-CN"/>
              </w:rPr>
              <w:t>，</w:t>
            </w:r>
            <w:r>
              <w:rPr>
                <w:rFonts w:hint="eastAsia" w:ascii="Times New Roman" w:hAnsi="Times New Roman" w:eastAsia="宋体" w:cs="Times New Roman"/>
                <w:color w:val="auto"/>
                <w:spacing w:val="-10"/>
                <w:sz w:val="18"/>
                <w:szCs w:val="18"/>
                <w:highlight w:val="none"/>
                <w:lang w:val="en-US" w:eastAsia="zh-CN"/>
              </w:rPr>
              <w:t>非道路移动机械、厂内及厂外运输车辆在电子台账中明确车辆详细信息以及各排放标准车辆数量，并进行分类管理，车辆排放标准可通过排放标准查询平台和机动车环保信息随车清单查询；门禁及视频监控系统历史视频保存周期不少于</w:t>
            </w:r>
            <w:r>
              <w:rPr>
                <w:rFonts w:hint="eastAsia" w:cs="Times New Roman"/>
                <w:color w:val="auto"/>
                <w:spacing w:val="-10"/>
                <w:sz w:val="18"/>
                <w:szCs w:val="18"/>
                <w:highlight w:val="none"/>
                <w:lang w:val="en-US" w:eastAsia="zh-CN"/>
              </w:rPr>
              <w:t>5年</w:t>
            </w:r>
            <w:r>
              <w:rPr>
                <w:rFonts w:hint="eastAsia" w:ascii="Times New Roman" w:hAnsi="Times New Roman" w:eastAsia="宋体" w:cs="Times New Roman"/>
                <w:color w:val="auto"/>
                <w:spacing w:val="-10"/>
                <w:sz w:val="18"/>
                <w:szCs w:val="18"/>
                <w:highlight w:val="none"/>
                <w:lang w:val="en-US" w:eastAsia="zh-CN"/>
              </w:rPr>
              <w:t>，非道路移动机械、厂内及厂外运输车辆使用历史记录保存周期不少于</w:t>
            </w:r>
            <w:r>
              <w:rPr>
                <w:rFonts w:hint="eastAsia" w:cs="Times New Roman"/>
                <w:color w:val="auto"/>
                <w:spacing w:val="-10"/>
                <w:sz w:val="18"/>
                <w:szCs w:val="18"/>
                <w:highlight w:val="none"/>
                <w:lang w:val="en-US" w:eastAsia="zh-CN"/>
              </w:rPr>
              <w:t>5年</w:t>
            </w:r>
            <w:r>
              <w:rPr>
                <w:rFonts w:hint="eastAsia" w:ascii="Times New Roman" w:hAnsi="Times New Roman" w:eastAsia="宋体" w:cs="Times New Roman"/>
                <w:color w:val="auto"/>
                <w:spacing w:val="-10"/>
                <w:sz w:val="18"/>
                <w:szCs w:val="18"/>
                <w:highlight w:val="none"/>
                <w:lang w:val="en-US" w:eastAsia="zh-CN"/>
              </w:rPr>
              <w:t>。</w:t>
            </w:r>
          </w:p>
          <w:p w14:paraId="2B4E07E7">
            <w:pPr>
              <w:adjustRightInd w:val="0"/>
              <w:snapToGrid w:val="0"/>
              <w:ind w:firstLine="320" w:firstLineChars="200"/>
              <w:jc w:val="left"/>
              <w:rPr>
                <w:rFonts w:hint="eastAsia" w:ascii="Times New Roman" w:hAnsi="Times New Roman" w:eastAsia="宋体" w:cs="Times New Roman"/>
                <w:color w:val="auto"/>
                <w:spacing w:val="-10"/>
                <w:sz w:val="18"/>
                <w:szCs w:val="18"/>
                <w:highlight w:val="none"/>
              </w:rPr>
            </w:pPr>
            <w:r>
              <w:rPr>
                <w:rFonts w:hint="eastAsia" w:ascii="Times New Roman" w:hAnsi="Times New Roman" w:eastAsia="宋体" w:cs="Times New Roman"/>
                <w:color w:val="auto"/>
                <w:spacing w:val="-10"/>
                <w:sz w:val="18"/>
                <w:szCs w:val="18"/>
                <w:highlight w:val="none"/>
              </w:rPr>
              <w:t>②厂区内所有燃油非道路移动机械</w:t>
            </w:r>
            <w:r>
              <w:rPr>
                <w:rFonts w:hint="default" w:ascii="Times New Roman" w:hAnsi="Times New Roman" w:eastAsia="宋体" w:cs="Times New Roman"/>
                <w:color w:val="auto"/>
                <w:spacing w:val="-10"/>
                <w:sz w:val="18"/>
                <w:szCs w:val="18"/>
                <w:highlight w:val="none"/>
                <w:lang w:val="en-US" w:eastAsia="zh-CN"/>
              </w:rPr>
              <w:t>使用国</w:t>
            </w:r>
            <w:r>
              <w:rPr>
                <w:rFonts w:hint="eastAsia" w:ascii="Times New Roman" w:hAnsi="Times New Roman" w:eastAsia="宋体" w:cs="Times New Roman"/>
                <w:color w:val="auto"/>
                <w:spacing w:val="-10"/>
                <w:sz w:val="18"/>
                <w:szCs w:val="18"/>
                <w:highlight w:val="none"/>
                <w:lang w:val="en-US" w:eastAsia="zh-CN"/>
              </w:rPr>
              <w:t>四</w:t>
            </w:r>
            <w:r>
              <w:rPr>
                <w:rFonts w:hint="default" w:ascii="Times New Roman" w:hAnsi="Times New Roman" w:eastAsia="宋体" w:cs="Times New Roman"/>
                <w:color w:val="auto"/>
                <w:spacing w:val="-10"/>
                <w:sz w:val="18"/>
                <w:szCs w:val="18"/>
                <w:highlight w:val="none"/>
                <w:lang w:val="en-US" w:eastAsia="zh-CN"/>
              </w:rPr>
              <w:t>及以上排放标准机械，以防止尾气超标污染</w:t>
            </w:r>
            <w:r>
              <w:rPr>
                <w:rFonts w:hint="eastAsia" w:ascii="Times New Roman" w:hAnsi="Times New Roman" w:eastAsia="宋体" w:cs="Times New Roman"/>
                <w:color w:val="auto"/>
                <w:spacing w:val="-10"/>
                <w:sz w:val="18"/>
                <w:szCs w:val="18"/>
                <w:highlight w:val="none"/>
                <w:lang w:val="en-US" w:eastAsia="zh-CN"/>
              </w:rPr>
              <w:t>，并进行环保登记备案</w:t>
            </w:r>
            <w:r>
              <w:rPr>
                <w:rFonts w:hint="eastAsia" w:ascii="Times New Roman" w:hAnsi="Times New Roman" w:eastAsia="宋体" w:cs="Times New Roman"/>
                <w:color w:val="auto"/>
                <w:spacing w:val="-10"/>
                <w:sz w:val="18"/>
                <w:szCs w:val="18"/>
                <w:highlight w:val="none"/>
              </w:rPr>
              <w:t>。</w:t>
            </w:r>
          </w:p>
          <w:p w14:paraId="65C5F2F1">
            <w:pPr>
              <w:adjustRightInd w:val="0"/>
              <w:snapToGrid w:val="0"/>
              <w:ind w:firstLine="320" w:firstLineChars="200"/>
              <w:jc w:val="left"/>
              <w:rPr>
                <w:rFonts w:hint="eastAsia" w:ascii="Times New Roman" w:hAnsi="Times New Roman" w:eastAsia="宋体" w:cs="Times New Roman"/>
                <w:color w:val="auto"/>
                <w:spacing w:val="-10"/>
                <w:sz w:val="18"/>
                <w:szCs w:val="18"/>
                <w:highlight w:val="none"/>
              </w:rPr>
            </w:pPr>
            <w:r>
              <w:rPr>
                <w:rFonts w:hint="eastAsia" w:ascii="Times New Roman" w:hAnsi="Times New Roman" w:eastAsia="宋体" w:cs="Times New Roman"/>
                <w:color w:val="auto"/>
                <w:spacing w:val="-10"/>
                <w:sz w:val="18"/>
                <w:szCs w:val="18"/>
                <w:highlight w:val="none"/>
                <w:lang w:val="en-US" w:eastAsia="zh-CN"/>
              </w:rPr>
              <w:t>③项目租赁运输车辆进行厂内及厂外运输，全部采用新能源汽车或达到国六排放标准的汽车运输。</w:t>
            </w:r>
          </w:p>
          <w:p w14:paraId="022452F1">
            <w:pPr>
              <w:adjustRightInd w:val="0"/>
              <w:snapToGrid w:val="0"/>
              <w:ind w:firstLine="321" w:firstLineChars="200"/>
              <w:jc w:val="left"/>
              <w:rPr>
                <w:b/>
                <w:bCs/>
                <w:color w:val="auto"/>
                <w:spacing w:val="-10"/>
                <w:sz w:val="18"/>
                <w:szCs w:val="18"/>
              </w:rPr>
            </w:pPr>
            <w:r>
              <w:rPr>
                <w:rFonts w:hint="eastAsia"/>
                <w:b/>
                <w:bCs/>
                <w:color w:val="auto"/>
                <w:spacing w:val="-10"/>
                <w:sz w:val="18"/>
                <w:szCs w:val="18"/>
              </w:rPr>
              <w:t>10.其他管理要求</w:t>
            </w:r>
          </w:p>
          <w:p w14:paraId="669DC9D1">
            <w:pPr>
              <w:adjustRightInd w:val="0"/>
              <w:snapToGrid w:val="0"/>
              <w:ind w:firstLine="320" w:firstLineChars="200"/>
              <w:jc w:val="left"/>
              <w:rPr>
                <w:color w:val="auto"/>
                <w:spacing w:val="-10"/>
                <w:sz w:val="18"/>
                <w:szCs w:val="18"/>
              </w:rPr>
            </w:pPr>
            <w:r>
              <w:rPr>
                <w:rFonts w:hint="eastAsia"/>
                <w:color w:val="auto"/>
                <w:spacing w:val="-10"/>
                <w:sz w:val="18"/>
                <w:szCs w:val="18"/>
              </w:rPr>
              <w:t>①企业应尽快按照相关要求编制完成突发环境事件应急预案，并严格落实应急预案防范措施，降低突发事故造成的影响，并尽快在环保部门完成备案。</w:t>
            </w:r>
          </w:p>
          <w:p w14:paraId="392EBA18">
            <w:pPr>
              <w:adjustRightInd w:val="0"/>
              <w:snapToGrid w:val="0"/>
              <w:ind w:firstLine="320" w:firstLineChars="200"/>
              <w:jc w:val="left"/>
              <w:rPr>
                <w:color w:val="auto"/>
                <w:spacing w:val="-10"/>
                <w:sz w:val="18"/>
                <w:szCs w:val="18"/>
              </w:rPr>
            </w:pPr>
            <w:r>
              <w:rPr>
                <w:rFonts w:hint="eastAsia"/>
                <w:color w:val="auto"/>
                <w:spacing w:val="-10"/>
                <w:sz w:val="18"/>
                <w:szCs w:val="18"/>
              </w:rPr>
              <w:t>②涉气生产工序、生产装置及污染治理设施按生态环境部门要求安装分表计电。</w:t>
            </w:r>
          </w:p>
          <w:p w14:paraId="6C9CEACD">
            <w:pPr>
              <w:adjustRightInd w:val="0"/>
              <w:snapToGrid w:val="0"/>
              <w:ind w:firstLine="320" w:firstLineChars="200"/>
              <w:jc w:val="left"/>
              <w:rPr>
                <w:color w:val="auto"/>
                <w:spacing w:val="-10"/>
                <w:sz w:val="18"/>
                <w:szCs w:val="18"/>
              </w:rPr>
            </w:pPr>
            <w:r>
              <w:rPr>
                <w:rFonts w:hint="eastAsia"/>
                <w:color w:val="auto"/>
                <w:spacing w:val="-10"/>
                <w:sz w:val="18"/>
                <w:szCs w:val="18"/>
              </w:rPr>
              <w:t>③车间外非硬即绿，定期对厂区路面进行维护，确保路面无破损，每天加强对厂区洒水抑尘，厂区门口至主要交通干道做好清扫保洁。</w:t>
            </w:r>
          </w:p>
          <w:p w14:paraId="6D825446">
            <w:pPr>
              <w:adjustRightInd w:val="0"/>
              <w:snapToGrid w:val="0"/>
              <w:ind w:firstLine="320" w:firstLineChars="200"/>
              <w:jc w:val="left"/>
              <w:rPr>
                <w:color w:val="auto"/>
                <w:spacing w:val="-10"/>
                <w:sz w:val="18"/>
                <w:szCs w:val="18"/>
              </w:rPr>
            </w:pPr>
            <w:r>
              <w:rPr>
                <w:rFonts w:hint="eastAsia"/>
                <w:color w:val="auto"/>
                <w:spacing w:val="-10"/>
                <w:sz w:val="18"/>
                <w:szCs w:val="18"/>
              </w:rPr>
              <w:t>④安装扬尘在线监</w:t>
            </w:r>
            <w:r>
              <w:rPr>
                <w:color w:val="auto"/>
                <w:spacing w:val="-10"/>
                <w:sz w:val="18"/>
                <w:szCs w:val="18"/>
              </w:rPr>
              <w:t>控，加强无组织颗粒物排放管控，安装高清视频监控设施。厂区门口至主要交通干道之间车辆行驶路面要全部高标准硬化</w:t>
            </w:r>
            <w:r>
              <w:rPr>
                <w:rFonts w:hint="eastAsia"/>
                <w:color w:val="auto"/>
                <w:spacing w:val="-10"/>
                <w:sz w:val="18"/>
                <w:szCs w:val="18"/>
              </w:rPr>
              <w:t>。</w:t>
            </w:r>
          </w:p>
          <w:p w14:paraId="7F0B8940">
            <w:pPr>
              <w:rPr>
                <w:color w:val="auto"/>
              </w:rPr>
            </w:pPr>
          </w:p>
          <w:p w14:paraId="6B021E72">
            <w:pPr>
              <w:pStyle w:val="3"/>
              <w:rPr>
                <w:color w:val="auto"/>
              </w:rPr>
            </w:pPr>
          </w:p>
          <w:p w14:paraId="36186803">
            <w:pPr>
              <w:rPr>
                <w:color w:val="auto"/>
              </w:rPr>
            </w:pPr>
          </w:p>
          <w:p w14:paraId="7604C720">
            <w:pPr>
              <w:pStyle w:val="35"/>
              <w:rPr>
                <w:color w:val="auto"/>
              </w:rPr>
            </w:pPr>
          </w:p>
          <w:p w14:paraId="0D57034B">
            <w:pPr>
              <w:pStyle w:val="35"/>
              <w:rPr>
                <w:color w:val="auto"/>
              </w:rPr>
            </w:pPr>
          </w:p>
          <w:p w14:paraId="1790E227">
            <w:pPr>
              <w:rPr>
                <w:color w:val="auto"/>
              </w:rPr>
            </w:pPr>
          </w:p>
          <w:p w14:paraId="2F474620">
            <w:pPr>
              <w:rPr>
                <w:color w:val="auto"/>
              </w:rPr>
            </w:pPr>
          </w:p>
        </w:tc>
      </w:tr>
    </w:tbl>
    <w:p w14:paraId="3B0B0107">
      <w:pPr>
        <w:pStyle w:val="24"/>
        <w:jc w:val="center"/>
        <w:outlineLvl w:val="0"/>
        <w:rPr>
          <w:rFonts w:ascii="黑体" w:hAnsi="黑体" w:eastAsia="黑体"/>
          <w:snapToGrid w:val="0"/>
          <w:color w:val="auto"/>
          <w:sz w:val="30"/>
          <w:szCs w:val="30"/>
        </w:rPr>
      </w:pPr>
      <w:r>
        <w:rPr>
          <w:snapToGrid w:val="0"/>
          <w:color w:val="auto"/>
        </w:rPr>
        <w:br w:type="page"/>
      </w:r>
      <w:bookmarkStart w:id="26" w:name="_Toc14014"/>
      <w:r>
        <w:rPr>
          <w:rFonts w:hint="eastAsia" w:ascii="黑体" w:hAnsi="黑体" w:eastAsia="黑体"/>
          <w:snapToGrid w:val="0"/>
          <w:color w:val="auto"/>
          <w:sz w:val="30"/>
          <w:szCs w:val="30"/>
        </w:rPr>
        <w:t>六、结论</w:t>
      </w:r>
      <w:bookmarkEnd w:id="26"/>
    </w:p>
    <w:tbl>
      <w:tblPr>
        <w:tblStyle w:val="28"/>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8865"/>
      </w:tblGrid>
      <w:tr w14:paraId="1C22549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991" w:hRule="atLeast"/>
          <w:jc w:val="center"/>
        </w:trPr>
        <w:tc>
          <w:tcPr>
            <w:tcW w:w="8865" w:type="dxa"/>
            <w:vAlign w:val="center"/>
          </w:tcPr>
          <w:p w14:paraId="61DD75A2">
            <w:pPr>
              <w:pStyle w:val="24"/>
              <w:adjustRightInd w:val="0"/>
              <w:snapToGrid w:val="0"/>
              <w:spacing w:before="0" w:beforeAutospacing="0" w:after="0" w:afterAutospacing="0" w:line="440" w:lineRule="exact"/>
              <w:ind w:firstLine="420" w:firstLineChars="200"/>
              <w:rPr>
                <w:rFonts w:cs="宋体"/>
                <w:color w:val="auto"/>
              </w:rPr>
            </w:pPr>
            <w:r>
              <w:rPr>
                <w:rFonts w:hint="eastAsia"/>
                <w:color w:val="auto"/>
                <w:sz w:val="21"/>
                <w:szCs w:val="21"/>
                <w:highlight w:val="none"/>
                <w:lang w:eastAsia="zh-CN"/>
              </w:rPr>
              <w:t>滦州市祯璟再生资源有限公司固体废弃物综合利用项目</w:t>
            </w:r>
            <w:r>
              <w:rPr>
                <w:rFonts w:ascii="Times New Roman" w:hAnsi="Times New Roman"/>
                <w:color w:val="auto"/>
                <w:sz w:val="21"/>
                <w:szCs w:val="21"/>
              </w:rPr>
              <w:t>符合国家和地方产业政策，项目拟采取的环保措施技术可靠、经济可行，项目建设符合达标排放、总量控制的基本原则。厂区所在区域环境质量现状适合项目建设，</w:t>
            </w:r>
            <w:r>
              <w:rPr>
                <w:rFonts w:hint="eastAsia" w:ascii="Times New Roman" w:hAnsi="Times New Roman"/>
                <w:color w:val="auto"/>
                <w:sz w:val="21"/>
                <w:szCs w:val="21"/>
              </w:rPr>
              <w:t>拟建</w:t>
            </w:r>
            <w:r>
              <w:rPr>
                <w:rFonts w:ascii="Times New Roman" w:hAnsi="Times New Roman"/>
                <w:color w:val="auto"/>
                <w:sz w:val="21"/>
                <w:szCs w:val="21"/>
              </w:rPr>
              <w:t>项目在严格执行国家、地方的各项环保政策、法规和规定</w:t>
            </w:r>
            <w:r>
              <w:rPr>
                <w:rFonts w:hint="eastAsia" w:ascii="Times New Roman" w:hAnsi="Times New Roman"/>
                <w:color w:val="auto"/>
                <w:sz w:val="21"/>
                <w:szCs w:val="21"/>
              </w:rPr>
              <w:t>，</w:t>
            </w:r>
            <w:r>
              <w:rPr>
                <w:rFonts w:ascii="Times New Roman" w:hAnsi="Times New Roman"/>
                <w:color w:val="auto"/>
                <w:sz w:val="21"/>
                <w:szCs w:val="21"/>
              </w:rPr>
              <w:t>保证废气、废水、噪声达标排放和固废合理处置，落实报告</w:t>
            </w:r>
            <w:r>
              <w:rPr>
                <w:rFonts w:hint="eastAsia" w:ascii="Times New Roman" w:hAnsi="Times New Roman"/>
                <w:color w:val="auto"/>
                <w:sz w:val="21"/>
                <w:szCs w:val="21"/>
              </w:rPr>
              <w:t>表</w:t>
            </w:r>
            <w:r>
              <w:rPr>
                <w:rFonts w:ascii="Times New Roman" w:hAnsi="Times New Roman"/>
                <w:color w:val="auto"/>
                <w:sz w:val="21"/>
                <w:szCs w:val="21"/>
              </w:rPr>
              <w:t>提出的各项环境保护措施和风险防范措施要求的前提下，</w:t>
            </w:r>
            <w:r>
              <w:rPr>
                <w:rFonts w:hint="eastAsia" w:ascii="Times New Roman" w:hAnsi="Times New Roman"/>
                <w:color w:val="auto"/>
                <w:sz w:val="21"/>
                <w:szCs w:val="21"/>
              </w:rPr>
              <w:t>项目各项污染物均能合理处置或达标排放，对周围环境影响较小。因此，从环保角度分析，本项目的建设是可行的。</w:t>
            </w:r>
          </w:p>
        </w:tc>
      </w:tr>
    </w:tbl>
    <w:p w14:paraId="7A5B01A0">
      <w:pPr>
        <w:rPr>
          <w:rFonts w:ascii="宋体"/>
          <w:color w:val="auto"/>
        </w:rPr>
        <w:sectPr>
          <w:pgSz w:w="11905" w:h="16838"/>
          <w:pgMar w:top="1701" w:right="1531" w:bottom="1701" w:left="1531" w:header="851" w:footer="1077" w:gutter="0"/>
          <w:pgBorders>
            <w:top w:val="none" w:sz="0" w:space="0"/>
            <w:left w:val="none" w:sz="0" w:space="0"/>
            <w:bottom w:val="none" w:sz="0" w:space="0"/>
            <w:right w:val="none" w:sz="0" w:space="0"/>
          </w:pgBorders>
          <w:cols w:space="0" w:num="1"/>
          <w:rtlGutter w:val="0"/>
          <w:docGrid w:linePitch="312" w:charSpace="0"/>
        </w:sectPr>
      </w:pPr>
    </w:p>
    <w:p w14:paraId="151C9FB7">
      <w:pPr>
        <w:pStyle w:val="24"/>
        <w:keepNext w:val="0"/>
        <w:keepLines w:val="0"/>
        <w:pageBreakBefore w:val="0"/>
        <w:widowControl/>
        <w:kinsoku/>
        <w:wordWrap/>
        <w:overflowPunct/>
        <w:topLinePunct w:val="0"/>
        <w:autoSpaceDE/>
        <w:autoSpaceDN/>
        <w:bidi w:val="0"/>
        <w:adjustRightInd w:val="0"/>
        <w:snapToGrid w:val="0"/>
        <w:spacing w:before="0" w:beforeAutospacing="0" w:after="0" w:afterAutospacing="0" w:line="432" w:lineRule="auto"/>
        <w:textAlignment w:val="auto"/>
        <w:outlineLvl w:val="0"/>
        <w:rPr>
          <w:rFonts w:ascii="黑体" w:hAnsi="黑体" w:eastAsia="黑体"/>
          <w:snapToGrid w:val="0"/>
          <w:color w:val="auto"/>
          <w:sz w:val="32"/>
          <w:szCs w:val="32"/>
        </w:rPr>
      </w:pPr>
      <w:bookmarkStart w:id="27" w:name="_Toc31705"/>
      <w:r>
        <w:rPr>
          <w:rFonts w:hint="eastAsia" w:ascii="黑体" w:hAnsi="黑体" w:eastAsia="黑体"/>
          <w:snapToGrid w:val="0"/>
          <w:color w:val="auto"/>
          <w:sz w:val="32"/>
          <w:szCs w:val="32"/>
        </w:rPr>
        <w:t>附表</w:t>
      </w:r>
      <w:bookmarkEnd w:id="27"/>
    </w:p>
    <w:p w14:paraId="511B8052">
      <w:pPr>
        <w:pStyle w:val="24"/>
        <w:keepNext w:val="0"/>
        <w:keepLines w:val="0"/>
        <w:pageBreakBefore w:val="0"/>
        <w:widowControl/>
        <w:kinsoku/>
        <w:wordWrap/>
        <w:overflowPunct/>
        <w:topLinePunct w:val="0"/>
        <w:autoSpaceDE/>
        <w:autoSpaceDN/>
        <w:bidi w:val="0"/>
        <w:adjustRightInd w:val="0"/>
        <w:snapToGrid w:val="0"/>
        <w:spacing w:before="0" w:beforeAutospacing="0" w:after="0" w:afterAutospacing="0" w:line="432" w:lineRule="auto"/>
        <w:jc w:val="center"/>
        <w:textAlignment w:val="auto"/>
        <w:outlineLvl w:val="0"/>
        <w:rPr>
          <w:rFonts w:ascii="方正小标宋_GBK" w:hAnsi="黑体" w:eastAsia="方正小标宋_GBK"/>
          <w:snapToGrid w:val="0"/>
          <w:color w:val="auto"/>
          <w:sz w:val="38"/>
          <w:szCs w:val="38"/>
        </w:rPr>
      </w:pPr>
      <w:bookmarkStart w:id="28" w:name="_Toc4837"/>
      <w:r>
        <w:rPr>
          <w:rFonts w:hint="eastAsia" w:ascii="方正小标宋_GBK" w:hAnsi="黑体" w:eastAsia="方正小标宋_GBK"/>
          <w:snapToGrid w:val="0"/>
          <w:color w:val="auto"/>
          <w:sz w:val="38"/>
          <w:szCs w:val="38"/>
        </w:rPr>
        <w:t>建设项目污染物排放量汇总表</w:t>
      </w:r>
      <w:bookmarkEnd w:id="28"/>
    </w:p>
    <w:tbl>
      <w:tblPr>
        <w:tblStyle w:val="28"/>
        <w:tblW w:w="13788"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509"/>
        <w:gridCol w:w="1980"/>
        <w:gridCol w:w="1420"/>
        <w:gridCol w:w="1164"/>
        <w:gridCol w:w="1382"/>
        <w:gridCol w:w="1758"/>
        <w:gridCol w:w="1382"/>
        <w:gridCol w:w="1821"/>
        <w:gridCol w:w="1372"/>
      </w:tblGrid>
      <w:tr w14:paraId="0405EAC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1509" w:type="dxa"/>
            <w:tcBorders>
              <w:tl2br w:val="single" w:color="auto" w:sz="4" w:space="0"/>
            </w:tcBorders>
            <w:tcMar>
              <w:left w:w="28" w:type="dxa"/>
              <w:right w:w="28" w:type="dxa"/>
            </w:tcMar>
            <w:vAlign w:val="center"/>
          </w:tcPr>
          <w:p w14:paraId="12DD9089">
            <w:pPr>
              <w:pStyle w:val="48"/>
              <w:spacing w:beforeLines="0" w:afterLines="0" w:line="240" w:lineRule="auto"/>
              <w:jc w:val="right"/>
              <w:rPr>
                <w:rFonts w:ascii="黑体" w:hAnsi="黑体" w:eastAsia="黑体" w:cs="宋体"/>
                <w:snapToGrid w:val="0"/>
                <w:color w:val="auto"/>
                <w:spacing w:val="-6"/>
                <w:kern w:val="21"/>
                <w:szCs w:val="21"/>
              </w:rPr>
            </w:pPr>
            <w:r>
              <w:rPr>
                <w:rFonts w:hint="eastAsia" w:ascii="黑体" w:hAnsi="黑体" w:eastAsia="黑体" w:cs="宋体"/>
                <w:snapToGrid w:val="0"/>
                <w:color w:val="auto"/>
                <w:spacing w:val="-6"/>
                <w:kern w:val="21"/>
                <w:szCs w:val="21"/>
              </w:rPr>
              <w:t>项目</w:t>
            </w:r>
          </w:p>
          <w:p w14:paraId="6102E4AD">
            <w:pPr>
              <w:pStyle w:val="48"/>
              <w:spacing w:beforeLines="0" w:afterLines="0" w:line="240" w:lineRule="auto"/>
              <w:jc w:val="left"/>
              <w:rPr>
                <w:rFonts w:ascii="黑体" w:hAnsi="黑体" w:eastAsia="黑体" w:cs="宋体"/>
                <w:snapToGrid w:val="0"/>
                <w:color w:val="auto"/>
                <w:spacing w:val="-6"/>
                <w:kern w:val="21"/>
                <w:szCs w:val="21"/>
              </w:rPr>
            </w:pPr>
            <w:r>
              <w:rPr>
                <w:rFonts w:hint="eastAsia" w:ascii="黑体" w:hAnsi="黑体" w:eastAsia="黑体" w:cs="宋体"/>
                <w:snapToGrid w:val="0"/>
                <w:color w:val="auto"/>
                <w:spacing w:val="-6"/>
                <w:kern w:val="21"/>
                <w:szCs w:val="21"/>
              </w:rPr>
              <w:t>分类</w:t>
            </w:r>
          </w:p>
        </w:tc>
        <w:tc>
          <w:tcPr>
            <w:tcW w:w="1980" w:type="dxa"/>
            <w:tcMar>
              <w:left w:w="28" w:type="dxa"/>
              <w:right w:w="28" w:type="dxa"/>
            </w:tcMar>
            <w:vAlign w:val="center"/>
          </w:tcPr>
          <w:p w14:paraId="50320E35">
            <w:pPr>
              <w:pStyle w:val="48"/>
              <w:spacing w:beforeLines="0" w:afterLines="0" w:line="240" w:lineRule="auto"/>
              <w:rPr>
                <w:rFonts w:ascii="黑体" w:hAnsi="黑体" w:eastAsia="黑体" w:cs="宋体"/>
                <w:snapToGrid w:val="0"/>
                <w:color w:val="auto"/>
                <w:spacing w:val="-6"/>
                <w:kern w:val="21"/>
                <w:szCs w:val="21"/>
              </w:rPr>
            </w:pPr>
            <w:r>
              <w:rPr>
                <w:rFonts w:hint="eastAsia" w:ascii="黑体" w:hAnsi="黑体" w:eastAsia="黑体" w:cs="宋体"/>
                <w:snapToGrid w:val="0"/>
                <w:color w:val="auto"/>
                <w:spacing w:val="-6"/>
                <w:kern w:val="21"/>
                <w:szCs w:val="21"/>
              </w:rPr>
              <w:t>污染物名称</w:t>
            </w:r>
          </w:p>
        </w:tc>
        <w:tc>
          <w:tcPr>
            <w:tcW w:w="1420" w:type="dxa"/>
            <w:tcMar>
              <w:left w:w="28" w:type="dxa"/>
              <w:right w:w="28" w:type="dxa"/>
            </w:tcMar>
            <w:vAlign w:val="center"/>
          </w:tcPr>
          <w:p w14:paraId="60F9F7A4">
            <w:pPr>
              <w:pStyle w:val="48"/>
              <w:spacing w:beforeLines="0" w:afterLines="0" w:line="240" w:lineRule="auto"/>
              <w:rPr>
                <w:rFonts w:ascii="黑体" w:hAnsi="黑体" w:eastAsia="黑体"/>
                <w:snapToGrid w:val="0"/>
                <w:color w:val="auto"/>
                <w:spacing w:val="-6"/>
                <w:kern w:val="21"/>
                <w:szCs w:val="21"/>
              </w:rPr>
            </w:pPr>
            <w:r>
              <w:rPr>
                <w:rFonts w:ascii="黑体" w:hAnsi="黑体" w:eastAsia="黑体"/>
                <w:snapToGrid w:val="0"/>
                <w:color w:val="auto"/>
                <w:spacing w:val="-6"/>
                <w:kern w:val="21"/>
                <w:szCs w:val="21"/>
              </w:rPr>
              <w:t>现有工程</w:t>
            </w:r>
          </w:p>
          <w:p w14:paraId="0A710D11">
            <w:pPr>
              <w:pStyle w:val="48"/>
              <w:spacing w:beforeLines="0" w:afterLines="0" w:line="240" w:lineRule="auto"/>
              <w:rPr>
                <w:rFonts w:ascii="黑体" w:hAnsi="黑体" w:eastAsia="黑体"/>
                <w:snapToGrid w:val="0"/>
                <w:color w:val="auto"/>
                <w:spacing w:val="-6"/>
                <w:kern w:val="21"/>
                <w:szCs w:val="21"/>
              </w:rPr>
            </w:pPr>
            <w:r>
              <w:rPr>
                <w:rFonts w:ascii="黑体" w:hAnsi="黑体" w:eastAsia="黑体"/>
                <w:snapToGrid w:val="0"/>
                <w:color w:val="auto"/>
                <w:spacing w:val="-6"/>
                <w:kern w:val="21"/>
                <w:szCs w:val="21"/>
              </w:rPr>
              <w:t>排放量（固</w:t>
            </w:r>
            <w:r>
              <w:rPr>
                <w:rFonts w:hint="eastAsia" w:ascii="黑体" w:hAnsi="黑体" w:eastAsia="黑体"/>
                <w:snapToGrid w:val="0"/>
                <w:color w:val="auto"/>
                <w:spacing w:val="-6"/>
                <w:kern w:val="21"/>
                <w:szCs w:val="21"/>
              </w:rPr>
              <w:t>体</w:t>
            </w:r>
            <w:r>
              <w:rPr>
                <w:rFonts w:ascii="黑体" w:hAnsi="黑体" w:eastAsia="黑体"/>
                <w:snapToGrid w:val="0"/>
                <w:color w:val="auto"/>
                <w:spacing w:val="-6"/>
                <w:kern w:val="21"/>
                <w:szCs w:val="21"/>
              </w:rPr>
              <w:t>废</w:t>
            </w:r>
            <w:r>
              <w:rPr>
                <w:rFonts w:hint="eastAsia" w:ascii="黑体" w:hAnsi="黑体" w:eastAsia="黑体"/>
                <w:snapToGrid w:val="0"/>
                <w:color w:val="auto"/>
                <w:spacing w:val="-6"/>
                <w:kern w:val="21"/>
                <w:szCs w:val="21"/>
              </w:rPr>
              <w:t>物</w:t>
            </w:r>
            <w:r>
              <w:rPr>
                <w:rFonts w:ascii="黑体" w:hAnsi="黑体" w:eastAsia="黑体"/>
                <w:snapToGrid w:val="0"/>
                <w:color w:val="auto"/>
                <w:spacing w:val="-6"/>
                <w:kern w:val="21"/>
                <w:szCs w:val="21"/>
              </w:rPr>
              <w:t>产生量）</w:t>
            </w:r>
            <w:r>
              <w:rPr>
                <w:rFonts w:ascii="黑体" w:hAnsi="黑体" w:eastAsia="黑体"/>
                <w:snapToGrid w:val="0"/>
                <w:color w:val="auto"/>
                <w:spacing w:val="-6"/>
                <w:kern w:val="21"/>
                <w:szCs w:val="21"/>
              </w:rPr>
              <w:fldChar w:fldCharType="begin"/>
            </w:r>
            <w:r>
              <w:rPr>
                <w:rFonts w:ascii="黑体" w:hAnsi="黑体" w:eastAsia="黑体"/>
                <w:snapToGrid w:val="0"/>
                <w:color w:val="auto"/>
                <w:spacing w:val="-6"/>
                <w:kern w:val="21"/>
                <w:szCs w:val="21"/>
              </w:rPr>
              <w:instrText xml:space="preserve"> = 1 \* GB3 \* MERGEFORMAT </w:instrText>
            </w:r>
            <w:r>
              <w:rPr>
                <w:rFonts w:ascii="黑体" w:hAnsi="黑体" w:eastAsia="黑体"/>
                <w:snapToGrid w:val="0"/>
                <w:color w:val="auto"/>
                <w:spacing w:val="-6"/>
                <w:kern w:val="21"/>
                <w:szCs w:val="21"/>
              </w:rPr>
              <w:fldChar w:fldCharType="separate"/>
            </w:r>
            <w:r>
              <w:rPr>
                <w:rFonts w:hint="eastAsia" w:ascii="黑体" w:hAnsi="黑体" w:eastAsia="黑体" w:cs="宋体"/>
                <w:color w:val="auto"/>
                <w:kern w:val="2"/>
                <w:szCs w:val="21"/>
              </w:rPr>
              <w:t>①</w:t>
            </w:r>
            <w:r>
              <w:rPr>
                <w:rFonts w:ascii="黑体" w:hAnsi="黑体" w:eastAsia="黑体"/>
                <w:snapToGrid w:val="0"/>
                <w:color w:val="auto"/>
                <w:spacing w:val="-6"/>
                <w:kern w:val="21"/>
                <w:szCs w:val="21"/>
              </w:rPr>
              <w:fldChar w:fldCharType="end"/>
            </w:r>
          </w:p>
        </w:tc>
        <w:tc>
          <w:tcPr>
            <w:tcW w:w="1164" w:type="dxa"/>
            <w:tcMar>
              <w:left w:w="28" w:type="dxa"/>
              <w:right w:w="28" w:type="dxa"/>
            </w:tcMar>
            <w:vAlign w:val="center"/>
          </w:tcPr>
          <w:p w14:paraId="54B91EEB">
            <w:pPr>
              <w:pStyle w:val="48"/>
              <w:spacing w:beforeLines="0" w:afterLines="0" w:line="240" w:lineRule="auto"/>
              <w:rPr>
                <w:rFonts w:ascii="黑体" w:hAnsi="黑体" w:eastAsia="黑体"/>
                <w:snapToGrid w:val="0"/>
                <w:color w:val="auto"/>
                <w:spacing w:val="-6"/>
                <w:kern w:val="21"/>
                <w:szCs w:val="21"/>
              </w:rPr>
            </w:pPr>
            <w:r>
              <w:rPr>
                <w:rFonts w:ascii="黑体" w:hAnsi="黑体" w:eastAsia="黑体"/>
                <w:snapToGrid w:val="0"/>
                <w:color w:val="auto"/>
                <w:spacing w:val="-6"/>
                <w:kern w:val="21"/>
                <w:szCs w:val="21"/>
              </w:rPr>
              <w:t>现有工程</w:t>
            </w:r>
          </w:p>
          <w:p w14:paraId="078388A5">
            <w:pPr>
              <w:pStyle w:val="48"/>
              <w:spacing w:beforeLines="0" w:afterLines="0" w:line="240" w:lineRule="auto"/>
              <w:rPr>
                <w:rFonts w:ascii="黑体" w:hAnsi="黑体" w:eastAsia="黑体"/>
                <w:snapToGrid w:val="0"/>
                <w:color w:val="auto"/>
                <w:spacing w:val="-6"/>
                <w:kern w:val="21"/>
                <w:szCs w:val="21"/>
              </w:rPr>
            </w:pPr>
            <w:r>
              <w:rPr>
                <w:rFonts w:ascii="黑体" w:hAnsi="黑体" w:eastAsia="黑体"/>
                <w:snapToGrid w:val="0"/>
                <w:color w:val="auto"/>
                <w:spacing w:val="-6"/>
                <w:kern w:val="21"/>
                <w:szCs w:val="21"/>
              </w:rPr>
              <w:t>许可排放量</w:t>
            </w:r>
          </w:p>
          <w:p w14:paraId="45ECB677">
            <w:pPr>
              <w:pStyle w:val="48"/>
              <w:spacing w:beforeLines="0" w:afterLines="0"/>
              <w:rPr>
                <w:rFonts w:ascii="黑体" w:hAnsi="黑体" w:eastAsia="黑体"/>
                <w:snapToGrid w:val="0"/>
                <w:color w:val="auto"/>
                <w:spacing w:val="-6"/>
                <w:kern w:val="21"/>
                <w:szCs w:val="21"/>
              </w:rPr>
            </w:pPr>
            <w:r>
              <w:rPr>
                <w:rFonts w:ascii="黑体" w:hAnsi="黑体" w:eastAsia="黑体"/>
                <w:snapToGrid w:val="0"/>
                <w:color w:val="auto"/>
                <w:spacing w:val="-6"/>
                <w:kern w:val="21"/>
                <w:szCs w:val="21"/>
              </w:rPr>
              <w:fldChar w:fldCharType="begin"/>
            </w:r>
            <w:r>
              <w:rPr>
                <w:rFonts w:ascii="黑体" w:hAnsi="黑体" w:eastAsia="黑体"/>
                <w:snapToGrid w:val="0"/>
                <w:color w:val="auto"/>
                <w:spacing w:val="-6"/>
                <w:kern w:val="21"/>
                <w:szCs w:val="21"/>
              </w:rPr>
              <w:instrText xml:space="preserve"> = 2 \* GB3 \* MERGEFORMAT </w:instrText>
            </w:r>
            <w:r>
              <w:rPr>
                <w:rFonts w:ascii="黑体" w:hAnsi="黑体" w:eastAsia="黑体"/>
                <w:snapToGrid w:val="0"/>
                <w:color w:val="auto"/>
                <w:spacing w:val="-6"/>
                <w:kern w:val="21"/>
                <w:szCs w:val="21"/>
              </w:rPr>
              <w:fldChar w:fldCharType="separate"/>
            </w:r>
            <w:r>
              <w:rPr>
                <w:rFonts w:hint="eastAsia" w:ascii="黑体" w:hAnsi="黑体" w:eastAsia="黑体" w:cs="宋体"/>
                <w:snapToGrid w:val="0"/>
                <w:color w:val="auto"/>
                <w:spacing w:val="-6"/>
                <w:kern w:val="21"/>
                <w:szCs w:val="21"/>
              </w:rPr>
              <w:t>②</w:t>
            </w:r>
            <w:r>
              <w:rPr>
                <w:rFonts w:ascii="黑体" w:hAnsi="黑体" w:eastAsia="黑体"/>
                <w:snapToGrid w:val="0"/>
                <w:color w:val="auto"/>
                <w:spacing w:val="-6"/>
                <w:kern w:val="21"/>
                <w:szCs w:val="21"/>
              </w:rPr>
              <w:fldChar w:fldCharType="end"/>
            </w:r>
          </w:p>
        </w:tc>
        <w:tc>
          <w:tcPr>
            <w:tcW w:w="1382" w:type="dxa"/>
            <w:tcMar>
              <w:left w:w="28" w:type="dxa"/>
              <w:right w:w="28" w:type="dxa"/>
            </w:tcMar>
            <w:vAlign w:val="center"/>
          </w:tcPr>
          <w:p w14:paraId="490D5DBA">
            <w:pPr>
              <w:pStyle w:val="48"/>
              <w:spacing w:beforeLines="0" w:afterLines="0" w:line="240" w:lineRule="auto"/>
              <w:rPr>
                <w:rFonts w:ascii="黑体" w:hAnsi="黑体" w:eastAsia="黑体"/>
                <w:snapToGrid w:val="0"/>
                <w:color w:val="auto"/>
                <w:spacing w:val="-6"/>
                <w:kern w:val="21"/>
                <w:szCs w:val="21"/>
              </w:rPr>
            </w:pPr>
            <w:r>
              <w:rPr>
                <w:rFonts w:ascii="黑体" w:hAnsi="黑体" w:eastAsia="黑体"/>
                <w:snapToGrid w:val="0"/>
                <w:color w:val="auto"/>
                <w:spacing w:val="-6"/>
                <w:kern w:val="21"/>
                <w:szCs w:val="21"/>
              </w:rPr>
              <w:t>在建工程</w:t>
            </w:r>
          </w:p>
          <w:p w14:paraId="2882DDF0">
            <w:pPr>
              <w:pStyle w:val="48"/>
              <w:spacing w:beforeLines="0" w:afterLines="0" w:line="240" w:lineRule="auto"/>
              <w:rPr>
                <w:rFonts w:ascii="黑体" w:hAnsi="黑体" w:eastAsia="黑体"/>
                <w:snapToGrid w:val="0"/>
                <w:color w:val="auto"/>
                <w:spacing w:val="-6"/>
                <w:kern w:val="21"/>
                <w:szCs w:val="21"/>
              </w:rPr>
            </w:pPr>
            <w:r>
              <w:rPr>
                <w:rFonts w:ascii="黑体" w:hAnsi="黑体" w:eastAsia="黑体"/>
                <w:snapToGrid w:val="0"/>
                <w:color w:val="auto"/>
                <w:spacing w:val="-6"/>
                <w:kern w:val="21"/>
                <w:szCs w:val="21"/>
              </w:rPr>
              <w:t>排放量（固</w:t>
            </w:r>
            <w:r>
              <w:rPr>
                <w:rFonts w:hint="eastAsia" w:ascii="黑体" w:hAnsi="黑体" w:eastAsia="黑体"/>
                <w:snapToGrid w:val="0"/>
                <w:color w:val="auto"/>
                <w:spacing w:val="-6"/>
                <w:kern w:val="21"/>
                <w:szCs w:val="21"/>
              </w:rPr>
              <w:t>体</w:t>
            </w:r>
            <w:r>
              <w:rPr>
                <w:rFonts w:ascii="黑体" w:hAnsi="黑体" w:eastAsia="黑体"/>
                <w:snapToGrid w:val="0"/>
                <w:color w:val="auto"/>
                <w:spacing w:val="-6"/>
                <w:kern w:val="21"/>
                <w:szCs w:val="21"/>
              </w:rPr>
              <w:t>废</w:t>
            </w:r>
            <w:r>
              <w:rPr>
                <w:rFonts w:hint="eastAsia" w:ascii="黑体" w:hAnsi="黑体" w:eastAsia="黑体"/>
                <w:snapToGrid w:val="0"/>
                <w:color w:val="auto"/>
                <w:spacing w:val="-6"/>
                <w:kern w:val="21"/>
                <w:szCs w:val="21"/>
              </w:rPr>
              <w:t>物</w:t>
            </w:r>
            <w:r>
              <w:rPr>
                <w:rFonts w:ascii="黑体" w:hAnsi="黑体" w:eastAsia="黑体"/>
                <w:snapToGrid w:val="0"/>
                <w:color w:val="auto"/>
                <w:spacing w:val="-6"/>
                <w:kern w:val="21"/>
                <w:szCs w:val="21"/>
              </w:rPr>
              <w:t>产生量）</w:t>
            </w:r>
            <w:r>
              <w:rPr>
                <w:rFonts w:ascii="黑体" w:hAnsi="黑体" w:eastAsia="黑体"/>
                <w:snapToGrid w:val="0"/>
                <w:color w:val="auto"/>
                <w:spacing w:val="-6"/>
                <w:kern w:val="21"/>
                <w:szCs w:val="21"/>
              </w:rPr>
              <w:fldChar w:fldCharType="begin"/>
            </w:r>
            <w:r>
              <w:rPr>
                <w:rFonts w:ascii="黑体" w:hAnsi="黑体" w:eastAsia="黑体"/>
                <w:snapToGrid w:val="0"/>
                <w:color w:val="auto"/>
                <w:spacing w:val="-6"/>
                <w:kern w:val="21"/>
                <w:szCs w:val="21"/>
              </w:rPr>
              <w:instrText xml:space="preserve"> = 3 \* GB3 \* MERGEFORMAT </w:instrText>
            </w:r>
            <w:r>
              <w:rPr>
                <w:rFonts w:ascii="黑体" w:hAnsi="黑体" w:eastAsia="黑体"/>
                <w:snapToGrid w:val="0"/>
                <w:color w:val="auto"/>
                <w:spacing w:val="-6"/>
                <w:kern w:val="21"/>
                <w:szCs w:val="21"/>
              </w:rPr>
              <w:fldChar w:fldCharType="separate"/>
            </w:r>
            <w:r>
              <w:rPr>
                <w:rFonts w:hint="eastAsia" w:ascii="黑体" w:hAnsi="黑体" w:eastAsia="黑体" w:cs="宋体"/>
                <w:color w:val="auto"/>
                <w:kern w:val="2"/>
                <w:szCs w:val="21"/>
              </w:rPr>
              <w:t>③</w:t>
            </w:r>
            <w:r>
              <w:rPr>
                <w:rFonts w:ascii="黑体" w:hAnsi="黑体" w:eastAsia="黑体"/>
                <w:snapToGrid w:val="0"/>
                <w:color w:val="auto"/>
                <w:spacing w:val="-6"/>
                <w:kern w:val="21"/>
                <w:szCs w:val="21"/>
              </w:rPr>
              <w:fldChar w:fldCharType="end"/>
            </w:r>
          </w:p>
        </w:tc>
        <w:tc>
          <w:tcPr>
            <w:tcW w:w="1758" w:type="dxa"/>
            <w:tcMar>
              <w:left w:w="28" w:type="dxa"/>
              <w:right w:w="28" w:type="dxa"/>
            </w:tcMar>
            <w:vAlign w:val="center"/>
          </w:tcPr>
          <w:p w14:paraId="649FD99A">
            <w:pPr>
              <w:pStyle w:val="48"/>
              <w:spacing w:beforeLines="0" w:afterLines="0" w:line="240" w:lineRule="auto"/>
              <w:rPr>
                <w:rFonts w:ascii="黑体" w:hAnsi="黑体" w:eastAsia="黑体"/>
                <w:snapToGrid w:val="0"/>
                <w:color w:val="auto"/>
                <w:spacing w:val="-6"/>
                <w:kern w:val="21"/>
                <w:szCs w:val="21"/>
              </w:rPr>
            </w:pPr>
            <w:r>
              <w:rPr>
                <w:rFonts w:ascii="黑体" w:hAnsi="黑体" w:eastAsia="黑体"/>
                <w:snapToGrid w:val="0"/>
                <w:color w:val="auto"/>
                <w:spacing w:val="-6"/>
                <w:kern w:val="21"/>
                <w:szCs w:val="21"/>
              </w:rPr>
              <w:t>本项目</w:t>
            </w:r>
          </w:p>
          <w:p w14:paraId="7D4899A6">
            <w:pPr>
              <w:pStyle w:val="48"/>
              <w:spacing w:beforeLines="0" w:afterLines="0" w:line="240" w:lineRule="auto"/>
              <w:rPr>
                <w:rFonts w:ascii="黑体" w:hAnsi="黑体" w:eastAsia="黑体"/>
                <w:snapToGrid w:val="0"/>
                <w:color w:val="auto"/>
                <w:spacing w:val="-6"/>
                <w:kern w:val="21"/>
                <w:szCs w:val="21"/>
              </w:rPr>
            </w:pPr>
            <w:r>
              <w:rPr>
                <w:rFonts w:ascii="黑体" w:hAnsi="黑体" w:eastAsia="黑体"/>
                <w:snapToGrid w:val="0"/>
                <w:color w:val="auto"/>
                <w:spacing w:val="-6"/>
                <w:kern w:val="21"/>
                <w:szCs w:val="21"/>
              </w:rPr>
              <w:t>排放量（固</w:t>
            </w:r>
            <w:r>
              <w:rPr>
                <w:rFonts w:hint="eastAsia" w:ascii="黑体" w:hAnsi="黑体" w:eastAsia="黑体"/>
                <w:snapToGrid w:val="0"/>
                <w:color w:val="auto"/>
                <w:spacing w:val="-6"/>
                <w:kern w:val="21"/>
                <w:szCs w:val="21"/>
              </w:rPr>
              <w:t>体</w:t>
            </w:r>
            <w:r>
              <w:rPr>
                <w:rFonts w:ascii="黑体" w:hAnsi="黑体" w:eastAsia="黑体"/>
                <w:snapToGrid w:val="0"/>
                <w:color w:val="auto"/>
                <w:spacing w:val="-6"/>
                <w:kern w:val="21"/>
                <w:szCs w:val="21"/>
              </w:rPr>
              <w:t>废</w:t>
            </w:r>
            <w:r>
              <w:rPr>
                <w:rFonts w:hint="eastAsia" w:ascii="黑体" w:hAnsi="黑体" w:eastAsia="黑体"/>
                <w:snapToGrid w:val="0"/>
                <w:color w:val="auto"/>
                <w:spacing w:val="-6"/>
                <w:kern w:val="21"/>
                <w:szCs w:val="21"/>
              </w:rPr>
              <w:t>物</w:t>
            </w:r>
            <w:r>
              <w:rPr>
                <w:rFonts w:ascii="黑体" w:hAnsi="黑体" w:eastAsia="黑体"/>
                <w:snapToGrid w:val="0"/>
                <w:color w:val="auto"/>
                <w:spacing w:val="-6"/>
                <w:kern w:val="21"/>
                <w:szCs w:val="21"/>
              </w:rPr>
              <w:t>产生量）</w:t>
            </w:r>
            <w:r>
              <w:rPr>
                <w:rFonts w:ascii="黑体" w:hAnsi="黑体" w:eastAsia="黑体"/>
                <w:snapToGrid w:val="0"/>
                <w:color w:val="auto"/>
                <w:spacing w:val="-6"/>
                <w:kern w:val="21"/>
                <w:szCs w:val="21"/>
              </w:rPr>
              <w:fldChar w:fldCharType="begin"/>
            </w:r>
            <w:r>
              <w:rPr>
                <w:rFonts w:ascii="黑体" w:hAnsi="黑体" w:eastAsia="黑体"/>
                <w:snapToGrid w:val="0"/>
                <w:color w:val="auto"/>
                <w:spacing w:val="-6"/>
                <w:kern w:val="21"/>
                <w:szCs w:val="21"/>
              </w:rPr>
              <w:instrText xml:space="preserve"> = 4 \* GB3 \* MERGEFORMAT </w:instrText>
            </w:r>
            <w:r>
              <w:rPr>
                <w:rFonts w:ascii="黑体" w:hAnsi="黑体" w:eastAsia="黑体"/>
                <w:snapToGrid w:val="0"/>
                <w:color w:val="auto"/>
                <w:spacing w:val="-6"/>
                <w:kern w:val="21"/>
                <w:szCs w:val="21"/>
              </w:rPr>
              <w:fldChar w:fldCharType="separate"/>
            </w:r>
            <w:r>
              <w:rPr>
                <w:rFonts w:hint="eastAsia" w:ascii="黑体" w:hAnsi="黑体" w:eastAsia="黑体" w:cs="宋体"/>
                <w:color w:val="auto"/>
                <w:kern w:val="2"/>
                <w:szCs w:val="21"/>
              </w:rPr>
              <w:t>④</w:t>
            </w:r>
            <w:r>
              <w:rPr>
                <w:rFonts w:ascii="黑体" w:hAnsi="黑体" w:eastAsia="黑体"/>
                <w:snapToGrid w:val="0"/>
                <w:color w:val="auto"/>
                <w:spacing w:val="-6"/>
                <w:kern w:val="21"/>
                <w:szCs w:val="21"/>
              </w:rPr>
              <w:fldChar w:fldCharType="end"/>
            </w:r>
          </w:p>
        </w:tc>
        <w:tc>
          <w:tcPr>
            <w:tcW w:w="1382" w:type="dxa"/>
            <w:tcMar>
              <w:left w:w="28" w:type="dxa"/>
              <w:right w:w="28" w:type="dxa"/>
            </w:tcMar>
            <w:vAlign w:val="center"/>
          </w:tcPr>
          <w:p w14:paraId="18FBBF29">
            <w:pPr>
              <w:pStyle w:val="48"/>
              <w:spacing w:beforeLines="0" w:afterLines="0" w:line="240" w:lineRule="auto"/>
              <w:rPr>
                <w:rFonts w:ascii="黑体" w:hAnsi="黑体" w:eastAsia="黑体"/>
                <w:snapToGrid w:val="0"/>
                <w:color w:val="auto"/>
                <w:spacing w:val="-16"/>
                <w:kern w:val="21"/>
                <w:szCs w:val="21"/>
              </w:rPr>
            </w:pPr>
            <w:r>
              <w:rPr>
                <w:rFonts w:ascii="黑体" w:hAnsi="黑体" w:eastAsia="黑体"/>
                <w:snapToGrid w:val="0"/>
                <w:color w:val="auto"/>
                <w:spacing w:val="-16"/>
                <w:kern w:val="21"/>
                <w:szCs w:val="21"/>
              </w:rPr>
              <w:t>以新带老削减量</w:t>
            </w:r>
          </w:p>
          <w:p w14:paraId="3FF83352">
            <w:pPr>
              <w:pStyle w:val="48"/>
              <w:spacing w:beforeLines="0" w:afterLines="0" w:line="240" w:lineRule="auto"/>
              <w:rPr>
                <w:rFonts w:ascii="黑体" w:hAnsi="黑体" w:eastAsia="黑体"/>
                <w:snapToGrid w:val="0"/>
                <w:color w:val="auto"/>
                <w:spacing w:val="-16"/>
                <w:kern w:val="21"/>
                <w:szCs w:val="21"/>
              </w:rPr>
            </w:pPr>
            <w:r>
              <w:rPr>
                <w:rFonts w:ascii="黑体" w:hAnsi="黑体" w:eastAsia="黑体"/>
                <w:snapToGrid w:val="0"/>
                <w:color w:val="auto"/>
                <w:spacing w:val="-16"/>
                <w:kern w:val="21"/>
                <w:szCs w:val="21"/>
              </w:rPr>
              <w:t>（新建项目不填）</w:t>
            </w:r>
            <w:r>
              <w:rPr>
                <w:rFonts w:ascii="黑体" w:hAnsi="黑体" w:eastAsia="黑体"/>
                <w:snapToGrid w:val="0"/>
                <w:color w:val="auto"/>
                <w:spacing w:val="-16"/>
                <w:kern w:val="21"/>
                <w:szCs w:val="21"/>
              </w:rPr>
              <w:fldChar w:fldCharType="begin"/>
            </w:r>
            <w:r>
              <w:rPr>
                <w:rFonts w:ascii="黑体" w:hAnsi="黑体" w:eastAsia="黑体"/>
                <w:snapToGrid w:val="0"/>
                <w:color w:val="auto"/>
                <w:spacing w:val="-16"/>
                <w:kern w:val="21"/>
                <w:szCs w:val="21"/>
              </w:rPr>
              <w:instrText xml:space="preserve"> = 5 \* GB3 \* MERGEFORMAT </w:instrText>
            </w:r>
            <w:r>
              <w:rPr>
                <w:rFonts w:ascii="黑体" w:hAnsi="黑体" w:eastAsia="黑体"/>
                <w:snapToGrid w:val="0"/>
                <w:color w:val="auto"/>
                <w:spacing w:val="-16"/>
                <w:kern w:val="21"/>
                <w:szCs w:val="21"/>
              </w:rPr>
              <w:fldChar w:fldCharType="separate"/>
            </w:r>
            <w:r>
              <w:rPr>
                <w:rFonts w:hint="eastAsia" w:ascii="黑体" w:hAnsi="黑体" w:eastAsia="黑体" w:cs="宋体"/>
                <w:color w:val="auto"/>
                <w:kern w:val="2"/>
                <w:szCs w:val="21"/>
              </w:rPr>
              <w:t>⑤</w:t>
            </w:r>
            <w:r>
              <w:rPr>
                <w:rFonts w:ascii="黑体" w:hAnsi="黑体" w:eastAsia="黑体"/>
                <w:snapToGrid w:val="0"/>
                <w:color w:val="auto"/>
                <w:spacing w:val="-16"/>
                <w:kern w:val="21"/>
                <w:szCs w:val="21"/>
              </w:rPr>
              <w:fldChar w:fldCharType="end"/>
            </w:r>
          </w:p>
        </w:tc>
        <w:tc>
          <w:tcPr>
            <w:tcW w:w="1821" w:type="dxa"/>
            <w:tcMar>
              <w:left w:w="28" w:type="dxa"/>
              <w:right w:w="28" w:type="dxa"/>
            </w:tcMar>
            <w:vAlign w:val="center"/>
          </w:tcPr>
          <w:p w14:paraId="7D387AE4">
            <w:pPr>
              <w:pStyle w:val="48"/>
              <w:spacing w:beforeLines="0" w:afterLines="0" w:line="240" w:lineRule="auto"/>
              <w:rPr>
                <w:rFonts w:ascii="黑体" w:hAnsi="黑体" w:eastAsia="黑体"/>
                <w:snapToGrid w:val="0"/>
                <w:color w:val="auto"/>
                <w:spacing w:val="-16"/>
                <w:kern w:val="21"/>
                <w:szCs w:val="21"/>
              </w:rPr>
            </w:pPr>
            <w:r>
              <w:rPr>
                <w:rFonts w:ascii="黑体" w:hAnsi="黑体" w:eastAsia="黑体"/>
                <w:snapToGrid w:val="0"/>
                <w:color w:val="auto"/>
                <w:spacing w:val="-16"/>
                <w:kern w:val="21"/>
                <w:szCs w:val="21"/>
              </w:rPr>
              <w:t>本项目建成后</w:t>
            </w:r>
          </w:p>
          <w:p w14:paraId="4CDA4092">
            <w:pPr>
              <w:pStyle w:val="48"/>
              <w:spacing w:beforeLines="0" w:afterLines="0" w:line="240" w:lineRule="auto"/>
              <w:rPr>
                <w:rFonts w:ascii="黑体" w:hAnsi="黑体" w:eastAsia="黑体"/>
                <w:snapToGrid w:val="0"/>
                <w:color w:val="auto"/>
                <w:spacing w:val="-16"/>
                <w:kern w:val="21"/>
                <w:szCs w:val="21"/>
              </w:rPr>
            </w:pPr>
            <w:r>
              <w:rPr>
                <w:rFonts w:hint="eastAsia" w:ascii="黑体" w:hAnsi="黑体" w:eastAsia="黑体"/>
                <w:snapToGrid w:val="0"/>
                <w:color w:val="auto"/>
                <w:spacing w:val="-16"/>
                <w:kern w:val="21"/>
                <w:szCs w:val="21"/>
              </w:rPr>
              <w:t>全厂</w:t>
            </w:r>
            <w:r>
              <w:rPr>
                <w:rFonts w:ascii="黑体" w:hAnsi="黑体" w:eastAsia="黑体"/>
                <w:snapToGrid w:val="0"/>
                <w:color w:val="auto"/>
                <w:spacing w:val="-16"/>
                <w:kern w:val="21"/>
                <w:szCs w:val="21"/>
              </w:rPr>
              <w:t>排放量（固</w:t>
            </w:r>
            <w:r>
              <w:rPr>
                <w:rFonts w:hint="eastAsia" w:ascii="黑体" w:hAnsi="黑体" w:eastAsia="黑体"/>
                <w:snapToGrid w:val="0"/>
                <w:color w:val="auto"/>
                <w:spacing w:val="-16"/>
                <w:kern w:val="21"/>
                <w:szCs w:val="21"/>
              </w:rPr>
              <w:t>体</w:t>
            </w:r>
            <w:r>
              <w:rPr>
                <w:rFonts w:ascii="黑体" w:hAnsi="黑体" w:eastAsia="黑体"/>
                <w:snapToGrid w:val="0"/>
                <w:color w:val="auto"/>
                <w:spacing w:val="-16"/>
                <w:kern w:val="21"/>
                <w:szCs w:val="21"/>
              </w:rPr>
              <w:t>废</w:t>
            </w:r>
            <w:r>
              <w:rPr>
                <w:rFonts w:hint="eastAsia" w:ascii="黑体" w:hAnsi="黑体" w:eastAsia="黑体"/>
                <w:snapToGrid w:val="0"/>
                <w:color w:val="auto"/>
                <w:spacing w:val="-16"/>
                <w:kern w:val="21"/>
                <w:szCs w:val="21"/>
              </w:rPr>
              <w:t>物</w:t>
            </w:r>
            <w:r>
              <w:rPr>
                <w:rFonts w:ascii="黑体" w:hAnsi="黑体" w:eastAsia="黑体"/>
                <w:snapToGrid w:val="0"/>
                <w:color w:val="auto"/>
                <w:spacing w:val="-16"/>
                <w:kern w:val="21"/>
                <w:szCs w:val="21"/>
              </w:rPr>
              <w:t>产生量）</w:t>
            </w:r>
            <w:r>
              <w:rPr>
                <w:rFonts w:ascii="黑体" w:hAnsi="黑体" w:eastAsia="黑体"/>
                <w:snapToGrid w:val="0"/>
                <w:color w:val="auto"/>
                <w:spacing w:val="-16"/>
                <w:kern w:val="21"/>
                <w:szCs w:val="21"/>
              </w:rPr>
              <w:fldChar w:fldCharType="begin"/>
            </w:r>
            <w:r>
              <w:rPr>
                <w:rFonts w:ascii="黑体" w:hAnsi="黑体" w:eastAsia="黑体"/>
                <w:snapToGrid w:val="0"/>
                <w:color w:val="auto"/>
                <w:spacing w:val="-16"/>
                <w:kern w:val="21"/>
                <w:szCs w:val="21"/>
              </w:rPr>
              <w:instrText xml:space="preserve"> = 6 \* GB3 \* MERGEFORMAT </w:instrText>
            </w:r>
            <w:r>
              <w:rPr>
                <w:rFonts w:ascii="黑体" w:hAnsi="黑体" w:eastAsia="黑体"/>
                <w:snapToGrid w:val="0"/>
                <w:color w:val="auto"/>
                <w:spacing w:val="-16"/>
                <w:kern w:val="21"/>
                <w:szCs w:val="21"/>
              </w:rPr>
              <w:fldChar w:fldCharType="separate"/>
            </w:r>
            <w:r>
              <w:rPr>
                <w:rFonts w:hint="eastAsia" w:ascii="黑体" w:hAnsi="黑体" w:eastAsia="黑体" w:cs="宋体"/>
                <w:color w:val="auto"/>
                <w:kern w:val="2"/>
                <w:szCs w:val="21"/>
              </w:rPr>
              <w:t>⑥</w:t>
            </w:r>
            <w:r>
              <w:rPr>
                <w:rFonts w:ascii="黑体" w:hAnsi="黑体" w:eastAsia="黑体"/>
                <w:snapToGrid w:val="0"/>
                <w:color w:val="auto"/>
                <w:spacing w:val="-16"/>
                <w:kern w:val="21"/>
                <w:szCs w:val="21"/>
              </w:rPr>
              <w:fldChar w:fldCharType="end"/>
            </w:r>
          </w:p>
        </w:tc>
        <w:tc>
          <w:tcPr>
            <w:tcW w:w="1372" w:type="dxa"/>
            <w:tcMar>
              <w:left w:w="28" w:type="dxa"/>
              <w:right w:w="28" w:type="dxa"/>
            </w:tcMar>
            <w:vAlign w:val="center"/>
          </w:tcPr>
          <w:p w14:paraId="00202E5F">
            <w:pPr>
              <w:pStyle w:val="48"/>
              <w:spacing w:beforeLines="0" w:afterLines="0" w:line="240" w:lineRule="auto"/>
              <w:rPr>
                <w:rFonts w:ascii="黑体" w:hAnsi="黑体" w:eastAsia="黑体"/>
                <w:snapToGrid w:val="0"/>
                <w:color w:val="auto"/>
                <w:spacing w:val="-6"/>
                <w:kern w:val="21"/>
                <w:szCs w:val="21"/>
              </w:rPr>
            </w:pPr>
            <w:r>
              <w:rPr>
                <w:rFonts w:ascii="黑体" w:hAnsi="黑体" w:eastAsia="黑体"/>
                <w:snapToGrid w:val="0"/>
                <w:color w:val="auto"/>
                <w:spacing w:val="-6"/>
                <w:kern w:val="21"/>
                <w:szCs w:val="21"/>
              </w:rPr>
              <w:t>变化量</w:t>
            </w:r>
          </w:p>
          <w:p w14:paraId="39330D9E">
            <w:pPr>
              <w:pStyle w:val="48"/>
              <w:spacing w:beforeLines="0" w:afterLines="0" w:line="240" w:lineRule="auto"/>
              <w:rPr>
                <w:rFonts w:ascii="黑体" w:hAnsi="黑体" w:eastAsia="黑体"/>
                <w:snapToGrid w:val="0"/>
                <w:color w:val="auto"/>
                <w:spacing w:val="-6"/>
                <w:kern w:val="21"/>
                <w:szCs w:val="21"/>
              </w:rPr>
            </w:pPr>
            <w:r>
              <w:rPr>
                <w:rFonts w:ascii="黑体" w:hAnsi="黑体" w:eastAsia="黑体"/>
                <w:snapToGrid w:val="0"/>
                <w:color w:val="auto"/>
                <w:spacing w:val="-6"/>
                <w:kern w:val="21"/>
                <w:szCs w:val="21"/>
              </w:rPr>
              <w:fldChar w:fldCharType="begin"/>
            </w:r>
            <w:r>
              <w:rPr>
                <w:rFonts w:ascii="黑体" w:hAnsi="黑体" w:eastAsia="黑体"/>
                <w:snapToGrid w:val="0"/>
                <w:color w:val="auto"/>
                <w:spacing w:val="-6"/>
                <w:kern w:val="21"/>
                <w:szCs w:val="21"/>
              </w:rPr>
              <w:instrText xml:space="preserve"> = 7 \* GB3 \* MERGEFORMAT </w:instrText>
            </w:r>
            <w:r>
              <w:rPr>
                <w:rFonts w:ascii="黑体" w:hAnsi="黑体" w:eastAsia="黑体"/>
                <w:snapToGrid w:val="0"/>
                <w:color w:val="auto"/>
                <w:spacing w:val="-6"/>
                <w:kern w:val="21"/>
                <w:szCs w:val="21"/>
              </w:rPr>
              <w:fldChar w:fldCharType="separate"/>
            </w:r>
            <w:r>
              <w:rPr>
                <w:rFonts w:hint="eastAsia" w:ascii="黑体" w:hAnsi="黑体" w:eastAsia="黑体" w:cs="宋体"/>
                <w:color w:val="auto"/>
                <w:kern w:val="2"/>
                <w:szCs w:val="21"/>
              </w:rPr>
              <w:t>⑦</w:t>
            </w:r>
            <w:r>
              <w:rPr>
                <w:rFonts w:ascii="黑体" w:hAnsi="黑体" w:eastAsia="黑体"/>
                <w:snapToGrid w:val="0"/>
                <w:color w:val="auto"/>
                <w:spacing w:val="-6"/>
                <w:kern w:val="21"/>
                <w:szCs w:val="21"/>
              </w:rPr>
              <w:fldChar w:fldCharType="end"/>
            </w:r>
          </w:p>
        </w:tc>
      </w:tr>
      <w:tr w14:paraId="130CFBF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1509" w:type="dxa"/>
            <w:vAlign w:val="center"/>
          </w:tcPr>
          <w:p w14:paraId="356C40DD">
            <w:pPr>
              <w:pStyle w:val="48"/>
              <w:spacing w:beforeLines="0" w:afterLines="0" w:line="240" w:lineRule="auto"/>
              <w:rPr>
                <w:rFonts w:hAnsi="宋体" w:cs="宋体"/>
                <w:snapToGrid w:val="0"/>
                <w:color w:val="auto"/>
                <w:kern w:val="21"/>
                <w:szCs w:val="21"/>
              </w:rPr>
            </w:pPr>
            <w:r>
              <w:rPr>
                <w:rFonts w:hint="eastAsia" w:hAnsi="宋体" w:cs="宋体"/>
                <w:snapToGrid w:val="0"/>
                <w:color w:val="auto"/>
                <w:kern w:val="21"/>
                <w:szCs w:val="21"/>
              </w:rPr>
              <w:t>废气</w:t>
            </w:r>
          </w:p>
        </w:tc>
        <w:tc>
          <w:tcPr>
            <w:tcW w:w="1980" w:type="dxa"/>
            <w:shd w:val="clear" w:color="auto" w:fill="auto"/>
            <w:vAlign w:val="center"/>
          </w:tcPr>
          <w:p w14:paraId="51D8F8E5">
            <w:pPr>
              <w:pStyle w:val="48"/>
              <w:spacing w:beforeLines="0" w:afterLines="0" w:line="240" w:lineRule="auto"/>
              <w:rPr>
                <w:rFonts w:ascii="Times New Roman" w:hAnsi="Times New Roman" w:eastAsia="宋体" w:cs="Times New Roman"/>
                <w:snapToGrid w:val="0"/>
                <w:color w:val="auto"/>
                <w:kern w:val="21"/>
                <w:sz w:val="21"/>
                <w:szCs w:val="21"/>
                <w:lang w:val="en-US" w:eastAsia="zh-CN" w:bidi="ar-SA"/>
              </w:rPr>
            </w:pPr>
            <w:r>
              <w:rPr>
                <w:rFonts w:ascii="Times New Roman"/>
                <w:snapToGrid w:val="0"/>
                <w:color w:val="auto"/>
                <w:kern w:val="21"/>
                <w:szCs w:val="21"/>
              </w:rPr>
              <w:t>颗粒物</w:t>
            </w:r>
          </w:p>
        </w:tc>
        <w:tc>
          <w:tcPr>
            <w:tcW w:w="1420" w:type="dxa"/>
            <w:shd w:val="clear" w:color="auto" w:fill="auto"/>
            <w:vAlign w:val="center"/>
          </w:tcPr>
          <w:p w14:paraId="47345C43">
            <w:pPr>
              <w:pStyle w:val="48"/>
              <w:spacing w:beforeLines="0" w:afterLines="0" w:line="240" w:lineRule="auto"/>
              <w:rPr>
                <w:rFonts w:hint="default" w:ascii="Times New Roman" w:hAnsi="Times New Roman" w:eastAsia="宋体" w:cs="Times New Roman"/>
                <w:snapToGrid w:val="0"/>
                <w:color w:val="auto"/>
                <w:kern w:val="21"/>
                <w:sz w:val="21"/>
                <w:szCs w:val="21"/>
                <w:lang w:val="en-US" w:eastAsia="zh-CN" w:bidi="ar-SA"/>
              </w:rPr>
            </w:pPr>
          </w:p>
        </w:tc>
        <w:tc>
          <w:tcPr>
            <w:tcW w:w="1164" w:type="dxa"/>
            <w:shd w:val="clear" w:color="auto" w:fill="auto"/>
            <w:vAlign w:val="center"/>
          </w:tcPr>
          <w:p w14:paraId="7D623A3C">
            <w:pPr>
              <w:pStyle w:val="48"/>
              <w:spacing w:beforeLines="0" w:afterLines="0" w:line="240" w:lineRule="auto"/>
              <w:rPr>
                <w:rFonts w:ascii="Times New Roman" w:hAnsi="Times New Roman" w:eastAsia="宋体" w:cs="Times New Roman"/>
                <w:snapToGrid w:val="0"/>
                <w:color w:val="auto"/>
                <w:kern w:val="21"/>
                <w:sz w:val="21"/>
                <w:szCs w:val="21"/>
                <w:lang w:val="en-US" w:eastAsia="zh-CN" w:bidi="ar-SA"/>
              </w:rPr>
            </w:pPr>
          </w:p>
        </w:tc>
        <w:tc>
          <w:tcPr>
            <w:tcW w:w="1382" w:type="dxa"/>
            <w:shd w:val="clear" w:color="auto" w:fill="auto"/>
            <w:vAlign w:val="center"/>
          </w:tcPr>
          <w:p w14:paraId="14E03048">
            <w:pPr>
              <w:pStyle w:val="48"/>
              <w:spacing w:beforeLines="0" w:afterLines="0" w:line="240" w:lineRule="auto"/>
              <w:rPr>
                <w:rFonts w:ascii="Times New Roman" w:hAnsi="Times New Roman" w:eastAsia="宋体" w:cs="Times New Roman"/>
                <w:snapToGrid w:val="0"/>
                <w:color w:val="auto"/>
                <w:kern w:val="21"/>
                <w:sz w:val="21"/>
                <w:szCs w:val="21"/>
                <w:lang w:val="en-US" w:eastAsia="zh-CN" w:bidi="ar-SA"/>
              </w:rPr>
            </w:pPr>
          </w:p>
        </w:tc>
        <w:tc>
          <w:tcPr>
            <w:tcW w:w="1758" w:type="dxa"/>
            <w:shd w:val="clear" w:color="auto" w:fill="auto"/>
            <w:vAlign w:val="center"/>
          </w:tcPr>
          <w:p w14:paraId="06FA9EC0">
            <w:pPr>
              <w:pStyle w:val="48"/>
              <w:spacing w:beforeLines="0" w:afterLines="0" w:line="240" w:lineRule="auto"/>
              <w:rPr>
                <w:rFonts w:ascii="Times New Roman" w:hAnsi="Times New Roman" w:eastAsia="宋体" w:cs="Times New Roman"/>
                <w:snapToGrid w:val="0"/>
                <w:color w:val="auto"/>
                <w:kern w:val="21"/>
                <w:sz w:val="21"/>
                <w:szCs w:val="21"/>
                <w:highlight w:val="none"/>
                <w:lang w:val="en-US" w:eastAsia="zh-CN" w:bidi="ar-SA"/>
              </w:rPr>
            </w:pPr>
            <w:r>
              <w:rPr>
                <w:rFonts w:hint="eastAsia" w:ascii="Times New Roman"/>
                <w:snapToGrid w:val="0"/>
                <w:color w:val="auto"/>
                <w:kern w:val="21"/>
                <w:szCs w:val="21"/>
                <w:highlight w:val="none"/>
                <w:lang w:val="en-US" w:eastAsia="zh-CN"/>
              </w:rPr>
              <w:t>5.12</w:t>
            </w:r>
            <w:r>
              <w:rPr>
                <w:rFonts w:ascii="Times New Roman"/>
                <w:snapToGrid w:val="0"/>
                <w:color w:val="auto"/>
                <w:kern w:val="21"/>
                <w:szCs w:val="21"/>
                <w:highlight w:val="none"/>
              </w:rPr>
              <w:t>t/a</w:t>
            </w:r>
          </w:p>
        </w:tc>
        <w:tc>
          <w:tcPr>
            <w:tcW w:w="1382" w:type="dxa"/>
            <w:shd w:val="clear" w:color="auto" w:fill="auto"/>
            <w:vAlign w:val="center"/>
          </w:tcPr>
          <w:p w14:paraId="2BBBCBB1">
            <w:pPr>
              <w:pStyle w:val="48"/>
              <w:spacing w:beforeLines="0" w:afterLines="0" w:line="240" w:lineRule="auto"/>
              <w:rPr>
                <w:rFonts w:hint="default" w:ascii="Times New Roman" w:hAnsi="Times New Roman" w:eastAsia="宋体" w:cs="Times New Roman"/>
                <w:snapToGrid w:val="0"/>
                <w:color w:val="auto"/>
                <w:kern w:val="21"/>
                <w:sz w:val="21"/>
                <w:szCs w:val="21"/>
                <w:highlight w:val="none"/>
                <w:lang w:val="en-US" w:eastAsia="zh-CN" w:bidi="ar-SA"/>
              </w:rPr>
            </w:pPr>
          </w:p>
        </w:tc>
        <w:tc>
          <w:tcPr>
            <w:tcW w:w="1821" w:type="dxa"/>
            <w:shd w:val="clear" w:color="auto" w:fill="auto"/>
            <w:vAlign w:val="center"/>
          </w:tcPr>
          <w:p w14:paraId="5558436A">
            <w:pPr>
              <w:pStyle w:val="48"/>
              <w:spacing w:beforeLines="0" w:afterLines="0" w:line="240" w:lineRule="auto"/>
              <w:rPr>
                <w:rFonts w:ascii="Times New Roman" w:hAnsi="Times New Roman" w:eastAsia="宋体" w:cs="Times New Roman"/>
                <w:snapToGrid w:val="0"/>
                <w:color w:val="auto"/>
                <w:kern w:val="21"/>
                <w:sz w:val="21"/>
                <w:szCs w:val="21"/>
                <w:highlight w:val="none"/>
                <w:lang w:val="en-US" w:eastAsia="zh-CN" w:bidi="ar-SA"/>
              </w:rPr>
            </w:pPr>
            <w:r>
              <w:rPr>
                <w:rFonts w:hint="eastAsia" w:ascii="Times New Roman"/>
                <w:snapToGrid w:val="0"/>
                <w:color w:val="auto"/>
                <w:kern w:val="21"/>
                <w:szCs w:val="21"/>
                <w:highlight w:val="none"/>
                <w:lang w:val="en-US" w:eastAsia="zh-CN"/>
              </w:rPr>
              <w:t>5.12</w:t>
            </w:r>
            <w:r>
              <w:rPr>
                <w:rFonts w:ascii="Times New Roman"/>
                <w:snapToGrid w:val="0"/>
                <w:color w:val="auto"/>
                <w:kern w:val="21"/>
                <w:szCs w:val="21"/>
                <w:highlight w:val="none"/>
              </w:rPr>
              <w:t>t/a</w:t>
            </w:r>
          </w:p>
        </w:tc>
        <w:tc>
          <w:tcPr>
            <w:tcW w:w="1372" w:type="dxa"/>
            <w:shd w:val="clear" w:color="auto" w:fill="auto"/>
            <w:vAlign w:val="center"/>
          </w:tcPr>
          <w:p w14:paraId="33DF94E1">
            <w:pPr>
              <w:pStyle w:val="48"/>
              <w:spacing w:beforeLines="0" w:afterLines="0" w:line="240" w:lineRule="auto"/>
              <w:rPr>
                <w:rFonts w:ascii="Times New Roman" w:hAnsi="Times New Roman" w:eastAsia="宋体" w:cs="Times New Roman"/>
                <w:snapToGrid w:val="0"/>
                <w:color w:val="auto"/>
                <w:kern w:val="21"/>
                <w:sz w:val="21"/>
                <w:szCs w:val="21"/>
                <w:highlight w:val="none"/>
                <w:lang w:val="en-US" w:eastAsia="zh-CN" w:bidi="ar-SA"/>
              </w:rPr>
            </w:pPr>
            <w:r>
              <w:rPr>
                <w:rFonts w:hint="eastAsia" w:ascii="Times New Roman"/>
                <w:snapToGrid w:val="0"/>
                <w:color w:val="auto"/>
                <w:kern w:val="21"/>
                <w:szCs w:val="21"/>
                <w:highlight w:val="none"/>
                <w:lang w:val="en-US" w:eastAsia="zh-CN"/>
              </w:rPr>
              <w:t>+5.12</w:t>
            </w:r>
            <w:r>
              <w:rPr>
                <w:rFonts w:ascii="Times New Roman"/>
                <w:snapToGrid w:val="0"/>
                <w:color w:val="auto"/>
                <w:kern w:val="21"/>
                <w:szCs w:val="21"/>
                <w:highlight w:val="none"/>
              </w:rPr>
              <w:t>t/a</w:t>
            </w:r>
          </w:p>
        </w:tc>
      </w:tr>
      <w:tr w14:paraId="0C51206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1509" w:type="dxa"/>
            <w:vMerge w:val="restart"/>
            <w:vAlign w:val="center"/>
          </w:tcPr>
          <w:p w14:paraId="46C2B692">
            <w:pPr>
              <w:pStyle w:val="48"/>
              <w:spacing w:beforeLines="0" w:afterLines="0" w:line="240" w:lineRule="auto"/>
              <w:rPr>
                <w:rFonts w:hAnsi="宋体" w:cs="宋体"/>
                <w:snapToGrid w:val="0"/>
                <w:color w:val="auto"/>
                <w:kern w:val="21"/>
                <w:szCs w:val="21"/>
              </w:rPr>
            </w:pPr>
            <w:r>
              <w:rPr>
                <w:rFonts w:hint="eastAsia" w:hAnsi="宋体" w:cs="宋体"/>
                <w:snapToGrid w:val="0"/>
                <w:color w:val="auto"/>
                <w:kern w:val="21"/>
                <w:szCs w:val="21"/>
              </w:rPr>
              <w:t>废水</w:t>
            </w:r>
          </w:p>
        </w:tc>
        <w:tc>
          <w:tcPr>
            <w:tcW w:w="1980" w:type="dxa"/>
            <w:shd w:val="clear" w:color="auto" w:fill="auto"/>
            <w:vAlign w:val="center"/>
          </w:tcPr>
          <w:p w14:paraId="2879EF1B">
            <w:pPr>
              <w:pStyle w:val="48"/>
              <w:spacing w:beforeLines="0" w:afterLines="0" w:line="240" w:lineRule="auto"/>
              <w:rPr>
                <w:rFonts w:ascii="Times New Roman" w:hAnsi="Times New Roman" w:eastAsia="宋体" w:cs="Times New Roman"/>
                <w:snapToGrid w:val="0"/>
                <w:color w:val="auto"/>
                <w:kern w:val="21"/>
                <w:sz w:val="21"/>
                <w:szCs w:val="21"/>
                <w:lang w:val="en-US" w:eastAsia="zh-CN" w:bidi="ar-SA"/>
              </w:rPr>
            </w:pPr>
            <w:r>
              <w:rPr>
                <w:rFonts w:ascii="Times New Roman"/>
                <w:snapToGrid w:val="0"/>
                <w:color w:val="auto"/>
                <w:kern w:val="21"/>
                <w:szCs w:val="21"/>
              </w:rPr>
              <w:t>SS</w:t>
            </w:r>
          </w:p>
        </w:tc>
        <w:tc>
          <w:tcPr>
            <w:tcW w:w="1420" w:type="dxa"/>
            <w:shd w:val="clear" w:color="auto" w:fill="auto"/>
            <w:vAlign w:val="center"/>
          </w:tcPr>
          <w:p w14:paraId="18A8B30A">
            <w:pPr>
              <w:pStyle w:val="48"/>
              <w:spacing w:beforeLines="0" w:afterLines="0" w:line="240" w:lineRule="auto"/>
              <w:rPr>
                <w:rFonts w:ascii="Times New Roman" w:hAnsi="Times New Roman" w:eastAsia="宋体" w:cs="Times New Roman"/>
                <w:snapToGrid w:val="0"/>
                <w:color w:val="auto"/>
                <w:kern w:val="21"/>
                <w:sz w:val="21"/>
                <w:szCs w:val="21"/>
                <w:lang w:val="en-US" w:eastAsia="zh-CN" w:bidi="ar-SA"/>
              </w:rPr>
            </w:pPr>
          </w:p>
        </w:tc>
        <w:tc>
          <w:tcPr>
            <w:tcW w:w="1164" w:type="dxa"/>
            <w:shd w:val="clear" w:color="auto" w:fill="auto"/>
            <w:vAlign w:val="center"/>
          </w:tcPr>
          <w:p w14:paraId="2A7E78B9">
            <w:pPr>
              <w:spacing w:line="280" w:lineRule="exact"/>
              <w:jc w:val="center"/>
              <w:rPr>
                <w:rFonts w:ascii="Times New Roman" w:hAnsi="Times New Roman" w:eastAsia="宋体" w:cs="Times New Roman"/>
                <w:color w:val="auto"/>
                <w:spacing w:val="-20"/>
                <w:kern w:val="2"/>
                <w:sz w:val="21"/>
                <w:szCs w:val="21"/>
                <w:lang w:val="en-US" w:eastAsia="zh-CN" w:bidi="ar-SA"/>
              </w:rPr>
            </w:pPr>
          </w:p>
        </w:tc>
        <w:tc>
          <w:tcPr>
            <w:tcW w:w="1382" w:type="dxa"/>
            <w:shd w:val="clear" w:color="auto" w:fill="auto"/>
            <w:vAlign w:val="center"/>
          </w:tcPr>
          <w:p w14:paraId="4638B892">
            <w:pPr>
              <w:pStyle w:val="48"/>
              <w:spacing w:beforeLines="0" w:afterLines="0" w:line="240" w:lineRule="auto"/>
              <w:rPr>
                <w:rFonts w:ascii="Times New Roman" w:hAnsi="Times New Roman" w:eastAsia="宋体" w:cs="Times New Roman"/>
                <w:snapToGrid w:val="0"/>
                <w:color w:val="auto"/>
                <w:kern w:val="21"/>
                <w:sz w:val="21"/>
                <w:szCs w:val="21"/>
                <w:lang w:val="en-US" w:eastAsia="zh-CN" w:bidi="ar-SA"/>
              </w:rPr>
            </w:pPr>
          </w:p>
        </w:tc>
        <w:tc>
          <w:tcPr>
            <w:tcW w:w="1758" w:type="dxa"/>
            <w:shd w:val="clear" w:color="auto" w:fill="auto"/>
            <w:vAlign w:val="center"/>
          </w:tcPr>
          <w:p w14:paraId="5EACF555">
            <w:pPr>
              <w:pStyle w:val="48"/>
              <w:spacing w:beforeLines="0" w:afterLines="0" w:line="240" w:lineRule="auto"/>
              <w:rPr>
                <w:rFonts w:ascii="Times New Roman" w:hAnsi="Times New Roman" w:eastAsia="宋体" w:cs="Times New Roman"/>
                <w:snapToGrid w:val="0"/>
                <w:color w:val="auto"/>
                <w:kern w:val="21"/>
                <w:sz w:val="21"/>
                <w:szCs w:val="21"/>
                <w:lang w:val="en-US" w:eastAsia="zh-CN" w:bidi="ar-SA"/>
              </w:rPr>
            </w:pPr>
            <w:r>
              <w:rPr>
                <w:rFonts w:hint="eastAsia" w:ascii="Times New Roman"/>
                <w:snapToGrid w:val="0"/>
                <w:color w:val="auto"/>
                <w:kern w:val="21"/>
                <w:szCs w:val="21"/>
              </w:rPr>
              <w:t>0t/a</w:t>
            </w:r>
          </w:p>
        </w:tc>
        <w:tc>
          <w:tcPr>
            <w:tcW w:w="1382" w:type="dxa"/>
            <w:shd w:val="clear" w:color="auto" w:fill="auto"/>
            <w:vAlign w:val="center"/>
          </w:tcPr>
          <w:p w14:paraId="2C78ACE0">
            <w:pPr>
              <w:pStyle w:val="48"/>
              <w:spacing w:beforeLines="0" w:afterLines="0" w:line="240" w:lineRule="auto"/>
              <w:rPr>
                <w:rFonts w:ascii="Times New Roman" w:hAnsi="Times New Roman" w:eastAsia="宋体" w:cs="Times New Roman"/>
                <w:snapToGrid w:val="0"/>
                <w:color w:val="auto"/>
                <w:kern w:val="21"/>
                <w:sz w:val="21"/>
                <w:szCs w:val="21"/>
                <w:lang w:val="en-US" w:eastAsia="zh-CN" w:bidi="ar-SA"/>
              </w:rPr>
            </w:pPr>
          </w:p>
        </w:tc>
        <w:tc>
          <w:tcPr>
            <w:tcW w:w="1821" w:type="dxa"/>
            <w:shd w:val="clear" w:color="auto" w:fill="auto"/>
            <w:vAlign w:val="center"/>
          </w:tcPr>
          <w:p w14:paraId="49641114">
            <w:pPr>
              <w:pStyle w:val="48"/>
              <w:spacing w:beforeLines="0" w:afterLines="0" w:line="240" w:lineRule="auto"/>
              <w:rPr>
                <w:rFonts w:ascii="Times New Roman" w:hAnsi="Times New Roman" w:eastAsia="宋体" w:cs="Times New Roman"/>
                <w:snapToGrid w:val="0"/>
                <w:color w:val="auto"/>
                <w:kern w:val="21"/>
                <w:sz w:val="21"/>
                <w:szCs w:val="21"/>
                <w:lang w:val="en-US" w:eastAsia="zh-CN" w:bidi="ar-SA"/>
              </w:rPr>
            </w:pPr>
            <w:r>
              <w:rPr>
                <w:rFonts w:hint="eastAsia" w:ascii="Times New Roman"/>
                <w:snapToGrid w:val="0"/>
                <w:color w:val="auto"/>
                <w:kern w:val="21"/>
                <w:szCs w:val="21"/>
              </w:rPr>
              <w:t>0t/a</w:t>
            </w:r>
          </w:p>
        </w:tc>
        <w:tc>
          <w:tcPr>
            <w:tcW w:w="1372" w:type="dxa"/>
            <w:shd w:val="clear" w:color="auto" w:fill="auto"/>
            <w:vAlign w:val="center"/>
          </w:tcPr>
          <w:p w14:paraId="135D86AB">
            <w:pPr>
              <w:pStyle w:val="48"/>
              <w:spacing w:beforeLines="0" w:afterLines="0" w:line="240" w:lineRule="auto"/>
              <w:rPr>
                <w:rFonts w:ascii="Times New Roman" w:hAnsi="Times New Roman" w:eastAsia="宋体" w:cs="Times New Roman"/>
                <w:snapToGrid w:val="0"/>
                <w:color w:val="auto"/>
                <w:kern w:val="21"/>
                <w:sz w:val="21"/>
                <w:szCs w:val="21"/>
                <w:lang w:val="en-US" w:eastAsia="zh-CN" w:bidi="ar-SA"/>
              </w:rPr>
            </w:pPr>
            <w:r>
              <w:rPr>
                <w:rFonts w:hint="eastAsia" w:ascii="Times New Roman"/>
                <w:snapToGrid w:val="0"/>
                <w:color w:val="auto"/>
                <w:kern w:val="21"/>
                <w:szCs w:val="21"/>
                <w:highlight w:val="none"/>
                <w:lang w:val="en-US" w:eastAsia="zh-CN"/>
              </w:rPr>
              <w:t>+</w:t>
            </w:r>
            <w:r>
              <w:rPr>
                <w:rFonts w:hint="eastAsia" w:ascii="Times New Roman"/>
                <w:snapToGrid w:val="0"/>
                <w:color w:val="auto"/>
                <w:kern w:val="21"/>
                <w:szCs w:val="21"/>
                <w:highlight w:val="none"/>
              </w:rPr>
              <w:t>0t/a</w:t>
            </w:r>
          </w:p>
        </w:tc>
      </w:tr>
      <w:tr w14:paraId="356954A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1509" w:type="dxa"/>
            <w:vMerge w:val="continue"/>
            <w:vAlign w:val="center"/>
          </w:tcPr>
          <w:p w14:paraId="414F0624">
            <w:pPr>
              <w:pStyle w:val="48"/>
              <w:spacing w:beforeLines="0" w:afterLines="0" w:line="240" w:lineRule="auto"/>
              <w:rPr>
                <w:rFonts w:hAnsi="宋体" w:cs="宋体"/>
                <w:snapToGrid w:val="0"/>
                <w:color w:val="auto"/>
                <w:kern w:val="21"/>
                <w:szCs w:val="21"/>
              </w:rPr>
            </w:pPr>
          </w:p>
        </w:tc>
        <w:tc>
          <w:tcPr>
            <w:tcW w:w="1980" w:type="dxa"/>
            <w:shd w:val="clear" w:color="auto" w:fill="auto"/>
            <w:vAlign w:val="center"/>
          </w:tcPr>
          <w:p w14:paraId="3C7261DE">
            <w:pPr>
              <w:pStyle w:val="48"/>
              <w:spacing w:beforeLines="0" w:afterLines="0" w:line="240" w:lineRule="auto"/>
              <w:rPr>
                <w:rFonts w:ascii="Times New Roman" w:hAnsi="Times New Roman" w:eastAsia="宋体" w:cs="Times New Roman"/>
                <w:snapToGrid w:val="0"/>
                <w:color w:val="auto"/>
                <w:kern w:val="21"/>
                <w:sz w:val="21"/>
                <w:szCs w:val="21"/>
                <w:lang w:val="en-US" w:eastAsia="zh-CN" w:bidi="ar-SA"/>
              </w:rPr>
            </w:pPr>
            <w:r>
              <w:rPr>
                <w:rFonts w:hint="eastAsia" w:ascii="Times New Roman"/>
                <w:snapToGrid w:val="0"/>
                <w:color w:val="auto"/>
                <w:kern w:val="21"/>
                <w:szCs w:val="21"/>
              </w:rPr>
              <w:t>COD</w:t>
            </w:r>
          </w:p>
        </w:tc>
        <w:tc>
          <w:tcPr>
            <w:tcW w:w="1420" w:type="dxa"/>
            <w:shd w:val="clear" w:color="auto" w:fill="auto"/>
            <w:vAlign w:val="center"/>
          </w:tcPr>
          <w:p w14:paraId="6D593209">
            <w:pPr>
              <w:spacing w:line="280" w:lineRule="exact"/>
              <w:jc w:val="center"/>
              <w:rPr>
                <w:rFonts w:ascii="Times New Roman" w:hAnsi="Times New Roman" w:eastAsia="宋体" w:cs="Times New Roman"/>
                <w:color w:val="auto"/>
                <w:spacing w:val="-20"/>
                <w:kern w:val="2"/>
                <w:sz w:val="21"/>
                <w:szCs w:val="21"/>
                <w:lang w:val="en-US" w:eastAsia="zh-CN" w:bidi="ar-SA"/>
              </w:rPr>
            </w:pPr>
          </w:p>
        </w:tc>
        <w:tc>
          <w:tcPr>
            <w:tcW w:w="1164" w:type="dxa"/>
            <w:shd w:val="clear" w:color="auto" w:fill="auto"/>
            <w:vAlign w:val="center"/>
          </w:tcPr>
          <w:p w14:paraId="62B33693">
            <w:pPr>
              <w:spacing w:line="280" w:lineRule="exact"/>
              <w:jc w:val="center"/>
              <w:rPr>
                <w:rFonts w:ascii="Times New Roman" w:hAnsi="Times New Roman" w:eastAsia="宋体" w:cs="Times New Roman"/>
                <w:color w:val="auto"/>
                <w:spacing w:val="-20"/>
                <w:kern w:val="2"/>
                <w:sz w:val="21"/>
                <w:szCs w:val="21"/>
                <w:lang w:val="en-US" w:eastAsia="zh-CN" w:bidi="ar-SA"/>
              </w:rPr>
            </w:pPr>
          </w:p>
        </w:tc>
        <w:tc>
          <w:tcPr>
            <w:tcW w:w="1382" w:type="dxa"/>
            <w:shd w:val="clear" w:color="auto" w:fill="auto"/>
            <w:vAlign w:val="center"/>
          </w:tcPr>
          <w:p w14:paraId="3CFEB882">
            <w:pPr>
              <w:spacing w:line="280" w:lineRule="exact"/>
              <w:jc w:val="center"/>
              <w:rPr>
                <w:rFonts w:ascii="Times New Roman" w:hAnsi="Times New Roman" w:eastAsia="宋体" w:cs="Times New Roman"/>
                <w:color w:val="auto"/>
                <w:spacing w:val="-20"/>
                <w:kern w:val="2"/>
                <w:sz w:val="21"/>
                <w:szCs w:val="21"/>
                <w:lang w:val="en-US" w:eastAsia="zh-CN" w:bidi="ar-SA"/>
              </w:rPr>
            </w:pPr>
          </w:p>
        </w:tc>
        <w:tc>
          <w:tcPr>
            <w:tcW w:w="1758" w:type="dxa"/>
            <w:shd w:val="clear" w:color="auto" w:fill="auto"/>
            <w:vAlign w:val="center"/>
          </w:tcPr>
          <w:p w14:paraId="61EAA716">
            <w:pPr>
              <w:spacing w:line="280" w:lineRule="exact"/>
              <w:jc w:val="center"/>
              <w:rPr>
                <w:rFonts w:ascii="Times New Roman" w:hAnsi="Times New Roman" w:eastAsia="宋体" w:cs="Times New Roman"/>
                <w:color w:val="auto"/>
                <w:spacing w:val="-20"/>
                <w:kern w:val="2"/>
                <w:sz w:val="21"/>
                <w:szCs w:val="21"/>
                <w:lang w:val="en-US" w:eastAsia="zh-CN" w:bidi="ar-SA"/>
              </w:rPr>
            </w:pPr>
            <w:r>
              <w:rPr>
                <w:rFonts w:hint="eastAsia"/>
                <w:snapToGrid w:val="0"/>
                <w:color w:val="auto"/>
                <w:kern w:val="21"/>
                <w:szCs w:val="21"/>
              </w:rPr>
              <w:t>0t/a</w:t>
            </w:r>
          </w:p>
        </w:tc>
        <w:tc>
          <w:tcPr>
            <w:tcW w:w="1382" w:type="dxa"/>
            <w:shd w:val="clear" w:color="auto" w:fill="auto"/>
            <w:vAlign w:val="center"/>
          </w:tcPr>
          <w:p w14:paraId="3457EED4">
            <w:pPr>
              <w:spacing w:line="280" w:lineRule="exact"/>
              <w:jc w:val="center"/>
              <w:rPr>
                <w:rFonts w:ascii="Times New Roman" w:hAnsi="Times New Roman" w:eastAsia="宋体" w:cs="Times New Roman"/>
                <w:color w:val="auto"/>
                <w:spacing w:val="-20"/>
                <w:kern w:val="2"/>
                <w:sz w:val="21"/>
                <w:szCs w:val="21"/>
                <w:lang w:val="en-US" w:eastAsia="zh-CN" w:bidi="ar-SA"/>
              </w:rPr>
            </w:pPr>
          </w:p>
        </w:tc>
        <w:tc>
          <w:tcPr>
            <w:tcW w:w="1821" w:type="dxa"/>
            <w:shd w:val="clear" w:color="auto" w:fill="auto"/>
            <w:vAlign w:val="center"/>
          </w:tcPr>
          <w:p w14:paraId="41858E63">
            <w:pPr>
              <w:spacing w:line="280" w:lineRule="exact"/>
              <w:jc w:val="center"/>
              <w:rPr>
                <w:rFonts w:ascii="Times New Roman" w:hAnsi="Times New Roman" w:eastAsia="宋体" w:cs="Times New Roman"/>
                <w:color w:val="auto"/>
                <w:spacing w:val="-20"/>
                <w:kern w:val="2"/>
                <w:sz w:val="21"/>
                <w:szCs w:val="21"/>
                <w:lang w:val="en-US" w:eastAsia="zh-CN" w:bidi="ar-SA"/>
              </w:rPr>
            </w:pPr>
            <w:r>
              <w:rPr>
                <w:rFonts w:hint="eastAsia"/>
                <w:snapToGrid w:val="0"/>
                <w:color w:val="auto"/>
                <w:kern w:val="21"/>
                <w:szCs w:val="21"/>
              </w:rPr>
              <w:t>0t/a</w:t>
            </w:r>
          </w:p>
        </w:tc>
        <w:tc>
          <w:tcPr>
            <w:tcW w:w="1372" w:type="dxa"/>
            <w:shd w:val="clear" w:color="auto" w:fill="auto"/>
            <w:vAlign w:val="center"/>
          </w:tcPr>
          <w:p w14:paraId="27B6AF55">
            <w:pPr>
              <w:pStyle w:val="48"/>
              <w:spacing w:beforeLines="0" w:afterLines="0" w:line="240" w:lineRule="auto"/>
              <w:rPr>
                <w:rFonts w:ascii="宋体" w:hAnsi="宋体" w:eastAsia="宋体" w:cs="宋体"/>
                <w:snapToGrid w:val="0"/>
                <w:color w:val="auto"/>
                <w:kern w:val="21"/>
                <w:sz w:val="21"/>
                <w:szCs w:val="21"/>
                <w:highlight w:val="none"/>
                <w:lang w:val="en-US" w:eastAsia="zh-CN" w:bidi="ar-SA"/>
              </w:rPr>
            </w:pPr>
            <w:r>
              <w:rPr>
                <w:rFonts w:hint="eastAsia" w:ascii="Times New Roman"/>
                <w:snapToGrid w:val="0"/>
                <w:color w:val="auto"/>
                <w:kern w:val="21"/>
                <w:szCs w:val="21"/>
                <w:highlight w:val="none"/>
                <w:lang w:val="en-US" w:eastAsia="zh-CN"/>
              </w:rPr>
              <w:t>+</w:t>
            </w:r>
            <w:r>
              <w:rPr>
                <w:rFonts w:hint="eastAsia" w:ascii="Times New Roman"/>
                <w:snapToGrid w:val="0"/>
                <w:color w:val="auto"/>
                <w:kern w:val="21"/>
                <w:szCs w:val="21"/>
                <w:highlight w:val="none"/>
              </w:rPr>
              <w:t>0t/a</w:t>
            </w:r>
          </w:p>
        </w:tc>
      </w:tr>
      <w:tr w14:paraId="249FAFA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1509" w:type="dxa"/>
            <w:vMerge w:val="restart"/>
            <w:vAlign w:val="center"/>
          </w:tcPr>
          <w:p w14:paraId="43C875A4">
            <w:pPr>
              <w:pStyle w:val="48"/>
              <w:spacing w:beforeLines="0" w:afterLines="0" w:line="240" w:lineRule="auto"/>
              <w:rPr>
                <w:rFonts w:hAnsi="宋体" w:cs="宋体"/>
                <w:snapToGrid w:val="0"/>
                <w:color w:val="auto"/>
                <w:kern w:val="21"/>
                <w:szCs w:val="21"/>
              </w:rPr>
            </w:pPr>
            <w:r>
              <w:rPr>
                <w:rFonts w:hint="eastAsia" w:hAnsi="宋体" w:cs="宋体"/>
                <w:snapToGrid w:val="0"/>
                <w:color w:val="auto"/>
                <w:kern w:val="21"/>
                <w:szCs w:val="21"/>
              </w:rPr>
              <w:t>一般工业</w:t>
            </w:r>
          </w:p>
          <w:p w14:paraId="05C11C9A">
            <w:pPr>
              <w:pStyle w:val="48"/>
              <w:spacing w:beforeLines="0" w:afterLines="0" w:line="240" w:lineRule="auto"/>
              <w:rPr>
                <w:rFonts w:hAnsi="宋体" w:cs="宋体"/>
                <w:snapToGrid w:val="0"/>
                <w:color w:val="auto"/>
                <w:kern w:val="21"/>
                <w:szCs w:val="21"/>
              </w:rPr>
            </w:pPr>
            <w:r>
              <w:rPr>
                <w:rFonts w:hint="eastAsia" w:hAnsi="宋体" w:cs="宋体"/>
                <w:snapToGrid w:val="0"/>
                <w:color w:val="auto"/>
                <w:kern w:val="21"/>
                <w:szCs w:val="21"/>
              </w:rPr>
              <w:t>固体废物</w:t>
            </w:r>
          </w:p>
        </w:tc>
        <w:tc>
          <w:tcPr>
            <w:tcW w:w="1980" w:type="dxa"/>
            <w:vAlign w:val="center"/>
          </w:tcPr>
          <w:p w14:paraId="57D50525">
            <w:pPr>
              <w:pStyle w:val="48"/>
              <w:spacing w:beforeLines="0" w:afterLines="0" w:line="240" w:lineRule="auto"/>
              <w:rPr>
                <w:rFonts w:hint="default" w:ascii="Times New Roman" w:hAnsi="Times New Roman" w:eastAsia="宋体" w:cs="Times New Roman"/>
                <w:snapToGrid w:val="0"/>
                <w:color w:val="auto"/>
                <w:kern w:val="21"/>
                <w:sz w:val="21"/>
                <w:szCs w:val="21"/>
                <w:lang w:val="en-US" w:eastAsia="zh-CN" w:bidi="ar-SA"/>
              </w:rPr>
            </w:pPr>
            <w:r>
              <w:rPr>
                <w:rFonts w:hint="eastAsia" w:ascii="Times New Roman" w:cs="Times New Roman"/>
                <w:snapToGrid w:val="0"/>
                <w:color w:val="auto"/>
                <w:kern w:val="21"/>
                <w:sz w:val="21"/>
                <w:szCs w:val="21"/>
                <w:lang w:val="en-US" w:eastAsia="zh-CN" w:bidi="ar-SA"/>
              </w:rPr>
              <w:t>污</w:t>
            </w:r>
            <w:r>
              <w:rPr>
                <w:rFonts w:hint="eastAsia" w:ascii="Times New Roman" w:hAnsi="Times New Roman" w:eastAsia="宋体" w:cs="Times New Roman"/>
                <w:snapToGrid w:val="0"/>
                <w:color w:val="auto"/>
                <w:kern w:val="21"/>
                <w:sz w:val="21"/>
                <w:szCs w:val="21"/>
                <w:lang w:val="en-US" w:eastAsia="zh-CN" w:bidi="ar-SA"/>
              </w:rPr>
              <w:t>泥</w:t>
            </w:r>
          </w:p>
        </w:tc>
        <w:tc>
          <w:tcPr>
            <w:tcW w:w="1420" w:type="dxa"/>
            <w:vAlign w:val="center"/>
          </w:tcPr>
          <w:p w14:paraId="3350A91E">
            <w:pPr>
              <w:pStyle w:val="48"/>
              <w:spacing w:beforeLines="0" w:afterLines="0" w:line="240" w:lineRule="auto"/>
              <w:rPr>
                <w:rFonts w:ascii="Times New Roman" w:hAnsi="Times New Roman" w:eastAsia="宋体" w:cs="Times New Roman"/>
                <w:snapToGrid w:val="0"/>
                <w:color w:val="auto"/>
                <w:kern w:val="21"/>
                <w:sz w:val="21"/>
                <w:szCs w:val="21"/>
                <w:lang w:val="en-US" w:eastAsia="zh-CN" w:bidi="ar-SA"/>
              </w:rPr>
            </w:pPr>
          </w:p>
        </w:tc>
        <w:tc>
          <w:tcPr>
            <w:tcW w:w="1164" w:type="dxa"/>
            <w:vAlign w:val="center"/>
          </w:tcPr>
          <w:p w14:paraId="5B416BB7">
            <w:pPr>
              <w:spacing w:line="280" w:lineRule="exact"/>
              <w:jc w:val="center"/>
              <w:rPr>
                <w:rFonts w:ascii="Times New Roman" w:hAnsi="Times New Roman" w:eastAsia="宋体" w:cs="Times New Roman"/>
                <w:color w:val="auto"/>
                <w:spacing w:val="-20"/>
                <w:kern w:val="2"/>
                <w:sz w:val="21"/>
                <w:szCs w:val="21"/>
                <w:lang w:val="en-US" w:eastAsia="zh-CN" w:bidi="ar-SA"/>
              </w:rPr>
            </w:pPr>
          </w:p>
        </w:tc>
        <w:tc>
          <w:tcPr>
            <w:tcW w:w="1382" w:type="dxa"/>
            <w:vAlign w:val="center"/>
          </w:tcPr>
          <w:p w14:paraId="19133CA2">
            <w:pPr>
              <w:spacing w:line="280" w:lineRule="exact"/>
              <w:jc w:val="center"/>
              <w:rPr>
                <w:rFonts w:ascii="Times New Roman" w:hAnsi="Times New Roman" w:eastAsia="宋体" w:cs="Times New Roman"/>
                <w:color w:val="auto"/>
                <w:spacing w:val="-20"/>
                <w:kern w:val="2"/>
                <w:sz w:val="21"/>
                <w:szCs w:val="21"/>
                <w:lang w:val="en-US" w:eastAsia="zh-CN" w:bidi="ar-SA"/>
              </w:rPr>
            </w:pPr>
          </w:p>
        </w:tc>
        <w:tc>
          <w:tcPr>
            <w:tcW w:w="1758" w:type="dxa"/>
            <w:vAlign w:val="center"/>
          </w:tcPr>
          <w:p w14:paraId="6096BED0">
            <w:pPr>
              <w:pStyle w:val="48"/>
              <w:spacing w:beforeLines="0" w:afterLines="0" w:line="240" w:lineRule="auto"/>
              <w:rPr>
                <w:rFonts w:hint="eastAsia" w:ascii="Times New Roman" w:hAnsi="Times New Roman" w:cs="Times New Roman"/>
                <w:snapToGrid w:val="0"/>
                <w:color w:val="auto"/>
                <w:kern w:val="21"/>
                <w:szCs w:val="21"/>
                <w:highlight w:val="none"/>
                <w:lang w:val="en-US" w:eastAsia="zh-CN"/>
              </w:rPr>
            </w:pPr>
            <w:r>
              <w:rPr>
                <w:rFonts w:hint="eastAsia" w:ascii="Times New Roman" w:hAnsi="Times New Roman" w:eastAsia="宋体" w:cs="Times New Roman"/>
                <w:snapToGrid w:val="0"/>
                <w:color w:val="auto"/>
                <w:kern w:val="21"/>
                <w:szCs w:val="21"/>
                <w:highlight w:val="none"/>
                <w:lang w:val="en-US" w:eastAsia="zh-CN"/>
              </w:rPr>
              <w:t>450t/a</w:t>
            </w:r>
          </w:p>
        </w:tc>
        <w:tc>
          <w:tcPr>
            <w:tcW w:w="1382" w:type="dxa"/>
            <w:vAlign w:val="center"/>
          </w:tcPr>
          <w:p w14:paraId="4C556F02">
            <w:pPr>
              <w:pStyle w:val="48"/>
              <w:spacing w:beforeLines="0" w:afterLines="0" w:line="240" w:lineRule="auto"/>
              <w:rPr>
                <w:rFonts w:hint="eastAsia" w:ascii="Times New Roman" w:hAnsi="Times New Roman" w:cs="Times New Roman"/>
                <w:snapToGrid w:val="0"/>
                <w:color w:val="auto"/>
                <w:kern w:val="21"/>
                <w:szCs w:val="21"/>
                <w:highlight w:val="none"/>
                <w:lang w:val="en-US" w:eastAsia="zh-CN"/>
              </w:rPr>
            </w:pPr>
          </w:p>
        </w:tc>
        <w:tc>
          <w:tcPr>
            <w:tcW w:w="1821" w:type="dxa"/>
            <w:vAlign w:val="center"/>
          </w:tcPr>
          <w:p w14:paraId="37F2D9D2">
            <w:pPr>
              <w:pStyle w:val="48"/>
              <w:spacing w:beforeLines="0" w:afterLines="0" w:line="240" w:lineRule="auto"/>
              <w:rPr>
                <w:rFonts w:hint="eastAsia" w:ascii="Times New Roman" w:hAnsi="Times New Roman" w:cs="Times New Roman"/>
                <w:snapToGrid w:val="0"/>
                <w:color w:val="auto"/>
                <w:kern w:val="21"/>
                <w:szCs w:val="21"/>
                <w:highlight w:val="none"/>
                <w:lang w:val="en-US" w:eastAsia="zh-CN"/>
              </w:rPr>
            </w:pPr>
            <w:r>
              <w:rPr>
                <w:rFonts w:hint="eastAsia" w:ascii="Times New Roman" w:hAnsi="Times New Roman" w:eastAsia="宋体" w:cs="Times New Roman"/>
                <w:snapToGrid w:val="0"/>
                <w:color w:val="auto"/>
                <w:kern w:val="21"/>
                <w:szCs w:val="21"/>
                <w:highlight w:val="none"/>
                <w:lang w:val="en-US" w:eastAsia="zh-CN"/>
              </w:rPr>
              <w:t>450t/a</w:t>
            </w:r>
          </w:p>
        </w:tc>
        <w:tc>
          <w:tcPr>
            <w:tcW w:w="1372" w:type="dxa"/>
            <w:vAlign w:val="center"/>
          </w:tcPr>
          <w:p w14:paraId="6EDD6B75">
            <w:pPr>
              <w:pStyle w:val="48"/>
              <w:spacing w:beforeLines="0" w:afterLines="0" w:line="240" w:lineRule="auto"/>
              <w:rPr>
                <w:rFonts w:hint="eastAsia" w:ascii="Times New Roman" w:hAnsi="Times New Roman" w:cs="Times New Roman"/>
                <w:snapToGrid w:val="0"/>
                <w:color w:val="auto"/>
                <w:kern w:val="21"/>
                <w:szCs w:val="21"/>
                <w:highlight w:val="none"/>
                <w:lang w:val="en-US" w:eastAsia="zh-CN"/>
              </w:rPr>
            </w:pPr>
            <w:r>
              <w:rPr>
                <w:rFonts w:hint="eastAsia" w:ascii="Times New Roman" w:hAnsi="Times New Roman" w:eastAsia="宋体" w:cs="Times New Roman"/>
                <w:snapToGrid w:val="0"/>
                <w:color w:val="auto"/>
                <w:kern w:val="21"/>
                <w:szCs w:val="21"/>
                <w:highlight w:val="none"/>
                <w:lang w:val="en-US" w:eastAsia="zh-CN"/>
              </w:rPr>
              <w:t>+450t/a</w:t>
            </w:r>
          </w:p>
        </w:tc>
      </w:tr>
      <w:tr w14:paraId="4264329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1509" w:type="dxa"/>
            <w:vMerge w:val="continue"/>
            <w:vAlign w:val="center"/>
          </w:tcPr>
          <w:p w14:paraId="54B83999">
            <w:pPr>
              <w:pStyle w:val="48"/>
              <w:spacing w:beforeLines="0" w:afterLines="0" w:line="240" w:lineRule="auto"/>
              <w:rPr>
                <w:rFonts w:hint="eastAsia" w:hAnsi="宋体" w:cs="宋体"/>
                <w:snapToGrid w:val="0"/>
                <w:color w:val="auto"/>
                <w:kern w:val="21"/>
                <w:szCs w:val="21"/>
              </w:rPr>
            </w:pPr>
          </w:p>
        </w:tc>
        <w:tc>
          <w:tcPr>
            <w:tcW w:w="1980" w:type="dxa"/>
            <w:vAlign w:val="center"/>
          </w:tcPr>
          <w:p w14:paraId="2FBE354A">
            <w:pPr>
              <w:pStyle w:val="48"/>
              <w:spacing w:beforeLines="0" w:afterLines="0" w:line="240" w:lineRule="auto"/>
              <w:rPr>
                <w:rFonts w:hint="eastAsia" w:ascii="Times New Roman" w:hAnsi="Times New Roman" w:eastAsia="宋体" w:cs="Times New Roman"/>
                <w:snapToGrid w:val="0"/>
                <w:color w:val="auto"/>
                <w:kern w:val="21"/>
                <w:sz w:val="21"/>
                <w:szCs w:val="21"/>
                <w:lang w:val="en-US" w:eastAsia="zh-CN" w:bidi="ar-SA"/>
              </w:rPr>
            </w:pPr>
            <w:r>
              <w:rPr>
                <w:rFonts w:hint="eastAsia" w:ascii="Times New Roman" w:hAnsi="Times New Roman" w:eastAsia="宋体" w:cs="Times New Roman"/>
                <w:snapToGrid w:val="0"/>
                <w:color w:val="auto"/>
                <w:kern w:val="21"/>
                <w:sz w:val="21"/>
                <w:szCs w:val="21"/>
                <w:lang w:val="en-US" w:eastAsia="zh-CN" w:bidi="ar-SA"/>
              </w:rPr>
              <w:t>废包装袋</w:t>
            </w:r>
          </w:p>
        </w:tc>
        <w:tc>
          <w:tcPr>
            <w:tcW w:w="1420" w:type="dxa"/>
            <w:vAlign w:val="center"/>
          </w:tcPr>
          <w:p w14:paraId="157ABF85">
            <w:pPr>
              <w:pStyle w:val="48"/>
              <w:spacing w:beforeLines="0" w:afterLines="0" w:line="240" w:lineRule="auto"/>
              <w:rPr>
                <w:rFonts w:ascii="Times New Roman" w:hAnsi="Times New Roman" w:eastAsia="宋体" w:cs="Times New Roman"/>
                <w:snapToGrid w:val="0"/>
                <w:color w:val="auto"/>
                <w:kern w:val="21"/>
                <w:sz w:val="21"/>
                <w:szCs w:val="21"/>
                <w:lang w:val="en-US" w:eastAsia="zh-CN" w:bidi="ar-SA"/>
              </w:rPr>
            </w:pPr>
          </w:p>
        </w:tc>
        <w:tc>
          <w:tcPr>
            <w:tcW w:w="1164" w:type="dxa"/>
            <w:vAlign w:val="center"/>
          </w:tcPr>
          <w:p w14:paraId="2708E126">
            <w:pPr>
              <w:spacing w:line="280" w:lineRule="exact"/>
              <w:jc w:val="center"/>
              <w:rPr>
                <w:rFonts w:ascii="Times New Roman" w:hAnsi="Times New Roman" w:eastAsia="宋体" w:cs="Times New Roman"/>
                <w:color w:val="auto"/>
                <w:spacing w:val="-20"/>
                <w:kern w:val="2"/>
                <w:sz w:val="21"/>
                <w:szCs w:val="21"/>
                <w:lang w:val="en-US" w:eastAsia="zh-CN" w:bidi="ar-SA"/>
              </w:rPr>
            </w:pPr>
          </w:p>
        </w:tc>
        <w:tc>
          <w:tcPr>
            <w:tcW w:w="1382" w:type="dxa"/>
            <w:vAlign w:val="center"/>
          </w:tcPr>
          <w:p w14:paraId="52503618">
            <w:pPr>
              <w:spacing w:line="280" w:lineRule="exact"/>
              <w:jc w:val="center"/>
              <w:rPr>
                <w:rFonts w:ascii="Times New Roman" w:hAnsi="Times New Roman" w:eastAsia="宋体" w:cs="Times New Roman"/>
                <w:color w:val="auto"/>
                <w:spacing w:val="-20"/>
                <w:kern w:val="2"/>
                <w:sz w:val="21"/>
                <w:szCs w:val="21"/>
                <w:lang w:val="en-US" w:eastAsia="zh-CN" w:bidi="ar-SA"/>
              </w:rPr>
            </w:pPr>
          </w:p>
        </w:tc>
        <w:tc>
          <w:tcPr>
            <w:tcW w:w="1758" w:type="dxa"/>
            <w:vAlign w:val="center"/>
          </w:tcPr>
          <w:p w14:paraId="65990A69">
            <w:pPr>
              <w:pStyle w:val="48"/>
              <w:spacing w:beforeLines="0" w:afterLines="0" w:line="240" w:lineRule="auto"/>
              <w:rPr>
                <w:rFonts w:hint="default" w:ascii="Times New Roman" w:cs="Times New Roman"/>
                <w:snapToGrid w:val="0"/>
                <w:color w:val="auto"/>
                <w:kern w:val="21"/>
                <w:szCs w:val="21"/>
                <w:highlight w:val="none"/>
                <w:lang w:val="en-US" w:eastAsia="zh-CN"/>
              </w:rPr>
            </w:pPr>
            <w:r>
              <w:rPr>
                <w:rFonts w:hint="eastAsia" w:ascii="Times New Roman" w:hAnsi="Times New Roman" w:eastAsia="宋体" w:cs="Times New Roman"/>
                <w:snapToGrid w:val="0"/>
                <w:color w:val="auto"/>
                <w:kern w:val="21"/>
                <w:szCs w:val="21"/>
                <w:highlight w:val="none"/>
                <w:lang w:val="en-US" w:eastAsia="zh-CN"/>
              </w:rPr>
              <w:t>0.05t/a</w:t>
            </w:r>
          </w:p>
        </w:tc>
        <w:tc>
          <w:tcPr>
            <w:tcW w:w="1382" w:type="dxa"/>
            <w:vAlign w:val="center"/>
          </w:tcPr>
          <w:p w14:paraId="67FA9182">
            <w:pPr>
              <w:pStyle w:val="48"/>
              <w:spacing w:beforeLines="0" w:afterLines="0" w:line="240" w:lineRule="auto"/>
              <w:rPr>
                <w:rFonts w:hint="eastAsia" w:ascii="Times New Roman" w:hAnsi="Times New Roman" w:cs="Times New Roman"/>
                <w:snapToGrid w:val="0"/>
                <w:color w:val="auto"/>
                <w:kern w:val="21"/>
                <w:szCs w:val="21"/>
                <w:highlight w:val="none"/>
                <w:lang w:val="en-US" w:eastAsia="zh-CN"/>
              </w:rPr>
            </w:pPr>
          </w:p>
        </w:tc>
        <w:tc>
          <w:tcPr>
            <w:tcW w:w="1821" w:type="dxa"/>
            <w:vAlign w:val="center"/>
          </w:tcPr>
          <w:p w14:paraId="6E896132">
            <w:pPr>
              <w:pStyle w:val="48"/>
              <w:spacing w:beforeLines="0" w:afterLines="0" w:line="240" w:lineRule="auto"/>
              <w:rPr>
                <w:rFonts w:hint="eastAsia" w:ascii="Times New Roman" w:cs="Times New Roman"/>
                <w:snapToGrid w:val="0"/>
                <w:color w:val="auto"/>
                <w:kern w:val="21"/>
                <w:szCs w:val="21"/>
                <w:highlight w:val="none"/>
                <w:lang w:val="en-US" w:eastAsia="zh-CN"/>
              </w:rPr>
            </w:pPr>
            <w:r>
              <w:rPr>
                <w:rFonts w:hint="eastAsia" w:ascii="Times New Roman" w:hAnsi="Times New Roman" w:eastAsia="宋体" w:cs="Times New Roman"/>
                <w:snapToGrid w:val="0"/>
                <w:color w:val="auto"/>
                <w:kern w:val="21"/>
                <w:szCs w:val="21"/>
                <w:highlight w:val="none"/>
                <w:lang w:val="en-US" w:eastAsia="zh-CN"/>
              </w:rPr>
              <w:t>0.05t/a</w:t>
            </w:r>
          </w:p>
        </w:tc>
        <w:tc>
          <w:tcPr>
            <w:tcW w:w="1372" w:type="dxa"/>
            <w:vAlign w:val="center"/>
          </w:tcPr>
          <w:p w14:paraId="44791359">
            <w:pPr>
              <w:pStyle w:val="48"/>
              <w:spacing w:beforeLines="0" w:afterLines="0" w:line="240" w:lineRule="auto"/>
              <w:rPr>
                <w:rFonts w:hint="eastAsia" w:ascii="Times New Roman" w:hAnsi="Times New Roman" w:cs="Times New Roman"/>
                <w:snapToGrid w:val="0"/>
                <w:color w:val="auto"/>
                <w:kern w:val="21"/>
                <w:szCs w:val="21"/>
                <w:highlight w:val="none"/>
                <w:lang w:val="en-US" w:eastAsia="zh-CN"/>
              </w:rPr>
            </w:pPr>
            <w:r>
              <w:rPr>
                <w:rFonts w:hint="eastAsia" w:ascii="Times New Roman" w:hAnsi="Times New Roman" w:eastAsia="宋体" w:cs="Times New Roman"/>
                <w:snapToGrid w:val="0"/>
                <w:color w:val="auto"/>
                <w:kern w:val="21"/>
                <w:szCs w:val="21"/>
                <w:highlight w:val="none"/>
                <w:lang w:val="en-US" w:eastAsia="zh-CN"/>
              </w:rPr>
              <w:t>+0.05t/a</w:t>
            </w:r>
          </w:p>
        </w:tc>
      </w:tr>
      <w:tr w14:paraId="19B9A46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1509" w:type="dxa"/>
            <w:vMerge w:val="continue"/>
            <w:vAlign w:val="center"/>
          </w:tcPr>
          <w:p w14:paraId="71B22D4E">
            <w:pPr>
              <w:pStyle w:val="48"/>
              <w:spacing w:beforeLines="0" w:afterLines="0" w:line="240" w:lineRule="auto"/>
              <w:rPr>
                <w:rFonts w:hint="eastAsia" w:hAnsi="宋体" w:cs="宋体"/>
                <w:snapToGrid w:val="0"/>
                <w:color w:val="auto"/>
                <w:kern w:val="21"/>
                <w:szCs w:val="21"/>
              </w:rPr>
            </w:pPr>
          </w:p>
        </w:tc>
        <w:tc>
          <w:tcPr>
            <w:tcW w:w="1980" w:type="dxa"/>
            <w:shd w:val="clear" w:color="auto" w:fill="auto"/>
            <w:vAlign w:val="center"/>
          </w:tcPr>
          <w:p w14:paraId="5580B763">
            <w:pPr>
              <w:pStyle w:val="48"/>
              <w:spacing w:beforeLines="0" w:afterLines="0" w:line="240" w:lineRule="auto"/>
              <w:rPr>
                <w:rFonts w:hint="eastAsia" w:ascii="Times New Roman" w:hAnsi="Times New Roman" w:cs="Times New Roman"/>
                <w:snapToGrid w:val="0"/>
                <w:color w:val="auto"/>
                <w:kern w:val="21"/>
                <w:szCs w:val="21"/>
                <w:highlight w:val="none"/>
                <w:lang w:val="en-US" w:eastAsia="zh-CN"/>
              </w:rPr>
            </w:pPr>
            <w:r>
              <w:rPr>
                <w:rFonts w:hint="eastAsia" w:ascii="Times New Roman" w:hAnsi="Times New Roman" w:cs="Times New Roman"/>
                <w:snapToGrid w:val="0"/>
                <w:color w:val="auto"/>
                <w:kern w:val="21"/>
                <w:szCs w:val="21"/>
                <w:highlight w:val="none"/>
                <w:lang w:val="en-US" w:eastAsia="zh-CN"/>
              </w:rPr>
              <w:t>废钢球</w:t>
            </w:r>
          </w:p>
        </w:tc>
        <w:tc>
          <w:tcPr>
            <w:tcW w:w="1420" w:type="dxa"/>
            <w:vAlign w:val="center"/>
          </w:tcPr>
          <w:p w14:paraId="2188C010">
            <w:pPr>
              <w:pStyle w:val="48"/>
              <w:spacing w:beforeLines="0" w:afterLines="0" w:line="240" w:lineRule="auto"/>
              <w:rPr>
                <w:rFonts w:hint="eastAsia" w:ascii="Times New Roman" w:hAnsi="Times New Roman" w:cs="Times New Roman"/>
                <w:snapToGrid w:val="0"/>
                <w:color w:val="auto"/>
                <w:kern w:val="21"/>
                <w:szCs w:val="21"/>
                <w:highlight w:val="none"/>
                <w:lang w:val="en-US" w:eastAsia="zh-CN"/>
              </w:rPr>
            </w:pPr>
          </w:p>
        </w:tc>
        <w:tc>
          <w:tcPr>
            <w:tcW w:w="1164" w:type="dxa"/>
            <w:vAlign w:val="center"/>
          </w:tcPr>
          <w:p w14:paraId="6EABFE8D">
            <w:pPr>
              <w:pStyle w:val="48"/>
              <w:spacing w:beforeLines="0" w:afterLines="0" w:line="240" w:lineRule="auto"/>
              <w:rPr>
                <w:rFonts w:hint="eastAsia" w:ascii="Times New Roman" w:hAnsi="Times New Roman" w:cs="Times New Roman"/>
                <w:snapToGrid w:val="0"/>
                <w:color w:val="auto"/>
                <w:kern w:val="21"/>
                <w:szCs w:val="21"/>
                <w:highlight w:val="none"/>
                <w:lang w:val="en-US" w:eastAsia="zh-CN"/>
              </w:rPr>
            </w:pPr>
          </w:p>
        </w:tc>
        <w:tc>
          <w:tcPr>
            <w:tcW w:w="1382" w:type="dxa"/>
            <w:vAlign w:val="center"/>
          </w:tcPr>
          <w:p w14:paraId="7465E0F5">
            <w:pPr>
              <w:pStyle w:val="48"/>
              <w:spacing w:beforeLines="0" w:afterLines="0" w:line="240" w:lineRule="auto"/>
              <w:rPr>
                <w:rFonts w:hint="eastAsia" w:ascii="Times New Roman" w:hAnsi="Times New Roman" w:cs="Times New Roman"/>
                <w:snapToGrid w:val="0"/>
                <w:color w:val="auto"/>
                <w:kern w:val="21"/>
                <w:szCs w:val="21"/>
                <w:highlight w:val="none"/>
                <w:lang w:val="en-US" w:eastAsia="zh-CN"/>
              </w:rPr>
            </w:pPr>
          </w:p>
        </w:tc>
        <w:tc>
          <w:tcPr>
            <w:tcW w:w="1758" w:type="dxa"/>
            <w:shd w:val="clear" w:color="auto" w:fill="auto"/>
            <w:vAlign w:val="center"/>
          </w:tcPr>
          <w:p w14:paraId="6ED1300B">
            <w:pPr>
              <w:pStyle w:val="48"/>
              <w:spacing w:beforeLines="0" w:afterLines="0" w:line="240" w:lineRule="auto"/>
              <w:rPr>
                <w:rFonts w:hint="eastAsia" w:ascii="Times New Roman" w:hAnsi="Times New Roman" w:cs="Times New Roman"/>
                <w:snapToGrid w:val="0"/>
                <w:color w:val="auto"/>
                <w:kern w:val="21"/>
                <w:szCs w:val="21"/>
                <w:highlight w:val="none"/>
                <w:lang w:val="en-US" w:eastAsia="zh-CN"/>
              </w:rPr>
            </w:pPr>
            <w:r>
              <w:rPr>
                <w:rFonts w:hint="eastAsia" w:ascii="Times New Roman" w:hAnsi="Times New Roman" w:eastAsia="宋体" w:cs="Times New Roman"/>
                <w:snapToGrid w:val="0"/>
                <w:color w:val="auto"/>
                <w:kern w:val="21"/>
                <w:szCs w:val="21"/>
                <w:highlight w:val="none"/>
                <w:lang w:val="en-US" w:eastAsia="zh-CN"/>
              </w:rPr>
              <w:t>4t/a</w:t>
            </w:r>
          </w:p>
        </w:tc>
        <w:tc>
          <w:tcPr>
            <w:tcW w:w="1382" w:type="dxa"/>
            <w:vAlign w:val="center"/>
          </w:tcPr>
          <w:p w14:paraId="1A424673">
            <w:pPr>
              <w:pStyle w:val="48"/>
              <w:spacing w:beforeLines="0" w:afterLines="0" w:line="240" w:lineRule="auto"/>
              <w:rPr>
                <w:rFonts w:hint="eastAsia" w:ascii="Times New Roman" w:hAnsi="Times New Roman" w:cs="Times New Roman"/>
                <w:snapToGrid w:val="0"/>
                <w:color w:val="auto"/>
                <w:kern w:val="21"/>
                <w:szCs w:val="21"/>
                <w:highlight w:val="none"/>
                <w:lang w:val="en-US" w:eastAsia="zh-CN"/>
              </w:rPr>
            </w:pPr>
          </w:p>
        </w:tc>
        <w:tc>
          <w:tcPr>
            <w:tcW w:w="1821" w:type="dxa"/>
            <w:shd w:val="clear" w:color="auto" w:fill="auto"/>
            <w:vAlign w:val="center"/>
          </w:tcPr>
          <w:p w14:paraId="3606A7BF">
            <w:pPr>
              <w:pStyle w:val="48"/>
              <w:spacing w:beforeLines="0" w:afterLines="0" w:line="240" w:lineRule="auto"/>
              <w:rPr>
                <w:rFonts w:hint="eastAsia" w:ascii="Times New Roman" w:hAnsi="Times New Roman" w:eastAsia="宋体" w:cs="Times New Roman"/>
                <w:snapToGrid w:val="0"/>
                <w:color w:val="auto"/>
                <w:kern w:val="21"/>
                <w:sz w:val="21"/>
                <w:szCs w:val="21"/>
                <w:highlight w:val="none"/>
                <w:lang w:val="en-US" w:eastAsia="zh-CN" w:bidi="ar-SA"/>
              </w:rPr>
            </w:pPr>
            <w:r>
              <w:rPr>
                <w:rFonts w:hint="eastAsia" w:ascii="Times New Roman" w:hAnsi="Times New Roman" w:eastAsia="宋体" w:cs="Times New Roman"/>
                <w:snapToGrid w:val="0"/>
                <w:color w:val="auto"/>
                <w:kern w:val="21"/>
                <w:szCs w:val="21"/>
                <w:highlight w:val="none"/>
                <w:lang w:val="en-US" w:eastAsia="zh-CN"/>
              </w:rPr>
              <w:t>4t/a</w:t>
            </w:r>
          </w:p>
        </w:tc>
        <w:tc>
          <w:tcPr>
            <w:tcW w:w="1372" w:type="dxa"/>
            <w:shd w:val="clear" w:color="auto" w:fill="auto"/>
            <w:vAlign w:val="center"/>
          </w:tcPr>
          <w:p w14:paraId="407E1FD9">
            <w:pPr>
              <w:pStyle w:val="48"/>
              <w:spacing w:beforeLines="0" w:afterLines="0" w:line="240" w:lineRule="auto"/>
              <w:rPr>
                <w:rFonts w:hint="eastAsia" w:ascii="Times New Roman" w:hAnsi="Times New Roman" w:eastAsia="宋体" w:cs="Times New Roman"/>
                <w:snapToGrid w:val="0"/>
                <w:color w:val="auto"/>
                <w:kern w:val="21"/>
                <w:sz w:val="21"/>
                <w:szCs w:val="21"/>
                <w:highlight w:val="none"/>
                <w:lang w:val="en-US" w:eastAsia="zh-CN" w:bidi="ar-SA"/>
              </w:rPr>
            </w:pPr>
            <w:r>
              <w:rPr>
                <w:rFonts w:hint="eastAsia" w:ascii="Times New Roman" w:hAnsi="Times New Roman" w:eastAsia="宋体" w:cs="Times New Roman"/>
                <w:snapToGrid w:val="0"/>
                <w:color w:val="auto"/>
                <w:kern w:val="21"/>
                <w:szCs w:val="21"/>
                <w:highlight w:val="none"/>
                <w:lang w:val="en-US" w:eastAsia="zh-CN"/>
              </w:rPr>
              <w:t>+4t/a</w:t>
            </w:r>
          </w:p>
        </w:tc>
      </w:tr>
      <w:tr w14:paraId="61BC97A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1509" w:type="dxa"/>
            <w:vMerge w:val="continue"/>
            <w:vAlign w:val="center"/>
          </w:tcPr>
          <w:p w14:paraId="14CF13BD">
            <w:pPr>
              <w:pStyle w:val="48"/>
              <w:spacing w:beforeLines="0" w:afterLines="0" w:line="240" w:lineRule="auto"/>
              <w:rPr>
                <w:rFonts w:hint="eastAsia" w:hAnsi="宋体" w:cs="宋体"/>
                <w:snapToGrid w:val="0"/>
                <w:color w:val="auto"/>
                <w:kern w:val="21"/>
                <w:szCs w:val="21"/>
              </w:rPr>
            </w:pPr>
          </w:p>
        </w:tc>
        <w:tc>
          <w:tcPr>
            <w:tcW w:w="1980" w:type="dxa"/>
            <w:shd w:val="clear" w:color="auto" w:fill="auto"/>
            <w:vAlign w:val="center"/>
          </w:tcPr>
          <w:p w14:paraId="72C25507">
            <w:pPr>
              <w:pStyle w:val="48"/>
              <w:spacing w:beforeLines="0" w:afterLines="0" w:line="240" w:lineRule="auto"/>
              <w:rPr>
                <w:rFonts w:hint="eastAsia" w:ascii="Times New Roman" w:hAnsi="Times New Roman" w:cs="Times New Roman"/>
                <w:snapToGrid w:val="0"/>
                <w:color w:val="auto"/>
                <w:kern w:val="21"/>
                <w:szCs w:val="21"/>
                <w:highlight w:val="none"/>
                <w:lang w:val="en-US" w:eastAsia="zh-CN"/>
              </w:rPr>
            </w:pPr>
            <w:r>
              <w:rPr>
                <w:rFonts w:hint="eastAsia" w:ascii="Times New Roman" w:hAnsi="Times New Roman" w:cs="Times New Roman"/>
                <w:snapToGrid w:val="0"/>
                <w:color w:val="auto"/>
                <w:kern w:val="21"/>
                <w:szCs w:val="21"/>
                <w:highlight w:val="none"/>
                <w:lang w:val="en-US" w:eastAsia="zh-CN"/>
              </w:rPr>
              <w:t>除尘灰</w:t>
            </w:r>
          </w:p>
        </w:tc>
        <w:tc>
          <w:tcPr>
            <w:tcW w:w="1420" w:type="dxa"/>
            <w:vAlign w:val="center"/>
          </w:tcPr>
          <w:p w14:paraId="28B5C3B1">
            <w:pPr>
              <w:pStyle w:val="48"/>
              <w:spacing w:beforeLines="0" w:afterLines="0" w:line="240" w:lineRule="auto"/>
              <w:rPr>
                <w:rFonts w:hint="eastAsia" w:ascii="Times New Roman" w:hAnsi="Times New Roman" w:cs="Times New Roman"/>
                <w:snapToGrid w:val="0"/>
                <w:color w:val="auto"/>
                <w:kern w:val="21"/>
                <w:szCs w:val="21"/>
                <w:highlight w:val="none"/>
                <w:lang w:val="en-US" w:eastAsia="zh-CN"/>
              </w:rPr>
            </w:pPr>
          </w:p>
        </w:tc>
        <w:tc>
          <w:tcPr>
            <w:tcW w:w="1164" w:type="dxa"/>
            <w:vAlign w:val="center"/>
          </w:tcPr>
          <w:p w14:paraId="3789FB4D">
            <w:pPr>
              <w:pStyle w:val="48"/>
              <w:spacing w:beforeLines="0" w:afterLines="0" w:line="240" w:lineRule="auto"/>
              <w:rPr>
                <w:rFonts w:hint="eastAsia" w:ascii="Times New Roman" w:hAnsi="Times New Roman" w:cs="Times New Roman"/>
                <w:snapToGrid w:val="0"/>
                <w:color w:val="auto"/>
                <w:kern w:val="21"/>
                <w:szCs w:val="21"/>
                <w:highlight w:val="none"/>
                <w:lang w:val="en-US" w:eastAsia="zh-CN"/>
              </w:rPr>
            </w:pPr>
          </w:p>
        </w:tc>
        <w:tc>
          <w:tcPr>
            <w:tcW w:w="1382" w:type="dxa"/>
            <w:vAlign w:val="center"/>
          </w:tcPr>
          <w:p w14:paraId="67B9499E">
            <w:pPr>
              <w:pStyle w:val="48"/>
              <w:spacing w:beforeLines="0" w:afterLines="0" w:line="240" w:lineRule="auto"/>
              <w:rPr>
                <w:rFonts w:hint="eastAsia" w:ascii="Times New Roman" w:hAnsi="Times New Roman" w:cs="Times New Roman"/>
                <w:snapToGrid w:val="0"/>
                <w:color w:val="auto"/>
                <w:kern w:val="21"/>
                <w:szCs w:val="21"/>
                <w:highlight w:val="none"/>
                <w:lang w:val="en-US" w:eastAsia="zh-CN"/>
              </w:rPr>
            </w:pPr>
          </w:p>
        </w:tc>
        <w:tc>
          <w:tcPr>
            <w:tcW w:w="1758" w:type="dxa"/>
            <w:shd w:val="clear" w:color="auto" w:fill="auto"/>
            <w:vAlign w:val="center"/>
          </w:tcPr>
          <w:p w14:paraId="3DFC2E23">
            <w:pPr>
              <w:pStyle w:val="48"/>
              <w:spacing w:beforeLines="0" w:afterLines="0" w:line="240" w:lineRule="auto"/>
              <w:rPr>
                <w:rFonts w:hint="eastAsia" w:ascii="Times New Roman" w:hAnsi="Times New Roman" w:cs="Times New Roman"/>
                <w:snapToGrid w:val="0"/>
                <w:color w:val="auto"/>
                <w:kern w:val="21"/>
                <w:szCs w:val="21"/>
                <w:highlight w:val="none"/>
                <w:lang w:val="en-US" w:eastAsia="zh-CN"/>
              </w:rPr>
            </w:pPr>
            <w:r>
              <w:rPr>
                <w:rFonts w:hint="eastAsia" w:ascii="Times New Roman" w:hAnsi="Times New Roman" w:eastAsia="宋体" w:cs="Times New Roman"/>
                <w:snapToGrid w:val="0"/>
                <w:color w:val="auto"/>
                <w:kern w:val="21"/>
                <w:szCs w:val="21"/>
                <w:highlight w:val="none"/>
                <w:lang w:val="en-US" w:eastAsia="zh-CN"/>
              </w:rPr>
              <w:t>446.463t/a</w:t>
            </w:r>
          </w:p>
        </w:tc>
        <w:tc>
          <w:tcPr>
            <w:tcW w:w="1382" w:type="dxa"/>
            <w:vAlign w:val="center"/>
          </w:tcPr>
          <w:p w14:paraId="4539C1C0">
            <w:pPr>
              <w:pStyle w:val="48"/>
              <w:spacing w:beforeLines="0" w:afterLines="0" w:line="240" w:lineRule="auto"/>
              <w:rPr>
                <w:rFonts w:hint="eastAsia" w:ascii="Times New Roman" w:hAnsi="Times New Roman" w:cs="Times New Roman"/>
                <w:snapToGrid w:val="0"/>
                <w:color w:val="auto"/>
                <w:kern w:val="21"/>
                <w:szCs w:val="21"/>
                <w:highlight w:val="none"/>
                <w:lang w:val="en-US" w:eastAsia="zh-CN"/>
              </w:rPr>
            </w:pPr>
          </w:p>
        </w:tc>
        <w:tc>
          <w:tcPr>
            <w:tcW w:w="1821" w:type="dxa"/>
            <w:shd w:val="clear" w:color="auto" w:fill="auto"/>
            <w:vAlign w:val="center"/>
          </w:tcPr>
          <w:p w14:paraId="3851FD03">
            <w:pPr>
              <w:pStyle w:val="48"/>
              <w:spacing w:beforeLines="0" w:afterLines="0" w:line="240" w:lineRule="auto"/>
              <w:rPr>
                <w:rFonts w:hint="eastAsia" w:ascii="Times New Roman" w:hAnsi="Times New Roman" w:eastAsia="宋体" w:cs="Times New Roman"/>
                <w:snapToGrid w:val="0"/>
                <w:color w:val="auto"/>
                <w:kern w:val="21"/>
                <w:sz w:val="21"/>
                <w:szCs w:val="21"/>
                <w:highlight w:val="none"/>
                <w:lang w:val="en-US" w:eastAsia="zh-CN" w:bidi="ar-SA"/>
              </w:rPr>
            </w:pPr>
            <w:r>
              <w:rPr>
                <w:rFonts w:hint="eastAsia" w:ascii="Times New Roman" w:hAnsi="Times New Roman" w:eastAsia="宋体" w:cs="Times New Roman"/>
                <w:snapToGrid w:val="0"/>
                <w:color w:val="auto"/>
                <w:kern w:val="21"/>
                <w:szCs w:val="21"/>
                <w:highlight w:val="none"/>
                <w:lang w:val="en-US" w:eastAsia="zh-CN"/>
              </w:rPr>
              <w:t>446.463t/a</w:t>
            </w:r>
          </w:p>
        </w:tc>
        <w:tc>
          <w:tcPr>
            <w:tcW w:w="1372" w:type="dxa"/>
            <w:shd w:val="clear" w:color="auto" w:fill="auto"/>
            <w:vAlign w:val="center"/>
          </w:tcPr>
          <w:p w14:paraId="4178CC50">
            <w:pPr>
              <w:pStyle w:val="48"/>
              <w:spacing w:beforeLines="0" w:afterLines="0" w:line="240" w:lineRule="auto"/>
              <w:rPr>
                <w:rFonts w:hint="eastAsia" w:ascii="Times New Roman" w:hAnsi="Times New Roman" w:eastAsia="宋体" w:cs="Times New Roman"/>
                <w:snapToGrid w:val="0"/>
                <w:color w:val="auto"/>
                <w:kern w:val="21"/>
                <w:sz w:val="21"/>
                <w:szCs w:val="21"/>
                <w:highlight w:val="none"/>
                <w:lang w:val="en-US" w:eastAsia="zh-CN" w:bidi="ar-SA"/>
              </w:rPr>
            </w:pPr>
            <w:r>
              <w:rPr>
                <w:rFonts w:hint="eastAsia" w:ascii="Times New Roman" w:hAnsi="Times New Roman" w:eastAsia="宋体" w:cs="Times New Roman"/>
                <w:snapToGrid w:val="0"/>
                <w:color w:val="auto"/>
                <w:kern w:val="21"/>
                <w:szCs w:val="21"/>
                <w:highlight w:val="none"/>
                <w:lang w:val="en-US" w:eastAsia="zh-CN"/>
              </w:rPr>
              <w:t>+446.463t/a</w:t>
            </w:r>
          </w:p>
        </w:tc>
      </w:tr>
      <w:tr w14:paraId="5B22D16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1509" w:type="dxa"/>
            <w:vMerge w:val="continue"/>
            <w:vAlign w:val="center"/>
          </w:tcPr>
          <w:p w14:paraId="2A0D5AD4">
            <w:pPr>
              <w:pStyle w:val="48"/>
              <w:spacing w:beforeLines="0" w:afterLines="0" w:line="240" w:lineRule="auto"/>
              <w:rPr>
                <w:rFonts w:hint="eastAsia" w:hAnsi="宋体" w:cs="宋体"/>
                <w:snapToGrid w:val="0"/>
                <w:color w:val="auto"/>
                <w:kern w:val="21"/>
                <w:szCs w:val="21"/>
              </w:rPr>
            </w:pPr>
          </w:p>
        </w:tc>
        <w:tc>
          <w:tcPr>
            <w:tcW w:w="1980" w:type="dxa"/>
            <w:shd w:val="clear" w:color="auto" w:fill="auto"/>
            <w:vAlign w:val="center"/>
          </w:tcPr>
          <w:p w14:paraId="2FBCF083">
            <w:pPr>
              <w:pStyle w:val="48"/>
              <w:spacing w:beforeLines="0" w:afterLines="0" w:line="240" w:lineRule="auto"/>
              <w:rPr>
                <w:rFonts w:hint="eastAsia" w:ascii="Times New Roman" w:hAnsi="Times New Roman" w:cs="Times New Roman"/>
                <w:snapToGrid w:val="0"/>
                <w:color w:val="auto"/>
                <w:kern w:val="21"/>
                <w:szCs w:val="21"/>
                <w:highlight w:val="none"/>
                <w:lang w:val="en-US" w:eastAsia="zh-CN"/>
              </w:rPr>
            </w:pPr>
            <w:r>
              <w:rPr>
                <w:rFonts w:hint="eastAsia" w:ascii="Times New Roman" w:hAnsi="Times New Roman" w:cs="Times New Roman"/>
                <w:snapToGrid w:val="0"/>
                <w:color w:val="auto"/>
                <w:kern w:val="21"/>
                <w:szCs w:val="21"/>
                <w:highlight w:val="none"/>
                <w:lang w:val="en-US" w:eastAsia="zh-CN"/>
              </w:rPr>
              <w:t>废布袋</w:t>
            </w:r>
          </w:p>
        </w:tc>
        <w:tc>
          <w:tcPr>
            <w:tcW w:w="1420" w:type="dxa"/>
            <w:vAlign w:val="center"/>
          </w:tcPr>
          <w:p w14:paraId="31A5902F">
            <w:pPr>
              <w:pStyle w:val="48"/>
              <w:spacing w:beforeLines="0" w:afterLines="0" w:line="240" w:lineRule="auto"/>
              <w:rPr>
                <w:rFonts w:hint="eastAsia" w:ascii="Times New Roman" w:hAnsi="Times New Roman" w:cs="Times New Roman"/>
                <w:snapToGrid w:val="0"/>
                <w:color w:val="auto"/>
                <w:kern w:val="21"/>
                <w:szCs w:val="21"/>
                <w:highlight w:val="none"/>
                <w:lang w:val="en-US" w:eastAsia="zh-CN"/>
              </w:rPr>
            </w:pPr>
          </w:p>
        </w:tc>
        <w:tc>
          <w:tcPr>
            <w:tcW w:w="1164" w:type="dxa"/>
            <w:vAlign w:val="center"/>
          </w:tcPr>
          <w:p w14:paraId="101A090D">
            <w:pPr>
              <w:pStyle w:val="48"/>
              <w:spacing w:beforeLines="0" w:afterLines="0" w:line="240" w:lineRule="auto"/>
              <w:rPr>
                <w:rFonts w:hint="eastAsia" w:ascii="Times New Roman" w:hAnsi="Times New Roman" w:cs="Times New Roman"/>
                <w:snapToGrid w:val="0"/>
                <w:color w:val="auto"/>
                <w:kern w:val="21"/>
                <w:szCs w:val="21"/>
                <w:highlight w:val="none"/>
                <w:lang w:val="en-US" w:eastAsia="zh-CN"/>
              </w:rPr>
            </w:pPr>
          </w:p>
        </w:tc>
        <w:tc>
          <w:tcPr>
            <w:tcW w:w="1382" w:type="dxa"/>
            <w:vAlign w:val="center"/>
          </w:tcPr>
          <w:p w14:paraId="120AF237">
            <w:pPr>
              <w:pStyle w:val="48"/>
              <w:spacing w:beforeLines="0" w:afterLines="0" w:line="240" w:lineRule="auto"/>
              <w:rPr>
                <w:rFonts w:hint="eastAsia" w:ascii="Times New Roman" w:hAnsi="Times New Roman" w:cs="Times New Roman"/>
                <w:snapToGrid w:val="0"/>
                <w:color w:val="auto"/>
                <w:kern w:val="21"/>
                <w:szCs w:val="21"/>
                <w:highlight w:val="none"/>
                <w:lang w:val="en-US" w:eastAsia="zh-CN"/>
              </w:rPr>
            </w:pPr>
          </w:p>
        </w:tc>
        <w:tc>
          <w:tcPr>
            <w:tcW w:w="1758" w:type="dxa"/>
            <w:shd w:val="clear" w:color="auto" w:fill="auto"/>
            <w:vAlign w:val="center"/>
          </w:tcPr>
          <w:p w14:paraId="20E535E1">
            <w:pPr>
              <w:pStyle w:val="48"/>
              <w:spacing w:beforeLines="0" w:afterLines="0" w:line="240" w:lineRule="auto"/>
              <w:rPr>
                <w:rFonts w:hint="eastAsia" w:ascii="Times New Roman" w:hAnsi="Times New Roman" w:cs="Times New Roman"/>
                <w:snapToGrid w:val="0"/>
                <w:color w:val="auto"/>
                <w:kern w:val="21"/>
                <w:szCs w:val="21"/>
                <w:highlight w:val="none"/>
                <w:lang w:val="en-US" w:eastAsia="zh-CN"/>
              </w:rPr>
            </w:pPr>
            <w:r>
              <w:rPr>
                <w:rFonts w:hint="eastAsia" w:ascii="Times New Roman" w:hAnsi="Times New Roman" w:eastAsia="宋体" w:cs="Times New Roman"/>
                <w:snapToGrid w:val="0"/>
                <w:color w:val="auto"/>
                <w:kern w:val="21"/>
                <w:szCs w:val="21"/>
                <w:highlight w:val="none"/>
                <w:lang w:val="en-US" w:eastAsia="zh-CN"/>
              </w:rPr>
              <w:t>0.05t/a</w:t>
            </w:r>
          </w:p>
        </w:tc>
        <w:tc>
          <w:tcPr>
            <w:tcW w:w="1382" w:type="dxa"/>
            <w:vAlign w:val="center"/>
          </w:tcPr>
          <w:p w14:paraId="615B8424">
            <w:pPr>
              <w:pStyle w:val="48"/>
              <w:spacing w:beforeLines="0" w:afterLines="0" w:line="240" w:lineRule="auto"/>
              <w:rPr>
                <w:rFonts w:hint="eastAsia" w:ascii="Times New Roman" w:hAnsi="Times New Roman" w:cs="Times New Roman"/>
                <w:snapToGrid w:val="0"/>
                <w:color w:val="auto"/>
                <w:kern w:val="21"/>
                <w:szCs w:val="21"/>
                <w:highlight w:val="none"/>
                <w:lang w:val="en-US" w:eastAsia="zh-CN"/>
              </w:rPr>
            </w:pPr>
          </w:p>
        </w:tc>
        <w:tc>
          <w:tcPr>
            <w:tcW w:w="1821" w:type="dxa"/>
            <w:shd w:val="clear" w:color="auto" w:fill="auto"/>
            <w:vAlign w:val="center"/>
          </w:tcPr>
          <w:p w14:paraId="0A0C9C5B">
            <w:pPr>
              <w:pStyle w:val="48"/>
              <w:spacing w:beforeLines="0" w:afterLines="0" w:line="240" w:lineRule="auto"/>
              <w:rPr>
                <w:rFonts w:hint="eastAsia" w:ascii="Times New Roman" w:hAnsi="Times New Roman" w:eastAsia="宋体" w:cs="Times New Roman"/>
                <w:snapToGrid w:val="0"/>
                <w:color w:val="auto"/>
                <w:kern w:val="21"/>
                <w:sz w:val="21"/>
                <w:szCs w:val="21"/>
                <w:highlight w:val="none"/>
                <w:lang w:val="en-US" w:eastAsia="zh-CN" w:bidi="ar-SA"/>
              </w:rPr>
            </w:pPr>
            <w:r>
              <w:rPr>
                <w:rFonts w:hint="eastAsia" w:ascii="Times New Roman" w:hAnsi="Times New Roman" w:eastAsia="宋体" w:cs="Times New Roman"/>
                <w:snapToGrid w:val="0"/>
                <w:color w:val="auto"/>
                <w:kern w:val="21"/>
                <w:szCs w:val="21"/>
                <w:highlight w:val="none"/>
                <w:lang w:val="en-US" w:eastAsia="zh-CN"/>
              </w:rPr>
              <w:t>0.05t/a</w:t>
            </w:r>
          </w:p>
        </w:tc>
        <w:tc>
          <w:tcPr>
            <w:tcW w:w="1372" w:type="dxa"/>
            <w:shd w:val="clear" w:color="auto" w:fill="auto"/>
            <w:vAlign w:val="center"/>
          </w:tcPr>
          <w:p w14:paraId="307739C8">
            <w:pPr>
              <w:pStyle w:val="48"/>
              <w:spacing w:beforeLines="0" w:afterLines="0" w:line="240" w:lineRule="auto"/>
              <w:rPr>
                <w:rFonts w:hint="eastAsia" w:ascii="Times New Roman" w:hAnsi="Times New Roman" w:eastAsia="宋体" w:cs="Times New Roman"/>
                <w:snapToGrid w:val="0"/>
                <w:color w:val="auto"/>
                <w:kern w:val="21"/>
                <w:sz w:val="21"/>
                <w:szCs w:val="21"/>
                <w:highlight w:val="none"/>
                <w:lang w:val="en-US" w:eastAsia="zh-CN" w:bidi="ar-SA"/>
              </w:rPr>
            </w:pPr>
            <w:r>
              <w:rPr>
                <w:rFonts w:hint="eastAsia" w:ascii="Times New Roman" w:hAnsi="Times New Roman" w:eastAsia="宋体" w:cs="Times New Roman"/>
                <w:snapToGrid w:val="0"/>
                <w:color w:val="auto"/>
                <w:kern w:val="21"/>
                <w:szCs w:val="21"/>
                <w:highlight w:val="none"/>
                <w:lang w:val="en-US" w:eastAsia="zh-CN"/>
              </w:rPr>
              <w:t>+0.05t/a</w:t>
            </w:r>
          </w:p>
        </w:tc>
      </w:tr>
      <w:tr w14:paraId="2D62130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1509" w:type="dxa"/>
            <w:vMerge w:val="continue"/>
            <w:vAlign w:val="center"/>
          </w:tcPr>
          <w:p w14:paraId="2FBECB4B">
            <w:pPr>
              <w:pStyle w:val="48"/>
              <w:spacing w:beforeLines="0" w:afterLines="0" w:line="240" w:lineRule="auto"/>
              <w:rPr>
                <w:rFonts w:hint="eastAsia" w:hAnsi="宋体" w:cs="宋体"/>
                <w:snapToGrid w:val="0"/>
                <w:color w:val="auto"/>
                <w:kern w:val="21"/>
                <w:szCs w:val="21"/>
              </w:rPr>
            </w:pPr>
          </w:p>
        </w:tc>
        <w:tc>
          <w:tcPr>
            <w:tcW w:w="1980" w:type="dxa"/>
            <w:shd w:val="clear" w:color="auto" w:fill="auto"/>
            <w:vAlign w:val="center"/>
          </w:tcPr>
          <w:p w14:paraId="329F43B0">
            <w:pPr>
              <w:pStyle w:val="48"/>
              <w:spacing w:beforeLines="0" w:afterLines="0" w:line="240" w:lineRule="auto"/>
              <w:rPr>
                <w:rFonts w:hint="eastAsia" w:ascii="Times New Roman" w:hAnsi="Times New Roman" w:cs="Times New Roman"/>
                <w:snapToGrid w:val="0"/>
                <w:color w:val="auto"/>
                <w:kern w:val="21"/>
                <w:szCs w:val="21"/>
                <w:highlight w:val="none"/>
                <w:lang w:val="en-US" w:eastAsia="zh-CN"/>
              </w:rPr>
            </w:pPr>
            <w:r>
              <w:rPr>
                <w:rFonts w:hint="eastAsia" w:ascii="Times New Roman" w:hAnsi="Times New Roman" w:cs="Times New Roman"/>
                <w:snapToGrid w:val="0"/>
                <w:color w:val="auto"/>
                <w:kern w:val="21"/>
                <w:szCs w:val="21"/>
                <w:highlight w:val="none"/>
                <w:lang w:val="en-US" w:eastAsia="zh-CN"/>
              </w:rPr>
              <w:t>沉降灰</w:t>
            </w:r>
          </w:p>
        </w:tc>
        <w:tc>
          <w:tcPr>
            <w:tcW w:w="1420" w:type="dxa"/>
            <w:vAlign w:val="center"/>
          </w:tcPr>
          <w:p w14:paraId="55A96D8C">
            <w:pPr>
              <w:pStyle w:val="48"/>
              <w:spacing w:beforeLines="0" w:afterLines="0" w:line="240" w:lineRule="auto"/>
              <w:rPr>
                <w:rFonts w:hint="eastAsia" w:ascii="Times New Roman" w:hAnsi="Times New Roman" w:cs="Times New Roman"/>
                <w:snapToGrid w:val="0"/>
                <w:color w:val="auto"/>
                <w:kern w:val="21"/>
                <w:szCs w:val="21"/>
                <w:highlight w:val="none"/>
                <w:lang w:val="en-US" w:eastAsia="zh-CN"/>
              </w:rPr>
            </w:pPr>
          </w:p>
        </w:tc>
        <w:tc>
          <w:tcPr>
            <w:tcW w:w="1164" w:type="dxa"/>
            <w:vAlign w:val="center"/>
          </w:tcPr>
          <w:p w14:paraId="6D532432">
            <w:pPr>
              <w:pStyle w:val="48"/>
              <w:spacing w:beforeLines="0" w:afterLines="0" w:line="240" w:lineRule="auto"/>
              <w:rPr>
                <w:rFonts w:hint="eastAsia" w:ascii="Times New Roman" w:hAnsi="Times New Roman" w:cs="Times New Roman"/>
                <w:snapToGrid w:val="0"/>
                <w:color w:val="auto"/>
                <w:kern w:val="21"/>
                <w:szCs w:val="21"/>
                <w:highlight w:val="none"/>
                <w:lang w:val="en-US" w:eastAsia="zh-CN"/>
              </w:rPr>
            </w:pPr>
          </w:p>
        </w:tc>
        <w:tc>
          <w:tcPr>
            <w:tcW w:w="1382" w:type="dxa"/>
            <w:vAlign w:val="center"/>
          </w:tcPr>
          <w:p w14:paraId="41E5B8C5">
            <w:pPr>
              <w:pStyle w:val="48"/>
              <w:spacing w:beforeLines="0" w:afterLines="0" w:line="240" w:lineRule="auto"/>
              <w:rPr>
                <w:rFonts w:hint="eastAsia" w:ascii="Times New Roman" w:hAnsi="Times New Roman" w:cs="Times New Roman"/>
                <w:snapToGrid w:val="0"/>
                <w:color w:val="auto"/>
                <w:kern w:val="21"/>
                <w:szCs w:val="21"/>
                <w:highlight w:val="none"/>
                <w:lang w:val="en-US" w:eastAsia="zh-CN"/>
              </w:rPr>
            </w:pPr>
          </w:p>
        </w:tc>
        <w:tc>
          <w:tcPr>
            <w:tcW w:w="1758" w:type="dxa"/>
            <w:shd w:val="clear" w:color="auto" w:fill="auto"/>
            <w:vAlign w:val="center"/>
          </w:tcPr>
          <w:p w14:paraId="34F85F9D">
            <w:pPr>
              <w:pStyle w:val="48"/>
              <w:spacing w:beforeLines="0" w:afterLines="0" w:line="240" w:lineRule="auto"/>
              <w:rPr>
                <w:rFonts w:hint="eastAsia" w:ascii="Times New Roman" w:hAnsi="Times New Roman" w:cs="Times New Roman"/>
                <w:snapToGrid w:val="0"/>
                <w:color w:val="auto"/>
                <w:kern w:val="21"/>
                <w:szCs w:val="21"/>
                <w:highlight w:val="none"/>
                <w:lang w:val="en-US" w:eastAsia="zh-CN"/>
              </w:rPr>
            </w:pPr>
            <w:r>
              <w:rPr>
                <w:rFonts w:hint="eastAsia" w:ascii="Times New Roman" w:cs="Times New Roman"/>
                <w:snapToGrid w:val="0"/>
                <w:color w:val="auto"/>
                <w:kern w:val="21"/>
                <w:szCs w:val="21"/>
                <w:highlight w:val="none"/>
                <w:lang w:val="en-US" w:eastAsia="zh-CN"/>
              </w:rPr>
              <w:t>36.625</w:t>
            </w:r>
            <w:r>
              <w:rPr>
                <w:rFonts w:hint="eastAsia" w:ascii="Times New Roman" w:hAnsi="Times New Roman" w:eastAsia="宋体" w:cs="Times New Roman"/>
                <w:snapToGrid w:val="0"/>
                <w:color w:val="auto"/>
                <w:kern w:val="21"/>
                <w:szCs w:val="21"/>
                <w:highlight w:val="none"/>
                <w:lang w:val="en-US" w:eastAsia="zh-CN"/>
              </w:rPr>
              <w:t>t/a</w:t>
            </w:r>
          </w:p>
        </w:tc>
        <w:tc>
          <w:tcPr>
            <w:tcW w:w="1382" w:type="dxa"/>
            <w:vAlign w:val="center"/>
          </w:tcPr>
          <w:p w14:paraId="55D79664">
            <w:pPr>
              <w:pStyle w:val="48"/>
              <w:spacing w:beforeLines="0" w:afterLines="0" w:line="240" w:lineRule="auto"/>
              <w:rPr>
                <w:rFonts w:hint="eastAsia" w:ascii="Times New Roman" w:hAnsi="Times New Roman" w:cs="Times New Roman"/>
                <w:snapToGrid w:val="0"/>
                <w:color w:val="auto"/>
                <w:kern w:val="21"/>
                <w:szCs w:val="21"/>
                <w:highlight w:val="none"/>
                <w:lang w:val="en-US" w:eastAsia="zh-CN"/>
              </w:rPr>
            </w:pPr>
          </w:p>
        </w:tc>
        <w:tc>
          <w:tcPr>
            <w:tcW w:w="1821" w:type="dxa"/>
            <w:shd w:val="clear" w:color="auto" w:fill="auto"/>
            <w:vAlign w:val="center"/>
          </w:tcPr>
          <w:p w14:paraId="523DDCD7">
            <w:pPr>
              <w:pStyle w:val="48"/>
              <w:spacing w:beforeLines="0" w:afterLines="0" w:line="240" w:lineRule="auto"/>
              <w:rPr>
                <w:rFonts w:hint="eastAsia" w:ascii="Times New Roman" w:hAnsi="Times New Roman" w:eastAsia="宋体" w:cs="Times New Roman"/>
                <w:snapToGrid w:val="0"/>
                <w:color w:val="auto"/>
                <w:kern w:val="21"/>
                <w:sz w:val="21"/>
                <w:szCs w:val="21"/>
                <w:highlight w:val="none"/>
                <w:lang w:val="en-US" w:eastAsia="zh-CN" w:bidi="ar-SA"/>
              </w:rPr>
            </w:pPr>
            <w:r>
              <w:rPr>
                <w:rFonts w:hint="eastAsia" w:ascii="Times New Roman" w:cs="Times New Roman"/>
                <w:snapToGrid w:val="0"/>
                <w:color w:val="auto"/>
                <w:kern w:val="21"/>
                <w:szCs w:val="21"/>
                <w:highlight w:val="none"/>
                <w:lang w:val="en-US" w:eastAsia="zh-CN"/>
              </w:rPr>
              <w:t>36.625</w:t>
            </w:r>
            <w:r>
              <w:rPr>
                <w:rFonts w:hint="eastAsia" w:ascii="Times New Roman" w:hAnsi="Times New Roman" w:eastAsia="宋体" w:cs="Times New Roman"/>
                <w:snapToGrid w:val="0"/>
                <w:color w:val="auto"/>
                <w:kern w:val="21"/>
                <w:szCs w:val="21"/>
                <w:highlight w:val="none"/>
                <w:lang w:val="en-US" w:eastAsia="zh-CN"/>
              </w:rPr>
              <w:t>t/a</w:t>
            </w:r>
          </w:p>
        </w:tc>
        <w:tc>
          <w:tcPr>
            <w:tcW w:w="1372" w:type="dxa"/>
            <w:shd w:val="clear" w:color="auto" w:fill="auto"/>
            <w:vAlign w:val="center"/>
          </w:tcPr>
          <w:p w14:paraId="79A34407">
            <w:pPr>
              <w:pStyle w:val="48"/>
              <w:spacing w:beforeLines="0" w:afterLines="0" w:line="240" w:lineRule="auto"/>
              <w:rPr>
                <w:rFonts w:hint="eastAsia" w:ascii="Times New Roman" w:hAnsi="Times New Roman" w:eastAsia="宋体" w:cs="Times New Roman"/>
                <w:snapToGrid w:val="0"/>
                <w:color w:val="auto"/>
                <w:kern w:val="21"/>
                <w:sz w:val="21"/>
                <w:szCs w:val="21"/>
                <w:highlight w:val="none"/>
                <w:lang w:val="en-US" w:eastAsia="zh-CN" w:bidi="ar-SA"/>
              </w:rPr>
            </w:pPr>
            <w:r>
              <w:rPr>
                <w:rFonts w:hint="eastAsia" w:ascii="Times New Roman" w:hAnsi="Times New Roman" w:eastAsia="宋体" w:cs="Times New Roman"/>
                <w:snapToGrid w:val="0"/>
                <w:color w:val="auto"/>
                <w:kern w:val="21"/>
                <w:szCs w:val="21"/>
                <w:highlight w:val="none"/>
                <w:lang w:val="en-US" w:eastAsia="zh-CN"/>
              </w:rPr>
              <w:t>+</w:t>
            </w:r>
            <w:r>
              <w:rPr>
                <w:rFonts w:hint="eastAsia" w:ascii="Times New Roman" w:cs="Times New Roman"/>
                <w:snapToGrid w:val="0"/>
                <w:color w:val="auto"/>
                <w:kern w:val="21"/>
                <w:szCs w:val="21"/>
                <w:highlight w:val="none"/>
                <w:lang w:val="en-US" w:eastAsia="zh-CN"/>
              </w:rPr>
              <w:t>36.625</w:t>
            </w:r>
            <w:r>
              <w:rPr>
                <w:rFonts w:hint="eastAsia" w:ascii="Times New Roman" w:hAnsi="Times New Roman" w:eastAsia="宋体" w:cs="Times New Roman"/>
                <w:snapToGrid w:val="0"/>
                <w:color w:val="auto"/>
                <w:kern w:val="21"/>
                <w:szCs w:val="21"/>
                <w:highlight w:val="none"/>
                <w:lang w:val="en-US" w:eastAsia="zh-CN"/>
              </w:rPr>
              <w:t>t/a</w:t>
            </w:r>
          </w:p>
        </w:tc>
      </w:tr>
      <w:tr w14:paraId="098B560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1509" w:type="dxa"/>
            <w:vMerge w:val="continue"/>
            <w:vAlign w:val="center"/>
          </w:tcPr>
          <w:p w14:paraId="1AC46431">
            <w:pPr>
              <w:pStyle w:val="48"/>
              <w:spacing w:beforeLines="0" w:afterLines="0" w:line="240" w:lineRule="auto"/>
              <w:rPr>
                <w:rFonts w:hint="eastAsia" w:hAnsi="宋体" w:cs="宋体"/>
                <w:snapToGrid w:val="0"/>
                <w:color w:val="auto"/>
                <w:kern w:val="21"/>
                <w:szCs w:val="21"/>
              </w:rPr>
            </w:pPr>
          </w:p>
        </w:tc>
        <w:tc>
          <w:tcPr>
            <w:tcW w:w="1980" w:type="dxa"/>
            <w:shd w:val="clear" w:color="auto" w:fill="auto"/>
            <w:vAlign w:val="center"/>
          </w:tcPr>
          <w:p w14:paraId="6596184D">
            <w:pPr>
              <w:pStyle w:val="48"/>
              <w:spacing w:beforeLines="0" w:afterLines="0" w:line="240" w:lineRule="auto"/>
              <w:rPr>
                <w:rFonts w:hint="eastAsia" w:ascii="Times New Roman" w:hAnsi="Times New Roman" w:cs="Times New Roman"/>
                <w:snapToGrid w:val="0"/>
                <w:color w:val="auto"/>
                <w:kern w:val="21"/>
                <w:szCs w:val="21"/>
                <w:highlight w:val="none"/>
                <w:lang w:val="en-US" w:eastAsia="zh-CN"/>
              </w:rPr>
            </w:pPr>
            <w:r>
              <w:rPr>
                <w:rFonts w:hint="eastAsia" w:ascii="Times New Roman" w:hAnsi="Times New Roman" w:cs="Times New Roman"/>
                <w:snapToGrid w:val="0"/>
                <w:color w:val="auto"/>
                <w:kern w:val="21"/>
                <w:szCs w:val="21"/>
                <w:highlight w:val="none"/>
                <w:lang w:val="en-US" w:eastAsia="zh-CN"/>
              </w:rPr>
              <w:t>废滤布</w:t>
            </w:r>
          </w:p>
        </w:tc>
        <w:tc>
          <w:tcPr>
            <w:tcW w:w="1420" w:type="dxa"/>
            <w:vAlign w:val="center"/>
          </w:tcPr>
          <w:p w14:paraId="2E344287">
            <w:pPr>
              <w:pStyle w:val="48"/>
              <w:spacing w:beforeLines="0" w:afterLines="0" w:line="240" w:lineRule="auto"/>
              <w:rPr>
                <w:rFonts w:hint="eastAsia" w:ascii="Times New Roman" w:hAnsi="Times New Roman" w:cs="Times New Roman"/>
                <w:snapToGrid w:val="0"/>
                <w:color w:val="auto"/>
                <w:kern w:val="21"/>
                <w:szCs w:val="21"/>
                <w:highlight w:val="none"/>
                <w:lang w:val="en-US" w:eastAsia="zh-CN"/>
              </w:rPr>
            </w:pPr>
          </w:p>
        </w:tc>
        <w:tc>
          <w:tcPr>
            <w:tcW w:w="1164" w:type="dxa"/>
            <w:vAlign w:val="center"/>
          </w:tcPr>
          <w:p w14:paraId="3E831729">
            <w:pPr>
              <w:pStyle w:val="48"/>
              <w:spacing w:beforeLines="0" w:afterLines="0" w:line="240" w:lineRule="auto"/>
              <w:rPr>
                <w:rFonts w:hint="eastAsia" w:ascii="Times New Roman" w:hAnsi="Times New Roman" w:cs="Times New Roman"/>
                <w:snapToGrid w:val="0"/>
                <w:color w:val="auto"/>
                <w:kern w:val="21"/>
                <w:szCs w:val="21"/>
                <w:highlight w:val="none"/>
                <w:lang w:val="en-US" w:eastAsia="zh-CN"/>
              </w:rPr>
            </w:pPr>
          </w:p>
        </w:tc>
        <w:tc>
          <w:tcPr>
            <w:tcW w:w="1382" w:type="dxa"/>
            <w:vAlign w:val="center"/>
          </w:tcPr>
          <w:p w14:paraId="5854F1DA">
            <w:pPr>
              <w:pStyle w:val="48"/>
              <w:spacing w:beforeLines="0" w:afterLines="0" w:line="240" w:lineRule="auto"/>
              <w:rPr>
                <w:rFonts w:hint="eastAsia" w:ascii="Times New Roman" w:hAnsi="Times New Roman" w:cs="Times New Roman"/>
                <w:snapToGrid w:val="0"/>
                <w:color w:val="auto"/>
                <w:kern w:val="21"/>
                <w:szCs w:val="21"/>
                <w:highlight w:val="none"/>
                <w:lang w:val="en-US" w:eastAsia="zh-CN"/>
              </w:rPr>
            </w:pPr>
          </w:p>
        </w:tc>
        <w:tc>
          <w:tcPr>
            <w:tcW w:w="1758" w:type="dxa"/>
            <w:shd w:val="clear" w:color="auto" w:fill="auto"/>
            <w:vAlign w:val="center"/>
          </w:tcPr>
          <w:p w14:paraId="713BB089">
            <w:pPr>
              <w:pStyle w:val="48"/>
              <w:spacing w:beforeLines="0" w:afterLines="0" w:line="240" w:lineRule="auto"/>
              <w:rPr>
                <w:rFonts w:hint="eastAsia" w:ascii="Times New Roman" w:hAnsi="Times New Roman" w:cs="Times New Roman"/>
                <w:snapToGrid w:val="0"/>
                <w:color w:val="auto"/>
                <w:kern w:val="21"/>
                <w:szCs w:val="21"/>
                <w:highlight w:val="none"/>
                <w:lang w:val="en-US" w:eastAsia="zh-CN"/>
              </w:rPr>
            </w:pPr>
            <w:r>
              <w:rPr>
                <w:rFonts w:hint="eastAsia" w:ascii="Times New Roman" w:hAnsi="Times New Roman" w:eastAsia="宋体" w:cs="Times New Roman"/>
                <w:snapToGrid w:val="0"/>
                <w:color w:val="auto"/>
                <w:kern w:val="21"/>
                <w:szCs w:val="21"/>
                <w:highlight w:val="none"/>
                <w:lang w:val="en-US" w:eastAsia="zh-CN"/>
              </w:rPr>
              <w:t>0.8t/a</w:t>
            </w:r>
          </w:p>
        </w:tc>
        <w:tc>
          <w:tcPr>
            <w:tcW w:w="1382" w:type="dxa"/>
            <w:vAlign w:val="center"/>
          </w:tcPr>
          <w:p w14:paraId="1296363B">
            <w:pPr>
              <w:pStyle w:val="48"/>
              <w:spacing w:beforeLines="0" w:afterLines="0" w:line="240" w:lineRule="auto"/>
              <w:rPr>
                <w:rFonts w:hint="eastAsia" w:ascii="Times New Roman" w:hAnsi="Times New Roman" w:cs="Times New Roman"/>
                <w:snapToGrid w:val="0"/>
                <w:color w:val="auto"/>
                <w:kern w:val="21"/>
                <w:szCs w:val="21"/>
                <w:highlight w:val="none"/>
                <w:lang w:val="en-US" w:eastAsia="zh-CN"/>
              </w:rPr>
            </w:pPr>
          </w:p>
        </w:tc>
        <w:tc>
          <w:tcPr>
            <w:tcW w:w="1821" w:type="dxa"/>
            <w:shd w:val="clear" w:color="auto" w:fill="auto"/>
            <w:vAlign w:val="center"/>
          </w:tcPr>
          <w:p w14:paraId="1A88B4F2">
            <w:pPr>
              <w:pStyle w:val="48"/>
              <w:spacing w:beforeLines="0" w:afterLines="0" w:line="240" w:lineRule="auto"/>
              <w:rPr>
                <w:rFonts w:hint="eastAsia" w:ascii="Times New Roman" w:hAnsi="Times New Roman" w:eastAsia="宋体" w:cs="Times New Roman"/>
                <w:snapToGrid w:val="0"/>
                <w:color w:val="auto"/>
                <w:kern w:val="21"/>
                <w:sz w:val="21"/>
                <w:szCs w:val="21"/>
                <w:highlight w:val="none"/>
                <w:lang w:val="en-US" w:eastAsia="zh-CN" w:bidi="ar-SA"/>
              </w:rPr>
            </w:pPr>
            <w:r>
              <w:rPr>
                <w:rFonts w:hint="eastAsia" w:ascii="Times New Roman" w:hAnsi="Times New Roman" w:eastAsia="宋体" w:cs="Times New Roman"/>
                <w:snapToGrid w:val="0"/>
                <w:color w:val="auto"/>
                <w:kern w:val="21"/>
                <w:szCs w:val="21"/>
                <w:highlight w:val="none"/>
                <w:lang w:val="en-US" w:eastAsia="zh-CN"/>
              </w:rPr>
              <w:t>0.8t/a</w:t>
            </w:r>
          </w:p>
        </w:tc>
        <w:tc>
          <w:tcPr>
            <w:tcW w:w="1372" w:type="dxa"/>
            <w:shd w:val="clear" w:color="auto" w:fill="auto"/>
            <w:vAlign w:val="center"/>
          </w:tcPr>
          <w:p w14:paraId="2FE96064">
            <w:pPr>
              <w:pStyle w:val="48"/>
              <w:spacing w:beforeLines="0" w:afterLines="0" w:line="240" w:lineRule="auto"/>
              <w:rPr>
                <w:rFonts w:hint="eastAsia" w:ascii="Times New Roman" w:hAnsi="Times New Roman" w:eastAsia="宋体" w:cs="Times New Roman"/>
                <w:snapToGrid w:val="0"/>
                <w:color w:val="auto"/>
                <w:kern w:val="21"/>
                <w:sz w:val="21"/>
                <w:szCs w:val="21"/>
                <w:highlight w:val="none"/>
                <w:lang w:val="en-US" w:eastAsia="zh-CN" w:bidi="ar-SA"/>
              </w:rPr>
            </w:pPr>
            <w:r>
              <w:rPr>
                <w:rFonts w:hint="eastAsia" w:ascii="Times New Roman" w:hAnsi="Times New Roman" w:eastAsia="宋体" w:cs="Times New Roman"/>
                <w:snapToGrid w:val="0"/>
                <w:color w:val="auto"/>
                <w:kern w:val="21"/>
                <w:szCs w:val="21"/>
                <w:highlight w:val="none"/>
                <w:lang w:val="en-US" w:eastAsia="zh-CN"/>
              </w:rPr>
              <w:t>+0.8t/a</w:t>
            </w:r>
          </w:p>
        </w:tc>
      </w:tr>
      <w:tr w14:paraId="4211649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1509" w:type="dxa"/>
            <w:vMerge w:val="continue"/>
            <w:vAlign w:val="center"/>
          </w:tcPr>
          <w:p w14:paraId="18C40B71">
            <w:pPr>
              <w:pStyle w:val="48"/>
              <w:spacing w:beforeLines="0" w:afterLines="0" w:line="240" w:lineRule="auto"/>
              <w:rPr>
                <w:rFonts w:hint="eastAsia" w:hAnsi="宋体" w:cs="宋体"/>
                <w:snapToGrid w:val="0"/>
                <w:color w:val="auto"/>
                <w:kern w:val="21"/>
                <w:szCs w:val="21"/>
              </w:rPr>
            </w:pPr>
          </w:p>
        </w:tc>
        <w:tc>
          <w:tcPr>
            <w:tcW w:w="1980" w:type="dxa"/>
            <w:shd w:val="clear" w:color="auto" w:fill="auto"/>
            <w:vAlign w:val="center"/>
          </w:tcPr>
          <w:p w14:paraId="4437F384">
            <w:pPr>
              <w:pStyle w:val="48"/>
              <w:spacing w:beforeLines="0" w:afterLines="0" w:line="240" w:lineRule="auto"/>
              <w:rPr>
                <w:rFonts w:hint="eastAsia" w:ascii="Times New Roman" w:hAnsi="Times New Roman" w:cs="Times New Roman"/>
                <w:snapToGrid w:val="0"/>
                <w:color w:val="auto"/>
                <w:kern w:val="21"/>
                <w:szCs w:val="21"/>
                <w:highlight w:val="none"/>
                <w:lang w:val="en-US" w:eastAsia="zh-CN"/>
              </w:rPr>
            </w:pPr>
            <w:r>
              <w:rPr>
                <w:rFonts w:hint="eastAsia" w:ascii="Times New Roman" w:hAnsi="Times New Roman" w:eastAsia="宋体" w:cs="Times New Roman"/>
                <w:snapToGrid w:val="0"/>
                <w:color w:val="auto"/>
                <w:kern w:val="21"/>
                <w:szCs w:val="21"/>
                <w:highlight w:val="none"/>
                <w:lang w:val="en-US" w:eastAsia="zh-CN"/>
              </w:rPr>
              <w:t>泥饼</w:t>
            </w:r>
          </w:p>
        </w:tc>
        <w:tc>
          <w:tcPr>
            <w:tcW w:w="1420" w:type="dxa"/>
            <w:vAlign w:val="center"/>
          </w:tcPr>
          <w:p w14:paraId="7DD9B3D8">
            <w:pPr>
              <w:pStyle w:val="48"/>
              <w:spacing w:beforeLines="0" w:afterLines="0" w:line="240" w:lineRule="auto"/>
              <w:rPr>
                <w:rFonts w:hint="eastAsia" w:ascii="Times New Roman" w:hAnsi="Times New Roman" w:cs="Times New Roman"/>
                <w:snapToGrid w:val="0"/>
                <w:color w:val="auto"/>
                <w:kern w:val="21"/>
                <w:szCs w:val="21"/>
                <w:highlight w:val="none"/>
                <w:lang w:val="en-US" w:eastAsia="zh-CN"/>
              </w:rPr>
            </w:pPr>
          </w:p>
        </w:tc>
        <w:tc>
          <w:tcPr>
            <w:tcW w:w="1164" w:type="dxa"/>
            <w:vAlign w:val="center"/>
          </w:tcPr>
          <w:p w14:paraId="62F56DF5">
            <w:pPr>
              <w:pStyle w:val="48"/>
              <w:spacing w:beforeLines="0" w:afterLines="0" w:line="240" w:lineRule="auto"/>
              <w:rPr>
                <w:rFonts w:hint="eastAsia" w:ascii="Times New Roman" w:hAnsi="Times New Roman" w:cs="Times New Roman"/>
                <w:snapToGrid w:val="0"/>
                <w:color w:val="auto"/>
                <w:kern w:val="21"/>
                <w:szCs w:val="21"/>
                <w:highlight w:val="none"/>
                <w:lang w:val="en-US" w:eastAsia="zh-CN"/>
              </w:rPr>
            </w:pPr>
          </w:p>
        </w:tc>
        <w:tc>
          <w:tcPr>
            <w:tcW w:w="1382" w:type="dxa"/>
            <w:vAlign w:val="center"/>
          </w:tcPr>
          <w:p w14:paraId="55429731">
            <w:pPr>
              <w:pStyle w:val="48"/>
              <w:spacing w:beforeLines="0" w:afterLines="0" w:line="240" w:lineRule="auto"/>
              <w:rPr>
                <w:rFonts w:hint="eastAsia" w:ascii="Times New Roman" w:hAnsi="Times New Roman" w:cs="Times New Roman"/>
                <w:snapToGrid w:val="0"/>
                <w:color w:val="auto"/>
                <w:kern w:val="21"/>
                <w:szCs w:val="21"/>
                <w:highlight w:val="none"/>
                <w:lang w:val="en-US" w:eastAsia="zh-CN"/>
              </w:rPr>
            </w:pPr>
          </w:p>
        </w:tc>
        <w:tc>
          <w:tcPr>
            <w:tcW w:w="1758" w:type="dxa"/>
            <w:shd w:val="clear" w:color="auto" w:fill="auto"/>
            <w:vAlign w:val="center"/>
          </w:tcPr>
          <w:p w14:paraId="0E89C20B">
            <w:pPr>
              <w:pStyle w:val="48"/>
              <w:spacing w:beforeLines="0" w:afterLines="0" w:line="240" w:lineRule="auto"/>
              <w:rPr>
                <w:rFonts w:hint="eastAsia" w:ascii="Times New Roman" w:hAnsi="Times New Roman" w:cs="Times New Roman"/>
                <w:snapToGrid w:val="0"/>
                <w:color w:val="auto"/>
                <w:kern w:val="21"/>
                <w:szCs w:val="21"/>
                <w:highlight w:val="none"/>
                <w:lang w:val="en-US" w:eastAsia="zh-CN"/>
              </w:rPr>
            </w:pPr>
            <w:r>
              <w:rPr>
                <w:rFonts w:hint="eastAsia" w:ascii="Times New Roman" w:cs="Times New Roman"/>
                <w:snapToGrid w:val="0"/>
                <w:color w:val="auto"/>
                <w:kern w:val="21"/>
                <w:szCs w:val="21"/>
                <w:highlight w:val="none"/>
                <w:lang w:val="en-US" w:eastAsia="zh-CN"/>
              </w:rPr>
              <w:t>13456.2</w:t>
            </w:r>
            <w:r>
              <w:rPr>
                <w:rFonts w:hint="eastAsia" w:ascii="Times New Roman" w:hAnsi="Times New Roman" w:eastAsia="宋体" w:cs="Times New Roman"/>
                <w:snapToGrid w:val="0"/>
                <w:color w:val="auto"/>
                <w:kern w:val="21"/>
                <w:szCs w:val="21"/>
                <w:highlight w:val="none"/>
                <w:lang w:val="en-US" w:eastAsia="zh-CN"/>
              </w:rPr>
              <w:t>t/a</w:t>
            </w:r>
          </w:p>
        </w:tc>
        <w:tc>
          <w:tcPr>
            <w:tcW w:w="1382" w:type="dxa"/>
            <w:vAlign w:val="center"/>
          </w:tcPr>
          <w:p w14:paraId="4BF3104C">
            <w:pPr>
              <w:pStyle w:val="48"/>
              <w:spacing w:beforeLines="0" w:afterLines="0" w:line="240" w:lineRule="auto"/>
              <w:rPr>
                <w:rFonts w:ascii="Times New Roman" w:hAnsi="Times New Roman" w:eastAsia="宋体" w:cs="Times New Roman"/>
                <w:snapToGrid w:val="0"/>
                <w:color w:val="auto"/>
                <w:kern w:val="21"/>
                <w:sz w:val="21"/>
                <w:szCs w:val="21"/>
                <w:highlight w:val="none"/>
                <w:lang w:val="en-US" w:eastAsia="zh-CN" w:bidi="ar-SA"/>
              </w:rPr>
            </w:pPr>
          </w:p>
        </w:tc>
        <w:tc>
          <w:tcPr>
            <w:tcW w:w="1821" w:type="dxa"/>
            <w:shd w:val="clear" w:color="auto" w:fill="auto"/>
            <w:vAlign w:val="center"/>
          </w:tcPr>
          <w:p w14:paraId="1FAFA048">
            <w:pPr>
              <w:pStyle w:val="48"/>
              <w:spacing w:beforeLines="0" w:afterLines="0" w:line="240" w:lineRule="auto"/>
              <w:rPr>
                <w:rFonts w:hint="eastAsia" w:ascii="Times New Roman" w:hAnsi="Times New Roman" w:eastAsia="宋体" w:cs="Times New Roman"/>
                <w:snapToGrid w:val="0"/>
                <w:color w:val="auto"/>
                <w:kern w:val="21"/>
                <w:sz w:val="21"/>
                <w:szCs w:val="21"/>
                <w:highlight w:val="none"/>
                <w:lang w:val="en-US" w:eastAsia="zh-CN" w:bidi="ar-SA"/>
              </w:rPr>
            </w:pPr>
            <w:r>
              <w:rPr>
                <w:rFonts w:hint="eastAsia" w:ascii="Times New Roman" w:hAnsi="Times New Roman" w:eastAsia="宋体" w:cs="Times New Roman"/>
                <w:snapToGrid w:val="0"/>
                <w:color w:val="auto"/>
                <w:kern w:val="21"/>
                <w:szCs w:val="21"/>
                <w:highlight w:val="none"/>
                <w:lang w:val="en-US" w:eastAsia="zh-CN"/>
              </w:rPr>
              <w:t>4026.8t/a</w:t>
            </w:r>
          </w:p>
        </w:tc>
        <w:tc>
          <w:tcPr>
            <w:tcW w:w="1372" w:type="dxa"/>
            <w:shd w:val="clear" w:color="auto" w:fill="auto"/>
            <w:vAlign w:val="center"/>
          </w:tcPr>
          <w:p w14:paraId="6AB6B7CF">
            <w:pPr>
              <w:pStyle w:val="48"/>
              <w:spacing w:beforeLines="0" w:afterLines="0" w:line="240" w:lineRule="auto"/>
              <w:rPr>
                <w:rFonts w:hint="eastAsia" w:ascii="Times New Roman" w:hAnsi="Times New Roman" w:eastAsia="宋体" w:cs="Times New Roman"/>
                <w:snapToGrid w:val="0"/>
                <w:color w:val="auto"/>
                <w:kern w:val="21"/>
                <w:sz w:val="21"/>
                <w:szCs w:val="21"/>
                <w:highlight w:val="none"/>
                <w:lang w:val="en-US" w:eastAsia="zh-CN" w:bidi="ar-SA"/>
              </w:rPr>
            </w:pPr>
            <w:r>
              <w:rPr>
                <w:rFonts w:hint="eastAsia" w:ascii="Times New Roman" w:hAnsi="Times New Roman" w:eastAsia="宋体" w:cs="Times New Roman"/>
                <w:snapToGrid w:val="0"/>
                <w:color w:val="auto"/>
                <w:kern w:val="21"/>
                <w:szCs w:val="21"/>
                <w:highlight w:val="none"/>
                <w:lang w:val="en-US" w:eastAsia="zh-CN"/>
              </w:rPr>
              <w:t>+</w:t>
            </w:r>
            <w:r>
              <w:rPr>
                <w:rFonts w:hint="eastAsia" w:ascii="Times New Roman" w:cs="Times New Roman"/>
                <w:snapToGrid w:val="0"/>
                <w:color w:val="auto"/>
                <w:kern w:val="21"/>
                <w:szCs w:val="21"/>
                <w:highlight w:val="none"/>
                <w:lang w:val="en-US" w:eastAsia="zh-CN"/>
              </w:rPr>
              <w:t>13456.2</w:t>
            </w:r>
            <w:r>
              <w:rPr>
                <w:rFonts w:hint="eastAsia" w:ascii="Times New Roman" w:hAnsi="Times New Roman" w:eastAsia="宋体" w:cs="Times New Roman"/>
                <w:snapToGrid w:val="0"/>
                <w:color w:val="auto"/>
                <w:kern w:val="21"/>
                <w:szCs w:val="21"/>
                <w:highlight w:val="none"/>
                <w:lang w:val="en-US" w:eastAsia="zh-CN"/>
              </w:rPr>
              <w:t>t/a</w:t>
            </w:r>
          </w:p>
        </w:tc>
      </w:tr>
      <w:tr w14:paraId="532A8DD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1509" w:type="dxa"/>
            <w:vMerge w:val="continue"/>
            <w:vAlign w:val="center"/>
          </w:tcPr>
          <w:p w14:paraId="492CCBC2">
            <w:pPr>
              <w:pStyle w:val="48"/>
              <w:spacing w:beforeLines="0" w:afterLines="0" w:line="240" w:lineRule="auto"/>
              <w:rPr>
                <w:rFonts w:hint="eastAsia" w:hAnsi="宋体" w:cs="宋体"/>
                <w:snapToGrid w:val="0"/>
                <w:color w:val="auto"/>
                <w:kern w:val="21"/>
                <w:szCs w:val="21"/>
              </w:rPr>
            </w:pPr>
          </w:p>
        </w:tc>
        <w:tc>
          <w:tcPr>
            <w:tcW w:w="1980" w:type="dxa"/>
            <w:shd w:val="clear" w:color="auto" w:fill="auto"/>
            <w:vAlign w:val="center"/>
          </w:tcPr>
          <w:p w14:paraId="1015507A">
            <w:pPr>
              <w:pStyle w:val="48"/>
              <w:spacing w:beforeLines="0" w:afterLines="0" w:line="240" w:lineRule="auto"/>
              <w:rPr>
                <w:rFonts w:hint="eastAsia" w:ascii="Times New Roman" w:hAnsi="Times New Roman" w:cs="Times New Roman"/>
                <w:snapToGrid w:val="0"/>
                <w:color w:val="auto"/>
                <w:kern w:val="21"/>
                <w:szCs w:val="21"/>
                <w:highlight w:val="none"/>
                <w:lang w:val="en-US" w:eastAsia="zh-CN"/>
              </w:rPr>
            </w:pPr>
            <w:r>
              <w:rPr>
                <w:rFonts w:hint="eastAsia" w:ascii="Times New Roman" w:hAnsi="Times New Roman" w:eastAsia="宋体" w:cs="Times New Roman"/>
                <w:snapToGrid w:val="0"/>
                <w:color w:val="auto"/>
                <w:kern w:val="21"/>
                <w:szCs w:val="21"/>
                <w:highlight w:val="none"/>
                <w:lang w:val="en-US" w:eastAsia="zh-CN"/>
              </w:rPr>
              <w:t>棉絮、泡沫等废料</w:t>
            </w:r>
          </w:p>
        </w:tc>
        <w:tc>
          <w:tcPr>
            <w:tcW w:w="1420" w:type="dxa"/>
            <w:vAlign w:val="center"/>
          </w:tcPr>
          <w:p w14:paraId="58559F52">
            <w:pPr>
              <w:pStyle w:val="48"/>
              <w:spacing w:beforeLines="0" w:afterLines="0" w:line="240" w:lineRule="auto"/>
              <w:rPr>
                <w:rFonts w:hint="default" w:ascii="Times New Roman" w:hAnsi="Times New Roman" w:cs="Times New Roman"/>
                <w:snapToGrid w:val="0"/>
                <w:color w:val="auto"/>
                <w:kern w:val="21"/>
                <w:szCs w:val="21"/>
                <w:highlight w:val="none"/>
                <w:lang w:val="en-US" w:eastAsia="zh-CN"/>
              </w:rPr>
            </w:pPr>
          </w:p>
        </w:tc>
        <w:tc>
          <w:tcPr>
            <w:tcW w:w="1164" w:type="dxa"/>
            <w:vAlign w:val="center"/>
          </w:tcPr>
          <w:p w14:paraId="5869490F">
            <w:pPr>
              <w:pStyle w:val="48"/>
              <w:spacing w:beforeLines="0" w:afterLines="0" w:line="240" w:lineRule="auto"/>
              <w:rPr>
                <w:rFonts w:hint="eastAsia" w:ascii="Times New Roman" w:hAnsi="Times New Roman" w:cs="Times New Roman"/>
                <w:snapToGrid w:val="0"/>
                <w:color w:val="auto"/>
                <w:kern w:val="21"/>
                <w:szCs w:val="21"/>
                <w:highlight w:val="none"/>
                <w:lang w:val="en-US" w:eastAsia="zh-CN"/>
              </w:rPr>
            </w:pPr>
          </w:p>
        </w:tc>
        <w:tc>
          <w:tcPr>
            <w:tcW w:w="1382" w:type="dxa"/>
            <w:vAlign w:val="center"/>
          </w:tcPr>
          <w:p w14:paraId="54EBD205">
            <w:pPr>
              <w:pStyle w:val="48"/>
              <w:spacing w:beforeLines="0" w:afterLines="0" w:line="240" w:lineRule="auto"/>
              <w:rPr>
                <w:rFonts w:hint="eastAsia" w:ascii="Times New Roman" w:hAnsi="Times New Roman" w:cs="Times New Roman"/>
                <w:snapToGrid w:val="0"/>
                <w:color w:val="auto"/>
                <w:kern w:val="21"/>
                <w:szCs w:val="21"/>
                <w:highlight w:val="none"/>
                <w:lang w:val="en-US" w:eastAsia="zh-CN"/>
              </w:rPr>
            </w:pPr>
          </w:p>
        </w:tc>
        <w:tc>
          <w:tcPr>
            <w:tcW w:w="1758" w:type="dxa"/>
            <w:shd w:val="clear" w:color="auto" w:fill="auto"/>
            <w:vAlign w:val="center"/>
          </w:tcPr>
          <w:p w14:paraId="04CD99FE">
            <w:pPr>
              <w:pStyle w:val="48"/>
              <w:spacing w:beforeLines="0" w:afterLines="0" w:line="240" w:lineRule="auto"/>
              <w:rPr>
                <w:rFonts w:hint="default" w:ascii="Times New Roman" w:hAnsi="Times New Roman" w:cs="Times New Roman"/>
                <w:snapToGrid w:val="0"/>
                <w:color w:val="auto"/>
                <w:kern w:val="21"/>
                <w:szCs w:val="21"/>
                <w:highlight w:val="none"/>
                <w:lang w:val="en-US" w:eastAsia="zh-CN"/>
              </w:rPr>
            </w:pPr>
            <w:r>
              <w:rPr>
                <w:rFonts w:hint="default" w:ascii="Times New Roman" w:hAnsi="Times New Roman" w:eastAsia="宋体" w:cs="Times New Roman"/>
                <w:snapToGrid w:val="0"/>
                <w:color w:val="auto"/>
                <w:kern w:val="21"/>
                <w:szCs w:val="21"/>
                <w:highlight w:val="none"/>
                <w:lang w:val="en-US" w:eastAsia="zh-CN"/>
              </w:rPr>
              <w:t>1</w:t>
            </w:r>
            <w:r>
              <w:rPr>
                <w:rFonts w:hint="eastAsia" w:ascii="Times New Roman" w:hAnsi="Times New Roman" w:eastAsia="宋体" w:cs="Times New Roman"/>
                <w:snapToGrid w:val="0"/>
                <w:color w:val="auto"/>
                <w:kern w:val="21"/>
                <w:szCs w:val="21"/>
                <w:highlight w:val="none"/>
                <w:lang w:val="en-US" w:eastAsia="zh-CN"/>
              </w:rPr>
              <w:t>25000t/a</w:t>
            </w:r>
          </w:p>
        </w:tc>
        <w:tc>
          <w:tcPr>
            <w:tcW w:w="1382" w:type="dxa"/>
            <w:vAlign w:val="center"/>
          </w:tcPr>
          <w:p w14:paraId="69957C6D">
            <w:pPr>
              <w:pStyle w:val="48"/>
              <w:spacing w:beforeLines="0" w:afterLines="0" w:line="240" w:lineRule="auto"/>
              <w:rPr>
                <w:rFonts w:ascii="Times New Roman" w:hAnsi="Times New Roman" w:eastAsia="宋体" w:cs="Times New Roman"/>
                <w:snapToGrid w:val="0"/>
                <w:color w:val="auto"/>
                <w:kern w:val="21"/>
                <w:sz w:val="21"/>
                <w:szCs w:val="21"/>
                <w:lang w:val="en-US" w:eastAsia="zh-CN" w:bidi="ar-SA"/>
              </w:rPr>
            </w:pPr>
          </w:p>
        </w:tc>
        <w:tc>
          <w:tcPr>
            <w:tcW w:w="1821" w:type="dxa"/>
            <w:shd w:val="clear" w:color="auto" w:fill="auto"/>
            <w:vAlign w:val="center"/>
          </w:tcPr>
          <w:p w14:paraId="0C14C5C2">
            <w:pPr>
              <w:pStyle w:val="48"/>
              <w:spacing w:beforeLines="0" w:afterLines="0" w:line="240" w:lineRule="auto"/>
              <w:rPr>
                <w:rFonts w:hint="eastAsia" w:ascii="Times New Roman" w:hAnsi="Times New Roman" w:eastAsia="宋体" w:cs="Times New Roman"/>
                <w:snapToGrid w:val="0"/>
                <w:color w:val="auto"/>
                <w:kern w:val="21"/>
                <w:sz w:val="21"/>
                <w:szCs w:val="21"/>
                <w:highlight w:val="none"/>
                <w:lang w:val="en-US" w:eastAsia="zh-CN" w:bidi="ar-SA"/>
              </w:rPr>
            </w:pPr>
            <w:r>
              <w:rPr>
                <w:rFonts w:hint="default" w:ascii="Times New Roman" w:hAnsi="Times New Roman" w:eastAsia="宋体" w:cs="Times New Roman"/>
                <w:snapToGrid w:val="0"/>
                <w:color w:val="auto"/>
                <w:kern w:val="21"/>
                <w:szCs w:val="21"/>
                <w:highlight w:val="none"/>
                <w:lang w:val="en-US" w:eastAsia="zh-CN"/>
              </w:rPr>
              <w:t>1</w:t>
            </w:r>
            <w:r>
              <w:rPr>
                <w:rFonts w:hint="eastAsia" w:ascii="Times New Roman" w:hAnsi="Times New Roman" w:eastAsia="宋体" w:cs="Times New Roman"/>
                <w:snapToGrid w:val="0"/>
                <w:color w:val="auto"/>
                <w:kern w:val="21"/>
                <w:szCs w:val="21"/>
                <w:highlight w:val="none"/>
                <w:lang w:val="en-US" w:eastAsia="zh-CN"/>
              </w:rPr>
              <w:t>25000t/a</w:t>
            </w:r>
          </w:p>
        </w:tc>
        <w:tc>
          <w:tcPr>
            <w:tcW w:w="1372" w:type="dxa"/>
            <w:shd w:val="clear" w:color="auto" w:fill="auto"/>
            <w:vAlign w:val="center"/>
          </w:tcPr>
          <w:p w14:paraId="05E7DDB6">
            <w:pPr>
              <w:pStyle w:val="48"/>
              <w:spacing w:beforeLines="0" w:afterLines="0" w:line="240" w:lineRule="auto"/>
              <w:rPr>
                <w:rFonts w:hint="eastAsia" w:ascii="Times New Roman" w:hAnsi="Times New Roman" w:eastAsia="宋体" w:cs="Times New Roman"/>
                <w:snapToGrid w:val="0"/>
                <w:color w:val="auto"/>
                <w:kern w:val="21"/>
                <w:sz w:val="21"/>
                <w:szCs w:val="21"/>
                <w:highlight w:val="none"/>
                <w:lang w:val="en-US" w:eastAsia="zh-CN" w:bidi="ar-SA"/>
              </w:rPr>
            </w:pPr>
            <w:r>
              <w:rPr>
                <w:rFonts w:hint="eastAsia" w:ascii="Times New Roman" w:hAnsi="Times New Roman" w:eastAsia="宋体" w:cs="Times New Roman"/>
                <w:snapToGrid w:val="0"/>
                <w:color w:val="auto"/>
                <w:kern w:val="21"/>
                <w:szCs w:val="21"/>
                <w:highlight w:val="none"/>
                <w:lang w:val="en-US" w:eastAsia="zh-CN"/>
              </w:rPr>
              <w:t>+</w:t>
            </w:r>
            <w:r>
              <w:rPr>
                <w:rFonts w:hint="default" w:ascii="Times New Roman" w:hAnsi="Times New Roman" w:eastAsia="宋体" w:cs="Times New Roman"/>
                <w:snapToGrid w:val="0"/>
                <w:color w:val="auto"/>
                <w:kern w:val="21"/>
                <w:szCs w:val="21"/>
                <w:highlight w:val="none"/>
                <w:lang w:val="en-US" w:eastAsia="zh-CN"/>
              </w:rPr>
              <w:t>1</w:t>
            </w:r>
            <w:r>
              <w:rPr>
                <w:rFonts w:hint="eastAsia" w:ascii="Times New Roman" w:hAnsi="Times New Roman" w:eastAsia="宋体" w:cs="Times New Roman"/>
                <w:snapToGrid w:val="0"/>
                <w:color w:val="auto"/>
                <w:kern w:val="21"/>
                <w:szCs w:val="21"/>
                <w:highlight w:val="none"/>
                <w:lang w:val="en-US" w:eastAsia="zh-CN"/>
              </w:rPr>
              <w:t>25000t/a</w:t>
            </w:r>
          </w:p>
        </w:tc>
      </w:tr>
      <w:tr w14:paraId="5990638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1509" w:type="dxa"/>
            <w:vMerge w:val="continue"/>
            <w:vAlign w:val="center"/>
          </w:tcPr>
          <w:p w14:paraId="76043484">
            <w:pPr>
              <w:pStyle w:val="48"/>
              <w:spacing w:beforeLines="0" w:afterLines="0" w:line="240" w:lineRule="auto"/>
              <w:rPr>
                <w:rFonts w:hint="eastAsia" w:hAnsi="宋体" w:cs="宋体"/>
                <w:snapToGrid w:val="0"/>
                <w:color w:val="auto"/>
                <w:kern w:val="21"/>
                <w:szCs w:val="21"/>
              </w:rPr>
            </w:pPr>
          </w:p>
        </w:tc>
        <w:tc>
          <w:tcPr>
            <w:tcW w:w="1980" w:type="dxa"/>
            <w:shd w:val="clear" w:color="auto" w:fill="auto"/>
            <w:vAlign w:val="center"/>
          </w:tcPr>
          <w:p w14:paraId="60FEBC51">
            <w:pPr>
              <w:pStyle w:val="48"/>
              <w:spacing w:beforeLines="0" w:afterLines="0" w:line="240" w:lineRule="auto"/>
              <w:rPr>
                <w:rFonts w:hint="eastAsia" w:ascii="Times New Roman" w:hAnsi="Times New Roman" w:eastAsia="宋体" w:cs="Times New Roman"/>
                <w:snapToGrid w:val="0"/>
                <w:color w:val="auto"/>
                <w:kern w:val="21"/>
                <w:sz w:val="21"/>
                <w:szCs w:val="21"/>
                <w:highlight w:val="none"/>
                <w:lang w:val="en-US" w:eastAsia="zh-CN" w:bidi="ar-SA"/>
              </w:rPr>
            </w:pPr>
            <w:r>
              <w:rPr>
                <w:rFonts w:hint="eastAsia" w:ascii="Times New Roman" w:hAnsi="Times New Roman" w:eastAsia="宋体" w:cs="Times New Roman"/>
                <w:snapToGrid w:val="0"/>
                <w:color w:val="auto"/>
                <w:kern w:val="21"/>
                <w:szCs w:val="21"/>
                <w:highlight w:val="none"/>
                <w:lang w:val="en-US" w:eastAsia="zh-CN"/>
              </w:rPr>
              <w:t>海绵、木屑等废料</w:t>
            </w:r>
          </w:p>
        </w:tc>
        <w:tc>
          <w:tcPr>
            <w:tcW w:w="1420" w:type="dxa"/>
            <w:shd w:val="clear" w:color="auto" w:fill="auto"/>
            <w:vAlign w:val="center"/>
          </w:tcPr>
          <w:p w14:paraId="52E58C9D">
            <w:pPr>
              <w:pStyle w:val="48"/>
              <w:spacing w:beforeLines="0" w:afterLines="0" w:line="240" w:lineRule="auto"/>
              <w:rPr>
                <w:rFonts w:hint="default" w:ascii="Times New Roman" w:hAnsi="Times New Roman" w:eastAsia="宋体" w:cs="Times New Roman"/>
                <w:snapToGrid w:val="0"/>
                <w:color w:val="auto"/>
                <w:kern w:val="21"/>
                <w:sz w:val="21"/>
                <w:szCs w:val="21"/>
                <w:highlight w:val="none"/>
                <w:lang w:val="en-US" w:eastAsia="zh-CN" w:bidi="ar-SA"/>
              </w:rPr>
            </w:pPr>
          </w:p>
        </w:tc>
        <w:tc>
          <w:tcPr>
            <w:tcW w:w="1164" w:type="dxa"/>
            <w:shd w:val="clear" w:color="auto" w:fill="auto"/>
            <w:vAlign w:val="center"/>
          </w:tcPr>
          <w:p w14:paraId="3A674D24">
            <w:pPr>
              <w:pStyle w:val="48"/>
              <w:spacing w:beforeLines="0" w:afterLines="0" w:line="240" w:lineRule="auto"/>
              <w:rPr>
                <w:rFonts w:hint="eastAsia" w:ascii="Times New Roman" w:hAnsi="Times New Roman" w:eastAsia="宋体" w:cs="Times New Roman"/>
                <w:snapToGrid w:val="0"/>
                <w:color w:val="auto"/>
                <w:kern w:val="21"/>
                <w:sz w:val="21"/>
                <w:szCs w:val="21"/>
                <w:highlight w:val="none"/>
                <w:lang w:val="en-US" w:eastAsia="zh-CN" w:bidi="ar-SA"/>
              </w:rPr>
            </w:pPr>
          </w:p>
        </w:tc>
        <w:tc>
          <w:tcPr>
            <w:tcW w:w="1382" w:type="dxa"/>
            <w:shd w:val="clear" w:color="auto" w:fill="auto"/>
            <w:vAlign w:val="center"/>
          </w:tcPr>
          <w:p w14:paraId="57D0B87A">
            <w:pPr>
              <w:pStyle w:val="48"/>
              <w:spacing w:beforeLines="0" w:afterLines="0" w:line="240" w:lineRule="auto"/>
              <w:rPr>
                <w:rFonts w:hint="eastAsia" w:ascii="Times New Roman" w:hAnsi="Times New Roman" w:eastAsia="宋体" w:cs="Times New Roman"/>
                <w:snapToGrid w:val="0"/>
                <w:color w:val="auto"/>
                <w:kern w:val="21"/>
                <w:sz w:val="21"/>
                <w:szCs w:val="21"/>
                <w:highlight w:val="none"/>
                <w:lang w:val="en-US" w:eastAsia="zh-CN" w:bidi="ar-SA"/>
              </w:rPr>
            </w:pPr>
          </w:p>
        </w:tc>
        <w:tc>
          <w:tcPr>
            <w:tcW w:w="1758" w:type="dxa"/>
            <w:shd w:val="clear" w:color="auto" w:fill="auto"/>
            <w:vAlign w:val="center"/>
          </w:tcPr>
          <w:p w14:paraId="71A443B8">
            <w:pPr>
              <w:pStyle w:val="48"/>
              <w:spacing w:beforeLines="0" w:afterLines="0" w:line="240" w:lineRule="auto"/>
              <w:rPr>
                <w:rFonts w:hint="default" w:ascii="Times New Roman" w:hAnsi="Times New Roman" w:eastAsia="宋体" w:cs="Times New Roman"/>
                <w:snapToGrid w:val="0"/>
                <w:color w:val="auto"/>
                <w:kern w:val="21"/>
                <w:sz w:val="21"/>
                <w:szCs w:val="21"/>
                <w:highlight w:val="none"/>
                <w:lang w:val="en-US" w:eastAsia="zh-CN" w:bidi="ar-SA"/>
              </w:rPr>
            </w:pPr>
            <w:r>
              <w:rPr>
                <w:rFonts w:hint="eastAsia" w:ascii="Times New Roman" w:hAnsi="Times New Roman" w:eastAsia="宋体" w:cs="Times New Roman"/>
                <w:snapToGrid w:val="0"/>
                <w:color w:val="auto"/>
                <w:kern w:val="21"/>
                <w:szCs w:val="21"/>
                <w:highlight w:val="none"/>
                <w:lang w:val="en-US" w:eastAsia="zh-CN"/>
              </w:rPr>
              <w:t>5000t/a</w:t>
            </w:r>
          </w:p>
        </w:tc>
        <w:tc>
          <w:tcPr>
            <w:tcW w:w="1382" w:type="dxa"/>
            <w:shd w:val="clear" w:color="auto" w:fill="auto"/>
            <w:vAlign w:val="center"/>
          </w:tcPr>
          <w:p w14:paraId="71F59AE0">
            <w:pPr>
              <w:pStyle w:val="48"/>
              <w:spacing w:beforeLines="0" w:afterLines="0" w:line="240" w:lineRule="auto"/>
              <w:rPr>
                <w:rFonts w:hint="eastAsia" w:ascii="Times New Roman" w:hAnsi="Times New Roman" w:eastAsia="宋体" w:cs="Times New Roman"/>
                <w:snapToGrid w:val="0"/>
                <w:color w:val="auto"/>
                <w:kern w:val="21"/>
                <w:sz w:val="21"/>
                <w:szCs w:val="21"/>
                <w:highlight w:val="none"/>
                <w:lang w:val="en-US" w:eastAsia="zh-CN" w:bidi="ar-SA"/>
              </w:rPr>
            </w:pPr>
          </w:p>
        </w:tc>
        <w:tc>
          <w:tcPr>
            <w:tcW w:w="1821" w:type="dxa"/>
            <w:shd w:val="clear" w:color="auto" w:fill="auto"/>
            <w:vAlign w:val="center"/>
          </w:tcPr>
          <w:p w14:paraId="306C8753">
            <w:pPr>
              <w:pStyle w:val="48"/>
              <w:spacing w:beforeLines="0" w:afterLines="0" w:line="240" w:lineRule="auto"/>
              <w:rPr>
                <w:rFonts w:hint="default" w:ascii="Times New Roman" w:hAnsi="Times New Roman" w:eastAsia="宋体" w:cs="Times New Roman"/>
                <w:snapToGrid w:val="0"/>
                <w:color w:val="auto"/>
                <w:kern w:val="21"/>
                <w:sz w:val="21"/>
                <w:szCs w:val="21"/>
                <w:highlight w:val="none"/>
                <w:lang w:val="en-US" w:eastAsia="zh-CN" w:bidi="ar-SA"/>
              </w:rPr>
            </w:pPr>
            <w:r>
              <w:rPr>
                <w:rFonts w:hint="eastAsia" w:ascii="Times New Roman" w:hAnsi="Times New Roman" w:eastAsia="宋体" w:cs="Times New Roman"/>
                <w:snapToGrid w:val="0"/>
                <w:color w:val="auto"/>
                <w:kern w:val="21"/>
                <w:szCs w:val="21"/>
                <w:highlight w:val="none"/>
                <w:lang w:val="en-US" w:eastAsia="zh-CN"/>
              </w:rPr>
              <w:t>5000t/a</w:t>
            </w:r>
          </w:p>
        </w:tc>
        <w:tc>
          <w:tcPr>
            <w:tcW w:w="1372" w:type="dxa"/>
            <w:shd w:val="clear" w:color="auto" w:fill="auto"/>
            <w:vAlign w:val="center"/>
          </w:tcPr>
          <w:p w14:paraId="5B348327">
            <w:pPr>
              <w:pStyle w:val="48"/>
              <w:spacing w:beforeLines="0" w:afterLines="0" w:line="240" w:lineRule="auto"/>
              <w:rPr>
                <w:rFonts w:hint="eastAsia" w:ascii="Times New Roman" w:hAnsi="Times New Roman" w:eastAsia="宋体" w:cs="Times New Roman"/>
                <w:snapToGrid w:val="0"/>
                <w:color w:val="auto"/>
                <w:kern w:val="21"/>
                <w:sz w:val="21"/>
                <w:szCs w:val="21"/>
                <w:highlight w:val="none"/>
                <w:lang w:val="en-US" w:eastAsia="zh-CN" w:bidi="ar-SA"/>
              </w:rPr>
            </w:pPr>
            <w:r>
              <w:rPr>
                <w:rFonts w:hint="eastAsia" w:ascii="Times New Roman" w:hAnsi="Times New Roman" w:eastAsia="宋体" w:cs="Times New Roman"/>
                <w:snapToGrid w:val="0"/>
                <w:color w:val="auto"/>
                <w:kern w:val="21"/>
                <w:szCs w:val="21"/>
                <w:highlight w:val="none"/>
                <w:lang w:val="en-US" w:eastAsia="zh-CN"/>
              </w:rPr>
              <w:t>+5000t/a</w:t>
            </w:r>
          </w:p>
        </w:tc>
      </w:tr>
      <w:tr w14:paraId="0675912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1509" w:type="dxa"/>
            <w:vMerge w:val="continue"/>
            <w:vAlign w:val="center"/>
          </w:tcPr>
          <w:p w14:paraId="419A5D2A">
            <w:pPr>
              <w:pStyle w:val="48"/>
              <w:spacing w:beforeLines="0" w:afterLines="0" w:line="240" w:lineRule="auto"/>
              <w:rPr>
                <w:rFonts w:hint="eastAsia" w:hAnsi="宋体" w:cs="宋体"/>
                <w:snapToGrid w:val="0"/>
                <w:color w:val="auto"/>
                <w:kern w:val="21"/>
                <w:szCs w:val="21"/>
              </w:rPr>
            </w:pPr>
          </w:p>
        </w:tc>
        <w:tc>
          <w:tcPr>
            <w:tcW w:w="1980" w:type="dxa"/>
            <w:shd w:val="clear" w:color="auto" w:fill="auto"/>
            <w:vAlign w:val="center"/>
          </w:tcPr>
          <w:p w14:paraId="3AD497D0">
            <w:pPr>
              <w:pStyle w:val="48"/>
              <w:spacing w:beforeLines="0" w:afterLines="0" w:line="240" w:lineRule="auto"/>
              <w:rPr>
                <w:rFonts w:hint="eastAsia" w:ascii="Times New Roman" w:hAnsi="Times New Roman" w:eastAsia="宋体" w:cs="Times New Roman"/>
                <w:snapToGrid w:val="0"/>
                <w:color w:val="auto"/>
                <w:kern w:val="21"/>
                <w:sz w:val="21"/>
                <w:szCs w:val="21"/>
                <w:highlight w:val="none"/>
                <w:lang w:val="en-US" w:eastAsia="zh-CN" w:bidi="ar-SA"/>
              </w:rPr>
            </w:pPr>
            <w:r>
              <w:rPr>
                <w:rFonts w:hint="eastAsia" w:ascii="Times New Roman" w:hAnsi="Times New Roman" w:eastAsia="宋体" w:cs="Times New Roman"/>
                <w:snapToGrid w:val="0"/>
                <w:color w:val="auto"/>
                <w:kern w:val="21"/>
                <w:szCs w:val="21"/>
                <w:highlight w:val="none"/>
                <w:lang w:val="en-US" w:eastAsia="zh-CN"/>
              </w:rPr>
              <w:t>废土</w:t>
            </w:r>
          </w:p>
        </w:tc>
        <w:tc>
          <w:tcPr>
            <w:tcW w:w="1420" w:type="dxa"/>
            <w:shd w:val="clear" w:color="auto" w:fill="auto"/>
            <w:vAlign w:val="center"/>
          </w:tcPr>
          <w:p w14:paraId="2834C080">
            <w:pPr>
              <w:pStyle w:val="48"/>
              <w:spacing w:beforeLines="0" w:afterLines="0" w:line="240" w:lineRule="auto"/>
              <w:rPr>
                <w:rFonts w:hint="default" w:ascii="Times New Roman" w:hAnsi="Times New Roman" w:eastAsia="宋体" w:cs="Times New Roman"/>
                <w:snapToGrid w:val="0"/>
                <w:color w:val="auto"/>
                <w:kern w:val="21"/>
                <w:sz w:val="21"/>
                <w:szCs w:val="21"/>
                <w:highlight w:val="none"/>
                <w:lang w:val="en-US" w:eastAsia="zh-CN" w:bidi="ar-SA"/>
              </w:rPr>
            </w:pPr>
          </w:p>
        </w:tc>
        <w:tc>
          <w:tcPr>
            <w:tcW w:w="1164" w:type="dxa"/>
            <w:shd w:val="clear" w:color="auto" w:fill="auto"/>
            <w:vAlign w:val="center"/>
          </w:tcPr>
          <w:p w14:paraId="2F773F86">
            <w:pPr>
              <w:pStyle w:val="48"/>
              <w:spacing w:beforeLines="0" w:afterLines="0" w:line="240" w:lineRule="auto"/>
              <w:rPr>
                <w:rFonts w:hint="eastAsia" w:ascii="Times New Roman" w:hAnsi="Times New Roman" w:eastAsia="宋体" w:cs="Times New Roman"/>
                <w:snapToGrid w:val="0"/>
                <w:color w:val="auto"/>
                <w:kern w:val="21"/>
                <w:sz w:val="21"/>
                <w:szCs w:val="21"/>
                <w:highlight w:val="none"/>
                <w:lang w:val="en-US" w:eastAsia="zh-CN" w:bidi="ar-SA"/>
              </w:rPr>
            </w:pPr>
          </w:p>
        </w:tc>
        <w:tc>
          <w:tcPr>
            <w:tcW w:w="1382" w:type="dxa"/>
            <w:shd w:val="clear" w:color="auto" w:fill="auto"/>
            <w:vAlign w:val="center"/>
          </w:tcPr>
          <w:p w14:paraId="1BB682E8">
            <w:pPr>
              <w:pStyle w:val="48"/>
              <w:spacing w:beforeLines="0" w:afterLines="0" w:line="240" w:lineRule="auto"/>
              <w:rPr>
                <w:rFonts w:hint="eastAsia" w:ascii="Times New Roman" w:hAnsi="Times New Roman" w:eastAsia="宋体" w:cs="Times New Roman"/>
                <w:snapToGrid w:val="0"/>
                <w:color w:val="auto"/>
                <w:kern w:val="21"/>
                <w:sz w:val="21"/>
                <w:szCs w:val="21"/>
                <w:highlight w:val="none"/>
                <w:lang w:val="en-US" w:eastAsia="zh-CN" w:bidi="ar-SA"/>
              </w:rPr>
            </w:pPr>
          </w:p>
        </w:tc>
        <w:tc>
          <w:tcPr>
            <w:tcW w:w="1758" w:type="dxa"/>
            <w:shd w:val="clear" w:color="auto" w:fill="auto"/>
            <w:vAlign w:val="center"/>
          </w:tcPr>
          <w:p w14:paraId="1B1E8DA7">
            <w:pPr>
              <w:pStyle w:val="48"/>
              <w:spacing w:beforeLines="0" w:afterLines="0" w:line="240" w:lineRule="auto"/>
              <w:rPr>
                <w:rFonts w:hint="default" w:ascii="Times New Roman" w:hAnsi="Times New Roman" w:eastAsia="宋体" w:cs="Times New Roman"/>
                <w:snapToGrid w:val="0"/>
                <w:color w:val="auto"/>
                <w:kern w:val="21"/>
                <w:sz w:val="21"/>
                <w:szCs w:val="21"/>
                <w:highlight w:val="none"/>
                <w:lang w:val="en-US" w:eastAsia="zh-CN" w:bidi="ar-SA"/>
              </w:rPr>
            </w:pPr>
            <w:r>
              <w:rPr>
                <w:rFonts w:hint="eastAsia" w:ascii="Times New Roman" w:hAnsi="Times New Roman" w:eastAsia="宋体" w:cs="Times New Roman"/>
                <w:snapToGrid w:val="0"/>
                <w:color w:val="auto"/>
                <w:kern w:val="21"/>
                <w:szCs w:val="21"/>
                <w:highlight w:val="none"/>
                <w:lang w:val="en-US" w:eastAsia="zh-CN"/>
              </w:rPr>
              <w:t>1665</w:t>
            </w:r>
            <w:r>
              <w:rPr>
                <w:rFonts w:hint="default" w:ascii="Times New Roman" w:hAnsi="Times New Roman" w:eastAsia="宋体" w:cs="Times New Roman"/>
                <w:snapToGrid w:val="0"/>
                <w:color w:val="auto"/>
                <w:kern w:val="21"/>
                <w:szCs w:val="21"/>
                <w:highlight w:val="none"/>
                <w:lang w:val="en-US" w:eastAsia="zh-CN"/>
              </w:rPr>
              <w:t>00</w:t>
            </w:r>
            <w:r>
              <w:rPr>
                <w:rFonts w:hint="eastAsia" w:ascii="Times New Roman" w:hAnsi="Times New Roman" w:eastAsia="宋体" w:cs="Times New Roman"/>
                <w:snapToGrid w:val="0"/>
                <w:color w:val="auto"/>
                <w:kern w:val="21"/>
                <w:szCs w:val="21"/>
                <w:highlight w:val="none"/>
                <w:lang w:val="en-US" w:eastAsia="zh-CN"/>
              </w:rPr>
              <w:t>t/a</w:t>
            </w:r>
          </w:p>
        </w:tc>
        <w:tc>
          <w:tcPr>
            <w:tcW w:w="1382" w:type="dxa"/>
            <w:shd w:val="clear" w:color="auto" w:fill="auto"/>
            <w:vAlign w:val="center"/>
          </w:tcPr>
          <w:p w14:paraId="32BA3ECB">
            <w:pPr>
              <w:pStyle w:val="48"/>
              <w:spacing w:beforeLines="0" w:afterLines="0" w:line="240" w:lineRule="auto"/>
              <w:rPr>
                <w:rFonts w:hint="eastAsia" w:ascii="Times New Roman" w:hAnsi="Times New Roman" w:eastAsia="宋体" w:cs="Times New Roman"/>
                <w:snapToGrid w:val="0"/>
                <w:color w:val="auto"/>
                <w:kern w:val="21"/>
                <w:sz w:val="21"/>
                <w:szCs w:val="21"/>
                <w:highlight w:val="none"/>
                <w:lang w:val="en-US" w:eastAsia="zh-CN" w:bidi="ar-SA"/>
              </w:rPr>
            </w:pPr>
          </w:p>
        </w:tc>
        <w:tc>
          <w:tcPr>
            <w:tcW w:w="1821" w:type="dxa"/>
            <w:shd w:val="clear" w:color="auto" w:fill="auto"/>
            <w:vAlign w:val="center"/>
          </w:tcPr>
          <w:p w14:paraId="14E9C706">
            <w:pPr>
              <w:pStyle w:val="48"/>
              <w:spacing w:beforeLines="0" w:afterLines="0" w:line="240" w:lineRule="auto"/>
              <w:rPr>
                <w:rFonts w:hint="default" w:ascii="Times New Roman" w:hAnsi="Times New Roman" w:eastAsia="宋体" w:cs="Times New Roman"/>
                <w:snapToGrid w:val="0"/>
                <w:color w:val="auto"/>
                <w:kern w:val="21"/>
                <w:sz w:val="21"/>
                <w:szCs w:val="21"/>
                <w:highlight w:val="none"/>
                <w:lang w:val="en-US" w:eastAsia="zh-CN" w:bidi="ar-SA"/>
              </w:rPr>
            </w:pPr>
            <w:r>
              <w:rPr>
                <w:rFonts w:hint="eastAsia" w:ascii="Times New Roman" w:hAnsi="Times New Roman" w:eastAsia="宋体" w:cs="Times New Roman"/>
                <w:snapToGrid w:val="0"/>
                <w:color w:val="auto"/>
                <w:kern w:val="21"/>
                <w:szCs w:val="21"/>
                <w:highlight w:val="none"/>
                <w:lang w:val="en-US" w:eastAsia="zh-CN"/>
              </w:rPr>
              <w:t>1665</w:t>
            </w:r>
            <w:r>
              <w:rPr>
                <w:rFonts w:hint="default" w:ascii="Times New Roman" w:hAnsi="Times New Roman" w:eastAsia="宋体" w:cs="Times New Roman"/>
                <w:snapToGrid w:val="0"/>
                <w:color w:val="auto"/>
                <w:kern w:val="21"/>
                <w:szCs w:val="21"/>
                <w:highlight w:val="none"/>
                <w:lang w:val="en-US" w:eastAsia="zh-CN"/>
              </w:rPr>
              <w:t>00</w:t>
            </w:r>
            <w:r>
              <w:rPr>
                <w:rFonts w:hint="eastAsia" w:ascii="Times New Roman" w:hAnsi="Times New Roman" w:eastAsia="宋体" w:cs="Times New Roman"/>
                <w:snapToGrid w:val="0"/>
                <w:color w:val="auto"/>
                <w:kern w:val="21"/>
                <w:szCs w:val="21"/>
                <w:highlight w:val="none"/>
                <w:lang w:val="en-US" w:eastAsia="zh-CN"/>
              </w:rPr>
              <w:t>t/a</w:t>
            </w:r>
          </w:p>
        </w:tc>
        <w:tc>
          <w:tcPr>
            <w:tcW w:w="1372" w:type="dxa"/>
            <w:shd w:val="clear" w:color="auto" w:fill="auto"/>
            <w:vAlign w:val="center"/>
          </w:tcPr>
          <w:p w14:paraId="422CAB54">
            <w:pPr>
              <w:pStyle w:val="48"/>
              <w:spacing w:beforeLines="0" w:afterLines="0" w:line="240" w:lineRule="auto"/>
              <w:rPr>
                <w:rFonts w:hint="eastAsia" w:ascii="Times New Roman" w:hAnsi="Times New Roman" w:eastAsia="宋体" w:cs="Times New Roman"/>
                <w:snapToGrid w:val="0"/>
                <w:color w:val="auto"/>
                <w:kern w:val="21"/>
                <w:sz w:val="21"/>
                <w:szCs w:val="21"/>
                <w:highlight w:val="none"/>
                <w:lang w:val="en-US" w:eastAsia="zh-CN" w:bidi="ar-SA"/>
              </w:rPr>
            </w:pPr>
            <w:r>
              <w:rPr>
                <w:rFonts w:hint="eastAsia" w:ascii="Times New Roman" w:hAnsi="Times New Roman" w:eastAsia="宋体" w:cs="Times New Roman"/>
                <w:snapToGrid w:val="0"/>
                <w:color w:val="auto"/>
                <w:kern w:val="21"/>
                <w:szCs w:val="21"/>
                <w:highlight w:val="none"/>
                <w:lang w:val="en-US" w:eastAsia="zh-CN"/>
              </w:rPr>
              <w:t>+1665</w:t>
            </w:r>
            <w:r>
              <w:rPr>
                <w:rFonts w:hint="default" w:ascii="Times New Roman" w:hAnsi="Times New Roman" w:eastAsia="宋体" w:cs="Times New Roman"/>
                <w:snapToGrid w:val="0"/>
                <w:color w:val="auto"/>
                <w:kern w:val="21"/>
                <w:szCs w:val="21"/>
                <w:highlight w:val="none"/>
                <w:lang w:val="en-US" w:eastAsia="zh-CN"/>
              </w:rPr>
              <w:t>00</w:t>
            </w:r>
            <w:r>
              <w:rPr>
                <w:rFonts w:hint="eastAsia" w:ascii="Times New Roman" w:hAnsi="Times New Roman" w:eastAsia="宋体" w:cs="Times New Roman"/>
                <w:snapToGrid w:val="0"/>
                <w:color w:val="auto"/>
                <w:kern w:val="21"/>
                <w:szCs w:val="21"/>
                <w:highlight w:val="none"/>
                <w:lang w:val="en-US" w:eastAsia="zh-CN"/>
              </w:rPr>
              <w:t>t/a</w:t>
            </w:r>
          </w:p>
        </w:tc>
      </w:tr>
      <w:tr w14:paraId="709587E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1509" w:type="dxa"/>
            <w:vMerge w:val="continue"/>
            <w:tcBorders>
              <w:bottom w:val="single" w:color="auto" w:sz="4" w:space="0"/>
            </w:tcBorders>
            <w:vAlign w:val="center"/>
          </w:tcPr>
          <w:p w14:paraId="20F30572">
            <w:pPr>
              <w:pStyle w:val="48"/>
              <w:spacing w:beforeLines="0" w:afterLines="0" w:line="240" w:lineRule="auto"/>
              <w:rPr>
                <w:rFonts w:hAnsi="宋体" w:cs="宋体"/>
                <w:snapToGrid w:val="0"/>
                <w:color w:val="auto"/>
                <w:kern w:val="21"/>
                <w:szCs w:val="21"/>
              </w:rPr>
            </w:pPr>
          </w:p>
        </w:tc>
        <w:tc>
          <w:tcPr>
            <w:tcW w:w="1980" w:type="dxa"/>
            <w:tcBorders>
              <w:bottom w:val="single" w:color="auto" w:sz="4" w:space="0"/>
            </w:tcBorders>
            <w:shd w:val="clear" w:color="auto" w:fill="auto"/>
            <w:vAlign w:val="center"/>
          </w:tcPr>
          <w:p w14:paraId="7B06FA31">
            <w:pPr>
              <w:pStyle w:val="48"/>
              <w:spacing w:beforeLines="0" w:afterLines="0" w:line="240" w:lineRule="auto"/>
              <w:rPr>
                <w:rFonts w:hint="eastAsia" w:ascii="Times New Roman" w:hAnsi="Times New Roman" w:eastAsia="宋体" w:cs="Times New Roman"/>
                <w:snapToGrid w:val="0"/>
                <w:color w:val="auto"/>
                <w:kern w:val="21"/>
                <w:sz w:val="21"/>
                <w:szCs w:val="21"/>
                <w:highlight w:val="none"/>
                <w:lang w:val="en-US" w:eastAsia="zh-CN" w:bidi="ar-SA"/>
              </w:rPr>
            </w:pPr>
            <w:r>
              <w:rPr>
                <w:rFonts w:hint="eastAsia" w:ascii="Times New Roman" w:hAnsi="Times New Roman" w:cs="Times New Roman"/>
                <w:snapToGrid w:val="0"/>
                <w:color w:val="auto"/>
                <w:kern w:val="21"/>
                <w:szCs w:val="21"/>
                <w:highlight w:val="none"/>
                <w:lang w:val="en-US" w:eastAsia="zh-CN"/>
              </w:rPr>
              <w:t>生活垃圾</w:t>
            </w:r>
          </w:p>
        </w:tc>
        <w:tc>
          <w:tcPr>
            <w:tcW w:w="1420" w:type="dxa"/>
            <w:shd w:val="clear" w:color="auto" w:fill="auto"/>
            <w:vAlign w:val="center"/>
          </w:tcPr>
          <w:p w14:paraId="5E141935">
            <w:pPr>
              <w:pStyle w:val="48"/>
              <w:spacing w:beforeLines="0" w:afterLines="0" w:line="240" w:lineRule="auto"/>
              <w:rPr>
                <w:rFonts w:hint="eastAsia" w:ascii="Times New Roman" w:hAnsi="Times New Roman" w:eastAsia="宋体" w:cs="Times New Roman"/>
                <w:snapToGrid w:val="0"/>
                <w:color w:val="auto"/>
                <w:kern w:val="21"/>
                <w:sz w:val="21"/>
                <w:szCs w:val="21"/>
                <w:highlight w:val="none"/>
                <w:lang w:val="en-US" w:eastAsia="zh-CN" w:bidi="ar-SA"/>
              </w:rPr>
            </w:pPr>
          </w:p>
        </w:tc>
        <w:tc>
          <w:tcPr>
            <w:tcW w:w="1164" w:type="dxa"/>
            <w:shd w:val="clear" w:color="auto" w:fill="auto"/>
            <w:vAlign w:val="center"/>
          </w:tcPr>
          <w:p w14:paraId="26E0475E">
            <w:pPr>
              <w:pStyle w:val="48"/>
              <w:spacing w:beforeLines="0" w:afterLines="0" w:line="240" w:lineRule="auto"/>
              <w:rPr>
                <w:rFonts w:hint="eastAsia" w:ascii="Times New Roman" w:hAnsi="Times New Roman" w:eastAsia="宋体" w:cs="Times New Roman"/>
                <w:snapToGrid w:val="0"/>
                <w:color w:val="auto"/>
                <w:kern w:val="21"/>
                <w:sz w:val="21"/>
                <w:szCs w:val="21"/>
                <w:highlight w:val="none"/>
                <w:lang w:val="en-US" w:eastAsia="zh-CN" w:bidi="ar-SA"/>
              </w:rPr>
            </w:pPr>
          </w:p>
        </w:tc>
        <w:tc>
          <w:tcPr>
            <w:tcW w:w="1382" w:type="dxa"/>
            <w:shd w:val="clear" w:color="auto" w:fill="auto"/>
            <w:vAlign w:val="center"/>
          </w:tcPr>
          <w:p w14:paraId="48E9784C">
            <w:pPr>
              <w:pStyle w:val="48"/>
              <w:spacing w:beforeLines="0" w:afterLines="0" w:line="240" w:lineRule="auto"/>
              <w:rPr>
                <w:rFonts w:hint="eastAsia" w:ascii="Times New Roman" w:hAnsi="Times New Roman" w:eastAsia="宋体" w:cs="Times New Roman"/>
                <w:snapToGrid w:val="0"/>
                <w:color w:val="auto"/>
                <w:kern w:val="21"/>
                <w:sz w:val="21"/>
                <w:szCs w:val="21"/>
                <w:highlight w:val="none"/>
                <w:lang w:val="en-US" w:eastAsia="zh-CN" w:bidi="ar-SA"/>
              </w:rPr>
            </w:pPr>
          </w:p>
        </w:tc>
        <w:tc>
          <w:tcPr>
            <w:tcW w:w="1758" w:type="dxa"/>
            <w:shd w:val="clear" w:color="auto" w:fill="auto"/>
            <w:vAlign w:val="center"/>
          </w:tcPr>
          <w:p w14:paraId="39552EEB">
            <w:pPr>
              <w:pStyle w:val="48"/>
              <w:spacing w:beforeLines="0" w:afterLines="0" w:line="240" w:lineRule="auto"/>
              <w:rPr>
                <w:rFonts w:hint="default" w:ascii="Times New Roman" w:hAnsi="Times New Roman" w:eastAsia="宋体" w:cs="Times New Roman"/>
                <w:snapToGrid w:val="0"/>
                <w:color w:val="auto"/>
                <w:kern w:val="21"/>
                <w:sz w:val="21"/>
                <w:szCs w:val="21"/>
                <w:highlight w:val="none"/>
                <w:lang w:val="en-US" w:eastAsia="zh-CN" w:bidi="ar-SA"/>
              </w:rPr>
            </w:pPr>
            <w:r>
              <w:rPr>
                <w:rFonts w:hint="eastAsia" w:ascii="Times New Roman" w:hAnsi="Times New Roman" w:cs="Times New Roman"/>
                <w:snapToGrid w:val="0"/>
                <w:color w:val="auto"/>
                <w:kern w:val="21"/>
                <w:szCs w:val="21"/>
                <w:highlight w:val="none"/>
                <w:lang w:val="en-US" w:eastAsia="zh-CN"/>
              </w:rPr>
              <w:t>2.25t/a</w:t>
            </w:r>
          </w:p>
        </w:tc>
        <w:tc>
          <w:tcPr>
            <w:tcW w:w="1382" w:type="dxa"/>
            <w:shd w:val="clear" w:color="auto" w:fill="auto"/>
            <w:vAlign w:val="center"/>
          </w:tcPr>
          <w:p w14:paraId="28EE9B54">
            <w:pPr>
              <w:pStyle w:val="48"/>
              <w:spacing w:beforeLines="0" w:afterLines="0" w:line="240" w:lineRule="auto"/>
              <w:rPr>
                <w:rFonts w:hint="eastAsia" w:ascii="Times New Roman" w:hAnsi="Times New Roman" w:eastAsia="宋体" w:cs="Times New Roman"/>
                <w:snapToGrid w:val="0"/>
                <w:color w:val="auto"/>
                <w:kern w:val="21"/>
                <w:sz w:val="21"/>
                <w:szCs w:val="21"/>
                <w:lang w:val="en-US" w:eastAsia="zh-CN" w:bidi="ar-SA"/>
              </w:rPr>
            </w:pPr>
          </w:p>
        </w:tc>
        <w:tc>
          <w:tcPr>
            <w:tcW w:w="1821" w:type="dxa"/>
            <w:shd w:val="clear" w:color="auto" w:fill="auto"/>
            <w:vAlign w:val="center"/>
          </w:tcPr>
          <w:p w14:paraId="64DC6DD5">
            <w:pPr>
              <w:pStyle w:val="48"/>
              <w:spacing w:beforeLines="0" w:afterLines="0" w:line="240" w:lineRule="auto"/>
              <w:rPr>
                <w:rFonts w:hint="default" w:ascii="Times New Roman" w:hAnsi="Times New Roman" w:eastAsia="宋体" w:cs="Times New Roman"/>
                <w:snapToGrid w:val="0"/>
                <w:color w:val="auto"/>
                <w:kern w:val="21"/>
                <w:sz w:val="21"/>
                <w:szCs w:val="21"/>
                <w:highlight w:val="none"/>
                <w:lang w:val="en-US" w:eastAsia="zh-CN" w:bidi="ar-SA"/>
              </w:rPr>
            </w:pPr>
            <w:r>
              <w:rPr>
                <w:rFonts w:hint="eastAsia" w:ascii="Times New Roman" w:hAnsi="Times New Roman" w:cs="Times New Roman"/>
                <w:snapToGrid w:val="0"/>
                <w:color w:val="auto"/>
                <w:kern w:val="21"/>
                <w:szCs w:val="21"/>
                <w:highlight w:val="none"/>
                <w:lang w:val="en-US" w:eastAsia="zh-CN"/>
              </w:rPr>
              <w:t>2.25t/a</w:t>
            </w:r>
          </w:p>
        </w:tc>
        <w:tc>
          <w:tcPr>
            <w:tcW w:w="1372" w:type="dxa"/>
            <w:shd w:val="clear" w:color="auto" w:fill="auto"/>
            <w:vAlign w:val="center"/>
          </w:tcPr>
          <w:p w14:paraId="55B9D678">
            <w:pPr>
              <w:pStyle w:val="48"/>
              <w:spacing w:beforeLines="0" w:afterLines="0" w:line="240" w:lineRule="auto"/>
              <w:rPr>
                <w:rFonts w:hint="default" w:ascii="Times New Roman" w:hAnsi="Times New Roman" w:eastAsia="宋体" w:cs="Times New Roman"/>
                <w:snapToGrid w:val="0"/>
                <w:color w:val="auto"/>
                <w:kern w:val="21"/>
                <w:sz w:val="21"/>
                <w:szCs w:val="21"/>
                <w:highlight w:val="none"/>
                <w:lang w:val="en-US" w:eastAsia="zh-CN" w:bidi="ar-SA"/>
              </w:rPr>
            </w:pPr>
            <w:r>
              <w:rPr>
                <w:rFonts w:hint="eastAsia" w:ascii="Times New Roman" w:hAnsi="Times New Roman" w:cs="Times New Roman"/>
                <w:snapToGrid w:val="0"/>
                <w:color w:val="auto"/>
                <w:kern w:val="21"/>
                <w:szCs w:val="21"/>
                <w:highlight w:val="none"/>
                <w:lang w:val="en-US" w:eastAsia="zh-CN"/>
              </w:rPr>
              <w:t>+2.25t/a</w:t>
            </w:r>
          </w:p>
        </w:tc>
      </w:tr>
      <w:tr w14:paraId="61C3072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1509" w:type="dxa"/>
            <w:vMerge w:val="restart"/>
            <w:tcBorders>
              <w:top w:val="single" w:color="auto" w:sz="4" w:space="0"/>
            </w:tcBorders>
            <w:vAlign w:val="center"/>
          </w:tcPr>
          <w:p w14:paraId="320E311E">
            <w:pPr>
              <w:pStyle w:val="48"/>
              <w:spacing w:before="24" w:after="24" w:line="240" w:lineRule="auto"/>
              <w:rPr>
                <w:rFonts w:hAnsi="宋体" w:cs="宋体"/>
                <w:snapToGrid w:val="0"/>
                <w:color w:val="auto"/>
                <w:kern w:val="21"/>
                <w:szCs w:val="21"/>
              </w:rPr>
            </w:pPr>
            <w:r>
              <w:rPr>
                <w:rFonts w:hint="eastAsia" w:hAnsi="宋体" w:cs="宋体"/>
                <w:snapToGrid w:val="0"/>
                <w:color w:val="auto"/>
                <w:kern w:val="21"/>
                <w:szCs w:val="21"/>
              </w:rPr>
              <w:t>危险废物</w:t>
            </w:r>
          </w:p>
        </w:tc>
        <w:tc>
          <w:tcPr>
            <w:tcW w:w="1980" w:type="dxa"/>
            <w:tcBorders>
              <w:top w:val="single" w:color="auto" w:sz="4" w:space="0"/>
            </w:tcBorders>
            <w:shd w:val="clear" w:color="auto" w:fill="auto"/>
            <w:vAlign w:val="center"/>
          </w:tcPr>
          <w:p w14:paraId="6F336AFB">
            <w:pPr>
              <w:pStyle w:val="48"/>
              <w:spacing w:beforeLines="0" w:afterLines="0" w:line="240" w:lineRule="auto"/>
              <w:rPr>
                <w:rFonts w:ascii="Times New Roman" w:hAnsi="Times New Roman" w:eastAsia="宋体" w:cs="Times New Roman"/>
                <w:snapToGrid w:val="0"/>
                <w:color w:val="auto"/>
                <w:kern w:val="21"/>
                <w:sz w:val="21"/>
                <w:szCs w:val="21"/>
                <w:lang w:val="en-US" w:eastAsia="zh-CN" w:bidi="ar-SA"/>
              </w:rPr>
            </w:pPr>
            <w:r>
              <w:rPr>
                <w:rFonts w:hint="eastAsia" w:ascii="Times New Roman"/>
                <w:snapToGrid w:val="0"/>
                <w:color w:val="auto"/>
                <w:kern w:val="21"/>
                <w:szCs w:val="21"/>
              </w:rPr>
              <w:t>废润滑油</w:t>
            </w:r>
          </w:p>
        </w:tc>
        <w:tc>
          <w:tcPr>
            <w:tcW w:w="1420" w:type="dxa"/>
            <w:shd w:val="clear" w:color="auto" w:fill="auto"/>
            <w:vAlign w:val="center"/>
          </w:tcPr>
          <w:p w14:paraId="7C5C1BF1">
            <w:pPr>
              <w:pStyle w:val="48"/>
              <w:spacing w:beforeLines="0" w:afterLines="0" w:line="240" w:lineRule="auto"/>
              <w:rPr>
                <w:rFonts w:hint="default" w:ascii="Times New Roman" w:hAnsi="Times New Roman" w:eastAsia="宋体" w:cs="Times New Roman"/>
                <w:snapToGrid w:val="0"/>
                <w:color w:val="auto"/>
                <w:kern w:val="21"/>
                <w:sz w:val="21"/>
                <w:szCs w:val="21"/>
                <w:lang w:val="en-US" w:eastAsia="zh-CN" w:bidi="ar-SA"/>
              </w:rPr>
            </w:pPr>
          </w:p>
        </w:tc>
        <w:tc>
          <w:tcPr>
            <w:tcW w:w="1164" w:type="dxa"/>
            <w:shd w:val="clear" w:color="auto" w:fill="auto"/>
            <w:vAlign w:val="center"/>
          </w:tcPr>
          <w:p w14:paraId="55E3C1F7">
            <w:pPr>
              <w:spacing w:line="280" w:lineRule="exact"/>
              <w:jc w:val="center"/>
              <w:rPr>
                <w:rFonts w:ascii="Times New Roman" w:hAnsi="Times New Roman" w:eastAsia="宋体" w:cs="Times New Roman"/>
                <w:color w:val="auto"/>
                <w:spacing w:val="-20"/>
                <w:kern w:val="2"/>
                <w:sz w:val="21"/>
                <w:szCs w:val="21"/>
                <w:lang w:val="en-US" w:eastAsia="zh-CN" w:bidi="ar-SA"/>
              </w:rPr>
            </w:pPr>
          </w:p>
        </w:tc>
        <w:tc>
          <w:tcPr>
            <w:tcW w:w="1382" w:type="dxa"/>
            <w:shd w:val="clear" w:color="auto" w:fill="auto"/>
            <w:vAlign w:val="center"/>
          </w:tcPr>
          <w:p w14:paraId="037411F7">
            <w:pPr>
              <w:spacing w:line="280" w:lineRule="exact"/>
              <w:jc w:val="center"/>
              <w:rPr>
                <w:rFonts w:ascii="Times New Roman" w:hAnsi="Times New Roman" w:eastAsia="宋体" w:cs="Times New Roman"/>
                <w:color w:val="auto"/>
                <w:spacing w:val="-20"/>
                <w:kern w:val="2"/>
                <w:sz w:val="21"/>
                <w:szCs w:val="21"/>
                <w:lang w:val="en-US" w:eastAsia="zh-CN" w:bidi="ar-SA"/>
              </w:rPr>
            </w:pPr>
          </w:p>
        </w:tc>
        <w:tc>
          <w:tcPr>
            <w:tcW w:w="1758" w:type="dxa"/>
            <w:shd w:val="clear" w:color="auto" w:fill="auto"/>
            <w:vAlign w:val="center"/>
          </w:tcPr>
          <w:p w14:paraId="464A9D99">
            <w:pPr>
              <w:pStyle w:val="48"/>
              <w:spacing w:beforeLines="0" w:afterLines="0" w:line="240" w:lineRule="auto"/>
              <w:rPr>
                <w:rFonts w:hint="default" w:ascii="Times New Roman" w:hAnsi="Times New Roman" w:eastAsia="宋体" w:cs="Times New Roman"/>
                <w:snapToGrid w:val="0"/>
                <w:color w:val="auto"/>
                <w:kern w:val="21"/>
                <w:sz w:val="21"/>
                <w:szCs w:val="21"/>
                <w:highlight w:val="none"/>
                <w:lang w:val="en-US" w:eastAsia="zh-CN" w:bidi="ar-SA"/>
              </w:rPr>
            </w:pPr>
            <w:r>
              <w:rPr>
                <w:rFonts w:hint="eastAsia" w:ascii="Times New Roman" w:hAnsi="Times New Roman" w:cs="Times New Roman"/>
                <w:snapToGrid w:val="0"/>
                <w:color w:val="auto"/>
                <w:kern w:val="21"/>
                <w:szCs w:val="21"/>
                <w:highlight w:val="none"/>
                <w:lang w:val="en-US" w:eastAsia="zh-CN"/>
              </w:rPr>
              <w:t>0.08t/a</w:t>
            </w:r>
          </w:p>
        </w:tc>
        <w:tc>
          <w:tcPr>
            <w:tcW w:w="1382" w:type="dxa"/>
            <w:shd w:val="clear" w:color="auto" w:fill="auto"/>
            <w:vAlign w:val="center"/>
          </w:tcPr>
          <w:p w14:paraId="535CA836">
            <w:pPr>
              <w:pStyle w:val="48"/>
              <w:spacing w:beforeLines="0" w:afterLines="0" w:line="240" w:lineRule="auto"/>
              <w:rPr>
                <w:rFonts w:hint="default" w:ascii="Times New Roman" w:hAnsi="Times New Roman" w:eastAsia="宋体" w:cs="Times New Roman"/>
                <w:snapToGrid w:val="0"/>
                <w:color w:val="auto"/>
                <w:kern w:val="21"/>
                <w:sz w:val="21"/>
                <w:szCs w:val="21"/>
                <w:lang w:val="en-US" w:eastAsia="zh-CN" w:bidi="ar-SA"/>
              </w:rPr>
            </w:pPr>
          </w:p>
        </w:tc>
        <w:tc>
          <w:tcPr>
            <w:tcW w:w="1821" w:type="dxa"/>
            <w:shd w:val="clear" w:color="auto" w:fill="auto"/>
            <w:vAlign w:val="center"/>
          </w:tcPr>
          <w:p w14:paraId="4773E54C">
            <w:pPr>
              <w:pStyle w:val="48"/>
              <w:spacing w:beforeLines="0" w:afterLines="0" w:line="240" w:lineRule="auto"/>
              <w:rPr>
                <w:rFonts w:hint="default" w:ascii="Times New Roman" w:hAnsi="Times New Roman" w:eastAsia="宋体" w:cs="Times New Roman"/>
                <w:snapToGrid w:val="0"/>
                <w:color w:val="auto"/>
                <w:kern w:val="21"/>
                <w:sz w:val="21"/>
                <w:szCs w:val="21"/>
                <w:highlight w:val="none"/>
                <w:lang w:val="en-US" w:eastAsia="zh-CN" w:bidi="ar-SA"/>
              </w:rPr>
            </w:pPr>
            <w:r>
              <w:rPr>
                <w:rFonts w:hint="eastAsia" w:ascii="Times New Roman" w:hAnsi="Times New Roman" w:cs="Times New Roman"/>
                <w:snapToGrid w:val="0"/>
                <w:color w:val="auto"/>
                <w:kern w:val="21"/>
                <w:szCs w:val="21"/>
                <w:highlight w:val="none"/>
                <w:lang w:val="en-US" w:eastAsia="zh-CN"/>
              </w:rPr>
              <w:t>0.08t/a</w:t>
            </w:r>
          </w:p>
        </w:tc>
        <w:tc>
          <w:tcPr>
            <w:tcW w:w="1372" w:type="dxa"/>
            <w:shd w:val="clear" w:color="auto" w:fill="auto"/>
            <w:vAlign w:val="center"/>
          </w:tcPr>
          <w:p w14:paraId="0D935985">
            <w:pPr>
              <w:pStyle w:val="48"/>
              <w:spacing w:beforeLines="0" w:afterLines="0" w:line="240" w:lineRule="auto"/>
              <w:rPr>
                <w:rFonts w:hint="default" w:ascii="Times New Roman" w:hAnsi="Times New Roman" w:eastAsia="宋体" w:cs="Times New Roman"/>
                <w:snapToGrid w:val="0"/>
                <w:color w:val="auto"/>
                <w:kern w:val="21"/>
                <w:sz w:val="21"/>
                <w:szCs w:val="21"/>
                <w:highlight w:val="none"/>
                <w:lang w:val="en-US" w:eastAsia="zh-CN" w:bidi="ar-SA"/>
              </w:rPr>
            </w:pPr>
            <w:r>
              <w:rPr>
                <w:rFonts w:hint="eastAsia" w:ascii="Times New Roman" w:hAnsi="Times New Roman" w:cs="Times New Roman"/>
                <w:snapToGrid w:val="0"/>
                <w:color w:val="auto"/>
                <w:kern w:val="21"/>
                <w:szCs w:val="21"/>
                <w:highlight w:val="none"/>
                <w:lang w:val="en-US" w:eastAsia="zh-CN"/>
              </w:rPr>
              <w:t>+0.08t/a</w:t>
            </w:r>
          </w:p>
        </w:tc>
      </w:tr>
      <w:tr w14:paraId="0128DD8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1509" w:type="dxa"/>
            <w:vMerge w:val="continue"/>
            <w:vAlign w:val="center"/>
          </w:tcPr>
          <w:p w14:paraId="13B4BF7F">
            <w:pPr>
              <w:pStyle w:val="48"/>
              <w:spacing w:before="24" w:after="24" w:line="240" w:lineRule="auto"/>
              <w:rPr>
                <w:rFonts w:hint="eastAsia" w:hAnsi="宋体" w:cs="宋体"/>
                <w:snapToGrid w:val="0"/>
                <w:color w:val="auto"/>
                <w:kern w:val="21"/>
                <w:szCs w:val="21"/>
              </w:rPr>
            </w:pPr>
          </w:p>
        </w:tc>
        <w:tc>
          <w:tcPr>
            <w:tcW w:w="1980" w:type="dxa"/>
            <w:tcBorders>
              <w:top w:val="single" w:color="auto" w:sz="4" w:space="0"/>
            </w:tcBorders>
            <w:shd w:val="clear" w:color="auto" w:fill="auto"/>
            <w:vAlign w:val="center"/>
          </w:tcPr>
          <w:p w14:paraId="476E9D93">
            <w:pPr>
              <w:pStyle w:val="48"/>
              <w:spacing w:beforeLines="0" w:afterLines="0" w:line="240" w:lineRule="auto"/>
              <w:rPr>
                <w:rFonts w:hint="default" w:ascii="Times New Roman" w:hAnsi="Times New Roman" w:eastAsia="宋体" w:cs="Times New Roman"/>
                <w:snapToGrid w:val="0"/>
                <w:color w:val="auto"/>
                <w:kern w:val="21"/>
                <w:sz w:val="21"/>
                <w:szCs w:val="21"/>
                <w:lang w:val="en-US" w:eastAsia="zh-CN" w:bidi="ar-SA"/>
              </w:rPr>
            </w:pPr>
            <w:r>
              <w:rPr>
                <w:rFonts w:hint="eastAsia" w:ascii="Times New Roman"/>
                <w:snapToGrid w:val="0"/>
                <w:color w:val="auto"/>
                <w:kern w:val="21"/>
                <w:szCs w:val="21"/>
                <w:lang w:val="en-US" w:eastAsia="zh-CN"/>
              </w:rPr>
              <w:t>废液压油</w:t>
            </w:r>
          </w:p>
        </w:tc>
        <w:tc>
          <w:tcPr>
            <w:tcW w:w="1420" w:type="dxa"/>
            <w:shd w:val="clear" w:color="auto" w:fill="auto"/>
            <w:vAlign w:val="center"/>
          </w:tcPr>
          <w:p w14:paraId="717AD4F5">
            <w:pPr>
              <w:pStyle w:val="48"/>
              <w:spacing w:beforeLines="0" w:afterLines="0" w:line="240" w:lineRule="auto"/>
              <w:rPr>
                <w:rFonts w:hint="default" w:ascii="Times New Roman" w:hAnsi="Times New Roman" w:eastAsia="宋体" w:cs="Times New Roman"/>
                <w:snapToGrid w:val="0"/>
                <w:color w:val="auto"/>
                <w:kern w:val="21"/>
                <w:sz w:val="21"/>
                <w:szCs w:val="21"/>
                <w:lang w:val="en-US" w:eastAsia="zh-CN" w:bidi="ar-SA"/>
              </w:rPr>
            </w:pPr>
          </w:p>
        </w:tc>
        <w:tc>
          <w:tcPr>
            <w:tcW w:w="1164" w:type="dxa"/>
            <w:shd w:val="clear" w:color="auto" w:fill="auto"/>
            <w:vAlign w:val="center"/>
          </w:tcPr>
          <w:p w14:paraId="18C78609">
            <w:pPr>
              <w:spacing w:line="280" w:lineRule="exact"/>
              <w:jc w:val="center"/>
              <w:rPr>
                <w:rFonts w:ascii="Times New Roman" w:hAnsi="Times New Roman" w:eastAsia="宋体" w:cs="Times New Roman"/>
                <w:color w:val="auto"/>
                <w:spacing w:val="-20"/>
                <w:kern w:val="2"/>
                <w:sz w:val="21"/>
                <w:szCs w:val="21"/>
                <w:lang w:val="en-US" w:eastAsia="zh-CN" w:bidi="ar-SA"/>
              </w:rPr>
            </w:pPr>
          </w:p>
        </w:tc>
        <w:tc>
          <w:tcPr>
            <w:tcW w:w="1382" w:type="dxa"/>
            <w:shd w:val="clear" w:color="auto" w:fill="auto"/>
            <w:vAlign w:val="center"/>
          </w:tcPr>
          <w:p w14:paraId="655BCFAF">
            <w:pPr>
              <w:spacing w:line="280" w:lineRule="exact"/>
              <w:jc w:val="center"/>
              <w:rPr>
                <w:rFonts w:ascii="Times New Roman" w:hAnsi="Times New Roman" w:eastAsia="宋体" w:cs="Times New Roman"/>
                <w:color w:val="auto"/>
                <w:spacing w:val="-20"/>
                <w:kern w:val="2"/>
                <w:sz w:val="21"/>
                <w:szCs w:val="21"/>
                <w:lang w:val="en-US" w:eastAsia="zh-CN" w:bidi="ar-SA"/>
              </w:rPr>
            </w:pPr>
          </w:p>
        </w:tc>
        <w:tc>
          <w:tcPr>
            <w:tcW w:w="1758" w:type="dxa"/>
            <w:shd w:val="clear" w:color="auto" w:fill="auto"/>
            <w:vAlign w:val="center"/>
          </w:tcPr>
          <w:p w14:paraId="1D4ACDA1">
            <w:pPr>
              <w:pStyle w:val="48"/>
              <w:spacing w:beforeLines="0" w:afterLines="0" w:line="240" w:lineRule="auto"/>
              <w:rPr>
                <w:rFonts w:hint="default" w:ascii="Times New Roman" w:hAnsi="Times New Roman" w:eastAsia="宋体" w:cs="Times New Roman"/>
                <w:snapToGrid w:val="0"/>
                <w:color w:val="auto"/>
                <w:kern w:val="21"/>
                <w:sz w:val="21"/>
                <w:szCs w:val="21"/>
                <w:highlight w:val="none"/>
                <w:lang w:val="en-US" w:eastAsia="zh-CN" w:bidi="ar-SA"/>
              </w:rPr>
            </w:pPr>
            <w:r>
              <w:rPr>
                <w:rFonts w:hint="eastAsia" w:ascii="Times New Roman" w:hAnsi="Times New Roman" w:cs="Times New Roman"/>
                <w:snapToGrid w:val="0"/>
                <w:color w:val="auto"/>
                <w:kern w:val="21"/>
                <w:szCs w:val="21"/>
                <w:highlight w:val="none"/>
                <w:lang w:val="en-US" w:eastAsia="zh-CN"/>
              </w:rPr>
              <w:t>0.12t/a</w:t>
            </w:r>
          </w:p>
        </w:tc>
        <w:tc>
          <w:tcPr>
            <w:tcW w:w="1382" w:type="dxa"/>
            <w:shd w:val="clear" w:color="auto" w:fill="auto"/>
            <w:vAlign w:val="center"/>
          </w:tcPr>
          <w:p w14:paraId="796E04EE">
            <w:pPr>
              <w:pStyle w:val="48"/>
              <w:spacing w:beforeLines="0" w:afterLines="0" w:line="240" w:lineRule="auto"/>
              <w:rPr>
                <w:rFonts w:hint="default" w:ascii="Times New Roman" w:hAnsi="Times New Roman" w:eastAsia="宋体" w:cs="Times New Roman"/>
                <w:snapToGrid w:val="0"/>
                <w:color w:val="auto"/>
                <w:kern w:val="21"/>
                <w:sz w:val="21"/>
                <w:szCs w:val="21"/>
                <w:lang w:val="en-US" w:eastAsia="zh-CN" w:bidi="ar-SA"/>
              </w:rPr>
            </w:pPr>
          </w:p>
        </w:tc>
        <w:tc>
          <w:tcPr>
            <w:tcW w:w="1821" w:type="dxa"/>
            <w:shd w:val="clear" w:color="auto" w:fill="auto"/>
            <w:vAlign w:val="center"/>
          </w:tcPr>
          <w:p w14:paraId="1FD66D4E">
            <w:pPr>
              <w:pStyle w:val="48"/>
              <w:spacing w:beforeLines="0" w:afterLines="0" w:line="240" w:lineRule="auto"/>
              <w:rPr>
                <w:rFonts w:hint="eastAsia" w:ascii="Times New Roman" w:hAnsi="Times New Roman" w:eastAsia="宋体" w:cs="Times New Roman"/>
                <w:snapToGrid w:val="0"/>
                <w:color w:val="auto"/>
                <w:kern w:val="21"/>
                <w:sz w:val="21"/>
                <w:szCs w:val="21"/>
                <w:highlight w:val="none"/>
                <w:lang w:val="en-US" w:eastAsia="zh-CN" w:bidi="ar-SA"/>
              </w:rPr>
            </w:pPr>
            <w:r>
              <w:rPr>
                <w:rFonts w:hint="eastAsia" w:ascii="Times New Roman" w:hAnsi="Times New Roman" w:cs="Times New Roman"/>
                <w:snapToGrid w:val="0"/>
                <w:color w:val="auto"/>
                <w:kern w:val="21"/>
                <w:szCs w:val="21"/>
                <w:highlight w:val="none"/>
                <w:lang w:val="en-US" w:eastAsia="zh-CN"/>
              </w:rPr>
              <w:t>0.12t/a</w:t>
            </w:r>
          </w:p>
        </w:tc>
        <w:tc>
          <w:tcPr>
            <w:tcW w:w="1372" w:type="dxa"/>
            <w:shd w:val="clear" w:color="auto" w:fill="auto"/>
            <w:vAlign w:val="center"/>
          </w:tcPr>
          <w:p w14:paraId="1B3D0CD8">
            <w:pPr>
              <w:pStyle w:val="48"/>
              <w:spacing w:beforeLines="0" w:afterLines="0" w:line="240" w:lineRule="auto"/>
              <w:rPr>
                <w:rFonts w:hint="eastAsia" w:ascii="Times New Roman" w:hAnsi="Times New Roman" w:eastAsia="宋体" w:cs="Times New Roman"/>
                <w:snapToGrid w:val="0"/>
                <w:color w:val="auto"/>
                <w:kern w:val="21"/>
                <w:sz w:val="21"/>
                <w:szCs w:val="21"/>
                <w:highlight w:val="none"/>
                <w:lang w:val="en-US" w:eastAsia="zh-CN" w:bidi="ar-SA"/>
              </w:rPr>
            </w:pPr>
            <w:r>
              <w:rPr>
                <w:rFonts w:hint="eastAsia" w:ascii="Times New Roman" w:hAnsi="Times New Roman" w:cs="Times New Roman"/>
                <w:snapToGrid w:val="0"/>
                <w:color w:val="auto"/>
                <w:kern w:val="21"/>
                <w:szCs w:val="21"/>
                <w:highlight w:val="none"/>
                <w:lang w:val="en-US" w:eastAsia="zh-CN"/>
              </w:rPr>
              <w:t>+0.12t/a</w:t>
            </w:r>
          </w:p>
        </w:tc>
      </w:tr>
      <w:tr w14:paraId="724F7C3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10" w:hRule="exact"/>
        </w:trPr>
        <w:tc>
          <w:tcPr>
            <w:tcW w:w="1509" w:type="dxa"/>
            <w:vMerge w:val="continue"/>
            <w:vAlign w:val="center"/>
          </w:tcPr>
          <w:p w14:paraId="06734C35">
            <w:pPr>
              <w:pStyle w:val="48"/>
              <w:spacing w:beforeLines="0" w:afterLines="0" w:line="240" w:lineRule="auto"/>
              <w:rPr>
                <w:rFonts w:hAnsi="宋体" w:cs="宋体"/>
                <w:snapToGrid w:val="0"/>
                <w:color w:val="auto"/>
                <w:kern w:val="21"/>
                <w:szCs w:val="21"/>
              </w:rPr>
            </w:pPr>
          </w:p>
        </w:tc>
        <w:tc>
          <w:tcPr>
            <w:tcW w:w="1980" w:type="dxa"/>
            <w:shd w:val="clear" w:color="auto" w:fill="auto"/>
            <w:vAlign w:val="center"/>
          </w:tcPr>
          <w:p w14:paraId="464C4E83">
            <w:pPr>
              <w:pStyle w:val="48"/>
              <w:spacing w:beforeLines="0" w:afterLines="0" w:line="240" w:lineRule="auto"/>
              <w:rPr>
                <w:rFonts w:ascii="Times New Roman" w:hAnsi="Times New Roman" w:eastAsia="宋体" w:cs="Times New Roman"/>
                <w:snapToGrid w:val="0"/>
                <w:color w:val="auto"/>
                <w:kern w:val="21"/>
                <w:sz w:val="21"/>
                <w:szCs w:val="21"/>
                <w:lang w:val="en-US" w:eastAsia="zh-CN" w:bidi="ar-SA"/>
              </w:rPr>
            </w:pPr>
            <w:r>
              <w:rPr>
                <w:rFonts w:hint="eastAsia" w:ascii="Times New Roman"/>
                <w:snapToGrid w:val="0"/>
                <w:color w:val="auto"/>
                <w:kern w:val="21"/>
                <w:szCs w:val="21"/>
              </w:rPr>
              <w:t>废油桶</w:t>
            </w:r>
          </w:p>
        </w:tc>
        <w:tc>
          <w:tcPr>
            <w:tcW w:w="1420" w:type="dxa"/>
            <w:shd w:val="clear" w:color="auto" w:fill="auto"/>
            <w:vAlign w:val="center"/>
          </w:tcPr>
          <w:p w14:paraId="3BF6D1B5">
            <w:pPr>
              <w:pStyle w:val="48"/>
              <w:spacing w:beforeLines="0" w:afterLines="0" w:line="240" w:lineRule="auto"/>
              <w:rPr>
                <w:rFonts w:hint="default" w:ascii="Times New Roman" w:hAnsi="Times New Roman" w:eastAsia="宋体" w:cs="Times New Roman"/>
                <w:snapToGrid w:val="0"/>
                <w:color w:val="auto"/>
                <w:kern w:val="21"/>
                <w:sz w:val="21"/>
                <w:szCs w:val="21"/>
                <w:lang w:val="en-US" w:eastAsia="zh-CN" w:bidi="ar-SA"/>
              </w:rPr>
            </w:pPr>
          </w:p>
        </w:tc>
        <w:tc>
          <w:tcPr>
            <w:tcW w:w="1164" w:type="dxa"/>
            <w:shd w:val="clear" w:color="auto" w:fill="auto"/>
            <w:vAlign w:val="center"/>
          </w:tcPr>
          <w:p w14:paraId="1AAB5928">
            <w:pPr>
              <w:spacing w:line="280" w:lineRule="exact"/>
              <w:jc w:val="center"/>
              <w:rPr>
                <w:rFonts w:ascii="Times New Roman" w:hAnsi="Times New Roman" w:eastAsia="宋体" w:cs="Times New Roman"/>
                <w:color w:val="auto"/>
                <w:spacing w:val="-20"/>
                <w:kern w:val="2"/>
                <w:sz w:val="21"/>
                <w:szCs w:val="21"/>
                <w:lang w:val="en-US" w:eastAsia="zh-CN" w:bidi="ar-SA"/>
              </w:rPr>
            </w:pPr>
          </w:p>
        </w:tc>
        <w:tc>
          <w:tcPr>
            <w:tcW w:w="1382" w:type="dxa"/>
            <w:shd w:val="clear" w:color="auto" w:fill="auto"/>
            <w:vAlign w:val="center"/>
          </w:tcPr>
          <w:p w14:paraId="7A83AB55">
            <w:pPr>
              <w:spacing w:line="280" w:lineRule="exact"/>
              <w:jc w:val="center"/>
              <w:rPr>
                <w:rFonts w:ascii="Times New Roman" w:hAnsi="Times New Roman" w:eastAsia="宋体" w:cs="Times New Roman"/>
                <w:color w:val="auto"/>
                <w:spacing w:val="-20"/>
                <w:kern w:val="2"/>
                <w:sz w:val="21"/>
                <w:szCs w:val="21"/>
                <w:lang w:val="en-US" w:eastAsia="zh-CN" w:bidi="ar-SA"/>
              </w:rPr>
            </w:pPr>
          </w:p>
        </w:tc>
        <w:tc>
          <w:tcPr>
            <w:tcW w:w="1758" w:type="dxa"/>
            <w:shd w:val="clear" w:color="auto" w:fill="auto"/>
            <w:vAlign w:val="center"/>
          </w:tcPr>
          <w:p w14:paraId="3FF462FE">
            <w:pPr>
              <w:pStyle w:val="48"/>
              <w:spacing w:beforeLines="0" w:afterLines="0" w:line="240" w:lineRule="auto"/>
              <w:rPr>
                <w:rFonts w:hint="default" w:ascii="Times New Roman" w:hAnsi="Times New Roman" w:eastAsia="宋体" w:cs="Times New Roman"/>
                <w:snapToGrid w:val="0"/>
                <w:color w:val="auto"/>
                <w:kern w:val="21"/>
                <w:sz w:val="21"/>
                <w:szCs w:val="21"/>
                <w:highlight w:val="none"/>
                <w:lang w:val="en-US" w:eastAsia="zh-CN" w:bidi="ar-SA"/>
              </w:rPr>
            </w:pPr>
            <w:r>
              <w:rPr>
                <w:rFonts w:hint="eastAsia" w:ascii="Times New Roman" w:hAnsi="Times New Roman" w:cs="Times New Roman"/>
                <w:snapToGrid w:val="0"/>
                <w:color w:val="auto"/>
                <w:kern w:val="21"/>
                <w:szCs w:val="21"/>
                <w:highlight w:val="none"/>
                <w:lang w:val="en-US" w:eastAsia="zh-CN"/>
              </w:rPr>
              <w:t>0.0</w:t>
            </w:r>
            <w:r>
              <w:rPr>
                <w:rFonts w:hint="eastAsia" w:ascii="Times New Roman" w:cs="Times New Roman"/>
                <w:snapToGrid w:val="0"/>
                <w:color w:val="auto"/>
                <w:kern w:val="21"/>
                <w:szCs w:val="21"/>
                <w:highlight w:val="none"/>
                <w:lang w:val="en-US" w:eastAsia="zh-CN"/>
              </w:rPr>
              <w:t>76</w:t>
            </w:r>
            <w:r>
              <w:rPr>
                <w:rFonts w:hint="eastAsia" w:ascii="Times New Roman" w:hAnsi="Times New Roman" w:cs="Times New Roman"/>
                <w:snapToGrid w:val="0"/>
                <w:color w:val="auto"/>
                <w:kern w:val="21"/>
                <w:szCs w:val="21"/>
                <w:highlight w:val="none"/>
                <w:lang w:val="en-US" w:eastAsia="zh-CN"/>
              </w:rPr>
              <w:t>t/a</w:t>
            </w:r>
          </w:p>
        </w:tc>
        <w:tc>
          <w:tcPr>
            <w:tcW w:w="1382" w:type="dxa"/>
            <w:shd w:val="clear" w:color="auto" w:fill="auto"/>
            <w:vAlign w:val="center"/>
          </w:tcPr>
          <w:p w14:paraId="2570862E">
            <w:pPr>
              <w:pStyle w:val="48"/>
              <w:spacing w:beforeLines="0" w:afterLines="0" w:line="240" w:lineRule="auto"/>
              <w:rPr>
                <w:rFonts w:hint="default" w:ascii="Times New Roman" w:hAnsi="Times New Roman" w:eastAsia="宋体" w:cs="Times New Roman"/>
                <w:snapToGrid w:val="0"/>
                <w:color w:val="auto"/>
                <w:kern w:val="21"/>
                <w:sz w:val="21"/>
                <w:szCs w:val="21"/>
                <w:lang w:val="en-US" w:eastAsia="zh-CN" w:bidi="ar-SA"/>
              </w:rPr>
            </w:pPr>
          </w:p>
        </w:tc>
        <w:tc>
          <w:tcPr>
            <w:tcW w:w="1821" w:type="dxa"/>
            <w:shd w:val="clear" w:color="auto" w:fill="auto"/>
            <w:vAlign w:val="center"/>
          </w:tcPr>
          <w:p w14:paraId="464E465F">
            <w:pPr>
              <w:pStyle w:val="48"/>
              <w:spacing w:beforeLines="0" w:afterLines="0" w:line="240" w:lineRule="auto"/>
              <w:rPr>
                <w:rFonts w:hint="default" w:ascii="Times New Roman" w:hAnsi="Times New Roman" w:eastAsia="宋体" w:cs="Times New Roman"/>
                <w:snapToGrid w:val="0"/>
                <w:color w:val="auto"/>
                <w:kern w:val="21"/>
                <w:sz w:val="21"/>
                <w:szCs w:val="21"/>
                <w:highlight w:val="none"/>
                <w:lang w:val="en-US" w:eastAsia="zh-CN" w:bidi="ar-SA"/>
              </w:rPr>
            </w:pPr>
            <w:r>
              <w:rPr>
                <w:rFonts w:hint="eastAsia" w:ascii="Times New Roman" w:hAnsi="Times New Roman" w:cs="Times New Roman"/>
                <w:snapToGrid w:val="0"/>
                <w:color w:val="auto"/>
                <w:kern w:val="21"/>
                <w:szCs w:val="21"/>
                <w:highlight w:val="none"/>
                <w:lang w:val="en-US" w:eastAsia="zh-CN"/>
              </w:rPr>
              <w:t>0.0</w:t>
            </w:r>
            <w:r>
              <w:rPr>
                <w:rFonts w:hint="eastAsia" w:ascii="Times New Roman" w:cs="Times New Roman"/>
                <w:snapToGrid w:val="0"/>
                <w:color w:val="auto"/>
                <w:kern w:val="21"/>
                <w:szCs w:val="21"/>
                <w:highlight w:val="none"/>
                <w:lang w:val="en-US" w:eastAsia="zh-CN"/>
              </w:rPr>
              <w:t>76</w:t>
            </w:r>
            <w:r>
              <w:rPr>
                <w:rFonts w:hint="eastAsia" w:ascii="Times New Roman" w:hAnsi="Times New Roman" w:cs="Times New Roman"/>
                <w:snapToGrid w:val="0"/>
                <w:color w:val="auto"/>
                <w:kern w:val="21"/>
                <w:szCs w:val="21"/>
                <w:highlight w:val="none"/>
                <w:lang w:val="en-US" w:eastAsia="zh-CN"/>
              </w:rPr>
              <w:t>t/a</w:t>
            </w:r>
          </w:p>
        </w:tc>
        <w:tc>
          <w:tcPr>
            <w:tcW w:w="1372" w:type="dxa"/>
            <w:shd w:val="clear" w:color="auto" w:fill="auto"/>
            <w:vAlign w:val="center"/>
          </w:tcPr>
          <w:p w14:paraId="619D7AE7">
            <w:pPr>
              <w:pStyle w:val="48"/>
              <w:spacing w:beforeLines="0" w:afterLines="0" w:line="240" w:lineRule="auto"/>
              <w:rPr>
                <w:rFonts w:hint="default" w:ascii="Times New Roman" w:hAnsi="Times New Roman" w:eastAsia="宋体" w:cs="Times New Roman"/>
                <w:snapToGrid w:val="0"/>
                <w:color w:val="auto"/>
                <w:kern w:val="21"/>
                <w:sz w:val="21"/>
                <w:szCs w:val="21"/>
                <w:highlight w:val="none"/>
                <w:lang w:val="en-US" w:eastAsia="zh-CN" w:bidi="ar-SA"/>
              </w:rPr>
            </w:pPr>
            <w:r>
              <w:rPr>
                <w:rFonts w:hint="eastAsia" w:ascii="Times New Roman" w:hAnsi="Times New Roman" w:cs="Times New Roman"/>
                <w:snapToGrid w:val="0"/>
                <w:color w:val="auto"/>
                <w:kern w:val="21"/>
                <w:szCs w:val="21"/>
                <w:highlight w:val="none"/>
                <w:lang w:val="en-US" w:eastAsia="zh-CN"/>
              </w:rPr>
              <w:t>+0.0</w:t>
            </w:r>
            <w:r>
              <w:rPr>
                <w:rFonts w:hint="eastAsia" w:ascii="Times New Roman" w:cs="Times New Roman"/>
                <w:snapToGrid w:val="0"/>
                <w:color w:val="auto"/>
                <w:kern w:val="21"/>
                <w:szCs w:val="21"/>
                <w:highlight w:val="none"/>
                <w:lang w:val="en-US" w:eastAsia="zh-CN"/>
              </w:rPr>
              <w:t>76</w:t>
            </w:r>
            <w:r>
              <w:rPr>
                <w:rFonts w:hint="eastAsia" w:ascii="Times New Roman" w:hAnsi="Times New Roman" w:cs="Times New Roman"/>
                <w:snapToGrid w:val="0"/>
                <w:color w:val="auto"/>
                <w:kern w:val="21"/>
                <w:szCs w:val="21"/>
                <w:highlight w:val="none"/>
                <w:lang w:val="en-US" w:eastAsia="zh-CN"/>
              </w:rPr>
              <w:t>t/a</w:t>
            </w:r>
          </w:p>
        </w:tc>
      </w:tr>
    </w:tbl>
    <w:p w14:paraId="0586F309">
      <w:pPr>
        <w:pStyle w:val="48"/>
        <w:spacing w:before="192" w:beforeLines="80" w:after="24"/>
        <w:jc w:val="left"/>
        <w:rPr>
          <w:rFonts w:hAnsi="宋体"/>
          <w:snapToGrid w:val="0"/>
          <w:color w:val="auto"/>
          <w:spacing w:val="-6"/>
          <w:kern w:val="21"/>
          <w:szCs w:val="21"/>
        </w:rPr>
      </w:pPr>
      <w:r>
        <w:rPr>
          <w:rFonts w:hAnsi="宋体"/>
          <w:snapToGrid w:val="0"/>
          <w:color w:val="auto"/>
          <w:kern w:val="21"/>
          <w:szCs w:val="21"/>
        </w:rPr>
        <w:t>注：</w:t>
      </w:r>
      <w:r>
        <w:rPr>
          <w:rFonts w:hAnsi="宋体"/>
          <w:snapToGrid w:val="0"/>
          <w:color w:val="auto"/>
          <w:spacing w:val="-16"/>
          <w:kern w:val="21"/>
          <w:szCs w:val="21"/>
        </w:rPr>
        <w:fldChar w:fldCharType="begin"/>
      </w:r>
      <w:r>
        <w:rPr>
          <w:rFonts w:hAnsi="宋体"/>
          <w:snapToGrid w:val="0"/>
          <w:color w:val="auto"/>
          <w:spacing w:val="-16"/>
          <w:kern w:val="21"/>
          <w:szCs w:val="21"/>
        </w:rPr>
        <w:instrText xml:space="preserve"> = 6 \* GB3 \* MERGEFORMAT </w:instrText>
      </w:r>
      <w:r>
        <w:rPr>
          <w:rFonts w:hAnsi="宋体"/>
          <w:snapToGrid w:val="0"/>
          <w:color w:val="auto"/>
          <w:spacing w:val="-16"/>
          <w:kern w:val="21"/>
          <w:szCs w:val="21"/>
        </w:rPr>
        <w:fldChar w:fldCharType="separate"/>
      </w:r>
      <w:r>
        <w:rPr>
          <w:rFonts w:hint="eastAsia" w:hAnsi="宋体"/>
          <w:color w:val="auto"/>
          <w:szCs w:val="21"/>
        </w:rPr>
        <w:t>⑥</w:t>
      </w:r>
      <w:r>
        <w:rPr>
          <w:rFonts w:hAnsi="宋体"/>
          <w:snapToGrid w:val="0"/>
          <w:color w:val="auto"/>
          <w:spacing w:val="-16"/>
          <w:kern w:val="21"/>
          <w:szCs w:val="21"/>
        </w:rPr>
        <w:fldChar w:fldCharType="end"/>
      </w:r>
      <w:r>
        <w:rPr>
          <w:rFonts w:hAnsi="宋体"/>
          <w:snapToGrid w:val="0"/>
          <w:color w:val="auto"/>
          <w:spacing w:val="-16"/>
          <w:kern w:val="21"/>
          <w:szCs w:val="21"/>
        </w:rPr>
        <w:t>=</w:t>
      </w:r>
      <w:r>
        <w:rPr>
          <w:rFonts w:hAnsi="宋体"/>
          <w:snapToGrid w:val="0"/>
          <w:color w:val="auto"/>
          <w:spacing w:val="-6"/>
          <w:kern w:val="21"/>
          <w:szCs w:val="21"/>
        </w:rPr>
        <w:fldChar w:fldCharType="begin"/>
      </w:r>
      <w:r>
        <w:rPr>
          <w:rFonts w:hAnsi="宋体"/>
          <w:snapToGrid w:val="0"/>
          <w:color w:val="auto"/>
          <w:spacing w:val="-6"/>
          <w:kern w:val="21"/>
          <w:szCs w:val="21"/>
        </w:rPr>
        <w:instrText xml:space="preserve"> = 1 \* GB3 \* MERGEFORMAT </w:instrText>
      </w:r>
      <w:r>
        <w:rPr>
          <w:rFonts w:hAnsi="宋体"/>
          <w:snapToGrid w:val="0"/>
          <w:color w:val="auto"/>
          <w:spacing w:val="-6"/>
          <w:kern w:val="21"/>
          <w:szCs w:val="21"/>
        </w:rPr>
        <w:fldChar w:fldCharType="separate"/>
      </w:r>
      <w:r>
        <w:rPr>
          <w:rFonts w:hint="eastAsia" w:hAnsi="宋体"/>
          <w:color w:val="auto"/>
          <w:szCs w:val="21"/>
        </w:rPr>
        <w:t>①</w:t>
      </w:r>
      <w:r>
        <w:rPr>
          <w:rFonts w:hAnsi="宋体"/>
          <w:snapToGrid w:val="0"/>
          <w:color w:val="auto"/>
          <w:spacing w:val="-6"/>
          <w:kern w:val="21"/>
          <w:szCs w:val="21"/>
        </w:rPr>
        <w:fldChar w:fldCharType="end"/>
      </w:r>
      <w:r>
        <w:rPr>
          <w:rFonts w:hAnsi="宋体"/>
          <w:snapToGrid w:val="0"/>
          <w:color w:val="auto"/>
          <w:spacing w:val="-6"/>
          <w:kern w:val="21"/>
          <w:szCs w:val="21"/>
        </w:rPr>
        <w:t>+</w:t>
      </w:r>
      <w:r>
        <w:rPr>
          <w:rFonts w:hAnsi="宋体"/>
          <w:snapToGrid w:val="0"/>
          <w:color w:val="auto"/>
          <w:spacing w:val="-6"/>
          <w:kern w:val="21"/>
          <w:szCs w:val="21"/>
        </w:rPr>
        <w:fldChar w:fldCharType="begin"/>
      </w:r>
      <w:r>
        <w:rPr>
          <w:rFonts w:hAnsi="宋体"/>
          <w:snapToGrid w:val="0"/>
          <w:color w:val="auto"/>
          <w:spacing w:val="-6"/>
          <w:kern w:val="21"/>
          <w:szCs w:val="21"/>
        </w:rPr>
        <w:instrText xml:space="preserve"> = 3 \* GB3 \* MERGEFORMAT </w:instrText>
      </w:r>
      <w:r>
        <w:rPr>
          <w:rFonts w:hAnsi="宋体"/>
          <w:snapToGrid w:val="0"/>
          <w:color w:val="auto"/>
          <w:spacing w:val="-6"/>
          <w:kern w:val="21"/>
          <w:szCs w:val="21"/>
        </w:rPr>
        <w:fldChar w:fldCharType="separate"/>
      </w:r>
      <w:r>
        <w:rPr>
          <w:rFonts w:hint="eastAsia" w:hAnsi="宋体"/>
          <w:color w:val="auto"/>
          <w:szCs w:val="21"/>
        </w:rPr>
        <w:t>③</w:t>
      </w:r>
      <w:r>
        <w:rPr>
          <w:rFonts w:hAnsi="宋体"/>
          <w:snapToGrid w:val="0"/>
          <w:color w:val="auto"/>
          <w:spacing w:val="-6"/>
          <w:kern w:val="21"/>
          <w:szCs w:val="21"/>
        </w:rPr>
        <w:fldChar w:fldCharType="end"/>
      </w:r>
      <w:r>
        <w:rPr>
          <w:rFonts w:hAnsi="宋体"/>
          <w:snapToGrid w:val="0"/>
          <w:color w:val="auto"/>
          <w:spacing w:val="-6"/>
          <w:kern w:val="21"/>
          <w:szCs w:val="21"/>
        </w:rPr>
        <w:t>+</w:t>
      </w:r>
      <w:r>
        <w:rPr>
          <w:rFonts w:hAnsi="宋体"/>
          <w:snapToGrid w:val="0"/>
          <w:color w:val="auto"/>
          <w:spacing w:val="-6"/>
          <w:kern w:val="21"/>
          <w:szCs w:val="21"/>
        </w:rPr>
        <w:fldChar w:fldCharType="begin"/>
      </w:r>
      <w:r>
        <w:rPr>
          <w:rFonts w:hAnsi="宋体"/>
          <w:snapToGrid w:val="0"/>
          <w:color w:val="auto"/>
          <w:spacing w:val="-6"/>
          <w:kern w:val="21"/>
          <w:szCs w:val="21"/>
        </w:rPr>
        <w:instrText xml:space="preserve"> = 4 \* GB3 \* MERGEFORMAT </w:instrText>
      </w:r>
      <w:r>
        <w:rPr>
          <w:rFonts w:hAnsi="宋体"/>
          <w:snapToGrid w:val="0"/>
          <w:color w:val="auto"/>
          <w:spacing w:val="-6"/>
          <w:kern w:val="21"/>
          <w:szCs w:val="21"/>
        </w:rPr>
        <w:fldChar w:fldCharType="separate"/>
      </w:r>
      <w:r>
        <w:rPr>
          <w:rFonts w:hint="eastAsia" w:hAnsi="宋体"/>
          <w:color w:val="auto"/>
          <w:szCs w:val="21"/>
        </w:rPr>
        <w:t>④</w:t>
      </w:r>
      <w:r>
        <w:rPr>
          <w:rFonts w:hAnsi="宋体"/>
          <w:snapToGrid w:val="0"/>
          <w:color w:val="auto"/>
          <w:spacing w:val="-6"/>
          <w:kern w:val="21"/>
          <w:szCs w:val="21"/>
        </w:rPr>
        <w:fldChar w:fldCharType="end"/>
      </w:r>
      <w:r>
        <w:rPr>
          <w:rFonts w:hAnsi="宋体"/>
          <w:snapToGrid w:val="0"/>
          <w:color w:val="auto"/>
          <w:spacing w:val="-6"/>
          <w:kern w:val="21"/>
          <w:szCs w:val="21"/>
        </w:rPr>
        <w:t>-</w:t>
      </w:r>
      <w:r>
        <w:rPr>
          <w:rFonts w:hAnsi="宋体"/>
          <w:snapToGrid w:val="0"/>
          <w:color w:val="auto"/>
          <w:spacing w:val="-16"/>
          <w:kern w:val="21"/>
          <w:szCs w:val="21"/>
        </w:rPr>
        <w:fldChar w:fldCharType="begin"/>
      </w:r>
      <w:r>
        <w:rPr>
          <w:rFonts w:hAnsi="宋体"/>
          <w:snapToGrid w:val="0"/>
          <w:color w:val="auto"/>
          <w:spacing w:val="-16"/>
          <w:kern w:val="21"/>
          <w:szCs w:val="21"/>
        </w:rPr>
        <w:instrText xml:space="preserve"> = 5 \* GB3 \* MERGEFORMAT </w:instrText>
      </w:r>
      <w:r>
        <w:rPr>
          <w:rFonts w:hAnsi="宋体"/>
          <w:snapToGrid w:val="0"/>
          <w:color w:val="auto"/>
          <w:spacing w:val="-16"/>
          <w:kern w:val="21"/>
          <w:szCs w:val="21"/>
        </w:rPr>
        <w:fldChar w:fldCharType="separate"/>
      </w:r>
      <w:r>
        <w:rPr>
          <w:rFonts w:hint="eastAsia" w:hAnsi="宋体"/>
          <w:color w:val="auto"/>
          <w:szCs w:val="21"/>
        </w:rPr>
        <w:t>⑤</w:t>
      </w:r>
      <w:r>
        <w:rPr>
          <w:rFonts w:hAnsi="宋体"/>
          <w:snapToGrid w:val="0"/>
          <w:color w:val="auto"/>
          <w:spacing w:val="-16"/>
          <w:kern w:val="21"/>
          <w:szCs w:val="21"/>
        </w:rPr>
        <w:fldChar w:fldCharType="end"/>
      </w:r>
      <w:r>
        <w:rPr>
          <w:rFonts w:hAnsi="宋体"/>
          <w:snapToGrid w:val="0"/>
          <w:color w:val="auto"/>
          <w:spacing w:val="-16"/>
          <w:kern w:val="21"/>
          <w:szCs w:val="21"/>
        </w:rPr>
        <w:t>；</w:t>
      </w:r>
      <w:r>
        <w:rPr>
          <w:rFonts w:hAnsi="宋体"/>
          <w:snapToGrid w:val="0"/>
          <w:color w:val="auto"/>
          <w:spacing w:val="-6"/>
          <w:kern w:val="21"/>
          <w:szCs w:val="21"/>
        </w:rPr>
        <w:fldChar w:fldCharType="begin"/>
      </w:r>
      <w:r>
        <w:rPr>
          <w:rFonts w:hAnsi="宋体"/>
          <w:snapToGrid w:val="0"/>
          <w:color w:val="auto"/>
          <w:spacing w:val="-6"/>
          <w:kern w:val="21"/>
          <w:szCs w:val="21"/>
        </w:rPr>
        <w:instrText xml:space="preserve"> = 7 \* GB3 \* MERGEFORMAT </w:instrText>
      </w:r>
      <w:r>
        <w:rPr>
          <w:rFonts w:hAnsi="宋体"/>
          <w:snapToGrid w:val="0"/>
          <w:color w:val="auto"/>
          <w:spacing w:val="-6"/>
          <w:kern w:val="21"/>
          <w:szCs w:val="21"/>
        </w:rPr>
        <w:fldChar w:fldCharType="separate"/>
      </w:r>
      <w:r>
        <w:rPr>
          <w:rFonts w:hint="eastAsia" w:hAnsi="宋体"/>
          <w:color w:val="auto"/>
          <w:szCs w:val="21"/>
        </w:rPr>
        <w:t>⑦</w:t>
      </w:r>
      <w:r>
        <w:rPr>
          <w:rFonts w:hAnsi="宋体"/>
          <w:snapToGrid w:val="0"/>
          <w:color w:val="auto"/>
          <w:spacing w:val="-6"/>
          <w:kern w:val="21"/>
          <w:szCs w:val="21"/>
        </w:rPr>
        <w:fldChar w:fldCharType="end"/>
      </w:r>
      <w:r>
        <w:rPr>
          <w:rFonts w:hAnsi="宋体"/>
          <w:snapToGrid w:val="0"/>
          <w:color w:val="auto"/>
          <w:spacing w:val="-6"/>
          <w:kern w:val="21"/>
          <w:szCs w:val="21"/>
        </w:rPr>
        <w:t>=</w:t>
      </w:r>
      <w:r>
        <w:rPr>
          <w:rFonts w:hAnsi="宋体"/>
          <w:snapToGrid w:val="0"/>
          <w:color w:val="auto"/>
          <w:spacing w:val="-16"/>
          <w:kern w:val="21"/>
          <w:szCs w:val="21"/>
        </w:rPr>
        <w:fldChar w:fldCharType="begin"/>
      </w:r>
      <w:r>
        <w:rPr>
          <w:rFonts w:hAnsi="宋体"/>
          <w:snapToGrid w:val="0"/>
          <w:color w:val="auto"/>
          <w:spacing w:val="-16"/>
          <w:kern w:val="21"/>
          <w:szCs w:val="21"/>
        </w:rPr>
        <w:instrText xml:space="preserve"> = 6 \* GB3 \* MERGEFORMAT </w:instrText>
      </w:r>
      <w:r>
        <w:rPr>
          <w:rFonts w:hAnsi="宋体"/>
          <w:snapToGrid w:val="0"/>
          <w:color w:val="auto"/>
          <w:spacing w:val="-16"/>
          <w:kern w:val="21"/>
          <w:szCs w:val="21"/>
        </w:rPr>
        <w:fldChar w:fldCharType="separate"/>
      </w:r>
      <w:r>
        <w:rPr>
          <w:rFonts w:hint="eastAsia" w:hAnsi="宋体"/>
          <w:color w:val="auto"/>
          <w:szCs w:val="21"/>
        </w:rPr>
        <w:t>⑥</w:t>
      </w:r>
      <w:r>
        <w:rPr>
          <w:rFonts w:hAnsi="宋体"/>
          <w:snapToGrid w:val="0"/>
          <w:color w:val="auto"/>
          <w:spacing w:val="-16"/>
          <w:kern w:val="21"/>
          <w:szCs w:val="21"/>
        </w:rPr>
        <w:fldChar w:fldCharType="end"/>
      </w:r>
      <w:r>
        <w:rPr>
          <w:rFonts w:hAnsi="宋体"/>
          <w:snapToGrid w:val="0"/>
          <w:color w:val="auto"/>
          <w:spacing w:val="-16"/>
          <w:kern w:val="21"/>
          <w:szCs w:val="21"/>
        </w:rPr>
        <w:t>-</w:t>
      </w:r>
      <w:r>
        <w:rPr>
          <w:rFonts w:hAnsi="宋体"/>
          <w:snapToGrid w:val="0"/>
          <w:color w:val="auto"/>
          <w:spacing w:val="-6"/>
          <w:kern w:val="21"/>
          <w:szCs w:val="21"/>
        </w:rPr>
        <w:fldChar w:fldCharType="begin"/>
      </w:r>
      <w:r>
        <w:rPr>
          <w:rFonts w:hAnsi="宋体"/>
          <w:snapToGrid w:val="0"/>
          <w:color w:val="auto"/>
          <w:spacing w:val="-6"/>
          <w:kern w:val="21"/>
          <w:szCs w:val="21"/>
        </w:rPr>
        <w:instrText xml:space="preserve"> = 1 \* GB3 \* MERGEFORMAT </w:instrText>
      </w:r>
      <w:r>
        <w:rPr>
          <w:rFonts w:hAnsi="宋体"/>
          <w:snapToGrid w:val="0"/>
          <w:color w:val="auto"/>
          <w:spacing w:val="-6"/>
          <w:kern w:val="21"/>
          <w:szCs w:val="21"/>
        </w:rPr>
        <w:fldChar w:fldCharType="separate"/>
      </w:r>
      <w:r>
        <w:rPr>
          <w:rFonts w:hint="eastAsia" w:hAnsi="宋体"/>
          <w:color w:val="auto"/>
          <w:szCs w:val="21"/>
        </w:rPr>
        <w:t>①</w:t>
      </w:r>
      <w:r>
        <w:rPr>
          <w:rFonts w:hAnsi="宋体"/>
          <w:snapToGrid w:val="0"/>
          <w:color w:val="auto"/>
          <w:spacing w:val="-6"/>
          <w:kern w:val="21"/>
          <w:szCs w:val="21"/>
        </w:rPr>
        <w:fldChar w:fldCharType="end"/>
      </w:r>
    </w:p>
    <w:p w14:paraId="32FC2641">
      <w:pPr>
        <w:pStyle w:val="35"/>
        <w:rPr>
          <w:color w:val="auto"/>
        </w:rPr>
      </w:pPr>
    </w:p>
    <w:sectPr>
      <w:footerReference r:id="rId6" w:type="default"/>
      <w:pgSz w:w="16838" w:h="11905" w:orient="landscape"/>
      <w:pgMar w:top="1531" w:right="1701" w:bottom="1531" w:left="1701" w:header="851" w:footer="1077" w:gutter="0"/>
      <w:pgBorders>
        <w:top w:val="none" w:sz="0" w:space="0"/>
        <w:left w:val="none" w:sz="0" w:space="0"/>
        <w:bottom w:val="none" w:sz="0" w:space="0"/>
        <w:right w:val="none" w:sz="0" w:space="0"/>
      </w:pgBorders>
      <w:cols w:space="0" w:num="1"/>
      <w:rtlGutter w:val="0"/>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swiss"/>
    <w:pitch w:val="default"/>
    <w:sig w:usb0="E0002EFF" w:usb1="C000785B" w:usb2="00000009" w:usb3="00000000" w:csb0="400001FF" w:csb1="FFFF0000"/>
  </w:font>
  <w:font w:name="宋体">
    <w:panose1 w:val="02010600030101010101"/>
    <w:charset w:val="81"/>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altName w:val="黑体"/>
    <w:panose1 w:val="00000000000000000000"/>
    <w:charset w:val="86"/>
    <w:family w:val="script"/>
    <w:pitch w:val="default"/>
    <w:sig w:usb0="00000000" w:usb1="00000000" w:usb2="00000000" w:usb3="00000000" w:csb0="00040000" w:csb1="00000000"/>
  </w:font>
  <w:font w:name="Verdana">
    <w:panose1 w:val="020B0604030504040204"/>
    <w:charset w:val="00"/>
    <w:family w:val="swiss"/>
    <w:pitch w:val="default"/>
    <w:sig w:usb0="A00006FF" w:usb1="4000205B" w:usb2="00000010" w:usb3="00000000" w:csb0="2000019F" w:csb1="00000000"/>
  </w:font>
  <w:font w:name="方正小标宋_GBK">
    <w:altName w:val="微软雅黑"/>
    <w:panose1 w:val="00000000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楷体_GB2312">
    <w:altName w:val="楷体"/>
    <w:panose1 w:val="00000000000000000000"/>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华文仿宋">
    <w:altName w:val="仿宋"/>
    <w:panose1 w:val="00000000000000000000"/>
    <w:charset w:val="86"/>
    <w:family w:val="auto"/>
    <w:pitch w:val="default"/>
    <w:sig w:usb0="00000000" w:usb1="00000000" w:usb2="00000000" w:usb3="00000000" w:csb0="0004009F" w:csb1="DFD70000"/>
  </w:font>
  <w:font w:name="MS PGothic">
    <w:panose1 w:val="020B0600070205080204"/>
    <w:charset w:val="80"/>
    <w:family w:val="auto"/>
    <w:pitch w:val="default"/>
    <w:sig w:usb0="E00002FF" w:usb1="6AC7FDFB" w:usb2="08000012" w:usb3="00000000" w:csb0="4002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6A9A28F">
    <w:pPr>
      <w:pStyle w:val="19"/>
      <w:ind w:right="360" w:firstLine="360"/>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DE080D1">
    <w:pPr>
      <w:pStyle w:val="19"/>
      <w:framePr w:wrap="around" w:vAnchor="text" w:hAnchor="margin" w:xAlign="center" w:y="1"/>
      <w:rPr>
        <w:rStyle w:val="32"/>
      </w:rPr>
    </w:pPr>
    <w:r>
      <w:fldChar w:fldCharType="begin"/>
    </w:r>
    <w:r>
      <w:rPr>
        <w:rStyle w:val="32"/>
      </w:rPr>
      <w:instrText xml:space="preserve">PAGE  </w:instrText>
    </w:r>
    <w:r>
      <w:fldChar w:fldCharType="end"/>
    </w:r>
  </w:p>
  <w:p w14:paraId="16E555D9">
    <w:pPr>
      <w:pStyle w:val="19"/>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24D0777">
    <w:pPr>
      <w:pStyle w:val="19"/>
      <w:framePr w:wrap="around" w:vAnchor="text" w:hAnchor="margin" w:xAlign="outside" w:y="1"/>
      <w:rPr>
        <w:rStyle w:val="32"/>
        <w:rFonts w:ascii="宋体" w:hAnsi="宋体"/>
        <w:sz w:val="28"/>
        <w:szCs w:val="28"/>
      </w:rPr>
    </w:pPr>
    <w:r>
      <w:rPr>
        <w:rStyle w:val="32"/>
        <w:rFonts w:hint="eastAsia" w:ascii="宋体" w:hAnsi="宋体"/>
        <w:sz w:val="28"/>
        <w:szCs w:val="28"/>
      </w:rPr>
      <w:t>—</w:t>
    </w:r>
    <w:r>
      <w:rPr>
        <w:rStyle w:val="32"/>
        <w:rFonts w:hint="eastAsia" w:ascii="宋体" w:hAnsi="宋体"/>
        <w:sz w:val="20"/>
      </w:rPr>
      <w:t xml:space="preserve">  </w:t>
    </w:r>
    <w:r>
      <w:rPr>
        <w:rStyle w:val="32"/>
        <w:rFonts w:ascii="宋体" w:hAnsi="宋体"/>
        <w:sz w:val="26"/>
        <w:szCs w:val="26"/>
      </w:rPr>
      <w:fldChar w:fldCharType="begin"/>
    </w:r>
    <w:r>
      <w:rPr>
        <w:rStyle w:val="32"/>
        <w:rFonts w:ascii="宋体" w:hAnsi="宋体"/>
        <w:sz w:val="26"/>
        <w:szCs w:val="26"/>
      </w:rPr>
      <w:instrText xml:space="preserve">PAGE  </w:instrText>
    </w:r>
    <w:r>
      <w:rPr>
        <w:rStyle w:val="32"/>
        <w:rFonts w:ascii="宋体" w:hAnsi="宋体"/>
        <w:sz w:val="26"/>
        <w:szCs w:val="26"/>
      </w:rPr>
      <w:fldChar w:fldCharType="separate"/>
    </w:r>
    <w:r>
      <w:rPr>
        <w:rStyle w:val="32"/>
        <w:rFonts w:ascii="宋体" w:hAnsi="宋体"/>
        <w:sz w:val="26"/>
        <w:szCs w:val="26"/>
      </w:rPr>
      <w:t>19</w:t>
    </w:r>
    <w:r>
      <w:rPr>
        <w:rStyle w:val="32"/>
        <w:rFonts w:ascii="宋体" w:hAnsi="宋体"/>
        <w:sz w:val="26"/>
        <w:szCs w:val="26"/>
      </w:rPr>
      <w:fldChar w:fldCharType="end"/>
    </w:r>
    <w:r>
      <w:rPr>
        <w:rStyle w:val="32"/>
        <w:rFonts w:hint="eastAsia" w:ascii="宋体" w:hAnsi="宋体"/>
        <w:sz w:val="20"/>
      </w:rPr>
      <w:t xml:space="preserve">  </w:t>
    </w:r>
    <w:r>
      <w:rPr>
        <w:rStyle w:val="32"/>
        <w:rFonts w:hint="eastAsia" w:ascii="宋体" w:hAnsi="宋体"/>
        <w:sz w:val="28"/>
        <w:szCs w:val="28"/>
      </w:rPr>
      <w:t>—</w:t>
    </w:r>
  </w:p>
  <w:p w14:paraId="1E6C9F28">
    <w:pPr>
      <w:pStyle w:val="19"/>
      <w:ind w:right="360" w:firstLine="360"/>
      <w:jc w:val="cen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65424DA">
    <w:pPr>
      <w:pStyle w:val="19"/>
      <w:framePr w:wrap="around" w:vAnchor="text" w:hAnchor="margin" w:xAlign="outside" w:y="1"/>
      <w:rPr>
        <w:rStyle w:val="32"/>
        <w:rFonts w:ascii="宋体" w:hAnsi="宋体"/>
        <w:sz w:val="28"/>
        <w:szCs w:val="28"/>
      </w:rPr>
    </w:pPr>
    <w:r>
      <w:rPr>
        <w:rStyle w:val="32"/>
        <w:rFonts w:hint="eastAsia" w:ascii="宋体" w:hAnsi="宋体"/>
        <w:sz w:val="28"/>
        <w:szCs w:val="28"/>
      </w:rPr>
      <w:t>—</w:t>
    </w:r>
    <w:r>
      <w:rPr>
        <w:rStyle w:val="32"/>
        <w:rFonts w:hint="eastAsia" w:ascii="宋体" w:hAnsi="宋体"/>
        <w:sz w:val="20"/>
      </w:rPr>
      <w:t xml:space="preserve">  </w:t>
    </w:r>
    <w:r>
      <w:rPr>
        <w:rStyle w:val="32"/>
        <w:rFonts w:ascii="宋体" w:hAnsi="宋体"/>
        <w:sz w:val="26"/>
        <w:szCs w:val="26"/>
      </w:rPr>
      <w:fldChar w:fldCharType="begin"/>
    </w:r>
    <w:r>
      <w:rPr>
        <w:rStyle w:val="32"/>
        <w:rFonts w:ascii="宋体" w:hAnsi="宋体"/>
        <w:sz w:val="26"/>
        <w:szCs w:val="26"/>
      </w:rPr>
      <w:instrText xml:space="preserve">PAGE  </w:instrText>
    </w:r>
    <w:r>
      <w:rPr>
        <w:rStyle w:val="32"/>
        <w:rFonts w:ascii="宋体" w:hAnsi="宋体"/>
        <w:sz w:val="26"/>
        <w:szCs w:val="26"/>
      </w:rPr>
      <w:fldChar w:fldCharType="separate"/>
    </w:r>
    <w:r>
      <w:rPr>
        <w:rStyle w:val="32"/>
        <w:rFonts w:ascii="宋体" w:hAnsi="宋体"/>
        <w:sz w:val="26"/>
        <w:szCs w:val="26"/>
      </w:rPr>
      <w:t>53</w:t>
    </w:r>
    <w:r>
      <w:rPr>
        <w:rStyle w:val="32"/>
        <w:rFonts w:ascii="宋体" w:hAnsi="宋体"/>
        <w:sz w:val="26"/>
        <w:szCs w:val="26"/>
      </w:rPr>
      <w:fldChar w:fldCharType="end"/>
    </w:r>
    <w:r>
      <w:rPr>
        <w:rStyle w:val="32"/>
        <w:rFonts w:hint="eastAsia" w:ascii="宋体" w:hAnsi="宋体"/>
        <w:sz w:val="20"/>
      </w:rPr>
      <w:t xml:space="preserve">  </w:t>
    </w:r>
    <w:r>
      <w:rPr>
        <w:rStyle w:val="32"/>
        <w:rFonts w:hint="eastAsia" w:ascii="宋体" w:hAnsi="宋体"/>
        <w:sz w:val="28"/>
        <w:szCs w:val="28"/>
      </w:rPr>
      <w:t>—</w:t>
    </w:r>
  </w:p>
  <w:p w14:paraId="5E7C56FD">
    <w:pPr>
      <w:pStyle w:val="19"/>
      <w:ind w:right="360" w:firstLine="360"/>
      <w:jc w:val="cente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1C51753"/>
    <w:multiLevelType w:val="singleLevel"/>
    <w:tmpl w:val="81C51753"/>
    <w:lvl w:ilvl="0" w:tentative="0">
      <w:start w:val="8"/>
      <w:numFmt w:val="decimal"/>
      <w:suff w:val="nothing"/>
      <w:lvlText w:val="%1、"/>
      <w:lvlJc w:val="left"/>
    </w:lvl>
  </w:abstractNum>
  <w:abstractNum w:abstractNumId="1">
    <w:nsid w:val="D5D5DBB3"/>
    <w:multiLevelType w:val="singleLevel"/>
    <w:tmpl w:val="D5D5DBB3"/>
    <w:lvl w:ilvl="0" w:tentative="0">
      <w:start w:val="1"/>
      <w:numFmt w:val="decimal"/>
      <w:suff w:val="nothing"/>
      <w:lvlText w:val="%1、"/>
      <w:lvlJc w:val="left"/>
    </w:lvl>
  </w:abstractNum>
  <w:abstractNum w:abstractNumId="2">
    <w:nsid w:val="E62C5EF0"/>
    <w:multiLevelType w:val="singleLevel"/>
    <w:tmpl w:val="E62C5EF0"/>
    <w:lvl w:ilvl="0" w:tentative="0">
      <w:start w:val="1"/>
      <w:numFmt w:val="decimal"/>
      <w:suff w:val="nothing"/>
      <w:lvlText w:val="%1、"/>
      <w:lvlJc w:val="left"/>
    </w:lvl>
  </w:abstractNum>
  <w:abstractNum w:abstractNumId="3">
    <w:nsid w:val="E854140D"/>
    <w:multiLevelType w:val="singleLevel"/>
    <w:tmpl w:val="E854140D"/>
    <w:lvl w:ilvl="0" w:tentative="0">
      <w:start w:val="1"/>
      <w:numFmt w:val="decimal"/>
      <w:suff w:val="nothing"/>
      <w:lvlText w:val="（%1）"/>
      <w:lvlJc w:val="left"/>
    </w:lvl>
  </w:abstractNum>
  <w:abstractNum w:abstractNumId="4">
    <w:nsid w:val="1A5699CA"/>
    <w:multiLevelType w:val="singleLevel"/>
    <w:tmpl w:val="1A5699CA"/>
    <w:lvl w:ilvl="0" w:tentative="0">
      <w:start w:val="1"/>
      <w:numFmt w:val="decimal"/>
      <w:suff w:val="nothing"/>
      <w:lvlText w:val="%1、"/>
      <w:lvlJc w:val="left"/>
    </w:lvl>
  </w:abstractNum>
  <w:abstractNum w:abstractNumId="5">
    <w:nsid w:val="200F2DBC"/>
    <w:multiLevelType w:val="singleLevel"/>
    <w:tmpl w:val="200F2DBC"/>
    <w:lvl w:ilvl="0" w:tentative="0">
      <w:start w:val="11"/>
      <w:numFmt w:val="decimal"/>
      <w:suff w:val="nothing"/>
      <w:lvlText w:val="%1、"/>
      <w:lvlJc w:val="left"/>
    </w:lvl>
  </w:abstractNum>
  <w:abstractNum w:abstractNumId="6">
    <w:nsid w:val="2C75CDFC"/>
    <w:multiLevelType w:val="singleLevel"/>
    <w:tmpl w:val="2C75CDFC"/>
    <w:lvl w:ilvl="0" w:tentative="0">
      <w:start w:val="1"/>
      <w:numFmt w:val="decimal"/>
      <w:suff w:val="nothing"/>
      <w:lvlText w:val="%1、"/>
      <w:lvlJc w:val="left"/>
    </w:lvl>
  </w:abstractNum>
  <w:abstractNum w:abstractNumId="7">
    <w:nsid w:val="2E5B7991"/>
    <w:multiLevelType w:val="singleLevel"/>
    <w:tmpl w:val="2E5B7991"/>
    <w:lvl w:ilvl="0" w:tentative="0">
      <w:start w:val="1"/>
      <w:numFmt w:val="bullet"/>
      <w:pStyle w:val="10"/>
      <w:lvlText w:val=""/>
      <w:lvlJc w:val="left"/>
      <w:pPr>
        <w:tabs>
          <w:tab w:val="left" w:pos="2040"/>
        </w:tabs>
        <w:ind w:left="2040" w:hanging="360"/>
      </w:pPr>
      <w:rPr>
        <w:rFonts w:hint="default" w:ascii="Wingdings" w:hAnsi="Wingdings"/>
      </w:rPr>
    </w:lvl>
  </w:abstractNum>
  <w:abstractNum w:abstractNumId="8">
    <w:nsid w:val="33BDAF12"/>
    <w:multiLevelType w:val="singleLevel"/>
    <w:tmpl w:val="33BDAF12"/>
    <w:lvl w:ilvl="0" w:tentative="0">
      <w:start w:val="4"/>
      <w:numFmt w:val="decimal"/>
      <w:suff w:val="nothing"/>
      <w:lvlText w:val="%1、"/>
      <w:lvlJc w:val="left"/>
    </w:lvl>
  </w:abstractNum>
  <w:abstractNum w:abstractNumId="9">
    <w:nsid w:val="6E57D2AB"/>
    <w:multiLevelType w:val="singleLevel"/>
    <w:tmpl w:val="6E57D2AB"/>
    <w:lvl w:ilvl="0" w:tentative="0">
      <w:start w:val="1"/>
      <w:numFmt w:val="decimal"/>
      <w:suff w:val="nothing"/>
      <w:lvlText w:val="%1、"/>
      <w:lvlJc w:val="left"/>
    </w:lvl>
  </w:abstractNum>
  <w:abstractNum w:abstractNumId="10">
    <w:nsid w:val="7365EAE8"/>
    <w:multiLevelType w:val="singleLevel"/>
    <w:tmpl w:val="7365EAE8"/>
    <w:lvl w:ilvl="0" w:tentative="0">
      <w:start w:val="1"/>
      <w:numFmt w:val="decimal"/>
      <w:suff w:val="nothing"/>
      <w:lvlText w:val="（%1）"/>
      <w:lvlJc w:val="left"/>
    </w:lvl>
  </w:abstractNum>
  <w:num w:numId="1">
    <w:abstractNumId w:val="7"/>
  </w:num>
  <w:num w:numId="2">
    <w:abstractNumId w:val="4"/>
  </w:num>
  <w:num w:numId="3">
    <w:abstractNumId w:val="8"/>
  </w:num>
  <w:num w:numId="4">
    <w:abstractNumId w:val="2"/>
  </w:num>
  <w:num w:numId="5">
    <w:abstractNumId w:val="9"/>
  </w:num>
  <w:num w:numId="6">
    <w:abstractNumId w:val="6"/>
  </w:num>
  <w:num w:numId="7">
    <w:abstractNumId w:val="0"/>
  </w:num>
  <w:num w:numId="8">
    <w:abstractNumId w:val="5"/>
  </w:num>
  <w:num w:numId="9">
    <w:abstractNumId w:val="3"/>
  </w:num>
  <w:num w:numId="10">
    <w:abstractNumId w:val="1"/>
  </w:num>
  <w:num w:numId="11">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3"/>
  <w:bordersDoNotSurroundHeader w:val="0"/>
  <w:bordersDoNotSurroundFooter w:val="0"/>
  <w:hideSpelling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attachedTemplate r:id="rId1"/>
  <w:documentProtection w:edit="trackedChanges" w:enforcement="0"/>
  <w:defaultTabStop w:val="420"/>
  <w:doNotHyphenateCaps/>
  <w:drawingGridVerticalSpacing w:val="156"/>
  <w:displayHorizontalDrawingGridEvery w:val="1"/>
  <w:displayVerticalDrawingGridEvery w:val="1"/>
  <w:noPunctuationKerning w:val="1"/>
  <w:characterSpacingControl w:val="compressPunctuation"/>
  <w:noLineBreaksAfter w:lang="zh-CN" w:val="([{·‘“〈《「『【〔〖（．［｛￡￥"/>
  <w:noLineBreaksBefore w:lang="zh-CN" w:val="!),.:;?]}¨·ˇˉ―‖’”…∶、。〃々〉》」』】〕〗！＂＇），．：；？］｀｜｝～￠"/>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JmZDgxYTUwODEwNDI1ODEwZjkxNmFlY2E1YWE2ODgifQ=="/>
  </w:docVars>
  <w:rsids>
    <w:rsidRoot w:val="00A14947"/>
    <w:rsid w:val="00003E49"/>
    <w:rsid w:val="000060B3"/>
    <w:rsid w:val="00017756"/>
    <w:rsid w:val="00021D30"/>
    <w:rsid w:val="000230C7"/>
    <w:rsid w:val="00026CB7"/>
    <w:rsid w:val="00030F38"/>
    <w:rsid w:val="000339BF"/>
    <w:rsid w:val="0004364B"/>
    <w:rsid w:val="00045D31"/>
    <w:rsid w:val="000536A2"/>
    <w:rsid w:val="000546DD"/>
    <w:rsid w:val="00054B3B"/>
    <w:rsid w:val="00054E06"/>
    <w:rsid w:val="00061747"/>
    <w:rsid w:val="00061B1F"/>
    <w:rsid w:val="00061EDB"/>
    <w:rsid w:val="000634B3"/>
    <w:rsid w:val="00065AD6"/>
    <w:rsid w:val="000733C4"/>
    <w:rsid w:val="00074783"/>
    <w:rsid w:val="00076BE0"/>
    <w:rsid w:val="0008070B"/>
    <w:rsid w:val="000810AC"/>
    <w:rsid w:val="00081191"/>
    <w:rsid w:val="00081A02"/>
    <w:rsid w:val="00082231"/>
    <w:rsid w:val="000838C0"/>
    <w:rsid w:val="00083A2E"/>
    <w:rsid w:val="00085647"/>
    <w:rsid w:val="00092D38"/>
    <w:rsid w:val="0009377B"/>
    <w:rsid w:val="000953EA"/>
    <w:rsid w:val="0009688B"/>
    <w:rsid w:val="000A03D0"/>
    <w:rsid w:val="000A1934"/>
    <w:rsid w:val="000A1DAC"/>
    <w:rsid w:val="000A20C9"/>
    <w:rsid w:val="000A2948"/>
    <w:rsid w:val="000A55CC"/>
    <w:rsid w:val="000A570B"/>
    <w:rsid w:val="000A63D7"/>
    <w:rsid w:val="000A6733"/>
    <w:rsid w:val="000B04BA"/>
    <w:rsid w:val="000B058F"/>
    <w:rsid w:val="000B40CB"/>
    <w:rsid w:val="000B4467"/>
    <w:rsid w:val="000B4DB9"/>
    <w:rsid w:val="000B5559"/>
    <w:rsid w:val="000C09AC"/>
    <w:rsid w:val="000C2A78"/>
    <w:rsid w:val="000C3437"/>
    <w:rsid w:val="000C3CD5"/>
    <w:rsid w:val="000C57EB"/>
    <w:rsid w:val="000C767F"/>
    <w:rsid w:val="000C7DB5"/>
    <w:rsid w:val="000D19C5"/>
    <w:rsid w:val="000D3A5F"/>
    <w:rsid w:val="000D52F3"/>
    <w:rsid w:val="000D5A44"/>
    <w:rsid w:val="000E06BF"/>
    <w:rsid w:val="000E2555"/>
    <w:rsid w:val="000E3ED2"/>
    <w:rsid w:val="000E430E"/>
    <w:rsid w:val="000E5F2C"/>
    <w:rsid w:val="000E7F9A"/>
    <w:rsid w:val="000F0F4B"/>
    <w:rsid w:val="000F1442"/>
    <w:rsid w:val="000F53A9"/>
    <w:rsid w:val="00100C01"/>
    <w:rsid w:val="00102F4F"/>
    <w:rsid w:val="001047D7"/>
    <w:rsid w:val="00104C0A"/>
    <w:rsid w:val="001053E9"/>
    <w:rsid w:val="0010679D"/>
    <w:rsid w:val="0010762A"/>
    <w:rsid w:val="001129A9"/>
    <w:rsid w:val="00114056"/>
    <w:rsid w:val="00115097"/>
    <w:rsid w:val="00120623"/>
    <w:rsid w:val="00123D53"/>
    <w:rsid w:val="00124071"/>
    <w:rsid w:val="00131D98"/>
    <w:rsid w:val="00131DA3"/>
    <w:rsid w:val="00131F42"/>
    <w:rsid w:val="00133E6F"/>
    <w:rsid w:val="001357F1"/>
    <w:rsid w:val="00137430"/>
    <w:rsid w:val="00140A09"/>
    <w:rsid w:val="00140FA8"/>
    <w:rsid w:val="0014145A"/>
    <w:rsid w:val="0014232A"/>
    <w:rsid w:val="00142FEB"/>
    <w:rsid w:val="00143A2D"/>
    <w:rsid w:val="00143B88"/>
    <w:rsid w:val="00144274"/>
    <w:rsid w:val="00145A41"/>
    <w:rsid w:val="001467EF"/>
    <w:rsid w:val="0015079B"/>
    <w:rsid w:val="00151194"/>
    <w:rsid w:val="00151675"/>
    <w:rsid w:val="0015416A"/>
    <w:rsid w:val="00154E7B"/>
    <w:rsid w:val="0015537B"/>
    <w:rsid w:val="00156581"/>
    <w:rsid w:val="00157435"/>
    <w:rsid w:val="00162B4E"/>
    <w:rsid w:val="001675E6"/>
    <w:rsid w:val="0017111B"/>
    <w:rsid w:val="00172FF0"/>
    <w:rsid w:val="00173F0E"/>
    <w:rsid w:val="00174E17"/>
    <w:rsid w:val="0017504D"/>
    <w:rsid w:val="0017671A"/>
    <w:rsid w:val="00177422"/>
    <w:rsid w:val="00183DB0"/>
    <w:rsid w:val="00184590"/>
    <w:rsid w:val="0018486C"/>
    <w:rsid w:val="00184EC3"/>
    <w:rsid w:val="0018514C"/>
    <w:rsid w:val="00186847"/>
    <w:rsid w:val="001870D1"/>
    <w:rsid w:val="0018781E"/>
    <w:rsid w:val="0019262D"/>
    <w:rsid w:val="00193144"/>
    <w:rsid w:val="001934D8"/>
    <w:rsid w:val="00193FF9"/>
    <w:rsid w:val="001973F0"/>
    <w:rsid w:val="001A1B35"/>
    <w:rsid w:val="001A2E88"/>
    <w:rsid w:val="001A48A2"/>
    <w:rsid w:val="001A6F61"/>
    <w:rsid w:val="001B28B0"/>
    <w:rsid w:val="001B3A77"/>
    <w:rsid w:val="001B5BBB"/>
    <w:rsid w:val="001B72B8"/>
    <w:rsid w:val="001C5E2C"/>
    <w:rsid w:val="001C6696"/>
    <w:rsid w:val="001C69B3"/>
    <w:rsid w:val="001C6FC9"/>
    <w:rsid w:val="001C791A"/>
    <w:rsid w:val="001D0128"/>
    <w:rsid w:val="001D1787"/>
    <w:rsid w:val="001D3408"/>
    <w:rsid w:val="001D5595"/>
    <w:rsid w:val="001D7874"/>
    <w:rsid w:val="001D7F22"/>
    <w:rsid w:val="001E0CF9"/>
    <w:rsid w:val="001E11B2"/>
    <w:rsid w:val="001E50C0"/>
    <w:rsid w:val="001E7139"/>
    <w:rsid w:val="001F0F17"/>
    <w:rsid w:val="001F1BF0"/>
    <w:rsid w:val="001F3347"/>
    <w:rsid w:val="001F4696"/>
    <w:rsid w:val="001F47C1"/>
    <w:rsid w:val="001F69E4"/>
    <w:rsid w:val="001F749D"/>
    <w:rsid w:val="00200F45"/>
    <w:rsid w:val="00202BEE"/>
    <w:rsid w:val="00204611"/>
    <w:rsid w:val="00204720"/>
    <w:rsid w:val="002077C7"/>
    <w:rsid w:val="00210DD0"/>
    <w:rsid w:val="002125B4"/>
    <w:rsid w:val="002126CA"/>
    <w:rsid w:val="00212EA0"/>
    <w:rsid w:val="00213EF5"/>
    <w:rsid w:val="0021416A"/>
    <w:rsid w:val="002155B8"/>
    <w:rsid w:val="00216323"/>
    <w:rsid w:val="00221DEB"/>
    <w:rsid w:val="00223503"/>
    <w:rsid w:val="0022409E"/>
    <w:rsid w:val="00224839"/>
    <w:rsid w:val="002249B2"/>
    <w:rsid w:val="00226574"/>
    <w:rsid w:val="002268D0"/>
    <w:rsid w:val="00226955"/>
    <w:rsid w:val="002278EC"/>
    <w:rsid w:val="002324E1"/>
    <w:rsid w:val="0023280E"/>
    <w:rsid w:val="00235EC8"/>
    <w:rsid w:val="002377CF"/>
    <w:rsid w:val="002377D1"/>
    <w:rsid w:val="00237840"/>
    <w:rsid w:val="002430D0"/>
    <w:rsid w:val="00243861"/>
    <w:rsid w:val="00243F63"/>
    <w:rsid w:val="0024501C"/>
    <w:rsid w:val="002462D4"/>
    <w:rsid w:val="002506BC"/>
    <w:rsid w:val="00254345"/>
    <w:rsid w:val="002548C9"/>
    <w:rsid w:val="00261391"/>
    <w:rsid w:val="00261B19"/>
    <w:rsid w:val="00263AA0"/>
    <w:rsid w:val="00264557"/>
    <w:rsid w:val="002648F9"/>
    <w:rsid w:val="00266D05"/>
    <w:rsid w:val="00267C65"/>
    <w:rsid w:val="0027142D"/>
    <w:rsid w:val="0027493F"/>
    <w:rsid w:val="00275BA4"/>
    <w:rsid w:val="002763EE"/>
    <w:rsid w:val="00276A1E"/>
    <w:rsid w:val="002805AB"/>
    <w:rsid w:val="00282892"/>
    <w:rsid w:val="002832A8"/>
    <w:rsid w:val="00283A00"/>
    <w:rsid w:val="00284204"/>
    <w:rsid w:val="0028467A"/>
    <w:rsid w:val="00284A1E"/>
    <w:rsid w:val="00284C11"/>
    <w:rsid w:val="00286AFF"/>
    <w:rsid w:val="00291773"/>
    <w:rsid w:val="00294171"/>
    <w:rsid w:val="002A168C"/>
    <w:rsid w:val="002A2D6B"/>
    <w:rsid w:val="002A3D59"/>
    <w:rsid w:val="002A3DC7"/>
    <w:rsid w:val="002A763F"/>
    <w:rsid w:val="002B49E2"/>
    <w:rsid w:val="002B6A63"/>
    <w:rsid w:val="002B799C"/>
    <w:rsid w:val="002B7B00"/>
    <w:rsid w:val="002B7C44"/>
    <w:rsid w:val="002C2B17"/>
    <w:rsid w:val="002C3ECD"/>
    <w:rsid w:val="002C5BD7"/>
    <w:rsid w:val="002C5FFA"/>
    <w:rsid w:val="002C6059"/>
    <w:rsid w:val="002C7252"/>
    <w:rsid w:val="002D065F"/>
    <w:rsid w:val="002D3DD0"/>
    <w:rsid w:val="002D52AD"/>
    <w:rsid w:val="002D6F4B"/>
    <w:rsid w:val="002D7E2B"/>
    <w:rsid w:val="002E1F3A"/>
    <w:rsid w:val="002E298A"/>
    <w:rsid w:val="002F17A5"/>
    <w:rsid w:val="002F18C4"/>
    <w:rsid w:val="002F33FA"/>
    <w:rsid w:val="00301978"/>
    <w:rsid w:val="0030287D"/>
    <w:rsid w:val="0030332C"/>
    <w:rsid w:val="003051C2"/>
    <w:rsid w:val="00307A2A"/>
    <w:rsid w:val="00312296"/>
    <w:rsid w:val="00313FEB"/>
    <w:rsid w:val="00314F0E"/>
    <w:rsid w:val="00317025"/>
    <w:rsid w:val="00321013"/>
    <w:rsid w:val="0032133C"/>
    <w:rsid w:val="003215AF"/>
    <w:rsid w:val="0032194A"/>
    <w:rsid w:val="00321D8E"/>
    <w:rsid w:val="0032200A"/>
    <w:rsid w:val="00323085"/>
    <w:rsid w:val="00325928"/>
    <w:rsid w:val="00330B78"/>
    <w:rsid w:val="00332863"/>
    <w:rsid w:val="0033341C"/>
    <w:rsid w:val="0033441C"/>
    <w:rsid w:val="00335753"/>
    <w:rsid w:val="0033684D"/>
    <w:rsid w:val="00337368"/>
    <w:rsid w:val="00337B42"/>
    <w:rsid w:val="00341B42"/>
    <w:rsid w:val="0034348F"/>
    <w:rsid w:val="003447D5"/>
    <w:rsid w:val="00344879"/>
    <w:rsid w:val="00344F6A"/>
    <w:rsid w:val="00344FE5"/>
    <w:rsid w:val="00347641"/>
    <w:rsid w:val="003517A4"/>
    <w:rsid w:val="003537E3"/>
    <w:rsid w:val="00353F30"/>
    <w:rsid w:val="00354D57"/>
    <w:rsid w:val="00356315"/>
    <w:rsid w:val="00356653"/>
    <w:rsid w:val="0035743F"/>
    <w:rsid w:val="00357BE2"/>
    <w:rsid w:val="00357BE7"/>
    <w:rsid w:val="0036170C"/>
    <w:rsid w:val="00361B80"/>
    <w:rsid w:val="00363A73"/>
    <w:rsid w:val="00365D3B"/>
    <w:rsid w:val="00365FB8"/>
    <w:rsid w:val="00366E0F"/>
    <w:rsid w:val="00373B0C"/>
    <w:rsid w:val="00374F92"/>
    <w:rsid w:val="00375CE7"/>
    <w:rsid w:val="00377B88"/>
    <w:rsid w:val="0038086C"/>
    <w:rsid w:val="00381A72"/>
    <w:rsid w:val="003824E2"/>
    <w:rsid w:val="003835B6"/>
    <w:rsid w:val="00383FED"/>
    <w:rsid w:val="00384676"/>
    <w:rsid w:val="003877FF"/>
    <w:rsid w:val="00390857"/>
    <w:rsid w:val="003921D0"/>
    <w:rsid w:val="0039318E"/>
    <w:rsid w:val="003931D2"/>
    <w:rsid w:val="003939DC"/>
    <w:rsid w:val="003A3621"/>
    <w:rsid w:val="003A4BF3"/>
    <w:rsid w:val="003A5AA3"/>
    <w:rsid w:val="003A72C5"/>
    <w:rsid w:val="003B0158"/>
    <w:rsid w:val="003B24F5"/>
    <w:rsid w:val="003B420D"/>
    <w:rsid w:val="003B5901"/>
    <w:rsid w:val="003B79C0"/>
    <w:rsid w:val="003C0335"/>
    <w:rsid w:val="003C1680"/>
    <w:rsid w:val="003C23CF"/>
    <w:rsid w:val="003C57DC"/>
    <w:rsid w:val="003C6C16"/>
    <w:rsid w:val="003C748B"/>
    <w:rsid w:val="003D05B5"/>
    <w:rsid w:val="003D1D48"/>
    <w:rsid w:val="003D794D"/>
    <w:rsid w:val="003E3058"/>
    <w:rsid w:val="003E368F"/>
    <w:rsid w:val="003E511B"/>
    <w:rsid w:val="003E529B"/>
    <w:rsid w:val="003E64EB"/>
    <w:rsid w:val="003E710F"/>
    <w:rsid w:val="003E76A9"/>
    <w:rsid w:val="003F0809"/>
    <w:rsid w:val="003F19B0"/>
    <w:rsid w:val="003F3336"/>
    <w:rsid w:val="003F5399"/>
    <w:rsid w:val="003F6A8C"/>
    <w:rsid w:val="003F755C"/>
    <w:rsid w:val="003F7A06"/>
    <w:rsid w:val="00400EF8"/>
    <w:rsid w:val="004019D2"/>
    <w:rsid w:val="00406F01"/>
    <w:rsid w:val="0040701C"/>
    <w:rsid w:val="00407FA8"/>
    <w:rsid w:val="00412419"/>
    <w:rsid w:val="00413632"/>
    <w:rsid w:val="004143FA"/>
    <w:rsid w:val="00416D50"/>
    <w:rsid w:val="00416FD5"/>
    <w:rsid w:val="00416FE4"/>
    <w:rsid w:val="00417160"/>
    <w:rsid w:val="00417772"/>
    <w:rsid w:val="00420E6A"/>
    <w:rsid w:val="004223DA"/>
    <w:rsid w:val="004248C0"/>
    <w:rsid w:val="00425A9E"/>
    <w:rsid w:val="00426449"/>
    <w:rsid w:val="00426D6B"/>
    <w:rsid w:val="00431E6C"/>
    <w:rsid w:val="00433CE7"/>
    <w:rsid w:val="00434CA3"/>
    <w:rsid w:val="00441806"/>
    <w:rsid w:val="004435DA"/>
    <w:rsid w:val="00445BA8"/>
    <w:rsid w:val="00445F47"/>
    <w:rsid w:val="00446145"/>
    <w:rsid w:val="00450DE6"/>
    <w:rsid w:val="00451110"/>
    <w:rsid w:val="00452738"/>
    <w:rsid w:val="00453AA1"/>
    <w:rsid w:val="00453B7E"/>
    <w:rsid w:val="00456091"/>
    <w:rsid w:val="00462575"/>
    <w:rsid w:val="00466321"/>
    <w:rsid w:val="004669E4"/>
    <w:rsid w:val="00467ACF"/>
    <w:rsid w:val="004714F2"/>
    <w:rsid w:val="0047252D"/>
    <w:rsid w:val="00473158"/>
    <w:rsid w:val="00473686"/>
    <w:rsid w:val="00474C1E"/>
    <w:rsid w:val="0048044B"/>
    <w:rsid w:val="0048138D"/>
    <w:rsid w:val="00484045"/>
    <w:rsid w:val="00484B9B"/>
    <w:rsid w:val="004855F6"/>
    <w:rsid w:val="0048661E"/>
    <w:rsid w:val="00487776"/>
    <w:rsid w:val="00487D00"/>
    <w:rsid w:val="0049034A"/>
    <w:rsid w:val="00491451"/>
    <w:rsid w:val="00494670"/>
    <w:rsid w:val="004959C2"/>
    <w:rsid w:val="00496F85"/>
    <w:rsid w:val="004A085D"/>
    <w:rsid w:val="004A177C"/>
    <w:rsid w:val="004A25B5"/>
    <w:rsid w:val="004A3823"/>
    <w:rsid w:val="004A64F2"/>
    <w:rsid w:val="004A7F44"/>
    <w:rsid w:val="004B380D"/>
    <w:rsid w:val="004B6075"/>
    <w:rsid w:val="004C3E41"/>
    <w:rsid w:val="004C5C01"/>
    <w:rsid w:val="004D2821"/>
    <w:rsid w:val="004D29BC"/>
    <w:rsid w:val="004D3295"/>
    <w:rsid w:val="004D5B0A"/>
    <w:rsid w:val="004E36F2"/>
    <w:rsid w:val="004E3858"/>
    <w:rsid w:val="004E500F"/>
    <w:rsid w:val="004E6946"/>
    <w:rsid w:val="004E6E8A"/>
    <w:rsid w:val="004E7E4A"/>
    <w:rsid w:val="004E7F73"/>
    <w:rsid w:val="004F07CC"/>
    <w:rsid w:val="004F1AD8"/>
    <w:rsid w:val="004F5E2E"/>
    <w:rsid w:val="004F662B"/>
    <w:rsid w:val="004F7B18"/>
    <w:rsid w:val="0050028C"/>
    <w:rsid w:val="0050265F"/>
    <w:rsid w:val="005039CB"/>
    <w:rsid w:val="0050558F"/>
    <w:rsid w:val="00505A38"/>
    <w:rsid w:val="00505B75"/>
    <w:rsid w:val="00506286"/>
    <w:rsid w:val="00510813"/>
    <w:rsid w:val="00510B4C"/>
    <w:rsid w:val="00511990"/>
    <w:rsid w:val="00511DE0"/>
    <w:rsid w:val="00514870"/>
    <w:rsid w:val="00514B9B"/>
    <w:rsid w:val="00514D75"/>
    <w:rsid w:val="00514F2A"/>
    <w:rsid w:val="005164C0"/>
    <w:rsid w:val="00517016"/>
    <w:rsid w:val="00517F02"/>
    <w:rsid w:val="005216B5"/>
    <w:rsid w:val="00523A47"/>
    <w:rsid w:val="00524184"/>
    <w:rsid w:val="00524303"/>
    <w:rsid w:val="005258A2"/>
    <w:rsid w:val="00540117"/>
    <w:rsid w:val="005401AE"/>
    <w:rsid w:val="00541269"/>
    <w:rsid w:val="00542E07"/>
    <w:rsid w:val="005435D5"/>
    <w:rsid w:val="00544924"/>
    <w:rsid w:val="00545424"/>
    <w:rsid w:val="0055137B"/>
    <w:rsid w:val="0055389A"/>
    <w:rsid w:val="00554A7B"/>
    <w:rsid w:val="0055572C"/>
    <w:rsid w:val="00555CCF"/>
    <w:rsid w:val="005606DF"/>
    <w:rsid w:val="0056106A"/>
    <w:rsid w:val="005629C8"/>
    <w:rsid w:val="005663DF"/>
    <w:rsid w:val="005707D1"/>
    <w:rsid w:val="005720AE"/>
    <w:rsid w:val="00574F5C"/>
    <w:rsid w:val="00585B3D"/>
    <w:rsid w:val="00585BD0"/>
    <w:rsid w:val="005868E6"/>
    <w:rsid w:val="00586D88"/>
    <w:rsid w:val="005925A0"/>
    <w:rsid w:val="00592C6A"/>
    <w:rsid w:val="005942B3"/>
    <w:rsid w:val="00594D77"/>
    <w:rsid w:val="00595722"/>
    <w:rsid w:val="0059657A"/>
    <w:rsid w:val="005969E4"/>
    <w:rsid w:val="005A06B7"/>
    <w:rsid w:val="005A1759"/>
    <w:rsid w:val="005A3314"/>
    <w:rsid w:val="005A6570"/>
    <w:rsid w:val="005A68A7"/>
    <w:rsid w:val="005B0510"/>
    <w:rsid w:val="005B1241"/>
    <w:rsid w:val="005B1B00"/>
    <w:rsid w:val="005B2DE6"/>
    <w:rsid w:val="005B4390"/>
    <w:rsid w:val="005B4691"/>
    <w:rsid w:val="005B4AC5"/>
    <w:rsid w:val="005B5E82"/>
    <w:rsid w:val="005B63AE"/>
    <w:rsid w:val="005D2C12"/>
    <w:rsid w:val="005D36AB"/>
    <w:rsid w:val="005D4619"/>
    <w:rsid w:val="005E63D7"/>
    <w:rsid w:val="005E7B18"/>
    <w:rsid w:val="005E7BD5"/>
    <w:rsid w:val="005F22E6"/>
    <w:rsid w:val="005F45EA"/>
    <w:rsid w:val="005F4D34"/>
    <w:rsid w:val="00601C79"/>
    <w:rsid w:val="00602B5E"/>
    <w:rsid w:val="00604F9B"/>
    <w:rsid w:val="00606126"/>
    <w:rsid w:val="006069D8"/>
    <w:rsid w:val="00610C09"/>
    <w:rsid w:val="00612FE1"/>
    <w:rsid w:val="006159F4"/>
    <w:rsid w:val="00615B70"/>
    <w:rsid w:val="00615DE6"/>
    <w:rsid w:val="00617CC3"/>
    <w:rsid w:val="00621C2E"/>
    <w:rsid w:val="00626AF5"/>
    <w:rsid w:val="006270C7"/>
    <w:rsid w:val="00630072"/>
    <w:rsid w:val="00631282"/>
    <w:rsid w:val="006321BB"/>
    <w:rsid w:val="00635DBA"/>
    <w:rsid w:val="00636D66"/>
    <w:rsid w:val="006377A6"/>
    <w:rsid w:val="00637A3D"/>
    <w:rsid w:val="00637C59"/>
    <w:rsid w:val="006411EF"/>
    <w:rsid w:val="00642050"/>
    <w:rsid w:val="00643A92"/>
    <w:rsid w:val="006445EB"/>
    <w:rsid w:val="00651661"/>
    <w:rsid w:val="00652F8E"/>
    <w:rsid w:val="00657D04"/>
    <w:rsid w:val="0066185B"/>
    <w:rsid w:val="0066449A"/>
    <w:rsid w:val="00664C5D"/>
    <w:rsid w:val="00664CFA"/>
    <w:rsid w:val="006716F5"/>
    <w:rsid w:val="00671F3D"/>
    <w:rsid w:val="00673FC8"/>
    <w:rsid w:val="006748B8"/>
    <w:rsid w:val="006775C3"/>
    <w:rsid w:val="0068154D"/>
    <w:rsid w:val="006820DC"/>
    <w:rsid w:val="00682270"/>
    <w:rsid w:val="0068501D"/>
    <w:rsid w:val="00685569"/>
    <w:rsid w:val="00686C09"/>
    <w:rsid w:val="00687FAD"/>
    <w:rsid w:val="0069290A"/>
    <w:rsid w:val="00692F9A"/>
    <w:rsid w:val="00694127"/>
    <w:rsid w:val="0069775A"/>
    <w:rsid w:val="00697813"/>
    <w:rsid w:val="00697D29"/>
    <w:rsid w:val="006A1A15"/>
    <w:rsid w:val="006A2890"/>
    <w:rsid w:val="006A3EE8"/>
    <w:rsid w:val="006A6696"/>
    <w:rsid w:val="006A72BF"/>
    <w:rsid w:val="006B03F2"/>
    <w:rsid w:val="006B1FD1"/>
    <w:rsid w:val="006B34BA"/>
    <w:rsid w:val="006B37DC"/>
    <w:rsid w:val="006B4F68"/>
    <w:rsid w:val="006C0592"/>
    <w:rsid w:val="006C272E"/>
    <w:rsid w:val="006C3B08"/>
    <w:rsid w:val="006C4719"/>
    <w:rsid w:val="006C47DD"/>
    <w:rsid w:val="006C5479"/>
    <w:rsid w:val="006D13B5"/>
    <w:rsid w:val="006D1C97"/>
    <w:rsid w:val="006D4BDC"/>
    <w:rsid w:val="006D5002"/>
    <w:rsid w:val="006D7D1B"/>
    <w:rsid w:val="006E12FF"/>
    <w:rsid w:val="006E34DF"/>
    <w:rsid w:val="006E46C0"/>
    <w:rsid w:val="006E57EF"/>
    <w:rsid w:val="006E607E"/>
    <w:rsid w:val="006E7243"/>
    <w:rsid w:val="006E7671"/>
    <w:rsid w:val="006E7D3C"/>
    <w:rsid w:val="006F2BE5"/>
    <w:rsid w:val="006F2D75"/>
    <w:rsid w:val="006F489A"/>
    <w:rsid w:val="006F73AF"/>
    <w:rsid w:val="006F7C46"/>
    <w:rsid w:val="007065BF"/>
    <w:rsid w:val="00706C5D"/>
    <w:rsid w:val="0071073B"/>
    <w:rsid w:val="0071132D"/>
    <w:rsid w:val="00713E20"/>
    <w:rsid w:val="00714004"/>
    <w:rsid w:val="007158F8"/>
    <w:rsid w:val="007161B7"/>
    <w:rsid w:val="00720A6E"/>
    <w:rsid w:val="007231D9"/>
    <w:rsid w:val="00726493"/>
    <w:rsid w:val="00732922"/>
    <w:rsid w:val="00734F47"/>
    <w:rsid w:val="0073740C"/>
    <w:rsid w:val="00737440"/>
    <w:rsid w:val="007408A5"/>
    <w:rsid w:val="007430FC"/>
    <w:rsid w:val="0074677E"/>
    <w:rsid w:val="0075162E"/>
    <w:rsid w:val="00752012"/>
    <w:rsid w:val="00753C40"/>
    <w:rsid w:val="00754034"/>
    <w:rsid w:val="00755659"/>
    <w:rsid w:val="00756556"/>
    <w:rsid w:val="00757492"/>
    <w:rsid w:val="00761101"/>
    <w:rsid w:val="0076143A"/>
    <w:rsid w:val="007618C4"/>
    <w:rsid w:val="007626E8"/>
    <w:rsid w:val="00762F9F"/>
    <w:rsid w:val="00763F38"/>
    <w:rsid w:val="00766734"/>
    <w:rsid w:val="00767980"/>
    <w:rsid w:val="00770B19"/>
    <w:rsid w:val="00771512"/>
    <w:rsid w:val="00773285"/>
    <w:rsid w:val="0077463F"/>
    <w:rsid w:val="007766BF"/>
    <w:rsid w:val="00776E0F"/>
    <w:rsid w:val="007835ED"/>
    <w:rsid w:val="007836EA"/>
    <w:rsid w:val="0078377C"/>
    <w:rsid w:val="00783C0B"/>
    <w:rsid w:val="007847CA"/>
    <w:rsid w:val="00784CDA"/>
    <w:rsid w:val="007852DC"/>
    <w:rsid w:val="00786C15"/>
    <w:rsid w:val="007906C4"/>
    <w:rsid w:val="00791A84"/>
    <w:rsid w:val="00793E3D"/>
    <w:rsid w:val="007940EA"/>
    <w:rsid w:val="007967E8"/>
    <w:rsid w:val="00796FA4"/>
    <w:rsid w:val="007970B2"/>
    <w:rsid w:val="007A118F"/>
    <w:rsid w:val="007A16F7"/>
    <w:rsid w:val="007A2170"/>
    <w:rsid w:val="007A22BF"/>
    <w:rsid w:val="007A22CA"/>
    <w:rsid w:val="007A238C"/>
    <w:rsid w:val="007A29B0"/>
    <w:rsid w:val="007A3323"/>
    <w:rsid w:val="007A3FE6"/>
    <w:rsid w:val="007B1040"/>
    <w:rsid w:val="007B5E7F"/>
    <w:rsid w:val="007B72B8"/>
    <w:rsid w:val="007B7A58"/>
    <w:rsid w:val="007B7CAB"/>
    <w:rsid w:val="007C21B5"/>
    <w:rsid w:val="007C3924"/>
    <w:rsid w:val="007C4E4B"/>
    <w:rsid w:val="007C7A1D"/>
    <w:rsid w:val="007D4527"/>
    <w:rsid w:val="007D55AE"/>
    <w:rsid w:val="007D5944"/>
    <w:rsid w:val="007E036D"/>
    <w:rsid w:val="007E257B"/>
    <w:rsid w:val="007E2ECB"/>
    <w:rsid w:val="007E4BD2"/>
    <w:rsid w:val="00801393"/>
    <w:rsid w:val="00802F88"/>
    <w:rsid w:val="00806E9F"/>
    <w:rsid w:val="00810173"/>
    <w:rsid w:val="008107A5"/>
    <w:rsid w:val="0081293E"/>
    <w:rsid w:val="00813597"/>
    <w:rsid w:val="00815465"/>
    <w:rsid w:val="008162A6"/>
    <w:rsid w:val="00816575"/>
    <w:rsid w:val="00817E9A"/>
    <w:rsid w:val="00817F1C"/>
    <w:rsid w:val="00821A13"/>
    <w:rsid w:val="008306BD"/>
    <w:rsid w:val="00830F70"/>
    <w:rsid w:val="00831A80"/>
    <w:rsid w:val="00832702"/>
    <w:rsid w:val="00833743"/>
    <w:rsid w:val="008340A4"/>
    <w:rsid w:val="00834AF7"/>
    <w:rsid w:val="00837666"/>
    <w:rsid w:val="008409A5"/>
    <w:rsid w:val="00842159"/>
    <w:rsid w:val="008470D3"/>
    <w:rsid w:val="008470EF"/>
    <w:rsid w:val="00847271"/>
    <w:rsid w:val="00847C6B"/>
    <w:rsid w:val="00850364"/>
    <w:rsid w:val="008504BB"/>
    <w:rsid w:val="00854E0C"/>
    <w:rsid w:val="00861C19"/>
    <w:rsid w:val="008668A9"/>
    <w:rsid w:val="0087135F"/>
    <w:rsid w:val="008714BA"/>
    <w:rsid w:val="00871BD3"/>
    <w:rsid w:val="00872D94"/>
    <w:rsid w:val="00872DCF"/>
    <w:rsid w:val="00876E29"/>
    <w:rsid w:val="00880364"/>
    <w:rsid w:val="00880F9A"/>
    <w:rsid w:val="00883D7A"/>
    <w:rsid w:val="0089026D"/>
    <w:rsid w:val="00890D42"/>
    <w:rsid w:val="00891592"/>
    <w:rsid w:val="00891E9E"/>
    <w:rsid w:val="00892777"/>
    <w:rsid w:val="00896582"/>
    <w:rsid w:val="00896E9E"/>
    <w:rsid w:val="008A0B58"/>
    <w:rsid w:val="008A2D1A"/>
    <w:rsid w:val="008A2F68"/>
    <w:rsid w:val="008A39E0"/>
    <w:rsid w:val="008A7157"/>
    <w:rsid w:val="008B0BAD"/>
    <w:rsid w:val="008B1B7F"/>
    <w:rsid w:val="008B4E5A"/>
    <w:rsid w:val="008B4FA6"/>
    <w:rsid w:val="008B5282"/>
    <w:rsid w:val="008B7C17"/>
    <w:rsid w:val="008C036A"/>
    <w:rsid w:val="008C2D01"/>
    <w:rsid w:val="008C3052"/>
    <w:rsid w:val="008C40E6"/>
    <w:rsid w:val="008D0F7A"/>
    <w:rsid w:val="008D44D8"/>
    <w:rsid w:val="008D501D"/>
    <w:rsid w:val="008D68E4"/>
    <w:rsid w:val="008D6E3F"/>
    <w:rsid w:val="008E0506"/>
    <w:rsid w:val="008E0CFF"/>
    <w:rsid w:val="008E2DAC"/>
    <w:rsid w:val="008E3ECB"/>
    <w:rsid w:val="008E5D6B"/>
    <w:rsid w:val="008E76F0"/>
    <w:rsid w:val="008F15FE"/>
    <w:rsid w:val="008F2BC9"/>
    <w:rsid w:val="008F2D29"/>
    <w:rsid w:val="008F5187"/>
    <w:rsid w:val="008F60D8"/>
    <w:rsid w:val="008F71E8"/>
    <w:rsid w:val="008F755D"/>
    <w:rsid w:val="008F75F9"/>
    <w:rsid w:val="009010A3"/>
    <w:rsid w:val="0090119E"/>
    <w:rsid w:val="00902727"/>
    <w:rsid w:val="0090312B"/>
    <w:rsid w:val="009045AE"/>
    <w:rsid w:val="009048D1"/>
    <w:rsid w:val="0091095E"/>
    <w:rsid w:val="00912421"/>
    <w:rsid w:val="00913E02"/>
    <w:rsid w:val="00914CC0"/>
    <w:rsid w:val="00915DF9"/>
    <w:rsid w:val="00916B00"/>
    <w:rsid w:val="0091736D"/>
    <w:rsid w:val="009225AD"/>
    <w:rsid w:val="00922802"/>
    <w:rsid w:val="0092343A"/>
    <w:rsid w:val="00926072"/>
    <w:rsid w:val="00927E1C"/>
    <w:rsid w:val="0093037A"/>
    <w:rsid w:val="00936027"/>
    <w:rsid w:val="00936615"/>
    <w:rsid w:val="0094154D"/>
    <w:rsid w:val="009436DF"/>
    <w:rsid w:val="009440BC"/>
    <w:rsid w:val="00947D2C"/>
    <w:rsid w:val="0095155F"/>
    <w:rsid w:val="00954429"/>
    <w:rsid w:val="009563CE"/>
    <w:rsid w:val="0096110E"/>
    <w:rsid w:val="00961264"/>
    <w:rsid w:val="00962CC7"/>
    <w:rsid w:val="009650C8"/>
    <w:rsid w:val="0097609B"/>
    <w:rsid w:val="00976328"/>
    <w:rsid w:val="0097680D"/>
    <w:rsid w:val="00976D59"/>
    <w:rsid w:val="00982438"/>
    <w:rsid w:val="00982E0E"/>
    <w:rsid w:val="0098404C"/>
    <w:rsid w:val="00985283"/>
    <w:rsid w:val="00986F62"/>
    <w:rsid w:val="009870C1"/>
    <w:rsid w:val="009927D3"/>
    <w:rsid w:val="00995992"/>
    <w:rsid w:val="00996BEF"/>
    <w:rsid w:val="009A03E5"/>
    <w:rsid w:val="009A0F3B"/>
    <w:rsid w:val="009A1BB4"/>
    <w:rsid w:val="009A1E72"/>
    <w:rsid w:val="009A2628"/>
    <w:rsid w:val="009A2E3B"/>
    <w:rsid w:val="009A3200"/>
    <w:rsid w:val="009A47AA"/>
    <w:rsid w:val="009A5022"/>
    <w:rsid w:val="009B0897"/>
    <w:rsid w:val="009B7BD9"/>
    <w:rsid w:val="009C3B2E"/>
    <w:rsid w:val="009C3C1C"/>
    <w:rsid w:val="009C4A8A"/>
    <w:rsid w:val="009C7DD5"/>
    <w:rsid w:val="009D4C99"/>
    <w:rsid w:val="009D7F54"/>
    <w:rsid w:val="009E18F6"/>
    <w:rsid w:val="009E227D"/>
    <w:rsid w:val="009E3302"/>
    <w:rsid w:val="009E42C7"/>
    <w:rsid w:val="009E5019"/>
    <w:rsid w:val="009E572F"/>
    <w:rsid w:val="009E768F"/>
    <w:rsid w:val="009F3D05"/>
    <w:rsid w:val="009F3FB8"/>
    <w:rsid w:val="009F42D6"/>
    <w:rsid w:val="009F5ABA"/>
    <w:rsid w:val="009F7D80"/>
    <w:rsid w:val="00A003A3"/>
    <w:rsid w:val="00A04F1B"/>
    <w:rsid w:val="00A0501B"/>
    <w:rsid w:val="00A11EDA"/>
    <w:rsid w:val="00A12243"/>
    <w:rsid w:val="00A14947"/>
    <w:rsid w:val="00A21DC2"/>
    <w:rsid w:val="00A3018A"/>
    <w:rsid w:val="00A325DD"/>
    <w:rsid w:val="00A32A83"/>
    <w:rsid w:val="00A33C1C"/>
    <w:rsid w:val="00A33E44"/>
    <w:rsid w:val="00A35FFA"/>
    <w:rsid w:val="00A365FC"/>
    <w:rsid w:val="00A368DB"/>
    <w:rsid w:val="00A37748"/>
    <w:rsid w:val="00A40DDC"/>
    <w:rsid w:val="00A423AA"/>
    <w:rsid w:val="00A428D5"/>
    <w:rsid w:val="00A437CD"/>
    <w:rsid w:val="00A463F6"/>
    <w:rsid w:val="00A51D83"/>
    <w:rsid w:val="00A52F06"/>
    <w:rsid w:val="00A53EC6"/>
    <w:rsid w:val="00A55C0F"/>
    <w:rsid w:val="00A5673B"/>
    <w:rsid w:val="00A569A0"/>
    <w:rsid w:val="00A57CF9"/>
    <w:rsid w:val="00A61430"/>
    <w:rsid w:val="00A65FF7"/>
    <w:rsid w:val="00A70E26"/>
    <w:rsid w:val="00A71D9C"/>
    <w:rsid w:val="00A837A1"/>
    <w:rsid w:val="00A83EA4"/>
    <w:rsid w:val="00A8431A"/>
    <w:rsid w:val="00A8713F"/>
    <w:rsid w:val="00A90BA1"/>
    <w:rsid w:val="00A917D4"/>
    <w:rsid w:val="00A92DF0"/>
    <w:rsid w:val="00A94087"/>
    <w:rsid w:val="00A94607"/>
    <w:rsid w:val="00A947ED"/>
    <w:rsid w:val="00A97A9A"/>
    <w:rsid w:val="00AA004F"/>
    <w:rsid w:val="00AA0671"/>
    <w:rsid w:val="00AA0FEE"/>
    <w:rsid w:val="00AA2531"/>
    <w:rsid w:val="00AA37AE"/>
    <w:rsid w:val="00AA4B8B"/>
    <w:rsid w:val="00AB1E09"/>
    <w:rsid w:val="00AB1FDB"/>
    <w:rsid w:val="00AB2963"/>
    <w:rsid w:val="00AB3673"/>
    <w:rsid w:val="00AB5330"/>
    <w:rsid w:val="00AB6A28"/>
    <w:rsid w:val="00AB7747"/>
    <w:rsid w:val="00AB785F"/>
    <w:rsid w:val="00AC09C9"/>
    <w:rsid w:val="00AC14CE"/>
    <w:rsid w:val="00AC2A56"/>
    <w:rsid w:val="00AC3D01"/>
    <w:rsid w:val="00AC549B"/>
    <w:rsid w:val="00AC56E3"/>
    <w:rsid w:val="00AC5D57"/>
    <w:rsid w:val="00AC7CC9"/>
    <w:rsid w:val="00AD055E"/>
    <w:rsid w:val="00AD0CEC"/>
    <w:rsid w:val="00AD210F"/>
    <w:rsid w:val="00AD47A7"/>
    <w:rsid w:val="00AD6281"/>
    <w:rsid w:val="00AE4057"/>
    <w:rsid w:val="00AE6866"/>
    <w:rsid w:val="00AE74BA"/>
    <w:rsid w:val="00AF040C"/>
    <w:rsid w:val="00AF0CBF"/>
    <w:rsid w:val="00AF257F"/>
    <w:rsid w:val="00AF33CF"/>
    <w:rsid w:val="00AF4D50"/>
    <w:rsid w:val="00AF6179"/>
    <w:rsid w:val="00AF6489"/>
    <w:rsid w:val="00AF6E45"/>
    <w:rsid w:val="00B00BD6"/>
    <w:rsid w:val="00B012CD"/>
    <w:rsid w:val="00B071BA"/>
    <w:rsid w:val="00B1295A"/>
    <w:rsid w:val="00B13C89"/>
    <w:rsid w:val="00B13F2C"/>
    <w:rsid w:val="00B14DBA"/>
    <w:rsid w:val="00B20A45"/>
    <w:rsid w:val="00B221B8"/>
    <w:rsid w:val="00B22BD3"/>
    <w:rsid w:val="00B22C5C"/>
    <w:rsid w:val="00B23DC3"/>
    <w:rsid w:val="00B243B0"/>
    <w:rsid w:val="00B24D62"/>
    <w:rsid w:val="00B24F30"/>
    <w:rsid w:val="00B25261"/>
    <w:rsid w:val="00B2601E"/>
    <w:rsid w:val="00B2642D"/>
    <w:rsid w:val="00B313FB"/>
    <w:rsid w:val="00B31ABF"/>
    <w:rsid w:val="00B3208D"/>
    <w:rsid w:val="00B32263"/>
    <w:rsid w:val="00B32977"/>
    <w:rsid w:val="00B33BE3"/>
    <w:rsid w:val="00B40C25"/>
    <w:rsid w:val="00B41E3B"/>
    <w:rsid w:val="00B43576"/>
    <w:rsid w:val="00B46B34"/>
    <w:rsid w:val="00B52651"/>
    <w:rsid w:val="00B53B5D"/>
    <w:rsid w:val="00B56181"/>
    <w:rsid w:val="00B573CC"/>
    <w:rsid w:val="00B5750D"/>
    <w:rsid w:val="00B6055E"/>
    <w:rsid w:val="00B62E24"/>
    <w:rsid w:val="00B6317D"/>
    <w:rsid w:val="00B700F0"/>
    <w:rsid w:val="00B70606"/>
    <w:rsid w:val="00B74F8C"/>
    <w:rsid w:val="00B7723F"/>
    <w:rsid w:val="00B80534"/>
    <w:rsid w:val="00B83F97"/>
    <w:rsid w:val="00B84296"/>
    <w:rsid w:val="00B8433C"/>
    <w:rsid w:val="00B853F0"/>
    <w:rsid w:val="00B85E79"/>
    <w:rsid w:val="00B86138"/>
    <w:rsid w:val="00B87491"/>
    <w:rsid w:val="00B902F8"/>
    <w:rsid w:val="00B94916"/>
    <w:rsid w:val="00B95479"/>
    <w:rsid w:val="00B96D33"/>
    <w:rsid w:val="00B974FF"/>
    <w:rsid w:val="00BA1FAA"/>
    <w:rsid w:val="00BA2831"/>
    <w:rsid w:val="00BA29E9"/>
    <w:rsid w:val="00BA3DAC"/>
    <w:rsid w:val="00BA4281"/>
    <w:rsid w:val="00BA7142"/>
    <w:rsid w:val="00BB13C8"/>
    <w:rsid w:val="00BB14C4"/>
    <w:rsid w:val="00BB237C"/>
    <w:rsid w:val="00BB27D2"/>
    <w:rsid w:val="00BB41A3"/>
    <w:rsid w:val="00BC0697"/>
    <w:rsid w:val="00BC0849"/>
    <w:rsid w:val="00BC0CCE"/>
    <w:rsid w:val="00BC28AB"/>
    <w:rsid w:val="00BC2DE9"/>
    <w:rsid w:val="00BC32DC"/>
    <w:rsid w:val="00BC35B6"/>
    <w:rsid w:val="00BD1B51"/>
    <w:rsid w:val="00BD228B"/>
    <w:rsid w:val="00BD39E0"/>
    <w:rsid w:val="00BD3EDA"/>
    <w:rsid w:val="00BD4596"/>
    <w:rsid w:val="00BD6E80"/>
    <w:rsid w:val="00BD7262"/>
    <w:rsid w:val="00BD7601"/>
    <w:rsid w:val="00BD7959"/>
    <w:rsid w:val="00BD7C9B"/>
    <w:rsid w:val="00BE0893"/>
    <w:rsid w:val="00BE0D35"/>
    <w:rsid w:val="00BE1073"/>
    <w:rsid w:val="00BE1405"/>
    <w:rsid w:val="00BE1E32"/>
    <w:rsid w:val="00BE312D"/>
    <w:rsid w:val="00BE6FE5"/>
    <w:rsid w:val="00BF1C20"/>
    <w:rsid w:val="00BF3077"/>
    <w:rsid w:val="00C00661"/>
    <w:rsid w:val="00C04F85"/>
    <w:rsid w:val="00C063FA"/>
    <w:rsid w:val="00C0769F"/>
    <w:rsid w:val="00C1013F"/>
    <w:rsid w:val="00C10578"/>
    <w:rsid w:val="00C11D82"/>
    <w:rsid w:val="00C12937"/>
    <w:rsid w:val="00C135BC"/>
    <w:rsid w:val="00C1394F"/>
    <w:rsid w:val="00C13965"/>
    <w:rsid w:val="00C15156"/>
    <w:rsid w:val="00C15C95"/>
    <w:rsid w:val="00C16D03"/>
    <w:rsid w:val="00C172A4"/>
    <w:rsid w:val="00C21E05"/>
    <w:rsid w:val="00C232A4"/>
    <w:rsid w:val="00C24B0A"/>
    <w:rsid w:val="00C2596A"/>
    <w:rsid w:val="00C25DC0"/>
    <w:rsid w:val="00C27537"/>
    <w:rsid w:val="00C2795C"/>
    <w:rsid w:val="00C27BC3"/>
    <w:rsid w:val="00C31CFB"/>
    <w:rsid w:val="00C328FE"/>
    <w:rsid w:val="00C33507"/>
    <w:rsid w:val="00C36B9E"/>
    <w:rsid w:val="00C40BB0"/>
    <w:rsid w:val="00C4409D"/>
    <w:rsid w:val="00C44E72"/>
    <w:rsid w:val="00C45A06"/>
    <w:rsid w:val="00C46216"/>
    <w:rsid w:val="00C47E5B"/>
    <w:rsid w:val="00C510E2"/>
    <w:rsid w:val="00C5145F"/>
    <w:rsid w:val="00C532A3"/>
    <w:rsid w:val="00C55159"/>
    <w:rsid w:val="00C551FE"/>
    <w:rsid w:val="00C56D10"/>
    <w:rsid w:val="00C61E4B"/>
    <w:rsid w:val="00C64BFF"/>
    <w:rsid w:val="00C704E9"/>
    <w:rsid w:val="00C70678"/>
    <w:rsid w:val="00C7147C"/>
    <w:rsid w:val="00C71EEF"/>
    <w:rsid w:val="00C7477C"/>
    <w:rsid w:val="00C753E7"/>
    <w:rsid w:val="00C763C9"/>
    <w:rsid w:val="00C80057"/>
    <w:rsid w:val="00C80442"/>
    <w:rsid w:val="00C82232"/>
    <w:rsid w:val="00C82913"/>
    <w:rsid w:val="00C8431D"/>
    <w:rsid w:val="00C865AC"/>
    <w:rsid w:val="00C86F7B"/>
    <w:rsid w:val="00C90945"/>
    <w:rsid w:val="00C93F8C"/>
    <w:rsid w:val="00C95650"/>
    <w:rsid w:val="00C956D4"/>
    <w:rsid w:val="00C96851"/>
    <w:rsid w:val="00C972B1"/>
    <w:rsid w:val="00C978DC"/>
    <w:rsid w:val="00CA2CCE"/>
    <w:rsid w:val="00CA4248"/>
    <w:rsid w:val="00CA43FD"/>
    <w:rsid w:val="00CA5C1C"/>
    <w:rsid w:val="00CA7EF8"/>
    <w:rsid w:val="00CB195B"/>
    <w:rsid w:val="00CB5645"/>
    <w:rsid w:val="00CB60EA"/>
    <w:rsid w:val="00CB7222"/>
    <w:rsid w:val="00CC1F94"/>
    <w:rsid w:val="00CC3744"/>
    <w:rsid w:val="00CC489B"/>
    <w:rsid w:val="00CC79DD"/>
    <w:rsid w:val="00CD0A76"/>
    <w:rsid w:val="00CD1ED8"/>
    <w:rsid w:val="00CD2BCD"/>
    <w:rsid w:val="00CD2C6B"/>
    <w:rsid w:val="00CD3104"/>
    <w:rsid w:val="00CD3A4C"/>
    <w:rsid w:val="00CD510F"/>
    <w:rsid w:val="00CD7108"/>
    <w:rsid w:val="00CD7AE5"/>
    <w:rsid w:val="00CE10E9"/>
    <w:rsid w:val="00CE1F43"/>
    <w:rsid w:val="00CE2910"/>
    <w:rsid w:val="00CE5393"/>
    <w:rsid w:val="00CF0974"/>
    <w:rsid w:val="00CF0980"/>
    <w:rsid w:val="00CF347A"/>
    <w:rsid w:val="00CF36BE"/>
    <w:rsid w:val="00CF40D3"/>
    <w:rsid w:val="00CF6000"/>
    <w:rsid w:val="00D003F3"/>
    <w:rsid w:val="00D02171"/>
    <w:rsid w:val="00D0364F"/>
    <w:rsid w:val="00D04004"/>
    <w:rsid w:val="00D04204"/>
    <w:rsid w:val="00D060ED"/>
    <w:rsid w:val="00D06834"/>
    <w:rsid w:val="00D1134B"/>
    <w:rsid w:val="00D11796"/>
    <w:rsid w:val="00D138B6"/>
    <w:rsid w:val="00D14B29"/>
    <w:rsid w:val="00D16405"/>
    <w:rsid w:val="00D16527"/>
    <w:rsid w:val="00D20E2B"/>
    <w:rsid w:val="00D23CD8"/>
    <w:rsid w:val="00D308ED"/>
    <w:rsid w:val="00D34A35"/>
    <w:rsid w:val="00D36D86"/>
    <w:rsid w:val="00D412B3"/>
    <w:rsid w:val="00D428AA"/>
    <w:rsid w:val="00D4729F"/>
    <w:rsid w:val="00D50A34"/>
    <w:rsid w:val="00D53EFA"/>
    <w:rsid w:val="00D5407E"/>
    <w:rsid w:val="00D65FDC"/>
    <w:rsid w:val="00D67614"/>
    <w:rsid w:val="00D73C88"/>
    <w:rsid w:val="00D75008"/>
    <w:rsid w:val="00D773E3"/>
    <w:rsid w:val="00D77DD2"/>
    <w:rsid w:val="00D829BE"/>
    <w:rsid w:val="00D83CF7"/>
    <w:rsid w:val="00D84C19"/>
    <w:rsid w:val="00D85A44"/>
    <w:rsid w:val="00D90475"/>
    <w:rsid w:val="00D94A7C"/>
    <w:rsid w:val="00D95896"/>
    <w:rsid w:val="00D961DD"/>
    <w:rsid w:val="00D97019"/>
    <w:rsid w:val="00DA1CE5"/>
    <w:rsid w:val="00DA24FD"/>
    <w:rsid w:val="00DA71C3"/>
    <w:rsid w:val="00DB128E"/>
    <w:rsid w:val="00DB1718"/>
    <w:rsid w:val="00DB2983"/>
    <w:rsid w:val="00DB2F05"/>
    <w:rsid w:val="00DB5D78"/>
    <w:rsid w:val="00DC1257"/>
    <w:rsid w:val="00DC38B1"/>
    <w:rsid w:val="00DC3DC0"/>
    <w:rsid w:val="00DC45D8"/>
    <w:rsid w:val="00DC5B2B"/>
    <w:rsid w:val="00DD0CE1"/>
    <w:rsid w:val="00DD318D"/>
    <w:rsid w:val="00DD6C1A"/>
    <w:rsid w:val="00DE4F8F"/>
    <w:rsid w:val="00DE725D"/>
    <w:rsid w:val="00DF2787"/>
    <w:rsid w:val="00DF2E12"/>
    <w:rsid w:val="00DF514A"/>
    <w:rsid w:val="00DF6690"/>
    <w:rsid w:val="00DF6804"/>
    <w:rsid w:val="00DF7E18"/>
    <w:rsid w:val="00E0358D"/>
    <w:rsid w:val="00E04323"/>
    <w:rsid w:val="00E057AC"/>
    <w:rsid w:val="00E06DB2"/>
    <w:rsid w:val="00E070A2"/>
    <w:rsid w:val="00E163C9"/>
    <w:rsid w:val="00E17270"/>
    <w:rsid w:val="00E219F5"/>
    <w:rsid w:val="00E25B72"/>
    <w:rsid w:val="00E2656A"/>
    <w:rsid w:val="00E26DD3"/>
    <w:rsid w:val="00E27AC9"/>
    <w:rsid w:val="00E27AE7"/>
    <w:rsid w:val="00E3117D"/>
    <w:rsid w:val="00E33233"/>
    <w:rsid w:val="00E33D11"/>
    <w:rsid w:val="00E33D5B"/>
    <w:rsid w:val="00E35B8D"/>
    <w:rsid w:val="00E37921"/>
    <w:rsid w:val="00E412D0"/>
    <w:rsid w:val="00E4132B"/>
    <w:rsid w:val="00E421F0"/>
    <w:rsid w:val="00E4350D"/>
    <w:rsid w:val="00E475E8"/>
    <w:rsid w:val="00E5148B"/>
    <w:rsid w:val="00E56322"/>
    <w:rsid w:val="00E604DD"/>
    <w:rsid w:val="00E60982"/>
    <w:rsid w:val="00E62C62"/>
    <w:rsid w:val="00E630F5"/>
    <w:rsid w:val="00E64A40"/>
    <w:rsid w:val="00E654C1"/>
    <w:rsid w:val="00E65D97"/>
    <w:rsid w:val="00E66737"/>
    <w:rsid w:val="00E71914"/>
    <w:rsid w:val="00E72A5A"/>
    <w:rsid w:val="00E72E7B"/>
    <w:rsid w:val="00E730BD"/>
    <w:rsid w:val="00E73354"/>
    <w:rsid w:val="00E73C15"/>
    <w:rsid w:val="00E75191"/>
    <w:rsid w:val="00E83590"/>
    <w:rsid w:val="00E8619B"/>
    <w:rsid w:val="00E86855"/>
    <w:rsid w:val="00E87D07"/>
    <w:rsid w:val="00E9010C"/>
    <w:rsid w:val="00E91BAD"/>
    <w:rsid w:val="00E9242D"/>
    <w:rsid w:val="00E944CB"/>
    <w:rsid w:val="00E94899"/>
    <w:rsid w:val="00E95231"/>
    <w:rsid w:val="00EA519F"/>
    <w:rsid w:val="00EA58C9"/>
    <w:rsid w:val="00EA7350"/>
    <w:rsid w:val="00EB1C70"/>
    <w:rsid w:val="00EB5255"/>
    <w:rsid w:val="00EB5C47"/>
    <w:rsid w:val="00EB686A"/>
    <w:rsid w:val="00EB7645"/>
    <w:rsid w:val="00EC1C31"/>
    <w:rsid w:val="00EC6ED8"/>
    <w:rsid w:val="00ED0639"/>
    <w:rsid w:val="00ED3488"/>
    <w:rsid w:val="00ED3D2D"/>
    <w:rsid w:val="00ED7EEC"/>
    <w:rsid w:val="00EE141E"/>
    <w:rsid w:val="00EE26D4"/>
    <w:rsid w:val="00EE5D1E"/>
    <w:rsid w:val="00EF0410"/>
    <w:rsid w:val="00EF0C35"/>
    <w:rsid w:val="00EF4755"/>
    <w:rsid w:val="00EF7135"/>
    <w:rsid w:val="00F00AD5"/>
    <w:rsid w:val="00F01B50"/>
    <w:rsid w:val="00F027DB"/>
    <w:rsid w:val="00F077E9"/>
    <w:rsid w:val="00F14484"/>
    <w:rsid w:val="00F14A7A"/>
    <w:rsid w:val="00F22515"/>
    <w:rsid w:val="00F22985"/>
    <w:rsid w:val="00F22C37"/>
    <w:rsid w:val="00F24881"/>
    <w:rsid w:val="00F25A69"/>
    <w:rsid w:val="00F32A3E"/>
    <w:rsid w:val="00F3383E"/>
    <w:rsid w:val="00F35184"/>
    <w:rsid w:val="00F35641"/>
    <w:rsid w:val="00F37801"/>
    <w:rsid w:val="00F40A2C"/>
    <w:rsid w:val="00F411B8"/>
    <w:rsid w:val="00F4457F"/>
    <w:rsid w:val="00F45084"/>
    <w:rsid w:val="00F465A7"/>
    <w:rsid w:val="00F4688B"/>
    <w:rsid w:val="00F50B7C"/>
    <w:rsid w:val="00F51FD3"/>
    <w:rsid w:val="00F550E6"/>
    <w:rsid w:val="00F60EF9"/>
    <w:rsid w:val="00F61043"/>
    <w:rsid w:val="00F63938"/>
    <w:rsid w:val="00F652C9"/>
    <w:rsid w:val="00F67B32"/>
    <w:rsid w:val="00F7151E"/>
    <w:rsid w:val="00F71C1E"/>
    <w:rsid w:val="00F73785"/>
    <w:rsid w:val="00F74345"/>
    <w:rsid w:val="00F80A0A"/>
    <w:rsid w:val="00F80A8D"/>
    <w:rsid w:val="00F81941"/>
    <w:rsid w:val="00F82B19"/>
    <w:rsid w:val="00F87A50"/>
    <w:rsid w:val="00F9212D"/>
    <w:rsid w:val="00F955E6"/>
    <w:rsid w:val="00F965DA"/>
    <w:rsid w:val="00FA406A"/>
    <w:rsid w:val="00FA7DB2"/>
    <w:rsid w:val="00FB147B"/>
    <w:rsid w:val="00FB155A"/>
    <w:rsid w:val="00FB1D39"/>
    <w:rsid w:val="00FB2EFD"/>
    <w:rsid w:val="00FB430B"/>
    <w:rsid w:val="00FB503A"/>
    <w:rsid w:val="00FB516C"/>
    <w:rsid w:val="00FB5261"/>
    <w:rsid w:val="00FC0F2C"/>
    <w:rsid w:val="00FC67D0"/>
    <w:rsid w:val="00FC6F29"/>
    <w:rsid w:val="00FC7125"/>
    <w:rsid w:val="00FC7793"/>
    <w:rsid w:val="00FD0236"/>
    <w:rsid w:val="00FD06B6"/>
    <w:rsid w:val="00FD18F4"/>
    <w:rsid w:val="00FD3FDD"/>
    <w:rsid w:val="00FD54DB"/>
    <w:rsid w:val="00FD5B79"/>
    <w:rsid w:val="00FD619F"/>
    <w:rsid w:val="00FE083A"/>
    <w:rsid w:val="00FE34CC"/>
    <w:rsid w:val="00FE6B85"/>
    <w:rsid w:val="00FE6CFF"/>
    <w:rsid w:val="00FE72F1"/>
    <w:rsid w:val="00FF087E"/>
    <w:rsid w:val="00FF120B"/>
    <w:rsid w:val="00FF34CD"/>
    <w:rsid w:val="00FF6A71"/>
    <w:rsid w:val="00FF74E3"/>
    <w:rsid w:val="00FF7EB9"/>
    <w:rsid w:val="01290F7E"/>
    <w:rsid w:val="0137526A"/>
    <w:rsid w:val="013E37BC"/>
    <w:rsid w:val="0150538F"/>
    <w:rsid w:val="015D1E09"/>
    <w:rsid w:val="02377801"/>
    <w:rsid w:val="02522030"/>
    <w:rsid w:val="02697903"/>
    <w:rsid w:val="028574C3"/>
    <w:rsid w:val="02F96569"/>
    <w:rsid w:val="0363602F"/>
    <w:rsid w:val="03D575A8"/>
    <w:rsid w:val="03EA7B21"/>
    <w:rsid w:val="042C6A47"/>
    <w:rsid w:val="043B7098"/>
    <w:rsid w:val="045D2E23"/>
    <w:rsid w:val="04B70785"/>
    <w:rsid w:val="04E918D9"/>
    <w:rsid w:val="053F3E7B"/>
    <w:rsid w:val="05F83EAE"/>
    <w:rsid w:val="063E7D85"/>
    <w:rsid w:val="07293586"/>
    <w:rsid w:val="07295285"/>
    <w:rsid w:val="075C3866"/>
    <w:rsid w:val="07636392"/>
    <w:rsid w:val="07770C56"/>
    <w:rsid w:val="079F2F95"/>
    <w:rsid w:val="07FE3B0C"/>
    <w:rsid w:val="089875FF"/>
    <w:rsid w:val="089A6286"/>
    <w:rsid w:val="08CE475D"/>
    <w:rsid w:val="08F51FD8"/>
    <w:rsid w:val="092217DD"/>
    <w:rsid w:val="093A7294"/>
    <w:rsid w:val="09FE442E"/>
    <w:rsid w:val="0A263993"/>
    <w:rsid w:val="0A2D3AC2"/>
    <w:rsid w:val="0A764829"/>
    <w:rsid w:val="0AA755DF"/>
    <w:rsid w:val="0AC76D41"/>
    <w:rsid w:val="0B082A4D"/>
    <w:rsid w:val="0B120D44"/>
    <w:rsid w:val="0B1B0ACB"/>
    <w:rsid w:val="0B7F6074"/>
    <w:rsid w:val="0BD27BF6"/>
    <w:rsid w:val="0C1C0045"/>
    <w:rsid w:val="0C3B3C7D"/>
    <w:rsid w:val="0C826DF6"/>
    <w:rsid w:val="0CAB2EAE"/>
    <w:rsid w:val="0CFD4FAB"/>
    <w:rsid w:val="0D3800FF"/>
    <w:rsid w:val="0D5224F1"/>
    <w:rsid w:val="0D5B412C"/>
    <w:rsid w:val="0D621C7D"/>
    <w:rsid w:val="0DB55343"/>
    <w:rsid w:val="0DED346A"/>
    <w:rsid w:val="0DEF37FE"/>
    <w:rsid w:val="0E39220B"/>
    <w:rsid w:val="0E73034D"/>
    <w:rsid w:val="0E772D33"/>
    <w:rsid w:val="0E997990"/>
    <w:rsid w:val="0F13775A"/>
    <w:rsid w:val="0F5F45FE"/>
    <w:rsid w:val="0F8E77BD"/>
    <w:rsid w:val="0F9A112B"/>
    <w:rsid w:val="0FEA3E03"/>
    <w:rsid w:val="106D2F64"/>
    <w:rsid w:val="107F387C"/>
    <w:rsid w:val="10B63710"/>
    <w:rsid w:val="10F10820"/>
    <w:rsid w:val="111C2F7A"/>
    <w:rsid w:val="11635029"/>
    <w:rsid w:val="11665CA1"/>
    <w:rsid w:val="11B20C52"/>
    <w:rsid w:val="11CE5360"/>
    <w:rsid w:val="122D2087"/>
    <w:rsid w:val="127919E9"/>
    <w:rsid w:val="13806610"/>
    <w:rsid w:val="13951726"/>
    <w:rsid w:val="142F20C8"/>
    <w:rsid w:val="14396509"/>
    <w:rsid w:val="14441347"/>
    <w:rsid w:val="14466400"/>
    <w:rsid w:val="14810F0A"/>
    <w:rsid w:val="14DD2C3C"/>
    <w:rsid w:val="14F06316"/>
    <w:rsid w:val="151D3FC6"/>
    <w:rsid w:val="15493258"/>
    <w:rsid w:val="158D0BB8"/>
    <w:rsid w:val="16087E1D"/>
    <w:rsid w:val="16797E6D"/>
    <w:rsid w:val="16CC55AB"/>
    <w:rsid w:val="16DE5545"/>
    <w:rsid w:val="171B3B2B"/>
    <w:rsid w:val="17701D14"/>
    <w:rsid w:val="17735226"/>
    <w:rsid w:val="1785372B"/>
    <w:rsid w:val="17E04A26"/>
    <w:rsid w:val="182D44E1"/>
    <w:rsid w:val="189F624C"/>
    <w:rsid w:val="18FF663F"/>
    <w:rsid w:val="192B2350"/>
    <w:rsid w:val="193726FE"/>
    <w:rsid w:val="19901D97"/>
    <w:rsid w:val="19BE5B5F"/>
    <w:rsid w:val="19DB6EE1"/>
    <w:rsid w:val="1A1C66C0"/>
    <w:rsid w:val="1A3C30A2"/>
    <w:rsid w:val="1A42393B"/>
    <w:rsid w:val="1AAD45DE"/>
    <w:rsid w:val="1B046F80"/>
    <w:rsid w:val="1B193F63"/>
    <w:rsid w:val="1B3267B5"/>
    <w:rsid w:val="1B40161D"/>
    <w:rsid w:val="1B441859"/>
    <w:rsid w:val="1B553896"/>
    <w:rsid w:val="1B5B562D"/>
    <w:rsid w:val="1B6606B1"/>
    <w:rsid w:val="1C5E7925"/>
    <w:rsid w:val="1C65657D"/>
    <w:rsid w:val="1C726675"/>
    <w:rsid w:val="1C9621C9"/>
    <w:rsid w:val="1CFD070F"/>
    <w:rsid w:val="1D5F6196"/>
    <w:rsid w:val="1D6132A5"/>
    <w:rsid w:val="1D773E06"/>
    <w:rsid w:val="1D8E56D5"/>
    <w:rsid w:val="1DF75EC8"/>
    <w:rsid w:val="1E7A43DA"/>
    <w:rsid w:val="1E8226F2"/>
    <w:rsid w:val="1F7937F8"/>
    <w:rsid w:val="1F890B18"/>
    <w:rsid w:val="1FB278AE"/>
    <w:rsid w:val="1FC77FCF"/>
    <w:rsid w:val="1FE7539E"/>
    <w:rsid w:val="200201F7"/>
    <w:rsid w:val="20096BD7"/>
    <w:rsid w:val="202D09FC"/>
    <w:rsid w:val="204E28A5"/>
    <w:rsid w:val="20671BE0"/>
    <w:rsid w:val="20743577"/>
    <w:rsid w:val="208E0EBC"/>
    <w:rsid w:val="20915ED7"/>
    <w:rsid w:val="20945B84"/>
    <w:rsid w:val="20963CB8"/>
    <w:rsid w:val="20A81A1B"/>
    <w:rsid w:val="20B07FB6"/>
    <w:rsid w:val="20B646FB"/>
    <w:rsid w:val="20CA5199"/>
    <w:rsid w:val="213B74B1"/>
    <w:rsid w:val="21435B4D"/>
    <w:rsid w:val="215A2310"/>
    <w:rsid w:val="21704B58"/>
    <w:rsid w:val="21DE318A"/>
    <w:rsid w:val="21EF5B80"/>
    <w:rsid w:val="223D6B64"/>
    <w:rsid w:val="22576990"/>
    <w:rsid w:val="229F70B5"/>
    <w:rsid w:val="22EF194B"/>
    <w:rsid w:val="22F47480"/>
    <w:rsid w:val="22FB7C58"/>
    <w:rsid w:val="23113F21"/>
    <w:rsid w:val="23BA5744"/>
    <w:rsid w:val="23D526B5"/>
    <w:rsid w:val="23D6224E"/>
    <w:rsid w:val="23DE1C48"/>
    <w:rsid w:val="240210CD"/>
    <w:rsid w:val="24177B8D"/>
    <w:rsid w:val="242B4894"/>
    <w:rsid w:val="243F70C7"/>
    <w:rsid w:val="24BF09F7"/>
    <w:rsid w:val="24DC2BEE"/>
    <w:rsid w:val="252D53FE"/>
    <w:rsid w:val="2544256B"/>
    <w:rsid w:val="25A641D2"/>
    <w:rsid w:val="25A76DF1"/>
    <w:rsid w:val="25E3720E"/>
    <w:rsid w:val="25EC2D81"/>
    <w:rsid w:val="26502390"/>
    <w:rsid w:val="26D23C48"/>
    <w:rsid w:val="27324514"/>
    <w:rsid w:val="2732592F"/>
    <w:rsid w:val="277057A2"/>
    <w:rsid w:val="277F3856"/>
    <w:rsid w:val="278C2ECF"/>
    <w:rsid w:val="27E01646"/>
    <w:rsid w:val="27F356C9"/>
    <w:rsid w:val="28187D31"/>
    <w:rsid w:val="29206EB8"/>
    <w:rsid w:val="29595666"/>
    <w:rsid w:val="296D6D34"/>
    <w:rsid w:val="29874881"/>
    <w:rsid w:val="299F44C3"/>
    <w:rsid w:val="29E325E0"/>
    <w:rsid w:val="29F651E7"/>
    <w:rsid w:val="2A3315BD"/>
    <w:rsid w:val="2A44580D"/>
    <w:rsid w:val="2A452503"/>
    <w:rsid w:val="2A80608C"/>
    <w:rsid w:val="2A9D52F5"/>
    <w:rsid w:val="2B536BB8"/>
    <w:rsid w:val="2BA936A8"/>
    <w:rsid w:val="2BB807BB"/>
    <w:rsid w:val="2C315A5A"/>
    <w:rsid w:val="2C4B1C25"/>
    <w:rsid w:val="2C7A2802"/>
    <w:rsid w:val="2CF27E09"/>
    <w:rsid w:val="2D8E5ED2"/>
    <w:rsid w:val="2D9E56F5"/>
    <w:rsid w:val="2DCB7498"/>
    <w:rsid w:val="2E324EA7"/>
    <w:rsid w:val="2E667F96"/>
    <w:rsid w:val="2E8226AB"/>
    <w:rsid w:val="2F683B53"/>
    <w:rsid w:val="2F6F008E"/>
    <w:rsid w:val="2FBA2933"/>
    <w:rsid w:val="2FD065E6"/>
    <w:rsid w:val="2FD96870"/>
    <w:rsid w:val="30580BC9"/>
    <w:rsid w:val="305C3808"/>
    <w:rsid w:val="30997843"/>
    <w:rsid w:val="311E2ED7"/>
    <w:rsid w:val="31372837"/>
    <w:rsid w:val="315619EE"/>
    <w:rsid w:val="315C449C"/>
    <w:rsid w:val="31810708"/>
    <w:rsid w:val="31992E8C"/>
    <w:rsid w:val="31B82709"/>
    <w:rsid w:val="31C80003"/>
    <w:rsid w:val="31D00B1D"/>
    <w:rsid w:val="31D05482"/>
    <w:rsid w:val="31D334E8"/>
    <w:rsid w:val="32035783"/>
    <w:rsid w:val="323006C2"/>
    <w:rsid w:val="32400B34"/>
    <w:rsid w:val="32944FED"/>
    <w:rsid w:val="329E6876"/>
    <w:rsid w:val="32A10AC2"/>
    <w:rsid w:val="32CF7DD0"/>
    <w:rsid w:val="32FA748F"/>
    <w:rsid w:val="33196460"/>
    <w:rsid w:val="333015F2"/>
    <w:rsid w:val="334B6320"/>
    <w:rsid w:val="33D934D4"/>
    <w:rsid w:val="33FE2F6A"/>
    <w:rsid w:val="340E07E5"/>
    <w:rsid w:val="34235BF7"/>
    <w:rsid w:val="3478634A"/>
    <w:rsid w:val="34791FA1"/>
    <w:rsid w:val="34A83397"/>
    <w:rsid w:val="34B2655B"/>
    <w:rsid w:val="34BB30CA"/>
    <w:rsid w:val="35341A72"/>
    <w:rsid w:val="353D288A"/>
    <w:rsid w:val="355C48AD"/>
    <w:rsid w:val="358C5FA8"/>
    <w:rsid w:val="35976176"/>
    <w:rsid w:val="35C15DF1"/>
    <w:rsid w:val="36074A7F"/>
    <w:rsid w:val="36174C78"/>
    <w:rsid w:val="361F6654"/>
    <w:rsid w:val="36923549"/>
    <w:rsid w:val="36B75FBF"/>
    <w:rsid w:val="36BD0C45"/>
    <w:rsid w:val="37405B09"/>
    <w:rsid w:val="37E00298"/>
    <w:rsid w:val="37F439C3"/>
    <w:rsid w:val="389A0A2C"/>
    <w:rsid w:val="38B302F9"/>
    <w:rsid w:val="38D95938"/>
    <w:rsid w:val="38E32A48"/>
    <w:rsid w:val="38EF0754"/>
    <w:rsid w:val="38F12CD3"/>
    <w:rsid w:val="38F94775"/>
    <w:rsid w:val="392971ED"/>
    <w:rsid w:val="39325651"/>
    <w:rsid w:val="39DC7D6B"/>
    <w:rsid w:val="3A1D150D"/>
    <w:rsid w:val="3A211511"/>
    <w:rsid w:val="3A3955A3"/>
    <w:rsid w:val="3A872856"/>
    <w:rsid w:val="3A9515E3"/>
    <w:rsid w:val="3B3763D1"/>
    <w:rsid w:val="3B4901D3"/>
    <w:rsid w:val="3C1F03E3"/>
    <w:rsid w:val="3C2E0BB7"/>
    <w:rsid w:val="3C2F6E1E"/>
    <w:rsid w:val="3C3D5884"/>
    <w:rsid w:val="3C412236"/>
    <w:rsid w:val="3C4C0CDA"/>
    <w:rsid w:val="3C4F64BA"/>
    <w:rsid w:val="3C687763"/>
    <w:rsid w:val="3CDA245A"/>
    <w:rsid w:val="3CE0159D"/>
    <w:rsid w:val="3D1E06B7"/>
    <w:rsid w:val="3D1E5025"/>
    <w:rsid w:val="3D505024"/>
    <w:rsid w:val="3E031D82"/>
    <w:rsid w:val="3E586B70"/>
    <w:rsid w:val="3E752F1A"/>
    <w:rsid w:val="3EB46F1C"/>
    <w:rsid w:val="3EDA0523"/>
    <w:rsid w:val="3F2A1578"/>
    <w:rsid w:val="3F375A43"/>
    <w:rsid w:val="3F3E3276"/>
    <w:rsid w:val="3F916E16"/>
    <w:rsid w:val="3F920C1A"/>
    <w:rsid w:val="404604EA"/>
    <w:rsid w:val="4061721C"/>
    <w:rsid w:val="407A6407"/>
    <w:rsid w:val="40CD62FB"/>
    <w:rsid w:val="410D73A4"/>
    <w:rsid w:val="414D073C"/>
    <w:rsid w:val="41D50F30"/>
    <w:rsid w:val="41E579D9"/>
    <w:rsid w:val="41E978CA"/>
    <w:rsid w:val="41F80B0E"/>
    <w:rsid w:val="4200449D"/>
    <w:rsid w:val="422830F8"/>
    <w:rsid w:val="423A3BCC"/>
    <w:rsid w:val="424E3828"/>
    <w:rsid w:val="424E57D2"/>
    <w:rsid w:val="42B26C49"/>
    <w:rsid w:val="433A6FE6"/>
    <w:rsid w:val="43480868"/>
    <w:rsid w:val="4350713C"/>
    <w:rsid w:val="436653E0"/>
    <w:rsid w:val="437D173B"/>
    <w:rsid w:val="4387343D"/>
    <w:rsid w:val="43C4431A"/>
    <w:rsid w:val="4460505A"/>
    <w:rsid w:val="44B951CC"/>
    <w:rsid w:val="44CD14E0"/>
    <w:rsid w:val="44F2035A"/>
    <w:rsid w:val="44F20B0B"/>
    <w:rsid w:val="452276B8"/>
    <w:rsid w:val="452E5F4C"/>
    <w:rsid w:val="45612018"/>
    <w:rsid w:val="458946E9"/>
    <w:rsid w:val="45A47C0E"/>
    <w:rsid w:val="45B44682"/>
    <w:rsid w:val="46295549"/>
    <w:rsid w:val="46577FD6"/>
    <w:rsid w:val="46842B5E"/>
    <w:rsid w:val="46BA6D28"/>
    <w:rsid w:val="46D12A1E"/>
    <w:rsid w:val="46D955A7"/>
    <w:rsid w:val="470C0F12"/>
    <w:rsid w:val="47133957"/>
    <w:rsid w:val="47A07E0C"/>
    <w:rsid w:val="47BC11DC"/>
    <w:rsid w:val="47DE129B"/>
    <w:rsid w:val="47E6346D"/>
    <w:rsid w:val="4870272E"/>
    <w:rsid w:val="490E0704"/>
    <w:rsid w:val="49105B22"/>
    <w:rsid w:val="49D07D6C"/>
    <w:rsid w:val="49DC7715"/>
    <w:rsid w:val="49E300E6"/>
    <w:rsid w:val="49EF5C75"/>
    <w:rsid w:val="4A023139"/>
    <w:rsid w:val="4A7B576F"/>
    <w:rsid w:val="4AF561A9"/>
    <w:rsid w:val="4AFF007F"/>
    <w:rsid w:val="4BD80323"/>
    <w:rsid w:val="4BF321FA"/>
    <w:rsid w:val="4C0F4821"/>
    <w:rsid w:val="4C242A08"/>
    <w:rsid w:val="4C4A0649"/>
    <w:rsid w:val="4C7E5ECA"/>
    <w:rsid w:val="4C87278F"/>
    <w:rsid w:val="4C876AA5"/>
    <w:rsid w:val="4CD75DB7"/>
    <w:rsid w:val="4D0E00FB"/>
    <w:rsid w:val="4D176606"/>
    <w:rsid w:val="4D4E2A4B"/>
    <w:rsid w:val="4D55605F"/>
    <w:rsid w:val="4D762D1F"/>
    <w:rsid w:val="4DEC4FB0"/>
    <w:rsid w:val="4E075D8A"/>
    <w:rsid w:val="4E0D1423"/>
    <w:rsid w:val="4E703926"/>
    <w:rsid w:val="4E72048D"/>
    <w:rsid w:val="4E834801"/>
    <w:rsid w:val="4E834B33"/>
    <w:rsid w:val="4E89323B"/>
    <w:rsid w:val="4EC00FAD"/>
    <w:rsid w:val="4EEC768B"/>
    <w:rsid w:val="4F9843DC"/>
    <w:rsid w:val="4FA547AA"/>
    <w:rsid w:val="4FA74E45"/>
    <w:rsid w:val="4FC62A8C"/>
    <w:rsid w:val="4FE20F0D"/>
    <w:rsid w:val="4FE51552"/>
    <w:rsid w:val="500E0901"/>
    <w:rsid w:val="50504C4B"/>
    <w:rsid w:val="509C6E7C"/>
    <w:rsid w:val="512109BA"/>
    <w:rsid w:val="51253754"/>
    <w:rsid w:val="5162104E"/>
    <w:rsid w:val="51AE3790"/>
    <w:rsid w:val="51FE4423"/>
    <w:rsid w:val="52535498"/>
    <w:rsid w:val="534B2335"/>
    <w:rsid w:val="53924F4E"/>
    <w:rsid w:val="53A039CC"/>
    <w:rsid w:val="53A1505A"/>
    <w:rsid w:val="53A3470E"/>
    <w:rsid w:val="53DF7140"/>
    <w:rsid w:val="53E61156"/>
    <w:rsid w:val="54063E08"/>
    <w:rsid w:val="543437E8"/>
    <w:rsid w:val="546724CF"/>
    <w:rsid w:val="54942D45"/>
    <w:rsid w:val="54F73313"/>
    <w:rsid w:val="54F80955"/>
    <w:rsid w:val="55400858"/>
    <w:rsid w:val="555170A7"/>
    <w:rsid w:val="5587536D"/>
    <w:rsid w:val="558E5EB4"/>
    <w:rsid w:val="559B174B"/>
    <w:rsid w:val="55CA55E3"/>
    <w:rsid w:val="55CE0CF4"/>
    <w:rsid w:val="56B22A9C"/>
    <w:rsid w:val="56C8194B"/>
    <w:rsid w:val="56E21D8F"/>
    <w:rsid w:val="56FC7846"/>
    <w:rsid w:val="57234DD3"/>
    <w:rsid w:val="577A2421"/>
    <w:rsid w:val="578F7B94"/>
    <w:rsid w:val="57B72A76"/>
    <w:rsid w:val="57BA1021"/>
    <w:rsid w:val="57C3426C"/>
    <w:rsid w:val="57C4169F"/>
    <w:rsid w:val="57CE1F93"/>
    <w:rsid w:val="5811099E"/>
    <w:rsid w:val="58347133"/>
    <w:rsid w:val="588743D1"/>
    <w:rsid w:val="5887701A"/>
    <w:rsid w:val="58893182"/>
    <w:rsid w:val="589A3E4B"/>
    <w:rsid w:val="58A5592A"/>
    <w:rsid w:val="58CF5B1A"/>
    <w:rsid w:val="591B0458"/>
    <w:rsid w:val="59901943"/>
    <w:rsid w:val="59962FD7"/>
    <w:rsid w:val="599871FE"/>
    <w:rsid w:val="59C0439F"/>
    <w:rsid w:val="59D51C67"/>
    <w:rsid w:val="5A395BB9"/>
    <w:rsid w:val="5A3C52E4"/>
    <w:rsid w:val="5AAC3425"/>
    <w:rsid w:val="5ABE2233"/>
    <w:rsid w:val="5AEA4B7B"/>
    <w:rsid w:val="5BDF5D95"/>
    <w:rsid w:val="5BFE7528"/>
    <w:rsid w:val="5C273CA6"/>
    <w:rsid w:val="5C5D3CDF"/>
    <w:rsid w:val="5C5D5A4E"/>
    <w:rsid w:val="5D2366C0"/>
    <w:rsid w:val="5E2467F1"/>
    <w:rsid w:val="5E5E7ECE"/>
    <w:rsid w:val="5E8734A4"/>
    <w:rsid w:val="5EDD7B08"/>
    <w:rsid w:val="5EE04E38"/>
    <w:rsid w:val="5EE72B8A"/>
    <w:rsid w:val="5EEB267A"/>
    <w:rsid w:val="5F092B01"/>
    <w:rsid w:val="5F1A2B43"/>
    <w:rsid w:val="5F8F5E07"/>
    <w:rsid w:val="5FB837BB"/>
    <w:rsid w:val="601700BB"/>
    <w:rsid w:val="6042276E"/>
    <w:rsid w:val="60924059"/>
    <w:rsid w:val="60AE73AF"/>
    <w:rsid w:val="60CC405A"/>
    <w:rsid w:val="60D721F3"/>
    <w:rsid w:val="60FE73F7"/>
    <w:rsid w:val="618F5C3A"/>
    <w:rsid w:val="61E215D8"/>
    <w:rsid w:val="621B3775"/>
    <w:rsid w:val="62364782"/>
    <w:rsid w:val="6243103D"/>
    <w:rsid w:val="62856942"/>
    <w:rsid w:val="62BA2B36"/>
    <w:rsid w:val="62CD6197"/>
    <w:rsid w:val="630755A9"/>
    <w:rsid w:val="6373427A"/>
    <w:rsid w:val="6394356A"/>
    <w:rsid w:val="63C61B2C"/>
    <w:rsid w:val="63D40BE9"/>
    <w:rsid w:val="63E63410"/>
    <w:rsid w:val="64102431"/>
    <w:rsid w:val="64596FA2"/>
    <w:rsid w:val="64632CB3"/>
    <w:rsid w:val="64A5243A"/>
    <w:rsid w:val="64F531DE"/>
    <w:rsid w:val="65373578"/>
    <w:rsid w:val="655414D3"/>
    <w:rsid w:val="66410B68"/>
    <w:rsid w:val="671F124A"/>
    <w:rsid w:val="67332E10"/>
    <w:rsid w:val="677A33C6"/>
    <w:rsid w:val="67E65CFE"/>
    <w:rsid w:val="681E5969"/>
    <w:rsid w:val="681F6961"/>
    <w:rsid w:val="68456044"/>
    <w:rsid w:val="68610A2F"/>
    <w:rsid w:val="68805514"/>
    <w:rsid w:val="69316E2F"/>
    <w:rsid w:val="694E2071"/>
    <w:rsid w:val="69766163"/>
    <w:rsid w:val="697A3B33"/>
    <w:rsid w:val="69833C19"/>
    <w:rsid w:val="69D44760"/>
    <w:rsid w:val="6A2272CF"/>
    <w:rsid w:val="6A283922"/>
    <w:rsid w:val="6A520EC7"/>
    <w:rsid w:val="6A7D43A6"/>
    <w:rsid w:val="6A886F12"/>
    <w:rsid w:val="6AF87E20"/>
    <w:rsid w:val="6B322639"/>
    <w:rsid w:val="6B5A6592"/>
    <w:rsid w:val="6B5E6668"/>
    <w:rsid w:val="6C5632A7"/>
    <w:rsid w:val="6C636C38"/>
    <w:rsid w:val="6C692BA0"/>
    <w:rsid w:val="6D326EE0"/>
    <w:rsid w:val="6DB34098"/>
    <w:rsid w:val="6DB545B6"/>
    <w:rsid w:val="6DC21A35"/>
    <w:rsid w:val="6DE02FB4"/>
    <w:rsid w:val="6E11579E"/>
    <w:rsid w:val="6E514CED"/>
    <w:rsid w:val="6EB563D5"/>
    <w:rsid w:val="6EBE595A"/>
    <w:rsid w:val="6ED92677"/>
    <w:rsid w:val="6EE97FE6"/>
    <w:rsid w:val="6EEF2369"/>
    <w:rsid w:val="6F2030BB"/>
    <w:rsid w:val="6F225983"/>
    <w:rsid w:val="6F546CE6"/>
    <w:rsid w:val="6F5712A5"/>
    <w:rsid w:val="6FA77523"/>
    <w:rsid w:val="6FC34F4E"/>
    <w:rsid w:val="6FFC5590"/>
    <w:rsid w:val="706D1DD0"/>
    <w:rsid w:val="70856B87"/>
    <w:rsid w:val="70D527EE"/>
    <w:rsid w:val="71515828"/>
    <w:rsid w:val="715B5300"/>
    <w:rsid w:val="71BA38D3"/>
    <w:rsid w:val="71D018B2"/>
    <w:rsid w:val="71D27F8A"/>
    <w:rsid w:val="72553024"/>
    <w:rsid w:val="72BF3B90"/>
    <w:rsid w:val="72C62AB1"/>
    <w:rsid w:val="72D11FC9"/>
    <w:rsid w:val="73121E32"/>
    <w:rsid w:val="73122968"/>
    <w:rsid w:val="731F5D5E"/>
    <w:rsid w:val="738F5E5F"/>
    <w:rsid w:val="73C51AD5"/>
    <w:rsid w:val="741E793C"/>
    <w:rsid w:val="745E3944"/>
    <w:rsid w:val="74843383"/>
    <w:rsid w:val="7484746E"/>
    <w:rsid w:val="74BC2F12"/>
    <w:rsid w:val="75345D95"/>
    <w:rsid w:val="756B6188"/>
    <w:rsid w:val="75BC0475"/>
    <w:rsid w:val="75F174B2"/>
    <w:rsid w:val="760D6E9A"/>
    <w:rsid w:val="761E32B2"/>
    <w:rsid w:val="762D1373"/>
    <w:rsid w:val="7635099D"/>
    <w:rsid w:val="769953D4"/>
    <w:rsid w:val="76BB1721"/>
    <w:rsid w:val="77242776"/>
    <w:rsid w:val="77762421"/>
    <w:rsid w:val="77B56B1F"/>
    <w:rsid w:val="780F09F4"/>
    <w:rsid w:val="781E5417"/>
    <w:rsid w:val="78A90480"/>
    <w:rsid w:val="795D5ACB"/>
    <w:rsid w:val="79BC4EE7"/>
    <w:rsid w:val="79E67C45"/>
    <w:rsid w:val="79EE5DFB"/>
    <w:rsid w:val="79FE4CC8"/>
    <w:rsid w:val="7A364017"/>
    <w:rsid w:val="7A7255A6"/>
    <w:rsid w:val="7A81567D"/>
    <w:rsid w:val="7A8265E1"/>
    <w:rsid w:val="7AE66C7D"/>
    <w:rsid w:val="7B112778"/>
    <w:rsid w:val="7B686D42"/>
    <w:rsid w:val="7B7B625F"/>
    <w:rsid w:val="7B841746"/>
    <w:rsid w:val="7BC462D5"/>
    <w:rsid w:val="7C4E2956"/>
    <w:rsid w:val="7C6A6C95"/>
    <w:rsid w:val="7C6C5AC7"/>
    <w:rsid w:val="7CBC1E8E"/>
    <w:rsid w:val="7CC6544B"/>
    <w:rsid w:val="7D0239FF"/>
    <w:rsid w:val="7D206FA9"/>
    <w:rsid w:val="7D5E40CD"/>
    <w:rsid w:val="7DCD56F2"/>
    <w:rsid w:val="7E0C7AC0"/>
    <w:rsid w:val="7E270B45"/>
    <w:rsid w:val="7EB31CCF"/>
    <w:rsid w:val="7F001CE7"/>
    <w:rsid w:val="7F1B454B"/>
    <w:rsid w:val="7F1C30E2"/>
    <w:rsid w:val="7FBB14BD"/>
    <w:rsid w:val="7FE47E5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doNotEmbedSmartTag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ocked="1"/>
    <w:lsdException w:qFormat="1" w:uiPriority="0" w:name="heading 2" w:locked="1"/>
    <w:lsdException w:qFormat="1" w:uiPriority="0" w:name="heading 3" w:locked="1"/>
    <w:lsdException w:qFormat="1" w:unhideWhenUsed="0" w:uiPriority="0" w:semiHidden="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nhideWhenUsed="0" w:uiPriority="0" w:semiHidden="0" w:name="index 1" w:locked="1"/>
    <w:lsdException w:unhideWhenUsed="0" w:uiPriority="0" w:semiHidden="0" w:name="index 2" w:locked="1"/>
    <w:lsdException w:unhideWhenUsed="0" w:uiPriority="0" w:semiHidden="0" w:name="index 3" w:locked="1"/>
    <w:lsdException w:unhideWhenUsed="0" w:uiPriority="0" w:semiHidden="0" w:name="index 4" w:locked="1"/>
    <w:lsdException w:unhideWhenUsed="0" w:uiPriority="0" w:semiHidden="0" w:name="index 5" w:locked="1"/>
    <w:lsdException w:unhideWhenUsed="0" w:uiPriority="0" w:semiHidden="0" w:name="index 6" w:locked="1"/>
    <w:lsdException w:unhideWhenUsed="0" w:uiPriority="0" w:semiHidden="0" w:name="index 7" w:locked="1"/>
    <w:lsdException w:unhideWhenUsed="0" w:uiPriority="0" w:semiHidden="0" w:name="index 8" w:locked="1"/>
    <w:lsdException w:unhideWhenUsed="0" w:uiPriority="0" w:semiHidden="0" w:name="index 9" w:locked="1"/>
    <w:lsdException w:qFormat="1" w:unhideWhenUsed="0" w:uiPriority="39"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qFormat="1" w:unhideWhenUsed="0" w:uiPriority="99" w:semiHidden="0" w:name="Normal Indent" w:locked="1"/>
    <w:lsdException w:unhideWhenUsed="0" w:uiPriority="0" w:semiHidden="0" w:name="footnote text" w:locked="1"/>
    <w:lsdException w:qFormat="1" w:unhideWhenUsed="0" w:uiPriority="0" w:name="annotation text"/>
    <w:lsdException w:qFormat="1" w:unhideWhenUsed="0" w:uiPriority="0" w:semiHidden="0" w:name="header"/>
    <w:lsdException w:qFormat="1" w:unhideWhenUsed="0" w:uiPriority="99" w:semiHidden="0" w:name="footer"/>
    <w:lsdException w:unhideWhenUsed="0" w:uiPriority="0" w:semiHidden="0" w:name="index heading" w:locked="1"/>
    <w:lsdException w:qFormat="1" w:unhideWhenUsed="0" w:uiPriority="0" w:semiHidden="0" w:name="caption" w:locked="1"/>
    <w:lsdException w:unhideWhenUsed="0" w:uiPriority="0" w:semiHidden="0" w:name="table of figures" w:locked="1"/>
    <w:lsdException w:unhideWhenUsed="0" w:uiPriority="0" w:semiHidden="0" w:name="envelope address" w:locked="1"/>
    <w:lsdException w:unhideWhenUsed="0" w:uiPriority="0" w:semiHidden="0" w:name="envelope return" w:locked="1"/>
    <w:lsdException w:unhideWhenUsed="0" w:uiPriority="0" w:semiHidden="0" w:name="footnote reference" w:locked="1"/>
    <w:lsdException w:qFormat="1" w:unhideWhenUsed="0" w:uiPriority="0" w:name="annotation reference"/>
    <w:lsdException w:unhideWhenUsed="0" w:uiPriority="0" w:semiHidden="0" w:name="line number" w:locked="1"/>
    <w:lsdException w:qFormat="1" w:unhideWhenUsed="0" w:uiPriority="0" w:semiHidden="0" w:name="page number" w:locked="1"/>
    <w:lsdException w:unhideWhenUsed="0" w:uiPriority="0" w:semiHidden="0" w:name="endnote reference" w:locked="1"/>
    <w:lsdException w:qFormat="1" w:uiPriority="0" w:semiHidden="0" w:name="endnote text" w:locked="1"/>
    <w:lsdException w:unhideWhenUsed="0" w:uiPriority="0" w:semiHidden="0" w:name="table of authorities" w:locked="1"/>
    <w:lsdException w:unhideWhenUsed="0" w:uiPriority="0" w:semiHidden="0" w:name="macro" w:locked="1"/>
    <w:lsdException w:unhideWhenUsed="0" w:uiPriority="0" w:semiHidden="0" w:name="toa heading" w:locked="1"/>
    <w:lsdException w:unhideWhenUsed="0" w:uiPriority="0" w:semiHidden="0" w:name="List" w:locked="1"/>
    <w:lsdException w:unhideWhenUsed="0" w:uiPriority="0" w:semiHidden="0" w:name="List Bullet" w:locked="1"/>
    <w:lsdException w:unhideWhenUsed="0" w:uiPriority="0" w:semiHidden="0" w:name="List Number" w:locked="1"/>
    <w:lsdException w:unhideWhenUsed="0" w:uiPriority="0" w:semiHidden="0" w:name="List 2" w:locked="1"/>
    <w:lsdException w:unhideWhenUsed="0" w:uiPriority="0" w:semiHidden="0" w:name="List 3" w:locked="1"/>
    <w:lsdException w:unhideWhenUsed="0" w:uiPriority="0" w:semiHidden="0" w:name="List 4" w:locked="1"/>
    <w:lsdException w:unhideWhenUsed="0" w:uiPriority="0" w:semiHidden="0" w:name="List 5" w:locked="1"/>
    <w:lsdException w:unhideWhenUsed="0" w:uiPriority="0" w:semiHidden="0" w:name="List Bullet 2" w:locked="1"/>
    <w:lsdException w:unhideWhenUsed="0" w:uiPriority="0" w:semiHidden="0" w:name="List Bullet 3" w:locked="1"/>
    <w:lsdException w:unhideWhenUsed="0" w:uiPriority="0" w:semiHidden="0" w:name="List Bullet 4" w:locked="1"/>
    <w:lsdException w:qFormat="1" w:unhideWhenUsed="0" w:uiPriority="0" w:semiHidden="0" w:name="List Bullet 5" w:locked="1"/>
    <w:lsdException w:unhideWhenUsed="0" w:uiPriority="0" w:semiHidden="0" w:name="List Number 2" w:locked="1"/>
    <w:lsdException w:unhideWhenUsed="0" w:uiPriority="0" w:semiHidden="0" w:name="List Number 3" w:locked="1"/>
    <w:lsdException w:unhideWhenUsed="0" w:uiPriority="0" w:semiHidden="0" w:name="List Number 4" w:locked="1"/>
    <w:lsdException w:unhideWhenUsed="0" w:uiPriority="0" w:semiHidden="0" w:name="List Number 5" w:locked="1"/>
    <w:lsdException w:qFormat="1" w:unhideWhenUsed="0" w:uiPriority="0" w:semiHidden="0" w:name="Title" w:locked="1"/>
    <w:lsdException w:unhideWhenUsed="0" w:uiPriority="0" w:semiHidden="0" w:name="Closing" w:locked="1"/>
    <w:lsdException w:unhideWhenUsed="0" w:uiPriority="0" w:semiHidden="0" w:name="Signature" w:locked="1"/>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ocked="1"/>
    <w:lsdException w:unhideWhenUsed="0" w:uiPriority="0" w:semiHidden="0" w:name="List Continue 2" w:locked="1"/>
    <w:lsdException w:unhideWhenUsed="0" w:uiPriority="0" w:semiHidden="0" w:name="List Continue 3" w:locked="1"/>
    <w:lsdException w:unhideWhenUsed="0" w:uiPriority="0" w:semiHidden="0" w:name="List Continue 4" w:locked="1"/>
    <w:lsdException w:qFormat="1" w:uiPriority="99" w:semiHidden="0" w:name="List Continue 5" w:locked="1"/>
    <w:lsdException w:unhideWhenUsed="0" w:uiPriority="0" w:semiHidden="0" w:name="Message Header" w:locked="1"/>
    <w:lsdException w:qFormat="1" w:unhideWhenUsed="0" w:uiPriority="0" w:semiHidden="0" w:name="Subtitle" w:locked="1"/>
    <w:lsdException w:unhideWhenUsed="0" w:uiPriority="0" w:semiHidden="0" w:name="Salutation" w:locked="1"/>
    <w:lsdException w:qFormat="1" w:unhideWhenUsed="0" w:uiPriority="0" w:semiHidden="0" w:name="Date"/>
    <w:lsdException w:qFormat="1" w:unhideWhenUsed="0" w:uiPriority="0" w:semiHidden="0" w:name="Body Text First Indent" w:locked="1"/>
    <w:lsdException w:qFormat="1" w:unhideWhenUsed="0" w:uiPriority="0" w:semiHidden="0" w:name="Body Text First Indent 2" w:locked="1"/>
    <w:lsdException w:unhideWhenUsed="0" w:uiPriority="0" w:semiHidden="0" w:name="Note Heading" w:locked="1"/>
    <w:lsdException w:unhideWhenUsed="0" w:uiPriority="0" w:semiHidden="0" w:name="Body Text 2" w:locked="1"/>
    <w:lsdException w:unhideWhenUsed="0" w:uiPriority="0" w:semiHidden="0" w:name="Body Text 3" w:locked="1"/>
    <w:lsdException w:qFormat="1" w:unhideWhenUsed="0" w:uiPriority="0" w:semiHidden="0" w:name="Body Text Indent 2" w:locked="1"/>
    <w:lsdException w:unhideWhenUsed="0" w:uiPriority="0" w:semiHidden="0" w:name="Body Text Indent 3" w:locked="1"/>
    <w:lsdException w:qFormat="1" w:unhideWhenUsed="0" w:uiPriority="0" w:semiHidden="0" w:name="Block Text" w:locked="1"/>
    <w:lsdException w:qFormat="1" w:uiPriority="99" w:semiHidden="0" w:name="Hyperlink" w:locked="1"/>
    <w:lsdException w:unhideWhenUsed="0" w:uiPriority="0" w:semiHidden="0" w:name="FollowedHyperlink" w:locked="1"/>
    <w:lsdException w:qFormat="1" w:unhideWhenUsed="0" w:uiPriority="22" w:semiHidden="0" w:name="Strong" w:locked="1"/>
    <w:lsdException w:qFormat="1" w:unhideWhenUsed="0" w:uiPriority="0" w:semiHidden="0" w:name="Emphasis" w:locked="1"/>
    <w:lsdException w:unhideWhenUsed="0" w:uiPriority="0" w:semiHidden="0" w:name="Document Map" w:locked="1"/>
    <w:lsdException w:qFormat="1" w:unhideWhenUsed="0" w:uiPriority="0" w:semiHidden="0" w:name="Plain Text" w:locked="1"/>
    <w:lsdException w:unhideWhenUsed="0" w:uiPriority="0" w:semiHidden="0" w:name="E-mail Signature" w:locked="1"/>
    <w:lsdException w:qFormat="1" w:unhideWhenUsed="0" w:uiPriority="0" w:semiHidden="0" w:name="Normal (Web)"/>
    <w:lsdException w:unhideWhenUsed="0" w:uiPriority="0" w:semiHidden="0" w:name="HTML Acronym" w:locked="1"/>
    <w:lsdException w:unhideWhenUsed="0" w:uiPriority="0" w:semiHidden="0" w:name="HTML Address" w:locked="1"/>
    <w:lsdException w:unhideWhenUsed="0" w:uiPriority="0" w:semiHidden="0" w:name="HTML Cite" w:locked="1"/>
    <w:lsdException w:unhideWhenUsed="0" w:uiPriority="0" w:semiHidden="0" w:name="HTML Code" w:locked="1"/>
    <w:lsdException w:unhideWhenUsed="0" w:uiPriority="0" w:semiHidden="0" w:name="HTML Definition" w:locked="1"/>
    <w:lsdException w:unhideWhenUsed="0" w:uiPriority="0" w:semiHidden="0" w:name="HTML Keyboard" w:locked="1"/>
    <w:lsdException w:unhideWhenUsed="0" w:uiPriority="0" w:semiHidden="0" w:name="HTML Preformatted" w:locked="1"/>
    <w:lsdException w:unhideWhenUsed="0" w:uiPriority="0" w:semiHidden="0" w:name="HTML Sample" w:locked="1"/>
    <w:lsdException w:unhideWhenUsed="0" w:uiPriority="0" w:semiHidden="0" w:name="HTML Typewriter" w:locked="1"/>
    <w:lsdException w:unhideWhenUsed="0" w:uiPriority="0" w:semiHidden="0" w:name="HTML Variable" w:locked="1"/>
    <w:lsdException w:qFormat="1" w:uiPriority="99" w:name="Normal Table"/>
    <w:lsdException w:qFormat="1" w:unhideWhenUsed="0" w:uiPriority="0" w:name="annotation subject"/>
    <w:lsdException w:uiPriority="0" w:name="Table Simple 1" w:locked="1"/>
    <w:lsdException w:uiPriority="0" w:name="Table Simple 2" w:locked="1"/>
    <w:lsdException w:uiPriority="0" w:name="Table Simple 3" w:locked="1"/>
    <w:lsdException w:uiPriority="0" w:name="Table Classic 1" w:locked="1"/>
    <w:lsdException w:uiPriority="0" w:name="Table Classic 2" w:locked="1"/>
    <w:lsdException w:uiPriority="0" w:name="Table Classic 3" w:locked="1"/>
    <w:lsdException w:uiPriority="0" w:name="Table Classic 4" w:locked="1"/>
    <w:lsdException w:uiPriority="0" w:name="Table Colorful 1" w:locked="1"/>
    <w:lsdException w:uiPriority="0" w:name="Table Colorful 2" w:locked="1"/>
    <w:lsdException w:uiPriority="0" w:name="Table Colorful 3" w:locked="1"/>
    <w:lsdException w:uiPriority="0" w:name="Table Columns 1" w:locked="1"/>
    <w:lsdException w:uiPriority="0" w:name="Table Columns 2" w:locked="1"/>
    <w:lsdException w:uiPriority="0" w:name="Table Columns 3" w:locked="1"/>
    <w:lsdException w:uiPriority="0" w:name="Table Columns 4" w:locked="1"/>
    <w:lsdException w:uiPriority="0" w:name="Table Columns 5" w:locked="1"/>
    <w:lsdException w:uiPriority="0" w:name="Table Grid 1" w:locked="1"/>
    <w:lsdException w:uiPriority="0" w:name="Table Grid 2" w:locked="1"/>
    <w:lsdException w:uiPriority="0" w:name="Table Grid 3" w:locked="1"/>
    <w:lsdException w:uiPriority="0" w:name="Table Grid 4" w:locked="1"/>
    <w:lsdException w:uiPriority="0" w:name="Table Grid 5" w:locked="1"/>
    <w:lsdException w:uiPriority="0" w:name="Table Grid 6" w:locked="1"/>
    <w:lsdException w:uiPriority="0" w:name="Table Grid 7" w:locked="1"/>
    <w:lsdException w:uiPriority="0" w:name="Table Grid 8" w:locked="1"/>
    <w:lsdException w:uiPriority="0" w:name="Table List 1" w:locked="1"/>
    <w:lsdException w:uiPriority="0" w:name="Table List 2" w:locked="1"/>
    <w:lsdException w:uiPriority="0" w:name="Table List 3" w:locked="1"/>
    <w:lsdException w:uiPriority="0" w:name="Table List 4" w:locked="1"/>
    <w:lsdException w:uiPriority="0" w:name="Table List 5" w:locked="1"/>
    <w:lsdException w:uiPriority="0" w:name="Table List 6" w:locked="1"/>
    <w:lsdException w:uiPriority="0" w:name="Table List 7" w:locked="1"/>
    <w:lsdException w:uiPriority="0" w:name="Table List 8" w:locked="1"/>
    <w:lsdException w:uiPriority="0" w:name="Table 3D effects 1" w:locked="1"/>
    <w:lsdException w:uiPriority="0" w:name="Table 3D effects 2" w:locked="1"/>
    <w:lsdException w:uiPriority="0" w:name="Table 3D effects 3" w:locked="1"/>
    <w:lsdException w:uiPriority="0" w:name="Table Contemporary" w:locked="1"/>
    <w:lsdException w:uiPriority="0" w:name="Table Elegant" w:locked="1"/>
    <w:lsdException w:uiPriority="0" w:name="Table Professional" w:locked="1"/>
    <w:lsdException w:uiPriority="0" w:name="Table Subtle 1" w:locked="1"/>
    <w:lsdException w:uiPriority="0" w:name="Table Subtle 2" w:locked="1"/>
    <w:lsdException w:uiPriority="0" w:name="Table Web 1" w:locked="1"/>
    <w:lsdException w:uiPriority="0" w:name="Table Web 2" w:locked="1"/>
    <w:lsdException w:uiPriority="0" w:name="Table Web 3" w:locked="1"/>
    <w:lsdException w:qFormat="1" w:unhideWhenUsed="0" w:uiPriority="0" w:name="Balloon Text"/>
    <w:lsdException w:qFormat="1" w:unhideWhenUsed="0" w:uiPriority="0" w:semiHidden="0" w:name="Table Grid"/>
    <w:lsdException w:uiPriority="0" w:name="Table Theme" w:locked="1"/>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locked/>
    <w:uiPriority w:val="99"/>
    <w:pPr>
      <w:keepNext/>
      <w:overflowPunct w:val="0"/>
      <w:snapToGrid w:val="0"/>
      <w:spacing w:before="120" w:after="160" w:line="259" w:lineRule="auto"/>
      <w:ind w:left="432" w:hanging="432"/>
      <w:outlineLvl w:val="0"/>
    </w:pPr>
    <w:rPr>
      <w:rFonts w:eastAsia="黑体"/>
      <w:b/>
      <w:bCs/>
      <w:color w:val="000000"/>
      <w:kern w:val="44"/>
      <w:sz w:val="30"/>
      <w:szCs w:val="30"/>
    </w:rPr>
  </w:style>
  <w:style w:type="paragraph" w:styleId="3">
    <w:name w:val="heading 2"/>
    <w:basedOn w:val="1"/>
    <w:next w:val="1"/>
    <w:link w:val="66"/>
    <w:semiHidden/>
    <w:unhideWhenUsed/>
    <w:qFormat/>
    <w:locked/>
    <w:uiPriority w:val="0"/>
    <w:pPr>
      <w:keepNext/>
      <w:keepLines/>
      <w:spacing w:before="260" w:after="260" w:line="416" w:lineRule="auto"/>
      <w:outlineLvl w:val="1"/>
    </w:pPr>
    <w:rPr>
      <w:rFonts w:ascii="Cambria" w:hAnsi="Cambria"/>
      <w:b/>
      <w:bCs/>
      <w:sz w:val="32"/>
      <w:szCs w:val="32"/>
    </w:rPr>
  </w:style>
  <w:style w:type="paragraph" w:styleId="4">
    <w:name w:val="heading 3"/>
    <w:basedOn w:val="1"/>
    <w:next w:val="1"/>
    <w:link w:val="67"/>
    <w:semiHidden/>
    <w:unhideWhenUsed/>
    <w:qFormat/>
    <w:locked/>
    <w:uiPriority w:val="0"/>
    <w:pPr>
      <w:keepNext/>
      <w:keepLines/>
      <w:spacing w:before="260" w:after="260" w:line="416" w:lineRule="auto"/>
      <w:outlineLvl w:val="2"/>
    </w:pPr>
    <w:rPr>
      <w:b/>
      <w:bCs/>
      <w:sz w:val="32"/>
      <w:szCs w:val="32"/>
    </w:rPr>
  </w:style>
  <w:style w:type="paragraph" w:styleId="5">
    <w:name w:val="heading 4"/>
    <w:basedOn w:val="1"/>
    <w:next w:val="1"/>
    <w:qFormat/>
    <w:locked/>
    <w:uiPriority w:val="0"/>
    <w:pPr>
      <w:keepNext/>
      <w:keepLines/>
      <w:spacing w:before="280" w:after="290" w:line="376" w:lineRule="auto"/>
      <w:outlineLvl w:val="3"/>
    </w:pPr>
    <w:rPr>
      <w:rFonts w:ascii="Arial" w:hAnsi="Arial" w:eastAsia="黑体"/>
      <w:b/>
      <w:bCs/>
      <w:sz w:val="28"/>
      <w:szCs w:val="28"/>
    </w:rPr>
  </w:style>
  <w:style w:type="character" w:default="1" w:styleId="30">
    <w:name w:val="Default Paragraph Font"/>
    <w:semiHidden/>
    <w:unhideWhenUsed/>
    <w:qFormat/>
    <w:uiPriority w:val="1"/>
  </w:style>
  <w:style w:type="table" w:default="1" w:styleId="28">
    <w:name w:val="Normal Table"/>
    <w:semiHidden/>
    <w:unhideWhenUsed/>
    <w:qFormat/>
    <w:uiPriority w:val="99"/>
    <w:tblPr>
      <w:tblCellMar>
        <w:top w:w="0" w:type="dxa"/>
        <w:left w:w="108" w:type="dxa"/>
        <w:bottom w:w="0" w:type="dxa"/>
        <w:right w:w="108" w:type="dxa"/>
      </w:tblCellMar>
    </w:tblPr>
  </w:style>
  <w:style w:type="paragraph" w:styleId="6">
    <w:name w:val="Normal Indent"/>
    <w:basedOn w:val="1"/>
    <w:next w:val="1"/>
    <w:link w:val="81"/>
    <w:qFormat/>
    <w:locked/>
    <w:uiPriority w:val="99"/>
    <w:rPr>
      <w:b/>
    </w:rPr>
  </w:style>
  <w:style w:type="paragraph" w:styleId="7">
    <w:name w:val="caption"/>
    <w:basedOn w:val="1"/>
    <w:next w:val="1"/>
    <w:qFormat/>
    <w:locked/>
    <w:uiPriority w:val="0"/>
    <w:pPr>
      <w:jc w:val="center"/>
    </w:pPr>
    <w:rPr>
      <w:rFonts w:ascii="宋体" w:hAnsi="Arial" w:cs="Arial"/>
      <w:szCs w:val="24"/>
    </w:rPr>
  </w:style>
  <w:style w:type="paragraph" w:styleId="8">
    <w:name w:val="annotation text"/>
    <w:basedOn w:val="1"/>
    <w:link w:val="46"/>
    <w:semiHidden/>
    <w:qFormat/>
    <w:uiPriority w:val="0"/>
    <w:pPr>
      <w:jc w:val="left"/>
    </w:pPr>
    <w:rPr>
      <w:kern w:val="0"/>
      <w:sz w:val="24"/>
      <w:szCs w:val="20"/>
    </w:rPr>
  </w:style>
  <w:style w:type="paragraph" w:styleId="9">
    <w:name w:val="Body Text"/>
    <w:basedOn w:val="1"/>
    <w:next w:val="10"/>
    <w:link w:val="45"/>
    <w:qFormat/>
    <w:uiPriority w:val="0"/>
    <w:pPr>
      <w:widowControl/>
      <w:snapToGrid w:val="0"/>
      <w:spacing w:before="60" w:after="160" w:line="259" w:lineRule="auto"/>
      <w:ind w:right="113"/>
    </w:pPr>
    <w:rPr>
      <w:kern w:val="0"/>
      <w:sz w:val="18"/>
      <w:szCs w:val="20"/>
    </w:rPr>
  </w:style>
  <w:style w:type="paragraph" w:styleId="10">
    <w:name w:val="List Bullet 5"/>
    <w:basedOn w:val="1"/>
    <w:qFormat/>
    <w:locked/>
    <w:uiPriority w:val="0"/>
    <w:pPr>
      <w:numPr>
        <w:ilvl w:val="0"/>
        <w:numId w:val="1"/>
      </w:numPr>
    </w:pPr>
  </w:style>
  <w:style w:type="paragraph" w:styleId="11">
    <w:name w:val="Body Text Indent"/>
    <w:basedOn w:val="1"/>
    <w:next w:val="7"/>
    <w:link w:val="54"/>
    <w:qFormat/>
    <w:uiPriority w:val="0"/>
    <w:pPr>
      <w:spacing w:after="120"/>
      <w:ind w:left="420" w:leftChars="200"/>
    </w:pPr>
    <w:rPr>
      <w:kern w:val="0"/>
      <w:sz w:val="24"/>
      <w:szCs w:val="20"/>
    </w:rPr>
  </w:style>
  <w:style w:type="paragraph" w:styleId="12">
    <w:name w:val="Block Text"/>
    <w:basedOn w:val="1"/>
    <w:next w:val="1"/>
    <w:qFormat/>
    <w:locked/>
    <w:uiPriority w:val="0"/>
    <w:pPr>
      <w:ind w:left="1440" w:leftChars="700" w:right="700" w:rightChars="700"/>
    </w:pPr>
  </w:style>
  <w:style w:type="paragraph" w:styleId="13">
    <w:name w:val="Plain Text"/>
    <w:basedOn w:val="1"/>
    <w:link w:val="58"/>
    <w:qFormat/>
    <w:locked/>
    <w:uiPriority w:val="0"/>
    <w:rPr>
      <w:rFonts w:ascii="宋体" w:hAnsi="Courier New"/>
      <w:spacing w:val="5"/>
      <w:sz w:val="25"/>
      <w:szCs w:val="25"/>
    </w:rPr>
  </w:style>
  <w:style w:type="paragraph" w:styleId="14">
    <w:name w:val="Date"/>
    <w:basedOn w:val="1"/>
    <w:next w:val="1"/>
    <w:link w:val="41"/>
    <w:qFormat/>
    <w:uiPriority w:val="0"/>
    <w:pPr>
      <w:ind w:left="100" w:leftChars="2500"/>
    </w:pPr>
    <w:rPr>
      <w:kern w:val="0"/>
      <w:sz w:val="24"/>
      <w:szCs w:val="20"/>
    </w:rPr>
  </w:style>
  <w:style w:type="paragraph" w:styleId="15">
    <w:name w:val="Body Text Indent 2"/>
    <w:basedOn w:val="1"/>
    <w:link w:val="65"/>
    <w:qFormat/>
    <w:locked/>
    <w:uiPriority w:val="0"/>
    <w:pPr>
      <w:spacing w:after="120" w:line="480" w:lineRule="auto"/>
      <w:ind w:left="420" w:leftChars="200"/>
    </w:pPr>
  </w:style>
  <w:style w:type="paragraph" w:styleId="16">
    <w:name w:val="endnote text"/>
    <w:basedOn w:val="1"/>
    <w:unhideWhenUsed/>
    <w:qFormat/>
    <w:locked/>
    <w:uiPriority w:val="0"/>
    <w:pPr>
      <w:snapToGrid w:val="0"/>
      <w:jc w:val="left"/>
    </w:pPr>
    <w:rPr>
      <w:rFonts w:ascii="Calibri" w:hAnsi="Calibri"/>
      <w:sz w:val="24"/>
      <w:szCs w:val="22"/>
    </w:rPr>
  </w:style>
  <w:style w:type="paragraph" w:styleId="17">
    <w:name w:val="List Continue 5"/>
    <w:basedOn w:val="1"/>
    <w:unhideWhenUsed/>
    <w:qFormat/>
    <w:locked/>
    <w:uiPriority w:val="99"/>
    <w:pPr>
      <w:spacing w:after="120"/>
      <w:ind w:left="2100" w:leftChars="1000"/>
    </w:pPr>
  </w:style>
  <w:style w:type="paragraph" w:styleId="18">
    <w:name w:val="Balloon Text"/>
    <w:basedOn w:val="1"/>
    <w:link w:val="50"/>
    <w:semiHidden/>
    <w:qFormat/>
    <w:uiPriority w:val="0"/>
    <w:rPr>
      <w:kern w:val="0"/>
      <w:sz w:val="18"/>
      <w:szCs w:val="20"/>
    </w:rPr>
  </w:style>
  <w:style w:type="paragraph" w:styleId="19">
    <w:name w:val="footer"/>
    <w:basedOn w:val="1"/>
    <w:link w:val="40"/>
    <w:qFormat/>
    <w:uiPriority w:val="99"/>
    <w:pPr>
      <w:tabs>
        <w:tab w:val="center" w:pos="4153"/>
        <w:tab w:val="right" w:pos="8306"/>
      </w:tabs>
      <w:snapToGrid w:val="0"/>
      <w:jc w:val="left"/>
    </w:pPr>
    <w:rPr>
      <w:kern w:val="0"/>
      <w:sz w:val="18"/>
      <w:szCs w:val="20"/>
    </w:rPr>
  </w:style>
  <w:style w:type="paragraph" w:styleId="20">
    <w:name w:val="header"/>
    <w:basedOn w:val="1"/>
    <w:next w:val="21"/>
    <w:link w:val="52"/>
    <w:qFormat/>
    <w:uiPriority w:val="0"/>
    <w:pPr>
      <w:pBdr>
        <w:bottom w:val="single" w:color="auto" w:sz="6" w:space="1"/>
      </w:pBdr>
      <w:tabs>
        <w:tab w:val="center" w:pos="4153"/>
        <w:tab w:val="right" w:pos="8306"/>
      </w:tabs>
      <w:snapToGrid w:val="0"/>
      <w:jc w:val="center"/>
    </w:pPr>
    <w:rPr>
      <w:kern w:val="0"/>
      <w:sz w:val="18"/>
      <w:szCs w:val="20"/>
    </w:rPr>
  </w:style>
  <w:style w:type="paragraph" w:customStyle="1" w:styleId="21">
    <w:name w:val="样式5"/>
    <w:basedOn w:val="22"/>
    <w:next w:val="16"/>
    <w:qFormat/>
    <w:uiPriority w:val="0"/>
    <w:pPr>
      <w:tabs>
        <w:tab w:val="center" w:pos="4153"/>
        <w:tab w:val="right" w:pos="8306"/>
      </w:tabs>
      <w:spacing w:line="580" w:lineRule="exact"/>
      <w:ind w:firstLine="720" w:firstLineChars="300"/>
    </w:pPr>
    <w:rPr>
      <w:rFonts w:ascii="黑体" w:eastAsia="黑体"/>
      <w:sz w:val="24"/>
    </w:rPr>
  </w:style>
  <w:style w:type="paragraph" w:customStyle="1" w:styleId="22">
    <w:name w:val="正文1"/>
    <w:basedOn w:val="19"/>
    <w:next w:val="1"/>
    <w:qFormat/>
    <w:uiPriority w:val="0"/>
    <w:pPr>
      <w:jc w:val="both"/>
    </w:pPr>
    <w:rPr>
      <w:rFonts w:ascii="Times New Roman" w:hAnsi="Times New Roman" w:eastAsia="宋体" w:cs="Times New Roman"/>
      <w:kern w:val="2"/>
      <w:sz w:val="21"/>
      <w:szCs w:val="21"/>
      <w:lang w:val="en-US" w:eastAsia="zh-CN" w:bidi="ar-SA"/>
    </w:rPr>
  </w:style>
  <w:style w:type="paragraph" w:styleId="23">
    <w:name w:val="toc 1"/>
    <w:basedOn w:val="1"/>
    <w:next w:val="1"/>
    <w:qFormat/>
    <w:locked/>
    <w:uiPriority w:val="39"/>
    <w:pPr>
      <w:spacing w:line="600" w:lineRule="exact"/>
    </w:pPr>
    <w:rPr>
      <w:b/>
      <w:sz w:val="30"/>
    </w:rPr>
  </w:style>
  <w:style w:type="paragraph" w:styleId="24">
    <w:name w:val="Normal (Web)"/>
    <w:basedOn w:val="1"/>
    <w:link w:val="43"/>
    <w:qFormat/>
    <w:uiPriority w:val="0"/>
    <w:pPr>
      <w:widowControl/>
      <w:spacing w:before="100" w:beforeAutospacing="1" w:after="100" w:afterAutospacing="1"/>
      <w:jc w:val="left"/>
    </w:pPr>
    <w:rPr>
      <w:rFonts w:ascii="宋体" w:hAnsi="宋体"/>
      <w:kern w:val="0"/>
      <w:sz w:val="24"/>
      <w:szCs w:val="20"/>
    </w:rPr>
  </w:style>
  <w:style w:type="paragraph" w:styleId="25">
    <w:name w:val="annotation subject"/>
    <w:basedOn w:val="8"/>
    <w:next w:val="8"/>
    <w:link w:val="51"/>
    <w:semiHidden/>
    <w:qFormat/>
    <w:uiPriority w:val="0"/>
    <w:rPr>
      <w:b/>
    </w:rPr>
  </w:style>
  <w:style w:type="paragraph" w:styleId="26">
    <w:name w:val="Body Text First Indent"/>
    <w:basedOn w:val="9"/>
    <w:next w:val="1"/>
    <w:qFormat/>
    <w:locked/>
    <w:uiPriority w:val="0"/>
    <w:pPr>
      <w:ind w:firstLine="420" w:firstLineChars="100"/>
    </w:pPr>
  </w:style>
  <w:style w:type="paragraph" w:styleId="27">
    <w:name w:val="Body Text First Indent 2"/>
    <w:basedOn w:val="11"/>
    <w:next w:val="1"/>
    <w:qFormat/>
    <w:locked/>
    <w:uiPriority w:val="0"/>
    <w:pPr>
      <w:ind w:firstLine="420" w:firstLineChars="200"/>
    </w:pPr>
    <w:rPr>
      <w:rFonts w:eastAsia="仿宋_GB2312" w:cs="方正小标宋简体"/>
      <w:sz w:val="32"/>
      <w:szCs w:val="44"/>
    </w:rPr>
  </w:style>
  <w:style w:type="table" w:styleId="29">
    <w:name w:val="Table Grid"/>
    <w:basedOn w:val="28"/>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1">
    <w:name w:val="Strong"/>
    <w:qFormat/>
    <w:locked/>
    <w:uiPriority w:val="22"/>
    <w:rPr>
      <w:b/>
      <w:bCs/>
    </w:rPr>
  </w:style>
  <w:style w:type="character" w:styleId="32">
    <w:name w:val="page number"/>
    <w:basedOn w:val="30"/>
    <w:qFormat/>
    <w:locked/>
    <w:uiPriority w:val="0"/>
  </w:style>
  <w:style w:type="character" w:styleId="33">
    <w:name w:val="Hyperlink"/>
    <w:basedOn w:val="30"/>
    <w:unhideWhenUsed/>
    <w:qFormat/>
    <w:locked/>
    <w:uiPriority w:val="99"/>
    <w:rPr>
      <w:color w:val="0000FF"/>
      <w:u w:val="single"/>
    </w:rPr>
  </w:style>
  <w:style w:type="character" w:styleId="34">
    <w:name w:val="annotation reference"/>
    <w:semiHidden/>
    <w:qFormat/>
    <w:uiPriority w:val="0"/>
    <w:rPr>
      <w:sz w:val="21"/>
    </w:rPr>
  </w:style>
  <w:style w:type="paragraph" w:customStyle="1" w:styleId="35">
    <w:name w:val="样式 样式 样式 四号 左侧:  1.53 厘米 + 首行缩进:  2 字符 + 居中 左侧:  2 字符 首行缩进:  2..."/>
    <w:basedOn w:val="36"/>
    <w:qFormat/>
    <w:uiPriority w:val="0"/>
    <w:pPr>
      <w:spacing w:line="240" w:lineRule="auto"/>
      <w:ind w:firstLine="0" w:firstLineChars="0"/>
      <w:jc w:val="center"/>
    </w:pPr>
  </w:style>
  <w:style w:type="paragraph" w:customStyle="1" w:styleId="36">
    <w:name w:val="样式 样式 四号 左侧:  1.53 厘米 + 首行缩进:  2 字符"/>
    <w:basedOn w:val="37"/>
    <w:qFormat/>
    <w:uiPriority w:val="0"/>
    <w:pPr>
      <w:ind w:left="200" w:leftChars="200"/>
    </w:pPr>
    <w:rPr>
      <w:szCs w:val="20"/>
    </w:rPr>
  </w:style>
  <w:style w:type="paragraph" w:customStyle="1" w:styleId="37">
    <w:name w:val="样式 四号 左侧:  1.53 厘米"/>
    <w:basedOn w:val="1"/>
    <w:qFormat/>
    <w:uiPriority w:val="0"/>
    <w:pPr>
      <w:adjustRightInd w:val="0"/>
    </w:pPr>
    <w:rPr>
      <w:w w:val="90"/>
      <w:sz w:val="28"/>
      <w:szCs w:val="28"/>
    </w:rPr>
  </w:style>
  <w:style w:type="paragraph" w:customStyle="1" w:styleId="38">
    <w:name w:val="Default"/>
    <w:basedOn w:val="39"/>
    <w:qFormat/>
    <w:uiPriority w:val="99"/>
    <w:rPr>
      <w:rFonts w:hAnsi="Calibri" w:cs="宋体"/>
      <w:color w:val="000000"/>
      <w:sz w:val="24"/>
      <w:szCs w:val="24"/>
    </w:rPr>
  </w:style>
  <w:style w:type="paragraph" w:customStyle="1" w:styleId="39">
    <w:name w:val="纯文本1"/>
    <w:basedOn w:val="1"/>
    <w:qFormat/>
    <w:uiPriority w:val="99"/>
    <w:pPr>
      <w:autoSpaceDE w:val="0"/>
      <w:autoSpaceDN w:val="0"/>
      <w:adjustRightInd w:val="0"/>
      <w:textAlignment w:val="baseline"/>
    </w:pPr>
    <w:rPr>
      <w:rFonts w:ascii="宋体"/>
      <w:szCs w:val="20"/>
    </w:rPr>
  </w:style>
  <w:style w:type="character" w:customStyle="1" w:styleId="40">
    <w:name w:val="页脚 字符1"/>
    <w:link w:val="19"/>
    <w:qFormat/>
    <w:locked/>
    <w:uiPriority w:val="99"/>
    <w:rPr>
      <w:sz w:val="18"/>
    </w:rPr>
  </w:style>
  <w:style w:type="character" w:customStyle="1" w:styleId="41">
    <w:name w:val="日期 字符1"/>
    <w:link w:val="14"/>
    <w:qFormat/>
    <w:locked/>
    <w:uiPriority w:val="0"/>
    <w:rPr>
      <w:rFonts w:ascii="Times New Roman" w:hAnsi="Times New Roman" w:eastAsia="宋体"/>
      <w:sz w:val="24"/>
    </w:rPr>
  </w:style>
  <w:style w:type="character" w:customStyle="1" w:styleId="42">
    <w:name w:val="页脚 字符"/>
    <w:basedOn w:val="30"/>
    <w:qFormat/>
    <w:uiPriority w:val="99"/>
  </w:style>
  <w:style w:type="character" w:customStyle="1" w:styleId="43">
    <w:name w:val="普通(网站) 字符"/>
    <w:link w:val="24"/>
    <w:qFormat/>
    <w:locked/>
    <w:uiPriority w:val="0"/>
    <w:rPr>
      <w:rFonts w:ascii="宋体" w:hAnsi="宋体" w:eastAsia="宋体"/>
      <w:sz w:val="24"/>
    </w:rPr>
  </w:style>
  <w:style w:type="character" w:customStyle="1" w:styleId="44">
    <w:name w:val="正文文本 字符1"/>
    <w:semiHidden/>
    <w:qFormat/>
    <w:uiPriority w:val="0"/>
    <w:rPr>
      <w:rFonts w:ascii="Times New Roman" w:hAnsi="Times New Roman" w:eastAsia="宋体"/>
      <w:sz w:val="24"/>
    </w:rPr>
  </w:style>
  <w:style w:type="character" w:customStyle="1" w:styleId="45">
    <w:name w:val="正文文本 字符"/>
    <w:link w:val="9"/>
    <w:qFormat/>
    <w:locked/>
    <w:uiPriority w:val="0"/>
    <w:rPr>
      <w:sz w:val="18"/>
    </w:rPr>
  </w:style>
  <w:style w:type="character" w:customStyle="1" w:styleId="46">
    <w:name w:val="批注文字 字符"/>
    <w:link w:val="8"/>
    <w:qFormat/>
    <w:locked/>
    <w:uiPriority w:val="0"/>
    <w:rPr>
      <w:rFonts w:ascii="Times New Roman" w:hAnsi="Times New Roman" w:eastAsia="宋体"/>
      <w:sz w:val="24"/>
    </w:rPr>
  </w:style>
  <w:style w:type="character" w:customStyle="1" w:styleId="47">
    <w:name w:val="表格 Char"/>
    <w:link w:val="48"/>
    <w:qFormat/>
    <w:locked/>
    <w:uiPriority w:val="0"/>
    <w:rPr>
      <w:rFonts w:ascii="宋体"/>
      <w:sz w:val="21"/>
    </w:rPr>
  </w:style>
  <w:style w:type="paragraph" w:customStyle="1" w:styleId="48">
    <w:name w:val="表格"/>
    <w:basedOn w:val="1"/>
    <w:next w:val="1"/>
    <w:link w:val="47"/>
    <w:qFormat/>
    <w:uiPriority w:val="0"/>
    <w:pPr>
      <w:adjustRightInd w:val="0"/>
      <w:snapToGrid w:val="0"/>
      <w:spacing w:beforeLines="10" w:afterLines="10" w:line="259" w:lineRule="auto"/>
      <w:jc w:val="center"/>
    </w:pPr>
    <w:rPr>
      <w:rFonts w:ascii="宋体"/>
      <w:kern w:val="0"/>
      <w:szCs w:val="20"/>
    </w:rPr>
  </w:style>
  <w:style w:type="character" w:customStyle="1" w:styleId="49">
    <w:name w:val="日期 字符"/>
    <w:semiHidden/>
    <w:qFormat/>
    <w:uiPriority w:val="0"/>
    <w:rPr>
      <w:rFonts w:ascii="Times New Roman" w:hAnsi="Times New Roman" w:eastAsia="宋体"/>
      <w:sz w:val="24"/>
    </w:rPr>
  </w:style>
  <w:style w:type="character" w:customStyle="1" w:styleId="50">
    <w:name w:val="批注框文本 字符"/>
    <w:link w:val="18"/>
    <w:semiHidden/>
    <w:qFormat/>
    <w:locked/>
    <w:uiPriority w:val="0"/>
    <w:rPr>
      <w:rFonts w:ascii="Times New Roman" w:hAnsi="Times New Roman" w:eastAsia="宋体"/>
      <w:sz w:val="18"/>
    </w:rPr>
  </w:style>
  <w:style w:type="character" w:customStyle="1" w:styleId="51">
    <w:name w:val="批注主题 字符"/>
    <w:link w:val="25"/>
    <w:semiHidden/>
    <w:qFormat/>
    <w:locked/>
    <w:uiPriority w:val="0"/>
    <w:rPr>
      <w:rFonts w:ascii="Times New Roman" w:hAnsi="Times New Roman" w:eastAsia="宋体"/>
      <w:b/>
      <w:kern w:val="2"/>
      <w:sz w:val="24"/>
    </w:rPr>
  </w:style>
  <w:style w:type="character" w:customStyle="1" w:styleId="52">
    <w:name w:val="页眉 字符"/>
    <w:link w:val="20"/>
    <w:qFormat/>
    <w:locked/>
    <w:uiPriority w:val="0"/>
    <w:rPr>
      <w:sz w:val="18"/>
    </w:rPr>
  </w:style>
  <w:style w:type="character" w:customStyle="1" w:styleId="53">
    <w:name w:val="批注文字 字符1"/>
    <w:semiHidden/>
    <w:qFormat/>
    <w:uiPriority w:val="0"/>
    <w:rPr>
      <w:rFonts w:ascii="Times New Roman" w:hAnsi="Times New Roman" w:eastAsia="宋体"/>
      <w:sz w:val="24"/>
    </w:rPr>
  </w:style>
  <w:style w:type="character" w:customStyle="1" w:styleId="54">
    <w:name w:val="正文文本缩进 字符"/>
    <w:link w:val="11"/>
    <w:semiHidden/>
    <w:qFormat/>
    <w:locked/>
    <w:uiPriority w:val="0"/>
    <w:rPr>
      <w:rFonts w:ascii="Times New Roman" w:hAnsi="Times New Roman" w:eastAsia="宋体"/>
      <w:sz w:val="24"/>
    </w:rPr>
  </w:style>
  <w:style w:type="paragraph" w:customStyle="1" w:styleId="55">
    <w:name w:val="正文_10"/>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56">
    <w:name w:val="普通(网站)2"/>
    <w:basedOn w:val="1"/>
    <w:qFormat/>
    <w:uiPriority w:val="0"/>
    <w:pPr>
      <w:widowControl/>
      <w:spacing w:before="100" w:beforeAutospacing="1" w:after="100" w:afterAutospacing="1"/>
      <w:jc w:val="left"/>
    </w:pPr>
    <w:rPr>
      <w:rFonts w:ascii="宋体" w:hAnsi="宋体"/>
      <w:sz w:val="24"/>
      <w:szCs w:val="20"/>
    </w:rPr>
  </w:style>
  <w:style w:type="paragraph" w:customStyle="1" w:styleId="57">
    <w:name w:val="Table Paragraph"/>
    <w:basedOn w:val="1"/>
    <w:qFormat/>
    <w:uiPriority w:val="0"/>
    <w:pPr>
      <w:autoSpaceDE w:val="0"/>
      <w:autoSpaceDN w:val="0"/>
      <w:jc w:val="center"/>
    </w:pPr>
    <w:rPr>
      <w:rFonts w:eastAsia="Times New Roman"/>
      <w:kern w:val="0"/>
      <w:sz w:val="22"/>
      <w:szCs w:val="22"/>
      <w:lang w:val="zh-CN" w:bidi="zh-CN"/>
    </w:rPr>
  </w:style>
  <w:style w:type="character" w:customStyle="1" w:styleId="58">
    <w:name w:val="纯文本 字符"/>
    <w:link w:val="13"/>
    <w:qFormat/>
    <w:uiPriority w:val="0"/>
    <w:rPr>
      <w:rFonts w:ascii="宋体" w:hAnsi="Courier New"/>
      <w:spacing w:val="5"/>
      <w:kern w:val="2"/>
      <w:sz w:val="25"/>
      <w:szCs w:val="25"/>
    </w:rPr>
  </w:style>
  <w:style w:type="character" w:customStyle="1" w:styleId="59">
    <w:name w:val="纯文本 Char1"/>
    <w:qFormat/>
    <w:uiPriority w:val="0"/>
    <w:rPr>
      <w:rFonts w:ascii="宋体" w:hAnsi="Courier New" w:cs="Courier New"/>
      <w:kern w:val="2"/>
      <w:sz w:val="21"/>
      <w:szCs w:val="21"/>
    </w:rPr>
  </w:style>
  <w:style w:type="paragraph" w:customStyle="1" w:styleId="60">
    <w:name w:val="正文首行缩进 21"/>
    <w:basedOn w:val="1"/>
    <w:next w:val="1"/>
    <w:qFormat/>
    <w:uiPriority w:val="0"/>
    <w:pPr>
      <w:widowControl/>
      <w:adjustRightInd w:val="0"/>
      <w:snapToGrid w:val="0"/>
      <w:spacing w:after="120"/>
      <w:ind w:left="420" w:leftChars="200" w:firstLine="420" w:firstLineChars="200"/>
      <w:jc w:val="left"/>
    </w:pPr>
    <w:rPr>
      <w:rFonts w:ascii="Calibri" w:hAnsi="Calibri" w:cs="宋体"/>
      <w:kern w:val="0"/>
      <w:sz w:val="44"/>
      <w:szCs w:val="44"/>
    </w:rPr>
  </w:style>
  <w:style w:type="paragraph" w:customStyle="1" w:styleId="61">
    <w:name w:val="样式 样式11 + 黑色"/>
    <w:basedOn w:val="1"/>
    <w:qFormat/>
    <w:uiPriority w:val="0"/>
    <w:pPr>
      <w:keepNext/>
      <w:keepLines/>
      <w:tabs>
        <w:tab w:val="left" w:pos="360"/>
      </w:tabs>
      <w:overflowPunct w:val="0"/>
      <w:topLinePunct/>
      <w:autoSpaceDE w:val="0"/>
      <w:autoSpaceDN w:val="0"/>
      <w:adjustRightInd w:val="0"/>
      <w:snapToGrid w:val="0"/>
      <w:spacing w:before="120" w:after="120" w:line="480" w:lineRule="atLeast"/>
      <w:jc w:val="left"/>
      <w:textAlignment w:val="baseline"/>
      <w:outlineLvl w:val="2"/>
    </w:pPr>
    <w:rPr>
      <w:rFonts w:eastAsia="黑体"/>
      <w:color w:val="000000"/>
      <w:spacing w:val="-2"/>
      <w:kern w:val="0"/>
      <w:sz w:val="24"/>
      <w:szCs w:val="20"/>
    </w:rPr>
  </w:style>
  <w:style w:type="paragraph" w:styleId="62">
    <w:name w:val="No Spacing"/>
    <w:qFormat/>
    <w:uiPriority w:val="1"/>
    <w:pPr>
      <w:widowControl w:val="0"/>
      <w:jc w:val="both"/>
    </w:pPr>
    <w:rPr>
      <w:rFonts w:ascii="Times New Roman" w:hAnsi="Times New Roman" w:eastAsia="宋体" w:cs="Times New Roman"/>
      <w:kern w:val="2"/>
      <w:sz w:val="21"/>
      <w:szCs w:val="24"/>
      <w:lang w:val="en-US" w:eastAsia="zh-CN" w:bidi="ar-SA"/>
    </w:rPr>
  </w:style>
  <w:style w:type="paragraph" w:customStyle="1" w:styleId="63">
    <w:name w:val="2"/>
    <w:basedOn w:val="1"/>
    <w:next w:val="24"/>
    <w:qFormat/>
    <w:uiPriority w:val="0"/>
    <w:pPr>
      <w:ind w:firstLine="527" w:firstLineChars="200"/>
    </w:pPr>
    <w:rPr>
      <w:rFonts w:ascii="宋体"/>
      <w:spacing w:val="5"/>
      <w:sz w:val="25"/>
      <w:szCs w:val="25"/>
    </w:rPr>
  </w:style>
  <w:style w:type="paragraph" w:customStyle="1" w:styleId="64">
    <w:name w:val="Char"/>
    <w:basedOn w:val="1"/>
    <w:semiHidden/>
    <w:qFormat/>
    <w:uiPriority w:val="0"/>
    <w:pPr>
      <w:widowControl/>
      <w:spacing w:line="560" w:lineRule="exact"/>
      <w:ind w:firstLine="200" w:firstLineChars="200"/>
      <w:jc w:val="left"/>
    </w:pPr>
    <w:rPr>
      <w:rFonts w:ascii="Verdana" w:hAnsi="Verdana"/>
      <w:kern w:val="0"/>
      <w:sz w:val="20"/>
      <w:szCs w:val="20"/>
      <w:lang w:eastAsia="en-US"/>
    </w:rPr>
  </w:style>
  <w:style w:type="character" w:customStyle="1" w:styleId="65">
    <w:name w:val="正文文本缩进 2 字符"/>
    <w:link w:val="15"/>
    <w:qFormat/>
    <w:uiPriority w:val="0"/>
    <w:rPr>
      <w:kern w:val="2"/>
      <w:sz w:val="21"/>
      <w:szCs w:val="24"/>
    </w:rPr>
  </w:style>
  <w:style w:type="character" w:customStyle="1" w:styleId="66">
    <w:name w:val="标题 2 字符"/>
    <w:link w:val="3"/>
    <w:semiHidden/>
    <w:qFormat/>
    <w:uiPriority w:val="0"/>
    <w:rPr>
      <w:rFonts w:ascii="Cambria" w:hAnsi="Cambria" w:eastAsia="宋体" w:cs="Times New Roman"/>
      <w:b/>
      <w:bCs/>
      <w:kern w:val="2"/>
      <w:sz w:val="32"/>
      <w:szCs w:val="32"/>
    </w:rPr>
  </w:style>
  <w:style w:type="character" w:customStyle="1" w:styleId="67">
    <w:name w:val="标题 3 字符"/>
    <w:link w:val="4"/>
    <w:semiHidden/>
    <w:qFormat/>
    <w:uiPriority w:val="0"/>
    <w:rPr>
      <w:b/>
      <w:bCs/>
      <w:kern w:val="2"/>
      <w:sz w:val="32"/>
      <w:szCs w:val="32"/>
    </w:rPr>
  </w:style>
  <w:style w:type="paragraph" w:styleId="68">
    <w:name w:val="List Paragraph"/>
    <w:basedOn w:val="1"/>
    <w:qFormat/>
    <w:uiPriority w:val="34"/>
    <w:pPr>
      <w:ind w:firstLine="420" w:firstLineChars="200"/>
    </w:pPr>
  </w:style>
  <w:style w:type="character" w:customStyle="1" w:styleId="69">
    <w:name w:val="表头 Char"/>
    <w:link w:val="70"/>
    <w:qFormat/>
    <w:uiPriority w:val="0"/>
    <w:rPr>
      <w:rFonts w:hAnsi="Calibri"/>
      <w:b/>
      <w:kern w:val="2"/>
      <w:sz w:val="24"/>
      <w:szCs w:val="24"/>
    </w:rPr>
  </w:style>
  <w:style w:type="paragraph" w:customStyle="1" w:styleId="70">
    <w:name w:val="表头"/>
    <w:basedOn w:val="1"/>
    <w:next w:val="1"/>
    <w:link w:val="69"/>
    <w:qFormat/>
    <w:uiPriority w:val="0"/>
    <w:pPr>
      <w:adjustRightInd w:val="0"/>
      <w:snapToGrid w:val="0"/>
      <w:jc w:val="center"/>
    </w:pPr>
    <w:rPr>
      <w:rFonts w:hAnsi="Calibri"/>
      <w:b/>
      <w:sz w:val="24"/>
    </w:rPr>
  </w:style>
  <w:style w:type="paragraph" w:customStyle="1" w:styleId="71">
    <w:name w:val="表文"/>
    <w:basedOn w:val="1"/>
    <w:next w:val="1"/>
    <w:qFormat/>
    <w:uiPriority w:val="0"/>
    <w:pPr>
      <w:widowControl/>
      <w:adjustRightInd w:val="0"/>
      <w:snapToGrid w:val="0"/>
      <w:jc w:val="center"/>
    </w:pPr>
    <w:rPr>
      <w:rFonts w:ascii="Calibri" w:hAnsi="Calibri" w:cs="Calibri"/>
      <w:kern w:val="0"/>
      <w:szCs w:val="21"/>
    </w:rPr>
  </w:style>
  <w:style w:type="paragraph" w:customStyle="1" w:styleId="72">
    <w:name w:val="列出段落1"/>
    <w:basedOn w:val="1"/>
    <w:qFormat/>
    <w:uiPriority w:val="0"/>
    <w:pPr>
      <w:spacing w:before="100" w:beforeAutospacing="1" w:after="100" w:afterAutospacing="1"/>
      <w:ind w:left="-50" w:leftChars="-50" w:firstLine="420" w:firstLineChars="200"/>
    </w:pPr>
    <w:rPr>
      <w:szCs w:val="21"/>
    </w:rPr>
  </w:style>
  <w:style w:type="character" w:customStyle="1" w:styleId="73">
    <w:name w:val="普通(网站) Char1"/>
    <w:qFormat/>
    <w:locked/>
    <w:uiPriority w:val="0"/>
    <w:rPr>
      <w:rFonts w:ascii="宋体" w:hAnsi="宋体" w:eastAsia="宋体"/>
      <w:sz w:val="24"/>
    </w:rPr>
  </w:style>
  <w:style w:type="character" w:customStyle="1" w:styleId="74">
    <w:name w:val="报告书一级标题 Char"/>
    <w:link w:val="75"/>
    <w:qFormat/>
    <w:uiPriority w:val="0"/>
    <w:rPr>
      <w:rFonts w:ascii="黑体" w:hAnsi="宋体" w:eastAsia="黑体" w:cs="黑体"/>
      <w:spacing w:val="5"/>
      <w:kern w:val="2"/>
      <w:sz w:val="29"/>
      <w:szCs w:val="29"/>
      <w:lang w:val="zh-CN"/>
    </w:rPr>
  </w:style>
  <w:style w:type="paragraph" w:customStyle="1" w:styleId="75">
    <w:name w:val="报告书一级标题"/>
    <w:basedOn w:val="1"/>
    <w:link w:val="74"/>
    <w:qFormat/>
    <w:uiPriority w:val="0"/>
    <w:pPr>
      <w:autoSpaceDE w:val="0"/>
      <w:autoSpaceDN w:val="0"/>
      <w:adjustRightInd w:val="0"/>
      <w:spacing w:line="250" w:lineRule="auto"/>
      <w:outlineLvl w:val="0"/>
    </w:pPr>
    <w:rPr>
      <w:rFonts w:ascii="黑体" w:hAnsi="宋体" w:eastAsia="黑体" w:cs="黑体"/>
      <w:spacing w:val="5"/>
      <w:sz w:val="29"/>
      <w:szCs w:val="29"/>
      <w:lang w:val="zh-CN"/>
    </w:rPr>
  </w:style>
  <w:style w:type="paragraph" w:customStyle="1" w:styleId="76">
    <w:name w:val="style4"/>
    <w:basedOn w:val="1"/>
    <w:next w:val="63"/>
    <w:qFormat/>
    <w:uiPriority w:val="0"/>
    <w:pPr>
      <w:widowControl/>
      <w:spacing w:before="280" w:after="280"/>
    </w:pPr>
    <w:rPr>
      <w:rFonts w:ascii="宋体"/>
      <w:sz w:val="18"/>
    </w:rPr>
  </w:style>
  <w:style w:type="paragraph" w:customStyle="1" w:styleId="77">
    <w:name w:val="1"/>
    <w:basedOn w:val="1"/>
    <w:next w:val="13"/>
    <w:qFormat/>
    <w:uiPriority w:val="0"/>
    <w:pPr>
      <w:ind w:firstLine="527" w:firstLineChars="200"/>
    </w:pPr>
    <w:rPr>
      <w:spacing w:val="5"/>
    </w:rPr>
  </w:style>
  <w:style w:type="paragraph" w:customStyle="1" w:styleId="78">
    <w:name w:val="样式 正文文字 + 首行缩进:  2 字符 行距: 最小值 24 磅"/>
    <w:basedOn w:val="1"/>
    <w:qFormat/>
    <w:uiPriority w:val="0"/>
    <w:pPr>
      <w:adjustRightInd w:val="0"/>
      <w:snapToGrid w:val="0"/>
      <w:spacing w:line="480" w:lineRule="atLeast"/>
      <w:ind w:firstLine="480" w:firstLineChars="200"/>
    </w:pPr>
    <w:rPr>
      <w:rFonts w:cs="宋体"/>
      <w:sz w:val="24"/>
    </w:rPr>
  </w:style>
  <w:style w:type="paragraph" w:customStyle="1" w:styleId="79">
    <w:name w:val="图图"/>
    <w:basedOn w:val="1"/>
    <w:qFormat/>
    <w:uiPriority w:val="0"/>
    <w:pPr>
      <w:jc w:val="center"/>
    </w:pPr>
  </w:style>
  <w:style w:type="character" w:customStyle="1" w:styleId="80">
    <w:name w:val="普通(网站) Char"/>
    <w:qFormat/>
    <w:locked/>
    <w:uiPriority w:val="0"/>
    <w:rPr>
      <w:rFonts w:ascii="宋体" w:hAnsi="宋体" w:eastAsia="宋体"/>
      <w:sz w:val="24"/>
    </w:rPr>
  </w:style>
  <w:style w:type="character" w:customStyle="1" w:styleId="81">
    <w:name w:val="正文缩进 字符"/>
    <w:link w:val="6"/>
    <w:qFormat/>
    <w:uiPriority w:val="99"/>
    <w:rPr>
      <w:b/>
      <w:kern w:val="2"/>
      <w:sz w:val="21"/>
      <w:szCs w:val="24"/>
    </w:rPr>
  </w:style>
  <w:style w:type="paragraph" w:customStyle="1" w:styleId="82">
    <w:name w:val="表格样式文化"/>
    <w:basedOn w:val="1"/>
    <w:link w:val="83"/>
    <w:qFormat/>
    <w:uiPriority w:val="0"/>
    <w:pPr>
      <w:ind w:left="51" w:right="51"/>
      <w:jc w:val="center"/>
    </w:pPr>
    <w:rPr>
      <w:szCs w:val="21"/>
    </w:rPr>
  </w:style>
  <w:style w:type="character" w:customStyle="1" w:styleId="83">
    <w:name w:val="表格样式文化 Char"/>
    <w:basedOn w:val="30"/>
    <w:link w:val="82"/>
    <w:qFormat/>
    <w:uiPriority w:val="0"/>
    <w:rPr>
      <w:kern w:val="2"/>
      <w:sz w:val="21"/>
      <w:szCs w:val="21"/>
    </w:rPr>
  </w:style>
  <w:style w:type="paragraph" w:customStyle="1" w:styleId="84">
    <w:name w:val="河南表内"/>
    <w:basedOn w:val="1"/>
    <w:qFormat/>
    <w:uiPriority w:val="0"/>
    <w:pPr>
      <w:spacing w:line="360" w:lineRule="exact"/>
      <w:jc w:val="center"/>
    </w:pPr>
    <w:rPr>
      <w:color w:val="000000"/>
      <w:szCs w:val="21"/>
    </w:rPr>
  </w:style>
  <w:style w:type="paragraph" w:customStyle="1" w:styleId="85">
    <w:name w:val="图名表头"/>
    <w:basedOn w:val="1"/>
    <w:qFormat/>
    <w:uiPriority w:val="0"/>
    <w:pPr>
      <w:spacing w:line="360" w:lineRule="auto"/>
      <w:jc w:val="center"/>
    </w:pPr>
    <w:rPr>
      <w:rFonts w:ascii="宋体" w:hAnsi="宋体" w:cs="宋体"/>
      <w:sz w:val="24"/>
      <w:szCs w:val="21"/>
    </w:rPr>
  </w:style>
  <w:style w:type="character" w:customStyle="1" w:styleId="86">
    <w:name w:val="font11"/>
    <w:basedOn w:val="30"/>
    <w:qFormat/>
    <w:uiPriority w:val="0"/>
    <w:rPr>
      <w:rFonts w:hint="default" w:ascii="Times New Roman" w:hAnsi="Times New Roman" w:cs="Times New Roman"/>
      <w:color w:val="FF0000"/>
      <w:sz w:val="18"/>
      <w:szCs w:val="18"/>
      <w:u w:val="none"/>
    </w:rPr>
  </w:style>
  <w:style w:type="character" w:customStyle="1" w:styleId="87">
    <w:name w:val="font21"/>
    <w:basedOn w:val="30"/>
    <w:qFormat/>
    <w:uiPriority w:val="0"/>
    <w:rPr>
      <w:rFonts w:hint="eastAsia" w:ascii="宋体" w:hAnsi="宋体" w:eastAsia="宋体" w:cs="宋体"/>
      <w:color w:val="FF0000"/>
      <w:sz w:val="18"/>
      <w:szCs w:val="18"/>
      <w:u w:val="none"/>
    </w:rPr>
  </w:style>
  <w:style w:type="paragraph" w:customStyle="1" w:styleId="88">
    <w:name w:val="环评表格"/>
    <w:basedOn w:val="89"/>
    <w:next w:val="1"/>
    <w:qFormat/>
    <w:uiPriority w:val="0"/>
    <w:pPr>
      <w:jc w:val="center"/>
    </w:pPr>
    <w:rPr>
      <w:rFonts w:ascii="Times New Roman" w:hAnsi="Times New Roman" w:eastAsia="宋体" w:cs="Times New Roman"/>
      <w:kern w:val="2"/>
      <w:sz w:val="21"/>
      <w:lang w:val="en-US" w:eastAsia="zh-CN" w:bidi="ar-SA"/>
    </w:rPr>
  </w:style>
  <w:style w:type="paragraph" w:customStyle="1" w:styleId="89">
    <w:name w:val="表格内容"/>
    <w:basedOn w:val="1"/>
    <w:qFormat/>
    <w:uiPriority w:val="0"/>
    <w:pPr>
      <w:overflowPunct w:val="0"/>
      <w:adjustRightInd w:val="0"/>
      <w:snapToGrid w:val="0"/>
      <w:spacing w:before="40" w:after="60" w:line="200" w:lineRule="atLeast"/>
      <w:textAlignment w:val="baseline"/>
    </w:pPr>
    <w:rPr>
      <w:rFonts w:ascii="Arial" w:hAnsi="Arial" w:eastAsia="仿宋_GB2312"/>
      <w:kern w:val="0"/>
      <w:sz w:val="24"/>
    </w:rPr>
  </w:style>
  <w:style w:type="paragraph" w:customStyle="1" w:styleId="90">
    <w:name w:val="表体"/>
    <w:basedOn w:val="1"/>
    <w:semiHidden/>
    <w:qFormat/>
    <w:uiPriority w:val="99"/>
    <w:pPr>
      <w:overflowPunct w:val="0"/>
      <w:adjustRightInd w:val="0"/>
      <w:spacing w:line="300" w:lineRule="atLeast"/>
      <w:jc w:val="center"/>
    </w:pPr>
    <w:rPr>
      <w:rFonts w:ascii="宋体" w:hAnsi="宋体" w:cs="宋体"/>
      <w:color w:val="000000"/>
      <w:kern w:val="24"/>
      <w:sz w:val="18"/>
      <w:szCs w:val="21"/>
    </w:rPr>
  </w:style>
  <w:style w:type="paragraph" w:customStyle="1" w:styleId="91">
    <w:name w:val="WPSOffice手动目录 1"/>
    <w:qFormat/>
    <w:uiPriority w:val="0"/>
    <w:pPr>
      <w:ind w:leftChars="0"/>
    </w:pPr>
    <w:rPr>
      <w:rFonts w:ascii="Times New Roman" w:hAnsi="Times New Roman" w:eastAsia="宋体" w:cs="Times New Roman"/>
      <w:sz w:val="20"/>
      <w:szCs w:val="20"/>
    </w:rPr>
  </w:style>
</w:styles>
</file>

<file path=word/_rels/document.xml.rels><?xml version="1.0" encoding="UTF-8" standalone="yes"?>
<Relationships xmlns="http://schemas.openxmlformats.org/package/2006/relationships"><Relationship Id="rId9" Type="http://schemas.openxmlformats.org/officeDocument/2006/relationships/image" Target="media/image2.png"/><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5" Type="http://schemas.openxmlformats.org/officeDocument/2006/relationships/fontTable" Target="fontTable.xml"/><Relationship Id="rId24" Type="http://schemas.openxmlformats.org/officeDocument/2006/relationships/numbering" Target="numbering.xml"/><Relationship Id="rId23" Type="http://schemas.openxmlformats.org/officeDocument/2006/relationships/customXml" Target="../customXml/item1.xml"/><Relationship Id="rId22" Type="http://schemas.openxmlformats.org/officeDocument/2006/relationships/image" Target="media/image15.png"/><Relationship Id="rId21" Type="http://schemas.openxmlformats.org/officeDocument/2006/relationships/image" Target="media/image14.png"/><Relationship Id="rId20" Type="http://schemas.openxmlformats.org/officeDocument/2006/relationships/image" Target="media/image13.png"/><Relationship Id="rId2" Type="http://schemas.openxmlformats.org/officeDocument/2006/relationships/settings" Target="settings.xml"/><Relationship Id="rId19" Type="http://schemas.openxmlformats.org/officeDocument/2006/relationships/image" Target="media/image12.png"/><Relationship Id="rId18" Type="http://schemas.openxmlformats.org/officeDocument/2006/relationships/image" Target="media/image11.png"/><Relationship Id="rId17" Type="http://schemas.openxmlformats.org/officeDocument/2006/relationships/image" Target="media/image10.png"/><Relationship Id="rId16" Type="http://schemas.openxmlformats.org/officeDocument/2006/relationships/image" Target="media/image9.png"/><Relationship Id="rId15" Type="http://schemas.openxmlformats.org/officeDocument/2006/relationships/image" Target="media/image8.png"/><Relationship Id="rId14" Type="http://schemas.openxmlformats.org/officeDocument/2006/relationships/image" Target="media/image7.png"/><Relationship Id="rId13" Type="http://schemas.openxmlformats.org/officeDocument/2006/relationships/image" Target="media/image6.png"/><Relationship Id="rId12" Type="http://schemas.openxmlformats.org/officeDocument/2006/relationships/image" Target="media/image5.png"/><Relationship Id="rId11" Type="http://schemas.openxmlformats.org/officeDocument/2006/relationships/image" Target="media/image4.png"/><Relationship Id="rId10" Type="http://schemas.openxmlformats.org/officeDocument/2006/relationships/image" Target="media/image3.png"/><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dsoa\wdzx97.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wdzx97</Template>
  <Company>微软中国</Company>
  <Pages>106</Pages>
  <Words>23920</Words>
  <Characters>24557</Characters>
  <Lines>314</Lines>
  <Paragraphs>88</Paragraphs>
  <TotalTime>4</TotalTime>
  <ScaleCrop>false</ScaleCrop>
  <LinksUpToDate>false</LinksUpToDate>
  <CharactersWithSpaces>24667</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2021-05-17T02:57:00Z</dcterms:created>
  <dc:creator>lhj</dc:creator>
  <cp:lastModifiedBy> 天上星</cp:lastModifiedBy>
  <cp:lastPrinted>2020-12-29T02:43:00Z</cp:lastPrinted>
  <dcterms:modified xsi:type="dcterms:W3CDTF">2025-10-31T03:47:00Z</dcterms:modified>
  <dc:title>附件2</dc:title>
  <cp:revision>74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AB7D13B1715141739D02E1087FF2D9C8_13</vt:lpwstr>
  </property>
  <property fmtid="{D5CDD505-2E9C-101B-9397-08002B2CF9AE}" pid="4" name="KSOTemplateDocerSaveRecord">
    <vt:lpwstr>eyJoZGlkIjoiZWJmZDgxYTUwODEwNDI1ODEwZjkxNmFlY2E1YWE2ODgiLCJ1c2VySWQiOiIzMDk4MDU2NDAifQ==</vt:lpwstr>
  </property>
</Properties>
</file>